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5B" w:rsidRPr="00B818E7" w:rsidRDefault="00E2175B" w:rsidP="00B818E7">
      <w:pPr>
        <w:pStyle w:val="Prrafodelista"/>
        <w:spacing w:line="360" w:lineRule="auto"/>
        <w:ind w:left="0"/>
        <w:jc w:val="both"/>
        <w:rPr>
          <w:rFonts w:ascii="Palatino Linotype" w:eastAsia="Calibri" w:hAnsi="Palatino Linotype" w:cs="Arial"/>
          <w:color w:val="000000" w:themeColor="text1"/>
          <w:sz w:val="24"/>
          <w:szCs w:val="24"/>
        </w:rPr>
      </w:pPr>
      <w:bookmarkStart w:id="0" w:name="_Toc491791302"/>
      <w:bookmarkStart w:id="1" w:name="_Toc74778592"/>
      <w:bookmarkStart w:id="2" w:name="_Toc85733157"/>
      <w:r w:rsidRPr="00B818E7">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de </w:t>
      </w:r>
      <w:r w:rsidR="00EB4BF7">
        <w:rPr>
          <w:rFonts w:ascii="Palatino Linotype" w:eastAsia="Calibri" w:hAnsi="Palatino Linotype" w:cs="Arial"/>
          <w:color w:val="000000" w:themeColor="text1"/>
          <w:sz w:val="24"/>
          <w:szCs w:val="24"/>
        </w:rPr>
        <w:t xml:space="preserve">fecha </w:t>
      </w:r>
      <w:r w:rsidRPr="00B818E7">
        <w:rPr>
          <w:rFonts w:ascii="Palatino Linotype" w:eastAsia="Calibri" w:hAnsi="Palatino Linotype" w:cs="Arial"/>
          <w:b/>
          <w:color w:val="000000" w:themeColor="text1"/>
          <w:sz w:val="24"/>
          <w:szCs w:val="24"/>
        </w:rPr>
        <w:t>quince</w:t>
      </w:r>
      <w:r w:rsidR="00EB4BF7">
        <w:rPr>
          <w:rFonts w:ascii="Palatino Linotype" w:eastAsia="Calibri" w:hAnsi="Palatino Linotype" w:cs="Arial"/>
          <w:b/>
          <w:color w:val="000000" w:themeColor="text1"/>
          <w:sz w:val="24"/>
          <w:szCs w:val="24"/>
        </w:rPr>
        <w:t xml:space="preserve"> (15)</w:t>
      </w:r>
      <w:r w:rsidRPr="00B818E7">
        <w:rPr>
          <w:rFonts w:ascii="Palatino Linotype" w:eastAsia="Calibri" w:hAnsi="Palatino Linotype" w:cs="Arial"/>
          <w:b/>
          <w:color w:val="000000" w:themeColor="text1"/>
          <w:sz w:val="24"/>
          <w:szCs w:val="24"/>
        </w:rPr>
        <w:t xml:space="preserve"> de octubre de dos mil veinticinco.</w:t>
      </w:r>
    </w:p>
    <w:p w:rsidR="00E2175B" w:rsidRPr="00B818E7" w:rsidRDefault="00E2175B" w:rsidP="00B818E7">
      <w:pPr>
        <w:pStyle w:val="Prrafodelista"/>
        <w:spacing w:line="360" w:lineRule="auto"/>
        <w:ind w:left="0"/>
        <w:jc w:val="both"/>
        <w:rPr>
          <w:rFonts w:ascii="Palatino Linotype" w:eastAsia="Calibri" w:hAnsi="Palatino Linotype" w:cs="Arial"/>
          <w:color w:val="000000" w:themeColor="text1"/>
          <w:sz w:val="24"/>
          <w:szCs w:val="24"/>
        </w:rPr>
      </w:pPr>
    </w:p>
    <w:p w:rsidR="00E2175B" w:rsidRPr="00B818E7" w:rsidRDefault="00E2175B" w:rsidP="00B818E7">
      <w:pPr>
        <w:pStyle w:val="Prrafodelista"/>
        <w:spacing w:line="360" w:lineRule="auto"/>
        <w:ind w:left="0"/>
        <w:jc w:val="both"/>
        <w:rPr>
          <w:rFonts w:ascii="Palatino Linotype" w:eastAsia="Calibri" w:hAnsi="Palatino Linotype" w:cs="Arial"/>
          <w:color w:val="000000" w:themeColor="text1"/>
          <w:sz w:val="24"/>
          <w:szCs w:val="24"/>
        </w:rPr>
      </w:pPr>
      <w:r w:rsidRPr="00EB4BF7">
        <w:rPr>
          <w:rFonts w:ascii="Palatino Linotype" w:eastAsia="Calibri" w:hAnsi="Palatino Linotype" w:cs="Arial"/>
          <w:b/>
          <w:color w:val="000000" w:themeColor="text1"/>
          <w:sz w:val="24"/>
          <w:szCs w:val="24"/>
        </w:rPr>
        <w:t>VISTO</w:t>
      </w:r>
      <w:r w:rsidRPr="00B818E7">
        <w:rPr>
          <w:rFonts w:ascii="Palatino Linotype" w:eastAsia="Calibri" w:hAnsi="Palatino Linotype" w:cs="Arial"/>
          <w:color w:val="000000" w:themeColor="text1"/>
          <w:sz w:val="24"/>
          <w:szCs w:val="24"/>
        </w:rPr>
        <w:t xml:space="preserve"> el expediente electrónico formado con motivo del Recursos de Revisión </w:t>
      </w:r>
      <w:r w:rsidR="00461FD3" w:rsidRPr="00B818E7">
        <w:rPr>
          <w:rFonts w:ascii="Palatino Linotype" w:eastAsia="Calibri" w:hAnsi="Palatino Linotype" w:cs="Arial"/>
          <w:b/>
          <w:color w:val="000000" w:themeColor="text1"/>
          <w:sz w:val="24"/>
          <w:szCs w:val="24"/>
        </w:rPr>
        <w:t xml:space="preserve">06008/INFOEM/IP/RR/2025 </w:t>
      </w:r>
      <w:r w:rsidRPr="00B818E7">
        <w:rPr>
          <w:rFonts w:ascii="Palatino Linotype" w:eastAsia="Calibri" w:hAnsi="Palatino Linotype" w:cs="Arial"/>
          <w:color w:val="000000" w:themeColor="text1"/>
          <w:sz w:val="24"/>
          <w:szCs w:val="24"/>
        </w:rPr>
        <w:t xml:space="preserve">promovido por </w:t>
      </w:r>
      <w:r w:rsidR="00557124">
        <w:rPr>
          <w:rFonts w:ascii="Palatino Linotype" w:eastAsia="Palatino Linotype" w:hAnsi="Palatino Linotype" w:cs="Palatino Linotype"/>
          <w:b/>
          <w:bCs/>
          <w:color w:val="000000" w:themeColor="text1"/>
          <w:sz w:val="24"/>
          <w:szCs w:val="24"/>
          <w:lang w:val="es-MX"/>
        </w:rPr>
        <w:t>XXXX</w:t>
      </w:r>
      <w:r w:rsidRPr="00B818E7">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B818E7">
        <w:rPr>
          <w:rFonts w:ascii="Palatino Linotype" w:eastAsia="Calibri" w:hAnsi="Palatino Linotype" w:cs="Arial"/>
          <w:b/>
          <w:color w:val="000000" w:themeColor="text1"/>
          <w:sz w:val="24"/>
          <w:szCs w:val="24"/>
        </w:rPr>
        <w:t>EL RECURRENTE</w:t>
      </w:r>
      <w:r w:rsidRPr="00B818E7">
        <w:rPr>
          <w:rFonts w:ascii="Palatino Linotype" w:eastAsia="Calibri" w:hAnsi="Palatino Linotype" w:cs="Arial"/>
          <w:color w:val="000000" w:themeColor="text1"/>
          <w:sz w:val="24"/>
          <w:szCs w:val="24"/>
        </w:rPr>
        <w:t xml:space="preserve">, en contra de la respuesta del </w:t>
      </w:r>
      <w:r w:rsidR="00461FD3" w:rsidRPr="00B818E7">
        <w:rPr>
          <w:rFonts w:ascii="Palatino Linotype" w:eastAsia="Calibri" w:hAnsi="Palatino Linotype" w:cs="Arial"/>
          <w:b/>
          <w:color w:val="000000" w:themeColor="text1"/>
          <w:sz w:val="24"/>
          <w:szCs w:val="24"/>
        </w:rPr>
        <w:t>Poder Judicial</w:t>
      </w:r>
      <w:r w:rsidRPr="00B818E7">
        <w:rPr>
          <w:rFonts w:ascii="Palatino Linotype" w:eastAsia="Calibri" w:hAnsi="Palatino Linotype" w:cs="Arial"/>
          <w:color w:val="000000" w:themeColor="text1"/>
          <w:sz w:val="24"/>
          <w:szCs w:val="24"/>
        </w:rPr>
        <w:t xml:space="preserve">, en </w:t>
      </w:r>
      <w:r w:rsidR="00EB4BF7">
        <w:rPr>
          <w:rFonts w:ascii="Palatino Linotype" w:eastAsia="Calibri" w:hAnsi="Palatino Linotype" w:cs="Arial"/>
          <w:color w:val="000000" w:themeColor="text1"/>
          <w:sz w:val="24"/>
          <w:szCs w:val="24"/>
        </w:rPr>
        <w:t>adelante</w:t>
      </w:r>
      <w:r w:rsidRPr="00B818E7">
        <w:rPr>
          <w:rFonts w:ascii="Palatino Linotype" w:eastAsia="Calibri" w:hAnsi="Palatino Linotype" w:cs="Arial"/>
          <w:color w:val="000000" w:themeColor="text1"/>
          <w:sz w:val="24"/>
          <w:szCs w:val="24"/>
        </w:rPr>
        <w:t xml:space="preserve"> </w:t>
      </w:r>
      <w:r w:rsidRPr="00B818E7">
        <w:rPr>
          <w:rFonts w:ascii="Palatino Linotype" w:eastAsia="Calibri" w:hAnsi="Palatino Linotype" w:cs="Arial"/>
          <w:b/>
          <w:color w:val="000000" w:themeColor="text1"/>
          <w:sz w:val="24"/>
          <w:szCs w:val="24"/>
        </w:rPr>
        <w:t>EL SUJETO OBLIGADO</w:t>
      </w:r>
      <w:r w:rsidRPr="00B818E7">
        <w:rPr>
          <w:rFonts w:ascii="Palatino Linotype" w:eastAsia="Calibri" w:hAnsi="Palatino Linotype" w:cs="Arial"/>
          <w:color w:val="000000" w:themeColor="text1"/>
          <w:sz w:val="24"/>
          <w:szCs w:val="24"/>
        </w:rPr>
        <w:t>, se procede a dictar la presente resolución, con base en los siguientes:</w:t>
      </w:r>
      <w:bookmarkStart w:id="3" w:name="_Toc85733154"/>
    </w:p>
    <w:p w:rsidR="00E2175B" w:rsidRPr="00B818E7" w:rsidRDefault="00E2175B" w:rsidP="00B818E7">
      <w:pPr>
        <w:pStyle w:val="Prrafodelista"/>
        <w:spacing w:line="360" w:lineRule="auto"/>
        <w:ind w:left="0"/>
        <w:jc w:val="both"/>
        <w:rPr>
          <w:rFonts w:ascii="Palatino Linotype" w:eastAsia="Calibri" w:hAnsi="Palatino Linotype" w:cs="Arial"/>
          <w:color w:val="000000" w:themeColor="text1"/>
          <w:sz w:val="24"/>
          <w:szCs w:val="24"/>
        </w:rPr>
      </w:pPr>
    </w:p>
    <w:p w:rsidR="00E2175B" w:rsidRPr="00B818E7" w:rsidRDefault="00E2175B" w:rsidP="00B818E7">
      <w:pPr>
        <w:pStyle w:val="Prrafodelista"/>
        <w:spacing w:line="360" w:lineRule="auto"/>
        <w:ind w:left="0"/>
        <w:jc w:val="center"/>
        <w:rPr>
          <w:rFonts w:ascii="Palatino Linotype" w:eastAsia="Calibri" w:hAnsi="Palatino Linotype" w:cs="Arial"/>
          <w:b/>
          <w:color w:val="000000" w:themeColor="text1"/>
          <w:sz w:val="24"/>
          <w:szCs w:val="24"/>
        </w:rPr>
      </w:pPr>
      <w:r w:rsidRPr="00B818E7">
        <w:rPr>
          <w:rFonts w:ascii="Palatino Linotype" w:eastAsia="Calibri" w:hAnsi="Palatino Linotype" w:cs="Arial"/>
          <w:b/>
          <w:color w:val="000000" w:themeColor="text1"/>
          <w:sz w:val="24"/>
          <w:szCs w:val="24"/>
        </w:rPr>
        <w:t>A N T E C E D E N T E S</w:t>
      </w:r>
      <w:bookmarkEnd w:id="3"/>
    </w:p>
    <w:p w:rsidR="00E2175B" w:rsidRPr="00B818E7" w:rsidRDefault="00E2175B" w:rsidP="00B818E7">
      <w:pPr>
        <w:spacing w:line="360" w:lineRule="auto"/>
        <w:jc w:val="both"/>
        <w:rPr>
          <w:rFonts w:ascii="Palatino Linotype" w:hAnsi="Palatino Linotype"/>
          <w:color w:val="000000" w:themeColor="text1"/>
          <w:lang w:val="es-ES" w:eastAsia="es-ES"/>
        </w:rPr>
      </w:pPr>
    </w:p>
    <w:p w:rsidR="00E2175B" w:rsidRPr="00B818E7" w:rsidRDefault="00E2175B" w:rsidP="00B818E7">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B818E7">
        <w:rPr>
          <w:rFonts w:ascii="Palatino Linotype" w:eastAsia="Calibri" w:hAnsi="Palatino Linotype" w:cs="Arial"/>
          <w:color w:val="000000" w:themeColor="text1"/>
          <w:sz w:val="24"/>
          <w:szCs w:val="24"/>
        </w:rPr>
        <w:t xml:space="preserve">El </w:t>
      </w:r>
      <w:r w:rsidR="00461FD3" w:rsidRPr="00B818E7">
        <w:rPr>
          <w:rFonts w:ascii="Palatino Linotype" w:eastAsia="Calibri" w:hAnsi="Palatino Linotype" w:cs="Arial"/>
          <w:b/>
          <w:color w:val="000000" w:themeColor="text1"/>
          <w:sz w:val="24"/>
          <w:szCs w:val="24"/>
        </w:rPr>
        <w:t xml:space="preserve">veintisiete de abril </w:t>
      </w:r>
      <w:r w:rsidRPr="00B818E7">
        <w:rPr>
          <w:rFonts w:ascii="Palatino Linotype" w:eastAsia="Calibri" w:hAnsi="Palatino Linotype" w:cs="Arial"/>
          <w:b/>
          <w:color w:val="000000" w:themeColor="text1"/>
          <w:sz w:val="24"/>
          <w:szCs w:val="24"/>
        </w:rPr>
        <w:t>dos mil veinticinco</w:t>
      </w:r>
      <w:r w:rsidRPr="00B818E7">
        <w:rPr>
          <w:rFonts w:ascii="Palatino Linotype" w:hAnsi="Palatino Linotype"/>
          <w:b/>
          <w:color w:val="000000" w:themeColor="text1"/>
          <w:sz w:val="24"/>
          <w:szCs w:val="24"/>
        </w:rPr>
        <w:t xml:space="preserve">, </w:t>
      </w:r>
      <w:r w:rsidRPr="00B818E7">
        <w:rPr>
          <w:rFonts w:ascii="Palatino Linotype" w:eastAsia="Calibri" w:hAnsi="Palatino Linotype" w:cs="Arial"/>
          <w:color w:val="000000" w:themeColor="text1"/>
          <w:sz w:val="24"/>
          <w:szCs w:val="24"/>
        </w:rPr>
        <w:t xml:space="preserve">se presentó ante el </w:t>
      </w:r>
      <w:r w:rsidRPr="00B818E7">
        <w:rPr>
          <w:rFonts w:ascii="Palatino Linotype" w:eastAsia="Calibri" w:hAnsi="Palatino Linotype" w:cs="Arial"/>
          <w:b/>
          <w:color w:val="000000" w:themeColor="text1"/>
          <w:sz w:val="24"/>
          <w:szCs w:val="24"/>
        </w:rPr>
        <w:t>SUJETO OBLIGADO</w:t>
      </w:r>
      <w:r w:rsidRPr="00B818E7">
        <w:rPr>
          <w:rFonts w:ascii="Palatino Linotype" w:eastAsia="Calibri" w:hAnsi="Palatino Linotype" w:cs="Arial"/>
          <w:color w:val="000000" w:themeColor="text1"/>
          <w:sz w:val="24"/>
          <w:szCs w:val="24"/>
        </w:rPr>
        <w:t xml:space="preserve"> vía </w:t>
      </w:r>
      <w:r w:rsidRPr="00B818E7">
        <w:rPr>
          <w:rFonts w:ascii="Palatino Linotype" w:eastAsia="Calibri" w:hAnsi="Palatino Linotype" w:cs="Arial"/>
          <w:b/>
          <w:color w:val="000000" w:themeColor="text1"/>
          <w:sz w:val="24"/>
          <w:szCs w:val="24"/>
        </w:rPr>
        <w:t>SAIMEX</w:t>
      </w:r>
      <w:r w:rsidRPr="00B818E7">
        <w:rPr>
          <w:rFonts w:ascii="Palatino Linotype" w:eastAsia="Calibri" w:hAnsi="Palatino Linotype" w:cs="Arial"/>
          <w:color w:val="000000" w:themeColor="text1"/>
          <w:sz w:val="24"/>
          <w:szCs w:val="24"/>
        </w:rPr>
        <w:t xml:space="preserve">, la solicitud de información pública registrada con el número </w:t>
      </w:r>
      <w:r w:rsidR="00461FD3" w:rsidRPr="00B818E7">
        <w:rPr>
          <w:rFonts w:ascii="Palatino Linotype" w:hAnsi="Palatino Linotype"/>
          <w:b/>
          <w:bCs/>
          <w:color w:val="000000" w:themeColor="text1"/>
          <w:sz w:val="24"/>
          <w:szCs w:val="24"/>
          <w:lang w:val="es-MX"/>
        </w:rPr>
        <w:t>00420/PJUDICI/IP/2025</w:t>
      </w:r>
      <w:r w:rsidRPr="00B818E7">
        <w:rPr>
          <w:rFonts w:ascii="Palatino Linotype" w:hAnsi="Palatino Linotype"/>
          <w:b/>
          <w:bCs/>
          <w:color w:val="000000" w:themeColor="text1"/>
          <w:sz w:val="24"/>
          <w:szCs w:val="24"/>
          <w:lang w:val="es-MX"/>
        </w:rPr>
        <w:t>,</w:t>
      </w:r>
      <w:r w:rsidR="00461FD3" w:rsidRPr="00B818E7">
        <w:rPr>
          <w:rFonts w:ascii="Palatino Linotype" w:hAnsi="Palatino Linotype"/>
          <w:b/>
          <w:bCs/>
          <w:color w:val="000000" w:themeColor="text1"/>
          <w:sz w:val="24"/>
          <w:szCs w:val="24"/>
          <w:lang w:val="es-MX"/>
        </w:rPr>
        <w:t xml:space="preserve"> </w:t>
      </w:r>
      <w:r w:rsidR="00461FD3" w:rsidRPr="00B818E7">
        <w:rPr>
          <w:rFonts w:ascii="Palatino Linotype" w:hAnsi="Palatino Linotype"/>
          <w:bCs/>
          <w:color w:val="000000" w:themeColor="text1"/>
          <w:sz w:val="24"/>
          <w:szCs w:val="24"/>
          <w:lang w:val="es-MX"/>
        </w:rPr>
        <w:t xml:space="preserve">sin embargo el sistema tomo el ingreso de la solicitud de información el </w:t>
      </w:r>
      <w:r w:rsidR="00461FD3" w:rsidRPr="00B818E7">
        <w:rPr>
          <w:rFonts w:ascii="Palatino Linotype" w:hAnsi="Palatino Linotype"/>
          <w:b/>
          <w:bCs/>
          <w:color w:val="000000" w:themeColor="text1"/>
          <w:sz w:val="24"/>
          <w:szCs w:val="24"/>
          <w:lang w:val="es-MX"/>
        </w:rPr>
        <w:t xml:space="preserve">veintiocho de abril subsecuente, </w:t>
      </w:r>
      <w:r w:rsidR="00461FD3" w:rsidRPr="00B818E7">
        <w:rPr>
          <w:rFonts w:ascii="Palatino Linotype" w:hAnsi="Palatino Linotype"/>
          <w:bCs/>
          <w:color w:val="000000" w:themeColor="text1"/>
          <w:sz w:val="24"/>
          <w:szCs w:val="24"/>
          <w:lang w:val="es-MX"/>
        </w:rPr>
        <w:t xml:space="preserve">toda vez que el día que promovió fue domingo, de lo solicitado </w:t>
      </w:r>
      <w:r w:rsidRPr="00B818E7">
        <w:rPr>
          <w:rFonts w:ascii="Palatino Linotype" w:hAnsi="Palatino Linotype"/>
          <w:bCs/>
          <w:color w:val="000000" w:themeColor="text1"/>
          <w:sz w:val="24"/>
          <w:szCs w:val="24"/>
          <w:lang w:val="es-MX"/>
        </w:rPr>
        <w:t xml:space="preserve">se pretende acceder </w:t>
      </w:r>
      <w:r w:rsidR="00461FD3" w:rsidRPr="00B818E7">
        <w:rPr>
          <w:rFonts w:ascii="Palatino Linotype" w:hAnsi="Palatino Linotype"/>
          <w:bCs/>
          <w:color w:val="000000" w:themeColor="text1"/>
          <w:sz w:val="24"/>
          <w:szCs w:val="24"/>
          <w:lang w:val="es-MX"/>
        </w:rPr>
        <w:t>a lo siguiente</w:t>
      </w:r>
      <w:r w:rsidRPr="00B818E7">
        <w:rPr>
          <w:rFonts w:ascii="Palatino Linotype" w:eastAsia="Calibri" w:hAnsi="Palatino Linotype" w:cs="Arial"/>
          <w:color w:val="000000" w:themeColor="text1"/>
          <w:sz w:val="24"/>
          <w:szCs w:val="24"/>
        </w:rPr>
        <w:t>:</w:t>
      </w:r>
    </w:p>
    <w:p w:rsidR="00E2175B" w:rsidRPr="00B818E7" w:rsidRDefault="00E2175B" w:rsidP="00B818E7">
      <w:pPr>
        <w:jc w:val="both"/>
        <w:rPr>
          <w:rFonts w:ascii="Palatino Linotype" w:eastAsia="Calibri" w:hAnsi="Palatino Linotype" w:cs="Arial"/>
          <w:bCs/>
          <w:i/>
          <w:color w:val="000000" w:themeColor="text1"/>
        </w:rPr>
      </w:pPr>
    </w:p>
    <w:p w:rsidR="00E2175B" w:rsidRPr="00B818E7" w:rsidRDefault="00E2175B" w:rsidP="00B818E7">
      <w:pPr>
        <w:pStyle w:val="Prrafodelista"/>
        <w:ind w:left="0"/>
        <w:jc w:val="both"/>
        <w:rPr>
          <w:rFonts w:ascii="Palatino Linotype" w:eastAsia="Calibri" w:hAnsi="Palatino Linotype" w:cs="Arial"/>
          <w:bCs/>
          <w:i/>
          <w:color w:val="000000" w:themeColor="text1"/>
          <w:sz w:val="24"/>
          <w:szCs w:val="24"/>
          <w:lang w:val="es-MX"/>
        </w:rPr>
      </w:pPr>
      <w:r w:rsidRPr="00B818E7">
        <w:rPr>
          <w:rFonts w:ascii="Palatino Linotype" w:eastAsia="Calibri" w:hAnsi="Palatino Linotype" w:cs="Arial"/>
          <w:bCs/>
          <w:i/>
          <w:color w:val="000000" w:themeColor="text1"/>
          <w:sz w:val="24"/>
          <w:szCs w:val="24"/>
          <w:lang w:val="es-MX"/>
        </w:rPr>
        <w:t>“</w:t>
      </w:r>
      <w:r w:rsidR="00E961D0" w:rsidRPr="00B818E7">
        <w:rPr>
          <w:rFonts w:ascii="Palatino Linotype" w:eastAsia="Calibri" w:hAnsi="Palatino Linotype" w:cs="Arial"/>
          <w:bCs/>
          <w:i/>
          <w:color w:val="000000" w:themeColor="text1"/>
          <w:sz w:val="24"/>
          <w:szCs w:val="24"/>
          <w:lang w:val="es-MX"/>
        </w:rPr>
        <w:t>Requiero los exámenes con las respuestas correctas que se aplicaron en la evaluación para seleccionar a CONCURSO DE OPOSICIÓN PARA ACTUARIA O ACTUARIO EN LAS MATERIAS CIVIL Y PENAL (Aspirantes Libres y de Exigencia Legal) Entre ellos requiero: EXAMEN ESCRITO DE CONOCIMIENTOS TEÓRICO-JURÍDICOS EXAMEN DE CONOCIMIENTOS PRÁCTICO JURÍDICOS EXAMEN ORAL DE CONOCIMIENTOS TEÓRICO-PRÁCTICO-JURIDICOS Cabe señalar que el examen no está por realizarse ni en trámite, por lo que no es susceptible de clasificarse como reservado.</w:t>
      </w:r>
      <w:r w:rsidRPr="00B818E7">
        <w:rPr>
          <w:rFonts w:ascii="Palatino Linotype" w:eastAsia="Calibri" w:hAnsi="Palatino Linotype" w:cs="Arial"/>
          <w:bCs/>
          <w:i/>
          <w:color w:val="000000" w:themeColor="text1"/>
          <w:sz w:val="24"/>
          <w:szCs w:val="24"/>
          <w:lang w:val="es-MX"/>
        </w:rPr>
        <w:t>.”</w:t>
      </w:r>
    </w:p>
    <w:p w:rsidR="00E2175B" w:rsidRPr="00B818E7" w:rsidRDefault="00E2175B" w:rsidP="00B818E7">
      <w:pPr>
        <w:pStyle w:val="Prrafodelista"/>
        <w:ind w:left="0"/>
        <w:jc w:val="both"/>
        <w:rPr>
          <w:rFonts w:ascii="Palatino Linotype" w:eastAsia="Calibri" w:hAnsi="Palatino Linotype" w:cs="Arial"/>
          <w:bCs/>
          <w:i/>
          <w:color w:val="000000" w:themeColor="text1"/>
          <w:sz w:val="24"/>
          <w:szCs w:val="24"/>
          <w:lang w:val="es-MX"/>
        </w:rPr>
      </w:pPr>
    </w:p>
    <w:p w:rsidR="00E2175B" w:rsidRDefault="00E2175B" w:rsidP="00B818E7">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B818E7">
        <w:rPr>
          <w:rFonts w:ascii="Palatino Linotype" w:eastAsia="Calibri" w:hAnsi="Palatino Linotype" w:cs="Arial"/>
          <w:b/>
          <w:color w:val="000000" w:themeColor="text1"/>
          <w:sz w:val="24"/>
          <w:szCs w:val="24"/>
        </w:rPr>
        <w:t>Modalidad de entrega</w:t>
      </w:r>
      <w:r w:rsidRPr="00B818E7">
        <w:rPr>
          <w:rFonts w:ascii="Palatino Linotype" w:eastAsia="Calibri" w:hAnsi="Palatino Linotype" w:cs="Arial"/>
          <w:color w:val="000000" w:themeColor="text1"/>
          <w:sz w:val="24"/>
          <w:szCs w:val="24"/>
        </w:rPr>
        <w:t xml:space="preserve">: Sistema de Acceso a la Información </w:t>
      </w:r>
    </w:p>
    <w:p w:rsidR="00E2175B" w:rsidRPr="00B818E7" w:rsidRDefault="00E2175B" w:rsidP="00B818E7">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B818E7">
        <w:rPr>
          <w:rFonts w:ascii="Palatino Linotype" w:eastAsiaTheme="minorEastAsia" w:hAnsi="Palatino Linotype" w:cs="Arial"/>
          <w:color w:val="000000" w:themeColor="text1"/>
          <w:sz w:val="24"/>
          <w:szCs w:val="24"/>
          <w:lang w:val="es-ES_tradnl"/>
        </w:rPr>
        <w:lastRenderedPageBreak/>
        <w:t xml:space="preserve">En fecha </w:t>
      </w:r>
      <w:r w:rsidR="00E961D0" w:rsidRPr="00B818E7">
        <w:rPr>
          <w:rFonts w:ascii="Palatino Linotype" w:eastAsiaTheme="minorEastAsia" w:hAnsi="Palatino Linotype" w:cs="Arial"/>
          <w:b/>
          <w:color w:val="000000" w:themeColor="text1"/>
          <w:sz w:val="24"/>
          <w:szCs w:val="24"/>
          <w:lang w:val="es-ES_tradnl"/>
        </w:rPr>
        <w:t xml:space="preserve">veintiuno de mayo </w:t>
      </w:r>
      <w:r w:rsidRPr="00B818E7">
        <w:rPr>
          <w:rFonts w:ascii="Palatino Linotype" w:eastAsiaTheme="minorEastAsia" w:hAnsi="Palatino Linotype" w:cs="Arial"/>
          <w:b/>
          <w:color w:val="000000" w:themeColor="text1"/>
          <w:sz w:val="24"/>
          <w:szCs w:val="24"/>
          <w:lang w:val="es-ES_tradnl"/>
        </w:rPr>
        <w:t>de dos mil veinticinco,</w:t>
      </w:r>
      <w:r w:rsidRPr="00B818E7">
        <w:rPr>
          <w:rFonts w:ascii="Palatino Linotype" w:eastAsiaTheme="minorEastAsia" w:hAnsi="Palatino Linotype" w:cs="Arial"/>
          <w:color w:val="000000" w:themeColor="text1"/>
          <w:sz w:val="24"/>
          <w:szCs w:val="24"/>
          <w:lang w:val="es-ES_tradnl"/>
        </w:rPr>
        <w:t xml:space="preserve"> el </w:t>
      </w:r>
      <w:r w:rsidRPr="00B818E7">
        <w:rPr>
          <w:rFonts w:ascii="Palatino Linotype" w:eastAsiaTheme="minorEastAsia" w:hAnsi="Palatino Linotype" w:cs="Arial"/>
          <w:b/>
          <w:color w:val="000000" w:themeColor="text1"/>
          <w:sz w:val="24"/>
          <w:szCs w:val="24"/>
          <w:lang w:val="es-ES_tradnl"/>
        </w:rPr>
        <w:t xml:space="preserve">SUJETO OBLIGADO </w:t>
      </w:r>
      <w:r w:rsidRPr="00B818E7">
        <w:rPr>
          <w:rFonts w:ascii="Palatino Linotype" w:eastAsiaTheme="minorEastAsia" w:hAnsi="Palatino Linotype" w:cs="Arial"/>
          <w:color w:val="000000" w:themeColor="text1"/>
          <w:sz w:val="24"/>
          <w:szCs w:val="24"/>
          <w:lang w:val="es-ES_tradnl"/>
        </w:rPr>
        <w:t>dio respuesta a la solicitud de información mediante un archivo electrónico en formato pdf, cuyo contenido grosso modo es el siguiente</w:t>
      </w:r>
      <w:r w:rsidRPr="00B818E7">
        <w:rPr>
          <w:rFonts w:ascii="Palatino Linotype" w:hAnsi="Palatino Linotype"/>
          <w:bCs/>
          <w:color w:val="000000" w:themeColor="text1"/>
          <w:sz w:val="24"/>
          <w:szCs w:val="24"/>
          <w:lang w:val="es-MX"/>
        </w:rPr>
        <w:t xml:space="preserve">. </w:t>
      </w:r>
    </w:p>
    <w:p w:rsidR="00E2175B" w:rsidRPr="00B818E7" w:rsidRDefault="00E961D0" w:rsidP="00B818E7">
      <w:pPr>
        <w:jc w:val="both"/>
        <w:rPr>
          <w:rFonts w:ascii="Palatino Linotype" w:eastAsia="Calibri" w:hAnsi="Palatino Linotype" w:cs="Arial"/>
          <w:bCs/>
          <w:i/>
          <w:color w:val="000000" w:themeColor="text1"/>
          <w:lang w:eastAsia="en-US"/>
        </w:rPr>
      </w:pPr>
      <w:r w:rsidRPr="00B818E7">
        <w:rPr>
          <w:rFonts w:ascii="Palatino Linotype" w:eastAsia="Calibri" w:hAnsi="Palatino Linotype" w:cs="Arial"/>
          <w:b/>
          <w:bCs/>
          <w:i/>
          <w:color w:val="000000" w:themeColor="text1"/>
          <w:lang w:eastAsia="en-US"/>
        </w:rPr>
        <w:t xml:space="preserve">RESPUESTA 420-2025.pdf: </w:t>
      </w:r>
      <w:r w:rsidRPr="00B818E7">
        <w:rPr>
          <w:rFonts w:ascii="Palatino Linotype" w:eastAsia="Calibri" w:hAnsi="Palatino Linotype" w:cs="Arial"/>
          <w:bCs/>
          <w:i/>
          <w:color w:val="000000" w:themeColor="text1"/>
          <w:lang w:eastAsia="en-US"/>
        </w:rPr>
        <w:t xml:space="preserve">oficio del Titular de la Unidad de Transparencia, mediante el cual informa que la Coordinadora General de Información, refiere lo siguiente. </w:t>
      </w:r>
    </w:p>
    <w:p w:rsidR="00E961D0" w:rsidRPr="00B818E7" w:rsidRDefault="00E961D0" w:rsidP="00B818E7">
      <w:pPr>
        <w:jc w:val="both"/>
        <w:rPr>
          <w:rFonts w:ascii="Palatino Linotype" w:eastAsia="Calibri" w:hAnsi="Palatino Linotype" w:cs="Arial"/>
          <w:b/>
          <w:bCs/>
          <w:i/>
          <w:color w:val="000000" w:themeColor="text1"/>
          <w:lang w:eastAsia="en-US"/>
        </w:rPr>
      </w:pPr>
      <w:r w:rsidRPr="00B818E7">
        <w:rPr>
          <w:rFonts w:ascii="Palatino Linotype" w:eastAsia="Calibri" w:hAnsi="Palatino Linotype" w:cs="Arial"/>
          <w:bCs/>
          <w:i/>
          <w:color w:val="000000" w:themeColor="text1"/>
          <w:lang w:eastAsia="en-US"/>
        </w:rPr>
        <w:t xml:space="preserve">Los exámenes Escrito de Conocimientos Teórico-Jurídicos y de Conocimientos Práctico Jurídicos aplicados </w:t>
      </w:r>
      <w:r w:rsidRPr="00B818E7">
        <w:rPr>
          <w:rFonts w:ascii="Palatino Linotype" w:eastAsia="Calibri" w:hAnsi="Palatino Linotype" w:cs="Arial"/>
          <w:b/>
          <w:bCs/>
          <w:i/>
          <w:color w:val="000000" w:themeColor="text1"/>
          <w:lang w:eastAsia="en-US"/>
        </w:rPr>
        <w:t xml:space="preserve">en los concursos de oposición de carrera judicial se integran a partir de bancos de reactivos y casos concretos, respectivamente, que son susceptibles de ser reutilizados aleatoriamente en distintos procesos de evaluación, por lo que la divulgación de preguntas y respuestas correctas puede generar un perjuicio al interés público, toda vez que dichos procesos encuadran en dicha categoría. Por tanto, la difusión de preguntas y respuestas correctas de los exámenes implica que, para futuros procesos, haya participantes que las conocen anticipadamente, menoscabando principios básicos de equidad e igualdad en los procesos evaluativos. </w:t>
      </w:r>
    </w:p>
    <w:p w:rsidR="00E961D0" w:rsidRPr="00B818E7" w:rsidRDefault="00E961D0" w:rsidP="00B818E7">
      <w:pPr>
        <w:jc w:val="both"/>
        <w:rPr>
          <w:rFonts w:ascii="Palatino Linotype" w:eastAsia="Calibri" w:hAnsi="Palatino Linotype" w:cs="Arial"/>
          <w:bCs/>
          <w:i/>
          <w:color w:val="000000" w:themeColor="text1"/>
          <w:lang w:eastAsia="en-US"/>
        </w:rPr>
      </w:pPr>
      <w:r w:rsidRPr="00B818E7">
        <w:rPr>
          <w:rFonts w:ascii="Palatino Linotype" w:eastAsia="Calibri" w:hAnsi="Palatino Linotype" w:cs="Arial"/>
          <w:bCs/>
          <w:i/>
          <w:color w:val="000000" w:themeColor="text1"/>
          <w:lang w:eastAsia="en-US"/>
        </w:rPr>
        <w:t>La integración de dichos bancos requiere de procesos de alta especialidad y actualización para garantizar su consistencia y validez teórica, práctica y pedagógica. La divulgación de los exámenes y sus respuestas correctas, anularía de facto una pertinente reutilización de las preguntas y casos que los conforman.</w:t>
      </w:r>
    </w:p>
    <w:p w:rsidR="00E961D0" w:rsidRPr="00B818E7" w:rsidRDefault="00E961D0" w:rsidP="00B818E7">
      <w:pPr>
        <w:jc w:val="both"/>
        <w:rPr>
          <w:rFonts w:ascii="Palatino Linotype" w:eastAsia="Calibri" w:hAnsi="Palatino Linotype" w:cs="Arial"/>
          <w:bCs/>
          <w:i/>
          <w:color w:val="000000" w:themeColor="text1"/>
          <w:lang w:eastAsia="en-US"/>
        </w:rPr>
      </w:pPr>
      <w:r w:rsidRPr="00B818E7">
        <w:rPr>
          <w:rFonts w:ascii="Palatino Linotype" w:eastAsia="Calibri" w:hAnsi="Palatino Linotype" w:cs="Arial"/>
          <w:bCs/>
          <w:i/>
          <w:color w:val="000000" w:themeColor="text1"/>
          <w:lang w:eastAsia="en-US"/>
        </w:rPr>
        <w:t>Para las designaciones a los cargos de Carrera Judicial en Poder Judicial del Estado de México, es requisito presentar y acreditar el Concurso de Oposición correspondiente, lo cual constituye un proceso de interés público. Por tanto, si se divulgan las preguntas y respuestas correctas de tos exámenes, puede derivar en que personas concursantes conozcan de ellas con antelación, lo cual generaría desigualdad y desventaja e</w:t>
      </w:r>
      <w:bookmarkStart w:id="4" w:name="_GoBack"/>
      <w:bookmarkEnd w:id="4"/>
      <w:r w:rsidRPr="00B818E7">
        <w:rPr>
          <w:rFonts w:ascii="Palatino Linotype" w:eastAsia="Calibri" w:hAnsi="Palatino Linotype" w:cs="Arial"/>
          <w:bCs/>
          <w:i/>
          <w:color w:val="000000" w:themeColor="text1"/>
          <w:lang w:eastAsia="en-US"/>
        </w:rPr>
        <w:t xml:space="preserve">n las evaluaciones y, con ello, afectar las condiciones de equidad que deben prevalecer, en concordancia con el interés público. </w:t>
      </w:r>
    </w:p>
    <w:p w:rsidR="00E961D0" w:rsidRPr="00B818E7" w:rsidRDefault="00E961D0" w:rsidP="00B818E7">
      <w:pPr>
        <w:jc w:val="both"/>
        <w:rPr>
          <w:rFonts w:ascii="Palatino Linotype" w:eastAsia="Calibri" w:hAnsi="Palatino Linotype" w:cs="Arial"/>
          <w:bCs/>
          <w:i/>
          <w:color w:val="000000" w:themeColor="text1"/>
          <w:lang w:eastAsia="en-US"/>
        </w:rPr>
      </w:pPr>
      <w:r w:rsidRPr="00B818E7">
        <w:rPr>
          <w:rFonts w:ascii="Palatino Linotype" w:eastAsia="Calibri" w:hAnsi="Palatino Linotype" w:cs="Arial"/>
          <w:bCs/>
          <w:i/>
          <w:color w:val="000000" w:themeColor="text1"/>
          <w:lang w:eastAsia="en-US"/>
        </w:rPr>
        <w:t xml:space="preserve"> En cuanto a los Exámenes de Conocimientos Práctico-Jurídicos, éstos se diseñan con base en expedientes de casos reales que suelen contener datos personales de las partes involucradas y sus representantes susceptibles de ser identificables, cuya divulgación podría afectar la esfera privada de los mismos. Por lo que respecta al Examen Oral de Conocimientos Teórico-Práctico-Jurídicos, toda vez que se trata de una evaluación que aplica un cuerpo colegiado de personas expertas constituido en jurado con plena autonomía aplicativa y deliberativa, no existe un diseño previo, especifico y único de preguntas y respuestas, al tratarse de un proceso libre y abierto de réplica y contrarréplica</w:t>
      </w:r>
    </w:p>
    <w:p w:rsidR="00E2175B" w:rsidRDefault="00E2175B" w:rsidP="00B818E7">
      <w:pPr>
        <w:jc w:val="both"/>
        <w:rPr>
          <w:rFonts w:ascii="Palatino Linotype" w:eastAsia="Calibri" w:hAnsi="Palatino Linotype" w:cs="Arial"/>
          <w:color w:val="000000" w:themeColor="text1"/>
          <w:lang w:val="es-AR"/>
        </w:rPr>
      </w:pPr>
    </w:p>
    <w:p w:rsidR="00EB4BF7" w:rsidRPr="00B818E7" w:rsidRDefault="00EB4BF7" w:rsidP="00B818E7">
      <w:pPr>
        <w:jc w:val="both"/>
        <w:rPr>
          <w:rFonts w:ascii="Palatino Linotype" w:eastAsia="Calibri" w:hAnsi="Palatino Linotype" w:cs="Arial"/>
          <w:color w:val="000000" w:themeColor="text1"/>
          <w:lang w:val="es-AR"/>
        </w:rPr>
      </w:pPr>
    </w:p>
    <w:p w:rsidR="00E2175B" w:rsidRPr="00B818E7" w:rsidRDefault="00E2175B" w:rsidP="00B818E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18E7">
        <w:rPr>
          <w:rFonts w:ascii="Palatino Linotype" w:eastAsia="Calibri" w:hAnsi="Palatino Linotype" w:cs="Arial"/>
          <w:color w:val="000000" w:themeColor="text1"/>
          <w:sz w:val="24"/>
          <w:szCs w:val="24"/>
          <w:lang w:val="es-AR"/>
        </w:rPr>
        <w:lastRenderedPageBreak/>
        <w:t xml:space="preserve">El </w:t>
      </w:r>
      <w:r w:rsidR="00E961D0" w:rsidRPr="00B818E7">
        <w:rPr>
          <w:rFonts w:ascii="Palatino Linotype" w:eastAsia="Calibri" w:hAnsi="Palatino Linotype" w:cs="Arial"/>
          <w:b/>
          <w:color w:val="000000" w:themeColor="text1"/>
          <w:sz w:val="24"/>
          <w:szCs w:val="24"/>
          <w:lang w:val="es-AR"/>
        </w:rPr>
        <w:t xml:space="preserve">veintisiete de mayo </w:t>
      </w:r>
      <w:r w:rsidRPr="00B818E7">
        <w:rPr>
          <w:rFonts w:ascii="Palatino Linotype" w:eastAsia="Calibri" w:hAnsi="Palatino Linotype" w:cs="Arial"/>
          <w:b/>
          <w:color w:val="000000" w:themeColor="text1"/>
          <w:sz w:val="24"/>
          <w:szCs w:val="24"/>
          <w:lang w:val="es-AR"/>
        </w:rPr>
        <w:t>dos mil veinticinco</w:t>
      </w:r>
      <w:r w:rsidRPr="00B818E7">
        <w:rPr>
          <w:rFonts w:ascii="Palatino Linotype" w:hAnsi="Palatino Linotype"/>
          <w:color w:val="000000" w:themeColor="text1"/>
          <w:sz w:val="24"/>
          <w:szCs w:val="24"/>
        </w:rPr>
        <w:t xml:space="preserve">, el solicitante interpuso recurso de revisión en la solicitud de información </w:t>
      </w:r>
      <w:r w:rsidR="00461FD3" w:rsidRPr="00B818E7">
        <w:rPr>
          <w:rStyle w:val="Hipervnculo"/>
          <w:rFonts w:ascii="Palatino Linotype" w:hAnsi="Palatino Linotype"/>
          <w:b/>
          <w:bCs/>
          <w:color w:val="000000" w:themeColor="text1"/>
          <w:sz w:val="24"/>
          <w:szCs w:val="24"/>
          <w:u w:val="none"/>
          <w:lang w:val="es-MX"/>
        </w:rPr>
        <w:t>00420/PJUDICI/IP/2025</w:t>
      </w:r>
      <w:r w:rsidRPr="00B818E7">
        <w:rPr>
          <w:rStyle w:val="Hipervnculo"/>
          <w:rFonts w:ascii="Palatino Linotype" w:hAnsi="Palatino Linotype"/>
          <w:b/>
          <w:bCs/>
          <w:color w:val="000000" w:themeColor="text1"/>
          <w:sz w:val="24"/>
          <w:szCs w:val="24"/>
          <w:lang w:val="es-MX"/>
        </w:rPr>
        <w:t xml:space="preserve">, </w:t>
      </w:r>
      <w:r w:rsidRPr="00B818E7">
        <w:rPr>
          <w:rFonts w:ascii="Palatino Linotype" w:hAnsi="Palatino Linotype"/>
          <w:color w:val="000000" w:themeColor="text1"/>
          <w:sz w:val="24"/>
          <w:szCs w:val="24"/>
        </w:rPr>
        <w:t xml:space="preserve">en contra de la respuesta emitida por el </w:t>
      </w:r>
      <w:r w:rsidRPr="00B818E7">
        <w:rPr>
          <w:rFonts w:ascii="Palatino Linotype" w:hAnsi="Palatino Linotype"/>
          <w:b/>
          <w:color w:val="000000" w:themeColor="text1"/>
          <w:sz w:val="24"/>
          <w:szCs w:val="24"/>
        </w:rPr>
        <w:t>SUJETO OBLIGADO</w:t>
      </w:r>
      <w:r w:rsidRPr="00B818E7">
        <w:rPr>
          <w:rFonts w:ascii="Palatino Linotype" w:hAnsi="Palatino Linotype" w:cs="Arial"/>
          <w:color w:val="000000" w:themeColor="text1"/>
          <w:sz w:val="24"/>
          <w:szCs w:val="24"/>
        </w:rPr>
        <w:t>, señalando las siguientes razones o motivos de inconformidad:</w:t>
      </w:r>
    </w:p>
    <w:p w:rsidR="00E2175B" w:rsidRPr="00B818E7" w:rsidRDefault="00E2175B" w:rsidP="00B818E7">
      <w:pPr>
        <w:pStyle w:val="Prrafodelista"/>
        <w:ind w:left="0"/>
        <w:jc w:val="both"/>
        <w:rPr>
          <w:rFonts w:ascii="Palatino Linotype" w:hAnsi="Palatino Linotype"/>
          <w:color w:val="000000" w:themeColor="text1"/>
          <w:sz w:val="24"/>
          <w:szCs w:val="24"/>
        </w:rPr>
      </w:pPr>
    </w:p>
    <w:p w:rsidR="00E2175B" w:rsidRPr="00B818E7" w:rsidRDefault="00E2175B" w:rsidP="00B818E7">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5" w:name="_Toc466982514"/>
      <w:bookmarkStart w:id="6" w:name="_Toc51854302"/>
      <w:bookmarkStart w:id="7" w:name="_Toc53584976"/>
      <w:bookmarkStart w:id="8" w:name="_Toc60925403"/>
      <w:bookmarkStart w:id="9" w:name="_Toc81364833"/>
      <w:bookmarkStart w:id="10" w:name="_Toc81390610"/>
      <w:bookmarkStart w:id="11" w:name="_Toc82611033"/>
      <w:bookmarkStart w:id="12" w:name="_Toc83128576"/>
      <w:bookmarkStart w:id="13" w:name="_Toc27589208"/>
      <w:bookmarkStart w:id="14" w:name="_Toc29395022"/>
      <w:bookmarkStart w:id="15" w:name="_Toc29481467"/>
      <w:bookmarkStart w:id="16" w:name="_Toc33113911"/>
      <w:bookmarkStart w:id="17" w:name="_Toc33643059"/>
      <w:bookmarkStart w:id="18" w:name="_Toc33724991"/>
      <w:bookmarkStart w:id="19" w:name="_Toc33726434"/>
      <w:bookmarkStart w:id="20" w:name="_Toc34157662"/>
      <w:bookmarkStart w:id="21" w:name="_Toc35003615"/>
      <w:bookmarkStart w:id="22" w:name="_Toc35535691"/>
      <w:bookmarkStart w:id="23" w:name="_Toc5126252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bookmarkStart w:id="70" w:name="_Hlk177920448"/>
      <w:r w:rsidRPr="00B818E7">
        <w:rPr>
          <w:rStyle w:val="Ttulo2Car"/>
          <w:rFonts w:ascii="Palatino Linotype" w:hAnsi="Palatino Linotype"/>
          <w:b/>
          <w:color w:val="000000" w:themeColor="text1"/>
          <w:sz w:val="24"/>
          <w:szCs w:val="24"/>
        </w:rPr>
        <w:t>Acto impugnado</w:t>
      </w:r>
      <w:bookmarkEnd w:id="5"/>
      <w:r w:rsidRPr="00B818E7">
        <w:rPr>
          <w:rStyle w:val="Ttulo2Car"/>
          <w:rFonts w:ascii="Palatino Linotype" w:hAnsi="Palatino Linotype"/>
          <w:b/>
          <w:color w:val="000000" w:themeColor="text1"/>
          <w:sz w:val="24"/>
          <w:szCs w:val="24"/>
        </w:rPr>
        <w:t xml:space="preserve">: </w:t>
      </w:r>
      <w:r w:rsidRPr="00B818E7">
        <w:rPr>
          <w:rStyle w:val="Ttulo2Car"/>
          <w:rFonts w:ascii="Palatino Linotype" w:hAnsi="Palatino Linotype"/>
          <w:i/>
          <w:color w:val="000000" w:themeColor="text1"/>
          <w:sz w:val="24"/>
          <w:szCs w:val="24"/>
        </w:rPr>
        <w:t>“</w:t>
      </w:r>
      <w:bookmarkEnd w:id="6"/>
      <w:bookmarkEnd w:id="7"/>
      <w:bookmarkEnd w:id="8"/>
      <w:bookmarkEnd w:id="9"/>
      <w:bookmarkEnd w:id="10"/>
      <w:bookmarkEnd w:id="11"/>
      <w:bookmarkEnd w:id="12"/>
      <w:r w:rsidR="00E961D0" w:rsidRPr="00B818E7">
        <w:rPr>
          <w:rFonts w:ascii="Palatino Linotype" w:eastAsiaTheme="majorEastAsia" w:hAnsi="Palatino Linotype" w:cstheme="majorBidi"/>
          <w:i/>
          <w:color w:val="000000" w:themeColor="text1"/>
          <w:sz w:val="24"/>
          <w:szCs w:val="24"/>
          <w:lang w:val="es-MX"/>
        </w:rPr>
        <w:t>no se entrega la informacion que se solicita, de igual forma la solicitud de información se refiere al ultimo examen que fue aplicado en este año para la vacante de CONCURSO DE OPOSICIÓN PARA ACTUARIA O ACTUARIO EN LAS MATERIAS CIVIL Y PENAL (Aspirantes Libres y de Exigencia Legal), de igual forma se le pide al pleno del infoem que realice la suplencia de la queja asi como el control difuso en sentido amplio o estricto, control de convencionalidad, interpretacion conforme y el test de proporcionalidad, con la finalidad de que mi derecho humano no sea transgredido por la manifestación negativa de una autoridad, negando arbitrariamente y sin justificación el acceso a esa información que es de interés publico y de certeza ciudadana.</w:t>
      </w:r>
      <w:r w:rsidRPr="00B818E7">
        <w:rPr>
          <w:rStyle w:val="Ttulo2Car"/>
          <w:rFonts w:ascii="Palatino Linotype" w:hAnsi="Palatino Linotype"/>
          <w:i/>
          <w:color w:val="000000" w:themeColor="text1"/>
          <w:sz w:val="24"/>
          <w:szCs w:val="24"/>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E2175B" w:rsidRPr="00B818E7" w:rsidRDefault="00E2175B" w:rsidP="00B818E7">
      <w:pPr>
        <w:pStyle w:val="Prrafodelista"/>
        <w:ind w:left="0"/>
        <w:contextualSpacing/>
        <w:jc w:val="both"/>
        <w:rPr>
          <w:rStyle w:val="Ttulo2Car"/>
          <w:rFonts w:ascii="Palatino Linotype" w:hAnsi="Palatino Linotype"/>
          <w:i/>
          <w:color w:val="000000" w:themeColor="text1"/>
          <w:sz w:val="24"/>
          <w:szCs w:val="24"/>
        </w:rPr>
      </w:pPr>
    </w:p>
    <w:p w:rsidR="00E2175B" w:rsidRPr="00B818E7" w:rsidRDefault="00E2175B" w:rsidP="00B818E7">
      <w:pPr>
        <w:pStyle w:val="Prrafodelista"/>
        <w:numPr>
          <w:ilvl w:val="0"/>
          <w:numId w:val="6"/>
        </w:numPr>
        <w:ind w:left="0" w:firstLine="0"/>
        <w:contextualSpacing/>
        <w:jc w:val="both"/>
        <w:rPr>
          <w:rFonts w:ascii="Palatino Linotype" w:hAnsi="Palatino Linotype"/>
          <w:i/>
          <w:color w:val="000000" w:themeColor="text1"/>
          <w:sz w:val="24"/>
          <w:szCs w:val="24"/>
        </w:rPr>
      </w:pPr>
      <w:bookmarkStart w:id="130" w:name="_Toc53584977"/>
      <w:bookmarkStart w:id="131" w:name="_Toc60925404"/>
      <w:bookmarkStart w:id="132" w:name="_Toc81364834"/>
      <w:bookmarkStart w:id="133" w:name="_Toc81390611"/>
      <w:bookmarkStart w:id="134" w:name="_Toc82611034"/>
      <w:bookmarkStart w:id="135" w:name="_Toc83128577"/>
      <w:r w:rsidRPr="00B818E7">
        <w:rPr>
          <w:rStyle w:val="Ttulo2Car"/>
          <w:rFonts w:ascii="Palatino Linotype" w:hAnsi="Palatino Linotype"/>
          <w:b/>
          <w:color w:val="000000" w:themeColor="text1"/>
          <w:sz w:val="24"/>
          <w:szCs w:val="24"/>
        </w:rPr>
        <w:t>Razones o Motivos de inconformidad:</w:t>
      </w:r>
      <w:bookmarkEnd w:id="71"/>
      <w:bookmarkEnd w:id="130"/>
      <w:bookmarkEnd w:id="131"/>
      <w:bookmarkEnd w:id="132"/>
      <w:bookmarkEnd w:id="133"/>
      <w:bookmarkEnd w:id="134"/>
      <w:bookmarkEnd w:id="135"/>
      <w:r w:rsidRPr="00B818E7">
        <w:rPr>
          <w:rFonts w:ascii="Palatino Linotype" w:hAnsi="Palatino Linotype"/>
          <w:b/>
          <w:color w:val="000000" w:themeColor="text1"/>
          <w:sz w:val="24"/>
          <w:szCs w:val="24"/>
        </w:rPr>
        <w:t xml:space="preserve"> </w:t>
      </w:r>
      <w:r w:rsidRPr="00B818E7">
        <w:rPr>
          <w:rFonts w:ascii="Palatino Linotype" w:hAnsi="Palatino Linotype"/>
          <w:i/>
          <w:color w:val="000000" w:themeColor="text1"/>
          <w:sz w:val="24"/>
          <w:szCs w:val="24"/>
        </w:rPr>
        <w:t>“</w:t>
      </w:r>
      <w:r w:rsidR="00E961D0" w:rsidRPr="00B818E7">
        <w:rPr>
          <w:rFonts w:ascii="Palatino Linotype" w:hAnsi="Palatino Linotype"/>
          <w:i/>
          <w:color w:val="000000" w:themeColor="text1"/>
          <w:sz w:val="24"/>
          <w:szCs w:val="24"/>
          <w:lang w:val="es-MX"/>
        </w:rPr>
        <w:t>no entrego la informacion</w:t>
      </w:r>
      <w:r w:rsidRPr="00B818E7">
        <w:rPr>
          <w:rFonts w:ascii="Palatino Linotype" w:hAnsi="Palatino Linotype"/>
          <w:i/>
          <w:color w:val="000000" w:themeColor="text1"/>
          <w:sz w:val="24"/>
          <w:szCs w:val="24"/>
          <w:lang w:val="es-MX"/>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E2175B" w:rsidRPr="00B818E7" w:rsidRDefault="00E2175B" w:rsidP="00B818E7">
      <w:pPr>
        <w:pStyle w:val="Prrafodelista"/>
        <w:spacing w:line="360" w:lineRule="auto"/>
        <w:ind w:left="0"/>
        <w:jc w:val="both"/>
        <w:rPr>
          <w:rFonts w:ascii="Palatino Linotype" w:hAnsi="Palatino Linotype"/>
          <w:bCs/>
          <w:color w:val="000000" w:themeColor="text1"/>
          <w:sz w:val="24"/>
          <w:szCs w:val="24"/>
          <w:lang w:val="es-MX"/>
        </w:rPr>
      </w:pPr>
    </w:p>
    <w:bookmarkEnd w:id="70"/>
    <w:p w:rsidR="00E2175B" w:rsidRPr="00B818E7" w:rsidRDefault="00E2175B" w:rsidP="00B818E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18E7">
        <w:rPr>
          <w:rFonts w:ascii="Palatino Linotype" w:hAnsi="Palatino Linotype"/>
          <w:color w:val="000000" w:themeColor="text1"/>
          <w:sz w:val="24"/>
          <w:szCs w:val="24"/>
        </w:rPr>
        <w:t>Consecutivamente</w:t>
      </w:r>
      <w:r w:rsidRPr="00B818E7">
        <w:rPr>
          <w:rFonts w:ascii="Palatino Linotype" w:hAnsi="Palatino Linotype"/>
          <w:i/>
          <w:color w:val="000000" w:themeColor="text1"/>
          <w:sz w:val="24"/>
          <w:szCs w:val="24"/>
        </w:rPr>
        <w:t xml:space="preserve">, </w:t>
      </w:r>
      <w:r w:rsidRPr="00B818E7">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Municipios, el recurso fue turnado a la ponencia de la </w:t>
      </w:r>
      <w:r w:rsidRPr="00B818E7">
        <w:rPr>
          <w:rFonts w:ascii="Palatino Linotype" w:hAnsi="Palatino Linotype"/>
          <w:b/>
          <w:color w:val="000000" w:themeColor="text1"/>
          <w:sz w:val="24"/>
          <w:szCs w:val="24"/>
        </w:rPr>
        <w:t>Comisionada</w:t>
      </w:r>
      <w:r w:rsidRPr="00B818E7">
        <w:rPr>
          <w:rFonts w:ascii="Palatino Linotype" w:hAnsi="Palatino Linotype"/>
          <w:color w:val="000000" w:themeColor="text1"/>
          <w:sz w:val="24"/>
          <w:szCs w:val="24"/>
        </w:rPr>
        <w:t xml:space="preserve"> </w:t>
      </w:r>
      <w:r w:rsidRPr="00B818E7">
        <w:rPr>
          <w:rFonts w:ascii="Palatino Linotype" w:hAnsi="Palatino Linotype"/>
          <w:b/>
          <w:color w:val="000000" w:themeColor="text1"/>
          <w:sz w:val="24"/>
          <w:szCs w:val="24"/>
        </w:rPr>
        <w:t>María del Rosario Mejía Ayala</w:t>
      </w:r>
      <w:r w:rsidRPr="00B818E7">
        <w:rPr>
          <w:rFonts w:ascii="Palatino Linotype" w:hAnsi="Palatino Linotype"/>
          <w:color w:val="000000" w:themeColor="text1"/>
          <w:sz w:val="24"/>
          <w:szCs w:val="24"/>
        </w:rPr>
        <w:t>,</w:t>
      </w:r>
      <w:r w:rsidRPr="00B818E7">
        <w:rPr>
          <w:rFonts w:ascii="Palatino Linotype" w:hAnsi="Palatino Linotype"/>
          <w:b/>
          <w:color w:val="000000" w:themeColor="text1"/>
          <w:sz w:val="24"/>
          <w:szCs w:val="24"/>
        </w:rPr>
        <w:t xml:space="preserve"> </w:t>
      </w:r>
      <w:r w:rsidRPr="00B818E7">
        <w:rPr>
          <w:rFonts w:ascii="Palatino Linotype" w:hAnsi="Palatino Linotype"/>
          <w:color w:val="000000" w:themeColor="text1"/>
          <w:sz w:val="24"/>
          <w:szCs w:val="24"/>
        </w:rPr>
        <w:t>con el objeto de su análisis.</w:t>
      </w:r>
    </w:p>
    <w:p w:rsidR="00E2175B" w:rsidRPr="00B818E7" w:rsidRDefault="00E2175B" w:rsidP="00B818E7">
      <w:pPr>
        <w:pStyle w:val="Prrafodelista"/>
        <w:spacing w:line="360" w:lineRule="auto"/>
        <w:ind w:left="0"/>
        <w:jc w:val="both"/>
        <w:rPr>
          <w:rFonts w:ascii="Palatino Linotype" w:hAnsi="Palatino Linotype"/>
          <w:color w:val="000000" w:themeColor="text1"/>
          <w:sz w:val="24"/>
          <w:szCs w:val="24"/>
        </w:rPr>
      </w:pPr>
    </w:p>
    <w:p w:rsidR="00E2175B" w:rsidRPr="00B818E7" w:rsidRDefault="00E2175B" w:rsidP="00B818E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18E7">
        <w:rPr>
          <w:rFonts w:ascii="Palatino Linotype" w:hAnsi="Palatino Linotype"/>
          <w:color w:val="000000" w:themeColor="text1"/>
          <w:sz w:val="24"/>
          <w:szCs w:val="24"/>
        </w:rPr>
        <w:t xml:space="preserve">La Comisionada Ponente con fundamento en lo dispuesto por el artículo 185 </w:t>
      </w:r>
      <w:r w:rsidRPr="00B818E7">
        <w:rPr>
          <w:rFonts w:ascii="Palatino Linotype" w:eastAsia="Calibri" w:hAnsi="Palatino Linotype" w:cs="Arial"/>
          <w:color w:val="000000" w:themeColor="text1"/>
          <w:sz w:val="24"/>
          <w:szCs w:val="24"/>
        </w:rPr>
        <w:t>fracción</w:t>
      </w:r>
      <w:r w:rsidRPr="00B818E7">
        <w:rPr>
          <w:rFonts w:ascii="Palatino Linotype" w:hAnsi="Palatino Linotype"/>
          <w:color w:val="000000" w:themeColor="text1"/>
          <w:sz w:val="24"/>
          <w:szCs w:val="24"/>
        </w:rPr>
        <w:t xml:space="preserve"> II de la ley de la materia, a través del </w:t>
      </w:r>
      <w:r w:rsidRPr="00B818E7">
        <w:rPr>
          <w:rFonts w:ascii="Palatino Linotype" w:hAnsi="Palatino Linotype"/>
          <w:b/>
          <w:color w:val="000000" w:themeColor="text1"/>
          <w:sz w:val="24"/>
          <w:szCs w:val="24"/>
        </w:rPr>
        <w:t xml:space="preserve">acuerdo de admisión </w:t>
      </w:r>
      <w:r w:rsidRPr="00B818E7">
        <w:rPr>
          <w:rFonts w:ascii="Palatino Linotype" w:hAnsi="Palatino Linotype"/>
          <w:color w:val="000000" w:themeColor="text1"/>
          <w:sz w:val="24"/>
          <w:szCs w:val="24"/>
        </w:rPr>
        <w:t xml:space="preserve">del </w:t>
      </w:r>
      <w:r w:rsidR="00E961D0" w:rsidRPr="00B818E7">
        <w:rPr>
          <w:rFonts w:ascii="Palatino Linotype" w:hAnsi="Palatino Linotype"/>
          <w:b/>
          <w:color w:val="000000" w:themeColor="text1"/>
          <w:sz w:val="24"/>
          <w:szCs w:val="24"/>
        </w:rPr>
        <w:t xml:space="preserve">dos de junio </w:t>
      </w:r>
      <w:r w:rsidRPr="00B818E7">
        <w:rPr>
          <w:rFonts w:ascii="Palatino Linotype" w:hAnsi="Palatino Linotype"/>
          <w:b/>
          <w:color w:val="000000" w:themeColor="text1"/>
          <w:sz w:val="24"/>
          <w:szCs w:val="24"/>
        </w:rPr>
        <w:t xml:space="preserve">de dos mil veinticinco, </w:t>
      </w:r>
      <w:r w:rsidRPr="00B818E7">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B818E7">
        <w:rPr>
          <w:rFonts w:ascii="Palatino Linotype" w:hAnsi="Palatino Linotype"/>
          <w:b/>
          <w:color w:val="000000" w:themeColor="text1"/>
          <w:sz w:val="24"/>
          <w:szCs w:val="24"/>
        </w:rPr>
        <w:t xml:space="preserve">SUJETO OBLIGADO </w:t>
      </w:r>
      <w:r w:rsidRPr="00B818E7">
        <w:rPr>
          <w:rFonts w:ascii="Palatino Linotype" w:hAnsi="Palatino Linotype"/>
          <w:color w:val="000000" w:themeColor="text1"/>
          <w:sz w:val="24"/>
          <w:szCs w:val="24"/>
        </w:rPr>
        <w:t>presentara el Informe Justificado procedente.</w:t>
      </w:r>
    </w:p>
    <w:p w:rsidR="00E2175B" w:rsidRPr="00B818E7" w:rsidRDefault="00E2175B" w:rsidP="00B818E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18E7">
        <w:rPr>
          <w:rFonts w:ascii="Palatino Linotype" w:eastAsia="Palatino Linotype" w:hAnsi="Palatino Linotype" w:cs="Palatino Linotype"/>
          <w:color w:val="000000" w:themeColor="text1"/>
          <w:sz w:val="24"/>
          <w:szCs w:val="24"/>
        </w:rPr>
        <w:lastRenderedPageBreak/>
        <w:t xml:space="preserve">En esa línea, tal y como se observa en el expediente electrónico el </w:t>
      </w:r>
      <w:r w:rsidRPr="00B818E7">
        <w:rPr>
          <w:rFonts w:ascii="Palatino Linotype" w:eastAsia="Palatino Linotype" w:hAnsi="Palatino Linotype" w:cs="Palatino Linotype"/>
          <w:b/>
          <w:color w:val="000000" w:themeColor="text1"/>
          <w:sz w:val="24"/>
          <w:szCs w:val="24"/>
        </w:rPr>
        <w:t xml:space="preserve">SUJETO OBLIGADO </w:t>
      </w:r>
      <w:r w:rsidRPr="00B818E7">
        <w:rPr>
          <w:rFonts w:ascii="Palatino Linotype" w:eastAsia="Palatino Linotype" w:hAnsi="Palatino Linotype" w:cs="Palatino Linotype"/>
          <w:color w:val="000000" w:themeColor="text1"/>
          <w:sz w:val="24"/>
          <w:szCs w:val="24"/>
        </w:rPr>
        <w:t xml:space="preserve">el </w:t>
      </w:r>
      <w:r w:rsidR="00DA1E33" w:rsidRPr="00B818E7">
        <w:rPr>
          <w:rFonts w:ascii="Palatino Linotype" w:eastAsia="Palatino Linotype" w:hAnsi="Palatino Linotype" w:cs="Palatino Linotype"/>
          <w:b/>
          <w:color w:val="000000" w:themeColor="text1"/>
          <w:sz w:val="24"/>
          <w:szCs w:val="24"/>
        </w:rPr>
        <w:t xml:space="preserve">once de junio </w:t>
      </w:r>
      <w:r w:rsidRPr="00B818E7">
        <w:rPr>
          <w:rFonts w:ascii="Palatino Linotype" w:eastAsia="Palatino Linotype" w:hAnsi="Palatino Linotype" w:cs="Palatino Linotype"/>
          <w:b/>
          <w:color w:val="000000" w:themeColor="text1"/>
          <w:sz w:val="24"/>
          <w:szCs w:val="24"/>
        </w:rPr>
        <w:t xml:space="preserve">de dos mil veinticinco, </w:t>
      </w:r>
      <w:r w:rsidRPr="00B818E7">
        <w:rPr>
          <w:rFonts w:ascii="Palatino Linotype" w:eastAsia="Palatino Linotype" w:hAnsi="Palatino Linotype" w:cs="Palatino Linotype"/>
          <w:color w:val="000000" w:themeColor="text1"/>
          <w:sz w:val="24"/>
          <w:szCs w:val="24"/>
        </w:rPr>
        <w:t xml:space="preserve">anexo </w:t>
      </w:r>
      <w:r w:rsidR="00DA1E33" w:rsidRPr="00B818E7">
        <w:rPr>
          <w:rFonts w:ascii="Palatino Linotype" w:eastAsia="Palatino Linotype" w:hAnsi="Palatino Linotype" w:cs="Palatino Linotype"/>
          <w:color w:val="000000" w:themeColor="text1"/>
          <w:sz w:val="24"/>
          <w:szCs w:val="24"/>
        </w:rPr>
        <w:t xml:space="preserve">un archivo electrónico </w:t>
      </w:r>
      <w:r w:rsidRPr="00B818E7">
        <w:rPr>
          <w:rFonts w:ascii="Palatino Linotype" w:eastAsia="Palatino Linotype" w:hAnsi="Palatino Linotype" w:cs="Palatino Linotype"/>
          <w:color w:val="000000" w:themeColor="text1"/>
          <w:sz w:val="24"/>
          <w:szCs w:val="24"/>
        </w:rPr>
        <w:t xml:space="preserve">en formato pdf, mediante el cual se ratifica la respuesta inicial. </w:t>
      </w:r>
    </w:p>
    <w:p w:rsidR="00E2175B" w:rsidRPr="00B818E7" w:rsidRDefault="00E2175B" w:rsidP="00B818E7">
      <w:pPr>
        <w:pStyle w:val="Prrafodelista"/>
        <w:ind w:left="0"/>
        <w:jc w:val="both"/>
        <w:rPr>
          <w:rFonts w:ascii="Palatino Linotype" w:hAnsi="Palatino Linotype"/>
          <w:color w:val="000000" w:themeColor="text1"/>
          <w:sz w:val="24"/>
          <w:szCs w:val="24"/>
        </w:rPr>
      </w:pPr>
    </w:p>
    <w:p w:rsidR="00E2175B" w:rsidRPr="00B818E7" w:rsidRDefault="00E2175B" w:rsidP="00B818E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18E7">
        <w:rPr>
          <w:rFonts w:ascii="Palatino Linotype" w:eastAsia="Palatino Linotype" w:hAnsi="Palatino Linotype" w:cs="Palatino Linotype"/>
          <w:color w:val="000000" w:themeColor="text1"/>
          <w:sz w:val="24"/>
          <w:szCs w:val="24"/>
        </w:rPr>
        <w:t xml:space="preserve">Por su parte el </w:t>
      </w:r>
      <w:r w:rsidRPr="00B818E7">
        <w:rPr>
          <w:rFonts w:ascii="Palatino Linotype" w:eastAsia="Palatino Linotype" w:hAnsi="Palatino Linotype" w:cs="Palatino Linotype"/>
          <w:b/>
          <w:color w:val="000000" w:themeColor="text1"/>
          <w:sz w:val="24"/>
          <w:szCs w:val="24"/>
        </w:rPr>
        <w:t xml:space="preserve">RECURRENTE </w:t>
      </w:r>
      <w:r w:rsidRPr="00B818E7">
        <w:rPr>
          <w:rFonts w:ascii="Palatino Linotype" w:eastAsia="Palatino Linotype" w:hAnsi="Palatino Linotype" w:cs="Palatino Linotype"/>
          <w:color w:val="000000" w:themeColor="text1"/>
          <w:sz w:val="24"/>
          <w:szCs w:val="24"/>
        </w:rPr>
        <w:t xml:space="preserve">fue omiso en manifestar lo que a su derecho conviniera y asistiera. </w:t>
      </w:r>
    </w:p>
    <w:p w:rsidR="00E2175B" w:rsidRPr="00B818E7" w:rsidRDefault="00E2175B" w:rsidP="00B818E7">
      <w:pPr>
        <w:pStyle w:val="Prrafodelista"/>
        <w:ind w:left="0"/>
        <w:jc w:val="both"/>
        <w:rPr>
          <w:rFonts w:ascii="Palatino Linotype" w:hAnsi="Palatino Linotype"/>
          <w:color w:val="000000" w:themeColor="text1"/>
          <w:sz w:val="24"/>
          <w:szCs w:val="24"/>
        </w:rPr>
      </w:pPr>
    </w:p>
    <w:p w:rsidR="00E2175B" w:rsidRPr="00B818E7" w:rsidRDefault="00E2175B" w:rsidP="00B818E7">
      <w:pPr>
        <w:jc w:val="both"/>
        <w:rPr>
          <w:rFonts w:ascii="Palatino Linotype" w:eastAsia="Palatino Linotype" w:hAnsi="Palatino Linotype" w:cs="Palatino Linotype"/>
          <w:b/>
          <w:color w:val="000000" w:themeColor="text1"/>
        </w:rPr>
      </w:pPr>
    </w:p>
    <w:p w:rsidR="00E2175B" w:rsidRPr="00B818E7" w:rsidRDefault="00E2175B" w:rsidP="00B818E7">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B818E7">
        <w:rPr>
          <w:rFonts w:ascii="Palatino Linotype" w:eastAsia="Palatino Linotype" w:hAnsi="Palatino Linotype" w:cs="Palatino Linotype"/>
          <w:color w:val="000000" w:themeColor="text1"/>
          <w:sz w:val="24"/>
          <w:szCs w:val="24"/>
        </w:rPr>
        <w:t xml:space="preserve">El </w:t>
      </w:r>
      <w:r w:rsidR="00DA1E33" w:rsidRPr="00B818E7">
        <w:rPr>
          <w:rFonts w:ascii="Palatino Linotype" w:eastAsia="Palatino Linotype" w:hAnsi="Palatino Linotype" w:cs="Palatino Linotype"/>
          <w:b/>
          <w:color w:val="000000" w:themeColor="text1"/>
          <w:sz w:val="24"/>
          <w:szCs w:val="24"/>
        </w:rPr>
        <w:t>nueve</w:t>
      </w:r>
      <w:r w:rsidRPr="00B818E7">
        <w:rPr>
          <w:rFonts w:ascii="Palatino Linotype" w:eastAsia="Palatino Linotype" w:hAnsi="Palatino Linotype" w:cs="Palatino Linotype"/>
          <w:b/>
          <w:color w:val="000000" w:themeColor="text1"/>
          <w:sz w:val="24"/>
          <w:szCs w:val="24"/>
        </w:rPr>
        <w:t xml:space="preserve"> de octubre de dos mil veinticinco</w:t>
      </w:r>
      <w:r w:rsidRPr="00B818E7">
        <w:rPr>
          <w:rFonts w:ascii="Palatino Linotype" w:eastAsia="Palatino Linotype" w:hAnsi="Palatino Linotype" w:cs="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del</w:t>
      </w:r>
      <w:r w:rsidR="00B818E7">
        <w:rPr>
          <w:rFonts w:ascii="Palatino Linotype" w:eastAsia="Palatino Linotype" w:hAnsi="Palatino Linotype" w:cs="Palatino Linotype"/>
          <w:color w:val="000000" w:themeColor="text1"/>
          <w:sz w:val="24"/>
          <w:szCs w:val="24"/>
        </w:rPr>
        <w:t xml:space="preserve"> Estado de México y Municipios.</w:t>
      </w:r>
    </w:p>
    <w:p w:rsidR="00E2175B" w:rsidRPr="00B818E7" w:rsidRDefault="00E2175B" w:rsidP="00B818E7">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E2175B" w:rsidRPr="00EB4BF7" w:rsidRDefault="00E2175B" w:rsidP="00B818E7">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B818E7">
        <w:rPr>
          <w:rFonts w:ascii="Palatino Linotype" w:eastAsia="Palatino Linotype" w:hAnsi="Palatino Linotype" w:cs="Palatino Linotype"/>
          <w:color w:val="000000" w:themeColor="text1"/>
          <w:sz w:val="24"/>
          <w:szCs w:val="24"/>
        </w:rPr>
        <w:t>Finalmente, la Comisionada Ponente mediante acuerdo de fecha</w:t>
      </w:r>
      <w:r w:rsidRPr="00B818E7">
        <w:rPr>
          <w:rFonts w:ascii="Palatino Linotype" w:eastAsia="Palatino Linotype" w:hAnsi="Palatino Linotype" w:cs="Palatino Linotype"/>
          <w:b/>
          <w:color w:val="000000" w:themeColor="text1"/>
          <w:sz w:val="24"/>
          <w:szCs w:val="24"/>
        </w:rPr>
        <w:t xml:space="preserve"> </w:t>
      </w:r>
      <w:r w:rsidR="00DA1E33" w:rsidRPr="00B818E7">
        <w:rPr>
          <w:rFonts w:ascii="Palatino Linotype" w:eastAsia="Palatino Linotype" w:hAnsi="Palatino Linotype" w:cs="Palatino Linotype"/>
          <w:b/>
          <w:color w:val="000000" w:themeColor="text1"/>
          <w:sz w:val="24"/>
          <w:szCs w:val="24"/>
          <w:highlight w:val="white"/>
        </w:rPr>
        <w:t xml:space="preserve">quince </w:t>
      </w:r>
      <w:r w:rsidRPr="00B818E7">
        <w:rPr>
          <w:rFonts w:ascii="Palatino Linotype" w:eastAsia="Palatino Linotype" w:hAnsi="Palatino Linotype" w:cs="Palatino Linotype"/>
          <w:b/>
          <w:color w:val="000000" w:themeColor="text1"/>
          <w:sz w:val="24"/>
          <w:szCs w:val="24"/>
          <w:highlight w:val="white"/>
        </w:rPr>
        <w:t>de octubre de dos mil veinticinco</w:t>
      </w:r>
      <w:r w:rsidRPr="00B818E7">
        <w:rPr>
          <w:rFonts w:ascii="Palatino Linotype" w:eastAsia="Palatino Linotype" w:hAnsi="Palatino Linotype" w:cs="Palatino Linotype"/>
          <w:color w:val="000000" w:themeColor="text1"/>
          <w:sz w:val="24"/>
          <w:szCs w:val="24"/>
          <w:highlight w:val="white"/>
        </w:rPr>
        <w:t>, decretó el cierre de instrucción d</w:t>
      </w:r>
      <w:r w:rsidRPr="00B818E7">
        <w:rPr>
          <w:rFonts w:ascii="Palatino Linotype" w:eastAsia="Palatino Linotype" w:hAnsi="Palatino Linotype" w:cs="Palatino Linotype"/>
          <w:color w:val="000000" w:themeColor="text1"/>
          <w:sz w:val="24"/>
          <w:szCs w:val="24"/>
        </w:rPr>
        <w:t>e los expedientes, por lo que no hab</w:t>
      </w:r>
      <w:r w:rsidR="00B818E7">
        <w:rPr>
          <w:rFonts w:ascii="Palatino Linotype" w:eastAsia="Palatino Linotype" w:hAnsi="Palatino Linotype" w:cs="Palatino Linotype"/>
          <w:color w:val="000000" w:themeColor="text1"/>
          <w:sz w:val="24"/>
          <w:szCs w:val="24"/>
        </w:rPr>
        <w:t>iendo más que hacer constar, y</w:t>
      </w:r>
      <w:r w:rsidR="00EB4BF7">
        <w:rPr>
          <w:rFonts w:ascii="Palatino Linotype" w:eastAsia="Palatino Linotype" w:hAnsi="Palatino Linotype" w:cs="Palatino Linotype"/>
          <w:color w:val="000000" w:themeColor="text1"/>
          <w:sz w:val="24"/>
          <w:szCs w:val="24"/>
        </w:rPr>
        <w:t xml:space="preserve"> </w:t>
      </w:r>
    </w:p>
    <w:p w:rsidR="00EB4BF7" w:rsidRPr="00EB4BF7" w:rsidRDefault="00EB4BF7" w:rsidP="00EB4BF7">
      <w:pPr>
        <w:pStyle w:val="Prrafodelista"/>
        <w:rPr>
          <w:rFonts w:ascii="Palatino Linotype" w:eastAsia="Palatino Linotype" w:hAnsi="Palatino Linotype" w:cs="Palatino Linotype"/>
          <w:b/>
          <w:color w:val="000000" w:themeColor="text1"/>
          <w:sz w:val="24"/>
          <w:szCs w:val="24"/>
        </w:rPr>
      </w:pPr>
    </w:p>
    <w:p w:rsidR="00EB4BF7" w:rsidRDefault="00EB4BF7" w:rsidP="00EB4BF7">
      <w:pPr>
        <w:spacing w:line="360" w:lineRule="auto"/>
        <w:jc w:val="both"/>
        <w:rPr>
          <w:rFonts w:ascii="Palatino Linotype" w:eastAsia="Palatino Linotype" w:hAnsi="Palatino Linotype" w:cs="Palatino Linotype"/>
          <w:b/>
          <w:color w:val="000000" w:themeColor="text1"/>
        </w:rPr>
      </w:pPr>
    </w:p>
    <w:p w:rsidR="00E2175B" w:rsidRDefault="00E2175B" w:rsidP="00B818E7">
      <w:pPr>
        <w:pStyle w:val="Prrafodelista"/>
        <w:spacing w:line="360" w:lineRule="auto"/>
        <w:ind w:left="0"/>
        <w:jc w:val="center"/>
        <w:rPr>
          <w:rFonts w:ascii="Palatino Linotype" w:hAnsi="Palatino Linotype"/>
          <w:b/>
          <w:color w:val="000000" w:themeColor="text1"/>
          <w:sz w:val="24"/>
          <w:szCs w:val="24"/>
        </w:rPr>
      </w:pPr>
      <w:r w:rsidRPr="00B818E7">
        <w:rPr>
          <w:rFonts w:ascii="Palatino Linotype" w:hAnsi="Palatino Linotype"/>
          <w:b/>
          <w:color w:val="000000" w:themeColor="text1"/>
          <w:sz w:val="24"/>
          <w:szCs w:val="24"/>
        </w:rPr>
        <w:t>C</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O</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N</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S</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I</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D</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E</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R</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A</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N</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D</w:t>
      </w:r>
      <w:r w:rsidR="00EB4BF7">
        <w:rPr>
          <w:rFonts w:ascii="Palatino Linotype" w:hAnsi="Palatino Linotype"/>
          <w:b/>
          <w:color w:val="000000" w:themeColor="text1"/>
          <w:sz w:val="24"/>
          <w:szCs w:val="24"/>
        </w:rPr>
        <w:t xml:space="preserve"> </w:t>
      </w:r>
      <w:r w:rsidRPr="00B818E7">
        <w:rPr>
          <w:rFonts w:ascii="Palatino Linotype" w:hAnsi="Palatino Linotype"/>
          <w:b/>
          <w:color w:val="000000" w:themeColor="text1"/>
          <w:sz w:val="24"/>
          <w:szCs w:val="24"/>
        </w:rPr>
        <w:t>O</w:t>
      </w:r>
      <w:bookmarkEnd w:id="0"/>
      <w:bookmarkEnd w:id="1"/>
      <w:bookmarkEnd w:id="2"/>
      <w:r w:rsidR="00EB4BF7">
        <w:rPr>
          <w:rFonts w:ascii="Palatino Linotype" w:hAnsi="Palatino Linotype"/>
          <w:b/>
          <w:color w:val="000000" w:themeColor="text1"/>
          <w:sz w:val="24"/>
          <w:szCs w:val="24"/>
        </w:rPr>
        <w:t xml:space="preserve"> </w:t>
      </w:r>
    </w:p>
    <w:p w:rsidR="00EB4BF7" w:rsidRPr="00B818E7" w:rsidRDefault="00EB4BF7" w:rsidP="00B818E7">
      <w:pPr>
        <w:pStyle w:val="Prrafodelista"/>
        <w:spacing w:line="360" w:lineRule="auto"/>
        <w:ind w:left="0"/>
        <w:jc w:val="center"/>
        <w:rPr>
          <w:rFonts w:ascii="Palatino Linotype" w:hAnsi="Palatino Linotype"/>
          <w:b/>
          <w:color w:val="000000" w:themeColor="text1"/>
          <w:sz w:val="24"/>
          <w:szCs w:val="24"/>
        </w:rPr>
      </w:pPr>
    </w:p>
    <w:p w:rsidR="00E2175B" w:rsidRPr="00B818E7" w:rsidRDefault="00E2175B" w:rsidP="00B818E7">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74778593"/>
      <w:bookmarkStart w:id="138" w:name="_Toc85733158"/>
      <w:r w:rsidRPr="00B818E7">
        <w:rPr>
          <w:rFonts w:ascii="Palatino Linotype" w:hAnsi="Palatino Linotype"/>
          <w:b/>
          <w:color w:val="000000" w:themeColor="text1"/>
          <w:sz w:val="24"/>
          <w:szCs w:val="24"/>
        </w:rPr>
        <w:t>PRIMERO. De la competencia</w:t>
      </w:r>
      <w:bookmarkEnd w:id="136"/>
      <w:bookmarkEnd w:id="137"/>
      <w:bookmarkEnd w:id="138"/>
    </w:p>
    <w:p w:rsidR="00E2175B" w:rsidRPr="00B818E7" w:rsidRDefault="005301BD" w:rsidP="00B818E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18E7">
        <w:rPr>
          <w:rFonts w:ascii="Palatino Linotype" w:hAnsi="Palatino Linotype"/>
          <w:color w:val="000000" w:themeColor="text1"/>
          <w:sz w:val="24"/>
          <w:szCs w:val="24"/>
        </w:rPr>
        <w:t xml:space="preserve">Este </w:t>
      </w:r>
      <w:r w:rsidRPr="00B818E7">
        <w:rPr>
          <w:rFonts w:ascii="Palatino Linotype" w:eastAsia="Palatino Linotype" w:hAnsi="Palatino Linotype" w:cs="Palatino Linotype"/>
          <w:color w:val="000000" w:themeColor="text1"/>
          <w:sz w:val="24"/>
          <w:szCs w:val="24"/>
        </w:rPr>
        <w:t>Instituto</w:t>
      </w:r>
      <w:r w:rsidRPr="00B818E7">
        <w:rPr>
          <w:rFonts w:ascii="Palatino Linotype" w:hAnsi="Palatino Linotype"/>
          <w:color w:val="000000" w:themeColor="text1"/>
          <w:sz w:val="24"/>
          <w:szCs w:val="24"/>
        </w:rPr>
        <w:t xml:space="preserve"> de Transparencia, Acceso a la Información Pública y Protección de Datos Personales del Estado de México y Municipios es competente para conocer y resolver </w:t>
      </w:r>
      <w:r w:rsidRPr="00B818E7">
        <w:rPr>
          <w:rFonts w:ascii="Palatino Linotype" w:eastAsia="Palatino Linotype" w:hAnsi="Palatino Linotype" w:cs="Palatino Linotype"/>
          <w:color w:val="000000" w:themeColor="text1"/>
          <w:sz w:val="24"/>
          <w:szCs w:val="24"/>
        </w:rPr>
        <w:t>e</w:t>
      </w:r>
      <w:r w:rsidRPr="00B818E7">
        <w:rPr>
          <w:rFonts w:ascii="Palatino Linotype" w:hAnsi="Palatino Linotype"/>
          <w:color w:val="000000" w:themeColor="text1"/>
          <w:sz w:val="24"/>
          <w:szCs w:val="24"/>
        </w:rPr>
        <w:t xml:space="preserve">l presente Recurso de Revisión, conforme a lo dispuesto en el artículo 5, párrafos trigésimo séptimo, trigésimo octavo y trigésimo noveno fracciones IV y V de la </w:t>
      </w:r>
      <w:r w:rsidRPr="00B818E7">
        <w:rPr>
          <w:rFonts w:ascii="Palatino Linotype" w:hAnsi="Palatino Linotype"/>
          <w:color w:val="000000" w:themeColor="text1"/>
          <w:sz w:val="24"/>
          <w:szCs w:val="24"/>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E2175B" w:rsidRPr="00B818E7">
        <w:rPr>
          <w:rFonts w:ascii="Palatino Linotype" w:hAnsi="Palatino Linotype"/>
          <w:color w:val="000000" w:themeColor="text1"/>
          <w:sz w:val="24"/>
          <w:szCs w:val="24"/>
        </w:rPr>
        <w:t>.</w:t>
      </w:r>
    </w:p>
    <w:p w:rsidR="00E2175B" w:rsidRPr="00B818E7" w:rsidRDefault="00E2175B" w:rsidP="00B818E7">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9" w:name="_Toc80699770"/>
      <w:bookmarkStart w:id="140" w:name="_Toc81260548"/>
    </w:p>
    <w:p w:rsidR="00E2175B" w:rsidRPr="00B818E7" w:rsidRDefault="00E2175B" w:rsidP="00B818E7">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1" w:name="_Toc85733159"/>
      <w:r w:rsidRPr="00B818E7">
        <w:rPr>
          <w:rFonts w:ascii="Palatino Linotype" w:hAnsi="Palatino Linotype"/>
          <w:b/>
          <w:bCs/>
          <w:color w:val="000000" w:themeColor="text1"/>
          <w:sz w:val="24"/>
          <w:szCs w:val="24"/>
        </w:rPr>
        <w:t>SEGUNDO.</w:t>
      </w:r>
      <w:bookmarkStart w:id="142" w:name="_Toc491791304"/>
      <w:bookmarkStart w:id="143" w:name="_Toc74778594"/>
      <w:bookmarkEnd w:id="139"/>
      <w:bookmarkEnd w:id="140"/>
      <w:r w:rsidRPr="00B818E7">
        <w:rPr>
          <w:rFonts w:ascii="Palatino Linotype" w:hAnsi="Palatino Linotype"/>
          <w:b/>
          <w:color w:val="000000" w:themeColor="text1"/>
          <w:sz w:val="24"/>
          <w:szCs w:val="24"/>
        </w:rPr>
        <w:t xml:space="preserve"> De la oportunidad y procedencia.</w:t>
      </w:r>
      <w:bookmarkEnd w:id="141"/>
      <w:bookmarkEnd w:id="142"/>
      <w:bookmarkEnd w:id="143"/>
    </w:p>
    <w:p w:rsidR="00E2175B" w:rsidRPr="00B818E7" w:rsidRDefault="00E2175B" w:rsidP="00B818E7">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B818E7">
        <w:rPr>
          <w:rFonts w:ascii="Palatino Linotype" w:eastAsia="Calibri" w:hAnsi="Palatino Linotype" w:cs="Arial"/>
          <w:color w:val="000000" w:themeColor="text1"/>
          <w:sz w:val="24"/>
          <w:szCs w:val="24"/>
        </w:rPr>
        <w:t xml:space="preserve">Los medios de impugnación fueron presentados a través del </w:t>
      </w:r>
      <w:r w:rsidRPr="00B818E7">
        <w:rPr>
          <w:rFonts w:ascii="Palatino Linotype" w:eastAsia="Calibri" w:hAnsi="Palatino Linotype" w:cs="Arial"/>
          <w:b/>
          <w:color w:val="000000" w:themeColor="text1"/>
          <w:sz w:val="24"/>
          <w:szCs w:val="24"/>
        </w:rPr>
        <w:t>SAIMEX,</w:t>
      </w:r>
      <w:r w:rsidRPr="00B818E7">
        <w:rPr>
          <w:rFonts w:ascii="Palatino Linotype" w:eastAsia="Calibri" w:hAnsi="Palatino Linotype" w:cs="Arial"/>
          <w:color w:val="000000" w:themeColor="text1"/>
          <w:sz w:val="24"/>
          <w:szCs w:val="24"/>
        </w:rPr>
        <w:t xml:space="preserve"> en el </w:t>
      </w:r>
      <w:r w:rsidRPr="00B818E7">
        <w:rPr>
          <w:rFonts w:ascii="Palatino Linotype" w:hAnsi="Palatino Linotype"/>
          <w:color w:val="000000" w:themeColor="text1"/>
          <w:sz w:val="24"/>
          <w:szCs w:val="24"/>
        </w:rPr>
        <w:t>formato</w:t>
      </w:r>
      <w:r w:rsidRPr="00B818E7">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B818E7">
        <w:rPr>
          <w:rFonts w:ascii="Palatino Linotype" w:eastAsia="Calibri" w:hAnsi="Palatino Linotype" w:cs="Arial"/>
          <w:b/>
          <w:color w:val="000000" w:themeColor="text1"/>
          <w:sz w:val="24"/>
          <w:szCs w:val="24"/>
        </w:rPr>
        <w:t>SUJETO OBLIGADO</w:t>
      </w:r>
      <w:r w:rsidRPr="00B818E7">
        <w:rPr>
          <w:rFonts w:ascii="Palatino Linotype" w:eastAsia="Calibri" w:hAnsi="Palatino Linotype" w:cs="Arial"/>
          <w:color w:val="000000" w:themeColor="text1"/>
          <w:sz w:val="24"/>
          <w:szCs w:val="24"/>
        </w:rPr>
        <w:t xml:space="preserve"> entregó sus respuestas el </w:t>
      </w:r>
      <w:r w:rsidRPr="00B818E7">
        <w:rPr>
          <w:rFonts w:ascii="Palatino Linotype" w:eastAsia="Calibri" w:hAnsi="Palatino Linotype" w:cs="Arial"/>
          <w:b/>
          <w:color w:val="000000" w:themeColor="text1"/>
          <w:sz w:val="24"/>
          <w:szCs w:val="24"/>
        </w:rPr>
        <w:t>dieciocho de julio de dos mil veinticinco</w:t>
      </w:r>
      <w:r w:rsidRPr="00B818E7">
        <w:rPr>
          <w:rFonts w:ascii="Palatino Linotype" w:eastAsia="Calibri" w:hAnsi="Palatino Linotype" w:cs="Arial"/>
          <w:color w:val="000000" w:themeColor="text1"/>
          <w:sz w:val="24"/>
          <w:szCs w:val="24"/>
        </w:rPr>
        <w:t xml:space="preserve">, </w:t>
      </w:r>
      <w:r w:rsidRPr="00B818E7">
        <w:rPr>
          <w:rFonts w:ascii="Palatino Linotype" w:hAnsi="Palatino Linotype" w:cs="Arial"/>
          <w:color w:val="000000" w:themeColor="text1"/>
          <w:sz w:val="24"/>
          <w:szCs w:val="24"/>
        </w:rPr>
        <w:t xml:space="preserve">de tal forma que el plazo para interponer el recurso de revisión transcurrió del día </w:t>
      </w:r>
      <w:r w:rsidRPr="00B818E7">
        <w:rPr>
          <w:rFonts w:ascii="Palatino Linotype" w:hAnsi="Palatino Linotype" w:cs="Arial"/>
          <w:b/>
          <w:color w:val="000000" w:themeColor="text1"/>
          <w:sz w:val="24"/>
          <w:szCs w:val="24"/>
        </w:rPr>
        <w:t>cuatro al veintidós de agosto de dos mil veinticinco</w:t>
      </w:r>
      <w:r w:rsidRPr="00B818E7">
        <w:rPr>
          <w:rFonts w:ascii="Palatino Linotype" w:hAnsi="Palatino Linotype" w:cs="Arial"/>
          <w:color w:val="000000" w:themeColor="text1"/>
          <w:sz w:val="24"/>
          <w:szCs w:val="24"/>
        </w:rPr>
        <w:t xml:space="preserve">; en consecuencia, el ahora </w:t>
      </w:r>
      <w:r w:rsidRPr="00B818E7">
        <w:rPr>
          <w:rFonts w:ascii="Palatino Linotype" w:hAnsi="Palatino Linotype" w:cs="Arial"/>
          <w:b/>
          <w:color w:val="000000" w:themeColor="text1"/>
          <w:sz w:val="24"/>
          <w:szCs w:val="24"/>
        </w:rPr>
        <w:t>RECURRENTE</w:t>
      </w:r>
      <w:r w:rsidRPr="00B818E7">
        <w:rPr>
          <w:rFonts w:ascii="Palatino Linotype" w:hAnsi="Palatino Linotype" w:cs="Arial"/>
          <w:color w:val="000000" w:themeColor="text1"/>
          <w:sz w:val="24"/>
          <w:szCs w:val="24"/>
        </w:rPr>
        <w:t xml:space="preserve"> presentó sus inconformidades el día </w:t>
      </w:r>
      <w:r w:rsidRPr="00B818E7">
        <w:rPr>
          <w:rFonts w:ascii="Palatino Linotype" w:hAnsi="Palatino Linotype" w:cs="Arial"/>
          <w:b/>
          <w:color w:val="000000" w:themeColor="text1"/>
          <w:sz w:val="24"/>
          <w:szCs w:val="24"/>
        </w:rPr>
        <w:t>veintidós de julio de dos mil veinticinco</w:t>
      </w:r>
      <w:r w:rsidRPr="00B818E7">
        <w:rPr>
          <w:rFonts w:ascii="Palatino Linotype" w:hAnsi="Palatino Linotype" w:cs="Arial"/>
          <w:color w:val="000000" w:themeColor="text1"/>
          <w:sz w:val="24"/>
          <w:szCs w:val="24"/>
        </w:rPr>
        <w:t xml:space="preserve">; sin embargo el sistema lo tomo el </w:t>
      </w:r>
      <w:r w:rsidRPr="00B818E7">
        <w:rPr>
          <w:rFonts w:ascii="Palatino Linotype" w:hAnsi="Palatino Linotype" w:cs="Arial"/>
          <w:b/>
          <w:color w:val="000000" w:themeColor="text1"/>
          <w:sz w:val="24"/>
          <w:szCs w:val="24"/>
        </w:rPr>
        <w:t xml:space="preserve">cuatro de agosto de dos mil veinticinco, </w:t>
      </w:r>
      <w:r w:rsidRPr="00B818E7">
        <w:rPr>
          <w:rFonts w:ascii="Palatino Linotype" w:hAnsi="Palatino Linotype" w:cs="Arial"/>
          <w:color w:val="000000" w:themeColor="text1"/>
          <w:sz w:val="24"/>
          <w:szCs w:val="24"/>
        </w:rPr>
        <w:t>toda vez que este Órgano Garante se encontraba en periodo vacacional, es decir dentro del lapso legalmente establecido para tal efecto.</w:t>
      </w:r>
    </w:p>
    <w:p w:rsidR="00E2175B" w:rsidRPr="00B818E7" w:rsidRDefault="00E2175B" w:rsidP="00B818E7">
      <w:pPr>
        <w:pStyle w:val="Prrafodelista"/>
        <w:spacing w:line="360" w:lineRule="auto"/>
        <w:ind w:left="0"/>
        <w:jc w:val="both"/>
        <w:rPr>
          <w:rFonts w:ascii="Palatino Linotype" w:hAnsi="Palatino Linotype"/>
          <w:color w:val="000000" w:themeColor="text1"/>
          <w:sz w:val="24"/>
          <w:szCs w:val="24"/>
        </w:rPr>
      </w:pPr>
    </w:p>
    <w:p w:rsidR="00E2175B" w:rsidRPr="00B818E7" w:rsidRDefault="00E2175B" w:rsidP="00B818E7">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B818E7">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pStyle w:val="Ttulo1"/>
        <w:spacing w:before="0" w:line="360" w:lineRule="auto"/>
        <w:jc w:val="both"/>
        <w:rPr>
          <w:rFonts w:ascii="Palatino Linotype" w:hAnsi="Palatino Linotype"/>
          <w:b/>
          <w:color w:val="000000" w:themeColor="text1"/>
          <w:sz w:val="24"/>
          <w:szCs w:val="24"/>
        </w:rPr>
      </w:pPr>
      <w:bookmarkStart w:id="146" w:name="_Toc85733160"/>
      <w:r w:rsidRPr="00B818E7">
        <w:rPr>
          <w:rFonts w:ascii="Palatino Linotype" w:hAnsi="Palatino Linotype" w:cs="Arial"/>
          <w:b/>
          <w:color w:val="000000" w:themeColor="text1"/>
          <w:sz w:val="24"/>
          <w:szCs w:val="24"/>
        </w:rPr>
        <w:lastRenderedPageBreak/>
        <w:t xml:space="preserve">TERCERO. </w:t>
      </w:r>
      <w:bookmarkEnd w:id="144"/>
      <w:bookmarkEnd w:id="145"/>
      <w:bookmarkEnd w:id="146"/>
      <w:r w:rsidRPr="00B818E7">
        <w:rPr>
          <w:rFonts w:ascii="Palatino Linotype" w:hAnsi="Palatino Linotype"/>
          <w:b/>
          <w:color w:val="000000" w:themeColor="text1"/>
          <w:sz w:val="24"/>
          <w:szCs w:val="24"/>
        </w:rPr>
        <w:t xml:space="preserve">Del planteamiento de la </w:t>
      </w:r>
      <w:r w:rsidRPr="00B818E7">
        <w:rPr>
          <w:rFonts w:ascii="Palatino Linotype" w:hAnsi="Palatino Linotype"/>
          <w:b/>
          <w:i/>
          <w:color w:val="000000" w:themeColor="text1"/>
          <w:sz w:val="24"/>
          <w:szCs w:val="24"/>
        </w:rPr>
        <w:t>Litis</w:t>
      </w:r>
      <w:r w:rsidRPr="00B818E7">
        <w:rPr>
          <w:rFonts w:ascii="Palatino Linotype" w:hAnsi="Palatino Linotype"/>
          <w:b/>
          <w:color w:val="000000" w:themeColor="text1"/>
          <w:sz w:val="24"/>
          <w:szCs w:val="24"/>
        </w:rPr>
        <w:t>.</w:t>
      </w:r>
    </w:p>
    <w:p w:rsidR="00E2175B" w:rsidRPr="00B818E7" w:rsidRDefault="00E2175B" w:rsidP="00B818E7">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B818E7">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B818E7">
        <w:rPr>
          <w:rFonts w:ascii="Palatino Linotype" w:eastAsia="Calibri" w:hAnsi="Palatino Linotype" w:cs="Arial"/>
          <w:color w:val="000000" w:themeColor="text1"/>
          <w:sz w:val="24"/>
          <w:szCs w:val="24"/>
          <w:lang w:val="es-ES_tradnl"/>
        </w:rPr>
        <w:t>solicitó</w:t>
      </w:r>
      <w:r w:rsidRPr="00B818E7">
        <w:rPr>
          <w:rFonts w:ascii="Palatino Linotype" w:eastAsiaTheme="minorEastAsia" w:hAnsi="Palatino Linotype" w:cs="Arial"/>
          <w:color w:val="000000" w:themeColor="text1"/>
          <w:sz w:val="24"/>
          <w:szCs w:val="24"/>
          <w:lang w:val="es-ES_tradnl"/>
        </w:rPr>
        <w:t xml:space="preserve"> la </w:t>
      </w:r>
      <w:r w:rsidRPr="00B818E7">
        <w:rPr>
          <w:rFonts w:ascii="Palatino Linotype" w:eastAsia="Calibri" w:hAnsi="Palatino Linotype" w:cs="Arial"/>
          <w:color w:val="000000" w:themeColor="text1"/>
          <w:sz w:val="24"/>
          <w:szCs w:val="24"/>
        </w:rPr>
        <w:t>información</w:t>
      </w:r>
      <w:r w:rsidRPr="00B818E7">
        <w:rPr>
          <w:rFonts w:ascii="Palatino Linotype" w:eastAsiaTheme="minorEastAsia" w:hAnsi="Palatino Linotype" w:cs="Arial"/>
          <w:color w:val="000000" w:themeColor="text1"/>
          <w:sz w:val="24"/>
          <w:szCs w:val="24"/>
          <w:lang w:val="es-ES_tradnl"/>
        </w:rPr>
        <w:t xml:space="preserve"> que a continuación se desagrega:</w:t>
      </w:r>
    </w:p>
    <w:p w:rsidR="006D3DE4" w:rsidRPr="00B818E7" w:rsidRDefault="006D3DE4" w:rsidP="00B818E7">
      <w:pPr>
        <w:pStyle w:val="Prrafodelista"/>
        <w:numPr>
          <w:ilvl w:val="0"/>
          <w:numId w:val="10"/>
        </w:numPr>
        <w:ind w:left="0" w:firstLine="0"/>
        <w:contextualSpacing/>
        <w:jc w:val="both"/>
        <w:rPr>
          <w:rFonts w:ascii="Palatino Linotype" w:hAnsi="Palatino Linotype" w:cs="Arial"/>
          <w:b/>
          <w:i/>
          <w:color w:val="000000" w:themeColor="text1"/>
          <w:sz w:val="24"/>
          <w:szCs w:val="24"/>
        </w:rPr>
      </w:pPr>
      <w:r w:rsidRPr="00B818E7">
        <w:rPr>
          <w:rFonts w:ascii="Palatino Linotype" w:hAnsi="Palatino Linotype" w:cs="Arial"/>
          <w:b/>
          <w:i/>
          <w:color w:val="000000" w:themeColor="text1"/>
          <w:sz w:val="24"/>
          <w:szCs w:val="24"/>
        </w:rPr>
        <w:t xml:space="preserve">Examen Escrito De Conocimientos Teórico-Jurídicos </w:t>
      </w:r>
    </w:p>
    <w:p w:rsidR="006D3DE4" w:rsidRPr="00B818E7" w:rsidRDefault="006D3DE4" w:rsidP="00B818E7">
      <w:pPr>
        <w:pStyle w:val="Prrafodelista"/>
        <w:ind w:left="0"/>
        <w:contextualSpacing/>
        <w:jc w:val="both"/>
        <w:rPr>
          <w:rFonts w:ascii="Palatino Linotype" w:hAnsi="Palatino Linotype" w:cs="Arial"/>
          <w:b/>
          <w:i/>
          <w:color w:val="000000" w:themeColor="text1"/>
          <w:sz w:val="24"/>
          <w:szCs w:val="24"/>
        </w:rPr>
      </w:pPr>
    </w:p>
    <w:p w:rsidR="006D3DE4" w:rsidRPr="00B818E7" w:rsidRDefault="006D3DE4" w:rsidP="00B818E7">
      <w:pPr>
        <w:pStyle w:val="Prrafodelista"/>
        <w:numPr>
          <w:ilvl w:val="0"/>
          <w:numId w:val="10"/>
        </w:numPr>
        <w:ind w:left="0" w:firstLine="0"/>
        <w:contextualSpacing/>
        <w:jc w:val="both"/>
        <w:rPr>
          <w:rFonts w:ascii="Palatino Linotype" w:hAnsi="Palatino Linotype" w:cs="Arial"/>
          <w:b/>
          <w:i/>
          <w:color w:val="000000" w:themeColor="text1"/>
          <w:sz w:val="24"/>
          <w:szCs w:val="24"/>
        </w:rPr>
      </w:pPr>
      <w:r w:rsidRPr="00B818E7">
        <w:rPr>
          <w:rFonts w:ascii="Palatino Linotype" w:hAnsi="Palatino Linotype" w:cs="Arial"/>
          <w:b/>
          <w:i/>
          <w:color w:val="000000" w:themeColor="text1"/>
          <w:sz w:val="24"/>
          <w:szCs w:val="24"/>
        </w:rPr>
        <w:t xml:space="preserve">Examen De Conocimientos Práctico Jurídicos </w:t>
      </w:r>
    </w:p>
    <w:p w:rsidR="006D3DE4" w:rsidRPr="00B818E7" w:rsidRDefault="006D3DE4" w:rsidP="00B818E7">
      <w:pPr>
        <w:contextualSpacing/>
        <w:jc w:val="both"/>
        <w:rPr>
          <w:rFonts w:ascii="Palatino Linotype" w:hAnsi="Palatino Linotype" w:cs="Arial"/>
          <w:b/>
          <w:i/>
          <w:color w:val="000000" w:themeColor="text1"/>
        </w:rPr>
      </w:pPr>
    </w:p>
    <w:p w:rsidR="006D3DE4" w:rsidRPr="00B818E7" w:rsidRDefault="006D3DE4" w:rsidP="00B818E7">
      <w:pPr>
        <w:pStyle w:val="Prrafodelista"/>
        <w:numPr>
          <w:ilvl w:val="0"/>
          <w:numId w:val="10"/>
        </w:numPr>
        <w:ind w:left="0" w:firstLine="0"/>
        <w:contextualSpacing/>
        <w:jc w:val="both"/>
        <w:rPr>
          <w:rFonts w:ascii="Palatino Linotype" w:hAnsi="Palatino Linotype" w:cs="Arial"/>
          <w:b/>
          <w:i/>
          <w:color w:val="000000" w:themeColor="text1"/>
          <w:sz w:val="24"/>
          <w:szCs w:val="24"/>
        </w:rPr>
      </w:pPr>
      <w:r w:rsidRPr="00B818E7">
        <w:rPr>
          <w:rFonts w:ascii="Palatino Linotype" w:hAnsi="Palatino Linotype" w:cs="Arial"/>
          <w:b/>
          <w:i/>
          <w:color w:val="000000" w:themeColor="text1"/>
          <w:sz w:val="24"/>
          <w:szCs w:val="24"/>
        </w:rPr>
        <w:t xml:space="preserve">Examen Oral De Conocimientos Teórico-Práctico-Jurídicos </w:t>
      </w:r>
    </w:p>
    <w:p w:rsidR="00E2175B" w:rsidRDefault="00E2175B" w:rsidP="00B818E7">
      <w:pPr>
        <w:spacing w:line="360" w:lineRule="auto"/>
        <w:contextualSpacing/>
        <w:jc w:val="both"/>
        <w:rPr>
          <w:rFonts w:ascii="Palatino Linotype" w:hAnsi="Palatino Linotype" w:cs="Arial"/>
          <w:b/>
          <w:color w:val="000000" w:themeColor="text1"/>
        </w:rPr>
      </w:pPr>
    </w:p>
    <w:p w:rsidR="00EB4BF7" w:rsidRPr="00B818E7" w:rsidRDefault="00EB4BF7" w:rsidP="00B818E7">
      <w:pPr>
        <w:spacing w:line="360" w:lineRule="auto"/>
        <w:contextualSpacing/>
        <w:jc w:val="both"/>
        <w:rPr>
          <w:rFonts w:ascii="Palatino Linotype" w:hAnsi="Palatino Linotype" w:cs="Arial"/>
          <w:b/>
          <w:color w:val="000000" w:themeColor="text1"/>
        </w:rPr>
      </w:pPr>
    </w:p>
    <w:p w:rsidR="00E2175B" w:rsidRPr="00B818E7" w:rsidRDefault="00E2175B" w:rsidP="00B818E7">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B818E7">
        <w:rPr>
          <w:rFonts w:ascii="Palatino Linotype" w:hAnsi="Palatino Linotype" w:cs="Arial"/>
          <w:color w:val="000000" w:themeColor="text1"/>
          <w:sz w:val="24"/>
          <w:szCs w:val="24"/>
        </w:rPr>
        <w:t xml:space="preserve">En </w:t>
      </w:r>
      <w:r w:rsidRPr="00B818E7">
        <w:rPr>
          <w:rFonts w:ascii="Palatino Linotype" w:eastAsiaTheme="minorEastAsia" w:hAnsi="Palatino Linotype" w:cs="Arial"/>
          <w:color w:val="000000" w:themeColor="text1"/>
          <w:sz w:val="24"/>
          <w:szCs w:val="24"/>
          <w:lang w:val="es-ES_tradnl"/>
        </w:rPr>
        <w:t>respuesta</w:t>
      </w:r>
      <w:r w:rsidRPr="00B818E7">
        <w:rPr>
          <w:rFonts w:ascii="Palatino Linotype" w:hAnsi="Palatino Linotype" w:cs="Arial"/>
          <w:color w:val="000000" w:themeColor="text1"/>
          <w:sz w:val="24"/>
          <w:szCs w:val="24"/>
        </w:rPr>
        <w:t xml:space="preserve">, el </w:t>
      </w:r>
      <w:r w:rsidRPr="00B818E7">
        <w:rPr>
          <w:rFonts w:ascii="Palatino Linotype" w:hAnsi="Palatino Linotype" w:cs="Arial"/>
          <w:b/>
          <w:color w:val="000000" w:themeColor="text1"/>
          <w:sz w:val="24"/>
          <w:szCs w:val="24"/>
        </w:rPr>
        <w:t xml:space="preserve">SUJETO OBLIGADO </w:t>
      </w:r>
      <w:r w:rsidRPr="00B818E7">
        <w:rPr>
          <w:rFonts w:ascii="Palatino Linotype" w:hAnsi="Palatino Linotype" w:cs="Arial"/>
          <w:color w:val="000000" w:themeColor="text1"/>
          <w:sz w:val="24"/>
          <w:szCs w:val="24"/>
        </w:rPr>
        <w:t xml:space="preserve">entrego la información descrita en el párrafo </w:t>
      </w:r>
      <w:r w:rsidR="00313792" w:rsidRPr="00B818E7">
        <w:rPr>
          <w:rFonts w:ascii="Palatino Linotype" w:hAnsi="Palatino Linotype" w:cs="Arial"/>
          <w:color w:val="000000" w:themeColor="text1"/>
          <w:sz w:val="24"/>
          <w:szCs w:val="24"/>
        </w:rPr>
        <w:t xml:space="preserve">dos </w:t>
      </w:r>
      <w:r w:rsidRPr="00B818E7">
        <w:rPr>
          <w:rFonts w:ascii="Palatino Linotype" w:hAnsi="Palatino Linotype" w:cs="Arial"/>
          <w:color w:val="000000" w:themeColor="text1"/>
          <w:sz w:val="24"/>
          <w:szCs w:val="24"/>
        </w:rPr>
        <w:t xml:space="preserve"> de la presente resolución. </w:t>
      </w:r>
    </w:p>
    <w:p w:rsidR="00E2175B" w:rsidRPr="00B818E7" w:rsidRDefault="00E2175B" w:rsidP="00B818E7">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E2175B" w:rsidRPr="00B818E7" w:rsidRDefault="00E2175B" w:rsidP="00B818E7">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B818E7">
        <w:rPr>
          <w:rFonts w:ascii="Palatino Linotype" w:eastAsia="MS Mincho" w:hAnsi="Palatino Linotype" w:cs="Arial"/>
          <w:color w:val="000000" w:themeColor="text1"/>
          <w:sz w:val="24"/>
          <w:szCs w:val="24"/>
        </w:rPr>
        <w:t xml:space="preserve">En </w:t>
      </w:r>
      <w:r w:rsidRPr="00B818E7">
        <w:rPr>
          <w:rFonts w:ascii="Palatino Linotype" w:hAnsi="Palatino Linotype" w:cs="Arial"/>
          <w:color w:val="000000" w:themeColor="text1"/>
          <w:sz w:val="24"/>
          <w:szCs w:val="24"/>
          <w:lang w:eastAsia="es-MX"/>
        </w:rPr>
        <w:t>dichas</w:t>
      </w:r>
      <w:r w:rsidRPr="00B818E7">
        <w:rPr>
          <w:rFonts w:ascii="Palatino Linotype" w:hAnsi="Palatino Linotype" w:cs="Arial"/>
          <w:color w:val="000000" w:themeColor="text1"/>
          <w:sz w:val="24"/>
          <w:szCs w:val="24"/>
        </w:rPr>
        <w:t xml:space="preserve"> condiciones, la </w:t>
      </w:r>
      <w:r w:rsidRPr="00B818E7">
        <w:rPr>
          <w:rFonts w:ascii="Palatino Linotype" w:hAnsi="Palatino Linotype" w:cs="Arial"/>
          <w:i/>
          <w:color w:val="000000" w:themeColor="text1"/>
          <w:sz w:val="24"/>
          <w:szCs w:val="24"/>
        </w:rPr>
        <w:t>Litis</w:t>
      </w:r>
      <w:r w:rsidRPr="00B818E7">
        <w:rPr>
          <w:rFonts w:ascii="Palatino Linotype" w:hAnsi="Palatino Linotype" w:cs="Arial"/>
          <w:color w:val="000000" w:themeColor="text1"/>
          <w:sz w:val="24"/>
          <w:szCs w:val="24"/>
        </w:rPr>
        <w:t xml:space="preserve"> a resolver en este recurso se circunscribe a determinar si </w:t>
      </w:r>
      <w:r w:rsidRPr="00B818E7">
        <w:rPr>
          <w:rFonts w:ascii="Palatino Linotype" w:eastAsia="MS Mincho" w:hAnsi="Palatino Linotype" w:cs="Arial"/>
          <w:color w:val="000000" w:themeColor="text1"/>
          <w:sz w:val="24"/>
          <w:szCs w:val="24"/>
        </w:rPr>
        <w:t xml:space="preserve">se actualizan las causales de procedencia previstas en el artículo 179, </w:t>
      </w:r>
      <w:r w:rsidR="00313792" w:rsidRPr="00B818E7">
        <w:rPr>
          <w:rFonts w:ascii="Palatino Linotype" w:eastAsia="MS Mincho" w:hAnsi="Palatino Linotype" w:cs="Arial"/>
          <w:b/>
          <w:color w:val="000000" w:themeColor="text1"/>
          <w:sz w:val="24"/>
          <w:szCs w:val="24"/>
        </w:rPr>
        <w:t>fracción I</w:t>
      </w:r>
      <w:r w:rsidRPr="00B818E7">
        <w:rPr>
          <w:rFonts w:ascii="Palatino Linotype" w:eastAsia="MS Mincho" w:hAnsi="Palatino Linotype" w:cs="Arial"/>
          <w:b/>
          <w:color w:val="000000" w:themeColor="text1"/>
          <w:sz w:val="24"/>
          <w:szCs w:val="24"/>
        </w:rPr>
        <w:t xml:space="preserve"> </w:t>
      </w:r>
      <w:r w:rsidRPr="00B818E7">
        <w:rPr>
          <w:rFonts w:ascii="Palatino Linotype" w:eastAsia="MS Mincho" w:hAnsi="Palatino Linotype" w:cs="Arial"/>
          <w:color w:val="000000" w:themeColor="text1"/>
          <w:sz w:val="24"/>
          <w:szCs w:val="24"/>
        </w:rPr>
        <w:t>de la</w:t>
      </w:r>
      <w:r w:rsidRPr="00B818E7">
        <w:rPr>
          <w:rFonts w:ascii="Palatino Linotype" w:hAnsi="Palatino Linotype" w:cs="Arial"/>
          <w:color w:val="000000" w:themeColor="text1"/>
          <w:sz w:val="24"/>
          <w:szCs w:val="24"/>
          <w:lang w:eastAsia="es-MX"/>
        </w:rPr>
        <w:t xml:space="preserve"> Ley</w:t>
      </w:r>
      <w:r w:rsidRPr="00B818E7">
        <w:rPr>
          <w:rFonts w:ascii="Palatino Linotype" w:eastAsia="MS Mincho" w:hAnsi="Palatino Linotype" w:cs="Arial"/>
          <w:b/>
          <w:color w:val="000000" w:themeColor="text1"/>
          <w:sz w:val="24"/>
          <w:szCs w:val="24"/>
        </w:rPr>
        <w:t xml:space="preserve"> de Transparencia y Acceso a la Información Pública del Estado de </w:t>
      </w:r>
      <w:r w:rsidRPr="00B818E7">
        <w:rPr>
          <w:rFonts w:ascii="Palatino Linotype" w:hAnsi="Palatino Linotype" w:cs="Arial"/>
          <w:color w:val="000000" w:themeColor="text1"/>
          <w:sz w:val="24"/>
          <w:szCs w:val="24"/>
        </w:rPr>
        <w:t>México</w:t>
      </w:r>
      <w:r w:rsidRPr="00B818E7">
        <w:rPr>
          <w:rFonts w:ascii="Palatino Linotype" w:eastAsia="MS Mincho" w:hAnsi="Palatino Linotype" w:cs="Arial"/>
          <w:b/>
          <w:color w:val="000000" w:themeColor="text1"/>
          <w:sz w:val="24"/>
          <w:szCs w:val="24"/>
        </w:rPr>
        <w:t xml:space="preserve"> y Municipios</w:t>
      </w:r>
      <w:r w:rsidRPr="00B818E7">
        <w:rPr>
          <w:rFonts w:ascii="Palatino Linotype" w:eastAsia="MS Mincho" w:hAnsi="Palatino Linotype" w:cs="Arial"/>
          <w:color w:val="000000" w:themeColor="text1"/>
          <w:sz w:val="24"/>
          <w:szCs w:val="24"/>
        </w:rPr>
        <w:t xml:space="preserve">; </w:t>
      </w:r>
      <w:r w:rsidR="00313792" w:rsidRPr="00B818E7">
        <w:rPr>
          <w:rFonts w:ascii="Palatino Linotype" w:hAnsi="Palatino Linotype" w:cs="Arial"/>
          <w:color w:val="000000" w:themeColor="text1"/>
          <w:sz w:val="24"/>
          <w:szCs w:val="24"/>
          <w:lang w:eastAsia="es-MX"/>
        </w:rPr>
        <w:t xml:space="preserve">fracción </w:t>
      </w:r>
      <w:r w:rsidRPr="00B818E7">
        <w:rPr>
          <w:rFonts w:ascii="Palatino Linotype" w:hAnsi="Palatino Linotype" w:cs="Arial"/>
          <w:color w:val="000000" w:themeColor="text1"/>
          <w:sz w:val="24"/>
          <w:szCs w:val="24"/>
          <w:lang w:eastAsia="es-MX"/>
        </w:rPr>
        <w:t xml:space="preserve">que determinan la </w:t>
      </w:r>
      <w:r w:rsidR="00313792" w:rsidRPr="00B818E7">
        <w:rPr>
          <w:rFonts w:ascii="Palatino Linotype" w:hAnsi="Palatino Linotype" w:cs="Arial"/>
          <w:color w:val="000000" w:themeColor="text1"/>
          <w:sz w:val="24"/>
          <w:szCs w:val="24"/>
          <w:lang w:eastAsia="es-MX"/>
        </w:rPr>
        <w:t>negativa de la información solicitada.</w:t>
      </w:r>
      <w:r w:rsidRPr="00B818E7">
        <w:rPr>
          <w:rFonts w:ascii="Palatino Linotype" w:hAnsi="Palatino Linotype" w:cs="Arial"/>
          <w:color w:val="000000" w:themeColor="text1"/>
          <w:sz w:val="24"/>
          <w:szCs w:val="24"/>
          <w:lang w:eastAsia="es-MX"/>
        </w:rPr>
        <w:t xml:space="preserve">; </w:t>
      </w:r>
      <w:r w:rsidRPr="00B818E7">
        <w:rPr>
          <w:rFonts w:ascii="Palatino Linotype" w:eastAsia="MS Mincho" w:hAnsi="Palatino Linotype" w:cs="Arial"/>
          <w:color w:val="000000" w:themeColor="text1"/>
          <w:sz w:val="24"/>
          <w:szCs w:val="24"/>
        </w:rPr>
        <w:t xml:space="preserve">contexto del cual se dolió </w:t>
      </w:r>
      <w:r w:rsidRPr="00B818E7">
        <w:rPr>
          <w:rFonts w:ascii="Palatino Linotype" w:eastAsia="MS Mincho" w:hAnsi="Palatino Linotype" w:cs="Arial"/>
          <w:b/>
          <w:color w:val="000000" w:themeColor="text1"/>
          <w:sz w:val="24"/>
          <w:szCs w:val="24"/>
        </w:rPr>
        <w:t xml:space="preserve">EL RECURRENTE </w:t>
      </w:r>
      <w:r w:rsidRPr="00B818E7">
        <w:rPr>
          <w:rFonts w:ascii="Palatino Linotype" w:eastAsia="MS Mincho" w:hAnsi="Palatino Linotype" w:cs="Arial"/>
          <w:color w:val="000000" w:themeColor="text1"/>
          <w:sz w:val="24"/>
          <w:szCs w:val="24"/>
        </w:rPr>
        <w:t>al momento de interponer su inconformidad.</w:t>
      </w:r>
    </w:p>
    <w:p w:rsidR="00E2175B" w:rsidRPr="00B818E7" w:rsidRDefault="00E2175B" w:rsidP="00B818E7">
      <w:pPr>
        <w:pStyle w:val="Prrafodelista"/>
        <w:spacing w:line="360" w:lineRule="auto"/>
        <w:ind w:left="0"/>
        <w:contextualSpacing/>
        <w:jc w:val="both"/>
        <w:rPr>
          <w:rFonts w:ascii="Palatino Linotype" w:eastAsia="MS Mincho" w:hAnsi="Palatino Linotype" w:cs="Arial"/>
          <w:color w:val="000000" w:themeColor="text1"/>
          <w:sz w:val="24"/>
          <w:szCs w:val="24"/>
        </w:rPr>
      </w:pPr>
    </w:p>
    <w:p w:rsidR="00E2175B" w:rsidRPr="00B818E7" w:rsidRDefault="00E2175B" w:rsidP="00B818E7">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B818E7">
        <w:rPr>
          <w:rFonts w:ascii="Palatino Linotype" w:hAnsi="Palatino Linotype" w:cs="Arial"/>
          <w:color w:val="000000" w:themeColor="text1"/>
          <w:sz w:val="24"/>
          <w:szCs w:val="24"/>
          <w:lang w:eastAsia="es-MX"/>
        </w:rPr>
        <w:t xml:space="preserve">De modo tal </w:t>
      </w:r>
      <w:r w:rsidRPr="00B818E7">
        <w:rPr>
          <w:rFonts w:ascii="Palatino Linotype" w:hAnsi="Palatino Linotype" w:cs="Arial"/>
          <w:color w:val="000000" w:themeColor="text1"/>
          <w:sz w:val="24"/>
          <w:szCs w:val="24"/>
        </w:rPr>
        <w:t xml:space="preserve">que el presente recurso de revisión se abocara en determinar si el </w:t>
      </w:r>
      <w:r w:rsidRPr="00B818E7">
        <w:rPr>
          <w:rFonts w:ascii="Palatino Linotype" w:eastAsia="MS Mincho" w:hAnsi="Palatino Linotype" w:cs="Arial"/>
          <w:b/>
          <w:color w:val="000000" w:themeColor="text1"/>
          <w:sz w:val="24"/>
          <w:szCs w:val="24"/>
        </w:rPr>
        <w:t>SUJETO</w:t>
      </w:r>
      <w:r w:rsidRPr="00B818E7">
        <w:rPr>
          <w:rFonts w:ascii="Palatino Linotype" w:hAnsi="Palatino Linotype" w:cs="Arial"/>
          <w:b/>
          <w:color w:val="000000" w:themeColor="text1"/>
          <w:sz w:val="24"/>
          <w:szCs w:val="24"/>
        </w:rPr>
        <w:t xml:space="preserve"> OBLIGADO</w:t>
      </w:r>
      <w:r w:rsidRPr="00B818E7">
        <w:rPr>
          <w:rFonts w:ascii="Palatino Linotype" w:hAnsi="Palatino Linotype" w:cs="Arial"/>
          <w:color w:val="000000" w:themeColor="text1"/>
          <w:sz w:val="24"/>
          <w:szCs w:val="24"/>
        </w:rPr>
        <w:t xml:space="preserve"> con su respuesta ciertamente </w:t>
      </w:r>
      <w:r w:rsidRPr="00B818E7">
        <w:rPr>
          <w:rFonts w:ascii="Palatino Linotype" w:hAnsi="Palatino Linotype"/>
          <w:color w:val="000000" w:themeColor="text1"/>
          <w:sz w:val="24"/>
          <w:szCs w:val="24"/>
        </w:rPr>
        <w:t>actualiza la causal de procedencia</w:t>
      </w:r>
      <w:r w:rsidRPr="00B818E7">
        <w:rPr>
          <w:rFonts w:ascii="Palatino Linotype" w:hAnsi="Palatino Linotype"/>
          <w:b/>
          <w:color w:val="000000" w:themeColor="text1"/>
          <w:sz w:val="24"/>
          <w:szCs w:val="24"/>
        </w:rPr>
        <w:t xml:space="preserve"> </w:t>
      </w:r>
      <w:r w:rsidRPr="00B818E7">
        <w:rPr>
          <w:rFonts w:ascii="Palatino Linotype" w:hAnsi="Palatino Linotype" w:cs="Arial"/>
          <w:color w:val="000000" w:themeColor="text1"/>
          <w:sz w:val="24"/>
          <w:szCs w:val="24"/>
          <w:lang w:eastAsia="es-MX"/>
        </w:rPr>
        <w:t>antes señalada</w:t>
      </w:r>
      <w:r w:rsidRPr="00B818E7">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E2175B" w:rsidRPr="00B818E7" w:rsidRDefault="00E2175B" w:rsidP="00B818E7">
      <w:pPr>
        <w:keepNext/>
        <w:keepLines/>
        <w:spacing w:line="360" w:lineRule="auto"/>
        <w:jc w:val="both"/>
        <w:outlineLvl w:val="1"/>
        <w:rPr>
          <w:rFonts w:ascii="Palatino Linotype" w:eastAsia="Palatino Linotype" w:hAnsi="Palatino Linotype" w:cs="Palatino Linotype"/>
          <w:b/>
          <w:color w:val="000000" w:themeColor="text1"/>
          <w:lang w:val="es-ES_tradnl" w:eastAsia="es-ES"/>
        </w:rPr>
      </w:pPr>
      <w:r w:rsidRPr="00B818E7">
        <w:rPr>
          <w:rFonts w:ascii="Palatino Linotype" w:eastAsia="Palatino Linotype" w:hAnsi="Palatino Linotype" w:cs="Palatino Linotype"/>
          <w:b/>
          <w:color w:val="000000" w:themeColor="text1"/>
          <w:lang w:val="es-ES_tradnl" w:eastAsia="es-ES"/>
        </w:rPr>
        <w:lastRenderedPageBreak/>
        <w:t>CUARTO. Del estudio y resolución del estudio.</w:t>
      </w:r>
    </w:p>
    <w:p w:rsidR="00E2175B" w:rsidRPr="00B818E7" w:rsidRDefault="00E2175B" w:rsidP="00B818E7">
      <w:pPr>
        <w:keepNext/>
        <w:keepLines/>
        <w:numPr>
          <w:ilvl w:val="0"/>
          <w:numId w:val="3"/>
        </w:numPr>
        <w:spacing w:after="240" w:line="360" w:lineRule="auto"/>
        <w:ind w:left="0" w:firstLine="0"/>
        <w:jc w:val="both"/>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B818E7">
        <w:rPr>
          <w:rFonts w:ascii="Palatino Linotype" w:eastAsia="Palatino Linotype" w:hAnsi="Palatino Linotype" w:cs="Palatino Linotype"/>
          <w:b/>
          <w:color w:val="000000" w:themeColor="text1"/>
          <w:lang w:val="es-ES_tradnl" w:eastAsia="es-ES"/>
        </w:rPr>
        <w:t>Del derecho de acceso a la información.</w:t>
      </w:r>
    </w:p>
    <w:p w:rsidR="00E2175B" w:rsidRPr="00B818E7" w:rsidRDefault="00E2175B" w:rsidP="00B818E7">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B818E7">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2175B" w:rsidRPr="00B818E7" w:rsidRDefault="00E2175B" w:rsidP="00B818E7">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B818E7">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B818E7">
        <w:rPr>
          <w:rFonts w:ascii="Palatino Linotype" w:eastAsia="Palatino Linotype" w:hAnsi="Palatino Linotype" w:cs="Palatino Linotype"/>
          <w:i/>
          <w:color w:val="000000" w:themeColor="text1"/>
          <w:vertAlign w:val="superscript"/>
          <w:lang w:val="es-ES_tradnl" w:eastAsia="es-ES"/>
        </w:rPr>
        <w:footnoteReference w:id="1"/>
      </w:r>
      <w:r w:rsidRPr="00B818E7">
        <w:rPr>
          <w:rFonts w:ascii="Palatino Linotype" w:eastAsia="Palatino Linotype" w:hAnsi="Palatino Linotype" w:cs="Palatino Linotype"/>
          <w:i/>
          <w:color w:val="000000" w:themeColor="text1"/>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818E7">
        <w:rPr>
          <w:rFonts w:ascii="Palatino Linotype" w:eastAsia="Palatino Linotype" w:hAnsi="Palatino Linotype" w:cs="Palatino Linotype"/>
          <w:i/>
          <w:color w:val="000000" w:themeColor="text1"/>
          <w:vertAlign w:val="superscript"/>
          <w:lang w:val="es-ES_tradnl" w:eastAsia="es-ES"/>
        </w:rPr>
        <w:footnoteReference w:id="2"/>
      </w:r>
      <w:r w:rsidRPr="00B818E7">
        <w:rPr>
          <w:rFonts w:ascii="Palatino Linotype" w:eastAsia="Palatino Linotype" w:hAnsi="Palatino Linotype" w:cs="Palatino Linotype"/>
          <w:color w:val="000000" w:themeColor="text1"/>
          <w:lang w:val="es-ES_tradnl" w:eastAsia="es-ES"/>
        </w:rPr>
        <w:t>que se constituye como una herramienta fundamental para ejercer</w:t>
      </w:r>
      <w:r w:rsidRPr="00B818E7">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B818E7">
        <w:rPr>
          <w:rFonts w:ascii="Palatino Linotype" w:eastAsia="Palatino Linotype" w:hAnsi="Palatino Linotype" w:cs="Palatino Linotype"/>
          <w:i/>
          <w:color w:val="000000" w:themeColor="text1"/>
          <w:vertAlign w:val="superscript"/>
          <w:lang w:val="es-ES_tradnl" w:eastAsia="es-ES"/>
        </w:rPr>
        <w:footnoteReference w:id="3"/>
      </w:r>
      <w:r w:rsidRPr="00B818E7">
        <w:rPr>
          <w:rFonts w:ascii="Palatino Linotype" w:eastAsia="Palatino Linotype" w:hAnsi="Palatino Linotype" w:cs="Palatino Linotype"/>
          <w:color w:val="000000" w:themeColor="text1"/>
          <w:lang w:val="es-ES_tradnl" w:eastAsia="es-ES"/>
        </w:rPr>
        <w:t>fomentando</w:t>
      </w:r>
      <w:r w:rsidRPr="00B818E7">
        <w:rPr>
          <w:rFonts w:ascii="Palatino Linotype" w:eastAsia="Palatino Linotype" w:hAnsi="Palatino Linotype" w:cs="Palatino Linotype"/>
          <w:i/>
          <w:color w:val="000000" w:themeColor="text1"/>
          <w:lang w:val="es-ES_tradnl" w:eastAsia="es-ES"/>
        </w:rPr>
        <w:t xml:space="preserve"> la transparencia de las actividades estatales y </w:t>
      </w:r>
      <w:r w:rsidRPr="00B818E7">
        <w:rPr>
          <w:rFonts w:ascii="Palatino Linotype" w:eastAsia="Palatino Linotype" w:hAnsi="Palatino Linotype" w:cs="Palatino Linotype"/>
          <w:color w:val="000000" w:themeColor="text1"/>
          <w:lang w:val="es-ES_tradnl" w:eastAsia="es-ES"/>
        </w:rPr>
        <w:t>promoviendo</w:t>
      </w:r>
      <w:r w:rsidRPr="00B818E7">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B818E7">
        <w:rPr>
          <w:rFonts w:ascii="Palatino Linotype" w:eastAsia="Palatino Linotype" w:hAnsi="Palatino Linotype" w:cs="Palatino Linotype"/>
          <w:i/>
          <w:color w:val="000000" w:themeColor="text1"/>
          <w:vertAlign w:val="superscript"/>
          <w:lang w:val="es-ES_tradnl" w:eastAsia="es-ES"/>
        </w:rPr>
        <w:footnoteReference w:id="4"/>
      </w:r>
      <w:r w:rsidRPr="00B818E7">
        <w:rPr>
          <w:rFonts w:ascii="Palatino Linotype" w:eastAsia="Palatino Linotype" w:hAnsi="Palatino Linotype" w:cs="Palatino Linotype"/>
          <w:color w:val="000000" w:themeColor="text1"/>
          <w:lang w:val="es-ES_tradnl" w:eastAsia="es-ES"/>
        </w:rPr>
        <w:t>que permite</w:t>
      </w:r>
      <w:r w:rsidRPr="00B818E7">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E2175B" w:rsidRPr="00B818E7" w:rsidRDefault="00E2175B" w:rsidP="00B818E7">
      <w:pPr>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i/>
          <w:color w:val="000000" w:themeColor="text1"/>
          <w:lang w:val="es-ES_tradnl" w:eastAsia="es-ES"/>
        </w:rPr>
        <w:t>“</w:t>
      </w:r>
      <w:r w:rsidRPr="00B818E7">
        <w:rPr>
          <w:rFonts w:ascii="Palatino Linotype" w:eastAsia="Palatino Linotype" w:hAnsi="Palatino Linotype" w:cs="Palatino Linotype"/>
          <w:b/>
          <w:i/>
          <w:color w:val="000000" w:themeColor="text1"/>
          <w:lang w:val="es-ES_tradnl" w:eastAsia="es-ES"/>
        </w:rPr>
        <w:t>Artículo 1.-</w:t>
      </w:r>
      <w:r w:rsidRPr="00B818E7">
        <w:rPr>
          <w:rFonts w:ascii="Palatino Linotype" w:eastAsia="Palatino Linotype" w:hAnsi="Palatino Linotype" w:cs="Palatino Linotype"/>
          <w:i/>
          <w:color w:val="000000" w:themeColor="text1"/>
          <w:lang w:val="es-ES_tradnl" w:eastAsia="es-ES"/>
        </w:rPr>
        <w:t xml:space="preserve"> </w:t>
      </w:r>
    </w:p>
    <w:p w:rsidR="00E2175B" w:rsidRPr="00B818E7" w:rsidRDefault="00E2175B" w:rsidP="00B818E7">
      <w:pPr>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i/>
          <w:color w:val="000000" w:themeColor="text1"/>
          <w:lang w:val="es-ES_tradnl" w:eastAsia="es-ES"/>
        </w:rPr>
        <w:t>(…)</w:t>
      </w:r>
    </w:p>
    <w:p w:rsidR="00E2175B" w:rsidRPr="00B818E7" w:rsidRDefault="00E2175B" w:rsidP="00B818E7">
      <w:pPr>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i/>
          <w:color w:val="000000" w:themeColor="text1"/>
          <w:lang w:val="es-ES_tradnl" w:eastAsia="es-ES"/>
        </w:rPr>
        <w:t>Todas las</w:t>
      </w:r>
      <w:r w:rsidRPr="00B818E7">
        <w:rPr>
          <w:rFonts w:ascii="Palatino Linotype" w:eastAsia="Palatino Linotype" w:hAnsi="Palatino Linotype" w:cs="Palatino Linotype"/>
          <w:color w:val="000000" w:themeColor="text1"/>
          <w:lang w:val="es-ES_tradnl" w:eastAsia="es-ES"/>
        </w:rPr>
        <w:t xml:space="preserve"> </w:t>
      </w:r>
      <w:r w:rsidRPr="00B818E7">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2175B" w:rsidRPr="00B818E7" w:rsidRDefault="00E2175B" w:rsidP="00B818E7">
      <w:pPr>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i/>
          <w:color w:val="000000" w:themeColor="text1"/>
          <w:lang w:val="es-ES_tradnl" w:eastAsia="es-ES"/>
        </w:rPr>
        <w:t>(…)</w:t>
      </w:r>
      <w:r w:rsidRPr="00B818E7">
        <w:rPr>
          <w:rFonts w:ascii="Palatino Linotype" w:eastAsia="Palatino Linotype" w:hAnsi="Palatino Linotype" w:cs="Palatino Linotype"/>
          <w:color w:val="000000" w:themeColor="text1"/>
          <w:lang w:val="es-ES_tradnl" w:eastAsia="es-ES"/>
        </w:rPr>
        <w:t>”.</w:t>
      </w:r>
    </w:p>
    <w:p w:rsidR="00E2175B" w:rsidRDefault="00E2175B" w:rsidP="00B818E7">
      <w:pPr>
        <w:jc w:val="both"/>
        <w:rPr>
          <w:rFonts w:ascii="Palatino Linotype" w:eastAsia="Palatino Linotype" w:hAnsi="Palatino Linotype" w:cs="Palatino Linotype"/>
          <w:b/>
          <w:color w:val="000000" w:themeColor="text1"/>
          <w:lang w:val="es-ES_tradnl" w:eastAsia="es-ES"/>
        </w:rPr>
      </w:pPr>
    </w:p>
    <w:p w:rsidR="00EB4BF7" w:rsidRPr="00B818E7" w:rsidRDefault="00EB4BF7" w:rsidP="00B818E7">
      <w:pPr>
        <w:jc w:val="both"/>
        <w:rPr>
          <w:rFonts w:ascii="Palatino Linotype" w:eastAsia="Palatino Linotype" w:hAnsi="Palatino Linotype" w:cs="Palatino Linotype"/>
          <w:b/>
          <w:color w:val="000000" w:themeColor="text1"/>
          <w:lang w:val="es-ES_tradnl" w:eastAsia="es-ES"/>
        </w:rPr>
      </w:pPr>
    </w:p>
    <w:p w:rsidR="00E2175B" w:rsidRPr="00B818E7" w:rsidRDefault="00E2175B"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2175B" w:rsidRPr="00B818E7" w:rsidRDefault="00E2175B" w:rsidP="00B818E7">
      <w:pPr>
        <w:spacing w:after="240"/>
        <w:jc w:val="both"/>
        <w:rPr>
          <w:rFonts w:ascii="Palatino Linotype" w:eastAsia="Palatino Linotype" w:hAnsi="Palatino Linotype" w:cs="Palatino Linotype"/>
          <w:b/>
          <w:i/>
          <w:color w:val="000000" w:themeColor="text1"/>
          <w:lang w:val="es-ES_tradnl" w:eastAsia="es-ES"/>
        </w:rPr>
      </w:pPr>
      <w:r w:rsidRPr="00B818E7">
        <w:rPr>
          <w:rFonts w:ascii="Palatino Linotype" w:eastAsia="Palatino Linotype" w:hAnsi="Palatino Linotype" w:cs="Palatino Linotype"/>
          <w:b/>
          <w:i/>
          <w:color w:val="000000" w:themeColor="text1"/>
          <w:lang w:val="es-ES_tradnl" w:eastAsia="es-ES"/>
        </w:rPr>
        <w:t>Constitución Política de los Estados Unidos Mexicanos</w:t>
      </w:r>
    </w:p>
    <w:p w:rsidR="00E2175B" w:rsidRPr="00B818E7" w:rsidRDefault="00E2175B" w:rsidP="00B818E7">
      <w:pPr>
        <w:spacing w:before="240" w:after="240"/>
        <w:jc w:val="both"/>
        <w:rPr>
          <w:rFonts w:ascii="Palatino Linotype" w:eastAsia="Palatino Linotype" w:hAnsi="Palatino Linotype" w:cs="Palatino Linotype"/>
          <w:b/>
          <w:i/>
          <w:color w:val="000000" w:themeColor="text1"/>
          <w:lang w:val="es-ES_tradnl" w:eastAsia="es-ES"/>
        </w:rPr>
      </w:pPr>
      <w:r w:rsidRPr="00B818E7">
        <w:rPr>
          <w:rFonts w:ascii="Palatino Linotype" w:eastAsia="Palatino Linotype" w:hAnsi="Palatino Linotype" w:cs="Palatino Linotype"/>
          <w:b/>
          <w:i/>
          <w:color w:val="000000" w:themeColor="text1"/>
          <w:lang w:val="es-ES_tradnl" w:eastAsia="es-ES"/>
        </w:rPr>
        <w:t>“Artículo 6.</w:t>
      </w:r>
    </w:p>
    <w:p w:rsidR="00E2175B" w:rsidRPr="00B818E7" w:rsidRDefault="00E2175B" w:rsidP="00B818E7">
      <w:pPr>
        <w:spacing w:before="240" w:after="240"/>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i/>
          <w:color w:val="000000" w:themeColor="text1"/>
          <w:lang w:val="es-ES_tradnl" w:eastAsia="es-ES"/>
        </w:rPr>
        <w:t>(…)</w:t>
      </w:r>
    </w:p>
    <w:p w:rsidR="00E2175B" w:rsidRPr="00B818E7" w:rsidRDefault="00E2175B" w:rsidP="00B818E7">
      <w:pPr>
        <w:spacing w:before="240" w:after="240"/>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rsidR="00E2175B" w:rsidRPr="00B818E7" w:rsidRDefault="00E2175B" w:rsidP="00B818E7">
      <w:pPr>
        <w:spacing w:before="240" w:after="240"/>
        <w:jc w:val="both"/>
        <w:rPr>
          <w:rFonts w:ascii="Palatino Linotype" w:eastAsia="Palatino Linotype" w:hAnsi="Palatino Linotype" w:cs="Palatino Linotype"/>
          <w:b/>
          <w:i/>
          <w:color w:val="000000" w:themeColor="text1"/>
          <w:lang w:val="es-ES_tradnl" w:eastAsia="es-ES"/>
        </w:rPr>
      </w:pPr>
      <w:r w:rsidRPr="00B818E7">
        <w:rPr>
          <w:rFonts w:ascii="Palatino Linotype" w:eastAsia="Palatino Linotype" w:hAnsi="Palatino Linotype" w:cs="Palatino Linotype"/>
          <w:b/>
          <w:i/>
          <w:color w:val="000000" w:themeColor="text1"/>
          <w:lang w:val="es-ES_tradnl" w:eastAsia="es-ES"/>
        </w:rPr>
        <w:lastRenderedPageBreak/>
        <w:t>A</w:t>
      </w:r>
      <w:r w:rsidRPr="00B818E7">
        <w:rPr>
          <w:rFonts w:ascii="Palatino Linotype" w:eastAsia="Palatino Linotype" w:hAnsi="Palatino Linotype" w:cs="Palatino Linotype"/>
          <w:i/>
          <w:color w:val="000000" w:themeColor="text1"/>
          <w:lang w:val="es-ES_tradnl" w:eastAsia="es-ES"/>
        </w:rPr>
        <w:t xml:space="preserve">. </w:t>
      </w:r>
      <w:r w:rsidRPr="00B818E7">
        <w:rPr>
          <w:rFonts w:ascii="Palatino Linotype" w:eastAsia="Palatino Linotype" w:hAnsi="Palatino Linotype" w:cs="Palatino Linotype"/>
          <w:b/>
          <w:i/>
          <w:color w:val="000000" w:themeColor="text1"/>
          <w:lang w:val="es-ES_tradnl" w:eastAsia="es-ES"/>
        </w:rPr>
        <w:t>Para el ejercicio del derecho de acceso a la información</w:t>
      </w:r>
      <w:r w:rsidRPr="00B818E7">
        <w:rPr>
          <w:rFonts w:ascii="Palatino Linotype" w:eastAsia="Palatino Linotype" w:hAnsi="Palatino Linotype" w:cs="Palatino Linotype"/>
          <w:i/>
          <w:color w:val="000000" w:themeColor="text1"/>
          <w:lang w:val="es-ES_tradnl" w:eastAsia="es-ES"/>
        </w:rPr>
        <w:t xml:space="preserve">, la Federación y </w:t>
      </w:r>
      <w:r w:rsidRPr="00B818E7">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rsidR="00E2175B" w:rsidRPr="00B818E7" w:rsidRDefault="00E2175B" w:rsidP="00B818E7">
      <w:pPr>
        <w:spacing w:before="240" w:after="240"/>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b/>
          <w:i/>
          <w:color w:val="000000" w:themeColor="text1"/>
          <w:lang w:val="es-ES_tradnl" w:eastAsia="es-ES"/>
        </w:rPr>
        <w:t xml:space="preserve">I. </w:t>
      </w:r>
      <w:r w:rsidRPr="00B818E7">
        <w:rPr>
          <w:rFonts w:ascii="Palatino Linotype" w:eastAsia="Palatino Linotype" w:hAnsi="Palatino Linotype" w:cs="Palatino Linotype"/>
          <w:b/>
          <w:i/>
          <w:color w:val="000000" w:themeColor="text1"/>
          <w:lang w:val="es-ES_tradnl" w:eastAsia="es-ES"/>
        </w:rPr>
        <w:tab/>
        <w:t>Toda la información en posesión de cualquier</w:t>
      </w:r>
      <w:r w:rsidRPr="00B818E7">
        <w:rPr>
          <w:rFonts w:ascii="Palatino Linotype" w:eastAsia="Palatino Linotype" w:hAnsi="Palatino Linotype" w:cs="Palatino Linotype"/>
          <w:i/>
          <w:color w:val="000000" w:themeColor="text1"/>
          <w:lang w:val="es-ES_tradnl" w:eastAsia="es-ES"/>
        </w:rPr>
        <w:t xml:space="preserve"> </w:t>
      </w:r>
      <w:r w:rsidRPr="00B818E7">
        <w:rPr>
          <w:rFonts w:ascii="Palatino Linotype" w:eastAsia="Palatino Linotype" w:hAnsi="Palatino Linotype" w:cs="Palatino Linotype"/>
          <w:b/>
          <w:i/>
          <w:color w:val="000000" w:themeColor="text1"/>
          <w:lang w:val="es-ES_tradnl" w:eastAsia="es-ES"/>
        </w:rPr>
        <w:t>autoridad</w:t>
      </w:r>
      <w:r w:rsidRPr="00B818E7">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818E7">
        <w:rPr>
          <w:rFonts w:ascii="Palatino Linotype" w:eastAsia="Palatino Linotype" w:hAnsi="Palatino Linotype" w:cs="Palatino Linotype"/>
          <w:b/>
          <w:i/>
          <w:color w:val="000000" w:themeColor="text1"/>
          <w:lang w:val="es-ES_tradnl" w:eastAsia="es-ES"/>
        </w:rPr>
        <w:t>municipal</w:t>
      </w:r>
      <w:r w:rsidRPr="00B818E7">
        <w:rPr>
          <w:rFonts w:ascii="Palatino Linotype" w:eastAsia="Palatino Linotype" w:hAnsi="Palatino Linotype" w:cs="Palatino Linotype"/>
          <w:i/>
          <w:color w:val="000000" w:themeColor="text1"/>
          <w:lang w:val="es-ES_tradnl" w:eastAsia="es-ES"/>
        </w:rPr>
        <w:t xml:space="preserve">, </w:t>
      </w:r>
      <w:r w:rsidRPr="00B818E7">
        <w:rPr>
          <w:rFonts w:ascii="Palatino Linotype" w:eastAsia="Palatino Linotype" w:hAnsi="Palatino Linotype" w:cs="Palatino Linotype"/>
          <w:b/>
          <w:i/>
          <w:color w:val="000000" w:themeColor="text1"/>
          <w:lang w:val="es-ES_tradnl" w:eastAsia="es-ES"/>
        </w:rPr>
        <w:t>es pública</w:t>
      </w:r>
      <w:r w:rsidRPr="00B818E7">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B818E7">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B818E7">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E2175B" w:rsidRPr="00B818E7" w:rsidRDefault="00E2175B" w:rsidP="00B818E7">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E2175B" w:rsidRPr="00B818E7" w:rsidRDefault="00E2175B" w:rsidP="00B818E7">
      <w:pPr>
        <w:spacing w:before="240" w:after="240"/>
        <w:jc w:val="both"/>
        <w:rPr>
          <w:rFonts w:ascii="Palatino Linotype" w:eastAsia="Palatino Linotype" w:hAnsi="Palatino Linotype" w:cs="Palatino Linotype"/>
          <w:b/>
          <w:i/>
          <w:color w:val="000000" w:themeColor="text1"/>
          <w:lang w:val="es-ES_tradnl" w:eastAsia="es-ES"/>
        </w:rPr>
      </w:pPr>
      <w:r w:rsidRPr="00B818E7">
        <w:rPr>
          <w:rFonts w:ascii="Palatino Linotype" w:eastAsia="Palatino Linotype" w:hAnsi="Palatino Linotype" w:cs="Palatino Linotype"/>
          <w:b/>
          <w:i/>
          <w:color w:val="000000" w:themeColor="text1"/>
          <w:lang w:val="es-ES_tradnl" w:eastAsia="es-ES"/>
        </w:rPr>
        <w:t>Constitución Política del Estado Libre y Soberano de México</w:t>
      </w:r>
    </w:p>
    <w:p w:rsidR="00E2175B" w:rsidRPr="00B818E7" w:rsidRDefault="00E2175B" w:rsidP="00B818E7">
      <w:pPr>
        <w:spacing w:before="240" w:after="240"/>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b/>
          <w:i/>
          <w:color w:val="000000" w:themeColor="text1"/>
          <w:lang w:val="es-ES_tradnl" w:eastAsia="es-ES"/>
        </w:rPr>
        <w:t>“Artículo 5</w:t>
      </w:r>
      <w:r w:rsidRPr="00B818E7">
        <w:rPr>
          <w:rFonts w:ascii="Palatino Linotype" w:eastAsia="Palatino Linotype" w:hAnsi="Palatino Linotype" w:cs="Palatino Linotype"/>
          <w:i/>
          <w:color w:val="000000" w:themeColor="text1"/>
          <w:lang w:val="es-ES_tradnl" w:eastAsia="es-ES"/>
        </w:rPr>
        <w:t xml:space="preserve">.- </w:t>
      </w:r>
    </w:p>
    <w:p w:rsidR="00E2175B" w:rsidRPr="00B818E7" w:rsidRDefault="00E2175B" w:rsidP="00B818E7">
      <w:pPr>
        <w:spacing w:before="240" w:after="240"/>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i/>
          <w:color w:val="000000" w:themeColor="text1"/>
          <w:lang w:val="es-ES_tradnl" w:eastAsia="es-ES"/>
        </w:rPr>
        <w:t>(…)</w:t>
      </w:r>
    </w:p>
    <w:p w:rsidR="00E2175B" w:rsidRPr="00B818E7" w:rsidRDefault="00E2175B" w:rsidP="00B818E7">
      <w:pPr>
        <w:spacing w:before="240" w:after="240"/>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B818E7">
        <w:rPr>
          <w:rFonts w:ascii="Palatino Linotype" w:eastAsia="Palatino Linotype" w:hAnsi="Palatino Linotype" w:cs="Palatino Linotype"/>
          <w:i/>
          <w:color w:val="000000" w:themeColor="text1"/>
          <w:lang w:val="es-ES_tradnl" w:eastAsia="es-ES"/>
        </w:rPr>
        <w:t>.</w:t>
      </w:r>
    </w:p>
    <w:p w:rsidR="00E2175B" w:rsidRPr="00B818E7" w:rsidRDefault="00E2175B" w:rsidP="00B818E7">
      <w:pPr>
        <w:spacing w:before="240" w:after="240"/>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2175B" w:rsidRPr="00B818E7" w:rsidRDefault="00E2175B" w:rsidP="00B818E7">
      <w:pPr>
        <w:spacing w:before="240" w:after="240"/>
        <w:jc w:val="both"/>
        <w:rPr>
          <w:rFonts w:ascii="Palatino Linotype" w:eastAsia="Palatino Linotype" w:hAnsi="Palatino Linotype" w:cs="Palatino Linotype"/>
          <w:i/>
          <w:color w:val="000000" w:themeColor="text1"/>
          <w:lang w:val="es-ES_tradnl" w:eastAsia="es-ES"/>
        </w:rPr>
      </w:pPr>
      <w:r w:rsidRPr="00B818E7">
        <w:rPr>
          <w:rFonts w:ascii="Palatino Linotype" w:eastAsia="Palatino Linotype" w:hAnsi="Palatino Linotype" w:cs="Palatino Linotype"/>
          <w:b/>
          <w:i/>
          <w:color w:val="000000" w:themeColor="text1"/>
          <w:lang w:val="es-ES_tradnl" w:eastAsia="es-ES"/>
        </w:rPr>
        <w:t>Este derecho se regirá por los principios y bases siguientes</w:t>
      </w:r>
      <w:r w:rsidRPr="00B818E7">
        <w:rPr>
          <w:rFonts w:ascii="Palatino Linotype" w:eastAsia="Palatino Linotype" w:hAnsi="Palatino Linotype" w:cs="Palatino Linotype"/>
          <w:i/>
          <w:color w:val="000000" w:themeColor="text1"/>
          <w:lang w:val="es-ES_tradnl" w:eastAsia="es-ES"/>
        </w:rPr>
        <w:t>:</w:t>
      </w:r>
    </w:p>
    <w:p w:rsidR="00E2175B" w:rsidRPr="00EB4BF7" w:rsidRDefault="00E2175B" w:rsidP="00EB4BF7">
      <w:pPr>
        <w:pStyle w:val="Prrafodelista"/>
        <w:numPr>
          <w:ilvl w:val="0"/>
          <w:numId w:val="14"/>
        </w:numPr>
        <w:spacing w:before="240" w:after="240"/>
        <w:jc w:val="both"/>
        <w:rPr>
          <w:rFonts w:ascii="Palatino Linotype" w:eastAsia="Palatino Linotype" w:hAnsi="Palatino Linotype" w:cs="Palatino Linotype"/>
          <w:i/>
          <w:color w:val="000000" w:themeColor="text1"/>
          <w:sz w:val="24"/>
          <w:lang w:val="es-ES_tradnl" w:eastAsia="es-ES"/>
        </w:rPr>
      </w:pPr>
      <w:r w:rsidRPr="00EB4BF7">
        <w:rPr>
          <w:rFonts w:ascii="Palatino Linotype" w:eastAsia="Palatino Linotype" w:hAnsi="Palatino Linotype" w:cs="Palatino Linotype"/>
          <w:b/>
          <w:i/>
          <w:color w:val="000000" w:themeColor="text1"/>
          <w:sz w:val="24"/>
          <w:lang w:val="es-ES_tradnl" w:eastAsia="es-ES"/>
        </w:rPr>
        <w:t>Toda la información en posesión de cualquier autoridad, entidad, órgano y organismos de los</w:t>
      </w:r>
      <w:r w:rsidRPr="00EB4BF7">
        <w:rPr>
          <w:rFonts w:ascii="Palatino Linotype" w:eastAsia="Palatino Linotype" w:hAnsi="Palatino Linotype" w:cs="Palatino Linotype"/>
          <w:i/>
          <w:color w:val="000000" w:themeColor="text1"/>
          <w:sz w:val="24"/>
          <w:lang w:val="es-ES_tradnl" w:eastAsia="es-ES"/>
        </w:rPr>
        <w:t xml:space="preserve"> Poderes Ejecutivo, Legislativo y Judicial, órganos autónomos, partidos políticos, fideicomisos y fondos públicos estatales y </w:t>
      </w:r>
      <w:r w:rsidRPr="00EB4BF7">
        <w:rPr>
          <w:rFonts w:ascii="Palatino Linotype" w:eastAsia="Palatino Linotype" w:hAnsi="Palatino Linotype" w:cs="Palatino Linotype"/>
          <w:b/>
          <w:i/>
          <w:color w:val="000000" w:themeColor="text1"/>
          <w:sz w:val="24"/>
          <w:lang w:val="es-ES_tradnl" w:eastAsia="es-ES"/>
        </w:rPr>
        <w:t>municipales</w:t>
      </w:r>
      <w:r w:rsidRPr="00EB4BF7">
        <w:rPr>
          <w:rFonts w:ascii="Palatino Linotype" w:eastAsia="Palatino Linotype" w:hAnsi="Palatino Linotype" w:cs="Palatino Linotype"/>
          <w:i/>
          <w:color w:val="000000" w:themeColor="text1"/>
          <w:sz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B4BF7">
        <w:rPr>
          <w:rFonts w:ascii="Palatino Linotype" w:eastAsia="Palatino Linotype" w:hAnsi="Palatino Linotype" w:cs="Palatino Linotype"/>
          <w:b/>
          <w:i/>
          <w:color w:val="000000" w:themeColor="text1"/>
          <w:sz w:val="24"/>
          <w:lang w:val="es-ES_tradnl" w:eastAsia="es-ES"/>
        </w:rPr>
        <w:t xml:space="preserve">es </w:t>
      </w:r>
      <w:r w:rsidRPr="00EB4BF7">
        <w:rPr>
          <w:rFonts w:ascii="Palatino Linotype" w:eastAsia="Palatino Linotype" w:hAnsi="Palatino Linotype" w:cs="Palatino Linotype"/>
          <w:b/>
          <w:i/>
          <w:color w:val="000000" w:themeColor="text1"/>
          <w:sz w:val="24"/>
          <w:lang w:val="es-ES_tradnl" w:eastAsia="es-ES"/>
        </w:rPr>
        <w:lastRenderedPageBreak/>
        <w:t>pública</w:t>
      </w:r>
      <w:r w:rsidRPr="00EB4BF7">
        <w:rPr>
          <w:rFonts w:ascii="Palatino Linotype" w:eastAsia="Palatino Linotype" w:hAnsi="Palatino Linotype" w:cs="Palatino Linotype"/>
          <w:i/>
          <w:color w:val="000000" w:themeColor="text1"/>
          <w:sz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EB4BF7">
        <w:rPr>
          <w:rFonts w:ascii="Palatino Linotype" w:eastAsia="Palatino Linotype" w:hAnsi="Palatino Linotype" w:cs="Palatino Linotype"/>
          <w:b/>
          <w:i/>
          <w:color w:val="000000" w:themeColor="text1"/>
          <w:sz w:val="24"/>
          <w:lang w:val="es-ES_tradnl" w:eastAsia="es-ES"/>
        </w:rPr>
        <w:t>En la interpretación de este derecho deberá prevalecer el principio de máxima publicidad</w:t>
      </w:r>
      <w:r w:rsidRPr="00EB4BF7">
        <w:rPr>
          <w:rFonts w:ascii="Palatino Linotype" w:eastAsia="Palatino Linotype" w:hAnsi="Palatino Linotype" w:cs="Palatino Linotype"/>
          <w:i/>
          <w:color w:val="000000" w:themeColor="text1"/>
          <w:sz w:val="24"/>
          <w:lang w:val="es-ES_tradnl" w:eastAsia="es-ES"/>
        </w:rPr>
        <w:t xml:space="preserve">. </w:t>
      </w:r>
      <w:r w:rsidRPr="00EB4BF7">
        <w:rPr>
          <w:rFonts w:ascii="Palatino Linotype" w:eastAsia="Palatino Linotype" w:hAnsi="Palatino Linotype" w:cs="Palatino Linotype"/>
          <w:b/>
          <w:i/>
          <w:color w:val="000000" w:themeColor="text1"/>
          <w:sz w:val="24"/>
          <w:lang w:val="es-ES_tradnl" w:eastAsia="es-ES"/>
        </w:rPr>
        <w:t>Los sujetos obligados deberán documentar todo acto que derive del ejercicio de sus facultades, competencias o funciones</w:t>
      </w:r>
      <w:r w:rsidRPr="00EB4BF7">
        <w:rPr>
          <w:rFonts w:ascii="Palatino Linotype" w:eastAsia="Palatino Linotype" w:hAnsi="Palatino Linotype" w:cs="Palatino Linotype"/>
          <w:i/>
          <w:color w:val="000000" w:themeColor="text1"/>
          <w:sz w:val="24"/>
          <w:lang w:val="es-ES_tradnl" w:eastAsia="es-ES"/>
        </w:rPr>
        <w:t>, la ley determinará los supuestos específicos bajo los cuales procederá la declaración de inexistencia de la información.”</w:t>
      </w:r>
    </w:p>
    <w:p w:rsidR="00EB4BF7" w:rsidRPr="00EB4BF7" w:rsidRDefault="00EB4BF7" w:rsidP="00EB4BF7">
      <w:pPr>
        <w:spacing w:before="240" w:after="240"/>
        <w:jc w:val="both"/>
        <w:rPr>
          <w:rFonts w:ascii="Palatino Linotype" w:eastAsia="Palatino Linotype" w:hAnsi="Palatino Linotype" w:cs="Palatino Linotype"/>
          <w:i/>
          <w:color w:val="000000" w:themeColor="text1"/>
          <w:lang w:val="es-ES_tradnl" w:eastAsia="es-ES"/>
        </w:rPr>
      </w:pPr>
    </w:p>
    <w:p w:rsidR="00E2175B" w:rsidRPr="00B818E7" w:rsidRDefault="00E2175B" w:rsidP="00B818E7">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B818E7">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B818E7">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B818E7">
        <w:rPr>
          <w:rFonts w:ascii="Palatino Linotype" w:eastAsia="Palatino Linotype" w:hAnsi="Palatino Linotype" w:cs="Palatino Linotype"/>
          <w:i/>
          <w:color w:val="000000" w:themeColor="text1"/>
          <w:lang w:val="es-ES_tradnl" w:eastAsia="es-ES"/>
        </w:rPr>
        <w:t>solicitudes de acceso a la información</w:t>
      </w:r>
      <w:r w:rsidRPr="00B818E7">
        <w:rPr>
          <w:rFonts w:ascii="Palatino Linotype" w:eastAsia="Palatino Linotype" w:hAnsi="Palatino Linotype" w:cs="Palatino Linotype"/>
          <w:color w:val="000000" w:themeColor="text1"/>
          <w:lang w:val="es-ES_tradnl" w:eastAsia="es-ES"/>
        </w:rPr>
        <w:t>.</w:t>
      </w: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B818E7">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B818E7">
        <w:rPr>
          <w:rFonts w:ascii="Palatino Linotype" w:eastAsia="Palatino Linotype" w:hAnsi="Palatino Linotype" w:cs="Palatino Linotype"/>
          <w:b/>
          <w:color w:val="000000" w:themeColor="text1"/>
          <w:lang w:val="es-ES_tradnl" w:eastAsia="es-ES"/>
        </w:rPr>
        <w:t>SUJETO OBLIGADO</w:t>
      </w:r>
      <w:r w:rsidRPr="00B818E7">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keepNext/>
        <w:keepLines/>
        <w:spacing w:after="240" w:line="360" w:lineRule="auto"/>
        <w:jc w:val="both"/>
        <w:outlineLvl w:val="0"/>
        <w:rPr>
          <w:rFonts w:ascii="Palatino Linotype" w:eastAsia="Palatino Linotype" w:hAnsi="Palatino Linotype" w:cs="Palatino Linotype"/>
          <w:b/>
          <w:color w:val="000000" w:themeColor="text1"/>
          <w:lang w:val="es-ES_tradnl" w:eastAsia="es-ES"/>
        </w:rPr>
      </w:pPr>
      <w:bookmarkStart w:id="149" w:name="_heading=h.2s8eyo1" w:colFirst="0" w:colLast="0"/>
      <w:bookmarkEnd w:id="149"/>
      <w:r w:rsidRPr="00B818E7">
        <w:rPr>
          <w:rFonts w:ascii="Palatino Linotype" w:eastAsia="Palatino Linotype" w:hAnsi="Palatino Linotype" w:cs="Palatino Linotype"/>
          <w:b/>
          <w:color w:val="000000" w:themeColor="text1"/>
          <w:lang w:val="es-ES_tradnl" w:eastAsia="es-ES"/>
        </w:rPr>
        <w:lastRenderedPageBreak/>
        <w:t>II. De la información solicitada y la respuesta del SUJETO OBLIGADO</w:t>
      </w:r>
    </w:p>
    <w:p w:rsidR="00E2175B" w:rsidRPr="000A36C3" w:rsidRDefault="00E2175B"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 xml:space="preserve">Ahora bien mediante el siguiente cuadro de </w:t>
      </w:r>
      <w:r w:rsidR="000A36C3" w:rsidRPr="00B818E7">
        <w:rPr>
          <w:rFonts w:ascii="Palatino Linotype" w:eastAsia="Palatino Linotype" w:hAnsi="Palatino Linotype" w:cs="Palatino Linotype"/>
          <w:color w:val="000000" w:themeColor="text1"/>
          <w:lang w:val="es-ES_tradnl" w:eastAsia="es-ES"/>
        </w:rPr>
        <w:t>análisis</w:t>
      </w:r>
      <w:r w:rsidRPr="00B818E7">
        <w:rPr>
          <w:rFonts w:ascii="Palatino Linotype" w:eastAsia="Palatino Linotype" w:hAnsi="Palatino Linotype" w:cs="Palatino Linotype"/>
          <w:color w:val="000000" w:themeColor="text1"/>
          <w:lang w:val="es-ES_tradnl" w:eastAsia="es-ES"/>
        </w:rPr>
        <w:t xml:space="preserve"> se establece si el </w:t>
      </w:r>
      <w:r w:rsidRPr="00B818E7">
        <w:rPr>
          <w:rFonts w:ascii="Palatino Linotype" w:eastAsia="Palatino Linotype" w:hAnsi="Palatino Linotype" w:cs="Palatino Linotype"/>
          <w:b/>
          <w:color w:val="000000" w:themeColor="text1"/>
          <w:lang w:val="es-ES_tradnl" w:eastAsia="es-ES"/>
        </w:rPr>
        <w:t xml:space="preserve">SUJETO OBLIGADO </w:t>
      </w:r>
      <w:r w:rsidRPr="00B818E7">
        <w:rPr>
          <w:rFonts w:ascii="Palatino Linotype" w:eastAsia="Palatino Linotype" w:hAnsi="Palatino Linotype" w:cs="Palatino Linotype"/>
          <w:color w:val="000000" w:themeColor="text1"/>
          <w:lang w:val="es-ES_tradnl" w:eastAsia="es-ES"/>
        </w:rPr>
        <w:t xml:space="preserve">colmo el derecho de acceso a la información de recurrente.  es necesario precisar en una tabla la información solicitada por el </w:t>
      </w:r>
      <w:r w:rsidRPr="00B818E7">
        <w:rPr>
          <w:rFonts w:ascii="Palatino Linotype" w:eastAsia="Palatino Linotype" w:hAnsi="Palatino Linotype" w:cs="Palatino Linotype"/>
          <w:b/>
          <w:color w:val="000000" w:themeColor="text1"/>
          <w:lang w:val="es-ES_tradnl" w:eastAsia="es-ES"/>
        </w:rPr>
        <w:t xml:space="preserve">RECURRENTE </w:t>
      </w:r>
      <w:r w:rsidRPr="00B818E7">
        <w:rPr>
          <w:rFonts w:ascii="Palatino Linotype" w:eastAsia="Palatino Linotype" w:hAnsi="Palatino Linotype" w:cs="Palatino Linotype"/>
          <w:color w:val="000000" w:themeColor="text1"/>
          <w:lang w:val="es-ES_tradnl" w:eastAsia="es-ES"/>
        </w:rPr>
        <w:t xml:space="preserve">y la información remitida en respuesta por parte del </w:t>
      </w:r>
      <w:r w:rsidRPr="00B818E7">
        <w:rPr>
          <w:rFonts w:ascii="Palatino Linotype" w:eastAsia="Palatino Linotype" w:hAnsi="Palatino Linotype" w:cs="Palatino Linotype"/>
          <w:b/>
          <w:color w:val="000000" w:themeColor="text1"/>
          <w:lang w:val="es-ES_tradnl" w:eastAsia="es-ES"/>
        </w:rPr>
        <w:t xml:space="preserve">SUJETO OBLIGADO. </w:t>
      </w:r>
    </w:p>
    <w:p w:rsidR="000A36C3" w:rsidRPr="00B818E7" w:rsidRDefault="000A36C3" w:rsidP="000A36C3">
      <w:pPr>
        <w:spacing w:line="360" w:lineRule="auto"/>
        <w:jc w:val="both"/>
        <w:rPr>
          <w:rFonts w:ascii="Palatino Linotype" w:eastAsia="Palatino Linotype" w:hAnsi="Palatino Linotype" w:cs="Palatino Linotype"/>
          <w:color w:val="000000" w:themeColor="text1"/>
          <w:lang w:val="es-ES_tradnl" w:eastAsia="es-ES"/>
        </w:rPr>
      </w:pPr>
    </w:p>
    <w:tbl>
      <w:tblPr>
        <w:tblStyle w:val="Tablaconcuadrcula"/>
        <w:tblW w:w="9493" w:type="dxa"/>
        <w:tblLook w:val="04A0" w:firstRow="1" w:lastRow="0" w:firstColumn="1" w:lastColumn="0" w:noHBand="0" w:noVBand="1"/>
      </w:tblPr>
      <w:tblGrid>
        <w:gridCol w:w="414"/>
        <w:gridCol w:w="3928"/>
        <w:gridCol w:w="2599"/>
        <w:gridCol w:w="2552"/>
      </w:tblGrid>
      <w:tr w:rsidR="00B818E7" w:rsidRPr="00B818E7" w:rsidTr="00EB4BF7">
        <w:tc>
          <w:tcPr>
            <w:tcW w:w="414" w:type="dxa"/>
          </w:tcPr>
          <w:p w:rsidR="00E2175B" w:rsidRPr="00B818E7" w:rsidRDefault="00E2175B" w:rsidP="00B818E7">
            <w:pPr>
              <w:jc w:val="both"/>
              <w:rPr>
                <w:rFonts w:ascii="Palatino Linotype" w:eastAsia="Palatino Linotype" w:hAnsi="Palatino Linotype" w:cs="Palatino Linotype"/>
                <w:i/>
                <w:color w:val="000000" w:themeColor="text1"/>
                <w:lang w:eastAsia="es-ES"/>
              </w:rPr>
            </w:pPr>
          </w:p>
        </w:tc>
        <w:tc>
          <w:tcPr>
            <w:tcW w:w="3928" w:type="dxa"/>
          </w:tcPr>
          <w:p w:rsidR="00E2175B" w:rsidRPr="00B818E7" w:rsidRDefault="00E2175B" w:rsidP="00B818E7">
            <w:pPr>
              <w:jc w:val="both"/>
              <w:rPr>
                <w:rFonts w:ascii="Palatino Linotype" w:eastAsia="Palatino Linotype" w:hAnsi="Palatino Linotype" w:cs="Palatino Linotype"/>
                <w:i/>
                <w:color w:val="000000" w:themeColor="text1"/>
                <w:lang w:eastAsia="es-ES"/>
              </w:rPr>
            </w:pPr>
            <w:r w:rsidRPr="00B818E7">
              <w:rPr>
                <w:rFonts w:ascii="Palatino Linotype" w:eastAsia="Palatino Linotype" w:hAnsi="Palatino Linotype" w:cs="Palatino Linotype"/>
                <w:i/>
                <w:color w:val="000000" w:themeColor="text1"/>
                <w:lang w:eastAsia="es-ES"/>
              </w:rPr>
              <w:t xml:space="preserve">Solicitud </w:t>
            </w:r>
          </w:p>
        </w:tc>
        <w:tc>
          <w:tcPr>
            <w:tcW w:w="2599" w:type="dxa"/>
          </w:tcPr>
          <w:p w:rsidR="00E2175B" w:rsidRPr="00B818E7" w:rsidRDefault="00E2175B" w:rsidP="00B818E7">
            <w:pPr>
              <w:jc w:val="both"/>
              <w:rPr>
                <w:rFonts w:ascii="Palatino Linotype" w:eastAsia="Palatino Linotype" w:hAnsi="Palatino Linotype" w:cs="Palatino Linotype"/>
                <w:b/>
                <w:i/>
                <w:color w:val="000000" w:themeColor="text1"/>
                <w:lang w:eastAsia="es-ES"/>
              </w:rPr>
            </w:pPr>
            <w:r w:rsidRPr="00B818E7">
              <w:rPr>
                <w:rFonts w:ascii="Palatino Linotype" w:eastAsia="Palatino Linotype" w:hAnsi="Palatino Linotype" w:cs="Palatino Linotype"/>
                <w:i/>
                <w:color w:val="000000" w:themeColor="text1"/>
                <w:lang w:eastAsia="es-ES"/>
              </w:rPr>
              <w:t xml:space="preserve">Respuesta </w:t>
            </w:r>
          </w:p>
        </w:tc>
        <w:tc>
          <w:tcPr>
            <w:tcW w:w="2552" w:type="dxa"/>
          </w:tcPr>
          <w:p w:rsidR="00E2175B" w:rsidRPr="00B818E7" w:rsidRDefault="00E2175B" w:rsidP="00B818E7">
            <w:pPr>
              <w:jc w:val="both"/>
              <w:rPr>
                <w:rFonts w:ascii="Palatino Linotype" w:eastAsia="Palatino Linotype" w:hAnsi="Palatino Linotype" w:cs="Palatino Linotype"/>
                <w:i/>
                <w:color w:val="000000" w:themeColor="text1"/>
                <w:lang w:eastAsia="es-ES"/>
              </w:rPr>
            </w:pPr>
            <w:r w:rsidRPr="00B818E7">
              <w:rPr>
                <w:rFonts w:ascii="Palatino Linotype" w:eastAsia="Palatino Linotype" w:hAnsi="Palatino Linotype" w:cs="Palatino Linotype"/>
                <w:i/>
                <w:color w:val="000000" w:themeColor="text1"/>
                <w:lang w:eastAsia="es-ES"/>
              </w:rPr>
              <w:t xml:space="preserve">Colma </w:t>
            </w:r>
          </w:p>
        </w:tc>
      </w:tr>
      <w:tr w:rsidR="00B818E7" w:rsidRPr="00B818E7" w:rsidTr="00EB4BF7">
        <w:tc>
          <w:tcPr>
            <w:tcW w:w="414" w:type="dxa"/>
          </w:tcPr>
          <w:p w:rsidR="00E2175B" w:rsidRPr="00B818E7" w:rsidRDefault="00E2175B" w:rsidP="00B818E7">
            <w:pPr>
              <w:jc w:val="both"/>
              <w:rPr>
                <w:rFonts w:ascii="Palatino Linotype" w:eastAsia="Palatino Linotype" w:hAnsi="Palatino Linotype" w:cs="Palatino Linotype"/>
                <w:i/>
                <w:color w:val="000000" w:themeColor="text1"/>
                <w:lang w:eastAsia="es-ES"/>
              </w:rPr>
            </w:pPr>
            <w:r w:rsidRPr="00B818E7">
              <w:rPr>
                <w:rFonts w:ascii="Palatino Linotype" w:eastAsia="Palatino Linotype" w:hAnsi="Palatino Linotype" w:cs="Palatino Linotype"/>
                <w:i/>
                <w:color w:val="000000" w:themeColor="text1"/>
                <w:lang w:eastAsia="es-ES"/>
              </w:rPr>
              <w:t>1</w:t>
            </w:r>
          </w:p>
        </w:tc>
        <w:tc>
          <w:tcPr>
            <w:tcW w:w="3928" w:type="dxa"/>
          </w:tcPr>
          <w:p w:rsidR="007A3251" w:rsidRPr="00B818E7" w:rsidRDefault="007A3251" w:rsidP="00B818E7">
            <w:pPr>
              <w:jc w:val="both"/>
              <w:rPr>
                <w:rFonts w:ascii="Palatino Linotype" w:eastAsia="Palatino Linotype" w:hAnsi="Palatino Linotype" w:cs="Palatino Linotype"/>
                <w:b/>
                <w:i/>
                <w:color w:val="000000" w:themeColor="text1"/>
                <w:lang w:eastAsia="es-ES"/>
              </w:rPr>
            </w:pPr>
          </w:p>
          <w:p w:rsidR="007A3251" w:rsidRPr="00B818E7" w:rsidRDefault="007A3251" w:rsidP="00B818E7">
            <w:pPr>
              <w:jc w:val="both"/>
              <w:rPr>
                <w:rFonts w:ascii="Palatino Linotype" w:eastAsia="Palatino Linotype" w:hAnsi="Palatino Linotype" w:cs="Palatino Linotype"/>
                <w:b/>
                <w:i/>
                <w:color w:val="000000" w:themeColor="text1"/>
                <w:lang w:val="es-ES" w:eastAsia="es-ES"/>
              </w:rPr>
            </w:pPr>
            <w:r w:rsidRPr="00B818E7">
              <w:rPr>
                <w:rFonts w:ascii="Palatino Linotype" w:eastAsia="Palatino Linotype" w:hAnsi="Palatino Linotype" w:cs="Palatino Linotype"/>
                <w:b/>
                <w:i/>
                <w:color w:val="000000" w:themeColor="text1"/>
                <w:lang w:val="es-ES" w:eastAsia="es-ES"/>
              </w:rPr>
              <w:t xml:space="preserve">Examen Escrito De Conocimientos Teórico-Jurídicos </w:t>
            </w:r>
          </w:p>
          <w:p w:rsidR="007A3251" w:rsidRPr="00B818E7" w:rsidRDefault="007A3251" w:rsidP="00B818E7">
            <w:pPr>
              <w:jc w:val="both"/>
              <w:rPr>
                <w:rFonts w:ascii="Palatino Linotype" w:eastAsia="Palatino Linotype" w:hAnsi="Palatino Linotype" w:cs="Palatino Linotype"/>
                <w:b/>
                <w:i/>
                <w:color w:val="000000" w:themeColor="text1"/>
                <w:lang w:val="es-ES" w:eastAsia="es-ES"/>
              </w:rPr>
            </w:pPr>
          </w:p>
          <w:p w:rsidR="007A3251" w:rsidRPr="00B818E7" w:rsidRDefault="006D3DE4" w:rsidP="00B818E7">
            <w:pPr>
              <w:jc w:val="both"/>
              <w:rPr>
                <w:rFonts w:ascii="Palatino Linotype" w:eastAsia="Palatino Linotype" w:hAnsi="Palatino Linotype" w:cs="Palatino Linotype"/>
                <w:b/>
                <w:i/>
                <w:color w:val="000000" w:themeColor="text1"/>
                <w:lang w:val="es-ES" w:eastAsia="es-ES"/>
              </w:rPr>
            </w:pPr>
            <w:r w:rsidRPr="00B818E7">
              <w:rPr>
                <w:rFonts w:ascii="Palatino Linotype" w:eastAsia="Palatino Linotype" w:hAnsi="Palatino Linotype" w:cs="Palatino Linotype"/>
                <w:b/>
                <w:i/>
                <w:color w:val="000000" w:themeColor="text1"/>
                <w:lang w:val="es-ES" w:eastAsia="es-ES"/>
              </w:rPr>
              <w:t xml:space="preserve">Examen De Conocimientos Práctico Jurídicos </w:t>
            </w:r>
          </w:p>
          <w:p w:rsidR="00E2175B" w:rsidRPr="00B818E7" w:rsidRDefault="00E2175B" w:rsidP="00B818E7">
            <w:pPr>
              <w:jc w:val="both"/>
              <w:rPr>
                <w:rFonts w:ascii="Palatino Linotype" w:eastAsia="Palatino Linotype" w:hAnsi="Palatino Linotype" w:cs="Palatino Linotype"/>
                <w:b/>
                <w:i/>
                <w:color w:val="000000" w:themeColor="text1"/>
                <w:lang w:eastAsia="es-ES"/>
              </w:rPr>
            </w:pPr>
          </w:p>
        </w:tc>
        <w:tc>
          <w:tcPr>
            <w:tcW w:w="2599" w:type="dxa"/>
          </w:tcPr>
          <w:p w:rsidR="007A3F4A" w:rsidRPr="00B818E7" w:rsidRDefault="007A3F4A" w:rsidP="00B818E7">
            <w:pPr>
              <w:jc w:val="both"/>
              <w:rPr>
                <w:rFonts w:ascii="Palatino Linotype" w:eastAsia="Palatino Linotype" w:hAnsi="Palatino Linotype" w:cs="Palatino Linotype"/>
                <w:bCs/>
                <w:i/>
                <w:color w:val="000000" w:themeColor="text1"/>
                <w:lang w:val="es-MX" w:eastAsia="es-ES"/>
              </w:rPr>
            </w:pPr>
            <w:r w:rsidRPr="00B818E7">
              <w:rPr>
                <w:rFonts w:ascii="Palatino Linotype" w:eastAsia="Palatino Linotype" w:hAnsi="Palatino Linotype" w:cs="Palatino Linotype"/>
                <w:b/>
                <w:bCs/>
                <w:i/>
                <w:color w:val="000000" w:themeColor="text1"/>
                <w:lang w:val="es-MX" w:eastAsia="es-ES"/>
              </w:rPr>
              <w:t xml:space="preserve">RESPUESTA 420-2025.pdf: </w:t>
            </w:r>
            <w:r w:rsidRPr="00B818E7">
              <w:rPr>
                <w:rFonts w:ascii="Palatino Linotype" w:eastAsia="Palatino Linotype" w:hAnsi="Palatino Linotype" w:cs="Palatino Linotype"/>
                <w:bCs/>
                <w:i/>
                <w:color w:val="000000" w:themeColor="text1"/>
                <w:lang w:val="es-MX" w:eastAsia="es-ES"/>
              </w:rPr>
              <w:t xml:space="preserve">oficio del Titular de la Unidad de Transparencia, mediante el cual informa que la Coordinadora General de Información, refiere lo siguiente. </w:t>
            </w:r>
          </w:p>
          <w:p w:rsidR="007A3F4A" w:rsidRPr="00B818E7" w:rsidRDefault="007A3F4A" w:rsidP="00B818E7">
            <w:pPr>
              <w:jc w:val="both"/>
              <w:rPr>
                <w:rFonts w:ascii="Palatino Linotype" w:eastAsia="Palatino Linotype" w:hAnsi="Palatino Linotype" w:cs="Palatino Linotype"/>
                <w:b/>
                <w:bCs/>
                <w:i/>
                <w:color w:val="000000" w:themeColor="text1"/>
                <w:lang w:val="es-MX" w:eastAsia="es-ES"/>
              </w:rPr>
            </w:pPr>
            <w:r w:rsidRPr="00B818E7">
              <w:rPr>
                <w:rFonts w:ascii="Palatino Linotype" w:eastAsia="Palatino Linotype" w:hAnsi="Palatino Linotype" w:cs="Palatino Linotype"/>
                <w:bCs/>
                <w:i/>
                <w:color w:val="000000" w:themeColor="text1"/>
                <w:lang w:val="es-MX" w:eastAsia="es-ES"/>
              </w:rPr>
              <w:t xml:space="preserve">Los exámenes Escrito de Conocimientos Teórico-Jurídicos y de Conocimientos Práctico Jurídicos aplicados </w:t>
            </w:r>
            <w:r w:rsidRPr="00B818E7">
              <w:rPr>
                <w:rFonts w:ascii="Palatino Linotype" w:eastAsia="Palatino Linotype" w:hAnsi="Palatino Linotype" w:cs="Palatino Linotype"/>
                <w:b/>
                <w:bCs/>
                <w:i/>
                <w:color w:val="000000" w:themeColor="text1"/>
                <w:lang w:val="es-MX" w:eastAsia="es-ES"/>
              </w:rPr>
              <w:t xml:space="preserve">en los concursos de oposición de carrera judicial se integran a partir de bancos de reactivos y casos concretos, respectivamente, que son susceptibles de ser reutilizados aleatoriamente en distintos procesos de evaluación, por lo que </w:t>
            </w:r>
            <w:r w:rsidRPr="00B818E7">
              <w:rPr>
                <w:rFonts w:ascii="Palatino Linotype" w:eastAsia="Palatino Linotype" w:hAnsi="Palatino Linotype" w:cs="Palatino Linotype"/>
                <w:b/>
                <w:bCs/>
                <w:i/>
                <w:color w:val="000000" w:themeColor="text1"/>
                <w:lang w:val="es-MX" w:eastAsia="es-ES"/>
              </w:rPr>
              <w:lastRenderedPageBreak/>
              <w:t xml:space="preserve">la divulgación de preguntas y respuestas correctas puede generar un perjuicio al interés público, toda vez que dichos procesos encuadran en dicha categoría. Por tanto, la difusión de preguntas y respuestas correctas de los exámenes implica que, para futuros procesos, haya participantes que las conocen anticipadamente, menoscabando principios básicos de equidad e igualdad en los procesos evaluativos. </w:t>
            </w:r>
          </w:p>
          <w:p w:rsidR="007A3F4A" w:rsidRPr="00B818E7" w:rsidRDefault="007A3F4A" w:rsidP="00B818E7">
            <w:pPr>
              <w:jc w:val="both"/>
              <w:rPr>
                <w:rFonts w:ascii="Palatino Linotype" w:eastAsia="Palatino Linotype" w:hAnsi="Palatino Linotype" w:cs="Palatino Linotype"/>
                <w:bCs/>
                <w:i/>
                <w:color w:val="000000" w:themeColor="text1"/>
                <w:lang w:val="es-MX" w:eastAsia="es-ES"/>
              </w:rPr>
            </w:pPr>
            <w:r w:rsidRPr="00B818E7">
              <w:rPr>
                <w:rFonts w:ascii="Palatino Linotype" w:eastAsia="Palatino Linotype" w:hAnsi="Palatino Linotype" w:cs="Palatino Linotype"/>
                <w:bCs/>
                <w:i/>
                <w:color w:val="000000" w:themeColor="text1"/>
                <w:lang w:val="es-MX" w:eastAsia="es-ES"/>
              </w:rPr>
              <w:t xml:space="preserve">La integración de dichos bancos requiere de procesos de alta especialidad y actualización para garantizar su consistencia y validez teórica, práctica y pedagógica. La divulgación de los exámenes y sus respuestas correctas, </w:t>
            </w:r>
            <w:r w:rsidRPr="00B818E7">
              <w:rPr>
                <w:rFonts w:ascii="Palatino Linotype" w:eastAsia="Palatino Linotype" w:hAnsi="Palatino Linotype" w:cs="Palatino Linotype"/>
                <w:bCs/>
                <w:i/>
                <w:color w:val="000000" w:themeColor="text1"/>
                <w:lang w:val="es-MX" w:eastAsia="es-ES"/>
              </w:rPr>
              <w:lastRenderedPageBreak/>
              <w:t>anularía de facto una pertinente reutilización de las preguntas y casos que los conforman.</w:t>
            </w:r>
          </w:p>
          <w:p w:rsidR="007A3F4A" w:rsidRPr="00B818E7" w:rsidRDefault="007A3F4A" w:rsidP="00B818E7">
            <w:pPr>
              <w:jc w:val="both"/>
              <w:rPr>
                <w:rFonts w:ascii="Palatino Linotype" w:eastAsia="Palatino Linotype" w:hAnsi="Palatino Linotype" w:cs="Palatino Linotype"/>
                <w:bCs/>
                <w:i/>
                <w:color w:val="000000" w:themeColor="text1"/>
                <w:lang w:val="es-MX" w:eastAsia="es-ES"/>
              </w:rPr>
            </w:pPr>
            <w:r w:rsidRPr="00B818E7">
              <w:rPr>
                <w:rFonts w:ascii="Palatino Linotype" w:eastAsia="Palatino Linotype" w:hAnsi="Palatino Linotype" w:cs="Palatino Linotype"/>
                <w:bCs/>
                <w:i/>
                <w:color w:val="000000" w:themeColor="text1"/>
                <w:lang w:val="es-MX" w:eastAsia="es-ES"/>
              </w:rPr>
              <w:t xml:space="preserve">Para las designaciones a los cargos de Carrera Judicial en Poder Judicial del Estado de México, es requisito presentar y acreditar el Concurso de Oposición correspondiente, lo cual constituye un proceso de interés público. Por tanto, si se divulgan las preguntas y respuestas correctas de tos exámenes, puede derivar en que personas concursantes conozcan de ellas con antelación, lo cual generaría desigualdad y desventaja en las evaluaciones y, con ello, afectar las condiciones de equidad que deben prevalecer, en concordancia con el interés público. </w:t>
            </w:r>
          </w:p>
          <w:p w:rsidR="007A3F4A" w:rsidRPr="00B818E7" w:rsidRDefault="007A3F4A" w:rsidP="00B818E7">
            <w:pPr>
              <w:jc w:val="both"/>
              <w:rPr>
                <w:rFonts w:ascii="Palatino Linotype" w:eastAsia="Palatino Linotype" w:hAnsi="Palatino Linotype" w:cs="Palatino Linotype"/>
                <w:bCs/>
                <w:i/>
                <w:color w:val="000000" w:themeColor="text1"/>
                <w:lang w:val="es-MX" w:eastAsia="es-ES"/>
              </w:rPr>
            </w:pPr>
            <w:r w:rsidRPr="00B818E7">
              <w:rPr>
                <w:rFonts w:ascii="Palatino Linotype" w:eastAsia="Palatino Linotype" w:hAnsi="Palatino Linotype" w:cs="Palatino Linotype"/>
                <w:bCs/>
                <w:i/>
                <w:color w:val="000000" w:themeColor="text1"/>
                <w:lang w:val="es-MX" w:eastAsia="es-ES"/>
              </w:rPr>
              <w:t xml:space="preserve"> En cuanto a los Exámenes de Conocimientos Práctico-Jurídicos, éstos se diseñan con base en expedientes de casos </w:t>
            </w:r>
            <w:r w:rsidRPr="00B818E7">
              <w:rPr>
                <w:rFonts w:ascii="Palatino Linotype" w:eastAsia="Palatino Linotype" w:hAnsi="Palatino Linotype" w:cs="Palatino Linotype"/>
                <w:bCs/>
                <w:i/>
                <w:color w:val="000000" w:themeColor="text1"/>
                <w:lang w:val="es-MX" w:eastAsia="es-ES"/>
              </w:rPr>
              <w:lastRenderedPageBreak/>
              <w:t xml:space="preserve">reales que suelen contener datos personales de las partes involucradas y sus representantes susceptibles de ser identificables, cuya divulgación podría afectar la esfera privada de los mismos. </w:t>
            </w:r>
          </w:p>
          <w:p w:rsidR="00E2175B" w:rsidRPr="00B818E7" w:rsidRDefault="00E2175B" w:rsidP="00B818E7">
            <w:pPr>
              <w:jc w:val="both"/>
              <w:rPr>
                <w:rFonts w:ascii="Palatino Linotype" w:eastAsia="Palatino Linotype" w:hAnsi="Palatino Linotype" w:cs="Palatino Linotype"/>
                <w:i/>
                <w:color w:val="000000" w:themeColor="text1"/>
                <w:lang w:eastAsia="es-ES"/>
              </w:rPr>
            </w:pPr>
          </w:p>
        </w:tc>
        <w:tc>
          <w:tcPr>
            <w:tcW w:w="2552" w:type="dxa"/>
          </w:tcPr>
          <w:p w:rsidR="00E2175B" w:rsidRPr="00B818E7" w:rsidRDefault="007A3F4A" w:rsidP="00B818E7">
            <w:pPr>
              <w:jc w:val="both"/>
              <w:rPr>
                <w:rFonts w:ascii="Palatino Linotype" w:eastAsia="Palatino Linotype" w:hAnsi="Palatino Linotype" w:cs="Palatino Linotype"/>
                <w:i/>
                <w:color w:val="000000" w:themeColor="text1"/>
                <w:lang w:eastAsia="es-ES"/>
              </w:rPr>
            </w:pPr>
            <w:r w:rsidRPr="00B818E7">
              <w:rPr>
                <w:rFonts w:ascii="Palatino Linotype" w:eastAsia="Palatino Linotype" w:hAnsi="Palatino Linotype" w:cs="Palatino Linotype"/>
                <w:i/>
                <w:color w:val="000000" w:themeColor="text1"/>
                <w:lang w:eastAsia="es-ES"/>
              </w:rPr>
              <w:lastRenderedPageBreak/>
              <w:t>No colma, toda vez que se debió de haber emitido el acuerdo del Comité de Transparencia, mediante el cual de manera fundada y motivada se clasificara la información como confidencial y no hacerlo del conocimiento.</w:t>
            </w:r>
          </w:p>
        </w:tc>
      </w:tr>
      <w:tr w:rsidR="00E2175B" w:rsidRPr="00B818E7" w:rsidTr="00EB4BF7">
        <w:tc>
          <w:tcPr>
            <w:tcW w:w="414" w:type="dxa"/>
          </w:tcPr>
          <w:p w:rsidR="00E2175B" w:rsidRPr="00B818E7" w:rsidRDefault="00E2175B" w:rsidP="00B818E7">
            <w:pPr>
              <w:jc w:val="both"/>
              <w:rPr>
                <w:rFonts w:ascii="Palatino Linotype" w:eastAsia="Palatino Linotype" w:hAnsi="Palatino Linotype" w:cs="Palatino Linotype"/>
                <w:i/>
                <w:color w:val="000000" w:themeColor="text1"/>
                <w:lang w:eastAsia="es-ES"/>
              </w:rPr>
            </w:pPr>
            <w:r w:rsidRPr="00B818E7">
              <w:rPr>
                <w:rFonts w:ascii="Palatino Linotype" w:eastAsia="Palatino Linotype" w:hAnsi="Palatino Linotype" w:cs="Palatino Linotype"/>
                <w:i/>
                <w:color w:val="000000" w:themeColor="text1"/>
                <w:lang w:eastAsia="es-ES"/>
              </w:rPr>
              <w:lastRenderedPageBreak/>
              <w:t>2</w:t>
            </w:r>
          </w:p>
        </w:tc>
        <w:tc>
          <w:tcPr>
            <w:tcW w:w="3928" w:type="dxa"/>
          </w:tcPr>
          <w:p w:rsidR="007A3251" w:rsidRPr="00B818E7" w:rsidRDefault="007A3251" w:rsidP="00B818E7">
            <w:pPr>
              <w:contextualSpacing/>
              <w:jc w:val="both"/>
              <w:rPr>
                <w:rFonts w:ascii="Palatino Linotype" w:hAnsi="Palatino Linotype" w:cs="Arial"/>
                <w:b/>
                <w:i/>
                <w:color w:val="000000" w:themeColor="text1"/>
                <w:lang w:eastAsia="en-US"/>
              </w:rPr>
            </w:pPr>
            <w:r w:rsidRPr="00B818E7">
              <w:rPr>
                <w:rFonts w:ascii="Palatino Linotype" w:hAnsi="Palatino Linotype" w:cs="Arial"/>
                <w:b/>
                <w:i/>
                <w:color w:val="000000" w:themeColor="text1"/>
              </w:rPr>
              <w:t xml:space="preserve">Examen Oral De Conocimientos Teórico-Práctico-Jurídicos </w:t>
            </w:r>
          </w:p>
          <w:p w:rsidR="00E2175B" w:rsidRPr="00B818E7" w:rsidRDefault="00E2175B" w:rsidP="00B818E7">
            <w:pPr>
              <w:jc w:val="both"/>
              <w:rPr>
                <w:rFonts w:ascii="Palatino Linotype" w:eastAsia="Palatino Linotype" w:hAnsi="Palatino Linotype" w:cs="Palatino Linotype"/>
                <w:i/>
                <w:color w:val="000000" w:themeColor="text1"/>
                <w:lang w:eastAsia="es-ES"/>
              </w:rPr>
            </w:pPr>
          </w:p>
        </w:tc>
        <w:tc>
          <w:tcPr>
            <w:tcW w:w="2599" w:type="dxa"/>
          </w:tcPr>
          <w:p w:rsidR="00E2175B" w:rsidRPr="00B818E7" w:rsidRDefault="007A3F4A" w:rsidP="00B818E7">
            <w:pPr>
              <w:pStyle w:val="Prrafodelista"/>
              <w:ind w:left="0"/>
              <w:jc w:val="both"/>
              <w:rPr>
                <w:rFonts w:ascii="Palatino Linotype" w:eastAsia="Calibri" w:hAnsi="Palatino Linotype" w:cs="Arial"/>
                <w:i/>
                <w:color w:val="000000" w:themeColor="text1"/>
                <w:sz w:val="24"/>
                <w:szCs w:val="24"/>
              </w:rPr>
            </w:pPr>
            <w:r w:rsidRPr="00B818E7">
              <w:rPr>
                <w:rFonts w:ascii="Palatino Linotype" w:eastAsia="Calibri" w:hAnsi="Palatino Linotype" w:cs="Arial"/>
                <w:bCs/>
                <w:i/>
                <w:color w:val="000000" w:themeColor="text1"/>
                <w:sz w:val="24"/>
                <w:szCs w:val="24"/>
                <w:lang w:val="es-MX"/>
              </w:rPr>
              <w:t>Por lo que respecta al Examen Oral de Conocimientos Teórico-Práctico-Jurídicos, toda vez que se trata de una evaluación que aplica un cuerpo colegiado de personas expertas constituido en jurado con plena autonomía aplicativa y deliberativa, no existe un diseño previo, especifico y único de preguntas y respuestas, al tratarse de un proceso libre y abierto de réplica y contrarréplica</w:t>
            </w:r>
          </w:p>
        </w:tc>
        <w:tc>
          <w:tcPr>
            <w:tcW w:w="2552" w:type="dxa"/>
          </w:tcPr>
          <w:p w:rsidR="00E2175B" w:rsidRPr="00B818E7" w:rsidRDefault="007A3F4A" w:rsidP="00B818E7">
            <w:pPr>
              <w:jc w:val="both"/>
              <w:rPr>
                <w:rFonts w:ascii="Palatino Linotype" w:eastAsia="Palatino Linotype" w:hAnsi="Palatino Linotype" w:cs="Palatino Linotype"/>
                <w:i/>
                <w:color w:val="000000" w:themeColor="text1"/>
                <w:lang w:eastAsia="es-ES"/>
              </w:rPr>
            </w:pPr>
            <w:r w:rsidRPr="00B818E7">
              <w:rPr>
                <w:rFonts w:ascii="Palatino Linotype" w:eastAsia="Palatino Linotype" w:hAnsi="Palatino Linotype" w:cs="Palatino Linotype"/>
                <w:i/>
                <w:color w:val="000000" w:themeColor="text1"/>
                <w:lang w:eastAsia="es-ES"/>
              </w:rPr>
              <w:t xml:space="preserve">Colma, toda vez que se hace del conocimiento que no se sigue una guía para la realización de las preguntas, sino que las hace el cuerpo colegiado al momento de la presentación del examen. </w:t>
            </w:r>
          </w:p>
        </w:tc>
      </w:tr>
    </w:tbl>
    <w:p w:rsidR="00E2175B" w:rsidRPr="00B818E7" w:rsidRDefault="00E2175B" w:rsidP="00B818E7">
      <w:pPr>
        <w:jc w:val="both"/>
        <w:rPr>
          <w:rFonts w:ascii="Palatino Linotype" w:eastAsia="Palatino Linotype" w:hAnsi="Palatino Linotype" w:cs="Palatino Linotype"/>
          <w:color w:val="000000" w:themeColor="text1"/>
          <w:lang w:val="es-ES_tradnl" w:eastAsia="es-ES"/>
        </w:rPr>
      </w:pPr>
    </w:p>
    <w:p w:rsidR="005E6EEA" w:rsidRPr="00B818E7" w:rsidRDefault="005E6EEA"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 xml:space="preserve">De lo anterior, se tiene que el </w:t>
      </w:r>
      <w:r w:rsidRPr="00B818E7">
        <w:rPr>
          <w:rFonts w:ascii="Palatino Linotype" w:eastAsia="Palatino Linotype" w:hAnsi="Palatino Linotype" w:cs="Palatino Linotype"/>
          <w:b/>
          <w:color w:val="000000" w:themeColor="text1"/>
          <w:lang w:val="es-ES_tradnl" w:eastAsia="es-ES"/>
        </w:rPr>
        <w:t xml:space="preserve">SUJETO OBLIGADO </w:t>
      </w:r>
      <w:r w:rsidRPr="00B818E7">
        <w:rPr>
          <w:rFonts w:ascii="Palatino Linotype" w:eastAsia="Palatino Linotype" w:hAnsi="Palatino Linotype" w:cs="Palatino Linotype"/>
          <w:color w:val="000000" w:themeColor="text1"/>
          <w:lang w:val="es-ES_tradnl" w:eastAsia="es-ES"/>
        </w:rPr>
        <w:t xml:space="preserve">colmo parcialmente el derecho de acceso a la información del </w:t>
      </w:r>
      <w:r w:rsidRPr="00B818E7">
        <w:rPr>
          <w:rFonts w:ascii="Palatino Linotype" w:eastAsia="Palatino Linotype" w:hAnsi="Palatino Linotype" w:cs="Palatino Linotype"/>
          <w:b/>
          <w:color w:val="000000" w:themeColor="text1"/>
          <w:lang w:val="es-ES_tradnl" w:eastAsia="es-ES"/>
        </w:rPr>
        <w:t xml:space="preserve">RECURRENTE, </w:t>
      </w:r>
      <w:r w:rsidRPr="00B818E7">
        <w:rPr>
          <w:rFonts w:ascii="Palatino Linotype" w:eastAsia="Palatino Linotype" w:hAnsi="Palatino Linotype" w:cs="Palatino Linotype"/>
          <w:color w:val="000000" w:themeColor="text1"/>
          <w:lang w:val="es-ES_tradnl" w:eastAsia="es-ES"/>
        </w:rPr>
        <w:t>toda vez que de los Exámenes Orales de Conocimiento</w:t>
      </w:r>
      <w:r w:rsidR="002B71F2" w:rsidRPr="00B818E7">
        <w:rPr>
          <w:rFonts w:ascii="Palatino Linotype" w:eastAsia="Palatino Linotype" w:hAnsi="Palatino Linotype" w:cs="Palatino Linotype"/>
          <w:color w:val="000000" w:themeColor="text1"/>
          <w:lang w:val="es-ES_tradnl" w:eastAsia="es-ES"/>
        </w:rPr>
        <w:t xml:space="preserve"> Teóricos Prácticos, se realizan al momento y no previamente. </w:t>
      </w:r>
    </w:p>
    <w:p w:rsidR="002B71F2" w:rsidRPr="00B818E7" w:rsidRDefault="002B71F2" w:rsidP="00B818E7">
      <w:pPr>
        <w:spacing w:line="360" w:lineRule="auto"/>
        <w:jc w:val="both"/>
        <w:rPr>
          <w:rFonts w:ascii="Palatino Linotype" w:eastAsia="Palatino Linotype" w:hAnsi="Palatino Linotype" w:cs="Palatino Linotype"/>
          <w:color w:val="000000" w:themeColor="text1"/>
          <w:lang w:val="es-ES_tradnl" w:eastAsia="es-ES"/>
        </w:rPr>
      </w:pPr>
    </w:p>
    <w:p w:rsidR="002B71F2" w:rsidRPr="00B818E7" w:rsidRDefault="002B71F2"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lastRenderedPageBreak/>
        <w:t xml:space="preserve">En esa línea, se debe de analizar que de acuerdo con la Norma Administrativa  del </w:t>
      </w:r>
      <w:r w:rsidRPr="00B818E7">
        <w:rPr>
          <w:rFonts w:ascii="Palatino Linotype" w:eastAsia="Palatino Linotype" w:hAnsi="Palatino Linotype" w:cs="Palatino Linotype"/>
          <w:color w:val="000000" w:themeColor="text1"/>
          <w:lang w:eastAsia="es-ES"/>
        </w:rPr>
        <w:t>Seguimiento de los Procesos de Evaluación para Selectividad y Desempeño de las y los Servidores Públicos, y las y los Prestadores de Servicio Social, Prácticas Profesionales</w:t>
      </w:r>
      <w:r w:rsidR="00AD0551" w:rsidRPr="00B818E7">
        <w:rPr>
          <w:rFonts w:ascii="Palatino Linotype" w:eastAsia="Palatino Linotype" w:hAnsi="Palatino Linotype" w:cs="Palatino Linotype"/>
          <w:color w:val="000000" w:themeColor="text1"/>
          <w:lang w:eastAsia="es-ES"/>
        </w:rPr>
        <w:t xml:space="preserve"> y Practicas Meritorias Proceso para la</w:t>
      </w:r>
      <w:r w:rsidRPr="00B818E7">
        <w:rPr>
          <w:rFonts w:ascii="Palatino Linotype" w:eastAsia="Palatino Linotype" w:hAnsi="Palatino Linotype" w:cs="Palatino Linotype"/>
          <w:color w:val="000000" w:themeColor="text1"/>
          <w:lang w:eastAsia="es-ES"/>
        </w:rPr>
        <w:t xml:space="preserve"> Evaluación del Desempeño del Servidor Público</w:t>
      </w:r>
      <w:r w:rsidR="00B43404" w:rsidRPr="00B818E7">
        <w:rPr>
          <w:rFonts w:ascii="Palatino Linotype" w:eastAsia="Palatino Linotype" w:hAnsi="Palatino Linotype" w:cs="Palatino Linotype"/>
          <w:color w:val="000000" w:themeColor="text1"/>
          <w:lang w:eastAsia="es-ES"/>
        </w:rPr>
        <w:t xml:space="preserve">, se establece que dio respuesta a la solicitud de información el área competente, toda que la Coordinación General de Evaluación realiza el siguiente procedimiento. </w:t>
      </w:r>
    </w:p>
    <w:p w:rsidR="00B43404" w:rsidRPr="00B818E7" w:rsidRDefault="00B43404" w:rsidP="00B818E7">
      <w:pPr>
        <w:pStyle w:val="Prrafodelista"/>
        <w:ind w:left="0"/>
        <w:rPr>
          <w:rFonts w:ascii="Palatino Linotype" w:eastAsia="Palatino Linotype" w:hAnsi="Palatino Linotype" w:cs="Palatino Linotype"/>
          <w:color w:val="000000" w:themeColor="text1"/>
          <w:sz w:val="24"/>
          <w:szCs w:val="24"/>
          <w:lang w:val="es-ES_tradnl" w:eastAsia="es-ES"/>
        </w:rPr>
      </w:pPr>
    </w:p>
    <w:p w:rsidR="00B43404" w:rsidRPr="00B818E7" w:rsidRDefault="00557124" w:rsidP="00B818E7">
      <w:pPr>
        <w:spacing w:line="360" w:lineRule="auto"/>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noProof/>
          <w:color w:val="000000" w:themeColor="text1"/>
        </w:rPr>
        <w:drawing>
          <wp:anchor distT="0" distB="0" distL="114300" distR="114300" simplePos="0" relativeHeight="251659264" behindDoc="0" locked="0" layoutInCell="1" allowOverlap="1">
            <wp:simplePos x="0" y="0"/>
            <wp:positionH relativeFrom="column">
              <wp:posOffset>3279979</wp:posOffset>
            </wp:positionH>
            <wp:positionV relativeFrom="paragraph">
              <wp:posOffset>22332</wp:posOffset>
            </wp:positionV>
            <wp:extent cx="2740660" cy="3781425"/>
            <wp:effectExtent l="0" t="0" r="2540" b="9525"/>
            <wp:wrapThrough wrapText="bothSides">
              <wp:wrapPolygon edited="0">
                <wp:start x="0" y="0"/>
                <wp:lineTo x="0" y="21546"/>
                <wp:lineTo x="21470" y="21546"/>
                <wp:lineTo x="21470"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40660" cy="3781425"/>
                    </a:xfrm>
                    <a:prstGeom prst="rect">
                      <a:avLst/>
                    </a:prstGeom>
                  </pic:spPr>
                </pic:pic>
              </a:graphicData>
            </a:graphic>
            <wp14:sizeRelH relativeFrom="page">
              <wp14:pctWidth>0</wp14:pctWidth>
            </wp14:sizeRelH>
            <wp14:sizeRelV relativeFrom="page">
              <wp14:pctHeight>0</wp14:pctHeight>
            </wp14:sizeRelV>
          </wp:anchor>
        </w:drawing>
      </w:r>
      <w:r w:rsidRPr="00B818E7">
        <w:rPr>
          <w:rFonts w:ascii="Palatino Linotype" w:eastAsia="Palatino Linotype" w:hAnsi="Palatino Linotype" w:cs="Palatino Linotype"/>
          <w:noProof/>
          <w:color w:val="000000" w:themeColor="text1"/>
        </w:rPr>
        <w:drawing>
          <wp:anchor distT="0" distB="0" distL="114300" distR="114300" simplePos="0" relativeHeight="251658240" behindDoc="0" locked="0" layoutInCell="1" allowOverlap="1">
            <wp:simplePos x="0" y="0"/>
            <wp:positionH relativeFrom="margin">
              <wp:align>left</wp:align>
            </wp:positionH>
            <wp:positionV relativeFrom="paragraph">
              <wp:posOffset>8255</wp:posOffset>
            </wp:positionV>
            <wp:extent cx="2750820" cy="3847465"/>
            <wp:effectExtent l="0" t="0" r="0" b="635"/>
            <wp:wrapThrough wrapText="bothSides">
              <wp:wrapPolygon edited="0">
                <wp:start x="0" y="0"/>
                <wp:lineTo x="0" y="21497"/>
                <wp:lineTo x="21391" y="21497"/>
                <wp:lineTo x="2139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50820" cy="3847465"/>
                    </a:xfrm>
                    <a:prstGeom prst="rect">
                      <a:avLst/>
                    </a:prstGeom>
                  </pic:spPr>
                </pic:pic>
              </a:graphicData>
            </a:graphic>
            <wp14:sizeRelH relativeFrom="page">
              <wp14:pctWidth>0</wp14:pctWidth>
            </wp14:sizeRelH>
            <wp14:sizeRelV relativeFrom="page">
              <wp14:pctHeight>0</wp14:pctHeight>
            </wp14:sizeRelV>
          </wp:anchor>
        </w:drawing>
      </w: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center"/>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noProof/>
          <w:color w:val="000000" w:themeColor="text1"/>
        </w:rPr>
        <w:lastRenderedPageBreak/>
        <w:drawing>
          <wp:inline distT="0" distB="0" distL="0" distR="0" wp14:anchorId="58BDCD61" wp14:editId="443946C4">
            <wp:extent cx="3313785" cy="1700992"/>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8883" cy="1719008"/>
                    </a:xfrm>
                    <a:prstGeom prst="rect">
                      <a:avLst/>
                    </a:prstGeom>
                  </pic:spPr>
                </pic:pic>
              </a:graphicData>
            </a:graphic>
          </wp:inline>
        </w:drawing>
      </w: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B43404" w:rsidRPr="00B818E7" w:rsidRDefault="00B43404"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 xml:space="preserve">De lo anterior, se tiene que la Coordinación General de Evaluación, dentro de sus funciones tiene la de </w:t>
      </w:r>
      <w:r w:rsidRPr="00B818E7">
        <w:rPr>
          <w:rFonts w:ascii="Palatino Linotype" w:eastAsia="Palatino Linotype" w:hAnsi="Palatino Linotype" w:cs="Palatino Linotype"/>
          <w:color w:val="000000" w:themeColor="text1"/>
          <w:lang w:eastAsia="es-ES"/>
        </w:rPr>
        <w:t xml:space="preserve">instruir a la Dirección de Normatividad y Seguimiento de la Evaluación la revisión del proceso evaluativo que se trate respecto a la regularidad y apego del mismo a la normatividad legal y administrativa aplicable, situación que se enfoca en los procesos de evaluación de los cargos referidos en la solicitud de información. </w:t>
      </w:r>
    </w:p>
    <w:p w:rsidR="00B43404" w:rsidRPr="00B818E7" w:rsidRDefault="00B43404" w:rsidP="00B818E7">
      <w:pPr>
        <w:spacing w:line="360" w:lineRule="auto"/>
        <w:jc w:val="both"/>
        <w:rPr>
          <w:rFonts w:ascii="Palatino Linotype" w:eastAsia="Palatino Linotype" w:hAnsi="Palatino Linotype" w:cs="Palatino Linotype"/>
          <w:color w:val="000000" w:themeColor="text1"/>
          <w:lang w:val="es-ES_tradnl" w:eastAsia="es-ES"/>
        </w:rPr>
      </w:pPr>
    </w:p>
    <w:p w:rsidR="008E1236" w:rsidRPr="000A36C3" w:rsidRDefault="008E1236"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 w:eastAsia="es-ES"/>
        </w:rPr>
      </w:pPr>
      <w:r w:rsidRPr="000A36C3">
        <w:rPr>
          <w:rFonts w:ascii="Palatino Linotype" w:eastAsia="Palatino Linotype" w:hAnsi="Palatino Linotype" w:cs="Palatino Linotype"/>
          <w:color w:val="000000" w:themeColor="text1"/>
          <w:lang w:val="es-ES_tradnl" w:eastAsia="es-ES"/>
        </w:rPr>
        <w:t xml:space="preserve">Ahora bien, en cuanto al </w:t>
      </w:r>
      <w:r w:rsidRPr="000A36C3">
        <w:rPr>
          <w:rFonts w:ascii="Palatino Linotype" w:eastAsia="Palatino Linotype" w:hAnsi="Palatino Linotype" w:cs="Palatino Linotype"/>
          <w:color w:val="000000" w:themeColor="text1"/>
          <w:lang w:val="es-ES" w:eastAsia="es-ES"/>
        </w:rPr>
        <w:t>Examen Escrito De Conocimientos Teórico-Jurídicos y al</w:t>
      </w:r>
      <w:r w:rsidR="000A36C3" w:rsidRPr="000A36C3">
        <w:rPr>
          <w:rFonts w:ascii="Palatino Linotype" w:eastAsia="Palatino Linotype" w:hAnsi="Palatino Linotype" w:cs="Palatino Linotype"/>
          <w:color w:val="000000" w:themeColor="text1"/>
          <w:lang w:val="es-ES" w:eastAsia="es-ES"/>
        </w:rPr>
        <w:t xml:space="preserve"> </w:t>
      </w:r>
      <w:r w:rsidR="006D3DE4" w:rsidRPr="000A36C3">
        <w:rPr>
          <w:rFonts w:ascii="Palatino Linotype" w:eastAsia="Palatino Linotype" w:hAnsi="Palatino Linotype" w:cs="Palatino Linotype"/>
          <w:color w:val="000000" w:themeColor="text1"/>
          <w:lang w:val="es-ES" w:eastAsia="es-ES"/>
        </w:rPr>
        <w:t>Examen De Conocimientos Práctico J</w:t>
      </w:r>
      <w:r w:rsidRPr="000A36C3">
        <w:rPr>
          <w:rFonts w:ascii="Palatino Linotype" w:eastAsia="Palatino Linotype" w:hAnsi="Palatino Linotype" w:cs="Palatino Linotype"/>
          <w:color w:val="000000" w:themeColor="text1"/>
          <w:lang w:val="es-ES" w:eastAsia="es-ES"/>
        </w:rPr>
        <w:t xml:space="preserve">urídicos, se debe de referir que el </w:t>
      </w:r>
      <w:r w:rsidRPr="000A36C3">
        <w:rPr>
          <w:rFonts w:ascii="Palatino Linotype" w:eastAsia="Palatino Linotype" w:hAnsi="Palatino Linotype" w:cs="Palatino Linotype"/>
          <w:b/>
          <w:color w:val="000000" w:themeColor="text1"/>
          <w:lang w:val="es-ES" w:eastAsia="es-ES"/>
        </w:rPr>
        <w:t xml:space="preserve">SUJETO OBLIGADO </w:t>
      </w:r>
      <w:r w:rsidRPr="000A36C3">
        <w:rPr>
          <w:rFonts w:ascii="Palatino Linotype" w:eastAsia="Palatino Linotype" w:hAnsi="Palatino Linotype" w:cs="Palatino Linotype"/>
          <w:color w:val="000000" w:themeColor="text1"/>
          <w:lang w:val="es-ES" w:eastAsia="es-ES"/>
        </w:rPr>
        <w:t>informo que son exámenes que no solo son utilizados una vez y que es información que forma parte de procesos deliberativos, situación por la cual no se puede entregar la información.</w:t>
      </w:r>
    </w:p>
    <w:p w:rsidR="008E1236" w:rsidRPr="00B818E7" w:rsidRDefault="008E1236" w:rsidP="00B818E7">
      <w:pPr>
        <w:pStyle w:val="Prrafodelista"/>
        <w:ind w:left="0"/>
        <w:rPr>
          <w:rFonts w:ascii="Palatino Linotype" w:eastAsia="Palatino Linotype" w:hAnsi="Palatino Linotype" w:cs="Palatino Linotype"/>
          <w:color w:val="000000" w:themeColor="text1"/>
          <w:sz w:val="24"/>
          <w:szCs w:val="24"/>
          <w:lang w:val="es-ES_tradnl" w:eastAsia="es-ES"/>
        </w:rPr>
      </w:pPr>
    </w:p>
    <w:p w:rsidR="008E1236" w:rsidRPr="00B818E7" w:rsidRDefault="001E6688"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Seguidamente</w:t>
      </w:r>
      <w:r w:rsidR="008E1236" w:rsidRPr="00B818E7">
        <w:rPr>
          <w:rFonts w:ascii="Palatino Linotype" w:eastAsia="Palatino Linotype" w:hAnsi="Palatino Linotype" w:cs="Palatino Linotype"/>
          <w:color w:val="000000" w:themeColor="text1"/>
          <w:lang w:val="es-ES_tradnl" w:eastAsia="es-ES"/>
        </w:rPr>
        <w:t xml:space="preserve">, si bien es cierto </w:t>
      </w:r>
      <w:r w:rsidR="008F470F" w:rsidRPr="00B818E7">
        <w:rPr>
          <w:rFonts w:ascii="Palatino Linotype" w:eastAsia="Palatino Linotype" w:hAnsi="Palatino Linotype" w:cs="Palatino Linotype"/>
          <w:color w:val="000000" w:themeColor="text1"/>
          <w:lang w:val="es-ES_tradnl" w:eastAsia="es-ES"/>
        </w:rPr>
        <w:t xml:space="preserve">el </w:t>
      </w:r>
      <w:r w:rsidR="008F470F" w:rsidRPr="00B818E7">
        <w:rPr>
          <w:rFonts w:ascii="Palatino Linotype" w:eastAsia="Palatino Linotype" w:hAnsi="Palatino Linotype" w:cs="Palatino Linotype"/>
          <w:b/>
          <w:color w:val="000000" w:themeColor="text1"/>
          <w:lang w:val="es-ES_tradnl" w:eastAsia="es-ES"/>
        </w:rPr>
        <w:t xml:space="preserve">SUJETO OBLIGADO </w:t>
      </w:r>
      <w:r w:rsidR="008F470F" w:rsidRPr="00B818E7">
        <w:rPr>
          <w:rFonts w:ascii="Palatino Linotype" w:eastAsia="Palatino Linotype" w:hAnsi="Palatino Linotype" w:cs="Palatino Linotype"/>
          <w:color w:val="000000" w:themeColor="text1"/>
          <w:lang w:val="es-ES_tradnl" w:eastAsia="es-ES"/>
        </w:rPr>
        <w:t xml:space="preserve">informo que no podía hacer entrega de la información, también lo es que se emitió el Acuerdo del Comité de Transparencia, mediante el cual se fundara y motivara mediante la debida prueba de daño </w:t>
      </w:r>
      <w:r w:rsidR="008F470F" w:rsidRPr="00B818E7">
        <w:rPr>
          <w:rFonts w:ascii="Palatino Linotype" w:eastAsia="Palatino Linotype" w:hAnsi="Palatino Linotype" w:cs="Palatino Linotype"/>
          <w:color w:val="000000" w:themeColor="text1"/>
          <w:lang w:val="es-ES_tradnl" w:eastAsia="es-ES"/>
        </w:rPr>
        <w:lastRenderedPageBreak/>
        <w:t xml:space="preserve">las razones por las cuales no se puede hacer entrega de la información, situación por la cual se analiza lo siguiente. </w:t>
      </w:r>
    </w:p>
    <w:p w:rsidR="008F470F" w:rsidRPr="00B818E7" w:rsidRDefault="008F470F" w:rsidP="00B818E7">
      <w:pPr>
        <w:spacing w:line="360" w:lineRule="auto"/>
        <w:jc w:val="both"/>
        <w:rPr>
          <w:rFonts w:ascii="Palatino Linotype" w:eastAsia="Palatino Linotype" w:hAnsi="Palatino Linotype" w:cs="Palatino Linotype"/>
          <w:color w:val="000000" w:themeColor="text1"/>
          <w:lang w:val="es-ES_tradnl" w:eastAsia="es-ES"/>
        </w:rPr>
      </w:pPr>
    </w:p>
    <w:p w:rsidR="0060656C" w:rsidRPr="00B818E7" w:rsidRDefault="001E6688" w:rsidP="00B818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18E7">
        <w:rPr>
          <w:rFonts w:ascii="Palatino Linotype" w:eastAsia="Palatino Linotype" w:hAnsi="Palatino Linotype" w:cs="Palatino Linotype"/>
          <w:color w:val="000000" w:themeColor="text1"/>
        </w:rPr>
        <w:t>En esa línea</w:t>
      </w:r>
      <w:r w:rsidR="0060656C" w:rsidRPr="00B818E7">
        <w:rPr>
          <w:rFonts w:ascii="Palatino Linotype" w:eastAsia="Palatino Linotype" w:hAnsi="Palatino Linotype" w:cs="Palatino Linotype"/>
          <w:color w:val="000000" w:themeColor="text1"/>
        </w:rPr>
        <w:t>, el artículo 53 de la Ley de Acceso a la Información  Pública del Estado de México y Municipios, regula que las Unidades de Transparencia tendrán las siguientes funciones.</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b/>
          <w:i/>
          <w:color w:val="000000" w:themeColor="text1"/>
          <w:sz w:val="24"/>
          <w:szCs w:val="24"/>
        </w:rPr>
        <w:t>Artículo 53. Las Unidades de Transparencia tendrán las siguientes funciones:</w:t>
      </w:r>
      <w:r w:rsidRPr="00B818E7">
        <w:rPr>
          <w:rFonts w:ascii="Palatino Linotype" w:eastAsia="Palatino Linotype" w:hAnsi="Palatino Linotype" w:cs="Palatino Linotype"/>
          <w:i/>
          <w:color w:val="000000" w:themeColor="text1"/>
          <w:sz w:val="24"/>
          <w:szCs w:val="24"/>
        </w:rPr>
        <w:t xml:space="preserve">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60656C" w:rsidRPr="00B818E7" w:rsidRDefault="0060656C" w:rsidP="00B818E7">
      <w:pPr>
        <w:pStyle w:val="Prrafodelista"/>
        <w:numPr>
          <w:ilvl w:val="0"/>
          <w:numId w:val="11"/>
        </w:numPr>
        <w:ind w:left="0" w:firstLine="0"/>
        <w:contextualSpacing/>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Recibir, tramitar y dar respuesta a las solicitudes de acceso a la información; </w:t>
      </w:r>
    </w:p>
    <w:p w:rsidR="0060656C" w:rsidRPr="00B818E7" w:rsidRDefault="0060656C" w:rsidP="00B818E7">
      <w:pPr>
        <w:jc w:val="both"/>
        <w:rPr>
          <w:rFonts w:ascii="Palatino Linotype" w:eastAsia="Palatino Linotype" w:hAnsi="Palatino Linotype" w:cs="Palatino Linotype"/>
          <w:i/>
          <w:color w:val="000000" w:themeColor="text1"/>
        </w:rPr>
      </w:pPr>
      <w:r w:rsidRPr="00B818E7">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60656C" w:rsidRPr="00B818E7" w:rsidRDefault="0060656C" w:rsidP="00B818E7">
      <w:pPr>
        <w:pStyle w:val="Prrafodelista"/>
        <w:ind w:left="0"/>
        <w:jc w:val="both"/>
        <w:rPr>
          <w:rFonts w:ascii="Palatino Linotype" w:eastAsia="Palatino Linotype" w:hAnsi="Palatino Linotype" w:cs="Palatino Linotype"/>
          <w:b/>
          <w:i/>
          <w:color w:val="000000" w:themeColor="text1"/>
          <w:sz w:val="24"/>
          <w:szCs w:val="24"/>
        </w:rPr>
      </w:pPr>
      <w:r w:rsidRPr="00B818E7">
        <w:rPr>
          <w:rFonts w:ascii="Palatino Linotype" w:eastAsia="Palatino Linotype" w:hAnsi="Palatino Linotype" w:cs="Palatino Linotype"/>
          <w:b/>
          <w:i/>
          <w:color w:val="000000" w:themeColor="text1"/>
          <w:sz w:val="24"/>
          <w:szCs w:val="24"/>
        </w:rPr>
        <w:t xml:space="preserve">IV. Realizar, con efectividad, los trámites internos necesarios para la atención de las solicitudes de acceso a la información;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V. Entregar, en su caso, a los particulares la información solicitada;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VI. Efectuar las notificaciones a los solicitantes;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VII. Proponer al Comité de Transparencia, los procedimientos internos que aseguren la mayor eficiencia en la gestión de las solicitudes de acceso a la información, conforme a la normatividad aplicable;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VIII. Proponer a quien preside el Comité de Transparencia, personal habilitado que sea necesario para recibir y dar trámite a las solicitudes de acceso a la información;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60656C" w:rsidRPr="00B818E7" w:rsidRDefault="0060656C" w:rsidP="00B818E7">
      <w:pPr>
        <w:pStyle w:val="Prrafodelista"/>
        <w:ind w:left="0"/>
        <w:jc w:val="both"/>
        <w:rPr>
          <w:rFonts w:ascii="Palatino Linotype" w:eastAsia="Palatino Linotype" w:hAnsi="Palatino Linotype" w:cs="Palatino Linotype"/>
          <w:b/>
          <w:i/>
          <w:color w:val="000000" w:themeColor="text1"/>
          <w:sz w:val="24"/>
          <w:szCs w:val="24"/>
        </w:rPr>
      </w:pPr>
      <w:r w:rsidRPr="00B818E7">
        <w:rPr>
          <w:rFonts w:ascii="Palatino Linotype" w:eastAsia="Palatino Linotype" w:hAnsi="Palatino Linotype" w:cs="Palatino Linotype"/>
          <w:b/>
          <w:i/>
          <w:color w:val="000000" w:themeColor="text1"/>
          <w:sz w:val="24"/>
          <w:szCs w:val="24"/>
        </w:rPr>
        <w:t xml:space="preserve">X. Presentar ante el Comité, el proyecto de clasificación de información;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XI. Promover e implementar políticas de transparencia proactiva procurando su accesibilidad;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XII. Fomentar la transparencia y accesibilidad al interior del sujeto obligado;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XIII. Hacer del conocimiento de la instancia competente la probable responsabilidad por el incumplimiento de las obligaciones previstas en la presente Ley; y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XIV. Las demás que resulten necesarias para facilitar el acceso a la información y aquellas que se desprenden de la presente Ley y demás disposiciones jurídicas aplicables.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lastRenderedPageBreak/>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60656C" w:rsidRPr="00B818E7" w:rsidRDefault="0060656C" w:rsidP="00B818E7">
      <w:pPr>
        <w:pStyle w:val="Prrafodelista"/>
        <w:ind w:left="0"/>
        <w:rPr>
          <w:rFonts w:ascii="Palatino Linotype" w:eastAsia="Palatino Linotype" w:hAnsi="Palatino Linotype" w:cs="Palatino Linotype"/>
          <w:color w:val="000000" w:themeColor="text1"/>
          <w:sz w:val="24"/>
          <w:szCs w:val="24"/>
        </w:rPr>
      </w:pPr>
    </w:p>
    <w:p w:rsidR="0060656C" w:rsidRPr="00B818E7" w:rsidRDefault="0060656C" w:rsidP="00B818E7">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B818E7">
        <w:rPr>
          <w:rFonts w:ascii="Palatino Linotype" w:eastAsia="Palatino Linotype" w:hAnsi="Palatino Linotype" w:cs="Palatino Linotype"/>
          <w:color w:val="000000" w:themeColor="text1"/>
        </w:rPr>
        <w:t xml:space="preserve">De lo anterior se colige que la Unidad de Transparencia dentro de sus funciones tiene la de realizar, con efectividad, los trámites internos necesarios para la atención de las solicitudes de acceso a la información, entre los cuales se encuentran las Actas de Comité de Transparencia que son realizadas para la contestación a las solicitudes </w:t>
      </w:r>
      <w:r w:rsidR="001E6688" w:rsidRPr="00B818E7">
        <w:rPr>
          <w:rFonts w:ascii="Palatino Linotype" w:eastAsia="Palatino Linotype" w:hAnsi="Palatino Linotype" w:cs="Palatino Linotype"/>
          <w:color w:val="000000" w:themeColor="text1"/>
        </w:rPr>
        <w:t xml:space="preserve">de información y las respuestas, en las cuales se deben de clasificar en su caso la información solicitado, ya sea confidencial o reservada. </w:t>
      </w:r>
    </w:p>
    <w:p w:rsidR="008F470F" w:rsidRPr="00B818E7" w:rsidRDefault="008F470F" w:rsidP="00B818E7">
      <w:pPr>
        <w:rPr>
          <w:rFonts w:ascii="Palatino Linotype" w:eastAsia="Palatino Linotype" w:hAnsi="Palatino Linotype" w:cs="Palatino Linotype"/>
          <w:color w:val="000000" w:themeColor="text1"/>
          <w:lang w:val="es-ES_tradnl" w:eastAsia="es-ES"/>
        </w:rPr>
      </w:pPr>
    </w:p>
    <w:p w:rsidR="0060656C" w:rsidRPr="00B818E7" w:rsidRDefault="0060656C" w:rsidP="00B818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18E7">
        <w:rPr>
          <w:rFonts w:ascii="Palatino Linotype" w:eastAsia="Palatino Linotype" w:hAnsi="Palatino Linotype" w:cs="Palatino Linotype"/>
          <w:color w:val="000000" w:themeColor="text1"/>
        </w:rPr>
        <w:t xml:space="preserve">Ahora bien, la Ley de Transparencia y Acceso a la Información Pública del Estado de México y Municipios, regula que los servidores públicos habilitados tienen las siguientes funciones. </w:t>
      </w:r>
    </w:p>
    <w:p w:rsidR="0060656C" w:rsidRPr="00B818E7" w:rsidRDefault="0060656C" w:rsidP="00B818E7">
      <w:pPr>
        <w:jc w:val="both"/>
        <w:rPr>
          <w:rFonts w:ascii="Palatino Linotype" w:eastAsia="Palatino Linotype" w:hAnsi="Palatino Linotype" w:cs="Palatino Linotype"/>
          <w:b/>
          <w:i/>
          <w:color w:val="000000" w:themeColor="text1"/>
        </w:rPr>
      </w:pPr>
      <w:r w:rsidRPr="00B818E7">
        <w:rPr>
          <w:rFonts w:ascii="Palatino Linotype" w:eastAsia="Palatino Linotype" w:hAnsi="Palatino Linotype" w:cs="Palatino Linotype"/>
          <w:b/>
          <w:i/>
          <w:color w:val="000000" w:themeColor="text1"/>
        </w:rPr>
        <w:t xml:space="preserve">Artículo 59. Los servidores públicos habilitados tendrán las funciones siguientes: </w:t>
      </w:r>
    </w:p>
    <w:p w:rsidR="0060656C" w:rsidRPr="00B818E7" w:rsidRDefault="0060656C" w:rsidP="00B818E7">
      <w:pPr>
        <w:pStyle w:val="Prrafodelista"/>
        <w:numPr>
          <w:ilvl w:val="0"/>
          <w:numId w:val="13"/>
        </w:numPr>
        <w:ind w:left="0" w:firstLine="0"/>
        <w:contextualSpacing/>
        <w:jc w:val="both"/>
        <w:rPr>
          <w:rFonts w:ascii="Palatino Linotype" w:eastAsia="Palatino Linotype" w:hAnsi="Palatino Linotype" w:cs="Palatino Linotype"/>
          <w:b/>
          <w:i/>
          <w:color w:val="000000" w:themeColor="text1"/>
          <w:sz w:val="24"/>
          <w:szCs w:val="24"/>
        </w:rPr>
      </w:pPr>
      <w:r w:rsidRPr="00B818E7">
        <w:rPr>
          <w:rFonts w:ascii="Palatino Linotype" w:eastAsia="Palatino Linotype" w:hAnsi="Palatino Linotype" w:cs="Palatino Linotype"/>
          <w:b/>
          <w:i/>
          <w:color w:val="000000" w:themeColor="text1"/>
          <w:sz w:val="24"/>
          <w:szCs w:val="24"/>
        </w:rPr>
        <w:t xml:space="preserve">Localizar la información que le solicite la Unidad de Transparencia; </w:t>
      </w:r>
    </w:p>
    <w:p w:rsidR="0060656C" w:rsidRPr="00B818E7" w:rsidRDefault="0060656C" w:rsidP="00B818E7">
      <w:pPr>
        <w:pStyle w:val="Prrafodelista"/>
        <w:ind w:left="0"/>
        <w:jc w:val="both"/>
        <w:rPr>
          <w:rFonts w:ascii="Palatino Linotype" w:eastAsia="Palatino Linotype" w:hAnsi="Palatino Linotype" w:cs="Palatino Linotype"/>
          <w:b/>
          <w:i/>
          <w:color w:val="000000" w:themeColor="text1"/>
          <w:sz w:val="24"/>
          <w:szCs w:val="24"/>
        </w:rPr>
      </w:pPr>
      <w:r w:rsidRPr="00B818E7">
        <w:rPr>
          <w:rFonts w:ascii="Palatino Linotype" w:eastAsia="Palatino Linotype" w:hAnsi="Palatino Linotype" w:cs="Palatino Linotype"/>
          <w:b/>
          <w:i/>
          <w:color w:val="000000" w:themeColor="text1"/>
          <w:sz w:val="24"/>
          <w:szCs w:val="24"/>
        </w:rPr>
        <w:t xml:space="preserve">II. Proporcionar la información que obre en los archivos y que le sea solicitada por la Unidad de Transparencia;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III. Apoyar a la Unidad de Transparencia en lo que esta le solicite para el cumplimiento de sus funciones;</w:t>
      </w:r>
      <w:r w:rsidRPr="00B818E7">
        <w:rPr>
          <w:rFonts w:ascii="Palatino Linotype" w:hAnsi="Palatino Linotype"/>
          <w:i/>
          <w:color w:val="000000" w:themeColor="text1"/>
          <w:sz w:val="24"/>
          <w:szCs w:val="24"/>
        </w:rPr>
        <w:t xml:space="preserve">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IV. Proporcionar a la Unidad de Transparencia, las modificaciones a la información pública de oficio que obre en su poder;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b/>
          <w:i/>
          <w:color w:val="000000" w:themeColor="text1"/>
          <w:sz w:val="24"/>
          <w:szCs w:val="24"/>
        </w:rPr>
        <w:lastRenderedPageBreak/>
        <w:t>V. Integrar y presentar al responsable de la Unidad de Transparencia la propuesta de clasificación de información, la cual tendrá los fundamentos y argumentos en que se basa dicha propuesta</w:t>
      </w:r>
      <w:r w:rsidRPr="00B818E7">
        <w:rPr>
          <w:rFonts w:ascii="Palatino Linotype" w:eastAsia="Palatino Linotype" w:hAnsi="Palatino Linotype" w:cs="Palatino Linotype"/>
          <w:i/>
          <w:color w:val="000000" w:themeColor="text1"/>
          <w:sz w:val="24"/>
          <w:szCs w:val="24"/>
        </w:rPr>
        <w:t xml:space="preserve">;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 xml:space="preserve">VI. Verificar, una vez analizado el contenido de la información, que no se encuentre en los supuestos de información clasificada; y </w:t>
      </w:r>
    </w:p>
    <w:p w:rsidR="0060656C" w:rsidRPr="00B818E7" w:rsidRDefault="0060656C" w:rsidP="00B818E7">
      <w:pPr>
        <w:pStyle w:val="Prrafodelista"/>
        <w:ind w:left="0"/>
        <w:jc w:val="both"/>
        <w:rPr>
          <w:rFonts w:ascii="Palatino Linotype" w:eastAsia="Palatino Linotype" w:hAnsi="Palatino Linotype" w:cs="Palatino Linotype"/>
          <w:i/>
          <w:color w:val="000000" w:themeColor="text1"/>
          <w:sz w:val="24"/>
          <w:szCs w:val="24"/>
        </w:rPr>
      </w:pPr>
      <w:r w:rsidRPr="00B818E7">
        <w:rPr>
          <w:rFonts w:ascii="Palatino Linotype" w:eastAsia="Palatino Linotype" w:hAnsi="Palatino Linotype" w:cs="Palatino Linotype"/>
          <w:i/>
          <w:color w:val="000000" w:themeColor="text1"/>
          <w:sz w:val="24"/>
          <w:szCs w:val="24"/>
        </w:rPr>
        <w:t>VII. Dar cuenta a la Unidad de Transparencia del vencimiento de los plazos de reserva.</w:t>
      </w:r>
    </w:p>
    <w:p w:rsidR="0060656C" w:rsidRPr="00B818E7" w:rsidRDefault="0060656C" w:rsidP="00B818E7">
      <w:pPr>
        <w:pStyle w:val="Prrafodelista"/>
        <w:ind w:left="0"/>
        <w:rPr>
          <w:rFonts w:ascii="Palatino Linotype" w:eastAsia="Palatino Linotype" w:hAnsi="Palatino Linotype" w:cs="Palatino Linotype"/>
          <w:color w:val="000000" w:themeColor="text1"/>
          <w:sz w:val="24"/>
          <w:szCs w:val="24"/>
        </w:rPr>
      </w:pPr>
    </w:p>
    <w:p w:rsidR="0060656C" w:rsidRPr="00B818E7" w:rsidRDefault="0060656C" w:rsidP="00B818E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B818E7">
        <w:rPr>
          <w:rFonts w:ascii="Palatino Linotype" w:eastAsia="Palatino Linotype" w:hAnsi="Palatino Linotype" w:cs="Palatino Linotype"/>
          <w:color w:val="000000" w:themeColor="text1"/>
        </w:rPr>
        <w:t xml:space="preserve">De lo anterior, se colige que los servidores públicos habilitados dentro de sus funciones tienen la de </w:t>
      </w:r>
      <w:r w:rsidR="002925A2" w:rsidRPr="00B818E7">
        <w:rPr>
          <w:rFonts w:ascii="Palatino Linotype" w:eastAsia="Palatino Linotype" w:hAnsi="Palatino Linotype" w:cs="Palatino Linotype"/>
          <w:color w:val="000000" w:themeColor="text1"/>
        </w:rPr>
        <w:t>integrar y presentar al responsable de la Unidad de Transparencia la propuesta de clasificación de información, la cual tendrá los fundamentos y argumentos en que se basa dicha propuesta</w:t>
      </w:r>
      <w:r w:rsidR="00BC1263" w:rsidRPr="00B818E7">
        <w:rPr>
          <w:rFonts w:ascii="Palatino Linotype" w:eastAsia="Palatino Linotype" w:hAnsi="Palatino Linotype" w:cs="Palatino Linotype"/>
          <w:color w:val="000000" w:themeColor="text1"/>
        </w:rPr>
        <w:t xml:space="preserve"> que el ca</w:t>
      </w:r>
      <w:r w:rsidR="00441617" w:rsidRPr="00B818E7">
        <w:rPr>
          <w:rFonts w:ascii="Palatino Linotype" w:eastAsia="Palatino Linotype" w:hAnsi="Palatino Linotype" w:cs="Palatino Linotype"/>
          <w:color w:val="000000" w:themeColor="text1"/>
        </w:rPr>
        <w:t>s</w:t>
      </w:r>
      <w:r w:rsidR="00BC1263" w:rsidRPr="00B818E7">
        <w:rPr>
          <w:rFonts w:ascii="Palatino Linotype" w:eastAsia="Palatino Linotype" w:hAnsi="Palatino Linotype" w:cs="Palatino Linotype"/>
          <w:color w:val="000000" w:themeColor="text1"/>
        </w:rPr>
        <w:t>o</w:t>
      </w:r>
      <w:r w:rsidR="00441617" w:rsidRPr="00B818E7">
        <w:rPr>
          <w:rFonts w:ascii="Palatino Linotype" w:eastAsia="Palatino Linotype" w:hAnsi="Palatino Linotype" w:cs="Palatino Linotype"/>
          <w:color w:val="000000" w:themeColor="text1"/>
        </w:rPr>
        <w:t xml:space="preserve"> en particular tiene su fundamento en el artículo 140 fracción VII de la Ley de Transparencia y Acceso a la Información Pública del Estado de México y Municipios, así como también el artículo 129 relativo a la debida prueba de daño, mediante la cual se analice funde y motive las razones por las cuales la divulgación de la información representa un riesgo real, demostrable e identificable del perjuicio significativo al interés público. </w:t>
      </w:r>
    </w:p>
    <w:p w:rsidR="0060656C" w:rsidRPr="00B818E7" w:rsidRDefault="0060656C" w:rsidP="00B818E7">
      <w:pPr>
        <w:rPr>
          <w:rFonts w:ascii="Palatino Linotype" w:eastAsia="Palatino Linotype" w:hAnsi="Palatino Linotype" w:cs="Palatino Linotype"/>
          <w:color w:val="000000" w:themeColor="text1"/>
          <w:lang w:val="es-ES_tradnl" w:eastAsia="es-ES"/>
        </w:rPr>
      </w:pPr>
    </w:p>
    <w:p w:rsidR="00960667" w:rsidRPr="00B818E7" w:rsidRDefault="00960667"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 xml:space="preserve">Seguidamente, de debe de precisar que la clasificación de la información debe de hacerse de acuerdo con lo siguiente. </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b/>
          <w:bCs/>
          <w:i/>
          <w:color w:val="000000" w:themeColor="text1"/>
        </w:rPr>
        <w:t>Cuarto.</w:t>
      </w:r>
      <w:r w:rsidRPr="00B818E7">
        <w:rPr>
          <w:rFonts w:ascii="Palatino Linotype" w:hAnsi="Palatino Linotype"/>
          <w:i/>
          <w:color w:val="000000" w:themeColor="text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i/>
          <w:color w:val="000000" w:themeColor="text1"/>
        </w:rPr>
        <w:t>Los sujetos obligados deberán aplicar, de manera estricta, las excepciones al derecho de acceso a la información y sólo podrán invocarlas cuando acrediten su procedencia.</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b/>
          <w:bCs/>
          <w:i/>
          <w:color w:val="000000" w:themeColor="text1"/>
        </w:rPr>
        <w:t>Séptimo. </w:t>
      </w:r>
      <w:r w:rsidRPr="00B818E7">
        <w:rPr>
          <w:rFonts w:ascii="Palatino Linotype" w:hAnsi="Palatino Linotype"/>
          <w:i/>
          <w:color w:val="000000" w:themeColor="text1"/>
        </w:rPr>
        <w:t>La clasificación de la información se llevará a cabo en el momento en que:</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b/>
          <w:bCs/>
          <w:i/>
          <w:color w:val="000000" w:themeColor="text1"/>
        </w:rPr>
        <w:t>I.</w:t>
      </w:r>
      <w:r w:rsidRPr="00B818E7">
        <w:rPr>
          <w:rFonts w:ascii="Palatino Linotype" w:hAnsi="Palatino Linotype"/>
          <w:i/>
          <w:color w:val="000000" w:themeColor="text1"/>
        </w:rPr>
        <w:t>        Se reciba una solicitud de acceso a la información;</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b/>
          <w:bCs/>
          <w:i/>
          <w:color w:val="000000" w:themeColor="text1"/>
        </w:rPr>
        <w:t>II.</w:t>
      </w:r>
      <w:r w:rsidRPr="00B818E7">
        <w:rPr>
          <w:rFonts w:ascii="Palatino Linotype" w:hAnsi="Palatino Linotype"/>
          <w:i/>
          <w:color w:val="000000" w:themeColor="text1"/>
        </w:rPr>
        <w:t>       Se determine mediante resolución de autoridad competente, o</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b/>
          <w:bCs/>
          <w:i/>
          <w:color w:val="000000" w:themeColor="text1"/>
        </w:rPr>
        <w:lastRenderedPageBreak/>
        <w:t>III.</w:t>
      </w:r>
      <w:r w:rsidRPr="00B818E7">
        <w:rPr>
          <w:rFonts w:ascii="Palatino Linotype" w:hAnsi="Palatino Linotype"/>
          <w:i/>
          <w:color w:val="000000" w:themeColor="text1"/>
        </w:rPr>
        <w:t>      Se generen versiones públicas para dar cumplimiento a las obligaciones de transparencia previstas en la Ley General, la Ley Federal y las correspondientes de las entidades federativas.</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i/>
          <w:color w:val="000000" w:themeColor="text1"/>
        </w:rPr>
        <w:t>Los titulares de las áreas deberán revisar la clasificación al momento de la recepción de una solicitud de acceso a la información, para verificar si encuadra en una causal de reserva o de confidencialidad.</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b/>
          <w:bCs/>
          <w:i/>
          <w:color w:val="000000" w:themeColor="text1"/>
        </w:rPr>
        <w:t>Octavo. </w:t>
      </w:r>
      <w:r w:rsidRPr="00B818E7">
        <w:rPr>
          <w:rFonts w:ascii="Palatino Linotype" w:hAnsi="Palatino Linotype"/>
          <w:i/>
          <w:color w:val="000000" w:themeColor="text1"/>
        </w:rPr>
        <w:t>Para fundar la clasificación de la información se debe señalar el artículo, fracción, inciso, párrafo o numeral de la ley o tratado internacional suscrito por el Estado mexicano que expresamente le otorga el carácter de reservada o confidencial.</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i/>
          <w:color w:val="000000" w:themeColor="text1"/>
        </w:rPr>
        <w:t>Para motivar la clasificación se deberán señalar las razones o circunstancias especiales que lo llevaron a concluir que el caso particular se ajusta al supuesto previsto por la norma legal invocada como fundamento.</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i/>
          <w:color w:val="000000" w:themeColor="text1"/>
        </w:rPr>
        <w:t>En caso de referirse a información reservada, la motivación de la clasificación también deberá comprender las circunstancias que justifican el establecimiento de determinado plazo de reserva.</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i/>
          <w:color w:val="000000" w:themeColor="text1"/>
        </w:rPr>
        <w:t>Los documentos contenidos en los archivos históricos y los identificados como históricos confidenciales no serán susceptibles de clasificación como reservados.</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t>CAPÍTULO VIII</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t>DE LA LEYENDA DE CLASIFICACIÓN</w:t>
      </w:r>
    </w:p>
    <w:p w:rsidR="00960667" w:rsidRPr="00B818E7" w:rsidRDefault="00960667" w:rsidP="00B818E7">
      <w:pPr>
        <w:shd w:val="clear" w:color="auto" w:fill="FFFFFF"/>
        <w:spacing w:after="80"/>
        <w:jc w:val="both"/>
        <w:rPr>
          <w:rFonts w:ascii="Palatino Linotype" w:hAnsi="Palatino Linotype" w:cs="Helvetica"/>
          <w:i/>
          <w:color w:val="000000" w:themeColor="text1"/>
        </w:rPr>
      </w:pPr>
      <w:r w:rsidRPr="00B818E7">
        <w:rPr>
          <w:rFonts w:ascii="Palatino Linotype" w:hAnsi="Palatino Linotype" w:cs="Helvetica"/>
          <w:b/>
          <w:bCs/>
          <w:i/>
          <w:color w:val="000000" w:themeColor="text1"/>
        </w:rPr>
        <w:t>Quincuagésimo. </w:t>
      </w:r>
      <w:r w:rsidRPr="00B818E7">
        <w:rPr>
          <w:rFonts w:ascii="Palatino Linotype" w:hAnsi="Palatino Linotype" w:cs="Helvetica"/>
          <w:i/>
          <w:color w:val="000000" w:themeColor="text1"/>
        </w:rPr>
        <w:t>Los titulares de las áreas de los sujetos obligados podrán utilizar los formatos contenidos en el presente Capítulo como modelo para señalar la clasificación de documentos o expedientes, sin perjuicio de que establezcan los propios.</w:t>
      </w:r>
    </w:p>
    <w:p w:rsidR="00960667" w:rsidRPr="00B818E7" w:rsidRDefault="00960667" w:rsidP="00B818E7">
      <w:pPr>
        <w:shd w:val="clear" w:color="auto" w:fill="FFFFFF"/>
        <w:spacing w:after="80"/>
        <w:jc w:val="both"/>
        <w:rPr>
          <w:rFonts w:ascii="Palatino Linotype" w:hAnsi="Palatino Linotype" w:cs="Arial"/>
          <w:i/>
          <w:color w:val="000000" w:themeColor="text1"/>
        </w:rPr>
      </w:pP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t>Quincuagésimo primero.</w:t>
      </w:r>
      <w:r w:rsidRPr="00B818E7">
        <w:rPr>
          <w:rFonts w:ascii="Palatino Linotype" w:hAnsi="Palatino Linotype" w:cs="Helvetica"/>
          <w:i/>
          <w:color w:val="000000" w:themeColor="text1"/>
        </w:rPr>
        <w:t> La leyenda en los documentos clasificados indicará:</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t>I.</w:t>
      </w:r>
      <w:r w:rsidRPr="00B818E7">
        <w:rPr>
          <w:rFonts w:ascii="Palatino Linotype" w:hAnsi="Palatino Linotype" w:cs="Arial"/>
          <w:i/>
          <w:color w:val="000000" w:themeColor="text1"/>
        </w:rPr>
        <w:t>        </w:t>
      </w:r>
      <w:r w:rsidRPr="00B818E7">
        <w:rPr>
          <w:rFonts w:ascii="Palatino Linotype" w:hAnsi="Palatino Linotype" w:cs="Helvetica"/>
          <w:i/>
          <w:color w:val="000000" w:themeColor="text1"/>
        </w:rPr>
        <w:t>La fecha de sesión del Comité de Transparencia en donde se confirmó la clasificación, en su caso;</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t>II.</w:t>
      </w:r>
      <w:r w:rsidRPr="00B818E7">
        <w:rPr>
          <w:rFonts w:ascii="Palatino Linotype" w:hAnsi="Palatino Linotype" w:cs="Arial"/>
          <w:i/>
          <w:color w:val="000000" w:themeColor="text1"/>
        </w:rPr>
        <w:t>       </w:t>
      </w:r>
      <w:r w:rsidRPr="00B818E7">
        <w:rPr>
          <w:rFonts w:ascii="Palatino Linotype" w:hAnsi="Palatino Linotype" w:cs="Helvetica"/>
          <w:i/>
          <w:color w:val="000000" w:themeColor="text1"/>
        </w:rPr>
        <w:t>El nombre del área;</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t>III.</w:t>
      </w:r>
      <w:r w:rsidRPr="00B818E7">
        <w:rPr>
          <w:rFonts w:ascii="Palatino Linotype" w:hAnsi="Palatino Linotype" w:cs="Arial"/>
          <w:i/>
          <w:color w:val="000000" w:themeColor="text1"/>
        </w:rPr>
        <w:t>      </w:t>
      </w:r>
      <w:r w:rsidRPr="00B818E7">
        <w:rPr>
          <w:rFonts w:ascii="Palatino Linotype" w:hAnsi="Palatino Linotype" w:cs="Helvetica"/>
          <w:i/>
          <w:color w:val="000000" w:themeColor="text1"/>
        </w:rPr>
        <w:t>La palabra reservado o confidencial;</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t>IV.</w:t>
      </w:r>
      <w:r w:rsidRPr="00B818E7">
        <w:rPr>
          <w:rFonts w:ascii="Palatino Linotype" w:hAnsi="Palatino Linotype" w:cs="Arial"/>
          <w:i/>
          <w:color w:val="000000" w:themeColor="text1"/>
        </w:rPr>
        <w:t>      </w:t>
      </w:r>
      <w:r w:rsidRPr="00B818E7">
        <w:rPr>
          <w:rFonts w:ascii="Palatino Linotype" w:hAnsi="Palatino Linotype" w:cs="Helvetica"/>
          <w:i/>
          <w:color w:val="000000" w:themeColor="text1"/>
        </w:rPr>
        <w:t>Las partes o secciones reservadas o confidenciales, en su caso;</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t>V.</w:t>
      </w:r>
      <w:r w:rsidRPr="00B818E7">
        <w:rPr>
          <w:rFonts w:ascii="Palatino Linotype" w:hAnsi="Palatino Linotype" w:cs="Arial"/>
          <w:i/>
          <w:color w:val="000000" w:themeColor="text1"/>
        </w:rPr>
        <w:t>       </w:t>
      </w:r>
      <w:r w:rsidRPr="00B818E7">
        <w:rPr>
          <w:rFonts w:ascii="Palatino Linotype" w:hAnsi="Palatino Linotype" w:cs="Helvetica"/>
          <w:i/>
          <w:color w:val="000000" w:themeColor="text1"/>
        </w:rPr>
        <w:t>El fundamento legal;</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t>VI.</w:t>
      </w:r>
      <w:r w:rsidRPr="00B818E7">
        <w:rPr>
          <w:rFonts w:ascii="Palatino Linotype" w:hAnsi="Palatino Linotype" w:cs="Arial"/>
          <w:i/>
          <w:color w:val="000000" w:themeColor="text1"/>
        </w:rPr>
        <w:t>      </w:t>
      </w:r>
      <w:r w:rsidRPr="00B818E7">
        <w:rPr>
          <w:rFonts w:ascii="Palatino Linotype" w:hAnsi="Palatino Linotype" w:cs="Helvetica"/>
          <w:i/>
          <w:color w:val="000000" w:themeColor="text1"/>
        </w:rPr>
        <w:t>El periodo de reserva, y</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t>VII.</w:t>
      </w:r>
      <w:r w:rsidRPr="00B818E7">
        <w:rPr>
          <w:rFonts w:ascii="Palatino Linotype" w:hAnsi="Palatino Linotype" w:cs="Arial"/>
          <w:i/>
          <w:color w:val="000000" w:themeColor="text1"/>
        </w:rPr>
        <w:t>     </w:t>
      </w:r>
      <w:r w:rsidRPr="00B818E7">
        <w:rPr>
          <w:rFonts w:ascii="Palatino Linotype" w:hAnsi="Palatino Linotype" w:cs="Helvetica"/>
          <w:i/>
          <w:color w:val="000000" w:themeColor="text1"/>
        </w:rPr>
        <w:t>La rúbrica del titular del área.</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b/>
          <w:bCs/>
          <w:i/>
          <w:color w:val="000000" w:themeColor="text1"/>
        </w:rPr>
        <w:lastRenderedPageBreak/>
        <w:t>Quincuagésimo segundo.</w:t>
      </w:r>
      <w:r w:rsidRPr="00B818E7">
        <w:rPr>
          <w:rFonts w:ascii="Palatino Linotype" w:hAnsi="Palatino Linotype" w:cs="Helvetica"/>
          <w:i/>
          <w:color w:val="000000" w:themeColor="text1"/>
        </w:rPr>
        <w:t> Los sujetos obligados elaborarán los formatos a que se refiere este Capítulo en medios impresos o electrónicos, entre otros, debiendo ubicarse la leyenda de clasificación en la esquina superior derecha del documento.</w:t>
      </w:r>
    </w:p>
    <w:p w:rsidR="00960667" w:rsidRPr="00B818E7" w:rsidRDefault="00960667" w:rsidP="00B818E7">
      <w:pPr>
        <w:shd w:val="clear" w:color="auto" w:fill="FFFFFF"/>
        <w:spacing w:after="80"/>
        <w:jc w:val="both"/>
        <w:rPr>
          <w:rFonts w:ascii="Palatino Linotype" w:hAnsi="Palatino Linotype" w:cs="Arial"/>
          <w:i/>
          <w:color w:val="000000" w:themeColor="text1"/>
        </w:rPr>
      </w:pPr>
      <w:r w:rsidRPr="00B818E7">
        <w:rPr>
          <w:rFonts w:ascii="Palatino Linotype" w:hAnsi="Palatino Linotype" w:cs="Helvetica"/>
          <w:i/>
          <w:color w:val="000000" w:themeColor="text1"/>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60667" w:rsidRDefault="00960667" w:rsidP="00B818E7">
      <w:pPr>
        <w:shd w:val="clear" w:color="auto" w:fill="FFFFFF"/>
        <w:spacing w:after="80"/>
        <w:jc w:val="both"/>
        <w:rPr>
          <w:rFonts w:ascii="Palatino Linotype" w:hAnsi="Palatino Linotype" w:cs="Helvetica"/>
          <w:i/>
          <w:color w:val="000000" w:themeColor="text1"/>
        </w:rPr>
      </w:pPr>
      <w:r w:rsidRPr="00B818E7">
        <w:rPr>
          <w:rFonts w:ascii="Palatino Linotype" w:hAnsi="Palatino Linotype" w:cs="Helvetica"/>
          <w:b/>
          <w:bCs/>
          <w:i/>
          <w:color w:val="000000" w:themeColor="text1"/>
        </w:rPr>
        <w:t>Quincuagésimo tercero.</w:t>
      </w:r>
      <w:r w:rsidRPr="00B818E7">
        <w:rPr>
          <w:rFonts w:ascii="Palatino Linotype" w:hAnsi="Palatino Linotype" w:cs="Helvetica"/>
          <w:i/>
          <w:color w:val="000000" w:themeColor="text1"/>
        </w:rPr>
        <w:t> El formato para señalar la clasificación parcial de un documento, es el siguiente:</w:t>
      </w:r>
    </w:p>
    <w:p w:rsidR="000A36C3" w:rsidRDefault="000A36C3" w:rsidP="00B818E7">
      <w:pPr>
        <w:shd w:val="clear" w:color="auto" w:fill="FFFFFF"/>
        <w:spacing w:after="80"/>
        <w:jc w:val="both"/>
        <w:rPr>
          <w:rFonts w:ascii="Palatino Linotype" w:hAnsi="Palatino Linotype" w:cs="Arial"/>
          <w:i/>
          <w:color w:val="000000" w:themeColor="text1"/>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13"/>
        <w:gridCol w:w="3077"/>
        <w:gridCol w:w="4522"/>
      </w:tblGrid>
      <w:tr w:rsidR="00B818E7" w:rsidRPr="00B818E7" w:rsidTr="00960667">
        <w:trPr>
          <w:trHeight w:val="311"/>
        </w:trPr>
        <w:tc>
          <w:tcPr>
            <w:tcW w:w="1113" w:type="dxa"/>
            <w:tcBorders>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i/>
                <w:color w:val="000000" w:themeColor="text1"/>
              </w:rPr>
              <w:t> </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b/>
                <w:bCs/>
                <w:i/>
                <w:color w:val="000000" w:themeColor="text1"/>
              </w:rPr>
              <w:t>Concepto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b/>
                <w:bCs/>
                <w:i/>
                <w:color w:val="000000" w:themeColor="text1"/>
              </w:rPr>
              <w:t>Dónde:</w:t>
            </w:r>
          </w:p>
        </w:tc>
      </w:tr>
      <w:tr w:rsidR="00B818E7" w:rsidRPr="00B818E7" w:rsidTr="00960667">
        <w:trPr>
          <w:trHeight w:val="512"/>
        </w:trPr>
        <w:tc>
          <w:tcPr>
            <w:tcW w:w="1113"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Sello oficial o</w:t>
            </w:r>
            <w:r w:rsidRPr="00B818E7">
              <w:rPr>
                <w:rFonts w:ascii="Palatino Linotype" w:hAnsi="Palatino Linotype"/>
                <w:i/>
                <w:color w:val="000000" w:themeColor="text1"/>
              </w:rPr>
              <w:br/>
            </w:r>
            <w:r w:rsidRPr="00B818E7">
              <w:rPr>
                <w:rFonts w:ascii="Palatino Linotype" w:hAnsi="Palatino Linotype" w:cs="Helvetica"/>
                <w:i/>
                <w:color w:val="000000" w:themeColor="text1"/>
              </w:rPr>
              <w:t>logotipo del</w:t>
            </w:r>
            <w:r w:rsidRPr="00B818E7">
              <w:rPr>
                <w:rFonts w:ascii="Palatino Linotype" w:hAnsi="Palatino Linotype"/>
                <w:i/>
                <w:color w:val="000000" w:themeColor="text1"/>
              </w:rPr>
              <w:br/>
            </w:r>
            <w:r w:rsidRPr="00B818E7">
              <w:rPr>
                <w:rFonts w:ascii="Palatino Linotype" w:hAnsi="Palatino Linotype" w:cs="Helvetica"/>
                <w:i/>
                <w:color w:val="000000" w:themeColor="text1"/>
              </w:rPr>
              <w:t>sujeto</w:t>
            </w:r>
            <w:r w:rsidRPr="00B818E7">
              <w:rPr>
                <w:rFonts w:ascii="Palatino Linotype" w:hAnsi="Palatino Linotype"/>
                <w:i/>
                <w:color w:val="000000" w:themeColor="text1"/>
              </w:rPr>
              <w:br/>
            </w:r>
            <w:r w:rsidRPr="00B818E7">
              <w:rPr>
                <w:rFonts w:ascii="Palatino Linotype" w:hAnsi="Palatino Linotype" w:cs="Helvetica"/>
                <w:i/>
                <w:color w:val="000000" w:themeColor="text1"/>
              </w:rPr>
              <w:t>obligado</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Fecha de 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anotará la fecha en la que el Comité de Transparencia confirmó la clasificación del documento, en su caso.</w:t>
            </w:r>
          </w:p>
        </w:tc>
      </w:tr>
      <w:tr w:rsidR="00B818E7" w:rsidRPr="00B818E7" w:rsidTr="00960667">
        <w:trPr>
          <w:trHeight w:val="512"/>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señalará el nombre del área del cual es titular quien clasifica.</w:t>
            </w:r>
          </w:p>
        </w:tc>
      </w:tr>
      <w:tr w:rsidR="00B818E7" w:rsidRPr="00B818E7" w:rsidTr="00960667">
        <w:trPr>
          <w:trHeight w:val="1160"/>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Información reservada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818E7" w:rsidRPr="00B818E7" w:rsidTr="00960667">
        <w:trPr>
          <w:trHeight w:val="728"/>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anotará el número de años o meses por los que se mantendrá el documento o las partes del mismo como reservado.</w:t>
            </w:r>
          </w:p>
        </w:tc>
      </w:tr>
      <w:tr w:rsidR="00B818E7" w:rsidRPr="00B818E7" w:rsidTr="00960667">
        <w:trPr>
          <w:trHeight w:val="728"/>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señalará el nombre del ordenamiento, el o los artículos, fracción(es), párrafo(s) con base en los cuales se sustente la reserva.</w:t>
            </w:r>
          </w:p>
        </w:tc>
      </w:tr>
      <w:tr w:rsidR="00B818E7" w:rsidRPr="00B818E7" w:rsidTr="00960667">
        <w:trPr>
          <w:trHeight w:val="728"/>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Ampliación del 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En caso de haber solicitado la ampliación del periodo de reserva originalmente establecido, se deberá anotar el número de años o meses por los que se amplía la reserva.</w:t>
            </w:r>
          </w:p>
        </w:tc>
      </w:tr>
      <w:tr w:rsidR="00B818E7" w:rsidRPr="00B818E7" w:rsidTr="00960667">
        <w:trPr>
          <w:trHeight w:val="1160"/>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Confidencial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bl>
    <w:p w:rsidR="00960667" w:rsidRPr="00B818E7" w:rsidRDefault="00960667" w:rsidP="00B818E7">
      <w:pPr>
        <w:shd w:val="clear" w:color="auto" w:fill="FFFFFF"/>
        <w:jc w:val="both"/>
        <w:rPr>
          <w:rFonts w:ascii="Palatino Linotype" w:hAnsi="Palatino Linotype" w:cs="Arial"/>
          <w:i/>
          <w:vanish/>
          <w:color w:val="000000" w:themeColor="text1"/>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3077"/>
        <w:gridCol w:w="4522"/>
      </w:tblGrid>
      <w:tr w:rsidR="00B818E7" w:rsidRPr="00B818E7" w:rsidTr="00960667">
        <w:trPr>
          <w:trHeight w:val="728"/>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557124">
            <w:pPr>
              <w:spacing w:after="40"/>
              <w:jc w:val="center"/>
              <w:rPr>
                <w:rFonts w:ascii="Palatino Linotype" w:hAnsi="Palatino Linotype"/>
                <w:i/>
                <w:color w:val="000000" w:themeColor="text1"/>
              </w:rPr>
            </w:pPr>
            <w:r w:rsidRPr="00B818E7">
              <w:rPr>
                <w:rFonts w:ascii="Palatino Linotype" w:hAnsi="Palatino Linotype" w:cs="Helvetica"/>
                <w:i/>
                <w:color w:val="000000" w:themeColor="text1"/>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señalará el nombre del ordenamiento, el o los artículos, fracción(es), párrafo(s) con base en los cuales se sustente la confidencialidad.</w:t>
            </w:r>
          </w:p>
        </w:tc>
      </w:tr>
      <w:tr w:rsidR="00B818E7" w:rsidRPr="00B818E7" w:rsidTr="00960667">
        <w:trPr>
          <w:trHeight w:val="296"/>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Rúbrica del titular del 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Rúbrica autógrafa de quien clasifica.</w:t>
            </w:r>
          </w:p>
        </w:tc>
      </w:tr>
      <w:tr w:rsidR="00B818E7" w:rsidRPr="00B818E7" w:rsidTr="00960667">
        <w:trPr>
          <w:trHeight w:val="296"/>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Fecha de desclasificación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anotará la fecha en que se desclasifica el documento.</w:t>
            </w:r>
          </w:p>
        </w:tc>
      </w:tr>
      <w:tr w:rsidR="00B818E7" w:rsidRPr="00B818E7" w:rsidTr="00960667">
        <w:trPr>
          <w:trHeight w:val="311"/>
        </w:trPr>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Rúbrica y cargo del servidor público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Default="00960667" w:rsidP="00B818E7">
            <w:pPr>
              <w:spacing w:after="40"/>
              <w:jc w:val="both"/>
              <w:rPr>
                <w:rFonts w:ascii="Palatino Linotype" w:hAnsi="Palatino Linotype" w:cs="Helvetica"/>
                <w:i/>
                <w:color w:val="000000" w:themeColor="text1"/>
              </w:rPr>
            </w:pPr>
            <w:r w:rsidRPr="00B818E7">
              <w:rPr>
                <w:rFonts w:ascii="Palatino Linotype" w:hAnsi="Palatino Linotype" w:cs="Helvetica"/>
                <w:i/>
                <w:color w:val="000000" w:themeColor="text1"/>
              </w:rPr>
              <w:t>Rúbrica autógrafa de quien desclasifica.</w:t>
            </w:r>
          </w:p>
          <w:p w:rsidR="00EB4BF7" w:rsidRPr="00B818E7" w:rsidRDefault="00EB4BF7" w:rsidP="00B818E7">
            <w:pPr>
              <w:spacing w:after="40"/>
              <w:jc w:val="both"/>
              <w:rPr>
                <w:rFonts w:ascii="Palatino Linotype" w:hAnsi="Palatino Linotype"/>
                <w:i/>
                <w:color w:val="000000" w:themeColor="text1"/>
              </w:rPr>
            </w:pPr>
          </w:p>
        </w:tc>
      </w:tr>
    </w:tbl>
    <w:p w:rsidR="00960667" w:rsidRPr="00B818E7" w:rsidRDefault="00960667" w:rsidP="00B818E7">
      <w:pPr>
        <w:shd w:val="clear" w:color="auto" w:fill="FFFFFF"/>
        <w:spacing w:after="101"/>
        <w:jc w:val="both"/>
        <w:rPr>
          <w:rFonts w:ascii="Palatino Linotype" w:hAnsi="Palatino Linotype" w:cs="Arial"/>
          <w:i/>
          <w:color w:val="000000" w:themeColor="text1"/>
        </w:rPr>
      </w:pPr>
      <w:r w:rsidRPr="00B818E7">
        <w:rPr>
          <w:rFonts w:ascii="Palatino Linotype" w:hAnsi="Palatino Linotype" w:cs="Helvetica"/>
          <w:b/>
          <w:bCs/>
          <w:i/>
          <w:color w:val="000000" w:themeColor="text1"/>
        </w:rPr>
        <w:t>Quincuagésimo cuarto.</w:t>
      </w:r>
      <w:r w:rsidRPr="00B818E7">
        <w:rPr>
          <w:rFonts w:ascii="Palatino Linotype" w:hAnsi="Palatino Linotype" w:cs="Helvetica"/>
          <w:i/>
          <w:color w:val="000000" w:themeColor="text1"/>
        </w:rPr>
        <w:t> El expediente del cual formen parte los documentos que se consideren reservados o confidenciales en todo o en parte, únicamente llevará en su carátula la especificación de que contiene partes o secciones reservadas o confidenciales.</w:t>
      </w:r>
    </w:p>
    <w:p w:rsidR="00960667" w:rsidRPr="00B818E7" w:rsidRDefault="00960667" w:rsidP="00B818E7">
      <w:pPr>
        <w:shd w:val="clear" w:color="auto" w:fill="FFFFFF"/>
        <w:spacing w:after="101"/>
        <w:jc w:val="both"/>
        <w:rPr>
          <w:rFonts w:ascii="Palatino Linotype" w:hAnsi="Palatino Linotype" w:cs="Arial"/>
          <w:i/>
          <w:color w:val="000000" w:themeColor="text1"/>
        </w:rPr>
      </w:pPr>
      <w:r w:rsidRPr="00B818E7">
        <w:rPr>
          <w:rFonts w:ascii="Palatino Linotype" w:hAnsi="Palatino Linotype" w:cs="Helvetica"/>
          <w:b/>
          <w:bCs/>
          <w:i/>
          <w:color w:val="000000" w:themeColor="text1"/>
        </w:rPr>
        <w:t>Quincuagésimo quinto.</w:t>
      </w:r>
      <w:r w:rsidRPr="00B818E7">
        <w:rPr>
          <w:rFonts w:ascii="Palatino Linotype" w:hAnsi="Palatino Linotype" w:cs="Helvetica"/>
          <w:i/>
          <w:color w:val="000000" w:themeColor="text1"/>
        </w:rPr>
        <w:t> Los documentos que integren un expediente reservado o confidencial en su totalidad no deberán marcarse en lo individual.</w:t>
      </w:r>
    </w:p>
    <w:p w:rsidR="00960667" w:rsidRPr="00B818E7" w:rsidRDefault="00960667" w:rsidP="00B818E7">
      <w:pPr>
        <w:shd w:val="clear" w:color="auto" w:fill="FFFFFF"/>
        <w:spacing w:after="101"/>
        <w:jc w:val="both"/>
        <w:rPr>
          <w:rFonts w:ascii="Palatino Linotype" w:hAnsi="Palatino Linotype" w:cs="Arial"/>
          <w:i/>
          <w:color w:val="000000" w:themeColor="text1"/>
        </w:rPr>
      </w:pPr>
      <w:r w:rsidRPr="00B818E7">
        <w:rPr>
          <w:rFonts w:ascii="Palatino Linotype" w:hAnsi="Palatino Linotype" w:cs="Helvetica"/>
          <w:i/>
          <w:color w:val="000000" w:themeColor="text1"/>
        </w:rPr>
        <w:t>Una vez desclasificados los expedientes, si existieren documentos que tuvieran el carácter de reservados o confidenciales, deberán ser marcados.</w:t>
      </w:r>
    </w:p>
    <w:p w:rsidR="00960667" w:rsidRDefault="00960667" w:rsidP="00B818E7">
      <w:pPr>
        <w:shd w:val="clear" w:color="auto" w:fill="FFFFFF"/>
        <w:spacing w:after="101"/>
        <w:jc w:val="both"/>
        <w:rPr>
          <w:rFonts w:ascii="Palatino Linotype" w:hAnsi="Palatino Linotype" w:cs="Helvetica"/>
          <w:i/>
          <w:color w:val="000000" w:themeColor="text1"/>
        </w:rPr>
      </w:pPr>
      <w:r w:rsidRPr="00B818E7">
        <w:rPr>
          <w:rFonts w:ascii="Palatino Linotype" w:hAnsi="Palatino Linotype" w:cs="Helvetica"/>
          <w:i/>
          <w:color w:val="000000" w:themeColor="text1"/>
        </w:rPr>
        <w:t>El formato para señalar la clasificación de expedientes que por su naturaleza sean en su totalidad reservados o confidenciales, es el siguiente:</w:t>
      </w:r>
    </w:p>
    <w:p w:rsidR="000A36C3" w:rsidRPr="00B818E7" w:rsidRDefault="000A36C3" w:rsidP="00B818E7">
      <w:pPr>
        <w:shd w:val="clear" w:color="auto" w:fill="FFFFFF"/>
        <w:spacing w:after="101"/>
        <w:jc w:val="both"/>
        <w:rPr>
          <w:rFonts w:ascii="Palatino Linotype" w:hAnsi="Palatino Linotype" w:cs="Arial"/>
          <w:i/>
          <w:color w:val="000000" w:themeColor="text1"/>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1113"/>
        <w:gridCol w:w="3077"/>
        <w:gridCol w:w="4522"/>
      </w:tblGrid>
      <w:tr w:rsidR="00B818E7" w:rsidRPr="00B818E7" w:rsidTr="00960667">
        <w:trPr>
          <w:trHeight w:val="327"/>
        </w:trPr>
        <w:tc>
          <w:tcPr>
            <w:tcW w:w="1113" w:type="dxa"/>
            <w:tcBorders>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i/>
                <w:color w:val="000000" w:themeColor="text1"/>
              </w:rPr>
              <w:t> </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b/>
                <w:bCs/>
                <w:i/>
                <w:color w:val="000000" w:themeColor="text1"/>
              </w:rPr>
              <w:t>Concepto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b/>
                <w:bCs/>
                <w:i/>
                <w:color w:val="000000" w:themeColor="text1"/>
              </w:rPr>
              <w:t>Dónde:</w:t>
            </w:r>
          </w:p>
        </w:tc>
      </w:tr>
      <w:tr w:rsidR="00B818E7" w:rsidRPr="00B818E7" w:rsidTr="00960667">
        <w:trPr>
          <w:trHeight w:val="544"/>
        </w:trPr>
        <w:tc>
          <w:tcPr>
            <w:tcW w:w="1113" w:type="dxa"/>
            <w:vMerge w:val="restart"/>
            <w:tcBorders>
              <w:top w:val="single" w:sz="6" w:space="0" w:color="000000"/>
              <w:left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Sello oficial o</w:t>
            </w:r>
            <w:r w:rsidRPr="00B818E7">
              <w:rPr>
                <w:rFonts w:ascii="Palatino Linotype" w:hAnsi="Palatino Linotype"/>
                <w:i/>
                <w:color w:val="000000" w:themeColor="text1"/>
              </w:rPr>
              <w:br/>
            </w:r>
            <w:r w:rsidRPr="00B818E7">
              <w:rPr>
                <w:rFonts w:ascii="Palatino Linotype" w:hAnsi="Palatino Linotype" w:cs="Helvetica"/>
                <w:i/>
                <w:color w:val="000000" w:themeColor="text1"/>
              </w:rPr>
              <w:t>logotipo del</w:t>
            </w:r>
            <w:r w:rsidRPr="00B818E7">
              <w:rPr>
                <w:rFonts w:ascii="Palatino Linotype" w:hAnsi="Palatino Linotype"/>
                <w:i/>
                <w:color w:val="000000" w:themeColor="text1"/>
              </w:rPr>
              <w:br/>
            </w:r>
            <w:r w:rsidRPr="00B818E7">
              <w:rPr>
                <w:rFonts w:ascii="Palatino Linotype" w:hAnsi="Palatino Linotype" w:cs="Helvetica"/>
                <w:i/>
                <w:color w:val="000000" w:themeColor="text1"/>
              </w:rPr>
              <w:lastRenderedPageBreak/>
              <w:t>sujeto</w:t>
            </w:r>
            <w:r w:rsidRPr="00B818E7">
              <w:rPr>
                <w:rFonts w:ascii="Palatino Linotype" w:hAnsi="Palatino Linotype"/>
                <w:i/>
                <w:color w:val="000000" w:themeColor="text1"/>
              </w:rPr>
              <w:br/>
            </w:r>
            <w:r w:rsidRPr="00B818E7">
              <w:rPr>
                <w:rFonts w:ascii="Palatino Linotype" w:hAnsi="Palatino Linotype" w:cs="Helvetica"/>
                <w:i/>
                <w:color w:val="000000" w:themeColor="text1"/>
              </w:rPr>
              <w:t>obligado.</w:t>
            </w: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lastRenderedPageBreak/>
              <w:t>Fecha de 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anotará la fecha en la que el Comité de Transparencia confirmó la clasificación del documento, en su caso.</w:t>
            </w:r>
          </w:p>
        </w:tc>
      </w:tr>
      <w:tr w:rsidR="00B818E7" w:rsidRPr="00B818E7" w:rsidTr="00960667">
        <w:trPr>
          <w:trHeight w:val="544"/>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señalará el nombre del área de la cual es el titular quien clasifica.</w:t>
            </w:r>
          </w:p>
        </w:tc>
      </w:tr>
      <w:tr w:rsidR="00B818E7" w:rsidRPr="00B818E7" w:rsidTr="00960667">
        <w:trPr>
          <w:trHeight w:val="312"/>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Reservado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Leyenda de información RESERVADA.</w:t>
            </w:r>
          </w:p>
        </w:tc>
      </w:tr>
      <w:tr w:rsidR="00B818E7" w:rsidRPr="00B818E7" w:rsidTr="00960667">
        <w:trPr>
          <w:trHeight w:val="1008"/>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anotará el número de años o meses por los que se mantendrá el documento o las partes del mismo como reservado. Si el expediente no es reservado, sino confidencial, deberá tacharse este apartado.</w:t>
            </w:r>
          </w:p>
        </w:tc>
      </w:tr>
      <w:tr w:rsidR="00B818E7" w:rsidRPr="00B818E7" w:rsidTr="00960667">
        <w:trPr>
          <w:trHeight w:val="776"/>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señalará el nombre del o de los ordenamientos jurídicos, el o los artículos, fracción(es), párrafo(s) con base en los cuales se sustenta la reserva.</w:t>
            </w:r>
          </w:p>
        </w:tc>
      </w:tr>
      <w:tr w:rsidR="00B818E7" w:rsidRPr="00B818E7" w:rsidTr="00960667">
        <w:trPr>
          <w:trHeight w:val="776"/>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Ampliación del periodo de reserva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En caso de haber solicitado la ampliación del periodo de reserva originalmente establecido, se deberá anotar el número de años o meses por los que se amplía la reserva.</w:t>
            </w:r>
          </w:p>
        </w:tc>
      </w:tr>
      <w:tr w:rsidR="00B818E7" w:rsidRPr="00B818E7" w:rsidTr="00960667">
        <w:trPr>
          <w:trHeight w:val="312"/>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Confidencial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Leyenda de información CONFIDENCIAL.</w:t>
            </w:r>
          </w:p>
        </w:tc>
      </w:tr>
      <w:tr w:rsidR="00B818E7" w:rsidRPr="00B818E7" w:rsidTr="00960667">
        <w:trPr>
          <w:trHeight w:val="776"/>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Fundamento legal</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señalará el nombre del o de los ordenamientos jurídicos, el o los artículos, fracción(es), párrafo(s) con base en los cuales se sustente la confidencialidad.</w:t>
            </w:r>
          </w:p>
        </w:tc>
      </w:tr>
      <w:tr w:rsidR="00B818E7" w:rsidRPr="00B818E7" w:rsidTr="00960667">
        <w:trPr>
          <w:trHeight w:val="312"/>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Rúbrica del titular del área</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Rúbrica autógrafa de quien clasifica.</w:t>
            </w:r>
          </w:p>
        </w:tc>
      </w:tr>
      <w:tr w:rsidR="00B818E7" w:rsidRPr="00B818E7" w:rsidTr="00960667">
        <w:trPr>
          <w:trHeight w:val="312"/>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Fecha de desclasificación</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Se anotará la fecha en que se desclasifica.</w:t>
            </w:r>
          </w:p>
        </w:tc>
      </w:tr>
      <w:tr w:rsidR="00B818E7" w:rsidRPr="00B818E7" w:rsidTr="00960667">
        <w:trPr>
          <w:trHeight w:val="776"/>
        </w:trPr>
        <w:tc>
          <w:tcPr>
            <w:tcW w:w="0" w:type="auto"/>
            <w:vMerge/>
            <w:tcBorders>
              <w:top w:val="single" w:sz="6" w:space="0" w:color="000000"/>
              <w:left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Partes o secciones reservadas o</w:t>
            </w:r>
            <w:r w:rsidRPr="00B818E7">
              <w:rPr>
                <w:rFonts w:ascii="Palatino Linotype" w:hAnsi="Palatino Linotype"/>
                <w:i/>
                <w:color w:val="000000" w:themeColor="text1"/>
              </w:rPr>
              <w:br/>
            </w:r>
            <w:r w:rsidRPr="00B818E7">
              <w:rPr>
                <w:rFonts w:ascii="Palatino Linotype" w:hAnsi="Palatino Linotype" w:cs="Helvetica"/>
                <w:i/>
                <w:color w:val="000000" w:themeColor="text1"/>
              </w:rPr>
              <w:t>confidenciales</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En caso que una vez desclasificado el expediente, subsistan partes o secciones del mismo reservadas o confidenciales, se señalará este hecho.</w:t>
            </w:r>
          </w:p>
        </w:tc>
      </w:tr>
      <w:tr w:rsidR="00B818E7" w:rsidRPr="00B818E7" w:rsidTr="00960667">
        <w:trPr>
          <w:trHeight w:val="3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0667" w:rsidRPr="00B818E7" w:rsidRDefault="00960667" w:rsidP="00B818E7">
            <w:pPr>
              <w:jc w:val="both"/>
              <w:rPr>
                <w:rFonts w:ascii="Palatino Linotype" w:hAnsi="Palatino Linotype"/>
                <w:i/>
                <w:color w:val="000000" w:themeColor="text1"/>
              </w:rPr>
            </w:pPr>
          </w:p>
        </w:tc>
        <w:tc>
          <w:tcPr>
            <w:tcW w:w="30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Rúbrica y cargo del servidor público</w:t>
            </w:r>
          </w:p>
        </w:tc>
        <w:tc>
          <w:tcPr>
            <w:tcW w:w="452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960667" w:rsidRPr="00B818E7" w:rsidRDefault="00960667" w:rsidP="00B818E7">
            <w:pPr>
              <w:spacing w:after="40"/>
              <w:jc w:val="both"/>
              <w:rPr>
                <w:rFonts w:ascii="Palatino Linotype" w:hAnsi="Palatino Linotype"/>
                <w:i/>
                <w:color w:val="000000" w:themeColor="text1"/>
              </w:rPr>
            </w:pPr>
            <w:r w:rsidRPr="00B818E7">
              <w:rPr>
                <w:rFonts w:ascii="Palatino Linotype" w:hAnsi="Palatino Linotype" w:cs="Helvetica"/>
                <w:i/>
                <w:color w:val="000000" w:themeColor="text1"/>
              </w:rPr>
              <w:t>Rúbrica autógrafa de quien desclasifica.</w:t>
            </w:r>
          </w:p>
        </w:tc>
      </w:tr>
    </w:tbl>
    <w:p w:rsidR="00960667" w:rsidRPr="00B818E7" w:rsidRDefault="00960667" w:rsidP="00B818E7">
      <w:pPr>
        <w:jc w:val="both"/>
        <w:rPr>
          <w:rFonts w:ascii="Palatino Linotype" w:hAnsi="Palatino Linotype"/>
          <w:b/>
          <w:bCs/>
          <w:i/>
          <w:color w:val="000000" w:themeColor="text1"/>
        </w:rPr>
      </w:pP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b/>
          <w:bCs/>
          <w:i/>
          <w:color w:val="000000" w:themeColor="text1"/>
        </w:rPr>
        <w:t>Quincuagésimo cuarto.</w:t>
      </w:r>
      <w:r w:rsidRPr="00B818E7">
        <w:rPr>
          <w:rFonts w:ascii="Palatino Linotype" w:hAnsi="Palatino Linotype"/>
          <w:i/>
          <w:color w:val="000000" w:themeColor="text1"/>
        </w:rPr>
        <w:t> El expediente del cual formen parte los documentos que se consideren reservados o confidenciales en todo o en parte, únicamente llevará en su carátula la especificación de que contiene partes o secciones reservadas o confidenciales.</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b/>
          <w:bCs/>
          <w:i/>
          <w:color w:val="000000" w:themeColor="text1"/>
        </w:rPr>
        <w:t>Quincuagésimo quinto.</w:t>
      </w:r>
      <w:r w:rsidRPr="00B818E7">
        <w:rPr>
          <w:rFonts w:ascii="Palatino Linotype" w:hAnsi="Palatino Linotype"/>
          <w:i/>
          <w:color w:val="000000" w:themeColor="text1"/>
        </w:rPr>
        <w:t> Los documentos que integren un expediente reservado o confidencial en su totalidad no deberán marcarse en lo individual.</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i/>
          <w:color w:val="000000" w:themeColor="text1"/>
        </w:rPr>
        <w:lastRenderedPageBreak/>
        <w:t>Una vez desclasificados los expedientes, si existieren documentos que tuvieran el carácter de reservados o confidenciales, deberán ser marcados.</w:t>
      </w:r>
    </w:p>
    <w:p w:rsidR="00960667" w:rsidRPr="00B818E7" w:rsidRDefault="00960667" w:rsidP="00B818E7">
      <w:pPr>
        <w:jc w:val="both"/>
        <w:rPr>
          <w:rFonts w:ascii="Palatino Linotype" w:hAnsi="Palatino Linotype"/>
          <w:i/>
          <w:color w:val="000000" w:themeColor="text1"/>
        </w:rPr>
      </w:pPr>
      <w:r w:rsidRPr="00B818E7">
        <w:rPr>
          <w:rFonts w:ascii="Palatino Linotype" w:hAnsi="Palatino Linotype"/>
          <w:i/>
          <w:color w:val="000000" w:themeColor="text1"/>
        </w:rPr>
        <w:t>El formato para señalar la clasificación de expedientes que por su naturaleza sean en su totalidad reservados o confidenciales, es el siguiente:</w:t>
      </w:r>
    </w:p>
    <w:p w:rsidR="00960667" w:rsidRPr="00B818E7" w:rsidRDefault="00960667" w:rsidP="00B818E7">
      <w:pPr>
        <w:jc w:val="both"/>
        <w:rPr>
          <w:rFonts w:ascii="Palatino Linotype" w:hAnsi="Palatino Linotype"/>
          <w:color w:val="000000" w:themeColor="text1"/>
        </w:rPr>
      </w:pPr>
    </w:p>
    <w:p w:rsidR="00960667" w:rsidRPr="00B818E7" w:rsidRDefault="00960667" w:rsidP="00B818E7">
      <w:pPr>
        <w:rPr>
          <w:rFonts w:ascii="Palatino Linotype" w:eastAsia="Palatino Linotype" w:hAnsi="Palatino Linotype" w:cs="Palatino Linotype"/>
          <w:color w:val="000000" w:themeColor="text1"/>
          <w:lang w:val="es-ES_tradnl" w:eastAsia="es-ES"/>
        </w:rPr>
      </w:pPr>
    </w:p>
    <w:p w:rsidR="00E2175B" w:rsidRPr="00B818E7" w:rsidRDefault="00960667"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 xml:space="preserve">De lo analizado, se determina que el </w:t>
      </w:r>
      <w:r w:rsidRPr="00B818E7">
        <w:rPr>
          <w:rFonts w:ascii="Palatino Linotype" w:eastAsia="Palatino Linotype" w:hAnsi="Palatino Linotype" w:cs="Palatino Linotype"/>
          <w:b/>
          <w:color w:val="000000" w:themeColor="text1"/>
          <w:lang w:val="es-ES_tradnl" w:eastAsia="es-ES"/>
        </w:rPr>
        <w:t xml:space="preserve">SUJETO OBLIGADO </w:t>
      </w:r>
      <w:r w:rsidRPr="00B818E7">
        <w:rPr>
          <w:rFonts w:ascii="Palatino Linotype" w:eastAsia="Palatino Linotype" w:hAnsi="Palatino Linotype" w:cs="Palatino Linotype"/>
          <w:color w:val="000000" w:themeColor="text1"/>
          <w:lang w:val="es-ES_tradnl" w:eastAsia="es-ES"/>
        </w:rPr>
        <w:t xml:space="preserve">deberá de emitir el </w:t>
      </w:r>
      <w:r w:rsidR="00BC1263" w:rsidRPr="00B818E7">
        <w:rPr>
          <w:rFonts w:ascii="Palatino Linotype" w:eastAsia="Palatino Linotype" w:hAnsi="Palatino Linotype" w:cs="Palatino Linotype"/>
          <w:b/>
          <w:color w:val="000000" w:themeColor="text1"/>
          <w:lang w:eastAsia="es-ES"/>
        </w:rPr>
        <w:t xml:space="preserve">Acuerdo del Comité de Transparencia mediante el cual de manera fundada y motivada, confirme la clasificación de los exámenes escrito  y prácticos referidos en las solicitud de información como reservados, </w:t>
      </w:r>
      <w:r w:rsidR="00BC1263" w:rsidRPr="00B818E7">
        <w:rPr>
          <w:rFonts w:ascii="Palatino Linotype" w:eastAsia="Palatino Linotype" w:hAnsi="Palatino Linotype" w:cs="Palatino Linotype"/>
          <w:color w:val="000000" w:themeColor="text1"/>
          <w:lang w:eastAsia="es-ES"/>
        </w:rPr>
        <w:t>de conformidad con</w:t>
      </w:r>
      <w:r w:rsidR="00BC1263" w:rsidRPr="00B818E7">
        <w:rPr>
          <w:rFonts w:ascii="Palatino Linotype" w:eastAsia="Palatino Linotype" w:hAnsi="Palatino Linotype" w:cs="Palatino Linotype"/>
          <w:b/>
          <w:color w:val="000000" w:themeColor="text1"/>
          <w:lang w:eastAsia="es-ES"/>
        </w:rPr>
        <w:t xml:space="preserve"> </w:t>
      </w:r>
      <w:r w:rsidR="00BC1263" w:rsidRPr="00B818E7">
        <w:rPr>
          <w:rFonts w:ascii="Palatino Linotype" w:eastAsia="Palatino Linotype" w:hAnsi="Palatino Linotype" w:cs="Palatino Linotype"/>
          <w:color w:val="000000" w:themeColor="text1"/>
        </w:rPr>
        <w:t>en el artículo 140 fracción VII de la Ley de Transparencia y Acceso a la Información Pública del Estado de México y Municipios, así como también el artículo 129 relativo a la debida prueba de daño</w:t>
      </w:r>
      <w:r w:rsidR="00E2175B" w:rsidRPr="00B818E7">
        <w:rPr>
          <w:rFonts w:ascii="Palatino Linotype" w:eastAsia="Palatino Linotype" w:hAnsi="Palatino Linotype" w:cs="Palatino Linotype"/>
          <w:b/>
          <w:color w:val="000000" w:themeColor="text1"/>
          <w:lang w:val="es-ES_tradnl" w:eastAsia="es-ES"/>
        </w:rPr>
        <w:t xml:space="preserve">. </w:t>
      </w: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Default="00E2175B" w:rsidP="00B818E7">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color w:val="000000" w:themeColor="text1"/>
          <w:lang w:val="es-ES_tradnl" w:eastAsia="es-ES"/>
        </w:rPr>
        <w:t>Por lo anteriormente expuesto, este Órgano Garante considera parcialmente fundadas las razones o motivos de inconformidad que plantea el</w:t>
      </w:r>
      <w:r w:rsidRPr="00B818E7">
        <w:rPr>
          <w:rFonts w:ascii="Palatino Linotype" w:eastAsia="Palatino Linotype" w:hAnsi="Palatino Linotype" w:cs="Palatino Linotype"/>
          <w:b/>
          <w:color w:val="000000" w:themeColor="text1"/>
          <w:lang w:val="es-ES_tradnl" w:eastAsia="es-ES"/>
        </w:rPr>
        <w:t xml:space="preserve"> RECURRENTE</w:t>
      </w:r>
      <w:r w:rsidRPr="00B818E7">
        <w:rPr>
          <w:rFonts w:ascii="Palatino Linotype" w:eastAsia="Palatino Linotype" w:hAnsi="Palatino Linotype" w:cs="Palatino Linotype"/>
          <w:color w:val="000000" w:themeColor="text1"/>
          <w:lang w:val="es-ES_tradnl" w:eastAsia="es-ES"/>
        </w:rPr>
        <w:t xml:space="preserve">, determinando </w:t>
      </w:r>
      <w:r w:rsidRPr="00B818E7">
        <w:rPr>
          <w:rFonts w:ascii="Palatino Linotype" w:eastAsia="Palatino Linotype" w:hAnsi="Palatino Linotype" w:cs="Palatino Linotype"/>
          <w:b/>
          <w:color w:val="000000" w:themeColor="text1"/>
          <w:lang w:val="es-ES_tradnl" w:eastAsia="es-ES"/>
        </w:rPr>
        <w:t xml:space="preserve">MODIFICAR </w:t>
      </w:r>
      <w:r w:rsidRPr="00B818E7">
        <w:rPr>
          <w:rFonts w:ascii="Palatino Linotype" w:eastAsia="Palatino Linotype" w:hAnsi="Palatino Linotype" w:cs="Palatino Linotype"/>
          <w:color w:val="000000" w:themeColor="text1"/>
          <w:lang w:val="es-ES_tradnl" w:eastAsia="es-ES"/>
        </w:rPr>
        <w:t xml:space="preserve">las respuestas del </w:t>
      </w:r>
      <w:r w:rsidRPr="00B818E7">
        <w:rPr>
          <w:rFonts w:ascii="Palatino Linotype" w:eastAsia="Palatino Linotype" w:hAnsi="Palatino Linotype" w:cs="Palatino Linotype"/>
          <w:b/>
          <w:color w:val="000000" w:themeColor="text1"/>
          <w:lang w:val="es-ES_tradnl" w:eastAsia="es-ES"/>
        </w:rPr>
        <w:t>SUJETO OBLIGADO</w:t>
      </w:r>
      <w:r w:rsidRPr="00B818E7">
        <w:rPr>
          <w:rFonts w:ascii="Palatino Linotype" w:eastAsia="Palatino Linotype" w:hAnsi="Palatino Linotype" w:cs="Palatino Linotype"/>
          <w:color w:val="000000" w:themeColor="text1"/>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B818E7">
        <w:rPr>
          <w:rFonts w:ascii="Palatino Linotype" w:eastAsia="Palatino Linotype" w:hAnsi="Palatino Linotype" w:cs="Palatino Linotype"/>
          <w:b/>
          <w:color w:val="000000" w:themeColor="text1"/>
          <w:lang w:val="es-ES_tradnl" w:eastAsia="es-ES"/>
        </w:rPr>
        <w:t>ÓRGANO GARANTE</w:t>
      </w:r>
      <w:r w:rsidRPr="00B818E7">
        <w:rPr>
          <w:rFonts w:ascii="Palatino Linotype" w:eastAsia="Palatino Linotype" w:hAnsi="Palatino Linotype" w:cs="Palatino Linotype"/>
          <w:color w:val="000000" w:themeColor="text1"/>
          <w:lang w:val="es-ES_tradnl" w:eastAsia="es-ES"/>
        </w:rPr>
        <w:t xml:space="preserve"> emite los siguientes.</w:t>
      </w:r>
      <w:r w:rsidR="00557124">
        <w:rPr>
          <w:rFonts w:ascii="Palatino Linotype" w:eastAsia="Palatino Linotype" w:hAnsi="Palatino Linotype" w:cs="Palatino Linotype"/>
          <w:color w:val="000000" w:themeColor="text1"/>
          <w:lang w:val="es-ES_tradnl" w:eastAsia="es-ES"/>
        </w:rPr>
        <w:t xml:space="preserve"> ---------------------------------------------------------------------------</w:t>
      </w:r>
    </w:p>
    <w:p w:rsidR="00557124" w:rsidRDefault="00557124" w:rsidP="00557124">
      <w:pPr>
        <w:pStyle w:val="Prrafodelista"/>
        <w:rPr>
          <w:rFonts w:ascii="Palatino Linotype" w:eastAsia="Palatino Linotype" w:hAnsi="Palatino Linotype" w:cs="Palatino Linotype"/>
          <w:color w:val="000000" w:themeColor="text1"/>
          <w:lang w:val="es-ES_tradnl" w:eastAsia="es-ES"/>
        </w:rPr>
      </w:pPr>
    </w:p>
    <w:p w:rsidR="00557124" w:rsidRDefault="00557124" w:rsidP="00557124">
      <w:pPr>
        <w:spacing w:line="360" w:lineRule="auto"/>
        <w:jc w:val="both"/>
        <w:rPr>
          <w:rFonts w:ascii="Palatino Linotype" w:eastAsia="Palatino Linotype" w:hAnsi="Palatino Linotype" w:cs="Palatino Linotype"/>
          <w:color w:val="000000" w:themeColor="text1"/>
          <w:lang w:val="es-ES_tradnl" w:eastAsia="es-ES"/>
        </w:rPr>
      </w:pPr>
    </w:p>
    <w:p w:rsidR="00557124" w:rsidRPr="00B818E7" w:rsidRDefault="00557124" w:rsidP="00557124">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B818E7">
        <w:rPr>
          <w:rFonts w:ascii="Palatino Linotype" w:eastAsia="Palatino Linotype" w:hAnsi="Palatino Linotype" w:cs="Palatino Linotype"/>
          <w:b/>
          <w:color w:val="000000" w:themeColor="text1"/>
          <w:lang w:val="es-ES_tradnl" w:eastAsia="es-ES"/>
        </w:rPr>
        <w:lastRenderedPageBreak/>
        <w:t>R E S O L U T I V O S</w:t>
      </w: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b/>
          <w:color w:val="000000" w:themeColor="text1"/>
          <w:lang w:val="es-ES_tradnl" w:eastAsia="es-ES"/>
        </w:rPr>
        <w:t>PRIMERO</w:t>
      </w:r>
      <w:r w:rsidRPr="00B818E7">
        <w:rPr>
          <w:rFonts w:ascii="Palatino Linotype" w:eastAsia="Palatino Linotype" w:hAnsi="Palatino Linotype" w:cs="Palatino Linotype"/>
          <w:color w:val="000000" w:themeColor="text1"/>
          <w:lang w:val="es-ES_tradnl" w:eastAsia="es-ES"/>
        </w:rPr>
        <w:t xml:space="preserve">. Resultan </w:t>
      </w:r>
      <w:r w:rsidR="004D15FD" w:rsidRPr="00B818E7">
        <w:rPr>
          <w:rFonts w:ascii="Palatino Linotype" w:eastAsia="Palatino Linotype" w:hAnsi="Palatino Linotype" w:cs="Palatino Linotype"/>
          <w:color w:val="000000" w:themeColor="text1"/>
          <w:lang w:val="es-ES_tradnl" w:eastAsia="es-ES"/>
        </w:rPr>
        <w:t xml:space="preserve">parcialmente </w:t>
      </w:r>
      <w:r w:rsidRPr="00B818E7">
        <w:rPr>
          <w:rFonts w:ascii="Palatino Linotype" w:eastAsia="Palatino Linotype" w:hAnsi="Palatino Linotype" w:cs="Palatino Linotype"/>
          <w:color w:val="000000" w:themeColor="text1"/>
          <w:lang w:val="es-ES_tradnl" w:eastAsia="es-ES"/>
        </w:rPr>
        <w:t xml:space="preserve">fundadas las razones o motivos de inconformidad hechos valer en el Recurso de Revisión </w:t>
      </w:r>
      <w:r w:rsidR="00461FD3" w:rsidRPr="00B818E7">
        <w:rPr>
          <w:rFonts w:ascii="Palatino Linotype" w:eastAsia="Palatino Linotype" w:hAnsi="Palatino Linotype" w:cs="Palatino Linotype"/>
          <w:b/>
          <w:color w:val="000000" w:themeColor="text1"/>
          <w:lang w:val="es-ES_tradnl" w:eastAsia="es-ES"/>
        </w:rPr>
        <w:t xml:space="preserve">06008/INFOEM/IP/RR/2025 </w:t>
      </w:r>
      <w:r w:rsidRPr="00B818E7">
        <w:rPr>
          <w:rFonts w:ascii="Palatino Linotype" w:eastAsia="Palatino Linotype" w:hAnsi="Palatino Linotype" w:cs="Palatino Linotype"/>
          <w:color w:val="000000" w:themeColor="text1"/>
          <w:lang w:val="es-ES_tradnl" w:eastAsia="es-ES"/>
        </w:rPr>
        <w:t xml:space="preserve">en términos de los Considerandos </w:t>
      </w:r>
      <w:r w:rsidRPr="00B818E7">
        <w:rPr>
          <w:rFonts w:ascii="Palatino Linotype" w:eastAsia="Palatino Linotype" w:hAnsi="Palatino Linotype" w:cs="Palatino Linotype"/>
          <w:b/>
          <w:color w:val="000000" w:themeColor="text1"/>
          <w:lang w:val="es-ES_tradnl" w:eastAsia="es-ES"/>
        </w:rPr>
        <w:t xml:space="preserve">CUARTO </w:t>
      </w:r>
      <w:r w:rsidRPr="00B818E7">
        <w:rPr>
          <w:rFonts w:ascii="Palatino Linotype" w:eastAsia="Palatino Linotype" w:hAnsi="Palatino Linotype" w:cs="Palatino Linotype"/>
          <w:color w:val="000000" w:themeColor="text1"/>
          <w:lang w:val="es-ES_tradnl" w:eastAsia="es-ES"/>
        </w:rPr>
        <w:t xml:space="preserve">de la presente resolución. </w:t>
      </w: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bookmarkStart w:id="150" w:name="_heading=h.26in1rg" w:colFirst="0" w:colLast="0"/>
      <w:bookmarkEnd w:id="150"/>
      <w:r w:rsidRPr="00B818E7">
        <w:rPr>
          <w:rFonts w:ascii="Palatino Linotype" w:eastAsia="Palatino Linotype" w:hAnsi="Palatino Linotype" w:cs="Palatino Linotype"/>
          <w:b/>
          <w:color w:val="000000" w:themeColor="text1"/>
          <w:lang w:val="es-ES_tradnl" w:eastAsia="es-ES"/>
        </w:rPr>
        <w:t xml:space="preserve">SEGUNDO. </w:t>
      </w:r>
      <w:r w:rsidRPr="00B818E7">
        <w:rPr>
          <w:rFonts w:ascii="Palatino Linotype" w:eastAsia="Palatino Linotype" w:hAnsi="Palatino Linotype" w:cs="Palatino Linotype"/>
          <w:color w:val="000000" w:themeColor="text1"/>
          <w:lang w:val="es-ES_tradnl" w:eastAsia="es-ES"/>
        </w:rPr>
        <w:t xml:space="preserve">Se </w:t>
      </w:r>
      <w:r w:rsidRPr="00B818E7">
        <w:rPr>
          <w:rFonts w:ascii="Palatino Linotype" w:eastAsia="Palatino Linotype" w:hAnsi="Palatino Linotype" w:cs="Palatino Linotype"/>
          <w:b/>
          <w:color w:val="000000" w:themeColor="text1"/>
          <w:lang w:val="es-ES_tradnl" w:eastAsia="es-ES"/>
        </w:rPr>
        <w:t xml:space="preserve">MODIFICA </w:t>
      </w:r>
      <w:r w:rsidRPr="00B818E7">
        <w:rPr>
          <w:rFonts w:ascii="Palatino Linotype" w:eastAsia="Palatino Linotype" w:hAnsi="Palatino Linotype" w:cs="Palatino Linotype"/>
          <w:color w:val="000000" w:themeColor="text1"/>
          <w:lang w:val="es-ES_tradnl" w:eastAsia="es-ES"/>
        </w:rPr>
        <w:t xml:space="preserve">la respuesta emitida por el </w:t>
      </w:r>
      <w:r w:rsidR="00461FD3" w:rsidRPr="00B818E7">
        <w:rPr>
          <w:rFonts w:ascii="Palatino Linotype" w:eastAsia="Palatino Linotype" w:hAnsi="Palatino Linotype" w:cs="Palatino Linotype"/>
          <w:b/>
          <w:color w:val="000000" w:themeColor="text1"/>
          <w:lang w:val="es-ES_tradnl" w:eastAsia="es-ES"/>
        </w:rPr>
        <w:t>Poder Judicial</w:t>
      </w:r>
      <w:r w:rsidRPr="00B818E7">
        <w:rPr>
          <w:rFonts w:ascii="Palatino Linotype" w:eastAsia="Palatino Linotype" w:hAnsi="Palatino Linotype" w:cs="Palatino Linotype"/>
          <w:b/>
          <w:color w:val="000000" w:themeColor="text1"/>
          <w:lang w:val="es-ES_tradnl" w:eastAsia="es-ES"/>
        </w:rPr>
        <w:t xml:space="preserve"> </w:t>
      </w:r>
      <w:r w:rsidRPr="00B818E7">
        <w:rPr>
          <w:rFonts w:ascii="Palatino Linotype" w:eastAsia="Palatino Linotype" w:hAnsi="Palatino Linotype" w:cs="Palatino Linotype"/>
          <w:color w:val="000000" w:themeColor="text1"/>
          <w:lang w:val="es-ES_tradnl" w:eastAsia="es-ES"/>
        </w:rPr>
        <w:t xml:space="preserve">y se </w:t>
      </w:r>
      <w:r w:rsidRPr="00B818E7">
        <w:rPr>
          <w:rFonts w:ascii="Palatino Linotype" w:eastAsia="Palatino Linotype" w:hAnsi="Palatino Linotype" w:cs="Palatino Linotype"/>
          <w:b/>
          <w:color w:val="000000" w:themeColor="text1"/>
          <w:lang w:val="es-ES_tradnl" w:eastAsia="es-ES"/>
        </w:rPr>
        <w:t>ORDENA</w:t>
      </w:r>
      <w:r w:rsidRPr="00B818E7">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B818E7">
        <w:rPr>
          <w:rFonts w:ascii="Palatino Linotype" w:eastAsia="Palatino Linotype" w:hAnsi="Palatino Linotype" w:cs="Palatino Linotype"/>
          <w:b/>
          <w:color w:val="000000" w:themeColor="text1"/>
          <w:lang w:val="es-ES_tradnl" w:eastAsia="es-ES"/>
        </w:rPr>
        <w:t>(SAIMEX)</w:t>
      </w:r>
      <w:r w:rsidRPr="00B818E7">
        <w:rPr>
          <w:rFonts w:ascii="Palatino Linotype" w:eastAsia="Palatino Linotype" w:hAnsi="Palatino Linotype" w:cs="Palatino Linotype"/>
          <w:color w:val="000000" w:themeColor="text1"/>
          <w:lang w:val="es-ES_tradnl" w:eastAsia="es-ES"/>
        </w:rPr>
        <w:t>, la siguiente información:</w:t>
      </w:r>
    </w:p>
    <w:p w:rsidR="00E2175B" w:rsidRPr="00B818E7" w:rsidRDefault="00E2175B" w:rsidP="00B818E7">
      <w:pPr>
        <w:spacing w:line="360" w:lineRule="auto"/>
        <w:jc w:val="both"/>
        <w:rPr>
          <w:rFonts w:ascii="Palatino Linotype" w:eastAsia="Palatino Linotype" w:hAnsi="Palatino Linotype" w:cs="Palatino Linotype"/>
          <w:b/>
          <w:color w:val="000000" w:themeColor="text1"/>
          <w:lang w:eastAsia="es-ES"/>
        </w:rPr>
      </w:pPr>
      <w:r w:rsidRPr="00B818E7">
        <w:rPr>
          <w:rFonts w:ascii="Palatino Linotype" w:eastAsia="Palatino Linotype" w:hAnsi="Palatino Linotype" w:cs="Palatino Linotype"/>
          <w:b/>
          <w:color w:val="000000" w:themeColor="text1"/>
          <w:lang w:val="es-ES_tradnl" w:eastAsia="es-ES"/>
        </w:rPr>
        <w:t xml:space="preserve">    </w:t>
      </w:r>
    </w:p>
    <w:p w:rsidR="00E2175B" w:rsidRPr="00B818E7" w:rsidRDefault="004D15FD" w:rsidP="00B818E7">
      <w:pPr>
        <w:pStyle w:val="Prrafodelista"/>
        <w:numPr>
          <w:ilvl w:val="3"/>
          <w:numId w:val="11"/>
        </w:numPr>
        <w:ind w:left="0" w:firstLine="0"/>
        <w:jc w:val="both"/>
        <w:rPr>
          <w:rFonts w:ascii="Palatino Linotype" w:eastAsia="Calibri" w:hAnsi="Palatino Linotype" w:cs="Arial"/>
          <w:b/>
          <w:i/>
          <w:color w:val="000000" w:themeColor="text1"/>
          <w:sz w:val="24"/>
          <w:szCs w:val="24"/>
          <w:lang w:val="es-MX"/>
        </w:rPr>
      </w:pPr>
      <w:r w:rsidRPr="00B818E7">
        <w:rPr>
          <w:rFonts w:ascii="Palatino Linotype" w:eastAsia="Calibri" w:hAnsi="Palatino Linotype" w:cs="Arial"/>
          <w:b/>
          <w:i/>
          <w:color w:val="000000" w:themeColor="text1"/>
          <w:sz w:val="24"/>
          <w:szCs w:val="24"/>
          <w:lang w:val="es-MX"/>
        </w:rPr>
        <w:t>Acuerdo del Comité de Transparencia mediante el cual de manera fundada y motivada, confirme la clasificación de los exámenes escrito  y prácticos referidos en las solicitud de información como reservados, de conformidad con en el artículo 140 fracción VII de la Ley de Transparencia y Acceso a la Información Pública del Estado de México y Municipios, así como también el artículo 129 relativo a la debida prueba de daño.</w:t>
      </w:r>
    </w:p>
    <w:p w:rsidR="004D15FD" w:rsidRDefault="004D15FD" w:rsidP="00B818E7">
      <w:pPr>
        <w:pStyle w:val="Prrafodelista"/>
        <w:ind w:left="0"/>
        <w:jc w:val="both"/>
        <w:rPr>
          <w:rFonts w:ascii="Palatino Linotype" w:eastAsia="Calibri" w:hAnsi="Palatino Linotype" w:cs="Arial"/>
          <w:b/>
          <w:i/>
          <w:color w:val="000000" w:themeColor="text1"/>
          <w:sz w:val="24"/>
          <w:szCs w:val="24"/>
          <w:highlight w:val="yellow"/>
          <w:lang w:val="es-MX"/>
        </w:rPr>
      </w:pPr>
    </w:p>
    <w:p w:rsidR="00EB4BF7" w:rsidRPr="00B818E7" w:rsidRDefault="00EB4BF7" w:rsidP="00B818E7">
      <w:pPr>
        <w:pStyle w:val="Prrafodelista"/>
        <w:ind w:left="0"/>
        <w:jc w:val="both"/>
        <w:rPr>
          <w:rFonts w:ascii="Palatino Linotype" w:eastAsia="Calibri" w:hAnsi="Palatino Linotype" w:cs="Arial"/>
          <w:b/>
          <w:i/>
          <w:color w:val="000000" w:themeColor="text1"/>
          <w:sz w:val="24"/>
          <w:szCs w:val="24"/>
          <w:highlight w:val="yellow"/>
          <w:lang w:val="es-MX"/>
        </w:rPr>
      </w:pPr>
    </w:p>
    <w:p w:rsidR="00E2175B" w:rsidRPr="00B818E7" w:rsidRDefault="00E2175B" w:rsidP="00B818E7">
      <w:pPr>
        <w:spacing w:line="360" w:lineRule="auto"/>
        <w:jc w:val="both"/>
        <w:rPr>
          <w:rFonts w:ascii="Palatino Linotype" w:eastAsia="Palatino Linotype" w:hAnsi="Palatino Linotype" w:cs="Palatino Linotype"/>
          <w:b/>
          <w:color w:val="000000" w:themeColor="text1"/>
        </w:rPr>
      </w:pPr>
      <w:r w:rsidRPr="00B818E7">
        <w:rPr>
          <w:rFonts w:ascii="Palatino Linotype" w:eastAsia="Palatino Linotype" w:hAnsi="Palatino Linotype" w:cs="Palatino Linotype"/>
          <w:b/>
          <w:color w:val="000000" w:themeColor="text1"/>
          <w:lang w:val="es-ES_tradnl" w:eastAsia="es-ES"/>
        </w:rPr>
        <w:t>TERCERO</w:t>
      </w:r>
      <w:r w:rsidRPr="00B818E7">
        <w:rPr>
          <w:rFonts w:ascii="Palatino Linotype" w:eastAsia="Palatino Linotype" w:hAnsi="Palatino Linotype" w:cs="Palatino Linotype"/>
          <w:color w:val="000000" w:themeColor="text1"/>
          <w:lang w:val="es-ES_tradnl" w:eastAsia="es-ES"/>
        </w:rPr>
        <w:t xml:space="preserve">. </w:t>
      </w:r>
      <w:r w:rsidRPr="00B818E7">
        <w:rPr>
          <w:rFonts w:ascii="Palatino Linotype" w:eastAsia="Palatino Linotype" w:hAnsi="Palatino Linotype" w:cs="Palatino Linotype"/>
          <w:b/>
          <w:color w:val="000000" w:themeColor="text1"/>
        </w:rPr>
        <w:t xml:space="preserve">NOTIFÍQUESE </w:t>
      </w:r>
      <w:r w:rsidRPr="00B818E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A36C3">
        <w:rPr>
          <w:rFonts w:ascii="Palatino Linotype" w:eastAsia="Palatino Linotype" w:hAnsi="Palatino Linotype" w:cs="Palatino Linotype"/>
          <w:b/>
          <w:color w:val="000000" w:themeColor="text1"/>
        </w:rPr>
        <w:t>dé cumplimiento a lo</w:t>
      </w:r>
      <w:r w:rsidRPr="00B818E7">
        <w:rPr>
          <w:rFonts w:ascii="Palatino Linotype" w:eastAsia="Palatino Linotype" w:hAnsi="Palatino Linotype" w:cs="Palatino Linotype"/>
          <w:color w:val="000000" w:themeColor="text1"/>
        </w:rPr>
        <w:t xml:space="preserve"> </w:t>
      </w:r>
      <w:r w:rsidRPr="00B818E7">
        <w:rPr>
          <w:rFonts w:ascii="Palatino Linotype" w:eastAsia="Palatino Linotype" w:hAnsi="Palatino Linotype" w:cs="Palatino Linotype"/>
          <w:b/>
          <w:color w:val="000000" w:themeColor="text1"/>
        </w:rPr>
        <w:t>ordenado dentro del plazo de diez días hábiles</w:t>
      </w:r>
      <w:r w:rsidRPr="00B818E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B818E7">
        <w:rPr>
          <w:rFonts w:ascii="Palatino Linotype" w:eastAsia="Palatino Linotype" w:hAnsi="Palatino Linotype" w:cs="Palatino Linotype"/>
          <w:color w:val="000000" w:themeColor="text1"/>
        </w:rPr>
        <w:lastRenderedPageBreak/>
        <w:t>y 216 de la Ley  de Transparencia y Acceso a la Información Pública del Estado de México y Municipios.</w:t>
      </w:r>
    </w:p>
    <w:p w:rsidR="00E2175B" w:rsidRPr="00B818E7" w:rsidRDefault="00E2175B" w:rsidP="00B818E7">
      <w:pPr>
        <w:tabs>
          <w:tab w:val="left" w:pos="8080"/>
        </w:tabs>
        <w:spacing w:line="360" w:lineRule="auto"/>
        <w:jc w:val="both"/>
        <w:rPr>
          <w:rFonts w:ascii="Palatino Linotype" w:eastAsia="Palatino Linotype" w:hAnsi="Palatino Linotype" w:cs="Palatino Linotype"/>
          <w:color w:val="000000" w:themeColor="text1"/>
          <w:highlight w:val="white"/>
          <w:lang w:val="es-ES_tradnl" w:eastAsia="es-ES"/>
        </w:rPr>
      </w:pP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b/>
          <w:color w:val="000000" w:themeColor="text1"/>
          <w:lang w:val="es-ES_tradnl" w:eastAsia="es-ES"/>
        </w:rPr>
        <w:t xml:space="preserve">CUARTO. </w:t>
      </w:r>
      <w:r w:rsidRPr="00B818E7">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B818E7">
        <w:rPr>
          <w:rFonts w:ascii="Palatino Linotype" w:eastAsia="Palatino Linotype" w:hAnsi="Palatino Linotype" w:cs="Palatino Linotype"/>
          <w:b/>
          <w:color w:val="000000" w:themeColor="text1"/>
          <w:lang w:val="es-ES_tradnl" w:eastAsia="es-ES"/>
        </w:rPr>
        <w:t>SUJETO OBLIGADO</w:t>
      </w:r>
      <w:r w:rsidRPr="00B818E7">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rsidR="00E2175B" w:rsidRPr="00B818E7" w:rsidRDefault="00E2175B" w:rsidP="00B818E7">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151" w:name="_heading=h.lnxbz9" w:colFirst="0" w:colLast="0"/>
      <w:bookmarkEnd w:id="151"/>
      <w:r w:rsidRPr="00B818E7">
        <w:rPr>
          <w:rFonts w:ascii="Palatino Linotype" w:eastAsia="Palatino Linotype" w:hAnsi="Palatino Linotype" w:cs="Palatino Linotype"/>
          <w:b/>
          <w:color w:val="000000" w:themeColor="text1"/>
          <w:lang w:val="es-ES_tradnl" w:eastAsia="es-ES"/>
        </w:rPr>
        <w:t xml:space="preserve">QUINTO. </w:t>
      </w:r>
      <w:r w:rsidRPr="00B818E7">
        <w:rPr>
          <w:rFonts w:ascii="Palatino Linotype" w:eastAsia="Palatino Linotype" w:hAnsi="Palatino Linotype" w:cs="Palatino Linotype"/>
          <w:color w:val="000000" w:themeColor="text1"/>
          <w:lang w:val="es-ES_tradnl" w:eastAsia="es-ES"/>
        </w:rPr>
        <w:t xml:space="preserve">Notifíquese a </w:t>
      </w:r>
      <w:r w:rsidRPr="00B818E7">
        <w:rPr>
          <w:rFonts w:ascii="Palatino Linotype" w:eastAsia="Palatino Linotype" w:hAnsi="Palatino Linotype" w:cs="Palatino Linotype"/>
          <w:b/>
          <w:color w:val="000000" w:themeColor="text1"/>
          <w:lang w:val="es-ES_tradnl" w:eastAsia="es-ES"/>
        </w:rPr>
        <w:t>EL RECURRENTE</w:t>
      </w:r>
      <w:r w:rsidRPr="00B818E7">
        <w:rPr>
          <w:rFonts w:ascii="Palatino Linotype" w:eastAsia="Palatino Linotype" w:hAnsi="Palatino Linotype" w:cs="Palatino Linotype"/>
          <w:color w:val="000000" w:themeColor="text1"/>
          <w:lang w:val="es-ES_tradnl" w:eastAsia="es-ES"/>
        </w:rPr>
        <w:t xml:space="preserve"> la presente resolución, vía SAIMEX.</w:t>
      </w:r>
    </w:p>
    <w:p w:rsidR="00E2175B" w:rsidRPr="00B818E7" w:rsidRDefault="00E2175B" w:rsidP="00B818E7">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B818E7">
        <w:rPr>
          <w:rFonts w:ascii="Palatino Linotype" w:eastAsia="Palatino Linotype" w:hAnsi="Palatino Linotype" w:cs="Palatino Linotype"/>
          <w:b/>
          <w:color w:val="000000" w:themeColor="text1"/>
          <w:lang w:val="es-ES_tradnl" w:eastAsia="es-ES"/>
        </w:rPr>
        <w:t>SEXTO.</w:t>
      </w:r>
      <w:r w:rsidRPr="00B818E7">
        <w:rPr>
          <w:rFonts w:ascii="Palatino Linotype" w:eastAsia="Palatino Linotype" w:hAnsi="Palatino Linotype" w:cs="Palatino Linotype"/>
          <w:color w:val="000000" w:themeColor="text1"/>
          <w:lang w:val="es-ES_tradnl" w:eastAsia="es-ES"/>
        </w:rPr>
        <w:t xml:space="preserve"> Se hace del conocimiento de </w:t>
      </w:r>
      <w:r w:rsidRPr="00B818E7">
        <w:rPr>
          <w:rFonts w:ascii="Palatino Linotype" w:eastAsia="Palatino Linotype" w:hAnsi="Palatino Linotype" w:cs="Palatino Linotype"/>
          <w:b/>
          <w:color w:val="000000" w:themeColor="text1"/>
          <w:lang w:val="es-ES_tradnl" w:eastAsia="es-ES"/>
        </w:rPr>
        <w:t>EL RECURRENTE</w:t>
      </w:r>
      <w:r w:rsidRPr="00B818E7">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2175B" w:rsidRPr="00B818E7" w:rsidRDefault="00E2175B" w:rsidP="00B818E7">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rsidR="000A36C3" w:rsidRPr="00444783" w:rsidRDefault="000A36C3" w:rsidP="000A36C3">
      <w:pPr>
        <w:tabs>
          <w:tab w:val="left" w:pos="5387"/>
        </w:tabs>
        <w:spacing w:line="360" w:lineRule="auto"/>
        <w:ind w:right="49"/>
        <w:jc w:val="both"/>
        <w:rPr>
          <w:rFonts w:ascii="Palatino Linotype" w:eastAsia="Palatino Linotype" w:hAnsi="Palatino Linotype" w:cs="Palatino Linotype"/>
        </w:rPr>
      </w:pPr>
      <w:bookmarkStart w:id="152" w:name="_heading=h.35nkun2" w:colFirst="0" w:colLast="0"/>
      <w:bookmarkEnd w:id="152"/>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A7ABE">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spacing w:line="360" w:lineRule="auto"/>
        <w:jc w:val="both"/>
        <w:rPr>
          <w:rFonts w:ascii="Palatino Linotype" w:eastAsia="Palatino Linotype" w:hAnsi="Palatino Linotype" w:cs="Palatino Linotype"/>
          <w:color w:val="000000" w:themeColor="text1"/>
          <w:lang w:val="es-ES_tradnl" w:eastAsia="es-ES"/>
        </w:rPr>
      </w:pPr>
    </w:p>
    <w:p w:rsidR="00E2175B" w:rsidRPr="00B818E7" w:rsidRDefault="00E2175B" w:rsidP="00B818E7">
      <w:pPr>
        <w:spacing w:line="360" w:lineRule="auto"/>
        <w:contextualSpacing/>
        <w:jc w:val="both"/>
        <w:rPr>
          <w:rFonts w:ascii="Palatino Linotype" w:hAnsi="Palatino Linotype" w:cs="Arial"/>
          <w:color w:val="000000" w:themeColor="text1"/>
          <w:lang w:eastAsia="es-ES"/>
        </w:rPr>
      </w:pPr>
    </w:p>
    <w:p w:rsidR="00E2175B" w:rsidRPr="00B818E7" w:rsidRDefault="00E2175B" w:rsidP="00B818E7">
      <w:pPr>
        <w:spacing w:line="360" w:lineRule="auto"/>
        <w:contextualSpacing/>
        <w:jc w:val="both"/>
        <w:rPr>
          <w:rFonts w:ascii="Palatino Linotype" w:hAnsi="Palatino Linotype" w:cs="Arial"/>
          <w:color w:val="000000" w:themeColor="text1"/>
          <w:lang w:eastAsia="es-ES"/>
        </w:rPr>
      </w:pPr>
    </w:p>
    <w:p w:rsidR="00E2175B" w:rsidRPr="00B818E7" w:rsidRDefault="00E2175B" w:rsidP="00B818E7">
      <w:pPr>
        <w:spacing w:line="360" w:lineRule="auto"/>
        <w:jc w:val="both"/>
        <w:rPr>
          <w:rFonts w:ascii="Palatino Linotype" w:hAnsi="Palatino Linotype"/>
          <w:color w:val="000000" w:themeColor="text1"/>
          <w:lang w:eastAsia="en-US"/>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p w:rsidR="00E2175B" w:rsidRPr="00B818E7" w:rsidRDefault="00E2175B" w:rsidP="00B818E7">
      <w:pPr>
        <w:spacing w:line="360" w:lineRule="auto"/>
        <w:jc w:val="both"/>
        <w:rPr>
          <w:rFonts w:ascii="Palatino Linotype" w:hAnsi="Palatino Linotype"/>
          <w:color w:val="000000" w:themeColor="text1"/>
        </w:rPr>
      </w:pPr>
    </w:p>
    <w:sectPr w:rsidR="00E2175B" w:rsidRPr="00B818E7" w:rsidSect="00EB4BF7">
      <w:headerReference w:type="default" r:id="rId10"/>
      <w:footerReference w:type="default" r:id="rId11"/>
      <w:headerReference w:type="first" r:id="rId12"/>
      <w:footerReference w:type="first" r:id="rId13"/>
      <w:pgSz w:w="12240" w:h="15840"/>
      <w:pgMar w:top="2191" w:right="1041" w:bottom="1985" w:left="1701"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E50" w:rsidRDefault="00AE4E50" w:rsidP="00E2175B">
      <w:r>
        <w:separator/>
      </w:r>
    </w:p>
  </w:endnote>
  <w:endnote w:type="continuationSeparator" w:id="0">
    <w:p w:rsidR="00AE4E50" w:rsidRDefault="00AE4E50" w:rsidP="00E2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667" w:rsidRPr="00557124" w:rsidRDefault="00960667" w:rsidP="005E6EEA">
    <w:pPr>
      <w:pStyle w:val="Piedepgina"/>
      <w:jc w:val="right"/>
      <w:rPr>
        <w:rFonts w:ascii="Palatino Linotype" w:hAnsi="Palatino Linotype" w:cs="Arial"/>
        <w:sz w:val="20"/>
        <w:szCs w:val="20"/>
        <w:lang w:val="es-ES"/>
      </w:rPr>
    </w:pPr>
    <w:r w:rsidRPr="00557124">
      <w:rPr>
        <w:rFonts w:ascii="Palatino Linotype" w:hAnsi="Palatino Linotype" w:cs="Arial"/>
        <w:b/>
        <w:bCs/>
        <w:sz w:val="20"/>
        <w:szCs w:val="20"/>
      </w:rPr>
      <w:t xml:space="preserve">Página </w:t>
    </w:r>
    <w:r w:rsidRPr="00557124">
      <w:rPr>
        <w:rFonts w:ascii="Palatino Linotype" w:hAnsi="Palatino Linotype" w:cs="Arial"/>
        <w:b/>
        <w:bCs/>
        <w:sz w:val="20"/>
        <w:szCs w:val="20"/>
      </w:rPr>
      <w:fldChar w:fldCharType="begin"/>
    </w:r>
    <w:r w:rsidRPr="00557124">
      <w:rPr>
        <w:rFonts w:ascii="Palatino Linotype" w:hAnsi="Palatino Linotype" w:cs="Arial"/>
        <w:b/>
        <w:bCs/>
        <w:sz w:val="20"/>
        <w:szCs w:val="20"/>
      </w:rPr>
      <w:instrText>PAGE</w:instrText>
    </w:r>
    <w:r w:rsidRPr="00557124">
      <w:rPr>
        <w:rFonts w:ascii="Palatino Linotype" w:hAnsi="Palatino Linotype" w:cs="Arial"/>
        <w:b/>
        <w:bCs/>
        <w:sz w:val="20"/>
        <w:szCs w:val="20"/>
      </w:rPr>
      <w:fldChar w:fldCharType="separate"/>
    </w:r>
    <w:r w:rsidR="00557124">
      <w:rPr>
        <w:rFonts w:ascii="Palatino Linotype" w:hAnsi="Palatino Linotype" w:cs="Arial"/>
        <w:b/>
        <w:bCs/>
        <w:noProof/>
        <w:sz w:val="20"/>
        <w:szCs w:val="20"/>
      </w:rPr>
      <w:t>27</w:t>
    </w:r>
    <w:r w:rsidRPr="00557124">
      <w:rPr>
        <w:rFonts w:ascii="Palatino Linotype" w:hAnsi="Palatino Linotype" w:cs="Arial"/>
        <w:b/>
        <w:bCs/>
        <w:sz w:val="20"/>
        <w:szCs w:val="20"/>
      </w:rPr>
      <w:fldChar w:fldCharType="end"/>
    </w:r>
    <w:r w:rsidRPr="00557124">
      <w:rPr>
        <w:rFonts w:ascii="Palatino Linotype" w:hAnsi="Palatino Linotype" w:cs="Arial"/>
        <w:sz w:val="20"/>
        <w:szCs w:val="20"/>
      </w:rPr>
      <w:t xml:space="preserve"> de </w:t>
    </w:r>
    <w:r w:rsidRPr="00557124">
      <w:rPr>
        <w:rFonts w:ascii="Palatino Linotype" w:hAnsi="Palatino Linotype" w:cs="Arial"/>
        <w:b/>
        <w:bCs/>
        <w:sz w:val="20"/>
        <w:szCs w:val="20"/>
      </w:rPr>
      <w:fldChar w:fldCharType="begin"/>
    </w:r>
    <w:r w:rsidRPr="00557124">
      <w:rPr>
        <w:rFonts w:ascii="Palatino Linotype" w:hAnsi="Palatino Linotype" w:cs="Arial"/>
        <w:b/>
        <w:bCs/>
        <w:sz w:val="20"/>
        <w:szCs w:val="20"/>
      </w:rPr>
      <w:instrText>NUMPAGES</w:instrText>
    </w:r>
    <w:r w:rsidRPr="00557124">
      <w:rPr>
        <w:rFonts w:ascii="Palatino Linotype" w:hAnsi="Palatino Linotype" w:cs="Arial"/>
        <w:b/>
        <w:bCs/>
        <w:sz w:val="20"/>
        <w:szCs w:val="20"/>
      </w:rPr>
      <w:fldChar w:fldCharType="separate"/>
    </w:r>
    <w:r w:rsidR="00557124">
      <w:rPr>
        <w:rFonts w:ascii="Palatino Linotype" w:hAnsi="Palatino Linotype" w:cs="Arial"/>
        <w:b/>
        <w:bCs/>
        <w:noProof/>
        <w:sz w:val="20"/>
        <w:szCs w:val="20"/>
      </w:rPr>
      <w:t>27</w:t>
    </w:r>
    <w:r w:rsidRPr="00557124">
      <w:rPr>
        <w:rFonts w:ascii="Palatino Linotype" w:hAnsi="Palatino Linotype" w:cs="Arial"/>
        <w:b/>
        <w:bCs/>
        <w:sz w:val="20"/>
        <w:szCs w:val="20"/>
      </w:rPr>
      <w:fldChar w:fldCharType="end"/>
    </w:r>
  </w:p>
  <w:p w:rsidR="00960667" w:rsidRDefault="00960667" w:rsidP="005E6EEA">
    <w:pPr>
      <w:pStyle w:val="Piedepgina"/>
      <w:rPr>
        <w:rFonts w:ascii="Times New Roman" w:hAnsi="Times New Roman" w:cs="Times New Roman"/>
      </w:rPr>
    </w:pPr>
  </w:p>
  <w:p w:rsidR="00960667" w:rsidRDefault="00960667" w:rsidP="005E6EEA">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667" w:rsidRPr="00557124" w:rsidRDefault="00960667" w:rsidP="005E6EEA">
    <w:pPr>
      <w:pStyle w:val="Piedepgina"/>
      <w:jc w:val="right"/>
      <w:rPr>
        <w:rFonts w:ascii="Palatino Linotype" w:hAnsi="Palatino Linotype" w:cs="Arial"/>
        <w:sz w:val="20"/>
        <w:szCs w:val="20"/>
        <w:lang w:val="es-ES"/>
      </w:rPr>
    </w:pPr>
    <w:r w:rsidRPr="00557124">
      <w:rPr>
        <w:rFonts w:ascii="Palatino Linotype" w:hAnsi="Palatino Linotype" w:cs="Arial"/>
        <w:b/>
        <w:bCs/>
        <w:sz w:val="20"/>
        <w:szCs w:val="20"/>
      </w:rPr>
      <w:t xml:space="preserve">Página </w:t>
    </w:r>
    <w:r w:rsidRPr="00557124">
      <w:rPr>
        <w:rFonts w:ascii="Palatino Linotype" w:hAnsi="Palatino Linotype" w:cs="Arial"/>
        <w:b/>
        <w:bCs/>
        <w:sz w:val="20"/>
        <w:szCs w:val="20"/>
      </w:rPr>
      <w:fldChar w:fldCharType="begin"/>
    </w:r>
    <w:r w:rsidRPr="00557124">
      <w:rPr>
        <w:rFonts w:ascii="Palatino Linotype" w:hAnsi="Palatino Linotype" w:cs="Arial"/>
        <w:b/>
        <w:bCs/>
        <w:sz w:val="20"/>
        <w:szCs w:val="20"/>
      </w:rPr>
      <w:instrText>PAGE</w:instrText>
    </w:r>
    <w:r w:rsidRPr="00557124">
      <w:rPr>
        <w:rFonts w:ascii="Palatino Linotype" w:hAnsi="Palatino Linotype" w:cs="Arial"/>
        <w:b/>
        <w:bCs/>
        <w:sz w:val="20"/>
        <w:szCs w:val="20"/>
      </w:rPr>
      <w:fldChar w:fldCharType="separate"/>
    </w:r>
    <w:r w:rsidR="00557124">
      <w:rPr>
        <w:rFonts w:ascii="Palatino Linotype" w:hAnsi="Palatino Linotype" w:cs="Arial"/>
        <w:b/>
        <w:bCs/>
        <w:noProof/>
        <w:sz w:val="20"/>
        <w:szCs w:val="20"/>
      </w:rPr>
      <w:t>1</w:t>
    </w:r>
    <w:r w:rsidRPr="00557124">
      <w:rPr>
        <w:rFonts w:ascii="Palatino Linotype" w:hAnsi="Palatino Linotype" w:cs="Arial"/>
        <w:b/>
        <w:bCs/>
        <w:sz w:val="20"/>
        <w:szCs w:val="20"/>
      </w:rPr>
      <w:fldChar w:fldCharType="end"/>
    </w:r>
    <w:r w:rsidRPr="00557124">
      <w:rPr>
        <w:rFonts w:ascii="Palatino Linotype" w:hAnsi="Palatino Linotype" w:cs="Arial"/>
        <w:sz w:val="20"/>
        <w:szCs w:val="20"/>
      </w:rPr>
      <w:t xml:space="preserve"> de </w:t>
    </w:r>
    <w:r w:rsidRPr="00557124">
      <w:rPr>
        <w:rFonts w:ascii="Palatino Linotype" w:hAnsi="Palatino Linotype" w:cs="Arial"/>
        <w:b/>
        <w:bCs/>
        <w:sz w:val="20"/>
        <w:szCs w:val="20"/>
      </w:rPr>
      <w:fldChar w:fldCharType="begin"/>
    </w:r>
    <w:r w:rsidRPr="00557124">
      <w:rPr>
        <w:rFonts w:ascii="Palatino Linotype" w:hAnsi="Palatino Linotype" w:cs="Arial"/>
        <w:b/>
        <w:bCs/>
        <w:sz w:val="20"/>
        <w:szCs w:val="20"/>
      </w:rPr>
      <w:instrText>NUMPAGES</w:instrText>
    </w:r>
    <w:r w:rsidRPr="00557124">
      <w:rPr>
        <w:rFonts w:ascii="Palatino Linotype" w:hAnsi="Palatino Linotype" w:cs="Arial"/>
        <w:b/>
        <w:bCs/>
        <w:sz w:val="20"/>
        <w:szCs w:val="20"/>
      </w:rPr>
      <w:fldChar w:fldCharType="separate"/>
    </w:r>
    <w:r w:rsidR="00557124">
      <w:rPr>
        <w:rFonts w:ascii="Palatino Linotype" w:hAnsi="Palatino Linotype" w:cs="Arial"/>
        <w:b/>
        <w:bCs/>
        <w:noProof/>
        <w:sz w:val="20"/>
        <w:szCs w:val="20"/>
      </w:rPr>
      <w:t>27</w:t>
    </w:r>
    <w:r w:rsidRPr="00557124">
      <w:rPr>
        <w:rFonts w:ascii="Palatino Linotype" w:hAnsi="Palatino Linotype" w:cs="Arial"/>
        <w:b/>
        <w:bCs/>
        <w:sz w:val="20"/>
        <w:szCs w:val="20"/>
      </w:rPr>
      <w:fldChar w:fldCharType="end"/>
    </w:r>
  </w:p>
  <w:p w:rsidR="00960667" w:rsidRDefault="009606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E50" w:rsidRDefault="00AE4E50" w:rsidP="00E2175B">
      <w:r>
        <w:separator/>
      </w:r>
    </w:p>
  </w:footnote>
  <w:footnote w:type="continuationSeparator" w:id="0">
    <w:p w:rsidR="00AE4E50" w:rsidRDefault="00AE4E50" w:rsidP="00E2175B">
      <w:r>
        <w:continuationSeparator/>
      </w:r>
    </w:p>
  </w:footnote>
  <w:footnote w:id="1">
    <w:p w:rsidR="00960667" w:rsidRDefault="00960667" w:rsidP="00E2175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960667" w:rsidRDefault="00960667" w:rsidP="00E2175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960667" w:rsidRDefault="00960667" w:rsidP="00E2175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960667" w:rsidRDefault="00960667" w:rsidP="00E2175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1" w:type="dxa"/>
      <w:tblInd w:w="3544" w:type="dxa"/>
      <w:tblLayout w:type="fixed"/>
      <w:tblLook w:val="04A0" w:firstRow="1" w:lastRow="0" w:firstColumn="1" w:lastColumn="0" w:noHBand="0" w:noVBand="1"/>
    </w:tblPr>
    <w:tblGrid>
      <w:gridCol w:w="2693"/>
      <w:gridCol w:w="3828"/>
    </w:tblGrid>
    <w:tr w:rsidR="00960667" w:rsidTr="00EB4BF7">
      <w:tc>
        <w:tcPr>
          <w:tcW w:w="2693" w:type="dxa"/>
          <w:vAlign w:val="center"/>
          <w:hideMark/>
        </w:tcPr>
        <w:p w:rsidR="00960667" w:rsidRPr="00B818E7" w:rsidRDefault="00960667" w:rsidP="00B818E7">
          <w:pPr>
            <w:rPr>
              <w:rFonts w:ascii="Palatino Linotype" w:hAnsi="Palatino Linotype"/>
              <w:b/>
              <w:color w:val="000000" w:themeColor="text1"/>
              <w:lang w:val="es-ES_tradnl"/>
            </w:rPr>
          </w:pPr>
          <w:r w:rsidRPr="00B818E7">
            <w:rPr>
              <w:rFonts w:ascii="Palatino Linotype" w:hAnsi="Palatino Linotype"/>
              <w:b/>
              <w:color w:val="000000" w:themeColor="text1"/>
              <w:lang w:val="es-ES_tradnl"/>
            </w:rPr>
            <w:t>Recurso de Revisión:</w:t>
          </w:r>
        </w:p>
      </w:tc>
      <w:tc>
        <w:tcPr>
          <w:tcW w:w="3828" w:type="dxa"/>
          <w:vAlign w:val="center"/>
          <w:hideMark/>
        </w:tcPr>
        <w:p w:rsidR="00960667" w:rsidRPr="00B818E7" w:rsidRDefault="00960667" w:rsidP="00B818E7">
          <w:pPr>
            <w:jc w:val="both"/>
            <w:rPr>
              <w:rFonts w:ascii="Palatino Linotype" w:hAnsi="Palatino Linotype"/>
              <w:color w:val="000000" w:themeColor="text1"/>
              <w:lang w:val="es-ES_tradnl"/>
            </w:rPr>
          </w:pPr>
          <w:r w:rsidRPr="00B818E7">
            <w:rPr>
              <w:rFonts w:ascii="Palatino Linotype" w:hAnsi="Palatino Linotype"/>
              <w:noProof/>
              <w:color w:val="000000" w:themeColor="text1"/>
            </w:rPr>
            <w:t>06008/INFOEM/IP/RR/2025</w:t>
          </w:r>
          <w:r w:rsidRPr="00B818E7">
            <w:rPr>
              <w:rFonts w:ascii="Palatino Linotype" w:hAnsi="Palatino Linotype" w:cs="Arial"/>
              <w:bCs/>
              <w:color w:val="000000" w:themeColor="text1"/>
            </w:rPr>
            <w:t xml:space="preserve"> </w:t>
          </w:r>
        </w:p>
      </w:tc>
    </w:tr>
    <w:tr w:rsidR="00960667" w:rsidTr="00EB4BF7">
      <w:trPr>
        <w:trHeight w:val="228"/>
      </w:trPr>
      <w:tc>
        <w:tcPr>
          <w:tcW w:w="2693" w:type="dxa"/>
          <w:vAlign w:val="center"/>
          <w:hideMark/>
        </w:tcPr>
        <w:p w:rsidR="00960667" w:rsidRPr="00B818E7" w:rsidRDefault="00960667" w:rsidP="00B818E7">
          <w:pPr>
            <w:rPr>
              <w:rFonts w:ascii="Palatino Linotype" w:hAnsi="Palatino Linotype"/>
              <w:b/>
              <w:color w:val="000000" w:themeColor="text1"/>
              <w:lang w:val="es-ES_tradnl"/>
            </w:rPr>
          </w:pPr>
          <w:r w:rsidRPr="00B818E7">
            <w:rPr>
              <w:rFonts w:ascii="Palatino Linotype" w:hAnsi="Palatino Linotype"/>
              <w:b/>
              <w:color w:val="000000" w:themeColor="text1"/>
              <w:lang w:val="es-ES_tradnl"/>
            </w:rPr>
            <w:t>Sujeto Obligado:</w:t>
          </w:r>
        </w:p>
      </w:tc>
      <w:tc>
        <w:tcPr>
          <w:tcW w:w="3828" w:type="dxa"/>
          <w:shd w:val="clear" w:color="auto" w:fill="auto"/>
          <w:vAlign w:val="center"/>
          <w:hideMark/>
        </w:tcPr>
        <w:p w:rsidR="00960667" w:rsidRPr="00B818E7" w:rsidRDefault="00960667" w:rsidP="00B818E7">
          <w:pPr>
            <w:rPr>
              <w:rFonts w:ascii="Palatino Linotype" w:hAnsi="Palatino Linotype"/>
              <w:color w:val="000000" w:themeColor="text1"/>
              <w:lang w:val="es-ES_tradnl"/>
            </w:rPr>
          </w:pPr>
          <w:r w:rsidRPr="00B818E7">
            <w:rPr>
              <w:rFonts w:ascii="Palatino Linotype" w:hAnsi="Palatino Linotype"/>
              <w:color w:val="000000" w:themeColor="text1"/>
              <w:lang w:val="es-ES_tradnl"/>
            </w:rPr>
            <w:t>Poder Judicial</w:t>
          </w:r>
        </w:p>
      </w:tc>
    </w:tr>
    <w:tr w:rsidR="00960667" w:rsidTr="00EB4BF7">
      <w:tc>
        <w:tcPr>
          <w:tcW w:w="2693" w:type="dxa"/>
          <w:vAlign w:val="center"/>
          <w:hideMark/>
        </w:tcPr>
        <w:p w:rsidR="00960667" w:rsidRPr="00B818E7" w:rsidRDefault="00960667" w:rsidP="00B818E7">
          <w:pPr>
            <w:rPr>
              <w:rFonts w:ascii="Palatino Linotype" w:hAnsi="Palatino Linotype"/>
              <w:b/>
              <w:color w:val="000000" w:themeColor="text1"/>
              <w:lang w:val="es-ES_tradnl"/>
            </w:rPr>
          </w:pPr>
          <w:r w:rsidRPr="00B818E7">
            <w:rPr>
              <w:rFonts w:ascii="Palatino Linotype" w:hAnsi="Palatino Linotype"/>
              <w:b/>
              <w:color w:val="000000" w:themeColor="text1"/>
              <w:lang w:val="es-ES_tradnl"/>
            </w:rPr>
            <w:t>Comisionada Ponente:</w:t>
          </w:r>
        </w:p>
      </w:tc>
      <w:tc>
        <w:tcPr>
          <w:tcW w:w="3828" w:type="dxa"/>
          <w:vAlign w:val="center"/>
          <w:hideMark/>
        </w:tcPr>
        <w:p w:rsidR="00960667" w:rsidRPr="00B818E7" w:rsidRDefault="00960667" w:rsidP="00B818E7">
          <w:pPr>
            <w:ind w:right="-533"/>
            <w:jc w:val="both"/>
            <w:rPr>
              <w:rFonts w:ascii="Palatino Linotype" w:hAnsi="Palatino Linotype"/>
              <w:color w:val="000000" w:themeColor="text1"/>
              <w:lang w:val="es-ES_tradnl"/>
            </w:rPr>
          </w:pPr>
          <w:r w:rsidRPr="00B818E7">
            <w:rPr>
              <w:rFonts w:ascii="Palatino Linotype" w:hAnsi="Palatino Linotype"/>
              <w:color w:val="000000" w:themeColor="text1"/>
            </w:rPr>
            <w:t>María del Rosario Mejía Ayala</w:t>
          </w:r>
        </w:p>
      </w:tc>
    </w:tr>
  </w:tbl>
  <w:p w:rsidR="00960667" w:rsidRDefault="00960667" w:rsidP="005E6EEA">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60A62B62" wp14:editId="61DB4403">
          <wp:simplePos x="0" y="0"/>
          <wp:positionH relativeFrom="page">
            <wp:posOffset>242618</wp:posOffset>
          </wp:positionH>
          <wp:positionV relativeFrom="paragraph">
            <wp:posOffset>-1097867</wp:posOffset>
          </wp:positionV>
          <wp:extent cx="7813085" cy="10170000"/>
          <wp:effectExtent l="0" t="0" r="0" b="3175"/>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402" w:type="dxa"/>
      <w:tblLayout w:type="fixed"/>
      <w:tblLook w:val="04A0" w:firstRow="1" w:lastRow="0" w:firstColumn="1" w:lastColumn="0" w:noHBand="0" w:noVBand="1"/>
    </w:tblPr>
    <w:tblGrid>
      <w:gridCol w:w="2693"/>
      <w:gridCol w:w="3544"/>
    </w:tblGrid>
    <w:tr w:rsidR="00960667" w:rsidRPr="008A158E" w:rsidTr="00EB4BF7">
      <w:tc>
        <w:tcPr>
          <w:tcW w:w="2693" w:type="dxa"/>
          <w:vAlign w:val="center"/>
          <w:hideMark/>
        </w:tcPr>
        <w:p w:rsidR="00960667" w:rsidRPr="00B818E7" w:rsidRDefault="00960667" w:rsidP="00B818E7">
          <w:pPr>
            <w:ind w:right="-108"/>
            <w:rPr>
              <w:rFonts w:ascii="Palatino Linotype" w:hAnsi="Palatino Linotype"/>
              <w:b/>
              <w:color w:val="000000" w:themeColor="text1"/>
              <w:lang w:val="es-ES_tradnl"/>
            </w:rPr>
          </w:pPr>
          <w:r w:rsidRPr="00B818E7">
            <w:rPr>
              <w:rFonts w:ascii="Palatino Linotype" w:hAnsi="Palatino Linotype"/>
              <w:b/>
              <w:color w:val="000000" w:themeColor="text1"/>
              <w:lang w:val="es-ES_tradnl"/>
            </w:rPr>
            <w:t>Recurso de Revisión:</w:t>
          </w:r>
        </w:p>
      </w:tc>
      <w:tc>
        <w:tcPr>
          <w:tcW w:w="3544" w:type="dxa"/>
          <w:vAlign w:val="center"/>
          <w:hideMark/>
        </w:tcPr>
        <w:p w:rsidR="00960667" w:rsidRPr="00B818E7" w:rsidRDefault="00960667" w:rsidP="00B818E7">
          <w:pPr>
            <w:ind w:right="-108"/>
            <w:jc w:val="both"/>
            <w:rPr>
              <w:rFonts w:ascii="Palatino Linotype" w:hAnsi="Palatino Linotype"/>
              <w:color w:val="000000" w:themeColor="text1"/>
              <w:lang w:val="es-ES_tradnl"/>
            </w:rPr>
          </w:pPr>
          <w:r w:rsidRPr="00B818E7">
            <w:rPr>
              <w:rFonts w:ascii="Palatino Linotype" w:hAnsi="Palatino Linotype" w:cs="Arial"/>
              <w:bCs/>
              <w:color w:val="000000" w:themeColor="text1"/>
            </w:rPr>
            <w:t xml:space="preserve">06008/INFOEM/IP/RR/2025 </w:t>
          </w:r>
        </w:p>
      </w:tc>
    </w:tr>
    <w:tr w:rsidR="00960667" w:rsidRPr="008A158E" w:rsidTr="00EB4BF7">
      <w:tc>
        <w:tcPr>
          <w:tcW w:w="2693" w:type="dxa"/>
          <w:vAlign w:val="center"/>
          <w:hideMark/>
        </w:tcPr>
        <w:p w:rsidR="00960667" w:rsidRPr="00B818E7" w:rsidRDefault="00960667" w:rsidP="00B818E7">
          <w:pPr>
            <w:ind w:left="35" w:right="-108" w:hanging="35"/>
            <w:rPr>
              <w:rFonts w:ascii="Palatino Linotype" w:hAnsi="Palatino Linotype"/>
              <w:b/>
              <w:color w:val="000000" w:themeColor="text1"/>
              <w:lang w:val="es-ES_tradnl"/>
            </w:rPr>
          </w:pPr>
          <w:r w:rsidRPr="00B818E7">
            <w:rPr>
              <w:rFonts w:ascii="Palatino Linotype" w:hAnsi="Palatino Linotype"/>
              <w:b/>
              <w:color w:val="000000" w:themeColor="text1"/>
              <w:lang w:val="es-ES_tradnl"/>
            </w:rPr>
            <w:t>Recurrente:</w:t>
          </w:r>
        </w:p>
      </w:tc>
      <w:tc>
        <w:tcPr>
          <w:tcW w:w="3544" w:type="dxa"/>
          <w:shd w:val="clear" w:color="auto" w:fill="auto"/>
          <w:vAlign w:val="center"/>
          <w:hideMark/>
        </w:tcPr>
        <w:p w:rsidR="00960667" w:rsidRPr="00B818E7" w:rsidRDefault="00557124" w:rsidP="00B818E7">
          <w:pPr>
            <w:ind w:right="-108"/>
            <w:rPr>
              <w:rFonts w:ascii="Palatino Linotype" w:hAnsi="Palatino Linotype"/>
              <w:color w:val="000000" w:themeColor="text1"/>
            </w:rPr>
          </w:pPr>
          <w:r>
            <w:rPr>
              <w:rFonts w:ascii="Palatino Linotype" w:hAnsi="Palatino Linotype"/>
              <w:bCs/>
              <w:color w:val="000000" w:themeColor="text1"/>
            </w:rPr>
            <w:t>XXXX</w:t>
          </w:r>
        </w:p>
      </w:tc>
    </w:tr>
    <w:tr w:rsidR="00960667" w:rsidRPr="008A158E" w:rsidTr="00EB4BF7">
      <w:trPr>
        <w:trHeight w:val="228"/>
      </w:trPr>
      <w:tc>
        <w:tcPr>
          <w:tcW w:w="2693" w:type="dxa"/>
          <w:vAlign w:val="center"/>
          <w:hideMark/>
        </w:tcPr>
        <w:p w:rsidR="00960667" w:rsidRPr="00B818E7" w:rsidRDefault="00960667" w:rsidP="00B818E7">
          <w:pPr>
            <w:ind w:right="-108"/>
            <w:rPr>
              <w:rFonts w:ascii="Palatino Linotype" w:hAnsi="Palatino Linotype"/>
              <w:b/>
              <w:color w:val="000000" w:themeColor="text1"/>
              <w:lang w:val="es-ES_tradnl"/>
            </w:rPr>
          </w:pPr>
          <w:r w:rsidRPr="00B818E7">
            <w:rPr>
              <w:rFonts w:ascii="Palatino Linotype" w:hAnsi="Palatino Linotype"/>
              <w:b/>
              <w:color w:val="000000" w:themeColor="text1"/>
              <w:lang w:val="es-ES_tradnl"/>
            </w:rPr>
            <w:t>Sujeto Obligado:</w:t>
          </w:r>
        </w:p>
      </w:tc>
      <w:tc>
        <w:tcPr>
          <w:tcW w:w="3544" w:type="dxa"/>
          <w:shd w:val="clear" w:color="auto" w:fill="auto"/>
          <w:vAlign w:val="center"/>
          <w:hideMark/>
        </w:tcPr>
        <w:p w:rsidR="00960667" w:rsidRPr="00B818E7" w:rsidRDefault="00960667" w:rsidP="00B818E7">
          <w:pPr>
            <w:ind w:right="-108" w:hanging="35"/>
            <w:jc w:val="both"/>
            <w:rPr>
              <w:rFonts w:ascii="Palatino Linotype" w:hAnsi="Palatino Linotype"/>
              <w:color w:val="000000" w:themeColor="text1"/>
            </w:rPr>
          </w:pPr>
          <w:r w:rsidRPr="00B818E7">
            <w:rPr>
              <w:rFonts w:ascii="Palatino Linotype" w:hAnsi="Palatino Linotype"/>
              <w:bCs/>
              <w:color w:val="000000" w:themeColor="text1"/>
            </w:rPr>
            <w:t>Poder Judicial</w:t>
          </w:r>
        </w:p>
      </w:tc>
    </w:tr>
    <w:tr w:rsidR="00960667" w:rsidRPr="008A158E" w:rsidTr="00EB4BF7">
      <w:tc>
        <w:tcPr>
          <w:tcW w:w="2693" w:type="dxa"/>
          <w:vAlign w:val="center"/>
          <w:hideMark/>
        </w:tcPr>
        <w:p w:rsidR="00960667" w:rsidRPr="00B818E7" w:rsidRDefault="00960667" w:rsidP="00B818E7">
          <w:pPr>
            <w:ind w:right="-108"/>
            <w:rPr>
              <w:rFonts w:ascii="Palatino Linotype" w:hAnsi="Palatino Linotype"/>
              <w:b/>
              <w:color w:val="000000" w:themeColor="text1"/>
              <w:lang w:val="es-ES_tradnl"/>
            </w:rPr>
          </w:pPr>
          <w:r w:rsidRPr="00B818E7">
            <w:rPr>
              <w:rFonts w:ascii="Palatino Linotype" w:hAnsi="Palatino Linotype"/>
              <w:b/>
              <w:color w:val="000000" w:themeColor="text1"/>
              <w:lang w:val="es-ES_tradnl"/>
            </w:rPr>
            <w:t>Comisionada Ponente:</w:t>
          </w:r>
        </w:p>
      </w:tc>
      <w:tc>
        <w:tcPr>
          <w:tcW w:w="3544" w:type="dxa"/>
          <w:vAlign w:val="center"/>
          <w:hideMark/>
        </w:tcPr>
        <w:p w:rsidR="00960667" w:rsidRPr="00B818E7" w:rsidRDefault="00960667" w:rsidP="00B818E7">
          <w:pPr>
            <w:ind w:right="-108"/>
            <w:jc w:val="both"/>
            <w:rPr>
              <w:rFonts w:ascii="Palatino Linotype" w:hAnsi="Palatino Linotype"/>
              <w:color w:val="000000" w:themeColor="text1"/>
              <w:lang w:val="es-ES_tradnl"/>
            </w:rPr>
          </w:pPr>
          <w:r w:rsidRPr="00B818E7">
            <w:rPr>
              <w:rFonts w:ascii="Palatino Linotype" w:hAnsi="Palatino Linotype"/>
              <w:color w:val="000000" w:themeColor="text1"/>
              <w:lang w:val="es-ES_tradnl"/>
            </w:rPr>
            <w:t>María del Rosario Mejía Ayala</w:t>
          </w:r>
        </w:p>
      </w:tc>
    </w:tr>
  </w:tbl>
  <w:p w:rsidR="00960667" w:rsidRDefault="00EB4BF7" w:rsidP="005E6EEA">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33CD1922" wp14:editId="5E49F25C">
          <wp:simplePos x="0" y="0"/>
          <wp:positionH relativeFrom="page">
            <wp:posOffset>128474</wp:posOffset>
          </wp:positionH>
          <wp:positionV relativeFrom="paragraph">
            <wp:posOffset>-1266094</wp:posOffset>
          </wp:positionV>
          <wp:extent cx="7813085" cy="10170000"/>
          <wp:effectExtent l="0" t="0" r="0" b="3175"/>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7C88"/>
    <w:multiLevelType w:val="hybridMultilevel"/>
    <w:tmpl w:val="6570E56C"/>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ED047B3"/>
    <w:multiLevelType w:val="multilevel"/>
    <w:tmpl w:val="9E187D8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0003B1"/>
    <w:multiLevelType w:val="multilevel"/>
    <w:tmpl w:val="BDD644D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4DC7C19"/>
    <w:multiLevelType w:val="hybridMultilevel"/>
    <w:tmpl w:val="EED6314E"/>
    <w:lvl w:ilvl="0" w:tplc="04047AF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0839D1"/>
    <w:multiLevelType w:val="hybridMultilevel"/>
    <w:tmpl w:val="E61EA58E"/>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331AE5"/>
    <w:multiLevelType w:val="hybridMultilevel"/>
    <w:tmpl w:val="36060966"/>
    <w:lvl w:ilvl="0" w:tplc="20304C30">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78301AE0"/>
    <w:multiLevelType w:val="hybridMultilevel"/>
    <w:tmpl w:val="9370BCAA"/>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3" w15:restartNumberingAfterBreak="0">
    <w:nsid w:val="7BAF3DB4"/>
    <w:multiLevelType w:val="hybridMultilevel"/>
    <w:tmpl w:val="286408F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0"/>
  </w:num>
  <w:num w:numId="2">
    <w:abstractNumId w:val="7"/>
  </w:num>
  <w:num w:numId="3">
    <w:abstractNumId w:val="9"/>
  </w:num>
  <w:num w:numId="4">
    <w:abstractNumId w:val="3"/>
  </w:num>
  <w:num w:numId="5">
    <w:abstractNumId w:val="0"/>
  </w:num>
  <w:num w:numId="6">
    <w:abstractNumId w:val="13"/>
  </w:num>
  <w:num w:numId="7">
    <w:abstractNumId w:val="8"/>
  </w:num>
  <w:num w:numId="8">
    <w:abstractNumId w:val="2"/>
  </w:num>
  <w:num w:numId="9">
    <w:abstractNumId w:val="5"/>
  </w:num>
  <w:num w:numId="10">
    <w:abstractNumId w:val="12"/>
  </w:num>
  <w:num w:numId="11">
    <w:abstractNumId w:val="1"/>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5B"/>
    <w:rsid w:val="000A36C3"/>
    <w:rsid w:val="000A7ABE"/>
    <w:rsid w:val="001E6688"/>
    <w:rsid w:val="002925A2"/>
    <w:rsid w:val="002B0FE6"/>
    <w:rsid w:val="002B71F2"/>
    <w:rsid w:val="00313792"/>
    <w:rsid w:val="00433DE2"/>
    <w:rsid w:val="00441617"/>
    <w:rsid w:val="00461FD3"/>
    <w:rsid w:val="004D15FD"/>
    <w:rsid w:val="004D522A"/>
    <w:rsid w:val="004F29D5"/>
    <w:rsid w:val="005142E4"/>
    <w:rsid w:val="005301BD"/>
    <w:rsid w:val="00557124"/>
    <w:rsid w:val="00594EFF"/>
    <w:rsid w:val="005D559A"/>
    <w:rsid w:val="005E6EEA"/>
    <w:rsid w:val="0060656C"/>
    <w:rsid w:val="00635BD0"/>
    <w:rsid w:val="006D3DE4"/>
    <w:rsid w:val="006E3A0F"/>
    <w:rsid w:val="007A3251"/>
    <w:rsid w:val="007A3F4A"/>
    <w:rsid w:val="008E1236"/>
    <w:rsid w:val="008F470F"/>
    <w:rsid w:val="00952B76"/>
    <w:rsid w:val="00960667"/>
    <w:rsid w:val="009D53D3"/>
    <w:rsid w:val="00AD0551"/>
    <w:rsid w:val="00AE086F"/>
    <w:rsid w:val="00AE4E50"/>
    <w:rsid w:val="00B43404"/>
    <w:rsid w:val="00B818E7"/>
    <w:rsid w:val="00BC1263"/>
    <w:rsid w:val="00DA1E33"/>
    <w:rsid w:val="00E2175B"/>
    <w:rsid w:val="00E961D0"/>
    <w:rsid w:val="00EB4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35B648-008D-47B9-B871-F6FF7179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75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2175B"/>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2175B"/>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175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E2175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2175B"/>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E2175B"/>
    <w:rPr>
      <w:rFonts w:eastAsiaTheme="minorEastAsia"/>
      <w:sz w:val="24"/>
      <w:szCs w:val="24"/>
      <w:lang w:val="es-ES_tradnl" w:eastAsia="es-ES"/>
    </w:rPr>
  </w:style>
  <w:style w:type="paragraph" w:styleId="Piedepgina">
    <w:name w:val="footer"/>
    <w:basedOn w:val="Normal"/>
    <w:link w:val="PiedepginaCar"/>
    <w:uiPriority w:val="99"/>
    <w:unhideWhenUsed/>
    <w:rsid w:val="00E2175B"/>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E2175B"/>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175B"/>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2175B"/>
    <w:pPr>
      <w:ind w:left="708"/>
    </w:pPr>
    <w:rPr>
      <w:sz w:val="22"/>
      <w:szCs w:val="22"/>
      <w:lang w:val="es-ES" w:eastAsia="en-US"/>
    </w:rPr>
  </w:style>
  <w:style w:type="table" w:styleId="Tablaconcuadrcula">
    <w:name w:val="Table Grid"/>
    <w:basedOn w:val="Tablanormal"/>
    <w:uiPriority w:val="59"/>
    <w:rsid w:val="00E2175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217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27</Pages>
  <Words>6247</Words>
  <Characters>34363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2025-10-17T17:34:00Z</cp:lastPrinted>
  <dcterms:created xsi:type="dcterms:W3CDTF">2025-10-09T20:24:00Z</dcterms:created>
  <dcterms:modified xsi:type="dcterms:W3CDTF">2025-11-10T23:17:00Z</dcterms:modified>
</cp:coreProperties>
</file>