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702C9" w14:textId="77777777" w:rsidR="00A83BD3" w:rsidRPr="004D3F59" w:rsidRDefault="00F41D15" w:rsidP="003D34CF">
      <w:pPr>
        <w:spacing w:line="360" w:lineRule="auto"/>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007138FE" w:rsidRPr="004D3F59">
        <w:rPr>
          <w:rFonts w:ascii="Palatino Linotype" w:eastAsia="Palatino Linotype" w:hAnsi="Palatino Linotype" w:cs="Palatino Linotype"/>
        </w:rPr>
        <w:t>seis</w:t>
      </w:r>
      <w:r w:rsidR="00301B1C" w:rsidRPr="004D3F59">
        <w:rPr>
          <w:rFonts w:ascii="Palatino Linotype" w:eastAsia="Palatino Linotype" w:hAnsi="Palatino Linotype" w:cs="Palatino Linotype"/>
        </w:rPr>
        <w:t xml:space="preserve"> de </w:t>
      </w:r>
      <w:r w:rsidR="007138FE" w:rsidRPr="004D3F59">
        <w:rPr>
          <w:rFonts w:ascii="Palatino Linotype" w:eastAsia="Palatino Linotype" w:hAnsi="Palatino Linotype" w:cs="Palatino Linotype"/>
        </w:rPr>
        <w:t>marzo</w:t>
      </w:r>
      <w:r w:rsidRPr="004D3F59">
        <w:rPr>
          <w:rFonts w:ascii="Palatino Linotype" w:eastAsia="Palatino Linotype" w:hAnsi="Palatino Linotype" w:cs="Palatino Linotype"/>
        </w:rPr>
        <w:t xml:space="preserve"> de dos mil veinticinco</w:t>
      </w:r>
      <w:r w:rsidRPr="004D3F59">
        <w:rPr>
          <w:rFonts w:ascii="Palatino Linotype" w:eastAsia="Palatino Linotype" w:hAnsi="Palatino Linotype" w:cs="Palatino Linotype"/>
          <w:color w:val="000000"/>
        </w:rPr>
        <w:t>.</w:t>
      </w:r>
    </w:p>
    <w:p w14:paraId="77E2BED8"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50C05EE7" w14:textId="77777777" w:rsidR="00A83BD3" w:rsidRPr="004D3F59" w:rsidRDefault="00F41D15" w:rsidP="003D34CF">
      <w:pPr>
        <w:spacing w:line="360" w:lineRule="auto"/>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b/>
          <w:color w:val="000000"/>
        </w:rPr>
        <w:t>VISTO</w:t>
      </w:r>
      <w:r w:rsidRPr="004D3F59">
        <w:rPr>
          <w:rFonts w:ascii="Palatino Linotype" w:eastAsia="Palatino Linotype" w:hAnsi="Palatino Linotype" w:cs="Palatino Linotype"/>
          <w:color w:val="000000"/>
        </w:rPr>
        <w:t xml:space="preserve"> el expediente elec</w:t>
      </w:r>
      <w:r w:rsidR="0080275F" w:rsidRPr="004D3F59">
        <w:rPr>
          <w:rFonts w:ascii="Palatino Linotype" w:eastAsia="Palatino Linotype" w:hAnsi="Palatino Linotype" w:cs="Palatino Linotype"/>
          <w:color w:val="000000"/>
        </w:rPr>
        <w:t>trónico formado con motivo del R</w:t>
      </w:r>
      <w:r w:rsidRPr="004D3F59">
        <w:rPr>
          <w:rFonts w:ascii="Palatino Linotype" w:eastAsia="Palatino Linotype" w:hAnsi="Palatino Linotype" w:cs="Palatino Linotype"/>
          <w:color w:val="000000"/>
        </w:rPr>
        <w:t xml:space="preserve">ecurso de </w:t>
      </w:r>
      <w:r w:rsidR="0080275F" w:rsidRPr="004D3F59">
        <w:rPr>
          <w:rFonts w:ascii="Palatino Linotype" w:eastAsia="Palatino Linotype" w:hAnsi="Palatino Linotype" w:cs="Palatino Linotype"/>
          <w:color w:val="000000"/>
        </w:rPr>
        <w:t>R</w:t>
      </w:r>
      <w:r w:rsidRPr="004D3F59">
        <w:rPr>
          <w:rFonts w:ascii="Palatino Linotype" w:eastAsia="Palatino Linotype" w:hAnsi="Palatino Linotype" w:cs="Palatino Linotype"/>
          <w:color w:val="000000"/>
        </w:rPr>
        <w:t xml:space="preserve">evisión </w:t>
      </w:r>
      <w:r w:rsidR="007138FE" w:rsidRPr="004D3F59">
        <w:rPr>
          <w:rFonts w:ascii="Palatino Linotype" w:eastAsia="Palatino Linotype" w:hAnsi="Palatino Linotype" w:cs="Palatino Linotype"/>
          <w:b/>
          <w:color w:val="000000"/>
        </w:rPr>
        <w:t>02348/INFOEM/IP/RR/2024</w:t>
      </w:r>
      <w:r w:rsidRPr="004D3F59">
        <w:rPr>
          <w:rFonts w:ascii="Palatino Linotype" w:eastAsia="Palatino Linotype" w:hAnsi="Palatino Linotype" w:cs="Palatino Linotype"/>
          <w:color w:val="000000"/>
        </w:rPr>
        <w:t>, promovido por</w:t>
      </w:r>
      <w:r w:rsidRPr="004D3F59">
        <w:rPr>
          <w:rFonts w:ascii="Palatino Linotype" w:eastAsia="Palatino Linotype" w:hAnsi="Palatino Linotype" w:cs="Palatino Linotype"/>
          <w:b/>
          <w:color w:val="000000"/>
        </w:rPr>
        <w:t xml:space="preserve"> </w:t>
      </w:r>
      <w:r w:rsidR="007138FE" w:rsidRPr="004D3F59">
        <w:rPr>
          <w:rFonts w:ascii="Palatino Linotype" w:eastAsia="Palatino Linotype" w:hAnsi="Palatino Linotype" w:cs="Palatino Linotype"/>
          <w:b/>
          <w:i/>
        </w:rPr>
        <w:t>Anónimo</w:t>
      </w:r>
      <w:r w:rsidRPr="004D3F59">
        <w:rPr>
          <w:rFonts w:ascii="Palatino Linotype" w:eastAsia="Palatino Linotype" w:hAnsi="Palatino Linotype" w:cs="Palatino Linotype"/>
          <w:b/>
          <w:color w:val="000000"/>
        </w:rPr>
        <w:t>,</w:t>
      </w:r>
      <w:r w:rsidRPr="004D3F59">
        <w:rPr>
          <w:rFonts w:ascii="Palatino Linotype" w:eastAsia="Palatino Linotype" w:hAnsi="Palatino Linotype" w:cs="Palatino Linotype"/>
          <w:color w:val="000000"/>
        </w:rPr>
        <w:t xml:space="preserve"> a quien en lo sucesivo se le identificará como </w:t>
      </w:r>
      <w:r w:rsidRPr="004D3F59">
        <w:rPr>
          <w:rFonts w:ascii="Palatino Linotype" w:eastAsia="Palatino Linotype" w:hAnsi="Palatino Linotype" w:cs="Palatino Linotype"/>
          <w:b/>
          <w:color w:val="000000"/>
        </w:rPr>
        <w:t>EL RECURRENTE</w:t>
      </w:r>
      <w:r w:rsidRPr="004D3F59">
        <w:rPr>
          <w:rFonts w:ascii="Palatino Linotype" w:eastAsia="Palatino Linotype" w:hAnsi="Palatino Linotype" w:cs="Palatino Linotype"/>
        </w:rPr>
        <w:t>,</w:t>
      </w:r>
      <w:r w:rsidRPr="004D3F59">
        <w:rPr>
          <w:rFonts w:ascii="Palatino Linotype" w:eastAsia="Palatino Linotype" w:hAnsi="Palatino Linotype" w:cs="Palatino Linotype"/>
          <w:color w:val="000000"/>
        </w:rPr>
        <w:t xml:space="preserve"> en contra de la respuesta del </w:t>
      </w:r>
      <w:r w:rsidR="007138FE" w:rsidRPr="004D3F59">
        <w:rPr>
          <w:rFonts w:ascii="Palatino Linotype" w:eastAsia="Palatino Linotype" w:hAnsi="Palatino Linotype" w:cs="Palatino Linotype"/>
          <w:b/>
          <w:color w:val="000000"/>
        </w:rPr>
        <w:t>Ayuntamiento de Ecatepec de Morelos</w:t>
      </w:r>
      <w:r w:rsidRPr="004D3F59">
        <w:rPr>
          <w:rFonts w:ascii="Palatino Linotype" w:eastAsia="Palatino Linotype" w:hAnsi="Palatino Linotype" w:cs="Palatino Linotype"/>
          <w:color w:val="000000"/>
        </w:rPr>
        <w:t>, en adelante el</w:t>
      </w:r>
      <w:r w:rsidRPr="004D3F59">
        <w:rPr>
          <w:rFonts w:ascii="Palatino Linotype" w:eastAsia="Palatino Linotype" w:hAnsi="Palatino Linotype" w:cs="Palatino Linotype"/>
          <w:b/>
          <w:color w:val="000000"/>
        </w:rPr>
        <w:t xml:space="preserve"> SUJETO OBLIGADO</w:t>
      </w:r>
      <w:r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b/>
          <w:color w:val="000000"/>
        </w:rPr>
        <w:t xml:space="preserve"> </w:t>
      </w:r>
      <w:r w:rsidRPr="004D3F59">
        <w:rPr>
          <w:rFonts w:ascii="Palatino Linotype" w:eastAsia="Palatino Linotype" w:hAnsi="Palatino Linotype" w:cs="Palatino Linotype"/>
          <w:color w:val="000000"/>
        </w:rPr>
        <w:t>s</w:t>
      </w:r>
      <w:r w:rsidR="009A2804" w:rsidRPr="004D3F59">
        <w:rPr>
          <w:rFonts w:ascii="Palatino Linotype" w:eastAsia="Palatino Linotype" w:hAnsi="Palatino Linotype" w:cs="Palatino Linotype"/>
          <w:color w:val="000000"/>
        </w:rPr>
        <w:t>e procede a dictar la presente R</w:t>
      </w:r>
      <w:r w:rsidRPr="004D3F59">
        <w:rPr>
          <w:rFonts w:ascii="Palatino Linotype" w:eastAsia="Palatino Linotype" w:hAnsi="Palatino Linotype" w:cs="Palatino Linotype"/>
          <w:color w:val="000000"/>
        </w:rPr>
        <w:t>esolución, con base en los siguientes:</w:t>
      </w:r>
    </w:p>
    <w:p w14:paraId="7F059643"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14627A16" w14:textId="77777777" w:rsidR="00A83BD3" w:rsidRPr="004D3F59"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A N T E C E D E N T E S</w:t>
      </w:r>
    </w:p>
    <w:p w14:paraId="20F24748"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09A54BDC"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El treinta y uno de enero de dos mil veinticuatro, </w:t>
      </w:r>
      <w:r w:rsidRPr="004D3F59">
        <w:rPr>
          <w:rFonts w:ascii="Palatino Linotype" w:eastAsia="Palatino Linotype" w:hAnsi="Palatino Linotype" w:cs="Palatino Linotype"/>
          <w:b/>
          <w:color w:val="000000"/>
        </w:rPr>
        <w:t>EL RECURRENTE</w:t>
      </w:r>
      <w:r w:rsidRPr="004D3F59">
        <w:rPr>
          <w:rFonts w:ascii="Palatino Linotype" w:eastAsia="Palatino Linotype" w:hAnsi="Palatino Linotype" w:cs="Palatino Linotype"/>
          <w:color w:val="000000"/>
        </w:rPr>
        <w:t xml:space="preserve"> presentó, ante el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vía </w:t>
      </w:r>
      <w:r w:rsidR="0080275F" w:rsidRPr="004D3F59">
        <w:rPr>
          <w:rFonts w:ascii="Palatino Linotype" w:eastAsia="Palatino Linotype" w:hAnsi="Palatino Linotype" w:cs="Palatino Linotype"/>
          <w:color w:val="000000"/>
        </w:rPr>
        <w:t>Plataforma Nacional de Transparencia (</w:t>
      </w:r>
      <w:r w:rsidRPr="004D3F59">
        <w:rPr>
          <w:rFonts w:ascii="Palatino Linotype" w:eastAsia="Palatino Linotype" w:hAnsi="Palatino Linotype" w:cs="Palatino Linotype"/>
          <w:color w:val="000000"/>
        </w:rPr>
        <w:t>PNT</w:t>
      </w:r>
      <w:r w:rsidR="0080275F" w:rsidRPr="004D3F59">
        <w:rPr>
          <w:rFonts w:ascii="Palatino Linotype" w:eastAsia="Palatino Linotype" w:hAnsi="Palatino Linotype" w:cs="Palatino Linotype"/>
          <w:color w:val="000000"/>
        </w:rPr>
        <w:t>), vinculada al Sistema de Acceso a la Información Mexiquense (SAIMEX)</w:t>
      </w:r>
      <w:r w:rsidRPr="004D3F59">
        <w:rPr>
          <w:rFonts w:ascii="Palatino Linotype" w:eastAsia="Palatino Linotype" w:hAnsi="Palatino Linotype" w:cs="Palatino Linotype"/>
          <w:color w:val="000000"/>
        </w:rPr>
        <w:t xml:space="preserve">, la </w:t>
      </w:r>
      <w:r w:rsidR="009A2804" w:rsidRPr="004D3F59">
        <w:rPr>
          <w:rFonts w:ascii="Palatino Linotype" w:eastAsia="Palatino Linotype" w:hAnsi="Palatino Linotype" w:cs="Palatino Linotype"/>
          <w:color w:val="000000"/>
        </w:rPr>
        <w:t>Solicitud de Información P</w:t>
      </w:r>
      <w:r w:rsidRPr="004D3F59">
        <w:rPr>
          <w:rFonts w:ascii="Palatino Linotype" w:eastAsia="Palatino Linotype" w:hAnsi="Palatino Linotype" w:cs="Palatino Linotype"/>
          <w:color w:val="000000"/>
        </w:rPr>
        <w:t xml:space="preserve">ública registrada con el número </w:t>
      </w:r>
      <w:r w:rsidR="007138FE" w:rsidRPr="004D3F59">
        <w:rPr>
          <w:rFonts w:ascii="Palatino Linotype" w:eastAsia="Palatino Linotype" w:hAnsi="Palatino Linotype" w:cs="Palatino Linotype"/>
          <w:b/>
          <w:color w:val="000000"/>
        </w:rPr>
        <w:t>00209/ECATEPEC/IP/2024</w:t>
      </w:r>
      <w:r w:rsidRPr="004D3F59">
        <w:rPr>
          <w:rFonts w:ascii="Palatino Linotype" w:eastAsia="Palatino Linotype" w:hAnsi="Palatino Linotype" w:cs="Palatino Linotype"/>
          <w:b/>
          <w:color w:val="000000"/>
        </w:rPr>
        <w:t xml:space="preserve">, </w:t>
      </w:r>
      <w:r w:rsidRPr="004D3F59">
        <w:rPr>
          <w:rFonts w:ascii="Palatino Linotype" w:eastAsia="Palatino Linotype" w:hAnsi="Palatino Linotype" w:cs="Palatino Linotype"/>
        </w:rPr>
        <w:t xml:space="preserve">en la que se </w:t>
      </w:r>
      <w:r w:rsidRPr="004D3F59">
        <w:rPr>
          <w:rFonts w:ascii="Palatino Linotype" w:eastAsia="Palatino Linotype" w:hAnsi="Palatino Linotype" w:cs="Palatino Linotype"/>
          <w:color w:val="000000"/>
        </w:rPr>
        <w:t>solicitó lo siguiente:</w:t>
      </w:r>
      <w:r w:rsidRPr="004D3F59">
        <w:rPr>
          <w:rFonts w:ascii="Palatino Linotype" w:eastAsia="Palatino Linotype" w:hAnsi="Palatino Linotype" w:cs="Palatino Linotype"/>
          <w:b/>
          <w:color w:val="000000"/>
        </w:rPr>
        <w:t xml:space="preserve"> </w:t>
      </w:r>
    </w:p>
    <w:p w14:paraId="255BDAF7"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4FEBF75E" w14:textId="77777777" w:rsidR="00A83BD3" w:rsidRPr="004D3F59" w:rsidRDefault="0080275F" w:rsidP="003D34CF">
      <w:pPr>
        <w:spacing w:line="360" w:lineRule="auto"/>
        <w:ind w:left="426" w:right="333"/>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i/>
          <w:color w:val="000000"/>
        </w:rPr>
        <w:t xml:space="preserve">“requiero el número de procedimientos de investigación instaurados por la Contraloría y/u órgano interno de control en contra de servidores públicos del periodo de enero de 2022 a marzo de 2024, se precisen cuantos son hombres y cuantos </w:t>
      </w:r>
      <w:r w:rsidRPr="004D3F59">
        <w:rPr>
          <w:rFonts w:ascii="Palatino Linotype" w:eastAsia="Palatino Linotype" w:hAnsi="Palatino Linotype" w:cs="Palatino Linotype"/>
          <w:i/>
          <w:color w:val="000000"/>
        </w:rPr>
        <w:lastRenderedPageBreak/>
        <w:t>mujeres; rango de edad; se me proporcione nombre del servidor público investigado, estatus del procedimiento y si fuera el caso sanción establecida”</w:t>
      </w:r>
    </w:p>
    <w:p w14:paraId="2A7DAF7C" w14:textId="77777777" w:rsidR="0080275F" w:rsidRPr="004D3F59" w:rsidRDefault="0080275F" w:rsidP="003D34CF">
      <w:pPr>
        <w:spacing w:line="360" w:lineRule="auto"/>
        <w:ind w:left="426" w:right="333"/>
        <w:jc w:val="both"/>
        <w:rPr>
          <w:rFonts w:ascii="Palatino Linotype" w:eastAsia="Palatino Linotype" w:hAnsi="Palatino Linotype" w:cs="Palatino Linotype"/>
          <w:i/>
          <w:color w:val="000000"/>
        </w:rPr>
      </w:pPr>
    </w:p>
    <w:p w14:paraId="32C1F5D3"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Señaló como modalidad de entrega de la información a través </w:t>
      </w:r>
      <w:r w:rsidR="00301B1C" w:rsidRPr="004D3F59">
        <w:rPr>
          <w:rFonts w:ascii="Palatino Linotype" w:eastAsia="Palatino Linotype" w:hAnsi="Palatino Linotype" w:cs="Palatino Linotype"/>
        </w:rPr>
        <w:t>de</w:t>
      </w:r>
      <w:r w:rsidR="0080275F" w:rsidRPr="004D3F59">
        <w:rPr>
          <w:rFonts w:ascii="Palatino Linotype" w:eastAsia="Palatino Linotype" w:hAnsi="Palatino Linotype" w:cs="Palatino Linotype"/>
        </w:rPr>
        <w:t xml:space="preserve"> </w:t>
      </w:r>
      <w:r w:rsidR="00301B1C" w:rsidRPr="004D3F59">
        <w:rPr>
          <w:rFonts w:ascii="Palatino Linotype" w:eastAsia="Palatino Linotype" w:hAnsi="Palatino Linotype" w:cs="Palatino Linotype"/>
        </w:rPr>
        <w:t>l</w:t>
      </w:r>
      <w:r w:rsidR="0080275F" w:rsidRPr="004D3F59">
        <w:rPr>
          <w:rFonts w:ascii="Palatino Linotype" w:eastAsia="Palatino Linotype" w:hAnsi="Palatino Linotype" w:cs="Palatino Linotype"/>
        </w:rPr>
        <w:t>a PNT vinculada al SAIMEX</w:t>
      </w:r>
      <w:r w:rsidRPr="004D3F59">
        <w:rPr>
          <w:rFonts w:ascii="Palatino Linotype" w:eastAsia="Palatino Linotype" w:hAnsi="Palatino Linotype" w:cs="Palatino Linotype"/>
          <w:color w:val="000000"/>
        </w:rPr>
        <w:t>.</w:t>
      </w:r>
    </w:p>
    <w:p w14:paraId="560067F5" w14:textId="77777777" w:rsidR="00301B1C" w:rsidRPr="004D3F59" w:rsidRDefault="00301B1C"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8A106B5"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El </w:t>
      </w:r>
      <w:r w:rsidR="0080275F"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w:t>
      </w:r>
      <w:r w:rsidR="0080275F" w:rsidRPr="004D3F59">
        <w:rPr>
          <w:rFonts w:ascii="Palatino Linotype" w:eastAsia="Palatino Linotype" w:hAnsi="Palatino Linotype" w:cs="Palatino Linotype"/>
          <w:color w:val="000000"/>
        </w:rPr>
        <w:t>fue omiso en emitir una respuesta; motivo por el cual, e</w:t>
      </w:r>
      <w:r w:rsidRPr="004D3F59">
        <w:rPr>
          <w:rFonts w:ascii="Palatino Linotype" w:eastAsia="Palatino Linotype" w:hAnsi="Palatino Linotype" w:cs="Palatino Linotype"/>
          <w:color w:val="000000"/>
        </w:rPr>
        <w:t xml:space="preserve">l </w:t>
      </w:r>
      <w:r w:rsidR="00F859EE" w:rsidRPr="004D3F59">
        <w:rPr>
          <w:rFonts w:ascii="Palatino Linotype" w:eastAsia="Palatino Linotype" w:hAnsi="Palatino Linotype" w:cs="Palatino Linotype"/>
          <w:color w:val="000000"/>
        </w:rPr>
        <w:t>nueve de abril</w:t>
      </w:r>
      <w:r w:rsidRPr="004D3F59">
        <w:rPr>
          <w:rFonts w:ascii="Palatino Linotype" w:eastAsia="Palatino Linotype" w:hAnsi="Palatino Linotype" w:cs="Palatino Linotype"/>
          <w:color w:val="000000"/>
        </w:rPr>
        <w:t xml:space="preserve"> de dos mil veinticuatro, </w:t>
      </w:r>
      <w:r w:rsidRPr="004D3F59">
        <w:rPr>
          <w:rFonts w:ascii="Palatino Linotype" w:eastAsia="Palatino Linotype" w:hAnsi="Palatino Linotype" w:cs="Palatino Linotype"/>
          <w:b/>
          <w:color w:val="000000"/>
        </w:rPr>
        <w:t>EL RECURRENTE</w:t>
      </w:r>
      <w:r w:rsidRPr="004D3F59">
        <w:rPr>
          <w:rFonts w:ascii="Palatino Linotype" w:eastAsia="Palatino Linotype" w:hAnsi="Palatino Linotype" w:cs="Palatino Linotype"/>
          <w:color w:val="000000"/>
        </w:rPr>
        <w:t xml:space="preserve"> interpuso el  recurso de revisión, en contra de la</w:t>
      </w:r>
      <w:r w:rsidR="0080275F" w:rsidRPr="004D3F59">
        <w:rPr>
          <w:rFonts w:ascii="Palatino Linotype" w:eastAsia="Palatino Linotype" w:hAnsi="Palatino Linotype" w:cs="Palatino Linotype"/>
          <w:color w:val="000000"/>
        </w:rPr>
        <w:t xml:space="preserve"> falta de</w:t>
      </w:r>
      <w:r w:rsidRPr="004D3F59">
        <w:rPr>
          <w:rFonts w:ascii="Palatino Linotype" w:eastAsia="Palatino Linotype" w:hAnsi="Palatino Linotype" w:cs="Palatino Linotype"/>
          <w:color w:val="000000"/>
        </w:rPr>
        <w:t xml:space="preserve"> respuesta</w:t>
      </w:r>
      <w:r w:rsidR="0080275F" w:rsidRPr="004D3F59">
        <w:rPr>
          <w:rFonts w:ascii="Palatino Linotype" w:eastAsia="Palatino Linotype" w:hAnsi="Palatino Linotype" w:cs="Palatino Linotype"/>
          <w:color w:val="000000"/>
        </w:rPr>
        <w:t>, señalando</w:t>
      </w:r>
      <w:r w:rsidRPr="004D3F59">
        <w:rPr>
          <w:rFonts w:ascii="Palatino Linotype" w:eastAsia="Palatino Linotype" w:hAnsi="Palatino Linotype" w:cs="Palatino Linotype"/>
          <w:color w:val="000000"/>
        </w:rPr>
        <w:t>:</w:t>
      </w:r>
    </w:p>
    <w:p w14:paraId="048B2C64" w14:textId="77777777" w:rsidR="0080275F" w:rsidRPr="004D3F59" w:rsidRDefault="0080275F" w:rsidP="003D34CF">
      <w:pPr>
        <w:pStyle w:val="Prrafodelista"/>
        <w:spacing w:line="360" w:lineRule="auto"/>
        <w:rPr>
          <w:rFonts w:ascii="Palatino Linotype" w:eastAsia="Palatino Linotype" w:hAnsi="Palatino Linotype" w:cs="Palatino Linotype"/>
          <w:color w:val="000000"/>
        </w:rPr>
      </w:pPr>
    </w:p>
    <w:p w14:paraId="6A32BB9D" w14:textId="77777777" w:rsidR="00A83BD3" w:rsidRPr="004D3F59" w:rsidRDefault="00F41D15" w:rsidP="003D34CF">
      <w:pPr>
        <w:pBdr>
          <w:top w:val="nil"/>
          <w:left w:val="nil"/>
          <w:bottom w:val="nil"/>
          <w:right w:val="nil"/>
          <w:between w:val="nil"/>
        </w:pBdr>
        <w:spacing w:line="360" w:lineRule="auto"/>
        <w:ind w:left="720" w:right="49"/>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ACTO IMPUGNADO</w:t>
      </w:r>
      <w:r w:rsidRPr="004D3F59">
        <w:rPr>
          <w:rFonts w:ascii="Palatino Linotype" w:eastAsia="Palatino Linotype" w:hAnsi="Palatino Linotype" w:cs="Palatino Linotype"/>
          <w:b/>
          <w:color w:val="000000"/>
        </w:rPr>
        <w:tab/>
      </w:r>
    </w:p>
    <w:p w14:paraId="37545439" w14:textId="77777777" w:rsidR="00A83BD3" w:rsidRPr="004D3F59" w:rsidRDefault="00F41D15" w:rsidP="003D34CF">
      <w:pPr>
        <w:pBdr>
          <w:top w:val="nil"/>
          <w:left w:val="nil"/>
          <w:bottom w:val="nil"/>
          <w:right w:val="nil"/>
          <w:between w:val="nil"/>
        </w:pBdr>
        <w:spacing w:line="360" w:lineRule="auto"/>
        <w:ind w:left="720" w:right="474"/>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i/>
          <w:color w:val="000000"/>
        </w:rPr>
        <w:t>“</w:t>
      </w:r>
      <w:r w:rsidR="0080275F" w:rsidRPr="004D3F59">
        <w:rPr>
          <w:rFonts w:ascii="Palatino Linotype" w:eastAsia="Palatino Linotype" w:hAnsi="Palatino Linotype" w:cs="Palatino Linotype"/>
          <w:i/>
          <w:color w:val="000000"/>
        </w:rPr>
        <w:t>no se satisface mi derecho de acceso a la información ni transparencia, ya que la autoridad responsable no emitió respuesta alguna</w:t>
      </w:r>
      <w:r w:rsidRPr="004D3F59">
        <w:rPr>
          <w:rFonts w:ascii="Palatino Linotype" w:eastAsia="Palatino Linotype" w:hAnsi="Palatino Linotype" w:cs="Palatino Linotype"/>
          <w:i/>
          <w:color w:val="000000"/>
        </w:rPr>
        <w:t>”</w:t>
      </w:r>
    </w:p>
    <w:p w14:paraId="392FCE8C" w14:textId="77777777" w:rsidR="00F859EE" w:rsidRPr="004D3F59" w:rsidRDefault="00F859EE"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7A13A167"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Se registró  el recurso  de revisión bajo el número de expediente al rubro indicado</w:t>
      </w:r>
      <w:r w:rsidR="00154418"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color w:val="000000"/>
        </w:rPr>
        <w:t xml:space="preserve"> asimismo con fundamento en lo dispuesto por el artículo 185 fracción I de la Ley de Transparencia y Acceso a la Información Pública del Estado de México y Municipios se </w:t>
      </w:r>
      <w:r w:rsidR="00154418" w:rsidRPr="004D3F59">
        <w:rPr>
          <w:rFonts w:ascii="Palatino Linotype" w:eastAsia="Palatino Linotype" w:hAnsi="Palatino Linotype" w:cs="Palatino Linotype"/>
        </w:rPr>
        <w:t>turnó</w:t>
      </w:r>
      <w:r w:rsidRPr="004D3F59">
        <w:rPr>
          <w:rFonts w:ascii="Palatino Linotype" w:eastAsia="Palatino Linotype" w:hAnsi="Palatino Linotype" w:cs="Palatino Linotype"/>
          <w:color w:val="000000"/>
        </w:rPr>
        <w:t xml:space="preserve"> a la Comisionada María del Rosario Mejía Ayala, con el objeto de su análisis.</w:t>
      </w:r>
    </w:p>
    <w:p w14:paraId="5E23F6BC"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24BD7020"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La Comisionada Ponente con fundamento en lo dispuesto por el artículo 185 fracción II de la ley de la materia, a tra</w:t>
      </w:r>
      <w:r w:rsidR="00815EFD" w:rsidRPr="004D3F59">
        <w:rPr>
          <w:rFonts w:ascii="Palatino Linotype" w:eastAsia="Palatino Linotype" w:hAnsi="Palatino Linotype" w:cs="Palatino Linotype"/>
          <w:color w:val="000000"/>
        </w:rPr>
        <w:t xml:space="preserve">vés del acuerdo de admisión de </w:t>
      </w:r>
      <w:r w:rsidR="00815EFD" w:rsidRPr="004D3F59">
        <w:rPr>
          <w:rFonts w:ascii="Palatino Linotype" w:eastAsia="Palatino Linotype" w:hAnsi="Palatino Linotype" w:cs="Palatino Linotype"/>
          <w:b/>
          <w:color w:val="000000"/>
        </w:rPr>
        <w:t>veinti</w:t>
      </w:r>
      <w:r w:rsidRPr="004D3F59">
        <w:rPr>
          <w:rFonts w:ascii="Palatino Linotype" w:eastAsia="Palatino Linotype" w:hAnsi="Palatino Linotype" w:cs="Palatino Linotype"/>
          <w:b/>
          <w:color w:val="000000"/>
        </w:rPr>
        <w:t xml:space="preserve">nueve de </w:t>
      </w:r>
      <w:r w:rsidR="00815EFD" w:rsidRPr="004D3F59">
        <w:rPr>
          <w:rFonts w:ascii="Palatino Linotype" w:eastAsia="Palatino Linotype" w:hAnsi="Palatino Linotype" w:cs="Palatino Linotype"/>
          <w:b/>
          <w:color w:val="000000"/>
        </w:rPr>
        <w:t>abril</w:t>
      </w:r>
      <w:r w:rsidRPr="004D3F59">
        <w:rPr>
          <w:rFonts w:ascii="Palatino Linotype" w:eastAsia="Palatino Linotype" w:hAnsi="Palatino Linotype" w:cs="Palatino Linotype"/>
          <w:b/>
          <w:color w:val="000000"/>
        </w:rPr>
        <w:t xml:space="preserve"> de dos mil veinticuatro</w:t>
      </w:r>
      <w:r w:rsidRPr="004D3F59">
        <w:rPr>
          <w:rFonts w:ascii="Palatino Linotype" w:eastAsia="Palatino Linotype" w:hAnsi="Palatino Linotype" w:cs="Palatino Linotype"/>
          <w:color w:val="000000"/>
        </w:rPr>
        <w:t xml:space="preserve">,  puso a disposición de las partes el expediente </w:t>
      </w:r>
      <w:r w:rsidRPr="004D3F59">
        <w:rPr>
          <w:rFonts w:ascii="Palatino Linotype" w:eastAsia="Palatino Linotype" w:hAnsi="Palatino Linotype" w:cs="Palatino Linotype"/>
          <w:color w:val="000000"/>
        </w:rPr>
        <w:lastRenderedPageBreak/>
        <w:t xml:space="preserve">electrónico vía SAIMEX a efecto de que en un plazo máximo de siete días </w:t>
      </w:r>
      <w:r w:rsidRPr="004D3F59">
        <w:rPr>
          <w:rFonts w:ascii="Palatino Linotype" w:eastAsia="Palatino Linotype" w:hAnsi="Palatino Linotype" w:cs="Palatino Linotype"/>
        </w:rPr>
        <w:t>manifestara</w:t>
      </w:r>
      <w:r w:rsidRPr="004D3F59">
        <w:rPr>
          <w:rFonts w:ascii="Palatino Linotype" w:eastAsia="Palatino Linotype" w:hAnsi="Palatino Linotype" w:cs="Palatino Linotype"/>
          <w:color w:val="000000"/>
        </w:rPr>
        <w:t xml:space="preserve"> lo que a derecho </w:t>
      </w:r>
      <w:r w:rsidRPr="004D3F59">
        <w:rPr>
          <w:rFonts w:ascii="Palatino Linotype" w:eastAsia="Palatino Linotype" w:hAnsi="Palatino Linotype" w:cs="Palatino Linotype"/>
        </w:rPr>
        <w:t>conviniera</w:t>
      </w:r>
      <w:r w:rsidRPr="004D3F59">
        <w:rPr>
          <w:rFonts w:ascii="Palatino Linotype" w:eastAsia="Palatino Linotype" w:hAnsi="Palatino Linotype" w:cs="Palatino Linotype"/>
          <w:color w:val="000000"/>
        </w:rPr>
        <w:t xml:space="preserve">, </w:t>
      </w:r>
      <w:r w:rsidRPr="004D3F59">
        <w:rPr>
          <w:rFonts w:ascii="Palatino Linotype" w:eastAsia="Palatino Linotype" w:hAnsi="Palatino Linotype" w:cs="Palatino Linotype"/>
        </w:rPr>
        <w:t>ofreciera</w:t>
      </w:r>
      <w:r w:rsidRPr="004D3F59">
        <w:rPr>
          <w:rFonts w:ascii="Palatino Linotype" w:eastAsia="Palatino Linotype" w:hAnsi="Palatino Linotype" w:cs="Palatino Linotype"/>
          <w:color w:val="000000"/>
        </w:rPr>
        <w:t xml:space="preserve"> pruebas y alegatos según corresponda al caso concreto, de esta forma para que el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w:t>
      </w:r>
      <w:r w:rsidRPr="004D3F59">
        <w:rPr>
          <w:rFonts w:ascii="Palatino Linotype" w:eastAsia="Palatino Linotype" w:hAnsi="Palatino Linotype" w:cs="Palatino Linotype"/>
        </w:rPr>
        <w:t>presentará</w:t>
      </w:r>
      <w:r w:rsidRPr="004D3F59">
        <w:rPr>
          <w:rFonts w:ascii="Palatino Linotype" w:eastAsia="Palatino Linotype" w:hAnsi="Palatino Linotype" w:cs="Palatino Linotype"/>
          <w:color w:val="000000"/>
        </w:rPr>
        <w:t xml:space="preserve"> el informe justificado procedente. </w:t>
      </w:r>
    </w:p>
    <w:p w14:paraId="12834FB3" w14:textId="77777777" w:rsidR="00A83BD3" w:rsidRPr="004D3F59" w:rsidRDefault="00A83BD3" w:rsidP="003D34CF">
      <w:pPr>
        <w:tabs>
          <w:tab w:val="left" w:pos="284"/>
        </w:tabs>
        <w:spacing w:line="360" w:lineRule="auto"/>
        <w:ind w:right="49"/>
        <w:jc w:val="both"/>
        <w:rPr>
          <w:rFonts w:ascii="Palatino Linotype" w:eastAsia="Palatino Linotype" w:hAnsi="Palatino Linotype" w:cs="Palatino Linotype"/>
          <w:i/>
          <w:color w:val="000000"/>
        </w:rPr>
      </w:pPr>
    </w:p>
    <w:p w14:paraId="529531DC" w14:textId="77777777" w:rsidR="00154418" w:rsidRPr="004D3F59" w:rsidRDefault="00F41D15" w:rsidP="003D34CF">
      <w:pPr>
        <w:numPr>
          <w:ilvl w:val="0"/>
          <w:numId w:val="11"/>
        </w:numPr>
        <w:tabs>
          <w:tab w:val="left" w:pos="284"/>
        </w:tabs>
        <w:spacing w:line="360" w:lineRule="auto"/>
        <w:ind w:left="0" w:right="49" w:firstLine="0"/>
        <w:jc w:val="both"/>
        <w:rPr>
          <w:rFonts w:ascii="Palatino Linotype" w:eastAsia="Palatino Linotype" w:hAnsi="Palatino Linotype" w:cs="Palatino Linotype"/>
          <w:i/>
          <w:color w:val="222222"/>
        </w:rPr>
      </w:pPr>
      <w:r w:rsidRPr="004D3F59">
        <w:rPr>
          <w:rFonts w:ascii="Palatino Linotype" w:eastAsia="Palatino Linotype" w:hAnsi="Palatino Linotype" w:cs="Palatino Linotype"/>
          <w:color w:val="000000"/>
        </w:rPr>
        <w:t xml:space="preserve">El </w:t>
      </w:r>
      <w:r w:rsidR="00154418" w:rsidRPr="004D3F59">
        <w:rPr>
          <w:rFonts w:ascii="Palatino Linotype" w:eastAsia="Palatino Linotype" w:hAnsi="Palatino Linotype" w:cs="Palatino Linotype"/>
          <w:b/>
          <w:color w:val="000000"/>
        </w:rPr>
        <w:t xml:space="preserve">SUJETO OBLIGADO, </w:t>
      </w:r>
      <w:r w:rsidR="00154418" w:rsidRPr="004D3F59">
        <w:rPr>
          <w:rFonts w:ascii="Palatino Linotype" w:eastAsia="Palatino Linotype" w:hAnsi="Palatino Linotype" w:cs="Palatino Linotype"/>
          <w:color w:val="000000"/>
        </w:rPr>
        <w:t xml:space="preserve">los días trece y veinte de mayo de dos mil veinticuatro rindió informe justificado a través de dos archivos electrónicos a saber: </w:t>
      </w:r>
    </w:p>
    <w:p w14:paraId="40A6A8BA" w14:textId="77777777" w:rsidR="00154418" w:rsidRPr="004D3F59" w:rsidRDefault="00154418" w:rsidP="003D34CF">
      <w:pPr>
        <w:pStyle w:val="Prrafodelista"/>
        <w:spacing w:line="360" w:lineRule="auto"/>
        <w:rPr>
          <w:rFonts w:ascii="Palatino Linotype" w:eastAsia="Palatino Linotype" w:hAnsi="Palatino Linotype" w:cs="Palatino Linotype"/>
          <w:i/>
          <w:color w:val="222222"/>
        </w:rPr>
      </w:pPr>
    </w:p>
    <w:p w14:paraId="54A3BF4F" w14:textId="77777777" w:rsidR="00154418" w:rsidRPr="004D3F59" w:rsidRDefault="00154418" w:rsidP="003D34CF">
      <w:pPr>
        <w:pStyle w:val="Prrafodelista"/>
        <w:numPr>
          <w:ilvl w:val="0"/>
          <w:numId w:val="21"/>
        </w:numPr>
        <w:pBdr>
          <w:top w:val="nil"/>
          <w:left w:val="nil"/>
          <w:bottom w:val="nil"/>
          <w:right w:val="nil"/>
          <w:between w:val="nil"/>
        </w:pBdr>
        <w:tabs>
          <w:tab w:val="left" w:pos="284"/>
        </w:tabs>
        <w:spacing w:line="360" w:lineRule="auto"/>
        <w:ind w:left="1080" w:right="616"/>
        <w:jc w:val="both"/>
        <w:rPr>
          <w:rFonts w:ascii="Palatino Linotype" w:eastAsia="Palatino Linotype" w:hAnsi="Palatino Linotype" w:cs="Palatino Linotype"/>
          <w:color w:val="222222"/>
        </w:rPr>
      </w:pPr>
      <w:r w:rsidRPr="004D3F59">
        <w:rPr>
          <w:rFonts w:ascii="Palatino Linotype" w:eastAsia="Palatino Linotype" w:hAnsi="Palatino Linotype" w:cs="Palatino Linotype"/>
          <w:i/>
          <w:color w:val="222222"/>
        </w:rPr>
        <w:t>RR 2348.pdf,</w:t>
      </w:r>
      <w:r w:rsidRPr="004D3F59">
        <w:rPr>
          <w:rFonts w:ascii="Palatino Linotype" w:eastAsia="Palatino Linotype" w:hAnsi="Palatino Linotype" w:cs="Palatino Linotype"/>
          <w:color w:val="222222"/>
        </w:rPr>
        <w:t xml:space="preserve"> que corresponde a un oficio signado por el Contralor Interno Municipal, en el que refiere que la información se encuentra clasificada como confidencia, no obstante hace del conocimiento el número de procedimiento iniciados en los años: 2022, 2023 y 2024</w:t>
      </w:r>
    </w:p>
    <w:p w14:paraId="28EF2E70" w14:textId="77777777" w:rsidR="00154418" w:rsidRPr="004D3F59" w:rsidRDefault="00154418" w:rsidP="003D34CF">
      <w:pPr>
        <w:pBdr>
          <w:top w:val="nil"/>
          <w:left w:val="nil"/>
          <w:bottom w:val="nil"/>
          <w:right w:val="nil"/>
          <w:between w:val="nil"/>
        </w:pBdr>
        <w:tabs>
          <w:tab w:val="left" w:pos="284"/>
        </w:tabs>
        <w:spacing w:line="360" w:lineRule="auto"/>
        <w:ind w:left="360" w:right="616"/>
        <w:jc w:val="both"/>
        <w:rPr>
          <w:rFonts w:ascii="Palatino Linotype" w:eastAsia="Palatino Linotype" w:hAnsi="Palatino Linotype" w:cs="Palatino Linotype"/>
          <w:i/>
          <w:color w:val="222222"/>
        </w:rPr>
      </w:pPr>
    </w:p>
    <w:p w14:paraId="7AD55860" w14:textId="77777777" w:rsidR="00A83BD3" w:rsidRPr="004D3F59" w:rsidRDefault="00154418" w:rsidP="003D34CF">
      <w:pPr>
        <w:pStyle w:val="Prrafodelista"/>
        <w:numPr>
          <w:ilvl w:val="0"/>
          <w:numId w:val="21"/>
        </w:numPr>
        <w:pBdr>
          <w:top w:val="nil"/>
          <w:left w:val="nil"/>
          <w:bottom w:val="nil"/>
          <w:right w:val="nil"/>
          <w:between w:val="nil"/>
        </w:pBdr>
        <w:tabs>
          <w:tab w:val="left" w:pos="284"/>
        </w:tabs>
        <w:spacing w:line="360" w:lineRule="auto"/>
        <w:ind w:left="1080" w:right="616"/>
        <w:jc w:val="both"/>
        <w:rPr>
          <w:rFonts w:ascii="Palatino Linotype" w:eastAsia="Palatino Linotype" w:hAnsi="Palatino Linotype" w:cs="Palatino Linotype"/>
          <w:color w:val="222222"/>
        </w:rPr>
      </w:pPr>
      <w:r w:rsidRPr="004D3F59">
        <w:rPr>
          <w:rFonts w:ascii="Palatino Linotype" w:eastAsia="Palatino Linotype" w:hAnsi="Palatino Linotype" w:cs="Palatino Linotype"/>
          <w:i/>
          <w:color w:val="222222"/>
        </w:rPr>
        <w:t xml:space="preserve">RESPUES 209.pdf, </w:t>
      </w:r>
      <w:r w:rsidRPr="004D3F59">
        <w:rPr>
          <w:rFonts w:ascii="Palatino Linotype" w:eastAsia="Palatino Linotype" w:hAnsi="Palatino Linotype" w:cs="Palatino Linotype"/>
          <w:color w:val="222222"/>
        </w:rPr>
        <w:t>que corresponde al oficio suscrito por el Contralor Interno, a través del cual informa a la Titular de la Unidad de Transparencia, que se ha dado contestación a la solicitud de información.</w:t>
      </w:r>
    </w:p>
    <w:p w14:paraId="65AC44F9" w14:textId="77777777" w:rsidR="00A83BD3" w:rsidRPr="004D3F59" w:rsidRDefault="00A83BD3" w:rsidP="003D34CF">
      <w:pPr>
        <w:pBdr>
          <w:top w:val="nil"/>
          <w:left w:val="nil"/>
          <w:bottom w:val="nil"/>
          <w:right w:val="nil"/>
          <w:between w:val="nil"/>
        </w:pBdr>
        <w:tabs>
          <w:tab w:val="left" w:pos="284"/>
        </w:tabs>
        <w:spacing w:line="360" w:lineRule="auto"/>
        <w:ind w:left="567" w:right="49"/>
        <w:jc w:val="both"/>
        <w:rPr>
          <w:rFonts w:ascii="Palatino Linotype" w:eastAsia="Palatino Linotype" w:hAnsi="Palatino Linotype" w:cs="Palatino Linotype"/>
          <w:i/>
          <w:color w:val="222222"/>
        </w:rPr>
      </w:pPr>
    </w:p>
    <w:p w14:paraId="1CDEE617" w14:textId="77777777" w:rsidR="00A83BD3" w:rsidRPr="004D3F59" w:rsidRDefault="00154418" w:rsidP="003D34CF">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222222"/>
        </w:rPr>
        <w:t>Por su parte, el particular fue omiso en realizar manifestaciones que a su derecho conviniera y asistiera.</w:t>
      </w:r>
    </w:p>
    <w:p w14:paraId="2E2DCDD5" w14:textId="77777777" w:rsidR="00A83BD3" w:rsidRPr="004D3F59" w:rsidRDefault="00A83BD3" w:rsidP="003D34CF">
      <w:pPr>
        <w:tabs>
          <w:tab w:val="left" w:pos="284"/>
        </w:tabs>
        <w:spacing w:line="360" w:lineRule="auto"/>
        <w:ind w:right="49"/>
        <w:jc w:val="both"/>
        <w:rPr>
          <w:rFonts w:ascii="Palatino Linotype" w:eastAsia="Palatino Linotype" w:hAnsi="Palatino Linotype" w:cs="Palatino Linotype"/>
          <w:i/>
          <w:color w:val="000000"/>
        </w:rPr>
      </w:pPr>
    </w:p>
    <w:p w14:paraId="2E3E372D" w14:textId="77777777" w:rsidR="00A83BD3" w:rsidRPr="004D3F59" w:rsidRDefault="00F41D15" w:rsidP="003D34CF">
      <w:pPr>
        <w:numPr>
          <w:ilvl w:val="0"/>
          <w:numId w:val="11"/>
        </w:numPr>
        <w:tabs>
          <w:tab w:val="left" w:pos="284"/>
        </w:tabs>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El </w:t>
      </w:r>
      <w:r w:rsidR="00B67D74" w:rsidRPr="004D3F59">
        <w:rPr>
          <w:rFonts w:ascii="Palatino Linotype" w:eastAsia="Palatino Linotype" w:hAnsi="Palatino Linotype" w:cs="Palatino Linotype"/>
          <w:b/>
          <w:color w:val="000000"/>
        </w:rPr>
        <w:t>veintiséis</w:t>
      </w:r>
      <w:r w:rsidRPr="004D3F59">
        <w:rPr>
          <w:rFonts w:ascii="Palatino Linotype" w:eastAsia="Palatino Linotype" w:hAnsi="Palatino Linotype" w:cs="Palatino Linotype"/>
          <w:b/>
          <w:color w:val="000000"/>
        </w:rPr>
        <w:t xml:space="preserve"> de </w:t>
      </w:r>
      <w:r w:rsidR="00B67D74" w:rsidRPr="004D3F59">
        <w:rPr>
          <w:rFonts w:ascii="Palatino Linotype" w:eastAsia="Palatino Linotype" w:hAnsi="Palatino Linotype" w:cs="Palatino Linotype"/>
          <w:b/>
          <w:color w:val="000000"/>
        </w:rPr>
        <w:t>febrero</w:t>
      </w:r>
      <w:r w:rsidRPr="004D3F59">
        <w:rPr>
          <w:rFonts w:ascii="Palatino Linotype" w:eastAsia="Palatino Linotype" w:hAnsi="Palatino Linotype" w:cs="Palatino Linotype"/>
          <w:b/>
          <w:color w:val="000000"/>
        </w:rPr>
        <w:t xml:space="preserve"> de dos mil veinticuatro</w:t>
      </w:r>
      <w:r w:rsidRPr="004D3F59">
        <w:rPr>
          <w:rFonts w:ascii="Palatino Linotype" w:eastAsia="Palatino Linotype" w:hAnsi="Palatino Linotype" w:cs="Palatino Linotype"/>
          <w:color w:val="000000"/>
        </w:rPr>
        <w:t xml:space="preserve">, con fundamento en el artículo 181, tercer párrafo, de la Ley de Transparencia y Acceso a la Información Pública </w:t>
      </w:r>
      <w:r w:rsidRPr="004D3F59">
        <w:rPr>
          <w:rFonts w:ascii="Palatino Linotype" w:eastAsia="Palatino Linotype" w:hAnsi="Palatino Linotype" w:cs="Palatino Linotype"/>
          <w:color w:val="000000"/>
        </w:rPr>
        <w:lastRenderedPageBreak/>
        <w:t>del Estado de México y Municipios se notificó que el plazo de treinta días para resolver el recurso de revisión sería ampliado por un periodo de quince días hábiles adicionales.</w:t>
      </w:r>
    </w:p>
    <w:p w14:paraId="23D7882D" w14:textId="77777777" w:rsidR="00A83BD3" w:rsidRPr="004D3F59"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i/>
          <w:color w:val="000000"/>
        </w:rPr>
      </w:pPr>
    </w:p>
    <w:p w14:paraId="1E8FDD1F"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El dieciséis de enero de dos mil veinticinco, la Comisionada Ponente decretó el cierre de instrucción, por lo que </w:t>
      </w:r>
      <w:r w:rsidRPr="004D3F59">
        <w:rPr>
          <w:rFonts w:ascii="Palatino Linotype" w:eastAsia="Palatino Linotype" w:hAnsi="Palatino Linotype" w:cs="Palatino Linotype"/>
        </w:rPr>
        <w:t>tornó</w:t>
      </w:r>
      <w:r w:rsidRPr="004D3F59">
        <w:rPr>
          <w:rFonts w:ascii="Palatino Linotype" w:eastAsia="Palatino Linotype" w:hAnsi="Palatino Linotype" w:cs="Palatino Linotype"/>
          <w:color w:val="000000"/>
        </w:rPr>
        <w:t xml:space="preserve"> la presente resolución para su aprobación.</w:t>
      </w:r>
    </w:p>
    <w:p w14:paraId="1022BFA3" w14:textId="77777777" w:rsidR="00A83BD3" w:rsidRPr="004D3F59"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201E8DBC"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4F301DA4" w14:textId="77777777" w:rsidR="00A83BD3" w:rsidRPr="004D3F59"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3EE0D33"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7D113A"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7F0AC4A5"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w:t>
      </w:r>
      <w:r w:rsidRPr="004D3F59">
        <w:rPr>
          <w:rFonts w:ascii="Palatino Linotype" w:eastAsia="Palatino Linotype" w:hAnsi="Palatino Linotype" w:cs="Palatino Linotype"/>
          <w:color w:val="000000"/>
        </w:rPr>
        <w:lastRenderedPageBreak/>
        <w:t>en el menor tiempo posible, tomando en consideración la dilación total del procedimiento; esto es, en un plazo razonable.</w:t>
      </w:r>
    </w:p>
    <w:p w14:paraId="5B26E154"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D9F4939"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62C91D9F"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588237CC" w14:textId="77777777" w:rsidR="00A83BD3" w:rsidRPr="004D3F59"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Complejidad del asunto: La complejidad de la prueba, la pluralidad de sujetos procesales, el tiempo transcurrido, las características y contexto del recurso.</w:t>
      </w:r>
    </w:p>
    <w:p w14:paraId="16A3818D" w14:textId="77777777" w:rsidR="00A83BD3" w:rsidRPr="004D3F59"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Actividad Procesal del interesado: Acciones u omisiones del interesado.</w:t>
      </w:r>
    </w:p>
    <w:p w14:paraId="19ADBC0B" w14:textId="77777777" w:rsidR="00A83BD3" w:rsidRPr="004D3F59"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9139FDA" w14:textId="77777777" w:rsidR="00A83BD3" w:rsidRPr="004D3F59" w:rsidRDefault="00F41D15" w:rsidP="003D34CF">
      <w:pPr>
        <w:numPr>
          <w:ilvl w:val="2"/>
          <w:numId w:val="11"/>
        </w:numPr>
        <w:pBdr>
          <w:top w:val="nil"/>
          <w:left w:val="nil"/>
          <w:bottom w:val="nil"/>
          <w:right w:val="nil"/>
          <w:between w:val="nil"/>
        </w:pBdr>
        <w:spacing w:line="360" w:lineRule="auto"/>
        <w:ind w:left="1134"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40E84E54" w14:textId="77777777" w:rsidR="00A83BD3" w:rsidRPr="004D3F59" w:rsidRDefault="00A83BD3" w:rsidP="003D34CF">
      <w:pPr>
        <w:pBdr>
          <w:top w:val="nil"/>
          <w:left w:val="nil"/>
          <w:bottom w:val="nil"/>
          <w:right w:val="nil"/>
          <w:between w:val="nil"/>
        </w:pBdr>
        <w:spacing w:line="360" w:lineRule="auto"/>
        <w:ind w:left="1134" w:right="49"/>
        <w:jc w:val="both"/>
        <w:rPr>
          <w:rFonts w:ascii="Palatino Linotype" w:eastAsia="Palatino Linotype" w:hAnsi="Palatino Linotype" w:cs="Palatino Linotype"/>
          <w:color w:val="000000"/>
        </w:rPr>
      </w:pPr>
    </w:p>
    <w:p w14:paraId="2B11C814"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4D3F59">
        <w:rPr>
          <w:rFonts w:ascii="Palatino Linotype" w:eastAsia="Palatino Linotype" w:hAnsi="Palatino Linotype" w:cs="Palatino Linotype"/>
          <w:color w:val="000000"/>
        </w:rPr>
        <w:lastRenderedPageBreak/>
        <w:t>relación con la actuación del funcionario, como ha acontecido en el caso que nos ocupa.</w:t>
      </w:r>
    </w:p>
    <w:p w14:paraId="64357FC1"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Argumento que encuentra sustento en la jurisprudencia P</w:t>
      </w:r>
      <w:proofErr w:type="gramStart"/>
      <w:r w:rsidRPr="004D3F59">
        <w:rPr>
          <w:rFonts w:ascii="Palatino Linotype" w:eastAsia="Palatino Linotype" w:hAnsi="Palatino Linotype" w:cs="Palatino Linotype"/>
          <w:color w:val="000000"/>
        </w:rPr>
        <w:t>./</w:t>
      </w:r>
      <w:proofErr w:type="gramEnd"/>
      <w:r w:rsidRPr="004D3F59">
        <w:rPr>
          <w:rFonts w:ascii="Palatino Linotype" w:eastAsia="Palatino Linotype" w:hAnsi="Palatino Linotype" w:cs="Palatino Linotype"/>
          <w:color w:val="000000"/>
        </w:rPr>
        <w:t xml:space="preserve">J. 32/92 emitida por el Pleno de la Suprema Corte de Justicia de la Nación </w:t>
      </w:r>
      <w:r w:rsidRPr="004D3F59">
        <w:rPr>
          <w:rFonts w:ascii="Palatino Linotype" w:eastAsia="Palatino Linotype" w:hAnsi="Palatino Linotype" w:cs="Palatino Linotype"/>
        </w:rPr>
        <w:t>del rubro</w:t>
      </w:r>
      <w:r w:rsidRPr="004D3F59">
        <w:rPr>
          <w:rFonts w:ascii="Palatino Linotype" w:eastAsia="Palatino Linotype" w:hAnsi="Palatino Linotype" w:cs="Palatino Linotype"/>
          <w:color w:val="000000"/>
        </w:rPr>
        <w:t xml:space="preserve"> </w:t>
      </w:r>
      <w:r w:rsidRPr="004D3F59">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4D3F59">
        <w:rPr>
          <w:rFonts w:ascii="Palatino Linotype" w:eastAsia="Palatino Linotype" w:hAnsi="Palatino Linotype" w:cs="Palatino Linotype"/>
          <w:color w:val="000000"/>
        </w:rPr>
        <w:t xml:space="preserve"> visible en la Gaceta del </w:t>
      </w:r>
      <w:r w:rsidRPr="004D3F59">
        <w:rPr>
          <w:rFonts w:ascii="Palatino Linotype" w:eastAsia="Palatino Linotype" w:hAnsi="Palatino Linotype" w:cs="Palatino Linotype"/>
        </w:rPr>
        <w:t>Semanario</w:t>
      </w:r>
      <w:r w:rsidRPr="004D3F59">
        <w:rPr>
          <w:rFonts w:ascii="Palatino Linotype" w:eastAsia="Palatino Linotype" w:hAnsi="Palatino Linotype" w:cs="Palatino Linotype"/>
          <w:color w:val="000000"/>
        </w:rPr>
        <w:t xml:space="preserve"> Judicial de la Federación con el registro digital 205635.</w:t>
      </w:r>
    </w:p>
    <w:p w14:paraId="7372FCCE"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1D59680B"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F9358E" w14:textId="77777777" w:rsidR="00A83BD3" w:rsidRPr="004D3F59"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38884DF8"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60240493" w14:textId="77777777" w:rsidR="00A83BD3" w:rsidRPr="004D3F59" w:rsidRDefault="00F41D15"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b/>
          <w:color w:val="000000"/>
        </w:rPr>
        <w:t>PLAZO RAZONABLE PARA RESOLVER. DIMENSIÓN Y EFECTOS DE ESTE CONCEPTO CUANDO SE ADUCE EXCESIVA CARGA DE TRABAJO</w:t>
      </w:r>
      <w:r w:rsidRPr="004D3F59">
        <w:rPr>
          <w:rFonts w:ascii="Palatino Linotype" w:eastAsia="Palatino Linotype" w:hAnsi="Palatino Linotype" w:cs="Palatino Linotype"/>
          <w:color w:val="000000"/>
        </w:rPr>
        <w:t>.” consultable en el Sem</w:t>
      </w:r>
      <w:r w:rsidRPr="004D3F59">
        <w:rPr>
          <w:rFonts w:ascii="Palatino Linotype" w:eastAsia="Palatino Linotype" w:hAnsi="Palatino Linotype" w:cs="Palatino Linotype"/>
        </w:rPr>
        <w:t>a</w:t>
      </w:r>
      <w:r w:rsidRPr="004D3F59">
        <w:rPr>
          <w:rFonts w:ascii="Palatino Linotype" w:eastAsia="Palatino Linotype" w:hAnsi="Palatino Linotype" w:cs="Palatino Linotype"/>
          <w:color w:val="000000"/>
        </w:rPr>
        <w:t>nario Judicial de la Federación y su gaceta, con el registro digital 2002351.</w:t>
      </w:r>
    </w:p>
    <w:p w14:paraId="60D0614E" w14:textId="77777777" w:rsidR="00A83BD3" w:rsidRPr="004D3F59" w:rsidRDefault="00A83BD3"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p>
    <w:p w14:paraId="3531C860" w14:textId="77777777" w:rsidR="00A83BD3" w:rsidRPr="004D3F59" w:rsidRDefault="00F41D15" w:rsidP="003D34CF">
      <w:pPr>
        <w:pBdr>
          <w:top w:val="nil"/>
          <w:left w:val="nil"/>
          <w:bottom w:val="nil"/>
          <w:right w:val="nil"/>
          <w:between w:val="nil"/>
        </w:pBdr>
        <w:spacing w:line="360" w:lineRule="auto"/>
        <w:ind w:left="284"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b/>
          <w:color w:val="000000"/>
        </w:rPr>
        <w:t>PLAZO RAZONABLE PARA RESOLVER. CONCEPTO Y ELEMENTOS QUE LO INTEGRAN A LA LUZ DEL DERECHO INTERNACIONAL DE LOS DERECHOS HUMANOS.</w:t>
      </w:r>
      <w:r w:rsidRPr="004D3F59">
        <w:rPr>
          <w:rFonts w:ascii="Palatino Linotype" w:eastAsia="Palatino Linotype" w:hAnsi="Palatino Linotype" w:cs="Palatino Linotype"/>
          <w:color w:val="000000"/>
        </w:rPr>
        <w:t>”, visible en el Sem</w:t>
      </w:r>
      <w:r w:rsidRPr="004D3F59">
        <w:rPr>
          <w:rFonts w:ascii="Palatino Linotype" w:eastAsia="Palatino Linotype" w:hAnsi="Palatino Linotype" w:cs="Palatino Linotype"/>
        </w:rPr>
        <w:t>a</w:t>
      </w:r>
      <w:r w:rsidRPr="004D3F59">
        <w:rPr>
          <w:rFonts w:ascii="Palatino Linotype" w:eastAsia="Palatino Linotype" w:hAnsi="Palatino Linotype" w:cs="Palatino Linotype"/>
          <w:color w:val="000000"/>
        </w:rPr>
        <w:t xml:space="preserve">nario Judicial de la Federación y su gaceta, con el registro digital 2002350. </w:t>
      </w:r>
    </w:p>
    <w:p w14:paraId="51E0D8F3"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39EFC675"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Por ello, este organismo garante comprometido con la tutela de los derechos humanos confiados, señala que este exceso del plazo legal para resolver el presente asunto, </w:t>
      </w:r>
      <w:r w:rsidR="009A2804" w:rsidRPr="004D3F59">
        <w:rPr>
          <w:rFonts w:ascii="Palatino Linotype" w:eastAsia="Palatino Linotype" w:hAnsi="Palatino Linotype" w:cs="Palatino Linotype"/>
          <w:color w:val="000000"/>
        </w:rPr>
        <w:t>resulta de carácter excepcional. Seguidamente mediante Acuerdo de misma fecha se decretó el cierre de instrucción, por lo que: -----------------------------------------</w:t>
      </w:r>
    </w:p>
    <w:p w14:paraId="3E9D4AB9" w14:textId="77777777" w:rsidR="00A83BD3" w:rsidRPr="004D3F59"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3487B57" w14:textId="77777777" w:rsidR="00A83BD3" w:rsidRPr="004D3F59"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C O N S I D E R A N D O</w:t>
      </w:r>
    </w:p>
    <w:p w14:paraId="7EB0942A" w14:textId="77777777" w:rsidR="009A2804" w:rsidRPr="004D3F59" w:rsidRDefault="009A2804"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p>
    <w:p w14:paraId="57310E1C" w14:textId="77777777" w:rsidR="00A83BD3" w:rsidRPr="004D3F59"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PRIMERO. De la competencia</w:t>
      </w:r>
    </w:p>
    <w:p w14:paraId="0FF735F2"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w:t>
      </w:r>
      <w:r w:rsidRPr="004D3F59">
        <w:rPr>
          <w:rFonts w:ascii="Palatino Linotype" w:eastAsia="Palatino Linotype" w:hAnsi="Palatino Linotype" w:cs="Palatino Linotype"/>
          <w:color w:val="000000"/>
        </w:rPr>
        <w:lastRenderedPageBreak/>
        <w:t>presente recurso de revisión interpuesto por el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19DD3C5D" w14:textId="77777777" w:rsidR="00A83BD3" w:rsidRPr="004D3F59" w:rsidRDefault="00A83BD3"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57617F25" w14:textId="77777777" w:rsidR="00A83BD3" w:rsidRPr="004D3F59" w:rsidRDefault="00F41D15" w:rsidP="003D34CF">
      <w:pPr>
        <w:pBdr>
          <w:top w:val="nil"/>
          <w:left w:val="nil"/>
          <w:bottom w:val="nil"/>
          <w:right w:val="nil"/>
          <w:between w:val="nil"/>
        </w:pBdr>
        <w:spacing w:line="360" w:lineRule="auto"/>
        <w:ind w:right="49"/>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SEGUNDO. De la oportunidad y procedencia.</w:t>
      </w:r>
    </w:p>
    <w:p w14:paraId="52579398"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4D3F59">
        <w:rPr>
          <w:rFonts w:ascii="Palatino Linotype" w:eastAsia="Calibri" w:hAnsi="Palatino Linotype" w:cs="Arial"/>
        </w:rPr>
        <w:t xml:space="preserve">Es de precisar, que la Ley de Transparencia y Acceso a la Información Pública del Estado de México y Municipios, en el artículo 178 describe la procedencia del recurso de revisión; asimismo señala que el plazo del </w:t>
      </w:r>
      <w:r w:rsidRPr="004D3F59">
        <w:rPr>
          <w:rFonts w:ascii="Palatino Linotype" w:eastAsia="Calibri" w:hAnsi="Palatino Linotype" w:cs="Arial"/>
          <w:b/>
        </w:rPr>
        <w:t>SUJETO OBLIGADO</w:t>
      </w:r>
      <w:r w:rsidRPr="004D3F59">
        <w:rPr>
          <w:rFonts w:ascii="Palatino Linotype" w:eastAsia="Calibri" w:hAnsi="Palatino Linotype" w:cs="Arial"/>
        </w:rPr>
        <w:t xml:space="preserve"> para entregar la respuesta a una solicitud de información pública, es de quince días hábiles posteriores a la presentación de ésta; por lo que, transcurrido este término, cuando no entregue la respuesta a la solicitud dentro </w:t>
      </w:r>
      <w:r w:rsidRPr="004D3F59">
        <w:rPr>
          <w:rFonts w:ascii="Palatino Linotype" w:eastAsia="Palatino Linotype" w:hAnsi="Palatino Linotype" w:cs="Palatino Linotype"/>
          <w:color w:val="000000"/>
        </w:rPr>
        <w:t>del</w:t>
      </w:r>
      <w:r w:rsidRPr="004D3F59">
        <w:rPr>
          <w:rFonts w:ascii="Palatino Linotype" w:eastAsia="Calibri" w:hAnsi="Palatino Linotype" w:cs="Arial"/>
        </w:rPr>
        <w:t xml:space="preserve"> plazo previsto en la Ley, la solicitud se entenderá negada y el solicitante podrá interponer el recurso de revisión previsto en el ordenamiento en cita.  </w:t>
      </w:r>
    </w:p>
    <w:p w14:paraId="04C6104E" w14:textId="77777777" w:rsidR="009A2804" w:rsidRPr="004D3F59" w:rsidRDefault="009A2804" w:rsidP="003D34CF">
      <w:pPr>
        <w:spacing w:line="360" w:lineRule="auto"/>
        <w:contextualSpacing/>
        <w:jc w:val="both"/>
        <w:rPr>
          <w:rFonts w:ascii="Palatino Linotype" w:hAnsi="Palatino Linotype" w:cs="Arial"/>
          <w:lang w:val="es-ES_tradnl" w:eastAsia="es-ES"/>
        </w:rPr>
      </w:pPr>
    </w:p>
    <w:p w14:paraId="3D6C2AE5"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4D3F59">
        <w:rPr>
          <w:rFonts w:ascii="Palatino Linotype" w:eastAsia="Calibri" w:hAnsi="Palatino Linotype" w:cs="Arial"/>
        </w:rPr>
        <w:t xml:space="preserve">Por ende, se constituye la figura jurídica de la </w:t>
      </w:r>
      <w:r w:rsidRPr="004D3F59">
        <w:rPr>
          <w:rFonts w:ascii="Palatino Linotype" w:eastAsia="Calibri" w:hAnsi="Palatino Linotype" w:cs="Arial"/>
          <w:i/>
        </w:rPr>
        <w:t>negativa ficta</w:t>
      </w:r>
      <w:r w:rsidRPr="004D3F59">
        <w:rPr>
          <w:rFonts w:ascii="Palatino Linotype" w:eastAsia="Calibri" w:hAnsi="Palatino Linotype" w:cs="Arial"/>
        </w:rPr>
        <w:t xml:space="preserve">, cuya esencia es atribuir un efecto negativo al silencio de la autoridad administrativa frente a las instancias y solicitudes que hagan los particulares, lo cual encuentra sustento en lo </w:t>
      </w:r>
      <w:r w:rsidRPr="004D3F59">
        <w:rPr>
          <w:rFonts w:ascii="Palatino Linotype" w:eastAsia="Calibri" w:hAnsi="Palatino Linotype" w:cs="Arial"/>
        </w:rPr>
        <w:lastRenderedPageBreak/>
        <w:t xml:space="preserve">que establece el artículo </w:t>
      </w:r>
      <w:r w:rsidRPr="004D3F59">
        <w:rPr>
          <w:rFonts w:ascii="Palatino Linotype" w:eastAsia="Calibri" w:hAnsi="Palatino Linotype" w:cs="Arial"/>
          <w:b/>
        </w:rPr>
        <w:t>178</w:t>
      </w:r>
      <w:r w:rsidRPr="004D3F59">
        <w:rPr>
          <w:rFonts w:ascii="Palatino Linotype" w:eastAsia="Calibri" w:hAnsi="Palatino Linotype" w:cs="Arial"/>
        </w:rPr>
        <w:t xml:space="preserve"> segundo párrafo de </w:t>
      </w:r>
      <w:r w:rsidRPr="004D3F59">
        <w:rPr>
          <w:rFonts w:ascii="Palatino Linotype" w:eastAsia="Calibri" w:hAnsi="Palatino Linotype" w:cs="Arial"/>
          <w:b/>
        </w:rPr>
        <w:t>Ley de Transparencia y Acceso a la Información Pública del Estado de México y Municipios</w:t>
      </w:r>
      <w:r w:rsidRPr="004D3F59">
        <w:rPr>
          <w:rFonts w:ascii="Palatino Linotype" w:eastAsia="Calibri" w:hAnsi="Palatino Linotype"/>
          <w:shd w:val="clear" w:color="auto" w:fill="FFFFFF"/>
        </w:rPr>
        <w:t xml:space="preserve">, que dispone; ante la falta de respuesta del </w:t>
      </w:r>
      <w:r w:rsidRPr="004D3F59">
        <w:rPr>
          <w:rFonts w:ascii="Palatino Linotype" w:eastAsia="Calibri" w:hAnsi="Palatino Linotype"/>
          <w:b/>
          <w:shd w:val="clear" w:color="auto" w:fill="FFFFFF"/>
        </w:rPr>
        <w:t>SUJETO OBLIGADO,</w:t>
      </w:r>
      <w:r w:rsidRPr="004D3F59">
        <w:rPr>
          <w:rFonts w:ascii="Palatino Linotype" w:eastAsia="Calibri" w:hAnsi="Palatino Linotype"/>
          <w:shd w:val="clear" w:color="auto" w:fill="FFFFFF"/>
        </w:rPr>
        <w:t xml:space="preserve"> dentro de los plazos establecidos en esta Ley, a una solicitud de acceso a la información pública, el recurso </w:t>
      </w:r>
      <w:r w:rsidRPr="004D3F59">
        <w:rPr>
          <w:rFonts w:ascii="Palatino Linotype" w:eastAsia="Calibri" w:hAnsi="Palatino Linotype"/>
          <w:b/>
          <w:shd w:val="clear" w:color="auto" w:fill="FFFFFF"/>
        </w:rPr>
        <w:t xml:space="preserve">podrá ser interpuesto en cualquier momento. </w:t>
      </w:r>
    </w:p>
    <w:p w14:paraId="79B6739F"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lang w:val="es-ES_tradnl"/>
        </w:rPr>
      </w:pPr>
      <w:r w:rsidRPr="004D3F59">
        <w:rPr>
          <w:rFonts w:ascii="Palatino Linotype" w:eastAsia="Calibri" w:hAnsi="Palatino Linotype" w:cs="Arial"/>
        </w:rPr>
        <w:t xml:space="preserve">Por lo que, tratándose de la </w:t>
      </w:r>
      <w:r w:rsidRPr="004D3F59">
        <w:rPr>
          <w:rFonts w:ascii="Palatino Linotype" w:eastAsia="Calibri" w:hAnsi="Palatino Linotype" w:cs="Arial"/>
          <w:i/>
        </w:rPr>
        <w:t>negativa ficta</w:t>
      </w:r>
      <w:r w:rsidRPr="004D3F59">
        <w:rPr>
          <w:rFonts w:ascii="Palatino Linotype" w:eastAsia="Calibri" w:hAnsi="Palatino Linotype" w:cs="Arial"/>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4D3F59">
        <w:rPr>
          <w:rFonts w:ascii="Palatino Linotype" w:eastAsia="Calibri" w:hAnsi="Palatino Linotype" w:cs="Arial"/>
          <w:i/>
        </w:rPr>
        <w:t>negativa ficta</w:t>
      </w:r>
      <w:r w:rsidRPr="004D3F59">
        <w:rPr>
          <w:rFonts w:ascii="Palatino Linotype" w:eastAsia="Calibri" w:hAnsi="Palatino Linotype" w:cs="Arial"/>
        </w:rPr>
        <w:t>, que señala:</w:t>
      </w:r>
    </w:p>
    <w:p w14:paraId="677E9232" w14:textId="77777777" w:rsidR="009A2804" w:rsidRPr="004D3F59" w:rsidRDefault="009A2804" w:rsidP="003D34CF">
      <w:pPr>
        <w:spacing w:line="360" w:lineRule="auto"/>
        <w:contextualSpacing/>
        <w:jc w:val="both"/>
        <w:rPr>
          <w:rFonts w:ascii="Palatino Linotype" w:hAnsi="Palatino Linotype" w:cs="Arial"/>
          <w:lang w:val="es-ES_tradnl" w:eastAsia="es-ES"/>
        </w:rPr>
      </w:pPr>
    </w:p>
    <w:p w14:paraId="7DBB76AE" w14:textId="77777777" w:rsidR="009A2804" w:rsidRPr="004D3F59" w:rsidRDefault="009A2804" w:rsidP="003D34CF">
      <w:pPr>
        <w:tabs>
          <w:tab w:val="left" w:pos="7655"/>
        </w:tabs>
        <w:spacing w:line="360" w:lineRule="auto"/>
        <w:ind w:left="567" w:right="567"/>
        <w:jc w:val="center"/>
        <w:rPr>
          <w:rFonts w:ascii="Palatino Linotype" w:eastAsia="Calibri" w:hAnsi="Palatino Linotype" w:cs="Arial"/>
          <w:b/>
          <w:lang w:val="es-ES" w:eastAsia="es-ES"/>
        </w:rPr>
      </w:pPr>
      <w:r w:rsidRPr="004D3F59">
        <w:rPr>
          <w:rFonts w:ascii="Palatino Linotype" w:eastAsia="Calibri" w:hAnsi="Palatino Linotype" w:cs="Arial"/>
          <w:b/>
          <w:lang w:val="es-ES" w:eastAsia="es-ES"/>
        </w:rPr>
        <w:t>Criterio 0001-15</w:t>
      </w:r>
    </w:p>
    <w:p w14:paraId="1BC4EE58" w14:textId="77777777" w:rsidR="009A2804" w:rsidRPr="004D3F59" w:rsidRDefault="009A2804" w:rsidP="003D34CF">
      <w:pPr>
        <w:tabs>
          <w:tab w:val="left" w:pos="7655"/>
        </w:tabs>
        <w:spacing w:line="360" w:lineRule="auto"/>
        <w:ind w:left="567" w:right="567"/>
        <w:jc w:val="both"/>
        <w:rPr>
          <w:rFonts w:ascii="Palatino Linotype" w:eastAsia="Calibri" w:hAnsi="Palatino Linotype" w:cs="Arial"/>
          <w:i/>
          <w:lang w:val="es-ES" w:eastAsia="es-ES"/>
        </w:rPr>
      </w:pPr>
      <w:r w:rsidRPr="004D3F59">
        <w:rPr>
          <w:rFonts w:ascii="Palatino Linotype" w:eastAsia="Calibri" w:hAnsi="Palatino Linotype" w:cs="Arial"/>
          <w:b/>
          <w:i/>
          <w:lang w:val="es-ES" w:eastAsia="es-ES"/>
        </w:rPr>
        <w:t>NEGATIVA FICTA. PLAZO PARA INTERPONER EL RECURSO DE REVISIÓN TRATÁNDOSE DE.</w:t>
      </w:r>
      <w:r w:rsidRPr="004D3F59">
        <w:rPr>
          <w:rFonts w:ascii="Palatino Linotype" w:eastAsia="Calibri" w:hAnsi="Palatino Linotype" w:cs="Arial"/>
          <w:i/>
          <w:lang w:val="es-ES" w:eastAsia="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w:t>
      </w:r>
      <w:r w:rsidRPr="004D3F59">
        <w:rPr>
          <w:rFonts w:ascii="Palatino Linotype" w:eastAsia="Calibri" w:hAnsi="Palatino Linotype" w:cs="Arial"/>
          <w:i/>
          <w:lang w:val="es-ES" w:eastAsia="es-ES"/>
        </w:rPr>
        <w:lastRenderedPageBreak/>
        <w:t>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6CF866A1" w14:textId="77777777" w:rsidR="009A2804" w:rsidRPr="004D3F59" w:rsidRDefault="009A2804" w:rsidP="003D34CF">
      <w:pPr>
        <w:tabs>
          <w:tab w:val="left" w:pos="7655"/>
        </w:tabs>
        <w:spacing w:line="360" w:lineRule="auto"/>
        <w:ind w:left="567" w:right="567"/>
        <w:jc w:val="both"/>
        <w:rPr>
          <w:rFonts w:ascii="Palatino Linotype" w:eastAsia="Calibri" w:hAnsi="Palatino Linotype" w:cs="Arial"/>
          <w:i/>
          <w:lang w:val="es-ES" w:eastAsia="es-ES"/>
        </w:rPr>
      </w:pPr>
    </w:p>
    <w:p w14:paraId="10862554"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rPr>
      </w:pPr>
      <w:r w:rsidRPr="004D3F59">
        <w:rPr>
          <w:rFonts w:ascii="Palatino Linotype" w:hAnsi="Palatino Linotype" w:cs="Arial"/>
        </w:rPr>
        <w:t xml:space="preserve">Lo anterior, se explica porque la </w:t>
      </w:r>
      <w:r w:rsidRPr="004D3F59">
        <w:rPr>
          <w:rFonts w:ascii="Palatino Linotype" w:hAnsi="Palatino Linotype" w:cs="Arial"/>
          <w:b/>
          <w:u w:val="single"/>
        </w:rPr>
        <w:t>posible ausencia</w:t>
      </w:r>
      <w:r w:rsidRPr="004D3F59">
        <w:rPr>
          <w:rFonts w:ascii="Palatino Linotype" w:hAnsi="Palatino Linotype" w:cs="Arial"/>
        </w:rPr>
        <w:t xml:space="preserve"> de una respuesta en la solicitud </w:t>
      </w:r>
      <w:r w:rsidRPr="004D3F59">
        <w:rPr>
          <w:rFonts w:ascii="Palatino Linotype" w:eastAsia="Calibri" w:hAnsi="Palatino Linotype" w:cs="Arial"/>
        </w:rPr>
        <w:t>constituye</w:t>
      </w:r>
      <w:r w:rsidRPr="004D3F59">
        <w:rPr>
          <w:rFonts w:ascii="Palatino Linotype" w:hAnsi="Palatino Linotype" w:cs="Arial"/>
        </w:rPr>
        <w:t xml:space="preserve"> un acto que vulnera el derecho de manera continua y actualizable cada día en tanto, no se emita la respuesta a la que esté impuesto el </w:t>
      </w:r>
      <w:r w:rsidRPr="004D3F59">
        <w:rPr>
          <w:rFonts w:ascii="Palatino Linotype" w:hAnsi="Palatino Linotype" w:cs="Arial"/>
          <w:b/>
        </w:rPr>
        <w:t>SUJETO OBLIGADO</w:t>
      </w:r>
      <w:r w:rsidRPr="004D3F59">
        <w:rPr>
          <w:rFonts w:ascii="Palatino Linotype" w:hAnsi="Palatino Linotype" w:cs="Arial"/>
        </w:rPr>
        <w:t>.</w:t>
      </w:r>
    </w:p>
    <w:p w14:paraId="0552BE4B" w14:textId="77777777" w:rsidR="009A2804" w:rsidRPr="004D3F59" w:rsidRDefault="009A2804" w:rsidP="003D34CF">
      <w:pPr>
        <w:spacing w:line="360" w:lineRule="auto"/>
        <w:contextualSpacing/>
        <w:rPr>
          <w:rFonts w:ascii="Palatino Linotype" w:hAnsi="Palatino Linotype" w:cs="Arial"/>
          <w:lang w:val="es-ES"/>
        </w:rPr>
      </w:pPr>
    </w:p>
    <w:p w14:paraId="525AEE41"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cs="Arial"/>
          <w:b/>
          <w:lang w:val="es-ES_tradnl"/>
        </w:rPr>
      </w:pPr>
      <w:r w:rsidRPr="004D3F59">
        <w:rPr>
          <w:rFonts w:ascii="Palatino Linotype" w:eastAsia="Calibri" w:hAnsi="Palatino Linotype" w:cs="Arial"/>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0573177F" w14:textId="77777777" w:rsidR="00A83BD3" w:rsidRPr="004D3F59"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2B591B7C" w14:textId="77777777" w:rsidR="00A83BD3" w:rsidRPr="004D3F59"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 xml:space="preserve">TERCERO. Planteamiento de la </w:t>
      </w:r>
      <w:r w:rsidRPr="004D3F59">
        <w:rPr>
          <w:rFonts w:ascii="Palatino Linotype" w:eastAsia="Palatino Linotype" w:hAnsi="Palatino Linotype" w:cs="Palatino Linotype"/>
          <w:b/>
          <w:i/>
          <w:color w:val="000000"/>
        </w:rPr>
        <w:t>Litis</w:t>
      </w:r>
    </w:p>
    <w:p w14:paraId="14802E4E"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lastRenderedPageBreak/>
        <w:t xml:space="preserve">El recurrente </w:t>
      </w:r>
      <w:r w:rsidRPr="004D3F59">
        <w:rPr>
          <w:rFonts w:ascii="Palatino Linotype" w:eastAsia="Calibri" w:hAnsi="Palatino Linotype" w:cs="Arial"/>
          <w:lang w:val="es-ES_tradnl"/>
        </w:rPr>
        <w:t>solicitó</w:t>
      </w:r>
      <w:r w:rsidRPr="004D3F59">
        <w:rPr>
          <w:rFonts w:ascii="Palatino Linotype" w:eastAsia="Palatino Linotype" w:hAnsi="Palatino Linotype" w:cs="Palatino Linotype"/>
          <w:color w:val="000000"/>
        </w:rPr>
        <w:t xml:space="preserve"> la siguiente información:</w:t>
      </w:r>
    </w:p>
    <w:p w14:paraId="147D1A0A" w14:textId="77777777" w:rsidR="009A2804" w:rsidRPr="004D3F59" w:rsidRDefault="009A2804" w:rsidP="003D34CF">
      <w:pPr>
        <w:numPr>
          <w:ilvl w:val="0"/>
          <w:numId w:val="5"/>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Número de procedimientos de investigación iniciados por la Contraloría Interna en contra de servidores públicos de enero de 2022 a marzo de 2024, así como  cuantos son hombres y cuantos mujeres; rango de edad; nombre del servidor público investigado, estatus del procedimiento; y</w:t>
      </w:r>
    </w:p>
    <w:p w14:paraId="1E5CB1D9" w14:textId="77777777" w:rsidR="00A83BD3" w:rsidRPr="004D3F59" w:rsidRDefault="009A2804" w:rsidP="003D34CF">
      <w:pPr>
        <w:numPr>
          <w:ilvl w:val="0"/>
          <w:numId w:val="5"/>
        </w:num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De ser el caso la sanción establecida.</w:t>
      </w:r>
    </w:p>
    <w:p w14:paraId="651F9EDB"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091E2D46" w14:textId="77777777" w:rsidR="009A2804"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i/>
          <w:lang w:val="es-ES_tradnl"/>
        </w:rPr>
      </w:pPr>
      <w:r w:rsidRPr="004D3F59">
        <w:rPr>
          <w:rFonts w:ascii="Palatino Linotype" w:eastAsiaTheme="minorEastAsia" w:hAnsi="Palatino Linotype"/>
          <w:lang w:val="es-ES_tradnl"/>
        </w:rPr>
        <w:t xml:space="preserve">Derivado </w:t>
      </w:r>
      <w:r w:rsidRPr="004D3F59">
        <w:rPr>
          <w:rFonts w:ascii="Palatino Linotype" w:eastAsiaTheme="minorEastAsia" w:hAnsi="Palatino Linotype" w:cs="Arial"/>
          <w:lang w:val="es-ES_tradnl"/>
        </w:rPr>
        <w:t xml:space="preserve">de la falta de respuesta por parte del </w:t>
      </w:r>
      <w:r w:rsidRPr="004D3F59">
        <w:rPr>
          <w:rFonts w:ascii="Palatino Linotype" w:eastAsiaTheme="minorEastAsia" w:hAnsi="Palatino Linotype" w:cs="Arial"/>
          <w:b/>
          <w:lang w:val="es-ES_tradnl"/>
        </w:rPr>
        <w:t>SUJETO OBLIGADO</w:t>
      </w:r>
      <w:r w:rsidRPr="004D3F59">
        <w:rPr>
          <w:rFonts w:ascii="Palatino Linotype" w:eastAsiaTheme="minorEastAsia" w:hAnsi="Palatino Linotype" w:cs="Arial"/>
          <w:lang w:val="es-ES_tradnl"/>
        </w:rPr>
        <w:t>, el particular interpuso el Recurso de Revisión</w:t>
      </w:r>
      <w:r w:rsidRPr="004D3F59">
        <w:rPr>
          <w:rFonts w:ascii="Palatino Linotype" w:hAnsi="Palatino Linotype"/>
        </w:rPr>
        <w:t>, ante este Órgano Garante para hacer valer su derecho de acceso a la información pública.</w:t>
      </w:r>
    </w:p>
    <w:p w14:paraId="65BB979E" w14:textId="77777777" w:rsidR="009A2804" w:rsidRPr="004D3F59" w:rsidRDefault="009A2804" w:rsidP="003D34CF">
      <w:pPr>
        <w:tabs>
          <w:tab w:val="left" w:pos="284"/>
        </w:tabs>
        <w:spacing w:line="360" w:lineRule="auto"/>
        <w:contextualSpacing/>
        <w:jc w:val="both"/>
        <w:rPr>
          <w:rFonts w:ascii="Palatino Linotype" w:eastAsiaTheme="minorEastAsia" w:hAnsi="Palatino Linotype"/>
          <w:i/>
          <w:lang w:val="es-ES_tradnl" w:eastAsia="es-ES"/>
        </w:rPr>
      </w:pPr>
    </w:p>
    <w:p w14:paraId="68B46349" w14:textId="77777777" w:rsidR="00A83BD3" w:rsidRPr="004D3F59" w:rsidRDefault="009A2804" w:rsidP="003D34CF">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Arial"/>
        </w:rPr>
      </w:pPr>
      <w:r w:rsidRPr="004D3F59">
        <w:rPr>
          <w:rFonts w:ascii="Palatino Linotype" w:eastAsia="MS Mincho" w:hAnsi="Palatino Linotype" w:cs="Arial"/>
        </w:rPr>
        <w:t xml:space="preserve">En </w:t>
      </w:r>
      <w:r w:rsidRPr="004D3F59">
        <w:rPr>
          <w:rFonts w:ascii="Palatino Linotype" w:hAnsi="Palatino Linotype" w:cs="Arial"/>
        </w:rPr>
        <w:t xml:space="preserve">dichas condiciones, la </w:t>
      </w:r>
      <w:r w:rsidRPr="004D3F59">
        <w:rPr>
          <w:rFonts w:ascii="Palatino Linotype" w:hAnsi="Palatino Linotype" w:cs="Arial"/>
          <w:i/>
        </w:rPr>
        <w:t>Litis</w:t>
      </w:r>
      <w:r w:rsidRPr="004D3F59">
        <w:rPr>
          <w:rFonts w:ascii="Palatino Linotype" w:hAnsi="Palatino Linotype" w:cs="Arial"/>
        </w:rPr>
        <w:t xml:space="preserve"> a resolver en el presente recurso de revisión se circunscribe a determinar si </w:t>
      </w:r>
      <w:r w:rsidRPr="004D3F59">
        <w:rPr>
          <w:rFonts w:ascii="Palatino Linotype" w:eastAsia="MS Mincho" w:hAnsi="Palatino Linotype" w:cs="Arial"/>
        </w:rPr>
        <w:t xml:space="preserve">se actualizan la causal de procedencia prevista en el artículo 179, fracción </w:t>
      </w:r>
      <w:r w:rsidRPr="004D3F59">
        <w:rPr>
          <w:rFonts w:ascii="Palatino Linotype" w:eastAsia="MS Mincho" w:hAnsi="Palatino Linotype" w:cs="Arial"/>
          <w:b/>
        </w:rPr>
        <w:t>VII</w:t>
      </w:r>
      <w:r w:rsidRPr="004D3F59">
        <w:rPr>
          <w:rFonts w:ascii="Palatino Linotype" w:eastAsia="MS Mincho" w:hAnsi="Palatino Linotype" w:cs="Arial"/>
        </w:rPr>
        <w:t xml:space="preserve"> de la </w:t>
      </w:r>
      <w:r w:rsidRPr="004D3F59">
        <w:rPr>
          <w:rFonts w:ascii="Palatino Linotype" w:eastAsia="MS Mincho" w:hAnsi="Palatino Linotype" w:cs="Arial"/>
          <w:b/>
        </w:rPr>
        <w:t xml:space="preserve">Ley de Transparencia y Acceso a la </w:t>
      </w:r>
      <w:r w:rsidRPr="004D3F59">
        <w:rPr>
          <w:rFonts w:ascii="Palatino Linotype" w:eastAsiaTheme="minorEastAsia" w:hAnsi="Palatino Linotype"/>
          <w:lang w:val="es-ES_tradnl"/>
        </w:rPr>
        <w:t>Información</w:t>
      </w:r>
      <w:r w:rsidRPr="004D3F59">
        <w:rPr>
          <w:rFonts w:ascii="Palatino Linotype" w:eastAsia="MS Mincho" w:hAnsi="Palatino Linotype" w:cs="Arial"/>
          <w:b/>
        </w:rPr>
        <w:t xml:space="preserve"> Pública del Estado de México y Municipios</w:t>
      </w:r>
      <w:r w:rsidRPr="004D3F59">
        <w:rPr>
          <w:rFonts w:ascii="Palatino Linotype" w:eastAsia="MS Mincho" w:hAnsi="Palatino Linotype" w:cs="Arial"/>
        </w:rPr>
        <w:t xml:space="preserve">; </w:t>
      </w:r>
      <w:r w:rsidRPr="004D3F59">
        <w:rPr>
          <w:rFonts w:ascii="Palatino Linotype" w:hAnsi="Palatino Linotype" w:cs="Arial"/>
          <w:color w:val="000000" w:themeColor="text1"/>
        </w:rPr>
        <w:t xml:space="preserve">fracción que determina la hipótesis jurídica relativa a la falta de respuesta a una solicitud de acceso a la información; </w:t>
      </w:r>
      <w:r w:rsidRPr="004D3F59">
        <w:rPr>
          <w:rFonts w:ascii="Palatino Linotype" w:eastAsia="MS Mincho" w:hAnsi="Palatino Linotype" w:cs="Arial"/>
        </w:rPr>
        <w:t xml:space="preserve">contexto del cual se dolió el </w:t>
      </w:r>
      <w:r w:rsidRPr="004D3F59">
        <w:rPr>
          <w:rFonts w:ascii="Palatino Linotype" w:eastAsia="MS Mincho" w:hAnsi="Palatino Linotype" w:cs="Arial"/>
          <w:b/>
        </w:rPr>
        <w:t>RECURRENTE</w:t>
      </w:r>
      <w:r w:rsidRPr="004D3F59">
        <w:rPr>
          <w:rFonts w:ascii="Palatino Linotype" w:eastAsia="MS Mincho" w:hAnsi="Palatino Linotype" w:cs="Arial"/>
        </w:rPr>
        <w:t xml:space="preserve"> al momento de interponer su recurso de revisión</w:t>
      </w:r>
      <w:r w:rsidRPr="004D3F59">
        <w:rPr>
          <w:rFonts w:ascii="Palatino Linotype" w:hAnsi="Palatino Linotype" w:cs="Arial"/>
          <w:color w:val="000000" w:themeColor="text1"/>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B51CE05" w14:textId="77777777" w:rsidR="00A83BD3" w:rsidRPr="004D3F59" w:rsidRDefault="00A83BD3" w:rsidP="003D34CF">
      <w:pPr>
        <w:pBdr>
          <w:top w:val="nil"/>
          <w:left w:val="nil"/>
          <w:bottom w:val="nil"/>
          <w:right w:val="nil"/>
          <w:between w:val="nil"/>
        </w:pBdr>
        <w:spacing w:line="360" w:lineRule="auto"/>
        <w:ind w:left="720" w:right="49"/>
        <w:rPr>
          <w:rFonts w:ascii="Palatino Linotype" w:eastAsia="Palatino Linotype" w:hAnsi="Palatino Linotype" w:cs="Palatino Linotype"/>
          <w:color w:val="000000"/>
        </w:rPr>
      </w:pPr>
    </w:p>
    <w:p w14:paraId="3C59823D" w14:textId="77777777" w:rsidR="00A83BD3" w:rsidRPr="004D3F59"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CUARTO. Estudio y Resolución del asunto.</w:t>
      </w:r>
    </w:p>
    <w:p w14:paraId="50E631B4" w14:textId="77777777" w:rsidR="005502C2" w:rsidRPr="004D3F59" w:rsidRDefault="005502C2"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A0DB489" w14:textId="77777777" w:rsidR="00204812" w:rsidRPr="004D3F59" w:rsidRDefault="00204812" w:rsidP="003D34CF">
      <w:pPr>
        <w:keepNext/>
        <w:keepLines/>
        <w:numPr>
          <w:ilvl w:val="1"/>
          <w:numId w:val="18"/>
        </w:numPr>
        <w:spacing w:line="360" w:lineRule="auto"/>
        <w:ind w:left="851"/>
        <w:contextualSpacing/>
        <w:jc w:val="both"/>
        <w:outlineLvl w:val="1"/>
        <w:rPr>
          <w:rFonts w:ascii="Palatino Linotype" w:eastAsia="MS Gothic" w:hAnsi="Palatino Linotype"/>
          <w:b/>
          <w:lang w:val="es-ES_tradnl" w:eastAsia="es-ES"/>
        </w:rPr>
      </w:pPr>
      <w:bookmarkStart w:id="0" w:name="_Toc70428585"/>
      <w:bookmarkStart w:id="1" w:name="_Toc71234380"/>
      <w:bookmarkStart w:id="2" w:name="_Toc83901398"/>
      <w:r w:rsidRPr="004D3F59">
        <w:rPr>
          <w:rFonts w:ascii="Palatino Linotype" w:eastAsia="MS Gothic" w:hAnsi="Palatino Linotype"/>
          <w:b/>
          <w:lang w:val="es-ES_tradnl" w:eastAsia="es-ES"/>
        </w:rPr>
        <w:t>Del deber de las autoridades de promover, respetar, proteger y garantizar el derecho de acceso a la información pública.</w:t>
      </w:r>
      <w:bookmarkEnd w:id="0"/>
      <w:bookmarkEnd w:id="1"/>
      <w:bookmarkEnd w:id="2"/>
      <w:r w:rsidRPr="004D3F59">
        <w:rPr>
          <w:rFonts w:ascii="Palatino Linotype" w:eastAsia="MS Gothic" w:hAnsi="Palatino Linotype"/>
          <w:b/>
          <w:lang w:val="es-ES_tradnl" w:eastAsia="es-ES"/>
        </w:rPr>
        <w:t xml:space="preserve"> </w:t>
      </w:r>
    </w:p>
    <w:p w14:paraId="6AD3C60E"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cs="Arial"/>
        </w:rPr>
      </w:pPr>
      <w:r w:rsidRPr="004D3F59">
        <w:rPr>
          <w:rFonts w:ascii="Palatino Linotype" w:hAnsi="Palatino Linotype"/>
        </w:rPr>
        <w:t xml:space="preserve">Con </w:t>
      </w:r>
      <w:r w:rsidRPr="004D3F59">
        <w:rPr>
          <w:rFonts w:ascii="Palatino Linotype" w:eastAsia="MS Mincho" w:hAnsi="Palatino Linotype" w:cs="Arial"/>
        </w:rPr>
        <w:t>fundamento</w:t>
      </w:r>
      <w:r w:rsidRPr="004D3F59">
        <w:rPr>
          <w:rFonts w:ascii="Palatino Linotype" w:hAnsi="Palatino Linotype"/>
        </w:rPr>
        <w:t xml:space="preserve"> en el artículo 150 de la Ley de Transparencia y Acceso a la Información Pública del Estado de México y Municipios, la solicitud de información es la garantía primaria del Derecho de Acceso a la información Pública, además, establece que se regirá </w:t>
      </w:r>
      <w:r w:rsidRPr="004D3F59">
        <w:rPr>
          <w:rFonts w:ascii="Palatino Linotype" w:hAnsi="Palatino Linotype" w:cs="Arial"/>
        </w:rPr>
        <w:t>por los principios de simplicidad, rapidez gratuidad del procedimiento, auxilio y orientación a los particulares, contemplando el derecho de las personas con discapacidad y hablantes de lengua indígena.</w:t>
      </w:r>
    </w:p>
    <w:p w14:paraId="59620291"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b/>
        </w:rPr>
      </w:pPr>
      <w:r w:rsidRPr="004D3F59">
        <w:rPr>
          <w:rFonts w:ascii="Palatino Linotype" w:hAnsi="Palatino Linotype"/>
        </w:rPr>
        <w:t>Hay que mencionar además que el artículo 21 de la Ley de Transparencia del Estado de México establece que todo procedimiento en materia de derecho de acceso a la información deberá sustanciarse de manera sencilla y expedita, de conformidad con las bases de esta Ley, asimismo, el artículo 173 de la ley referida establece que uno de los principios del procedimiento de acceso a la información se rige por la simplicidad y la rapidez.</w:t>
      </w:r>
    </w:p>
    <w:p w14:paraId="20095BB4" w14:textId="77777777" w:rsidR="00204812" w:rsidRPr="004D3F59" w:rsidRDefault="00204812" w:rsidP="003D34CF">
      <w:pPr>
        <w:pStyle w:val="Prrafodelista"/>
        <w:spacing w:line="360" w:lineRule="auto"/>
        <w:rPr>
          <w:rFonts w:ascii="Palatino Linotype" w:hAnsi="Palatino Linotype"/>
          <w:b/>
        </w:rPr>
      </w:pPr>
    </w:p>
    <w:p w14:paraId="220FD8DE"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4D3F59">
        <w:rPr>
          <w:rFonts w:ascii="Palatino Linotype" w:hAnsi="Palatino Linotype"/>
        </w:rPr>
        <w:t>Ahora bien, de acuerdo al artículo 163 y 166 de la Ley de Transparencia del Estado de México, la respuesta a la solicitud de información se deberá notificar al interesado en el menor tiempo posible y solo se tiene por cumplida cuando el solicitante tenga a su disposición la información requerida:</w:t>
      </w:r>
    </w:p>
    <w:p w14:paraId="54FF7345" w14:textId="77777777" w:rsidR="00204812" w:rsidRPr="004D3F59" w:rsidRDefault="00204812" w:rsidP="003D34CF">
      <w:pPr>
        <w:pStyle w:val="Prrafodelista"/>
        <w:spacing w:line="360" w:lineRule="auto"/>
        <w:rPr>
          <w:rFonts w:ascii="Palatino Linotype" w:hAnsi="Palatino Linotype"/>
        </w:rPr>
      </w:pPr>
    </w:p>
    <w:p w14:paraId="66F607DD" w14:textId="77777777" w:rsidR="00204812" w:rsidRPr="004D3F59" w:rsidRDefault="00204812" w:rsidP="003D34CF">
      <w:pPr>
        <w:pStyle w:val="Prrafodelista"/>
        <w:spacing w:line="360" w:lineRule="auto"/>
        <w:ind w:left="567" w:right="567"/>
        <w:jc w:val="both"/>
        <w:rPr>
          <w:rFonts w:ascii="Palatino Linotype" w:hAnsi="Palatino Linotype"/>
          <w:b/>
          <w:i/>
        </w:rPr>
      </w:pPr>
      <w:r w:rsidRPr="004D3F59">
        <w:rPr>
          <w:rFonts w:ascii="Palatino Linotype" w:hAnsi="Palatino Linotype"/>
          <w:i/>
        </w:rPr>
        <w:lastRenderedPageBreak/>
        <w:t>“</w:t>
      </w:r>
      <w:r w:rsidRPr="004D3F59">
        <w:rPr>
          <w:rFonts w:ascii="Palatino Linotype" w:hAnsi="Palatino Linotype"/>
          <w:b/>
          <w:i/>
        </w:rPr>
        <w:t>Artículo 163.</w:t>
      </w:r>
      <w:r w:rsidRPr="004D3F59">
        <w:rPr>
          <w:rFonts w:ascii="Palatino Linotype" w:hAnsi="Palatino Linotype"/>
          <w:i/>
        </w:rPr>
        <w:t xml:space="preserve"> La Unidad de Transparencia deberá notificar la respuesta a la solicitud al interesado en el menor tiempo posible, que no podrá exceder de quince días hábiles, contados a partir del día siguiente a la presentación de aquélla. </w:t>
      </w:r>
    </w:p>
    <w:p w14:paraId="07989569" w14:textId="77777777" w:rsidR="00204812" w:rsidRPr="004D3F59" w:rsidRDefault="00204812" w:rsidP="003D34CF">
      <w:pPr>
        <w:pStyle w:val="Prrafodelista"/>
        <w:spacing w:line="360" w:lineRule="auto"/>
        <w:ind w:left="851" w:right="567"/>
        <w:jc w:val="both"/>
        <w:rPr>
          <w:rFonts w:ascii="Palatino Linotype" w:hAnsi="Palatino Linotype"/>
          <w:i/>
        </w:rPr>
      </w:pPr>
      <w:r w:rsidRPr="004D3F59">
        <w:rPr>
          <w:rFonts w:ascii="Palatino Linotype" w:hAnsi="Palatino Linotype"/>
          <w:i/>
        </w:rPr>
        <w:t>(…)”</w:t>
      </w:r>
    </w:p>
    <w:p w14:paraId="03A894BF" w14:textId="77777777" w:rsidR="00204812" w:rsidRPr="004D3F59" w:rsidRDefault="00204812" w:rsidP="003D34CF">
      <w:pPr>
        <w:pStyle w:val="Prrafodelista"/>
        <w:spacing w:line="360" w:lineRule="auto"/>
        <w:ind w:left="851" w:right="567"/>
        <w:jc w:val="both"/>
        <w:rPr>
          <w:rFonts w:ascii="Palatino Linotype" w:hAnsi="Palatino Linotype"/>
          <w:b/>
          <w:i/>
        </w:rPr>
      </w:pPr>
    </w:p>
    <w:p w14:paraId="755F0E51" w14:textId="77777777" w:rsidR="00204812" w:rsidRPr="004D3F59" w:rsidRDefault="00204812" w:rsidP="003D34CF">
      <w:pPr>
        <w:pStyle w:val="Prrafodelista"/>
        <w:spacing w:line="360" w:lineRule="auto"/>
        <w:ind w:left="567" w:right="567"/>
        <w:jc w:val="both"/>
        <w:rPr>
          <w:rFonts w:ascii="Palatino Linotype" w:hAnsi="Palatino Linotype"/>
          <w:i/>
        </w:rPr>
      </w:pPr>
      <w:r w:rsidRPr="004D3F59">
        <w:rPr>
          <w:rFonts w:ascii="Palatino Linotype" w:hAnsi="Palatino Linotype"/>
          <w:i/>
        </w:rPr>
        <w:t>“</w:t>
      </w:r>
      <w:r w:rsidRPr="004D3F59">
        <w:rPr>
          <w:rFonts w:ascii="Palatino Linotype" w:hAnsi="Palatino Linotype"/>
          <w:b/>
          <w:i/>
        </w:rPr>
        <w:t>Artículo 166.</w:t>
      </w:r>
      <w:r w:rsidRPr="004D3F59">
        <w:rPr>
          <w:rFonts w:ascii="Palatino Linotype" w:hAnsi="Palatino Linotype"/>
          <w:i/>
        </w:rPr>
        <w:t xml:space="preserve"> La obligación de acceso a la información pública se tendrá por cumplida cuando el solicitante tenga a su disposición la información requerida, o cuando realice la consulta de la misma en el lugar en el que ésta se localice.”</w:t>
      </w:r>
    </w:p>
    <w:p w14:paraId="5AB53CB3" w14:textId="77777777" w:rsidR="00204812" w:rsidRPr="004D3F59" w:rsidRDefault="00204812" w:rsidP="003D34CF">
      <w:pPr>
        <w:pStyle w:val="Prrafodelista"/>
        <w:spacing w:line="360" w:lineRule="auto"/>
        <w:ind w:left="851" w:right="567"/>
        <w:jc w:val="both"/>
        <w:rPr>
          <w:rFonts w:ascii="Palatino Linotype" w:hAnsi="Palatino Linotype"/>
          <w:i/>
        </w:rPr>
      </w:pPr>
    </w:p>
    <w:p w14:paraId="75E681DB"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eastAsiaTheme="minorEastAsia" w:hAnsi="Palatino Linotype" w:cs="Arial"/>
          <w:lang w:val="es-ES_tradnl"/>
        </w:rPr>
      </w:pPr>
      <w:r w:rsidRPr="004D3F59">
        <w:rPr>
          <w:rFonts w:ascii="Palatino Linotype" w:eastAsiaTheme="minorEastAsia" w:hAnsi="Palatino Linotype" w:cs="Arial"/>
          <w:lang w:val="es-ES_tradnl"/>
        </w:rPr>
        <w:t xml:space="preserve">En este caso, la solicitud de información que formuló la particular como parte de su </w:t>
      </w:r>
      <w:r w:rsidRPr="004D3F59">
        <w:rPr>
          <w:rFonts w:ascii="Palatino Linotype" w:hAnsi="Palatino Linotype"/>
        </w:rPr>
        <w:t>derecho</w:t>
      </w:r>
      <w:r w:rsidRPr="004D3F59">
        <w:rPr>
          <w:rFonts w:ascii="Palatino Linotype" w:eastAsiaTheme="minorEastAsia" w:hAnsi="Palatino Linotype" w:cs="Arial"/>
          <w:lang w:val="es-ES_tradnl"/>
        </w:rPr>
        <w:t xml:space="preserve"> de acceso a la información pública, no fue atendida, dado que el </w:t>
      </w:r>
      <w:r w:rsidRPr="004D3F59">
        <w:rPr>
          <w:rFonts w:ascii="Palatino Linotype" w:eastAsiaTheme="minorEastAsia" w:hAnsi="Palatino Linotype" w:cs="Arial"/>
          <w:b/>
          <w:lang w:val="es-ES_tradnl"/>
        </w:rPr>
        <w:t>SUJETO OBLIGADO</w:t>
      </w:r>
      <w:r w:rsidRPr="004D3F59">
        <w:rPr>
          <w:rFonts w:ascii="Palatino Linotype" w:eastAsiaTheme="minorEastAsia" w:hAnsi="Palatino Linotype" w:cs="Arial"/>
          <w:lang w:val="es-ES_tradnl"/>
        </w:rPr>
        <w:t xml:space="preserve"> fue omiso en emitir una respuesta.</w:t>
      </w:r>
    </w:p>
    <w:p w14:paraId="27109ECE" w14:textId="77777777" w:rsidR="00204812" w:rsidRPr="004D3F59" w:rsidRDefault="00204812" w:rsidP="003D34CF">
      <w:pPr>
        <w:spacing w:line="360" w:lineRule="auto"/>
        <w:contextualSpacing/>
        <w:jc w:val="both"/>
        <w:rPr>
          <w:rFonts w:ascii="Palatino Linotype" w:eastAsiaTheme="minorEastAsia" w:hAnsi="Palatino Linotype" w:cs="Arial"/>
          <w:lang w:val="es-ES_tradnl" w:eastAsia="es-ES"/>
        </w:rPr>
      </w:pPr>
    </w:p>
    <w:p w14:paraId="43A8FC35"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Theme="minorEastAsia" w:hAnsi="Palatino Linotype" w:cs="Arial"/>
          <w:lang w:val="es-ES_tradnl"/>
        </w:rPr>
        <w:t xml:space="preserve">Por tanto, en cumplimiento a las obligaciones que la Constitución Federal , la Constitución Estatal y la Ley de la materia el </w:t>
      </w:r>
      <w:r w:rsidRPr="004D3F59">
        <w:rPr>
          <w:rFonts w:ascii="Palatino Linotype" w:eastAsiaTheme="minorEastAsia" w:hAnsi="Palatino Linotype" w:cs="Arial"/>
          <w:b/>
          <w:lang w:val="es-ES_tradnl"/>
        </w:rPr>
        <w:t>SUJETO OBLIGADO</w:t>
      </w:r>
      <w:r w:rsidRPr="004D3F59">
        <w:rPr>
          <w:rFonts w:ascii="Palatino Linotype" w:eastAsiaTheme="minorEastAsia" w:hAnsi="Palatino Linotype" w:cs="Arial"/>
          <w:lang w:val="es-ES_tradnl"/>
        </w:rPr>
        <w:t xml:space="preserve"> está constreñido a dar atención a las solicitudes de información que a través del </w:t>
      </w:r>
      <w:r w:rsidRPr="004D3F59">
        <w:rPr>
          <w:rFonts w:ascii="Palatino Linotype" w:eastAsiaTheme="minorEastAsia" w:hAnsi="Palatino Linotype" w:cs="Arial"/>
          <w:b/>
          <w:lang w:val="es-ES_tradnl"/>
        </w:rPr>
        <w:t>SAIMEX</w:t>
      </w:r>
      <w:r w:rsidRPr="004D3F59">
        <w:rPr>
          <w:rFonts w:ascii="Palatino Linotype" w:eastAsiaTheme="minorEastAsia" w:hAnsi="Palatino Linotype" w:cs="Arial"/>
          <w:lang w:val="es-ES_tradnl"/>
        </w:rPr>
        <w:t xml:space="preserve"> o de vía directa que le sean presentadas en ejercicio del derecho humano de acceso a la información pública, lo cual, en el caso no aconteció, pues tal y como se ha acreditado de la revisión del expediente electrónico formado en el </w:t>
      </w:r>
      <w:r w:rsidRPr="004D3F59">
        <w:rPr>
          <w:rFonts w:ascii="Palatino Linotype" w:eastAsiaTheme="minorEastAsia" w:hAnsi="Palatino Linotype" w:cs="Arial"/>
          <w:b/>
          <w:lang w:val="es-ES_tradnl"/>
        </w:rPr>
        <w:t>SAIME</w:t>
      </w:r>
      <w:r w:rsidRPr="004D3F59">
        <w:rPr>
          <w:rFonts w:ascii="Palatino Linotype" w:eastAsiaTheme="minorEastAsia" w:hAnsi="Palatino Linotype" w:cs="Arial"/>
          <w:lang w:val="es-ES_tradnl"/>
        </w:rPr>
        <w:t xml:space="preserve">X, el </w:t>
      </w:r>
      <w:r w:rsidRPr="004D3F59">
        <w:rPr>
          <w:rFonts w:ascii="Palatino Linotype" w:eastAsiaTheme="minorEastAsia" w:hAnsi="Palatino Linotype" w:cs="Arial"/>
          <w:b/>
          <w:lang w:val="es-ES_tradnl"/>
        </w:rPr>
        <w:t>SUJETO OBLIGADO</w:t>
      </w:r>
      <w:r w:rsidRPr="004D3F59">
        <w:rPr>
          <w:rFonts w:ascii="Palatino Linotype" w:eastAsiaTheme="minorEastAsia" w:hAnsi="Palatino Linotype" w:cs="Arial"/>
          <w:lang w:val="es-ES_tradnl"/>
        </w:rPr>
        <w:t xml:space="preserve"> fue omiso en dar respuesta a las solicitudes.</w:t>
      </w:r>
    </w:p>
    <w:p w14:paraId="44E06002" w14:textId="77777777" w:rsidR="00204812" w:rsidRPr="004D3F59" w:rsidRDefault="00204812"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6ED01600" w14:textId="77777777" w:rsidR="00204812" w:rsidRPr="004D3F59" w:rsidRDefault="00204812"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Empero; en un hecho posterior a la interposición del Recurso de Revisión como lo es en la etapa de manifestaciones, el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w:t>
      </w:r>
      <w:r w:rsidR="00541642" w:rsidRPr="004D3F59">
        <w:rPr>
          <w:rFonts w:ascii="Palatino Linotype" w:eastAsia="Palatino Linotype" w:hAnsi="Palatino Linotype" w:cs="Palatino Linotype"/>
          <w:color w:val="000000"/>
        </w:rPr>
        <w:t xml:space="preserve">modificó su </w:t>
      </w:r>
      <w:r w:rsidR="00541642" w:rsidRPr="004D3F59">
        <w:rPr>
          <w:rFonts w:ascii="Palatino Linotype" w:eastAsia="Palatino Linotype" w:hAnsi="Palatino Linotype" w:cs="Palatino Linotype"/>
          <w:color w:val="000000"/>
        </w:rPr>
        <w:lastRenderedPageBreak/>
        <w:t>falta de respuesta</w:t>
      </w:r>
      <w:r w:rsidR="00204467" w:rsidRPr="004D3F59">
        <w:rPr>
          <w:rFonts w:ascii="Palatino Linotype" w:eastAsia="Palatino Linotype" w:hAnsi="Palatino Linotype" w:cs="Palatino Linotype"/>
          <w:color w:val="000000"/>
        </w:rPr>
        <w:t xml:space="preserve"> remitiendo un oficio suscrito por el Contralor Interno Municipal a través del cual informa del número de procedimientos iniciados</w:t>
      </w:r>
      <w:r w:rsidR="00B82603" w:rsidRPr="004D3F59">
        <w:rPr>
          <w:rFonts w:ascii="Palatino Linotype" w:eastAsia="Palatino Linotype" w:hAnsi="Palatino Linotype" w:cs="Palatino Linotype"/>
          <w:color w:val="000000"/>
        </w:rPr>
        <w:t>, a saber:</w:t>
      </w:r>
    </w:p>
    <w:p w14:paraId="3FE8DFB5" w14:textId="77777777" w:rsidR="00204467" w:rsidRPr="004D3F59" w:rsidRDefault="00204467" w:rsidP="003D34CF">
      <w:pPr>
        <w:pStyle w:val="Prrafodelista"/>
        <w:spacing w:line="360" w:lineRule="auto"/>
        <w:rPr>
          <w:rFonts w:ascii="Palatino Linotype" w:eastAsia="Palatino Linotype" w:hAnsi="Palatino Linotype" w:cs="Palatino Linotype"/>
          <w:color w:val="000000"/>
        </w:rPr>
      </w:pPr>
    </w:p>
    <w:p w14:paraId="63DAF732" w14:textId="77777777" w:rsidR="00204467" w:rsidRPr="004D3F59" w:rsidRDefault="00204467" w:rsidP="003D34CF">
      <w:pPr>
        <w:pBdr>
          <w:top w:val="nil"/>
          <w:left w:val="nil"/>
          <w:bottom w:val="nil"/>
          <w:right w:val="nil"/>
          <w:between w:val="nil"/>
        </w:pBdr>
        <w:spacing w:line="360" w:lineRule="auto"/>
        <w:ind w:right="49"/>
        <w:jc w:val="center"/>
        <w:rPr>
          <w:rFonts w:ascii="Palatino Linotype" w:eastAsia="Palatino Linotype" w:hAnsi="Palatino Linotype" w:cs="Palatino Linotype"/>
          <w:color w:val="000000"/>
        </w:rPr>
      </w:pPr>
      <w:r w:rsidRPr="004D3F59">
        <w:rPr>
          <w:rFonts w:ascii="Palatino Linotype" w:eastAsia="Palatino Linotype" w:hAnsi="Palatino Linotype" w:cs="Palatino Linotype"/>
          <w:noProof/>
          <w:color w:val="000000"/>
        </w:rPr>
        <w:drawing>
          <wp:inline distT="0" distB="0" distL="0" distR="0" wp14:anchorId="73AFF8D8" wp14:editId="40EA7326">
            <wp:extent cx="4122053" cy="5225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8958" cy="534798"/>
                    </a:xfrm>
                    <a:prstGeom prst="rect">
                      <a:avLst/>
                    </a:prstGeom>
                  </pic:spPr>
                </pic:pic>
              </a:graphicData>
            </a:graphic>
          </wp:inline>
        </w:drawing>
      </w:r>
    </w:p>
    <w:p w14:paraId="624A2E33" w14:textId="77777777" w:rsidR="00204812" w:rsidRPr="004D3F59" w:rsidRDefault="00204812" w:rsidP="003D34CF">
      <w:pPr>
        <w:pStyle w:val="Prrafodelista"/>
        <w:spacing w:line="360" w:lineRule="auto"/>
        <w:rPr>
          <w:rFonts w:ascii="Palatino Linotype" w:eastAsia="Palatino Linotype" w:hAnsi="Palatino Linotype" w:cs="Palatino Linotype"/>
          <w:color w:val="000000"/>
        </w:rPr>
      </w:pPr>
    </w:p>
    <w:p w14:paraId="52DB5017" w14:textId="77777777" w:rsidR="00B41500" w:rsidRPr="004D3F59" w:rsidRDefault="00204467" w:rsidP="003D34CF">
      <w:pPr>
        <w:numPr>
          <w:ilvl w:val="0"/>
          <w:numId w:val="22"/>
        </w:numPr>
        <w:spacing w:line="360" w:lineRule="auto"/>
        <w:ind w:right="49"/>
        <w:contextualSpacing/>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color w:val="000000"/>
        </w:rPr>
        <w:t xml:space="preserve">Luego entonces, se advierte que ha quedado colmado el punto de referencia por abarcar los extremos temporales establecidos por el </w:t>
      </w:r>
      <w:r w:rsidRPr="004D3F59">
        <w:rPr>
          <w:rFonts w:ascii="Palatino Linotype" w:eastAsia="Palatino Linotype" w:hAnsi="Palatino Linotype" w:cs="Palatino Linotype"/>
          <w:b/>
          <w:color w:val="000000"/>
        </w:rPr>
        <w:t>SUJETO OBLIGADO</w:t>
      </w:r>
      <w:r w:rsidR="00227FB2" w:rsidRPr="004D3F59">
        <w:rPr>
          <w:rFonts w:ascii="Palatino Linotype" w:eastAsia="Palatino Linotype" w:hAnsi="Palatino Linotype" w:cs="Palatino Linotype"/>
          <w:b/>
          <w:color w:val="000000"/>
        </w:rPr>
        <w:t xml:space="preserve"> </w:t>
      </w:r>
      <w:r w:rsidR="00227FB2" w:rsidRPr="004D3F59">
        <w:rPr>
          <w:rFonts w:ascii="Palatino Linotype" w:eastAsia="Palatino Linotype" w:hAnsi="Palatino Linotype" w:cs="Palatino Linotype"/>
          <w:color w:val="000000"/>
        </w:rPr>
        <w:t>en la solicitud de información inicial</w:t>
      </w:r>
      <w:r w:rsidR="00B41500" w:rsidRPr="004D3F59">
        <w:rPr>
          <w:rFonts w:ascii="Palatino Linotype" w:eastAsia="Palatino Linotype" w:hAnsi="Palatino Linotype" w:cs="Palatino Linotype"/>
          <w:color w:val="000000"/>
        </w:rPr>
        <w:t xml:space="preserve">;  </w:t>
      </w:r>
      <w:r w:rsidR="00B41500" w:rsidRPr="004D3F59">
        <w:rPr>
          <w:rFonts w:ascii="Palatino Linotype" w:eastAsia="Palatino Linotype" w:hAnsi="Palatino Linotype" w:cs="Palatino Linotype"/>
        </w:rPr>
        <w:t xml:space="preserve">pronunciamiento del cual, este Órgano Garante carece de facultades para dudar de la veracidad de la respuesta emitida. Por lo anterior  resulta necesario puntualizar con claridad que éste Órgano Garante no está facultado para pronunciarse sobre la veracidad de la información que los Sujetos Obligados ponen a disposición de los solicitantes; situación que se aleja de las atribuciones de este Instituto </w:t>
      </w:r>
      <w:r w:rsidR="00B41500" w:rsidRPr="004D3F59">
        <w:rPr>
          <w:rFonts w:ascii="Palatino Linotype" w:eastAsia="Palatino Linotype" w:hAnsi="Palatino Linotype" w:cs="Palatino Linotype"/>
          <w:i/>
          <w:color w:val="000000"/>
        </w:rPr>
        <w:t>máxime</w:t>
      </w:r>
      <w:r w:rsidR="00B41500" w:rsidRPr="004D3F59">
        <w:rPr>
          <w:rFonts w:ascii="Palatino Linotype" w:eastAsia="Palatino Linotype" w:hAnsi="Palatino Linotype" w:cs="Palatino Linotype"/>
          <w:color w:val="000000"/>
        </w:rPr>
        <w:t xml:space="preserve"> que </w:t>
      </w:r>
      <w:r w:rsidR="00B41500" w:rsidRPr="004D3F59">
        <w:rPr>
          <w:rFonts w:ascii="Palatino Linotype" w:eastAsia="Palatino Linotype" w:hAnsi="Palatino Linotype" w:cs="Palatino Linotype"/>
          <w:b/>
          <w:color w:val="000000"/>
          <w:u w:val="single"/>
        </w:rPr>
        <w:t>al momento que ponen a disposición ésta, la misma tiene el carácter oficial y se presume veraz, tan es así que la misma queda registrada en el Sistema de Acceso a la Información Mexiquense (SAIMEX).</w:t>
      </w:r>
    </w:p>
    <w:p w14:paraId="429C5BF8" w14:textId="77777777" w:rsidR="00B41500" w:rsidRPr="004D3F59" w:rsidRDefault="00B41500" w:rsidP="003D34CF">
      <w:pPr>
        <w:spacing w:line="360" w:lineRule="auto"/>
        <w:ind w:right="-787"/>
        <w:jc w:val="both"/>
        <w:rPr>
          <w:rFonts w:ascii="Palatino Linotype" w:eastAsia="Palatino Linotype" w:hAnsi="Palatino Linotype" w:cs="Palatino Linotype"/>
          <w:b/>
          <w:color w:val="000000"/>
        </w:rPr>
      </w:pPr>
    </w:p>
    <w:p w14:paraId="03811C3A" w14:textId="77777777" w:rsidR="00B41500" w:rsidRPr="004D3F59" w:rsidRDefault="00B41500"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Así </w:t>
      </w:r>
      <w:r w:rsidRPr="004D3F59">
        <w:rPr>
          <w:rFonts w:ascii="Palatino Linotype" w:eastAsia="Palatino Linotype" w:hAnsi="Palatino Linotype" w:cs="Palatino Linotype"/>
        </w:rPr>
        <w:t>mismo</w:t>
      </w:r>
      <w:r w:rsidRPr="004D3F59">
        <w:rPr>
          <w:rFonts w:ascii="Palatino Linotype" w:eastAsia="Palatino Linotype" w:hAnsi="Palatino Linotype" w:cs="Palatino Linotype"/>
          <w:color w:val="000000"/>
        </w:rPr>
        <w:t xml:space="preserve">, la </w:t>
      </w:r>
      <w:r w:rsidRPr="004D3F59">
        <w:rPr>
          <w:rFonts w:ascii="Palatino Linotype" w:eastAsia="Palatino Linotype" w:hAnsi="Palatino Linotype" w:cs="Palatino Linotype"/>
          <w:b/>
          <w:color w:val="000000"/>
        </w:rPr>
        <w:t>Ley de Transparencia y Acceso a la Información Pública del Estado de México y Municipios</w:t>
      </w:r>
      <w:r w:rsidRPr="004D3F59">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w:t>
      </w:r>
      <w:r w:rsidRPr="004D3F59">
        <w:rPr>
          <w:rFonts w:ascii="Palatino Linotype" w:eastAsia="Palatino Linotype" w:hAnsi="Palatino Linotype" w:cs="Palatino Linotype"/>
          <w:color w:val="000000"/>
        </w:rPr>
        <w:lastRenderedPageBreak/>
        <w:t>momento a los criterios de publicidad, veracidad, oportunidad entre otros, numeral en comento que a la letra señala:</w:t>
      </w:r>
    </w:p>
    <w:p w14:paraId="0B249C77" w14:textId="77777777" w:rsidR="00B41500" w:rsidRPr="004D3F59" w:rsidRDefault="00B41500" w:rsidP="003D34CF">
      <w:pPr>
        <w:pBdr>
          <w:top w:val="nil"/>
          <w:left w:val="nil"/>
          <w:bottom w:val="nil"/>
          <w:right w:val="nil"/>
          <w:between w:val="nil"/>
        </w:pBdr>
        <w:spacing w:line="360" w:lineRule="auto"/>
        <w:ind w:left="644" w:right="539"/>
        <w:jc w:val="both"/>
        <w:rPr>
          <w:rFonts w:ascii="Palatino Linotype" w:eastAsia="Palatino Linotype" w:hAnsi="Palatino Linotype" w:cs="Palatino Linotype"/>
          <w:b/>
          <w:i/>
          <w:color w:val="000000"/>
        </w:rPr>
      </w:pPr>
      <w:r w:rsidRPr="004D3F59">
        <w:rPr>
          <w:rFonts w:ascii="Palatino Linotype" w:eastAsia="Palatino Linotype" w:hAnsi="Palatino Linotype" w:cs="Palatino Linotype"/>
          <w:i/>
          <w:color w:val="000000"/>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4D3F59">
        <w:rPr>
          <w:rFonts w:ascii="Palatino Linotype" w:eastAsia="Palatino Linotype" w:hAnsi="Palatino Linotype" w:cs="Palatino Linotype"/>
          <w:b/>
          <w:i/>
          <w:color w:val="000000"/>
        </w:rPr>
        <w:t>Los Sujetos Obligados deben poner en práctica, políticas y programas de acceso a la información que se apeguen a criterios de publicidad, veracidad, oportunidad, precisión y suficiencia en beneficio de los solicitantes.</w:t>
      </w:r>
    </w:p>
    <w:p w14:paraId="169327F9" w14:textId="77777777" w:rsidR="00B41500" w:rsidRPr="004D3F59" w:rsidRDefault="00B41500" w:rsidP="003D34CF">
      <w:pPr>
        <w:spacing w:line="360" w:lineRule="auto"/>
        <w:ind w:right="-787"/>
        <w:jc w:val="both"/>
        <w:rPr>
          <w:rFonts w:ascii="Palatino Linotype" w:eastAsia="Palatino Linotype" w:hAnsi="Palatino Linotype" w:cs="Palatino Linotype"/>
          <w:b/>
          <w:i/>
        </w:rPr>
      </w:pPr>
    </w:p>
    <w:p w14:paraId="26712B6A" w14:textId="77777777" w:rsidR="00B41500" w:rsidRPr="004D3F59" w:rsidRDefault="00B41500"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Numerales que compelen al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a apegarse en todo momento a los criterios ya expuestos, </w:t>
      </w:r>
      <w:r w:rsidRPr="004D3F59">
        <w:rPr>
          <w:rFonts w:ascii="Palatino Linotype" w:eastAsia="Palatino Linotype" w:hAnsi="Palatino Linotype" w:cs="Palatino Linotype"/>
        </w:rPr>
        <w:t>impidiendo</w:t>
      </w:r>
      <w:r w:rsidRPr="004D3F59">
        <w:rPr>
          <w:rFonts w:ascii="Palatino Linotype" w:eastAsia="Palatino Linotype" w:hAnsi="Palatino Linotype" w:cs="Palatino Linotype"/>
          <w:color w:val="000000"/>
        </w:rPr>
        <w:t xml:space="preserve">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w:t>
      </w:r>
    </w:p>
    <w:p w14:paraId="5E9B3E93" w14:textId="77777777" w:rsidR="00B41500" w:rsidRPr="004D3F59" w:rsidRDefault="00B41500" w:rsidP="003D34CF">
      <w:pPr>
        <w:spacing w:line="360" w:lineRule="auto"/>
        <w:ind w:right="-7"/>
        <w:jc w:val="both"/>
        <w:rPr>
          <w:rFonts w:ascii="Palatino Linotype" w:eastAsia="Palatino Linotype" w:hAnsi="Palatino Linotype" w:cs="Palatino Linotype"/>
        </w:rPr>
      </w:pPr>
    </w:p>
    <w:p w14:paraId="04BC68AB" w14:textId="77777777" w:rsidR="00B41500" w:rsidRPr="004D3F59" w:rsidRDefault="00B41500"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Dicho lo anterior se advierte</w:t>
      </w:r>
      <w:r w:rsidR="00B82603" w:rsidRPr="004D3F59">
        <w:rPr>
          <w:rFonts w:ascii="Palatino Linotype" w:eastAsia="Palatino Linotype" w:hAnsi="Palatino Linotype" w:cs="Palatino Linotype"/>
          <w:color w:val="000000"/>
        </w:rPr>
        <w:t>n</w:t>
      </w:r>
      <w:r w:rsidRPr="004D3F59">
        <w:rPr>
          <w:rFonts w:ascii="Palatino Linotype" w:eastAsia="Palatino Linotype" w:hAnsi="Palatino Linotype" w:cs="Palatino Linotype"/>
          <w:color w:val="000000"/>
        </w:rPr>
        <w:t xml:space="preserve"> como pendiente </w:t>
      </w:r>
      <w:r w:rsidR="00B82603" w:rsidRPr="004D3F59">
        <w:rPr>
          <w:rFonts w:ascii="Palatino Linotype" w:eastAsia="Palatino Linotype" w:hAnsi="Palatino Linotype" w:cs="Palatino Linotype"/>
          <w:color w:val="000000"/>
        </w:rPr>
        <w:t xml:space="preserve">de atención </w:t>
      </w:r>
      <w:r w:rsidRPr="004D3F59">
        <w:rPr>
          <w:rFonts w:ascii="Palatino Linotype" w:eastAsia="Palatino Linotype" w:hAnsi="Palatino Linotype" w:cs="Palatino Linotype"/>
          <w:color w:val="000000"/>
        </w:rPr>
        <w:t>las solicitudes de información relativas a cuantos son hombres y cuantos mujeres; rango de edad; nombre del servidor público investigado, estatus del procedimiento y si fuera el caso sanción establecida</w:t>
      </w:r>
      <w:r w:rsidR="006D4C18" w:rsidRPr="004D3F59">
        <w:rPr>
          <w:rFonts w:ascii="Palatino Linotype" w:eastAsia="Palatino Linotype" w:hAnsi="Palatino Linotype" w:cs="Palatino Linotype"/>
          <w:color w:val="000000"/>
        </w:rPr>
        <w:t>.</w:t>
      </w:r>
    </w:p>
    <w:p w14:paraId="4B0824BD" w14:textId="77777777" w:rsidR="00B41500" w:rsidRPr="004D3F59" w:rsidRDefault="00B41500" w:rsidP="003D34CF">
      <w:pPr>
        <w:pBdr>
          <w:top w:val="nil"/>
          <w:left w:val="nil"/>
          <w:bottom w:val="nil"/>
          <w:right w:val="nil"/>
          <w:between w:val="nil"/>
        </w:pBdr>
        <w:spacing w:line="360" w:lineRule="auto"/>
        <w:ind w:left="720" w:right="49"/>
        <w:jc w:val="both"/>
        <w:rPr>
          <w:rFonts w:ascii="Palatino Linotype" w:eastAsia="Palatino Linotype" w:hAnsi="Palatino Linotype" w:cs="Palatino Linotype"/>
          <w:color w:val="000000"/>
        </w:rPr>
      </w:pPr>
    </w:p>
    <w:p w14:paraId="12763E7B" w14:textId="77777777" w:rsidR="00204812" w:rsidRPr="004D3F59" w:rsidRDefault="00B41500"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lastRenderedPageBreak/>
        <w:t>Acotado lo anterior, es necesario analizar primeramente lo</w:t>
      </w:r>
      <w:r w:rsidR="00B82603" w:rsidRPr="004D3F59">
        <w:rPr>
          <w:rFonts w:ascii="Palatino Linotype" w:eastAsia="Palatino Linotype" w:hAnsi="Palatino Linotype" w:cs="Palatino Linotype"/>
          <w:color w:val="000000"/>
        </w:rPr>
        <w:t xml:space="preserve"> relativo al número de mujeres,</w:t>
      </w:r>
      <w:r w:rsidRPr="004D3F59">
        <w:rPr>
          <w:rFonts w:ascii="Palatino Linotype" w:eastAsia="Palatino Linotype" w:hAnsi="Palatino Linotype" w:cs="Palatino Linotype"/>
          <w:color w:val="000000"/>
        </w:rPr>
        <w:t xml:space="preserve"> hombres y a la edad. Respecto del sexo de los servidores públicos, no se advierte que corresponda por sí mismo a información susceptible de ser clasificada, pues corresponde a información de tipo estadística.</w:t>
      </w:r>
    </w:p>
    <w:p w14:paraId="5D47A3AA" w14:textId="77777777" w:rsidR="009B6BD2" w:rsidRPr="004D3F59" w:rsidRDefault="009B6BD2" w:rsidP="003D34CF">
      <w:pPr>
        <w:pStyle w:val="Prrafodelista"/>
        <w:spacing w:line="360" w:lineRule="auto"/>
        <w:rPr>
          <w:rFonts w:ascii="Palatino Linotype" w:eastAsia="Palatino Linotype" w:hAnsi="Palatino Linotype" w:cs="Palatino Linotype"/>
          <w:color w:val="000000"/>
        </w:rPr>
      </w:pPr>
    </w:p>
    <w:p w14:paraId="205E8654" w14:textId="77777777" w:rsidR="009B6BD2" w:rsidRPr="004D3F59" w:rsidRDefault="009B6BD2"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Toda vez que conocer el sexo de un grupo de personas o servidores públicos  únicamente permite recopilar y analizar datos útiles para la investigación; clasificar a las personas según su sexo (masculino o femenino), se pueden identificar patrones que afectan al servicio público, por mencionar un ejemplo. Asimismo, pierde su calidad de dato personal confidencial pues al no conocer los nombres, no permite asociarla a una persona física o jurídica colectiva identificada o identificable; en virtud que se considerará que una persona es identificable cuando su identidad pueda determinarse directa o indirectamente.</w:t>
      </w:r>
    </w:p>
    <w:p w14:paraId="655408A0" w14:textId="77777777" w:rsidR="00CA264D" w:rsidRPr="004D3F59" w:rsidRDefault="00CA264D" w:rsidP="00CA264D">
      <w:pPr>
        <w:pStyle w:val="Prrafodelista"/>
        <w:rPr>
          <w:rFonts w:ascii="Palatino Linotype" w:eastAsia="Palatino Linotype" w:hAnsi="Palatino Linotype" w:cs="Palatino Linotype"/>
          <w:color w:val="000000"/>
        </w:rPr>
      </w:pPr>
    </w:p>
    <w:p w14:paraId="63DBC03C" w14:textId="77777777" w:rsidR="009B6BD2" w:rsidRPr="004D3F59" w:rsidRDefault="008001CA"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Relativo al rango de edad, también pierde su calidad de dato personal, pues como se advierte de la solicitud, no se solicitó la edad de cada uno de los servidores, dato personal que ciertamente es clasificado, con la excepción de que para ocupar su cargo, la edad sea un requisito de elegibilidad.</w:t>
      </w:r>
    </w:p>
    <w:p w14:paraId="006A9D09" w14:textId="77777777" w:rsidR="008001CA" w:rsidRPr="004D3F59" w:rsidRDefault="008001CA" w:rsidP="003D34CF">
      <w:pPr>
        <w:pStyle w:val="Prrafodelista"/>
        <w:spacing w:line="360" w:lineRule="auto"/>
        <w:rPr>
          <w:rFonts w:ascii="Palatino Linotype" w:eastAsia="Palatino Linotype" w:hAnsi="Palatino Linotype" w:cs="Palatino Linotype"/>
          <w:color w:val="000000"/>
        </w:rPr>
      </w:pPr>
    </w:p>
    <w:p w14:paraId="15171094" w14:textId="77777777" w:rsidR="008001CA" w:rsidRPr="004D3F59" w:rsidRDefault="008001CA" w:rsidP="003D34CF">
      <w:pPr>
        <w:numPr>
          <w:ilvl w:val="0"/>
          <w:numId w:val="22"/>
        </w:numPr>
        <w:spacing w:line="360" w:lineRule="auto"/>
        <w:ind w:right="49"/>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Luego entonces se tiene que lo solicitado ve</w:t>
      </w:r>
      <w:r w:rsidR="00B82603" w:rsidRPr="004D3F59">
        <w:rPr>
          <w:rFonts w:ascii="Palatino Linotype" w:eastAsia="Palatino Linotype" w:hAnsi="Palatino Linotype" w:cs="Palatino Linotype"/>
          <w:color w:val="000000"/>
        </w:rPr>
        <w:t>rsó en conocer el rango de edad;</w:t>
      </w:r>
      <w:r w:rsidRPr="004D3F59">
        <w:rPr>
          <w:rFonts w:ascii="Palatino Linotype" w:eastAsia="Palatino Linotype" w:hAnsi="Palatino Linotype" w:cs="Palatino Linotype"/>
          <w:color w:val="000000"/>
        </w:rPr>
        <w:t xml:space="preserve"> que corresponde al intervalo o grupo de edades que se </w:t>
      </w:r>
      <w:r w:rsidR="006D4C18" w:rsidRPr="004D3F59">
        <w:rPr>
          <w:rFonts w:ascii="Palatino Linotype" w:eastAsia="Palatino Linotype" w:hAnsi="Palatino Linotype" w:cs="Palatino Linotype"/>
          <w:color w:val="000000"/>
        </w:rPr>
        <w:t xml:space="preserve">puede </w:t>
      </w:r>
      <w:r w:rsidRPr="004D3F59">
        <w:rPr>
          <w:rFonts w:ascii="Palatino Linotype" w:eastAsia="Palatino Linotype" w:hAnsi="Palatino Linotype" w:cs="Palatino Linotype"/>
          <w:color w:val="000000"/>
        </w:rPr>
        <w:t>utiliza</w:t>
      </w:r>
      <w:r w:rsidR="006D4C18" w:rsidRPr="004D3F59">
        <w:rPr>
          <w:rFonts w:ascii="Palatino Linotype" w:eastAsia="Palatino Linotype" w:hAnsi="Palatino Linotype" w:cs="Palatino Linotype"/>
          <w:color w:val="000000"/>
        </w:rPr>
        <w:t>r</w:t>
      </w:r>
      <w:r w:rsidRPr="004D3F59">
        <w:rPr>
          <w:rFonts w:ascii="Palatino Linotype" w:eastAsia="Palatino Linotype" w:hAnsi="Palatino Linotype" w:cs="Palatino Linotype"/>
          <w:color w:val="000000"/>
        </w:rPr>
        <w:t xml:space="preserve"> para clasificar a las personas con fines estadísticos, demográficos, de investigación o de planificación, lo que facilita el análisis de datos y la identificación de patrones o </w:t>
      </w:r>
      <w:r w:rsidRPr="004D3F59">
        <w:rPr>
          <w:rFonts w:ascii="Palatino Linotype" w:eastAsia="Palatino Linotype" w:hAnsi="Palatino Linotype" w:cs="Palatino Linotype"/>
          <w:color w:val="000000"/>
        </w:rPr>
        <w:lastRenderedPageBreak/>
        <w:t xml:space="preserve">tendencias relacionadas con la edad. </w:t>
      </w:r>
      <w:r w:rsidR="006D4C18" w:rsidRPr="004D3F59">
        <w:rPr>
          <w:rFonts w:ascii="Palatino Linotype" w:eastAsia="Palatino Linotype" w:hAnsi="Palatino Linotype" w:cs="Palatino Linotype"/>
          <w:color w:val="000000"/>
        </w:rPr>
        <w:t>No obstante, s</w:t>
      </w:r>
      <w:r w:rsidRPr="004D3F59">
        <w:rPr>
          <w:rFonts w:ascii="Palatino Linotype" w:eastAsia="Palatino Linotype" w:hAnsi="Palatino Linotype" w:cs="Palatino Linotype"/>
          <w:color w:val="000000"/>
        </w:rPr>
        <w:t xml:space="preserve">i bien es cierto, el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si posee y administra la edad de cada uno de los servidores públicos; también lo es que no existe fuente obligacional para genere intervalos o rangos de edad.</w:t>
      </w:r>
    </w:p>
    <w:p w14:paraId="30E3BAFC" w14:textId="77777777" w:rsidR="008001CA" w:rsidRPr="004D3F59" w:rsidRDefault="008001CA" w:rsidP="003D34CF">
      <w:pPr>
        <w:pStyle w:val="Prrafodelista"/>
        <w:spacing w:line="360" w:lineRule="auto"/>
        <w:rPr>
          <w:rFonts w:ascii="Palatino Linotype" w:eastAsia="Palatino Linotype" w:hAnsi="Palatino Linotype" w:cs="Palatino Linotype"/>
          <w:color w:val="000000"/>
        </w:rPr>
      </w:pPr>
    </w:p>
    <w:p w14:paraId="2B8923E3" w14:textId="77777777" w:rsidR="00FA6037" w:rsidRPr="004D3F59" w:rsidRDefault="002C4215" w:rsidP="003D34CF">
      <w:pPr>
        <w:numPr>
          <w:ilvl w:val="0"/>
          <w:numId w:val="22"/>
        </w:numPr>
        <w:spacing w:line="360" w:lineRule="auto"/>
        <w:ind w:right="49"/>
        <w:contextualSpacing/>
        <w:jc w:val="both"/>
        <w:rPr>
          <w:rFonts w:ascii="Palatino Linotype" w:hAnsi="Palatino Linotype"/>
          <w:color w:val="000000" w:themeColor="text1"/>
        </w:rPr>
      </w:pPr>
      <w:r w:rsidRPr="004D3F59">
        <w:rPr>
          <w:rFonts w:ascii="Palatino Linotype" w:eastAsia="Palatino Linotype" w:hAnsi="Palatino Linotype" w:cs="Palatino Linotype"/>
          <w:color w:val="000000"/>
        </w:rPr>
        <w:t>Por tanto resulta dable ordenar su entrega</w:t>
      </w:r>
      <w:r w:rsidR="005F1F89" w:rsidRPr="004D3F59">
        <w:rPr>
          <w:rFonts w:ascii="Palatino Linotype" w:eastAsia="Palatino Linotype" w:hAnsi="Palatino Linotype" w:cs="Palatino Linotype"/>
          <w:color w:val="000000"/>
        </w:rPr>
        <w:t xml:space="preserve"> con </w:t>
      </w:r>
      <w:r w:rsidR="00B82603" w:rsidRPr="004D3F59">
        <w:rPr>
          <w:rFonts w:ascii="Palatino Linotype" w:eastAsia="Palatino Linotype" w:hAnsi="Palatino Linotype" w:cs="Palatino Linotype"/>
          <w:color w:val="000000"/>
        </w:rPr>
        <w:t xml:space="preserve">la </w:t>
      </w:r>
      <w:r w:rsidR="005F1F89" w:rsidRPr="004D3F59">
        <w:rPr>
          <w:rFonts w:ascii="Palatino Linotype" w:eastAsia="Palatino Linotype" w:hAnsi="Palatino Linotype" w:cs="Palatino Linotype"/>
          <w:color w:val="000000"/>
        </w:rPr>
        <w:t xml:space="preserve">salvedad </w:t>
      </w:r>
      <w:r w:rsidR="00B82603" w:rsidRPr="004D3F59">
        <w:rPr>
          <w:rFonts w:ascii="Palatino Linotype" w:eastAsia="Palatino Linotype" w:hAnsi="Palatino Linotype" w:cs="Palatino Linotype"/>
          <w:color w:val="000000"/>
        </w:rPr>
        <w:t xml:space="preserve">que </w:t>
      </w:r>
      <w:r w:rsidR="005F1F89" w:rsidRPr="004D3F59">
        <w:rPr>
          <w:rFonts w:ascii="Palatino Linotype" w:eastAsia="Palatino Linotype" w:hAnsi="Palatino Linotype" w:cs="Palatino Linotype"/>
          <w:color w:val="000000"/>
        </w:rPr>
        <w:t>para el caso que no obre soporte documental al respecto en sus archivos</w:t>
      </w:r>
      <w:r w:rsidR="00A54129" w:rsidRPr="004D3F59">
        <w:rPr>
          <w:rFonts w:ascii="Palatino Linotype" w:eastAsia="Palatino Linotype" w:hAnsi="Palatino Linotype" w:cs="Palatino Linotype"/>
          <w:color w:val="000000"/>
        </w:rPr>
        <w:t xml:space="preserve"> baste con que lo haga del conocimiento</w:t>
      </w:r>
      <w:r w:rsidR="005F1F89" w:rsidRPr="004D3F59">
        <w:rPr>
          <w:rFonts w:ascii="Palatino Linotype" w:eastAsia="Palatino Linotype" w:hAnsi="Palatino Linotype" w:cs="Palatino Linotype"/>
          <w:color w:val="000000"/>
        </w:rPr>
        <w:t xml:space="preserve">; toda vez que para colmar el acceso a la información pública, es de explorado derecho que </w:t>
      </w:r>
      <w:r w:rsidR="00FA6037" w:rsidRPr="004D3F59">
        <w:rPr>
          <w:rFonts w:ascii="Palatino Linotype" w:hAnsi="Palatino Linotype" w:cs="Arial"/>
        </w:rPr>
        <w:t xml:space="preserve">los sujetos obligados no se encuentran obligados a generar documentos </w:t>
      </w:r>
      <w:r w:rsidR="00FA6037" w:rsidRPr="004D3F59">
        <w:rPr>
          <w:rFonts w:ascii="Palatino Linotype" w:hAnsi="Palatino Linotype" w:cs="Arial"/>
          <w:i/>
        </w:rPr>
        <w:t>ad hoc</w:t>
      </w:r>
      <w:r w:rsidR="00FA6037" w:rsidRPr="004D3F59">
        <w:rPr>
          <w:rFonts w:ascii="Palatino Linotype" w:hAnsi="Palatino Linotype" w:cs="Arial"/>
        </w:rPr>
        <w:t xml:space="preserve"> para atender las solicitudes de información de los </w:t>
      </w:r>
      <w:r w:rsidR="00FA6037" w:rsidRPr="004D3F59">
        <w:rPr>
          <w:rFonts w:ascii="Palatino Linotype" w:hAnsi="Palatino Linotype"/>
          <w:color w:val="000000" w:themeColor="text1"/>
        </w:rPr>
        <w:t>particulares</w:t>
      </w:r>
      <w:r w:rsidR="00FA6037" w:rsidRPr="004D3F59">
        <w:rPr>
          <w:rFonts w:ascii="Palatino Linotype" w:hAnsi="Palatino Linotype" w:cs="Arial"/>
        </w:rPr>
        <w:t xml:space="preserve"> conforme a sus intereses particulares, </w:t>
      </w:r>
      <w:r w:rsidR="00FA6037" w:rsidRPr="004D3F59">
        <w:rPr>
          <w:rFonts w:ascii="Palatino Linotype" w:eastAsia="MS Mincho" w:hAnsi="Palatino Linotype" w:cs="Arial"/>
        </w:rPr>
        <w:t>c</w:t>
      </w:r>
      <w:r w:rsidR="00FA6037" w:rsidRPr="004D3F59">
        <w:rPr>
          <w:rFonts w:ascii="Palatino Linotype" w:hAnsi="Palatino Linotype" w:cs="Arial"/>
        </w:rPr>
        <w:t xml:space="preserve">omo apoyo a lo anterior, es aplicable por analogía el </w:t>
      </w:r>
      <w:r w:rsidR="00FA6037" w:rsidRPr="004D3F59">
        <w:rPr>
          <w:rFonts w:ascii="Palatino Linotype" w:hAnsi="Palatino Linotype" w:cs="Arial"/>
          <w:b/>
        </w:rPr>
        <w:t>Criterio 03/17</w:t>
      </w:r>
      <w:r w:rsidR="00FA6037" w:rsidRPr="004D3F59">
        <w:rPr>
          <w:rFonts w:ascii="Palatino Linotype" w:hAnsi="Palatino Linotype" w:cs="Arial"/>
        </w:rPr>
        <w:t>, emitido por el Pleno del Instituto Nacional de Transparencia, Acceso a la Información y Protección de Datos Personales (INAI)</w:t>
      </w:r>
      <w:r w:rsidR="00FA6037" w:rsidRPr="004D3F59">
        <w:rPr>
          <w:rFonts w:ascii="Palatino Linotype" w:hAnsi="Palatino Linotype" w:cs="Arial"/>
          <w:bCs/>
        </w:rPr>
        <w:t>, que a la letra dice:</w:t>
      </w:r>
    </w:p>
    <w:p w14:paraId="47327E7D" w14:textId="77777777" w:rsidR="00FA6037" w:rsidRPr="004D3F59" w:rsidRDefault="00FA6037" w:rsidP="003D34CF">
      <w:pPr>
        <w:pStyle w:val="Prrafodelista"/>
        <w:spacing w:line="360" w:lineRule="auto"/>
        <w:ind w:left="567" w:right="618"/>
        <w:jc w:val="both"/>
        <w:rPr>
          <w:rFonts w:ascii="Palatino Linotype" w:hAnsi="Palatino Linotype" w:cs="Arial"/>
          <w:bCs/>
          <w:i/>
          <w:lang w:eastAsia="es-ES"/>
        </w:rPr>
      </w:pPr>
      <w:r w:rsidRPr="004D3F59">
        <w:rPr>
          <w:rFonts w:ascii="Palatino Linotype" w:hAnsi="Palatino Linotype" w:cs="Arial"/>
          <w:b/>
          <w:bCs/>
          <w:i/>
        </w:rPr>
        <w:t xml:space="preserve">“No existe obligación de elaborar documentos ad hoc para atender las solicitudes de acceso a la información. </w:t>
      </w:r>
      <w:r w:rsidRPr="004D3F59">
        <w:rPr>
          <w:rFonts w:ascii="Palatino Linotype" w:hAnsi="Palatino Linotype" w:cs="Arial"/>
          <w:bCs/>
          <w:i/>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w:t>
      </w:r>
      <w:r w:rsidRPr="004D3F59">
        <w:rPr>
          <w:rFonts w:ascii="Palatino Linotype" w:hAnsi="Palatino Linotype" w:cs="Arial"/>
          <w:bCs/>
          <w:i/>
        </w:rPr>
        <w:lastRenderedPageBreak/>
        <w:t>la información con la que cuentan en el formato en que la misma obre en sus archivos; sin necesidad de elaborar documentos ad hoc para atender las solicitudes de información.</w:t>
      </w:r>
    </w:p>
    <w:p w14:paraId="772B5A62" w14:textId="77777777" w:rsidR="00FA6037" w:rsidRPr="004D3F59" w:rsidRDefault="00FA6037" w:rsidP="003D34CF">
      <w:pPr>
        <w:pStyle w:val="Prrafodelista"/>
        <w:spacing w:line="360" w:lineRule="auto"/>
        <w:ind w:left="567" w:right="618"/>
        <w:jc w:val="both"/>
        <w:rPr>
          <w:rFonts w:ascii="Palatino Linotype" w:hAnsi="Palatino Linotype" w:cs="Arial"/>
          <w:bCs/>
          <w:i/>
        </w:rPr>
      </w:pPr>
    </w:p>
    <w:p w14:paraId="5537695F" w14:textId="77777777" w:rsidR="00A83BD3" w:rsidRPr="004D3F59" w:rsidRDefault="00FA6037" w:rsidP="003D34CF">
      <w:pPr>
        <w:numPr>
          <w:ilvl w:val="0"/>
          <w:numId w:val="11"/>
        </w:numPr>
        <w:pBdr>
          <w:top w:val="nil"/>
          <w:left w:val="nil"/>
          <w:bottom w:val="nil"/>
          <w:right w:val="nil"/>
          <w:between w:val="nil"/>
        </w:pBdr>
        <w:spacing w:line="360" w:lineRule="auto"/>
        <w:ind w:left="0" w:right="49" w:firstLine="0"/>
        <w:contextualSpacing/>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Asimismo, tampoco están obligados a resumir o procesar la información que generen, posean o administren, o resumirla, conforme a lo establecido en los artículos 4 y 12</w:t>
      </w:r>
      <w:r w:rsidR="00F41D15" w:rsidRPr="004D3F59">
        <w:rPr>
          <w:rFonts w:ascii="Palatino Linotype" w:eastAsia="Palatino Linotype" w:hAnsi="Palatino Linotype" w:cs="Palatino Linotype"/>
          <w:color w:val="000000"/>
        </w:rPr>
        <w:t>, de la Ley de Transparencia y Acceso a la Información Pública del Estado de México y Municipios, los cuales establecen lo siguiente:</w:t>
      </w:r>
    </w:p>
    <w:p w14:paraId="49D24072" w14:textId="77777777" w:rsidR="00A83BD3" w:rsidRPr="004D3F59" w:rsidRDefault="00F41D15" w:rsidP="003D34C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b/>
          <w:i/>
          <w:color w:val="000000"/>
        </w:rPr>
        <w:t>Artículo 4.</w:t>
      </w:r>
      <w:r w:rsidRPr="004D3F59">
        <w:rPr>
          <w:rFonts w:ascii="Palatino Linotype" w:eastAsia="Palatino Linotype" w:hAnsi="Palatino Linotype" w:cs="Palatino Linotype"/>
          <w:i/>
          <w:color w:val="000000"/>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1FF3493" w14:textId="77777777" w:rsidR="00A83BD3" w:rsidRPr="004D3F59" w:rsidRDefault="00F41D15" w:rsidP="003D34C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i/>
          <w:color w:val="00000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690B91A" w14:textId="77777777" w:rsidR="00A83BD3" w:rsidRPr="004D3F59" w:rsidRDefault="00A83BD3" w:rsidP="003D34CF">
      <w:pPr>
        <w:spacing w:line="360" w:lineRule="auto"/>
        <w:ind w:left="567" w:right="616"/>
        <w:jc w:val="both"/>
        <w:rPr>
          <w:rFonts w:ascii="Palatino Linotype" w:eastAsia="Palatino Linotype" w:hAnsi="Palatino Linotype" w:cs="Palatino Linotype"/>
          <w:i/>
          <w:color w:val="000000"/>
        </w:rPr>
      </w:pPr>
    </w:p>
    <w:p w14:paraId="091A0226" w14:textId="77777777" w:rsidR="00A83BD3" w:rsidRPr="004D3F59" w:rsidRDefault="00F41D15" w:rsidP="003D34C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i/>
          <w:color w:val="000000"/>
        </w:rPr>
        <w:lastRenderedPageBreak/>
        <w:t>Los sujetos obligados deben poner en práctica, políticas y programas de acceso a la información que se apeguen a criterios de publicidad, veracidad, oportunidad, precisión y suficiencia en beneficio de los solicitantes.</w:t>
      </w:r>
    </w:p>
    <w:p w14:paraId="45D12E44" w14:textId="77777777" w:rsidR="00A83BD3" w:rsidRPr="004D3F59" w:rsidRDefault="00A83BD3" w:rsidP="003D34CF">
      <w:pPr>
        <w:spacing w:line="360" w:lineRule="auto"/>
        <w:ind w:left="567" w:right="616"/>
        <w:jc w:val="both"/>
        <w:rPr>
          <w:rFonts w:ascii="Palatino Linotype" w:eastAsia="Palatino Linotype" w:hAnsi="Palatino Linotype" w:cs="Palatino Linotype"/>
          <w:i/>
          <w:color w:val="000000"/>
        </w:rPr>
      </w:pPr>
    </w:p>
    <w:p w14:paraId="04E8C4F8" w14:textId="77777777" w:rsidR="00A83BD3" w:rsidRPr="004D3F59" w:rsidRDefault="00F41D15" w:rsidP="003D34CF">
      <w:pPr>
        <w:pBdr>
          <w:top w:val="nil"/>
          <w:left w:val="nil"/>
          <w:bottom w:val="nil"/>
          <w:right w:val="nil"/>
          <w:between w:val="nil"/>
        </w:pBdr>
        <w:spacing w:line="360" w:lineRule="auto"/>
        <w:ind w:left="567" w:right="616"/>
        <w:jc w:val="both"/>
        <w:rPr>
          <w:rFonts w:ascii="Palatino Linotype" w:eastAsia="Palatino Linotype" w:hAnsi="Palatino Linotype" w:cs="Palatino Linotype"/>
          <w:i/>
          <w:color w:val="000000"/>
        </w:rPr>
      </w:pPr>
      <w:r w:rsidRPr="004D3F59">
        <w:rPr>
          <w:rFonts w:ascii="Palatino Linotype" w:eastAsia="Palatino Linotype" w:hAnsi="Palatino Linotype" w:cs="Palatino Linotype"/>
          <w:b/>
          <w:i/>
          <w:color w:val="000000"/>
        </w:rPr>
        <w:t>Artículo 12.</w:t>
      </w:r>
      <w:r w:rsidRPr="004D3F59">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w:t>
      </w:r>
    </w:p>
    <w:p w14:paraId="70D8FE89" w14:textId="77777777" w:rsidR="00A83BD3" w:rsidRPr="004D3F59" w:rsidRDefault="00F41D15" w:rsidP="003D34CF">
      <w:pPr>
        <w:pBdr>
          <w:top w:val="nil"/>
          <w:left w:val="nil"/>
          <w:bottom w:val="nil"/>
          <w:right w:val="nil"/>
          <w:between w:val="nil"/>
        </w:pBdr>
        <w:spacing w:line="360" w:lineRule="auto"/>
        <w:ind w:left="567" w:right="616"/>
        <w:jc w:val="both"/>
        <w:rPr>
          <w:rFonts w:ascii="Palatino Linotype" w:eastAsia="Palatino Linotype" w:hAnsi="Palatino Linotype" w:cs="Palatino Linotype"/>
          <w:b/>
          <w:i/>
          <w:color w:val="000000"/>
        </w:rPr>
      </w:pPr>
      <w:r w:rsidRPr="004D3F59">
        <w:rPr>
          <w:rFonts w:ascii="Palatino Linotype" w:eastAsia="Palatino Linotype" w:hAnsi="Palatino Linotype" w:cs="Palatino Linotype"/>
          <w:i/>
          <w:color w:val="000000"/>
        </w:rPr>
        <w:t xml:space="preserve">Los sujetos obligados sólo proporcionarán la información pública que se les requiera y que obre en sus archivos y en el estado en que ésta se encuentre. </w:t>
      </w:r>
      <w:r w:rsidRPr="004D3F59">
        <w:rPr>
          <w:rFonts w:ascii="Palatino Linotype" w:eastAsia="Palatino Linotype" w:hAnsi="Palatino Linotype" w:cs="Palatino Linotype"/>
          <w:b/>
          <w:i/>
          <w:color w:val="000000"/>
        </w:rPr>
        <w:t>La obligación de proporcionar información no comprende el procesamiento de la misma, ni el presentarla conforme al interés del solicitante; no estarán obligados a generarla, resumirla, efectuar cálculos o practicar investigaciones.</w:t>
      </w:r>
    </w:p>
    <w:p w14:paraId="4FA9C08F"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3E4D1247" w14:textId="77777777" w:rsidR="00A83BD3" w:rsidRPr="004D3F59" w:rsidRDefault="00F41D15"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w:t>
      </w:r>
      <w:r w:rsidR="006D4C18" w:rsidRPr="004D3F59">
        <w:rPr>
          <w:rFonts w:ascii="Palatino Linotype" w:eastAsia="Palatino Linotype" w:hAnsi="Palatino Linotype" w:cs="Palatino Linotype"/>
          <w:color w:val="000000"/>
        </w:rPr>
        <w:t xml:space="preserve">lo que están compelidos y que se reitera, </w:t>
      </w:r>
      <w:r w:rsidR="006D4C18" w:rsidRPr="004D3F59">
        <w:rPr>
          <w:rFonts w:ascii="Palatino Linotype" w:eastAsia="Palatino Linotype" w:hAnsi="Palatino Linotype" w:cs="Palatino Linotype"/>
          <w:b/>
          <w:color w:val="000000"/>
        </w:rPr>
        <w:t>no es a procesar o resumir</w:t>
      </w:r>
      <w:r w:rsidR="006D4C18" w:rsidRPr="004D3F59">
        <w:rPr>
          <w:rFonts w:ascii="Palatino Linotype" w:eastAsia="Palatino Linotype" w:hAnsi="Palatino Linotype" w:cs="Palatino Linotype"/>
          <w:color w:val="000000"/>
        </w:rPr>
        <w:t>.</w:t>
      </w:r>
    </w:p>
    <w:p w14:paraId="2DC30FF3" w14:textId="77777777" w:rsidR="006D4C18" w:rsidRPr="004D3F59" w:rsidRDefault="006D4C18"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2F47B52B" w14:textId="77777777" w:rsidR="006D4C18" w:rsidRPr="004D3F59" w:rsidRDefault="006D4C18"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Seguidamente deviene el rubro del estatus de una investigación administrativa, que se refiere al estado procesal o fase en la que se encuentra dicho proceso en un momento determinado, el estatus de todas las investigaciones </w:t>
      </w:r>
      <w:r w:rsidRPr="004D3F59">
        <w:rPr>
          <w:rFonts w:ascii="Palatino Linotype" w:eastAsia="Palatino Linotype" w:hAnsi="Palatino Linotype" w:cs="Palatino Linotype"/>
          <w:color w:val="000000"/>
        </w:rPr>
        <w:lastRenderedPageBreak/>
        <w:t>iniciadas de las que ya se informaron en informe justificado, puede variar, sin embargo al tratarse únicamente de la etapa de investigación, solo puede corresponder a dos supuestos: en trámite o en proceso o</w:t>
      </w:r>
      <w:r w:rsidR="00D9082A"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color w:val="000000"/>
        </w:rPr>
        <w:t xml:space="preserve"> concluida y archivada.</w:t>
      </w:r>
    </w:p>
    <w:p w14:paraId="6CFE0EEE" w14:textId="77777777" w:rsidR="006D4C18" w:rsidRPr="004D3F59" w:rsidRDefault="006D4C18" w:rsidP="003D34CF">
      <w:pPr>
        <w:pStyle w:val="Prrafodelista"/>
        <w:spacing w:line="360" w:lineRule="auto"/>
        <w:rPr>
          <w:rFonts w:ascii="Palatino Linotype" w:eastAsia="Palatino Linotype" w:hAnsi="Palatino Linotype" w:cs="Palatino Linotype"/>
          <w:color w:val="000000"/>
        </w:rPr>
      </w:pPr>
    </w:p>
    <w:p w14:paraId="698FB845" w14:textId="77777777" w:rsidR="00D9082A" w:rsidRPr="004D3F59" w:rsidRDefault="00D9082A"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Toda vez que la información atañe exclusivamente a procedimientos de investigación y no a procedimientos de responsabilidades; por lo que es </w:t>
      </w:r>
      <w:r w:rsidRPr="004D3F59">
        <w:rPr>
          <w:rFonts w:ascii="Palatino Linotype" w:eastAsia="Palatino Linotype" w:hAnsi="Palatino Linotype" w:cs="Palatino Linotype"/>
          <w:color w:val="000000"/>
        </w:rPr>
        <w:t>necesario</w:t>
      </w:r>
      <w:r w:rsidRPr="004D3F59">
        <w:rPr>
          <w:rFonts w:ascii="Palatino Linotype" w:eastAsia="Palatino Linotype" w:hAnsi="Palatino Linotype" w:cs="Palatino Linotype"/>
        </w:rPr>
        <w:t xml:space="preserve"> traer a colación lo señalado por la Ley de Responsabilidades Administrativas del Estado de México y Municipios, que establece al caso concreto lo siguiente:</w:t>
      </w:r>
    </w:p>
    <w:p w14:paraId="499D19FD" w14:textId="77777777" w:rsidR="00D9082A" w:rsidRPr="004D3F59" w:rsidRDefault="00D9082A" w:rsidP="003D34CF">
      <w:pPr>
        <w:tabs>
          <w:tab w:val="left" w:pos="8222"/>
        </w:tabs>
        <w:spacing w:line="360" w:lineRule="auto"/>
        <w:ind w:right="397"/>
        <w:jc w:val="both"/>
        <w:rPr>
          <w:rFonts w:ascii="Palatino Linotype" w:eastAsia="Palatino Linotype" w:hAnsi="Palatino Linotype" w:cs="Palatino Linotype"/>
        </w:rPr>
      </w:pPr>
    </w:p>
    <w:p w14:paraId="2AFAE07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94</w:t>
      </w:r>
      <w:r w:rsidRPr="004D3F59">
        <w:rPr>
          <w:rFonts w:ascii="Palatino Linotype" w:eastAsia="Palatino Linotype" w:hAnsi="Palatino Linotype" w:cs="Palatino Linotype"/>
          <w:i/>
        </w:rPr>
        <w:t>. Durante el desarrollo del procedimiento de investigación las autoridades competentes serán responsables de:</w:t>
      </w:r>
    </w:p>
    <w:p w14:paraId="75822219"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 Observar los principios de legalidad, imparcialidad, objetividad, congruencia, verdad material y respeto a los derechos humanos.</w:t>
      </w:r>
    </w:p>
    <w:p w14:paraId="1C63165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 Realizar con oportunidad, exhaustividad y eficiencia la investigación, la integralidad de los datos y documentos, así como el resguardo del expediente en su conjunto.</w:t>
      </w:r>
    </w:p>
    <w:p w14:paraId="205DBC3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III. Incorporar a sus investigaciones, las técnicas, tecnologías y métodos de investigación que observen las mejores prácticas internacionales.</w:t>
      </w:r>
    </w:p>
    <w:p w14:paraId="470B2A74"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IV. Cooperar con las autoridades nacionales como internacionales a fin de fortalecer los procedimientos de investigación, compartir las mejores prácticas internacionales y combatir de manera efectiva la corrupción.</w:t>
      </w:r>
    </w:p>
    <w:p w14:paraId="12688A1F"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4F8782E7"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lastRenderedPageBreak/>
        <w:t>Artículo 95</w:t>
      </w:r>
      <w:r w:rsidRPr="004D3F59">
        <w:rPr>
          <w:rFonts w:ascii="Palatino Linotype" w:eastAsia="Palatino Linotype" w:hAnsi="Palatino Linotype" w:cs="Palatino Linotype"/>
          <w:i/>
        </w:rPr>
        <w:t>. La investigación por la presunta responsabilidad de faltas administrativas podrá iniciar:</w:t>
      </w:r>
    </w:p>
    <w:p w14:paraId="1CB5C83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 De oficio.</w:t>
      </w:r>
    </w:p>
    <w:p w14:paraId="04CF8A5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u w:val="single"/>
        </w:rPr>
      </w:pPr>
      <w:r w:rsidRPr="004D3F59">
        <w:rPr>
          <w:rFonts w:ascii="Palatino Linotype" w:eastAsia="Palatino Linotype" w:hAnsi="Palatino Linotype" w:cs="Palatino Linotype"/>
          <w:i/>
          <w:u w:val="single"/>
        </w:rPr>
        <w:t>II. Por denuncia.</w:t>
      </w:r>
    </w:p>
    <w:p w14:paraId="28FB6F65"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III. Derivado de las auditorías practicadas por parte de las autoridades competentes o en su caso, de auditores externos.</w:t>
      </w:r>
    </w:p>
    <w:p w14:paraId="50ED413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Las denuncias podrán ser anónimas. En su caso, las autoridades investigadoras deberán garantizar, proteger y mantener el carácter de confidencial la identidad de las personas que denuncien las presuntas infracciones.</w:t>
      </w:r>
    </w:p>
    <w:p w14:paraId="38EBDEC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4BCE658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98.</w:t>
      </w:r>
      <w:r w:rsidRPr="004D3F59">
        <w:rPr>
          <w:rFonts w:ascii="Palatino Linotype" w:eastAsia="Palatino Linotype" w:hAnsi="Palatino Linotype" w:cs="Palatino Linotype"/>
          <w:i/>
        </w:rPr>
        <w:t xml:space="preserve"> Las autoridades investigadoras llevarán de oficio las auditorías o investigaciones debidamente fundadas y motivadas respecto de las conductas de los servidores públicos y particulares que puedan constituir responsabilidades administrativas en el ámbito de su competencia.</w:t>
      </w:r>
    </w:p>
    <w:p w14:paraId="481A3287"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30114541"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Lo anterior sin menoscabo de las investigaciones que se deriven de las denuncias a que se hace referencia en el Capítulo anterior.</w:t>
      </w:r>
    </w:p>
    <w:p w14:paraId="219A8AC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40CAEF07"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99.</w:t>
      </w:r>
      <w:r w:rsidRPr="004D3F59">
        <w:rPr>
          <w:rFonts w:ascii="Palatino Linotype" w:eastAsia="Palatino Linotype" w:hAnsi="Palatino Linotype" w:cs="Palatino Linotype"/>
          <w:i/>
        </w:rPr>
        <w:t xml:space="preserv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w:t>
      </w:r>
      <w:r w:rsidRPr="004D3F59">
        <w:rPr>
          <w:rFonts w:ascii="Palatino Linotype" w:eastAsia="Palatino Linotype" w:hAnsi="Palatino Linotype" w:cs="Palatino Linotype"/>
          <w:i/>
        </w:rPr>
        <w:lastRenderedPageBreak/>
        <w:t>se refiere la presente Ley, con la obligación de mantener la misma reserva o secrecía, conforme a lo que determinen las leyes.</w:t>
      </w:r>
    </w:p>
    <w:p w14:paraId="4440A740"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7F5D1591"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deberán celebrar convenios de colaboración con las autoridades correspondientes.</w:t>
      </w:r>
    </w:p>
    <w:p w14:paraId="31115B4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01E79986"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Para efectos de lo previsto en el párrafo anterior, se observará lo dispuesto en el artículo 39 de la presente Ley.</w:t>
      </w:r>
    </w:p>
    <w:p w14:paraId="2CF95E48"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75A2B743"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Las autoridades encargadas de la investigación, por conducto de su titular, podrán ordenar la práctica de visitas de verificación, las cuales se sujetarán a lo previsto en el Código de Procedimientos Administrativos del Estado de México, incluyendo acciones encubiertas y usuario simulado con apego a la legalidad, la presente Ley y demás normatividad que para este fin sea expedida por los titulares de los entes públicos responsables.</w:t>
      </w:r>
    </w:p>
    <w:p w14:paraId="7E5D84A4"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64B678C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b/>
          <w:i/>
        </w:rPr>
      </w:pPr>
      <w:r w:rsidRPr="004D3F59">
        <w:rPr>
          <w:rFonts w:ascii="Palatino Linotype" w:eastAsia="Palatino Linotype" w:hAnsi="Palatino Linotype" w:cs="Palatino Linotype"/>
          <w:b/>
          <w:i/>
        </w:rPr>
        <w:t xml:space="preserve">Artículo 104. Las autoridades investigadoras una vez concluidas las diligencias de investigación, procederán al análisis de los hechos, así </w:t>
      </w:r>
      <w:r w:rsidRPr="004D3F59">
        <w:rPr>
          <w:rFonts w:ascii="Palatino Linotype" w:eastAsia="Palatino Linotype" w:hAnsi="Palatino Linotype" w:cs="Palatino Linotype"/>
          <w:b/>
          <w:i/>
        </w:rPr>
        <w:lastRenderedPageBreak/>
        <w:t>como de la información recabada, a efecto de determinar la existencia o inexistencia de actos u omisiones que la Ley señale como falta administrativa y en su caso, determinar su calificación como grave o no grave.</w:t>
      </w:r>
    </w:p>
    <w:p w14:paraId="4744EF45"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3A9BF6A5"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u w:val="single"/>
        </w:rPr>
      </w:pPr>
      <w:r w:rsidRPr="004D3F59">
        <w:rPr>
          <w:rFonts w:ascii="Palatino Linotype" w:eastAsia="Palatino Linotype" w:hAnsi="Palatino Linotype" w:cs="Palatino Linotype"/>
          <w:i/>
          <w:u w:val="single"/>
        </w:rPr>
        <w:t>Una vez determinada la calificación de la conducta en los términos del párrafo anterior, se incluirá la misma en el Informe de Presunta Responsabilidad Administrativa y éste se presentará ante la autoridad substanciadora a efecto de iniciar el procedimiento de responsabilidad administrativa correspondiente.</w:t>
      </w:r>
    </w:p>
    <w:p w14:paraId="0C51E3D9"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3C9EAF62"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b/>
          <w:i/>
          <w:u w:val="single"/>
        </w:rPr>
      </w:pPr>
      <w:r w:rsidRPr="004D3F59">
        <w:rPr>
          <w:rFonts w:ascii="Palatino Linotype" w:eastAsia="Palatino Linotype" w:hAnsi="Palatino Linotype" w:cs="Palatino Linotype"/>
          <w:b/>
          <w:i/>
          <w:u w:val="single"/>
        </w:rPr>
        <w:t>En el supuesto de no haberse encontrado elementos suficientes para demostrar la existencia de la infracción y acreditar la presunta responsabilidad del infractor, se emitirá un acuerdo de conclusión y archivo del expediente debidamente fundado y motivado.</w:t>
      </w:r>
    </w:p>
    <w:p w14:paraId="2EBB1B3E"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5B10EEC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Lo anterior sin perjuicio de poder reabrir la investigación en el supuesto de presentarse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14:paraId="33A5B059"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766B0E8F"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105.</w:t>
      </w:r>
      <w:r w:rsidRPr="004D3F59">
        <w:rPr>
          <w:rFonts w:ascii="Palatino Linotype" w:eastAsia="Palatino Linotype" w:hAnsi="Palatino Linotype" w:cs="Palatino Linotype"/>
          <w:i/>
        </w:rPr>
        <w:t xml:space="preserve"> Las autoridades substanciadoras, o en su caso, las </w:t>
      </w:r>
      <w:proofErr w:type="spellStart"/>
      <w:r w:rsidRPr="004D3F59">
        <w:rPr>
          <w:rFonts w:ascii="Palatino Linotype" w:eastAsia="Palatino Linotype" w:hAnsi="Palatino Linotype" w:cs="Palatino Linotype"/>
          <w:i/>
        </w:rPr>
        <w:t>resolutoras</w:t>
      </w:r>
      <w:proofErr w:type="spellEnd"/>
      <w:r w:rsidRPr="004D3F59">
        <w:rPr>
          <w:rFonts w:ascii="Palatino Linotype" w:eastAsia="Palatino Linotype" w:hAnsi="Palatino Linotype" w:cs="Palatino Linotype"/>
          <w:i/>
        </w:rPr>
        <w:t xml:space="preserve"> podrán abstenerse de iniciar el procedimiento de responsabilidad administrativa </w:t>
      </w:r>
      <w:r w:rsidRPr="004D3F59">
        <w:rPr>
          <w:rFonts w:ascii="Palatino Linotype" w:eastAsia="Palatino Linotype" w:hAnsi="Palatino Linotype" w:cs="Palatino Linotype"/>
          <w:i/>
        </w:rPr>
        <w:lastRenderedPageBreak/>
        <w:t>previsto en la presente Ley o de imponer sanciones administrativas a un servidor público, según sea el caso, en el supuesto que derivado de las investigaciones practicadas o de la valoración de las pruebas aportadas en el procedimiento referido, se advierta que no existe daño ni perjuicio a la Hacienda Pública Estatal o Municipal, o al patrimonio de los entes públicos y que se actualiza alguna de las siguientes hipótesis:</w:t>
      </w:r>
    </w:p>
    <w:p w14:paraId="041A880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w:t>
      </w:r>
    </w:p>
    <w:p w14:paraId="08E21732"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106</w:t>
      </w:r>
      <w:r w:rsidRPr="004D3F59">
        <w:rPr>
          <w:rFonts w:ascii="Palatino Linotype" w:eastAsia="Palatino Linotype" w:hAnsi="Palatino Linotype" w:cs="Palatino Linotype"/>
          <w:i/>
        </w:rPr>
        <w:t>. La calificación de los hechos como faltas administrativas no graves que realicen las autoridades investigadoras, será notificada al denunciante, cuando éste fuere identificable. Además de establecer la calificación que se le haya dado a la presunta falta, la notificación también contendrá de manera expresa la forma en que el notificado podrá acceder al expediente de presunta responsabilidad administrativa.</w:t>
      </w:r>
    </w:p>
    <w:p w14:paraId="64A07CAE"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7BDBFCC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La calificación y la abstención de iniciar el procedimiento de responsabilidad administrativa a que se refiere el artículo 105, podrán ser impugnadas, en su caso, por el denunciante, a través del recurso de inconformidad conforme al presente Capítulo. La presentación del recurso de inconformidad tendrá como efecto la suspensión del inicio del procedimiento de responsabilidad administrativa hasta en tanto dicho recurso sea resuelto.</w:t>
      </w:r>
    </w:p>
    <w:p w14:paraId="417DF2EE"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17DD5F9E"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lastRenderedPageBreak/>
        <w:t>Artículo 116.</w:t>
      </w:r>
      <w:r w:rsidRPr="004D3F59">
        <w:rPr>
          <w:rFonts w:ascii="Palatino Linotype" w:eastAsia="Palatino Linotype" w:hAnsi="Palatino Linotype" w:cs="Palatino Linotype"/>
          <w:i/>
        </w:rPr>
        <w:t xml:space="preserve"> El procedimiento de responsabilidad administrativa dará inicio cuando las autoridades substanciadoras, en el ámbito de su competencia, admitan el informe de presunta responsabilidad administrativa.</w:t>
      </w:r>
    </w:p>
    <w:p w14:paraId="22A9EAFF"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6BA8EDC2"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119</w:t>
      </w:r>
      <w:r w:rsidRPr="004D3F59">
        <w:rPr>
          <w:rFonts w:ascii="Palatino Linotype" w:eastAsia="Palatino Linotype" w:hAnsi="Palatino Linotype" w:cs="Palatino Linotype"/>
          <w:i/>
        </w:rPr>
        <w:t>. La autoridad a quien se encomiende la substanciación y en su caso, la resolución del procedimiento de responsabilidad administrativa, deberá ser distinto de aquél o aquellos encargados de la investigación. Para tal efecto, la Secretaría de la Contraloría, los órganos internos de control, el Órgano Superior de Fiscalización, así como las unidades de responsabilidades de las empresas de participación estatal o municipal, contarán con la estructura orgánica necesaria para realizar las funciones correspondientes a las autoridades investigadoras y substanciadoras y garantizarán la independencia entre ambas en el ejercicio de sus funciones.</w:t>
      </w:r>
    </w:p>
    <w:p w14:paraId="4AB6235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4877723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129</w:t>
      </w:r>
      <w:r w:rsidRPr="004D3F59">
        <w:rPr>
          <w:rFonts w:ascii="Palatino Linotype" w:eastAsia="Palatino Linotype" w:hAnsi="Palatino Linotype" w:cs="Palatino Linotype"/>
          <w:i/>
        </w:rPr>
        <w:t xml:space="preserve">. Para conocer la verdad de los hechos las autoridades </w:t>
      </w:r>
      <w:proofErr w:type="spellStart"/>
      <w:r w:rsidRPr="004D3F59">
        <w:rPr>
          <w:rFonts w:ascii="Palatino Linotype" w:eastAsia="Palatino Linotype" w:hAnsi="Palatino Linotype" w:cs="Palatino Linotype"/>
          <w:i/>
        </w:rPr>
        <w:t>resolutoras</w:t>
      </w:r>
      <w:proofErr w:type="spellEnd"/>
      <w:r w:rsidRPr="004D3F59">
        <w:rPr>
          <w:rFonts w:ascii="Palatino Linotype" w:eastAsia="Palatino Linotype" w:hAnsi="Palatino Linotype" w:cs="Palatino Linotype"/>
          <w:i/>
        </w:rPr>
        <w:t xml:space="preserve"> podrán valerse de cualquier persona o documento, ya sea que pertenezca a las partes o a terceros, sin más limitación que las pruebas hayan sido obtenidas lícitamente y con respeto a los derechos humanos, solo estará excluida la confesional a cargo de las partes por absolución de posiciones.</w:t>
      </w:r>
    </w:p>
    <w:p w14:paraId="296664A1"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582F3F7E"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 xml:space="preserve">Las autoridades </w:t>
      </w:r>
      <w:proofErr w:type="spellStart"/>
      <w:r w:rsidRPr="004D3F59">
        <w:rPr>
          <w:rFonts w:ascii="Palatino Linotype" w:eastAsia="Palatino Linotype" w:hAnsi="Palatino Linotype" w:cs="Palatino Linotype"/>
          <w:i/>
        </w:rPr>
        <w:t>resolutoras</w:t>
      </w:r>
      <w:proofErr w:type="spellEnd"/>
      <w:r w:rsidRPr="004D3F59">
        <w:rPr>
          <w:rFonts w:ascii="Palatino Linotype" w:eastAsia="Palatino Linotype" w:hAnsi="Palatino Linotype" w:cs="Palatino Linotype"/>
          <w:i/>
        </w:rPr>
        <w:t xml:space="preserve"> gozarán de la más amplia libertad para hacer el análisis, darle el valor correspondiente a cada una de las pruebas, atendiendo a las reglas de la lógica, la sana crítica y de la experiencia, deberán justificar </w:t>
      </w:r>
      <w:r w:rsidRPr="004D3F59">
        <w:rPr>
          <w:rFonts w:ascii="Palatino Linotype" w:eastAsia="Palatino Linotype" w:hAnsi="Palatino Linotype" w:cs="Palatino Linotype"/>
          <w:i/>
        </w:rPr>
        <w:lastRenderedPageBreak/>
        <w:t>adecuadamente el valor otorgado a las pruebas y explicarán y justificarán su valoración con base en la apreciación conjunta, integral y armónica de todos los elementos probatorios directos, indirectos e indiciarios que aparezcan en el procedimiento.</w:t>
      </w:r>
    </w:p>
    <w:p w14:paraId="27A397CC"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4A032A7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180</w:t>
      </w:r>
      <w:r w:rsidRPr="004D3F59">
        <w:rPr>
          <w:rFonts w:ascii="Palatino Linotype" w:eastAsia="Palatino Linotype" w:hAnsi="Palatino Linotype" w:cs="Palatino Linotype"/>
          <w:i/>
        </w:rPr>
        <w:t>. El Informe de Presunta Responsabilidad Administrativa será integrado y emitido por las autoridades investigadoras y deberá contener los siguientes elementos:</w:t>
      </w:r>
    </w:p>
    <w:p w14:paraId="76815B17"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 El nombre de la autoridad investigadora.</w:t>
      </w:r>
    </w:p>
    <w:p w14:paraId="5B907A37"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 El domicilio de la autoridad investigadora para oír y recibir notificaciones.</w:t>
      </w:r>
    </w:p>
    <w:p w14:paraId="50AD695F"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III. El nombre o nombres de los servidores públicos que podrán imponerse de los autos que se dicten en el expediente de responsabilidad administrativa por parte de la autoridad investigadora, precisando el alcance de la autorización otorgada.</w:t>
      </w:r>
    </w:p>
    <w:p w14:paraId="27B02FB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IV. El nombre y domicilio del servidor público a quien se señale como presunto responsable, así como el ente público al que se encuentre adscrito y el cargo que desempeñe.</w:t>
      </w:r>
    </w:p>
    <w:p w14:paraId="2D24316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60887B7C"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En caso de que los presuntos responsables sean particulares, se deberá señalar su nombre o razón social, así como el domicilio donde podrán ser emplazados.</w:t>
      </w:r>
    </w:p>
    <w:p w14:paraId="6EF624ED"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V. La narración lógica y cronológica de los hechos que dieron lugar a la comisión de la presunta falta administrativa.</w:t>
      </w:r>
    </w:p>
    <w:p w14:paraId="73F392F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VI. La infracción que se le imputa al señalado como presunto responsable, precisando las razones por las que se considera que ha cometido la falta.</w:t>
      </w:r>
    </w:p>
    <w:p w14:paraId="625A7CD3"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lastRenderedPageBreak/>
        <w:t>VII. Las pruebas que se ofrecerán en el procedimiento de responsabilidad administrativa para acreditar la comisión de la falta administrativa y la responsabilidad atribuida al presunto responsable, debiéndose exhibir las pruebas documentales que obren en su poder, o bien, aquellas que no estándolo, se acredite con el acuse de recibo correspondiente debidamente sellado por la autoridad competente, que la solicitó con la debida oportunidad.</w:t>
      </w:r>
    </w:p>
    <w:p w14:paraId="44739C2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VIII. La solicitud de medidas cautelares, de ser el caso.</w:t>
      </w:r>
    </w:p>
    <w:p w14:paraId="223AFE95"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IX. Firma autógrafa de la autoridad investigadora.</w:t>
      </w:r>
    </w:p>
    <w:p w14:paraId="4C454F41"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184.</w:t>
      </w:r>
      <w:r w:rsidRPr="004D3F59">
        <w:rPr>
          <w:rFonts w:ascii="Palatino Linotype" w:eastAsia="Palatino Linotype" w:hAnsi="Palatino Linotype" w:cs="Palatino Linotype"/>
          <w:i/>
        </w:rPr>
        <w:t xml:space="preserve"> El desarrollo de las audiencias del procedimiento de responsabilidad administrativa, se llevarán a cabo de conformidad con las siguientes reglas:</w:t>
      </w:r>
    </w:p>
    <w:p w14:paraId="19FE4223"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 Serán públicas.</w:t>
      </w:r>
    </w:p>
    <w:p w14:paraId="4A3C042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 No se permitirá la interrupción de la audiencia por parte de persona alguna, ya sea por los que intervienen en ella o por aquellos ajenos a la misma.</w:t>
      </w:r>
    </w:p>
    <w:p w14:paraId="7B78BC16"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61D4895B"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188.</w:t>
      </w:r>
      <w:r w:rsidRPr="004D3F59">
        <w:rPr>
          <w:rFonts w:ascii="Palatino Linotype" w:eastAsia="Palatino Linotype" w:hAnsi="Palatino Linotype" w:cs="Palatino Linotype"/>
          <w:i/>
        </w:rPr>
        <w:t xml:space="preserve"> Las resoluciones serán:</w:t>
      </w:r>
    </w:p>
    <w:p w14:paraId="31A66185"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 Acuerdos, cuando se trate de resoluciones de trámite.</w:t>
      </w:r>
    </w:p>
    <w:p w14:paraId="56F7EFA6"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 Autos provisionales, los que se refieren a determinaciones que se ejecuten provisionalmente.</w:t>
      </w:r>
    </w:p>
    <w:p w14:paraId="00B1A653"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III. Autos preparatorios, a las resoluciones por las que se prepara el conocimiento y decisión de un asunto, se ordena la admisión, la preparación y desahogo de pruebas.</w:t>
      </w:r>
    </w:p>
    <w:p w14:paraId="3A466AA9"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lastRenderedPageBreak/>
        <w:t xml:space="preserve">IV. Sentencias interlocutorias, aquellas que resuelven sobre un incidente o una cuestión </w:t>
      </w:r>
      <w:proofErr w:type="spellStart"/>
      <w:r w:rsidRPr="004D3F59">
        <w:rPr>
          <w:rFonts w:ascii="Palatino Linotype" w:eastAsia="Palatino Linotype" w:hAnsi="Palatino Linotype" w:cs="Palatino Linotype"/>
          <w:i/>
        </w:rPr>
        <w:t>intraprocesal</w:t>
      </w:r>
      <w:proofErr w:type="spellEnd"/>
      <w:r w:rsidRPr="004D3F59">
        <w:rPr>
          <w:rFonts w:ascii="Palatino Linotype" w:eastAsia="Palatino Linotype" w:hAnsi="Palatino Linotype" w:cs="Palatino Linotype"/>
          <w:i/>
        </w:rPr>
        <w:t xml:space="preserve"> o accesoria al procedimiento.</w:t>
      </w:r>
    </w:p>
    <w:p w14:paraId="3A76AB30"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r w:rsidRPr="004D3F59">
        <w:rPr>
          <w:rFonts w:ascii="Palatino Linotype" w:eastAsia="Palatino Linotype" w:hAnsi="Palatino Linotype" w:cs="Palatino Linotype"/>
          <w:i/>
        </w:rPr>
        <w:t>V. Sentencias definitivas, las que resuelven el fondo del procedimiento de responsabilidad administrativa.</w:t>
      </w:r>
    </w:p>
    <w:p w14:paraId="759234EA" w14:textId="77777777" w:rsidR="00D9082A" w:rsidRPr="004D3F59" w:rsidRDefault="00D9082A" w:rsidP="003D34CF">
      <w:pPr>
        <w:tabs>
          <w:tab w:val="left" w:pos="8222"/>
        </w:tabs>
        <w:spacing w:line="360" w:lineRule="auto"/>
        <w:ind w:left="567" w:right="539"/>
        <w:jc w:val="both"/>
        <w:rPr>
          <w:rFonts w:ascii="Palatino Linotype" w:eastAsia="Palatino Linotype" w:hAnsi="Palatino Linotype" w:cs="Palatino Linotype"/>
          <w:i/>
        </w:rPr>
      </w:pPr>
    </w:p>
    <w:p w14:paraId="0504E51B" w14:textId="77777777" w:rsidR="00D9082A" w:rsidRPr="004D3F59" w:rsidRDefault="00D9082A"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Conforme a lo anterior, en lo que interesa al presente asunto, se considera que previo al inicio de un procedimiento de responsabilidad se desarrolla el procedimiento de investigación, el cual consiste en lo siguiente:</w:t>
      </w:r>
    </w:p>
    <w:p w14:paraId="27D5E619" w14:textId="77777777" w:rsidR="00D9082A" w:rsidRPr="004D3F59" w:rsidRDefault="00D9082A" w:rsidP="003D34CF">
      <w:pPr>
        <w:spacing w:line="360" w:lineRule="auto"/>
        <w:jc w:val="both"/>
        <w:rPr>
          <w:rFonts w:ascii="Palatino Linotype" w:eastAsia="Palatino Linotype" w:hAnsi="Palatino Linotype" w:cs="Palatino Linotype"/>
        </w:rPr>
      </w:pPr>
    </w:p>
    <w:p w14:paraId="53E903C7" w14:textId="77777777" w:rsidR="00D9082A" w:rsidRPr="004D3F59" w:rsidRDefault="00D9082A" w:rsidP="003D34CF">
      <w:pPr>
        <w:numPr>
          <w:ilvl w:val="0"/>
          <w:numId w:val="26"/>
        </w:numPr>
        <w:pBdr>
          <w:top w:val="nil"/>
          <w:left w:val="nil"/>
          <w:bottom w:val="nil"/>
          <w:right w:val="nil"/>
          <w:between w:val="nil"/>
        </w:pBdr>
        <w:spacing w:line="360" w:lineRule="auto"/>
        <w:ind w:left="709"/>
        <w:jc w:val="both"/>
        <w:rPr>
          <w:rFonts w:ascii="Palatino Linotype" w:eastAsia="Palatino Linotype" w:hAnsi="Palatino Linotype" w:cs="Palatino Linotype"/>
          <w:b/>
        </w:rPr>
      </w:pPr>
      <w:r w:rsidRPr="004D3F59">
        <w:rPr>
          <w:rFonts w:ascii="Palatino Linotype" w:eastAsia="Palatino Linotype" w:hAnsi="Palatino Linotype" w:cs="Palatino Linotype"/>
          <w:b/>
        </w:rPr>
        <w:t xml:space="preserve">Inicia: </w:t>
      </w:r>
    </w:p>
    <w:p w14:paraId="2D42DA10" w14:textId="77777777" w:rsidR="00D9082A" w:rsidRPr="004D3F59" w:rsidRDefault="00D9082A" w:rsidP="003D34CF">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De oficio </w:t>
      </w:r>
    </w:p>
    <w:p w14:paraId="78B45972" w14:textId="77777777" w:rsidR="00D9082A" w:rsidRPr="004D3F59" w:rsidRDefault="00D9082A" w:rsidP="003D34CF">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b/>
        </w:rPr>
      </w:pPr>
      <w:r w:rsidRPr="004D3F59">
        <w:rPr>
          <w:rFonts w:ascii="Palatino Linotype" w:eastAsia="Palatino Linotype" w:hAnsi="Palatino Linotype" w:cs="Palatino Linotype"/>
          <w:b/>
        </w:rPr>
        <w:t xml:space="preserve">Por denuncia </w:t>
      </w:r>
    </w:p>
    <w:p w14:paraId="39D86F1D" w14:textId="77777777" w:rsidR="00D9082A" w:rsidRPr="004D3F59" w:rsidRDefault="00D9082A" w:rsidP="003D34CF">
      <w:pPr>
        <w:numPr>
          <w:ilvl w:val="0"/>
          <w:numId w:val="24"/>
        </w:numPr>
        <w:pBdr>
          <w:top w:val="nil"/>
          <w:left w:val="nil"/>
          <w:bottom w:val="nil"/>
          <w:right w:val="nil"/>
          <w:between w:val="nil"/>
        </w:pBdr>
        <w:spacing w:line="360" w:lineRule="auto"/>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Derivado de auditorías </w:t>
      </w:r>
    </w:p>
    <w:p w14:paraId="3F2B7963" w14:textId="77777777" w:rsidR="00D9082A" w:rsidRPr="004D3F59" w:rsidRDefault="00D9082A" w:rsidP="003D34CF">
      <w:pPr>
        <w:numPr>
          <w:ilvl w:val="0"/>
          <w:numId w:val="26"/>
        </w:numPr>
        <w:pBdr>
          <w:top w:val="nil"/>
          <w:left w:val="nil"/>
          <w:bottom w:val="nil"/>
          <w:right w:val="nil"/>
          <w:between w:val="nil"/>
        </w:pBdr>
        <w:spacing w:line="360" w:lineRule="auto"/>
        <w:ind w:left="709"/>
        <w:jc w:val="both"/>
        <w:rPr>
          <w:rFonts w:ascii="Palatino Linotype" w:eastAsia="Palatino Linotype" w:hAnsi="Palatino Linotype" w:cs="Palatino Linotype"/>
          <w:b/>
        </w:rPr>
      </w:pPr>
      <w:r w:rsidRPr="004D3F59">
        <w:rPr>
          <w:rFonts w:ascii="Palatino Linotype" w:eastAsia="Palatino Linotype" w:hAnsi="Palatino Linotype" w:cs="Palatino Linotype"/>
        </w:rPr>
        <w:t>Las autoridades investigadoras una vez concluidas las diligencias de investigación, pueden proceder de la siguiente manera:</w:t>
      </w:r>
    </w:p>
    <w:p w14:paraId="01DC9A3E" w14:textId="77777777" w:rsidR="00D9082A" w:rsidRPr="004D3F59" w:rsidRDefault="00D9082A" w:rsidP="003D34CF">
      <w:pPr>
        <w:numPr>
          <w:ilvl w:val="0"/>
          <w:numId w:val="25"/>
        </w:numPr>
        <w:pBdr>
          <w:top w:val="nil"/>
          <w:left w:val="nil"/>
          <w:bottom w:val="nil"/>
          <w:right w:val="nil"/>
          <w:between w:val="nil"/>
        </w:pBdr>
        <w:spacing w:line="360" w:lineRule="auto"/>
        <w:jc w:val="both"/>
        <w:rPr>
          <w:rFonts w:ascii="Palatino Linotype" w:eastAsia="Palatino Linotype" w:hAnsi="Palatino Linotype" w:cs="Palatino Linotype"/>
          <w:b/>
        </w:rPr>
      </w:pPr>
      <w:r w:rsidRPr="004D3F59">
        <w:rPr>
          <w:rFonts w:ascii="Palatino Linotype" w:eastAsia="Palatino Linotype" w:hAnsi="Palatino Linotype" w:cs="Palatino Linotype"/>
        </w:rPr>
        <w:t>Una vez determinada la calificación de la conducta, se incluirá la misma en el Informe de Presunta Responsabilidad Administrativa y este se presentará ante la autoridad substanciadora a efecto de iniciar el procedimiento de responsabilidad administrativa correspondiente.</w:t>
      </w:r>
    </w:p>
    <w:p w14:paraId="0715F6BF" w14:textId="77777777" w:rsidR="00D9082A" w:rsidRPr="004D3F59" w:rsidRDefault="00D9082A" w:rsidP="003D34CF">
      <w:pPr>
        <w:numPr>
          <w:ilvl w:val="0"/>
          <w:numId w:val="25"/>
        </w:numPr>
        <w:pBdr>
          <w:top w:val="nil"/>
          <w:left w:val="nil"/>
          <w:bottom w:val="nil"/>
          <w:right w:val="nil"/>
          <w:between w:val="nil"/>
        </w:pBdr>
        <w:spacing w:line="360" w:lineRule="auto"/>
        <w:jc w:val="both"/>
        <w:rPr>
          <w:rFonts w:ascii="Palatino Linotype" w:eastAsia="Palatino Linotype" w:hAnsi="Palatino Linotype" w:cs="Palatino Linotype"/>
          <w:b/>
        </w:rPr>
      </w:pPr>
      <w:r w:rsidRPr="004D3F59">
        <w:rPr>
          <w:rFonts w:ascii="Palatino Linotype" w:eastAsia="Palatino Linotype" w:hAnsi="Palatino Linotype" w:cs="Palatino Linotype"/>
        </w:rPr>
        <w:t>En caso de no encontrarse elementos suficientes para demostrar la existencia de la infracción y acreditar la presunta responsabilidad del infractor, se procederá a emitir un acuerdo de conclusión y archivo del expediente debidamente fundado y motivado.</w:t>
      </w:r>
    </w:p>
    <w:p w14:paraId="70A7B608" w14:textId="77777777" w:rsidR="00D9082A" w:rsidRPr="004D3F59" w:rsidRDefault="00D9082A"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lastRenderedPageBreak/>
        <w:t xml:space="preserve">De lo anterior se advierte que, si durante el procedimiento de investigación, no se encuentran elementos suficientes para demostrar la existencia de la infracción y acreditar la presunta responsabilidad del infractor, la autoridad investigadora procede a emitir un acuerdo de conclusión y archivo del expediente debidamente fundado y motivado; acuerdo que da por concluida la etapa de investigación y por lo tanto </w:t>
      </w:r>
      <w:r w:rsidRPr="004D3F59">
        <w:rPr>
          <w:rFonts w:ascii="Palatino Linotype" w:eastAsia="Palatino Linotype" w:hAnsi="Palatino Linotype" w:cs="Palatino Linotype"/>
          <w:b/>
        </w:rPr>
        <w:t>no se da inicio al procedimiento de responsabilidades administrativas</w:t>
      </w:r>
      <w:r w:rsidRPr="004D3F59">
        <w:rPr>
          <w:rFonts w:ascii="Palatino Linotype" w:eastAsia="Palatino Linotype" w:hAnsi="Palatino Linotype" w:cs="Palatino Linotype"/>
        </w:rPr>
        <w:t>, dando paso a la conclusión y archivo por carecer de elementos para dar pauta al procedimiento administrativo.</w:t>
      </w:r>
    </w:p>
    <w:p w14:paraId="6CFF4E06" w14:textId="77777777" w:rsidR="00D9082A" w:rsidRPr="004D3F59" w:rsidRDefault="00D9082A"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19613A49" w14:textId="77777777" w:rsidR="006D4C18" w:rsidRPr="004D3F59" w:rsidRDefault="00D9082A"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En esa </w:t>
      </w:r>
      <w:r w:rsidRPr="004D3F59">
        <w:rPr>
          <w:rFonts w:ascii="Palatino Linotype" w:eastAsia="Palatino Linotype" w:hAnsi="Palatino Linotype" w:cs="Palatino Linotype"/>
        </w:rPr>
        <w:t>tesitura,</w:t>
      </w:r>
      <w:r w:rsidRPr="004D3F59">
        <w:rPr>
          <w:rFonts w:ascii="Palatino Linotype" w:eastAsia="Palatino Linotype" w:hAnsi="Palatino Linotype" w:cs="Palatino Linotype"/>
          <w:color w:val="000000"/>
        </w:rPr>
        <w:t xml:space="preserve"> en necesario traer a colación la solicitud de información relativa a: </w:t>
      </w:r>
      <w:r w:rsidRPr="004D3F59">
        <w:rPr>
          <w:rFonts w:ascii="Palatino Linotype" w:eastAsia="Palatino Linotype" w:hAnsi="Palatino Linotype" w:cs="Palatino Linotype"/>
          <w:i/>
          <w:color w:val="000000"/>
        </w:rPr>
        <w:t>“…y si fuera el caso sanción establecida”</w:t>
      </w:r>
      <w:r w:rsidRPr="004D3F59">
        <w:rPr>
          <w:rFonts w:ascii="Palatino Linotype" w:eastAsia="Palatino Linotype" w:hAnsi="Palatino Linotype" w:cs="Palatino Linotype"/>
          <w:color w:val="000000"/>
        </w:rPr>
        <w:t xml:space="preserve">, ya que como se señala, en dicha etapa no se establecen sanciones; sin embargo no se considera motivo suficiente para desechar el rubro en comento, toda vez que ciertamente de las investigaciones iniciadas, de ellas pudieron reunirse los elementos de probable responsabilidad, que dieran paso al inicio del procedimiento de responsabilidades, que luego de concluidos, se haya materializado en una responsabilidad administrativa; luego entonces la sanción impuesta estará relacionada a la investigación previa y es esa la información que puede colmar la pretensión del hoy </w:t>
      </w:r>
      <w:r w:rsidRPr="004D3F59">
        <w:rPr>
          <w:rFonts w:ascii="Palatino Linotype" w:eastAsia="Palatino Linotype" w:hAnsi="Palatino Linotype" w:cs="Palatino Linotype"/>
          <w:b/>
          <w:color w:val="000000"/>
        </w:rPr>
        <w:t>RECURRENTE.</w:t>
      </w:r>
    </w:p>
    <w:p w14:paraId="4205D0F8" w14:textId="77777777" w:rsidR="00D9082A" w:rsidRPr="004D3F59" w:rsidRDefault="00D9082A" w:rsidP="003D34CF">
      <w:pPr>
        <w:pStyle w:val="Prrafodelista"/>
        <w:spacing w:line="360" w:lineRule="auto"/>
        <w:rPr>
          <w:rFonts w:ascii="Palatino Linotype" w:eastAsia="Palatino Linotype" w:hAnsi="Palatino Linotype" w:cs="Palatino Linotype"/>
          <w:color w:val="000000"/>
        </w:rPr>
      </w:pPr>
    </w:p>
    <w:p w14:paraId="742E9AC0" w14:textId="77777777" w:rsidR="00D9082A" w:rsidRPr="004D3F59" w:rsidRDefault="00D9082A"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Hecho al que conviene traer a contexto el último rubro que integra la solicitud de información, es decir el nombre de los servidores públicos. Toda vez que si bien es cierto los nombres de los servidores públicos, deben ser </w:t>
      </w:r>
      <w:r w:rsidR="00385D64" w:rsidRPr="004D3F59">
        <w:rPr>
          <w:rFonts w:ascii="Palatino Linotype" w:eastAsia="Palatino Linotype" w:hAnsi="Palatino Linotype" w:cs="Palatino Linotype"/>
          <w:color w:val="000000"/>
        </w:rPr>
        <w:t>publicitados</w:t>
      </w:r>
      <w:r w:rsidRPr="004D3F59">
        <w:rPr>
          <w:rFonts w:ascii="Palatino Linotype" w:eastAsia="Palatino Linotype" w:hAnsi="Palatino Linotype" w:cs="Palatino Linotype"/>
          <w:color w:val="000000"/>
        </w:rPr>
        <w:t>,</w:t>
      </w:r>
      <w:r w:rsidR="00385D64" w:rsidRPr="004D3F59">
        <w:rPr>
          <w:rFonts w:ascii="Palatino Linotype" w:eastAsia="Palatino Linotype" w:hAnsi="Palatino Linotype" w:cs="Palatino Linotype"/>
          <w:color w:val="000000"/>
        </w:rPr>
        <w:t xml:space="preserve"> </w:t>
      </w:r>
      <w:r w:rsidR="00385D64" w:rsidRPr="004D3F59">
        <w:rPr>
          <w:rFonts w:ascii="Palatino Linotype" w:eastAsia="Palatino Linotype" w:hAnsi="Palatino Linotype" w:cs="Palatino Linotype"/>
          <w:color w:val="000000"/>
        </w:rPr>
        <w:lastRenderedPageBreak/>
        <w:t>existe la posibilidad de</w:t>
      </w:r>
      <w:r w:rsidRPr="004D3F59">
        <w:rPr>
          <w:rFonts w:ascii="Palatino Linotype" w:eastAsia="Palatino Linotype" w:hAnsi="Palatino Linotype" w:cs="Palatino Linotype"/>
          <w:color w:val="000000"/>
        </w:rPr>
        <w:t xml:space="preserve"> actualiza</w:t>
      </w:r>
      <w:r w:rsidR="00385D64" w:rsidRPr="004D3F59">
        <w:rPr>
          <w:rFonts w:ascii="Palatino Linotype" w:eastAsia="Palatino Linotype" w:hAnsi="Palatino Linotype" w:cs="Palatino Linotype"/>
          <w:color w:val="000000"/>
        </w:rPr>
        <w:t>r</w:t>
      </w:r>
      <w:r w:rsidRPr="004D3F59">
        <w:rPr>
          <w:rFonts w:ascii="Palatino Linotype" w:eastAsia="Palatino Linotype" w:hAnsi="Palatino Linotype" w:cs="Palatino Linotype"/>
          <w:color w:val="000000"/>
        </w:rPr>
        <w:t xml:space="preserve"> una causal de reserva cuando se encuentran relacionados a procedimientos de los que versan la presente solicitud</w:t>
      </w:r>
      <w:r w:rsidR="00385D64" w:rsidRPr="004D3F59">
        <w:rPr>
          <w:rFonts w:ascii="Palatino Linotype" w:eastAsia="Palatino Linotype" w:hAnsi="Palatino Linotype" w:cs="Palatino Linotype"/>
          <w:color w:val="000000"/>
        </w:rPr>
        <w:t>.</w:t>
      </w:r>
    </w:p>
    <w:p w14:paraId="3AF39DBA" w14:textId="77777777" w:rsidR="00385D64" w:rsidRPr="004D3F59" w:rsidRDefault="00385D64" w:rsidP="003D34CF">
      <w:pPr>
        <w:pStyle w:val="Prrafodelista"/>
        <w:spacing w:line="360" w:lineRule="auto"/>
        <w:rPr>
          <w:rFonts w:ascii="Palatino Linotype" w:eastAsia="Palatino Linotype" w:hAnsi="Palatino Linotype" w:cs="Palatino Linotype"/>
          <w:color w:val="000000"/>
        </w:rPr>
      </w:pPr>
    </w:p>
    <w:p w14:paraId="2EF6CAA7"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Ello toda vez, que dar a conocer el nombre del servidor público relacionado a un procedimiento de responsabilidad administrativa no grave, constituye </w:t>
      </w:r>
      <w:r w:rsidRPr="004D3F59">
        <w:rPr>
          <w:rFonts w:ascii="Palatino Linotype" w:eastAsia="Palatino Linotype" w:hAnsi="Palatino Linotype" w:cs="Palatino Linotype"/>
          <w:color w:val="000000"/>
        </w:rPr>
        <w:t>información</w:t>
      </w:r>
      <w:r w:rsidRPr="004D3F59">
        <w:rPr>
          <w:rFonts w:ascii="Palatino Linotype" w:eastAsia="Palatino Linotype" w:hAnsi="Palatino Linotype" w:cs="Palatino Linotype"/>
        </w:rPr>
        <w:t xml:space="preserve"> confidencial que afecta su esfera privada, puesto que podría generar una percepción negativa de este, ocasionando un perjuicio en su </w:t>
      </w:r>
      <w:r w:rsidRPr="004D3F59">
        <w:rPr>
          <w:rFonts w:ascii="Palatino Linotype" w:eastAsia="Palatino Linotype" w:hAnsi="Palatino Linotype" w:cs="Palatino Linotype"/>
          <w:b/>
        </w:rPr>
        <w:t>honor, intimidad y buena imagen</w:t>
      </w:r>
      <w:r w:rsidRPr="004D3F59">
        <w:rPr>
          <w:rFonts w:ascii="Palatino Linotype" w:eastAsia="Palatino Linotype" w:hAnsi="Palatino Linotype" w:cs="Palatino Linotype"/>
        </w:rPr>
        <w:t>, pues como se precisó la afectación es para el propio servidor público, situación que no afecta a terceros.</w:t>
      </w:r>
    </w:p>
    <w:p w14:paraId="4CC93997" w14:textId="77777777" w:rsidR="00E86AE9" w:rsidRPr="004D3F59" w:rsidRDefault="00E86AE9" w:rsidP="003D34CF">
      <w:pPr>
        <w:pStyle w:val="Prrafodelista"/>
        <w:spacing w:line="360" w:lineRule="auto"/>
        <w:rPr>
          <w:rFonts w:ascii="Palatino Linotype" w:eastAsia="Palatino Linotype" w:hAnsi="Palatino Linotype" w:cs="Palatino Linotype"/>
        </w:rPr>
      </w:pPr>
    </w:p>
    <w:p w14:paraId="5EB33649"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En otras palabras, dar a conocer el nombre y cargo del servidor público, así como la sanción  que haya recibido por una falta administrativa no grave, la cual no causa una afectación a otros, pues como se precisó en párrafos anteriores, se trata de incumplimientos a sus funciones u obligaciones, podría generar un juicio </w:t>
      </w:r>
      <w:r w:rsidRPr="004D3F59">
        <w:rPr>
          <w:rFonts w:ascii="Palatino Linotype" w:eastAsia="Palatino Linotype" w:hAnsi="Palatino Linotype" w:cs="Palatino Linotype"/>
          <w:i/>
        </w:rPr>
        <w:t>a priori</w:t>
      </w:r>
      <w:r w:rsidRPr="004D3F59">
        <w:rPr>
          <w:rFonts w:ascii="Palatino Linotype" w:eastAsia="Palatino Linotype" w:hAnsi="Palatino Linotype" w:cs="Palatino Linotype"/>
        </w:rPr>
        <w:t xml:space="preserve"> por parte de la sociedad, afectando su prestigio y su buen nombre, pues esto podría causar una mala percepción del servidor público frente a la sociedad, </w:t>
      </w:r>
      <w:r w:rsidRPr="004D3F59">
        <w:rPr>
          <w:rFonts w:ascii="Palatino Linotype" w:eastAsia="Palatino Linotype" w:hAnsi="Palatino Linotype" w:cs="Palatino Linotype"/>
          <w:b/>
        </w:rPr>
        <w:t>lo cual daña su vida privada y profesional,</w:t>
      </w:r>
      <w:r w:rsidRPr="004D3F59">
        <w:rPr>
          <w:rFonts w:ascii="Palatino Linotype" w:eastAsia="Palatino Linotype" w:hAnsi="Palatino Linotype" w:cs="Palatino Linotype"/>
        </w:rPr>
        <w:t xml:space="preserve"> mismas que forman parte de su intimidad; por lo que se concluye que dicha información, en caso de que existiera, tiene el carácter de confidencial.</w:t>
      </w:r>
    </w:p>
    <w:p w14:paraId="1C3685F5" w14:textId="77777777" w:rsidR="00E86AE9" w:rsidRPr="004D3F59" w:rsidRDefault="00E86AE9"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2BDD002"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Caso contrario, respecto a los procedimientos sobre faltas administrativas </w:t>
      </w:r>
      <w:r w:rsidRPr="004D3F59">
        <w:rPr>
          <w:rFonts w:ascii="Palatino Linotype" w:eastAsia="Palatino Linotype" w:hAnsi="Palatino Linotype" w:cs="Palatino Linotype"/>
          <w:b/>
        </w:rPr>
        <w:t>graves</w:t>
      </w:r>
      <w:r w:rsidRPr="004D3F59">
        <w:rPr>
          <w:rFonts w:ascii="Palatino Linotype" w:eastAsia="Palatino Linotype" w:hAnsi="Palatino Linotype" w:cs="Palatino Linotype"/>
        </w:rPr>
        <w:t xml:space="preserve"> que se encuentren en trámite, esto es que no hayan causado estado, se estima que se trata de información que debe ser clasificada como reservada, porque de </w:t>
      </w:r>
      <w:r w:rsidRPr="004D3F59">
        <w:rPr>
          <w:rFonts w:ascii="Palatino Linotype" w:eastAsia="Palatino Linotype" w:hAnsi="Palatino Linotype" w:cs="Palatino Linotype"/>
        </w:rPr>
        <w:lastRenderedPageBreak/>
        <w:t>revelarse la información se atenta contra el principio de presunción de inocencia que debe seguirse en la administración de la justicia, conforme a lo que enseguida se razona.</w:t>
      </w:r>
    </w:p>
    <w:p w14:paraId="76E1CBEB" w14:textId="77777777" w:rsidR="00E86AE9" w:rsidRPr="004D3F59" w:rsidRDefault="00E86AE9"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F58E57D"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La Suprema Corte de Justicia de la Nación resolvió en la contradicción de tesis 200/2013 que en los procedimientos de responsabilidad administrativa es aplicable el principio de presunción de inocencia con sus respectivos matices. En la resolución son de interés los siguientes argumentos</w:t>
      </w:r>
      <w:r w:rsidRPr="004D3F59">
        <w:rPr>
          <w:rFonts w:ascii="Palatino Linotype" w:eastAsia="Palatino Linotype" w:hAnsi="Palatino Linotype" w:cs="Palatino Linotype"/>
          <w:vertAlign w:val="superscript"/>
        </w:rPr>
        <w:footnoteReference w:id="1"/>
      </w:r>
      <w:r w:rsidRPr="004D3F59">
        <w:rPr>
          <w:rFonts w:ascii="Palatino Linotype" w:eastAsia="Palatino Linotype" w:hAnsi="Palatino Linotype" w:cs="Palatino Linotype"/>
        </w:rPr>
        <w:t>.</w:t>
      </w:r>
    </w:p>
    <w:p w14:paraId="2068D4A3" w14:textId="77777777" w:rsidR="00E86AE9" w:rsidRPr="004D3F59" w:rsidRDefault="00E86AE9" w:rsidP="003D34CF">
      <w:pPr>
        <w:spacing w:line="360" w:lineRule="auto"/>
        <w:ind w:left="851" w:right="851"/>
        <w:jc w:val="both"/>
        <w:rPr>
          <w:rFonts w:ascii="Palatino Linotype" w:eastAsia="Palatino Linotype" w:hAnsi="Palatino Linotype" w:cs="Palatino Linotype"/>
          <w:i/>
        </w:rPr>
      </w:pPr>
      <w:r w:rsidRPr="004D3F59">
        <w:rPr>
          <w:rFonts w:ascii="Palatino Linotype" w:eastAsia="Palatino Linotype" w:hAnsi="Palatino Linotype" w:cs="Palatino Linotype"/>
          <w:b/>
          <w:i/>
        </w:rPr>
        <w:t>i</w:t>
      </w:r>
      <w:r w:rsidRPr="004D3F59">
        <w:rPr>
          <w:rFonts w:ascii="Palatino Linotype" w:eastAsia="Palatino Linotype" w:hAnsi="Palatino Linotype" w:cs="Palatino Linotype"/>
          <w:i/>
        </w:rPr>
        <w:t>. La Constitución Federal reconoce el estado o condición de inocencia de los gobernados, razón por la cual lo protege a través del derecho de toda persona a que se presuma su inocencia, lo que significa que todo hombre debe ser tratado con tal calidad -inocente- hasta en tanto no se demuestre lo contrario.</w:t>
      </w:r>
    </w:p>
    <w:p w14:paraId="70B23E17" w14:textId="77777777" w:rsidR="00E86AE9" w:rsidRPr="004D3F59" w:rsidRDefault="00E86AE9" w:rsidP="003D34CF">
      <w:pPr>
        <w:spacing w:line="360" w:lineRule="auto"/>
        <w:ind w:left="851" w:right="851"/>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w:t>
      </w:r>
      <w:r w:rsidRPr="004D3F59">
        <w:rPr>
          <w:rFonts w:ascii="Palatino Linotype" w:eastAsia="Palatino Linotype" w:hAnsi="Palatino Linotype" w:cs="Palatino Linotype"/>
          <w:i/>
        </w:rPr>
        <w:t xml:space="preserve"> La presunción de inocencia se resguarda en el texto constitucional como derecho fundamental a favor de toda persona, con base en el cual se exige que para toda autoridad y ante el procedimiento al que se le sujete, no se estimen verosímiles los cargos atribuidos al gobernado respecto a la comisión de delitos, salvo decisión contraria emitida por un tribunal, dentro de la observancia del debido proceso.</w:t>
      </w:r>
    </w:p>
    <w:p w14:paraId="0104E023" w14:textId="77777777" w:rsidR="00E86AE9" w:rsidRPr="004D3F59" w:rsidRDefault="00E86AE9" w:rsidP="003D34CF">
      <w:pPr>
        <w:spacing w:line="360" w:lineRule="auto"/>
        <w:ind w:left="851" w:right="851"/>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iii.</w:t>
      </w:r>
      <w:r w:rsidRPr="004D3F59">
        <w:rPr>
          <w:rFonts w:ascii="Palatino Linotype" w:eastAsia="Palatino Linotype" w:hAnsi="Palatino Linotype" w:cs="Palatino Linotype"/>
          <w:i/>
        </w:rPr>
        <w:t xml:space="preserve"> Este principio tendrá eficaz aplicación, sólo cuando el gobernado se enfrente a una acusación, cuyo propósito ha de ser el límite a la potestad </w:t>
      </w:r>
      <w:r w:rsidRPr="004D3F59">
        <w:rPr>
          <w:rFonts w:ascii="Palatino Linotype" w:eastAsia="Palatino Linotype" w:hAnsi="Palatino Linotype" w:cs="Palatino Linotype"/>
          <w:i/>
        </w:rPr>
        <w:lastRenderedPageBreak/>
        <w:t>represiva del Estado en ejercicio de su derecho punitivo, así se concebirá también a nuestro objeto de estudio como una garantía procesal a favor del imputado, dentro de todo enjuiciamiento o procedimiento del orden administrativo.</w:t>
      </w:r>
    </w:p>
    <w:p w14:paraId="331741DB" w14:textId="77777777" w:rsidR="00A54129" w:rsidRPr="004D3F59" w:rsidRDefault="00A54129" w:rsidP="003D34CF">
      <w:pPr>
        <w:spacing w:line="360" w:lineRule="auto"/>
        <w:ind w:left="851" w:right="851"/>
        <w:jc w:val="both"/>
        <w:rPr>
          <w:rFonts w:ascii="Palatino Linotype" w:eastAsia="Palatino Linotype" w:hAnsi="Palatino Linotype" w:cs="Palatino Linotype"/>
          <w:i/>
        </w:rPr>
      </w:pPr>
    </w:p>
    <w:p w14:paraId="1E464FAB"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Se sigue que, el principio de presunción de inocencia tiene tres significados garantistas que en forma breve pueden enunciarse de la siguiente forma:</w:t>
      </w:r>
    </w:p>
    <w:p w14:paraId="0A6B21B0" w14:textId="77777777" w:rsidR="00E86AE9" w:rsidRPr="004D3F59" w:rsidRDefault="00E86AE9" w:rsidP="003D34CF">
      <w:pPr>
        <w:spacing w:line="360" w:lineRule="auto"/>
        <w:ind w:left="284"/>
        <w:jc w:val="both"/>
        <w:rPr>
          <w:rFonts w:ascii="Palatino Linotype" w:eastAsia="Palatino Linotype" w:hAnsi="Palatino Linotype" w:cs="Palatino Linotype"/>
        </w:rPr>
      </w:pPr>
      <w:r w:rsidRPr="004D3F59">
        <w:rPr>
          <w:rFonts w:ascii="Palatino Linotype" w:eastAsia="Palatino Linotype" w:hAnsi="Palatino Linotype" w:cs="Palatino Linotype"/>
          <w:i/>
        </w:rPr>
        <w:t>Primero</w:t>
      </w:r>
      <w:r w:rsidRPr="004D3F59">
        <w:rPr>
          <w:rFonts w:ascii="Palatino Linotype" w:eastAsia="Palatino Linotype" w:hAnsi="Palatino Linotype" w:cs="Palatino Linotype"/>
        </w:rPr>
        <w:t>. Como una regla probatoria, que impone la carga de la prueba para quien acusa y, por ende, la absolución en caso de duda.</w:t>
      </w:r>
    </w:p>
    <w:p w14:paraId="4AF80E81" w14:textId="77777777" w:rsidR="00E86AE9" w:rsidRPr="004D3F59" w:rsidRDefault="00E86AE9" w:rsidP="003D34CF">
      <w:pPr>
        <w:spacing w:line="360" w:lineRule="auto"/>
        <w:ind w:left="284"/>
        <w:jc w:val="both"/>
        <w:rPr>
          <w:rFonts w:ascii="Palatino Linotype" w:eastAsia="Palatino Linotype" w:hAnsi="Palatino Linotype" w:cs="Palatino Linotype"/>
        </w:rPr>
      </w:pPr>
      <w:r w:rsidRPr="004D3F59">
        <w:rPr>
          <w:rFonts w:ascii="Palatino Linotype" w:eastAsia="Palatino Linotype" w:hAnsi="Palatino Linotype" w:cs="Palatino Linotype"/>
          <w:i/>
        </w:rPr>
        <w:t>Segundo</w:t>
      </w:r>
      <w:r w:rsidRPr="004D3F59">
        <w:rPr>
          <w:rFonts w:ascii="Palatino Linotype" w:eastAsia="Palatino Linotype" w:hAnsi="Palatino Linotype" w:cs="Palatino Linotype"/>
        </w:rPr>
        <w:t>. Como una regla de tratamiento del acusado, que excluye o restringe al máximo la limitación de sus derechos fundamentales, sobre todo los que inciden en su libertad personal, con motivo del proceso que se instaura en su contra.</w:t>
      </w:r>
    </w:p>
    <w:p w14:paraId="2951377B" w14:textId="77777777" w:rsidR="00E86AE9" w:rsidRPr="004D3F59" w:rsidRDefault="00E86AE9" w:rsidP="003D34CF">
      <w:pPr>
        <w:spacing w:line="360" w:lineRule="auto"/>
        <w:ind w:left="284"/>
        <w:jc w:val="both"/>
        <w:rPr>
          <w:rFonts w:ascii="Palatino Linotype" w:eastAsia="Palatino Linotype" w:hAnsi="Palatino Linotype" w:cs="Palatino Linotype"/>
        </w:rPr>
      </w:pPr>
      <w:r w:rsidRPr="004D3F59">
        <w:rPr>
          <w:rFonts w:ascii="Palatino Linotype" w:eastAsia="Palatino Linotype" w:hAnsi="Palatino Linotype" w:cs="Palatino Linotype"/>
          <w:i/>
        </w:rPr>
        <w:t>Tercero</w:t>
      </w:r>
      <w:r w:rsidRPr="004D3F59">
        <w:rPr>
          <w:rFonts w:ascii="Palatino Linotype" w:eastAsia="Palatino Linotype" w:hAnsi="Palatino Linotype" w:cs="Palatino Linotype"/>
        </w:rPr>
        <w:t>. Como una regla de juicio, que ordena a los jueces la absolución de los inculpados cuando durante el proceso no se aportaron pruebas de cargo suficientes.</w:t>
      </w:r>
    </w:p>
    <w:p w14:paraId="2BCA25ED" w14:textId="77777777" w:rsidR="00A54129" w:rsidRPr="004D3F59" w:rsidRDefault="00A54129" w:rsidP="003D34CF">
      <w:pPr>
        <w:spacing w:line="360" w:lineRule="auto"/>
        <w:ind w:left="284"/>
        <w:jc w:val="both"/>
        <w:rPr>
          <w:rFonts w:ascii="Palatino Linotype" w:eastAsia="Palatino Linotype" w:hAnsi="Palatino Linotype" w:cs="Palatino Linotype"/>
        </w:rPr>
      </w:pPr>
    </w:p>
    <w:p w14:paraId="051DD070"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En vista de lo anterior, este Instituto estima que en el derecho disciplinario que se sigue ante el órgano contralor del Municipio a los servidores públicos en los casos que se presenta una denuncia, es aplicable la regla garantista de presunción de inocencia.</w:t>
      </w:r>
    </w:p>
    <w:p w14:paraId="63D21C45" w14:textId="77777777" w:rsidR="00E86AE9" w:rsidRPr="004D3F59" w:rsidRDefault="00E86AE9"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E937D21"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lastRenderedPageBreak/>
        <w:t xml:space="preserve">Así, todo servidor público en su carácter de </w:t>
      </w:r>
      <w:r w:rsidRPr="004D3F59">
        <w:rPr>
          <w:rFonts w:ascii="Palatino Linotype" w:eastAsia="Palatino Linotype" w:hAnsi="Palatino Linotype" w:cs="Palatino Linotype"/>
          <w:i/>
        </w:rPr>
        <w:t>presunto infractor</w:t>
      </w:r>
      <w:r w:rsidRPr="004D3F59">
        <w:rPr>
          <w:rFonts w:ascii="Palatino Linotype" w:eastAsia="Palatino Linotype" w:hAnsi="Palatino Linotype" w:cs="Palatino Linotype"/>
        </w:rPr>
        <w:t xml:space="preserve"> tiene el derecho, como regla de tratamiento en el proceso, a que se le trate en carácter de inocente hasta que no se emita una resolución firme.</w:t>
      </w:r>
    </w:p>
    <w:p w14:paraId="4B340A58" w14:textId="77777777" w:rsidR="00404104" w:rsidRPr="004D3F59" w:rsidRDefault="00404104" w:rsidP="00404104">
      <w:pPr>
        <w:pStyle w:val="Prrafodelista"/>
        <w:rPr>
          <w:rFonts w:ascii="Palatino Linotype" w:eastAsia="Palatino Linotype" w:hAnsi="Palatino Linotype" w:cs="Palatino Linotype"/>
        </w:rPr>
      </w:pPr>
    </w:p>
    <w:p w14:paraId="267DA404"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La relación que guarda el principio de presunción de inocencia con el derecho de acceso a la información se da en dos variantes: (i) la conservación de información que no vicie las reglas y principios de administración de justicia y (ii) conservar la reputación de las personas que aún no se les ha comprobado con plenitud haber realizado alguna infracción.</w:t>
      </w:r>
    </w:p>
    <w:p w14:paraId="3D0A0352" w14:textId="77777777" w:rsidR="00E86AE9" w:rsidRPr="004D3F59" w:rsidRDefault="00E86AE9" w:rsidP="003D34CF">
      <w:pPr>
        <w:pStyle w:val="Prrafodelista"/>
        <w:spacing w:line="360" w:lineRule="auto"/>
        <w:rPr>
          <w:rFonts w:ascii="Palatino Linotype" w:eastAsia="Palatino Linotype" w:hAnsi="Palatino Linotype" w:cs="Palatino Linotype"/>
        </w:rPr>
      </w:pPr>
    </w:p>
    <w:p w14:paraId="442E40C6"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Con más detenimiento, la primera premisa es que de revelarse la información de las personas a quienes se les ha iniciado un procedimiento administrativo y el nombre de aquellos que tienen un procedimiento instaurado y se encuentra pendiente de resolución rompería la regla de tratamiento y de juicio que debe seguirse en la administración de justicia</w:t>
      </w:r>
      <w:r w:rsidRPr="004D3F59">
        <w:rPr>
          <w:rFonts w:ascii="Palatino Linotype" w:eastAsia="Palatino Linotype" w:hAnsi="Palatino Linotype" w:cs="Palatino Linotype"/>
          <w:i/>
          <w:vertAlign w:val="superscript"/>
        </w:rPr>
        <w:footnoteReference w:id="2"/>
      </w:r>
      <w:r w:rsidRPr="004D3F59">
        <w:rPr>
          <w:rFonts w:ascii="Palatino Linotype" w:eastAsia="Palatino Linotype" w:hAnsi="Palatino Linotype" w:cs="Palatino Linotype"/>
        </w:rPr>
        <w:t>, es decir, su incidencia tiene implicaciones que pudieran afectar la forma en cómo debe tratarse al servidor público acusado, pues no se ha comprobado en su totalidad que éste incurrió en una infracción, razón por la cual en dichos supuestos se deberá clasificar la información conforme a la causal establecida en el artículo 140, fracción VI de la Ley en la materia, que es del tenor literal siguiente:</w:t>
      </w:r>
    </w:p>
    <w:p w14:paraId="3D77B98E" w14:textId="77777777" w:rsidR="00E86AE9" w:rsidRPr="004D3F59" w:rsidRDefault="00E86AE9"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lastRenderedPageBreak/>
        <w:t>“</w:t>
      </w:r>
      <w:r w:rsidRPr="004D3F59">
        <w:rPr>
          <w:rFonts w:ascii="Palatino Linotype" w:eastAsia="Palatino Linotype" w:hAnsi="Palatino Linotype" w:cs="Palatino Linotype"/>
          <w:b/>
          <w:i/>
        </w:rPr>
        <w:t>Artículo 140.</w:t>
      </w:r>
      <w:r w:rsidRPr="004D3F59">
        <w:rPr>
          <w:rFonts w:ascii="Palatino Linotype" w:eastAsia="Palatino Linotype" w:hAnsi="Palatino Linotype" w:cs="Palatino Linotype"/>
          <w:i/>
        </w:rPr>
        <w:t xml:space="preserve"> El acceso a la información pública será restringido excepcionalmente, cuando por razones de interés público, ésta sea clasificada como reservada, conforme a los criterios siguientes:</w:t>
      </w:r>
    </w:p>
    <w:p w14:paraId="35165D52" w14:textId="77777777" w:rsidR="00E86AE9" w:rsidRPr="004D3F59" w:rsidRDefault="00E86AE9"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w:t>
      </w:r>
    </w:p>
    <w:p w14:paraId="3606D95F" w14:textId="77777777" w:rsidR="00E86AE9" w:rsidRPr="004D3F59" w:rsidRDefault="00E86AE9"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 xml:space="preserve">VI. </w:t>
      </w:r>
      <w:r w:rsidRPr="004D3F59">
        <w:rPr>
          <w:rFonts w:ascii="Palatino Linotype" w:eastAsia="Palatino Linotype" w:hAnsi="Palatino Linotype" w:cs="Palatino Linotype"/>
          <w:i/>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3FCDEF66" w14:textId="77777777" w:rsidR="00A54129" w:rsidRPr="004D3F59" w:rsidRDefault="00A54129" w:rsidP="003D34CF">
      <w:pPr>
        <w:spacing w:line="360" w:lineRule="auto"/>
        <w:ind w:left="1134" w:right="902"/>
        <w:jc w:val="both"/>
        <w:rPr>
          <w:rFonts w:ascii="Palatino Linotype" w:eastAsia="Palatino Linotype" w:hAnsi="Palatino Linotype" w:cs="Palatino Linotype"/>
          <w:i/>
        </w:rPr>
      </w:pPr>
    </w:p>
    <w:p w14:paraId="5A65E662"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rPr>
      </w:pPr>
      <w:r w:rsidRPr="004D3F59">
        <w:rPr>
          <w:rFonts w:ascii="Palatino Linotype" w:eastAsia="Palatino Linotype" w:hAnsi="Palatino Linotype" w:cs="Palatino Linotype"/>
        </w:rPr>
        <w:t>Del diverso anterior, tenemos que la reserva procede cuando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12441EA3" w14:textId="77777777" w:rsidR="00D30C26" w:rsidRPr="004D3F59" w:rsidRDefault="00D30C26" w:rsidP="003D34CF">
      <w:pPr>
        <w:pBdr>
          <w:top w:val="nil"/>
          <w:left w:val="nil"/>
          <w:bottom w:val="nil"/>
          <w:right w:val="nil"/>
          <w:between w:val="nil"/>
        </w:pBdr>
        <w:spacing w:line="360" w:lineRule="auto"/>
        <w:ind w:right="49"/>
        <w:jc w:val="both"/>
        <w:rPr>
          <w:rFonts w:ascii="Palatino Linotype" w:eastAsia="Palatino Linotype" w:hAnsi="Palatino Linotype" w:cs="Palatino Linotype"/>
          <w:i/>
        </w:rPr>
      </w:pPr>
    </w:p>
    <w:p w14:paraId="5A580F4E"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Por lo que, en estos casos, el nombre del servidor público denunciado debe ser protegido en un estricto sentido, toda vez que al no existir una determinación que resuelva el procedimiento administrativo, esto es, que siga en trámite, divulgar </w:t>
      </w:r>
      <w:r w:rsidRPr="004D3F59">
        <w:rPr>
          <w:rFonts w:ascii="Palatino Linotype" w:eastAsia="Palatino Linotype" w:hAnsi="Palatino Linotype" w:cs="Palatino Linotype"/>
        </w:rPr>
        <w:lastRenderedPageBreak/>
        <w:t>esta información a terceros puede causar un perjuicio irreparable al servidor público.</w:t>
      </w:r>
    </w:p>
    <w:p w14:paraId="7F501719" w14:textId="77777777" w:rsidR="00D30C26" w:rsidRPr="004D3F59" w:rsidRDefault="00D30C26" w:rsidP="003D34CF">
      <w:pPr>
        <w:pStyle w:val="Prrafodelista"/>
        <w:spacing w:line="360" w:lineRule="auto"/>
        <w:rPr>
          <w:rFonts w:ascii="Palatino Linotype" w:eastAsia="Palatino Linotype" w:hAnsi="Palatino Linotype" w:cs="Palatino Linotype"/>
        </w:rPr>
      </w:pPr>
    </w:p>
    <w:p w14:paraId="3E930C46"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Dichos argumentos, que se formulan por este Organismo Garante se construyen a partir de la correlación que otros derechos tienen con el acceso a la información en tratándose de información sobre procesos y procedimientos que siguen en forma de juicio, los cuales de la óptica de interdependencia de los derechos humanos no pueden ser desconocidos, en el ámbito de la competencia de este Instituto.</w:t>
      </w:r>
    </w:p>
    <w:p w14:paraId="2A4AAC61" w14:textId="77777777" w:rsidR="00D30C26" w:rsidRPr="004D3F59" w:rsidRDefault="00D30C26" w:rsidP="003D34CF">
      <w:pPr>
        <w:pStyle w:val="Prrafodelista"/>
        <w:spacing w:line="360" w:lineRule="auto"/>
        <w:rPr>
          <w:rFonts w:ascii="Palatino Linotype" w:eastAsia="Palatino Linotype" w:hAnsi="Palatino Linotype" w:cs="Palatino Linotype"/>
        </w:rPr>
      </w:pPr>
    </w:p>
    <w:p w14:paraId="0DC3BBA4"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Resulta necesario tomar en cuenta el derecho al buen nombre y a la intimidad porque se considera que, hasta en tanto no exista una resolución firme, la publicación de la información solicitada afectaría la reputación de una persona.</w:t>
      </w:r>
    </w:p>
    <w:p w14:paraId="2902311C" w14:textId="77777777" w:rsidR="00D30C26" w:rsidRPr="004D3F59" w:rsidRDefault="00D30C26" w:rsidP="003D34CF">
      <w:pPr>
        <w:pStyle w:val="Prrafodelista"/>
        <w:spacing w:line="360" w:lineRule="auto"/>
        <w:rPr>
          <w:rFonts w:ascii="Palatino Linotype" w:eastAsia="Palatino Linotype" w:hAnsi="Palatino Linotype" w:cs="Palatino Linotype"/>
        </w:rPr>
      </w:pPr>
    </w:p>
    <w:p w14:paraId="5422D14B" w14:textId="77777777" w:rsidR="00E86AE9" w:rsidRPr="004D3F59" w:rsidRDefault="00E86AE9"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En el fondo, se considera que se puede atentar contra la honra y el buen nombre de una persona mediante la divulgación de información sobre aquellos servidores públicos a quienes se les ha iniciado un procedimiento administrativo, o bien, se encuentran pendientes de resolución porque podrían orientar el juicio que se tiene de una persona por parte de la sociedad, lo que en efecto constituye una lesión injustificada a la posición del hombre en sociedad.</w:t>
      </w:r>
    </w:p>
    <w:p w14:paraId="56C40715" w14:textId="77777777" w:rsidR="00A54129" w:rsidRPr="004D3F59" w:rsidRDefault="00A54129" w:rsidP="003D34CF">
      <w:pPr>
        <w:pStyle w:val="Prrafodelista"/>
        <w:spacing w:line="360" w:lineRule="auto"/>
        <w:rPr>
          <w:rFonts w:ascii="Palatino Linotype" w:eastAsia="Palatino Linotype" w:hAnsi="Palatino Linotype" w:cs="Palatino Linotype"/>
        </w:rPr>
      </w:pPr>
    </w:p>
    <w:p w14:paraId="39508C7E" w14:textId="77777777" w:rsidR="00A54129" w:rsidRPr="004D3F59" w:rsidRDefault="00A54129" w:rsidP="003D34CF">
      <w:pPr>
        <w:numPr>
          <w:ilvl w:val="0"/>
          <w:numId w:val="11"/>
        </w:numPr>
        <w:pBdr>
          <w:top w:val="nil"/>
          <w:left w:val="nil"/>
          <w:bottom w:val="nil"/>
          <w:right w:val="nil"/>
          <w:between w:val="nil"/>
        </w:pBdr>
        <w:spacing w:line="360" w:lineRule="auto"/>
        <w:ind w:left="0" w:right="49" w:firstLine="0"/>
        <w:jc w:val="both"/>
        <w:rPr>
          <w:rFonts w:ascii="Palatino Linotype" w:eastAsia="MS Mincho" w:hAnsi="Palatino Linotype" w:cs="Arial"/>
          <w:lang w:val="es-ES"/>
        </w:rPr>
      </w:pPr>
      <w:r w:rsidRPr="004D3F59">
        <w:rPr>
          <w:rFonts w:ascii="Palatino Linotype" w:eastAsia="Palatino Linotype" w:hAnsi="Palatino Linotype" w:cs="Palatino Linotype"/>
        </w:rPr>
        <w:lastRenderedPageBreak/>
        <w:t xml:space="preserve">Luego entonces, el rubro en comento deberá versar únicamente respecto de faltas graves que de acuerdo con el </w:t>
      </w:r>
      <w:r w:rsidRPr="004D3F59">
        <w:rPr>
          <w:rFonts w:ascii="Palatino Linotype" w:eastAsia="MS Mincho" w:hAnsi="Palatino Linotype" w:cs="Arial"/>
          <w:lang w:val="es-ES"/>
        </w:rPr>
        <w:t xml:space="preserve">artículo 52 de la Ley de Responsabilidades Estatal precisa </w:t>
      </w:r>
      <w:r w:rsidRPr="004D3F59">
        <w:rPr>
          <w:rFonts w:ascii="Palatino Linotype" w:eastAsia="Palatino Linotype" w:hAnsi="Palatino Linotype" w:cs="Palatino Linotype"/>
        </w:rPr>
        <w:t>como</w:t>
      </w:r>
      <w:r w:rsidRPr="004D3F59">
        <w:rPr>
          <w:rFonts w:ascii="Palatino Linotype" w:eastAsia="MS Mincho" w:hAnsi="Palatino Linotype" w:cs="Arial"/>
          <w:lang w:val="es-ES"/>
        </w:rPr>
        <w:t xml:space="preserve"> faltas administrativas graves, las siguientes:</w:t>
      </w:r>
    </w:p>
    <w:p w14:paraId="622A8BC6" w14:textId="77777777" w:rsidR="00A54129" w:rsidRPr="004D3F59" w:rsidRDefault="00A54129" w:rsidP="003D34CF">
      <w:pPr>
        <w:spacing w:line="360" w:lineRule="auto"/>
        <w:jc w:val="both"/>
        <w:rPr>
          <w:rFonts w:ascii="Palatino Linotype" w:eastAsia="MS Mincho" w:hAnsi="Palatino Linotype" w:cs="Arial"/>
          <w:lang w:val="es-ES"/>
        </w:rPr>
      </w:pPr>
    </w:p>
    <w:p w14:paraId="15410825"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lang w:val="es-ES"/>
        </w:rPr>
        <w:t>“</w:t>
      </w:r>
      <w:r w:rsidRPr="004D3F59">
        <w:rPr>
          <w:rFonts w:ascii="Palatino Linotype" w:eastAsia="MS Mincho" w:hAnsi="Palatino Linotype" w:cs="Arial"/>
          <w:b/>
          <w:i/>
        </w:rPr>
        <w:t>Artículo 52.</w:t>
      </w:r>
      <w:r w:rsidRPr="004D3F59">
        <w:rPr>
          <w:rFonts w:ascii="Palatino Linotype" w:eastAsia="MS Mincho" w:hAnsi="Palatino Linotype" w:cs="Arial"/>
          <w:i/>
        </w:rPr>
        <w:t xml:space="preserve"> Para efectos de la presente Ley, se consideran </w:t>
      </w:r>
      <w:r w:rsidRPr="004D3F59">
        <w:rPr>
          <w:rFonts w:ascii="Palatino Linotype" w:eastAsia="MS Mincho" w:hAnsi="Palatino Linotype" w:cs="Arial"/>
          <w:b/>
          <w:i/>
        </w:rPr>
        <w:t>faltas administrativas graves</w:t>
      </w:r>
      <w:r w:rsidRPr="004D3F59">
        <w:rPr>
          <w:rFonts w:ascii="Palatino Linotype" w:eastAsia="MS Mincho" w:hAnsi="Palatino Linotype" w:cs="Arial"/>
          <w:i/>
        </w:rPr>
        <w:t xml:space="preserve"> de los servidores públicos, mediante cualquier acto u omisión, las siguientes: </w:t>
      </w:r>
    </w:p>
    <w:p w14:paraId="7AE2256A"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I. El cohecho. </w:t>
      </w:r>
    </w:p>
    <w:p w14:paraId="50C259A1"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II. El peculado. </w:t>
      </w:r>
    </w:p>
    <w:p w14:paraId="4AF554B9"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III. El desvío de recursos públicos. </w:t>
      </w:r>
    </w:p>
    <w:p w14:paraId="40C011E0"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IV. La utilización indebida de información. </w:t>
      </w:r>
    </w:p>
    <w:p w14:paraId="237AA1F5"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V. El abuso de funciones. </w:t>
      </w:r>
    </w:p>
    <w:p w14:paraId="32A3F6D7"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VI. Cometer o tolerar conductas de hostigamiento y acoso sexual. </w:t>
      </w:r>
    </w:p>
    <w:p w14:paraId="574170D8"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VII. El actuar bajo conflicto de interés. </w:t>
      </w:r>
    </w:p>
    <w:p w14:paraId="0492E70A"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VIII. La contratación indebida. </w:t>
      </w:r>
    </w:p>
    <w:p w14:paraId="12B61293"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IX. El enriquecimiento oculto u ocultamiento de conflicto de interés. </w:t>
      </w:r>
    </w:p>
    <w:p w14:paraId="6DF33DC2"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X. El tráfico de influencias. </w:t>
      </w:r>
    </w:p>
    <w:p w14:paraId="279529B3"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XI. El encubrimiento. </w:t>
      </w:r>
    </w:p>
    <w:p w14:paraId="206D7300"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 xml:space="preserve">XII. El desacato. </w:t>
      </w:r>
    </w:p>
    <w:p w14:paraId="21E1789B" w14:textId="77777777" w:rsidR="00A54129" w:rsidRPr="004D3F59" w:rsidRDefault="00A54129" w:rsidP="003D34CF">
      <w:pPr>
        <w:spacing w:line="360" w:lineRule="auto"/>
        <w:ind w:left="425" w:right="476"/>
        <w:jc w:val="both"/>
        <w:rPr>
          <w:rFonts w:ascii="Palatino Linotype" w:eastAsia="MS Mincho" w:hAnsi="Palatino Linotype" w:cs="Arial"/>
          <w:i/>
        </w:rPr>
      </w:pPr>
      <w:r w:rsidRPr="004D3F59">
        <w:rPr>
          <w:rFonts w:ascii="Palatino Linotype" w:eastAsia="MS Mincho" w:hAnsi="Palatino Linotype" w:cs="Arial"/>
          <w:i/>
        </w:rPr>
        <w:t>XIII. La obstrucción de la Justicia.”</w:t>
      </w:r>
    </w:p>
    <w:p w14:paraId="61DC8F39" w14:textId="77777777" w:rsidR="00A54129" w:rsidRPr="004D3F59" w:rsidRDefault="00A54129" w:rsidP="003D34CF">
      <w:pPr>
        <w:spacing w:line="360" w:lineRule="auto"/>
        <w:ind w:left="425" w:right="476"/>
        <w:jc w:val="both"/>
        <w:rPr>
          <w:rFonts w:ascii="Palatino Linotype" w:eastAsia="MS Mincho" w:hAnsi="Palatino Linotype" w:cs="Arial"/>
          <w:i/>
          <w:lang w:val="es-ES"/>
        </w:rPr>
      </w:pPr>
    </w:p>
    <w:p w14:paraId="656F7165" w14:textId="77777777" w:rsidR="00CA264D" w:rsidRPr="004D3F59" w:rsidRDefault="00CA264D" w:rsidP="00CA264D">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Debiendo entonces el </w:t>
      </w:r>
      <w:r w:rsidRPr="004D3F59">
        <w:rPr>
          <w:rFonts w:ascii="Palatino Linotype" w:eastAsia="Palatino Linotype" w:hAnsi="Palatino Linotype" w:cs="Palatino Linotype"/>
          <w:b/>
        </w:rPr>
        <w:t xml:space="preserve">SUJETO OBLIGADO </w:t>
      </w:r>
      <w:r w:rsidRPr="004D3F59">
        <w:rPr>
          <w:rFonts w:ascii="Palatino Linotype" w:eastAsia="Palatino Linotype" w:hAnsi="Palatino Linotype" w:cs="Palatino Linotype"/>
        </w:rPr>
        <w:t>proporcionar la información en versión pública atendiendo los argumentos señalados en líneas anteriores, es decir:</w:t>
      </w:r>
    </w:p>
    <w:p w14:paraId="7F5E1AE9" w14:textId="77777777" w:rsidR="00CA264D" w:rsidRPr="004D3F59" w:rsidRDefault="00CA264D" w:rsidP="00CA264D">
      <w:pPr>
        <w:numPr>
          <w:ilvl w:val="0"/>
          <w:numId w:val="31"/>
        </w:numPr>
        <w:pBdr>
          <w:top w:val="nil"/>
          <w:left w:val="nil"/>
          <w:bottom w:val="nil"/>
          <w:right w:val="nil"/>
          <w:between w:val="nil"/>
        </w:pBdr>
        <w:tabs>
          <w:tab w:val="left" w:pos="142"/>
          <w:tab w:val="left" w:pos="284"/>
          <w:tab w:val="left" w:pos="426"/>
        </w:tabs>
        <w:spacing w:before="240" w:line="360" w:lineRule="auto"/>
        <w:jc w:val="both"/>
        <w:rPr>
          <w:rFonts w:ascii="Palatino Linotype" w:eastAsia="Palatino Linotype" w:hAnsi="Palatino Linotype" w:cs="Palatino Linotype"/>
        </w:rPr>
      </w:pPr>
      <w:r w:rsidRPr="004D3F59">
        <w:rPr>
          <w:rFonts w:ascii="Palatino Linotype" w:eastAsia="Palatino Linotype" w:hAnsi="Palatino Linotype" w:cs="Palatino Linotype"/>
        </w:rPr>
        <w:lastRenderedPageBreak/>
        <w:t>En las sanciones impuestas por</w:t>
      </w:r>
      <w:r w:rsidRPr="004D3F59">
        <w:rPr>
          <w:rFonts w:ascii="Palatino Linotype" w:eastAsia="Palatino Linotype" w:hAnsi="Palatino Linotype" w:cs="Palatino Linotype"/>
          <w:b/>
        </w:rPr>
        <w:t xml:space="preserve"> faltas graves, condenatorias, </w:t>
      </w:r>
      <w:r w:rsidRPr="004D3F59">
        <w:rPr>
          <w:rFonts w:ascii="Palatino Linotype" w:eastAsia="Palatino Linotype" w:hAnsi="Palatino Linotype" w:cs="Palatino Linotype"/>
        </w:rPr>
        <w:t>el nombre del servidor público es información de acceso público.</w:t>
      </w:r>
    </w:p>
    <w:p w14:paraId="583B5A13" w14:textId="77777777" w:rsidR="00CA264D" w:rsidRPr="004D3F59" w:rsidRDefault="00CA264D" w:rsidP="00CA264D">
      <w:pPr>
        <w:numPr>
          <w:ilvl w:val="0"/>
          <w:numId w:val="3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4D3F59">
        <w:rPr>
          <w:rFonts w:ascii="Palatino Linotype" w:eastAsia="Palatino Linotype" w:hAnsi="Palatino Linotype" w:cs="Palatino Linotype"/>
        </w:rPr>
        <w:t>En las sanciones por</w:t>
      </w:r>
      <w:r w:rsidRPr="004D3F59">
        <w:rPr>
          <w:rFonts w:ascii="Palatino Linotype" w:eastAsia="Palatino Linotype" w:hAnsi="Palatino Linotype" w:cs="Palatino Linotype"/>
          <w:b/>
        </w:rPr>
        <w:t xml:space="preserve"> faltas no graves absolutorias y condenatorias, </w:t>
      </w:r>
      <w:r w:rsidRPr="004D3F59">
        <w:rPr>
          <w:rFonts w:ascii="Palatino Linotype" w:eastAsia="Palatino Linotype" w:hAnsi="Palatino Linotype" w:cs="Palatino Linotype"/>
        </w:rPr>
        <w:t>se deberá clasificar como confidencial el nombre, cargo y cualquier otro dato que haga identificable al servidor público, así como la sanción en caso de las condenatorias.</w:t>
      </w:r>
    </w:p>
    <w:p w14:paraId="77FB6770" w14:textId="77777777" w:rsidR="00CA264D" w:rsidRPr="004D3F59" w:rsidRDefault="00CA264D" w:rsidP="00CA264D">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2BC1A0B" w14:textId="77777777" w:rsidR="00404104" w:rsidRPr="004D3F59" w:rsidRDefault="00404104" w:rsidP="00404104">
      <w:pPr>
        <w:pStyle w:val="Prrafodelista"/>
        <w:numPr>
          <w:ilvl w:val="0"/>
          <w:numId w:val="11"/>
        </w:numPr>
        <w:tabs>
          <w:tab w:val="left" w:pos="0"/>
        </w:tabs>
        <w:spacing w:line="360" w:lineRule="auto"/>
        <w:ind w:left="0" w:firstLine="0"/>
        <w:jc w:val="both"/>
        <w:rPr>
          <w:rFonts w:ascii="Palatino Linotype" w:hAnsi="Palatino Linotype"/>
        </w:rPr>
      </w:pPr>
      <w:r w:rsidRPr="004D3F59">
        <w:rPr>
          <w:rFonts w:ascii="Palatino Linotype" w:hAnsi="Palatino Linotype"/>
        </w:rPr>
        <w:t>Así las cosas, la Ley de la materia reconoce a toda la información relacionada con actos de violaciones graves a derechos humanos, como información inmune a recibir un tratamiento de clasificación como reservada, en el margen de que, justamente, el hacer del conocimiento a la ciudadanía este tipo de conductas realizadas por servidores públicos, atiende el objetivo fundamental de la normatividad: sobre la gestión pública para el combate a la corrupción y la rendición de cuentas.</w:t>
      </w:r>
    </w:p>
    <w:p w14:paraId="053FD045" w14:textId="77777777" w:rsidR="00404104" w:rsidRPr="004D3F59" w:rsidRDefault="00404104" w:rsidP="00404104">
      <w:pPr>
        <w:pStyle w:val="Prrafodelista"/>
        <w:spacing w:line="360" w:lineRule="auto"/>
        <w:ind w:left="0" w:right="49"/>
        <w:jc w:val="both"/>
        <w:rPr>
          <w:rFonts w:ascii="Palatino Linotype" w:hAnsi="Palatino Linotype"/>
        </w:rPr>
      </w:pPr>
    </w:p>
    <w:p w14:paraId="7C25AA5A" w14:textId="77777777" w:rsidR="00404104" w:rsidRPr="004D3F59" w:rsidRDefault="00404104" w:rsidP="00404104">
      <w:pPr>
        <w:pStyle w:val="Prrafodelista"/>
        <w:numPr>
          <w:ilvl w:val="0"/>
          <w:numId w:val="11"/>
        </w:numPr>
        <w:tabs>
          <w:tab w:val="left" w:pos="0"/>
        </w:tabs>
        <w:spacing w:line="360" w:lineRule="auto"/>
        <w:ind w:left="0" w:firstLine="0"/>
        <w:jc w:val="both"/>
        <w:rPr>
          <w:rFonts w:ascii="Palatino Linotype" w:hAnsi="Palatino Linotype"/>
        </w:rPr>
      </w:pPr>
      <w:r w:rsidRPr="004D3F59">
        <w:rPr>
          <w:rFonts w:ascii="Palatino Linotype" w:hAnsi="Palatino Linotype"/>
        </w:rPr>
        <w:t>Aunado a lo anterior, se debe considerar ciertos criterios para determinar cuáles son las determinaciones que se deben tomar en cuenta para señalar cuales son las violaciones consideradas graves para no clasificar como reservada la información, por lo que se trae a colación lo señalado en la Tesis Aislada número 1a. XI/2012 (10a.), (Gaceta del Semanario Judicial de la Federación, Libro V, Febrero de 2012, Tomo 1, página 667) como se muestra a continuación:</w:t>
      </w:r>
    </w:p>
    <w:p w14:paraId="4C0533E0" w14:textId="77777777" w:rsidR="00404104" w:rsidRPr="004D3F59" w:rsidRDefault="00404104" w:rsidP="00404104">
      <w:pPr>
        <w:pStyle w:val="Prrafodelista"/>
        <w:spacing w:line="360" w:lineRule="auto"/>
        <w:jc w:val="both"/>
        <w:rPr>
          <w:rFonts w:ascii="Palatino Linotype" w:hAnsi="Palatino Linotype"/>
        </w:rPr>
      </w:pPr>
    </w:p>
    <w:p w14:paraId="7EA3E65F" w14:textId="77777777" w:rsidR="00404104" w:rsidRPr="004D3F59" w:rsidRDefault="00404104" w:rsidP="00404104">
      <w:pPr>
        <w:spacing w:line="360" w:lineRule="auto"/>
        <w:ind w:right="616"/>
        <w:jc w:val="both"/>
        <w:rPr>
          <w:rFonts w:ascii="Palatino Linotype" w:hAnsi="Palatino Linotype"/>
        </w:rPr>
      </w:pPr>
    </w:p>
    <w:p w14:paraId="70C9CE15" w14:textId="77777777" w:rsidR="00404104" w:rsidRPr="004D3F59" w:rsidRDefault="00404104" w:rsidP="00404104">
      <w:pPr>
        <w:pStyle w:val="Prrafodelista"/>
        <w:spacing w:line="360" w:lineRule="auto"/>
        <w:ind w:left="567" w:right="616"/>
        <w:jc w:val="both"/>
        <w:rPr>
          <w:rFonts w:ascii="Palatino Linotype" w:hAnsi="Palatino Linotype"/>
          <w:i/>
        </w:rPr>
      </w:pPr>
      <w:r w:rsidRPr="004D3F59">
        <w:rPr>
          <w:rFonts w:ascii="Palatino Linotype" w:hAnsi="Palatino Linotype"/>
          <w:b/>
          <w:i/>
        </w:rPr>
        <w:lastRenderedPageBreak/>
        <w:t>“VIOLACIONES GRAVES A DERECHOS HUMANOS. SU CONCEPTO PARA EFECTOS DEL DERECHO DE ACCESO A LA INFORMACIÓN DE LA AVERIGUACIÓN PREVIA QUE LAS INVESTIGA.</w:t>
      </w:r>
      <w:r w:rsidRPr="004D3F59">
        <w:rPr>
          <w:rFonts w:ascii="Palatino Linotype" w:hAnsi="Palatino Linotype"/>
          <w:i/>
        </w:rPr>
        <w:t xml:space="preserve"> De conformidad con el artículo 14 de la Ley Federal de Transparencia y Acceso a la Información Pública Gubernamental, no puede alegarse el carácter de reservado cuando la averiguación previa investigue hechos constitutivos de graves violaciones a derechos humanos o delitos de lesa humanidad. A fin de que el intérprete determine si un caso concreto se ubica en el supuesto de excepción relativo a las violaciones graves a derechos humanos y deba dar acceso a la averiguación previa correspondiente, es necesario que atienda a los lineamientos sentados por la Suprema Corte de Justicia de la Nación y por la Corte Interamericana de Derechos Humanos en esta materia. Siguiendo los lineamientos establecidos por este alto tribunal, para determinar que una violación a derechos humanos es "grave" se requiere comprobar la trascendencia social de las violaciones, lo cual se podrá determinar a través de criterios cuantitativos o cualitativos. 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 Es lógico que el criterio anterior no haya podido aplicarse a todos los casos, razón por la cual esta Suprema Corte también </w:t>
      </w:r>
      <w:proofErr w:type="spellStart"/>
      <w:r w:rsidRPr="004D3F59">
        <w:rPr>
          <w:rFonts w:ascii="Palatino Linotype" w:hAnsi="Palatino Linotype"/>
          <w:i/>
        </w:rPr>
        <w:t>haentendido</w:t>
      </w:r>
      <w:proofErr w:type="spellEnd"/>
      <w:r w:rsidRPr="004D3F59">
        <w:rPr>
          <w:rFonts w:ascii="Palatino Linotype" w:hAnsi="Palatino Linotype"/>
          <w:i/>
        </w:rPr>
        <w:t xml:space="preserve"> que en algunos supuestos la trascendencia social de las violaciones se puede demostrar mediante un criterio cualitativo, </w:t>
      </w:r>
      <w:r w:rsidRPr="004D3F59">
        <w:rPr>
          <w:rFonts w:ascii="Palatino Linotype" w:hAnsi="Palatino Linotype"/>
          <w:i/>
        </w:rPr>
        <w:lastRenderedPageBreak/>
        <w:t xml:space="preserve">determinando si éstas presentan alguna característica o cualidad que les dé una dimensión específica. En lo que respecta a la jurisprudencia de la Corte Interamericana de Derechos Humanos, ese tribunal ha determinado que la "gravedad" radica, esencialmente, en que se presenten las siguientes características: multiplicidad de violaciones comprendidas dentro del fenómeno delictivo; especial magnitud de las violaciones en relación a la naturaleza de los derechos afectados; y una participación importante del Estado, al ser los actos cometidos por agentes estatales o con la aquiescencia, tolerancia o apoyo del Estado. </w:t>
      </w:r>
    </w:p>
    <w:p w14:paraId="08F3FA56" w14:textId="77777777" w:rsidR="00404104" w:rsidRPr="004D3F59" w:rsidRDefault="00404104" w:rsidP="00404104">
      <w:pPr>
        <w:pStyle w:val="Prrafodelista"/>
        <w:spacing w:line="360" w:lineRule="auto"/>
        <w:ind w:left="567" w:right="616"/>
        <w:jc w:val="both"/>
        <w:rPr>
          <w:rFonts w:ascii="Palatino Linotype" w:hAnsi="Palatino Linotype"/>
          <w:i/>
        </w:rPr>
      </w:pPr>
    </w:p>
    <w:p w14:paraId="12D76EB7" w14:textId="77777777" w:rsidR="00404104" w:rsidRPr="004D3F59" w:rsidRDefault="00404104" w:rsidP="00404104">
      <w:pPr>
        <w:pStyle w:val="Prrafodelista"/>
        <w:spacing w:line="360" w:lineRule="auto"/>
        <w:ind w:left="567" w:right="616"/>
        <w:jc w:val="both"/>
        <w:rPr>
          <w:rFonts w:ascii="Palatino Linotype" w:hAnsi="Palatino Linotype"/>
          <w:i/>
        </w:rPr>
      </w:pPr>
      <w:r w:rsidRPr="004D3F59">
        <w:rPr>
          <w:rFonts w:ascii="Palatino Linotype" w:hAnsi="Palatino Linotype"/>
          <w:i/>
        </w:rPr>
        <w:t xml:space="preserve">Amparo en revisión 168/2011. Comisión Mexicana de Defensa y Protección de los Derechos Humanos, A.C. y otra. 30 de noviembre de 2011. Cinco votos. Ponente: Arturo Zaldívar Lelo de Larrea. Secretario: Javier Mijangos y González.” </w:t>
      </w:r>
    </w:p>
    <w:p w14:paraId="6DBF222B" w14:textId="77777777" w:rsidR="00404104" w:rsidRPr="004D3F59" w:rsidRDefault="00404104" w:rsidP="00404104">
      <w:pPr>
        <w:spacing w:line="360" w:lineRule="auto"/>
        <w:jc w:val="both"/>
        <w:rPr>
          <w:rFonts w:ascii="Palatino Linotype" w:hAnsi="Palatino Linotype"/>
        </w:rPr>
      </w:pPr>
    </w:p>
    <w:p w14:paraId="588EB498" w14:textId="77777777" w:rsidR="00404104" w:rsidRPr="004D3F59" w:rsidRDefault="00404104" w:rsidP="00404104">
      <w:pPr>
        <w:pStyle w:val="Prrafodelista"/>
        <w:numPr>
          <w:ilvl w:val="0"/>
          <w:numId w:val="11"/>
        </w:numPr>
        <w:tabs>
          <w:tab w:val="left" w:pos="0"/>
        </w:tabs>
        <w:spacing w:line="360" w:lineRule="auto"/>
        <w:ind w:left="0" w:firstLine="0"/>
        <w:jc w:val="both"/>
        <w:rPr>
          <w:rFonts w:ascii="Palatino Linotype" w:hAnsi="Palatino Linotype"/>
        </w:rPr>
      </w:pPr>
      <w:r w:rsidRPr="004D3F59">
        <w:rPr>
          <w:rFonts w:ascii="Palatino Linotype" w:hAnsi="Palatino Linotype"/>
        </w:rPr>
        <w:t>Así, como ya se ha acreditado procede la reserva de los expedientes que se encuentran en trámite, sin embargo, es necesario señalar que para el caso de que las quejas que se ordenan reservar, si los hechos que se investigan están catalogados como violación grave a derechos humanos no procede su clasificación como reservada, por lo que deberán ser entregados en versión pública.</w:t>
      </w:r>
    </w:p>
    <w:p w14:paraId="75B3177D" w14:textId="77777777" w:rsidR="00404104" w:rsidRPr="004D3F59" w:rsidRDefault="00404104" w:rsidP="00404104">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7299024E" w14:textId="77777777" w:rsidR="00A54129" w:rsidRPr="004D3F59" w:rsidRDefault="00404104"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Caso contrario</w:t>
      </w:r>
      <w:r w:rsidR="00A54129" w:rsidRPr="004D3F59">
        <w:rPr>
          <w:rFonts w:ascii="Palatino Linotype" w:eastAsia="Palatino Linotype" w:hAnsi="Palatino Linotype" w:cs="Palatino Linotype"/>
        </w:rPr>
        <w:t xml:space="preserve"> </w:t>
      </w:r>
      <w:r w:rsidR="00A54129" w:rsidRPr="004D3F59">
        <w:rPr>
          <w:rFonts w:ascii="Palatino Linotype" w:hAnsi="Palatino Linotype"/>
        </w:rPr>
        <w:t xml:space="preserve">tratándose de responsabilidades administrativas y otros tópicos, no podrá invocarse con el carácter de reservada, aquella información que </w:t>
      </w:r>
      <w:r w:rsidR="00A54129" w:rsidRPr="004D3F59">
        <w:rPr>
          <w:rFonts w:ascii="Palatino Linotype" w:hAnsi="Palatino Linotype"/>
        </w:rPr>
        <w:lastRenderedPageBreak/>
        <w:t xml:space="preserve">se encuentre relacionada con posibles violaciones a derechos humanos delitos de lesa humanidad o actos de corrupción; sin embargo este Instituto no tiene certeza que existan investigaciones y sanción es impuestas por faltas graves, por lo que de ser el caso que no obre en los archivos del </w:t>
      </w:r>
      <w:r w:rsidR="00A54129" w:rsidRPr="004D3F59">
        <w:rPr>
          <w:rFonts w:ascii="Palatino Linotype" w:hAnsi="Palatino Linotype"/>
          <w:b/>
        </w:rPr>
        <w:t>SUJETO OBLIGADO</w:t>
      </w:r>
      <w:r w:rsidR="00A54129" w:rsidRPr="004D3F59">
        <w:rPr>
          <w:rFonts w:ascii="Palatino Linotype" w:hAnsi="Palatino Linotype"/>
        </w:rPr>
        <w:t xml:space="preserve">, bastara que lo haga del conocimiento del </w:t>
      </w:r>
      <w:r w:rsidR="00A54129" w:rsidRPr="004D3F59">
        <w:rPr>
          <w:rFonts w:ascii="Palatino Linotype" w:hAnsi="Palatino Linotype"/>
          <w:b/>
        </w:rPr>
        <w:t>RECURRENTE</w:t>
      </w:r>
      <w:r w:rsidR="00A54129" w:rsidRPr="004D3F59">
        <w:rPr>
          <w:rFonts w:ascii="Palatino Linotype" w:hAnsi="Palatino Linotype"/>
        </w:rPr>
        <w:t xml:space="preserve"> al momento de dar cumplimiento a la presente resolución en términos del artículo 19 párrafo segundo de la Ley de la Materia.</w:t>
      </w:r>
    </w:p>
    <w:p w14:paraId="72FA59C0" w14:textId="77777777" w:rsidR="00385D64" w:rsidRPr="004D3F59" w:rsidRDefault="00385D64"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09521EDA" w14:textId="77777777" w:rsidR="003F4AE1" w:rsidRPr="004D3F59" w:rsidRDefault="003F4AE1"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rPr>
      </w:pPr>
      <w:r w:rsidRPr="004D3F59">
        <w:rPr>
          <w:rFonts w:ascii="Palatino Linotype" w:hAnsi="Palatino Linotype"/>
        </w:rPr>
        <w:t xml:space="preserve">Con la determinación anterior quedara por colmado el derecho de acceso a la información </w:t>
      </w:r>
      <w:r w:rsidRPr="004D3F59">
        <w:rPr>
          <w:rFonts w:ascii="Palatino Linotype" w:eastAsia="Palatino Linotype" w:hAnsi="Palatino Linotype" w:cs="Palatino Linotype"/>
        </w:rPr>
        <w:t>del</w:t>
      </w:r>
      <w:r w:rsidRPr="004D3F59">
        <w:rPr>
          <w:rFonts w:ascii="Palatino Linotype" w:hAnsi="Palatino Linotype"/>
        </w:rPr>
        <w:t xml:space="preserve"> ahora </w:t>
      </w:r>
      <w:r w:rsidRPr="004D3F59">
        <w:rPr>
          <w:rFonts w:ascii="Palatino Linotype" w:hAnsi="Palatino Linotype"/>
          <w:b/>
        </w:rPr>
        <w:t>RECURRENTE</w:t>
      </w:r>
      <w:r w:rsidRPr="004D3F59">
        <w:rPr>
          <w:rFonts w:ascii="Palatino Linotype" w:hAnsi="Palatino Linotype"/>
        </w:rPr>
        <w:t xml:space="preserve">; toda vez </w:t>
      </w:r>
      <w:r w:rsidRPr="004D3F59">
        <w:rPr>
          <w:rFonts w:ascii="Palatino Linotype" w:eastAsia="Times New Roman" w:hAnsi="Palatino Linotype" w:cs="Arial"/>
          <w:color w:val="000000"/>
        </w:rPr>
        <w:t xml:space="preserve">que </w:t>
      </w:r>
      <w:r w:rsidRPr="004D3F59">
        <w:rPr>
          <w:rFonts w:ascii="Palatino Linotype" w:hAnsi="Palatino Linotype"/>
          <w:color w:val="000000"/>
        </w:rPr>
        <w:t xml:space="preserve">el Derecho que tutela este Órgano Garante corresponde a la </w:t>
      </w:r>
      <w:r w:rsidRPr="004D3F59">
        <w:rPr>
          <w:rFonts w:ascii="Palatino Linotype" w:eastAsia="Times New Roman" w:hAnsi="Palatino Linotype" w:cs="Arial"/>
          <w:color w:val="000000" w:themeColor="text1"/>
        </w:rPr>
        <w:t xml:space="preserve"> </w:t>
      </w:r>
      <w:r w:rsidRPr="004D3F59">
        <w:rPr>
          <w:rFonts w:ascii="Palatino Linotype" w:eastAsia="MS Mincho" w:hAnsi="Palatino Linotype" w:cs="Times New Roman"/>
          <w:i/>
        </w:rPr>
        <w:t>igualdad de oportunidades para recibir, buscar e impartir información</w:t>
      </w:r>
      <w:r w:rsidRPr="004D3F59">
        <w:rPr>
          <w:rStyle w:val="Refdenotaalpie"/>
          <w:rFonts w:ascii="Palatino Linotype" w:eastAsia="MS Mincho" w:hAnsi="Palatino Linotype" w:cs="Times New Roman"/>
          <w:i/>
        </w:rPr>
        <w:footnoteReference w:id="3"/>
      </w:r>
      <w:r w:rsidRPr="004D3F59">
        <w:rPr>
          <w:rFonts w:ascii="Palatino Linotype" w:eastAsia="MS Mincho" w:hAnsi="Palatino Linotype" w:cs="Times New Roman"/>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4D3F59">
        <w:rPr>
          <w:rStyle w:val="Refdenotaalpie"/>
          <w:rFonts w:ascii="Palatino Linotype" w:eastAsia="MS Mincho" w:hAnsi="Palatino Linotype" w:cs="Times New Roman"/>
        </w:rPr>
        <w:footnoteReference w:id="4"/>
      </w:r>
      <w:r w:rsidRPr="004D3F59">
        <w:rPr>
          <w:rFonts w:ascii="Palatino Linotype" w:eastAsia="MS Mincho" w:hAnsi="Palatino Linotype" w:cs="Times New Roman"/>
          <w:i/>
        </w:rPr>
        <w:t xml:space="preserve"> </w:t>
      </w:r>
      <w:r w:rsidRPr="004D3F59">
        <w:rPr>
          <w:rFonts w:ascii="Palatino Linotype" w:eastAsia="MS Mincho" w:hAnsi="Palatino Linotype" w:cs="Times New Roman"/>
        </w:rPr>
        <w:t xml:space="preserve">que se constituye como una herramienta fundamental para </w:t>
      </w:r>
      <w:r w:rsidRPr="004D3F59">
        <w:rPr>
          <w:rFonts w:ascii="Palatino Linotype" w:eastAsia="MS Mincho" w:hAnsi="Palatino Linotype" w:cs="Times New Roman"/>
          <w:i/>
        </w:rPr>
        <w:t>ejercer control democrático de las gestiones estatales, de forma tal que puedan cuestionar, indagar y considerar si se está dando un adecuado cumplimiento de las funciones públicas,</w:t>
      </w:r>
      <w:r w:rsidRPr="004D3F59">
        <w:rPr>
          <w:rStyle w:val="Refdenotaalpie"/>
          <w:rFonts w:ascii="Palatino Linotype" w:eastAsia="MS Mincho" w:hAnsi="Palatino Linotype" w:cs="Times New Roman"/>
          <w:i/>
        </w:rPr>
        <w:footnoteReference w:id="5"/>
      </w:r>
      <w:r w:rsidRPr="004D3F59">
        <w:rPr>
          <w:rFonts w:ascii="Palatino Linotype" w:eastAsia="MS Mincho" w:hAnsi="Palatino Linotype" w:cs="Times New Roman"/>
        </w:rPr>
        <w:t>fomentando</w:t>
      </w:r>
      <w:r w:rsidRPr="004D3F59">
        <w:rPr>
          <w:rFonts w:ascii="Palatino Linotype" w:eastAsia="MS Mincho" w:hAnsi="Palatino Linotype" w:cs="Times New Roman"/>
          <w:i/>
        </w:rPr>
        <w:t xml:space="preserve"> la transparencia de las actividades estatales y</w:t>
      </w:r>
      <w:r w:rsidRPr="004D3F59">
        <w:rPr>
          <w:rFonts w:ascii="Palatino Linotype" w:eastAsia="MS Mincho" w:hAnsi="Palatino Linotype" w:cs="Times New Roman"/>
        </w:rPr>
        <w:t xml:space="preserve"> promoviendo</w:t>
      </w:r>
      <w:r w:rsidRPr="004D3F59">
        <w:rPr>
          <w:rFonts w:ascii="Palatino Linotype" w:eastAsia="MS Mincho" w:hAnsi="Palatino Linotype" w:cs="Times New Roman"/>
          <w:i/>
        </w:rPr>
        <w:t xml:space="preserve"> la </w:t>
      </w:r>
      <w:r w:rsidRPr="004D3F59">
        <w:rPr>
          <w:rFonts w:ascii="Palatino Linotype" w:eastAsia="MS Mincho" w:hAnsi="Palatino Linotype" w:cs="Times New Roman"/>
          <w:i/>
        </w:rPr>
        <w:lastRenderedPageBreak/>
        <w:t>responsabilidad de los funcionarios sobre su gestión pública</w:t>
      </w:r>
      <w:r w:rsidRPr="004D3F59">
        <w:rPr>
          <w:rStyle w:val="Refdenotaalpie"/>
          <w:rFonts w:ascii="Palatino Linotype" w:eastAsia="MS Mincho" w:hAnsi="Palatino Linotype" w:cs="Times New Roman"/>
          <w:i/>
        </w:rPr>
        <w:footnoteReference w:id="6"/>
      </w:r>
      <w:r w:rsidRPr="004D3F59">
        <w:rPr>
          <w:rFonts w:ascii="Palatino Linotype" w:eastAsia="MS Mincho" w:hAnsi="Palatino Linotype" w:cs="Times New Roman"/>
          <w:i/>
        </w:rPr>
        <w:t xml:space="preserve"> </w:t>
      </w:r>
      <w:r w:rsidRPr="004D3F59">
        <w:rPr>
          <w:rFonts w:ascii="Palatino Linotype" w:eastAsia="MS Mincho" w:hAnsi="Palatino Linotype" w:cs="Times New Roman"/>
        </w:rPr>
        <w:t>que permite</w:t>
      </w:r>
      <w:r w:rsidRPr="004D3F59">
        <w:rPr>
          <w:rFonts w:ascii="Palatino Linotype" w:eastAsia="MS Mincho" w:hAnsi="Palatino Linotype" w:cs="Times New Roman"/>
          <w:i/>
        </w:rPr>
        <w:t xml:space="preserve"> saber qué están haciendo los gobiernos por sus pueblos, sin lo cual la verdad languidecería y la participación en el gobierno permanecería fragmentada.</w:t>
      </w:r>
      <w:r w:rsidRPr="004D3F59">
        <w:rPr>
          <w:rStyle w:val="Refdenotaalpie"/>
          <w:rFonts w:ascii="Palatino Linotype" w:eastAsia="MS Mincho" w:hAnsi="Palatino Linotype" w:cs="Times New Roman"/>
          <w:i/>
        </w:rPr>
        <w:footnoteReference w:id="7"/>
      </w:r>
      <w:r w:rsidRPr="004D3F59">
        <w:rPr>
          <w:rFonts w:ascii="Palatino Linotype" w:eastAsia="MS Mincho" w:hAnsi="Palatino Linotype" w:cs="Times New Roman"/>
        </w:rPr>
        <w:t xml:space="preserve"> ” </w:t>
      </w:r>
    </w:p>
    <w:p w14:paraId="2E764DAA" w14:textId="77777777" w:rsidR="003F4AE1" w:rsidRPr="004D3F59" w:rsidRDefault="003F4AE1" w:rsidP="003D34CF">
      <w:pPr>
        <w:spacing w:line="360" w:lineRule="auto"/>
        <w:contextualSpacing/>
        <w:jc w:val="both"/>
        <w:rPr>
          <w:rFonts w:ascii="Palatino Linotype" w:hAnsi="Palatino Linotype"/>
        </w:rPr>
      </w:pPr>
    </w:p>
    <w:p w14:paraId="0B8E3CA4" w14:textId="77777777" w:rsidR="003F4AE1" w:rsidRPr="004D3F59" w:rsidRDefault="003F4AE1"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lang w:val="es-ES"/>
        </w:rPr>
      </w:pPr>
      <w:r w:rsidRPr="004D3F59">
        <w:rPr>
          <w:rFonts w:ascii="Palatino Linotype" w:hAnsi="Palatino Linotype"/>
          <w:lang w:val="es-ES"/>
        </w:rPr>
        <w:t xml:space="preserve">Es así que, todos los actos de autoridad que realicen los Sujetos Obligados </w:t>
      </w:r>
      <w:r w:rsidRPr="004D3F59">
        <w:rPr>
          <w:rFonts w:ascii="Palatino Linotype" w:hAnsi="Palatino Linotype"/>
          <w:b/>
          <w:lang w:val="es-ES"/>
        </w:rPr>
        <w:t xml:space="preserve">deben estar </w:t>
      </w:r>
      <w:r w:rsidRPr="004D3F59">
        <w:rPr>
          <w:rFonts w:ascii="Palatino Linotype" w:hAnsi="Palatino Linotype"/>
        </w:rPr>
        <w:t>documentados</w:t>
      </w:r>
      <w:r w:rsidRPr="004D3F59">
        <w:rPr>
          <w:rFonts w:ascii="Palatino Linotype" w:hAnsi="Palatino Linotype"/>
          <w:lang w:val="es-ES"/>
        </w:rPr>
        <w:t xml:space="preserve"> y, bajo el más alto estándar de transparencia deberán poner toda la información que se encuentre en su posesión, a disposición de los particulares que la soliciten.</w:t>
      </w:r>
    </w:p>
    <w:p w14:paraId="6AB916CC" w14:textId="77777777" w:rsidR="003F4AE1" w:rsidRPr="004D3F59" w:rsidRDefault="003F4AE1" w:rsidP="003D34CF">
      <w:pPr>
        <w:pStyle w:val="Prrafodelista"/>
        <w:spacing w:line="360" w:lineRule="auto"/>
        <w:ind w:left="0"/>
        <w:jc w:val="both"/>
        <w:rPr>
          <w:rFonts w:ascii="Palatino Linotype" w:hAnsi="Palatino Linotype"/>
          <w:lang w:val="es-ES"/>
        </w:rPr>
      </w:pPr>
    </w:p>
    <w:p w14:paraId="59AC8B4A" w14:textId="77777777" w:rsidR="003F4AE1" w:rsidRPr="004D3F59" w:rsidRDefault="003F4AE1"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Arial"/>
        </w:rPr>
      </w:pPr>
      <w:r w:rsidRPr="004D3F59">
        <w:rPr>
          <w:rFonts w:ascii="Palatino Linotype" w:eastAsia="Times New Roman" w:hAnsi="Palatino Linotype" w:cs="Arial"/>
          <w:color w:val="000000"/>
        </w:rPr>
        <w:t>Además, debemos tomar en cuenta los artículos 4 y 12, de la Ley de Transparencia y Acceso a la Información Pública del Estado de México y Municipios, los cuales establecen lo siguiente:</w:t>
      </w:r>
    </w:p>
    <w:p w14:paraId="4B688766" w14:textId="77777777" w:rsidR="003F4AE1" w:rsidRPr="004D3F59" w:rsidRDefault="003F4AE1" w:rsidP="003D34CF">
      <w:pPr>
        <w:pStyle w:val="Prrafodelista"/>
        <w:spacing w:line="360" w:lineRule="auto"/>
        <w:rPr>
          <w:rFonts w:ascii="Palatino Linotype" w:eastAsia="Calibri" w:hAnsi="Palatino Linotype" w:cs="Arial"/>
        </w:rPr>
      </w:pPr>
    </w:p>
    <w:p w14:paraId="041F3504" w14:textId="77777777" w:rsidR="003F4AE1" w:rsidRPr="004D3F59" w:rsidRDefault="003F4AE1" w:rsidP="003D34CF">
      <w:pPr>
        <w:autoSpaceDE w:val="0"/>
        <w:autoSpaceDN w:val="0"/>
        <w:adjustRightInd w:val="0"/>
        <w:spacing w:line="360" w:lineRule="auto"/>
        <w:ind w:left="567" w:right="567"/>
        <w:jc w:val="both"/>
        <w:rPr>
          <w:rFonts w:ascii="Palatino Linotype" w:hAnsi="Palatino Linotype" w:cs="Bookman Old Style"/>
          <w:i/>
        </w:rPr>
      </w:pPr>
      <w:r w:rsidRPr="004D3F59">
        <w:rPr>
          <w:rFonts w:ascii="Palatino Linotype" w:hAnsi="Palatino Linotype" w:cs="Bookman Old Style,Bold"/>
          <w:b/>
          <w:bCs/>
          <w:i/>
        </w:rPr>
        <w:t xml:space="preserve">Artículo 4. </w:t>
      </w:r>
      <w:r w:rsidRPr="004D3F59">
        <w:rPr>
          <w:rFonts w:ascii="Palatino Linotype" w:hAnsi="Palatino Linotype" w:cs="Bookman Old Style"/>
          <w:i/>
        </w:rPr>
        <w:t>El derecho humano de acceso a la información pública es la prerrogativa de las personas para buscar, difundir, investigar, recabar, recibir y solicitar información pública, sin necesidad de acreditar personalidad ni interés jurídico.</w:t>
      </w:r>
    </w:p>
    <w:p w14:paraId="3C418F94" w14:textId="77777777" w:rsidR="003F4AE1" w:rsidRPr="004D3F59" w:rsidRDefault="003F4AE1" w:rsidP="003D34CF">
      <w:pPr>
        <w:autoSpaceDE w:val="0"/>
        <w:autoSpaceDN w:val="0"/>
        <w:adjustRightInd w:val="0"/>
        <w:spacing w:line="360" w:lineRule="auto"/>
        <w:ind w:left="567" w:right="567"/>
        <w:jc w:val="both"/>
        <w:rPr>
          <w:rFonts w:ascii="Palatino Linotype" w:hAnsi="Palatino Linotype" w:cs="Bookman Old Style"/>
          <w:i/>
        </w:rPr>
      </w:pPr>
      <w:r w:rsidRPr="004D3F59">
        <w:rPr>
          <w:rFonts w:ascii="Palatino Linotype" w:hAnsi="Palatino Linotype" w:cs="Bookman Old Style"/>
          <w:b/>
          <w:i/>
        </w:rPr>
        <w:t>Toda la información</w:t>
      </w:r>
      <w:r w:rsidRPr="004D3F59">
        <w:rPr>
          <w:rFonts w:ascii="Palatino Linotype" w:hAnsi="Palatino Linotype" w:cs="Bookman Old Style"/>
          <w:i/>
        </w:rPr>
        <w:t xml:space="preserve"> generada, obtenida, adquirida, transformada, administrada o </w:t>
      </w:r>
      <w:r w:rsidRPr="004D3F59">
        <w:rPr>
          <w:rFonts w:ascii="Palatino Linotype" w:hAnsi="Palatino Linotype" w:cs="Bookman Old Style"/>
          <w:b/>
          <w:i/>
        </w:rPr>
        <w:t>en posesión de los sujetos obligados es pública</w:t>
      </w:r>
      <w:r w:rsidRPr="004D3F59">
        <w:rPr>
          <w:rFonts w:ascii="Palatino Linotype" w:hAnsi="Palatino Linotype" w:cs="Bookman Old Style"/>
          <w:i/>
        </w:rPr>
        <w:t xml:space="preserve"> y accesible </w:t>
      </w:r>
      <w:r w:rsidRPr="004D3F59">
        <w:rPr>
          <w:rFonts w:ascii="Palatino Linotype" w:hAnsi="Palatino Linotype" w:cs="Bookman Old Style"/>
          <w:i/>
        </w:rPr>
        <w:lastRenderedPageBreak/>
        <w:t>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2DF24A" w14:textId="77777777" w:rsidR="003F4AE1" w:rsidRPr="004D3F59" w:rsidRDefault="003F4AE1" w:rsidP="003D34CF">
      <w:pPr>
        <w:autoSpaceDE w:val="0"/>
        <w:autoSpaceDN w:val="0"/>
        <w:adjustRightInd w:val="0"/>
        <w:spacing w:line="360" w:lineRule="auto"/>
        <w:ind w:left="567" w:right="567"/>
        <w:jc w:val="both"/>
        <w:rPr>
          <w:rFonts w:ascii="Palatino Linotype" w:hAnsi="Palatino Linotype" w:cs="Bookman Old Style"/>
          <w:i/>
        </w:rPr>
      </w:pPr>
      <w:r w:rsidRPr="004D3F59">
        <w:rPr>
          <w:rFonts w:ascii="Palatino Linotype" w:hAnsi="Palatino Linotype" w:cs="Bookman Old Style"/>
          <w:i/>
        </w:rPr>
        <w:t>Los sujetos obligados deben poner en práctica, políticas y programas de acceso a la información que se apeguen a criterios de publicidad, veracidad, oportunidad, precisión y suficiencia en beneficio de los solicitantes.</w:t>
      </w:r>
    </w:p>
    <w:p w14:paraId="0FB4CC57" w14:textId="77777777" w:rsidR="003F4AE1" w:rsidRPr="004D3F59" w:rsidRDefault="003F4AE1" w:rsidP="003D34CF">
      <w:pPr>
        <w:autoSpaceDE w:val="0"/>
        <w:autoSpaceDN w:val="0"/>
        <w:adjustRightInd w:val="0"/>
        <w:spacing w:line="360" w:lineRule="auto"/>
        <w:ind w:left="567" w:right="567"/>
        <w:jc w:val="both"/>
        <w:rPr>
          <w:rFonts w:ascii="Palatino Linotype" w:hAnsi="Palatino Linotype" w:cs="Bookman Old Style"/>
          <w:i/>
        </w:rPr>
      </w:pPr>
      <w:r w:rsidRPr="004D3F59">
        <w:rPr>
          <w:rFonts w:ascii="Palatino Linotype" w:hAnsi="Palatino Linotype" w:cs="Bookman Old Style"/>
          <w:i/>
        </w:rPr>
        <w:t>Artículo 12. Quienes generen, recopilen, administren, manejen, procesen, archiven o conserven información pública serán responsables de la misma en los términos de las disposiciones jurídicas aplicables.</w:t>
      </w:r>
    </w:p>
    <w:p w14:paraId="260FD5B6" w14:textId="77777777" w:rsidR="003F4AE1" w:rsidRPr="004D3F59" w:rsidRDefault="003F4AE1" w:rsidP="003D34CF">
      <w:pPr>
        <w:autoSpaceDE w:val="0"/>
        <w:autoSpaceDN w:val="0"/>
        <w:adjustRightInd w:val="0"/>
        <w:spacing w:line="360" w:lineRule="auto"/>
        <w:ind w:left="567" w:right="567"/>
        <w:jc w:val="both"/>
        <w:rPr>
          <w:rFonts w:ascii="Palatino Linotype" w:hAnsi="Palatino Linotype" w:cs="Bookman Old Style"/>
          <w:i/>
        </w:rPr>
      </w:pPr>
      <w:r w:rsidRPr="004D3F59">
        <w:rPr>
          <w:rFonts w:ascii="Palatino Linotype" w:hAnsi="Palatino Linotype" w:cs="Bookman Old Style"/>
          <w:b/>
          <w:i/>
        </w:rPr>
        <w:t>Los sujetos obligados sólo proporcionarán la información pública que se les requiera y que obre en sus archivos y en el estado en que ésta se encuentre</w:t>
      </w:r>
      <w:r w:rsidRPr="004D3F59">
        <w:rPr>
          <w:rFonts w:ascii="Palatino Linotype" w:hAnsi="Palatino Linotype" w:cs="Bookman Old Style"/>
          <w:i/>
        </w:rPr>
        <w:t>. La obligación de proporcionar información no comprende el procesamiento de la misma, ni el presentarla conforme al interés del solicitante; no estarán obligados a generarla, resumirla, efectuar cálculos o practicar investigaciones.</w:t>
      </w:r>
      <w:r w:rsidRPr="004D3F59">
        <w:rPr>
          <w:rFonts w:ascii="Palatino Linotype" w:hAnsi="Palatino Linotype" w:cs="Bookman Old Style"/>
          <w:i/>
        </w:rPr>
        <w:cr/>
      </w:r>
    </w:p>
    <w:p w14:paraId="4886721F" w14:textId="77777777" w:rsidR="003F4AE1" w:rsidRPr="004D3F59" w:rsidRDefault="003F4AE1"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lang w:val="es-ES"/>
        </w:rPr>
      </w:pPr>
      <w:r w:rsidRPr="004D3F59">
        <w:rPr>
          <w:rFonts w:ascii="Palatino Linotype" w:hAnsi="Palatino Linotype"/>
          <w:lang w:val="es-ES"/>
        </w:rPr>
        <w:t xml:space="preserve">Es así </w:t>
      </w:r>
      <w:r w:rsidRPr="004D3F59">
        <w:rPr>
          <w:rFonts w:ascii="Palatino Linotype" w:eastAsia="Times New Roman" w:hAnsi="Palatino Linotype" w:cs="Arial"/>
          <w:color w:val="000000"/>
        </w:rPr>
        <w:t>que</w:t>
      </w:r>
      <w:r w:rsidRPr="004D3F59">
        <w:rPr>
          <w:rFonts w:ascii="Palatino Linotype" w:hAnsi="Palatino Linotype"/>
          <w:lang w:val="es-ES"/>
        </w:rPr>
        <w:t xml:space="preserve">, por un lado se tiene la obligación de documentar todos los actos que se lleven a cabo en el ejercicio de sus funciones, atribuciones y competencias, mientras que por otro, se ven impuestos por la obligación de hacer pública toda </w:t>
      </w:r>
      <w:r w:rsidRPr="004D3F59">
        <w:rPr>
          <w:rFonts w:ascii="Palatino Linotype" w:hAnsi="Palatino Linotype"/>
          <w:lang w:val="es-ES"/>
        </w:rPr>
        <w:lastRenderedPageBreak/>
        <w:t>aquella información que se encuentre en su posesión en estricto apego a los principios de eficacia</w:t>
      </w:r>
      <w:r w:rsidRPr="004D3F59">
        <w:rPr>
          <w:rStyle w:val="Refdenotaalpie"/>
          <w:rFonts w:ascii="Palatino Linotype" w:hAnsi="Palatino Linotype"/>
          <w:lang w:val="es-ES"/>
        </w:rPr>
        <w:footnoteReference w:id="8"/>
      </w:r>
      <w:r w:rsidRPr="004D3F59">
        <w:rPr>
          <w:rFonts w:ascii="Palatino Linotype" w:hAnsi="Palatino Linotype"/>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68D4E248" w14:textId="77777777" w:rsidR="003F4AE1" w:rsidRPr="004D3F59" w:rsidRDefault="003F4AE1" w:rsidP="003D34CF">
      <w:pPr>
        <w:pStyle w:val="Prrafodelista"/>
        <w:tabs>
          <w:tab w:val="left" w:pos="851"/>
        </w:tabs>
        <w:spacing w:line="360" w:lineRule="auto"/>
        <w:ind w:left="0" w:right="49"/>
        <w:jc w:val="both"/>
        <w:rPr>
          <w:rFonts w:ascii="Palatino Linotype" w:hAnsi="Palatino Linotype"/>
          <w:lang w:val="es-ES"/>
        </w:rPr>
      </w:pPr>
    </w:p>
    <w:p w14:paraId="49F9C7E3" w14:textId="77777777" w:rsidR="003F4AE1" w:rsidRPr="004D3F59" w:rsidRDefault="003F4AE1" w:rsidP="003D34CF">
      <w:pPr>
        <w:numPr>
          <w:ilvl w:val="0"/>
          <w:numId w:val="11"/>
        </w:numPr>
        <w:pBdr>
          <w:top w:val="nil"/>
          <w:left w:val="nil"/>
          <w:bottom w:val="nil"/>
          <w:right w:val="nil"/>
          <w:between w:val="nil"/>
        </w:pBdr>
        <w:spacing w:line="360" w:lineRule="auto"/>
        <w:ind w:left="0" w:right="49" w:firstLine="0"/>
        <w:jc w:val="both"/>
        <w:rPr>
          <w:rFonts w:ascii="Palatino Linotype" w:hAnsi="Palatino Linotype"/>
          <w:lang w:val="es-ES"/>
        </w:rPr>
      </w:pPr>
      <w:r w:rsidRPr="004D3F59">
        <w:rPr>
          <w:rFonts w:ascii="Palatino Linotype" w:hAnsi="Palatino Linotype"/>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0E76203E" w14:textId="77777777" w:rsidR="003F4AE1" w:rsidRPr="004D3F59" w:rsidRDefault="003F4AE1" w:rsidP="003D34CF">
      <w:pPr>
        <w:pStyle w:val="Prrafodelista"/>
        <w:spacing w:line="360" w:lineRule="auto"/>
        <w:jc w:val="both"/>
        <w:rPr>
          <w:rFonts w:ascii="Palatino Linotype" w:hAnsi="Palatino Linotype"/>
          <w:lang w:val="es-ES"/>
        </w:rPr>
      </w:pPr>
    </w:p>
    <w:p w14:paraId="64BF96A7" w14:textId="77777777" w:rsidR="003F4AE1" w:rsidRPr="004D3F59" w:rsidRDefault="003F4AE1" w:rsidP="003D34CF">
      <w:pPr>
        <w:pStyle w:val="Prrafodelista"/>
        <w:tabs>
          <w:tab w:val="left" w:pos="851"/>
        </w:tabs>
        <w:spacing w:line="360" w:lineRule="auto"/>
        <w:ind w:left="567" w:right="567"/>
        <w:jc w:val="both"/>
        <w:rPr>
          <w:rFonts w:ascii="Palatino Linotype" w:hAnsi="Palatino Linotype"/>
          <w:i/>
        </w:rPr>
      </w:pPr>
      <w:r w:rsidRPr="004D3F59">
        <w:rPr>
          <w:rFonts w:ascii="Palatino Linotype" w:hAnsi="Palatino Linotype"/>
          <w:b/>
          <w:i/>
        </w:rPr>
        <w:t>ACCESO A LA INFORMACIÓN. IMPLICACIÓN DEL PRINCIPIO DE MÁXIMA PUBLICIDAD EN EL DERECHO FUNDAMENTAL RELATIVO.</w:t>
      </w:r>
      <w:r w:rsidRPr="004D3F59">
        <w:rPr>
          <w:rFonts w:ascii="Palatino Linotype" w:hAnsi="Palatino Linotype"/>
          <w:i/>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w:t>
      </w:r>
      <w:r w:rsidRPr="004D3F59">
        <w:rPr>
          <w:rFonts w:ascii="Palatino Linotype" w:hAnsi="Palatino Linotype"/>
          <w:i/>
        </w:rPr>
        <w:lastRenderedPageBreak/>
        <w:t>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25038459" w14:textId="77777777" w:rsidR="001E25C0" w:rsidRPr="004D3F59" w:rsidRDefault="001E25C0" w:rsidP="001E25C0">
      <w:pPr>
        <w:tabs>
          <w:tab w:val="left" w:pos="851"/>
        </w:tabs>
        <w:spacing w:line="360" w:lineRule="auto"/>
        <w:ind w:right="567"/>
        <w:jc w:val="both"/>
        <w:rPr>
          <w:rFonts w:ascii="Palatino Linotype" w:hAnsi="Palatino Linotype"/>
          <w:i/>
        </w:rPr>
      </w:pPr>
    </w:p>
    <w:p w14:paraId="12F91198" w14:textId="77777777" w:rsidR="000377AF" w:rsidRPr="004D3F59" w:rsidRDefault="000377AF" w:rsidP="000377A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3"/>
          <w:szCs w:val="23"/>
        </w:rPr>
      </w:pPr>
      <w:r w:rsidRPr="004D3F59">
        <w:rPr>
          <w:rFonts w:ascii="Palatino Linotype" w:hAnsi="Palatino Linotype"/>
          <w:lang w:val="es-ES"/>
        </w:rPr>
        <w:t xml:space="preserve">Ahora bien como se dijo, los nombre de los servidores públicos investigados por faltas no graves, es susceptible de ser clasificado, mediante el Acuerdo del Comité de Transparencia en el que de manera fundada y motivada se sustente, </w:t>
      </w:r>
      <w:r w:rsidRPr="004D3F59">
        <w:rPr>
          <w:rFonts w:ascii="Palatino Linotype" w:hAnsi="Palatino Linotype"/>
          <w:lang w:val="es-ES"/>
        </w:rPr>
        <w:lastRenderedPageBreak/>
        <w:t xml:space="preserve">debiendo </w:t>
      </w:r>
      <w:r w:rsidRPr="004D3F59">
        <w:rPr>
          <w:rFonts w:ascii="Palatino Linotype" w:eastAsia="Palatino Linotype" w:hAnsi="Palatino Linotype" w:cs="Palatino Linotype"/>
          <w:sz w:val="23"/>
          <w:szCs w:val="23"/>
        </w:rPr>
        <w:t>, se debe aplicar una prueba de daño, la cual es definida por la Ley de la Materia en su artículo 3 fracción XXXII, como:</w:t>
      </w:r>
    </w:p>
    <w:p w14:paraId="78249DBA" w14:textId="77777777" w:rsidR="000377AF" w:rsidRPr="004D3F59" w:rsidRDefault="000377AF" w:rsidP="000377AF">
      <w:pPr>
        <w:pBdr>
          <w:top w:val="nil"/>
          <w:left w:val="nil"/>
          <w:bottom w:val="nil"/>
          <w:right w:val="nil"/>
          <w:between w:val="nil"/>
        </w:pBdr>
        <w:ind w:left="851" w:right="899"/>
        <w:jc w:val="both"/>
        <w:rPr>
          <w:rFonts w:ascii="Times New Roman" w:eastAsia="Times New Roman" w:hAnsi="Times New Roman" w:cs="Times New Roman"/>
          <w:i/>
          <w:color w:val="000000"/>
        </w:rPr>
      </w:pPr>
      <w:r w:rsidRPr="004D3F59">
        <w:rPr>
          <w:rFonts w:ascii="Palatino Linotype" w:eastAsia="Palatino Linotype" w:hAnsi="Palatino Linotype" w:cs="Palatino Linotype"/>
          <w:i/>
          <w:color w:val="000000"/>
        </w:rPr>
        <w:t xml:space="preserve">“XXXIII. Prueba de Daño: </w:t>
      </w:r>
      <w:r w:rsidRPr="004D3F59">
        <w:rPr>
          <w:rFonts w:ascii="Palatino Linotype" w:eastAsia="Palatino Linotype" w:hAnsi="Palatino Linotype" w:cs="Palatino Linotype"/>
          <w:b/>
          <w:i/>
          <w:color w:val="000000"/>
          <w:u w:val="single"/>
        </w:rPr>
        <w:t>Responsabilidad de los sujetos obligados de demostrar de manera fundada y motivada que la divulgación de información lesiona el interés jurídicamente protegido por la Ley,</w:t>
      </w:r>
      <w:r w:rsidRPr="004D3F59">
        <w:rPr>
          <w:rFonts w:ascii="Palatino Linotype" w:eastAsia="Palatino Linotype" w:hAnsi="Palatino Linotype" w:cs="Palatino Linotype"/>
          <w:i/>
          <w:color w:val="000000"/>
        </w:rPr>
        <w:t xml:space="preserve"> y que el menoscabo o daño que puede producirse con la publicidad de la información es mayor que el interés de conocerla y por consiguiente debe clasificarse como reservada…” </w:t>
      </w:r>
    </w:p>
    <w:p w14:paraId="2FC3DA8A" w14:textId="77777777" w:rsidR="000377AF" w:rsidRPr="004D3F59" w:rsidRDefault="000377AF" w:rsidP="000377AF">
      <w:pPr>
        <w:jc w:val="both"/>
        <w:rPr>
          <w:rFonts w:ascii="Palatino Linotype" w:eastAsia="Palatino Linotype" w:hAnsi="Palatino Linotype" w:cs="Palatino Linotype"/>
        </w:rPr>
      </w:pPr>
    </w:p>
    <w:p w14:paraId="07A39E41" w14:textId="77777777" w:rsidR="000377AF" w:rsidRPr="004D3F59" w:rsidRDefault="000377AF" w:rsidP="000377A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sz w:val="23"/>
          <w:szCs w:val="23"/>
        </w:rPr>
      </w:pPr>
      <w:r w:rsidRPr="004D3F59">
        <w:rPr>
          <w:rFonts w:ascii="Palatino Linotype" w:eastAsia="Palatino Linotype" w:hAnsi="Palatino Linotype" w:cs="Palatino Linotype"/>
          <w:sz w:val="23"/>
          <w:szCs w:val="23"/>
        </w:rPr>
        <w:t xml:space="preserve">Precepto legal en donde establece que </w:t>
      </w:r>
      <w:r w:rsidRPr="004D3F59">
        <w:rPr>
          <w:rFonts w:ascii="Palatino Linotype" w:eastAsia="Palatino Linotype" w:hAnsi="Palatino Linotype" w:cs="Palatino Linotype"/>
          <w:b/>
          <w:sz w:val="23"/>
          <w:szCs w:val="23"/>
        </w:rPr>
        <w:t>es obligación de los Sujeto Obligados, realizar la prueba de daño;</w:t>
      </w:r>
      <w:r w:rsidRPr="004D3F59">
        <w:rPr>
          <w:rFonts w:ascii="Palatino Linotype" w:eastAsia="Palatino Linotype" w:hAnsi="Palatino Linotype" w:cs="Palatino Linotype"/>
          <w:sz w:val="23"/>
          <w:szCs w:val="23"/>
        </w:rPr>
        <w:t xml:space="preserve"> es decir, que los Sujetos Obligados que generan, administren o posean, la información que deba ser clasificada como información reservada por actualizar alguna causal de reserva señala en el artículo 140 de la Ley de la Materia, son responsables de aplicar la prueba de daño para demostrar que la divulgación de la información lesiona interés jurídicamente protegido por la Ley, y que el menoscabo o daño que puede producirse con la publicidad de la información es mayor que el interés de conocerla.</w:t>
      </w:r>
    </w:p>
    <w:p w14:paraId="2AFAC6FB" w14:textId="77777777" w:rsidR="000377AF" w:rsidRPr="004D3F59" w:rsidRDefault="000377AF" w:rsidP="000377AF">
      <w:pPr>
        <w:pBdr>
          <w:top w:val="nil"/>
          <w:left w:val="nil"/>
          <w:bottom w:val="nil"/>
          <w:right w:val="nil"/>
          <w:between w:val="nil"/>
        </w:pBdr>
        <w:spacing w:line="360" w:lineRule="auto"/>
        <w:ind w:right="49"/>
        <w:jc w:val="both"/>
        <w:rPr>
          <w:rFonts w:ascii="Palatino Linotype" w:eastAsia="Palatino Linotype" w:hAnsi="Palatino Linotype" w:cs="Palatino Linotype"/>
          <w:sz w:val="23"/>
          <w:szCs w:val="23"/>
        </w:rPr>
      </w:pPr>
    </w:p>
    <w:p w14:paraId="71B05AD4" w14:textId="77777777" w:rsidR="000377AF" w:rsidRPr="004D3F59" w:rsidRDefault="000377AF" w:rsidP="000377A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sz w:val="23"/>
          <w:szCs w:val="23"/>
        </w:rPr>
      </w:pPr>
      <w:r w:rsidRPr="004D3F59">
        <w:rPr>
          <w:rFonts w:ascii="Palatino Linotype" w:eastAsia="Palatino Linotype" w:hAnsi="Palatino Linotype" w:cs="Palatino Linotype"/>
          <w:sz w:val="23"/>
          <w:szCs w:val="23"/>
        </w:rPr>
        <w:t xml:space="preserve">Esto es, que, a través de la prueba de daño, </w:t>
      </w:r>
      <w:r w:rsidRPr="004D3F59">
        <w:rPr>
          <w:rFonts w:ascii="Palatino Linotype" w:eastAsia="Palatino Linotype" w:hAnsi="Palatino Linotype" w:cs="Palatino Linotype"/>
          <w:b/>
          <w:sz w:val="23"/>
          <w:szCs w:val="23"/>
        </w:rPr>
        <w:t xml:space="preserve">los sujetos obligados expongan las razones, motivos o </w:t>
      </w:r>
      <w:r w:rsidRPr="004D3F59">
        <w:rPr>
          <w:rFonts w:ascii="Palatino Linotype" w:eastAsia="Palatino Linotype" w:hAnsi="Palatino Linotype" w:cs="Palatino Linotype"/>
          <w:sz w:val="23"/>
          <w:szCs w:val="23"/>
        </w:rPr>
        <w:t>circunstancias</w:t>
      </w:r>
      <w:r w:rsidRPr="004D3F59">
        <w:rPr>
          <w:rFonts w:ascii="Palatino Linotype" w:eastAsia="Palatino Linotype" w:hAnsi="Palatino Linotype" w:cs="Palatino Linotype"/>
          <w:b/>
          <w:sz w:val="23"/>
          <w:szCs w:val="23"/>
        </w:rPr>
        <w:t xml:space="preserve"> especiales que los lleven a concluir que la información adquiere el carácter de reservada, y se ajusta a los supuestos previstos en la normatividad como fundamento. </w:t>
      </w:r>
    </w:p>
    <w:p w14:paraId="15997A71" w14:textId="77777777" w:rsidR="000377AF" w:rsidRPr="004D3F59" w:rsidRDefault="000377AF" w:rsidP="000377A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14:paraId="3BFB0B9B" w14:textId="77777777" w:rsidR="0092161B" w:rsidRPr="004D3F59" w:rsidRDefault="0092161B" w:rsidP="003D34CF">
      <w:pPr>
        <w:pBdr>
          <w:top w:val="nil"/>
          <w:left w:val="nil"/>
          <w:bottom w:val="nil"/>
          <w:right w:val="nil"/>
          <w:between w:val="nil"/>
        </w:pBdr>
        <w:spacing w:line="360" w:lineRule="auto"/>
        <w:contextualSpacing/>
        <w:jc w:val="both"/>
        <w:rPr>
          <w:rFonts w:ascii="Palatino Linotype" w:eastAsia="Calibri" w:hAnsi="Palatino Linotype" w:cs="Calibri"/>
          <w:b/>
          <w:lang w:val="es-ES"/>
        </w:rPr>
      </w:pPr>
      <w:r w:rsidRPr="004D3F59">
        <w:rPr>
          <w:rFonts w:ascii="Palatino Linotype" w:eastAsia="Calibri" w:hAnsi="Palatino Linotype" w:cs="Calibri"/>
          <w:b/>
          <w:lang w:val="es-ES"/>
        </w:rPr>
        <w:t>Vista a la Secretaría Técnica del Pleno</w:t>
      </w:r>
    </w:p>
    <w:p w14:paraId="28F908E2"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contextualSpacing/>
        <w:jc w:val="both"/>
        <w:rPr>
          <w:rFonts w:ascii="Palatino Linotype" w:eastAsia="Calibri" w:hAnsi="Palatino Linotype" w:cs="Calibri"/>
        </w:rPr>
      </w:pPr>
      <w:r w:rsidRPr="004D3F59">
        <w:rPr>
          <w:rFonts w:ascii="Palatino Linotype" w:eastAsia="Calibri" w:hAnsi="Palatino Linotype" w:cs="Calibri"/>
        </w:rPr>
        <w:lastRenderedPageBreak/>
        <w:t xml:space="preserve">De forma complementaria, es necesario señalar que el recurso de revisión previsto en la Ley de la Materia no es la vía idónea para investigar y sancionar a </w:t>
      </w:r>
      <w:r w:rsidRPr="004D3F59">
        <w:rPr>
          <w:rFonts w:ascii="Palatino Linotype" w:hAnsi="Palatino Linotype"/>
          <w:lang w:val="es-ES"/>
        </w:rPr>
        <w:t>servidores</w:t>
      </w:r>
      <w:r w:rsidRPr="004D3F59">
        <w:rPr>
          <w:rFonts w:ascii="Palatino Linotype" w:eastAsia="Calibri" w:hAnsi="Palatino Linotype" w:cs="Calibri"/>
        </w:rPr>
        <w:t xml:space="preserve"> públicos con motivo de la falta de respuesta a solicitudes </w:t>
      </w:r>
      <w:r w:rsidR="003D34CF" w:rsidRPr="004D3F59">
        <w:rPr>
          <w:rFonts w:ascii="Palatino Linotype" w:eastAsia="Calibri" w:hAnsi="Palatino Linotype" w:cs="Calibri"/>
        </w:rPr>
        <w:t>de información</w:t>
      </w:r>
      <w:r w:rsidRPr="004D3F59">
        <w:rPr>
          <w:rFonts w:ascii="Palatino Linotype" w:eastAsia="Calibri" w:hAnsi="Palatino Linotype" w:cs="Calibri"/>
        </w:rPr>
        <w:t xml:space="preserve">; no obstante, ante la vulneración del derecho de acceso a datos personales y de conformidad con las razones o motivos de inconformidad expuestos al momento de interponer este medio de impugnación, resulta procedente dar vista a la Secretaría Técnica del Pleno, para que en el ejercicio de las competencias reservadas integre y remita al Órgano de Control Interno competente, un expediente formado con motivo de las presuntas infracciones de carácter </w:t>
      </w:r>
      <w:proofErr w:type="spellStart"/>
      <w:r w:rsidRPr="004D3F59">
        <w:rPr>
          <w:rFonts w:ascii="Palatino Linotype" w:eastAsia="Calibri" w:hAnsi="Palatino Linotype" w:cs="Calibri"/>
        </w:rPr>
        <w:t>omisivo</w:t>
      </w:r>
      <w:proofErr w:type="spellEnd"/>
      <w:r w:rsidRPr="004D3F59">
        <w:rPr>
          <w:rFonts w:ascii="Palatino Linotype" w:eastAsia="Calibri" w:hAnsi="Palatino Linotype" w:cs="Calibri"/>
        </w:rPr>
        <w:t xml:space="preserve"> cometidas en detrime</w:t>
      </w:r>
      <w:r w:rsidR="003D34CF" w:rsidRPr="004D3F59">
        <w:rPr>
          <w:rFonts w:ascii="Palatino Linotype" w:eastAsia="Calibri" w:hAnsi="Palatino Linotype" w:cs="Calibri"/>
        </w:rPr>
        <w:t>nto al derecho del ejercicio del derecho de acceso a la información.</w:t>
      </w:r>
    </w:p>
    <w:p w14:paraId="74D69C31" w14:textId="77777777" w:rsidR="003D34CF" w:rsidRPr="004D3F59" w:rsidRDefault="003D34CF" w:rsidP="003D34CF">
      <w:pPr>
        <w:pBdr>
          <w:top w:val="nil"/>
          <w:left w:val="nil"/>
          <w:bottom w:val="nil"/>
          <w:right w:val="nil"/>
          <w:between w:val="nil"/>
        </w:pBdr>
        <w:spacing w:line="360" w:lineRule="auto"/>
        <w:ind w:right="49"/>
        <w:contextualSpacing/>
        <w:jc w:val="both"/>
        <w:rPr>
          <w:rFonts w:ascii="Palatino Linotype" w:eastAsia="Calibri" w:hAnsi="Palatino Linotype" w:cs="Calibri"/>
        </w:rPr>
      </w:pPr>
    </w:p>
    <w:p w14:paraId="6832F8B0"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Calibri"/>
        </w:rPr>
      </w:pPr>
      <w:r w:rsidRPr="004D3F59">
        <w:rPr>
          <w:rFonts w:ascii="Palatino Linotype" w:eastAsia="Calibri" w:hAnsi="Palatino Linotype" w:cs="Calibri"/>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Protección de Datos Personales en Posesión de Sujetos Obligados del Estado de México, específicamente en sus artículos 137 último párrafo y 165, que señalan lo siguiente:</w:t>
      </w:r>
    </w:p>
    <w:p w14:paraId="067B5F91" w14:textId="77777777" w:rsidR="0092161B" w:rsidRPr="004D3F59" w:rsidRDefault="0092161B" w:rsidP="003D34CF">
      <w:pPr>
        <w:pBdr>
          <w:top w:val="nil"/>
          <w:left w:val="nil"/>
          <w:bottom w:val="nil"/>
          <w:right w:val="nil"/>
          <w:between w:val="nil"/>
        </w:pBdr>
        <w:spacing w:line="360" w:lineRule="auto"/>
        <w:contextualSpacing/>
        <w:jc w:val="both"/>
        <w:rPr>
          <w:rFonts w:ascii="Palatino Linotype" w:eastAsia="Calibri" w:hAnsi="Palatino Linotype" w:cs="Calibri"/>
        </w:rPr>
      </w:pPr>
    </w:p>
    <w:p w14:paraId="460DF92B"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“Artículo 137. (…)</w:t>
      </w:r>
    </w:p>
    <w:p w14:paraId="211CC901"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 xml:space="preserve">Cuando el Instituto determine durante la sustanciación del recurso de revisión que se pudo haber incurrido en una probable responsabilidad por el incumplimiento a las obligaciones previstas en la presente Ley y demás disposiciones que resulten </w:t>
      </w:r>
      <w:r w:rsidRPr="004D3F59">
        <w:rPr>
          <w:rFonts w:ascii="Palatino Linotype" w:eastAsia="Calibri" w:hAnsi="Palatino Linotype" w:cs="Calibri"/>
          <w:i/>
        </w:rPr>
        <w:lastRenderedPageBreak/>
        <w:t>aplicables en la materia, deberán hacerlo del conocimiento del órgano interno de control o de la instancia competente del responsable para que ésta inicie, en su caso, el Procedimiento de Responsabilidad respectivo.</w:t>
      </w:r>
    </w:p>
    <w:p w14:paraId="6857F1CB"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p>
    <w:p w14:paraId="10E3EF10"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Artículo 165. Serán causas de responsabilidad administrativa de las y los servidores públicos por incumplimiento de las obligaciones establecidas en la presente Ley, las siguientes:</w:t>
      </w:r>
    </w:p>
    <w:p w14:paraId="1356E506"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I. Actuar con negligencia, dolo o mala fe en la sustanciación de las solicitudes de acceso, rectificación, cancelación u oposición de datos personales, así como los demás derechos previstos por esta Ley.</w:t>
      </w:r>
    </w:p>
    <w:p w14:paraId="079CD11A"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w:t>
      </w:r>
    </w:p>
    <w:p w14:paraId="260E9595"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4D3F59">
        <w:rPr>
          <w:rFonts w:ascii="Palatino Linotype" w:eastAsia="Calibri" w:hAnsi="Palatino Linotype" w:cs="Calibri"/>
          <w:i/>
        </w:rPr>
        <w:t>XXI. Incumplir los plazos de atención previstos en la presente Ley para responder las solicitudes para el ejercicio de los derechos ARCO o para hacer efectivo el derecho que se trate.</w:t>
      </w:r>
    </w:p>
    <w:p w14:paraId="188D4561" w14:textId="77777777" w:rsidR="0092161B" w:rsidRPr="004D3F59" w:rsidRDefault="0092161B" w:rsidP="003D34CF">
      <w:pPr>
        <w:pBdr>
          <w:top w:val="nil"/>
          <w:left w:val="nil"/>
          <w:bottom w:val="nil"/>
          <w:right w:val="nil"/>
          <w:between w:val="nil"/>
        </w:pBdr>
        <w:spacing w:line="360" w:lineRule="auto"/>
        <w:ind w:left="426" w:right="474"/>
        <w:contextualSpacing/>
        <w:jc w:val="both"/>
        <w:rPr>
          <w:rFonts w:ascii="Palatino Linotype" w:eastAsia="Calibri" w:hAnsi="Palatino Linotype" w:cs="Calibri"/>
          <w:b/>
          <w:bCs/>
          <w:i/>
        </w:rPr>
      </w:pPr>
      <w:r w:rsidRPr="004D3F59">
        <w:rPr>
          <w:rFonts w:ascii="Palatino Linotype" w:eastAsia="Calibri" w:hAnsi="Palatino Linotype" w:cs="Calibri"/>
          <w:i/>
        </w:rPr>
        <w:t xml:space="preserve">(…)” </w:t>
      </w:r>
    </w:p>
    <w:p w14:paraId="7EAB6251" w14:textId="77777777" w:rsidR="0092161B" w:rsidRPr="004D3F59" w:rsidRDefault="0092161B" w:rsidP="003D34CF">
      <w:pPr>
        <w:pBdr>
          <w:top w:val="nil"/>
          <w:left w:val="nil"/>
          <w:bottom w:val="nil"/>
          <w:right w:val="nil"/>
          <w:between w:val="nil"/>
        </w:pBdr>
        <w:spacing w:line="360" w:lineRule="auto"/>
        <w:contextualSpacing/>
        <w:jc w:val="both"/>
        <w:rPr>
          <w:rFonts w:ascii="Palatino Linotype" w:eastAsia="Calibri" w:hAnsi="Palatino Linotype" w:cs="Calibri"/>
          <w:i/>
        </w:rPr>
      </w:pPr>
    </w:p>
    <w:p w14:paraId="0FE7B397" w14:textId="77777777" w:rsidR="0092161B" w:rsidRPr="004D3F59" w:rsidRDefault="003D34CF"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Calibri"/>
        </w:rPr>
      </w:pPr>
      <w:r w:rsidRPr="004D3F59">
        <w:rPr>
          <w:rFonts w:ascii="Palatino Linotype" w:eastAsia="Calibri" w:hAnsi="Palatino Linotype" w:cs="Calibri"/>
        </w:rPr>
        <w:t>A más de</w:t>
      </w:r>
      <w:r w:rsidR="0092161B" w:rsidRPr="004D3F59">
        <w:rPr>
          <w:rFonts w:ascii="Palatino Linotype" w:eastAsia="Calibri" w:hAnsi="Palatino Linotype" w:cs="Calibri"/>
        </w:rPr>
        <w:t xml:space="preserve"> lo anterior, es conveniente señalar que la fracción XXVII, del artículo 19 del Reglamento Interior del Instituto de Transparencia, Acceso a la Información y Protección de Datos Personales, dispone lo siguiente:</w:t>
      </w:r>
    </w:p>
    <w:p w14:paraId="46E16C91" w14:textId="77777777" w:rsidR="0092161B" w:rsidRPr="004D3F59" w:rsidRDefault="0092161B" w:rsidP="003D34CF">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4D3F59">
        <w:rPr>
          <w:rFonts w:ascii="Palatino Linotype" w:eastAsia="Calibri" w:hAnsi="Palatino Linotype" w:cs="Calibri"/>
          <w:b/>
          <w:i/>
        </w:rPr>
        <w:t>“Artículo 19.</w:t>
      </w:r>
      <w:r w:rsidRPr="004D3F59">
        <w:rPr>
          <w:rFonts w:ascii="Palatino Linotype" w:eastAsia="Calibri" w:hAnsi="Palatino Linotype" w:cs="Calibri"/>
          <w:i/>
        </w:rPr>
        <w:t xml:space="preserve"> Corresponde a la Secretaría Técnica del Pleno ejercer las atribuciones siguientes:</w:t>
      </w:r>
    </w:p>
    <w:p w14:paraId="510EBFCE" w14:textId="77777777" w:rsidR="0092161B" w:rsidRPr="004D3F59" w:rsidRDefault="0092161B" w:rsidP="003D34CF">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4D3F59">
        <w:rPr>
          <w:rFonts w:ascii="Palatino Linotype" w:eastAsia="Calibri" w:hAnsi="Palatino Linotype" w:cs="Calibri"/>
          <w:i/>
        </w:rPr>
        <w:t>(…)</w:t>
      </w:r>
    </w:p>
    <w:p w14:paraId="3DE12677" w14:textId="77777777" w:rsidR="0092161B" w:rsidRPr="004D3F59" w:rsidRDefault="0092161B" w:rsidP="003D34CF">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4D3F59">
        <w:rPr>
          <w:rFonts w:ascii="Palatino Linotype" w:eastAsia="Calibri" w:hAnsi="Palatino Linotype" w:cs="Calibri"/>
          <w:b/>
          <w:i/>
        </w:rPr>
        <w:lastRenderedPageBreak/>
        <w:t>XXVII.</w:t>
      </w:r>
      <w:r w:rsidRPr="004D3F59">
        <w:rPr>
          <w:rFonts w:ascii="Palatino Linotype" w:eastAsia="Calibri" w:hAnsi="Palatino Linotype" w:cs="Calibri"/>
          <w:i/>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14:paraId="018D7AE7" w14:textId="77777777" w:rsidR="0092161B" w:rsidRPr="004D3F59" w:rsidRDefault="0092161B" w:rsidP="003D34CF">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4D3F59">
        <w:rPr>
          <w:rFonts w:ascii="Palatino Linotype" w:eastAsia="Calibri" w:hAnsi="Palatino Linotype" w:cs="Calibri"/>
          <w:i/>
        </w:rPr>
        <w:t>(…)</w:t>
      </w:r>
    </w:p>
    <w:p w14:paraId="2BB090F7" w14:textId="77777777" w:rsidR="0092161B" w:rsidRPr="004D3F59" w:rsidRDefault="0092161B" w:rsidP="003D34CF">
      <w:pPr>
        <w:pBdr>
          <w:top w:val="nil"/>
          <w:left w:val="nil"/>
          <w:bottom w:val="nil"/>
          <w:right w:val="nil"/>
          <w:between w:val="nil"/>
        </w:pBdr>
        <w:spacing w:line="360" w:lineRule="auto"/>
        <w:contextualSpacing/>
        <w:jc w:val="both"/>
        <w:rPr>
          <w:rFonts w:ascii="Palatino Linotype" w:eastAsia="Calibri" w:hAnsi="Palatino Linotype" w:cs="Calibri"/>
          <w:i/>
        </w:rPr>
      </w:pPr>
    </w:p>
    <w:p w14:paraId="2FB60B2E"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Calibri"/>
        </w:rPr>
      </w:pPr>
      <w:r w:rsidRPr="004D3F59">
        <w:rPr>
          <w:rFonts w:ascii="Palatino Linotype" w:eastAsia="Calibri" w:hAnsi="Palatino Linotype" w:cs="Calibri"/>
        </w:rPr>
        <w:t>Por lo que procedente dar vista a la Secretaría Técnica del Pleno a efecto de que ejerza las atribuciones previstas en la normatividad aplicable y comunique al Órgano Interno de Control de este Instituto para que éste último en ejercicio de sus atribuciones atienda las directivas marcadas en la propia Ley de la materia, con fundamento en su artículo 137, el cual estipula que cuando este Órgano Garante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14:paraId="75D7B292" w14:textId="77777777" w:rsidR="0092161B" w:rsidRPr="004D3F59" w:rsidRDefault="0092161B" w:rsidP="003D34CF">
      <w:pPr>
        <w:pBdr>
          <w:top w:val="nil"/>
          <w:left w:val="nil"/>
          <w:bottom w:val="nil"/>
          <w:right w:val="nil"/>
          <w:between w:val="nil"/>
        </w:pBdr>
        <w:spacing w:line="360" w:lineRule="auto"/>
        <w:ind w:right="49"/>
        <w:rPr>
          <w:rFonts w:ascii="Palatino Linotype" w:eastAsia="Palatino Linotype" w:hAnsi="Palatino Linotype" w:cs="Palatino Linotype"/>
          <w:color w:val="000000"/>
        </w:rPr>
      </w:pPr>
    </w:p>
    <w:p w14:paraId="6EEA7ED7" w14:textId="77777777" w:rsidR="00A83BD3" w:rsidRPr="004D3F59" w:rsidRDefault="00F41D15" w:rsidP="003D34CF">
      <w:pPr>
        <w:spacing w:line="360" w:lineRule="auto"/>
        <w:ind w:right="49"/>
        <w:jc w:val="both"/>
        <w:rPr>
          <w:rFonts w:ascii="Palatino Linotype" w:eastAsia="Palatino Linotype" w:hAnsi="Palatino Linotype" w:cs="Palatino Linotype"/>
          <w:b/>
        </w:rPr>
      </w:pPr>
      <w:bookmarkStart w:id="3" w:name="_heading=h.gjdgxs" w:colFirst="0" w:colLast="0"/>
      <w:bookmarkEnd w:id="3"/>
      <w:r w:rsidRPr="004D3F59">
        <w:rPr>
          <w:rFonts w:ascii="Palatino Linotype" w:eastAsia="Palatino Linotype" w:hAnsi="Palatino Linotype" w:cs="Palatino Linotype"/>
        </w:rPr>
        <w:t xml:space="preserve"> </w:t>
      </w:r>
      <w:r w:rsidRPr="004D3F59">
        <w:rPr>
          <w:rFonts w:ascii="Palatino Linotype" w:eastAsia="Palatino Linotype" w:hAnsi="Palatino Linotype" w:cs="Palatino Linotype"/>
          <w:b/>
        </w:rPr>
        <w:t>QUINTO. De la versión pública.</w:t>
      </w:r>
    </w:p>
    <w:p w14:paraId="3510E0A3"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 xml:space="preserve">Finalmente, debe señalarse que de ser el caso en que los documentos que vayan a ser </w:t>
      </w:r>
      <w:r w:rsidRPr="004D3F59">
        <w:rPr>
          <w:rFonts w:ascii="Palatino Linotype" w:hAnsi="Palatino Linotype"/>
          <w:lang w:val="es-ES"/>
        </w:rPr>
        <w:t>entregados</w:t>
      </w:r>
      <w:r w:rsidRPr="004D3F59">
        <w:rPr>
          <w:rFonts w:ascii="Palatino Linotype" w:eastAsia="Palatino Linotype" w:hAnsi="Palatino Linotype" w:cs="Palatino Linotype"/>
        </w:rPr>
        <w:t xml:space="preserve"> por el</w:t>
      </w:r>
      <w:r w:rsidRPr="004D3F59">
        <w:rPr>
          <w:rFonts w:ascii="Palatino Linotype" w:eastAsia="Palatino Linotype" w:hAnsi="Palatino Linotype" w:cs="Palatino Linotype"/>
          <w:b/>
        </w:rPr>
        <w:t xml:space="preserve"> </w:t>
      </w:r>
      <w:r w:rsidRPr="004D3F59">
        <w:rPr>
          <w:rFonts w:ascii="Palatino Linotype" w:eastAsia="Palatino Linotype" w:hAnsi="Palatino Linotype" w:cs="Palatino Linotype"/>
        </w:rPr>
        <w:t xml:space="preserve">sujeto obligado, para dar cumplimiento a la presente resolución, contengan datos que deban ser clasificados, el </w:t>
      </w:r>
      <w:r w:rsidRPr="004D3F59">
        <w:rPr>
          <w:rFonts w:ascii="Palatino Linotype" w:eastAsia="Palatino Linotype" w:hAnsi="Palatino Linotype" w:cs="Palatino Linotype"/>
          <w:b/>
        </w:rPr>
        <w:t>Sujeto Obligado</w:t>
      </w:r>
      <w:r w:rsidRPr="004D3F59">
        <w:rPr>
          <w:rFonts w:ascii="Palatino Linotype" w:eastAsia="Palatino Linotype" w:hAnsi="Palatino Linotype" w:cs="Palatino Linotype"/>
        </w:rPr>
        <w:t xml:space="preserve"> deberá </w:t>
      </w:r>
      <w:r w:rsidRPr="004D3F59">
        <w:rPr>
          <w:rFonts w:ascii="Palatino Linotype" w:eastAsia="Palatino Linotype" w:hAnsi="Palatino Linotype" w:cs="Palatino Linotype"/>
        </w:rPr>
        <w:lastRenderedPageBreak/>
        <w:t>hacer la elaboración de la versión pública de tales documentos a fin de satisfacer el derecho de acceso a la información pública del recurrente sin menoscabo al derecho a la protección de los datos personales de terceros.</w:t>
      </w:r>
    </w:p>
    <w:p w14:paraId="6386A1A8" w14:textId="77777777" w:rsidR="0092161B" w:rsidRPr="004D3F59" w:rsidRDefault="0092161B"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3EF49F12"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Para efectos de la elaboración de la versión pública se deberá observar lo dispuesto por los artículos 3 fracciones IX, XX, XXI y XLV, 91, 132 fracciones II y III, y 143 fracción I de la Ley de Transparencia y Acceso a la Información Pública del Estado de México y Municipios que establecen:</w:t>
      </w:r>
    </w:p>
    <w:p w14:paraId="498744BD"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w:t>
      </w:r>
      <w:r w:rsidRPr="004D3F59">
        <w:rPr>
          <w:rFonts w:ascii="Palatino Linotype" w:eastAsia="Palatino Linotype" w:hAnsi="Palatino Linotype" w:cs="Palatino Linotype"/>
          <w:b/>
          <w:i/>
        </w:rPr>
        <w:t>Artículo 3</w:t>
      </w:r>
      <w:r w:rsidRPr="004D3F59">
        <w:rPr>
          <w:rFonts w:ascii="Palatino Linotype" w:eastAsia="Palatino Linotype" w:hAnsi="Palatino Linotype" w:cs="Palatino Linotype"/>
          <w:i/>
        </w:rPr>
        <w:t>. Para los efectos de la presente Ley se entenderá por:</w:t>
      </w:r>
    </w:p>
    <w:p w14:paraId="6564E046"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w:t>
      </w:r>
    </w:p>
    <w:p w14:paraId="69FCC08F"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IX. Datos personales</w:t>
      </w:r>
      <w:r w:rsidRPr="004D3F59">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207413B4"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XX. Información clasificada</w:t>
      </w:r>
      <w:r w:rsidRPr="004D3F59">
        <w:rPr>
          <w:rFonts w:ascii="Palatino Linotype" w:eastAsia="Palatino Linotype" w:hAnsi="Palatino Linotype" w:cs="Palatino Linotype"/>
          <w:i/>
        </w:rPr>
        <w:t>: Aquella considerada por la presente Ley como reservada o confidencial;</w:t>
      </w:r>
    </w:p>
    <w:p w14:paraId="2024AD7E"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 xml:space="preserve">XXI. Información confidencial: </w:t>
      </w:r>
      <w:r w:rsidRPr="004D3F59">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A209117"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XLV. Versión pública:</w:t>
      </w:r>
      <w:r w:rsidRPr="004D3F59">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0E6B02CA"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lastRenderedPageBreak/>
        <w:t>[…]</w:t>
      </w:r>
    </w:p>
    <w:p w14:paraId="3A56B448"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91.</w:t>
      </w:r>
      <w:r w:rsidRPr="004D3F59">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2B4F1123"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132.</w:t>
      </w:r>
      <w:r w:rsidRPr="004D3F59">
        <w:rPr>
          <w:rFonts w:ascii="Palatino Linotype" w:eastAsia="Palatino Linotype" w:hAnsi="Palatino Linotype" w:cs="Palatino Linotype"/>
          <w:i/>
        </w:rPr>
        <w:t xml:space="preserve"> La clasificación de la información se llevará a cabo en el momento en que:</w:t>
      </w:r>
    </w:p>
    <w:p w14:paraId="13514389"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w:t>
      </w:r>
      <w:r w:rsidRPr="004D3F59">
        <w:rPr>
          <w:rFonts w:ascii="Palatino Linotype" w:eastAsia="Palatino Linotype" w:hAnsi="Palatino Linotype" w:cs="Palatino Linotype"/>
          <w:i/>
        </w:rPr>
        <w:t>. Se reciba una solicitud de acceso a la información;</w:t>
      </w:r>
    </w:p>
    <w:p w14:paraId="2F988DC0"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w:t>
      </w:r>
      <w:r w:rsidRPr="004D3F59">
        <w:rPr>
          <w:rFonts w:ascii="Palatino Linotype" w:eastAsia="Palatino Linotype" w:hAnsi="Palatino Linotype" w:cs="Palatino Linotype"/>
          <w:i/>
        </w:rPr>
        <w:t xml:space="preserve"> Se determine mediante resolución de autoridad competente; o</w:t>
      </w:r>
    </w:p>
    <w:p w14:paraId="0A82D452"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III.</w:t>
      </w:r>
      <w:r w:rsidRPr="004D3F59">
        <w:rPr>
          <w:rFonts w:ascii="Palatino Linotype" w:eastAsia="Palatino Linotype" w:hAnsi="Palatino Linotype" w:cs="Palatino Linotype"/>
          <w:i/>
        </w:rPr>
        <w:t xml:space="preserve"> Se generen versiones públicas para dar cumplimiento a las obligaciones de transparencia previstas en esta Ley.</w:t>
      </w:r>
    </w:p>
    <w:p w14:paraId="581811E6"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w:t>
      </w:r>
    </w:p>
    <w:p w14:paraId="2E7382AB"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Artículo 143</w:t>
      </w:r>
      <w:r w:rsidRPr="004D3F59">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06892FE"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w:t>
      </w:r>
      <w:r w:rsidRPr="004D3F59">
        <w:rPr>
          <w:rFonts w:ascii="Palatino Linotype" w:eastAsia="Palatino Linotype" w:hAnsi="Palatino Linotype" w:cs="Palatino Linotype"/>
          <w:i/>
        </w:rPr>
        <w:t xml:space="preserve"> Se refiera a la información privada y los datos personales concernientes a una persona física o </w:t>
      </w:r>
      <w:proofErr w:type="gramStart"/>
      <w:r w:rsidRPr="004D3F59">
        <w:rPr>
          <w:rFonts w:ascii="Palatino Linotype" w:eastAsia="Palatino Linotype" w:hAnsi="Palatino Linotype" w:cs="Palatino Linotype"/>
          <w:i/>
        </w:rPr>
        <w:t>jurídico</w:t>
      </w:r>
      <w:proofErr w:type="gramEnd"/>
      <w:r w:rsidRPr="004D3F59">
        <w:rPr>
          <w:rFonts w:ascii="Palatino Linotype" w:eastAsia="Palatino Linotype" w:hAnsi="Palatino Linotype" w:cs="Palatino Linotype"/>
          <w:i/>
        </w:rPr>
        <w:t xml:space="preserve"> colectiva identificada o identificable;</w:t>
      </w:r>
    </w:p>
    <w:p w14:paraId="66DBEEF1"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w:t>
      </w:r>
      <w:r w:rsidRPr="004D3F59">
        <w:rPr>
          <w:rFonts w:ascii="Palatino Linotype" w:eastAsia="Palatino Linotype" w:hAnsi="Palatino Linotype" w:cs="Palatino Linotype"/>
          <w:i/>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1E6A7722"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lastRenderedPageBreak/>
        <w:t>III.</w:t>
      </w:r>
      <w:r w:rsidRPr="004D3F59">
        <w:rPr>
          <w:rFonts w:ascii="Palatino Linotype" w:eastAsia="Palatino Linotype" w:hAnsi="Palatino Linotype" w:cs="Palatino Linotype"/>
          <w:i/>
        </w:rPr>
        <w:t xml:space="preserve"> La que presenten los particulares a los sujetos obligados, de conformidad con lo dispuesto por las leyes o los tratados internacionales.</w:t>
      </w:r>
    </w:p>
    <w:p w14:paraId="7569162F"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La información confidencial no estará sujeta a temporalidad alguna y sólo podrán tener acceso a ella los titulares de la misma, sus representantes y los servidores públicos facultados para ello.</w:t>
      </w:r>
    </w:p>
    <w:p w14:paraId="5B850A2D"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No se considerará confidencial la información que se encuentre en los registros públicos o en fuentes de acceso público, ni tampoco la que sea considerada por la presente ley como información pública.”</w:t>
      </w:r>
    </w:p>
    <w:p w14:paraId="19E438FE"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p>
    <w:p w14:paraId="636B172D"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E650E50" w14:textId="77777777" w:rsidR="0092161B" w:rsidRPr="004D3F59" w:rsidRDefault="0092161B" w:rsidP="003D34C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25E2DB4C"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4D3F59">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0B03A9FC"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lastRenderedPageBreak/>
        <w:t>“Quincuagésimo sexto</w:t>
      </w:r>
      <w:r w:rsidRPr="004D3F59">
        <w:rPr>
          <w:rFonts w:ascii="Palatino Linotype" w:eastAsia="Palatino Linotype" w:hAnsi="Palatino Linotype" w:cs="Palatino Linotype"/>
          <w:i/>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269CE4F1"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Quincuagésimo séptimo</w:t>
      </w:r>
      <w:r w:rsidRPr="004D3F59">
        <w:rPr>
          <w:rFonts w:ascii="Palatino Linotype" w:eastAsia="Palatino Linotype" w:hAnsi="Palatino Linotype" w:cs="Palatino Linotype"/>
          <w:i/>
        </w:rPr>
        <w:t xml:space="preserve">. Se considera, en principio, como información pública y no podrá omitirse de las versiones públicas la siguiente: </w:t>
      </w:r>
    </w:p>
    <w:p w14:paraId="6C07B476"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w:t>
      </w:r>
      <w:r w:rsidRPr="004D3F59">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7EA2F492"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w:t>
      </w:r>
      <w:r w:rsidRPr="004D3F59">
        <w:rPr>
          <w:rFonts w:ascii="Palatino Linotype" w:eastAsia="Palatino Linotype" w:hAnsi="Palatino Linotype" w:cs="Palatino Linotype"/>
          <w:i/>
        </w:rPr>
        <w:t xml:space="preserve"> El nombre de los servidores públicos en los documentos, y sus firmas autógrafas, cuando sean utilizados en el ejercicio de las facultades conferidas para el desempeño del servicio público, y </w:t>
      </w:r>
    </w:p>
    <w:p w14:paraId="4C8D7FD9" w14:textId="77777777" w:rsidR="0092161B" w:rsidRPr="004D3F59" w:rsidRDefault="0092161B" w:rsidP="003D34CF">
      <w:pPr>
        <w:spacing w:line="360" w:lineRule="auto"/>
        <w:ind w:left="1134"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III.</w:t>
      </w:r>
      <w:r w:rsidRPr="004D3F59">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6B6E7694"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i/>
        </w:rPr>
        <w:t xml:space="preserve">Lo anterior, siempre y cuando no se acredite alguna causal de clasificación, prevista en las leyes o en los tratados internaciones suscritos por el Estado mexicano. </w:t>
      </w:r>
    </w:p>
    <w:p w14:paraId="07C8084D"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r w:rsidRPr="004D3F59">
        <w:rPr>
          <w:rFonts w:ascii="Palatino Linotype" w:eastAsia="Palatino Linotype" w:hAnsi="Palatino Linotype" w:cs="Palatino Linotype"/>
          <w:b/>
          <w:i/>
        </w:rPr>
        <w:t>Quincuagésimo octavo</w:t>
      </w:r>
      <w:r w:rsidRPr="004D3F59">
        <w:rPr>
          <w:rFonts w:ascii="Palatino Linotype" w:eastAsia="Palatino Linotype" w:hAnsi="Palatino Linotype" w:cs="Palatino Linotype"/>
          <w:i/>
        </w:rPr>
        <w:t>. Los sujetos obligados garantizarán que los sistemas o medios empleados para eliminar la información en las versiones públicas no permitan la recuperación o visualización de la misma.”</w:t>
      </w:r>
    </w:p>
    <w:p w14:paraId="1FF32141" w14:textId="77777777" w:rsidR="0092161B" w:rsidRPr="004D3F59" w:rsidRDefault="0092161B" w:rsidP="003D34CF">
      <w:pPr>
        <w:spacing w:line="360" w:lineRule="auto"/>
        <w:ind w:left="851" w:right="902"/>
        <w:jc w:val="both"/>
        <w:rPr>
          <w:rFonts w:ascii="Palatino Linotype" w:eastAsia="Palatino Linotype" w:hAnsi="Palatino Linotype" w:cs="Palatino Linotype"/>
          <w:i/>
        </w:rPr>
      </w:pPr>
    </w:p>
    <w:p w14:paraId="4D4F85B1"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4D3F59">
        <w:rPr>
          <w:rFonts w:ascii="Palatino Linotype" w:eastAsia="Palatino Linotype" w:hAnsi="Palatino Linotype" w:cs="Palatino Linotype"/>
          <w:b/>
        </w:rPr>
        <w:t>Sujeto Obligado</w:t>
      </w:r>
      <w:r w:rsidRPr="004D3F59">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EC8B149" w14:textId="77777777" w:rsidR="0092161B" w:rsidRPr="004D3F59" w:rsidRDefault="0092161B" w:rsidP="003D34CF">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rPr>
      </w:pPr>
    </w:p>
    <w:p w14:paraId="7446437D"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Los sujetos obligados</w:t>
      </w:r>
      <w:r w:rsidRPr="004D3F59">
        <w:rPr>
          <w:rFonts w:ascii="Palatino Linotype" w:eastAsia="Palatino Linotype" w:hAnsi="Palatino Linotype" w:cs="Palatino Linotype"/>
          <w:b/>
          <w:color w:val="000000"/>
        </w:rPr>
        <w:t xml:space="preserve"> </w:t>
      </w:r>
      <w:r w:rsidRPr="004D3F59">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469809EC" w14:textId="77777777" w:rsidR="0092161B" w:rsidRPr="004D3F59" w:rsidRDefault="0092161B" w:rsidP="003D34CF">
      <w:pPr>
        <w:tabs>
          <w:tab w:val="left" w:pos="284"/>
        </w:tabs>
        <w:spacing w:line="360" w:lineRule="auto"/>
        <w:ind w:right="49"/>
        <w:jc w:val="both"/>
        <w:rPr>
          <w:rFonts w:ascii="Palatino Linotype" w:eastAsia="Palatino Linotype" w:hAnsi="Palatino Linotype" w:cs="Palatino Linotype"/>
          <w:color w:val="000000"/>
        </w:rPr>
      </w:pPr>
    </w:p>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5811"/>
      </w:tblGrid>
      <w:tr w:rsidR="0092161B" w:rsidRPr="004D3F59" w14:paraId="6A5C9A91" w14:textId="77777777" w:rsidTr="003D34CF">
        <w:tc>
          <w:tcPr>
            <w:tcW w:w="2689" w:type="dxa"/>
          </w:tcPr>
          <w:p w14:paraId="51C171C8" w14:textId="77777777" w:rsidR="0092161B" w:rsidRPr="004D3F59" w:rsidRDefault="0092161B" w:rsidP="003D34CF">
            <w:pPr>
              <w:tabs>
                <w:tab w:val="left" w:pos="284"/>
              </w:tabs>
              <w:rPr>
                <w:rFonts w:ascii="Palatino Linotype" w:eastAsia="Palatino Linotype" w:hAnsi="Palatino Linotype" w:cs="Palatino Linotype"/>
              </w:rPr>
            </w:pPr>
            <w:r w:rsidRPr="004D3F59">
              <w:rPr>
                <w:rFonts w:ascii="Palatino Linotype" w:eastAsia="Palatino Linotype" w:hAnsi="Palatino Linotype" w:cs="Palatino Linotype"/>
              </w:rPr>
              <w:t>a) Requisitos previos.</w:t>
            </w:r>
          </w:p>
        </w:tc>
        <w:tc>
          <w:tcPr>
            <w:tcW w:w="5811" w:type="dxa"/>
          </w:tcPr>
          <w:p w14:paraId="0536F7B3"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28C9530A"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14:paraId="4E836546"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14:paraId="21D10294" w14:textId="77777777" w:rsidR="0092161B" w:rsidRPr="004D3F59" w:rsidRDefault="0092161B" w:rsidP="003D34CF">
            <w:pPr>
              <w:tabs>
                <w:tab w:val="left" w:pos="284"/>
              </w:tabs>
              <w:jc w:val="both"/>
              <w:rPr>
                <w:rFonts w:ascii="Palatino Linotype" w:eastAsia="Palatino Linotype" w:hAnsi="Palatino Linotype" w:cs="Palatino Linotype"/>
              </w:rPr>
            </w:pPr>
            <w:r w:rsidRPr="004D3F59">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4D3F59">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4D3F59">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92161B" w:rsidRPr="004D3F59" w14:paraId="0DA4DB40" w14:textId="77777777" w:rsidTr="003D34CF">
        <w:tc>
          <w:tcPr>
            <w:tcW w:w="2689" w:type="dxa"/>
          </w:tcPr>
          <w:p w14:paraId="7DA28C5B" w14:textId="77777777" w:rsidR="0092161B" w:rsidRPr="004D3F59" w:rsidRDefault="0092161B" w:rsidP="003D34CF">
            <w:pPr>
              <w:tabs>
                <w:tab w:val="left" w:pos="284"/>
              </w:tabs>
              <w:rPr>
                <w:rFonts w:ascii="Palatino Linotype" w:eastAsia="Palatino Linotype" w:hAnsi="Palatino Linotype" w:cs="Palatino Linotype"/>
              </w:rPr>
            </w:pPr>
            <w:r w:rsidRPr="004D3F59">
              <w:rPr>
                <w:rFonts w:ascii="Palatino Linotype" w:eastAsia="Palatino Linotype" w:hAnsi="Palatino Linotype" w:cs="Palatino Linotype"/>
              </w:rPr>
              <w:lastRenderedPageBreak/>
              <w:t>b) Supuestos de clasificación.</w:t>
            </w:r>
          </w:p>
        </w:tc>
        <w:tc>
          <w:tcPr>
            <w:tcW w:w="5811" w:type="dxa"/>
          </w:tcPr>
          <w:p w14:paraId="5FEF7D89"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14:paraId="01AFE1FE"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37D6BFE" w14:textId="77777777" w:rsidR="0092161B" w:rsidRPr="004D3F59" w:rsidRDefault="0092161B" w:rsidP="003D34CF">
            <w:pPr>
              <w:tabs>
                <w:tab w:val="left" w:pos="284"/>
              </w:tabs>
              <w:jc w:val="both"/>
              <w:rPr>
                <w:rFonts w:ascii="Palatino Linotype" w:eastAsia="Palatino Linotype" w:hAnsi="Palatino Linotype" w:cs="Palatino Linotype"/>
              </w:rPr>
            </w:pPr>
            <w:r w:rsidRPr="004D3F59">
              <w:rPr>
                <w:rFonts w:ascii="Palatino Linotype" w:eastAsia="Palatino Linotype" w:hAnsi="Palatino Linotype" w:cs="Palatino Linotype"/>
                <w:color w:val="000000"/>
              </w:rPr>
              <w:t xml:space="preserve">El </w:t>
            </w:r>
            <w:r w:rsidRPr="004D3F59">
              <w:rPr>
                <w:rFonts w:ascii="Palatino Linotype" w:eastAsia="Palatino Linotype" w:hAnsi="Palatino Linotype" w:cs="Palatino Linotype"/>
                <w:b/>
                <w:color w:val="000000"/>
              </w:rPr>
              <w:t>Sujeto Obligado</w:t>
            </w:r>
            <w:r w:rsidRPr="004D3F59">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w:t>
            </w:r>
            <w:r w:rsidRPr="004D3F59">
              <w:rPr>
                <w:rFonts w:ascii="Palatino Linotype" w:eastAsia="Palatino Linotype" w:hAnsi="Palatino Linotype" w:cs="Palatino Linotype"/>
                <w:color w:val="000000"/>
              </w:rPr>
              <w:lastRenderedPageBreak/>
              <w:t>Esto también lo debe de realizar el servidor público habilitado y el titular del área que administra la información.</w:t>
            </w:r>
          </w:p>
        </w:tc>
      </w:tr>
      <w:tr w:rsidR="0092161B" w:rsidRPr="004D3F59" w14:paraId="74DEF67D" w14:textId="77777777" w:rsidTr="003D34CF">
        <w:tc>
          <w:tcPr>
            <w:tcW w:w="2689" w:type="dxa"/>
          </w:tcPr>
          <w:p w14:paraId="087BE6EB" w14:textId="77777777" w:rsidR="0092161B" w:rsidRPr="004D3F59" w:rsidRDefault="0092161B" w:rsidP="003D34CF">
            <w:pPr>
              <w:tabs>
                <w:tab w:val="left" w:pos="284"/>
              </w:tabs>
              <w:rPr>
                <w:rFonts w:ascii="Palatino Linotype" w:eastAsia="Palatino Linotype" w:hAnsi="Palatino Linotype" w:cs="Palatino Linotype"/>
              </w:rPr>
            </w:pPr>
            <w:r w:rsidRPr="004D3F59">
              <w:rPr>
                <w:rFonts w:ascii="Palatino Linotype" w:eastAsia="Palatino Linotype" w:hAnsi="Palatino Linotype" w:cs="Palatino Linotype"/>
              </w:rPr>
              <w:lastRenderedPageBreak/>
              <w:t>c) Formalidades para emitir el acuerdo de clasificación.</w:t>
            </w:r>
          </w:p>
        </w:tc>
        <w:tc>
          <w:tcPr>
            <w:tcW w:w="5811" w:type="dxa"/>
          </w:tcPr>
          <w:p w14:paraId="14566F7C"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14:paraId="52FF9EAB"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Es necesario que </w:t>
            </w:r>
            <w:r w:rsidRPr="004D3F59">
              <w:rPr>
                <w:rFonts w:ascii="Palatino Linotype" w:eastAsia="Palatino Linotype" w:hAnsi="Palatino Linotype" w:cs="Palatino Linotype"/>
                <w:b/>
                <w:color w:val="000000"/>
                <w:u w:val="single"/>
              </w:rPr>
              <w:t>el acto reúna con los requisitos elementales</w:t>
            </w:r>
            <w:r w:rsidRPr="004D3F59">
              <w:rPr>
                <w:rFonts w:ascii="Palatino Linotype" w:eastAsia="Palatino Linotype" w:hAnsi="Palatino Linotype" w:cs="Palatino Linotype"/>
                <w:color w:val="000000"/>
              </w:rPr>
              <w:t>, entre ellos, que la autoridad que va a emitir el acto de autoridad sea la legalmente facultada para ello.</w:t>
            </w:r>
          </w:p>
          <w:p w14:paraId="3376EFEC" w14:textId="77777777" w:rsidR="0092161B" w:rsidRPr="004D3F59" w:rsidRDefault="0092161B" w:rsidP="003D34CF">
            <w:pPr>
              <w:tabs>
                <w:tab w:val="left" w:pos="284"/>
              </w:tabs>
              <w:jc w:val="both"/>
              <w:rPr>
                <w:rFonts w:ascii="Palatino Linotype" w:eastAsia="Palatino Linotype" w:hAnsi="Palatino Linotype" w:cs="Palatino Linotype"/>
              </w:rPr>
            </w:pPr>
            <w:r w:rsidRPr="004D3F59">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2161B" w:rsidRPr="004D3F59" w14:paraId="0E40615E" w14:textId="77777777" w:rsidTr="003D34CF">
        <w:tc>
          <w:tcPr>
            <w:tcW w:w="2689" w:type="dxa"/>
          </w:tcPr>
          <w:p w14:paraId="28A31DBC" w14:textId="77777777" w:rsidR="0092161B" w:rsidRPr="004D3F59" w:rsidRDefault="0092161B" w:rsidP="003D34CF">
            <w:pPr>
              <w:tabs>
                <w:tab w:val="left" w:pos="284"/>
              </w:tabs>
              <w:rPr>
                <w:rFonts w:ascii="Palatino Linotype" w:eastAsia="Palatino Linotype" w:hAnsi="Palatino Linotype" w:cs="Palatino Linotype"/>
              </w:rPr>
            </w:pPr>
          </w:p>
          <w:p w14:paraId="14B886BF" w14:textId="77777777" w:rsidR="0092161B" w:rsidRPr="004D3F59" w:rsidRDefault="0092161B" w:rsidP="003D34CF">
            <w:pPr>
              <w:tabs>
                <w:tab w:val="left" w:pos="284"/>
              </w:tabs>
              <w:jc w:val="both"/>
              <w:rPr>
                <w:rFonts w:ascii="Palatino Linotype" w:eastAsia="Palatino Linotype" w:hAnsi="Palatino Linotype" w:cs="Palatino Linotype"/>
              </w:rPr>
            </w:pPr>
            <w:r w:rsidRPr="004D3F59">
              <w:rPr>
                <w:rFonts w:ascii="Palatino Linotype" w:eastAsia="Palatino Linotype" w:hAnsi="Palatino Linotype" w:cs="Palatino Linotype"/>
                <w:color w:val="000000"/>
              </w:rPr>
              <w:t xml:space="preserve">d) Requisitos de fondo del acuerdo de clasificación. </w:t>
            </w:r>
          </w:p>
        </w:tc>
        <w:tc>
          <w:tcPr>
            <w:tcW w:w="5811" w:type="dxa"/>
          </w:tcPr>
          <w:p w14:paraId="061611E0"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D3F59">
              <w:rPr>
                <w:rFonts w:ascii="Palatino Linotype" w:eastAsia="Palatino Linotype" w:hAnsi="Palatino Linotype" w:cs="Palatino Linotype"/>
                <w:b/>
                <w:color w:val="000000"/>
              </w:rPr>
              <w:t>Sujetos Obligados</w:t>
            </w:r>
            <w:r w:rsidRPr="004D3F59">
              <w:rPr>
                <w:rFonts w:ascii="Palatino Linotype" w:eastAsia="Palatino Linotype" w:hAnsi="Palatino Linotype" w:cs="Palatino Linotype"/>
                <w:color w:val="000000"/>
              </w:rPr>
              <w:t xml:space="preserve">, por lo que deberán fundar y motivar debidamente la clasificación. </w:t>
            </w:r>
          </w:p>
          <w:p w14:paraId="17B8729A"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De lo anterior, se desprende que para una correcta </w:t>
            </w:r>
            <w:r w:rsidRPr="004D3F59">
              <w:rPr>
                <w:rFonts w:ascii="Palatino Linotype" w:eastAsia="Palatino Linotype" w:hAnsi="Palatino Linotype" w:cs="Palatino Linotype"/>
                <w:b/>
                <w:color w:val="000000"/>
              </w:rPr>
              <w:t>clasificación total o parcial</w:t>
            </w:r>
            <w:r w:rsidRPr="004D3F59">
              <w:rPr>
                <w:rFonts w:ascii="Palatino Linotype" w:eastAsia="Palatino Linotype" w:hAnsi="Palatino Linotype" w:cs="Palatino Linotype"/>
                <w:color w:val="000000"/>
              </w:rPr>
              <w:t xml:space="preserve">, esto es determinar los </w:t>
            </w:r>
            <w:r w:rsidRPr="004D3F59">
              <w:rPr>
                <w:rFonts w:ascii="Palatino Linotype" w:eastAsia="Palatino Linotype" w:hAnsi="Palatino Linotype" w:cs="Palatino Linotype"/>
                <w:color w:val="000000"/>
              </w:rPr>
              <w:lastRenderedPageBreak/>
              <w:t>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A114894"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241A05F2"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14:paraId="1562E6E3"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Ahora bien, </w:t>
            </w:r>
            <w:r w:rsidRPr="004D3F59">
              <w:rPr>
                <w:rFonts w:ascii="Palatino Linotype" w:eastAsia="Palatino Linotype" w:hAnsi="Palatino Linotype" w:cs="Palatino Linotype"/>
                <w:b/>
                <w:color w:val="000000"/>
                <w:u w:val="single"/>
              </w:rPr>
              <w:t>para cada caso además de fundar y motivar</w:t>
            </w:r>
            <w:r w:rsidRPr="004D3F59">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92161B" w:rsidRPr="004D3F59" w14:paraId="7F3B58F2" w14:textId="77777777" w:rsidTr="003D34CF">
        <w:tc>
          <w:tcPr>
            <w:tcW w:w="2689" w:type="dxa"/>
          </w:tcPr>
          <w:p w14:paraId="56E410E3" w14:textId="77777777" w:rsidR="0092161B" w:rsidRPr="004D3F59" w:rsidRDefault="0092161B" w:rsidP="003D34CF">
            <w:pPr>
              <w:tabs>
                <w:tab w:val="left" w:pos="284"/>
              </w:tabs>
              <w:ind w:right="49"/>
              <w:jc w:val="both"/>
              <w:rPr>
                <w:rFonts w:ascii="Palatino Linotype" w:eastAsia="Palatino Linotype" w:hAnsi="Palatino Linotype" w:cs="Palatino Linotype"/>
              </w:rPr>
            </w:pPr>
            <w:r w:rsidRPr="004D3F59">
              <w:rPr>
                <w:rFonts w:ascii="Palatino Linotype" w:eastAsia="Palatino Linotype" w:hAnsi="Palatino Linotype" w:cs="Palatino Linotype"/>
              </w:rPr>
              <w:lastRenderedPageBreak/>
              <w:t xml:space="preserve">e) Condiciones especiales de la clasificación de la </w:t>
            </w:r>
            <w:r w:rsidRPr="004D3F59">
              <w:rPr>
                <w:rFonts w:ascii="Palatino Linotype" w:eastAsia="Palatino Linotype" w:hAnsi="Palatino Linotype" w:cs="Palatino Linotype"/>
              </w:rPr>
              <w:lastRenderedPageBreak/>
              <w:t xml:space="preserve">información como confidencial. </w:t>
            </w:r>
          </w:p>
        </w:tc>
        <w:tc>
          <w:tcPr>
            <w:tcW w:w="5811" w:type="dxa"/>
          </w:tcPr>
          <w:p w14:paraId="0668C815"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lastRenderedPageBreak/>
              <w:t xml:space="preserve">Los artículos 148 y 120 de la Ley Estatal y de la Ley General, respectivamente, establecen que aun tratándose de datos personales, se podrán </w:t>
            </w:r>
            <w:r w:rsidRPr="004D3F59">
              <w:rPr>
                <w:rFonts w:ascii="Palatino Linotype" w:eastAsia="Palatino Linotype" w:hAnsi="Palatino Linotype" w:cs="Palatino Linotype"/>
                <w:color w:val="000000"/>
              </w:rPr>
              <w:lastRenderedPageBreak/>
              <w:t xml:space="preserve">proporcionar, incluso sin solicitar el consentimiento de su titular. </w:t>
            </w:r>
          </w:p>
          <w:p w14:paraId="7CD08B84" w14:textId="77777777" w:rsidR="0092161B" w:rsidRPr="004D3F59" w:rsidRDefault="0092161B" w:rsidP="003D34CF">
            <w:pPr>
              <w:tabs>
                <w:tab w:val="left" w:pos="284"/>
              </w:tabs>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7854881" w14:textId="77777777" w:rsidR="0092161B" w:rsidRPr="004D3F59" w:rsidRDefault="0092161B" w:rsidP="003D34CF">
            <w:pPr>
              <w:tabs>
                <w:tab w:val="left" w:pos="284"/>
              </w:tabs>
              <w:rPr>
                <w:rFonts w:ascii="Palatino Linotype" w:eastAsia="Palatino Linotype" w:hAnsi="Palatino Linotype" w:cs="Palatino Linotype"/>
              </w:rPr>
            </w:pPr>
            <w:r w:rsidRPr="004D3F59">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2D0452F" w14:textId="77777777" w:rsidR="0092161B" w:rsidRPr="004D3F59" w:rsidRDefault="0092161B" w:rsidP="003D34CF">
      <w:pPr>
        <w:tabs>
          <w:tab w:val="left" w:pos="284"/>
        </w:tabs>
        <w:spacing w:line="360" w:lineRule="auto"/>
        <w:rPr>
          <w:rFonts w:ascii="Palatino Linotype" w:eastAsia="Palatino Linotype" w:hAnsi="Palatino Linotype" w:cs="Palatino Linotype"/>
          <w:color w:val="000000"/>
        </w:rPr>
      </w:pPr>
    </w:p>
    <w:p w14:paraId="2AFAECEC"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w:t>
      </w:r>
      <w:r w:rsidRPr="004D3F59">
        <w:rPr>
          <w:rFonts w:ascii="Palatino Linotype" w:eastAsia="Palatino Linotype" w:hAnsi="Palatino Linotype" w:cs="Palatino Linotype"/>
          <w:color w:val="000000"/>
        </w:rPr>
        <w:t>establecidas</w:t>
      </w:r>
      <w:r w:rsidRPr="004D3F59">
        <w:rPr>
          <w:rFonts w:ascii="Palatino Linotype" w:eastAsia="Palatino Linotype" w:hAnsi="Palatino Linotype" w:cs="Palatino Linotype"/>
        </w:rPr>
        <w:t>, asimismo que si entrega un documento testado sin el debido acuerdo de clasificación.</w:t>
      </w:r>
    </w:p>
    <w:p w14:paraId="775FF332" w14:textId="77777777" w:rsidR="0092161B" w:rsidRPr="004D3F59" w:rsidRDefault="0092161B" w:rsidP="003D34CF">
      <w:pPr>
        <w:pStyle w:val="Prrafodelista"/>
        <w:spacing w:line="360" w:lineRule="auto"/>
        <w:ind w:left="0"/>
        <w:jc w:val="both"/>
        <w:rPr>
          <w:rFonts w:ascii="Palatino Linotype" w:eastAsia="Palatino Linotype" w:hAnsi="Palatino Linotype" w:cs="Palatino Linotype"/>
          <w:color w:val="000000"/>
        </w:rPr>
      </w:pPr>
    </w:p>
    <w:p w14:paraId="3701C0B9" w14:textId="77777777" w:rsidR="0092161B" w:rsidRPr="004D3F59" w:rsidRDefault="0092161B" w:rsidP="003D34CF">
      <w:pPr>
        <w:numPr>
          <w:ilvl w:val="0"/>
          <w:numId w:val="11"/>
        </w:numPr>
        <w:pBdr>
          <w:top w:val="nil"/>
          <w:left w:val="nil"/>
          <w:bottom w:val="nil"/>
          <w:right w:val="nil"/>
          <w:between w:val="nil"/>
        </w:pBdr>
        <w:spacing w:line="360" w:lineRule="auto"/>
        <w:ind w:left="0" w:right="49" w:firstLine="0"/>
        <w:jc w:val="both"/>
        <w:rPr>
          <w:rFonts w:ascii="Palatino Linotype" w:eastAsia="Calibri" w:hAnsi="Palatino Linotype" w:cs="Arial"/>
          <w:lang w:eastAsia="es-ES"/>
        </w:rPr>
      </w:pPr>
      <w:r w:rsidRPr="004D3F59">
        <w:rPr>
          <w:rFonts w:ascii="Palatino Linotype" w:hAnsi="Palatino Linotype" w:cs="Arial"/>
          <w:color w:val="222222"/>
        </w:rPr>
        <w:t xml:space="preserve">Por lo </w:t>
      </w:r>
      <w:r w:rsidRPr="004D3F59">
        <w:rPr>
          <w:rFonts w:ascii="Palatino Linotype" w:eastAsia="Palatino Linotype" w:hAnsi="Palatino Linotype" w:cs="Palatino Linotype"/>
        </w:rPr>
        <w:t>anteriormente</w:t>
      </w:r>
      <w:r w:rsidRPr="004D3F59">
        <w:rPr>
          <w:rFonts w:ascii="Palatino Linotype" w:hAnsi="Palatino Linotype" w:cs="Arial"/>
          <w:color w:val="222222"/>
        </w:rPr>
        <w:t xml:space="preserve"> expuesto y fundado, este </w:t>
      </w:r>
      <w:r w:rsidRPr="004D3F59">
        <w:rPr>
          <w:rFonts w:ascii="Palatino Linotype" w:hAnsi="Palatino Linotype" w:cs="Arial"/>
          <w:b/>
          <w:bCs/>
          <w:color w:val="222222"/>
        </w:rPr>
        <w:t>ÓRGANO GARANTE</w:t>
      </w:r>
      <w:r w:rsidRPr="004D3F59">
        <w:rPr>
          <w:rFonts w:ascii="Palatino Linotype" w:hAnsi="Palatino Linotype" w:cs="Arial"/>
          <w:color w:val="222222"/>
        </w:rPr>
        <w:t xml:space="preserve"> emite los siguientes:</w:t>
      </w:r>
    </w:p>
    <w:p w14:paraId="594B40EA" w14:textId="77777777" w:rsidR="00404104" w:rsidRPr="004D3F59" w:rsidRDefault="00404104" w:rsidP="00404104">
      <w:pPr>
        <w:pStyle w:val="Prrafodelista"/>
        <w:rPr>
          <w:rFonts w:ascii="Palatino Linotype" w:eastAsia="Calibri" w:hAnsi="Palatino Linotype" w:cs="Arial"/>
          <w:lang w:eastAsia="es-ES"/>
        </w:rPr>
      </w:pPr>
    </w:p>
    <w:p w14:paraId="37062454" w14:textId="77777777" w:rsidR="00A83BD3" w:rsidRPr="004D3F59" w:rsidRDefault="00F41D15" w:rsidP="003D34CF">
      <w:pPr>
        <w:pBdr>
          <w:top w:val="nil"/>
          <w:left w:val="nil"/>
          <w:bottom w:val="nil"/>
          <w:right w:val="nil"/>
          <w:between w:val="nil"/>
        </w:pBdr>
        <w:spacing w:line="360" w:lineRule="auto"/>
        <w:ind w:right="49"/>
        <w:jc w:val="center"/>
        <w:rPr>
          <w:rFonts w:ascii="Palatino Linotype" w:eastAsia="Palatino Linotype" w:hAnsi="Palatino Linotype" w:cs="Palatino Linotype"/>
          <w:b/>
          <w:color w:val="000000"/>
        </w:rPr>
      </w:pPr>
      <w:r w:rsidRPr="004D3F59">
        <w:rPr>
          <w:rFonts w:ascii="Palatino Linotype" w:eastAsia="Palatino Linotype" w:hAnsi="Palatino Linotype" w:cs="Palatino Linotype"/>
          <w:b/>
          <w:color w:val="000000"/>
        </w:rPr>
        <w:t>R E S O L U T I V O S</w:t>
      </w:r>
    </w:p>
    <w:p w14:paraId="01AC83C2" w14:textId="77777777" w:rsidR="00A83BD3" w:rsidRPr="004D3F59" w:rsidRDefault="00A83BD3" w:rsidP="003D34CF">
      <w:pPr>
        <w:spacing w:line="360" w:lineRule="auto"/>
        <w:ind w:right="49"/>
        <w:jc w:val="both"/>
        <w:rPr>
          <w:rFonts w:ascii="Palatino Linotype" w:eastAsia="Palatino Linotype" w:hAnsi="Palatino Linotype" w:cs="Palatino Linotype"/>
          <w:color w:val="000000"/>
        </w:rPr>
      </w:pPr>
    </w:p>
    <w:p w14:paraId="524769C4" w14:textId="77777777" w:rsidR="00A83BD3" w:rsidRPr="004D3F59" w:rsidRDefault="00F41D15" w:rsidP="003D34CF">
      <w:pPr>
        <w:spacing w:line="360" w:lineRule="auto"/>
        <w:ind w:right="49"/>
        <w:jc w:val="both"/>
        <w:rPr>
          <w:rFonts w:ascii="Palatino Linotype" w:eastAsia="Palatino Linotype" w:hAnsi="Palatino Linotype" w:cs="Palatino Linotype"/>
        </w:rPr>
      </w:pPr>
      <w:r w:rsidRPr="004D3F59">
        <w:rPr>
          <w:rFonts w:ascii="Palatino Linotype" w:eastAsia="Palatino Linotype" w:hAnsi="Palatino Linotype" w:cs="Palatino Linotype"/>
          <w:b/>
        </w:rPr>
        <w:lastRenderedPageBreak/>
        <w:t xml:space="preserve">PRIMERO. </w:t>
      </w:r>
      <w:r w:rsidRPr="004D3F59">
        <w:rPr>
          <w:rFonts w:ascii="Palatino Linotype" w:eastAsia="Palatino Linotype" w:hAnsi="Palatino Linotype" w:cs="Palatino Linotype"/>
        </w:rPr>
        <w:t>Resultan fundadas las</w:t>
      </w:r>
      <w:r w:rsidRPr="004D3F59">
        <w:rPr>
          <w:rFonts w:ascii="Palatino Linotype" w:eastAsia="Palatino Linotype" w:hAnsi="Palatino Linotype" w:cs="Palatino Linotype"/>
          <w:b/>
        </w:rPr>
        <w:t xml:space="preserve"> </w:t>
      </w:r>
      <w:r w:rsidRPr="004D3F59">
        <w:rPr>
          <w:rFonts w:ascii="Palatino Linotype" w:eastAsia="Palatino Linotype" w:hAnsi="Palatino Linotype" w:cs="Palatino Linotype"/>
        </w:rPr>
        <w:t>razones o motivos de inconformidad hechos valer en el Recurso de Revisión</w:t>
      </w:r>
      <w:r w:rsidRPr="004D3F59">
        <w:rPr>
          <w:rFonts w:ascii="Palatino Linotype" w:eastAsia="Palatino Linotype" w:hAnsi="Palatino Linotype" w:cs="Palatino Linotype"/>
          <w:b/>
        </w:rPr>
        <w:t xml:space="preserve"> </w:t>
      </w:r>
      <w:r w:rsidR="007138FE" w:rsidRPr="004D3F59">
        <w:rPr>
          <w:rFonts w:ascii="Palatino Linotype" w:eastAsia="Palatino Linotype" w:hAnsi="Palatino Linotype" w:cs="Palatino Linotype"/>
          <w:b/>
        </w:rPr>
        <w:t>02348/INFOEM/IP/RR/2024</w:t>
      </w:r>
      <w:r w:rsidRPr="004D3F59">
        <w:rPr>
          <w:rFonts w:ascii="Palatino Linotype" w:eastAsia="Palatino Linotype" w:hAnsi="Palatino Linotype" w:cs="Palatino Linotype"/>
          <w:b/>
        </w:rPr>
        <w:t xml:space="preserve"> </w:t>
      </w:r>
      <w:r w:rsidRPr="004D3F59">
        <w:rPr>
          <w:rFonts w:ascii="Palatino Linotype" w:eastAsia="Palatino Linotype" w:hAnsi="Palatino Linotype" w:cs="Palatino Linotype"/>
        </w:rPr>
        <w:t>en términos de los</w:t>
      </w:r>
      <w:r w:rsidRPr="004D3F59">
        <w:rPr>
          <w:rFonts w:ascii="Palatino Linotype" w:eastAsia="Palatino Linotype" w:hAnsi="Palatino Linotype" w:cs="Palatino Linotype"/>
          <w:b/>
        </w:rPr>
        <w:t xml:space="preserve"> Considerandos</w:t>
      </w:r>
      <w:r w:rsidRPr="004D3F59">
        <w:rPr>
          <w:rFonts w:ascii="Palatino Linotype" w:eastAsia="Palatino Linotype" w:hAnsi="Palatino Linotype" w:cs="Palatino Linotype"/>
        </w:rPr>
        <w:t xml:space="preserve"> </w:t>
      </w:r>
      <w:r w:rsidRPr="004D3F59">
        <w:rPr>
          <w:rFonts w:ascii="Palatino Linotype" w:eastAsia="Palatino Linotype" w:hAnsi="Palatino Linotype" w:cs="Palatino Linotype"/>
          <w:b/>
        </w:rPr>
        <w:t>CUARTO y QUINTO</w:t>
      </w:r>
      <w:r w:rsidRPr="004D3F59">
        <w:rPr>
          <w:rFonts w:ascii="Palatino Linotype" w:eastAsia="Palatino Linotype" w:hAnsi="Palatino Linotype" w:cs="Palatino Linotype"/>
        </w:rPr>
        <w:t xml:space="preserve"> de la presente Resolución.</w:t>
      </w:r>
    </w:p>
    <w:p w14:paraId="18B15834" w14:textId="77777777" w:rsidR="003F4AE1" w:rsidRPr="004D3F59" w:rsidRDefault="003F4AE1" w:rsidP="003D34CF">
      <w:pPr>
        <w:spacing w:line="360" w:lineRule="auto"/>
        <w:ind w:right="49"/>
        <w:jc w:val="both"/>
        <w:rPr>
          <w:rFonts w:ascii="Palatino Linotype" w:eastAsia="Palatino Linotype" w:hAnsi="Palatino Linotype" w:cs="Palatino Linotype"/>
        </w:rPr>
      </w:pPr>
    </w:p>
    <w:p w14:paraId="66917EC2" w14:textId="77777777" w:rsidR="00A83BD3" w:rsidRPr="004D3F59" w:rsidRDefault="00F41D15" w:rsidP="003D34CF">
      <w:pPr>
        <w:spacing w:line="360" w:lineRule="auto"/>
        <w:ind w:right="49"/>
        <w:jc w:val="both"/>
        <w:rPr>
          <w:rFonts w:ascii="Palatino Linotype" w:eastAsia="Palatino Linotype" w:hAnsi="Palatino Linotype" w:cs="Palatino Linotype"/>
        </w:rPr>
      </w:pPr>
      <w:r w:rsidRPr="004D3F59">
        <w:rPr>
          <w:rFonts w:ascii="Palatino Linotype" w:eastAsia="Palatino Linotype" w:hAnsi="Palatino Linotype" w:cs="Palatino Linotype"/>
          <w:b/>
        </w:rPr>
        <w:t xml:space="preserve">SEGUNDO. </w:t>
      </w:r>
      <w:r w:rsidRPr="004D3F59">
        <w:rPr>
          <w:rFonts w:ascii="Palatino Linotype" w:eastAsia="Palatino Linotype" w:hAnsi="Palatino Linotype" w:cs="Palatino Linotype"/>
        </w:rPr>
        <w:t xml:space="preserve">Se </w:t>
      </w:r>
      <w:r w:rsidR="00F003C7" w:rsidRPr="004D3F59">
        <w:rPr>
          <w:rFonts w:ascii="Palatino Linotype" w:eastAsia="Palatino Linotype" w:hAnsi="Palatino Linotype" w:cs="Palatino Linotype"/>
          <w:b/>
        </w:rPr>
        <w:t>ORDENA</w:t>
      </w:r>
      <w:r w:rsidRPr="004D3F59">
        <w:rPr>
          <w:rFonts w:ascii="Palatino Linotype" w:eastAsia="Palatino Linotype" w:hAnsi="Palatino Linotype" w:cs="Palatino Linotype"/>
        </w:rPr>
        <w:t xml:space="preserve"> </w:t>
      </w:r>
      <w:r w:rsidR="00F003C7" w:rsidRPr="004D3F59">
        <w:rPr>
          <w:rFonts w:ascii="Palatino Linotype" w:eastAsia="Palatino Linotype" w:hAnsi="Palatino Linotype" w:cs="Palatino Linotype"/>
        </w:rPr>
        <w:t>a</w:t>
      </w:r>
      <w:r w:rsidRPr="004D3F59">
        <w:rPr>
          <w:rFonts w:ascii="Palatino Linotype" w:eastAsia="Palatino Linotype" w:hAnsi="Palatino Linotype" w:cs="Palatino Linotype"/>
        </w:rPr>
        <w:t>l</w:t>
      </w:r>
      <w:r w:rsidRPr="004D3F59">
        <w:rPr>
          <w:rFonts w:ascii="Palatino Linotype" w:eastAsia="Palatino Linotype" w:hAnsi="Palatino Linotype" w:cs="Palatino Linotype"/>
          <w:b/>
        </w:rPr>
        <w:t xml:space="preserve"> </w:t>
      </w:r>
      <w:r w:rsidR="007138FE" w:rsidRPr="004D3F59">
        <w:rPr>
          <w:rFonts w:ascii="Palatino Linotype" w:eastAsia="Palatino Linotype" w:hAnsi="Palatino Linotype" w:cs="Palatino Linotype"/>
          <w:b/>
        </w:rPr>
        <w:t>Ayuntamiento de Ecatepec de Morelos</w:t>
      </w:r>
      <w:r w:rsidRPr="004D3F59">
        <w:rPr>
          <w:rFonts w:ascii="Palatino Linotype" w:eastAsia="Palatino Linotype" w:hAnsi="Palatino Linotype" w:cs="Palatino Linotype"/>
          <w:b/>
        </w:rPr>
        <w:t xml:space="preserve"> </w:t>
      </w:r>
      <w:r w:rsidRPr="004D3F59">
        <w:rPr>
          <w:rFonts w:ascii="Palatino Linotype" w:eastAsia="Palatino Linotype" w:hAnsi="Palatino Linotype" w:cs="Palatino Linotype"/>
        </w:rPr>
        <w:t xml:space="preserve">entregar vía Sistema de Acceso a la Información Mexiquense </w:t>
      </w:r>
      <w:r w:rsidRPr="004D3F59">
        <w:rPr>
          <w:rFonts w:ascii="Palatino Linotype" w:eastAsia="Palatino Linotype" w:hAnsi="Palatino Linotype" w:cs="Palatino Linotype"/>
          <w:b/>
        </w:rPr>
        <w:t>(SAIMEX)</w:t>
      </w:r>
      <w:r w:rsidRPr="004D3F59">
        <w:rPr>
          <w:rFonts w:ascii="Palatino Linotype" w:eastAsia="Palatino Linotype" w:hAnsi="Palatino Linotype" w:cs="Palatino Linotype"/>
        </w:rPr>
        <w:t>, en versión pública, los documentos en donde conste</w:t>
      </w:r>
      <w:r w:rsidR="00F003C7" w:rsidRPr="004D3F59">
        <w:rPr>
          <w:rFonts w:ascii="Palatino Linotype" w:eastAsia="Palatino Linotype" w:hAnsi="Palatino Linotype" w:cs="Palatino Linotype"/>
        </w:rPr>
        <w:t xml:space="preserve"> o se advierta</w:t>
      </w:r>
      <w:r w:rsidRPr="004D3F59">
        <w:rPr>
          <w:rFonts w:ascii="Palatino Linotype" w:eastAsia="Palatino Linotype" w:hAnsi="Palatino Linotype" w:cs="Palatino Linotype"/>
        </w:rPr>
        <w:t xml:space="preserve"> la siguiente información:</w:t>
      </w:r>
    </w:p>
    <w:p w14:paraId="76B8B755" w14:textId="77777777" w:rsidR="00A83BD3" w:rsidRPr="004D3F59" w:rsidRDefault="00A83BD3" w:rsidP="003D34CF">
      <w:pPr>
        <w:spacing w:line="360" w:lineRule="auto"/>
        <w:ind w:right="49"/>
        <w:jc w:val="both"/>
        <w:rPr>
          <w:rFonts w:ascii="Palatino Linotype" w:eastAsia="Palatino Linotype" w:hAnsi="Palatino Linotype" w:cs="Palatino Linotype"/>
        </w:rPr>
      </w:pPr>
    </w:p>
    <w:p w14:paraId="275E366F" w14:textId="77777777" w:rsidR="00F003C7" w:rsidRPr="004D3F59" w:rsidRDefault="00F003C7" w:rsidP="003D34CF">
      <w:pPr>
        <w:pBdr>
          <w:top w:val="nil"/>
          <w:left w:val="nil"/>
          <w:bottom w:val="nil"/>
          <w:right w:val="nil"/>
          <w:between w:val="nil"/>
        </w:pBdr>
        <w:spacing w:line="360" w:lineRule="auto"/>
        <w:ind w:left="851" w:right="49"/>
        <w:jc w:val="both"/>
        <w:rPr>
          <w:rFonts w:ascii="Palatino Linotype" w:eastAsia="Palatino Linotype" w:hAnsi="Palatino Linotype" w:cs="Palatino Linotype"/>
          <w:b/>
          <w:color w:val="000000" w:themeColor="text1"/>
        </w:rPr>
      </w:pPr>
      <w:r w:rsidRPr="004D3F59">
        <w:rPr>
          <w:rFonts w:ascii="Palatino Linotype" w:eastAsia="Palatino Linotype" w:hAnsi="Palatino Linotype" w:cs="Palatino Linotype"/>
          <w:b/>
          <w:color w:val="000000"/>
        </w:rPr>
        <w:t>De 1 de enero de 2022 al 31 de marzo de 2024:</w:t>
      </w:r>
    </w:p>
    <w:p w14:paraId="645B1238" w14:textId="77777777" w:rsidR="00F003C7" w:rsidRPr="004D3F59" w:rsidRDefault="00F003C7" w:rsidP="003D34CF">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themeColor="text1"/>
        </w:rPr>
      </w:pPr>
      <w:r w:rsidRPr="004D3F59">
        <w:rPr>
          <w:rFonts w:ascii="Palatino Linotype" w:eastAsia="Palatino Linotype" w:hAnsi="Palatino Linotype" w:cs="Palatino Linotype"/>
          <w:color w:val="000000"/>
        </w:rPr>
        <w:t>Número de hombres y número de mujeres con procedimientos de investigación de probable responsabilidad administrativa;</w:t>
      </w:r>
    </w:p>
    <w:p w14:paraId="14D6DCA4" w14:textId="77777777" w:rsidR="00F003C7" w:rsidRPr="004D3F59" w:rsidRDefault="00F003C7" w:rsidP="003D34CF">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themeColor="text1"/>
        </w:rPr>
      </w:pPr>
      <w:r w:rsidRPr="004D3F59">
        <w:rPr>
          <w:rFonts w:ascii="Palatino Linotype" w:eastAsia="Palatino Linotype" w:hAnsi="Palatino Linotype" w:cs="Palatino Linotype"/>
          <w:color w:val="000000"/>
        </w:rPr>
        <w:t xml:space="preserve">Rango de edad de los servidores públicos con procedimientos de investigación </w:t>
      </w:r>
      <w:r w:rsidR="00B82603" w:rsidRPr="004D3F59">
        <w:rPr>
          <w:rFonts w:ascii="Palatino Linotype" w:eastAsia="Palatino Linotype" w:hAnsi="Palatino Linotype" w:cs="Palatino Linotype"/>
          <w:color w:val="000000"/>
        </w:rPr>
        <w:t>de</w:t>
      </w:r>
      <w:r w:rsidRPr="004D3F59">
        <w:rPr>
          <w:rFonts w:ascii="Palatino Linotype" w:eastAsia="Palatino Linotype" w:hAnsi="Palatino Linotype" w:cs="Palatino Linotype"/>
          <w:color w:val="000000"/>
        </w:rPr>
        <w:t xml:space="preserve"> probable responsabilidad administrativa</w:t>
      </w:r>
      <w:r w:rsidR="00B82603" w:rsidRPr="004D3F59">
        <w:rPr>
          <w:rFonts w:ascii="Palatino Linotype" w:eastAsia="Palatino Linotype" w:hAnsi="Palatino Linotype" w:cs="Palatino Linotype"/>
          <w:color w:val="000000"/>
        </w:rPr>
        <w:t>;</w:t>
      </w:r>
    </w:p>
    <w:p w14:paraId="11DB4171" w14:textId="77777777" w:rsidR="00F003C7" w:rsidRPr="004D3F59" w:rsidRDefault="00F003C7" w:rsidP="003D34CF">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themeColor="text1"/>
        </w:rPr>
      </w:pPr>
      <w:r w:rsidRPr="004D3F59">
        <w:rPr>
          <w:rFonts w:ascii="Palatino Linotype" w:eastAsia="Palatino Linotype" w:hAnsi="Palatino Linotype" w:cs="Palatino Linotype"/>
          <w:color w:val="000000" w:themeColor="text1"/>
        </w:rPr>
        <w:t xml:space="preserve">Estado procesal o estatus de los </w:t>
      </w:r>
      <w:r w:rsidRPr="004D3F59">
        <w:rPr>
          <w:rFonts w:ascii="Palatino Linotype" w:eastAsia="Palatino Linotype" w:hAnsi="Palatino Linotype" w:cs="Palatino Linotype"/>
          <w:color w:val="000000"/>
        </w:rPr>
        <w:t xml:space="preserve">procedimientos de investigación por probable responsabilidad administrativa; </w:t>
      </w:r>
    </w:p>
    <w:p w14:paraId="236A58EE" w14:textId="77777777" w:rsidR="004B3ACB" w:rsidRPr="004D3F59" w:rsidRDefault="00F003C7" w:rsidP="004B3ACB">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themeColor="text1"/>
        </w:rPr>
      </w:pPr>
      <w:r w:rsidRPr="004D3F59">
        <w:rPr>
          <w:rFonts w:ascii="Palatino Linotype" w:eastAsia="Palatino Linotype" w:hAnsi="Palatino Linotype" w:cs="Palatino Linotype"/>
          <w:color w:val="000000"/>
        </w:rPr>
        <w:t xml:space="preserve">Nombre de servidores públicos </w:t>
      </w:r>
      <w:r w:rsidR="004B3ACB" w:rsidRPr="004D3F59">
        <w:rPr>
          <w:rFonts w:ascii="Palatino Linotype" w:eastAsia="Palatino Linotype" w:hAnsi="Palatino Linotype" w:cs="Palatino Linotype"/>
          <w:color w:val="000000"/>
        </w:rPr>
        <w:t>investigados p</w:t>
      </w:r>
      <w:r w:rsidR="004B3ACB" w:rsidRPr="004D3F59">
        <w:rPr>
          <w:rFonts w:ascii="Palatino Linotype" w:eastAsia="Palatino Linotype" w:hAnsi="Palatino Linotype" w:cs="Palatino Linotype"/>
          <w:color w:val="000000" w:themeColor="text1"/>
        </w:rPr>
        <w:t>or faltas</w:t>
      </w:r>
      <w:r w:rsidR="00373243" w:rsidRPr="004D3F59">
        <w:rPr>
          <w:rFonts w:ascii="Palatino Linotype" w:eastAsia="Palatino Linotype" w:hAnsi="Palatino Linotype" w:cs="Palatino Linotype"/>
          <w:color w:val="000000" w:themeColor="text1"/>
        </w:rPr>
        <w:t xml:space="preserve">, </w:t>
      </w:r>
      <w:r w:rsidR="00373243" w:rsidRPr="004D3F59">
        <w:rPr>
          <w:rFonts w:ascii="Palatino Linotype" w:eastAsia="Palatino Linotype" w:hAnsi="Palatino Linotype" w:cs="Palatino Linotype"/>
          <w:color w:val="000000"/>
        </w:rPr>
        <w:t>que se relacionen con actos de corrupción, delitos de lesa humanidad o posibles violaciones graves a derechos humanos</w:t>
      </w:r>
      <w:r w:rsidR="00CA264D" w:rsidRPr="004D3F59">
        <w:rPr>
          <w:rFonts w:ascii="Palatino Linotype" w:eastAsia="Palatino Linotype" w:hAnsi="Palatino Linotype" w:cs="Palatino Linotype"/>
          <w:color w:val="000000" w:themeColor="text1"/>
        </w:rPr>
        <w:t>, en trámite o concluidos</w:t>
      </w:r>
      <w:r w:rsidR="00BB4E5C" w:rsidRPr="004D3F59">
        <w:rPr>
          <w:rFonts w:ascii="Palatino Linotype" w:eastAsia="Palatino Linotype" w:hAnsi="Palatino Linotype" w:cs="Palatino Linotype"/>
          <w:color w:val="000000" w:themeColor="text1"/>
        </w:rPr>
        <w:t xml:space="preserve"> con sanción</w:t>
      </w:r>
      <w:r w:rsidR="00AA3FEA" w:rsidRPr="004D3F59">
        <w:rPr>
          <w:rFonts w:ascii="Palatino Linotype" w:eastAsia="Palatino Linotype" w:hAnsi="Palatino Linotype" w:cs="Palatino Linotype"/>
          <w:color w:val="000000" w:themeColor="text1"/>
        </w:rPr>
        <w:t>;</w:t>
      </w:r>
    </w:p>
    <w:p w14:paraId="41E263E0" w14:textId="77777777" w:rsidR="001E25C0" w:rsidRPr="004D3F59" w:rsidRDefault="001E25C0" w:rsidP="004B3ACB">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color w:val="000000" w:themeColor="text1"/>
        </w:rPr>
      </w:pPr>
      <w:r w:rsidRPr="004D3F59">
        <w:rPr>
          <w:rFonts w:ascii="Palatino Linotype" w:eastAsia="Palatino Linotype" w:hAnsi="Palatino Linotype" w:cs="Palatino Linotype"/>
          <w:color w:val="000000"/>
        </w:rPr>
        <w:t xml:space="preserve">Acuerdo </w:t>
      </w:r>
      <w:r w:rsidR="000377AF" w:rsidRPr="004D3F59">
        <w:rPr>
          <w:rFonts w:ascii="Palatino Linotype" w:eastAsia="Palatino Linotype" w:hAnsi="Palatino Linotype" w:cs="Palatino Linotype"/>
          <w:color w:val="000000"/>
        </w:rPr>
        <w:t xml:space="preserve">del Comité de Transparencia, </w:t>
      </w:r>
      <w:r w:rsidRPr="004D3F59">
        <w:rPr>
          <w:rFonts w:ascii="Palatino Linotype" w:eastAsia="Palatino Linotype" w:hAnsi="Palatino Linotype" w:cs="Palatino Linotype"/>
          <w:color w:val="000000"/>
        </w:rPr>
        <w:t>mediante el cual se clasifique de manera fundada y motivada, el nombre de los servidores públicos investigados p</w:t>
      </w:r>
      <w:r w:rsidRPr="004D3F59">
        <w:rPr>
          <w:rFonts w:ascii="Palatino Linotype" w:eastAsia="Palatino Linotype" w:hAnsi="Palatino Linotype" w:cs="Palatino Linotype"/>
          <w:color w:val="000000" w:themeColor="text1"/>
        </w:rPr>
        <w:t>or faltas no graves, en trámite o concluidos</w:t>
      </w:r>
      <w:r w:rsidR="00BB4E5C" w:rsidRPr="004D3F59">
        <w:rPr>
          <w:rFonts w:ascii="Palatino Linotype" w:eastAsia="Palatino Linotype" w:hAnsi="Palatino Linotype" w:cs="Palatino Linotype"/>
          <w:color w:val="000000" w:themeColor="text1"/>
        </w:rPr>
        <w:t>, y graves absolutorios</w:t>
      </w:r>
      <w:r w:rsidRPr="004D3F59">
        <w:rPr>
          <w:rFonts w:ascii="Palatino Linotype" w:eastAsia="Palatino Linotype" w:hAnsi="Palatino Linotype" w:cs="Palatino Linotype"/>
          <w:color w:val="000000" w:themeColor="text1"/>
        </w:rPr>
        <w:t>.</w:t>
      </w:r>
    </w:p>
    <w:p w14:paraId="251E51CF" w14:textId="77777777" w:rsidR="00A83BD3" w:rsidRPr="004D3F59" w:rsidRDefault="00F003C7" w:rsidP="003D34CF">
      <w:pPr>
        <w:numPr>
          <w:ilvl w:val="0"/>
          <w:numId w:val="10"/>
        </w:numPr>
        <w:pBdr>
          <w:top w:val="nil"/>
          <w:left w:val="nil"/>
          <w:bottom w:val="nil"/>
          <w:right w:val="nil"/>
          <w:between w:val="nil"/>
        </w:pBdr>
        <w:spacing w:line="360" w:lineRule="auto"/>
        <w:ind w:left="851" w:right="49"/>
        <w:jc w:val="both"/>
        <w:rPr>
          <w:rFonts w:ascii="Palatino Linotype" w:eastAsia="Palatino Linotype" w:hAnsi="Palatino Linotype" w:cs="Palatino Linotype"/>
          <w:b/>
          <w:color w:val="000000"/>
        </w:rPr>
      </w:pPr>
      <w:r w:rsidRPr="004D3F59">
        <w:rPr>
          <w:rFonts w:ascii="Palatino Linotype" w:eastAsia="Palatino Linotype" w:hAnsi="Palatino Linotype" w:cs="Palatino Linotype"/>
          <w:color w:val="000000"/>
        </w:rPr>
        <w:t>Tipo de sanción impuesta a</w:t>
      </w:r>
      <w:r w:rsidR="00B82603" w:rsidRPr="004D3F59">
        <w:rPr>
          <w:rFonts w:ascii="Palatino Linotype" w:eastAsia="Palatino Linotype" w:hAnsi="Palatino Linotype" w:cs="Palatino Linotype"/>
          <w:color w:val="000000"/>
        </w:rPr>
        <w:t xml:space="preserve"> servidores públicos </w:t>
      </w:r>
      <w:r w:rsidRPr="004D3F59">
        <w:rPr>
          <w:rFonts w:ascii="Palatino Linotype" w:eastAsia="Palatino Linotype" w:hAnsi="Palatino Linotype" w:cs="Palatino Linotype"/>
          <w:color w:val="000000"/>
        </w:rPr>
        <w:t>investigados</w:t>
      </w:r>
      <w:r w:rsidR="00FC4DC6" w:rsidRPr="004D3F59">
        <w:rPr>
          <w:rFonts w:ascii="Palatino Linotype" w:eastAsia="Palatino Linotype" w:hAnsi="Palatino Linotype" w:cs="Palatino Linotype"/>
          <w:color w:val="000000"/>
        </w:rPr>
        <w:t>, por</w:t>
      </w:r>
      <w:r w:rsidR="00AA3FEA" w:rsidRPr="004D3F59">
        <w:rPr>
          <w:rFonts w:ascii="Palatino Linotype" w:eastAsia="Palatino Linotype" w:hAnsi="Palatino Linotype" w:cs="Palatino Linotype"/>
          <w:color w:val="000000"/>
        </w:rPr>
        <w:t>:</w:t>
      </w:r>
    </w:p>
    <w:p w14:paraId="173525FA" w14:textId="77777777" w:rsidR="004B3ACB" w:rsidRPr="004D3F59" w:rsidRDefault="004B3ACB" w:rsidP="00AA3FEA">
      <w:pPr>
        <w:pBdr>
          <w:top w:val="nil"/>
          <w:left w:val="nil"/>
          <w:bottom w:val="nil"/>
          <w:right w:val="nil"/>
          <w:between w:val="nil"/>
        </w:pBdr>
        <w:spacing w:line="360" w:lineRule="auto"/>
        <w:ind w:left="1276"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b/>
          <w:color w:val="000000"/>
        </w:rPr>
        <w:lastRenderedPageBreak/>
        <w:t>•</w:t>
      </w:r>
      <w:r w:rsidRPr="004D3F59">
        <w:rPr>
          <w:rFonts w:ascii="Palatino Linotype" w:eastAsia="Palatino Linotype" w:hAnsi="Palatino Linotype" w:cs="Palatino Linotype"/>
          <w:b/>
          <w:color w:val="000000"/>
        </w:rPr>
        <w:tab/>
      </w:r>
      <w:r w:rsidR="00FC4DC6" w:rsidRPr="004D3F59">
        <w:rPr>
          <w:rFonts w:ascii="Palatino Linotype" w:eastAsia="Palatino Linotype" w:hAnsi="Palatino Linotype" w:cs="Palatino Linotype"/>
          <w:color w:val="000000"/>
        </w:rPr>
        <w:t>F</w:t>
      </w:r>
      <w:r w:rsidR="00CA264D" w:rsidRPr="004D3F59">
        <w:rPr>
          <w:rFonts w:ascii="Palatino Linotype" w:eastAsia="Palatino Linotype" w:hAnsi="Palatino Linotype" w:cs="Palatino Linotype"/>
          <w:color w:val="000000"/>
        </w:rPr>
        <w:t>altas graves; y</w:t>
      </w:r>
    </w:p>
    <w:p w14:paraId="6CFEAF00" w14:textId="77777777" w:rsidR="004B3ACB" w:rsidRPr="004D3F59" w:rsidRDefault="004B3ACB" w:rsidP="00AA3FEA">
      <w:pPr>
        <w:pBdr>
          <w:top w:val="nil"/>
          <w:left w:val="nil"/>
          <w:bottom w:val="nil"/>
          <w:right w:val="nil"/>
          <w:between w:val="nil"/>
        </w:pBdr>
        <w:spacing w:line="360" w:lineRule="auto"/>
        <w:ind w:left="1276" w:right="49" w:hanging="425"/>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color w:val="000000"/>
        </w:rPr>
        <w:t>•</w:t>
      </w:r>
      <w:r w:rsidRPr="004D3F59">
        <w:rPr>
          <w:rFonts w:ascii="Palatino Linotype" w:eastAsia="Palatino Linotype" w:hAnsi="Palatino Linotype" w:cs="Palatino Linotype"/>
          <w:color w:val="000000"/>
        </w:rPr>
        <w:tab/>
      </w:r>
      <w:r w:rsidR="00FC4DC6" w:rsidRPr="004D3F59">
        <w:rPr>
          <w:rFonts w:ascii="Palatino Linotype" w:eastAsia="Palatino Linotype" w:hAnsi="Palatino Linotype" w:cs="Palatino Linotype"/>
          <w:color w:val="000000"/>
        </w:rPr>
        <w:t>F</w:t>
      </w:r>
      <w:r w:rsidRPr="004D3F59">
        <w:rPr>
          <w:rFonts w:ascii="Palatino Linotype" w:eastAsia="Palatino Linotype" w:hAnsi="Palatino Linotype" w:cs="Palatino Linotype"/>
          <w:color w:val="000000"/>
        </w:rPr>
        <w:t>altas no graves condenatorias (clasificando como confidencial el nombre, cargo y cualquier dato que haga id</w:t>
      </w:r>
      <w:r w:rsidR="00AA3FEA" w:rsidRPr="004D3F59">
        <w:rPr>
          <w:rFonts w:ascii="Palatino Linotype" w:eastAsia="Palatino Linotype" w:hAnsi="Palatino Linotype" w:cs="Palatino Linotype"/>
          <w:color w:val="000000"/>
        </w:rPr>
        <w:t>entificable al servidor público</w:t>
      </w:r>
      <w:r w:rsidRPr="004D3F59">
        <w:rPr>
          <w:rFonts w:ascii="Palatino Linotype" w:eastAsia="Palatino Linotype" w:hAnsi="Palatino Linotype" w:cs="Palatino Linotype"/>
          <w:color w:val="000000"/>
        </w:rPr>
        <w:t>).</w:t>
      </w:r>
    </w:p>
    <w:p w14:paraId="018C8246" w14:textId="77777777" w:rsidR="00B82603" w:rsidRPr="004D3F59" w:rsidRDefault="00B82603" w:rsidP="003D34CF">
      <w:pPr>
        <w:pBdr>
          <w:top w:val="nil"/>
          <w:left w:val="nil"/>
          <w:bottom w:val="nil"/>
          <w:right w:val="nil"/>
          <w:between w:val="nil"/>
        </w:pBdr>
        <w:spacing w:line="360" w:lineRule="auto"/>
        <w:ind w:left="567" w:right="49"/>
        <w:jc w:val="both"/>
        <w:rPr>
          <w:rFonts w:ascii="Palatino Linotype" w:eastAsia="Palatino Linotype" w:hAnsi="Palatino Linotype" w:cs="Palatino Linotype"/>
          <w:b/>
          <w:color w:val="000000"/>
        </w:rPr>
      </w:pPr>
    </w:p>
    <w:p w14:paraId="066E60DE" w14:textId="77777777" w:rsidR="00A83BD3" w:rsidRPr="004D3F59" w:rsidRDefault="00F41D15" w:rsidP="003D34CF">
      <w:pPr>
        <w:spacing w:line="360" w:lineRule="auto"/>
        <w:ind w:right="49"/>
        <w:jc w:val="both"/>
        <w:rPr>
          <w:rFonts w:ascii="Palatino Linotype" w:eastAsia="Palatino Linotype" w:hAnsi="Palatino Linotype" w:cs="Palatino Linotype"/>
        </w:rPr>
      </w:pPr>
      <w:r w:rsidRPr="004D3F59">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6F58253E" w14:textId="77777777" w:rsidR="008E3FF3" w:rsidRPr="004D3F59" w:rsidRDefault="008E3FF3" w:rsidP="003D34CF">
      <w:pPr>
        <w:spacing w:line="360" w:lineRule="auto"/>
        <w:ind w:right="49"/>
        <w:jc w:val="both"/>
        <w:rPr>
          <w:rFonts w:ascii="Palatino Linotype" w:eastAsia="Palatino Linotype" w:hAnsi="Palatino Linotype" w:cs="Palatino Linotype"/>
        </w:rPr>
      </w:pPr>
    </w:p>
    <w:p w14:paraId="5386E948" w14:textId="5C85EE28" w:rsidR="00A83BD3" w:rsidRPr="004D3F59" w:rsidRDefault="00B82603" w:rsidP="003D34CF">
      <w:pPr>
        <w:spacing w:line="360" w:lineRule="auto"/>
        <w:ind w:right="49"/>
        <w:jc w:val="both"/>
        <w:rPr>
          <w:rFonts w:ascii="Palatino Linotype" w:eastAsia="Palatino Linotype" w:hAnsi="Palatino Linotype" w:cs="Palatino Linotype"/>
          <w:color w:val="222222"/>
        </w:rPr>
      </w:pPr>
      <w:bookmarkStart w:id="4" w:name="_heading=h.1fob9te" w:colFirst="0" w:colLast="0"/>
      <w:bookmarkEnd w:id="4"/>
      <w:r w:rsidRPr="004D3F59">
        <w:rPr>
          <w:rFonts w:ascii="Palatino Linotype" w:eastAsia="Palatino Linotype" w:hAnsi="Palatino Linotype" w:cs="Palatino Linotype"/>
        </w:rPr>
        <w:t xml:space="preserve">Para el caso que no se haya generado la información que se ordena en los </w:t>
      </w:r>
      <w:r w:rsidRPr="004D3F59">
        <w:rPr>
          <w:rFonts w:ascii="Palatino Linotype" w:eastAsia="Palatino Linotype" w:hAnsi="Palatino Linotype" w:cs="Palatino Linotype"/>
          <w:b/>
        </w:rPr>
        <w:t xml:space="preserve">incisos a), b), d), </w:t>
      </w:r>
      <w:r w:rsidRPr="004D3F59">
        <w:rPr>
          <w:rFonts w:ascii="Palatino Linotype" w:eastAsia="Palatino Linotype" w:hAnsi="Palatino Linotype" w:cs="Palatino Linotype"/>
        </w:rPr>
        <w:t>y</w:t>
      </w:r>
      <w:r w:rsidRPr="004D3F59">
        <w:rPr>
          <w:rFonts w:ascii="Palatino Linotype" w:eastAsia="Palatino Linotype" w:hAnsi="Palatino Linotype" w:cs="Palatino Linotype"/>
          <w:b/>
        </w:rPr>
        <w:t xml:space="preserve"> e)</w:t>
      </w:r>
      <w:r w:rsidRPr="004D3F59">
        <w:rPr>
          <w:rFonts w:ascii="Palatino Linotype" w:eastAsia="Palatino Linotype" w:hAnsi="Palatino Linotype" w:cs="Palatino Linotype"/>
        </w:rPr>
        <w:t xml:space="preserve">, bastará que lo haga del conocimiento del </w:t>
      </w:r>
      <w:r w:rsidRPr="004D3F59">
        <w:rPr>
          <w:rFonts w:ascii="Palatino Linotype" w:eastAsia="Palatino Linotype" w:hAnsi="Palatino Linotype" w:cs="Palatino Linotype"/>
          <w:b/>
        </w:rPr>
        <w:t>RECURRENTE</w:t>
      </w:r>
      <w:r w:rsidRPr="004D3F59">
        <w:rPr>
          <w:rFonts w:ascii="Palatino Linotype" w:eastAsia="Palatino Linotype" w:hAnsi="Palatino Linotype" w:cs="Palatino Linotype"/>
        </w:rPr>
        <w:t xml:space="preserve"> al momento de dar cumplimiento a la presente Resolución en términos del artículo 19</w:t>
      </w:r>
      <w:r w:rsidR="00676ABF" w:rsidRPr="004D3F59">
        <w:rPr>
          <w:rFonts w:ascii="Palatino Linotype" w:eastAsia="Palatino Linotype" w:hAnsi="Palatino Linotype" w:cs="Palatino Linotype"/>
        </w:rPr>
        <w:t>,</w:t>
      </w:r>
      <w:r w:rsidRPr="004D3F59">
        <w:rPr>
          <w:rFonts w:ascii="Palatino Linotype" w:eastAsia="Palatino Linotype" w:hAnsi="Palatino Linotype" w:cs="Palatino Linotype"/>
        </w:rPr>
        <w:t xml:space="preserve"> párrafo segundo de la</w:t>
      </w:r>
      <w:r w:rsidR="00F41D15" w:rsidRPr="004D3F59">
        <w:rPr>
          <w:rFonts w:ascii="Palatino Linotype" w:eastAsia="Palatino Linotype" w:hAnsi="Palatino Linotype" w:cs="Palatino Linotype"/>
          <w:color w:val="222222"/>
        </w:rPr>
        <w:t xml:space="preserve"> de la Ley de Transparencia y Acceso a la Información Pública del Estado de México y Municipios.</w:t>
      </w:r>
    </w:p>
    <w:p w14:paraId="79B0632D" w14:textId="77777777" w:rsidR="00AB3911" w:rsidRPr="004D3F59" w:rsidRDefault="00AB3911" w:rsidP="003D34CF">
      <w:pPr>
        <w:spacing w:line="360" w:lineRule="auto"/>
        <w:ind w:right="49"/>
        <w:jc w:val="both"/>
        <w:rPr>
          <w:rFonts w:ascii="Palatino Linotype" w:eastAsia="Palatino Linotype" w:hAnsi="Palatino Linotype" w:cs="Palatino Linotype"/>
          <w:color w:val="222222"/>
        </w:rPr>
      </w:pPr>
    </w:p>
    <w:p w14:paraId="7ED9A523" w14:textId="77777777" w:rsidR="00A83BD3" w:rsidRPr="004D3F59" w:rsidRDefault="00F41D15" w:rsidP="003D34CF">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r w:rsidRPr="004D3F59">
        <w:rPr>
          <w:rFonts w:ascii="Palatino Linotype" w:eastAsia="Palatino Linotype" w:hAnsi="Palatino Linotype" w:cs="Palatino Linotype"/>
          <w:b/>
          <w:color w:val="000000"/>
        </w:rPr>
        <w:t xml:space="preserve">TERCERO. </w:t>
      </w:r>
      <w:r w:rsidRPr="004D3F59">
        <w:rPr>
          <w:rFonts w:ascii="Palatino Linotype" w:eastAsia="Palatino Linotype" w:hAnsi="Palatino Linotype" w:cs="Palatino Linotype"/>
          <w:b/>
          <w:color w:val="222222"/>
        </w:rPr>
        <w:t>NOTIFÍQUESE</w:t>
      </w:r>
      <w:r w:rsidRPr="004D3F59">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D3F59">
        <w:rPr>
          <w:rFonts w:ascii="Palatino Linotype" w:eastAsia="Palatino Linotype" w:hAnsi="Palatino Linotype" w:cs="Palatino Linotype"/>
          <w:b/>
          <w:color w:val="222222"/>
        </w:rPr>
        <w:t>dé cumplimiento a lo ordenado dentro del plazo de diez días hábiles,</w:t>
      </w:r>
      <w:r w:rsidRPr="004D3F59">
        <w:rPr>
          <w:rFonts w:ascii="Palatino Linotype" w:eastAsia="Palatino Linotype" w:hAnsi="Palatino Linotype" w:cs="Palatino Linotype"/>
          <w:color w:val="222222"/>
        </w:rPr>
        <w:t xml:space="preserve"> e informe a este Instituto en un </w:t>
      </w:r>
      <w:r w:rsidRPr="004D3F59">
        <w:rPr>
          <w:rFonts w:ascii="Palatino Linotype" w:eastAsia="Palatino Linotype" w:hAnsi="Palatino Linotype" w:cs="Palatino Linotype"/>
          <w:color w:val="222222"/>
        </w:rPr>
        <w:lastRenderedPageBreak/>
        <w:t>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EA13037" w14:textId="77777777" w:rsidR="00A83BD3" w:rsidRPr="004D3F59" w:rsidRDefault="00A83BD3" w:rsidP="003D34CF">
      <w:pPr>
        <w:spacing w:line="360" w:lineRule="auto"/>
        <w:ind w:right="49"/>
        <w:jc w:val="both"/>
        <w:rPr>
          <w:rFonts w:ascii="Palatino Linotype" w:eastAsia="Palatino Linotype" w:hAnsi="Palatino Linotype" w:cs="Palatino Linotype"/>
        </w:rPr>
      </w:pPr>
    </w:p>
    <w:p w14:paraId="08C39B9B" w14:textId="77777777" w:rsidR="00A83BD3" w:rsidRPr="004D3F59" w:rsidRDefault="00F41D15" w:rsidP="003D34CF">
      <w:pPr>
        <w:tabs>
          <w:tab w:val="left" w:pos="284"/>
          <w:tab w:val="left" w:pos="8080"/>
        </w:tabs>
        <w:spacing w:line="360" w:lineRule="auto"/>
        <w:ind w:right="49"/>
        <w:jc w:val="both"/>
        <w:rPr>
          <w:rFonts w:ascii="Palatino Linotype" w:eastAsia="Palatino Linotype" w:hAnsi="Palatino Linotype" w:cs="Palatino Linotype"/>
          <w:color w:val="222222"/>
        </w:rPr>
      </w:pPr>
      <w:r w:rsidRPr="004D3F59">
        <w:rPr>
          <w:rFonts w:ascii="Palatino Linotype" w:eastAsia="Palatino Linotype" w:hAnsi="Palatino Linotype" w:cs="Palatino Linotype"/>
          <w:b/>
        </w:rPr>
        <w:t xml:space="preserve">CUARTO. </w:t>
      </w:r>
      <w:r w:rsidRPr="004D3F59">
        <w:rPr>
          <w:rFonts w:ascii="Palatino Linotype" w:eastAsia="Palatino Linotype" w:hAnsi="Palatino Linotype" w:cs="Palatino Linotype"/>
          <w:b/>
          <w:color w:val="222222"/>
        </w:rPr>
        <w:t xml:space="preserve">Notifíquese </w:t>
      </w:r>
      <w:r w:rsidRPr="004D3F59">
        <w:rPr>
          <w:rFonts w:ascii="Palatino Linotype" w:eastAsia="Palatino Linotype" w:hAnsi="Palatino Linotype" w:cs="Palatino Linotype"/>
          <w:color w:val="222222"/>
        </w:rPr>
        <w:t xml:space="preserve">al </w:t>
      </w:r>
      <w:r w:rsidRPr="004D3F59">
        <w:rPr>
          <w:rFonts w:ascii="Palatino Linotype" w:eastAsia="Palatino Linotype" w:hAnsi="Palatino Linotype" w:cs="Palatino Linotype"/>
          <w:b/>
          <w:color w:val="222222"/>
        </w:rPr>
        <w:t xml:space="preserve">RECURRENTE </w:t>
      </w:r>
      <w:r w:rsidRPr="004D3F59">
        <w:rPr>
          <w:rFonts w:ascii="Palatino Linotype" w:eastAsia="Palatino Linotype" w:hAnsi="Palatino Linotype" w:cs="Palatino Linotype"/>
        </w:rPr>
        <w:t>la presente Resolución a través del Sistema de Acceso a la Información Mexiquense (SAIMEX).</w:t>
      </w:r>
    </w:p>
    <w:p w14:paraId="533532E5" w14:textId="77777777" w:rsidR="00A83BD3" w:rsidRPr="004D3F59" w:rsidRDefault="00A83BD3" w:rsidP="003D34CF">
      <w:pPr>
        <w:tabs>
          <w:tab w:val="left" w:pos="284"/>
          <w:tab w:val="left" w:pos="8080"/>
        </w:tabs>
        <w:spacing w:line="360" w:lineRule="auto"/>
        <w:ind w:right="49"/>
        <w:jc w:val="both"/>
        <w:rPr>
          <w:rFonts w:ascii="Palatino Linotype" w:eastAsia="Palatino Linotype" w:hAnsi="Palatino Linotype" w:cs="Palatino Linotype"/>
          <w:color w:val="222222"/>
        </w:rPr>
      </w:pPr>
    </w:p>
    <w:p w14:paraId="3AEE4DC3" w14:textId="77777777" w:rsidR="00A83BD3" w:rsidRPr="004D3F59" w:rsidRDefault="00F41D15" w:rsidP="003D34CF">
      <w:pPr>
        <w:tabs>
          <w:tab w:val="left" w:pos="284"/>
        </w:tabs>
        <w:spacing w:line="360" w:lineRule="auto"/>
        <w:ind w:right="49"/>
        <w:jc w:val="both"/>
        <w:rPr>
          <w:rFonts w:ascii="Palatino Linotype" w:eastAsia="Palatino Linotype" w:hAnsi="Palatino Linotype" w:cs="Palatino Linotype"/>
        </w:rPr>
      </w:pPr>
      <w:r w:rsidRPr="004D3F59">
        <w:rPr>
          <w:rFonts w:ascii="Palatino Linotype" w:eastAsia="Palatino Linotype" w:hAnsi="Palatino Linotype" w:cs="Palatino Linotype"/>
          <w:b/>
        </w:rPr>
        <w:t xml:space="preserve">QUINTO. </w:t>
      </w:r>
      <w:r w:rsidRPr="004D3F59">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32A121F" w14:textId="77777777" w:rsidR="00A83BD3" w:rsidRPr="004D3F59" w:rsidRDefault="00A83BD3" w:rsidP="003D34CF">
      <w:pPr>
        <w:tabs>
          <w:tab w:val="left" w:pos="284"/>
        </w:tabs>
        <w:spacing w:line="360" w:lineRule="auto"/>
        <w:ind w:right="49"/>
        <w:jc w:val="both"/>
        <w:rPr>
          <w:rFonts w:ascii="Palatino Linotype" w:eastAsia="Palatino Linotype" w:hAnsi="Palatino Linotype" w:cs="Palatino Linotype"/>
        </w:rPr>
      </w:pPr>
    </w:p>
    <w:p w14:paraId="600618C2" w14:textId="77777777" w:rsidR="00A83BD3" w:rsidRPr="004D3F59" w:rsidRDefault="00F41D15" w:rsidP="003D34CF">
      <w:pPr>
        <w:spacing w:line="360" w:lineRule="auto"/>
        <w:ind w:right="49"/>
        <w:jc w:val="both"/>
        <w:rPr>
          <w:rFonts w:ascii="Palatino Linotype" w:eastAsia="Palatino Linotype" w:hAnsi="Palatino Linotype" w:cs="Palatino Linotype"/>
        </w:rPr>
      </w:pPr>
      <w:r w:rsidRPr="004D3F59">
        <w:rPr>
          <w:rFonts w:ascii="Palatino Linotype" w:eastAsia="Palatino Linotype" w:hAnsi="Palatino Linotype" w:cs="Palatino Linotype"/>
          <w:b/>
        </w:rPr>
        <w:t xml:space="preserve">SEXTO. </w:t>
      </w:r>
      <w:r w:rsidRPr="004D3F59">
        <w:rPr>
          <w:rFonts w:ascii="Palatino Linotype" w:eastAsia="Palatino Linotype" w:hAnsi="Palatino Linotype" w:cs="Palatino Linotype"/>
        </w:rPr>
        <w:t xml:space="preserve">Se hace del conocimiento del </w:t>
      </w:r>
      <w:r w:rsidRPr="004D3F59">
        <w:rPr>
          <w:rFonts w:ascii="Palatino Linotype" w:eastAsia="Palatino Linotype" w:hAnsi="Palatino Linotype" w:cs="Palatino Linotype"/>
          <w:b/>
        </w:rPr>
        <w:t>RECURRENTE</w:t>
      </w:r>
      <w:r w:rsidRPr="004D3F59">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4D3F59">
        <w:rPr>
          <w:rFonts w:ascii="Palatino Linotype" w:eastAsia="Palatino Linotype" w:hAnsi="Palatino Linotype" w:cs="Palatino Linotype"/>
          <w:color w:val="000000"/>
        </w:rPr>
        <w:t xml:space="preserve">en caso de que considere que la resolución le cause algún perjuicio podrá </w:t>
      </w:r>
      <w:r w:rsidRPr="004D3F59">
        <w:rPr>
          <w:rFonts w:ascii="Palatino Linotype" w:eastAsia="Palatino Linotype" w:hAnsi="Palatino Linotype" w:cs="Palatino Linotype"/>
        </w:rPr>
        <w:t>impugnar vía</w:t>
      </w:r>
      <w:r w:rsidRPr="004D3F59">
        <w:rPr>
          <w:rFonts w:ascii="Palatino Linotype" w:eastAsia="Palatino Linotype" w:hAnsi="Palatino Linotype" w:cs="Palatino Linotype"/>
          <w:color w:val="000000"/>
        </w:rPr>
        <w:t xml:space="preserve"> </w:t>
      </w:r>
      <w:r w:rsidRPr="004D3F59">
        <w:rPr>
          <w:rFonts w:ascii="Palatino Linotype" w:eastAsia="Palatino Linotype" w:hAnsi="Palatino Linotype" w:cs="Palatino Linotype"/>
        </w:rPr>
        <w:t>juicio de amparo en los términos de las leyes aplicables.</w:t>
      </w:r>
    </w:p>
    <w:p w14:paraId="64F0C116" w14:textId="77777777" w:rsidR="0092161B" w:rsidRPr="004D3F59" w:rsidRDefault="0092161B" w:rsidP="003D34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ES_tradnl"/>
        </w:rPr>
      </w:pPr>
    </w:p>
    <w:p w14:paraId="032C5771" w14:textId="77777777" w:rsidR="0092161B" w:rsidRPr="004D3F59" w:rsidRDefault="0092161B" w:rsidP="003D34CF">
      <w:pPr>
        <w:pBdr>
          <w:top w:val="nil"/>
          <w:left w:val="nil"/>
          <w:bottom w:val="nil"/>
          <w:right w:val="nil"/>
          <w:between w:val="nil"/>
        </w:pBdr>
        <w:spacing w:line="360" w:lineRule="auto"/>
        <w:jc w:val="both"/>
        <w:rPr>
          <w:rFonts w:ascii="Palatino Linotype" w:eastAsia="Palatino Linotype" w:hAnsi="Palatino Linotype" w:cs="Palatino Linotype"/>
          <w:bCs/>
          <w:color w:val="000000"/>
          <w:lang w:val="es-ES_tradnl"/>
        </w:rPr>
      </w:pPr>
      <w:r w:rsidRPr="004D3F59">
        <w:rPr>
          <w:rFonts w:ascii="Palatino Linotype" w:eastAsia="Palatino Linotype" w:hAnsi="Palatino Linotype" w:cs="Palatino Linotype"/>
          <w:b/>
          <w:color w:val="000000"/>
          <w:lang w:val="es-ES_tradnl"/>
        </w:rPr>
        <w:t xml:space="preserve">QUINTO. Gírese </w:t>
      </w:r>
      <w:r w:rsidRPr="004D3F59">
        <w:rPr>
          <w:rFonts w:ascii="Palatino Linotype" w:eastAsia="Palatino Linotype" w:hAnsi="Palatino Linotype" w:cs="Palatino Linotype"/>
          <w:bCs/>
          <w:color w:val="000000"/>
          <w:lang w:val="es-ES_tradnl"/>
        </w:rPr>
        <w:t xml:space="preserve">oficio a la Secretaría Técnica del Pleno de este Instituto para hacer del conocimiento del Órgano Interno de Control competente la presente resolución, </w:t>
      </w:r>
      <w:r w:rsidRPr="004D3F59">
        <w:rPr>
          <w:rFonts w:ascii="Palatino Linotype" w:eastAsia="Palatino Linotype" w:hAnsi="Palatino Linotype" w:cs="Palatino Linotype"/>
          <w:bCs/>
          <w:color w:val="000000"/>
          <w:lang w:val="es-ES_tradnl"/>
        </w:rPr>
        <w:lastRenderedPageBreak/>
        <w:t>a fin de que de conformidad con el artículo 190 de la Ley de Transparencia y Acceso a la Información Pública del Estado de México y Municipios se determine lo conducente, en términos de lo señalado en el</w:t>
      </w:r>
      <w:r w:rsidRPr="004D3F59">
        <w:rPr>
          <w:rFonts w:ascii="Palatino Linotype" w:eastAsia="Palatino Linotype" w:hAnsi="Palatino Linotype" w:cs="Palatino Linotype"/>
          <w:b/>
          <w:color w:val="000000"/>
          <w:lang w:val="es-ES_tradnl"/>
        </w:rPr>
        <w:t xml:space="preserve"> Considerando CUARTO </w:t>
      </w:r>
      <w:r w:rsidRPr="004D3F59">
        <w:rPr>
          <w:rFonts w:ascii="Palatino Linotype" w:eastAsia="Palatino Linotype" w:hAnsi="Palatino Linotype" w:cs="Palatino Linotype"/>
          <w:bCs/>
          <w:color w:val="000000"/>
          <w:lang w:val="es-ES_tradnl"/>
        </w:rPr>
        <w:t>de la presente Resolución.</w:t>
      </w:r>
    </w:p>
    <w:p w14:paraId="5723337C" w14:textId="77777777" w:rsidR="0092161B" w:rsidRPr="004D3F59" w:rsidRDefault="0092161B" w:rsidP="003D34CF">
      <w:pPr>
        <w:spacing w:line="360" w:lineRule="auto"/>
        <w:ind w:right="49"/>
        <w:jc w:val="both"/>
        <w:rPr>
          <w:rFonts w:ascii="Palatino Linotype" w:eastAsia="Palatino Linotype" w:hAnsi="Palatino Linotype" w:cs="Palatino Linotype"/>
        </w:rPr>
      </w:pPr>
    </w:p>
    <w:p w14:paraId="426003CC" w14:textId="7625493E" w:rsidR="0090230C" w:rsidRPr="008B02EE" w:rsidRDefault="0090230C" w:rsidP="0090230C">
      <w:pPr>
        <w:spacing w:line="360" w:lineRule="auto"/>
        <w:ind w:left="-142" w:right="-595" w:firstLine="1"/>
        <w:jc w:val="both"/>
        <w:rPr>
          <w:rFonts w:ascii="Palatino Linotype" w:hAnsi="Palatino Linotype"/>
        </w:rPr>
      </w:pPr>
      <w:r w:rsidRPr="004D3F5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446CA6" w:rsidRPr="004D3F59">
        <w:rPr>
          <w:rFonts w:ascii="Palatino Linotype" w:hAnsi="Palatino Linotype"/>
        </w:rPr>
        <w:t xml:space="preserve"> </w:t>
      </w:r>
      <w:r w:rsidR="00446CA6" w:rsidRPr="004D3F59">
        <w:rPr>
          <w:rFonts w:ascii="Palatino Linotype" w:hAnsi="Palatino Linotype" w:cs="Calibri"/>
        </w:rPr>
        <w:t>EMITIENDO VOTO PARTICULAR</w:t>
      </w:r>
      <w:r w:rsidRPr="004D3F59">
        <w:rPr>
          <w:rFonts w:ascii="Palatino Linotype" w:hAnsi="Palatino Linotype"/>
        </w:rPr>
        <w:t xml:space="preserve">; SHARON CRISTINA MORALES MARTÍNEZ; LUIS GUSTAVO PARRA NORIEGA </w:t>
      </w:r>
      <w:r w:rsidR="00446CA6" w:rsidRPr="004D3F59">
        <w:rPr>
          <w:rFonts w:ascii="Palatino Linotype" w:hAnsi="Palatino Linotype" w:cs="Calibri"/>
        </w:rPr>
        <w:t xml:space="preserve">EMITIENDO VOTO PARTICULAR </w:t>
      </w:r>
      <w:r w:rsidRPr="004D3F59">
        <w:rPr>
          <w:rFonts w:ascii="Palatino Linotype" w:hAnsi="Palatino Linotype"/>
        </w:rPr>
        <w:t>Y GUADALUPE RAMÍREZ PEÑA; EN LA OCTAVA SESIÓN ORDINARIA CELEBRADA EL SEIS (06) DE MARZO DE DOS MIL VEINTICINCO, ANTE EL SECRETARIO TÉCNICO DEL PLENO ALEXIS TAPIA RAMÍREZ.</w:t>
      </w:r>
      <w:bookmarkStart w:id="5" w:name="_GoBack"/>
      <w:bookmarkEnd w:id="5"/>
      <w:r w:rsidRPr="008B02EE">
        <w:rPr>
          <w:rFonts w:ascii="Palatino Linotype" w:hAnsi="Palatino Linotype"/>
        </w:rPr>
        <w:t xml:space="preserve"> </w:t>
      </w:r>
    </w:p>
    <w:p w14:paraId="68030C6B"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580049CC"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1E1C0AA7"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34D15F97"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5F4D032A"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287F3DE6"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347659A7"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3B5A1EE1"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0B5F74F5"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68169EF6"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46DD39E7"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30033A65"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06E4089D"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752B334B"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155BB04C"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79870462"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4BC02D52" w14:textId="77777777" w:rsidR="00A83BD3" w:rsidRPr="003D34CF" w:rsidRDefault="00A83BD3" w:rsidP="003D34CF">
      <w:pPr>
        <w:spacing w:line="360" w:lineRule="auto"/>
        <w:ind w:right="49"/>
        <w:jc w:val="both"/>
        <w:rPr>
          <w:rFonts w:ascii="Palatino Linotype" w:eastAsia="Palatino Linotype" w:hAnsi="Palatino Linotype" w:cs="Palatino Linotype"/>
          <w:color w:val="000000"/>
        </w:rPr>
      </w:pPr>
    </w:p>
    <w:p w14:paraId="2697773C"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p w14:paraId="1BC60779"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p w14:paraId="17197C29"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p w14:paraId="47BCE425"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p w14:paraId="34894293"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p w14:paraId="10CBC0CB" w14:textId="77777777" w:rsidR="00D20E0A" w:rsidRPr="003D34CF" w:rsidRDefault="00D20E0A" w:rsidP="003D34CF">
      <w:pPr>
        <w:spacing w:line="360" w:lineRule="auto"/>
        <w:ind w:right="49"/>
        <w:jc w:val="both"/>
        <w:rPr>
          <w:rFonts w:ascii="Palatino Linotype" w:eastAsia="Palatino Linotype" w:hAnsi="Palatino Linotype" w:cs="Palatino Linotype"/>
          <w:color w:val="000000"/>
        </w:rPr>
      </w:pPr>
    </w:p>
    <w:sectPr w:rsidR="00D20E0A" w:rsidRPr="003D34CF">
      <w:headerReference w:type="default" r:id="rId10"/>
      <w:footerReference w:type="default" r:id="rId11"/>
      <w:headerReference w:type="first" r:id="rId12"/>
      <w:footerReference w:type="first" r:id="rId13"/>
      <w:pgSz w:w="12240" w:h="15840"/>
      <w:pgMar w:top="2268" w:right="1701" w:bottom="1985"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99238" w14:textId="77777777" w:rsidR="004328A4" w:rsidRDefault="004328A4">
      <w:r>
        <w:separator/>
      </w:r>
    </w:p>
  </w:endnote>
  <w:endnote w:type="continuationSeparator" w:id="0">
    <w:p w14:paraId="5AD376C7" w14:textId="77777777" w:rsidR="004328A4" w:rsidRDefault="004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400E" w14:textId="77777777" w:rsidR="00A54129" w:rsidRDefault="00A5412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4D3F59">
      <w:rPr>
        <w:rFonts w:ascii="Palatino Linotype" w:eastAsia="Palatino Linotype" w:hAnsi="Palatino Linotype" w:cs="Palatino Linotype"/>
        <w:b/>
        <w:noProof/>
        <w:color w:val="000000"/>
        <w:sz w:val="22"/>
        <w:szCs w:val="22"/>
      </w:rPr>
      <w:t>60</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4D3F59">
      <w:rPr>
        <w:rFonts w:ascii="Palatino Linotype" w:eastAsia="Palatino Linotype" w:hAnsi="Palatino Linotype" w:cs="Palatino Linotype"/>
        <w:b/>
        <w:noProof/>
        <w:color w:val="000000"/>
        <w:sz w:val="22"/>
        <w:szCs w:val="22"/>
      </w:rPr>
      <w:t>62</w:t>
    </w:r>
    <w:r>
      <w:rPr>
        <w:rFonts w:ascii="Palatino Linotype" w:eastAsia="Palatino Linotype" w:hAnsi="Palatino Linotype" w:cs="Palatino Linotype"/>
        <w:b/>
        <w:color w:val="000000"/>
        <w:sz w:val="22"/>
        <w:szCs w:val="22"/>
      </w:rPr>
      <w:fldChar w:fldCharType="end"/>
    </w:r>
  </w:p>
  <w:p w14:paraId="48461D6C" w14:textId="77777777" w:rsidR="00A54129" w:rsidRDefault="00A54129">
    <w:pPr>
      <w:pBdr>
        <w:top w:val="nil"/>
        <w:left w:val="nil"/>
        <w:bottom w:val="nil"/>
        <w:right w:val="nil"/>
        <w:between w:val="nil"/>
      </w:pBdr>
      <w:tabs>
        <w:tab w:val="center" w:pos="4252"/>
        <w:tab w:val="right" w:pos="8504"/>
      </w:tabs>
      <w:rPr>
        <w:color w:val="000000"/>
      </w:rPr>
    </w:pPr>
  </w:p>
  <w:p w14:paraId="44E384E3" w14:textId="77777777" w:rsidR="00A54129" w:rsidRDefault="00A541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912D" w14:textId="77777777" w:rsidR="00A54129" w:rsidRDefault="00A5412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4D3F59">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4D3F59">
      <w:rPr>
        <w:rFonts w:ascii="Palatino Linotype" w:eastAsia="Palatino Linotype" w:hAnsi="Palatino Linotype" w:cs="Palatino Linotype"/>
        <w:noProof/>
        <w:color w:val="000000"/>
        <w:sz w:val="22"/>
        <w:szCs w:val="22"/>
      </w:rPr>
      <w:t>62</w:t>
    </w:r>
    <w:r>
      <w:rPr>
        <w:rFonts w:ascii="Palatino Linotype" w:eastAsia="Palatino Linotype" w:hAnsi="Palatino Linotype" w:cs="Palatino Linotype"/>
        <w:color w:val="000000"/>
        <w:sz w:val="22"/>
        <w:szCs w:val="22"/>
      </w:rPr>
      <w:fldChar w:fldCharType="end"/>
    </w:r>
  </w:p>
  <w:p w14:paraId="764C38E5" w14:textId="77777777" w:rsidR="00A54129" w:rsidRDefault="00A5412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652FA951" w14:textId="77777777" w:rsidR="00A54129" w:rsidRDefault="00A541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1E5C2" w14:textId="77777777" w:rsidR="004328A4" w:rsidRDefault="004328A4">
      <w:r>
        <w:separator/>
      </w:r>
    </w:p>
  </w:footnote>
  <w:footnote w:type="continuationSeparator" w:id="0">
    <w:p w14:paraId="361F6D9A" w14:textId="77777777" w:rsidR="004328A4" w:rsidRDefault="004328A4">
      <w:r>
        <w:continuationSeparator/>
      </w:r>
    </w:p>
  </w:footnote>
  <w:footnote w:id="1">
    <w:p w14:paraId="60E6092C" w14:textId="77777777" w:rsidR="00A54129" w:rsidRDefault="00A54129" w:rsidP="00E86AE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páginas 71 y 72 de la contradicción de tesis 200/2013, específicamente los epígrafes 84, 85 y 87. </w:t>
      </w:r>
    </w:p>
  </w:footnote>
  <w:footnote w:id="2">
    <w:p w14:paraId="73FABFD0" w14:textId="77777777" w:rsidR="00A54129" w:rsidRDefault="00A54129" w:rsidP="00E86AE9">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Ver supra. Página 24.</w:t>
      </w:r>
    </w:p>
  </w:footnote>
  <w:footnote w:id="3">
    <w:p w14:paraId="759D7ECD" w14:textId="77777777" w:rsidR="00A54129" w:rsidRDefault="00A54129" w:rsidP="003F4AE1">
      <w:pPr>
        <w:pStyle w:val="Textonotapie"/>
      </w:pPr>
      <w:r>
        <w:rPr>
          <w:rStyle w:val="Refdenotaalpie"/>
        </w:rPr>
        <w:footnoteRef/>
      </w:r>
      <w:r>
        <w:t xml:space="preserve"> Convención Americana sobre Derechos Humanos. Artículo 13.</w:t>
      </w:r>
    </w:p>
  </w:footnote>
  <w:footnote w:id="4">
    <w:p w14:paraId="36168292" w14:textId="77777777" w:rsidR="00A54129" w:rsidRDefault="00A54129" w:rsidP="003F4AE1">
      <w:pPr>
        <w:pStyle w:val="Textonotapie"/>
      </w:pPr>
      <w:r>
        <w:rPr>
          <w:rStyle w:val="Refdenotaalpie"/>
        </w:rPr>
        <w:footnoteRef/>
      </w:r>
      <w:r>
        <w:t xml:space="preserve"> Constitución Política de los Estados Unidos Mexicanos. Artículo sexto, sección A, Fracción I.</w:t>
      </w:r>
    </w:p>
  </w:footnote>
  <w:footnote w:id="5">
    <w:p w14:paraId="189BFDDF" w14:textId="77777777" w:rsidR="00A54129" w:rsidRPr="00F411B8" w:rsidRDefault="00A54129" w:rsidP="003F4AE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Corte Interamericana de Derechos Humanos. Caso Claude Reyes y otros vs Chile. Sentencia de 19 de septiembre de 2006. Serie C. No. 151. Párr. 86.</w:t>
      </w:r>
    </w:p>
  </w:footnote>
  <w:footnote w:id="6">
    <w:p w14:paraId="33671DE4" w14:textId="77777777" w:rsidR="00A54129" w:rsidRPr="00F411B8" w:rsidRDefault="00A54129" w:rsidP="003F4AE1">
      <w:pPr>
        <w:pStyle w:val="Textonotapie"/>
        <w:rPr>
          <w:rFonts w:ascii="Palatino Linotype" w:hAnsi="Palatino Linotype"/>
          <w:sz w:val="18"/>
        </w:rPr>
      </w:pPr>
      <w:r w:rsidRPr="00F411B8">
        <w:rPr>
          <w:rStyle w:val="Refdenotaalpie"/>
          <w:rFonts w:ascii="Palatino Linotype" w:hAnsi="Palatino Linotype"/>
        </w:rPr>
        <w:footnoteRef/>
      </w:r>
      <w:r w:rsidRPr="00F411B8">
        <w:rPr>
          <w:rFonts w:ascii="Palatino Linotype" w:hAnsi="Palatino Linotype"/>
          <w:sz w:val="18"/>
        </w:rPr>
        <w:t xml:space="preserve"> Ibídem. Párr. 87.</w:t>
      </w:r>
    </w:p>
  </w:footnote>
  <w:footnote w:id="7">
    <w:p w14:paraId="15F2916B" w14:textId="77777777" w:rsidR="00A54129" w:rsidRDefault="00A54129" w:rsidP="003F4AE1">
      <w:pPr>
        <w:pStyle w:val="Textonotapie"/>
      </w:pPr>
      <w:r w:rsidRPr="00F411B8">
        <w:rPr>
          <w:rStyle w:val="Refdenotaalpie"/>
          <w:rFonts w:ascii="Palatino Linotype" w:hAnsi="Palatino Linotype"/>
        </w:rPr>
        <w:footnoteRef/>
      </w:r>
      <w:r w:rsidRPr="00F411B8">
        <w:rPr>
          <w:rFonts w:ascii="Palatino Linotype" w:hAnsi="Palatino Linotype"/>
          <w:sz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F411B8">
          <w:rPr>
            <w:rStyle w:val="Hipervnculo"/>
            <w:rFonts w:ascii="Palatino Linotype" w:hAnsi="Palatino Linotype"/>
          </w:rPr>
          <w:t>http://www.oas.org/es/cidh/expresion/documentos_basicos/declaraciones.asp</w:t>
        </w:r>
      </w:hyperlink>
      <w:r w:rsidRPr="00F411B8">
        <w:rPr>
          <w:rFonts w:ascii="Palatino Linotype" w:hAnsi="Palatino Linotype"/>
          <w:sz w:val="18"/>
        </w:rPr>
        <w:t>.</w:t>
      </w:r>
    </w:p>
  </w:footnote>
  <w:footnote w:id="8">
    <w:p w14:paraId="15C16454" w14:textId="77777777" w:rsidR="00A54129" w:rsidRDefault="00A54129" w:rsidP="003F4AE1">
      <w:pPr>
        <w:pStyle w:val="Textonotapie"/>
      </w:pPr>
      <w:r>
        <w:rPr>
          <w:rStyle w:val="Refdenotaalpie"/>
        </w:rPr>
        <w:footnoteRef/>
      </w:r>
      <w:r>
        <w:t xml:space="preserve"> Ley de Transparencia y Acceso a la Información Pública del Estado de México y Municipios. Artículo 9. …</w:t>
      </w:r>
    </w:p>
    <w:p w14:paraId="3732B5AB" w14:textId="77777777" w:rsidR="00A54129" w:rsidRDefault="00A54129" w:rsidP="003F4AE1">
      <w:pPr>
        <w:pStyle w:val="Textonotapie"/>
      </w:pPr>
      <w:r>
        <w:t>II. Eficacia: Obligación del Instituto para tutelar, de manera efectiva, el derecho de acceso a la información;</w:t>
      </w:r>
    </w:p>
    <w:p w14:paraId="2F704214" w14:textId="77777777" w:rsidR="00A54129" w:rsidRDefault="00A54129" w:rsidP="003F4AE1">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53DF1" w14:textId="77777777" w:rsidR="00A54129" w:rsidRDefault="00A54129">
    <w:pPr>
      <w:widowControl w:val="0"/>
      <w:pBdr>
        <w:top w:val="nil"/>
        <w:left w:val="nil"/>
        <w:bottom w:val="nil"/>
        <w:right w:val="nil"/>
        <w:between w:val="nil"/>
      </w:pBdr>
      <w:spacing w:line="276" w:lineRule="auto"/>
      <w:rPr>
        <w:color w:val="000000"/>
        <w:sz w:val="20"/>
        <w:szCs w:val="20"/>
      </w:rPr>
    </w:pPr>
  </w:p>
  <w:tbl>
    <w:tblPr>
      <w:tblStyle w:val="a1"/>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A54129" w14:paraId="2208FDF4" w14:textId="77777777">
      <w:trPr>
        <w:trHeight w:val="138"/>
        <w:jc w:val="right"/>
      </w:trPr>
      <w:tc>
        <w:tcPr>
          <w:tcW w:w="3260" w:type="dxa"/>
          <w:vAlign w:val="center"/>
        </w:tcPr>
        <w:p w14:paraId="50661BE5" w14:textId="77777777" w:rsidR="00A54129" w:rsidRDefault="00A5412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7848F5C2" w14:textId="77777777" w:rsidR="00A54129" w:rsidRDefault="00A54129" w:rsidP="00301B1C">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02348/INFOEM/IP/RR/2024</w:t>
          </w:r>
        </w:p>
      </w:tc>
    </w:tr>
    <w:tr w:rsidR="00A54129" w14:paraId="29F81D17" w14:textId="77777777">
      <w:trPr>
        <w:trHeight w:val="233"/>
        <w:jc w:val="right"/>
      </w:trPr>
      <w:tc>
        <w:tcPr>
          <w:tcW w:w="3260" w:type="dxa"/>
          <w:vAlign w:val="center"/>
        </w:tcPr>
        <w:p w14:paraId="4E033176" w14:textId="77777777" w:rsidR="00A54129" w:rsidRDefault="00A5412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6B8D6211" w14:textId="77777777" w:rsidR="00A54129" w:rsidRDefault="00A955B1">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sidRPr="00A955B1">
            <w:rPr>
              <w:rFonts w:ascii="Palatino Linotype" w:eastAsia="Palatino Linotype" w:hAnsi="Palatino Linotype" w:cs="Palatino Linotype"/>
              <w:color w:val="000000"/>
            </w:rPr>
            <w:t>Ayuntamiento de Ecatepec de Morelos</w:t>
          </w:r>
        </w:p>
      </w:tc>
    </w:tr>
    <w:tr w:rsidR="00A54129" w14:paraId="0944543F" w14:textId="77777777">
      <w:trPr>
        <w:trHeight w:val="321"/>
        <w:jc w:val="right"/>
      </w:trPr>
      <w:tc>
        <w:tcPr>
          <w:tcW w:w="3260" w:type="dxa"/>
          <w:vAlign w:val="center"/>
        </w:tcPr>
        <w:p w14:paraId="2E80B906" w14:textId="77777777" w:rsidR="00A54129" w:rsidRDefault="00A54129">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1B46E177" w14:textId="77777777" w:rsidR="00A54129" w:rsidRDefault="00A5412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D60A957" w14:textId="77777777" w:rsidR="00A54129" w:rsidRDefault="00A54129">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3FF1F64D" wp14:editId="4082C5EF">
          <wp:simplePos x="0" y="0"/>
          <wp:positionH relativeFrom="page">
            <wp:posOffset>30785</wp:posOffset>
          </wp:positionH>
          <wp:positionV relativeFrom="page">
            <wp:posOffset>30480</wp:posOffset>
          </wp:positionV>
          <wp:extent cx="7695210" cy="10020839"/>
          <wp:effectExtent l="0" t="0" r="0" b="0"/>
          <wp:wrapNone/>
          <wp:docPr id="17415212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204D27C7" w14:textId="77777777" w:rsidR="00A54129" w:rsidRDefault="00A541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7808" w14:textId="77777777" w:rsidR="00A54129" w:rsidRDefault="004328A4" w:rsidP="00B82603">
    <w:pPr>
      <w:pBdr>
        <w:top w:val="nil"/>
        <w:left w:val="nil"/>
        <w:bottom w:val="nil"/>
        <w:right w:val="nil"/>
        <w:between w:val="nil"/>
      </w:pBdr>
      <w:tabs>
        <w:tab w:val="right" w:pos="8504"/>
        <w:tab w:val="left" w:pos="3103"/>
      </w:tabs>
      <w:rPr>
        <w:color w:val="000000"/>
      </w:rPr>
    </w:pPr>
    <w:r>
      <w:rPr>
        <w:color w:val="000000"/>
      </w:rPr>
      <w:pict w14:anchorId="73F0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3"/>
          <w10:wrap anchorx="margin" anchory="margin"/>
        </v:shape>
      </w:pict>
    </w:r>
    <w:r w:rsidR="00A54129">
      <w:rPr>
        <w:color w:val="000000"/>
      </w:rPr>
      <w:tab/>
    </w:r>
  </w:p>
  <w:tbl>
    <w:tblPr>
      <w:tblStyle w:val="a2"/>
      <w:tblW w:w="7372"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1"/>
      <w:gridCol w:w="4111"/>
    </w:tblGrid>
    <w:tr w:rsidR="00A54129" w14:paraId="18EC2523" w14:textId="77777777" w:rsidTr="00B82603">
      <w:trPr>
        <w:trHeight w:val="138"/>
        <w:jc w:val="right"/>
      </w:trPr>
      <w:tc>
        <w:tcPr>
          <w:tcW w:w="3261" w:type="dxa"/>
          <w:vAlign w:val="center"/>
        </w:tcPr>
        <w:p w14:paraId="7DEFCA48" w14:textId="77777777" w:rsidR="00A54129" w:rsidRDefault="00A5412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vAlign w:val="center"/>
        </w:tcPr>
        <w:p w14:paraId="73302443" w14:textId="77777777" w:rsidR="00A54129" w:rsidRDefault="00A54129" w:rsidP="0080275F">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0234</w:t>
          </w:r>
          <w:r w:rsidRPr="00752A2F">
            <w:rPr>
              <w:rFonts w:ascii="Palatino Linotype" w:eastAsia="Palatino Linotype" w:hAnsi="Palatino Linotype" w:cs="Palatino Linotype"/>
              <w:color w:val="000000"/>
              <w:sz w:val="22"/>
              <w:szCs w:val="22"/>
            </w:rPr>
            <w:t>8/INFOEM/IP/RR/2024</w:t>
          </w:r>
        </w:p>
      </w:tc>
    </w:tr>
    <w:tr w:rsidR="00A54129" w14:paraId="0BB9680D" w14:textId="77777777" w:rsidTr="00B82603">
      <w:trPr>
        <w:trHeight w:val="233"/>
        <w:jc w:val="right"/>
      </w:trPr>
      <w:tc>
        <w:tcPr>
          <w:tcW w:w="3261" w:type="dxa"/>
          <w:vAlign w:val="center"/>
        </w:tcPr>
        <w:p w14:paraId="365980DD" w14:textId="77777777" w:rsidR="00A54129" w:rsidRDefault="00A5412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111" w:type="dxa"/>
        </w:tcPr>
        <w:p w14:paraId="22B16D43" w14:textId="77777777" w:rsidR="00A54129" w:rsidRDefault="00A54129">
          <w:pPr>
            <w:pBdr>
              <w:top w:val="nil"/>
              <w:left w:val="nil"/>
              <w:bottom w:val="nil"/>
              <w:right w:val="nil"/>
              <w:between w:val="nil"/>
            </w:pBdr>
            <w:tabs>
              <w:tab w:val="center" w:pos="4252"/>
              <w:tab w:val="right" w:pos="8504"/>
            </w:tabs>
            <w:ind w:right="-107"/>
            <w:rPr>
              <w:rFonts w:ascii="Palatino Linotype" w:eastAsia="Palatino Linotype" w:hAnsi="Palatino Linotype" w:cs="Palatino Linotype"/>
              <w:color w:val="000000"/>
              <w:sz w:val="22"/>
              <w:szCs w:val="22"/>
            </w:rPr>
          </w:pPr>
          <w:r w:rsidRPr="007138FE">
            <w:rPr>
              <w:rFonts w:ascii="Palatino Linotype" w:eastAsia="Palatino Linotype" w:hAnsi="Palatino Linotype" w:cs="Palatino Linotype"/>
              <w:sz w:val="22"/>
              <w:szCs w:val="22"/>
            </w:rPr>
            <w:t>Anónimo</w:t>
          </w:r>
        </w:p>
      </w:tc>
    </w:tr>
    <w:tr w:rsidR="00A54129" w14:paraId="2D724452" w14:textId="77777777" w:rsidTr="00B82603">
      <w:trPr>
        <w:trHeight w:val="321"/>
        <w:jc w:val="right"/>
      </w:trPr>
      <w:tc>
        <w:tcPr>
          <w:tcW w:w="3261" w:type="dxa"/>
          <w:vAlign w:val="center"/>
        </w:tcPr>
        <w:p w14:paraId="62D983DA" w14:textId="77777777" w:rsidR="00A54129" w:rsidRDefault="00A54129" w:rsidP="00B82603">
          <w:pPr>
            <w:ind w:firstLine="459"/>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vAlign w:val="center"/>
        </w:tcPr>
        <w:p w14:paraId="4DA426D3" w14:textId="77777777" w:rsidR="00A54129" w:rsidRDefault="00A955B1">
          <w:pPr>
            <w:jc w:val="both"/>
            <w:rPr>
              <w:rFonts w:ascii="Palatino Linotype" w:eastAsia="Palatino Linotype" w:hAnsi="Palatino Linotype" w:cs="Palatino Linotype"/>
            </w:rPr>
          </w:pPr>
          <w:r w:rsidRPr="00A955B1">
            <w:rPr>
              <w:rFonts w:ascii="Palatino Linotype" w:eastAsia="Palatino Linotype" w:hAnsi="Palatino Linotype" w:cs="Palatino Linotype"/>
              <w:sz w:val="22"/>
              <w:szCs w:val="22"/>
            </w:rPr>
            <w:t>Ayuntamiento de Ecatepec de Morelos</w:t>
          </w:r>
        </w:p>
      </w:tc>
    </w:tr>
    <w:tr w:rsidR="00A54129" w14:paraId="22AFF62F" w14:textId="77777777" w:rsidTr="00B82603">
      <w:trPr>
        <w:trHeight w:val="321"/>
        <w:jc w:val="right"/>
      </w:trPr>
      <w:tc>
        <w:tcPr>
          <w:tcW w:w="3261" w:type="dxa"/>
          <w:vAlign w:val="center"/>
        </w:tcPr>
        <w:p w14:paraId="13B3C533" w14:textId="77777777" w:rsidR="00A54129" w:rsidRDefault="00A54129">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vAlign w:val="center"/>
        </w:tcPr>
        <w:p w14:paraId="72A0ECF9" w14:textId="77777777" w:rsidR="00A54129" w:rsidRDefault="00A54129">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38427F0" w14:textId="77777777" w:rsidR="00A54129" w:rsidRDefault="00A54129">
    <w:pPr>
      <w:pBdr>
        <w:top w:val="nil"/>
        <w:left w:val="nil"/>
        <w:bottom w:val="nil"/>
        <w:right w:val="nil"/>
        <w:between w:val="nil"/>
      </w:pBdr>
      <w:tabs>
        <w:tab w:val="center" w:pos="4252"/>
        <w:tab w:val="right" w:pos="8504"/>
        <w:tab w:val="left" w:pos="3103"/>
      </w:tabs>
      <w:rPr>
        <w:color w:val="000000"/>
      </w:rPr>
    </w:pPr>
  </w:p>
  <w:p w14:paraId="0FFD0B3D" w14:textId="77777777" w:rsidR="00A54129" w:rsidRDefault="00A54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3E91"/>
    <w:multiLevelType w:val="multilevel"/>
    <w:tmpl w:val="1C621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3074C8"/>
    <w:multiLevelType w:val="multilevel"/>
    <w:tmpl w:val="DCBE25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20B31B48"/>
    <w:multiLevelType w:val="multilevel"/>
    <w:tmpl w:val="BA8405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BD2F32"/>
    <w:multiLevelType w:val="multilevel"/>
    <w:tmpl w:val="A35EF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A417CB"/>
    <w:multiLevelType w:val="multilevel"/>
    <w:tmpl w:val="E7261E64"/>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2B674E24"/>
    <w:multiLevelType w:val="multilevel"/>
    <w:tmpl w:val="0E84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192691E"/>
    <w:multiLevelType w:val="multilevel"/>
    <w:tmpl w:val="D034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237269D"/>
    <w:multiLevelType w:val="multilevel"/>
    <w:tmpl w:val="175229F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580BF4"/>
    <w:multiLevelType w:val="hybridMultilevel"/>
    <w:tmpl w:val="7C624C3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478A2FAA"/>
    <w:multiLevelType w:val="multilevel"/>
    <w:tmpl w:val="B2CE1F2C"/>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926054B"/>
    <w:multiLevelType w:val="multilevel"/>
    <w:tmpl w:val="6DD60E64"/>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C01006"/>
    <w:multiLevelType w:val="multilevel"/>
    <w:tmpl w:val="E7BEF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B53666D"/>
    <w:multiLevelType w:val="hybridMultilevel"/>
    <w:tmpl w:val="51DE22C2"/>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4">
    <w:nsid w:val="4D36505B"/>
    <w:multiLevelType w:val="multilevel"/>
    <w:tmpl w:val="E2706DF4"/>
    <w:lvl w:ilvl="0">
      <w:start w:val="1"/>
      <w:numFmt w:val="bullet"/>
      <w:lvlText w:val="●"/>
      <w:lvlJc w:val="left"/>
      <w:pPr>
        <w:ind w:left="2705" w:hanging="360"/>
      </w:pPr>
      <w:rPr>
        <w:rFonts w:ascii="Noto Sans Symbols" w:eastAsia="Noto Sans Symbols" w:hAnsi="Noto Sans Symbols" w:cs="Noto Sans Symbols"/>
      </w:rPr>
    </w:lvl>
    <w:lvl w:ilvl="1">
      <w:start w:val="1"/>
      <w:numFmt w:val="bullet"/>
      <w:lvlText w:val="o"/>
      <w:lvlJc w:val="left"/>
      <w:pPr>
        <w:ind w:left="3425" w:hanging="360"/>
      </w:pPr>
      <w:rPr>
        <w:rFonts w:ascii="Courier New" w:eastAsia="Courier New" w:hAnsi="Courier New" w:cs="Courier New"/>
      </w:rPr>
    </w:lvl>
    <w:lvl w:ilvl="2">
      <w:start w:val="1"/>
      <w:numFmt w:val="bullet"/>
      <w:lvlText w:val="▪"/>
      <w:lvlJc w:val="left"/>
      <w:pPr>
        <w:ind w:left="4145" w:hanging="360"/>
      </w:pPr>
      <w:rPr>
        <w:rFonts w:ascii="Noto Sans Symbols" w:eastAsia="Noto Sans Symbols" w:hAnsi="Noto Sans Symbols" w:cs="Noto Sans Symbols"/>
      </w:rPr>
    </w:lvl>
    <w:lvl w:ilvl="3">
      <w:start w:val="1"/>
      <w:numFmt w:val="bullet"/>
      <w:lvlText w:val="●"/>
      <w:lvlJc w:val="left"/>
      <w:pPr>
        <w:ind w:left="4865" w:hanging="360"/>
      </w:pPr>
      <w:rPr>
        <w:rFonts w:ascii="Noto Sans Symbols" w:eastAsia="Noto Sans Symbols" w:hAnsi="Noto Sans Symbols" w:cs="Noto Sans Symbols"/>
      </w:rPr>
    </w:lvl>
    <w:lvl w:ilvl="4">
      <w:start w:val="1"/>
      <w:numFmt w:val="bullet"/>
      <w:lvlText w:val="o"/>
      <w:lvlJc w:val="left"/>
      <w:pPr>
        <w:ind w:left="5585" w:hanging="360"/>
      </w:pPr>
      <w:rPr>
        <w:rFonts w:ascii="Courier New" w:eastAsia="Courier New" w:hAnsi="Courier New" w:cs="Courier New"/>
      </w:rPr>
    </w:lvl>
    <w:lvl w:ilvl="5">
      <w:start w:val="1"/>
      <w:numFmt w:val="bullet"/>
      <w:lvlText w:val="▪"/>
      <w:lvlJc w:val="left"/>
      <w:pPr>
        <w:ind w:left="6305" w:hanging="360"/>
      </w:pPr>
      <w:rPr>
        <w:rFonts w:ascii="Noto Sans Symbols" w:eastAsia="Noto Sans Symbols" w:hAnsi="Noto Sans Symbols" w:cs="Noto Sans Symbols"/>
      </w:rPr>
    </w:lvl>
    <w:lvl w:ilvl="6">
      <w:start w:val="1"/>
      <w:numFmt w:val="bullet"/>
      <w:lvlText w:val="●"/>
      <w:lvlJc w:val="left"/>
      <w:pPr>
        <w:ind w:left="7025" w:hanging="360"/>
      </w:pPr>
      <w:rPr>
        <w:rFonts w:ascii="Noto Sans Symbols" w:eastAsia="Noto Sans Symbols" w:hAnsi="Noto Sans Symbols" w:cs="Noto Sans Symbols"/>
      </w:rPr>
    </w:lvl>
    <w:lvl w:ilvl="7">
      <w:start w:val="1"/>
      <w:numFmt w:val="bullet"/>
      <w:lvlText w:val="o"/>
      <w:lvlJc w:val="left"/>
      <w:pPr>
        <w:ind w:left="7745" w:hanging="360"/>
      </w:pPr>
      <w:rPr>
        <w:rFonts w:ascii="Courier New" w:eastAsia="Courier New" w:hAnsi="Courier New" w:cs="Courier New"/>
      </w:rPr>
    </w:lvl>
    <w:lvl w:ilvl="8">
      <w:start w:val="1"/>
      <w:numFmt w:val="bullet"/>
      <w:lvlText w:val="▪"/>
      <w:lvlJc w:val="left"/>
      <w:pPr>
        <w:ind w:left="8465" w:hanging="360"/>
      </w:pPr>
      <w:rPr>
        <w:rFonts w:ascii="Noto Sans Symbols" w:eastAsia="Noto Sans Symbols" w:hAnsi="Noto Sans Symbols" w:cs="Noto Sans Symbols"/>
      </w:rPr>
    </w:lvl>
  </w:abstractNum>
  <w:abstractNum w:abstractNumId="15">
    <w:nsid w:val="51881DE9"/>
    <w:multiLevelType w:val="multilevel"/>
    <w:tmpl w:val="75BC237C"/>
    <w:lvl w:ilvl="0">
      <w:start w:val="1"/>
      <w:numFmt w:val="upperRoman"/>
      <w:lvlText w:val="%1."/>
      <w:lvlJc w:val="left"/>
      <w:pPr>
        <w:ind w:left="644" w:hanging="359"/>
      </w:pPr>
      <w:rPr>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9A3C11"/>
    <w:multiLevelType w:val="hybridMultilevel"/>
    <w:tmpl w:val="C706B29A"/>
    <w:lvl w:ilvl="0" w:tplc="567C523A">
      <w:start w:val="12"/>
      <w:numFmt w:val="decimal"/>
      <w:lvlText w:val="%1."/>
      <w:lvlJc w:val="left"/>
      <w:pPr>
        <w:ind w:left="3054" w:hanging="360"/>
      </w:pPr>
      <w:rPr>
        <w:rFonts w:hint="default"/>
        <w:b w:val="0"/>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7">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B552D5"/>
    <w:multiLevelType w:val="multilevel"/>
    <w:tmpl w:val="D2BC1A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976B64"/>
    <w:multiLevelType w:val="multilevel"/>
    <w:tmpl w:val="585E95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DF121D4"/>
    <w:multiLevelType w:val="multilevel"/>
    <w:tmpl w:val="CF28F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0F01D5C"/>
    <w:multiLevelType w:val="hybridMultilevel"/>
    <w:tmpl w:val="35E059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nsid w:val="66ED6552"/>
    <w:multiLevelType w:val="multilevel"/>
    <w:tmpl w:val="6B3E98CC"/>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686E04"/>
    <w:multiLevelType w:val="multilevel"/>
    <w:tmpl w:val="E1FAB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3D639B5"/>
    <w:multiLevelType w:val="multilevel"/>
    <w:tmpl w:val="0D5E161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7">
    <w:nsid w:val="783C71F2"/>
    <w:multiLevelType w:val="multilevel"/>
    <w:tmpl w:val="616CFD14"/>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D5D25CD"/>
    <w:multiLevelType w:val="multilevel"/>
    <w:tmpl w:val="4EA0A9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274B21"/>
    <w:multiLevelType w:val="multilevel"/>
    <w:tmpl w:val="F3C8D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F3C7353"/>
    <w:multiLevelType w:val="multilevel"/>
    <w:tmpl w:val="EC84365C"/>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11"/>
  </w:num>
  <w:num w:numId="2">
    <w:abstractNumId w:val="4"/>
  </w:num>
  <w:num w:numId="3">
    <w:abstractNumId w:val="3"/>
  </w:num>
  <w:num w:numId="4">
    <w:abstractNumId w:val="20"/>
  </w:num>
  <w:num w:numId="5">
    <w:abstractNumId w:val="1"/>
  </w:num>
  <w:num w:numId="6">
    <w:abstractNumId w:val="14"/>
  </w:num>
  <w:num w:numId="7">
    <w:abstractNumId w:val="21"/>
  </w:num>
  <w:num w:numId="8">
    <w:abstractNumId w:val="25"/>
  </w:num>
  <w:num w:numId="9">
    <w:abstractNumId w:val="2"/>
  </w:num>
  <w:num w:numId="10">
    <w:abstractNumId w:val="30"/>
  </w:num>
  <w:num w:numId="11">
    <w:abstractNumId w:val="23"/>
  </w:num>
  <w:num w:numId="12">
    <w:abstractNumId w:val="5"/>
  </w:num>
  <w:num w:numId="13">
    <w:abstractNumId w:val="29"/>
  </w:num>
  <w:num w:numId="14">
    <w:abstractNumId w:val="26"/>
  </w:num>
  <w:num w:numId="15">
    <w:abstractNumId w:val="0"/>
  </w:num>
  <w:num w:numId="16">
    <w:abstractNumId w:val="15"/>
  </w:num>
  <w:num w:numId="17">
    <w:abstractNumId w:val="18"/>
  </w:num>
  <w:num w:numId="18">
    <w:abstractNumId w:val="8"/>
  </w:num>
  <w:num w:numId="19">
    <w:abstractNumId w:val="19"/>
  </w:num>
  <w:num w:numId="20">
    <w:abstractNumId w:val="17"/>
  </w:num>
  <w:num w:numId="21">
    <w:abstractNumId w:val="22"/>
  </w:num>
  <w:num w:numId="22">
    <w:abstractNumId w:val="28"/>
    <w:lvlOverride w:ilvl="0">
      <w:lvl w:ilvl="0">
        <w:numFmt w:val="decimal"/>
        <w:lvlText w:val="%1."/>
        <w:lvlJc w:val="left"/>
        <w:rPr>
          <w:b/>
        </w:rPr>
      </w:lvl>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0"/>
  </w:num>
  <w:num w:numId="26">
    <w:abstractNumId w:val="7"/>
  </w:num>
  <w:num w:numId="27">
    <w:abstractNumId w:val="12"/>
  </w:num>
  <w:num w:numId="28">
    <w:abstractNumId w:val="24"/>
  </w:num>
  <w:num w:numId="29">
    <w:abstractNumId w:val="13"/>
  </w:num>
  <w:num w:numId="30">
    <w:abstractNumId w:val="9"/>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0648A"/>
    <w:rsid w:val="000377AF"/>
    <w:rsid w:val="00051277"/>
    <w:rsid w:val="000742A2"/>
    <w:rsid w:val="000850AB"/>
    <w:rsid w:val="000D75FD"/>
    <w:rsid w:val="000F4D17"/>
    <w:rsid w:val="00154418"/>
    <w:rsid w:val="00177C27"/>
    <w:rsid w:val="00192E27"/>
    <w:rsid w:val="001A27CC"/>
    <w:rsid w:val="001C6FEA"/>
    <w:rsid w:val="001E25C0"/>
    <w:rsid w:val="001F3CEB"/>
    <w:rsid w:val="00204467"/>
    <w:rsid w:val="00204812"/>
    <w:rsid w:val="00221A64"/>
    <w:rsid w:val="00227FB2"/>
    <w:rsid w:val="002451BE"/>
    <w:rsid w:val="002621F7"/>
    <w:rsid w:val="00277DE7"/>
    <w:rsid w:val="00294287"/>
    <w:rsid w:val="002C4215"/>
    <w:rsid w:val="00301B1C"/>
    <w:rsid w:val="00326506"/>
    <w:rsid w:val="00373243"/>
    <w:rsid w:val="00385D64"/>
    <w:rsid w:val="003D34CF"/>
    <w:rsid w:val="003F4AE1"/>
    <w:rsid w:val="00404104"/>
    <w:rsid w:val="004328A4"/>
    <w:rsid w:val="00446CA6"/>
    <w:rsid w:val="004B3ACB"/>
    <w:rsid w:val="004C6A3D"/>
    <w:rsid w:val="004D3F59"/>
    <w:rsid w:val="005274B3"/>
    <w:rsid w:val="00535CA1"/>
    <w:rsid w:val="00541642"/>
    <w:rsid w:val="005502C2"/>
    <w:rsid w:val="0057523B"/>
    <w:rsid w:val="00576693"/>
    <w:rsid w:val="00596078"/>
    <w:rsid w:val="005E5AC4"/>
    <w:rsid w:val="005F1F89"/>
    <w:rsid w:val="005F27A1"/>
    <w:rsid w:val="00624ADA"/>
    <w:rsid w:val="00660351"/>
    <w:rsid w:val="00664427"/>
    <w:rsid w:val="00676ABF"/>
    <w:rsid w:val="006D4C18"/>
    <w:rsid w:val="007120DB"/>
    <w:rsid w:val="007138FE"/>
    <w:rsid w:val="0074652B"/>
    <w:rsid w:val="0075199F"/>
    <w:rsid w:val="00752A2F"/>
    <w:rsid w:val="007638AE"/>
    <w:rsid w:val="00765D17"/>
    <w:rsid w:val="007E1F37"/>
    <w:rsid w:val="008001CA"/>
    <w:rsid w:val="0080275F"/>
    <w:rsid w:val="00815EFD"/>
    <w:rsid w:val="00852B4E"/>
    <w:rsid w:val="008E3FF3"/>
    <w:rsid w:val="0090230C"/>
    <w:rsid w:val="0092161B"/>
    <w:rsid w:val="009A2804"/>
    <w:rsid w:val="009B6BD2"/>
    <w:rsid w:val="00A36F9A"/>
    <w:rsid w:val="00A54129"/>
    <w:rsid w:val="00A8056F"/>
    <w:rsid w:val="00A83BD3"/>
    <w:rsid w:val="00A955B1"/>
    <w:rsid w:val="00AA3FEA"/>
    <w:rsid w:val="00AB3911"/>
    <w:rsid w:val="00AC0E96"/>
    <w:rsid w:val="00AC1888"/>
    <w:rsid w:val="00AC6496"/>
    <w:rsid w:val="00AF7166"/>
    <w:rsid w:val="00B41500"/>
    <w:rsid w:val="00B4282D"/>
    <w:rsid w:val="00B67D74"/>
    <w:rsid w:val="00B82603"/>
    <w:rsid w:val="00BB4E5C"/>
    <w:rsid w:val="00BC40EC"/>
    <w:rsid w:val="00C65DC5"/>
    <w:rsid w:val="00CA264D"/>
    <w:rsid w:val="00CB29FB"/>
    <w:rsid w:val="00D005F5"/>
    <w:rsid w:val="00D00D55"/>
    <w:rsid w:val="00D20E0A"/>
    <w:rsid w:val="00D30C26"/>
    <w:rsid w:val="00D9082A"/>
    <w:rsid w:val="00D92202"/>
    <w:rsid w:val="00DF2E3D"/>
    <w:rsid w:val="00E1095F"/>
    <w:rsid w:val="00E2036E"/>
    <w:rsid w:val="00E86AE9"/>
    <w:rsid w:val="00E9335B"/>
    <w:rsid w:val="00EA36CB"/>
    <w:rsid w:val="00EA52AF"/>
    <w:rsid w:val="00F003C7"/>
    <w:rsid w:val="00F25D19"/>
    <w:rsid w:val="00F41D15"/>
    <w:rsid w:val="00F859EE"/>
    <w:rsid w:val="00FA1083"/>
    <w:rsid w:val="00FA6037"/>
    <w:rsid w:val="00FC47D0"/>
    <w:rsid w:val="00FC4DC6"/>
    <w:rsid w:val="00FC6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255AB"/>
  <w15:docId w15:val="{3560DB72-EBE5-4499-9D68-920C76FE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0D"/>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Listaconvietas3">
    <w:name w:val="List Bullet 3"/>
    <w:basedOn w:val="Normal"/>
    <w:uiPriority w:val="99"/>
    <w:unhideWhenUsed/>
    <w:rsid w:val="00D9082A"/>
    <w:pPr>
      <w:numPr>
        <w:numId w:val="25"/>
      </w:numPr>
      <w:contextualSpacing/>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tZs6oSE30VR/gPLPo+/Tcy7DGg==">CgMxLjAyCGguZ2pkZ3hzMgloLjMwajB6bGwyCWguMWZvYjl0ZTgAciExSlZXcnEtS0FOb296Y0tHdjhkem12TlV4ck95dEVMbTQ=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F872A7-97DF-4235-B9D6-B126CA36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12740</Words>
  <Characters>70073</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INFOEM416</cp:lastModifiedBy>
  <cp:revision>11</cp:revision>
  <cp:lastPrinted>2025-03-07T17:53:00Z</cp:lastPrinted>
  <dcterms:created xsi:type="dcterms:W3CDTF">2025-03-04T17:23:00Z</dcterms:created>
  <dcterms:modified xsi:type="dcterms:W3CDTF">2025-03-07T17:53:00Z</dcterms:modified>
</cp:coreProperties>
</file>