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F1" w:rsidRPr="00C36261" w:rsidRDefault="009D3673" w:rsidP="009D6D73">
      <w:pPr>
        <w:tabs>
          <w:tab w:val="left" w:pos="3465"/>
        </w:tabs>
        <w:spacing w:line="360" w:lineRule="auto"/>
        <w:ind w:right="49"/>
        <w:jc w:val="both"/>
        <w:rPr>
          <w:rFonts w:ascii="Palatino Linotype" w:eastAsia="Palatino Linotype" w:hAnsi="Palatino Linotype" w:cs="Palatino Linotype"/>
        </w:rPr>
      </w:pPr>
      <w:bookmarkStart w:id="0" w:name="_GoBack"/>
      <w:bookmarkEnd w:id="0"/>
      <w:r w:rsidRPr="00C3626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w:t>
      </w:r>
      <w:r w:rsidR="0081462E" w:rsidRPr="00C36261">
        <w:rPr>
          <w:rFonts w:ascii="Palatino Linotype" w:eastAsia="Palatino Linotype" w:hAnsi="Palatino Linotype" w:cs="Palatino Linotype"/>
        </w:rPr>
        <w:t xml:space="preserve">tado de México; </w:t>
      </w:r>
      <w:r w:rsidR="0081462E" w:rsidRPr="00C36261">
        <w:rPr>
          <w:rFonts w:ascii="Palatino Linotype" w:eastAsia="Palatino Linotype" w:hAnsi="Palatino Linotype" w:cs="Palatino Linotype"/>
          <w:b/>
        </w:rPr>
        <w:t xml:space="preserve">de fecha </w:t>
      </w:r>
      <w:r w:rsidR="00452EC1" w:rsidRPr="00C36261">
        <w:rPr>
          <w:rFonts w:ascii="Palatino Linotype" w:eastAsia="Palatino Linotype" w:hAnsi="Palatino Linotype" w:cs="Palatino Linotype"/>
          <w:b/>
        </w:rPr>
        <w:t>seis</w:t>
      </w:r>
      <w:r w:rsidR="00BB24E0">
        <w:rPr>
          <w:rFonts w:ascii="Palatino Linotype" w:eastAsia="Palatino Linotype" w:hAnsi="Palatino Linotype" w:cs="Palatino Linotype"/>
          <w:b/>
        </w:rPr>
        <w:t xml:space="preserve"> (06)</w:t>
      </w:r>
      <w:r w:rsidR="00452EC1" w:rsidRPr="00C36261">
        <w:rPr>
          <w:rFonts w:ascii="Palatino Linotype" w:eastAsia="Palatino Linotype" w:hAnsi="Palatino Linotype" w:cs="Palatino Linotype"/>
          <w:b/>
        </w:rPr>
        <w:t xml:space="preserve"> de agosto</w:t>
      </w:r>
      <w:r w:rsidRPr="00C36261">
        <w:rPr>
          <w:rFonts w:ascii="Palatino Linotype" w:eastAsia="Palatino Linotype" w:hAnsi="Palatino Linotype" w:cs="Palatino Linotype"/>
          <w:b/>
        </w:rPr>
        <w:t xml:space="preserve"> de dos mil veinticinco</w:t>
      </w:r>
      <w:r w:rsidRPr="00C36261">
        <w:rPr>
          <w:rFonts w:ascii="Palatino Linotype" w:eastAsia="Palatino Linotype" w:hAnsi="Palatino Linotype" w:cs="Palatino Linotype"/>
        </w:rPr>
        <w:t>.</w:t>
      </w:r>
    </w:p>
    <w:p w:rsidR="00B84DF1" w:rsidRPr="00C36261" w:rsidRDefault="00B84DF1" w:rsidP="009D6D73">
      <w:pPr>
        <w:tabs>
          <w:tab w:val="left" w:pos="3465"/>
        </w:tabs>
        <w:spacing w:line="360" w:lineRule="auto"/>
        <w:ind w:right="49"/>
        <w:jc w:val="both"/>
        <w:rPr>
          <w:rFonts w:ascii="Palatino Linotype" w:eastAsia="Palatino Linotype" w:hAnsi="Palatino Linotype" w:cs="Palatino Linotype"/>
        </w:rPr>
      </w:pPr>
    </w:p>
    <w:p w:rsidR="00B84DF1" w:rsidRPr="00C36261" w:rsidRDefault="009D3673" w:rsidP="009D6D73">
      <w:pPr>
        <w:spacing w:line="360" w:lineRule="auto"/>
        <w:ind w:right="49"/>
        <w:jc w:val="both"/>
        <w:rPr>
          <w:rFonts w:ascii="Palatino Linotype" w:eastAsia="Palatino Linotype" w:hAnsi="Palatino Linotype" w:cs="Palatino Linotype"/>
        </w:rPr>
      </w:pPr>
      <w:r w:rsidRPr="00C36261">
        <w:rPr>
          <w:rFonts w:ascii="Palatino Linotype" w:eastAsia="Palatino Linotype" w:hAnsi="Palatino Linotype" w:cs="Palatino Linotype"/>
          <w:b/>
        </w:rPr>
        <w:t xml:space="preserve">VISTAS </w:t>
      </w:r>
      <w:r w:rsidRPr="00C36261">
        <w:rPr>
          <w:rFonts w:ascii="Palatino Linotype" w:eastAsia="Palatino Linotype" w:hAnsi="Palatino Linotype" w:cs="Palatino Linotype"/>
        </w:rPr>
        <w:t xml:space="preserve">las constancias para resolver el Recurso de Revisión </w:t>
      </w:r>
      <w:r w:rsidR="00CB1566" w:rsidRPr="00C36261">
        <w:rPr>
          <w:rFonts w:ascii="Palatino Linotype" w:eastAsia="Palatino Linotype" w:hAnsi="Palatino Linotype" w:cs="Palatino Linotype"/>
          <w:b/>
        </w:rPr>
        <w:t>02234/INFOEM/IP/RR/2025</w:t>
      </w:r>
      <w:r w:rsidRPr="00C36261">
        <w:rPr>
          <w:rFonts w:ascii="Palatino Linotype" w:eastAsia="Palatino Linotype" w:hAnsi="Palatino Linotype" w:cs="Palatino Linotype"/>
          <w:b/>
        </w:rPr>
        <w:t>,</w:t>
      </w:r>
      <w:r w:rsidRPr="00C36261">
        <w:rPr>
          <w:rFonts w:ascii="Palatino Linotype" w:eastAsia="Palatino Linotype" w:hAnsi="Palatino Linotype" w:cs="Palatino Linotype"/>
        </w:rPr>
        <w:t xml:space="preserve"> presentado por </w:t>
      </w:r>
      <w:r w:rsidR="0001363B" w:rsidRPr="00C36261">
        <w:rPr>
          <w:rFonts w:ascii="Palatino Linotype" w:eastAsia="Palatino Linotype" w:hAnsi="Palatino Linotype" w:cs="Palatino Linotype"/>
          <w:b/>
        </w:rPr>
        <w:t>una persona que no proporciono datos para ser identificado</w:t>
      </w:r>
      <w:r w:rsidRPr="00C36261">
        <w:rPr>
          <w:rFonts w:ascii="Palatino Linotype" w:eastAsia="Palatino Linotype" w:hAnsi="Palatino Linotype" w:cs="Palatino Linotype"/>
          <w:b/>
        </w:rPr>
        <w:t>,</w:t>
      </w:r>
      <w:r w:rsidRPr="00C36261">
        <w:rPr>
          <w:rFonts w:ascii="Palatino Linotype" w:eastAsia="Palatino Linotype" w:hAnsi="Palatino Linotype" w:cs="Palatino Linotype"/>
        </w:rPr>
        <w:t xml:space="preserve"> a quien en lo sucesivo se denominará como </w:t>
      </w:r>
      <w:r w:rsidRPr="00C36261">
        <w:rPr>
          <w:rFonts w:ascii="Palatino Linotype" w:eastAsia="Palatino Linotype" w:hAnsi="Palatino Linotype" w:cs="Palatino Linotype"/>
          <w:b/>
        </w:rPr>
        <w:t>EL RECURRENTE</w:t>
      </w:r>
      <w:r w:rsidRPr="00C36261">
        <w:rPr>
          <w:rFonts w:ascii="Palatino Linotype" w:eastAsia="Palatino Linotype" w:hAnsi="Palatino Linotype" w:cs="Palatino Linotype"/>
        </w:rPr>
        <w:t>, en contr</w:t>
      </w:r>
      <w:r w:rsidR="0087538C" w:rsidRPr="00C36261">
        <w:rPr>
          <w:rFonts w:ascii="Palatino Linotype" w:eastAsia="Palatino Linotype" w:hAnsi="Palatino Linotype" w:cs="Palatino Linotype"/>
        </w:rPr>
        <w:t>a de la respuesta otorgada a la S</w:t>
      </w:r>
      <w:r w:rsidRPr="00C36261">
        <w:rPr>
          <w:rFonts w:ascii="Palatino Linotype" w:eastAsia="Palatino Linotype" w:hAnsi="Palatino Linotype" w:cs="Palatino Linotype"/>
        </w:rPr>
        <w:t>olicitud</w:t>
      </w:r>
      <w:r w:rsidR="0087538C" w:rsidRPr="00C36261">
        <w:rPr>
          <w:rFonts w:ascii="Palatino Linotype" w:eastAsia="Palatino Linotype" w:hAnsi="Palatino Linotype" w:cs="Palatino Linotype"/>
        </w:rPr>
        <w:t xml:space="preserve"> de I</w:t>
      </w:r>
      <w:r w:rsidRPr="00C36261">
        <w:rPr>
          <w:rFonts w:ascii="Palatino Linotype" w:eastAsia="Palatino Linotype" w:hAnsi="Palatino Linotype" w:cs="Palatino Linotype"/>
        </w:rPr>
        <w:t xml:space="preserve">nformación con número de folio </w:t>
      </w:r>
      <w:r w:rsidR="00CB1566" w:rsidRPr="00C36261">
        <w:rPr>
          <w:rFonts w:ascii="Palatino Linotype" w:eastAsia="Palatino Linotype" w:hAnsi="Palatino Linotype" w:cs="Palatino Linotype"/>
          <w:b/>
        </w:rPr>
        <w:t>00123/NAUCALPA/IP/2025</w:t>
      </w:r>
      <w:r w:rsidRPr="00C36261">
        <w:rPr>
          <w:rFonts w:ascii="Palatino Linotype" w:eastAsia="Palatino Linotype" w:hAnsi="Palatino Linotype" w:cs="Palatino Linotype"/>
        </w:rPr>
        <w:t xml:space="preserve">, por parte del </w:t>
      </w:r>
      <w:r w:rsidR="00CB1566" w:rsidRPr="00C36261">
        <w:rPr>
          <w:rFonts w:ascii="Palatino Linotype" w:eastAsia="Palatino Linotype" w:hAnsi="Palatino Linotype" w:cs="Palatino Linotype"/>
          <w:b/>
        </w:rPr>
        <w:t>Ayuntamiento de Naucalpan de Juárez</w:t>
      </w:r>
      <w:r w:rsidRPr="00C36261">
        <w:rPr>
          <w:rFonts w:ascii="Palatino Linotype" w:eastAsia="Palatino Linotype" w:hAnsi="Palatino Linotype" w:cs="Palatino Linotype"/>
          <w:b/>
        </w:rPr>
        <w:t xml:space="preserve">, </w:t>
      </w:r>
      <w:r w:rsidRPr="00C36261">
        <w:rPr>
          <w:rFonts w:ascii="Palatino Linotype" w:eastAsia="Palatino Linotype" w:hAnsi="Palatino Linotype" w:cs="Palatino Linotype"/>
        </w:rPr>
        <w:t xml:space="preserve">en adelante </w:t>
      </w:r>
      <w:r w:rsidR="00F0026A" w:rsidRPr="00C36261">
        <w:rPr>
          <w:rFonts w:ascii="Palatino Linotype" w:eastAsia="Palatino Linotype" w:hAnsi="Palatino Linotype" w:cs="Palatino Linotype"/>
        </w:rPr>
        <w:t>el</w:t>
      </w:r>
      <w:r w:rsidRPr="00C36261">
        <w:rPr>
          <w:rFonts w:ascii="Palatino Linotype" w:eastAsia="Palatino Linotype" w:hAnsi="Palatino Linotype" w:cs="Palatino Linotype"/>
          <w:b/>
        </w:rPr>
        <w:t xml:space="preserve"> SUJETO OBLIGADO,</w:t>
      </w:r>
      <w:r w:rsidRPr="00C36261">
        <w:rPr>
          <w:rFonts w:ascii="Palatino Linotype" w:eastAsia="Palatino Linotype" w:hAnsi="Palatino Linotype" w:cs="Palatino Linotype"/>
        </w:rPr>
        <w:t xml:space="preserve"> se emite la presente </w:t>
      </w:r>
      <w:r w:rsidR="0081462E" w:rsidRPr="00C36261">
        <w:rPr>
          <w:rFonts w:ascii="Palatino Linotype" w:eastAsia="Palatino Linotype" w:hAnsi="Palatino Linotype" w:cs="Palatino Linotype"/>
        </w:rPr>
        <w:t>R</w:t>
      </w:r>
      <w:r w:rsidRPr="00C36261">
        <w:rPr>
          <w:rFonts w:ascii="Palatino Linotype" w:eastAsia="Palatino Linotype" w:hAnsi="Palatino Linotype" w:cs="Palatino Linotype"/>
        </w:rPr>
        <w:t>esolución con base en los siguientes:</w:t>
      </w:r>
    </w:p>
    <w:p w:rsidR="00B84DF1" w:rsidRPr="00C36261" w:rsidRDefault="009D3673" w:rsidP="009D6D73">
      <w:pPr>
        <w:pStyle w:val="Ttulo1"/>
        <w:spacing w:before="0" w:line="360" w:lineRule="auto"/>
        <w:ind w:right="49"/>
        <w:jc w:val="center"/>
        <w:rPr>
          <w:rFonts w:ascii="Palatino Linotype" w:eastAsia="Palatino Linotype" w:hAnsi="Palatino Linotype" w:cs="Palatino Linotype"/>
          <w:b/>
          <w:color w:val="000000"/>
          <w:sz w:val="24"/>
          <w:szCs w:val="24"/>
        </w:rPr>
      </w:pPr>
      <w:bookmarkStart w:id="1" w:name="_heading=h.gjdgxs" w:colFirst="0" w:colLast="0"/>
      <w:bookmarkEnd w:id="1"/>
      <w:r w:rsidRPr="00C36261">
        <w:rPr>
          <w:rFonts w:ascii="Palatino Linotype" w:eastAsia="Palatino Linotype" w:hAnsi="Palatino Linotype" w:cs="Palatino Linotype"/>
          <w:b/>
          <w:color w:val="000000"/>
          <w:sz w:val="24"/>
          <w:szCs w:val="24"/>
        </w:rPr>
        <w:t>A N T E C E D E N T E S</w:t>
      </w:r>
    </w:p>
    <w:p w:rsidR="00B84DF1" w:rsidRPr="00C36261" w:rsidRDefault="00B84DF1" w:rsidP="009D6D73">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p>
    <w:p w:rsidR="00B84DF1" w:rsidRPr="00C36261" w:rsidRDefault="009D3673" w:rsidP="009D6D7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El día</w:t>
      </w:r>
      <w:r w:rsidRPr="00C36261">
        <w:rPr>
          <w:rFonts w:ascii="Palatino Linotype" w:eastAsia="Palatino Linotype" w:hAnsi="Palatino Linotype" w:cs="Palatino Linotype"/>
          <w:b/>
          <w:color w:val="000000"/>
        </w:rPr>
        <w:t xml:space="preserve"> </w:t>
      </w:r>
      <w:r w:rsidR="00BE415E" w:rsidRPr="00C36261">
        <w:rPr>
          <w:rFonts w:ascii="Palatino Linotype" w:eastAsia="Palatino Linotype" w:hAnsi="Palatino Linotype" w:cs="Palatino Linotype"/>
          <w:b/>
          <w:color w:val="000000"/>
        </w:rPr>
        <w:t>veinti</w:t>
      </w:r>
      <w:r w:rsidR="00CB1566" w:rsidRPr="00C36261">
        <w:rPr>
          <w:rFonts w:ascii="Palatino Linotype" w:eastAsia="Palatino Linotype" w:hAnsi="Palatino Linotype" w:cs="Palatino Linotype"/>
          <w:b/>
          <w:color w:val="000000"/>
        </w:rPr>
        <w:t>cuatro</w:t>
      </w:r>
      <w:r w:rsidR="00BE415E" w:rsidRPr="00C36261">
        <w:rPr>
          <w:rFonts w:ascii="Palatino Linotype" w:eastAsia="Palatino Linotype" w:hAnsi="Palatino Linotype" w:cs="Palatino Linotype"/>
          <w:b/>
          <w:color w:val="000000"/>
        </w:rPr>
        <w:t xml:space="preserve"> de </w:t>
      </w:r>
      <w:r w:rsidR="00CB1566" w:rsidRPr="00C36261">
        <w:rPr>
          <w:rFonts w:ascii="Palatino Linotype" w:eastAsia="Palatino Linotype" w:hAnsi="Palatino Linotype" w:cs="Palatino Linotype"/>
          <w:b/>
          <w:color w:val="000000"/>
        </w:rPr>
        <w:t>ene</w:t>
      </w:r>
      <w:r w:rsidR="00BE415E" w:rsidRPr="00C36261">
        <w:rPr>
          <w:rFonts w:ascii="Palatino Linotype" w:eastAsia="Palatino Linotype" w:hAnsi="Palatino Linotype" w:cs="Palatino Linotype"/>
          <w:b/>
          <w:color w:val="000000"/>
        </w:rPr>
        <w:t>ro</w:t>
      </w:r>
      <w:r w:rsidRPr="00C36261">
        <w:rPr>
          <w:rFonts w:ascii="Palatino Linotype" w:eastAsia="Palatino Linotype" w:hAnsi="Palatino Linotype" w:cs="Palatino Linotype"/>
          <w:b/>
          <w:color w:val="000000"/>
        </w:rPr>
        <w:t xml:space="preserve"> dos mil veintic</w:t>
      </w:r>
      <w:r w:rsidR="00AC01CA" w:rsidRPr="00C36261">
        <w:rPr>
          <w:rFonts w:ascii="Palatino Linotype" w:eastAsia="Palatino Linotype" w:hAnsi="Palatino Linotype" w:cs="Palatino Linotype"/>
          <w:b/>
          <w:color w:val="000000"/>
        </w:rPr>
        <w:t>inco</w:t>
      </w:r>
      <w:r w:rsidRPr="00C36261">
        <w:rPr>
          <w:rFonts w:ascii="Palatino Linotype" w:eastAsia="Palatino Linotype" w:hAnsi="Palatino Linotype" w:cs="Palatino Linotype"/>
          <w:color w:val="000000"/>
        </w:rPr>
        <w:t>,</w:t>
      </w:r>
      <w:r w:rsidRPr="00C36261">
        <w:rPr>
          <w:rFonts w:ascii="Palatino Linotype" w:eastAsia="Palatino Linotype" w:hAnsi="Palatino Linotype" w:cs="Palatino Linotype"/>
          <w:b/>
          <w:color w:val="000000"/>
        </w:rPr>
        <w:t xml:space="preserve"> </w:t>
      </w:r>
      <w:r w:rsidRPr="00C36261">
        <w:rPr>
          <w:rFonts w:ascii="Palatino Linotype" w:eastAsia="Palatino Linotype" w:hAnsi="Palatino Linotype" w:cs="Palatino Linotype"/>
          <w:color w:val="000000"/>
        </w:rPr>
        <w:t xml:space="preserve">se presentó ante el </w:t>
      </w:r>
      <w:r w:rsidR="0087538C" w:rsidRPr="00C36261">
        <w:rPr>
          <w:rFonts w:ascii="Palatino Linotype" w:eastAsia="Palatino Linotype" w:hAnsi="Palatino Linotype" w:cs="Palatino Linotype"/>
          <w:b/>
          <w:color w:val="000000"/>
        </w:rPr>
        <w:t>SUJETO OBLIGADO</w:t>
      </w:r>
      <w:r w:rsidRPr="00C36261">
        <w:rPr>
          <w:rFonts w:ascii="Palatino Linotype" w:eastAsia="Palatino Linotype" w:hAnsi="Palatino Linotype" w:cs="Palatino Linotype"/>
          <w:color w:val="000000"/>
        </w:rPr>
        <w:t xml:space="preserve"> vía Sistema de Acceso a la Información Mexiquense, en adelante (</w:t>
      </w:r>
      <w:r w:rsidRPr="00C36261">
        <w:rPr>
          <w:rFonts w:ascii="Palatino Linotype" w:eastAsia="Palatino Linotype" w:hAnsi="Palatino Linotype" w:cs="Palatino Linotype"/>
          <w:b/>
          <w:color w:val="000000"/>
        </w:rPr>
        <w:t>SAIMEX</w:t>
      </w:r>
      <w:r w:rsidRPr="00C36261">
        <w:rPr>
          <w:rFonts w:ascii="Palatino Linotype" w:eastAsia="Palatino Linotype" w:hAnsi="Palatino Linotype" w:cs="Palatino Linotype"/>
          <w:color w:val="000000"/>
        </w:rPr>
        <w:t>), la siguiente solicitud de información pública:</w:t>
      </w:r>
    </w:p>
    <w:p w:rsidR="00B84DF1" w:rsidRPr="00C36261" w:rsidRDefault="00B84DF1" w:rsidP="009D6D7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Pr="00C36261" w:rsidRDefault="009D3673" w:rsidP="009D6D73">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w:t>
      </w:r>
      <w:r w:rsidR="00CB1566" w:rsidRPr="00C36261">
        <w:rPr>
          <w:rFonts w:ascii="Palatino Linotype" w:eastAsia="Palatino Linotype" w:hAnsi="Palatino Linotype" w:cs="Palatino Linotype"/>
          <w:i/>
        </w:rPr>
        <w:t>Solicito se me entreguen todos los expedientes de los tres turnos del juez cívico del 1 de enero de 2022 al 25 de enero de 2025 Solicito se me entreguen los convevion realizados y las conciliaciones realizadas dentro del periodo comprendido del 1 de enero de 2022 al 25 de enero de 2025</w:t>
      </w:r>
      <w:r w:rsidRPr="00C36261">
        <w:rPr>
          <w:rFonts w:ascii="Palatino Linotype" w:eastAsia="Palatino Linotype" w:hAnsi="Palatino Linotype" w:cs="Palatino Linotype"/>
          <w:i/>
          <w:color w:val="000000"/>
        </w:rPr>
        <w:t>”</w:t>
      </w:r>
    </w:p>
    <w:p w:rsidR="0087538C" w:rsidRPr="00C36261" w:rsidRDefault="0087538C" w:rsidP="009D6D73">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rPr>
      </w:pPr>
    </w:p>
    <w:p w:rsidR="00B84DF1" w:rsidRPr="00C36261" w:rsidRDefault="009D3673" w:rsidP="009D6D73">
      <w:pPr>
        <w:numPr>
          <w:ilvl w:val="0"/>
          <w:numId w:val="2"/>
        </w:numPr>
        <w:pBdr>
          <w:top w:val="nil"/>
          <w:left w:val="nil"/>
          <w:bottom w:val="nil"/>
          <w:right w:val="nil"/>
          <w:between w:val="nil"/>
        </w:pBdr>
        <w:tabs>
          <w:tab w:val="left" w:pos="0"/>
        </w:tabs>
        <w:spacing w:line="360" w:lineRule="auto"/>
        <w:ind w:left="0"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Se eligió como modalidad de entrega de la información: </w:t>
      </w:r>
      <w:r w:rsidR="00CB1566" w:rsidRPr="00C36261">
        <w:rPr>
          <w:rFonts w:ascii="Palatino Linotype" w:eastAsia="Palatino Linotype" w:hAnsi="Palatino Linotype" w:cs="Palatino Linotype"/>
          <w:b/>
          <w:color w:val="000000"/>
        </w:rPr>
        <w:t>a través de SAIMEX</w:t>
      </w:r>
    </w:p>
    <w:p w:rsidR="00053809" w:rsidRPr="00C36261" w:rsidRDefault="00053809" w:rsidP="009D6D7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CB1566" w:rsidRPr="00C36261" w:rsidRDefault="00CB1566" w:rsidP="009D6D7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36261">
        <w:rPr>
          <w:rFonts w:ascii="Palatino Linotype" w:eastAsia="Palatino Linotype" w:hAnsi="Palatino Linotype" w:cs="Palatino Linotype"/>
        </w:rPr>
        <w:lastRenderedPageBreak/>
        <w:t xml:space="preserve">Con fecha </w:t>
      </w:r>
      <w:r w:rsidRPr="00C36261">
        <w:rPr>
          <w:rFonts w:ascii="Palatino Linotype" w:eastAsia="Palatino Linotype" w:hAnsi="Palatino Linotype" w:cs="Palatino Linotype"/>
          <w:b/>
        </w:rPr>
        <w:t>trece de febrero de dos mil veinticinco</w:t>
      </w:r>
      <w:r w:rsidRPr="00C36261">
        <w:rPr>
          <w:rFonts w:ascii="Palatino Linotype" w:eastAsia="Palatino Linotype" w:hAnsi="Palatino Linotype" w:cs="Palatino Linotype"/>
        </w:rPr>
        <w:t xml:space="preserve">, el </w:t>
      </w:r>
      <w:r w:rsidR="00F0026A" w:rsidRPr="00C36261">
        <w:rPr>
          <w:rFonts w:ascii="Palatino Linotype" w:eastAsia="Palatino Linotype" w:hAnsi="Palatino Linotype" w:cs="Palatino Linotype"/>
          <w:b/>
        </w:rPr>
        <w:t>SUJETO OBLIGADO</w:t>
      </w:r>
      <w:r w:rsidRPr="00C36261">
        <w:rPr>
          <w:rFonts w:ascii="Palatino Linotype" w:eastAsia="Palatino Linotype" w:hAnsi="Palatino Linotype" w:cs="Palatino Linotype"/>
        </w:rPr>
        <w:t xml:space="preserve">, solicitó prórroga para dar atención a la solicitud de información mediante </w:t>
      </w:r>
      <w:r w:rsidRPr="00C36261">
        <w:rPr>
          <w:rFonts w:ascii="Palatino Linotype" w:eastAsia="Palatino Linotype" w:hAnsi="Palatino Linotype" w:cs="Palatino Linotype"/>
          <w:color w:val="000000"/>
        </w:rPr>
        <w:t>SAIMEX</w:t>
      </w:r>
      <w:r w:rsidRPr="00C36261">
        <w:rPr>
          <w:rFonts w:ascii="Palatino Linotype" w:eastAsia="Palatino Linotype" w:hAnsi="Palatino Linotype" w:cs="Palatino Linotype"/>
          <w:b/>
        </w:rPr>
        <w:t xml:space="preserve">, </w:t>
      </w:r>
      <w:r w:rsidRPr="00C36261">
        <w:rPr>
          <w:rFonts w:ascii="Palatino Linotype" w:eastAsia="Palatino Linotype" w:hAnsi="Palatino Linotype" w:cs="Palatino Linotype"/>
        </w:rPr>
        <w:t>en los términos siguientes:</w:t>
      </w:r>
    </w:p>
    <w:p w:rsidR="00CB1566" w:rsidRPr="00C36261" w:rsidRDefault="00CB1566"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rPr>
        <w:t>“</w:t>
      </w:r>
      <w:r w:rsidRPr="00C36261">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B1566" w:rsidRPr="00C36261" w:rsidRDefault="00CB1566"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Naucalpan de Juárez, México a 13 de febrero de 2025 En atención a la solicitud de información con número de folio 00123/NAUCALPA/IP/2025 y con fundamento en el artículo 163 de la Ley de Transparencia y Acceso a la Información Pública del Estado de México y Municipios, se hace de su conocimiento que derivado de la complejidad que implica la búsqueda de la información a la que desea acceder el plazo de 15 días hábiles para atender la misma ha sido prorrogado por 7 días, mediante Acuerdo de Comité con número: CT/NAU/ACTA-EXT-003/2025/44 el cuál fue aprobado en la Tercera Sesión Extraordinaria del Comité de Transparencia del H. Ayuntamiento de Naucalpan de Juárez el día 11 de febrero del 2025.</w:t>
      </w:r>
    </w:p>
    <w:p w:rsidR="00CB1566" w:rsidRPr="00C36261" w:rsidRDefault="00CB1566"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Lic. Daniel Taboada Elías</w:t>
      </w:r>
    </w:p>
    <w:p w:rsidR="00CB1566" w:rsidRPr="00C36261" w:rsidRDefault="00CB1566" w:rsidP="009D6D73">
      <w:pPr>
        <w:spacing w:line="360" w:lineRule="auto"/>
        <w:ind w:right="49"/>
        <w:jc w:val="both"/>
        <w:rPr>
          <w:rFonts w:ascii="Palatino Linotype" w:eastAsia="Palatino Linotype" w:hAnsi="Palatino Linotype" w:cs="Palatino Linotype"/>
          <w:b/>
        </w:rPr>
      </w:pPr>
      <w:r w:rsidRPr="00C36261">
        <w:rPr>
          <w:rFonts w:ascii="Palatino Linotype" w:eastAsia="Palatino Linotype" w:hAnsi="Palatino Linotype" w:cs="Palatino Linotype"/>
          <w:i/>
        </w:rPr>
        <w:t>Responsable de la Unidad de Transparencia</w:t>
      </w:r>
      <w:r w:rsidRPr="00C36261">
        <w:rPr>
          <w:rFonts w:ascii="Palatino Linotype" w:eastAsia="Palatino Linotype" w:hAnsi="Palatino Linotype" w:cs="Palatino Linotype"/>
        </w:rPr>
        <w:t>”</w:t>
      </w:r>
    </w:p>
    <w:p w:rsidR="00CB1566" w:rsidRPr="00C36261" w:rsidRDefault="00CB1566" w:rsidP="009D6D73">
      <w:pPr>
        <w:spacing w:line="360" w:lineRule="auto"/>
        <w:ind w:right="49"/>
        <w:jc w:val="both"/>
        <w:rPr>
          <w:rFonts w:ascii="Palatino Linotype" w:eastAsia="Palatino Linotype" w:hAnsi="Palatino Linotype" w:cs="Palatino Linotype"/>
        </w:rPr>
      </w:pPr>
    </w:p>
    <w:p w:rsidR="00CB1566" w:rsidRPr="00C36261" w:rsidRDefault="00CB1566" w:rsidP="009D6D7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Es de precisar que del análisis a esta ampliación de plazo, se tiene que no se efectuó dentro de los parámetros establecidos por el segundo párrafo del artículo 163 de la Ley de Transparencia Local, toda vez que no se adjuntó el acuerdo de comité que apruebe la prórroga para atender la solicitud de información, por lo que respetuosamente se exhorta al </w:t>
      </w:r>
      <w:r w:rsidR="00F0026A" w:rsidRPr="00C36261">
        <w:rPr>
          <w:rFonts w:ascii="Palatino Linotype" w:eastAsia="Palatino Linotype" w:hAnsi="Palatino Linotype" w:cs="Palatino Linotype"/>
          <w:b/>
        </w:rPr>
        <w:t>SUJETO OBLIGADO</w:t>
      </w:r>
      <w:r w:rsidR="00F0026A"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rPr>
        <w:t>a atender las formalidades contempladas en dicha normatividad al momento de solicitar una prórroga para la atención de las solicitudes de información</w:t>
      </w:r>
      <w:r w:rsidR="00F0026A" w:rsidRPr="00C36261">
        <w:rPr>
          <w:rFonts w:ascii="Palatino Linotype" w:eastAsia="Palatino Linotype" w:hAnsi="Palatino Linotype" w:cs="Palatino Linotype"/>
        </w:rPr>
        <w:t>, en lo subsecuente</w:t>
      </w:r>
      <w:r w:rsidRPr="00C36261">
        <w:rPr>
          <w:rFonts w:ascii="Palatino Linotype" w:eastAsia="Palatino Linotype" w:hAnsi="Palatino Linotype" w:cs="Palatino Linotype"/>
        </w:rPr>
        <w:t>.</w:t>
      </w:r>
    </w:p>
    <w:p w:rsidR="00CB1566" w:rsidRPr="00C36261" w:rsidRDefault="009D3673" w:rsidP="009D6D7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36261">
        <w:rPr>
          <w:rFonts w:ascii="Palatino Linotype" w:eastAsia="Palatino Linotype" w:hAnsi="Palatino Linotype" w:cs="Palatino Linotype"/>
          <w:color w:val="000000"/>
        </w:rPr>
        <w:lastRenderedPageBreak/>
        <w:t xml:space="preserve">El </w:t>
      </w:r>
      <w:r w:rsidR="00CB1566" w:rsidRPr="00C36261">
        <w:rPr>
          <w:rFonts w:ascii="Palatino Linotype" w:eastAsia="Palatino Linotype" w:hAnsi="Palatino Linotype" w:cs="Palatino Linotype"/>
          <w:b/>
        </w:rPr>
        <w:t>veinticinco de febrero de dos mil veinticinco</w:t>
      </w:r>
      <w:r w:rsidR="00CB1566" w:rsidRPr="00C36261">
        <w:rPr>
          <w:rFonts w:ascii="Palatino Linotype" w:eastAsia="Palatino Linotype" w:hAnsi="Palatino Linotype" w:cs="Palatino Linotype"/>
        </w:rPr>
        <w:t xml:space="preserve">, el </w:t>
      </w:r>
      <w:r w:rsidR="00F0026A" w:rsidRPr="00C36261">
        <w:rPr>
          <w:rFonts w:ascii="Palatino Linotype" w:eastAsia="Palatino Linotype" w:hAnsi="Palatino Linotype" w:cs="Palatino Linotype"/>
          <w:b/>
        </w:rPr>
        <w:t xml:space="preserve">SUJETO OBLIGADO </w:t>
      </w:r>
      <w:r w:rsidR="00CB1566" w:rsidRPr="00C36261">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CB1566" w:rsidRPr="00C36261" w:rsidRDefault="00CB1566"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B1566" w:rsidRPr="00C36261" w:rsidRDefault="00CB1566"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Se adjunta oficio de respuesta a la Solicitud de Información 00123/NAUCALPA/IP/2025</w:t>
      </w:r>
    </w:p>
    <w:p w:rsidR="00CB1566" w:rsidRPr="00C36261" w:rsidRDefault="00CB1566"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ATENTAMENTE</w:t>
      </w:r>
    </w:p>
    <w:p w:rsidR="00CB1566" w:rsidRPr="00C36261" w:rsidRDefault="00CB1566"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 xml:space="preserve">Lic. Daniel Taboada Elías.” </w:t>
      </w:r>
    </w:p>
    <w:p w:rsidR="00CB1566" w:rsidRPr="00C36261" w:rsidRDefault="00CB1566" w:rsidP="009D6D73">
      <w:pPr>
        <w:spacing w:line="360" w:lineRule="auto"/>
        <w:ind w:right="49"/>
        <w:jc w:val="both"/>
        <w:rPr>
          <w:rFonts w:ascii="Palatino Linotype" w:eastAsia="Palatino Linotype" w:hAnsi="Palatino Linotype" w:cs="Palatino Linotype"/>
          <w:i/>
        </w:rPr>
      </w:pPr>
    </w:p>
    <w:p w:rsidR="00CB1566" w:rsidRPr="00C36261" w:rsidRDefault="00F0026A" w:rsidP="009D6D7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Asimismo, </w:t>
      </w:r>
      <w:r w:rsidR="00CB1566" w:rsidRPr="00C36261">
        <w:rPr>
          <w:rFonts w:ascii="Palatino Linotype" w:eastAsia="Palatino Linotype" w:hAnsi="Palatino Linotype" w:cs="Palatino Linotype"/>
        </w:rPr>
        <w:t xml:space="preserve">adjuntó el archivo electrónico denominado </w:t>
      </w:r>
      <w:r w:rsidR="00CB1566" w:rsidRPr="00C36261">
        <w:rPr>
          <w:rFonts w:ascii="Palatino Linotype" w:eastAsia="Palatino Linotype" w:hAnsi="Palatino Linotype" w:cs="Palatino Linotype"/>
          <w:b/>
          <w:i/>
        </w:rPr>
        <w:t>“00123-NAUCALPA-IP-2025-</w:t>
      </w:r>
      <w:r w:rsidR="00CB1566" w:rsidRPr="00C36261">
        <w:rPr>
          <w:rFonts w:ascii="Palatino Linotype" w:eastAsia="Palatino Linotype" w:hAnsi="Palatino Linotype" w:cs="Palatino Linotype"/>
          <w:b/>
          <w:i/>
          <w:color w:val="000000"/>
        </w:rPr>
        <w:t>RESPUESTA</w:t>
      </w:r>
      <w:r w:rsidR="00CB1566" w:rsidRPr="00C36261">
        <w:rPr>
          <w:rFonts w:ascii="Palatino Linotype" w:eastAsia="Palatino Linotype" w:hAnsi="Palatino Linotype" w:cs="Palatino Linotype"/>
          <w:b/>
          <w:i/>
        </w:rPr>
        <w:t>.pdf”</w:t>
      </w:r>
      <w:r w:rsidR="00CB1566"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rPr>
        <w:t>cuyo contenido es el</w:t>
      </w:r>
      <w:r w:rsidR="00CB1566" w:rsidRPr="00C36261">
        <w:rPr>
          <w:rFonts w:ascii="Palatino Linotype" w:eastAsia="Palatino Linotype" w:hAnsi="Palatino Linotype" w:cs="Palatino Linotype"/>
        </w:rPr>
        <w:t xml:space="preserve"> siguiente: </w:t>
      </w:r>
    </w:p>
    <w:p w:rsidR="00CB1566" w:rsidRPr="00C36261" w:rsidRDefault="00CB1566" w:rsidP="00BB24E0">
      <w:pPr>
        <w:numPr>
          <w:ilvl w:val="0"/>
          <w:numId w:val="2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Oficio de fecha </w:t>
      </w:r>
      <w:r w:rsidRPr="00C36261">
        <w:rPr>
          <w:rFonts w:ascii="Palatino Linotype" w:eastAsia="Palatino Linotype" w:hAnsi="Palatino Linotype" w:cs="Palatino Linotype"/>
          <w:b/>
          <w:color w:val="000000"/>
        </w:rPr>
        <w:t>diecinueve de febrero de dos mil veinticinco</w:t>
      </w:r>
      <w:r w:rsidRPr="00C36261">
        <w:rPr>
          <w:rFonts w:ascii="Palatino Linotype" w:eastAsia="Palatino Linotype" w:hAnsi="Palatino Linotype" w:cs="Palatino Linotype"/>
          <w:color w:val="000000"/>
        </w:rPr>
        <w:t xml:space="preserve">, signado por el Enlace de Transparencia de la Secretaría del Ayuntamiento, mediante el cual informó que los documentos emitidos por los jueces cívicos contienen información que, de acuerdo con los lineamientos de clasificación de la información, debe considerarse como Reservada. </w:t>
      </w:r>
    </w:p>
    <w:p w:rsidR="00CB1566" w:rsidRPr="00C36261" w:rsidRDefault="00CB1566" w:rsidP="009D6D7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En ese sentido, mediante oficio SA/ST/DACyGM-ET/037/2025 y a solicitud del Coordinador del Centro de Justicia Cívica se solicitó a la Unidad de Transparencia someter dicha documentación a evaluación por parte del Comité de Transparenci</w:t>
      </w:r>
      <w:r w:rsidR="00106B9D" w:rsidRPr="00C36261">
        <w:rPr>
          <w:rFonts w:ascii="Palatino Linotype" w:eastAsia="Palatino Linotype" w:hAnsi="Palatino Linotype" w:cs="Palatino Linotype"/>
          <w:color w:val="000000"/>
        </w:rPr>
        <w:t>a, mismo que determinó</w:t>
      </w:r>
      <w:r w:rsidRPr="00C36261">
        <w:rPr>
          <w:rFonts w:ascii="Palatino Linotype" w:eastAsia="Palatino Linotype" w:hAnsi="Palatino Linotype" w:cs="Palatino Linotype"/>
          <w:color w:val="000000"/>
        </w:rPr>
        <w:t xml:space="preserve"> que, en apego a las disposiciones legales, dicha información debe ser clasificada como Reservada, lo cual queda aprobado mediante Acuerdo CT-NAU/ACTA-EXT-004/2025/10, en la Cuarta Sesión Extraordinaria del Comité de Transparencia del H. Ayuntamiento de Naucalpan de Juárez, celebrada el 13 de febrero del presente año. </w:t>
      </w:r>
    </w:p>
    <w:p w:rsidR="00CB1566" w:rsidRPr="00C36261" w:rsidRDefault="00CB1566" w:rsidP="009D6D7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B1566" w:rsidRPr="00C36261" w:rsidRDefault="00CB1566" w:rsidP="00BB24E0">
      <w:pPr>
        <w:numPr>
          <w:ilvl w:val="0"/>
          <w:numId w:val="2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lastRenderedPageBreak/>
        <w:t xml:space="preserve">Acuerdo CT-NAU/ACTA-EXT-004/2025/10 de la Cuarta Sesión Extraordinaria del Comité de Transparencia del H. Ayuntamiento de Naucalpan de Juárez, celebrada el 13 de febrero del presente año, en el que se confirma la clasificación de la información en modalidad de Reservada, durante la temporalidad de tres años, a partir del 13 de febrero de 2025 de diversos datos personales contenidos en la solicitud de información 00123/NAUCALPA/IP/2025, en los siguientes términos: </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 Se somete a consideración del Comité de Transparencia el proyecto de Acuerdo por el que se reserva toda la documentación generada por los Jueces Cívicos de Naucalpan de Juárez; así como los Convenios y Conciliaciones realizadas por los facilitadores del Juzgado Cívico dependientes de la Coordinación del Centro de Justicia Cívica de la Secretaría del Ayuntamiento, durante el periodo comprendido del 01 de enero de 2022 al 25 de enero de 2025, conforme a los siguiente: …</w:t>
      </w:r>
    </w:p>
    <w:p w:rsidR="00CB1566" w:rsidRPr="00C36261" w:rsidRDefault="00CB1566" w:rsidP="009D6D73">
      <w:pPr>
        <w:pStyle w:val="Prrafodelista"/>
        <w:pBdr>
          <w:top w:val="nil"/>
          <w:left w:val="nil"/>
          <w:bottom w:val="nil"/>
          <w:right w:val="nil"/>
          <w:between w:val="nil"/>
        </w:pBdr>
        <w:spacing w:line="360" w:lineRule="auto"/>
        <w:ind w:left="0" w:right="49"/>
        <w:jc w:val="center"/>
        <w:rPr>
          <w:rFonts w:ascii="Palatino Linotype" w:eastAsia="Palatino Linotype" w:hAnsi="Palatino Linotype" w:cs="Palatino Linotype"/>
          <w:b/>
          <w:i/>
          <w:color w:val="000000"/>
        </w:rPr>
      </w:pPr>
      <w:r w:rsidRPr="00C36261">
        <w:rPr>
          <w:rFonts w:ascii="Palatino Linotype" w:eastAsia="Palatino Linotype" w:hAnsi="Palatino Linotype" w:cs="Palatino Linotype"/>
          <w:b/>
          <w:i/>
          <w:color w:val="000000"/>
        </w:rPr>
        <w:t>Prueba de Daño</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 xml:space="preserve">Primero.- con fundamento en lo previsto en el artículo 140 fracciones IV y V inciso 1) de la Ley de Transparencia y Acceso a la Información Pública del Estado de México y Municipios, se solicita reservar la documentación generada por las Unidades Administrativas que a continuación se señala, precisando los motivos en los que se fundamenta dicha solicitud: </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 xml:space="preserve">A) Juez Cívico y Facilitadores del Juzgado Cívico del Municipio de Naucalpan de Juárez, México. En virtud de que los documentos que se generan los Jueces Cívicos y Facilitadores del Juzgado Cívico, contienen datos personales de la ciudadanía (adultos, adultos mayores y menores de edad, mujeres, hombres) tales como </w:t>
      </w:r>
      <w:r w:rsidRPr="00C36261">
        <w:rPr>
          <w:rFonts w:ascii="Palatino Linotype" w:eastAsia="Palatino Linotype" w:hAnsi="Palatino Linotype" w:cs="Palatino Linotype"/>
          <w:b/>
          <w:i/>
          <w:color w:val="000000"/>
        </w:rPr>
        <w:t>nombre, firma, huellas, edad, estado civil, domicilio, datos del oficial que remite como Sector, Cuadrante, así como el número de patrulla asignado y número de empleado, lugar de nacimiento</w:t>
      </w:r>
      <w:r w:rsidRPr="00C36261">
        <w:rPr>
          <w:rFonts w:ascii="Palatino Linotype" w:eastAsia="Palatino Linotype" w:hAnsi="Palatino Linotype" w:cs="Palatino Linotype"/>
          <w:i/>
          <w:color w:val="000000"/>
        </w:rPr>
        <w:t xml:space="preserve">, sirve de sustento legal lo expresado en el artículo 2 fracción XI de la Ley de Protección de Datos Personales en Posesión de Sujetos Obligados del Estado de México y </w:t>
      </w:r>
      <w:r w:rsidRPr="00C36261">
        <w:rPr>
          <w:rFonts w:ascii="Palatino Linotype" w:eastAsia="Palatino Linotype" w:hAnsi="Palatino Linotype" w:cs="Palatino Linotype"/>
          <w:i/>
          <w:color w:val="000000"/>
        </w:rPr>
        <w:lastRenderedPageBreak/>
        <w:t xml:space="preserve">Municipios, que refiere que los datos personales es la información concerniente a una persona física o jurídica colectiva identificada o identificable, establecida en cualquier formato o modalidad, y que este almacenada en los sistemas y bases de datos, se considerara que una persona es identificable cuando su identidad pueda determinarse directa o indirectamente a través de cualquier documento informativo físico o electrónico. </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 xml:space="preserve">De la revisión ocular que se realizó a los expedientes y documentación se advierten que tiene datos personales tales como credencial para votar, firmas, estado civil, comprobante de domicilio, ocupación, monto por infracciones al Bando Municipal o normas aplicables, en razón de lo anterior se solicita reservar toda la documentación generada por los Jueces Cívicos y Facilitadores del Juzgado Cívico del Municipio de Naucalpan de Juárez, dependientes de la Coordinación del Centro de Justicia Cívica de la Secretaría del Ayuntamiento, durante el periodo comprendido del primero de enero de 2022 al 25 de enero de 2025. Bajo esta tesitura, sirve de sustento las Resoluciones emitidas por el Instituto Nacional de Transparencia, Acceso a la Información y Protección de Datos Personales (INAI), que a continuación se describen: </w:t>
      </w:r>
    </w:p>
    <w:p w:rsidR="00CB1566" w:rsidRPr="00C36261" w:rsidRDefault="00CB1566" w:rsidP="009D6D73">
      <w:pPr>
        <w:pStyle w:val="Prrafodelista"/>
        <w:pBdr>
          <w:top w:val="nil"/>
          <w:left w:val="nil"/>
          <w:bottom w:val="nil"/>
          <w:right w:val="nil"/>
          <w:between w:val="nil"/>
        </w:pBdr>
        <w:spacing w:line="360" w:lineRule="auto"/>
        <w:ind w:left="0" w:right="49"/>
        <w:jc w:val="center"/>
        <w:rPr>
          <w:rFonts w:ascii="Palatino Linotype" w:eastAsia="Palatino Linotype" w:hAnsi="Palatino Linotype" w:cs="Palatino Linotype"/>
          <w:i/>
          <w:color w:val="000000"/>
        </w:rPr>
      </w:pPr>
      <w:r w:rsidRPr="00C36261">
        <w:rPr>
          <w:rFonts w:ascii="Palatino Linotype" w:eastAsia="Palatino Linotype" w:hAnsi="Palatino Linotype" w:cs="Palatino Linotype"/>
          <w:i/>
          <w:noProof/>
          <w:color w:val="000000"/>
          <w:lang w:val="es-MX" w:eastAsia="es-MX"/>
        </w:rPr>
        <w:drawing>
          <wp:inline distT="0" distB="0" distL="0" distR="0" wp14:anchorId="3C225B37" wp14:editId="0D12307D">
            <wp:extent cx="3609975" cy="279372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7789" cy="2861688"/>
                    </a:xfrm>
                    <a:prstGeom prst="rect">
                      <a:avLst/>
                    </a:prstGeom>
                  </pic:spPr>
                </pic:pic>
              </a:graphicData>
            </a:graphic>
          </wp:inline>
        </w:drawing>
      </w:r>
    </w:p>
    <w:p w:rsidR="00CB1566" w:rsidRPr="00C36261" w:rsidRDefault="00CB1566" w:rsidP="009D6D73">
      <w:pPr>
        <w:pStyle w:val="Prrafodelista"/>
        <w:pBdr>
          <w:top w:val="nil"/>
          <w:left w:val="nil"/>
          <w:bottom w:val="nil"/>
          <w:right w:val="nil"/>
          <w:between w:val="nil"/>
        </w:pBdr>
        <w:spacing w:line="360" w:lineRule="auto"/>
        <w:ind w:left="0" w:right="49"/>
        <w:jc w:val="center"/>
        <w:rPr>
          <w:rFonts w:ascii="Palatino Linotype" w:eastAsia="Palatino Linotype" w:hAnsi="Palatino Linotype" w:cs="Palatino Linotype"/>
          <w:i/>
          <w:color w:val="000000"/>
        </w:rPr>
      </w:pPr>
      <w:r w:rsidRPr="00C36261">
        <w:rPr>
          <w:rFonts w:ascii="Palatino Linotype" w:eastAsia="Palatino Linotype" w:hAnsi="Palatino Linotype" w:cs="Palatino Linotype"/>
          <w:i/>
          <w:noProof/>
          <w:color w:val="000000"/>
          <w:lang w:val="es-MX" w:eastAsia="es-MX"/>
        </w:rPr>
        <w:lastRenderedPageBreak/>
        <w:drawing>
          <wp:inline distT="0" distB="0" distL="0" distR="0" wp14:anchorId="0DDAE748" wp14:editId="21E76DA8">
            <wp:extent cx="3533775" cy="401915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9429" cy="4048330"/>
                    </a:xfrm>
                    <a:prstGeom prst="rect">
                      <a:avLst/>
                    </a:prstGeom>
                  </pic:spPr>
                </pic:pic>
              </a:graphicData>
            </a:graphic>
          </wp:inline>
        </w:drawing>
      </w:r>
    </w:p>
    <w:p w:rsidR="00CB1566" w:rsidRPr="00C36261" w:rsidRDefault="00CB1566" w:rsidP="009D6D73">
      <w:pPr>
        <w:pStyle w:val="Prrafodelista"/>
        <w:pBdr>
          <w:top w:val="nil"/>
          <w:left w:val="nil"/>
          <w:bottom w:val="nil"/>
          <w:right w:val="nil"/>
          <w:between w:val="nil"/>
        </w:pBdr>
        <w:spacing w:line="360" w:lineRule="auto"/>
        <w:ind w:left="0" w:right="49"/>
        <w:jc w:val="center"/>
        <w:rPr>
          <w:rFonts w:ascii="Palatino Linotype" w:eastAsia="Palatino Linotype" w:hAnsi="Palatino Linotype" w:cs="Palatino Linotype"/>
          <w:i/>
          <w:color w:val="000000"/>
        </w:rPr>
      </w:pPr>
      <w:r w:rsidRPr="00C36261">
        <w:rPr>
          <w:rFonts w:ascii="Palatino Linotype" w:eastAsia="Palatino Linotype" w:hAnsi="Palatino Linotype" w:cs="Palatino Linotype"/>
          <w:i/>
          <w:noProof/>
          <w:color w:val="000000"/>
          <w:lang w:val="es-MX" w:eastAsia="es-MX"/>
        </w:rPr>
        <w:drawing>
          <wp:inline distT="0" distB="0" distL="0" distR="0" wp14:anchorId="466677DC" wp14:editId="641104BE">
            <wp:extent cx="3829050" cy="11398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5089" cy="1150553"/>
                    </a:xfrm>
                    <a:prstGeom prst="rect">
                      <a:avLst/>
                    </a:prstGeom>
                  </pic:spPr>
                </pic:pic>
              </a:graphicData>
            </a:graphic>
          </wp:inline>
        </w:drawing>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En conclusión se determina que los documentos que generan los Jueces Cívicos y Facilitadores del Juzgado Cívico del Municipio de Naucalpan de Juárez, cuentan con datos personales sensibles, tal y como lo expresa el artículo 4 fracción XII de la Ley de Protección de Datos Personales en Posesión de Sujetos Obligados del Estado de México y Municipios…</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lastRenderedPageBreak/>
        <w:t xml:space="preserve">Por lo que proporcionar la documentación está en riesgo la integridad de la ciudadanía atendida en los Juzgados Cívicos y Facilitadores, como lo expresa en el diverso 20 fracción II de la Ley de Mediación, Conciliación y Promoción de la Paz Social para el Estado de México… </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 xml:space="preserve">Bajo esta tesitura, el artículo 129 fracción II del Reglamento de Justicia Cívica para el Municipio de Naucalpan de Juárez, que a la letra dice: </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 xml:space="preserve">“Artículo 129. Los principios rectores de la mediación, de la conciliación y de la justicia restaurativa, son: </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II. La confidencialidad. Conforme al cual no debe divulgarse lo ocurrido dentro de los procesos de mediación, conciliación o de justicia restaurativa, excepto con el consentimiento de todos los participantes o involucrados;…”</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 xml:space="preserve">Como se advierte de la lectura del ordenamiento legal, no se podrá proporcionar la información excepto con el consentimiento de todos los participantes involucrados, por lo que el peticionario deberá ser parte de mediación, conciliación o de justicia restaurativa, se le proporcionaría la información si fuera parte de las partes. </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 xml:space="preserve">En consecuencia de las consideraciones vertidas, se somete a consideración del Comité de Transparencia el siguiente: </w:t>
      </w:r>
    </w:p>
    <w:p w:rsidR="00CB1566" w:rsidRPr="00C36261" w:rsidRDefault="00CB1566" w:rsidP="009D6D73">
      <w:pPr>
        <w:pStyle w:val="Prrafodelista"/>
        <w:pBdr>
          <w:top w:val="nil"/>
          <w:left w:val="nil"/>
          <w:bottom w:val="nil"/>
          <w:right w:val="nil"/>
          <w:between w:val="nil"/>
        </w:pBdr>
        <w:spacing w:line="360" w:lineRule="auto"/>
        <w:ind w:left="0" w:right="49"/>
        <w:jc w:val="center"/>
        <w:rPr>
          <w:rFonts w:ascii="Palatino Linotype" w:eastAsia="Palatino Linotype" w:hAnsi="Palatino Linotype" w:cs="Palatino Linotype"/>
          <w:b/>
          <w:i/>
          <w:color w:val="000000"/>
        </w:rPr>
      </w:pPr>
      <w:r w:rsidRPr="00C36261">
        <w:rPr>
          <w:rFonts w:ascii="Palatino Linotype" w:eastAsia="Palatino Linotype" w:hAnsi="Palatino Linotype" w:cs="Palatino Linotype"/>
          <w:b/>
          <w:i/>
          <w:color w:val="000000"/>
        </w:rPr>
        <w:t>ACUERDO</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b/>
          <w:i/>
          <w:color w:val="000000"/>
        </w:rPr>
        <w:t>PRIMERO</w:t>
      </w:r>
      <w:r w:rsidRPr="00C36261">
        <w:rPr>
          <w:rFonts w:ascii="Palatino Linotype" w:eastAsia="Palatino Linotype" w:hAnsi="Palatino Linotype" w:cs="Palatino Linotype"/>
          <w:i/>
          <w:color w:val="000000"/>
        </w:rPr>
        <w:t xml:space="preserve">: Con fundamento en lo previsto por los numerales 23 fracción IV, 49 fracción II, 140 fracciones IV y V inciso 1) de la Ley de Transparencia y Acceso a la Información Pública del Estado de México y Municipios, 20 fracción II de la Ley de Mediación, Conciliación y Promoción de la Paz Social para el Estado de México, 129 fracción II del Reglamento de Justicia Cívica para el Municipio de Naucalpan de Juárez, en correlación con el diverso Trigésimo Octavo de los Lineamientos </w:t>
      </w:r>
      <w:r w:rsidRPr="00C36261">
        <w:rPr>
          <w:rFonts w:ascii="Palatino Linotype" w:eastAsia="Palatino Linotype" w:hAnsi="Palatino Linotype" w:cs="Palatino Linotype"/>
          <w:i/>
          <w:color w:val="000000"/>
        </w:rPr>
        <w:lastRenderedPageBreak/>
        <w:t xml:space="preserve">Generales en Materia de Clasificación y Desclasificación de la información, así como para la elaboración de versiones públicas, se emite el </w:t>
      </w:r>
      <w:r w:rsidRPr="00C36261">
        <w:rPr>
          <w:rFonts w:ascii="Palatino Linotype" w:eastAsia="Palatino Linotype" w:hAnsi="Palatino Linotype" w:cs="Palatino Linotype"/>
          <w:b/>
          <w:i/>
          <w:color w:val="000000"/>
        </w:rPr>
        <w:t>“Acuerdo por el que se reserva toda la documentación generada por los Jueces Cívicos de Naucalpan de Juárez, México, así como los Convenios y Conciliaciones realizadas por los facilitadores del Juzgado Cívico del Municipio de Naucalpan de Juárez, Dependientes de la Coordinación del Centro de Justicia Cívica de la Secretaría del Ayuntamiento durante el periodo comprendido del 01 de enero de 2022 al 25 de enero de 2025. “</w:t>
      </w:r>
    </w:p>
    <w:p w:rsidR="00CB1566" w:rsidRPr="00C36261" w:rsidRDefault="00CB1566"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p>
    <w:p w:rsidR="00CB1566" w:rsidRPr="00C36261" w:rsidRDefault="00CB1566" w:rsidP="00BB24E0">
      <w:pPr>
        <w:pStyle w:val="Prrafodelista"/>
        <w:numPr>
          <w:ilvl w:val="0"/>
          <w:numId w:val="2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Oficio número SA/ST/DACyGM-ET/037/2025 de fecha doce de febrero de dos mil veinticinco, signado por el Enlace de Transparencia de la Secretaría del Ayuntamiento, mediante el cual informó la entrega del oficio número SA/CCJC/056/2025, así como el proyecto de Acuerdo correspondiente, lo anterior, para que de conformidad con los artículo 47 párrafo tercero, 49 fracciones II y VIII y 122 de la Ley de Transparencia y Acceso a la Información Pública del Estado de México y Municipios, sea sometido ante el Comité de Transparencia. </w:t>
      </w:r>
    </w:p>
    <w:p w:rsidR="00DB20B2" w:rsidRPr="00C36261" w:rsidRDefault="00DB20B2" w:rsidP="009D6D7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rsidR="00CB1566" w:rsidRPr="00C36261" w:rsidRDefault="009D3673" w:rsidP="009D6D7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color w:val="000000"/>
        </w:rPr>
        <w:t>El</w:t>
      </w:r>
      <w:r w:rsidRPr="00C36261">
        <w:rPr>
          <w:rFonts w:ascii="Palatino Linotype" w:eastAsia="Palatino Linotype" w:hAnsi="Palatino Linotype" w:cs="Palatino Linotype"/>
          <w:b/>
          <w:color w:val="000000"/>
        </w:rPr>
        <w:t xml:space="preserve"> </w:t>
      </w:r>
      <w:r w:rsidR="00CB1566" w:rsidRPr="00C36261">
        <w:rPr>
          <w:rFonts w:ascii="Palatino Linotype" w:eastAsia="Palatino Linotype" w:hAnsi="Palatino Linotype" w:cs="Palatino Linotype"/>
          <w:b/>
        </w:rPr>
        <w:t xml:space="preserve">veintiocho de febrero de dos mil veinticinco, </w:t>
      </w:r>
      <w:r w:rsidR="00CB1566" w:rsidRPr="00C36261">
        <w:rPr>
          <w:rFonts w:ascii="Palatino Linotype" w:eastAsia="Palatino Linotype" w:hAnsi="Palatino Linotype" w:cs="Palatino Linotype"/>
        </w:rPr>
        <w:t xml:space="preserve">la parte </w:t>
      </w:r>
      <w:r w:rsidR="00CB1566" w:rsidRPr="00C36261">
        <w:rPr>
          <w:rFonts w:ascii="Palatino Linotype" w:eastAsia="Palatino Linotype" w:hAnsi="Palatino Linotype" w:cs="Palatino Linotype"/>
          <w:b/>
        </w:rPr>
        <w:t>Recurrente</w:t>
      </w:r>
      <w:r w:rsidR="00CB1566" w:rsidRPr="00C36261">
        <w:rPr>
          <w:rFonts w:ascii="Palatino Linotype" w:eastAsia="Palatino Linotype" w:hAnsi="Palatino Linotype" w:cs="Palatino Linotype"/>
        </w:rPr>
        <w:t xml:space="preserve"> interpuso el recurso de revisión a través de </w:t>
      </w:r>
      <w:r w:rsidR="00CB1566" w:rsidRPr="00C36261">
        <w:rPr>
          <w:rFonts w:ascii="Palatino Linotype" w:eastAsia="Palatino Linotype" w:hAnsi="Palatino Linotype" w:cs="Palatino Linotype"/>
          <w:b/>
        </w:rPr>
        <w:t xml:space="preserve">SAIMEX, </w:t>
      </w:r>
      <w:r w:rsidR="00CB1566" w:rsidRPr="00C36261">
        <w:rPr>
          <w:rFonts w:ascii="Palatino Linotype" w:eastAsia="Palatino Linotype" w:hAnsi="Palatino Linotype" w:cs="Palatino Linotype"/>
        </w:rPr>
        <w:t>en donde se manifestó de la siguiente manera:</w:t>
      </w:r>
    </w:p>
    <w:p w:rsidR="00CB1566" w:rsidRPr="00C36261" w:rsidRDefault="00CB1566" w:rsidP="009D6D7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CB1566" w:rsidRPr="00BB24E0" w:rsidRDefault="00CB1566" w:rsidP="00BB24E0">
      <w:pPr>
        <w:pStyle w:val="Prrafodelista"/>
        <w:numPr>
          <w:ilvl w:val="0"/>
          <w:numId w:val="32"/>
        </w:numPr>
        <w:tabs>
          <w:tab w:val="left" w:pos="2745"/>
        </w:tabs>
        <w:spacing w:line="360" w:lineRule="auto"/>
        <w:ind w:right="49"/>
        <w:jc w:val="both"/>
        <w:rPr>
          <w:rFonts w:ascii="Palatino Linotype" w:eastAsia="Palatino Linotype" w:hAnsi="Palatino Linotype" w:cs="Palatino Linotype"/>
          <w:b/>
        </w:rPr>
      </w:pPr>
      <w:r w:rsidRPr="00BB24E0">
        <w:rPr>
          <w:rFonts w:ascii="Palatino Linotype" w:eastAsia="Palatino Linotype" w:hAnsi="Palatino Linotype" w:cs="Palatino Linotype"/>
          <w:b/>
        </w:rPr>
        <w:t xml:space="preserve">Acto impugnado: </w:t>
      </w:r>
    </w:p>
    <w:p w:rsidR="00CB1566" w:rsidRPr="00C36261" w:rsidRDefault="00CB1566" w:rsidP="009D6D73">
      <w:pPr>
        <w:tabs>
          <w:tab w:val="left" w:pos="2745"/>
        </w:tabs>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 xml:space="preserve">“Negar información y reservar la información de considera violatorio de la publicidad y un derecho humano ya que la documentos, firmas y huellas dactilares que se mencionan pueden testarse para realizar una versión pública y no comentar ningún dato personal de la ciudadanía ya que las firmas de los servidores del Juzgado cívico son públicas, es conveniente revisar más a fondo las leyes y </w:t>
      </w:r>
      <w:r w:rsidRPr="00C36261">
        <w:rPr>
          <w:rFonts w:ascii="Palatino Linotype" w:eastAsia="Palatino Linotype" w:hAnsi="Palatino Linotype" w:cs="Palatino Linotype"/>
          <w:i/>
        </w:rPr>
        <w:lastRenderedPageBreak/>
        <w:t>realizar reserva de información a conveniencia con una prueba de daño insostenible, que poco preparados son los nuevos servidores públicos de nuestro presidente Isaac” (sic)</w:t>
      </w:r>
    </w:p>
    <w:p w:rsidR="00CB1566" w:rsidRPr="00C36261" w:rsidRDefault="00CB1566" w:rsidP="009D6D73">
      <w:pPr>
        <w:tabs>
          <w:tab w:val="left" w:pos="2745"/>
        </w:tabs>
        <w:spacing w:line="360" w:lineRule="auto"/>
        <w:ind w:right="49"/>
        <w:jc w:val="both"/>
        <w:rPr>
          <w:rFonts w:ascii="Palatino Linotype" w:eastAsia="Palatino Linotype" w:hAnsi="Palatino Linotype" w:cs="Palatino Linotype"/>
          <w:i/>
        </w:rPr>
      </w:pPr>
    </w:p>
    <w:p w:rsidR="00CB1566" w:rsidRPr="00BB24E0" w:rsidRDefault="00CB1566" w:rsidP="00BB24E0">
      <w:pPr>
        <w:pStyle w:val="Prrafodelista"/>
        <w:numPr>
          <w:ilvl w:val="0"/>
          <w:numId w:val="32"/>
        </w:numPr>
        <w:spacing w:line="360" w:lineRule="auto"/>
        <w:ind w:right="49"/>
        <w:jc w:val="both"/>
        <w:rPr>
          <w:rFonts w:ascii="Palatino Linotype" w:eastAsia="Palatino Linotype" w:hAnsi="Palatino Linotype" w:cs="Palatino Linotype"/>
        </w:rPr>
      </w:pPr>
      <w:bookmarkStart w:id="2" w:name="_heading=h.30j0zll" w:colFirst="0" w:colLast="0"/>
      <w:bookmarkEnd w:id="2"/>
      <w:r w:rsidRPr="00BB24E0">
        <w:rPr>
          <w:rFonts w:ascii="Palatino Linotype" w:eastAsia="Palatino Linotype" w:hAnsi="Palatino Linotype" w:cs="Palatino Linotype"/>
          <w:b/>
        </w:rPr>
        <w:t>Razones o motivos de inconformidad</w:t>
      </w:r>
      <w:r w:rsidRPr="00BB24E0">
        <w:rPr>
          <w:rFonts w:ascii="Palatino Linotype" w:eastAsia="Palatino Linotype" w:hAnsi="Palatino Linotype" w:cs="Palatino Linotype"/>
        </w:rPr>
        <w:t>:</w:t>
      </w:r>
    </w:p>
    <w:p w:rsidR="00CB1566" w:rsidRPr="00C36261" w:rsidRDefault="00CB1566" w:rsidP="009D6D73">
      <w:pPr>
        <w:tabs>
          <w:tab w:val="left" w:pos="2745"/>
        </w:tabs>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“Negar información y reservar la información de considera violatorio de la publicidad y un derecho humano ya que la documentos, firmas y huellas dactilares que se mencionan pueden testarse para realizar una versión pública y no comentar ningún dato personal de la ciudadanía ya que las firmas de los servidores del Juzgado cívico son públicas, es conveniente revisar más a fondo las leyes y realizar reserva de información a conveniencia con una prueba de daño insostenible, que poco preparados son los nuevos servidores públicos de nuestro presidente Isaac</w:t>
      </w:r>
      <w:r w:rsidRPr="00C36261">
        <w:rPr>
          <w:rFonts w:ascii="Palatino Linotype" w:eastAsia="Palatino Linotype" w:hAnsi="Palatino Linotype" w:cs="Palatino Linotype"/>
          <w:b/>
          <w:i/>
        </w:rPr>
        <w:t xml:space="preserve">” </w:t>
      </w:r>
      <w:r w:rsidRPr="00C36261">
        <w:rPr>
          <w:rFonts w:ascii="Palatino Linotype" w:eastAsia="Palatino Linotype" w:hAnsi="Palatino Linotype" w:cs="Palatino Linotype"/>
          <w:i/>
        </w:rPr>
        <w:t>(sic)</w:t>
      </w:r>
    </w:p>
    <w:p w:rsidR="00AF6023" w:rsidRPr="00C36261" w:rsidRDefault="00AF6023" w:rsidP="009D6D73">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rPr>
      </w:pPr>
    </w:p>
    <w:p w:rsidR="00B84DF1" w:rsidRPr="00C36261" w:rsidRDefault="00CB1566"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rPr>
        <w:t>Con fecha</w:t>
      </w:r>
      <w:r w:rsidRPr="00C36261">
        <w:rPr>
          <w:rFonts w:ascii="Palatino Linotype" w:eastAsia="Palatino Linotype" w:hAnsi="Palatino Linotype" w:cs="Palatino Linotype"/>
          <w:b/>
        </w:rPr>
        <w:t xml:space="preserve"> seis de marzo de dos mil veinticinco, </w:t>
      </w:r>
      <w:r w:rsidRPr="00C3626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36261">
        <w:rPr>
          <w:rFonts w:ascii="Palatino Linotype" w:eastAsia="Palatino Linotype" w:hAnsi="Palatino Linotype" w:cs="Palatino Linotype"/>
          <w:b/>
        </w:rPr>
        <w:t xml:space="preserve">Sujeto Obligado </w:t>
      </w:r>
      <w:r w:rsidRPr="00C36261">
        <w:rPr>
          <w:rFonts w:ascii="Palatino Linotype" w:eastAsia="Palatino Linotype" w:hAnsi="Palatino Linotype" w:cs="Palatino Linotype"/>
        </w:rPr>
        <w:t>presentara su informe justificado.</w:t>
      </w:r>
    </w:p>
    <w:p w:rsidR="00C273BD" w:rsidRPr="00C36261" w:rsidRDefault="00C273BD" w:rsidP="009D6D7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B1566" w:rsidRPr="00C36261" w:rsidRDefault="00106B9D"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color w:val="000000"/>
        </w:rPr>
        <w:t>Al respecto, e</w:t>
      </w:r>
      <w:r w:rsidR="009D3673" w:rsidRPr="00C36261">
        <w:rPr>
          <w:rFonts w:ascii="Palatino Linotype" w:eastAsia="Palatino Linotype" w:hAnsi="Palatino Linotype" w:cs="Palatino Linotype"/>
          <w:color w:val="000000"/>
        </w:rPr>
        <w:t xml:space="preserve">l </w:t>
      </w:r>
      <w:r w:rsidRPr="00C36261">
        <w:rPr>
          <w:rFonts w:ascii="Palatino Linotype" w:eastAsia="Palatino Linotype" w:hAnsi="Palatino Linotype" w:cs="Palatino Linotype"/>
          <w:color w:val="000000"/>
        </w:rPr>
        <w:t>ahora R</w:t>
      </w:r>
      <w:r w:rsidR="009D3673" w:rsidRPr="00C36261">
        <w:rPr>
          <w:rFonts w:ascii="Palatino Linotype" w:eastAsia="Palatino Linotype" w:hAnsi="Palatino Linotype" w:cs="Palatino Linotype"/>
          <w:color w:val="000000"/>
        </w:rPr>
        <w:t>ecurrente</w:t>
      </w:r>
      <w:r w:rsidR="009D3673" w:rsidRPr="00C36261">
        <w:rPr>
          <w:rFonts w:ascii="Palatino Linotype" w:eastAsia="Palatino Linotype" w:hAnsi="Palatino Linotype" w:cs="Palatino Linotype"/>
          <w:b/>
          <w:color w:val="000000"/>
        </w:rPr>
        <w:t xml:space="preserve"> </w:t>
      </w:r>
      <w:r w:rsidR="00874872" w:rsidRPr="00C36261">
        <w:rPr>
          <w:rFonts w:ascii="Palatino Linotype" w:eastAsia="Palatino Linotype" w:hAnsi="Palatino Linotype" w:cs="Palatino Linotype"/>
          <w:color w:val="000000"/>
        </w:rPr>
        <w:t>fue omiso en realizar manifestaciones que a su derecho conviniera y asistiera. Por su parte el</w:t>
      </w:r>
      <w:r w:rsidR="00874872" w:rsidRPr="00C36261">
        <w:rPr>
          <w:rFonts w:ascii="Palatino Linotype" w:eastAsia="Palatino Linotype" w:hAnsi="Palatino Linotype" w:cs="Palatino Linotype"/>
          <w:b/>
          <w:color w:val="000000"/>
        </w:rPr>
        <w:t xml:space="preserve"> SUJETO OBLIGADO </w:t>
      </w:r>
      <w:r w:rsidR="00900624" w:rsidRPr="00C36261">
        <w:rPr>
          <w:rFonts w:ascii="Palatino Linotype" w:eastAsia="Palatino Linotype" w:hAnsi="Palatino Linotype" w:cs="Palatino Linotype"/>
          <w:color w:val="000000"/>
        </w:rPr>
        <w:t xml:space="preserve">en fecha </w:t>
      </w:r>
      <w:r w:rsidR="00CB1566" w:rsidRPr="00C36261">
        <w:rPr>
          <w:rFonts w:ascii="Palatino Linotype" w:eastAsia="Palatino Linotype" w:hAnsi="Palatino Linotype" w:cs="Palatino Linotype"/>
          <w:b/>
        </w:rPr>
        <w:t>doce de marzo de dos mil veinticinco</w:t>
      </w:r>
      <w:r w:rsidR="00CB1566" w:rsidRPr="00C36261">
        <w:rPr>
          <w:rFonts w:ascii="Palatino Linotype" w:eastAsia="Palatino Linotype" w:hAnsi="Palatino Linotype" w:cs="Palatino Linotype"/>
        </w:rPr>
        <w:t>, rindió su informe justificado, en el que el Coordinador del Centro de Justicia Cívica informó</w:t>
      </w:r>
      <w:r w:rsidR="00874872" w:rsidRPr="00C36261">
        <w:rPr>
          <w:rFonts w:ascii="Palatino Linotype" w:eastAsia="Palatino Linotype" w:hAnsi="Palatino Linotype" w:cs="Palatino Linotype"/>
        </w:rPr>
        <w:t xml:space="preserve"> lo siguiente</w:t>
      </w:r>
      <w:r w:rsidR="00CB1566" w:rsidRPr="00C36261">
        <w:rPr>
          <w:rFonts w:ascii="Palatino Linotype" w:eastAsia="Palatino Linotype" w:hAnsi="Palatino Linotype" w:cs="Palatino Linotype"/>
        </w:rPr>
        <w:t>:</w:t>
      </w:r>
    </w:p>
    <w:p w:rsidR="00CB1566" w:rsidRPr="00C36261" w:rsidRDefault="00CB1566" w:rsidP="009D6D73">
      <w:pPr>
        <w:spacing w:line="360" w:lineRule="auto"/>
        <w:ind w:right="49"/>
        <w:jc w:val="both"/>
        <w:rPr>
          <w:rFonts w:ascii="Palatino Linotype" w:eastAsia="Palatino Linotype" w:hAnsi="Palatino Linotype" w:cs="Palatino Linotype"/>
          <w:b/>
          <w:i/>
        </w:rPr>
      </w:pPr>
      <w:r w:rsidRPr="00C36261">
        <w:rPr>
          <w:rFonts w:ascii="Palatino Linotype" w:eastAsia="Palatino Linotype" w:hAnsi="Palatino Linotype" w:cs="Palatino Linotype"/>
          <w:i/>
        </w:rPr>
        <w:t xml:space="preserve">"La información que es generada por los jueces cívicos del Centro de Justicia Cívica, </w:t>
      </w:r>
      <w:r w:rsidRPr="00C36261">
        <w:rPr>
          <w:rFonts w:ascii="Palatino Linotype" w:eastAsia="Palatino Linotype" w:hAnsi="Palatino Linotype" w:cs="Palatino Linotype"/>
          <w:b/>
          <w:i/>
        </w:rPr>
        <w:t>se encuentra considerada reservada</w:t>
      </w:r>
      <w:r w:rsidRPr="00C36261">
        <w:rPr>
          <w:rFonts w:ascii="Palatino Linotype" w:eastAsia="Palatino Linotype" w:hAnsi="Palatino Linotype" w:cs="Palatino Linotype"/>
          <w:i/>
        </w:rPr>
        <w:t xml:space="preserve">, toda vez que cada expediente generado por los infractores, es susceptible de </w:t>
      </w:r>
      <w:r w:rsidRPr="00C36261">
        <w:rPr>
          <w:rFonts w:ascii="Palatino Linotype" w:eastAsia="Palatino Linotype" w:hAnsi="Palatino Linotype" w:cs="Palatino Linotype"/>
          <w:i/>
        </w:rPr>
        <w:lastRenderedPageBreak/>
        <w:t xml:space="preserve">investigación durante y posterior a la presentación del probable infractor, pudiendo convertirse en juicios ya sea en materia penal, administrativa o alguna otra rama del derecho, así mismo forman parte de un laudo que puede dañar el proceso ante el órgano jurisdiccional, motivo por el que resulta necesario reservar la documentación solicitada, aunado a lo anterior, </w:t>
      </w:r>
      <w:r w:rsidRPr="00C36261">
        <w:rPr>
          <w:rFonts w:ascii="Palatino Linotype" w:eastAsia="Palatino Linotype" w:hAnsi="Palatino Linotype" w:cs="Palatino Linotype"/>
          <w:b/>
          <w:i/>
        </w:rPr>
        <w:t>el hacer llegar a una persona sin demostrar interés jurídico o vínculo alguno dichos expedientes, convenios y conciliaciones resultaría violatorio del derecho fundamental a la protección de datos personales de los probables infractores, en ese sentido, se da a entender que la información que se encuentra en los expedientes, convenios y conciliaciones pertenece directamente a las partes antes mencionadas, por lo que se reserva la documentación, toda vez que, entregarla podría causar un daño mayor al probable infractor.</w:t>
      </w:r>
    </w:p>
    <w:p w:rsidR="00CB1566" w:rsidRPr="00C36261" w:rsidRDefault="00CB1566"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Cabe mencionar que la información solicitada entra dentro del supuesto de "datos sobre procedimientos administrativos y jurisdiccionales" entendiendo estos como aquella información relacionada íntimamente a nosotros, disponible en procedimientos administrativos o juicios en materia laboral, civil, penal, fiscal, o cualquier otra rama del derecho, esto debido a que desde que se hace la detención del probable infractor o se presentan las partes para generar un convenio nace un procedimiento administrativo.</w:t>
      </w:r>
    </w:p>
    <w:p w:rsidR="00CB1566" w:rsidRPr="00C36261" w:rsidRDefault="00CB1566"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En relación a los procedimientos a los que se hace referencia con antelación, se desprende que en los mismos se encuentra contenidos datos personales sensibles referentes a la esfera más íntima de su titular, cuya utilización indebida puede dar origen a diseriminación o conlleve un riesgo grave para este.</w:t>
      </w:r>
      <w:r w:rsidRPr="00C36261">
        <w:rPr>
          <w:rFonts w:ascii="Palatino Linotype" w:eastAsia="Palatino Linotype" w:hAnsi="Palatino Linotype" w:cs="Palatino Linotype"/>
          <w:i/>
        </w:rPr>
        <w:cr/>
        <w:t xml:space="preserve">Por otra parte, si bien las firmas de los servidores del juzgado cívico son públicas como lo argumenta el peticionario en el recurso de revisión que nos ocupa, los documentos en los que constan esas firmas no son públicos, en virtud de que contienen datos personales clasificados por el artículo 140 de la Ley de Transparencia y Acceso a la Información Pública del Estado de México y Municipios, es por eso </w:t>
      </w:r>
      <w:r w:rsidRPr="00C36261">
        <w:rPr>
          <w:rFonts w:ascii="Palatino Linotype" w:eastAsia="Palatino Linotype" w:hAnsi="Palatino Linotype" w:cs="Palatino Linotype"/>
          <w:i/>
        </w:rPr>
        <w:lastRenderedPageBreak/>
        <w:t>y con la intención de velar por la protección de los datos de las partes involucradas en los procesos administrativos que se incluyen en los expedientes, convenios y conciliaciones del juzgado cívico que se motiva la intención clasificar la información como reservada…”</w:t>
      </w:r>
    </w:p>
    <w:p w:rsidR="00900624" w:rsidRPr="00C36261" w:rsidRDefault="00900624" w:rsidP="009D6D73">
      <w:pPr>
        <w:pStyle w:val="Prrafodelista"/>
        <w:spacing w:line="360" w:lineRule="auto"/>
        <w:ind w:left="0" w:right="49"/>
        <w:rPr>
          <w:rFonts w:ascii="Palatino Linotype" w:eastAsia="Palatino Linotype" w:hAnsi="Palatino Linotype" w:cs="Palatino Linotype"/>
          <w:color w:val="000000"/>
        </w:rPr>
      </w:pPr>
    </w:p>
    <w:p w:rsidR="00B84DF1" w:rsidRPr="00C36261" w:rsidRDefault="0087487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C36261">
        <w:rPr>
          <w:rFonts w:ascii="Palatino Linotype" w:eastAsia="Palatino Linotype" w:hAnsi="Palatino Linotype" w:cs="Palatino Linotype"/>
        </w:rPr>
        <w:t xml:space="preserve">El </w:t>
      </w:r>
      <w:r w:rsidRPr="00C36261">
        <w:rPr>
          <w:rFonts w:ascii="Palatino Linotype" w:eastAsia="Palatino Linotype" w:hAnsi="Palatino Linotype" w:cs="Palatino Linotype"/>
          <w:b/>
        </w:rPr>
        <w:t xml:space="preserve">treinta de abril de dos mil veinticinco, </w:t>
      </w:r>
      <w:r w:rsidRPr="00C36261">
        <w:rPr>
          <w:rFonts w:ascii="Palatino Linotype" w:eastAsia="Palatino Linotype" w:hAnsi="Palatino Linotype" w:cs="Palatino Linotype"/>
        </w:rPr>
        <w:t xml:space="preserve">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r w:rsidR="00106B9D" w:rsidRPr="00C36261">
        <w:rPr>
          <w:rFonts w:ascii="Palatino Linotype" w:eastAsia="Palatino Linotype" w:hAnsi="Palatino Linotype" w:cs="Palatino Linotype"/>
        </w:rPr>
        <w:t>Por otro lado</w:t>
      </w:r>
      <w:r w:rsidRPr="00C36261">
        <w:rPr>
          <w:rFonts w:ascii="Palatino Linotype" w:eastAsia="Palatino Linotype" w:hAnsi="Palatino Linotype" w:cs="Palatino Linotype"/>
        </w:rPr>
        <w:t xml:space="preserve"> a</w:t>
      </w:r>
      <w:r w:rsidR="00B60BC1" w:rsidRPr="00C36261">
        <w:rPr>
          <w:rFonts w:ascii="Palatino Linotype" w:eastAsia="Palatino Linotype" w:hAnsi="Palatino Linotype" w:cs="Palatino Linotype"/>
          <w:color w:val="000000"/>
        </w:rPr>
        <w:t>l no existir pendientes o diligencias por desahogar,</w:t>
      </w:r>
      <w:r w:rsidR="009D3673" w:rsidRPr="00C36261">
        <w:rPr>
          <w:rFonts w:ascii="Palatino Linotype" w:eastAsia="Palatino Linotype" w:hAnsi="Palatino Linotype" w:cs="Palatino Linotype"/>
        </w:rPr>
        <w:t xml:space="preserve"> mediante acuerdo de </w:t>
      </w:r>
      <w:r w:rsidR="004656BC" w:rsidRPr="00C36261">
        <w:rPr>
          <w:rFonts w:ascii="Palatino Linotype" w:eastAsia="Palatino Linotype" w:hAnsi="Palatino Linotype" w:cs="Palatino Linotype"/>
          <w:b/>
        </w:rPr>
        <w:t xml:space="preserve">día </w:t>
      </w:r>
      <w:r w:rsidRPr="00C36261">
        <w:rPr>
          <w:rFonts w:ascii="Palatino Linotype" w:eastAsia="Palatino Linotype" w:hAnsi="Palatino Linotype" w:cs="Palatino Linotype"/>
          <w:b/>
        </w:rPr>
        <w:t>doce de mayo de dos mil veinticinco</w:t>
      </w:r>
      <w:r w:rsidR="009D3673"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rPr>
        <w:t xml:space="preserve">se decretó </w:t>
      </w:r>
      <w:r w:rsidR="009D3673" w:rsidRPr="00C36261">
        <w:rPr>
          <w:rFonts w:ascii="Palatino Linotype" w:eastAsia="Palatino Linotype" w:hAnsi="Palatino Linotype" w:cs="Palatino Linotype"/>
        </w:rPr>
        <w:t xml:space="preserve">el cierre del periodo de </w:t>
      </w:r>
      <w:r w:rsidR="009D3673" w:rsidRPr="00C36261">
        <w:rPr>
          <w:rFonts w:ascii="Palatino Linotype" w:eastAsia="Palatino Linotype" w:hAnsi="Palatino Linotype" w:cs="Palatino Linotype"/>
          <w:color w:val="000000"/>
        </w:rPr>
        <w:t>instrucción</w:t>
      </w:r>
      <w:r w:rsidR="00E15CF3" w:rsidRPr="00C36261">
        <w:rPr>
          <w:rFonts w:ascii="Palatino Linotype" w:eastAsia="Palatino Linotype" w:hAnsi="Palatino Linotype" w:cs="Palatino Linotype"/>
        </w:rPr>
        <w:t>;</w:t>
      </w:r>
      <w:r w:rsidR="00106B9D" w:rsidRPr="00C36261">
        <w:rPr>
          <w:rFonts w:ascii="Palatino Linotype" w:eastAsia="Palatino Linotype" w:hAnsi="Palatino Linotype" w:cs="Palatino Linotype"/>
        </w:rPr>
        <w:t xml:space="preserve"> </w:t>
      </w:r>
      <w:r w:rsidR="00E15CF3" w:rsidRPr="00C36261">
        <w:rPr>
          <w:rFonts w:ascii="Palatino Linotype" w:eastAsia="Palatino Linotype" w:hAnsi="Palatino Linotype" w:cs="Palatino Linotype"/>
        </w:rPr>
        <w:t>posteriormente</w:t>
      </w:r>
      <w:r w:rsidR="00106B9D" w:rsidRPr="00C36261">
        <w:rPr>
          <w:rFonts w:ascii="Palatino Linotype" w:eastAsia="Palatino Linotype" w:hAnsi="Palatino Linotype" w:cs="Palatino Linotype"/>
        </w:rPr>
        <w:t xml:space="preserve"> en</w:t>
      </w:r>
      <w:r w:rsidR="005B4B00" w:rsidRPr="00C36261">
        <w:rPr>
          <w:rFonts w:ascii="Palatino Linotype" w:eastAsia="Palatino Linotype" w:hAnsi="Palatino Linotype" w:cs="Palatino Linotype"/>
        </w:rPr>
        <w:t xml:space="preserve"> </w:t>
      </w:r>
      <w:r w:rsidR="005B4B00" w:rsidRPr="00C36261">
        <w:rPr>
          <w:rFonts w:ascii="Palatino Linotype" w:hAnsi="Palatino Linotype" w:cs="Arial"/>
        </w:rPr>
        <w:t xml:space="preserve">fecha </w:t>
      </w:r>
      <w:r w:rsidR="009A5C87" w:rsidRPr="00C36261">
        <w:rPr>
          <w:rFonts w:ascii="Palatino Linotype" w:hAnsi="Palatino Linotype" w:cs="Arial"/>
        </w:rPr>
        <w:t>veintiuno</w:t>
      </w:r>
      <w:r w:rsidR="005B4B00" w:rsidRPr="00C36261">
        <w:rPr>
          <w:rFonts w:ascii="Palatino Linotype" w:hAnsi="Palatino Linotype" w:cs="Arial"/>
        </w:rPr>
        <w:t xml:space="preserve"> de </w:t>
      </w:r>
      <w:r w:rsidR="009A5C87" w:rsidRPr="00C36261">
        <w:rPr>
          <w:rFonts w:ascii="Palatino Linotype" w:hAnsi="Palatino Linotype" w:cs="Arial"/>
        </w:rPr>
        <w:t>may</w:t>
      </w:r>
      <w:r w:rsidR="005B4B00" w:rsidRPr="00C36261">
        <w:rPr>
          <w:rFonts w:ascii="Palatino Linotype" w:hAnsi="Palatino Linotype" w:cs="Arial"/>
        </w:rPr>
        <w:t>o de dos mil veinticinco</w:t>
      </w:r>
      <w:r w:rsidR="009A5C87" w:rsidRPr="00C36261">
        <w:rPr>
          <w:rFonts w:ascii="Palatino Linotype" w:hAnsi="Palatino Linotype" w:cs="Arial"/>
        </w:rPr>
        <w:t>, en la Décimo Octava Sesión Ordinaria</w:t>
      </w:r>
      <w:r w:rsidR="005B4B00" w:rsidRPr="00C36261">
        <w:rPr>
          <w:rFonts w:ascii="Palatino Linotype" w:hAnsi="Palatino Linotype" w:cs="Arial"/>
        </w:rPr>
        <w:t xml:space="preserve"> del Pleno de este Órgano Garante, </w:t>
      </w:r>
      <w:r w:rsidR="009A5C87" w:rsidRPr="00C36261">
        <w:rPr>
          <w:rFonts w:ascii="Palatino Linotype" w:hAnsi="Palatino Linotype" w:cs="Arial"/>
        </w:rPr>
        <w:t xml:space="preserve">se decretó </w:t>
      </w:r>
      <w:r w:rsidR="005B4B00" w:rsidRPr="00C36261">
        <w:rPr>
          <w:rFonts w:ascii="Palatino Linotype" w:hAnsi="Palatino Linotype" w:cs="Arial"/>
        </w:rPr>
        <w:t>e</w:t>
      </w:r>
      <w:r w:rsidR="009A5C87" w:rsidRPr="00C36261">
        <w:rPr>
          <w:rFonts w:ascii="Palatino Linotype" w:hAnsi="Palatino Linotype" w:cs="Arial"/>
        </w:rPr>
        <w:t>l returno</w:t>
      </w:r>
      <w:r w:rsidR="005B4B00" w:rsidRPr="00C36261">
        <w:rPr>
          <w:rFonts w:ascii="Palatino Linotype" w:hAnsi="Palatino Linotype" w:cs="Arial"/>
        </w:rPr>
        <w:t xml:space="preserve"> </w:t>
      </w:r>
      <w:r w:rsidR="009A5C87" w:rsidRPr="00C36261">
        <w:rPr>
          <w:rFonts w:ascii="Palatino Linotype" w:hAnsi="Palatino Linotype" w:cs="Arial"/>
        </w:rPr>
        <w:t>d</w:t>
      </w:r>
      <w:r w:rsidR="005B4B00" w:rsidRPr="00C36261">
        <w:rPr>
          <w:rFonts w:ascii="Palatino Linotype" w:hAnsi="Palatino Linotype" w:cs="Arial"/>
        </w:rPr>
        <w:t xml:space="preserve">el Recurso de Revisión </w:t>
      </w:r>
      <w:r w:rsidR="005B4B00" w:rsidRPr="00C36261">
        <w:rPr>
          <w:rFonts w:ascii="Palatino Linotype" w:hAnsi="Palatino Linotype" w:cs="Arial"/>
          <w:b/>
        </w:rPr>
        <w:t xml:space="preserve">02234/INFOEM/IP/RR/2025, </w:t>
      </w:r>
      <w:r w:rsidR="005B4B00" w:rsidRPr="00C36261">
        <w:rPr>
          <w:rFonts w:ascii="Palatino Linotype" w:hAnsi="Palatino Linotype" w:cs="Arial"/>
        </w:rPr>
        <w:t xml:space="preserve">a la </w:t>
      </w:r>
      <w:r w:rsidR="005B4B00" w:rsidRPr="00C36261">
        <w:rPr>
          <w:rFonts w:ascii="Palatino Linotype" w:hAnsi="Palatino Linotype" w:cs="Arial"/>
          <w:b/>
        </w:rPr>
        <w:t>Comisionada María del Rosario Mejía Ayala</w:t>
      </w:r>
      <w:r w:rsidR="005B4B00" w:rsidRPr="00C36261">
        <w:rPr>
          <w:rFonts w:ascii="Palatino Linotype" w:hAnsi="Palatino Linotype" w:cs="Arial"/>
        </w:rPr>
        <w:t xml:space="preserve"> para su resolución y presentación al Pleno</w:t>
      </w:r>
      <w:r w:rsidR="009D3673" w:rsidRPr="00C36261">
        <w:rPr>
          <w:rFonts w:ascii="Palatino Linotype" w:eastAsia="Palatino Linotype" w:hAnsi="Palatino Linotype" w:cs="Palatino Linotype"/>
        </w:rPr>
        <w:t xml:space="preserve">, </w:t>
      </w:r>
      <w:r w:rsidR="00CC78CD" w:rsidRPr="00C36261">
        <w:rPr>
          <w:rFonts w:ascii="Palatino Linotype" w:eastAsia="Palatino Linotype" w:hAnsi="Palatino Linotype" w:cs="Palatino Linotype"/>
        </w:rPr>
        <w:t>que conforme a d</w:t>
      </w:r>
      <w:r w:rsidR="009D3673" w:rsidRPr="00C36261">
        <w:rPr>
          <w:rFonts w:ascii="Palatino Linotype" w:eastAsia="Palatino Linotype" w:hAnsi="Palatino Linotype" w:cs="Palatino Linotype"/>
        </w:rPr>
        <w:t>erecho proceda, de acuerdo a las siguientes:</w:t>
      </w:r>
      <w:r w:rsidR="00CB4A28" w:rsidRPr="00C36261">
        <w:rPr>
          <w:rFonts w:ascii="Palatino Linotype" w:eastAsia="Palatino Linotype" w:hAnsi="Palatino Linotype" w:cs="Palatino Linotype"/>
        </w:rPr>
        <w:t xml:space="preserve"> -------------</w:t>
      </w:r>
      <w:r w:rsidR="009A5C87" w:rsidRPr="00C36261">
        <w:rPr>
          <w:rFonts w:ascii="Palatino Linotype" w:eastAsia="Palatino Linotype" w:hAnsi="Palatino Linotype" w:cs="Palatino Linotype"/>
        </w:rPr>
        <w:t>---</w:t>
      </w:r>
      <w:r w:rsidR="00BB24E0">
        <w:rPr>
          <w:rFonts w:ascii="Palatino Linotype" w:eastAsia="Palatino Linotype" w:hAnsi="Palatino Linotype" w:cs="Palatino Linotype"/>
        </w:rPr>
        <w:t>-----------------------------------------------------------------------------------------</w:t>
      </w:r>
    </w:p>
    <w:p w:rsidR="00B84DF1" w:rsidRPr="00C36261" w:rsidRDefault="00B84DF1" w:rsidP="009D6D73">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p>
    <w:p w:rsidR="00B84DF1" w:rsidRPr="00C36261" w:rsidRDefault="009D3673" w:rsidP="009D6D73">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C36261">
        <w:rPr>
          <w:rFonts w:ascii="Palatino Linotype" w:eastAsia="Palatino Linotype" w:hAnsi="Palatino Linotype" w:cs="Palatino Linotype"/>
          <w:b/>
          <w:color w:val="000000"/>
        </w:rPr>
        <w:t>C O N S I D E R A C I O N E S</w:t>
      </w:r>
    </w:p>
    <w:p w:rsidR="00B84DF1" w:rsidRPr="00C36261" w:rsidRDefault="00B84DF1" w:rsidP="009D6D73">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p>
    <w:p w:rsidR="00B84DF1" w:rsidRPr="00C36261" w:rsidRDefault="009D3673" w:rsidP="009D6D73">
      <w:pPr>
        <w:pStyle w:val="Ttulo2"/>
        <w:spacing w:before="0" w:line="360" w:lineRule="auto"/>
        <w:ind w:right="49"/>
        <w:rPr>
          <w:rFonts w:ascii="Palatino Linotype" w:eastAsia="Palatino Linotype" w:hAnsi="Palatino Linotype" w:cs="Palatino Linotype"/>
          <w:b/>
          <w:color w:val="000000"/>
          <w:sz w:val="24"/>
          <w:szCs w:val="24"/>
        </w:rPr>
      </w:pPr>
      <w:bookmarkStart w:id="3" w:name="_heading=h.3znysh7" w:colFirst="0" w:colLast="0"/>
      <w:bookmarkEnd w:id="3"/>
      <w:r w:rsidRPr="00C36261">
        <w:rPr>
          <w:rFonts w:ascii="Palatino Linotype" w:eastAsia="Palatino Linotype" w:hAnsi="Palatino Linotype" w:cs="Palatino Linotype"/>
          <w:b/>
          <w:color w:val="000000"/>
          <w:sz w:val="24"/>
          <w:szCs w:val="24"/>
        </w:rPr>
        <w:t>PRIMERA. Competencia</w:t>
      </w:r>
    </w:p>
    <w:p w:rsidR="00B84DF1" w:rsidRPr="00C36261" w:rsidRDefault="009D3673"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w:t>
      </w:r>
      <w:r w:rsidRPr="00C36261">
        <w:rPr>
          <w:rFonts w:ascii="Palatino Linotype" w:eastAsia="Palatino Linotype" w:hAnsi="Palatino Linotype" w:cs="Palatino Linotype"/>
          <w:color w:val="000000"/>
        </w:rPr>
        <w:lastRenderedPageBreak/>
        <w:t>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6535A3" w:rsidRPr="00C36261" w:rsidRDefault="006535A3" w:rsidP="009D6D7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Pr="00C36261" w:rsidRDefault="009D3673" w:rsidP="009D6D73">
      <w:pPr>
        <w:pStyle w:val="Ttulo2"/>
        <w:spacing w:before="0" w:line="360" w:lineRule="auto"/>
        <w:ind w:right="49"/>
        <w:rPr>
          <w:rFonts w:ascii="Palatino Linotype" w:eastAsia="Palatino Linotype" w:hAnsi="Palatino Linotype" w:cs="Palatino Linotype"/>
          <w:b/>
          <w:color w:val="000000"/>
          <w:sz w:val="24"/>
          <w:szCs w:val="24"/>
        </w:rPr>
      </w:pPr>
      <w:bookmarkStart w:id="4" w:name="_heading=h.2et92p0" w:colFirst="0" w:colLast="0"/>
      <w:bookmarkEnd w:id="4"/>
      <w:r w:rsidRPr="00C36261">
        <w:rPr>
          <w:rFonts w:ascii="Palatino Linotype" w:eastAsia="Palatino Linotype" w:hAnsi="Palatino Linotype" w:cs="Palatino Linotype"/>
          <w:b/>
          <w:color w:val="000000"/>
          <w:sz w:val="24"/>
          <w:szCs w:val="24"/>
        </w:rPr>
        <w:t>SEGUNDA. Procedencia.</w:t>
      </w:r>
    </w:p>
    <w:p w:rsidR="00B84DF1" w:rsidRPr="00C36261" w:rsidRDefault="009D3673"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Este Órgano Garante considera que el medio de impugnación reúne los requisitos de </w:t>
      </w:r>
      <w:r w:rsidRPr="00C36261">
        <w:rPr>
          <w:rFonts w:ascii="Palatino Linotype" w:eastAsia="Palatino Linotype" w:hAnsi="Palatino Linotype" w:cs="Palatino Linotype"/>
          <w:color w:val="000000"/>
        </w:rPr>
        <w:t>procedencia</w:t>
      </w:r>
      <w:r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106B9D" w:rsidRPr="00C36261" w:rsidRDefault="00106B9D" w:rsidP="009D6D7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874872" w:rsidRPr="00C36261" w:rsidRDefault="0087487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Asimismo, po</w:t>
      </w:r>
      <w:r w:rsidR="00106B9D" w:rsidRPr="00C36261">
        <w:rPr>
          <w:rFonts w:ascii="Palatino Linotype" w:eastAsia="Palatino Linotype" w:hAnsi="Palatino Linotype" w:cs="Palatino Linotype"/>
          <w:color w:val="000000"/>
        </w:rPr>
        <w:t>r cuanto hace a la procedencia</w:t>
      </w:r>
      <w:r w:rsidRPr="00C36261">
        <w:rPr>
          <w:rFonts w:ascii="Palatino Linotype" w:eastAsia="Palatino Linotype" w:hAnsi="Palatino Linotype" w:cs="Palatino Linotype"/>
          <w:color w:val="000000"/>
        </w:rPr>
        <w:t xml:space="preserve"> de</w:t>
      </w:r>
      <w:r w:rsidRPr="00C36261">
        <w:rPr>
          <w:rFonts w:ascii="Palatino Linotype" w:eastAsia="Palatino Linotype" w:hAnsi="Palatino Linotype" w:cs="Palatino Linotype"/>
        </w:rPr>
        <w:t>l</w:t>
      </w:r>
      <w:r w:rsidRPr="00C36261">
        <w:rPr>
          <w:rFonts w:ascii="Palatino Linotype" w:eastAsia="Palatino Linotype" w:hAnsi="Palatino Linotype" w:cs="Palatino Linotype"/>
          <w:color w:val="000000"/>
        </w:rPr>
        <w:t xml:space="preserve"> recurso de </w:t>
      </w:r>
      <w:r w:rsidRPr="00C36261">
        <w:rPr>
          <w:rFonts w:ascii="Palatino Linotype" w:eastAsia="Palatino Linotype" w:hAnsi="Palatino Linotype" w:cs="Palatino Linotype"/>
        </w:rPr>
        <w:t>revisión</w:t>
      </w:r>
      <w:r w:rsidRPr="00C36261">
        <w:rPr>
          <w:rFonts w:ascii="Palatino Linotype" w:eastAsia="Palatino Linotype" w:hAnsi="Palatino Linotype" w:cs="Palatino Linotype"/>
          <w:color w:val="000000"/>
        </w:rPr>
        <w:t>, es de suma importancia señalar que la parte</w:t>
      </w:r>
      <w:r w:rsidRPr="00C36261">
        <w:rPr>
          <w:rFonts w:ascii="Palatino Linotype" w:eastAsia="Palatino Linotype" w:hAnsi="Palatino Linotype" w:cs="Palatino Linotype"/>
          <w:b/>
          <w:color w:val="000000"/>
        </w:rPr>
        <w:t xml:space="preserve"> Recurrente</w:t>
      </w:r>
      <w:r w:rsidRPr="00C36261">
        <w:rPr>
          <w:rFonts w:ascii="Palatino Linotype" w:eastAsia="Palatino Linotype" w:hAnsi="Palatino Linotype" w:cs="Palatino Linotype"/>
          <w:color w:val="000000"/>
        </w:rPr>
        <w:t xml:space="preserve">, no señaló un nombre con el que pueda ser identificado, tal como se advierte en el detalle de seguimiento del SAIMEX, no obstante, no </w:t>
      </w:r>
      <w:r w:rsidRPr="00C36261">
        <w:rPr>
          <w:rFonts w:ascii="Palatino Linotype" w:eastAsia="Palatino Linotype" w:hAnsi="Palatino Linotype" w:cs="Palatino Linotype"/>
        </w:rPr>
        <w:t>proporcionar</w:t>
      </w:r>
      <w:r w:rsidRPr="00C36261">
        <w:rPr>
          <w:rFonts w:ascii="Palatino Linotype" w:eastAsia="Palatino Linotype" w:hAnsi="Palatino Linotype" w:cs="Palatino Linotype"/>
          <w:color w:val="000000"/>
        </w:rPr>
        <w:t xml:space="preserve">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74872" w:rsidRPr="00C36261" w:rsidRDefault="00874872"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lastRenderedPageBreak/>
        <w:t xml:space="preserve">"Las </w:t>
      </w:r>
      <w:r w:rsidRPr="00C36261">
        <w:rPr>
          <w:rFonts w:ascii="Palatino Linotype" w:eastAsia="Palatino Linotype" w:hAnsi="Palatino Linotype" w:cs="Palatino Linotype"/>
          <w:b/>
          <w:i/>
          <w:color w:val="000000"/>
        </w:rPr>
        <w:t>solicitudes anónimas</w:t>
      </w:r>
      <w:r w:rsidRPr="00C36261">
        <w:rPr>
          <w:rFonts w:ascii="Palatino Linotype" w:eastAsia="Palatino Linotype" w:hAnsi="Palatino Linotype" w:cs="Palatino Linotype"/>
          <w:i/>
          <w:color w:val="000000"/>
        </w:rPr>
        <w:t>, con nombre incompleto o seudónimo serán procedentes para su trámite por parte del sujeto obligado ante quien se presente. No podrá requerirse información adicional con motivo del nombre proporcionado por el solicitante."</w:t>
      </w:r>
    </w:p>
    <w:p w:rsidR="00874872" w:rsidRPr="00C36261" w:rsidRDefault="00874872" w:rsidP="009D6D73">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i/>
          <w:color w:val="000000"/>
        </w:rPr>
      </w:pPr>
    </w:p>
    <w:p w:rsidR="00874872" w:rsidRPr="00C36261" w:rsidRDefault="0087487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Al mismo tiempo, por cuanto hace a la proced</w:t>
      </w:r>
      <w:r w:rsidR="00156FC2" w:rsidRPr="00C36261">
        <w:rPr>
          <w:rFonts w:ascii="Palatino Linotype" w:eastAsia="Palatino Linotype" w:hAnsi="Palatino Linotype" w:cs="Palatino Linotype"/>
        </w:rPr>
        <w:t>encia</w:t>
      </w:r>
      <w:r w:rsidRPr="00C36261">
        <w:rPr>
          <w:rFonts w:ascii="Palatino Linotype" w:eastAsia="Palatino Linotype" w:hAnsi="Palatino Linotype" w:cs="Palatino Linotype"/>
        </w:rPr>
        <w:t xml:space="preserve"> del recurso de revisión, una vez realizado el </w:t>
      </w:r>
      <w:r w:rsidRPr="00C36261">
        <w:rPr>
          <w:rFonts w:ascii="Palatino Linotype" w:eastAsia="Palatino Linotype" w:hAnsi="Palatino Linotype" w:cs="Palatino Linotype"/>
          <w:color w:val="000000"/>
        </w:rPr>
        <w:t>análisis</w:t>
      </w:r>
      <w:r w:rsidRPr="00C36261">
        <w:rPr>
          <w:rFonts w:ascii="Palatino Linotype" w:eastAsia="Palatino Linotype" w:hAnsi="Palatino Linotype" w:cs="Palatino Linotype"/>
        </w:rPr>
        <w:t xml:space="preserve">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996255" w:rsidRPr="00C36261" w:rsidRDefault="00996255" w:rsidP="009D6D7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B84DF1" w:rsidRPr="00C36261" w:rsidRDefault="009D3673"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Finalmente, el escrito contiene las formalidades previstas por el artículo 180 último </w:t>
      </w:r>
      <w:r w:rsidR="00A227E2" w:rsidRPr="00C36261">
        <w:rPr>
          <w:rFonts w:ascii="Palatino Linotype" w:eastAsia="Palatino Linotype" w:hAnsi="Palatino Linotype" w:cs="Palatino Linotype"/>
        </w:rPr>
        <w:t>párrafo de la citada Ley de la M</w:t>
      </w:r>
      <w:r w:rsidRPr="00C36261">
        <w:rPr>
          <w:rFonts w:ascii="Palatino Linotype" w:eastAsia="Palatino Linotype" w:hAnsi="Palatino Linotype" w:cs="Palatino Linotype"/>
        </w:rPr>
        <w:t>ateria, por lo que es procedente que este Instituto conozca y resuelva el presente Recurso de Revisión.</w:t>
      </w:r>
    </w:p>
    <w:p w:rsidR="00B84DF1" w:rsidRPr="00C36261" w:rsidRDefault="00B84DF1" w:rsidP="009D6D73">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rsidR="00B84DF1" w:rsidRPr="00C36261" w:rsidRDefault="009D3673" w:rsidP="009D6D73">
      <w:pPr>
        <w:pStyle w:val="Ttulo1"/>
        <w:spacing w:before="0" w:line="360" w:lineRule="auto"/>
        <w:ind w:right="49"/>
        <w:rPr>
          <w:rFonts w:ascii="Palatino Linotype" w:eastAsia="Palatino Linotype" w:hAnsi="Palatino Linotype" w:cs="Palatino Linotype"/>
          <w:b/>
          <w:color w:val="000000"/>
          <w:sz w:val="24"/>
          <w:szCs w:val="24"/>
        </w:rPr>
      </w:pPr>
      <w:bookmarkStart w:id="5" w:name="_heading=h.tyjcwt" w:colFirst="0" w:colLast="0"/>
      <w:bookmarkEnd w:id="5"/>
      <w:r w:rsidRPr="00C36261">
        <w:rPr>
          <w:rFonts w:ascii="Palatino Linotype" w:eastAsia="Palatino Linotype" w:hAnsi="Palatino Linotype" w:cs="Palatino Linotype"/>
          <w:b/>
          <w:color w:val="000000"/>
          <w:sz w:val="24"/>
          <w:szCs w:val="24"/>
        </w:rPr>
        <w:t xml:space="preserve">TERCERA. </w:t>
      </w:r>
      <w:r w:rsidR="00B44995" w:rsidRPr="00C36261">
        <w:rPr>
          <w:rFonts w:ascii="Palatino Linotype" w:eastAsia="Palatino Linotype" w:hAnsi="Palatino Linotype" w:cs="Palatino Linotype"/>
          <w:b/>
          <w:color w:val="000000"/>
          <w:sz w:val="24"/>
          <w:szCs w:val="24"/>
        </w:rPr>
        <w:t>De</w:t>
      </w:r>
      <w:r w:rsidR="001268E9" w:rsidRPr="00C36261">
        <w:rPr>
          <w:rFonts w:ascii="Palatino Linotype" w:eastAsia="Palatino Linotype" w:hAnsi="Palatino Linotype" w:cs="Palatino Linotype"/>
          <w:b/>
          <w:color w:val="000000"/>
          <w:sz w:val="24"/>
          <w:szCs w:val="24"/>
        </w:rPr>
        <w:t xml:space="preserve">l planteamiento de la </w:t>
      </w:r>
      <w:r w:rsidR="001268E9" w:rsidRPr="00C36261">
        <w:rPr>
          <w:rFonts w:ascii="Palatino Linotype" w:eastAsia="Palatino Linotype" w:hAnsi="Palatino Linotype" w:cs="Palatino Linotype"/>
          <w:b/>
          <w:i/>
          <w:color w:val="000000"/>
          <w:sz w:val="24"/>
          <w:szCs w:val="24"/>
        </w:rPr>
        <w:t>Litis</w:t>
      </w:r>
    </w:p>
    <w:p w:rsidR="00B84DF1" w:rsidRPr="00C36261" w:rsidRDefault="009D3673"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Se solicitó tener acceso, a la información que a continuación se simplifica</w:t>
      </w:r>
      <w:r w:rsidR="00156FC2" w:rsidRPr="00C36261">
        <w:rPr>
          <w:rFonts w:ascii="Palatino Linotype" w:eastAsia="Palatino Linotype" w:hAnsi="Palatino Linotype" w:cs="Palatino Linotype"/>
          <w:color w:val="000000"/>
        </w:rPr>
        <w:t xml:space="preserve">, del </w:t>
      </w:r>
      <w:r w:rsidR="00156FC2" w:rsidRPr="00C36261">
        <w:rPr>
          <w:rFonts w:ascii="Palatino Linotype" w:eastAsia="Palatino Linotype" w:hAnsi="Palatino Linotype" w:cs="Palatino Linotype"/>
          <w:b/>
          <w:color w:val="000000"/>
        </w:rPr>
        <w:t>1 de enero de 2022 al 25 de enero de 2025</w:t>
      </w:r>
      <w:r w:rsidRPr="00C36261">
        <w:rPr>
          <w:rFonts w:ascii="Palatino Linotype" w:eastAsia="Palatino Linotype" w:hAnsi="Palatino Linotype" w:cs="Palatino Linotype"/>
          <w:color w:val="000000"/>
        </w:rPr>
        <w:t>:</w:t>
      </w:r>
    </w:p>
    <w:p w:rsidR="00156FC2" w:rsidRPr="00C36261" w:rsidRDefault="00156FC2" w:rsidP="00BB24E0">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C36261">
        <w:rPr>
          <w:rFonts w:ascii="Palatino Linotype" w:eastAsia="Palatino Linotype" w:hAnsi="Palatino Linotype" w:cs="Palatino Linotype"/>
          <w:b/>
          <w:color w:val="000000"/>
        </w:rPr>
        <w:t>Todos los expedientes de los tres turnos del juez cívico;</w:t>
      </w:r>
      <w:r w:rsidR="00E15CF3" w:rsidRPr="00C36261">
        <w:rPr>
          <w:rFonts w:ascii="Palatino Linotype" w:eastAsia="Palatino Linotype" w:hAnsi="Palatino Linotype" w:cs="Palatino Linotype"/>
          <w:b/>
          <w:color w:val="000000"/>
        </w:rPr>
        <w:t xml:space="preserve"> y</w:t>
      </w:r>
    </w:p>
    <w:p w:rsidR="00B84DF1" w:rsidRPr="00C36261" w:rsidRDefault="00156FC2" w:rsidP="00BB24E0">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C36261">
        <w:rPr>
          <w:rFonts w:ascii="Palatino Linotype" w:eastAsia="Palatino Linotype" w:hAnsi="Palatino Linotype" w:cs="Palatino Linotype"/>
          <w:b/>
          <w:color w:val="000000"/>
        </w:rPr>
        <w:t>Los convenios y conciliaciones realizadas</w:t>
      </w:r>
      <w:r w:rsidR="00EE5A08" w:rsidRPr="00C36261">
        <w:rPr>
          <w:rFonts w:ascii="Palatino Linotype" w:eastAsia="Palatino Linotype" w:hAnsi="Palatino Linotype" w:cs="Palatino Linotype"/>
          <w:b/>
          <w:color w:val="000000"/>
        </w:rPr>
        <w:t>.</w:t>
      </w:r>
    </w:p>
    <w:p w:rsidR="00EE5A08" w:rsidRPr="00C36261" w:rsidRDefault="00EE5A08" w:rsidP="009D6D73">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B84DF1" w:rsidRPr="00C36261" w:rsidRDefault="009D3673"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rPr>
        <w:t xml:space="preserve">En respuesta, el </w:t>
      </w:r>
      <w:r w:rsidR="00454DEC" w:rsidRPr="00C36261">
        <w:rPr>
          <w:rFonts w:ascii="Palatino Linotype" w:eastAsia="Palatino Linotype" w:hAnsi="Palatino Linotype" w:cs="Palatino Linotype"/>
          <w:b/>
        </w:rPr>
        <w:t xml:space="preserve">SUJETO OBLIGADO </w:t>
      </w:r>
      <w:r w:rsidR="00454DEC" w:rsidRPr="00C36261">
        <w:rPr>
          <w:rFonts w:ascii="Palatino Linotype" w:eastAsia="Palatino Linotype" w:hAnsi="Palatino Linotype" w:cs="Palatino Linotype"/>
        </w:rPr>
        <w:t xml:space="preserve">contestó </w:t>
      </w:r>
      <w:r w:rsidR="00EE5A08" w:rsidRPr="00C36261">
        <w:rPr>
          <w:rFonts w:ascii="Palatino Linotype" w:eastAsia="Palatino Linotype" w:hAnsi="Palatino Linotype" w:cs="Palatino Linotype"/>
        </w:rPr>
        <w:t xml:space="preserve">a través del oficio ya descrito </w:t>
      </w:r>
      <w:r w:rsidRPr="00C36261">
        <w:rPr>
          <w:rFonts w:ascii="Palatino Linotype" w:eastAsia="Palatino Linotype" w:hAnsi="Palatino Linotype" w:cs="Palatino Linotype"/>
        </w:rPr>
        <w:t xml:space="preserve"> en el </w:t>
      </w:r>
      <w:r w:rsidR="003D2130" w:rsidRPr="00C36261">
        <w:rPr>
          <w:rFonts w:ascii="Palatino Linotype" w:eastAsia="Palatino Linotype" w:hAnsi="Palatino Linotype" w:cs="Palatino Linotype"/>
        </w:rPr>
        <w:t xml:space="preserve">anterior </w:t>
      </w:r>
      <w:r w:rsidR="00156FC2" w:rsidRPr="00C36261">
        <w:rPr>
          <w:rFonts w:ascii="Palatino Linotype" w:eastAsia="Palatino Linotype" w:hAnsi="Palatino Linotype" w:cs="Palatino Linotype"/>
        </w:rPr>
        <w:t>P</w:t>
      </w:r>
      <w:r w:rsidRPr="00C36261">
        <w:rPr>
          <w:rFonts w:ascii="Palatino Linotype" w:eastAsia="Palatino Linotype" w:hAnsi="Palatino Linotype" w:cs="Palatino Linotype"/>
        </w:rPr>
        <w:t xml:space="preserve">árrafo </w:t>
      </w:r>
      <w:r w:rsidR="00156FC2" w:rsidRPr="00C36261">
        <w:rPr>
          <w:rFonts w:ascii="Palatino Linotype" w:eastAsia="Palatino Linotype" w:hAnsi="Palatino Linotype" w:cs="Palatino Linotype"/>
        </w:rPr>
        <w:t>5</w:t>
      </w:r>
      <w:r w:rsidRPr="00C36261">
        <w:rPr>
          <w:rFonts w:ascii="Palatino Linotype" w:eastAsia="Palatino Linotype" w:hAnsi="Palatino Linotype" w:cs="Palatino Linotype"/>
        </w:rPr>
        <w:t xml:space="preserve">. Inconforme con la respuesta, </w:t>
      </w:r>
      <w:r w:rsidR="00071823" w:rsidRPr="00C36261">
        <w:rPr>
          <w:rFonts w:ascii="Palatino Linotype" w:eastAsia="Palatino Linotype" w:hAnsi="Palatino Linotype" w:cs="Palatino Linotype"/>
        </w:rPr>
        <w:t xml:space="preserve">el solicitante </w:t>
      </w:r>
      <w:r w:rsidRPr="00C36261">
        <w:rPr>
          <w:rFonts w:ascii="Palatino Linotype" w:eastAsia="Palatino Linotype" w:hAnsi="Palatino Linotype" w:cs="Palatino Linotype"/>
        </w:rPr>
        <w:t>interpuso recurso de revisión</w:t>
      </w:r>
      <w:r w:rsidR="00961CA6" w:rsidRPr="00C36261">
        <w:rPr>
          <w:rFonts w:ascii="Palatino Linotype" w:eastAsia="Palatino Linotype" w:hAnsi="Palatino Linotype" w:cs="Palatino Linotype"/>
        </w:rPr>
        <w:t xml:space="preserve"> </w:t>
      </w:r>
      <w:r w:rsidR="00EE5A08" w:rsidRPr="00C36261">
        <w:rPr>
          <w:rFonts w:ascii="Palatino Linotype" w:eastAsia="Palatino Linotype" w:hAnsi="Palatino Linotype" w:cs="Palatino Linotype"/>
        </w:rPr>
        <w:t xml:space="preserve">inconformándose de manera esencial por la </w:t>
      </w:r>
      <w:r w:rsidR="00156FC2" w:rsidRPr="00C36261">
        <w:rPr>
          <w:rFonts w:ascii="Palatino Linotype" w:eastAsia="Palatino Linotype" w:hAnsi="Palatino Linotype" w:cs="Palatino Linotype"/>
        </w:rPr>
        <w:t>clasificación de la información</w:t>
      </w:r>
      <w:r w:rsidR="00071823" w:rsidRPr="00C36261">
        <w:rPr>
          <w:rFonts w:ascii="Palatino Linotype" w:eastAsia="Palatino Linotype" w:hAnsi="Palatino Linotype" w:cs="Palatino Linotype"/>
        </w:rPr>
        <w:t>.</w:t>
      </w:r>
    </w:p>
    <w:p w:rsidR="00B84DF1" w:rsidRPr="00C36261" w:rsidRDefault="00B84DF1" w:rsidP="009D6D73">
      <w:pPr>
        <w:spacing w:line="360" w:lineRule="auto"/>
        <w:ind w:right="49"/>
        <w:jc w:val="both"/>
        <w:rPr>
          <w:rFonts w:ascii="Palatino Linotype" w:eastAsia="Palatino Linotype" w:hAnsi="Palatino Linotype" w:cs="Palatino Linotype"/>
          <w:i/>
          <w:color w:val="000000"/>
        </w:rPr>
      </w:pPr>
    </w:p>
    <w:p w:rsidR="00B84DF1" w:rsidRPr="00C36261" w:rsidRDefault="009D3673" w:rsidP="009D6D73">
      <w:pPr>
        <w:numPr>
          <w:ilvl w:val="0"/>
          <w:numId w:val="1"/>
        </w:numP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lastRenderedPageBreak/>
        <w:t xml:space="preserve">En dichas condiciones, la controversia a resolver en el presente proveído, corresponde a determinar si se actualiza la causal de procedencia prevista en el artículo 179, fracción </w:t>
      </w:r>
      <w:r w:rsidR="00156FC2" w:rsidRPr="00C36261">
        <w:rPr>
          <w:rFonts w:ascii="Palatino Linotype" w:eastAsia="Palatino Linotype" w:hAnsi="Palatino Linotype" w:cs="Palatino Linotype"/>
        </w:rPr>
        <w:t>II</w:t>
      </w:r>
      <w:r w:rsidRPr="00C36261">
        <w:rPr>
          <w:rFonts w:ascii="Palatino Linotype" w:eastAsia="Palatino Linotype" w:hAnsi="Palatino Linotype" w:cs="Palatino Linotype"/>
          <w:b/>
        </w:rPr>
        <w:t xml:space="preserve"> </w:t>
      </w:r>
      <w:r w:rsidRPr="00C36261">
        <w:rPr>
          <w:rFonts w:ascii="Palatino Linotype" w:eastAsia="Palatino Linotype" w:hAnsi="Palatino Linotype" w:cs="Palatino Linotype"/>
        </w:rPr>
        <w:t>de la Ley de Transparencia y Acceso a la Información Pública del Estado de</w:t>
      </w:r>
      <w:r w:rsidRPr="00C36261">
        <w:rPr>
          <w:rFonts w:ascii="Palatino Linotype" w:eastAsia="Palatino Linotype" w:hAnsi="Palatino Linotype" w:cs="Palatino Linotype"/>
          <w:b/>
        </w:rPr>
        <w:t xml:space="preserve"> </w:t>
      </w:r>
      <w:r w:rsidRPr="00C36261">
        <w:rPr>
          <w:rFonts w:ascii="Palatino Linotype" w:eastAsia="Palatino Linotype" w:hAnsi="Palatino Linotype" w:cs="Palatino Linotype"/>
        </w:rPr>
        <w:t>México</w:t>
      </w:r>
      <w:r w:rsidRPr="00C36261">
        <w:rPr>
          <w:rFonts w:ascii="Palatino Linotype" w:eastAsia="Palatino Linotype" w:hAnsi="Palatino Linotype" w:cs="Palatino Linotype"/>
          <w:b/>
        </w:rPr>
        <w:t xml:space="preserve"> </w:t>
      </w:r>
      <w:r w:rsidRPr="00C36261">
        <w:rPr>
          <w:rFonts w:ascii="Palatino Linotype" w:eastAsia="Palatino Linotype" w:hAnsi="Palatino Linotype" w:cs="Palatino Linotype"/>
        </w:rPr>
        <w:t>y</w:t>
      </w:r>
      <w:r w:rsidRPr="00C36261">
        <w:rPr>
          <w:rFonts w:ascii="Palatino Linotype" w:eastAsia="Palatino Linotype" w:hAnsi="Palatino Linotype" w:cs="Palatino Linotype"/>
          <w:b/>
        </w:rPr>
        <w:t xml:space="preserve"> </w:t>
      </w:r>
      <w:r w:rsidRPr="00C36261">
        <w:rPr>
          <w:rFonts w:ascii="Palatino Linotype" w:eastAsia="Palatino Linotype" w:hAnsi="Palatino Linotype" w:cs="Palatino Linotype"/>
        </w:rPr>
        <w:t xml:space="preserve">Municipios; </w:t>
      </w:r>
      <w:r w:rsidRPr="00C36261">
        <w:rPr>
          <w:rFonts w:ascii="Palatino Linotype" w:eastAsia="Palatino Linotype" w:hAnsi="Palatino Linotype" w:cs="Palatino Linotype"/>
          <w:color w:val="000000"/>
        </w:rPr>
        <w:t xml:space="preserve">fracción que determina </w:t>
      </w:r>
      <w:r w:rsidR="00156FC2" w:rsidRPr="00C36261">
        <w:rPr>
          <w:rFonts w:ascii="Palatino Linotype" w:eastAsia="Palatino Linotype" w:hAnsi="Palatino Linotype" w:cs="Palatino Linotype"/>
          <w:color w:val="000000"/>
        </w:rPr>
        <w:t>como causa de procedencia del recurso de revisión la clasificación de la información</w:t>
      </w:r>
      <w:r w:rsidRPr="00C36261">
        <w:rPr>
          <w:rFonts w:ascii="Palatino Linotype" w:eastAsia="Palatino Linotype" w:hAnsi="Palatino Linotype" w:cs="Palatino Linotype"/>
        </w:rPr>
        <w:t>.</w:t>
      </w:r>
      <w:r w:rsidR="003D2130" w:rsidRPr="00C36261">
        <w:rPr>
          <w:rFonts w:ascii="Palatino Linotype" w:eastAsia="Palatino Linotype" w:hAnsi="Palatino Linotype" w:cs="Palatino Linotype"/>
          <w:color w:val="000000"/>
        </w:rPr>
        <w:t xml:space="preserve"> De modo tal que el presente R</w:t>
      </w:r>
      <w:r w:rsidRPr="00C36261">
        <w:rPr>
          <w:rFonts w:ascii="Palatino Linotype" w:eastAsia="Palatino Linotype" w:hAnsi="Palatino Linotype" w:cs="Palatino Linotype"/>
          <w:color w:val="000000"/>
        </w:rPr>
        <w:t xml:space="preserve">ecurso de </w:t>
      </w:r>
      <w:r w:rsidR="003D2130" w:rsidRPr="00C36261">
        <w:rPr>
          <w:rFonts w:ascii="Palatino Linotype" w:eastAsia="Palatino Linotype" w:hAnsi="Palatino Linotype" w:cs="Palatino Linotype"/>
          <w:color w:val="000000"/>
        </w:rPr>
        <w:t>R</w:t>
      </w:r>
      <w:r w:rsidRPr="00C36261">
        <w:rPr>
          <w:rFonts w:ascii="Palatino Linotype" w:eastAsia="Palatino Linotype" w:hAnsi="Palatino Linotype" w:cs="Palatino Linotype"/>
          <w:color w:val="000000"/>
        </w:rPr>
        <w:t xml:space="preserve">evisión se </w:t>
      </w:r>
      <w:r w:rsidRPr="00C36261">
        <w:rPr>
          <w:rFonts w:ascii="Palatino Linotype" w:eastAsia="Palatino Linotype" w:hAnsi="Palatino Linotype" w:cs="Palatino Linotype"/>
        </w:rPr>
        <w:t>abocará</w:t>
      </w:r>
      <w:r w:rsidRPr="00C36261">
        <w:rPr>
          <w:rFonts w:ascii="Palatino Linotype" w:eastAsia="Palatino Linotype" w:hAnsi="Palatino Linotype" w:cs="Palatino Linotype"/>
          <w:color w:val="000000"/>
        </w:rPr>
        <w:t xml:space="preserve"> en determinar si el Sujeto Obligado con su respuesta ciertamente actualiza la causal de procedencia</w:t>
      </w:r>
      <w:r w:rsidRPr="00C36261">
        <w:rPr>
          <w:rFonts w:ascii="Palatino Linotype" w:eastAsia="Palatino Linotype" w:hAnsi="Palatino Linotype" w:cs="Palatino Linotype"/>
          <w:b/>
          <w:color w:val="000000"/>
        </w:rPr>
        <w:t xml:space="preserve"> </w:t>
      </w:r>
      <w:r w:rsidRPr="00C36261">
        <w:rPr>
          <w:rFonts w:ascii="Palatino Linotype" w:eastAsia="Palatino Linotype" w:hAnsi="Palatino Linotype" w:cs="Palatino Linotype"/>
          <w:color w:val="000000"/>
        </w:rPr>
        <w:t>señalada.</w:t>
      </w:r>
    </w:p>
    <w:p w:rsidR="00B84DF1" w:rsidRPr="00C36261" w:rsidRDefault="00B84DF1" w:rsidP="009D6D73">
      <w:pPr>
        <w:spacing w:line="360" w:lineRule="auto"/>
        <w:ind w:right="49"/>
        <w:rPr>
          <w:rFonts w:ascii="Palatino Linotype" w:eastAsia="Palatino Linotype" w:hAnsi="Palatino Linotype" w:cs="Palatino Linotype"/>
        </w:rPr>
      </w:pPr>
    </w:p>
    <w:p w:rsidR="001268E9" w:rsidRPr="00C36261" w:rsidRDefault="001268E9" w:rsidP="009D6D73">
      <w:pPr>
        <w:pStyle w:val="Ttulo1"/>
        <w:spacing w:before="0" w:line="360" w:lineRule="auto"/>
        <w:ind w:right="49"/>
        <w:rPr>
          <w:rFonts w:ascii="Palatino Linotype" w:eastAsia="Palatino Linotype" w:hAnsi="Palatino Linotype" w:cs="Palatino Linotype"/>
          <w:b/>
          <w:color w:val="000000"/>
          <w:sz w:val="24"/>
          <w:szCs w:val="24"/>
        </w:rPr>
      </w:pPr>
      <w:r w:rsidRPr="00C36261">
        <w:rPr>
          <w:rFonts w:ascii="Palatino Linotype" w:eastAsia="Palatino Linotype" w:hAnsi="Palatino Linotype" w:cs="Palatino Linotype"/>
          <w:b/>
          <w:color w:val="000000"/>
          <w:sz w:val="24"/>
          <w:szCs w:val="24"/>
        </w:rPr>
        <w:t xml:space="preserve">CUATO. </w:t>
      </w:r>
      <w:r w:rsidR="00EC2856" w:rsidRPr="00C36261">
        <w:rPr>
          <w:rFonts w:ascii="Palatino Linotype" w:eastAsia="Palatino Linotype" w:hAnsi="Palatino Linotype" w:cs="Palatino Linotype"/>
          <w:b/>
          <w:color w:val="000000"/>
          <w:sz w:val="24"/>
          <w:szCs w:val="24"/>
        </w:rPr>
        <w:t>Estudio y resolución</w:t>
      </w:r>
    </w:p>
    <w:p w:rsidR="00B84DF1" w:rsidRPr="00C36261" w:rsidRDefault="009D3673" w:rsidP="009D6D73">
      <w:pPr>
        <w:numPr>
          <w:ilvl w:val="0"/>
          <w:numId w:val="1"/>
        </w:numPr>
        <w:spacing w:line="360" w:lineRule="auto"/>
        <w:ind w:left="0" w:right="49" w:firstLine="0"/>
        <w:jc w:val="both"/>
        <w:rPr>
          <w:rFonts w:ascii="Palatino Linotype" w:eastAsia="Palatino Linotype" w:hAnsi="Palatino Linotype" w:cs="Palatino Linotype"/>
        </w:rPr>
      </w:pPr>
      <w:bookmarkStart w:id="6" w:name="_heading=h.3dy6vkm" w:colFirst="0" w:colLast="0"/>
      <w:bookmarkEnd w:id="6"/>
      <w:r w:rsidRPr="00C36261">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655B77" w:rsidRPr="00C36261" w:rsidRDefault="00655B77" w:rsidP="009D6D73">
      <w:pPr>
        <w:spacing w:line="360" w:lineRule="auto"/>
        <w:ind w:right="49"/>
        <w:jc w:val="both"/>
        <w:rPr>
          <w:rFonts w:ascii="Palatino Linotype" w:eastAsia="Palatino Linotype" w:hAnsi="Palatino Linotype" w:cs="Palatino Linotype"/>
        </w:rPr>
      </w:pPr>
    </w:p>
    <w:p w:rsidR="00B84DF1" w:rsidRPr="00C36261" w:rsidRDefault="009D3673" w:rsidP="009D6D73">
      <w:pPr>
        <w:numPr>
          <w:ilvl w:val="0"/>
          <w:numId w:val="1"/>
        </w:numP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B84DF1" w:rsidRPr="00C36261" w:rsidRDefault="009D3673" w:rsidP="009D6D73">
      <w:pPr>
        <w:numPr>
          <w:ilvl w:val="0"/>
          <w:numId w:val="1"/>
        </w:numP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lastRenderedPageBreak/>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447084" w:rsidRPr="00C36261" w:rsidRDefault="00447084" w:rsidP="009D6D73">
      <w:pPr>
        <w:pStyle w:val="Prrafodelista"/>
        <w:spacing w:line="360" w:lineRule="auto"/>
        <w:ind w:left="0" w:right="49"/>
        <w:rPr>
          <w:rFonts w:ascii="Palatino Linotype" w:eastAsia="Palatino Linotype" w:hAnsi="Palatino Linotype" w:cs="Palatino Linotype"/>
        </w:rPr>
      </w:pPr>
    </w:p>
    <w:p w:rsidR="00156FC2" w:rsidRPr="00C36261" w:rsidRDefault="009D3673"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Acotado lo anterior, es dable traer a contexto </w:t>
      </w:r>
      <w:r w:rsidR="00B60BC1" w:rsidRPr="00C36261">
        <w:rPr>
          <w:rFonts w:ascii="Palatino Linotype" w:eastAsia="Palatino Linotype" w:hAnsi="Palatino Linotype" w:cs="Palatino Linotype"/>
        </w:rPr>
        <w:t xml:space="preserve">la respuesta, </w:t>
      </w:r>
      <w:r w:rsidR="00156FC2" w:rsidRPr="00C36261">
        <w:rPr>
          <w:rFonts w:ascii="Palatino Linotype" w:eastAsia="Palatino Linotype" w:hAnsi="Palatino Linotype" w:cs="Palatino Linotype"/>
        </w:rPr>
        <w:t xml:space="preserve">misma que fue </w:t>
      </w:r>
      <w:r w:rsidR="00996255" w:rsidRPr="00C36261">
        <w:rPr>
          <w:rFonts w:ascii="Palatino Linotype" w:eastAsia="Palatino Linotype" w:hAnsi="Palatino Linotype" w:cs="Palatino Linotype"/>
        </w:rPr>
        <w:t>manifestada</w:t>
      </w:r>
      <w:r w:rsidR="00156FC2" w:rsidRPr="00C36261">
        <w:rPr>
          <w:rFonts w:ascii="Palatino Linotype" w:eastAsia="Palatino Linotype" w:hAnsi="Palatino Linotype" w:cs="Palatino Linotype"/>
        </w:rPr>
        <w:t xml:space="preserve"> por Coordinador del Ce</w:t>
      </w:r>
      <w:r w:rsidR="00996255" w:rsidRPr="00C36261">
        <w:rPr>
          <w:rFonts w:ascii="Palatino Linotype" w:eastAsia="Palatino Linotype" w:hAnsi="Palatino Linotype" w:cs="Palatino Linotype"/>
        </w:rPr>
        <w:t>ntro de Justicia Cívica, informando de</w:t>
      </w:r>
      <w:r w:rsidR="00156FC2" w:rsidRPr="00C36261">
        <w:rPr>
          <w:rFonts w:ascii="Palatino Linotype" w:eastAsia="Palatino Linotype" w:hAnsi="Palatino Linotype" w:cs="Palatino Linotype"/>
        </w:rPr>
        <w:t xml:space="preserve"> la clasificación de la información como reservada, mediante Acuerdo número CT-NAU/ACTA-EXT-004/2025/10, de la Cuarta Sesión Extraordinaria del Comité de Transparencia, celebrada el trece de febrero del </w:t>
      </w:r>
      <w:r w:rsidR="00996255" w:rsidRPr="00C36261">
        <w:rPr>
          <w:rFonts w:ascii="Palatino Linotype" w:eastAsia="Palatino Linotype" w:hAnsi="Palatino Linotype" w:cs="Palatino Linotype"/>
        </w:rPr>
        <w:t xml:space="preserve">año en curso; toda vez que refieren, </w:t>
      </w:r>
      <w:r w:rsidR="00156FC2" w:rsidRPr="00C36261">
        <w:rPr>
          <w:rFonts w:ascii="Palatino Linotype" w:eastAsia="Palatino Linotype" w:hAnsi="Palatino Linotype" w:cs="Palatino Linotype"/>
        </w:rPr>
        <w:t xml:space="preserve">que los documentos que generan los Jueces Cívicos y Facilitadores del Juzgado Cívico, contienen datos personales de </w:t>
      </w:r>
      <w:r w:rsidR="00996255" w:rsidRPr="00C36261">
        <w:rPr>
          <w:rFonts w:ascii="Palatino Linotype" w:eastAsia="Palatino Linotype" w:hAnsi="Palatino Linotype" w:cs="Palatino Linotype"/>
        </w:rPr>
        <w:t>particulares</w:t>
      </w:r>
      <w:r w:rsidR="00156FC2" w:rsidRPr="00C36261">
        <w:rPr>
          <w:rFonts w:ascii="Palatino Linotype" w:eastAsia="Palatino Linotype" w:hAnsi="Palatino Linotype" w:cs="Palatino Linotype"/>
        </w:rPr>
        <w:t xml:space="preserve"> tales como</w:t>
      </w:r>
      <w:r w:rsidR="00996255" w:rsidRPr="00C36261">
        <w:rPr>
          <w:rFonts w:ascii="Palatino Linotype" w:eastAsia="Palatino Linotype" w:hAnsi="Palatino Linotype" w:cs="Palatino Linotype"/>
        </w:rPr>
        <w:t>:</w:t>
      </w:r>
      <w:r w:rsidR="00156FC2" w:rsidRPr="00C36261">
        <w:rPr>
          <w:rFonts w:ascii="Palatino Linotype" w:eastAsia="Palatino Linotype" w:hAnsi="Palatino Linotype" w:cs="Palatino Linotype"/>
        </w:rPr>
        <w:t xml:space="preserve"> nombre, firma, huellas, edad, estado civil, domicilio, datos del oficial que remite como Sector, Cuadrante, número de patrulla asignado, número de empleado y</w:t>
      </w:r>
      <w:r w:rsidR="00996255" w:rsidRPr="00C36261">
        <w:rPr>
          <w:rFonts w:ascii="Palatino Linotype" w:eastAsia="Palatino Linotype" w:hAnsi="Palatino Linotype" w:cs="Palatino Linotype"/>
        </w:rPr>
        <w:t>,</w:t>
      </w:r>
      <w:r w:rsidR="00156FC2" w:rsidRPr="00C36261">
        <w:rPr>
          <w:rFonts w:ascii="Palatino Linotype" w:eastAsia="Palatino Linotype" w:hAnsi="Palatino Linotype" w:cs="Palatino Linotype"/>
        </w:rPr>
        <w:t xml:space="preserve"> lugar de nacimiento. </w:t>
      </w:r>
    </w:p>
    <w:p w:rsidR="00996255" w:rsidRPr="00C36261" w:rsidRDefault="00996255" w:rsidP="009D6D73">
      <w:pPr>
        <w:pStyle w:val="Prrafodelista"/>
        <w:ind w:left="0" w:right="49"/>
        <w:rPr>
          <w:rFonts w:ascii="Palatino Linotype" w:eastAsia="Palatino Linotype" w:hAnsi="Palatino Linotype" w:cs="Palatino Linotype"/>
        </w:rPr>
      </w:pPr>
    </w:p>
    <w:p w:rsidR="00156FC2" w:rsidRPr="00C36261" w:rsidRDefault="00996255"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Asimismo, dio atención a la S</w:t>
      </w:r>
      <w:r w:rsidR="00156FC2" w:rsidRPr="00C36261">
        <w:rPr>
          <w:rFonts w:ascii="Palatino Linotype" w:eastAsia="Palatino Linotype" w:hAnsi="Palatino Linotype" w:cs="Palatino Linotype"/>
        </w:rPr>
        <w:t xml:space="preserve">olicitud de </w:t>
      </w:r>
      <w:r w:rsidRPr="00C36261">
        <w:rPr>
          <w:rFonts w:ascii="Palatino Linotype" w:eastAsia="Palatino Linotype" w:hAnsi="Palatino Linotype" w:cs="Palatino Linotype"/>
        </w:rPr>
        <w:t>I</w:t>
      </w:r>
      <w:r w:rsidR="00156FC2" w:rsidRPr="00C36261">
        <w:rPr>
          <w:rFonts w:ascii="Palatino Linotype" w:eastAsia="Palatino Linotype" w:hAnsi="Palatino Linotype" w:cs="Palatino Linotype"/>
        </w:rPr>
        <w:t>nformación la Coordinación del Centro de Justicia Cívica adscrita a</w:t>
      </w:r>
      <w:r w:rsidRPr="00C36261">
        <w:rPr>
          <w:rFonts w:ascii="Palatino Linotype" w:eastAsia="Palatino Linotype" w:hAnsi="Palatino Linotype" w:cs="Palatino Linotype"/>
        </w:rPr>
        <w:t xml:space="preserve"> la Secretaría del Ayuntamiento, al corresponder a una área</w:t>
      </w:r>
      <w:r w:rsidR="00156FC2" w:rsidRPr="00C36261">
        <w:rPr>
          <w:rFonts w:ascii="Palatino Linotype" w:eastAsia="Palatino Linotype" w:hAnsi="Palatino Linotype" w:cs="Palatino Linotype"/>
        </w:rPr>
        <w:t xml:space="preserve"> </w:t>
      </w:r>
      <w:r w:rsidR="00156FC2" w:rsidRPr="00C36261">
        <w:rPr>
          <w:rFonts w:ascii="Palatino Linotype" w:eastAsia="Palatino Linotype" w:hAnsi="Palatino Linotype" w:cs="Palatino Linotype"/>
        </w:rPr>
        <w:lastRenderedPageBreak/>
        <w:t xml:space="preserve">competente, la cual de conformidad con el Código Reglamentario del </w:t>
      </w:r>
      <w:r w:rsidRPr="00C36261">
        <w:rPr>
          <w:rFonts w:ascii="Palatino Linotype" w:eastAsia="Palatino Linotype" w:hAnsi="Palatino Linotype" w:cs="Palatino Linotype"/>
          <w:b/>
        </w:rPr>
        <w:t>SUJETO OBLIGADO</w:t>
      </w:r>
      <w:r w:rsidR="00156FC2"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rPr>
        <w:t>a saber</w:t>
      </w:r>
      <w:r w:rsidR="00156FC2" w:rsidRPr="00C36261">
        <w:rPr>
          <w:rFonts w:ascii="Palatino Linotype" w:eastAsia="Palatino Linotype" w:hAnsi="Palatino Linotype" w:cs="Palatino Linotype"/>
        </w:rPr>
        <w:t xml:space="preserve">: </w:t>
      </w:r>
    </w:p>
    <w:p w:rsidR="00156FC2" w:rsidRPr="00C36261" w:rsidRDefault="00156FC2" w:rsidP="009D6D73">
      <w:pPr>
        <w:spacing w:line="360" w:lineRule="auto"/>
        <w:ind w:right="49"/>
        <w:jc w:val="center"/>
        <w:rPr>
          <w:rFonts w:ascii="Palatino Linotype" w:eastAsia="Palatino Linotype" w:hAnsi="Palatino Linotype" w:cs="Palatino Linotype"/>
          <w:b/>
          <w:i/>
        </w:rPr>
      </w:pPr>
      <w:r w:rsidRPr="00C36261">
        <w:rPr>
          <w:rFonts w:ascii="Palatino Linotype" w:eastAsia="Palatino Linotype" w:hAnsi="Palatino Linotype" w:cs="Palatino Linotype"/>
          <w:b/>
          <w:i/>
        </w:rPr>
        <w:t>DE LA SECRETARÍA DEL AYUNTAMIENTO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 xml:space="preserve">“Artículo 67. </w:t>
      </w:r>
      <w:r w:rsidRPr="00C36261">
        <w:rPr>
          <w:rFonts w:ascii="Palatino Linotype" w:eastAsia="Palatino Linotype" w:hAnsi="Palatino Linotype" w:cs="Palatino Linotype"/>
          <w:i/>
        </w:rPr>
        <w:t xml:space="preserve">La Secretaría del Ayuntamiento, </w:t>
      </w:r>
      <w:r w:rsidRPr="00C36261">
        <w:rPr>
          <w:rFonts w:ascii="Palatino Linotype" w:eastAsia="Palatino Linotype" w:hAnsi="Palatino Linotype" w:cs="Palatino Linotype"/>
          <w:b/>
          <w:i/>
        </w:rPr>
        <w:t>tendrá a su cargo aquellas acciones encaminadas a contribuir al eficiente desempeño de la administración pública municipal;</w:t>
      </w:r>
      <w:r w:rsidRPr="00C36261">
        <w:rPr>
          <w:rFonts w:ascii="Palatino Linotype" w:eastAsia="Palatino Linotype" w:hAnsi="Palatino Linotype" w:cs="Palatino Linotype"/>
          <w:i/>
        </w:rPr>
        <w:t xml:space="preserve"> para lo cual, expedirá las certificaciones de documentos oficiales emanados de la Administración, del Ayuntamiento o de cualquiera de sus miembros, brindará atención ciudadana mediante la expedición de constancias de vecindad, identidad y última residencia, coadyuvará con las autoridades competentes para la expedición de cartillas del servicio militar nacional, coordinará los servicios de las oficialías de registro civil del municipio, </w:t>
      </w:r>
      <w:r w:rsidRPr="00C36261">
        <w:rPr>
          <w:rFonts w:ascii="Palatino Linotype" w:eastAsia="Palatino Linotype" w:hAnsi="Palatino Linotype" w:cs="Palatino Linotype"/>
          <w:b/>
          <w:i/>
        </w:rPr>
        <w:t>será responsable de</w:t>
      </w:r>
      <w:r w:rsidRPr="00C36261">
        <w:rPr>
          <w:rFonts w:ascii="Palatino Linotype" w:eastAsia="Palatino Linotype" w:hAnsi="Palatino Linotype" w:cs="Palatino Linotype"/>
          <w:i/>
        </w:rPr>
        <w:t>l</w:t>
      </w:r>
      <w:r w:rsidRPr="00C36261">
        <w:rPr>
          <w:rFonts w:ascii="Palatino Linotype" w:eastAsia="Palatino Linotype" w:hAnsi="Palatino Linotype" w:cs="Palatino Linotype"/>
          <w:b/>
          <w:i/>
        </w:rPr>
        <w:t xml:space="preserve"> </w:t>
      </w:r>
      <w:r w:rsidRPr="00C36261">
        <w:rPr>
          <w:rFonts w:ascii="Palatino Linotype" w:eastAsia="Palatino Linotype" w:hAnsi="Palatino Linotype" w:cs="Palatino Linotype"/>
          <w:i/>
        </w:rPr>
        <w:t>archivo municipal,</w:t>
      </w:r>
      <w:r w:rsidRPr="00C36261">
        <w:rPr>
          <w:rFonts w:ascii="Palatino Linotype" w:eastAsia="Palatino Linotype" w:hAnsi="Palatino Linotype" w:cs="Palatino Linotype"/>
          <w:b/>
          <w:i/>
        </w:rPr>
        <w:t xml:space="preserve"> </w:t>
      </w:r>
      <w:r w:rsidRPr="00C36261">
        <w:rPr>
          <w:rFonts w:ascii="Palatino Linotype" w:eastAsia="Palatino Linotype" w:hAnsi="Palatino Linotype" w:cs="Palatino Linotype"/>
          <w:i/>
        </w:rPr>
        <w:t>de</w:t>
      </w:r>
      <w:r w:rsidRPr="00C36261">
        <w:rPr>
          <w:rFonts w:ascii="Palatino Linotype" w:eastAsia="Palatino Linotype" w:hAnsi="Palatino Linotype" w:cs="Palatino Linotype"/>
          <w:b/>
          <w:i/>
        </w:rPr>
        <w:t xml:space="preserve"> la Coordinación del Centro de Justicia Cívica</w:t>
      </w:r>
      <w:r w:rsidRPr="00C36261">
        <w:rPr>
          <w:rFonts w:ascii="Palatino Linotype" w:eastAsia="Palatino Linotype" w:hAnsi="Palatino Linotype" w:cs="Palatino Linotype"/>
          <w:i/>
        </w:rPr>
        <w:t>, así como del control de las peticiones; tendrá a su cargo además, a través de las unidades administrativas que la integran, emitir permisos o revocaciones para todo tipo de evento público, el registro y control del patrimonio municipal, elaborar los acuerdos, proyectos, actas de Cabildo, Gacetas Municipales, llevar a cabo visitas de verificación y aquellas notificaciones que le sean solicitadas por las distintas dependencias municipales compilar y difundir textos normativos para la elaboración de los proyectos Bando Municipal, reglamentos, manuales, acuerdos y demás disposiciones generales de carácter municipal.</w:t>
      </w:r>
    </w:p>
    <w:p w:rsidR="00156FC2" w:rsidRPr="00C36261" w:rsidRDefault="00156FC2" w:rsidP="009D6D73">
      <w:pPr>
        <w:spacing w:line="360" w:lineRule="auto"/>
        <w:ind w:right="49"/>
        <w:jc w:val="center"/>
        <w:rPr>
          <w:rFonts w:ascii="Palatino Linotype" w:eastAsia="Palatino Linotype" w:hAnsi="Palatino Linotype" w:cs="Palatino Linotype"/>
          <w:b/>
          <w:i/>
        </w:rPr>
      </w:pPr>
    </w:p>
    <w:p w:rsidR="00156FC2" w:rsidRPr="00C36261" w:rsidRDefault="00156FC2" w:rsidP="009D6D73">
      <w:pPr>
        <w:spacing w:line="360" w:lineRule="auto"/>
        <w:ind w:right="49"/>
        <w:jc w:val="center"/>
        <w:rPr>
          <w:rFonts w:ascii="Palatino Linotype" w:eastAsia="Palatino Linotype" w:hAnsi="Palatino Linotype" w:cs="Palatino Linotype"/>
          <w:b/>
          <w:i/>
        </w:rPr>
      </w:pPr>
      <w:r w:rsidRPr="00C36261">
        <w:rPr>
          <w:rFonts w:ascii="Palatino Linotype" w:eastAsia="Palatino Linotype" w:hAnsi="Palatino Linotype" w:cs="Palatino Linotype"/>
          <w:b/>
          <w:i/>
        </w:rPr>
        <w:t>DE LA COORDINACIÓN DEL CENTRO DE JUSTICIA CÍVICA</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r w:rsidRPr="00C36261">
        <w:rPr>
          <w:rFonts w:ascii="Palatino Linotype" w:eastAsia="Palatino Linotype" w:hAnsi="Palatino Linotype" w:cs="Palatino Linotype"/>
          <w:b/>
          <w:i/>
        </w:rPr>
        <w:t>Artículo 164.</w:t>
      </w:r>
      <w:r w:rsidRPr="00C36261">
        <w:rPr>
          <w:rFonts w:ascii="Palatino Linotype" w:eastAsia="Palatino Linotype" w:hAnsi="Palatino Linotype" w:cs="Palatino Linotype"/>
          <w:i/>
        </w:rPr>
        <w:t xml:space="preserve"> El Ayuntamiento, determinará la forma de organización, atribuciones y funcionamiento de la Coordinación del Centro de Justicia Cívica.</w:t>
      </w:r>
      <w:r w:rsidRPr="00C36261">
        <w:rPr>
          <w:rFonts w:ascii="Palatino Linotype" w:eastAsia="Palatino Linotype" w:hAnsi="Palatino Linotype" w:cs="Palatino Linotype"/>
          <w:i/>
        </w:rPr>
        <w:cr/>
      </w:r>
      <w:r w:rsidRPr="00C36261">
        <w:rPr>
          <w:rFonts w:ascii="Palatino Linotype" w:eastAsia="Palatino Linotype" w:hAnsi="Palatino Linotype" w:cs="Palatino Linotype"/>
          <w:b/>
          <w:i/>
        </w:rPr>
        <w:t xml:space="preserve"> </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La Coordinación del Centro de Justicia Cívica, será la Unidad Administrativa dependiente de la Secretaría del Ayuntamiento del Municipio, en la que,</w:t>
      </w:r>
      <w:r w:rsidRPr="00C36261">
        <w:rPr>
          <w:rFonts w:ascii="Palatino Linotype" w:eastAsia="Palatino Linotype" w:hAnsi="Palatino Linotype" w:cs="Palatino Linotype"/>
          <w:b/>
          <w:i/>
        </w:rPr>
        <w:t xml:space="preserve"> se imparte y administra la Justicia </w:t>
      </w:r>
      <w:r w:rsidRPr="00C36261">
        <w:rPr>
          <w:rFonts w:ascii="Palatino Linotype" w:eastAsia="Palatino Linotype" w:hAnsi="Palatino Linotype" w:cs="Palatino Linotype"/>
          <w:b/>
          <w:i/>
        </w:rPr>
        <w:lastRenderedPageBreak/>
        <w:t>Cívica</w:t>
      </w:r>
      <w:r w:rsidRPr="00C36261">
        <w:rPr>
          <w:rFonts w:ascii="Palatino Linotype" w:eastAsia="Palatino Linotype" w:hAnsi="Palatino Linotype" w:cs="Palatino Linotype"/>
          <w:i/>
        </w:rPr>
        <w:t>, y estará integrado por el Juzgado Cívico y el Centro de Mediación Municipal, y el personal necesario que se determine en el Reglamento de Justicia Cívica.</w:t>
      </w:r>
    </w:p>
    <w:p w:rsidR="00156FC2" w:rsidRPr="00C36261" w:rsidRDefault="00156FC2" w:rsidP="009D6D73">
      <w:pPr>
        <w:spacing w:line="360" w:lineRule="auto"/>
        <w:ind w:right="49"/>
        <w:jc w:val="both"/>
        <w:rPr>
          <w:rFonts w:ascii="Palatino Linotype" w:eastAsia="Palatino Linotype" w:hAnsi="Palatino Linotype" w:cs="Palatino Linotype"/>
          <w:i/>
        </w:rPr>
      </w:pP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 xml:space="preserve">El </w:t>
      </w:r>
      <w:r w:rsidRPr="00C36261">
        <w:rPr>
          <w:rFonts w:ascii="Palatino Linotype" w:eastAsia="Palatino Linotype" w:hAnsi="Palatino Linotype" w:cs="Palatino Linotype"/>
          <w:b/>
          <w:i/>
          <w:u w:val="single"/>
        </w:rPr>
        <w:t>Juzgado Cívico</w:t>
      </w:r>
      <w:r w:rsidRPr="00C36261">
        <w:rPr>
          <w:rFonts w:ascii="Palatino Linotype" w:eastAsia="Palatino Linotype" w:hAnsi="Palatino Linotype" w:cs="Palatino Linotype"/>
          <w:b/>
          <w:i/>
        </w:rPr>
        <w:t>, se encargará de la impartición y administración de la Justicia Cívica; y; tendrá la facultad de conocer, calificar, imponer o conmutar sanciones administrativas por infracciones al presente Bando Municipal, el Reglamento de Justicia Cívica y demás  disposiciones</w:t>
      </w:r>
      <w:r w:rsidRPr="00C36261">
        <w:rPr>
          <w:rFonts w:ascii="Palatino Linotype" w:eastAsia="Palatino Linotype" w:hAnsi="Palatino Linotype" w:cs="Palatino Linotype"/>
          <w:i/>
        </w:rPr>
        <w:t xml:space="preserve"> de carácter general contenidas en la normatividad municipal; así como, las derivadas del Libro Octavo del Código Administrativo, exceptuando las de carácter fiscal; así como las facultades y atribuciones contenidas en la Ley Orgánica, y las disposiciones en materia de Justicia Cívica.</w:t>
      </w:r>
    </w:p>
    <w:p w:rsidR="00156FC2" w:rsidRPr="00C36261" w:rsidRDefault="00156FC2" w:rsidP="009D6D73">
      <w:pPr>
        <w:spacing w:line="360" w:lineRule="auto"/>
        <w:ind w:right="49"/>
        <w:rPr>
          <w:rFonts w:ascii="Palatino Linotype" w:eastAsia="Palatino Linotype" w:hAnsi="Palatino Linotype" w:cs="Palatino Linotype"/>
          <w:i/>
        </w:rPr>
      </w:pPr>
    </w:p>
    <w:p w:rsidR="00156FC2" w:rsidRPr="00C36261" w:rsidRDefault="00156FC2" w:rsidP="009D6D73">
      <w:pPr>
        <w:spacing w:line="360" w:lineRule="auto"/>
        <w:ind w:right="49"/>
        <w:jc w:val="both"/>
        <w:rPr>
          <w:rFonts w:ascii="Palatino Linotype" w:eastAsia="Palatino Linotype" w:hAnsi="Palatino Linotype" w:cs="Palatino Linotype"/>
          <w:b/>
          <w:i/>
        </w:rPr>
      </w:pPr>
      <w:r w:rsidRPr="00C36261">
        <w:rPr>
          <w:rFonts w:ascii="Palatino Linotype" w:eastAsia="Palatino Linotype" w:hAnsi="Palatino Linotype" w:cs="Palatino Linotype"/>
          <w:b/>
          <w:i/>
        </w:rPr>
        <w:t xml:space="preserve">El </w:t>
      </w:r>
      <w:r w:rsidRPr="00C36261">
        <w:rPr>
          <w:rFonts w:ascii="Palatino Linotype" w:eastAsia="Palatino Linotype" w:hAnsi="Palatino Linotype" w:cs="Palatino Linotype"/>
          <w:b/>
          <w:i/>
          <w:u w:val="single"/>
        </w:rPr>
        <w:t>Centro de Mediación Municipal</w:t>
      </w:r>
      <w:r w:rsidRPr="00C36261">
        <w:rPr>
          <w:rFonts w:ascii="Palatino Linotype" w:eastAsia="Palatino Linotype" w:hAnsi="Palatino Linotype" w:cs="Palatino Linotype"/>
          <w:b/>
          <w:i/>
        </w:rPr>
        <w:t>, es la unidad administrativa encargada de substanciar el procedimiento de mediación y conciliación de las partes en conflicto dentro del territorio municipal y tienen por objeto avenir a los sujetos que se encuentren en conflicto a resolverlo a través de una propuesta de solución, que evite en lo posible su trascendencia al ámbito jurisdiccional.</w:t>
      </w:r>
    </w:p>
    <w:p w:rsidR="00156FC2" w:rsidRPr="00C36261" w:rsidRDefault="00156FC2" w:rsidP="009D6D73">
      <w:pPr>
        <w:spacing w:line="360" w:lineRule="auto"/>
        <w:ind w:right="49"/>
        <w:jc w:val="both"/>
        <w:rPr>
          <w:rFonts w:ascii="Palatino Linotype" w:eastAsia="Palatino Linotype" w:hAnsi="Palatino Linotype" w:cs="Palatino Linotype"/>
          <w:i/>
        </w:rPr>
      </w:pP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Los Jueces Cívicos, así como los Facilitadores y Mediadores, serán designados conforme a los establecido por la Ley de Justicia Cívica del Estado de México y sus Municipios, siempre respetando y privilegiando los principios de no discriminación e igualdad de oportunidades en perspectiva de género y tendrán su sede en la Cabecera Municipal y en las localidades o comunidades que el Ayuntamiento determine, apegados a las funciones establecidas en la Ley de Justicia Cívica del Estado de México y sus Municipios y disposiciones en materia de Justicia Cívica y Mediación…”</w:t>
      </w:r>
    </w:p>
    <w:p w:rsidR="00156FC2" w:rsidRPr="00C36261" w:rsidRDefault="00156FC2" w:rsidP="009D6D73">
      <w:pPr>
        <w:spacing w:line="360" w:lineRule="auto"/>
        <w:ind w:right="49"/>
        <w:jc w:val="both"/>
        <w:rPr>
          <w:rFonts w:ascii="Palatino Linotype" w:eastAsia="Palatino Linotype" w:hAnsi="Palatino Linotype" w:cs="Palatino Linotype"/>
        </w:rPr>
      </w:pPr>
      <w:r w:rsidRPr="00C36261">
        <w:rPr>
          <w:rFonts w:ascii="Palatino Linotype" w:eastAsia="Palatino Linotype" w:hAnsi="Palatino Linotype" w:cs="Palatino Linotype"/>
        </w:rPr>
        <w:t>(Énfasis Añadido)</w:t>
      </w: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lastRenderedPageBreak/>
        <w:t xml:space="preserve">Es así que, se </w:t>
      </w:r>
      <w:r w:rsidR="00996255" w:rsidRPr="00C36261">
        <w:rPr>
          <w:rFonts w:ascii="Palatino Linotype" w:eastAsia="Palatino Linotype" w:hAnsi="Palatino Linotype" w:cs="Palatino Linotype"/>
        </w:rPr>
        <w:t>concluye</w:t>
      </w:r>
      <w:r w:rsidRPr="00C36261">
        <w:rPr>
          <w:rFonts w:ascii="Palatino Linotype" w:eastAsia="Palatino Linotype" w:hAnsi="Palatino Linotype" w:cs="Palatino Linotype"/>
        </w:rPr>
        <w:t xml:space="preserve"> que quien dio atención a la solicitud de información, fue la unidad administrativa competente. Dicho lo anterior, resulta pertinente traer a colación que de conformidad con el portal del Secretariado Ejecutivo del Sistema Estatal de Seguridad Pública, los juzgados cívicos son unidades administrativas dependientes de los 125 ayuntamientos mexiquenses en las que se imparte y administra la justicia cívica con total respeto a los derechos humanos y que tienen entre sus funciones:</w:t>
      </w:r>
      <w:r w:rsidR="00996255" w:rsidRPr="00C36261">
        <w:rPr>
          <w:rFonts w:ascii="Palatino Linotype" w:eastAsia="Palatino Linotype" w:hAnsi="Palatino Linotype" w:cs="Palatino Linotype"/>
        </w:rPr>
        <w:t xml:space="preserve"> Brindar atención en los hechos que representen una infracción administrativa, intervenir para la solución de conflictos vecinales o familiares e, imponer sanciones establecidas en la normatividad a personas infractoras. </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Por su parte, la Ley de Justicia Cívica del Estado de México y sus Municipios, dispone que los jueces Cívicos tendr</w:t>
      </w:r>
      <w:r w:rsidR="00996255" w:rsidRPr="00C36261">
        <w:rPr>
          <w:rFonts w:ascii="Palatino Linotype" w:eastAsia="Palatino Linotype" w:hAnsi="Palatino Linotype" w:cs="Palatino Linotype"/>
        </w:rPr>
        <w:t>án las siguientes atribuciones: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r w:rsidRPr="00C36261">
        <w:rPr>
          <w:rFonts w:ascii="Palatino Linotype" w:eastAsia="Palatino Linotype" w:hAnsi="Palatino Linotype" w:cs="Palatino Linotype"/>
          <w:b/>
          <w:i/>
        </w:rPr>
        <w:t>Artículo 17.-</w:t>
      </w:r>
      <w:r w:rsidRPr="00C36261">
        <w:rPr>
          <w:rFonts w:ascii="Palatino Linotype" w:eastAsia="Palatino Linotype" w:hAnsi="Palatino Linotype" w:cs="Palatino Linotype"/>
          <w:i/>
        </w:rPr>
        <w:t xml:space="preserve"> Son atribuciones de la o </w:t>
      </w:r>
      <w:r w:rsidRPr="00C36261">
        <w:rPr>
          <w:rFonts w:ascii="Palatino Linotype" w:eastAsia="Palatino Linotype" w:hAnsi="Palatino Linotype" w:cs="Palatino Linotype"/>
          <w:b/>
          <w:i/>
        </w:rPr>
        <w:t>el Juez Cívico</w:t>
      </w:r>
      <w:r w:rsidRPr="00C36261">
        <w:rPr>
          <w:rFonts w:ascii="Palatino Linotype" w:eastAsia="Palatino Linotype" w:hAnsi="Palatino Linotype" w:cs="Palatino Linotype"/>
          <w:i/>
        </w:rPr>
        <w:t>:</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 Conocer, calificar y sancionar las infracciones establecidas en la presente Ley</w:t>
      </w:r>
      <w:r w:rsidRPr="00C36261">
        <w:rPr>
          <w:rFonts w:ascii="Palatino Linotype" w:eastAsia="Palatino Linotype" w:hAnsi="Palatino Linotype" w:cs="Palatino Linotype"/>
          <w:i/>
        </w:rPr>
        <w:t xml:space="preserve">; en los reglamentos municipales de Justicia Cívica y demás disposiciones jurídicas aplicables; </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II. Llevar a cabo audiencias públicas para resolver sobre la responsabilidad de las personas probables infractoras;</w:t>
      </w:r>
    </w:p>
    <w:p w:rsidR="00156FC2" w:rsidRPr="00C36261" w:rsidRDefault="00156FC2" w:rsidP="009D6D73">
      <w:pPr>
        <w:spacing w:line="360" w:lineRule="auto"/>
        <w:ind w:right="49"/>
        <w:jc w:val="both"/>
        <w:rPr>
          <w:rFonts w:ascii="Palatino Linotype" w:eastAsia="Palatino Linotype" w:hAnsi="Palatino Linotype" w:cs="Palatino Linotype"/>
          <w:b/>
          <w:i/>
          <w:u w:val="single"/>
        </w:rPr>
      </w:pPr>
      <w:r w:rsidRPr="00C36261">
        <w:rPr>
          <w:rFonts w:ascii="Palatino Linotype" w:eastAsia="Palatino Linotype" w:hAnsi="Palatino Linotype" w:cs="Palatino Linotype"/>
          <w:b/>
          <w:i/>
          <w:u w:val="single"/>
        </w:rPr>
        <w:t>III. Fomentar y proponer la solución pacífica de conflictos entre particulares, a través de mecanismos alternativos de solución de controversias como la mediación, la conciliación o la justicia restaurativa;</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IV. Reportar inmediatamente al servicio público gratuito de localización de personas extraviadas del Estado de México, la información sobre las personas presentadas, sancionadas, así como las que se encuentren en tiempo de recuperación;</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lastRenderedPageBreak/>
        <w:t>V. Concluido el procedimiento que corresponda, autorizar la devolución de los objetos y valores que portaban las personas al momento de ingresar a las instalaciones del Juzgado Cívico.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No se podrán devolver los objetos que por su naturaleza sean peligrosos o que pongan en riesgo la salud o integridad de las personas, tales como, estupefacientes, psicotrópicos, enervantes o sustancias tóxicas;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VI. Ordenar que se realice el dictamen psicosocial a las personas infractoras para poder aplicar Medidas para Mejorar Convivencia Cotidiana;</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VII. Expedir recibo oficial a la persona infractora para que esta realice el pago de la multa impuesta ante la tesorería municipal;</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VIII. Garantizar la seguridad jurídica, el debido proceso y los derechos humanos de las personas probables infractoras;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IX. Coadyuvar, en el ámbito de su competencia, con el Ministerio Público y las autoridades judiciales correspondientes;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X. Solicitar, de ser necesario, el auxilio de la fuerza pública, para el adecuado funcionamiento del Juzgado Cívico;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XI. Remitir al Ministerio Público a las personas que sean presentadas como probables infractores, cuando los hechos constituyan un probable delito;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XII. Dar vista a las autoridades competentes cuando derivado de la detención, traslado o custodia, las personas probables infractoras presenten indicios de maltrato, abuso físico o verbal o exacción;</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XIII. Solicitar por escrito a las autoridades competentes, apoyo para retirar objetos que estorben la vía pública, la limpieza de lugares que deterioren el ambiente, o bien, que atenten contra la seguridad y dañen la salud pública;</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XIV. Comisionar al personal adscrito al Juzgado Cívico para realizar notificaciones y diligencias;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XV. Rendir un informe anual ante el Cabildo;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lastRenderedPageBreak/>
        <w:t xml:space="preserve">XVI. Habilitar al personal para suplir las ausencias temporales de la o el Secretario Cívico; </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XVII. Garantizar el conocimiento y respeto de los derechos que asisten a las personas detenidas;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XVIII. Autorizar con su firma la expedición de copias certificadas a quien tenga interés jurídico y legítimo de documentos que obren en el archivo del Juzgado Cívico;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XIX. Conocer, calificar e imponer las sanciones que procedan por las infracciones que deriven con motivo de la aplicación del Libro Octavo del Código Administrativo del Estado de México en el ámbito de competencia municipal correspondiente, excepto las de carácter fiscal y se apegará a los procedimientos establecidos en el mismo; y</w:t>
      </w:r>
    </w:p>
    <w:p w:rsidR="00156FC2" w:rsidRPr="00C36261" w:rsidRDefault="00156FC2" w:rsidP="009D6D73">
      <w:pPr>
        <w:spacing w:line="360" w:lineRule="auto"/>
        <w:ind w:right="49"/>
        <w:jc w:val="both"/>
        <w:rPr>
          <w:rFonts w:ascii="Palatino Linotype" w:eastAsia="Palatino Linotype" w:hAnsi="Palatino Linotype" w:cs="Palatino Linotype"/>
          <w:b/>
          <w:i/>
        </w:rPr>
      </w:pPr>
      <w:r w:rsidRPr="00C36261">
        <w:rPr>
          <w:rFonts w:ascii="Palatino Linotype" w:eastAsia="Palatino Linotype" w:hAnsi="Palatino Linotype" w:cs="Palatino Linotype"/>
          <w:i/>
        </w:rPr>
        <w:t>XX. Las demás que le confiere la presente Ley, el Reglamento respectivo y otras disposiciones jurídicas aplicables.”</w:t>
      </w:r>
      <w:r w:rsidRPr="00C36261">
        <w:rPr>
          <w:rFonts w:ascii="Palatino Linotype" w:eastAsia="Palatino Linotype" w:hAnsi="Palatino Linotype" w:cs="Palatino Linotype"/>
          <w:b/>
          <w:i/>
        </w:rPr>
        <w:t xml:space="preserve"> </w:t>
      </w:r>
    </w:p>
    <w:p w:rsidR="00156FC2" w:rsidRPr="00C36261" w:rsidRDefault="00156FC2" w:rsidP="009D6D73">
      <w:pPr>
        <w:spacing w:line="360" w:lineRule="auto"/>
        <w:ind w:right="49"/>
        <w:jc w:val="both"/>
        <w:rPr>
          <w:rFonts w:ascii="Palatino Linotype" w:eastAsia="Palatino Linotype" w:hAnsi="Palatino Linotype" w:cs="Palatino Linotype"/>
          <w:b/>
        </w:rPr>
      </w:pPr>
      <w:r w:rsidRPr="00C36261">
        <w:rPr>
          <w:rFonts w:ascii="Palatino Linotype" w:eastAsia="Palatino Linotype" w:hAnsi="Palatino Linotype" w:cs="Palatino Linotype"/>
        </w:rPr>
        <w:t>(Énfasis añadido)</w:t>
      </w:r>
    </w:p>
    <w:p w:rsidR="00156FC2" w:rsidRPr="00C36261" w:rsidRDefault="00156FC2" w:rsidP="009D6D73">
      <w:pPr>
        <w:spacing w:line="360" w:lineRule="auto"/>
        <w:ind w:right="49"/>
        <w:jc w:val="both"/>
        <w:rPr>
          <w:rFonts w:ascii="Palatino Linotype" w:eastAsia="Palatino Linotype" w:hAnsi="Palatino Linotype" w:cs="Palatino Linotype"/>
          <w:b/>
          <w:i/>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De lo anterior, se </w:t>
      </w:r>
      <w:r w:rsidR="00996255" w:rsidRPr="00C36261">
        <w:rPr>
          <w:rFonts w:ascii="Palatino Linotype" w:eastAsia="Palatino Linotype" w:hAnsi="Palatino Linotype" w:cs="Palatino Linotype"/>
        </w:rPr>
        <w:t>desprende</w:t>
      </w:r>
      <w:r w:rsidRPr="00C36261">
        <w:rPr>
          <w:rFonts w:ascii="Palatino Linotype" w:eastAsia="Palatino Linotype" w:hAnsi="Palatino Linotype" w:cs="Palatino Linotype"/>
        </w:rPr>
        <w:t xml:space="preserve"> que los jueces cívicos conocen de asuntos que tienen como finalidad la aplicación de infracciones; así como fomentar y proponer la solución pacífica de conflictos entre particulares, a través de mecanismos alternativos de solución de controversias como la mediación, la conciliación o la justicia restaurativa. </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996255"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Por otro lado</w:t>
      </w:r>
      <w:r w:rsidR="00156FC2" w:rsidRPr="00C36261">
        <w:rPr>
          <w:rFonts w:ascii="Palatino Linotype" w:eastAsia="Palatino Linotype" w:hAnsi="Palatino Linotype" w:cs="Palatino Linotype"/>
        </w:rPr>
        <w:t xml:space="preserve">, el Reglamento de Justicia Cívica para el Municipio de Naucalpan de Juárez, México, establece en su artículo 12 fracciones II, VI y VII que corresponde a la Coordinación del Centro de Justicia Cívica supervisar que se otorgue una solución de manera ágil, transparente y eficiente a conflictos comunitarios, supervisar que se evalúen las solicitudes de los interesados con el fin de determinar el Mecanismo Alternativo de Solución de Controversias idóneo que ponga fin a las diferencias en el asunto que se someta a su consideración; supervisar que se substancien los procedimientos de mediación o </w:t>
      </w:r>
      <w:r w:rsidR="00156FC2" w:rsidRPr="00C36261">
        <w:rPr>
          <w:rFonts w:ascii="Palatino Linotype" w:eastAsia="Palatino Linotype" w:hAnsi="Palatino Linotype" w:cs="Palatino Linotype"/>
        </w:rPr>
        <w:lastRenderedPageBreak/>
        <w:t xml:space="preserve">conciliación vecinal, comunitaria, familiar, escolar y social en el Municipio, en todos los casos en que sean requeridos por la ciudadanía o por las autoridades municipales; entre otras. </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Aunado a ello, los artículos 18 y 20 del referido Reglamento refieren que, los juzgados cívicos prestarán sus servicios las veinticuatro horas del día los trescientos sesenta y cinco días del año, por lo que, los Jueces Cívicos designados, tomarán las medidas necesarias para que los asuntos sometidos a su consideración concluyan dentro de su turno, teniendo únicamente facultad de dejar pendiente la resolución en los casos en que por causas ajenas al Juez Cívico no puedan resolverse y nunca podrá dejar pendiente un asunto en el que se involucre la privación de la libertad del infractor. </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Ahora bien, el artículo 22 del Reglamento de Justicia Cívica para el Municipio de Naucalpan de Juárez refiere que el Secretario del Juzgado Cívico deberá organizar y controlar el Sistema de Gestión de la Información, misma que debe cumplir con el registro mínimo de los siguientes elementos: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r w:rsidRPr="00C36261">
        <w:rPr>
          <w:rFonts w:ascii="Palatino Linotype" w:eastAsia="Palatino Linotype" w:hAnsi="Palatino Linotype" w:cs="Palatino Linotype"/>
          <w:b/>
          <w:i/>
        </w:rPr>
        <w:t>Artículo 22.</w:t>
      </w:r>
      <w:r w:rsidRPr="00C36261">
        <w:rPr>
          <w:rFonts w:ascii="Palatino Linotype" w:eastAsia="Palatino Linotype" w:hAnsi="Palatino Linotype" w:cs="Palatino Linotype"/>
          <w:i/>
        </w:rPr>
        <w:t xml:space="preserve"> … </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VI. Organizar y controlar el Sistema de Gestión de la Información que deberá de cumplir con el registro mínimo de los siguientes elementos:</w:t>
      </w:r>
    </w:p>
    <w:p w:rsidR="00156FC2" w:rsidRPr="00C36261" w:rsidRDefault="00156FC2" w:rsidP="009D6D73">
      <w:pPr>
        <w:spacing w:line="360" w:lineRule="auto"/>
        <w:ind w:right="49"/>
        <w:jc w:val="both"/>
        <w:rPr>
          <w:rFonts w:ascii="Palatino Linotype" w:eastAsia="Palatino Linotype" w:hAnsi="Palatino Linotype" w:cs="Palatino Linotype"/>
          <w:b/>
          <w:i/>
        </w:rPr>
      </w:pPr>
      <w:r w:rsidRPr="00C36261">
        <w:rPr>
          <w:rFonts w:ascii="Palatino Linotype" w:eastAsia="Palatino Linotype" w:hAnsi="Palatino Linotype" w:cs="Palatino Linotype"/>
          <w:b/>
          <w:i/>
        </w:rPr>
        <w:t>1. Registro: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a) Folio;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b) Fecha y hora de la detención;</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c) Folio del Informe Policial Homologado (IPH); y</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d) Fecha y hora de salida de barandilla.</w:t>
      </w:r>
    </w:p>
    <w:p w:rsidR="00156FC2" w:rsidRPr="00C36261" w:rsidRDefault="00156FC2" w:rsidP="009D6D73">
      <w:pPr>
        <w:spacing w:line="360" w:lineRule="auto"/>
        <w:ind w:right="49"/>
        <w:jc w:val="both"/>
        <w:rPr>
          <w:rFonts w:ascii="Palatino Linotype" w:eastAsia="Palatino Linotype" w:hAnsi="Palatino Linotype" w:cs="Palatino Linotype"/>
          <w:b/>
          <w:i/>
        </w:rPr>
      </w:pPr>
      <w:r w:rsidRPr="00C36261">
        <w:rPr>
          <w:rFonts w:ascii="Palatino Linotype" w:eastAsia="Palatino Linotype" w:hAnsi="Palatino Linotype" w:cs="Palatino Linotype"/>
          <w:b/>
          <w:i/>
        </w:rPr>
        <w:lastRenderedPageBreak/>
        <w:t>2. Sobre el infractor:</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a) Nombre del probable infractor;</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b) Tipo y número de identificación oficial (INE, Cédula, Pasaporte, etc.);</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c) Edad;</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d) Sexo;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e) Domicilio completo;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f) Estado civil;</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g) Escolaridad; y</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h) Ocupación.</w:t>
      </w:r>
    </w:p>
    <w:p w:rsidR="00156FC2" w:rsidRPr="00C36261" w:rsidRDefault="00156FC2" w:rsidP="009D6D73">
      <w:pPr>
        <w:spacing w:line="360" w:lineRule="auto"/>
        <w:ind w:right="49"/>
        <w:jc w:val="both"/>
        <w:rPr>
          <w:rFonts w:ascii="Palatino Linotype" w:eastAsia="Palatino Linotype" w:hAnsi="Palatino Linotype" w:cs="Palatino Linotype"/>
          <w:b/>
          <w:i/>
        </w:rPr>
      </w:pPr>
      <w:r w:rsidRPr="00C36261">
        <w:rPr>
          <w:rFonts w:ascii="Palatino Linotype" w:eastAsia="Palatino Linotype" w:hAnsi="Palatino Linotype" w:cs="Palatino Linotype"/>
          <w:b/>
          <w:i/>
        </w:rPr>
        <w:t>3. Sobre el proceso en el Centro de Justicia Cívica:</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a) Fecha y hora de entrada al Centro de Justicia Cívica;</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b) Motivo de la detención;</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c) Existencia de factores agravantes;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d) Tipo de agravantes.- Reincidencia en los últimos 6 meses (binario: Sí/No);</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e) Dictamen médico (hora del dictamen, Médico a cargo, resolución del dictamen); y</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f) Dictamen psico-social o Tamizaje (hora del dictamen, persona a cargo, resolución del dictamen).</w:t>
      </w:r>
    </w:p>
    <w:p w:rsidR="00156FC2" w:rsidRPr="00C36261" w:rsidRDefault="00156FC2" w:rsidP="009D6D73">
      <w:pPr>
        <w:spacing w:line="360" w:lineRule="auto"/>
        <w:ind w:right="49"/>
        <w:jc w:val="both"/>
        <w:rPr>
          <w:rFonts w:ascii="Palatino Linotype" w:eastAsia="Palatino Linotype" w:hAnsi="Palatino Linotype" w:cs="Palatino Linotype"/>
          <w:b/>
          <w:i/>
        </w:rPr>
      </w:pPr>
      <w:r w:rsidRPr="00C36261">
        <w:rPr>
          <w:rFonts w:ascii="Palatino Linotype" w:eastAsia="Palatino Linotype" w:hAnsi="Palatino Linotype" w:cs="Palatino Linotype"/>
          <w:b/>
          <w:i/>
        </w:rPr>
        <w:t>4. Sobre la audiencia:</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a) Juez Cívico a cargo de la audiencia pública; b)</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b) Nombre, ocupación y domicilio para cada uno de los testigos;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c) Determinación sobre la existencia de una infracción e identificación de la(s) infracción según el presente Reglamento o Bando Municipal; y</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d) Tipo de sanción impuesta por el Juez Cívico (en caso de aplicar)…”</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lastRenderedPageBreak/>
        <w:t>Por otra parte, los Centros de Mediación Municipal son las unidades administrativas encargadas de substanciar el procedimiento de mediación y conciliación de las partes en conflicto dentro del territorio municipal; dicho procedimiento será a petición de parte y tendrá por objeto avenir a los sujetos que se encuentren en conflicto a resolverlo a través de una propuesta de solución, que evite en lo posible su trascendencia al ámbito jurisdiccional, misma que se instrumentará en términos de la Ley de Mediación.</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De este modo, el artículo 30 del citado Reglamento refiere que puede ser materia de mediación y conciliación en los Centros de Mediación Municipal lo siguiente:</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“Artículo 30. ..:</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 Los conflictos suscitados entre vecinos</w:t>
      </w:r>
      <w:r w:rsidRPr="00C36261">
        <w:rPr>
          <w:rFonts w:ascii="Palatino Linotype" w:eastAsia="Palatino Linotype" w:hAnsi="Palatino Linotype" w:cs="Palatino Linotype"/>
          <w:i/>
        </w:rPr>
        <w:t>, derivados de la convivencia diaria de las personas, excepto aquellos cuyo ámbito de competencia le corresponde al poder judicial;</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II. Los conflictos suscitados entre condominios</w:t>
      </w:r>
      <w:r w:rsidRPr="00C36261">
        <w:rPr>
          <w:rFonts w:ascii="Palatino Linotype" w:eastAsia="Palatino Linotype" w:hAnsi="Palatino Linotype" w:cs="Palatino Linotype"/>
          <w:i/>
        </w:rPr>
        <w:t>, que no requieran de la intervención obligatoria de la autoridad de la materia;</w:t>
      </w:r>
    </w:p>
    <w:p w:rsidR="00156FC2" w:rsidRPr="00C36261" w:rsidRDefault="00156FC2" w:rsidP="009D6D73">
      <w:pPr>
        <w:spacing w:line="360" w:lineRule="auto"/>
        <w:ind w:right="49"/>
        <w:jc w:val="both"/>
        <w:rPr>
          <w:rFonts w:ascii="Palatino Linotype" w:eastAsia="Palatino Linotype" w:hAnsi="Palatino Linotype" w:cs="Palatino Linotype"/>
          <w:b/>
          <w:i/>
        </w:rPr>
      </w:pPr>
      <w:r w:rsidRPr="00C36261">
        <w:rPr>
          <w:rFonts w:ascii="Palatino Linotype" w:eastAsia="Palatino Linotype" w:hAnsi="Palatino Linotype" w:cs="Palatino Linotype"/>
          <w:b/>
          <w:i/>
        </w:rPr>
        <w:t>III. Los conflictos comunitarios;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 xml:space="preserve">IV. Las diferencias familiares </w:t>
      </w:r>
      <w:r w:rsidRPr="00C36261">
        <w:rPr>
          <w:rFonts w:ascii="Palatino Linotype" w:eastAsia="Palatino Linotype" w:hAnsi="Palatino Linotype" w:cs="Palatino Linotype"/>
          <w:i/>
        </w:rPr>
        <w:t>que no necesiten una determinación judicial;</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V. Los conflictos suscitados entre los miembros de la comunidad escolar o estudiantil</w:t>
      </w:r>
      <w:r w:rsidRPr="00C36261">
        <w:rPr>
          <w:rFonts w:ascii="Palatino Linotype" w:eastAsia="Palatino Linotype" w:hAnsi="Palatino Linotype" w:cs="Palatino Linotype"/>
          <w:i/>
        </w:rPr>
        <w:t>; y</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VI. Todas las que se susciten entre los solicitantes, siempre que no requieran de la intervención judicial o administrativa</w:t>
      </w:r>
      <w:r w:rsidRPr="00C36261">
        <w:rPr>
          <w:rFonts w:ascii="Palatino Linotype" w:eastAsia="Palatino Linotype" w:hAnsi="Palatino Linotype" w:cs="Palatino Linotype"/>
          <w:i/>
        </w:rPr>
        <w:t>.</w:t>
      </w:r>
    </w:p>
    <w:p w:rsidR="00156FC2" w:rsidRPr="00C36261" w:rsidRDefault="00156FC2" w:rsidP="009D6D73">
      <w:pPr>
        <w:spacing w:line="360" w:lineRule="auto"/>
        <w:ind w:right="49"/>
        <w:jc w:val="both"/>
        <w:rPr>
          <w:rFonts w:ascii="Palatino Linotype" w:eastAsia="Palatino Linotype" w:hAnsi="Palatino Linotype" w:cs="Palatino Linotype"/>
          <w:i/>
        </w:rPr>
      </w:pPr>
    </w:p>
    <w:p w:rsidR="00156FC2" w:rsidRPr="00C36261" w:rsidRDefault="00156FC2" w:rsidP="009D6D73">
      <w:pPr>
        <w:spacing w:line="360" w:lineRule="auto"/>
        <w:ind w:right="49"/>
        <w:jc w:val="both"/>
        <w:rPr>
          <w:rFonts w:ascii="Palatino Linotype" w:eastAsia="Palatino Linotype" w:hAnsi="Palatino Linotype" w:cs="Palatino Linotype"/>
        </w:rPr>
      </w:pPr>
      <w:r w:rsidRPr="00C36261">
        <w:rPr>
          <w:rFonts w:ascii="Palatino Linotype" w:eastAsia="Palatino Linotype" w:hAnsi="Palatino Linotype" w:cs="Palatino Linotype"/>
          <w:i/>
        </w:rPr>
        <w:t xml:space="preserve">En los casos en que la atención de los conflictos suceda en colonias alejadas del Centro de Mediación Municipal, podrán ser atendidos en Unidades de Mediación Policial próximas a su domicilio. En ese caso, y en el de la desactivación de conflictos “in situ”, de llegarse a generar un acuerdo de mediación </w:t>
      </w:r>
      <w:r w:rsidRPr="00C36261">
        <w:rPr>
          <w:rFonts w:ascii="Palatino Linotype" w:eastAsia="Palatino Linotype" w:hAnsi="Palatino Linotype" w:cs="Palatino Linotype"/>
          <w:i/>
        </w:rPr>
        <w:lastRenderedPageBreak/>
        <w:t>entre las partes, el policía o policía de Mediación y Asistencia Cívica, procurará gestionar la ratificación de dicho acuerdo ante el Oficial Mediador, Conciliador y Facilitador</w:t>
      </w:r>
      <w:r w:rsidRPr="00C36261">
        <w:rPr>
          <w:rFonts w:ascii="Palatino Linotype" w:eastAsia="Palatino Linotype" w:hAnsi="Palatino Linotype" w:cs="Palatino Linotype"/>
        </w:rPr>
        <w:t>.”</w:t>
      </w:r>
    </w:p>
    <w:p w:rsidR="00156FC2" w:rsidRPr="00C36261" w:rsidRDefault="00156FC2" w:rsidP="009D6D73">
      <w:pPr>
        <w:spacing w:line="360" w:lineRule="auto"/>
        <w:ind w:right="49"/>
        <w:jc w:val="both"/>
        <w:rPr>
          <w:rFonts w:ascii="Palatino Linotype" w:eastAsia="Palatino Linotype" w:hAnsi="Palatino Linotype" w:cs="Palatino Linotype"/>
        </w:rPr>
      </w:pPr>
      <w:r w:rsidRPr="00C36261">
        <w:rPr>
          <w:rFonts w:ascii="Palatino Linotype" w:eastAsia="Palatino Linotype" w:hAnsi="Palatino Linotype" w:cs="Palatino Linotype"/>
        </w:rPr>
        <w:t>(Énfasis Añadido)</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Ahora bien, dentro del procedimiento por el que opera la Justicia Cívica se encuentra la imposición de sanciones, dentro de las que destacan la amonestación, arresto, multa, trabajo en favor de la comunidad y pago o reparación de los daños causados, esto de conformidad con el artículo 68 del multicitado Reglamento de Justicia Administrativa, el cual refiere: </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“Artículo 68.- Las infracciones señaladas en este Reglamento, serán sancionadas con:</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 Amonestación:</w:t>
      </w:r>
      <w:r w:rsidRPr="00C36261">
        <w:rPr>
          <w:rFonts w:ascii="Palatino Linotype" w:eastAsia="Palatino Linotype" w:hAnsi="Palatino Linotype" w:cs="Palatino Linotype"/>
          <w:i/>
        </w:rPr>
        <w:t xml:space="preserve"> la reconvención, pública o privada que el Juez Cívico haga al Infractor;</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II. Arresto.</w:t>
      </w:r>
      <w:r w:rsidRPr="00C36261">
        <w:rPr>
          <w:rFonts w:ascii="Palatino Linotype" w:eastAsia="Palatino Linotype" w:hAnsi="Palatino Linotype" w:cs="Palatino Linotype"/>
          <w:i/>
        </w:rPr>
        <w:t xml:space="preserve"> Es la privación de la libertad por un período hasta de treinta y seis horas, que se cumplirá en lugares diferentes de los destinados a la detención de personas indiciadas, procesadas o sentenciadas separando los lugares de arresto para varones y para mujeres;</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III. Multa.</w:t>
      </w:r>
      <w:r w:rsidRPr="00C36261">
        <w:rPr>
          <w:rFonts w:ascii="Palatino Linotype" w:eastAsia="Palatino Linotype" w:hAnsi="Palatino Linotype" w:cs="Palatino Linotype"/>
          <w:i/>
        </w:rPr>
        <w:t xml:space="preserve"> Es la cantidad en dinero que el Infractor debe pagar a la Tesorería Municipal, en términos de los previstos por los párrafos cuartos, quintos y sextos del Artículo 21 de la Constitución Política de los Estados Unidos Mexicanos; </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IV. Trabajo en Favor de la Comunidad.</w:t>
      </w:r>
      <w:r w:rsidRPr="00C36261">
        <w:rPr>
          <w:rFonts w:ascii="Palatino Linotype" w:eastAsia="Palatino Linotype" w:hAnsi="Palatino Linotype" w:cs="Palatino Linotype"/>
          <w:i/>
        </w:rPr>
        <w:t xml:space="preserve"> Es el número de horas que deberá servir el Infractor a la comunidad en los programas preestablecidos al respecto, o el número de horas que deberá asistir a los cursos, terapias o talleres diseñados para atender los factores de riesgo que pudieran estar presentes. El cumplimiento de una sanción de Trabajo en Favor de la Comunidad conmutará el arresto. En caso de incumplimiento del número de horas establecido para el Trabajo en Favor de la Comunidad se cumplirán treinta y seis horas de arresto, con excepción de las personas adolescentes en los términos del artículo 34; y</w:t>
      </w:r>
    </w:p>
    <w:p w:rsidR="00156FC2" w:rsidRPr="00C36261" w:rsidRDefault="00156FC2" w:rsidP="009D6D73">
      <w:pPr>
        <w:spacing w:line="360" w:lineRule="auto"/>
        <w:ind w:right="49"/>
        <w:jc w:val="both"/>
        <w:rPr>
          <w:rFonts w:ascii="Palatino Linotype" w:eastAsia="Palatino Linotype" w:hAnsi="Palatino Linotype" w:cs="Palatino Linotype"/>
        </w:rPr>
      </w:pPr>
      <w:r w:rsidRPr="00C36261">
        <w:rPr>
          <w:rFonts w:ascii="Palatino Linotype" w:eastAsia="Palatino Linotype" w:hAnsi="Palatino Linotype" w:cs="Palatino Linotype"/>
          <w:b/>
          <w:i/>
        </w:rPr>
        <w:lastRenderedPageBreak/>
        <w:t>V. Pago o reparación de los daños causados.</w:t>
      </w:r>
      <w:r w:rsidRPr="00C36261">
        <w:rPr>
          <w:rFonts w:ascii="Palatino Linotype" w:eastAsia="Palatino Linotype" w:hAnsi="Palatino Linotype" w:cs="Palatino Linotype"/>
          <w:i/>
        </w:rPr>
        <w:t xml:space="preserve"> Ello, sin perjuicio de las demás sanciones que procedan.</w:t>
      </w:r>
      <w:r w:rsidRPr="00C36261">
        <w:rPr>
          <w:rFonts w:ascii="Palatino Linotype" w:eastAsia="Palatino Linotype" w:hAnsi="Palatino Linotype" w:cs="Palatino Linotype"/>
        </w:rPr>
        <w:t>”</w:t>
      </w:r>
    </w:p>
    <w:p w:rsidR="00156FC2" w:rsidRPr="00C36261" w:rsidRDefault="00156FC2" w:rsidP="009D6D73">
      <w:pPr>
        <w:spacing w:line="360" w:lineRule="auto"/>
        <w:ind w:right="49"/>
        <w:jc w:val="both"/>
        <w:rPr>
          <w:rFonts w:ascii="Palatino Linotype" w:eastAsia="Palatino Linotype" w:hAnsi="Palatino Linotype" w:cs="Palatino Linotype"/>
        </w:rPr>
      </w:pPr>
    </w:p>
    <w:p w:rsidR="00D96604"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Es por lo anteriormente expuesto </w:t>
      </w:r>
      <w:r w:rsidR="00D96604" w:rsidRPr="00C36261">
        <w:rPr>
          <w:rFonts w:ascii="Palatino Linotype" w:eastAsia="Palatino Linotype" w:hAnsi="Palatino Linotype" w:cs="Palatino Linotype"/>
        </w:rPr>
        <w:t>se advierte que</w:t>
      </w:r>
      <w:r w:rsidRPr="00C36261">
        <w:rPr>
          <w:rFonts w:ascii="Palatino Linotype" w:eastAsia="Palatino Linotype" w:hAnsi="Palatino Linotype" w:cs="Palatino Linotype"/>
        </w:rPr>
        <w:t xml:space="preserve"> existe la fuente obligacional para que el </w:t>
      </w:r>
      <w:r w:rsidR="00D96604" w:rsidRPr="00C36261">
        <w:rPr>
          <w:rFonts w:ascii="Palatino Linotype" w:eastAsia="Palatino Linotype" w:hAnsi="Palatino Linotype" w:cs="Palatino Linotype"/>
          <w:b/>
        </w:rPr>
        <w:t>SUJETO OBLIGADO</w:t>
      </w:r>
      <w:r w:rsidR="00D96604"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rPr>
        <w:t xml:space="preserve">cuente con </w:t>
      </w:r>
      <w:r w:rsidR="00D96604" w:rsidRPr="00C36261">
        <w:rPr>
          <w:rFonts w:ascii="Palatino Linotype" w:eastAsia="Palatino Linotype" w:hAnsi="Palatino Linotype" w:cs="Palatino Linotype"/>
        </w:rPr>
        <w:t>lo solicitado –sumado a que de su respuesta se desprende que asume expresamente contar con la información; tan es así que la clasifica como reservada– en virtud de contar con juzgados cívicos que realizan</w:t>
      </w:r>
      <w:r w:rsidRPr="00C36261">
        <w:rPr>
          <w:rFonts w:ascii="Palatino Linotype" w:eastAsia="Palatino Linotype" w:hAnsi="Palatino Linotype" w:cs="Palatino Linotype"/>
        </w:rPr>
        <w:t xml:space="preserve"> procedimientos de impartición y administración de justicia cívica</w:t>
      </w:r>
      <w:r w:rsidR="00D96604" w:rsidRPr="00C36261">
        <w:rPr>
          <w:rFonts w:ascii="Palatino Linotype" w:eastAsia="Palatino Linotype" w:hAnsi="Palatino Linotype" w:cs="Palatino Linotype"/>
        </w:rPr>
        <w:t>.</w:t>
      </w:r>
    </w:p>
    <w:p w:rsidR="00D96604" w:rsidRPr="00C36261" w:rsidRDefault="00D96604" w:rsidP="009D6D7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96604" w:rsidRPr="00C36261" w:rsidRDefault="00D96604"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Lueg</w:t>
      </w:r>
      <w:r w:rsidR="00EA1E48" w:rsidRPr="00C36261">
        <w:rPr>
          <w:rFonts w:ascii="Palatino Linotype" w:eastAsia="Palatino Linotype" w:hAnsi="Palatino Linotype" w:cs="Palatino Linotype"/>
        </w:rPr>
        <w:t>o entonces, resulta conveniente</w:t>
      </w:r>
      <w:r w:rsidRPr="00C36261">
        <w:rPr>
          <w:rFonts w:ascii="Palatino Linotype" w:eastAsia="Palatino Linotype" w:hAnsi="Palatino Linotype" w:cs="Palatino Linotype"/>
        </w:rPr>
        <w:t xml:space="preserve"> realizar un pronunciamiento en relación de la procedencia o improcedencia de su publicidad. Al respecto, la pretendida clasificación, versa primordialmente</w:t>
      </w:r>
      <w:r w:rsidR="00156FC2"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rPr>
        <w:t xml:space="preserve">en los múltiples datos personales que dada su propia y especial naturaleza del soporte documental requerido, ciertamente contienen, pero ello no es impedimento para </w:t>
      </w:r>
      <w:r w:rsidR="002F0522" w:rsidRPr="00C36261">
        <w:rPr>
          <w:rFonts w:ascii="Palatino Linotype" w:eastAsia="Palatino Linotype" w:hAnsi="Palatino Linotype" w:cs="Palatino Linotype"/>
        </w:rPr>
        <w:t xml:space="preserve">que sea negado en su totalidad el acceso; pues </w:t>
      </w:r>
      <w:r w:rsidRPr="00C36261">
        <w:rPr>
          <w:rFonts w:ascii="Palatino Linotype" w:eastAsia="Palatino Linotype" w:hAnsi="Palatino Linotype" w:cs="Palatino Linotype"/>
        </w:rPr>
        <w:t>como aduce el Recurrente</w:t>
      </w:r>
      <w:r w:rsidR="002F0522" w:rsidRPr="00C36261">
        <w:rPr>
          <w:rFonts w:ascii="Palatino Linotype" w:eastAsia="Palatino Linotype" w:hAnsi="Palatino Linotype" w:cs="Palatino Linotype"/>
        </w:rPr>
        <w:t>,</w:t>
      </w:r>
      <w:r w:rsidR="00EA1E48" w:rsidRPr="00C36261">
        <w:rPr>
          <w:rFonts w:ascii="Palatino Linotype" w:eastAsia="Palatino Linotype" w:hAnsi="Palatino Linotype" w:cs="Palatino Linotype"/>
        </w:rPr>
        <w:t xml:space="preserve"> se puede</w:t>
      </w:r>
      <w:r w:rsidRPr="00C36261">
        <w:rPr>
          <w:rFonts w:ascii="Palatino Linotype" w:eastAsia="Palatino Linotype" w:hAnsi="Palatino Linotype" w:cs="Palatino Linotype"/>
        </w:rPr>
        <w:t xml:space="preserve">n generar versiones públicas </w:t>
      </w:r>
      <w:r w:rsidR="002F0522" w:rsidRPr="00C36261">
        <w:rPr>
          <w:rFonts w:ascii="Palatino Linotype" w:eastAsia="Palatino Linotype" w:hAnsi="Palatino Linotype" w:cs="Palatino Linotype"/>
        </w:rPr>
        <w:t>a efecto de que</w:t>
      </w:r>
      <w:r w:rsidRPr="00C36261">
        <w:rPr>
          <w:rFonts w:ascii="Palatino Linotype" w:eastAsia="Palatino Linotype" w:hAnsi="Palatino Linotype" w:cs="Palatino Linotype"/>
        </w:rPr>
        <w:t xml:space="preserve"> sea entregado lo solicitado. Toda vez que por lo que hace a los convenios y conciliaciones, se tratan de instrumentos que ponen fin a una controversia jurídica, es decir, no actualizan una causal de reserva para que sea negado el acceso </w:t>
      </w:r>
      <w:r w:rsidR="00EA1E48" w:rsidRPr="00C36261">
        <w:rPr>
          <w:rFonts w:ascii="Palatino Linotype" w:eastAsia="Palatino Linotype" w:hAnsi="Palatino Linotype" w:cs="Palatino Linotype"/>
        </w:rPr>
        <w:t xml:space="preserve">total </w:t>
      </w:r>
      <w:r w:rsidRPr="00C36261">
        <w:rPr>
          <w:rFonts w:ascii="Palatino Linotype" w:eastAsia="Palatino Linotype" w:hAnsi="Palatino Linotype" w:cs="Palatino Linotype"/>
        </w:rPr>
        <w:t>a la información</w:t>
      </w:r>
      <w:r w:rsidR="00EA1E48" w:rsidRPr="00C36261">
        <w:rPr>
          <w:rFonts w:ascii="Palatino Linotype" w:eastAsia="Palatino Linotype" w:hAnsi="Palatino Linotype" w:cs="Palatino Linotype"/>
        </w:rPr>
        <w:t xml:space="preserve"> de manera temporal, pues esos datos personales continúan subsistiendo; en todo caso estos deben ser clasificados como confidenciales a través de la elaboración de versiones públicas</w:t>
      </w:r>
      <w:r w:rsidRPr="00C36261">
        <w:rPr>
          <w:rFonts w:ascii="Palatino Linotype" w:eastAsia="Palatino Linotype" w:hAnsi="Palatino Linotype" w:cs="Palatino Linotype"/>
        </w:rPr>
        <w:t>.</w:t>
      </w:r>
    </w:p>
    <w:p w:rsidR="00D96604" w:rsidRPr="00C36261" w:rsidRDefault="00D96604" w:rsidP="009D6D73">
      <w:pPr>
        <w:pStyle w:val="Prrafodelista"/>
        <w:ind w:left="0" w:right="49"/>
        <w:rPr>
          <w:rFonts w:ascii="Palatino Linotype" w:eastAsia="Palatino Linotype" w:hAnsi="Palatino Linotype" w:cs="Palatino Linotype"/>
        </w:rPr>
      </w:pPr>
    </w:p>
    <w:p w:rsidR="00D96604" w:rsidRPr="00C36261" w:rsidRDefault="00D96604"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Lo anterior resulta así, ya que </w:t>
      </w:r>
      <w:r w:rsidR="00EA1E48" w:rsidRPr="00C36261">
        <w:rPr>
          <w:rFonts w:ascii="Palatino Linotype" w:eastAsia="Palatino Linotype" w:hAnsi="Palatino Linotype" w:cs="Palatino Linotype"/>
        </w:rPr>
        <w:t xml:space="preserve">lo solicitado </w:t>
      </w:r>
      <w:r w:rsidRPr="00C36261">
        <w:rPr>
          <w:rFonts w:ascii="Palatino Linotype" w:eastAsia="Palatino Linotype" w:hAnsi="Palatino Linotype" w:cs="Palatino Linotype"/>
        </w:rPr>
        <w:t xml:space="preserve">corresponden a medios alternativos de solución, donde ya consta la </w:t>
      </w:r>
      <w:r w:rsidR="00EA1E48" w:rsidRPr="00C36261">
        <w:rPr>
          <w:rFonts w:ascii="Palatino Linotype" w:eastAsia="Palatino Linotype" w:hAnsi="Palatino Linotype" w:cs="Palatino Linotype"/>
        </w:rPr>
        <w:t>resolución</w:t>
      </w:r>
      <w:r w:rsidRPr="00C36261">
        <w:rPr>
          <w:rFonts w:ascii="Palatino Linotype" w:eastAsia="Palatino Linotype" w:hAnsi="Palatino Linotype" w:cs="Palatino Linotype"/>
        </w:rPr>
        <w:t xml:space="preserve"> de un conflicto, como lo establece la propia </w:t>
      </w:r>
      <w:r w:rsidR="002F0522" w:rsidRPr="00C36261">
        <w:rPr>
          <w:rFonts w:ascii="Palatino Linotype" w:eastAsia="Palatino Linotype" w:hAnsi="Palatino Linotype" w:cs="Palatino Linotype"/>
        </w:rPr>
        <w:t>Ley de Justicia Cívica del Estado de México y</w:t>
      </w:r>
      <w:r w:rsidRPr="00C36261">
        <w:rPr>
          <w:rFonts w:ascii="Palatino Linotype" w:eastAsia="Palatino Linotype" w:hAnsi="Palatino Linotype" w:cs="Palatino Linotype"/>
        </w:rPr>
        <w:t xml:space="preserve"> </w:t>
      </w:r>
      <w:r w:rsidR="002F0522" w:rsidRPr="00C36261">
        <w:rPr>
          <w:rFonts w:ascii="Palatino Linotype" w:eastAsia="Palatino Linotype" w:hAnsi="Palatino Linotype" w:cs="Palatino Linotype"/>
        </w:rPr>
        <w:t>s</w:t>
      </w:r>
      <w:r w:rsidRPr="00C36261">
        <w:rPr>
          <w:rFonts w:ascii="Palatino Linotype" w:eastAsia="Palatino Linotype" w:hAnsi="Palatino Linotype" w:cs="Palatino Linotype"/>
        </w:rPr>
        <w:t>us Municipios</w:t>
      </w:r>
      <w:r w:rsidR="002F0522" w:rsidRPr="00C36261">
        <w:rPr>
          <w:rFonts w:ascii="Palatino Linotype" w:eastAsia="Palatino Linotype" w:hAnsi="Palatino Linotype" w:cs="Palatino Linotype"/>
        </w:rPr>
        <w:t>, en sus siguientes preceptos:</w:t>
      </w:r>
    </w:p>
    <w:p w:rsidR="002F0522" w:rsidRPr="00C36261" w:rsidRDefault="002F0522" w:rsidP="009D6D73">
      <w:p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lastRenderedPageBreak/>
        <w:t xml:space="preserve">“Artículo 4.- Para los efectos de esta Ley, se entenderá por: </w:t>
      </w:r>
    </w:p>
    <w:p w:rsidR="002F0522" w:rsidRPr="00C36261" w:rsidRDefault="002F0522" w:rsidP="009D6D73">
      <w:p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p>
    <w:p w:rsidR="002F0522" w:rsidRPr="00C36261" w:rsidRDefault="002F0522" w:rsidP="009D6D73">
      <w:p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 xml:space="preserve">III. </w:t>
      </w:r>
      <w:r w:rsidRPr="00C36261">
        <w:rPr>
          <w:rFonts w:ascii="Palatino Linotype" w:eastAsia="Palatino Linotype" w:hAnsi="Palatino Linotype" w:cs="Palatino Linotype"/>
          <w:b/>
          <w:i/>
        </w:rPr>
        <w:t>Conciliación</w:t>
      </w:r>
      <w:r w:rsidRPr="00C36261">
        <w:rPr>
          <w:rFonts w:ascii="Palatino Linotype" w:eastAsia="Palatino Linotype" w:hAnsi="Palatino Linotype" w:cs="Palatino Linotype"/>
          <w:i/>
        </w:rPr>
        <w:t>: Al proceso confidencial y voluntario en el que uno o más conciliadores asisten a las personas interesadas, facilitándoles el diálogo y proponiendo soluciones legales, equitativas y justas al conflicto;</w:t>
      </w:r>
    </w:p>
    <w:p w:rsidR="002F0522" w:rsidRPr="00C36261" w:rsidRDefault="002F0522" w:rsidP="009D6D73">
      <w:p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 xml:space="preserve">IV. </w:t>
      </w:r>
      <w:r w:rsidRPr="00C36261">
        <w:rPr>
          <w:rFonts w:ascii="Palatino Linotype" w:eastAsia="Palatino Linotype" w:hAnsi="Palatino Linotype" w:cs="Palatino Linotype"/>
          <w:b/>
          <w:i/>
        </w:rPr>
        <w:t>Convenio</w:t>
      </w:r>
      <w:r w:rsidRPr="00C36261">
        <w:rPr>
          <w:rFonts w:ascii="Palatino Linotype" w:eastAsia="Palatino Linotype" w:hAnsi="Palatino Linotype" w:cs="Palatino Linotype"/>
          <w:i/>
        </w:rPr>
        <w:t xml:space="preserve">: Al acto jurídico escrito en cuyo contenido consta la prevención o solución de un determinado conflicto; </w:t>
      </w:r>
    </w:p>
    <w:p w:rsidR="002F0522" w:rsidRPr="00C36261" w:rsidRDefault="002F0522" w:rsidP="009D6D73">
      <w:p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p>
    <w:p w:rsidR="00EA1E48" w:rsidRPr="00C36261" w:rsidRDefault="00EA1E48" w:rsidP="009D6D73">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C36261">
        <w:rPr>
          <w:rFonts w:ascii="Palatino Linotype" w:eastAsia="Palatino Linotype" w:hAnsi="Palatino Linotype" w:cs="Palatino Linotype"/>
        </w:rPr>
        <w:t>Énfasis propio</w:t>
      </w:r>
    </w:p>
    <w:p w:rsidR="00D96604" w:rsidRPr="00C36261" w:rsidRDefault="00D96604" w:rsidP="009D6D73">
      <w:pPr>
        <w:pStyle w:val="Prrafodelista"/>
        <w:ind w:left="0" w:right="49"/>
        <w:rPr>
          <w:rFonts w:ascii="Palatino Linotype" w:eastAsia="Palatino Linotype" w:hAnsi="Palatino Linotype" w:cs="Palatino Linotype"/>
        </w:rPr>
      </w:pPr>
    </w:p>
    <w:p w:rsidR="00D96604" w:rsidRPr="00C36261" w:rsidRDefault="002F052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Es decir, que son procedimientos consumados en los que se arribó a una conciliación o un convenio, por tanto no existe un riesgo en la conducción de los expedientes judiciales o de los procedimientos administrativos seguidos en forma de juicio, en tanto no hayan quedado firmes; o bien que el daño que pueda producirse con la publicación de la información sea mayor que el interés público de conocer la información de referencia, si está directamente relacionado con procesos o procedimientos administrativos o judiciales que no hayan quedado firmes, pues se insiste estos se han materializado y tienen efectos de una sentencia.</w:t>
      </w:r>
    </w:p>
    <w:p w:rsidR="002F0522" w:rsidRPr="00C36261" w:rsidRDefault="002F0522" w:rsidP="009D6D7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96604" w:rsidRPr="00C36261" w:rsidRDefault="002E2619"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Luego entonces, las conciliaciones y convenios realizados por un juez cívico pueden ser considerados información pública y, por lo tanto, accesibles mediante el ejercicio del derecho de acceso a la información. Asimismo</w:t>
      </w:r>
      <w:r w:rsidR="00EA1E48" w:rsidRPr="00C36261">
        <w:rPr>
          <w:rFonts w:ascii="Palatino Linotype" w:eastAsia="Palatino Linotype" w:hAnsi="Palatino Linotype" w:cs="Palatino Linotype"/>
        </w:rPr>
        <w:t>, también</w:t>
      </w:r>
      <w:r w:rsidRPr="00C36261">
        <w:rPr>
          <w:rFonts w:ascii="Palatino Linotype" w:eastAsia="Palatino Linotype" w:hAnsi="Palatino Linotype" w:cs="Palatino Linotype"/>
        </w:rPr>
        <w:t xml:space="preserve"> porque en materia cívica no involucran -como quedo asentado en el marco normativo anteriormente desarrollado- la persecución de delitos, por lo que tampoco se puede actualizar la causal de reserva relativa </w:t>
      </w:r>
      <w:r w:rsidRPr="00C36261">
        <w:rPr>
          <w:rFonts w:ascii="Palatino Linotype" w:eastAsia="Palatino Linotype" w:hAnsi="Palatino Linotype" w:cs="Palatino Linotype"/>
        </w:rPr>
        <w:lastRenderedPageBreak/>
        <w:t>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w:t>
      </w:r>
    </w:p>
    <w:p w:rsidR="002E2619" w:rsidRPr="00C36261" w:rsidRDefault="002E2619" w:rsidP="009D6D73">
      <w:pPr>
        <w:pStyle w:val="Prrafodelista"/>
        <w:ind w:left="0" w:right="49"/>
        <w:rPr>
          <w:rFonts w:ascii="Palatino Linotype" w:eastAsia="Palatino Linotype" w:hAnsi="Palatino Linotype" w:cs="Palatino Linotype"/>
        </w:rPr>
      </w:pPr>
    </w:p>
    <w:p w:rsidR="002E2619" w:rsidRPr="00C36261" w:rsidRDefault="002E2619"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En contraste, si es información que abona a la transparencia en </w:t>
      </w:r>
      <w:r w:rsidR="00EA1E48" w:rsidRPr="00C36261">
        <w:rPr>
          <w:rFonts w:ascii="Palatino Linotype" w:eastAsia="Palatino Linotype" w:hAnsi="Palatino Linotype" w:cs="Palatino Linotype"/>
        </w:rPr>
        <w:t xml:space="preserve">lo que hace a </w:t>
      </w:r>
      <w:r w:rsidRPr="00C36261">
        <w:rPr>
          <w:rFonts w:ascii="Palatino Linotype" w:eastAsia="Palatino Linotype" w:hAnsi="Palatino Linotype" w:cs="Palatino Linotype"/>
        </w:rPr>
        <w:t>la actuación de las autoridades, como son los jueces cívicos, que es un principio constitucional que debe tutelar este Instituto consagrado en el artículo 6 constitucional, el cual establece que la información debe ser pública para garantizar la rendición de cuentas; lo anterior resulta así, en virtud que los convenios y conciliaciones atañen a conflictos vecinales, uso de vía pública, por lo que su difusión puede ser de interés social.</w:t>
      </w:r>
    </w:p>
    <w:p w:rsidR="002E2619" w:rsidRPr="00C36261" w:rsidRDefault="002E2619" w:rsidP="009D6D73">
      <w:pPr>
        <w:pStyle w:val="Prrafodelista"/>
        <w:ind w:left="0" w:right="49"/>
        <w:rPr>
          <w:rFonts w:ascii="Palatino Linotype" w:eastAsia="Palatino Linotype" w:hAnsi="Palatino Linotype" w:cs="Palatino Linotype"/>
        </w:rPr>
      </w:pPr>
    </w:p>
    <w:p w:rsidR="002E2619" w:rsidRPr="00C36261" w:rsidRDefault="002E2619"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No pasa desapercibido que en la fracción III del artículo 4 antes citado, se desprende que la conciliación es un procedimiento confidencial. Efectivamente, sin embargo esto es en referencia a que se debe proteger los datos personales de las partes, ya que de hacerse público, </w:t>
      </w:r>
      <w:r w:rsidR="00B26C5D" w:rsidRPr="00C36261">
        <w:rPr>
          <w:rFonts w:ascii="Palatino Linotype" w:eastAsia="Palatino Linotype" w:hAnsi="Palatino Linotype" w:cs="Palatino Linotype"/>
        </w:rPr>
        <w:t>pueden existir</w:t>
      </w:r>
      <w:r w:rsidRPr="00C36261">
        <w:rPr>
          <w:rFonts w:ascii="Palatino Linotype" w:eastAsia="Palatino Linotype" w:hAnsi="Palatino Linotype" w:cs="Palatino Linotype"/>
        </w:rPr>
        <w:t xml:space="preserve"> afecta</w:t>
      </w:r>
      <w:r w:rsidR="00B26C5D" w:rsidRPr="00C36261">
        <w:rPr>
          <w:rFonts w:ascii="Palatino Linotype" w:eastAsia="Palatino Linotype" w:hAnsi="Palatino Linotype" w:cs="Palatino Linotype"/>
        </w:rPr>
        <w:t>ciones en</w:t>
      </w:r>
      <w:r w:rsidRPr="00C36261">
        <w:rPr>
          <w:rFonts w:ascii="Palatino Linotype" w:eastAsia="Palatino Linotype" w:hAnsi="Palatino Linotype" w:cs="Palatino Linotype"/>
        </w:rPr>
        <w:t xml:space="preserve"> su reputación o </w:t>
      </w:r>
      <w:r w:rsidR="00B26C5D" w:rsidRPr="00C36261">
        <w:rPr>
          <w:rFonts w:ascii="Palatino Linotype" w:eastAsia="Palatino Linotype" w:hAnsi="Palatino Linotype" w:cs="Palatino Linotype"/>
        </w:rPr>
        <w:t xml:space="preserve">privacidad al exponer asuntos sensibles, de modo tal que se suscriben los argumentos vertidos por el </w:t>
      </w:r>
      <w:r w:rsidR="00B26C5D" w:rsidRPr="00C36261">
        <w:rPr>
          <w:rFonts w:ascii="Palatino Linotype" w:eastAsia="Palatino Linotype" w:hAnsi="Palatino Linotype" w:cs="Palatino Linotype"/>
          <w:b/>
        </w:rPr>
        <w:t xml:space="preserve">SUJETO OBLIGADO </w:t>
      </w:r>
      <w:r w:rsidR="00B26C5D" w:rsidRPr="00C36261">
        <w:rPr>
          <w:rFonts w:ascii="Palatino Linotype" w:eastAsia="Palatino Linotype" w:hAnsi="Palatino Linotype" w:cs="Palatino Linotype"/>
        </w:rPr>
        <w:t>en su respuesta, relativos a la imperiosa necesidad de proteger todos aquellos datos personales contenidos en los convenios y conciliaciones; no así en la necesidad de clasificar en su totalidad la información</w:t>
      </w:r>
      <w:r w:rsidR="00EA1E48" w:rsidRPr="00C36261">
        <w:rPr>
          <w:rFonts w:ascii="Palatino Linotype" w:eastAsia="Palatino Linotype" w:hAnsi="Palatino Linotype" w:cs="Palatino Linotype"/>
        </w:rPr>
        <w:t xml:space="preserve"> de manera temporal por resultar contradictorio pues –se insiste– los datos personales subsisten y no se extingue la causal que motiva su clasificación.</w:t>
      </w:r>
    </w:p>
    <w:p w:rsidR="00B26C5D" w:rsidRPr="00C36261" w:rsidRDefault="00B26C5D"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lastRenderedPageBreak/>
        <w:t xml:space="preserve">Mención aparte merece lo relativo a los expedientes, pues el ahora </w:t>
      </w:r>
      <w:r w:rsidRPr="00C36261">
        <w:rPr>
          <w:rFonts w:ascii="Palatino Linotype" w:eastAsia="Palatino Linotype" w:hAnsi="Palatino Linotype" w:cs="Palatino Linotype"/>
          <w:b/>
        </w:rPr>
        <w:t>RECURRENTE</w:t>
      </w:r>
      <w:r w:rsidRPr="00C36261">
        <w:rPr>
          <w:rFonts w:ascii="Palatino Linotype" w:eastAsia="Palatino Linotype" w:hAnsi="Palatino Linotype" w:cs="Palatino Linotype"/>
        </w:rPr>
        <w:t xml:space="preserve"> fue enfático al referir </w:t>
      </w:r>
      <w:r w:rsidRPr="00C36261">
        <w:rPr>
          <w:rFonts w:ascii="Palatino Linotype" w:eastAsia="Palatino Linotype" w:hAnsi="Palatino Linotype" w:cs="Palatino Linotype"/>
          <w:i/>
        </w:rPr>
        <w:t>todos</w:t>
      </w:r>
      <w:r w:rsidRPr="00C36261">
        <w:rPr>
          <w:rFonts w:ascii="Palatino Linotype" w:eastAsia="Palatino Linotype" w:hAnsi="Palatino Linotype" w:cs="Palatino Linotype"/>
        </w:rPr>
        <w:t>. Es decir que esto incluye a los concluidos y no concluidos.</w:t>
      </w:r>
    </w:p>
    <w:p w:rsidR="00B26C5D" w:rsidRPr="00C36261" w:rsidRDefault="00B26C5D" w:rsidP="009D6D73">
      <w:pPr>
        <w:pStyle w:val="Prrafodelista"/>
        <w:ind w:left="0" w:right="49"/>
        <w:rPr>
          <w:rFonts w:ascii="Palatino Linotype" w:eastAsia="Palatino Linotype" w:hAnsi="Palatino Linotype" w:cs="Palatino Linotype"/>
        </w:rPr>
      </w:pPr>
    </w:p>
    <w:p w:rsidR="00D96604" w:rsidRPr="00C36261" w:rsidRDefault="00B26C5D"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Al sentido contrario de lo expuesto a convenios y conciliaciones, existe entonces la posibilidad que eventualmente existan expediente</w:t>
      </w:r>
      <w:r w:rsidR="007C497A" w:rsidRPr="00C36261">
        <w:rPr>
          <w:rFonts w:ascii="Palatino Linotype" w:eastAsia="Palatino Linotype" w:hAnsi="Palatino Linotype" w:cs="Palatino Linotype"/>
        </w:rPr>
        <w:t>s</w:t>
      </w:r>
      <w:r w:rsidRPr="00C36261">
        <w:rPr>
          <w:rFonts w:ascii="Palatino Linotype" w:eastAsia="Palatino Linotype" w:hAnsi="Palatino Linotype" w:cs="Palatino Linotype"/>
        </w:rPr>
        <w:t xml:space="preserve"> que al no estar concluidos no estén firmes y ciertamente si se actualice una causal de procedencia de reserva de la info</w:t>
      </w:r>
      <w:r w:rsidR="007C497A" w:rsidRPr="00C36261">
        <w:rPr>
          <w:rFonts w:ascii="Palatino Linotype" w:eastAsia="Palatino Linotype" w:hAnsi="Palatino Linotype" w:cs="Palatino Linotype"/>
        </w:rPr>
        <w:t>rmación</w:t>
      </w:r>
      <w:r w:rsidR="00EA1E48" w:rsidRPr="00C36261">
        <w:rPr>
          <w:rFonts w:ascii="Palatino Linotype" w:eastAsia="Palatino Linotype" w:hAnsi="Palatino Linotype" w:cs="Palatino Linotype"/>
        </w:rPr>
        <w:t>;</w:t>
      </w:r>
      <w:r w:rsidR="007C497A" w:rsidRPr="00C36261">
        <w:rPr>
          <w:rFonts w:ascii="Palatino Linotype" w:hAnsi="Palatino Linotype"/>
        </w:rPr>
        <w:t xml:space="preserve"> </w:t>
      </w:r>
      <w:r w:rsidR="007C497A" w:rsidRPr="00C36261">
        <w:rPr>
          <w:rFonts w:ascii="Palatino Linotype" w:eastAsia="Palatino Linotype" w:hAnsi="Palatino Linotype" w:cs="Palatino Linotype"/>
        </w:rPr>
        <w:t xml:space="preserve">pues si el expediente se hiciera público antes de su resolución, podría influir en las partes o testigos o, perjudicar la imparcialidad del juez y la resolución del conflicto. Por tanto a efecto de garantizar la eficacia de la investigación o resolución del expediente, ciertamente debe someterse a un proceso </w:t>
      </w:r>
      <w:r w:rsidR="00EA1E48" w:rsidRPr="00C36261">
        <w:rPr>
          <w:rFonts w:ascii="Palatino Linotype" w:eastAsia="Palatino Linotype" w:hAnsi="Palatino Linotype" w:cs="Palatino Linotype"/>
        </w:rPr>
        <w:t>de clasificación como reservado por tiempo determinado; o bien se extinga la causa de reserva.</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7C497A"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Al respecto</w:t>
      </w:r>
      <w:r w:rsidR="00156FC2" w:rsidRPr="00C36261">
        <w:rPr>
          <w:rFonts w:ascii="Palatino Linotype" w:eastAsia="Palatino Linotype" w:hAnsi="Palatino Linotype" w:cs="Palatino Linotype"/>
        </w:rPr>
        <w:t>, el</w:t>
      </w:r>
      <w:r w:rsidR="00156FC2" w:rsidRPr="00C36261">
        <w:rPr>
          <w:rFonts w:ascii="Palatino Linotype" w:eastAsia="Palatino Linotype" w:hAnsi="Palatino Linotype" w:cs="Palatino Linotype"/>
          <w:b/>
        </w:rPr>
        <w:t xml:space="preserve"> </w:t>
      </w:r>
      <w:r w:rsidR="00763A69" w:rsidRPr="00C36261">
        <w:rPr>
          <w:rFonts w:ascii="Palatino Linotype" w:eastAsia="Palatino Linotype" w:hAnsi="Palatino Linotype" w:cs="Palatino Linotype"/>
          <w:b/>
        </w:rPr>
        <w:t xml:space="preserve">SUJETO OBLIGADO </w:t>
      </w:r>
      <w:r w:rsidR="00156FC2" w:rsidRPr="00C36261">
        <w:rPr>
          <w:rFonts w:ascii="Palatino Linotype" w:eastAsia="Palatino Linotype" w:hAnsi="Palatino Linotype" w:cs="Palatino Linotype"/>
        </w:rPr>
        <w:t>deberá demostrar que encuentra en alguna de las excepciones establecidas en la normatividad aplicable.</w:t>
      </w:r>
      <w:r w:rsidR="00763A69" w:rsidRPr="00C36261">
        <w:rPr>
          <w:rFonts w:ascii="Palatino Linotype" w:eastAsia="Palatino Linotype" w:hAnsi="Palatino Linotype" w:cs="Palatino Linotype"/>
          <w:b/>
        </w:rPr>
        <w:t xml:space="preserve"> </w:t>
      </w:r>
      <w:r w:rsidR="00156FC2" w:rsidRPr="00C36261">
        <w:rPr>
          <w:rFonts w:ascii="Palatino Linotype" w:eastAsia="Palatino Linotype" w:hAnsi="Palatino Linotype" w:cs="Palatino Linotype"/>
        </w:rPr>
        <w:t xml:space="preserve">En ese sentido, según Trujillo, Humberto (2019), en el “Diccionario de Transparencia y Acceso a la Información Pública” (p. 201), </w:t>
      </w:r>
      <w:r w:rsidR="00156FC2" w:rsidRPr="00C36261">
        <w:rPr>
          <w:rFonts w:ascii="Palatino Linotype" w:eastAsia="Palatino Linotype" w:hAnsi="Palatino Linotype" w:cs="Palatino Linotype"/>
          <w:b/>
        </w:rPr>
        <w:t xml:space="preserve">la negativa de acceso a la información </w:t>
      </w:r>
      <w:r w:rsidR="00156FC2" w:rsidRPr="00C36261">
        <w:rPr>
          <w:rFonts w:ascii="Palatino Linotype" w:eastAsia="Palatino Linotype" w:hAnsi="Palatino Linotype" w:cs="Palatino Linotype"/>
        </w:rPr>
        <w:t xml:space="preserve">ocurre cuanto de manera fundada y motivada, una autoridad la niega o la limita, por </w:t>
      </w:r>
      <w:r w:rsidR="00763A69" w:rsidRPr="00C36261">
        <w:rPr>
          <w:rFonts w:ascii="Palatino Linotype" w:eastAsia="Palatino Linotype" w:hAnsi="Palatino Linotype" w:cs="Palatino Linotype"/>
        </w:rPr>
        <w:t>diversas</w:t>
      </w:r>
      <w:r w:rsidR="00156FC2" w:rsidRPr="00C36261">
        <w:rPr>
          <w:rFonts w:ascii="Palatino Linotype" w:eastAsia="Palatino Linotype" w:hAnsi="Palatino Linotype" w:cs="Palatino Linotype"/>
        </w:rPr>
        <w:t xml:space="preserve"> razones</w:t>
      </w:r>
      <w:r w:rsidR="00763A69" w:rsidRPr="00C36261">
        <w:rPr>
          <w:rFonts w:ascii="Palatino Linotype" w:eastAsia="Palatino Linotype" w:hAnsi="Palatino Linotype" w:cs="Palatino Linotype"/>
        </w:rPr>
        <w:t>, en el caso concreto la siguiente</w:t>
      </w:r>
      <w:r w:rsidR="00156FC2" w:rsidRPr="00C36261">
        <w:rPr>
          <w:rFonts w:ascii="Palatino Linotype" w:eastAsia="Palatino Linotype" w:hAnsi="Palatino Linotype" w:cs="Palatino Linotype"/>
        </w:rPr>
        <w:t xml:space="preserve">: </w:t>
      </w:r>
    </w:p>
    <w:p w:rsidR="00156FC2" w:rsidRPr="00C36261" w:rsidRDefault="00156FC2" w:rsidP="00BB24E0">
      <w:pPr>
        <w:numPr>
          <w:ilvl w:val="0"/>
          <w:numId w:val="2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rPr>
      </w:pPr>
      <w:r w:rsidRPr="00C36261">
        <w:rPr>
          <w:rFonts w:ascii="Palatino Linotype" w:eastAsia="Palatino Linotype" w:hAnsi="Palatino Linotype" w:cs="Palatino Linotype"/>
          <w:b/>
        </w:rPr>
        <w:t xml:space="preserve">La clasificación de la información (p. 70): </w:t>
      </w:r>
      <w:r w:rsidRPr="00C36261">
        <w:rPr>
          <w:rFonts w:ascii="Palatino Linotype" w:eastAsia="Palatino Linotype" w:hAnsi="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rPr>
      </w:pPr>
      <w:r w:rsidRPr="00C36261">
        <w:rPr>
          <w:rFonts w:ascii="Palatino Linotype" w:eastAsia="Palatino Linotype" w:hAnsi="Palatino Linotype" w:cs="Palatino Linotype"/>
        </w:rPr>
        <w:lastRenderedPageBreak/>
        <w:t>En ese orden de idea</w:t>
      </w:r>
      <w:r w:rsidR="00763A69" w:rsidRPr="00C36261">
        <w:rPr>
          <w:rFonts w:ascii="Palatino Linotype" w:eastAsia="Palatino Linotype" w:hAnsi="Palatino Linotype" w:cs="Palatino Linotype"/>
        </w:rPr>
        <w:t>s,</w:t>
      </w:r>
      <w:r w:rsidRPr="00C36261">
        <w:rPr>
          <w:rFonts w:ascii="Palatino Linotype" w:eastAsia="Palatino Linotype" w:hAnsi="Palatino Linotype" w:cs="Palatino Linotype"/>
        </w:rPr>
        <w:t xml:space="preserve"> las excepciones al derecho de acceso a la información, consisten en que la documentación sea inexistente, </w:t>
      </w:r>
      <w:r w:rsidRPr="00C36261">
        <w:rPr>
          <w:rFonts w:ascii="Palatino Linotype" w:eastAsia="Palatino Linotype" w:hAnsi="Palatino Linotype" w:cs="Palatino Linotype"/>
          <w:b/>
        </w:rPr>
        <w:t>se encuentre clasificada</w:t>
      </w:r>
      <w:r w:rsidRPr="00C36261">
        <w:rPr>
          <w:rFonts w:ascii="Palatino Linotype" w:eastAsia="Palatino Linotype" w:hAnsi="Palatino Linotype" w:cs="Palatino Linotype"/>
        </w:rPr>
        <w:t>, o bien, el Sujeto Obligado sea incompetente para contar con esta; esto es, la negativa de acceso a la información, recae cuando la documentación no se encuentre en los archivos del sujeto obligado, o bien exista, pero no pueda proporcionarse por contener datos confidenciales o</w:t>
      </w:r>
      <w:r w:rsidRPr="00C36261">
        <w:rPr>
          <w:rFonts w:ascii="Palatino Linotype" w:eastAsia="Palatino Linotype" w:hAnsi="Palatino Linotype" w:cs="Palatino Linotype"/>
          <w:b/>
        </w:rPr>
        <w:t xml:space="preserve"> reservados.</w:t>
      </w:r>
    </w:p>
    <w:p w:rsidR="00156FC2" w:rsidRPr="00C36261" w:rsidRDefault="00156FC2" w:rsidP="009D6D73">
      <w:pPr>
        <w:spacing w:line="360" w:lineRule="auto"/>
        <w:ind w:right="49"/>
        <w:jc w:val="both"/>
        <w:rPr>
          <w:rFonts w:ascii="Palatino Linotype" w:eastAsia="Palatino Linotype" w:hAnsi="Palatino Linotype" w:cs="Palatino Linotype"/>
          <w:b/>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Así, en los artículos 122, 128 y 130 de la Ley Transparencia y Acceso a la Información Pública del Estado de México y Municipios, se prevé que </w:t>
      </w:r>
      <w:r w:rsidRPr="00C36261">
        <w:rPr>
          <w:rFonts w:ascii="Palatino Linotype" w:eastAsia="Palatino Linotype" w:hAnsi="Palatino Linotype" w:cs="Palatino Linotype"/>
          <w:b/>
        </w:rPr>
        <w:t xml:space="preserve">la clasificación </w:t>
      </w:r>
      <w:r w:rsidRPr="00C36261">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Por lo cual, en los casos en que se niegue el acceso a la información, por actualizarse alguno de los supuestos de clasificación, </w:t>
      </w:r>
      <w:r w:rsidRPr="00C36261">
        <w:rPr>
          <w:rFonts w:ascii="Palatino Linotype" w:eastAsia="Palatino Linotype" w:hAnsi="Palatino Linotype" w:cs="Palatino Linotype"/>
          <w:b/>
        </w:rPr>
        <w:t xml:space="preserve">el Comité de Transparencia deberá confirmar, modificar o revocar la decisión; </w:t>
      </w:r>
      <w:r w:rsidRPr="00C36261">
        <w:rPr>
          <w:rFonts w:ascii="Palatino Linotype" w:eastAsia="Palatino Linotype" w:hAnsi="Palatino Linotype" w:cs="Palatino Linotype"/>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rPr>
      </w:pPr>
      <w:r w:rsidRPr="00C36261">
        <w:rPr>
          <w:rFonts w:ascii="Palatino Linotype" w:eastAsia="Palatino Linotype" w:hAnsi="Palatino Linotype" w:cs="Palatino Linotype"/>
        </w:rPr>
        <w:t xml:space="preserve">Por </w:t>
      </w:r>
      <w:r w:rsidR="00EA1E48" w:rsidRPr="00C36261">
        <w:rPr>
          <w:rFonts w:ascii="Palatino Linotype" w:eastAsia="Palatino Linotype" w:hAnsi="Palatino Linotype" w:cs="Palatino Linotype"/>
        </w:rPr>
        <w:t>otro lado</w:t>
      </w:r>
      <w:r w:rsidRPr="00C36261">
        <w:rPr>
          <w:rFonts w:ascii="Palatino Linotype" w:eastAsia="Palatino Linotype" w:hAnsi="Palatino Linotype" w:cs="Palatino Linotype"/>
        </w:rPr>
        <w:t xml:space="preserve">, según Bonifaz, Leticia (2016), en la “Ley General de Transparencia y Acceso a la Información Pública Comentada” (p. 342), la </w:t>
      </w:r>
      <w:r w:rsidRPr="00C36261">
        <w:rPr>
          <w:rFonts w:ascii="Palatino Linotype" w:eastAsia="Palatino Linotype" w:hAnsi="Palatino Linotype" w:cs="Palatino Linotype"/>
          <w:b/>
        </w:rPr>
        <w:t>clasificación de la información</w:t>
      </w:r>
      <w:r w:rsidRPr="00C36261">
        <w:rPr>
          <w:rFonts w:ascii="Palatino Linotype" w:eastAsia="Palatino Linotype" w:hAnsi="Palatino Linotype" w:cs="Palatino Linotype"/>
        </w:rPr>
        <w:t xml:space="preserve">, ocurre cuando la autoridad niega el acceso a esta, por ser confidencial o reservada, para lo </w:t>
      </w:r>
      <w:r w:rsidRPr="00C36261">
        <w:rPr>
          <w:rFonts w:ascii="Palatino Linotype" w:eastAsia="Palatino Linotype" w:hAnsi="Palatino Linotype" w:cs="Palatino Linotype"/>
        </w:rPr>
        <w:lastRenderedPageBreak/>
        <w:t xml:space="preserve">cual, los sujetos obligados, deberán realizar el proceso de clasificación, a la luz de los principios y disposiciones establecidas en las Leyes de Transparencia, fundando y motivando, </w:t>
      </w:r>
      <w:r w:rsidRPr="00C36261">
        <w:rPr>
          <w:rFonts w:ascii="Palatino Linotype" w:eastAsia="Palatino Linotype" w:hAnsi="Palatino Linotype" w:cs="Palatino Linotype"/>
          <w:b/>
        </w:rPr>
        <w:t>de manera adecuada la negativa de información.</w:t>
      </w:r>
    </w:p>
    <w:p w:rsidR="00156FC2" w:rsidRPr="00C36261" w:rsidRDefault="00156FC2" w:rsidP="009D6D73">
      <w:pPr>
        <w:spacing w:line="360" w:lineRule="auto"/>
        <w:ind w:right="49"/>
        <w:jc w:val="both"/>
        <w:rPr>
          <w:rFonts w:ascii="Palatino Linotype" w:eastAsia="Palatino Linotype" w:hAnsi="Palatino Linotype" w:cs="Palatino Linotype"/>
          <w:b/>
        </w:rPr>
      </w:pPr>
    </w:p>
    <w:p w:rsidR="00156FC2" w:rsidRPr="00C36261" w:rsidRDefault="000A5074"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rPr>
      </w:pPr>
      <w:r w:rsidRPr="00C36261">
        <w:rPr>
          <w:rFonts w:ascii="Palatino Linotype" w:eastAsia="Palatino Linotype" w:hAnsi="Palatino Linotype" w:cs="Palatino Linotype"/>
        </w:rPr>
        <w:t>Por su parte</w:t>
      </w:r>
      <w:r w:rsidR="00156FC2"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rPr>
        <w:t>e</w:t>
      </w:r>
      <w:r w:rsidR="00156FC2" w:rsidRPr="00C36261">
        <w:rPr>
          <w:rFonts w:ascii="Palatino Linotype" w:eastAsia="Palatino Linotype" w:hAnsi="Palatino Linotype" w:cs="Palatino Linotype"/>
        </w:rPr>
        <w:t>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w:t>
      </w:r>
    </w:p>
    <w:p w:rsidR="00156FC2" w:rsidRPr="00C36261" w:rsidRDefault="00156FC2" w:rsidP="009D6D73">
      <w:pPr>
        <w:spacing w:line="360" w:lineRule="auto"/>
        <w:ind w:right="49"/>
        <w:jc w:val="both"/>
        <w:rPr>
          <w:rFonts w:ascii="Palatino Linotype" w:eastAsia="Palatino Linotype" w:hAnsi="Palatino Linotype" w:cs="Palatino Linotype"/>
          <w:b/>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Además, el artículo 131 de la Ley referida, así como el Quinto de los Lineamientos Generales, establecen que los sujetos obligados </w:t>
      </w:r>
      <w:r w:rsidRPr="00C36261">
        <w:rPr>
          <w:rFonts w:ascii="Palatino Linotype" w:eastAsia="Palatino Linotype" w:hAnsi="Palatino Linotype" w:cs="Palatino Linotype"/>
          <w:b/>
        </w:rPr>
        <w:t>deberán fundar y motivar</w:t>
      </w:r>
      <w:r w:rsidRPr="00C36261">
        <w:rPr>
          <w:rFonts w:ascii="Palatino Linotype" w:eastAsia="Palatino Linotype" w:hAnsi="Palatino Linotype" w:cs="Palatino Linotype"/>
        </w:rPr>
        <w:t xml:space="preserve"> debidamente la clasificación de la información.</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Al respecto, el Octavo de los Lineamientos Generales, precisa lo siguiente:</w:t>
      </w:r>
    </w:p>
    <w:p w:rsidR="00156FC2" w:rsidRPr="00C36261" w:rsidRDefault="00156FC2" w:rsidP="00BB24E0">
      <w:pPr>
        <w:numPr>
          <w:ilvl w:val="0"/>
          <w:numId w:val="30"/>
        </w:numP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b/>
        </w:rPr>
        <w:t>Para fundar la clasificación</w:t>
      </w:r>
      <w:r w:rsidRPr="00C36261">
        <w:rPr>
          <w:rFonts w:ascii="Palatino Linotype" w:eastAsia="Palatino Linotype" w:hAnsi="Palatino Linotype" w:cs="Palatino Linotype"/>
        </w:rPr>
        <w:t xml:space="preserve"> de la información se deberán señalar el artículo, fracción, inciso, párrafo o numeral de la Ley aplicable;</w:t>
      </w:r>
    </w:p>
    <w:p w:rsidR="00156FC2" w:rsidRPr="00C36261" w:rsidRDefault="00156FC2" w:rsidP="00BB24E0">
      <w:pPr>
        <w:numPr>
          <w:ilvl w:val="0"/>
          <w:numId w:val="30"/>
        </w:numP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b/>
        </w:rPr>
        <w:t>Para motivar la clasificación</w:t>
      </w:r>
      <w:r w:rsidRPr="00C36261">
        <w:rPr>
          <w:rFonts w:ascii="Palatino Linotype" w:eastAsia="Palatino Linotype" w:hAnsi="Palatino Linotype" w:cs="Palatino Linotype"/>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156FC2" w:rsidRPr="00C36261" w:rsidRDefault="00156FC2" w:rsidP="009D6D73">
      <w:pPr>
        <w:pBdr>
          <w:top w:val="nil"/>
          <w:left w:val="nil"/>
          <w:bottom w:val="nil"/>
          <w:right w:val="nil"/>
          <w:between w:val="nil"/>
        </w:pBdr>
        <w:spacing w:line="360" w:lineRule="auto"/>
        <w:ind w:right="49"/>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lastRenderedPageBreak/>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00156FC2"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 xml:space="preserve">“FUNDAMENTACION Y MOTIVACION, CONCEPTO DE. </w:t>
      </w:r>
      <w:r w:rsidRPr="00C36261">
        <w:rPr>
          <w:rFonts w:ascii="Palatino Linotype" w:eastAsia="Palatino Linotype" w:hAnsi="Palatino Linotype" w:cs="Palatino Linotype"/>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156FC2" w:rsidRPr="00C36261" w:rsidRDefault="00156FC2" w:rsidP="009D6D73">
      <w:pPr>
        <w:spacing w:line="360" w:lineRule="auto"/>
        <w:ind w:right="49"/>
        <w:jc w:val="both"/>
        <w:rPr>
          <w:rFonts w:ascii="Palatino Linotype" w:eastAsia="Palatino Linotype" w:hAnsi="Palatino Linotype" w:cs="Palatino Linotype"/>
          <w:i/>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Conforme a lo anterior, se advierte lo siguiente:</w:t>
      </w:r>
    </w:p>
    <w:p w:rsidR="00156FC2" w:rsidRPr="00C36261" w:rsidRDefault="00156FC2" w:rsidP="00BB24E0">
      <w:pPr>
        <w:numPr>
          <w:ilvl w:val="0"/>
          <w:numId w:val="28"/>
        </w:numPr>
        <w:spacing w:line="360" w:lineRule="auto"/>
        <w:ind w:left="0" w:right="49" w:firstLine="0"/>
        <w:jc w:val="both"/>
        <w:rPr>
          <w:rFonts w:ascii="Palatino Linotype" w:eastAsia="Palatino Linotype" w:hAnsi="Palatino Linotype" w:cs="Palatino Linotype"/>
          <w:b/>
        </w:rPr>
      </w:pPr>
      <w:r w:rsidRPr="00C36261">
        <w:rPr>
          <w:rFonts w:ascii="Palatino Linotype" w:eastAsia="Palatino Linotype" w:hAnsi="Palatino Linotype" w:cs="Palatino Linotype"/>
          <w:b/>
        </w:rPr>
        <w:t xml:space="preserve">Fundamentación: </w:t>
      </w:r>
      <w:r w:rsidRPr="00C36261">
        <w:rPr>
          <w:rFonts w:ascii="Palatino Linotype" w:eastAsia="Palatino Linotype" w:hAnsi="Palatino Linotype" w:cs="Palatino Linotype"/>
        </w:rPr>
        <w:t>Obligación de la autoridad que emite un acto, para citar los preceptos legales, sustantivos y adjetivos, en que se apoye para la determinación tomada.</w:t>
      </w:r>
    </w:p>
    <w:p w:rsidR="00156FC2" w:rsidRPr="00C36261" w:rsidRDefault="00156FC2" w:rsidP="00BB24E0">
      <w:pPr>
        <w:numPr>
          <w:ilvl w:val="0"/>
          <w:numId w:val="28"/>
        </w:numPr>
        <w:spacing w:line="360" w:lineRule="auto"/>
        <w:ind w:left="0" w:right="49" w:firstLine="0"/>
        <w:jc w:val="both"/>
        <w:rPr>
          <w:rFonts w:ascii="Palatino Linotype" w:eastAsia="Palatino Linotype" w:hAnsi="Palatino Linotype" w:cs="Palatino Linotype"/>
          <w:b/>
        </w:rPr>
      </w:pPr>
      <w:r w:rsidRPr="00C36261">
        <w:rPr>
          <w:rFonts w:ascii="Palatino Linotype" w:eastAsia="Palatino Linotype" w:hAnsi="Palatino Linotype" w:cs="Palatino Linotype"/>
          <w:b/>
        </w:rPr>
        <w:t xml:space="preserve">Motivación: </w:t>
      </w:r>
      <w:r w:rsidRPr="00C36261">
        <w:rPr>
          <w:rFonts w:ascii="Palatino Linotype" w:eastAsia="Palatino Linotype" w:hAnsi="Palatino Linotype" w:cs="Palatino Linotype"/>
        </w:rPr>
        <w:t>Razonamientos lógico-jurídicos sobre porque se consideró en el caso en concreto, que se ajusta a la hipótesis normativa.</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En ese orden de ideas, el Trigésimo tercero de los Lineamientos Generales, establece la forma en que se debe fundamentar y motivar la reserva de la información, es decir, a través de los siguientes pasos:</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BB24E0">
      <w:pPr>
        <w:numPr>
          <w:ilvl w:val="0"/>
          <w:numId w:val="29"/>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lastRenderedPageBreak/>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00156FC2" w:rsidRPr="00C36261" w:rsidRDefault="00156FC2" w:rsidP="00BB24E0">
      <w:pPr>
        <w:numPr>
          <w:ilvl w:val="0"/>
          <w:numId w:val="29"/>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Se deberá demostrar que la publicidad de la información generaría un riesgo de perjuicio, que rebasa el interés público;</w:t>
      </w:r>
    </w:p>
    <w:p w:rsidR="00156FC2" w:rsidRPr="00C36261" w:rsidRDefault="00156FC2" w:rsidP="00BB24E0">
      <w:pPr>
        <w:numPr>
          <w:ilvl w:val="0"/>
          <w:numId w:val="29"/>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Se acreditará el vínculo entre la difusión de la información y la afectación del interés jurídico tutelado;</w:t>
      </w:r>
    </w:p>
    <w:p w:rsidR="00156FC2" w:rsidRPr="00C36261" w:rsidRDefault="00156FC2" w:rsidP="00BB24E0">
      <w:pPr>
        <w:numPr>
          <w:ilvl w:val="0"/>
          <w:numId w:val="29"/>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Se precisará las razones objetivas por las que la apertura de la información generaría una afectación, por medio del riesgo real, demostrable e identificable;</w:t>
      </w:r>
    </w:p>
    <w:p w:rsidR="00156FC2" w:rsidRPr="00C36261" w:rsidRDefault="00156FC2" w:rsidP="00BB24E0">
      <w:pPr>
        <w:numPr>
          <w:ilvl w:val="0"/>
          <w:numId w:val="29"/>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Se deberán señalar las circunstancias de modo, tiempo y lugar del daño, y</w:t>
      </w:r>
    </w:p>
    <w:p w:rsidR="00156FC2" w:rsidRPr="00C36261" w:rsidRDefault="00156FC2" w:rsidP="00BB24E0">
      <w:pPr>
        <w:numPr>
          <w:ilvl w:val="0"/>
          <w:numId w:val="29"/>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Se elegirá la opción de excepción al acceso a la información que menos restrinja, la cual será adecuada y proporcional para la protección del interés público.</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Ahora bien, toda vez que, el Comité de Transparencia </w:t>
      </w:r>
      <w:r w:rsidR="002910A9" w:rsidRPr="00C36261">
        <w:rPr>
          <w:rFonts w:ascii="Palatino Linotype" w:eastAsia="Palatino Linotype" w:hAnsi="Palatino Linotype" w:cs="Palatino Linotype"/>
        </w:rPr>
        <w:t xml:space="preserve">en su respuesta </w:t>
      </w:r>
      <w:r w:rsidRPr="00C36261">
        <w:rPr>
          <w:rFonts w:ascii="Palatino Linotype" w:eastAsia="Palatino Linotype" w:hAnsi="Palatino Linotype" w:cs="Palatino Linotype"/>
        </w:rPr>
        <w:t>reservó la información solicitada en términos del artículo 140 fracciones IV y V inciso 1) de la Ley de Transparencia y Acceso al a Información Pública del Estado de México y Municipios, se procede a realizar el siguiente análisis</w:t>
      </w:r>
      <w:r w:rsidR="002910A9" w:rsidRPr="00C36261">
        <w:rPr>
          <w:rFonts w:ascii="Palatino Linotype" w:eastAsia="Palatino Linotype" w:hAnsi="Palatino Linotype" w:cs="Palatino Linotype"/>
        </w:rPr>
        <w:t xml:space="preserve"> a efecto de determinar si para el caso de expedientes no concluidos son aplicables los preceptos de referencia</w:t>
      </w:r>
      <w:r w:rsidRPr="00C36261">
        <w:rPr>
          <w:rFonts w:ascii="Palatino Linotype" w:eastAsia="Palatino Linotype" w:hAnsi="Palatino Linotype" w:cs="Palatino Linotype"/>
        </w:rPr>
        <w:t>:</w:t>
      </w:r>
    </w:p>
    <w:p w:rsidR="00156FC2" w:rsidRPr="00C36261" w:rsidRDefault="00156FC2" w:rsidP="009D6D73">
      <w:pPr>
        <w:spacing w:line="360" w:lineRule="auto"/>
        <w:ind w:right="49"/>
        <w:rPr>
          <w:rFonts w:ascii="Palatino Linotype" w:eastAsia="Palatino Linotype" w:hAnsi="Palatino Linotype" w:cs="Palatino Linotype"/>
          <w:i/>
        </w:rPr>
      </w:pPr>
      <w:r w:rsidRPr="00C36261">
        <w:rPr>
          <w:rFonts w:ascii="Palatino Linotype" w:eastAsia="Palatino Linotype" w:hAnsi="Palatino Linotype" w:cs="Palatino Linotype"/>
          <w:b/>
          <w:i/>
        </w:rPr>
        <w:t>“Artículo 140.</w:t>
      </w:r>
      <w:r w:rsidRPr="00C36261">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w:t>
      </w:r>
    </w:p>
    <w:p w:rsidR="00156FC2" w:rsidRPr="00C36261" w:rsidRDefault="00156FC2" w:rsidP="009D6D73">
      <w:pPr>
        <w:spacing w:line="360" w:lineRule="auto"/>
        <w:ind w:right="49"/>
        <w:rPr>
          <w:rFonts w:ascii="Palatino Linotype" w:eastAsia="Palatino Linotype" w:hAnsi="Palatino Linotype" w:cs="Palatino Linotype"/>
          <w:i/>
        </w:rPr>
      </w:pPr>
      <w:r w:rsidRPr="00C36261">
        <w:rPr>
          <w:rFonts w:ascii="Palatino Linotype" w:eastAsia="Palatino Linotype" w:hAnsi="Palatino Linotype" w:cs="Palatino Linotype"/>
          <w:i/>
        </w:rPr>
        <w:t>…</w:t>
      </w:r>
    </w:p>
    <w:p w:rsidR="00156FC2" w:rsidRPr="00C36261" w:rsidRDefault="00156FC2" w:rsidP="009D6D73">
      <w:pPr>
        <w:spacing w:line="360" w:lineRule="auto"/>
        <w:ind w:right="49"/>
        <w:rPr>
          <w:rFonts w:ascii="Palatino Linotype" w:eastAsia="Palatino Linotype" w:hAnsi="Palatino Linotype" w:cs="Palatino Linotype"/>
          <w:i/>
        </w:rPr>
      </w:pPr>
      <w:r w:rsidRPr="00C36261">
        <w:rPr>
          <w:rFonts w:ascii="Palatino Linotype" w:eastAsia="Palatino Linotype" w:hAnsi="Palatino Linotype" w:cs="Palatino Linotype"/>
          <w:i/>
        </w:rPr>
        <w:t xml:space="preserve">IV. Ponga en riesgo la vida, la seguridad o la salud de una persona física; </w:t>
      </w:r>
    </w:p>
    <w:p w:rsidR="00156FC2" w:rsidRPr="00C36261" w:rsidRDefault="00156FC2" w:rsidP="009D6D73">
      <w:pPr>
        <w:spacing w:line="360" w:lineRule="auto"/>
        <w:ind w:right="49"/>
        <w:rPr>
          <w:rFonts w:ascii="Palatino Linotype" w:eastAsia="Palatino Linotype" w:hAnsi="Palatino Linotype" w:cs="Palatino Linotype"/>
          <w:i/>
        </w:rPr>
      </w:pPr>
      <w:r w:rsidRPr="00C36261">
        <w:rPr>
          <w:rFonts w:ascii="Palatino Linotype" w:eastAsia="Palatino Linotype" w:hAnsi="Palatino Linotype" w:cs="Palatino Linotype"/>
          <w:i/>
        </w:rPr>
        <w:t xml:space="preserve">V. Aquella cuya divulgación obstruya o pueda causar un serio perjuicio a: </w:t>
      </w:r>
    </w:p>
    <w:p w:rsidR="00156FC2" w:rsidRPr="00C36261" w:rsidRDefault="00156FC2" w:rsidP="009D6D73">
      <w:pPr>
        <w:spacing w:line="360" w:lineRule="auto"/>
        <w:ind w:right="49"/>
        <w:rPr>
          <w:rFonts w:ascii="Palatino Linotype" w:eastAsia="Palatino Linotype" w:hAnsi="Palatino Linotype" w:cs="Palatino Linotype"/>
          <w:i/>
        </w:rPr>
      </w:pPr>
      <w:r w:rsidRPr="00C36261">
        <w:rPr>
          <w:rFonts w:ascii="Palatino Linotype" w:eastAsia="Palatino Linotype" w:hAnsi="Palatino Linotype" w:cs="Palatino Linotype"/>
          <w:i/>
        </w:rPr>
        <w:lastRenderedPageBreak/>
        <w:t>1. Las actividades de fiscalización, verificación, inspec</w:t>
      </w:r>
      <w:r w:rsidR="002910A9" w:rsidRPr="00C36261">
        <w:rPr>
          <w:rFonts w:ascii="Palatino Linotype" w:eastAsia="Palatino Linotype" w:hAnsi="Palatino Linotype" w:cs="Palatino Linotype"/>
          <w:i/>
        </w:rPr>
        <w:t xml:space="preserve">ción, comprobación y auditoría </w:t>
      </w:r>
      <w:r w:rsidRPr="00C36261">
        <w:rPr>
          <w:rFonts w:ascii="Palatino Linotype" w:eastAsia="Palatino Linotype" w:hAnsi="Palatino Linotype" w:cs="Palatino Linotype"/>
          <w:i/>
        </w:rPr>
        <w:t>sobre el cumplimiento de las Leyes; o;</w:t>
      </w:r>
    </w:p>
    <w:p w:rsidR="00156FC2" w:rsidRPr="00C36261" w:rsidRDefault="00156FC2" w:rsidP="009D6D73">
      <w:pPr>
        <w:spacing w:line="360" w:lineRule="auto"/>
        <w:ind w:right="49"/>
        <w:rPr>
          <w:rFonts w:ascii="Palatino Linotype" w:eastAsia="Palatino Linotype" w:hAnsi="Palatino Linotype" w:cs="Palatino Linotype"/>
        </w:rPr>
      </w:pPr>
      <w:r w:rsidRPr="00C36261">
        <w:rPr>
          <w:rFonts w:ascii="Palatino Linotype" w:eastAsia="Palatino Linotype" w:hAnsi="Palatino Linotype" w:cs="Palatino Linotype"/>
          <w:i/>
        </w:rPr>
        <w:t xml:space="preserve">…” </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De dicho precepto normativo se desprende que podrá clasificarse como información reservada aquella cuya publicación ponga en riesgo la vida, la seguridad o la salud de una persona física, así como aquella que obstruya las actividades de verificación, inspección y auditoría relativas al cumplimiento de las leyes; sin embargo, dentro de la prueba de daño que remitió, se advierte que el </w:t>
      </w:r>
      <w:r w:rsidRPr="00C36261">
        <w:rPr>
          <w:rFonts w:ascii="Palatino Linotype" w:eastAsia="Palatino Linotype" w:hAnsi="Palatino Linotype" w:cs="Palatino Linotype"/>
          <w:b/>
        </w:rPr>
        <w:t>Sujeto Obligado</w:t>
      </w:r>
      <w:r w:rsidRPr="00C36261">
        <w:rPr>
          <w:rFonts w:ascii="Palatino Linotype" w:eastAsia="Palatino Linotype" w:hAnsi="Palatino Linotype" w:cs="Palatino Linotype"/>
        </w:rPr>
        <w:t xml:space="preserve"> solo se limitó a señalar que no procede la hacer entrega de la información por contener datos personales que hacen identificables a las personas involucradas dentro de los expedientes. </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Calibri" w:hAnsi="Palatino Linotype" w:cs="Tahoma"/>
          <w:bCs/>
        </w:rPr>
      </w:pPr>
      <w:r w:rsidRPr="00C36261">
        <w:rPr>
          <w:rFonts w:ascii="Palatino Linotype" w:eastAsia="Palatino Linotype" w:hAnsi="Palatino Linotype" w:cs="Palatino Linotype"/>
        </w:rPr>
        <w:t>En</w:t>
      </w:r>
      <w:r w:rsidRPr="00C36261">
        <w:rPr>
          <w:rFonts w:ascii="Palatino Linotype" w:eastAsia="Calibri" w:hAnsi="Palatino Linotype" w:cs="Tahoma"/>
          <w:bCs/>
        </w:rPr>
        <w:t xml:space="preserve"> ese contexto, </w:t>
      </w:r>
      <w:r w:rsidR="002910A9" w:rsidRPr="00C36261">
        <w:rPr>
          <w:rFonts w:ascii="Palatino Linotype" w:eastAsia="Calibri" w:hAnsi="Palatino Linotype" w:cs="Tahoma"/>
          <w:bCs/>
        </w:rPr>
        <w:t>como ya se hizo mención,</w:t>
      </w:r>
      <w:r w:rsidRPr="00C36261">
        <w:rPr>
          <w:rFonts w:ascii="Palatino Linotype" w:eastAsia="Calibri" w:hAnsi="Palatino Linotype" w:cs="Tahoma"/>
          <w:bCs/>
        </w:rPr>
        <w:t xml:space="preserve"> proporcionar lo peticionado podría dar cuenta de la información relacionada con la vida privada de las personas físicas, también lo es que este Instituto no advierte de qué forma, proporcionar los expedientes actualicen las causales de reserva referidas por el </w:t>
      </w:r>
      <w:r w:rsidRPr="00C36261">
        <w:rPr>
          <w:rFonts w:ascii="Palatino Linotype" w:eastAsia="Calibri" w:hAnsi="Palatino Linotype" w:cs="Tahoma"/>
          <w:b/>
          <w:bCs/>
        </w:rPr>
        <w:t>Sujeto Obligado</w:t>
      </w:r>
      <w:r w:rsidR="002910A9" w:rsidRPr="00C36261">
        <w:rPr>
          <w:rFonts w:ascii="Palatino Linotype" w:eastAsia="Calibri" w:hAnsi="Palatino Linotype" w:cs="Tahoma"/>
          <w:bCs/>
        </w:rPr>
        <w:t>. En todo caso lo que deberá señalar</w:t>
      </w:r>
      <w:r w:rsidRPr="00C36261">
        <w:rPr>
          <w:rFonts w:ascii="Palatino Linotype" w:eastAsia="Calibri" w:hAnsi="Palatino Linotype" w:cs="Tahoma"/>
          <w:bCs/>
        </w:rPr>
        <w:t xml:space="preserve"> que se trataran de procedimientos que se encuentren en trámite; </w:t>
      </w:r>
      <w:r w:rsidR="002910A9" w:rsidRPr="00C36261">
        <w:rPr>
          <w:rFonts w:ascii="Palatino Linotype" w:eastAsia="Calibri" w:hAnsi="Palatino Linotype" w:cs="Tahoma"/>
          <w:bCs/>
        </w:rPr>
        <w:t xml:space="preserve">cuya difusión </w:t>
      </w:r>
      <w:r w:rsidRPr="00C36261">
        <w:rPr>
          <w:rFonts w:ascii="Palatino Linotype" w:eastAsia="Calibri" w:hAnsi="Palatino Linotype" w:cs="Tahoma"/>
          <w:bCs/>
        </w:rPr>
        <w:t xml:space="preserve">obstaculice </w:t>
      </w:r>
      <w:r w:rsidR="002910A9" w:rsidRPr="00C36261">
        <w:rPr>
          <w:rFonts w:ascii="Palatino Linotype" w:eastAsia="Calibri" w:hAnsi="Palatino Linotype" w:cs="Tahoma"/>
          <w:bCs/>
        </w:rPr>
        <w:t>el procedimiento de conciliación</w:t>
      </w:r>
      <w:r w:rsidRPr="00C36261">
        <w:rPr>
          <w:rFonts w:ascii="Palatino Linotype" w:eastAsia="Calibri" w:hAnsi="Palatino Linotype" w:cs="Tahoma"/>
          <w:bCs/>
        </w:rPr>
        <w:t>.</w:t>
      </w:r>
    </w:p>
    <w:p w:rsidR="00156FC2" w:rsidRPr="00C36261" w:rsidRDefault="00156FC2" w:rsidP="009D6D73">
      <w:pPr>
        <w:spacing w:line="360" w:lineRule="auto"/>
        <w:ind w:right="49"/>
        <w:jc w:val="both"/>
        <w:rPr>
          <w:rFonts w:ascii="Palatino Linotype" w:eastAsia="Calibri" w:hAnsi="Palatino Linotype" w:cs="Tahoma"/>
          <w:bCs/>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Calibri" w:hAnsi="Palatino Linotype" w:cs="Tahoma"/>
          <w:b/>
          <w:iCs/>
          <w:lang w:val="es-ES" w:eastAsia="es-ES_tradnl"/>
        </w:rPr>
      </w:pPr>
      <w:r w:rsidRPr="00C36261">
        <w:rPr>
          <w:rFonts w:ascii="Palatino Linotype" w:eastAsia="Calibri" w:hAnsi="Palatino Linotype" w:cs="Tahoma"/>
          <w:bCs/>
        </w:rPr>
        <w:t xml:space="preserve">Conforme a lo anterior, no se logra advertir la forma en que lo peticionado, ponga en riesgo la vida, la seguridad o la salud de una persona física, así como aquella que </w:t>
      </w:r>
      <w:r w:rsidRPr="00C36261">
        <w:rPr>
          <w:rFonts w:ascii="Palatino Linotype" w:eastAsia="Palatino Linotype" w:hAnsi="Palatino Linotype" w:cs="Palatino Linotype"/>
        </w:rPr>
        <w:t>obstruya</w:t>
      </w:r>
      <w:r w:rsidRPr="00C36261">
        <w:rPr>
          <w:rFonts w:ascii="Palatino Linotype" w:eastAsia="Calibri" w:hAnsi="Palatino Linotype" w:cs="Tahoma"/>
          <w:bCs/>
        </w:rPr>
        <w:t xml:space="preserve"> las actividades de verificación, inspección y auditoría relativas al cumplimiento de las leyes; además</w:t>
      </w:r>
      <w:r w:rsidRPr="00C36261">
        <w:rPr>
          <w:rFonts w:ascii="Palatino Linotype" w:eastAsia="Calibri" w:hAnsi="Palatino Linotype" w:cs="Tahoma"/>
          <w:iCs/>
          <w:lang w:val="es-ES" w:eastAsia="es-ES_tradnl"/>
        </w:rPr>
        <w:t xml:space="preserve">, este Instituto no advierte un riesgo real, demostrable e identificable </w:t>
      </w:r>
      <w:r w:rsidRPr="00C36261">
        <w:rPr>
          <w:rFonts w:ascii="Palatino Linotype" w:eastAsia="Calibri" w:hAnsi="Palatino Linotype" w:cs="Tahoma"/>
          <w:iCs/>
          <w:lang w:val="es-ES" w:eastAsia="es-ES_tradnl"/>
        </w:rPr>
        <w:lastRenderedPageBreak/>
        <w:t xml:space="preserve">que supere al interés público; </w:t>
      </w:r>
      <w:r w:rsidRPr="00C36261">
        <w:rPr>
          <w:rFonts w:ascii="Palatino Linotype" w:eastAsia="Palatino Linotype" w:hAnsi="Palatino Linotype" w:cs="Palatino Linotype"/>
        </w:rPr>
        <w:t>por lo que se determina que no procede la reserva de la información, al no actualizarse ninguna de las causales señaladas por el Sujeto Obligado</w:t>
      </w:r>
      <w:r w:rsidR="002910A9" w:rsidRPr="00C36261">
        <w:rPr>
          <w:rFonts w:ascii="Palatino Linotype" w:eastAsia="Palatino Linotype" w:hAnsi="Palatino Linotype" w:cs="Palatino Linotype"/>
        </w:rPr>
        <w:t>.</w:t>
      </w:r>
    </w:p>
    <w:p w:rsidR="00156FC2" w:rsidRPr="00C36261" w:rsidRDefault="00156FC2" w:rsidP="009D6D73">
      <w:pPr>
        <w:spacing w:line="360" w:lineRule="auto"/>
        <w:ind w:right="49"/>
        <w:jc w:val="both"/>
        <w:rPr>
          <w:rFonts w:ascii="Palatino Linotype" w:eastAsia="Palatino Linotype" w:hAnsi="Palatino Linotype" w:cs="Palatino Linotype"/>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En ese entendido, este </w:t>
      </w:r>
      <w:r w:rsidR="002910A9" w:rsidRPr="00C36261">
        <w:rPr>
          <w:rFonts w:ascii="Palatino Linotype" w:eastAsia="Palatino Linotype" w:hAnsi="Palatino Linotype" w:cs="Palatino Linotype"/>
        </w:rPr>
        <w:t>Instituto</w:t>
      </w:r>
      <w:r w:rsidRPr="00C36261">
        <w:rPr>
          <w:rFonts w:ascii="Palatino Linotype" w:eastAsia="Palatino Linotype" w:hAnsi="Palatino Linotype" w:cs="Palatino Linotype"/>
        </w:rPr>
        <w:t xml:space="preserve"> advierte que el contenido de los expedientes, convenio</w:t>
      </w:r>
      <w:r w:rsidR="002910A9" w:rsidRPr="00C36261">
        <w:rPr>
          <w:rFonts w:ascii="Palatino Linotype" w:eastAsia="Palatino Linotype" w:hAnsi="Palatino Linotype" w:cs="Palatino Linotype"/>
        </w:rPr>
        <w:t xml:space="preserve">s, y conciliaciones no concluidos </w:t>
      </w:r>
      <w:r w:rsidRPr="00C36261">
        <w:rPr>
          <w:rFonts w:ascii="Palatino Linotype" w:eastAsia="Palatino Linotype" w:hAnsi="Palatino Linotype" w:cs="Palatino Linotype"/>
        </w:rPr>
        <w:t xml:space="preserve">por el Juez Cívico; es información </w:t>
      </w:r>
      <w:r w:rsidR="002910A9" w:rsidRPr="00C36261">
        <w:rPr>
          <w:rFonts w:ascii="Palatino Linotype" w:eastAsia="Palatino Linotype" w:hAnsi="Palatino Linotype" w:cs="Palatino Linotype"/>
        </w:rPr>
        <w:t>reservada</w:t>
      </w:r>
      <w:r w:rsidRPr="00C36261">
        <w:rPr>
          <w:rFonts w:ascii="Palatino Linotype" w:eastAsia="Palatino Linotype" w:hAnsi="Palatino Linotype" w:cs="Palatino Linotype"/>
        </w:rPr>
        <w:t xml:space="preserve"> al configurarse la fracción I del artículo 143 y 148 de la Ley de Transparencia y Acceso a la Información Pública del Estado de México y Municipios, que señalan:</w:t>
      </w:r>
    </w:p>
    <w:p w:rsidR="002910A9" w:rsidRPr="00C36261" w:rsidRDefault="00156FC2"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r w:rsidR="002910A9" w:rsidRPr="00C36261">
        <w:rPr>
          <w:rFonts w:ascii="Palatino Linotype" w:eastAsia="Palatino Linotype" w:hAnsi="Palatino Linotype" w:cs="Palatino Linotype"/>
          <w:i/>
        </w:rPr>
        <w:t>Artículo 140. El acceso a la información pública será restringido excepcionalmente, cuando por razones de interés público, ésta sea clasificada como reservada, conforme a los criterios siguientes:</w:t>
      </w:r>
    </w:p>
    <w:p w:rsidR="002910A9" w:rsidRPr="00C36261" w:rsidRDefault="002910A9"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p>
    <w:p w:rsidR="002910A9" w:rsidRPr="00C36261" w:rsidRDefault="002910A9"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VIII. Vulnere la conducción de los expedientes judiciales o de los procedimientos administrativos seguidos en forma de juicio, en tanto no hayan quedado firmes;</w:t>
      </w:r>
    </w:p>
    <w:p w:rsidR="00156FC2" w:rsidRPr="00C36261" w:rsidRDefault="002910A9" w:rsidP="009D6D73">
      <w:pPr>
        <w:spacing w:line="360" w:lineRule="auto"/>
        <w:ind w:right="49"/>
        <w:jc w:val="both"/>
        <w:rPr>
          <w:rFonts w:ascii="Palatino Linotype" w:hAnsi="Palatino Linotype" w:cs="Arial"/>
          <w:i/>
        </w:rPr>
      </w:pPr>
      <w:r w:rsidRPr="00C36261">
        <w:rPr>
          <w:rFonts w:ascii="Palatino Linotype" w:eastAsia="Palatino Linotype" w:hAnsi="Palatino Linotype" w:cs="Palatino Linotype"/>
          <w:i/>
        </w:rPr>
        <w:t>...</w:t>
      </w:r>
      <w:r w:rsidRPr="00C36261">
        <w:rPr>
          <w:rFonts w:ascii="Palatino Linotype" w:hAnsi="Palatino Linotype" w:cs="Arial"/>
          <w:i/>
        </w:rPr>
        <w:t xml:space="preserve">” </w:t>
      </w:r>
    </w:p>
    <w:p w:rsidR="00156FC2" w:rsidRPr="00C36261" w:rsidRDefault="00156FC2" w:rsidP="009D6D73">
      <w:pPr>
        <w:spacing w:line="360" w:lineRule="auto"/>
        <w:ind w:right="49"/>
        <w:jc w:val="both"/>
        <w:rPr>
          <w:rFonts w:ascii="Palatino Linotype" w:eastAsia="Calibri" w:hAnsi="Palatino Linotype" w:cs="Arial"/>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Calibri" w:hAnsi="Palatino Linotype" w:cs="Arial"/>
        </w:rPr>
      </w:pPr>
      <w:r w:rsidRPr="00C36261">
        <w:rPr>
          <w:rFonts w:ascii="Palatino Linotype" w:eastAsia="Calibri" w:hAnsi="Palatino Linotype" w:cs="Arial"/>
        </w:rPr>
        <w:t xml:space="preserve">Así pues, una vez establecida la naturaleza de la información requerida por el </w:t>
      </w:r>
      <w:r w:rsidRPr="00C36261">
        <w:rPr>
          <w:rFonts w:ascii="Palatino Linotype" w:eastAsia="Palatino Linotype" w:hAnsi="Palatino Linotype" w:cs="Palatino Linotype"/>
        </w:rPr>
        <w:t>particular</w:t>
      </w:r>
      <w:r w:rsidRPr="00C36261">
        <w:rPr>
          <w:rFonts w:ascii="Palatino Linotype" w:eastAsia="Calibri" w:hAnsi="Palatino Linotype" w:cs="Arial"/>
        </w:rPr>
        <w:t xml:space="preserve"> en su solicitud de acceso a la información públ</w:t>
      </w:r>
      <w:r w:rsidR="00B809CB" w:rsidRPr="00C36261">
        <w:rPr>
          <w:rFonts w:ascii="Palatino Linotype" w:eastAsia="Calibri" w:hAnsi="Palatino Linotype" w:cs="Arial"/>
        </w:rPr>
        <w:t xml:space="preserve">ica, se deberá clasificar como reservados </w:t>
      </w:r>
      <w:r w:rsidRPr="00C36261">
        <w:rPr>
          <w:rFonts w:ascii="Palatino Linotype" w:eastAsia="Calibri" w:hAnsi="Palatino Linotype" w:cs="Arial"/>
        </w:rPr>
        <w:t>los expedientes</w:t>
      </w:r>
      <w:r w:rsidR="00B809CB" w:rsidRPr="00C36261">
        <w:rPr>
          <w:rFonts w:ascii="Palatino Linotype" w:eastAsia="Calibri" w:hAnsi="Palatino Linotype" w:cs="Arial"/>
        </w:rPr>
        <w:t xml:space="preserve"> no concluidos</w:t>
      </w:r>
      <w:r w:rsidRPr="00C36261">
        <w:rPr>
          <w:rFonts w:ascii="Palatino Linotype" w:eastAsia="Calibri" w:hAnsi="Palatino Linotype" w:cs="Arial"/>
        </w:rPr>
        <w:t xml:space="preserve"> </w:t>
      </w:r>
      <w:r w:rsidR="00B809CB" w:rsidRPr="00C36261">
        <w:rPr>
          <w:rFonts w:ascii="Palatino Linotype" w:eastAsia="Calibri" w:hAnsi="Palatino Linotype" w:cs="Arial"/>
        </w:rPr>
        <w:t>substanciados</w:t>
      </w:r>
      <w:r w:rsidRPr="00C36261">
        <w:rPr>
          <w:rFonts w:ascii="Palatino Linotype" w:eastAsia="Calibri" w:hAnsi="Palatino Linotype" w:cs="Arial"/>
        </w:rPr>
        <w:t xml:space="preserve"> por el Juez Cívico; del primero de enero de dos mil veintidós al veinticuatro de enero de dos mil veinticinco, lo anterior en términos de lo dispuesto en la fracción I del artículo 143 de la Ley de Transparencia y Acceso a la Información Pública del Estado de México y Municipios, alusivo.</w:t>
      </w:r>
    </w:p>
    <w:p w:rsidR="00156FC2" w:rsidRPr="00C36261" w:rsidRDefault="00156FC2" w:rsidP="009D6D73">
      <w:pPr>
        <w:spacing w:line="360" w:lineRule="auto"/>
        <w:ind w:right="49"/>
        <w:contextualSpacing/>
        <w:jc w:val="both"/>
        <w:rPr>
          <w:rFonts w:ascii="Palatino Linotype" w:eastAsia="Calibri" w:hAnsi="Palatino Linotype" w:cs="Arial"/>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hAnsi="Palatino Linotype"/>
          <w:color w:val="000000"/>
        </w:rPr>
      </w:pPr>
      <w:r w:rsidRPr="00C36261">
        <w:rPr>
          <w:rFonts w:ascii="Palatino Linotype" w:eastAsia="Calibri" w:hAnsi="Palatino Linotype" w:cs="Arial"/>
        </w:rPr>
        <w:t>Finalmente</w:t>
      </w:r>
      <w:r w:rsidRPr="00C36261">
        <w:rPr>
          <w:rFonts w:ascii="Palatino Linotype" w:hAnsi="Palatino Linotype"/>
          <w:color w:val="000000"/>
        </w:rPr>
        <w:t xml:space="preserve">, </w:t>
      </w:r>
      <w:r w:rsidR="00B809CB" w:rsidRPr="00C36261">
        <w:rPr>
          <w:rFonts w:ascii="Palatino Linotype" w:hAnsi="Palatino Linotype"/>
          <w:color w:val="000000"/>
        </w:rPr>
        <w:t>recordar</w:t>
      </w:r>
      <w:r w:rsidRPr="00C36261">
        <w:rPr>
          <w:rFonts w:ascii="Palatino Linotype" w:hAnsi="Palatino Linotype"/>
          <w:color w:val="000000"/>
        </w:rPr>
        <w:t xml:space="preserve"> que el </w:t>
      </w:r>
      <w:r w:rsidRPr="00C36261">
        <w:rPr>
          <w:rFonts w:ascii="Palatino Linotype" w:hAnsi="Palatino Linotype"/>
          <w:b/>
          <w:color w:val="000000"/>
        </w:rPr>
        <w:t>Recurrente</w:t>
      </w:r>
      <w:r w:rsidRPr="00C36261">
        <w:rPr>
          <w:rFonts w:ascii="Palatino Linotype" w:hAnsi="Palatino Linotype"/>
          <w:color w:val="000000"/>
        </w:rPr>
        <w:t xml:space="preserve"> requirió la información del primero de enero de dos mil veintidós al veinticinco de enero de dos mil veinticinco, sin embargo, la solicitud de información se presentó el veinticuatro de enero de dos mil veinticinco, por lo que para </w:t>
      </w:r>
      <w:r w:rsidRPr="00C36261">
        <w:rPr>
          <w:rFonts w:ascii="Palatino Linotype" w:hAnsi="Palatino Linotype"/>
          <w:color w:val="000000"/>
        </w:rPr>
        <w:lastRenderedPageBreak/>
        <w:t xml:space="preserve">cumplir con dicha temporalidad, implicaría la generación de la información sobre hechos que aún no se han generado, correspondiendo a hechos futuros de realización incierta; por lo que no es procedente que los sujetos obligados proporcionen información que sea posterior a la presentación de la fecha de la solicitud, pues esa autoridad únicamente está constreñida a proporcionar la información pública que genere en uso de sus atribuciones de derecho público a la fecha de la solicitud de información. </w:t>
      </w:r>
    </w:p>
    <w:p w:rsidR="00156FC2" w:rsidRPr="00C36261" w:rsidRDefault="00156FC2" w:rsidP="009D6D73">
      <w:pPr>
        <w:spacing w:line="360" w:lineRule="auto"/>
        <w:ind w:right="49"/>
        <w:jc w:val="both"/>
        <w:rPr>
          <w:rFonts w:ascii="Palatino Linotype" w:hAnsi="Palatino Linotype"/>
          <w:color w:val="000000"/>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Calibri" w:hAnsi="Palatino Linotype" w:cs="Arial"/>
        </w:rPr>
      </w:pPr>
      <w:r w:rsidRPr="00C36261">
        <w:rPr>
          <w:rFonts w:ascii="Palatino Linotype" w:hAnsi="Palatino Linotype"/>
          <w:color w:val="000000"/>
        </w:rPr>
        <w:t xml:space="preserve">En consecuencia, </w:t>
      </w:r>
      <w:r w:rsidRPr="00C36261">
        <w:rPr>
          <w:rFonts w:ascii="Palatino Linotype" w:eastAsia="Palatino Linotype" w:hAnsi="Palatino Linotype" w:cs="Palatino Linotype"/>
        </w:rPr>
        <w:t xml:space="preserve">resulta procedente </w:t>
      </w:r>
      <w:r w:rsidRPr="00C36261">
        <w:rPr>
          <w:rFonts w:ascii="Palatino Linotype" w:eastAsia="Calibri" w:hAnsi="Palatino Linotype" w:cs="Arial"/>
        </w:rPr>
        <w:t xml:space="preserve">ordenar al Ayuntamiento de Naucalpan de Juárez para que a través de su Comité de Transparencia clasifique como </w:t>
      </w:r>
      <w:r w:rsidR="00B809CB" w:rsidRPr="00C36261">
        <w:rPr>
          <w:rFonts w:ascii="Palatino Linotype" w:eastAsia="Calibri" w:hAnsi="Palatino Linotype" w:cs="Arial"/>
        </w:rPr>
        <w:t>reservados</w:t>
      </w:r>
      <w:r w:rsidRPr="00C36261">
        <w:rPr>
          <w:rFonts w:ascii="Palatino Linotype" w:eastAsia="Calibri" w:hAnsi="Palatino Linotype" w:cs="Arial"/>
        </w:rPr>
        <w:t xml:space="preserve"> los expedientes</w:t>
      </w:r>
      <w:r w:rsidR="00B809CB" w:rsidRPr="00C36261">
        <w:rPr>
          <w:rFonts w:ascii="Palatino Linotype" w:eastAsia="Calibri" w:hAnsi="Palatino Linotype" w:cs="Arial"/>
        </w:rPr>
        <w:t xml:space="preserve"> no concluidos y, se entreguen los expedientes concluidos y los</w:t>
      </w:r>
      <w:r w:rsidRPr="00C36261">
        <w:rPr>
          <w:rFonts w:ascii="Palatino Linotype" w:eastAsia="Calibri" w:hAnsi="Palatino Linotype" w:cs="Arial"/>
        </w:rPr>
        <w:t xml:space="preserve"> convenios y conciliaciones realizadas por el Juez Cívico; del primero de enero de dos mil veintidós al veinticuatro de enero de dos mil veinticinco</w:t>
      </w:r>
      <w:r w:rsidR="00B809CB" w:rsidRPr="00C36261">
        <w:rPr>
          <w:rFonts w:ascii="Palatino Linotype" w:eastAsia="Calibri" w:hAnsi="Palatino Linotype" w:cs="Arial"/>
        </w:rPr>
        <w:t>.</w:t>
      </w:r>
    </w:p>
    <w:p w:rsidR="00156FC2" w:rsidRPr="00C36261" w:rsidRDefault="00156FC2" w:rsidP="009D6D73">
      <w:pPr>
        <w:spacing w:line="360" w:lineRule="auto"/>
        <w:ind w:right="49"/>
        <w:contextualSpacing/>
        <w:jc w:val="both"/>
        <w:rPr>
          <w:rFonts w:ascii="Palatino Linotype" w:eastAsia="Calibri" w:hAnsi="Palatino Linotype" w:cs="Arial"/>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eastAsia="Calibri" w:hAnsi="Palatino Linotype" w:cs="Arial"/>
        </w:rPr>
      </w:pPr>
      <w:r w:rsidRPr="00C36261">
        <w:rPr>
          <w:rFonts w:ascii="Palatino Linotype" w:eastAsia="Calibri" w:hAnsi="Palatino Linotype" w:cs="Arial"/>
        </w:rPr>
        <w:t xml:space="preserve">Finalmente, para el acta que se ordena el Comité de Transparencia del </w:t>
      </w:r>
      <w:r w:rsidRPr="00C36261">
        <w:rPr>
          <w:rFonts w:ascii="Palatino Linotype" w:eastAsia="Calibri" w:hAnsi="Palatino Linotype" w:cs="Arial"/>
          <w:b/>
        </w:rPr>
        <w:t>Sujeto Obligado</w:t>
      </w:r>
      <w:r w:rsidRPr="00C36261">
        <w:rPr>
          <w:rFonts w:ascii="Palatino Linotype" w:eastAsia="Calibri" w:hAnsi="Palatino Linotype" w:cs="Arial"/>
        </w:rPr>
        <w:t xml:space="preserve"> deberá tomar en cuenta </w:t>
      </w:r>
      <w:r w:rsidRPr="00C36261">
        <w:rPr>
          <w:rFonts w:ascii="Palatino Linotype" w:hAnsi="Palatino Linotype" w:cs="Arial"/>
        </w:rPr>
        <w:t>lo que disponen los artículos 49 fracción VIII, 53, fracción X y 59, fracción V, de la Ley en consulta, cuyo sentido literal es el siguiente:</w:t>
      </w:r>
    </w:p>
    <w:p w:rsidR="00156FC2" w:rsidRPr="00C36261" w:rsidRDefault="00156FC2" w:rsidP="009D6D73">
      <w:pPr>
        <w:spacing w:line="360" w:lineRule="auto"/>
        <w:ind w:right="49"/>
        <w:contextualSpacing/>
        <w:jc w:val="both"/>
        <w:rPr>
          <w:rFonts w:ascii="Palatino Linotype" w:hAnsi="Palatino Linotype"/>
          <w:i/>
        </w:rPr>
      </w:pPr>
      <w:r w:rsidRPr="00C36261">
        <w:rPr>
          <w:rFonts w:ascii="Palatino Linotype" w:hAnsi="Palatino Linotype"/>
          <w:b/>
          <w:i/>
        </w:rPr>
        <w:t>“Artículo 49.</w:t>
      </w:r>
      <w:r w:rsidRPr="00C36261">
        <w:rPr>
          <w:rFonts w:ascii="Palatino Linotype" w:hAnsi="Palatino Linotype"/>
          <w:i/>
        </w:rPr>
        <w:t xml:space="preserve"> </w:t>
      </w:r>
      <w:r w:rsidRPr="00C36261">
        <w:rPr>
          <w:rFonts w:ascii="Palatino Linotype" w:hAnsi="Palatino Linotype"/>
          <w:b/>
          <w:i/>
        </w:rPr>
        <w:t>Los Comités de Transparencia</w:t>
      </w:r>
      <w:r w:rsidRPr="00C36261">
        <w:rPr>
          <w:rFonts w:ascii="Palatino Linotype" w:hAnsi="Palatino Linotype"/>
          <w:i/>
        </w:rPr>
        <w:t xml:space="preserve"> tendrán las siguientes atribuciones:</w:t>
      </w:r>
    </w:p>
    <w:p w:rsidR="00156FC2" w:rsidRPr="00C36261" w:rsidRDefault="00156FC2" w:rsidP="009D6D73">
      <w:pPr>
        <w:spacing w:line="360" w:lineRule="auto"/>
        <w:ind w:right="49"/>
        <w:contextualSpacing/>
        <w:jc w:val="both"/>
        <w:rPr>
          <w:rFonts w:ascii="Palatino Linotype" w:hAnsi="Palatino Linotype"/>
          <w:i/>
        </w:rPr>
      </w:pPr>
      <w:r w:rsidRPr="00C36261">
        <w:rPr>
          <w:rFonts w:ascii="Palatino Linotype" w:hAnsi="Palatino Linotype"/>
          <w:b/>
          <w:i/>
        </w:rPr>
        <w:t>VIII. Aprobar, modificar o revocar la clasificación de la información</w:t>
      </w:r>
      <w:r w:rsidRPr="00C36261">
        <w:rPr>
          <w:rFonts w:ascii="Palatino Linotype" w:hAnsi="Palatino Linotype"/>
          <w:i/>
        </w:rPr>
        <w:t>…”</w:t>
      </w:r>
    </w:p>
    <w:p w:rsidR="00156FC2" w:rsidRPr="00C36261" w:rsidRDefault="00156FC2" w:rsidP="009D6D73">
      <w:pPr>
        <w:spacing w:line="360" w:lineRule="auto"/>
        <w:ind w:right="49"/>
        <w:contextualSpacing/>
        <w:jc w:val="both"/>
        <w:rPr>
          <w:rFonts w:ascii="Palatino Linotype" w:hAnsi="Palatino Linotype"/>
          <w:i/>
        </w:rPr>
      </w:pPr>
      <w:r w:rsidRPr="00C36261">
        <w:rPr>
          <w:rFonts w:ascii="Palatino Linotype" w:hAnsi="Palatino Linotype"/>
          <w:i/>
        </w:rPr>
        <w:t>“</w:t>
      </w:r>
      <w:r w:rsidRPr="00C36261">
        <w:rPr>
          <w:rFonts w:ascii="Palatino Linotype" w:hAnsi="Palatino Linotype"/>
          <w:b/>
          <w:i/>
        </w:rPr>
        <w:t>Artículo 53.</w:t>
      </w:r>
      <w:r w:rsidRPr="00C36261">
        <w:rPr>
          <w:rFonts w:ascii="Palatino Linotype" w:hAnsi="Palatino Linotype"/>
          <w:i/>
        </w:rPr>
        <w:t xml:space="preserve"> Las </w:t>
      </w:r>
      <w:r w:rsidRPr="00C36261">
        <w:rPr>
          <w:rFonts w:ascii="Palatino Linotype" w:hAnsi="Palatino Linotype"/>
          <w:b/>
          <w:i/>
        </w:rPr>
        <w:t>Unidades de Transparencia</w:t>
      </w:r>
      <w:r w:rsidRPr="00C36261">
        <w:rPr>
          <w:rFonts w:ascii="Palatino Linotype" w:hAnsi="Palatino Linotype"/>
          <w:i/>
        </w:rPr>
        <w:t xml:space="preserve"> tendrán las siguientes </w:t>
      </w:r>
      <w:r w:rsidRPr="00C36261">
        <w:rPr>
          <w:rFonts w:ascii="Palatino Linotype" w:hAnsi="Palatino Linotype"/>
          <w:b/>
          <w:i/>
        </w:rPr>
        <w:t>funciones</w:t>
      </w:r>
      <w:r w:rsidRPr="00C36261">
        <w:rPr>
          <w:rFonts w:ascii="Palatino Linotype" w:hAnsi="Palatino Linotype"/>
          <w:i/>
        </w:rPr>
        <w:t>:</w:t>
      </w:r>
    </w:p>
    <w:p w:rsidR="00156FC2" w:rsidRPr="00C36261" w:rsidRDefault="00156FC2" w:rsidP="009D6D73">
      <w:pPr>
        <w:spacing w:line="360" w:lineRule="auto"/>
        <w:ind w:right="49"/>
        <w:contextualSpacing/>
        <w:jc w:val="both"/>
        <w:rPr>
          <w:rFonts w:ascii="Palatino Linotype" w:hAnsi="Palatino Linotype"/>
          <w:i/>
        </w:rPr>
      </w:pPr>
      <w:r w:rsidRPr="00C36261">
        <w:rPr>
          <w:rFonts w:ascii="Palatino Linotype" w:hAnsi="Palatino Linotype"/>
          <w:b/>
          <w:i/>
        </w:rPr>
        <w:t>X. Presentar ante el Comité, el proyecto de clasificación de información</w:t>
      </w:r>
      <w:r w:rsidRPr="00C36261">
        <w:rPr>
          <w:rFonts w:ascii="Palatino Linotype" w:hAnsi="Palatino Linotype"/>
          <w:i/>
        </w:rPr>
        <w:t xml:space="preserve">…” </w:t>
      </w:r>
    </w:p>
    <w:p w:rsidR="00156FC2" w:rsidRPr="00C36261" w:rsidRDefault="00156FC2" w:rsidP="009D6D73">
      <w:pPr>
        <w:spacing w:line="360" w:lineRule="auto"/>
        <w:ind w:right="49"/>
        <w:contextualSpacing/>
        <w:jc w:val="both"/>
        <w:rPr>
          <w:rFonts w:ascii="Palatino Linotype" w:hAnsi="Palatino Linotype"/>
          <w:i/>
        </w:rPr>
      </w:pPr>
      <w:r w:rsidRPr="00C36261">
        <w:rPr>
          <w:rFonts w:ascii="Palatino Linotype" w:hAnsi="Palatino Linotype"/>
          <w:b/>
          <w:i/>
        </w:rPr>
        <w:t>“Artículo 59.</w:t>
      </w:r>
      <w:r w:rsidRPr="00C36261">
        <w:rPr>
          <w:rFonts w:ascii="Palatino Linotype" w:hAnsi="Palatino Linotype"/>
          <w:i/>
        </w:rPr>
        <w:t xml:space="preserve"> Los </w:t>
      </w:r>
      <w:r w:rsidRPr="00C36261">
        <w:rPr>
          <w:rFonts w:ascii="Palatino Linotype" w:hAnsi="Palatino Linotype"/>
          <w:b/>
          <w:i/>
        </w:rPr>
        <w:t>servidores públicos habilitados</w:t>
      </w:r>
      <w:r w:rsidRPr="00C36261">
        <w:rPr>
          <w:rFonts w:ascii="Palatino Linotype" w:hAnsi="Palatino Linotype"/>
          <w:i/>
        </w:rPr>
        <w:t xml:space="preserve"> tendrán las </w:t>
      </w:r>
      <w:r w:rsidRPr="00C36261">
        <w:rPr>
          <w:rFonts w:ascii="Palatino Linotype" w:hAnsi="Palatino Linotype"/>
          <w:b/>
          <w:i/>
        </w:rPr>
        <w:t>funciones</w:t>
      </w:r>
      <w:r w:rsidRPr="00C36261">
        <w:rPr>
          <w:rFonts w:ascii="Palatino Linotype" w:hAnsi="Palatino Linotype"/>
          <w:i/>
        </w:rPr>
        <w:t xml:space="preserve"> siguientes:</w:t>
      </w:r>
    </w:p>
    <w:p w:rsidR="00156FC2" w:rsidRPr="00C36261" w:rsidRDefault="00156FC2" w:rsidP="009D6D73">
      <w:pPr>
        <w:spacing w:line="360" w:lineRule="auto"/>
        <w:ind w:right="49"/>
        <w:contextualSpacing/>
        <w:jc w:val="both"/>
        <w:rPr>
          <w:rFonts w:ascii="Palatino Linotype" w:hAnsi="Palatino Linotype"/>
        </w:rPr>
      </w:pPr>
      <w:r w:rsidRPr="00C36261">
        <w:rPr>
          <w:rFonts w:ascii="Palatino Linotype" w:hAnsi="Palatino Linotype"/>
          <w:b/>
          <w:i/>
        </w:rPr>
        <w:t>V. Integrar y presentar al responsable de la Unidad de Transparencia la propuesta de clasificación de información</w:t>
      </w:r>
      <w:r w:rsidRPr="00C36261">
        <w:rPr>
          <w:rFonts w:ascii="Palatino Linotype" w:hAnsi="Palatino Linotype"/>
          <w:i/>
        </w:rPr>
        <w:t>, la cual tendrá los fundamentos y argumentos en que</w:t>
      </w:r>
      <w:r w:rsidR="00B809CB" w:rsidRPr="00C36261">
        <w:rPr>
          <w:rFonts w:ascii="Palatino Linotype" w:hAnsi="Palatino Linotype"/>
          <w:i/>
        </w:rPr>
        <w:t xml:space="preserve"> se basa dicha propuesta…” </w:t>
      </w:r>
      <w:r w:rsidR="00B809CB" w:rsidRPr="00C36261">
        <w:rPr>
          <w:rFonts w:ascii="Palatino Linotype" w:hAnsi="Palatino Linotype"/>
        </w:rPr>
        <w:t>Énfasis propio</w:t>
      </w: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hAnsi="Palatino Linotype" w:cs="Arial"/>
        </w:rPr>
      </w:pPr>
      <w:r w:rsidRPr="00C36261">
        <w:rPr>
          <w:rFonts w:ascii="Palatino Linotype" w:hAnsi="Palatino Linotype" w:cs="Arial"/>
        </w:rPr>
        <w:lastRenderedPageBreak/>
        <w:t xml:space="preserve">Denotándose de dichos elementos normativos que el determinar la clasificación de la </w:t>
      </w:r>
      <w:r w:rsidRPr="00C36261">
        <w:rPr>
          <w:rFonts w:ascii="Palatino Linotype" w:eastAsia="Calibri" w:hAnsi="Palatino Linotype" w:cs="Arial"/>
        </w:rPr>
        <w:t>información</w:t>
      </w:r>
      <w:r w:rsidRPr="00C36261">
        <w:rPr>
          <w:rFonts w:ascii="Palatino Linotype" w:hAnsi="Palatino Linotype" w:cs="Arial"/>
        </w:rPr>
        <w:t xml:space="preserve">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56FC2" w:rsidRPr="00C36261" w:rsidRDefault="00156FC2" w:rsidP="009D6D73">
      <w:pPr>
        <w:spacing w:line="360" w:lineRule="auto"/>
        <w:ind w:right="49"/>
        <w:contextualSpacing/>
        <w:jc w:val="both"/>
        <w:rPr>
          <w:rFonts w:ascii="Palatino Linotype" w:hAnsi="Palatino Linotype" w:cs="Arial"/>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hAnsi="Palatino Linotype" w:cs="Arial"/>
        </w:rPr>
      </w:pPr>
      <w:r w:rsidRPr="00C36261">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156FC2" w:rsidRPr="00C36261" w:rsidRDefault="00156FC2" w:rsidP="009D6D73">
      <w:pPr>
        <w:tabs>
          <w:tab w:val="left" w:pos="7513"/>
        </w:tabs>
        <w:spacing w:line="360" w:lineRule="auto"/>
        <w:ind w:right="49"/>
        <w:jc w:val="both"/>
        <w:rPr>
          <w:rFonts w:ascii="Palatino Linotype" w:hAnsi="Palatino Linotype" w:cs="Arial"/>
          <w:i/>
        </w:rPr>
      </w:pPr>
      <w:r w:rsidRPr="00C36261">
        <w:rPr>
          <w:rFonts w:ascii="Palatino Linotype" w:hAnsi="Palatino Linotype"/>
          <w:i/>
        </w:rPr>
        <w:t>“</w:t>
      </w:r>
      <w:r w:rsidRPr="00C36261">
        <w:rPr>
          <w:rFonts w:ascii="Palatino Linotype" w:hAnsi="Palatino Linotype"/>
          <w:b/>
          <w:i/>
        </w:rPr>
        <w:t>Artículo 149.</w:t>
      </w:r>
      <w:r w:rsidRPr="00C36261">
        <w:rPr>
          <w:rFonts w:ascii="Palatino Linotype" w:hAnsi="Palatino Linotype"/>
          <w:i/>
        </w:rPr>
        <w:t xml:space="preserve"> El </w:t>
      </w:r>
      <w:r w:rsidRPr="00C36261">
        <w:rPr>
          <w:rFonts w:ascii="Palatino Linotype" w:hAnsi="Palatino Linotype"/>
          <w:b/>
          <w:i/>
        </w:rPr>
        <w:t>acuerdo que clasifique la información como confidencial</w:t>
      </w:r>
      <w:r w:rsidRPr="00C36261">
        <w:rPr>
          <w:rFonts w:ascii="Palatino Linotype" w:hAnsi="Palatino Linotype"/>
          <w:i/>
        </w:rPr>
        <w:t xml:space="preserve"> deberá contener un razonamiento lógico en el que demuestre que la información se encuentra en alguna o algunas de las hipótesis previstas en la presente Ley.”</w:t>
      </w:r>
    </w:p>
    <w:p w:rsidR="00156FC2" w:rsidRPr="00C36261" w:rsidRDefault="00156FC2" w:rsidP="009D6D73">
      <w:pPr>
        <w:spacing w:line="360" w:lineRule="auto"/>
        <w:ind w:right="49"/>
        <w:contextualSpacing/>
        <w:jc w:val="both"/>
        <w:rPr>
          <w:rFonts w:ascii="Palatino Linotype" w:hAnsi="Palatino Linotype" w:cs="Arial"/>
          <w:lang w:eastAsia="es-CO"/>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hAnsi="Palatino Linotype" w:cs="Arial"/>
          <w:lang w:eastAsia="es-CO"/>
        </w:rPr>
      </w:pPr>
      <w:r w:rsidRPr="00C36261">
        <w:rPr>
          <w:rFonts w:ascii="Palatino Linotype" w:hAnsi="Palatino Linotype" w:cs="Arial"/>
          <w:lang w:eastAsia="es-CO"/>
        </w:rPr>
        <w:t xml:space="preserve">Es decir, el </w:t>
      </w:r>
      <w:r w:rsidRPr="00C36261">
        <w:rPr>
          <w:rFonts w:ascii="Palatino Linotype" w:hAnsi="Palatino Linotype" w:cs="Arial"/>
          <w:b/>
          <w:lang w:eastAsia="es-CO"/>
        </w:rPr>
        <w:t>Sujeto Obligado</w:t>
      </w:r>
      <w:r w:rsidRPr="00C36261">
        <w:rPr>
          <w:rFonts w:ascii="Palatino Linotype" w:hAnsi="Palatino Linotype" w:cs="Arial"/>
          <w:lang w:eastAsia="es-CO"/>
        </w:rPr>
        <w:t xml:space="preserve"> a través de su Comité de Transparencia, deberá elaborar acuerdo que contenga un razonamiento lógico con el que se demuestre que la información, encuadra en alguna de las hipótesis que contempla la Ley de la Materia en su artículo 143; ya que, de lo contrario, se crearía la incertidumbre </w:t>
      </w:r>
      <w:r w:rsidRPr="00C36261">
        <w:rPr>
          <w:rFonts w:ascii="Palatino Linotype" w:hAnsi="Palatino Linotype" w:cs="Arial"/>
        </w:rPr>
        <w:t>jurídica</w:t>
      </w:r>
      <w:r w:rsidRPr="00C36261">
        <w:rPr>
          <w:rFonts w:ascii="Palatino Linotype" w:hAnsi="Palatino Linotype" w:cs="Arial"/>
          <w:lang w:eastAsia="es-CO"/>
        </w:rPr>
        <w:t>; en otras palabras, si no se exponen de manera puntual las razones de la clasificación se estaría violentando el derecho de acceso a la información de la parte solicitante.</w:t>
      </w:r>
    </w:p>
    <w:p w:rsidR="00156FC2" w:rsidRPr="00C36261" w:rsidRDefault="00156FC2" w:rsidP="009D6D73">
      <w:pPr>
        <w:spacing w:line="360" w:lineRule="auto"/>
        <w:ind w:right="49"/>
        <w:contextualSpacing/>
        <w:jc w:val="both"/>
        <w:rPr>
          <w:rFonts w:ascii="Palatino Linotype" w:hAnsi="Palatino Linotype" w:cs="Arial"/>
          <w:lang w:eastAsia="es-CO"/>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hAnsi="Palatino Linotype" w:cs="Arial"/>
          <w:lang w:eastAsia="es-CO"/>
        </w:rPr>
      </w:pPr>
      <w:r w:rsidRPr="00C36261">
        <w:rPr>
          <w:rFonts w:ascii="Palatino Linotype" w:hAnsi="Palatino Linotype" w:cs="Arial"/>
          <w:lang w:eastAsia="es-CO"/>
        </w:rPr>
        <w:lastRenderedPageBreak/>
        <w:t>Al respecto, el máximo tribunal del país ha establecido jurisprudencia respecto a qué debe entenderse por fundamentación y motivación, en los siguientes términos:</w:t>
      </w:r>
    </w:p>
    <w:p w:rsidR="00156FC2" w:rsidRPr="00C36261" w:rsidRDefault="00156FC2" w:rsidP="009D6D73">
      <w:pPr>
        <w:spacing w:line="360" w:lineRule="auto"/>
        <w:ind w:right="49"/>
        <w:contextualSpacing/>
        <w:jc w:val="both"/>
        <w:rPr>
          <w:rFonts w:ascii="Palatino Linotype" w:hAnsi="Palatino Linotype" w:cs="Arial"/>
          <w:i/>
        </w:rPr>
      </w:pPr>
      <w:r w:rsidRPr="00C36261">
        <w:rPr>
          <w:rFonts w:ascii="Palatino Linotype" w:hAnsi="Palatino Linotype" w:cs="Arial"/>
          <w:i/>
        </w:rPr>
        <w:t>“</w:t>
      </w:r>
      <w:r w:rsidRPr="00C36261">
        <w:rPr>
          <w:rFonts w:ascii="Palatino Linotype" w:hAnsi="Palatino Linotype" w:cs="Arial"/>
          <w:b/>
          <w:i/>
        </w:rPr>
        <w:t xml:space="preserve">FUNDAMENTACION Y MOTIVACION. </w:t>
      </w:r>
      <w:r w:rsidRPr="00C36261">
        <w:rPr>
          <w:rFonts w:ascii="Palatino Linotype" w:hAnsi="Palatino Linotype" w:cs="Arial"/>
          <w:i/>
        </w:rPr>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w:t>
      </w:r>
      <w:r w:rsidR="00666BED" w:rsidRPr="00C36261">
        <w:rPr>
          <w:rFonts w:ascii="Palatino Linotype" w:hAnsi="Palatino Linotype" w:cs="Arial"/>
          <w:i/>
        </w:rPr>
        <w:t xml:space="preserve">invocada como fundamento.” </w:t>
      </w:r>
    </w:p>
    <w:p w:rsidR="00156FC2" w:rsidRPr="00C36261" w:rsidRDefault="00156FC2" w:rsidP="009D6D73">
      <w:pPr>
        <w:spacing w:line="360" w:lineRule="auto"/>
        <w:ind w:right="49"/>
        <w:contextualSpacing/>
        <w:jc w:val="both"/>
        <w:rPr>
          <w:rFonts w:ascii="Palatino Linotype" w:hAnsi="Palatino Linotype" w:cs="Arial"/>
          <w:i/>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hAnsi="Palatino Linotype" w:cs="Arial"/>
        </w:rPr>
      </w:pPr>
      <w:r w:rsidRPr="00C36261">
        <w:rPr>
          <w:rFonts w:ascii="Palatino Linotype" w:hAnsi="Palatino Linotype" w:cs="Arial"/>
        </w:rPr>
        <w:t xml:space="preserve">Así, en un acto de autoridad se surte la debida fundamentación cuando se cita el precepto legal aplicable al caso concreto y la debida motivación cuando se expresan las </w:t>
      </w:r>
      <w:r w:rsidRPr="00C36261">
        <w:rPr>
          <w:rFonts w:ascii="Palatino Linotype" w:hAnsi="Palatino Linotype" w:cs="Arial"/>
          <w:lang w:eastAsia="es-CO"/>
        </w:rPr>
        <w:t>razones</w:t>
      </w:r>
      <w:r w:rsidRPr="00C36261">
        <w:rPr>
          <w:rFonts w:ascii="Palatino Linotype" w:hAnsi="Palatino Linotype" w:cs="Arial"/>
        </w:rPr>
        <w:t>, motivos o circunstancias que tomó en cuenta la autoridad para adecuar el hecho a los fundamentos de derecho.</w:t>
      </w:r>
    </w:p>
    <w:p w:rsidR="00156FC2" w:rsidRPr="00C36261" w:rsidRDefault="00156FC2" w:rsidP="009D6D73">
      <w:pPr>
        <w:spacing w:line="360" w:lineRule="auto"/>
        <w:ind w:right="49"/>
        <w:jc w:val="both"/>
        <w:rPr>
          <w:rFonts w:ascii="Palatino Linotype" w:hAnsi="Palatino Linotype" w:cs="Arial"/>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hAnsi="Palatino Linotype" w:cs="Arial"/>
        </w:rPr>
      </w:pPr>
      <w:r w:rsidRPr="00C36261">
        <w:rPr>
          <w:rFonts w:ascii="Palatino Linotype" w:hAnsi="Palatino Linotype" w:cs="Arial"/>
        </w:rPr>
        <w:t xml:space="preserve">Asimismo, a través de diversa jurisprudencia dictada por el Poder Judicial de la Federación se sostiene que la finalidad de la </w:t>
      </w:r>
      <w:r w:rsidRPr="00C36261">
        <w:rPr>
          <w:rFonts w:ascii="Palatino Linotype" w:hAnsi="Palatino Linotype" w:cs="Arial"/>
          <w:b/>
        </w:rPr>
        <w:t>fundamentación</w:t>
      </w:r>
      <w:r w:rsidRPr="00C36261">
        <w:rPr>
          <w:rFonts w:ascii="Palatino Linotype" w:hAnsi="Palatino Linotype" w:cs="Arial"/>
        </w:rPr>
        <w:t xml:space="preserve"> o </w:t>
      </w:r>
      <w:r w:rsidRPr="00C36261">
        <w:rPr>
          <w:rFonts w:ascii="Palatino Linotype" w:hAnsi="Palatino Linotype" w:cs="Arial"/>
          <w:b/>
        </w:rPr>
        <w:t>motivación</w:t>
      </w:r>
      <w:r w:rsidRPr="00C36261">
        <w:rPr>
          <w:rFonts w:ascii="Palatino Linotype" w:hAnsi="Palatino Linotype" w:cs="Arial"/>
        </w:rPr>
        <w:t xml:space="preserve"> es la de explicar, justificar, posibilitar la defensa y comunicar la decisión de la autoridad:</w:t>
      </w:r>
    </w:p>
    <w:p w:rsidR="00156FC2" w:rsidRPr="00C36261" w:rsidRDefault="00156FC2" w:rsidP="009D6D73">
      <w:pPr>
        <w:spacing w:line="360" w:lineRule="auto"/>
        <w:ind w:right="49"/>
        <w:contextualSpacing/>
        <w:jc w:val="both"/>
        <w:rPr>
          <w:rFonts w:ascii="Palatino Linotype" w:hAnsi="Palatino Linotype" w:cs="Arial"/>
          <w:i/>
        </w:rPr>
      </w:pPr>
      <w:r w:rsidRPr="00C36261">
        <w:rPr>
          <w:rFonts w:ascii="Palatino Linotype" w:hAnsi="Palatino Linotype" w:cs="Arial"/>
          <w:b/>
          <w:i/>
        </w:rPr>
        <w:t>“FUNDAMENTACIÓN Y MOTIVACIÓN. EL ASPECTO FORMAL DE LA GARANTÍA Y SU FINALIDAD SE TRADUCEN EN EXPLICAR, JUSTIFICAR, POSIBILITAR LA DEFENSA Y COMUNICAR LA DECISIÓN</w:t>
      </w:r>
      <w:r w:rsidRPr="00C36261">
        <w:rPr>
          <w:rFonts w:ascii="Palatino Linotype" w:hAnsi="Palatino Linotype" w:cs="Arial"/>
          <w:i/>
        </w:rPr>
        <w:t xml:space="preserve">. El contenido formal de la garantía de legalidad prevista en el artículo 16 constitucional relativa a la </w:t>
      </w:r>
      <w:r w:rsidRPr="00C36261">
        <w:rPr>
          <w:rFonts w:ascii="Palatino Linotype" w:hAnsi="Palatino Linotype" w:cs="Arial"/>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36261">
        <w:rPr>
          <w:rFonts w:ascii="Palatino Linotype" w:hAnsi="Palatino Linotype" w:cs="Arial"/>
          <w:i/>
        </w:rPr>
        <w:t xml:space="preserve">. Por tanto, </w:t>
      </w:r>
      <w:r w:rsidRPr="00C36261">
        <w:rPr>
          <w:rFonts w:ascii="Palatino Linotype" w:hAnsi="Palatino Linotype" w:cs="Arial"/>
          <w:b/>
          <w:i/>
        </w:rPr>
        <w:t xml:space="preserve">no basta que el acto de </w:t>
      </w:r>
      <w:r w:rsidRPr="00C36261">
        <w:rPr>
          <w:rFonts w:ascii="Palatino Linotype" w:hAnsi="Palatino Linotype" w:cs="Arial"/>
          <w:b/>
          <w:i/>
        </w:rPr>
        <w:lastRenderedPageBreak/>
        <w:t>autoridad apenas observe una motivación pro forma pero de una manera incongruente, insuficiente o imprecisa</w:t>
      </w:r>
      <w:r w:rsidRPr="00C36261">
        <w:rPr>
          <w:rFonts w:ascii="Palatino Linotype" w:hAnsi="Palatino Linotype" w:cs="Arial"/>
          <w:i/>
        </w:rPr>
        <w:t>, que impida la finalidad del conocimiento, comprobación y defensa pertinente</w:t>
      </w:r>
      <w:r w:rsidRPr="00C36261">
        <w:rPr>
          <w:rFonts w:ascii="Palatino Linotype" w:hAnsi="Palatino Linotype" w:cs="Arial"/>
          <w:b/>
          <w:i/>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00666BED" w:rsidRPr="00C36261">
        <w:rPr>
          <w:rFonts w:ascii="Palatino Linotype" w:hAnsi="Palatino Linotype" w:cs="Arial"/>
          <w:i/>
        </w:rPr>
        <w:t>.”</w:t>
      </w:r>
    </w:p>
    <w:p w:rsidR="00156FC2" w:rsidRPr="00C36261" w:rsidRDefault="00156FC2" w:rsidP="009D6D73">
      <w:pPr>
        <w:spacing w:line="360" w:lineRule="auto"/>
        <w:ind w:right="49"/>
        <w:contextualSpacing/>
        <w:jc w:val="both"/>
        <w:rPr>
          <w:rFonts w:ascii="Palatino Linotype" w:hAnsi="Palatino Linotype" w:cs="Arial"/>
          <w:i/>
        </w:rPr>
      </w:pPr>
    </w:p>
    <w:p w:rsidR="00156FC2" w:rsidRPr="00C36261" w:rsidRDefault="00156FC2" w:rsidP="009D6D73">
      <w:pPr>
        <w:numPr>
          <w:ilvl w:val="0"/>
          <w:numId w:val="1"/>
        </w:numPr>
        <w:pBdr>
          <w:top w:val="nil"/>
          <w:left w:val="nil"/>
          <w:bottom w:val="nil"/>
          <w:right w:val="nil"/>
          <w:between w:val="nil"/>
        </w:pBdr>
        <w:spacing w:line="360" w:lineRule="auto"/>
        <w:ind w:left="0" w:right="49" w:firstLine="0"/>
        <w:jc w:val="both"/>
        <w:rPr>
          <w:rFonts w:ascii="Palatino Linotype" w:hAnsi="Palatino Linotype" w:cs="Arial"/>
        </w:rPr>
      </w:pPr>
      <w:r w:rsidRPr="00C36261">
        <w:rPr>
          <w:rFonts w:ascii="Palatino Linotype" w:hAnsi="Palatino Linotype" w:cs="Arial"/>
        </w:rPr>
        <w:t xml:space="preserve">De ahí que, la fundamentación y motivación implica que, en el acto de autoridad, además de contenerse los supuestos jurídicos aplicables se expliquen claramente, por qué, a través de la utilización de la norma se emitió el acto. </w:t>
      </w:r>
    </w:p>
    <w:p w:rsidR="006E36A4" w:rsidRPr="00C36261" w:rsidRDefault="006E36A4" w:rsidP="009D6D73">
      <w:pPr>
        <w:pStyle w:val="Prrafodelista"/>
        <w:spacing w:line="360" w:lineRule="auto"/>
        <w:ind w:left="0" w:right="49"/>
        <w:rPr>
          <w:rFonts w:ascii="Palatino Linotype" w:eastAsia="Calibri" w:hAnsi="Palatino Linotype" w:cs="Arial"/>
        </w:rPr>
      </w:pPr>
    </w:p>
    <w:p w:rsidR="00194544" w:rsidRPr="00C36261" w:rsidRDefault="00194544"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Con la determinación anterior quedará por colmado el derecho de acceso a la información del ahora </w:t>
      </w:r>
      <w:r w:rsidRPr="00C36261">
        <w:rPr>
          <w:rFonts w:ascii="Palatino Linotype" w:hAnsi="Palatino Linotype" w:cs="Times New Roman"/>
        </w:rPr>
        <w:t>Recurrente</w:t>
      </w:r>
      <w:r w:rsidRPr="00C36261">
        <w:rPr>
          <w:rFonts w:ascii="Palatino Linotype" w:eastAsia="Palatino Linotype" w:hAnsi="Palatino Linotype" w:cs="Palatino Linotype"/>
          <w:color w:val="000000"/>
        </w:rPr>
        <w:t xml:space="preserve">; toda vez que el Derecho que tutela este Órgano </w:t>
      </w:r>
      <w:r w:rsidRPr="00C36261">
        <w:rPr>
          <w:rFonts w:ascii="Palatino Linotype" w:eastAsia="Palatino Linotype" w:hAnsi="Palatino Linotype" w:cs="Palatino Linotype"/>
        </w:rPr>
        <w:t>Garante</w:t>
      </w:r>
      <w:r w:rsidRPr="00C36261">
        <w:rPr>
          <w:rFonts w:ascii="Palatino Linotype" w:eastAsia="Palatino Linotype" w:hAnsi="Palatino Linotype" w:cs="Palatino Linotype"/>
          <w:color w:val="000000"/>
        </w:rPr>
        <w:t xml:space="preserve"> corresponde a la  </w:t>
      </w:r>
      <w:r w:rsidRPr="00C36261">
        <w:rPr>
          <w:rFonts w:ascii="Palatino Linotype" w:eastAsia="Palatino Linotype" w:hAnsi="Palatino Linotype" w:cs="Palatino Linotype"/>
          <w:i/>
          <w:color w:val="000000"/>
        </w:rPr>
        <w:t>igualdad de oportunidades para recibir, buscar e impartir información</w:t>
      </w:r>
      <w:r w:rsidRPr="00C36261">
        <w:rPr>
          <w:rFonts w:ascii="Palatino Linotype" w:eastAsia="Palatino Linotype" w:hAnsi="Palatino Linotype" w:cs="Palatino Linotype"/>
          <w:i/>
          <w:color w:val="000000"/>
          <w:vertAlign w:val="superscript"/>
        </w:rPr>
        <w:footnoteReference w:id="1"/>
      </w:r>
      <w:r w:rsidRPr="00C36261">
        <w:rPr>
          <w:rFonts w:ascii="Palatino Linotype" w:eastAsia="Palatino Linotype" w:hAnsi="Palatino Linotype" w:cs="Palatino Linotype"/>
          <w:i/>
          <w:color w:val="000000"/>
        </w:rPr>
        <w:t xml:space="preserve"> en posesión de cualquier autoridad, entidad, órgano y organismo de los </w:t>
      </w:r>
      <w:r w:rsidRPr="00C36261">
        <w:rPr>
          <w:rFonts w:ascii="Palatino Linotype" w:eastAsia="Palatino Linotype" w:hAnsi="Palatino Linotype" w:cs="Palatino Linotype"/>
        </w:rPr>
        <w:t>poderes</w:t>
      </w:r>
      <w:r w:rsidRPr="00C36261">
        <w:rPr>
          <w:rFonts w:ascii="Palatino Linotype" w:eastAsia="Palatino Linotype" w:hAnsi="Palatino Linotype" w:cs="Palatino Linotype"/>
          <w:i/>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36261">
        <w:rPr>
          <w:rFonts w:ascii="Palatino Linotype" w:eastAsia="Palatino Linotype" w:hAnsi="Palatino Linotype" w:cs="Palatino Linotype"/>
          <w:color w:val="000000"/>
          <w:vertAlign w:val="superscript"/>
        </w:rPr>
        <w:footnoteReference w:id="2"/>
      </w:r>
      <w:r w:rsidRPr="00C36261">
        <w:rPr>
          <w:rFonts w:ascii="Palatino Linotype" w:eastAsia="Palatino Linotype" w:hAnsi="Palatino Linotype" w:cs="Palatino Linotype"/>
          <w:i/>
          <w:color w:val="000000"/>
        </w:rPr>
        <w:t xml:space="preserve"> </w:t>
      </w:r>
      <w:r w:rsidRPr="00C36261">
        <w:rPr>
          <w:rFonts w:ascii="Palatino Linotype" w:eastAsia="Palatino Linotype" w:hAnsi="Palatino Linotype" w:cs="Palatino Linotype"/>
          <w:color w:val="000000"/>
        </w:rPr>
        <w:t xml:space="preserve">que se constituye como una herramienta fundamental para </w:t>
      </w:r>
      <w:r w:rsidRPr="00C36261">
        <w:rPr>
          <w:rFonts w:ascii="Palatino Linotype" w:eastAsia="Palatino Linotype" w:hAnsi="Palatino Linotype" w:cs="Palatino Linotype"/>
          <w:i/>
          <w:color w:val="000000"/>
        </w:rPr>
        <w:t xml:space="preserve">ejercer control democrático de las gestiones estatales, de forma tal que puedan cuestionar, indagar y considerar si se está dando un adecuado cumplimiento de las funciones </w:t>
      </w:r>
      <w:r w:rsidRPr="00C36261">
        <w:rPr>
          <w:rFonts w:ascii="Palatino Linotype" w:eastAsia="Palatino Linotype" w:hAnsi="Palatino Linotype" w:cs="Palatino Linotype"/>
          <w:i/>
          <w:color w:val="000000"/>
        </w:rPr>
        <w:lastRenderedPageBreak/>
        <w:t>públicas,</w:t>
      </w:r>
      <w:r w:rsidRPr="00C36261">
        <w:rPr>
          <w:rFonts w:ascii="Palatino Linotype" w:eastAsia="Palatino Linotype" w:hAnsi="Palatino Linotype" w:cs="Palatino Linotype"/>
          <w:i/>
          <w:color w:val="000000"/>
          <w:vertAlign w:val="superscript"/>
        </w:rPr>
        <w:footnoteReference w:id="3"/>
      </w:r>
      <w:r w:rsidRPr="00C36261">
        <w:rPr>
          <w:rFonts w:ascii="Palatino Linotype" w:eastAsia="Palatino Linotype" w:hAnsi="Palatino Linotype" w:cs="Palatino Linotype"/>
          <w:color w:val="000000"/>
        </w:rPr>
        <w:t>fomentando</w:t>
      </w:r>
      <w:r w:rsidRPr="00C36261">
        <w:rPr>
          <w:rFonts w:ascii="Palatino Linotype" w:eastAsia="Palatino Linotype" w:hAnsi="Palatino Linotype" w:cs="Palatino Linotype"/>
          <w:i/>
          <w:color w:val="000000"/>
        </w:rPr>
        <w:t xml:space="preserve"> la transparencia de las actividades estatales y</w:t>
      </w:r>
      <w:r w:rsidRPr="00C36261">
        <w:rPr>
          <w:rFonts w:ascii="Palatino Linotype" w:eastAsia="Palatino Linotype" w:hAnsi="Palatino Linotype" w:cs="Palatino Linotype"/>
          <w:color w:val="000000"/>
        </w:rPr>
        <w:t xml:space="preserve"> promoviendo</w:t>
      </w:r>
      <w:r w:rsidRPr="00C36261">
        <w:rPr>
          <w:rFonts w:ascii="Palatino Linotype" w:eastAsia="Palatino Linotype" w:hAnsi="Palatino Linotype" w:cs="Palatino Linotype"/>
          <w:i/>
          <w:color w:val="000000"/>
        </w:rPr>
        <w:t xml:space="preserve"> la responsabilidad de los funcionarios sobre su gestión pública</w:t>
      </w:r>
      <w:r w:rsidRPr="00C36261">
        <w:rPr>
          <w:rFonts w:ascii="Palatino Linotype" w:eastAsia="Palatino Linotype" w:hAnsi="Palatino Linotype" w:cs="Palatino Linotype"/>
          <w:i/>
          <w:color w:val="000000"/>
          <w:vertAlign w:val="superscript"/>
        </w:rPr>
        <w:footnoteReference w:id="4"/>
      </w:r>
      <w:r w:rsidRPr="00C36261">
        <w:rPr>
          <w:rFonts w:ascii="Palatino Linotype" w:eastAsia="Palatino Linotype" w:hAnsi="Palatino Linotype" w:cs="Palatino Linotype"/>
          <w:i/>
          <w:color w:val="000000"/>
        </w:rPr>
        <w:t xml:space="preserve"> </w:t>
      </w:r>
      <w:r w:rsidRPr="00C36261">
        <w:rPr>
          <w:rFonts w:ascii="Palatino Linotype" w:eastAsia="Palatino Linotype" w:hAnsi="Palatino Linotype" w:cs="Palatino Linotype"/>
          <w:color w:val="000000"/>
        </w:rPr>
        <w:t>que permite</w:t>
      </w:r>
      <w:r w:rsidRPr="00C36261">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Pr="00C36261">
        <w:rPr>
          <w:rFonts w:ascii="Palatino Linotype" w:eastAsia="Palatino Linotype" w:hAnsi="Palatino Linotype" w:cs="Palatino Linotype"/>
          <w:i/>
          <w:color w:val="000000"/>
          <w:vertAlign w:val="superscript"/>
        </w:rPr>
        <w:footnoteReference w:id="5"/>
      </w:r>
      <w:r w:rsidRPr="00C36261">
        <w:rPr>
          <w:rFonts w:ascii="Palatino Linotype" w:eastAsia="Palatino Linotype" w:hAnsi="Palatino Linotype" w:cs="Palatino Linotype"/>
          <w:color w:val="000000"/>
        </w:rPr>
        <w:t xml:space="preserve"> ” </w:t>
      </w:r>
    </w:p>
    <w:p w:rsidR="00B809CB" w:rsidRPr="00C36261" w:rsidRDefault="00B809CB" w:rsidP="009D6D73">
      <w:pPr>
        <w:spacing w:line="360" w:lineRule="auto"/>
        <w:ind w:right="49"/>
        <w:jc w:val="both"/>
        <w:rPr>
          <w:rFonts w:ascii="Palatino Linotype" w:eastAsia="Palatino Linotype" w:hAnsi="Palatino Linotype" w:cs="Palatino Linotype"/>
          <w:color w:val="000000"/>
        </w:rPr>
      </w:pPr>
    </w:p>
    <w:p w:rsidR="00194544" w:rsidRPr="00C36261" w:rsidRDefault="00194544" w:rsidP="009D6D73">
      <w:pPr>
        <w:numPr>
          <w:ilvl w:val="0"/>
          <w:numId w:val="1"/>
        </w:numPr>
        <w:spacing w:line="360" w:lineRule="auto"/>
        <w:ind w:left="0" w:right="49" w:firstLine="0"/>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color w:val="000000"/>
        </w:rPr>
        <w:t xml:space="preserve">Para entender los alcances de la información pública se considera importante citar el criterio de interpretación </w:t>
      </w:r>
      <w:r w:rsidRPr="00C36261">
        <w:rPr>
          <w:rFonts w:ascii="Palatino Linotype" w:hAnsi="Palatino Linotype" w:cs="Times New Roman"/>
        </w:rPr>
        <w:t>en</w:t>
      </w:r>
      <w:r w:rsidRPr="00C36261">
        <w:rPr>
          <w:rFonts w:ascii="Palatino Linotype" w:eastAsia="Palatino Linotype" w:hAnsi="Palatino Linotype" w:cs="Palatino Linotype"/>
          <w:color w:val="000000"/>
        </w:rPr>
        <w:t xml:space="preserve">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194544" w:rsidRPr="00C36261" w:rsidRDefault="00194544" w:rsidP="009D6D73">
      <w:pPr>
        <w:spacing w:line="360" w:lineRule="auto"/>
        <w:ind w:right="49"/>
        <w:jc w:val="both"/>
        <w:rPr>
          <w:rFonts w:ascii="Palatino Linotype" w:eastAsia="Palatino Linotype" w:hAnsi="Palatino Linotype" w:cs="Palatino Linotype"/>
          <w:b/>
          <w:i/>
          <w:color w:val="000000"/>
        </w:rPr>
      </w:pPr>
      <w:r w:rsidRPr="00C36261">
        <w:rPr>
          <w:rFonts w:ascii="Palatino Linotype" w:eastAsia="Palatino Linotype" w:hAnsi="Palatino Linotype" w:cs="Palatino Linotype"/>
          <w:b/>
          <w:i/>
          <w:color w:val="000000"/>
        </w:rPr>
        <w:t>“CRITERIO 0002-11</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C36261">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lastRenderedPageBreak/>
        <w:t>En consecuencia el acceso a la información se refiere a que se cumplan cualquiera de los siguientes tres supuestos:</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p>
    <w:p w:rsidR="00194544" w:rsidRPr="00C36261" w:rsidRDefault="00194544"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b/>
          <w:i/>
          <w:color w:val="000000"/>
        </w:rPr>
        <w:t xml:space="preserve">XI. Documento: </w:t>
      </w:r>
      <w:r w:rsidRPr="00C36261">
        <w:rPr>
          <w:rFonts w:ascii="Palatino Linotype" w:eastAsia="Palatino Linotype" w:hAnsi="Palatino Linotype" w:cs="Palatino Linotype"/>
          <w:i/>
          <w:color w:val="000000"/>
        </w:rPr>
        <w:t xml:space="preserve">Los expedientes, reportes, estudios, actas, resoluciones, oficios, correspondencia, acuerdos, directivas, directrices, circulares, contratos, convenios, instructivos, notas, memorandos, estadísticas o bien, </w:t>
      </w:r>
      <w:r w:rsidRPr="00C36261">
        <w:rPr>
          <w:rFonts w:ascii="Palatino Linotype" w:eastAsia="Palatino Linotype" w:hAnsi="Palatino Linotype" w:cs="Palatino Linotype"/>
          <w:b/>
          <w:i/>
          <w:color w:val="000000"/>
        </w:rPr>
        <w:t>cualquier otro registro</w:t>
      </w:r>
      <w:r w:rsidRPr="00C36261">
        <w:rPr>
          <w:rFonts w:ascii="Palatino Linotype" w:eastAsia="Palatino Linotype" w:hAnsi="Palatino Linotype" w:cs="Palatino Linotype"/>
          <w:i/>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p>
    <w:p w:rsidR="00194544" w:rsidRPr="00C36261" w:rsidRDefault="00194544"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Es así que, todos los actos de autoridad que realicen los Sujetos Obligados </w:t>
      </w:r>
      <w:r w:rsidRPr="00C36261">
        <w:rPr>
          <w:rFonts w:ascii="Palatino Linotype" w:eastAsia="Palatino Linotype" w:hAnsi="Palatino Linotype" w:cs="Palatino Linotype"/>
          <w:b/>
          <w:color w:val="000000"/>
        </w:rPr>
        <w:t xml:space="preserve">deben estar </w:t>
      </w:r>
      <w:r w:rsidRPr="00C36261">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194544" w:rsidRPr="00C36261" w:rsidRDefault="00194544" w:rsidP="009D6D7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p>
    <w:p w:rsidR="00194544" w:rsidRPr="00C36261" w:rsidRDefault="00194544"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lastRenderedPageBreak/>
        <w:t>Además, debemos tomar en cuenta los artículos 4 y 12 (antes transcrito), de la Ley de Transparencia y Acceso a la Información Pública del Estado de México y Municipios, los cuales establecen lo siguiente:</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b/>
          <w:i/>
          <w:color w:val="000000"/>
        </w:rPr>
        <w:t xml:space="preserve">“Artículo 4. </w:t>
      </w:r>
      <w:r w:rsidRPr="00C36261">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b/>
          <w:i/>
          <w:color w:val="000000"/>
        </w:rPr>
        <w:t>Toda la información</w:t>
      </w:r>
      <w:r w:rsidRPr="00C36261">
        <w:rPr>
          <w:rFonts w:ascii="Palatino Linotype" w:eastAsia="Palatino Linotype" w:hAnsi="Palatino Linotype" w:cs="Palatino Linotype"/>
          <w:i/>
          <w:color w:val="000000"/>
        </w:rPr>
        <w:t xml:space="preserve"> generada, obtenida, adquirida, transformada, administrada o </w:t>
      </w:r>
      <w:r w:rsidRPr="00C36261">
        <w:rPr>
          <w:rFonts w:ascii="Palatino Linotype" w:eastAsia="Palatino Linotype" w:hAnsi="Palatino Linotype" w:cs="Palatino Linotype"/>
          <w:b/>
          <w:i/>
          <w:color w:val="000000"/>
        </w:rPr>
        <w:t>en posesión de los sujetos obligados es pública</w:t>
      </w:r>
      <w:r w:rsidRPr="00C36261">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rsidR="00194544" w:rsidRPr="00C36261" w:rsidRDefault="00194544" w:rsidP="009D6D73">
      <w:pPr>
        <w:spacing w:line="360" w:lineRule="auto"/>
        <w:ind w:right="49"/>
        <w:jc w:val="both"/>
        <w:rPr>
          <w:rFonts w:ascii="Palatino Linotype" w:eastAsia="Palatino Linotype" w:hAnsi="Palatino Linotype" w:cs="Palatino Linotype"/>
          <w:i/>
          <w:color w:val="000000"/>
        </w:rPr>
      </w:pPr>
    </w:p>
    <w:p w:rsidR="00194544" w:rsidRPr="00C36261" w:rsidRDefault="00194544"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36261">
        <w:rPr>
          <w:rFonts w:ascii="Palatino Linotype" w:eastAsia="Palatino Linotype" w:hAnsi="Palatino Linotype" w:cs="Palatino Linotype"/>
          <w:color w:val="000000"/>
          <w:vertAlign w:val="superscript"/>
        </w:rPr>
        <w:footnoteReference w:id="6"/>
      </w:r>
      <w:r w:rsidRPr="00C36261">
        <w:rPr>
          <w:rFonts w:ascii="Palatino Linotype" w:eastAsia="Palatino Linotype" w:hAnsi="Palatino Linotype" w:cs="Palatino Linotype"/>
          <w:color w:val="000000"/>
        </w:rPr>
        <w:t xml:space="preserve"> y máxima </w:t>
      </w:r>
      <w:r w:rsidRPr="00C36261">
        <w:rPr>
          <w:rFonts w:ascii="Palatino Linotype" w:eastAsia="Palatino Linotype" w:hAnsi="Palatino Linotype" w:cs="Palatino Linotype"/>
          <w:color w:val="000000"/>
        </w:rPr>
        <w:lastRenderedPageBreak/>
        <w:t>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F798E" w:rsidRPr="00C36261" w:rsidRDefault="00CF798E" w:rsidP="009D6D73">
      <w:pPr>
        <w:spacing w:line="360" w:lineRule="auto"/>
        <w:ind w:right="49"/>
        <w:jc w:val="both"/>
        <w:rPr>
          <w:rFonts w:ascii="Palatino Linotype" w:eastAsia="Palatino Linotype" w:hAnsi="Palatino Linotype" w:cs="Palatino Linotype"/>
          <w:color w:val="000000"/>
        </w:rPr>
      </w:pPr>
    </w:p>
    <w:p w:rsidR="00194544" w:rsidRPr="00C36261" w:rsidRDefault="00194544"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194544" w:rsidRPr="00C36261" w:rsidRDefault="00194544" w:rsidP="009D6D7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i/>
          <w:color w:val="000000"/>
        </w:rPr>
      </w:pPr>
      <w:r w:rsidRPr="00C36261">
        <w:rPr>
          <w:rFonts w:ascii="Palatino Linotype" w:eastAsia="Palatino Linotype" w:hAnsi="Palatino Linotype" w:cs="Palatino Linotype"/>
          <w:b/>
          <w:i/>
          <w:color w:val="000000"/>
        </w:rPr>
        <w:t>ACCESO A LA INFORMACIÓN. IMPLICACIÓN DEL PRINCIPIO DE MÁXIMA PUBLICIDAD EN EL DERECHO FUNDAMENTAL RELATIVO.</w:t>
      </w:r>
      <w:r w:rsidRPr="00C36261">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w:t>
      </w:r>
      <w:r w:rsidRPr="00C36261">
        <w:rPr>
          <w:rFonts w:ascii="Palatino Linotype" w:eastAsia="Palatino Linotype" w:hAnsi="Palatino Linotype" w:cs="Palatino Linotype"/>
          <w:i/>
          <w:color w:val="000000"/>
        </w:rPr>
        <w:lastRenderedPageBreak/>
        <w:t>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A227E2" w:rsidRPr="00C36261" w:rsidRDefault="00A227E2" w:rsidP="009D6D73">
      <w:pPr>
        <w:spacing w:line="360" w:lineRule="auto"/>
        <w:ind w:right="49"/>
        <w:jc w:val="both"/>
        <w:rPr>
          <w:rFonts w:ascii="Palatino Linotype" w:eastAsia="Palatino Linotype" w:hAnsi="Palatino Linotype" w:cs="Palatino Linotype"/>
        </w:rPr>
      </w:pPr>
    </w:p>
    <w:p w:rsidR="00CB0047" w:rsidRPr="00C36261" w:rsidRDefault="00CB0047" w:rsidP="009D6D73">
      <w:pPr>
        <w:spacing w:line="360" w:lineRule="auto"/>
        <w:ind w:right="49"/>
        <w:jc w:val="both"/>
        <w:rPr>
          <w:rFonts w:ascii="Palatino Linotype" w:eastAsia="Palatino Linotype" w:hAnsi="Palatino Linotype" w:cs="Palatino Linotype"/>
          <w:b/>
        </w:rPr>
      </w:pPr>
      <w:r w:rsidRPr="00C36261">
        <w:rPr>
          <w:rFonts w:ascii="Palatino Linotype" w:eastAsia="Palatino Linotype" w:hAnsi="Palatino Linotype" w:cs="Palatino Linotype"/>
          <w:b/>
        </w:rPr>
        <w:t>QUINTO. De la versión pública.</w:t>
      </w:r>
    </w:p>
    <w:p w:rsidR="00CB0047" w:rsidRPr="00C36261" w:rsidRDefault="00CB0047" w:rsidP="009D6D73">
      <w:pPr>
        <w:numPr>
          <w:ilvl w:val="0"/>
          <w:numId w:val="1"/>
        </w:numP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Finalmente, debe señalarse que </w:t>
      </w:r>
      <w:r w:rsidR="00E15CF3" w:rsidRPr="00C36261">
        <w:rPr>
          <w:rFonts w:ascii="Palatino Linotype" w:eastAsia="Palatino Linotype" w:hAnsi="Palatino Linotype" w:cs="Palatino Linotype"/>
        </w:rPr>
        <w:t>dada la propia y especial naturaleza de lo solicitado, eminentemente contiene múltiples datos personales que deberán ser protegidos como ya quedó asentado en el Considerando anterior del presente proveído. P</w:t>
      </w:r>
      <w:r w:rsidRPr="00C36261">
        <w:rPr>
          <w:rFonts w:ascii="Palatino Linotype" w:eastAsia="Palatino Linotype" w:hAnsi="Palatino Linotype" w:cs="Palatino Linotype"/>
        </w:rPr>
        <w:t xml:space="preserve">ara dar cumplimiento a la presente resolución, contengan datos que deban ser clasificados, el </w:t>
      </w:r>
      <w:r w:rsidRPr="00C36261">
        <w:rPr>
          <w:rFonts w:ascii="Palatino Linotype" w:eastAsia="Palatino Linotype" w:hAnsi="Palatino Linotype" w:cs="Palatino Linotype"/>
          <w:b/>
        </w:rPr>
        <w:t>Sujeto Obligado</w:t>
      </w:r>
      <w:r w:rsidRPr="00C36261">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CB0047" w:rsidRPr="00C36261" w:rsidRDefault="00CB0047" w:rsidP="009D6D73">
      <w:pPr>
        <w:pStyle w:val="Prrafodelista"/>
        <w:spacing w:line="360" w:lineRule="auto"/>
        <w:ind w:left="0" w:right="49"/>
        <w:jc w:val="both"/>
        <w:rPr>
          <w:rFonts w:ascii="Palatino Linotype" w:eastAsia="Palatino Linotype" w:hAnsi="Palatino Linotype" w:cs="Palatino Linotype"/>
        </w:rPr>
      </w:pPr>
    </w:p>
    <w:p w:rsidR="00CB0047" w:rsidRPr="00C36261" w:rsidRDefault="00CB0047" w:rsidP="009D6D73">
      <w:pPr>
        <w:numPr>
          <w:ilvl w:val="0"/>
          <w:numId w:val="1"/>
        </w:numP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r w:rsidRPr="00C36261">
        <w:rPr>
          <w:rFonts w:ascii="Palatino Linotype" w:eastAsia="Palatino Linotype" w:hAnsi="Palatino Linotype" w:cs="Palatino Linotype"/>
          <w:b/>
          <w:i/>
        </w:rPr>
        <w:t>Artículo 3</w:t>
      </w:r>
      <w:r w:rsidRPr="00C36261">
        <w:rPr>
          <w:rFonts w:ascii="Palatino Linotype" w:eastAsia="Palatino Linotype" w:hAnsi="Palatino Linotype" w:cs="Palatino Linotype"/>
          <w:i/>
        </w:rPr>
        <w:t>. Para los efectos de la presente Ley se entenderá por:</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IX. Datos personales</w:t>
      </w:r>
      <w:r w:rsidRPr="00C36261">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lastRenderedPageBreak/>
        <w:t>XX. Información clasificada</w:t>
      </w:r>
      <w:r w:rsidRPr="00C36261">
        <w:rPr>
          <w:rFonts w:ascii="Palatino Linotype" w:eastAsia="Palatino Linotype" w:hAnsi="Palatino Linotype" w:cs="Palatino Linotype"/>
          <w:i/>
        </w:rPr>
        <w:t>: Aquella considerada por la presente Ley como reservada o confidencial;</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 xml:space="preserve">XXI. Información confidencial: </w:t>
      </w:r>
      <w:r w:rsidRPr="00C36261">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XLV. Versión pública:</w:t>
      </w:r>
      <w:r w:rsidRPr="00C36261">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p>
    <w:p w:rsidR="00CB0047" w:rsidRPr="00C36261" w:rsidRDefault="00CB0047" w:rsidP="009D6D73">
      <w:pPr>
        <w:spacing w:line="360" w:lineRule="auto"/>
        <w:ind w:right="49"/>
        <w:jc w:val="both"/>
        <w:rPr>
          <w:rFonts w:ascii="Palatino Linotype" w:eastAsia="Palatino Linotype" w:hAnsi="Palatino Linotype" w:cs="Palatino Linotype"/>
          <w:i/>
        </w:rPr>
      </w:pP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Artículo 91.</w:t>
      </w:r>
      <w:r w:rsidRPr="00C36261">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CB0047" w:rsidRPr="00C36261" w:rsidRDefault="00CB0047" w:rsidP="009D6D73">
      <w:pPr>
        <w:spacing w:line="360" w:lineRule="auto"/>
        <w:ind w:right="49"/>
        <w:jc w:val="both"/>
        <w:rPr>
          <w:rFonts w:ascii="Palatino Linotype" w:eastAsia="Palatino Linotype" w:hAnsi="Palatino Linotype" w:cs="Palatino Linotype"/>
          <w:i/>
        </w:rPr>
      </w:pP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Artículo 132.</w:t>
      </w:r>
      <w:r w:rsidRPr="00C36261">
        <w:rPr>
          <w:rFonts w:ascii="Palatino Linotype" w:eastAsia="Palatino Linotype" w:hAnsi="Palatino Linotype" w:cs="Palatino Linotype"/>
          <w:i/>
        </w:rPr>
        <w:t xml:space="preserve"> La clasificación de la información se llevará a cabo en el momento en que:</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w:t>
      </w:r>
      <w:r w:rsidRPr="00C36261">
        <w:rPr>
          <w:rFonts w:ascii="Palatino Linotype" w:eastAsia="Palatino Linotype" w:hAnsi="Palatino Linotype" w:cs="Palatino Linotype"/>
          <w:i/>
        </w:rPr>
        <w:t>. Se reciba una solicitud de acceso a la información;</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II.</w:t>
      </w:r>
      <w:r w:rsidRPr="00C36261">
        <w:rPr>
          <w:rFonts w:ascii="Palatino Linotype" w:eastAsia="Palatino Linotype" w:hAnsi="Palatino Linotype" w:cs="Palatino Linotype"/>
          <w:i/>
        </w:rPr>
        <w:t xml:space="preserve"> Se determine mediante resolución de autoridad competente; o</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III.</w:t>
      </w:r>
      <w:r w:rsidRPr="00C36261">
        <w:rPr>
          <w:rFonts w:ascii="Palatino Linotype" w:eastAsia="Palatino Linotype" w:hAnsi="Palatino Linotype" w:cs="Palatino Linotype"/>
          <w:i/>
        </w:rPr>
        <w:t xml:space="preserve"> Se generen versiones públicas para dar cumplimiento a las obligaciones de transparencia previstas en esta Ley.</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w:t>
      </w:r>
    </w:p>
    <w:p w:rsidR="00CB0047" w:rsidRPr="00C36261" w:rsidRDefault="00CB0047" w:rsidP="009D6D73">
      <w:pPr>
        <w:spacing w:line="360" w:lineRule="auto"/>
        <w:ind w:right="49"/>
        <w:jc w:val="both"/>
        <w:rPr>
          <w:rFonts w:ascii="Palatino Linotype" w:eastAsia="Palatino Linotype" w:hAnsi="Palatino Linotype" w:cs="Palatino Linotype"/>
          <w:i/>
        </w:rPr>
      </w:pP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Artículo 143</w:t>
      </w:r>
      <w:r w:rsidRPr="00C36261">
        <w:rPr>
          <w:rFonts w:ascii="Palatino Linotype" w:eastAsia="Palatino Linotype" w:hAnsi="Palatino Linotype" w:cs="Palatino Linotype"/>
          <w:i/>
        </w:rPr>
        <w:t>. Para los efectos de esta Ley se considera información confidencial, la clasificada como tal, de manera permanente, por su naturaleza, cuando:</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w:t>
      </w:r>
      <w:r w:rsidRPr="00C36261">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lastRenderedPageBreak/>
        <w:t>II.</w:t>
      </w:r>
      <w:r w:rsidRPr="00C36261">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III.</w:t>
      </w:r>
      <w:r w:rsidRPr="00C36261">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CB0047" w:rsidRPr="00C36261" w:rsidRDefault="00CB0047" w:rsidP="009D6D73">
      <w:pPr>
        <w:spacing w:line="360" w:lineRule="auto"/>
        <w:ind w:right="49"/>
        <w:jc w:val="both"/>
        <w:rPr>
          <w:rFonts w:ascii="Palatino Linotype" w:eastAsia="Palatino Linotype" w:hAnsi="Palatino Linotype" w:cs="Palatino Linotype"/>
          <w:i/>
        </w:rPr>
      </w:pPr>
    </w:p>
    <w:p w:rsidR="00CB0047" w:rsidRPr="00C36261" w:rsidRDefault="00CB0047" w:rsidP="009D6D73">
      <w:pPr>
        <w:numPr>
          <w:ilvl w:val="0"/>
          <w:numId w:val="1"/>
        </w:numP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B0047" w:rsidRPr="00C36261" w:rsidRDefault="00CB0047" w:rsidP="009D6D7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CB0047" w:rsidRPr="00C36261" w:rsidRDefault="00CB0047" w:rsidP="009D6D73">
      <w:pPr>
        <w:numPr>
          <w:ilvl w:val="0"/>
          <w:numId w:val="1"/>
        </w:numPr>
        <w:spacing w:line="360" w:lineRule="auto"/>
        <w:ind w:left="0" w:right="49" w:firstLine="0"/>
        <w:jc w:val="both"/>
        <w:rPr>
          <w:rFonts w:ascii="Palatino Linotype" w:eastAsia="Palatino Linotype" w:hAnsi="Palatino Linotype" w:cs="Palatino Linotype"/>
        </w:rPr>
      </w:pPr>
      <w:r w:rsidRPr="00C36261">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“Quincuagésimo sexto</w:t>
      </w:r>
      <w:r w:rsidRPr="00C36261">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lastRenderedPageBreak/>
        <w:t>Quincuagésimo séptimo</w:t>
      </w:r>
      <w:r w:rsidRPr="00C36261">
        <w:rPr>
          <w:rFonts w:ascii="Palatino Linotype" w:eastAsia="Palatino Linotype" w:hAnsi="Palatino Linotype" w:cs="Palatino Linotype"/>
          <w:i/>
        </w:rPr>
        <w:t xml:space="preserve">. Se considera, en principio, como información pública y no podrá omitirse de las versiones públicas la siguiente: </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w:t>
      </w:r>
      <w:r w:rsidRPr="00C36261">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II.</w:t>
      </w:r>
      <w:r w:rsidRPr="00C36261">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III.</w:t>
      </w:r>
      <w:r w:rsidRPr="00C36261">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CB0047" w:rsidRPr="00C36261" w:rsidRDefault="00CB0047" w:rsidP="009D6D73">
      <w:pPr>
        <w:spacing w:line="360" w:lineRule="auto"/>
        <w:ind w:right="49"/>
        <w:jc w:val="both"/>
        <w:rPr>
          <w:rFonts w:ascii="Palatino Linotype" w:eastAsia="Palatino Linotype" w:hAnsi="Palatino Linotype" w:cs="Palatino Linotype"/>
          <w:i/>
        </w:rPr>
      </w:pPr>
      <w:r w:rsidRPr="00C36261">
        <w:rPr>
          <w:rFonts w:ascii="Palatino Linotype" w:eastAsia="Palatino Linotype" w:hAnsi="Palatino Linotype" w:cs="Palatino Linotype"/>
          <w:b/>
          <w:i/>
        </w:rPr>
        <w:t>Quincuagésimo octavo</w:t>
      </w:r>
      <w:r w:rsidRPr="00C36261">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CB0047" w:rsidRPr="00C36261" w:rsidRDefault="00CB0047" w:rsidP="009D6D73">
      <w:pPr>
        <w:spacing w:line="360" w:lineRule="auto"/>
        <w:ind w:right="49"/>
        <w:jc w:val="both"/>
        <w:rPr>
          <w:rFonts w:ascii="Palatino Linotype" w:eastAsia="Palatino Linotype" w:hAnsi="Palatino Linotype" w:cs="Palatino Linotype"/>
          <w:i/>
        </w:rPr>
      </w:pPr>
    </w:p>
    <w:p w:rsidR="00E15CF3" w:rsidRPr="00C36261" w:rsidRDefault="00E15CF3"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Datos personales que ya han quedado identificados plenamente por el </w:t>
      </w:r>
      <w:r w:rsidRPr="00C36261">
        <w:rPr>
          <w:rFonts w:ascii="Palatino Linotype" w:eastAsia="Palatino Linotype" w:hAnsi="Palatino Linotype" w:cs="Palatino Linotype"/>
          <w:b/>
          <w:color w:val="000000"/>
        </w:rPr>
        <w:t>SUJETO OBLIGADO,</w:t>
      </w:r>
      <w:r w:rsidRPr="00C36261">
        <w:rPr>
          <w:rFonts w:ascii="Palatino Linotype" w:eastAsia="Palatino Linotype" w:hAnsi="Palatino Linotype" w:cs="Palatino Linotype"/>
          <w:color w:val="000000"/>
        </w:rPr>
        <w:t xml:space="preserve"> a saber</w:t>
      </w:r>
    </w:p>
    <w:p w:rsidR="00E15CF3" w:rsidRPr="00C36261" w:rsidRDefault="00E15CF3" w:rsidP="009D6D73">
      <w:pPr>
        <w:spacing w:line="360" w:lineRule="auto"/>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noProof/>
          <w:color w:val="000000"/>
          <w:lang w:val="es-MX" w:eastAsia="es-MX"/>
        </w:rPr>
        <w:drawing>
          <wp:inline distT="0" distB="0" distL="0" distR="0">
            <wp:extent cx="5608955" cy="13512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1351280"/>
                    </a:xfrm>
                    <a:prstGeom prst="rect">
                      <a:avLst/>
                    </a:prstGeom>
                    <a:noFill/>
                    <a:ln>
                      <a:noFill/>
                    </a:ln>
                  </pic:spPr>
                </pic:pic>
              </a:graphicData>
            </a:graphic>
          </wp:inline>
        </w:drawing>
      </w:r>
    </w:p>
    <w:p w:rsidR="00E15CF3" w:rsidRPr="00C36261" w:rsidRDefault="00E15CF3" w:rsidP="009D6D73">
      <w:pPr>
        <w:spacing w:line="360" w:lineRule="auto"/>
        <w:ind w:right="49"/>
        <w:jc w:val="both"/>
        <w:rPr>
          <w:rFonts w:ascii="Palatino Linotype" w:eastAsia="Palatino Linotype" w:hAnsi="Palatino Linotype" w:cs="Palatino Linotype"/>
          <w:color w:val="000000"/>
        </w:rPr>
      </w:pPr>
    </w:p>
    <w:p w:rsidR="00CB0047" w:rsidRPr="00C36261" w:rsidRDefault="00CB0047"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36261">
        <w:rPr>
          <w:rFonts w:ascii="Palatino Linotype" w:eastAsia="Palatino Linotype" w:hAnsi="Palatino Linotype" w:cs="Palatino Linotype"/>
          <w:b/>
        </w:rPr>
        <w:t>Sujeto Obligado</w:t>
      </w:r>
      <w:r w:rsidRPr="00C36261">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CB0047" w:rsidRPr="00C36261" w:rsidRDefault="00CB0047" w:rsidP="009D6D73">
      <w:pPr>
        <w:pStyle w:val="Prrafodelista"/>
        <w:spacing w:line="360" w:lineRule="auto"/>
        <w:ind w:left="0" w:right="49"/>
        <w:jc w:val="both"/>
        <w:rPr>
          <w:rFonts w:ascii="Palatino Linotype" w:eastAsia="Palatino Linotype" w:hAnsi="Palatino Linotype" w:cs="Palatino Linotype"/>
          <w:color w:val="000000"/>
        </w:rPr>
      </w:pPr>
    </w:p>
    <w:p w:rsidR="00CB0047" w:rsidRPr="00C36261" w:rsidRDefault="00CB0047"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Los sujetos obligados</w:t>
      </w:r>
      <w:r w:rsidRPr="00C36261">
        <w:rPr>
          <w:rFonts w:ascii="Palatino Linotype" w:eastAsia="Palatino Linotype" w:hAnsi="Palatino Linotype" w:cs="Palatino Linotype"/>
          <w:b/>
          <w:color w:val="000000"/>
        </w:rPr>
        <w:t xml:space="preserve"> </w:t>
      </w:r>
      <w:r w:rsidRPr="00C36261">
        <w:rPr>
          <w:rFonts w:ascii="Palatino Linotype" w:eastAsia="Palatino Linotype" w:hAnsi="Palatino Linotype" w:cs="Palatino Linotype"/>
          <w:color w:val="000000"/>
        </w:rPr>
        <w:t xml:space="preserve">serán responsables de los datos personales en su </w:t>
      </w:r>
      <w:r w:rsidRPr="00C36261">
        <w:rPr>
          <w:rFonts w:ascii="Palatino Linotype" w:eastAsia="Palatino Linotype" w:hAnsi="Palatino Linotype" w:cs="Palatino Linotype"/>
        </w:rPr>
        <w:t>posesión</w:t>
      </w:r>
      <w:r w:rsidRPr="00C36261">
        <w:rPr>
          <w:rFonts w:ascii="Palatino Linotype" w:eastAsia="Palatino Linotype" w:hAnsi="Palatino Linotype" w:cs="Palatino Linotype"/>
          <w:color w:val="000000"/>
        </w:rPr>
        <w:t xml:space="preserve">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B0047" w:rsidRPr="00C36261" w:rsidRDefault="00CB0047" w:rsidP="009D6D73">
      <w:pPr>
        <w:tabs>
          <w:tab w:val="left" w:pos="284"/>
        </w:tabs>
        <w:spacing w:line="360" w:lineRule="auto"/>
        <w:ind w:right="49"/>
        <w:jc w:val="both"/>
        <w:rPr>
          <w:rFonts w:ascii="Palatino Linotype" w:eastAsia="Palatino Linotype" w:hAnsi="Palatino Linotype" w:cs="Palatino Linotype"/>
          <w:color w:val="000000"/>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972"/>
        <w:gridCol w:w="6662"/>
      </w:tblGrid>
      <w:tr w:rsidR="00CB0047" w:rsidRPr="00C36261" w:rsidTr="00BB24E0">
        <w:tc>
          <w:tcPr>
            <w:tcW w:w="2972" w:type="dxa"/>
          </w:tcPr>
          <w:p w:rsidR="00CB0047" w:rsidRPr="00C36261" w:rsidRDefault="00CB0047" w:rsidP="009D6D73">
            <w:pPr>
              <w:tabs>
                <w:tab w:val="left" w:pos="284"/>
              </w:tabs>
              <w:ind w:right="49"/>
              <w:rPr>
                <w:rFonts w:ascii="Palatino Linotype" w:eastAsia="Palatino Linotype" w:hAnsi="Palatino Linotype" w:cs="Palatino Linotype"/>
              </w:rPr>
            </w:pPr>
            <w:r w:rsidRPr="00C36261">
              <w:rPr>
                <w:rFonts w:ascii="Palatino Linotype" w:eastAsia="Palatino Linotype" w:hAnsi="Palatino Linotype" w:cs="Palatino Linotype"/>
              </w:rPr>
              <w:t>a) Requisitos previos.</w:t>
            </w:r>
          </w:p>
        </w:tc>
        <w:tc>
          <w:tcPr>
            <w:tcW w:w="6662" w:type="dxa"/>
          </w:tcPr>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lastRenderedPageBreak/>
              <w:t>Además, se debe señalar el procedimiento, de los tres que establecen los artículos 132 y 106 de la Ley Estatal y General, respectivamente.</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C36261">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C36261">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CB0047" w:rsidRPr="00C36261" w:rsidRDefault="00CB0047" w:rsidP="009D6D73">
            <w:pPr>
              <w:tabs>
                <w:tab w:val="left" w:pos="284"/>
              </w:tabs>
              <w:ind w:right="49"/>
              <w:jc w:val="both"/>
              <w:rPr>
                <w:rFonts w:ascii="Palatino Linotype" w:eastAsia="Palatino Linotype" w:hAnsi="Palatino Linotype" w:cs="Palatino Linotype"/>
              </w:rPr>
            </w:pPr>
          </w:p>
        </w:tc>
      </w:tr>
      <w:tr w:rsidR="00CB0047" w:rsidRPr="00C36261" w:rsidTr="00BB24E0">
        <w:tc>
          <w:tcPr>
            <w:tcW w:w="2972" w:type="dxa"/>
          </w:tcPr>
          <w:p w:rsidR="00CB0047" w:rsidRPr="00C36261" w:rsidRDefault="00CB0047" w:rsidP="009D6D73">
            <w:pPr>
              <w:tabs>
                <w:tab w:val="left" w:pos="284"/>
              </w:tabs>
              <w:ind w:right="49"/>
              <w:rPr>
                <w:rFonts w:ascii="Palatino Linotype" w:eastAsia="Palatino Linotype" w:hAnsi="Palatino Linotype" w:cs="Palatino Linotype"/>
              </w:rPr>
            </w:pPr>
            <w:r w:rsidRPr="00C36261">
              <w:rPr>
                <w:rFonts w:ascii="Palatino Linotype" w:eastAsia="Palatino Linotype" w:hAnsi="Palatino Linotype" w:cs="Palatino Linotype"/>
              </w:rPr>
              <w:lastRenderedPageBreak/>
              <w:t>b) Supuestos de clasificación.</w:t>
            </w:r>
          </w:p>
        </w:tc>
        <w:tc>
          <w:tcPr>
            <w:tcW w:w="6662" w:type="dxa"/>
          </w:tcPr>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El </w:t>
            </w:r>
            <w:r w:rsidRPr="00C36261">
              <w:rPr>
                <w:rFonts w:ascii="Palatino Linotype" w:eastAsia="Palatino Linotype" w:hAnsi="Palatino Linotype" w:cs="Palatino Linotype"/>
                <w:b/>
                <w:color w:val="000000"/>
              </w:rPr>
              <w:t>Sujeto Obligado</w:t>
            </w:r>
            <w:r w:rsidRPr="00C36261">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CB0047" w:rsidRPr="00C36261" w:rsidRDefault="00CB0047" w:rsidP="009D6D73">
            <w:pPr>
              <w:tabs>
                <w:tab w:val="left" w:pos="284"/>
              </w:tabs>
              <w:ind w:right="49"/>
              <w:jc w:val="both"/>
              <w:rPr>
                <w:rFonts w:ascii="Palatino Linotype" w:eastAsia="Palatino Linotype" w:hAnsi="Palatino Linotype" w:cs="Palatino Linotype"/>
              </w:rPr>
            </w:pPr>
          </w:p>
        </w:tc>
      </w:tr>
      <w:tr w:rsidR="00CB0047" w:rsidRPr="00C36261" w:rsidTr="00BB24E0">
        <w:tc>
          <w:tcPr>
            <w:tcW w:w="2972" w:type="dxa"/>
          </w:tcPr>
          <w:p w:rsidR="00CB0047" w:rsidRPr="00C36261" w:rsidRDefault="00CB0047" w:rsidP="009D6D73">
            <w:pPr>
              <w:tabs>
                <w:tab w:val="left" w:pos="284"/>
              </w:tabs>
              <w:ind w:right="49"/>
              <w:rPr>
                <w:rFonts w:ascii="Palatino Linotype" w:eastAsia="Palatino Linotype" w:hAnsi="Palatino Linotype" w:cs="Palatino Linotype"/>
              </w:rPr>
            </w:pPr>
            <w:r w:rsidRPr="00C36261">
              <w:rPr>
                <w:rFonts w:ascii="Palatino Linotype" w:eastAsia="Palatino Linotype" w:hAnsi="Palatino Linotype" w:cs="Palatino Linotype"/>
              </w:rPr>
              <w:t>c) Formalidades para emitir el acuerdo de clasificación.</w:t>
            </w:r>
          </w:p>
        </w:tc>
        <w:tc>
          <w:tcPr>
            <w:tcW w:w="6662" w:type="dxa"/>
          </w:tcPr>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El Comité de Transparencia, según lo dispuesto en los artículos cuenta con las facultades para aprobar, modificar o </w:t>
            </w:r>
            <w:r w:rsidRPr="00C36261">
              <w:rPr>
                <w:rFonts w:ascii="Palatino Linotype" w:eastAsia="Palatino Linotype" w:hAnsi="Palatino Linotype" w:cs="Palatino Linotype"/>
                <w:color w:val="000000"/>
              </w:rPr>
              <w:lastRenderedPageBreak/>
              <w:t xml:space="preserve">revocar la clasificación de la información que haya propuesto. </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Es necesario que </w:t>
            </w:r>
            <w:r w:rsidRPr="00C36261">
              <w:rPr>
                <w:rFonts w:ascii="Palatino Linotype" w:eastAsia="Palatino Linotype" w:hAnsi="Palatino Linotype" w:cs="Palatino Linotype"/>
                <w:b/>
                <w:color w:val="000000"/>
                <w:u w:val="single"/>
              </w:rPr>
              <w:t>el acto reúna con los requisitos elementales</w:t>
            </w:r>
            <w:r w:rsidRPr="00C36261">
              <w:rPr>
                <w:rFonts w:ascii="Palatino Linotype" w:eastAsia="Palatino Linotype" w:hAnsi="Palatino Linotype" w:cs="Palatino Linotype"/>
                <w:color w:val="000000"/>
              </w:rPr>
              <w:t>, entre ellos, que la autoridad que va a emitir el acto de autoridad sea la legalmente facultada para ello.</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CB0047" w:rsidRPr="00C36261" w:rsidRDefault="00CB0047" w:rsidP="009D6D73">
            <w:pPr>
              <w:tabs>
                <w:tab w:val="left" w:pos="284"/>
              </w:tabs>
              <w:ind w:right="49"/>
              <w:jc w:val="both"/>
              <w:rPr>
                <w:rFonts w:ascii="Palatino Linotype" w:eastAsia="Palatino Linotype" w:hAnsi="Palatino Linotype" w:cs="Palatino Linotype"/>
              </w:rPr>
            </w:pPr>
          </w:p>
        </w:tc>
      </w:tr>
      <w:tr w:rsidR="00CB0047" w:rsidRPr="00C36261" w:rsidTr="00BB24E0">
        <w:tc>
          <w:tcPr>
            <w:tcW w:w="2972" w:type="dxa"/>
          </w:tcPr>
          <w:p w:rsidR="00CB0047" w:rsidRPr="00C36261" w:rsidRDefault="00CB0047" w:rsidP="009D6D73">
            <w:pPr>
              <w:tabs>
                <w:tab w:val="left" w:pos="284"/>
              </w:tabs>
              <w:ind w:right="49"/>
              <w:rPr>
                <w:rFonts w:ascii="Palatino Linotype" w:eastAsia="Palatino Linotype" w:hAnsi="Palatino Linotype" w:cs="Palatino Linotype"/>
              </w:rPr>
            </w:pPr>
          </w:p>
          <w:p w:rsidR="00CB0047" w:rsidRPr="00C36261" w:rsidRDefault="00CB0047" w:rsidP="009D6D73">
            <w:pPr>
              <w:tabs>
                <w:tab w:val="left" w:pos="284"/>
              </w:tabs>
              <w:ind w:right="49"/>
              <w:jc w:val="both"/>
              <w:rPr>
                <w:rFonts w:ascii="Palatino Linotype" w:eastAsia="Palatino Linotype" w:hAnsi="Palatino Linotype" w:cs="Palatino Linotype"/>
              </w:rPr>
            </w:pPr>
            <w:r w:rsidRPr="00C36261">
              <w:rPr>
                <w:rFonts w:ascii="Palatino Linotype" w:eastAsia="Palatino Linotype" w:hAnsi="Palatino Linotype" w:cs="Palatino Linotype"/>
                <w:color w:val="000000"/>
              </w:rPr>
              <w:t xml:space="preserve">d) Requisitos de fondo del acuerdo de clasificación. </w:t>
            </w:r>
          </w:p>
        </w:tc>
        <w:tc>
          <w:tcPr>
            <w:tcW w:w="6662" w:type="dxa"/>
          </w:tcPr>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36261">
              <w:rPr>
                <w:rFonts w:ascii="Palatino Linotype" w:eastAsia="Palatino Linotype" w:hAnsi="Palatino Linotype" w:cs="Palatino Linotype"/>
                <w:b/>
                <w:color w:val="000000"/>
              </w:rPr>
              <w:t>Sujetos Obligados</w:t>
            </w:r>
            <w:r w:rsidRPr="00C36261">
              <w:rPr>
                <w:rFonts w:ascii="Palatino Linotype" w:eastAsia="Palatino Linotype" w:hAnsi="Palatino Linotype" w:cs="Palatino Linotype"/>
                <w:color w:val="000000"/>
              </w:rPr>
              <w:t xml:space="preserve">, por lo que deberán fundar y motivar debidamente la clasificación. </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De lo anterior, se desprende que para una correcta </w:t>
            </w:r>
            <w:r w:rsidRPr="00C36261">
              <w:rPr>
                <w:rFonts w:ascii="Palatino Linotype" w:eastAsia="Palatino Linotype" w:hAnsi="Palatino Linotype" w:cs="Palatino Linotype"/>
                <w:b/>
                <w:color w:val="000000"/>
              </w:rPr>
              <w:t>clasificación total o parcial</w:t>
            </w:r>
            <w:r w:rsidRPr="00C36261">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w:t>
            </w:r>
            <w:r w:rsidRPr="00C36261">
              <w:rPr>
                <w:rFonts w:ascii="Palatino Linotype" w:eastAsia="Palatino Linotype" w:hAnsi="Palatino Linotype" w:cs="Palatino Linotype"/>
                <w:color w:val="000000"/>
              </w:rPr>
              <w:lastRenderedPageBreak/>
              <w:t>autoridad para adecuar el hecho a los fundamentos de derecho. De este modo, la persona que se sienta afectada pueda impugnar la decisión, permitiéndole una real y auténtica defensa.</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Ahora bien, </w:t>
            </w:r>
            <w:r w:rsidRPr="00C36261">
              <w:rPr>
                <w:rFonts w:ascii="Palatino Linotype" w:eastAsia="Palatino Linotype" w:hAnsi="Palatino Linotype" w:cs="Palatino Linotype"/>
                <w:b/>
                <w:color w:val="000000"/>
                <w:u w:val="single"/>
              </w:rPr>
              <w:t>para cada caso además de fundar y motivar</w:t>
            </w:r>
            <w:r w:rsidRPr="00C36261">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p>
        </w:tc>
      </w:tr>
      <w:tr w:rsidR="00CB0047" w:rsidRPr="00C36261" w:rsidTr="00BB24E0">
        <w:tc>
          <w:tcPr>
            <w:tcW w:w="2972" w:type="dxa"/>
          </w:tcPr>
          <w:p w:rsidR="00CB0047" w:rsidRPr="00C36261" w:rsidRDefault="00CB0047" w:rsidP="009D6D73">
            <w:pPr>
              <w:tabs>
                <w:tab w:val="left" w:pos="284"/>
              </w:tabs>
              <w:ind w:right="49"/>
              <w:jc w:val="both"/>
              <w:rPr>
                <w:rFonts w:ascii="Palatino Linotype" w:eastAsia="Palatino Linotype" w:hAnsi="Palatino Linotype" w:cs="Palatino Linotype"/>
              </w:rPr>
            </w:pPr>
            <w:r w:rsidRPr="00C36261">
              <w:rPr>
                <w:rFonts w:ascii="Palatino Linotype" w:eastAsia="Palatino Linotype" w:hAnsi="Palatino Linotype" w:cs="Palatino Linotype"/>
              </w:rPr>
              <w:lastRenderedPageBreak/>
              <w:t xml:space="preserve">e) Condiciones especiales de la clasificación de la información como confidencial. </w:t>
            </w:r>
          </w:p>
        </w:tc>
        <w:tc>
          <w:tcPr>
            <w:tcW w:w="6662" w:type="dxa"/>
          </w:tcPr>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CB0047" w:rsidRPr="00C36261" w:rsidRDefault="00CB0047" w:rsidP="009D6D73">
            <w:pPr>
              <w:tabs>
                <w:tab w:val="left" w:pos="284"/>
              </w:tabs>
              <w:ind w:right="49"/>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B0047" w:rsidRPr="00C36261" w:rsidRDefault="00CB0047" w:rsidP="009D6D73">
            <w:pPr>
              <w:tabs>
                <w:tab w:val="left" w:pos="284"/>
              </w:tabs>
              <w:ind w:right="49"/>
              <w:rPr>
                <w:rFonts w:ascii="Palatino Linotype" w:eastAsia="Palatino Linotype" w:hAnsi="Palatino Linotype" w:cs="Palatino Linotype"/>
                <w:color w:val="000000"/>
              </w:rPr>
            </w:pPr>
            <w:r w:rsidRPr="00C36261">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CB0047" w:rsidRPr="00C36261" w:rsidRDefault="00CB0047" w:rsidP="009D6D73">
            <w:pPr>
              <w:tabs>
                <w:tab w:val="left" w:pos="284"/>
              </w:tabs>
              <w:ind w:right="49"/>
              <w:rPr>
                <w:rFonts w:ascii="Palatino Linotype" w:eastAsia="Palatino Linotype" w:hAnsi="Palatino Linotype" w:cs="Palatino Linotype"/>
              </w:rPr>
            </w:pPr>
          </w:p>
        </w:tc>
      </w:tr>
    </w:tbl>
    <w:p w:rsidR="00CB0047" w:rsidRPr="00C36261" w:rsidRDefault="00CB0047" w:rsidP="009D6D73">
      <w:pPr>
        <w:numPr>
          <w:ilvl w:val="0"/>
          <w:numId w:val="1"/>
        </w:numPr>
        <w:spacing w:line="360" w:lineRule="auto"/>
        <w:ind w:left="0" w:right="49" w:firstLine="0"/>
        <w:jc w:val="both"/>
        <w:rPr>
          <w:rFonts w:ascii="Palatino Linotype" w:eastAsia="Palatino Linotype" w:hAnsi="Palatino Linotype" w:cs="Palatino Linotype"/>
          <w:color w:val="000000"/>
        </w:rPr>
      </w:pPr>
      <w:r w:rsidRPr="00C36261">
        <w:rPr>
          <w:rFonts w:ascii="Palatino Linotype" w:eastAsia="Palatino Linotype" w:hAnsi="Palatino Linotype" w:cs="Palatino Linotype"/>
        </w:rPr>
        <w:lastRenderedPageBreak/>
        <w:t xml:space="preserve">Si el </w:t>
      </w:r>
      <w:r w:rsidRPr="00C36261">
        <w:rPr>
          <w:rFonts w:ascii="Palatino Linotype" w:eastAsia="Palatino Linotype" w:hAnsi="Palatino Linotype" w:cs="Palatino Linotype"/>
          <w:color w:val="000000"/>
        </w:rPr>
        <w:t>servidor</w:t>
      </w:r>
      <w:r w:rsidRPr="00C36261">
        <w:rPr>
          <w:rFonts w:ascii="Palatino Linotype" w:eastAsia="Palatino Linotype" w:hAnsi="Palatino Linotype" w:cs="Palatino Linotype"/>
        </w:rPr>
        <w:t xml:space="preserve"> público incumple con estas formalidades y entrega la información </w:t>
      </w:r>
      <w:r w:rsidRPr="00C36261">
        <w:rPr>
          <w:rFonts w:ascii="Palatino Linotype" w:eastAsia="Palatino Linotype" w:hAnsi="Palatino Linotype" w:cs="Palatino Linotype"/>
          <w:color w:val="000000"/>
        </w:rPr>
        <w:t>sin</w:t>
      </w:r>
      <w:r w:rsidRPr="00C36261">
        <w:rPr>
          <w:rFonts w:ascii="Palatino Linotype" w:eastAsia="Palatino Linotype" w:hAnsi="Palatino Linotype" w:cs="Palatino Linotype"/>
        </w:rPr>
        <w:t xml:space="preserve"> proteger los datos personales incumple con lo que estipula las </w:t>
      </w:r>
      <w:r w:rsidRPr="00C36261">
        <w:rPr>
          <w:rFonts w:ascii="Palatino Linotype" w:eastAsia="Palatino Linotype" w:hAnsi="Palatino Linotype" w:cs="Palatino Linotype"/>
          <w:color w:val="000000"/>
        </w:rPr>
        <w:t>disposiciones</w:t>
      </w:r>
      <w:r w:rsidRPr="00C36261">
        <w:rPr>
          <w:rFonts w:ascii="Palatino Linotype" w:eastAsia="Palatino Linotype" w:hAnsi="Palatino Linotype" w:cs="Palatino Linotype"/>
        </w:rPr>
        <w:t xml:space="preserve"> legales </w:t>
      </w:r>
      <w:r w:rsidRPr="00C36261">
        <w:rPr>
          <w:rFonts w:ascii="Palatino Linotype" w:eastAsia="Palatino Linotype" w:hAnsi="Palatino Linotype" w:cs="Palatino Linotype"/>
          <w:color w:val="000000"/>
        </w:rPr>
        <w:t>establecidas</w:t>
      </w:r>
      <w:r w:rsidRPr="00C36261">
        <w:rPr>
          <w:rFonts w:ascii="Palatino Linotype" w:eastAsia="Palatino Linotype" w:hAnsi="Palatino Linotype" w:cs="Palatino Linotype"/>
        </w:rPr>
        <w:t>, asimismo que si entrega un documento testado sin el debido acuerdo de clasificación.</w:t>
      </w:r>
    </w:p>
    <w:p w:rsidR="00E15CF3" w:rsidRPr="00C36261" w:rsidRDefault="00E15CF3" w:rsidP="009D6D73">
      <w:pPr>
        <w:spacing w:line="360" w:lineRule="auto"/>
        <w:ind w:right="49"/>
        <w:jc w:val="both"/>
        <w:rPr>
          <w:rFonts w:ascii="Palatino Linotype" w:eastAsia="Palatino Linotype" w:hAnsi="Palatino Linotype" w:cs="Palatino Linotype"/>
          <w:color w:val="000000"/>
        </w:rPr>
      </w:pPr>
    </w:p>
    <w:p w:rsidR="00DC2BB2" w:rsidRPr="00C36261" w:rsidRDefault="00DC2BB2" w:rsidP="009D6D73">
      <w:pPr>
        <w:numPr>
          <w:ilvl w:val="0"/>
          <w:numId w:val="1"/>
        </w:numPr>
        <w:spacing w:line="360" w:lineRule="auto"/>
        <w:ind w:left="0" w:right="49" w:firstLine="0"/>
        <w:jc w:val="both"/>
        <w:rPr>
          <w:rFonts w:ascii="Palatino Linotype" w:hAnsi="Palatino Linotype"/>
        </w:rPr>
      </w:pPr>
      <w:r w:rsidRPr="00C36261">
        <w:rPr>
          <w:rFonts w:ascii="Palatino Linotype" w:eastAsia="Palatino Linotype" w:hAnsi="Palatino Linotype" w:cs="Palatino Linotype"/>
        </w:rPr>
        <w:t xml:space="preserve">Por lo anteriormente expuesto y fundado, este </w:t>
      </w:r>
      <w:r w:rsidRPr="00C36261">
        <w:rPr>
          <w:rFonts w:ascii="Palatino Linotype" w:eastAsia="Palatino Linotype" w:hAnsi="Palatino Linotype" w:cs="Palatino Linotype"/>
          <w:b/>
        </w:rPr>
        <w:t>ÓRGANO GARANTE</w:t>
      </w:r>
      <w:r w:rsidRPr="00C36261">
        <w:rPr>
          <w:rFonts w:ascii="Palatino Linotype" w:eastAsia="Palatino Linotype" w:hAnsi="Palatino Linotype" w:cs="Palatino Linotype"/>
        </w:rPr>
        <w:t xml:space="preserve"> emite los siguientes: </w:t>
      </w:r>
    </w:p>
    <w:p w:rsidR="00DC2BB2" w:rsidRPr="00C36261" w:rsidRDefault="00DC2BB2" w:rsidP="009D6D73">
      <w:pPr>
        <w:spacing w:line="360" w:lineRule="auto"/>
        <w:ind w:right="49"/>
        <w:rPr>
          <w:rFonts w:ascii="Palatino Linotype" w:eastAsia="Palatino Linotype" w:hAnsi="Palatino Linotype" w:cs="Palatino Linotype"/>
        </w:rPr>
      </w:pPr>
    </w:p>
    <w:p w:rsidR="00B84DF1" w:rsidRPr="00C36261" w:rsidRDefault="009D3673" w:rsidP="009D6D73">
      <w:pPr>
        <w:pStyle w:val="Ttulo1"/>
        <w:spacing w:before="0" w:line="360" w:lineRule="auto"/>
        <w:ind w:right="49"/>
        <w:jc w:val="center"/>
        <w:rPr>
          <w:rFonts w:ascii="Palatino Linotype" w:eastAsia="Palatino Linotype" w:hAnsi="Palatino Linotype" w:cs="Palatino Linotype"/>
          <w:b/>
          <w:color w:val="000000"/>
          <w:sz w:val="24"/>
          <w:szCs w:val="24"/>
        </w:rPr>
      </w:pPr>
      <w:bookmarkStart w:id="7" w:name="_heading=h.4d34og8" w:colFirst="0" w:colLast="0"/>
      <w:bookmarkEnd w:id="7"/>
      <w:r w:rsidRPr="00C36261">
        <w:rPr>
          <w:rFonts w:ascii="Palatino Linotype" w:eastAsia="Palatino Linotype" w:hAnsi="Palatino Linotype" w:cs="Palatino Linotype"/>
          <w:b/>
          <w:color w:val="000000"/>
          <w:sz w:val="24"/>
          <w:szCs w:val="24"/>
        </w:rPr>
        <w:t>R E S O L U T I V O S</w:t>
      </w:r>
    </w:p>
    <w:p w:rsidR="00B84DF1" w:rsidRPr="00C36261" w:rsidRDefault="00B84DF1" w:rsidP="009D6D73">
      <w:pPr>
        <w:spacing w:line="360" w:lineRule="auto"/>
        <w:ind w:right="49"/>
        <w:rPr>
          <w:rFonts w:ascii="Palatino Linotype" w:eastAsia="Palatino Linotype" w:hAnsi="Palatino Linotype" w:cs="Palatino Linotype"/>
        </w:rPr>
      </w:pPr>
    </w:p>
    <w:p w:rsidR="00194544" w:rsidRPr="00C36261" w:rsidRDefault="00194544" w:rsidP="009D6D73">
      <w:pPr>
        <w:spacing w:line="360" w:lineRule="auto"/>
        <w:ind w:right="49"/>
        <w:jc w:val="both"/>
        <w:rPr>
          <w:rFonts w:ascii="Palatino Linotype" w:eastAsia="Palatino Linotype" w:hAnsi="Palatino Linotype" w:cs="Palatino Linotype"/>
        </w:rPr>
      </w:pPr>
      <w:bookmarkStart w:id="8" w:name="_heading=h.1t3h5sf" w:colFirst="0" w:colLast="0"/>
      <w:bookmarkEnd w:id="8"/>
      <w:r w:rsidRPr="00C36261">
        <w:rPr>
          <w:rFonts w:ascii="Palatino Linotype" w:eastAsia="Palatino Linotype" w:hAnsi="Palatino Linotype" w:cs="Palatino Linotype"/>
          <w:b/>
        </w:rPr>
        <w:t>PRIMERO</w:t>
      </w:r>
      <w:r w:rsidRPr="00C36261">
        <w:rPr>
          <w:rFonts w:ascii="Palatino Linotype" w:eastAsia="Palatino Linotype" w:hAnsi="Palatino Linotype" w:cs="Palatino Linotype"/>
        </w:rPr>
        <w:t>. Resultan fundadas las</w:t>
      </w:r>
      <w:r w:rsidRPr="00C36261">
        <w:rPr>
          <w:rFonts w:ascii="Palatino Linotype" w:eastAsia="Palatino Linotype" w:hAnsi="Palatino Linotype" w:cs="Palatino Linotype"/>
          <w:b/>
        </w:rPr>
        <w:t xml:space="preserve"> </w:t>
      </w:r>
      <w:r w:rsidRPr="00C36261">
        <w:rPr>
          <w:rFonts w:ascii="Palatino Linotype" w:eastAsia="Palatino Linotype" w:hAnsi="Palatino Linotype" w:cs="Palatino Linotype"/>
        </w:rPr>
        <w:t xml:space="preserve">razones o motivos de inconformidad hechos valer en el Recurso de Revisión </w:t>
      </w:r>
      <w:r w:rsidR="00CB1566" w:rsidRPr="00C36261">
        <w:rPr>
          <w:rFonts w:ascii="Palatino Linotype" w:eastAsia="Palatino Linotype" w:hAnsi="Palatino Linotype" w:cs="Palatino Linotype"/>
          <w:b/>
        </w:rPr>
        <w:t>02234/INFOEM/IP/RR/2025</w:t>
      </w:r>
      <w:r w:rsidRPr="00C36261">
        <w:rPr>
          <w:rFonts w:ascii="Palatino Linotype" w:eastAsia="Palatino Linotype" w:hAnsi="Palatino Linotype" w:cs="Palatino Linotype"/>
          <w:b/>
        </w:rPr>
        <w:t xml:space="preserve">, </w:t>
      </w:r>
      <w:r w:rsidRPr="00C36261">
        <w:rPr>
          <w:rFonts w:ascii="Palatino Linotype" w:eastAsia="Palatino Linotype" w:hAnsi="Palatino Linotype" w:cs="Palatino Linotype"/>
        </w:rPr>
        <w:t>en términos de</w:t>
      </w:r>
      <w:r w:rsidR="00F22B2F"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rPr>
        <w:t>l</w:t>
      </w:r>
      <w:r w:rsidR="00F22B2F" w:rsidRPr="00C36261">
        <w:rPr>
          <w:rFonts w:ascii="Palatino Linotype" w:eastAsia="Palatino Linotype" w:hAnsi="Palatino Linotype" w:cs="Palatino Linotype"/>
        </w:rPr>
        <w:t>os</w:t>
      </w:r>
      <w:r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b/>
        </w:rPr>
        <w:t>Considerando</w:t>
      </w:r>
      <w:r w:rsidR="00F22B2F" w:rsidRPr="00C36261">
        <w:rPr>
          <w:rFonts w:ascii="Palatino Linotype" w:eastAsia="Palatino Linotype" w:hAnsi="Palatino Linotype" w:cs="Palatino Linotype"/>
          <w:b/>
        </w:rPr>
        <w:t>s</w:t>
      </w:r>
      <w:r w:rsidRPr="00C36261">
        <w:rPr>
          <w:rFonts w:ascii="Palatino Linotype" w:eastAsia="Palatino Linotype" w:hAnsi="Palatino Linotype" w:cs="Palatino Linotype"/>
        </w:rPr>
        <w:t xml:space="preserve"> </w:t>
      </w:r>
      <w:r w:rsidRPr="00C36261">
        <w:rPr>
          <w:rFonts w:ascii="Palatino Linotype" w:eastAsia="Palatino Linotype" w:hAnsi="Palatino Linotype" w:cs="Palatino Linotype"/>
          <w:b/>
        </w:rPr>
        <w:t xml:space="preserve">CUARTO </w:t>
      </w:r>
      <w:r w:rsidR="00F22B2F" w:rsidRPr="00C36261">
        <w:rPr>
          <w:rFonts w:ascii="Palatino Linotype" w:eastAsia="Palatino Linotype" w:hAnsi="Palatino Linotype" w:cs="Palatino Linotype"/>
          <w:b/>
        </w:rPr>
        <w:t xml:space="preserve">y QUINTO </w:t>
      </w:r>
      <w:r w:rsidRPr="00C36261">
        <w:rPr>
          <w:rFonts w:ascii="Palatino Linotype" w:eastAsia="Palatino Linotype" w:hAnsi="Palatino Linotype" w:cs="Palatino Linotype"/>
        </w:rPr>
        <w:t>de la presente Resolución.</w:t>
      </w:r>
    </w:p>
    <w:p w:rsidR="00194544" w:rsidRPr="00C36261" w:rsidRDefault="00194544" w:rsidP="009D6D73">
      <w:pPr>
        <w:spacing w:line="360" w:lineRule="auto"/>
        <w:ind w:right="49"/>
        <w:jc w:val="both"/>
        <w:rPr>
          <w:rFonts w:ascii="Palatino Linotype" w:eastAsia="Palatino Linotype" w:hAnsi="Palatino Linotype" w:cs="Palatino Linotype"/>
        </w:rPr>
      </w:pPr>
    </w:p>
    <w:p w:rsidR="00194544" w:rsidRPr="00C36261" w:rsidRDefault="00194544" w:rsidP="009D6D73">
      <w:pPr>
        <w:spacing w:line="360" w:lineRule="auto"/>
        <w:ind w:right="49"/>
        <w:jc w:val="both"/>
        <w:rPr>
          <w:rFonts w:ascii="Palatino Linotype" w:hAnsi="Palatino Linotype" w:cs="Arial"/>
        </w:rPr>
      </w:pPr>
      <w:r w:rsidRPr="00C36261">
        <w:rPr>
          <w:rFonts w:ascii="Palatino Linotype" w:eastAsia="Times New Roman" w:hAnsi="Palatino Linotype" w:cs="Times New Roman"/>
          <w:b/>
        </w:rPr>
        <w:t xml:space="preserve">SEGUNDO. </w:t>
      </w:r>
      <w:r w:rsidRPr="00C36261">
        <w:rPr>
          <w:rFonts w:ascii="Palatino Linotype" w:eastAsia="MS Mincho" w:hAnsi="Palatino Linotype" w:cs="Times New Roman"/>
          <w:color w:val="000000" w:themeColor="text1"/>
        </w:rPr>
        <w:t xml:space="preserve">Se </w:t>
      </w:r>
      <w:r w:rsidR="00456AC6" w:rsidRPr="00C36261">
        <w:rPr>
          <w:rFonts w:ascii="Palatino Linotype" w:eastAsia="MS Mincho" w:hAnsi="Palatino Linotype" w:cs="Times New Roman"/>
          <w:b/>
          <w:color w:val="000000" w:themeColor="text1"/>
        </w:rPr>
        <w:t>REVOCA</w:t>
      </w:r>
      <w:r w:rsidRPr="00C36261">
        <w:rPr>
          <w:rFonts w:ascii="Palatino Linotype" w:eastAsia="MS Mincho" w:hAnsi="Palatino Linotype" w:cs="Times New Roman"/>
          <w:b/>
          <w:color w:val="000000" w:themeColor="text1"/>
        </w:rPr>
        <w:t xml:space="preserve"> </w:t>
      </w:r>
      <w:r w:rsidRPr="00C36261">
        <w:rPr>
          <w:rFonts w:ascii="Palatino Linotype" w:eastAsia="MS Mincho" w:hAnsi="Palatino Linotype" w:cs="Times New Roman"/>
          <w:color w:val="000000" w:themeColor="text1"/>
        </w:rPr>
        <w:t xml:space="preserve">la respuesta emitida por el </w:t>
      </w:r>
      <w:r w:rsidR="00CB1566" w:rsidRPr="00C36261">
        <w:rPr>
          <w:rFonts w:ascii="Palatino Linotype" w:hAnsi="Palatino Linotype"/>
          <w:b/>
          <w:bCs/>
          <w:color w:val="000000"/>
        </w:rPr>
        <w:t>Ayuntamiento de Naucalpan de Juárez</w:t>
      </w:r>
      <w:r w:rsidRPr="00C36261">
        <w:rPr>
          <w:rFonts w:ascii="Palatino Linotype" w:eastAsia="MS Mincho" w:hAnsi="Palatino Linotype" w:cs="Times New Roman"/>
          <w:b/>
          <w:color w:val="000000" w:themeColor="text1"/>
        </w:rPr>
        <w:t xml:space="preserve"> </w:t>
      </w:r>
      <w:r w:rsidRPr="00C36261">
        <w:rPr>
          <w:rFonts w:ascii="Palatino Linotype" w:eastAsia="MS Mincho" w:hAnsi="Palatino Linotype" w:cs="Times New Roman"/>
          <w:color w:val="000000" w:themeColor="text1"/>
        </w:rPr>
        <w:t xml:space="preserve">y se </w:t>
      </w:r>
      <w:r w:rsidRPr="00C36261">
        <w:rPr>
          <w:rFonts w:ascii="Palatino Linotype" w:eastAsia="MS Mincho" w:hAnsi="Palatino Linotype" w:cs="Times New Roman"/>
          <w:b/>
          <w:color w:val="000000" w:themeColor="text1"/>
        </w:rPr>
        <w:t>ORDENA</w:t>
      </w:r>
      <w:r w:rsidRPr="00C36261">
        <w:rPr>
          <w:rFonts w:ascii="Palatino Linotype" w:eastAsia="MS Mincho" w:hAnsi="Palatino Linotype" w:cs="Times New Roman"/>
          <w:color w:val="000000" w:themeColor="text1"/>
        </w:rPr>
        <w:t xml:space="preserve"> </w:t>
      </w:r>
      <w:bookmarkStart w:id="9" w:name="_Toc503891610"/>
      <w:bookmarkStart w:id="10" w:name="_Toc453696503"/>
      <w:bookmarkStart w:id="11" w:name="_Toc454301156"/>
      <w:bookmarkStart w:id="12" w:name="_Toc462653938"/>
      <w:bookmarkStart w:id="13" w:name="_Toc477891769"/>
      <w:bookmarkStart w:id="14" w:name="_Toc477891859"/>
      <w:bookmarkStart w:id="15" w:name="_Toc481576260"/>
      <w:bookmarkStart w:id="16" w:name="_Toc492590392"/>
      <w:r w:rsidRPr="00C36261">
        <w:rPr>
          <w:rFonts w:ascii="Palatino Linotype" w:eastAsia="MS Mincho" w:hAnsi="Palatino Linotype" w:cs="Times New Roman"/>
          <w:color w:val="000000" w:themeColor="text1"/>
        </w:rPr>
        <w:t>entregar vía Sistema de Acceso a la Información Mexi</w:t>
      </w:r>
      <w:r w:rsidR="00456AC6" w:rsidRPr="00C36261">
        <w:rPr>
          <w:rFonts w:ascii="Palatino Linotype" w:eastAsia="MS Mincho" w:hAnsi="Palatino Linotype" w:cs="Times New Roman"/>
          <w:color w:val="000000" w:themeColor="text1"/>
        </w:rPr>
        <w:t xml:space="preserve">quense (SAIMEX), </w:t>
      </w:r>
      <w:r w:rsidR="00F22B2F" w:rsidRPr="00C36261">
        <w:rPr>
          <w:rFonts w:ascii="Palatino Linotype" w:eastAsia="MS Mincho" w:hAnsi="Palatino Linotype" w:cs="Times New Roman"/>
          <w:color w:val="000000" w:themeColor="text1"/>
        </w:rPr>
        <w:t xml:space="preserve">en versión </w:t>
      </w:r>
      <w:r w:rsidR="003E335E" w:rsidRPr="00C36261">
        <w:rPr>
          <w:rFonts w:ascii="Palatino Linotype" w:eastAsia="MS Mincho" w:hAnsi="Palatino Linotype" w:cs="Times New Roman"/>
          <w:color w:val="000000" w:themeColor="text1"/>
        </w:rPr>
        <w:t>pública</w:t>
      </w:r>
      <w:r w:rsidR="00F22B2F" w:rsidRPr="00C36261">
        <w:rPr>
          <w:rFonts w:ascii="Palatino Linotype" w:eastAsia="MS Mincho" w:hAnsi="Palatino Linotype" w:cs="Times New Roman"/>
          <w:color w:val="000000" w:themeColor="text1"/>
        </w:rPr>
        <w:t>,</w:t>
      </w:r>
      <w:r w:rsidR="00B5309F" w:rsidRPr="00C36261">
        <w:rPr>
          <w:rFonts w:ascii="Palatino Linotype" w:eastAsia="MS Mincho" w:hAnsi="Palatino Linotype" w:cs="Times New Roman"/>
          <w:color w:val="000000" w:themeColor="text1"/>
        </w:rPr>
        <w:t xml:space="preserve"> </w:t>
      </w:r>
      <w:r w:rsidRPr="00C36261">
        <w:rPr>
          <w:rFonts w:ascii="Palatino Linotype" w:eastAsia="MS Mincho" w:hAnsi="Palatino Linotype" w:cs="Times New Roman"/>
          <w:color w:val="000000" w:themeColor="text1"/>
        </w:rPr>
        <w:t>la siguiente información</w:t>
      </w:r>
      <w:r w:rsidRPr="00C36261">
        <w:rPr>
          <w:rFonts w:ascii="Palatino Linotype" w:hAnsi="Palatino Linotype" w:cs="Arial"/>
        </w:rPr>
        <w:t>:</w:t>
      </w:r>
    </w:p>
    <w:p w:rsidR="00194544" w:rsidRPr="00C36261" w:rsidRDefault="00194544" w:rsidP="009D6D73">
      <w:pPr>
        <w:pStyle w:val="Prrafodelista"/>
        <w:tabs>
          <w:tab w:val="left" w:pos="8080"/>
        </w:tabs>
        <w:spacing w:line="360" w:lineRule="auto"/>
        <w:ind w:left="0" w:right="49"/>
        <w:jc w:val="both"/>
        <w:rPr>
          <w:rFonts w:ascii="Palatino Linotype" w:hAnsi="Palatino Linotype" w:cs="Arial"/>
          <w:i/>
          <w:color w:val="000000" w:themeColor="text1"/>
        </w:rPr>
      </w:pPr>
    </w:p>
    <w:p w:rsidR="00B5309F" w:rsidRPr="00C36261" w:rsidRDefault="00024AFB" w:rsidP="00804997">
      <w:pPr>
        <w:numPr>
          <w:ilvl w:val="0"/>
          <w:numId w:val="24"/>
        </w:numPr>
        <w:pBdr>
          <w:top w:val="nil"/>
          <w:left w:val="nil"/>
          <w:bottom w:val="nil"/>
          <w:right w:val="nil"/>
          <w:between w:val="nil"/>
        </w:pBdr>
        <w:spacing w:line="360" w:lineRule="auto"/>
        <w:ind w:left="851" w:right="49" w:hanging="425"/>
        <w:jc w:val="both"/>
        <w:rPr>
          <w:rFonts w:ascii="Palatino Linotype" w:eastAsia="Calibri" w:hAnsi="Palatino Linotype" w:cs="Arial"/>
          <w:b/>
        </w:rPr>
      </w:pPr>
      <w:r w:rsidRPr="00C36261">
        <w:rPr>
          <w:rFonts w:ascii="Palatino Linotype" w:eastAsia="Calibri" w:hAnsi="Palatino Linotype" w:cs="Arial"/>
          <w:b/>
        </w:rPr>
        <w:t>Convenios y conciliaciones realizadas por el Juez Cívico; del 1 de enero de dos 2022 al 24 de enero de 2025</w:t>
      </w:r>
      <w:r w:rsidR="00B5309F" w:rsidRPr="00C36261">
        <w:rPr>
          <w:rFonts w:ascii="Palatino Linotype" w:eastAsia="Palatino Linotype" w:hAnsi="Palatino Linotype" w:cs="Palatino Linotype"/>
          <w:b/>
          <w:color w:val="000000"/>
        </w:rPr>
        <w:t>;</w:t>
      </w:r>
      <w:r w:rsidR="005572C9" w:rsidRPr="00C36261">
        <w:rPr>
          <w:rFonts w:ascii="Palatino Linotype" w:eastAsia="Palatino Linotype" w:hAnsi="Palatino Linotype" w:cs="Palatino Linotype"/>
          <w:b/>
          <w:color w:val="000000"/>
        </w:rPr>
        <w:t xml:space="preserve"> </w:t>
      </w:r>
    </w:p>
    <w:p w:rsidR="00B5309F" w:rsidRPr="00C36261" w:rsidRDefault="00B5309F" w:rsidP="009D6D73">
      <w:pPr>
        <w:tabs>
          <w:tab w:val="left" w:pos="8080"/>
        </w:tabs>
        <w:spacing w:line="360" w:lineRule="auto"/>
        <w:ind w:right="49"/>
        <w:jc w:val="both"/>
        <w:rPr>
          <w:rFonts w:ascii="Palatino Linotype" w:eastAsia="Palatino Linotype" w:hAnsi="Palatino Linotype" w:cs="Palatino Linotype"/>
          <w:b/>
          <w:color w:val="000000"/>
        </w:rPr>
      </w:pPr>
    </w:p>
    <w:p w:rsidR="005572C9" w:rsidRPr="00BB24E0" w:rsidRDefault="005572C9" w:rsidP="00BB24E0">
      <w:pPr>
        <w:pStyle w:val="Prrafodelista"/>
        <w:numPr>
          <w:ilvl w:val="0"/>
          <w:numId w:val="24"/>
        </w:numPr>
        <w:tabs>
          <w:tab w:val="left" w:pos="8080"/>
        </w:tabs>
        <w:spacing w:line="360" w:lineRule="auto"/>
        <w:ind w:right="49"/>
        <w:jc w:val="both"/>
        <w:rPr>
          <w:rFonts w:ascii="Palatino Linotype" w:eastAsia="Times New Roman" w:hAnsi="Palatino Linotype" w:cs="Times New Roman"/>
          <w:b/>
          <w:lang w:val="es-MX"/>
        </w:rPr>
      </w:pPr>
      <w:r w:rsidRPr="00BB24E0">
        <w:rPr>
          <w:rFonts w:ascii="Palatino Linotype" w:eastAsia="Palatino Linotype" w:hAnsi="Palatino Linotype" w:cs="Palatino Linotype"/>
          <w:b/>
          <w:color w:val="000000"/>
        </w:rPr>
        <w:t>Expedientes concluidos</w:t>
      </w:r>
      <w:r w:rsidR="00666BED" w:rsidRPr="00BB24E0">
        <w:rPr>
          <w:rFonts w:ascii="Palatino Linotype" w:eastAsia="Palatino Linotype" w:hAnsi="Palatino Linotype" w:cs="Palatino Linotype"/>
          <w:b/>
          <w:color w:val="000000"/>
        </w:rPr>
        <w:t>,</w:t>
      </w:r>
      <w:r w:rsidRPr="00BB24E0">
        <w:rPr>
          <w:rFonts w:ascii="Palatino Linotype" w:eastAsia="Palatino Linotype" w:hAnsi="Palatino Linotype" w:cs="Palatino Linotype"/>
          <w:b/>
          <w:color w:val="000000"/>
        </w:rPr>
        <w:t xml:space="preserve"> </w:t>
      </w:r>
      <w:r w:rsidR="00666BED" w:rsidRPr="00BB24E0">
        <w:rPr>
          <w:rFonts w:ascii="Palatino Linotype" w:eastAsia="Palatino Linotype" w:hAnsi="Palatino Linotype" w:cs="Palatino Linotype"/>
          <w:b/>
          <w:color w:val="000000"/>
        </w:rPr>
        <w:t xml:space="preserve">sustanciados </w:t>
      </w:r>
      <w:r w:rsidRPr="00BB24E0">
        <w:rPr>
          <w:rFonts w:ascii="Palatino Linotype" w:eastAsia="Palatino Linotype" w:hAnsi="Palatino Linotype" w:cs="Palatino Linotype"/>
          <w:b/>
          <w:color w:val="000000"/>
        </w:rPr>
        <w:t>por el Juez Cívico, del 1 de enero de 2022 al 24 de enero de 2025; y</w:t>
      </w:r>
    </w:p>
    <w:p w:rsidR="005572C9" w:rsidRPr="00C36261" w:rsidRDefault="005572C9" w:rsidP="009D6D73">
      <w:pPr>
        <w:pStyle w:val="Prrafodelista"/>
        <w:ind w:left="0" w:right="49"/>
        <w:rPr>
          <w:rFonts w:ascii="Palatino Linotype" w:eastAsia="Palatino Linotype" w:hAnsi="Palatino Linotype" w:cs="Palatino Linotype"/>
          <w:b/>
          <w:color w:val="000000"/>
        </w:rPr>
      </w:pPr>
    </w:p>
    <w:p w:rsidR="00472A9C" w:rsidRPr="00C36261" w:rsidRDefault="00D36D2B" w:rsidP="00BB24E0">
      <w:pPr>
        <w:pStyle w:val="Prrafodelista"/>
        <w:numPr>
          <w:ilvl w:val="0"/>
          <w:numId w:val="24"/>
        </w:numPr>
        <w:tabs>
          <w:tab w:val="left" w:pos="8080"/>
        </w:tabs>
        <w:spacing w:line="360" w:lineRule="auto"/>
        <w:ind w:right="49"/>
        <w:jc w:val="both"/>
        <w:rPr>
          <w:rFonts w:ascii="Palatino Linotype" w:eastAsia="Times New Roman" w:hAnsi="Palatino Linotype" w:cs="Times New Roman"/>
          <w:b/>
          <w:lang w:val="es-MX"/>
        </w:rPr>
      </w:pPr>
      <w:r w:rsidRPr="00C36261">
        <w:rPr>
          <w:rFonts w:ascii="Palatino Linotype" w:eastAsia="Palatino Linotype" w:hAnsi="Palatino Linotype" w:cs="Palatino Linotype"/>
          <w:b/>
          <w:color w:val="000000"/>
        </w:rPr>
        <w:lastRenderedPageBreak/>
        <w:t xml:space="preserve">El acuerdo de clasificación emitido por el Comité de Transparencia, en donde de manera fundada y motivada, </w:t>
      </w:r>
      <w:r w:rsidR="00024AFB" w:rsidRPr="00C36261">
        <w:rPr>
          <w:rFonts w:ascii="Palatino Linotype" w:eastAsia="Palatino Linotype" w:hAnsi="Palatino Linotype" w:cs="Palatino Linotype"/>
          <w:b/>
          <w:color w:val="000000"/>
        </w:rPr>
        <w:t xml:space="preserve">se </w:t>
      </w:r>
      <w:r w:rsidRPr="00C36261">
        <w:rPr>
          <w:rFonts w:ascii="Palatino Linotype" w:eastAsia="Palatino Linotype" w:hAnsi="Palatino Linotype" w:cs="Palatino Linotype"/>
          <w:b/>
          <w:color w:val="000000"/>
        </w:rPr>
        <w:t>declare</w:t>
      </w:r>
      <w:r w:rsidR="00024AFB" w:rsidRPr="00C36261">
        <w:rPr>
          <w:rFonts w:ascii="Palatino Linotype" w:eastAsia="Palatino Linotype" w:hAnsi="Palatino Linotype" w:cs="Palatino Linotype"/>
          <w:b/>
          <w:color w:val="000000"/>
        </w:rPr>
        <w:t>n</w:t>
      </w:r>
      <w:r w:rsidRPr="00C36261">
        <w:rPr>
          <w:rFonts w:ascii="Palatino Linotype" w:eastAsia="Palatino Linotype" w:hAnsi="Palatino Linotype" w:cs="Palatino Linotype"/>
          <w:b/>
          <w:color w:val="000000"/>
        </w:rPr>
        <w:t xml:space="preserve"> como reservados los expedientes sustanciados no concluidos por el Juez Cívico, del 1 de enero de 2022 al 24 de enero de 2025, en términos del artículo 140 fracción VIII</w:t>
      </w:r>
      <w:r w:rsidR="00024AFB" w:rsidRPr="00C36261">
        <w:rPr>
          <w:rFonts w:ascii="Palatino Linotype" w:eastAsia="Palatino Linotype" w:hAnsi="Palatino Linotype" w:cs="Palatino Linotype"/>
          <w:b/>
          <w:color w:val="000000"/>
        </w:rPr>
        <w:t xml:space="preserve"> de la </w:t>
      </w:r>
      <w:r w:rsidR="00472A9C" w:rsidRPr="00C36261">
        <w:rPr>
          <w:rFonts w:ascii="Palatino Linotype" w:eastAsia="Times New Roman" w:hAnsi="Palatino Linotype" w:cs="Times New Roman"/>
          <w:b/>
          <w:lang w:val="es-MX"/>
        </w:rPr>
        <w:t>Ley de Transparencia y Acceso a la Información Pública del Estado de México y Municipios.</w:t>
      </w:r>
    </w:p>
    <w:p w:rsidR="00472A9C" w:rsidRPr="00C36261" w:rsidRDefault="00472A9C" w:rsidP="009D6D73">
      <w:pPr>
        <w:tabs>
          <w:tab w:val="left" w:pos="8080"/>
        </w:tabs>
        <w:spacing w:line="360" w:lineRule="auto"/>
        <w:ind w:right="49"/>
        <w:jc w:val="both"/>
        <w:rPr>
          <w:rFonts w:ascii="Palatino Linotype" w:eastAsia="Palatino Linotype" w:hAnsi="Palatino Linotype" w:cs="Palatino Linotype"/>
        </w:rPr>
      </w:pPr>
    </w:p>
    <w:p w:rsidR="00024AFB" w:rsidRPr="00C36261" w:rsidRDefault="00024AFB" w:rsidP="009D6D73">
      <w:pPr>
        <w:tabs>
          <w:tab w:val="left" w:pos="8080"/>
        </w:tabs>
        <w:spacing w:line="360" w:lineRule="auto"/>
        <w:ind w:right="49"/>
        <w:jc w:val="both"/>
        <w:rPr>
          <w:rFonts w:ascii="Palatino Linotype" w:eastAsia="Palatino Linotype" w:hAnsi="Palatino Linotype" w:cs="Palatino Linotype"/>
          <w:lang w:eastAsia="es-MX"/>
        </w:rPr>
      </w:pPr>
      <w:r w:rsidRPr="00C36261">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C36261">
        <w:rPr>
          <w:rFonts w:ascii="Palatino Linotype" w:eastAsia="Palatino Linotype" w:hAnsi="Palatino Linotype" w:cs="Palatino Linotype"/>
          <w:b/>
          <w:color w:val="000000" w:themeColor="text1"/>
        </w:rPr>
        <w:t>RECURRENTE</w:t>
      </w:r>
      <w:r w:rsidRPr="00C36261">
        <w:rPr>
          <w:rFonts w:ascii="Palatino Linotype" w:eastAsia="Palatino Linotype" w:hAnsi="Palatino Linotype" w:cs="Palatino Linotype"/>
        </w:rPr>
        <w:t>.</w:t>
      </w:r>
    </w:p>
    <w:p w:rsidR="00024AFB" w:rsidRPr="00C36261" w:rsidRDefault="00024AFB" w:rsidP="009D6D73">
      <w:pPr>
        <w:tabs>
          <w:tab w:val="left" w:pos="8080"/>
        </w:tabs>
        <w:spacing w:line="360" w:lineRule="auto"/>
        <w:ind w:right="49"/>
        <w:jc w:val="both"/>
        <w:rPr>
          <w:rFonts w:ascii="Palatino Linotype" w:eastAsia="Palatino Linotype" w:hAnsi="Palatino Linotype" w:cs="Palatino Linotype"/>
        </w:rPr>
      </w:pPr>
    </w:p>
    <w:bookmarkEnd w:id="9"/>
    <w:bookmarkEnd w:id="10"/>
    <w:bookmarkEnd w:id="11"/>
    <w:bookmarkEnd w:id="12"/>
    <w:bookmarkEnd w:id="13"/>
    <w:bookmarkEnd w:id="14"/>
    <w:bookmarkEnd w:id="15"/>
    <w:bookmarkEnd w:id="16"/>
    <w:p w:rsidR="00194544" w:rsidRPr="00C36261" w:rsidRDefault="00194544" w:rsidP="009D6D73">
      <w:pPr>
        <w:spacing w:line="360" w:lineRule="auto"/>
        <w:ind w:right="49"/>
        <w:jc w:val="both"/>
        <w:rPr>
          <w:rFonts w:ascii="Palatino Linotype" w:eastAsia="Times New Roman" w:hAnsi="Palatino Linotype" w:cs="Times New Roman"/>
          <w:lang w:val="es-MX"/>
        </w:rPr>
      </w:pPr>
      <w:r w:rsidRPr="00C36261">
        <w:rPr>
          <w:rFonts w:ascii="Palatino Linotype" w:eastAsia="Times New Roman" w:hAnsi="Palatino Linotype" w:cs="Arial"/>
          <w:b/>
          <w:bCs/>
          <w:lang w:val="es-MX"/>
        </w:rPr>
        <w:t>TERCERO</w:t>
      </w:r>
      <w:r w:rsidRPr="00C36261">
        <w:rPr>
          <w:rFonts w:ascii="Palatino Linotype" w:eastAsia="Times New Roman" w:hAnsi="Palatino Linotype" w:cs="Arial"/>
          <w:b/>
          <w:lang w:val="es-MX"/>
        </w:rPr>
        <w:t>.</w:t>
      </w:r>
      <w:r w:rsidRPr="00C36261">
        <w:rPr>
          <w:rFonts w:ascii="Palatino Linotype" w:eastAsia="Palatino Linotype" w:hAnsi="Palatino Linotype" w:cs="Palatino Linotype"/>
          <w:b/>
          <w:lang w:val="es-MX"/>
        </w:rPr>
        <w:t xml:space="preserve"> </w:t>
      </w:r>
      <w:r w:rsidRPr="00C36261">
        <w:rPr>
          <w:rFonts w:ascii="Palatino Linotype" w:eastAsia="Times New Roman" w:hAnsi="Palatino Linotype" w:cs="Times New Roman"/>
          <w:b/>
          <w:lang w:val="es-MX"/>
        </w:rPr>
        <w:t xml:space="preserve">Notifíquese </w:t>
      </w:r>
      <w:r w:rsidRPr="00C36261">
        <w:rPr>
          <w:rFonts w:ascii="Palatino Linotype" w:eastAsia="Times New Roman" w:hAnsi="Palatino Linotype" w:cs="Times New Roman"/>
          <w:lang w:val="es-MX"/>
        </w:rPr>
        <w:t xml:space="preserve">la presente </w:t>
      </w:r>
      <w:r w:rsidR="00831F7B" w:rsidRPr="00C36261">
        <w:rPr>
          <w:rFonts w:ascii="Palatino Linotype" w:eastAsia="Times New Roman" w:hAnsi="Palatino Linotype" w:cs="Times New Roman"/>
          <w:lang w:val="es-MX"/>
        </w:rPr>
        <w:t>R</w:t>
      </w:r>
      <w:r w:rsidRPr="00C36261">
        <w:rPr>
          <w:rFonts w:ascii="Palatino Linotype" w:eastAsia="Times New Roman" w:hAnsi="Palatino Linotype" w:cs="Times New Roman"/>
          <w:lang w:val="es-MX"/>
        </w:rPr>
        <w:t xml:space="preserve">esolución al Titular de la Unidad de Transparencia del Sujeto Obligado vía </w:t>
      </w:r>
      <w:r w:rsidRPr="00C36261">
        <w:rPr>
          <w:rFonts w:ascii="Palatino Linotype" w:eastAsia="Times New Roman" w:hAnsi="Palatino Linotype" w:cs="Times New Roman"/>
          <w:b/>
          <w:lang w:val="es-MX"/>
        </w:rPr>
        <w:t>SAIMEX</w:t>
      </w:r>
      <w:r w:rsidRPr="00C36261">
        <w:rPr>
          <w:rFonts w:ascii="Palatino Linotype" w:eastAsia="Times New Roman" w:hAnsi="Palatino Linotype" w:cs="Times New Roman"/>
          <w:lang w:val="es-MX"/>
        </w:rPr>
        <w:t xml:space="preserve">, para que conforme al artículo 186 último párrafo, 189 segundo párrafo y 194 de la Ley de Transparencia y Acceso a la Información Pública del Estado de México y Municipios; </w:t>
      </w:r>
      <w:r w:rsidRPr="00C36261">
        <w:rPr>
          <w:rFonts w:ascii="Palatino Linotype" w:eastAsia="Times New Roman" w:hAnsi="Palatino Linotype" w:cs="Times New Roman"/>
          <w:b/>
          <w:lang w:val="es-MX"/>
        </w:rPr>
        <w:t>dé cumplimiento a lo ordenado dentro del plazo de diez días hábiles</w:t>
      </w:r>
      <w:r w:rsidRPr="00C36261">
        <w:rPr>
          <w:rFonts w:ascii="Palatino Linotype" w:eastAsia="Times New Roman" w:hAnsi="Palatino Linotype" w:cs="Times New Roman"/>
          <w:lang w:val="es-MX"/>
        </w:rPr>
        <w:t>, e informe a este Instituto en un plazo de tres días hábiles siguientes sobre el cumplimiento dado a la presente y, se le apercibe que en caso de</w:t>
      </w:r>
      <w:r w:rsidR="00456AC6" w:rsidRPr="00C36261">
        <w:rPr>
          <w:rFonts w:ascii="Palatino Linotype" w:eastAsia="Times New Roman" w:hAnsi="Palatino Linotype" w:cs="Times New Roman"/>
          <w:lang w:val="es-MX"/>
        </w:rPr>
        <w:t xml:space="preserve"> negarse a cumplir la presente R</w:t>
      </w:r>
      <w:r w:rsidRPr="00C36261">
        <w:rPr>
          <w:rFonts w:ascii="Palatino Linotype" w:eastAsia="Times New Roman" w:hAnsi="Palatino Linotype" w:cs="Times New Roman"/>
          <w:lang w:val="es-MX"/>
        </w:rPr>
        <w:t>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94544" w:rsidRPr="00C36261" w:rsidRDefault="00194544" w:rsidP="009D6D73">
      <w:pPr>
        <w:spacing w:line="360" w:lineRule="auto"/>
        <w:ind w:right="49"/>
        <w:jc w:val="both"/>
        <w:rPr>
          <w:rFonts w:ascii="Palatino Linotype" w:eastAsia="Times New Roman" w:hAnsi="Palatino Linotype" w:cs="Times New Roman"/>
          <w:lang w:val="es-MX"/>
        </w:rPr>
      </w:pPr>
    </w:p>
    <w:p w:rsidR="00194544" w:rsidRPr="00C36261" w:rsidRDefault="00194544" w:rsidP="009D6D73">
      <w:pPr>
        <w:spacing w:line="360" w:lineRule="auto"/>
        <w:ind w:right="49"/>
        <w:jc w:val="both"/>
        <w:rPr>
          <w:rFonts w:ascii="Palatino Linotype" w:eastAsia="Calibri" w:hAnsi="Palatino Linotype" w:cs="Arial"/>
          <w:bCs/>
        </w:rPr>
      </w:pPr>
      <w:r w:rsidRPr="00C36261">
        <w:rPr>
          <w:rFonts w:ascii="Palatino Linotype" w:hAnsi="Palatino Linotype" w:cs="Arial"/>
          <w:b/>
        </w:rPr>
        <w:lastRenderedPageBreak/>
        <w:t xml:space="preserve">CUARTO. </w:t>
      </w:r>
      <w:r w:rsidRPr="00C36261">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C36261">
        <w:rPr>
          <w:rFonts w:ascii="Palatino Linotype" w:eastAsia="Calibri" w:hAnsi="Palatino Linotype" w:cs="Arial"/>
          <w:b/>
          <w:bCs/>
        </w:rPr>
        <w:t>SUJETO OBLIGADO</w:t>
      </w:r>
      <w:r w:rsidRPr="00C36261">
        <w:rPr>
          <w:rFonts w:ascii="Palatino Linotype" w:eastAsia="Calibri" w:hAnsi="Palatino Linotype" w:cs="Arial"/>
          <w:bCs/>
        </w:rPr>
        <w:t xml:space="preserve"> de manera fundada y motivada, podrá solicitar una ampliación de plazo para el cumplimiento de la presente Resolución.</w:t>
      </w:r>
    </w:p>
    <w:p w:rsidR="00194544" w:rsidRPr="00C36261" w:rsidRDefault="00194544" w:rsidP="009D6D73">
      <w:pPr>
        <w:spacing w:line="360" w:lineRule="auto"/>
        <w:ind w:right="49"/>
        <w:jc w:val="both"/>
        <w:rPr>
          <w:rFonts w:ascii="Palatino Linotype" w:eastAsia="Calibri" w:hAnsi="Palatino Linotype" w:cs="Arial"/>
          <w:bCs/>
        </w:rPr>
      </w:pPr>
    </w:p>
    <w:p w:rsidR="00194544" w:rsidRPr="00C36261" w:rsidRDefault="00194544" w:rsidP="009D6D73">
      <w:pPr>
        <w:tabs>
          <w:tab w:val="left" w:pos="8080"/>
        </w:tabs>
        <w:spacing w:line="360" w:lineRule="auto"/>
        <w:ind w:right="49"/>
        <w:jc w:val="both"/>
        <w:rPr>
          <w:rFonts w:ascii="Palatino Linotype" w:eastAsia="Times New Roman" w:hAnsi="Palatino Linotype" w:cs="Times New Roman"/>
          <w:lang w:val="es-ES" w:eastAsia="es-MX"/>
        </w:rPr>
      </w:pPr>
      <w:bookmarkStart w:id="17" w:name="_Toc492590393"/>
      <w:bookmarkStart w:id="18" w:name="_Toc503891611"/>
      <w:bookmarkStart w:id="19" w:name="_Toc511647759"/>
      <w:bookmarkStart w:id="20" w:name="_Toc511647820"/>
      <w:r w:rsidRPr="00C36261">
        <w:rPr>
          <w:rFonts w:ascii="Palatino Linotype" w:eastAsia="Times New Roman" w:hAnsi="Palatino Linotype" w:cs="Times New Roman"/>
          <w:b/>
        </w:rPr>
        <w:t xml:space="preserve">QUINTO. </w:t>
      </w:r>
      <w:r w:rsidRPr="00C36261">
        <w:rPr>
          <w:rFonts w:ascii="Palatino Linotype" w:eastAsia="Times New Roman" w:hAnsi="Palatino Linotype" w:cs="Times New Roman"/>
        </w:rPr>
        <w:t>Notifíquese</w:t>
      </w:r>
      <w:bookmarkEnd w:id="17"/>
      <w:bookmarkEnd w:id="18"/>
      <w:bookmarkEnd w:id="19"/>
      <w:bookmarkEnd w:id="20"/>
      <w:r w:rsidRPr="00C36261">
        <w:rPr>
          <w:rFonts w:ascii="Palatino Linotype" w:eastAsia="Times New Roman" w:hAnsi="Palatino Linotype" w:cs="Times New Roman"/>
        </w:rPr>
        <w:t xml:space="preserve"> al </w:t>
      </w:r>
      <w:r w:rsidRPr="00C36261">
        <w:rPr>
          <w:rFonts w:ascii="Palatino Linotype" w:eastAsia="Times New Roman" w:hAnsi="Palatino Linotype" w:cs="Times New Roman"/>
          <w:b/>
        </w:rPr>
        <w:t>RECURRENTE</w:t>
      </w:r>
      <w:r w:rsidRPr="00C36261">
        <w:rPr>
          <w:rFonts w:ascii="Palatino Linotype" w:eastAsia="Times New Roman" w:hAnsi="Palatino Linotype" w:cs="Times New Roman"/>
        </w:rPr>
        <w:t xml:space="preserve"> la presente</w:t>
      </w:r>
      <w:r w:rsidRPr="00C36261">
        <w:rPr>
          <w:rFonts w:ascii="Palatino Linotype" w:eastAsia="Times New Roman" w:hAnsi="Palatino Linotype" w:cs="Times New Roman"/>
          <w:lang w:val="es-ES" w:eastAsia="es-MX"/>
        </w:rPr>
        <w:t xml:space="preserve"> Resolución, vía </w:t>
      </w:r>
      <w:r w:rsidRPr="00C36261">
        <w:rPr>
          <w:rFonts w:ascii="Palatino Linotype" w:eastAsia="Times New Roman" w:hAnsi="Palatino Linotype" w:cs="Times New Roman"/>
          <w:b/>
          <w:lang w:val="es-ES" w:eastAsia="es-MX"/>
        </w:rPr>
        <w:t>SAIMEX</w:t>
      </w:r>
      <w:r w:rsidRPr="00C36261">
        <w:rPr>
          <w:rFonts w:ascii="Palatino Linotype" w:eastAsia="Times New Roman" w:hAnsi="Palatino Linotype" w:cs="Times New Roman"/>
          <w:lang w:val="es-ES" w:eastAsia="es-MX"/>
        </w:rPr>
        <w:t>.</w:t>
      </w:r>
    </w:p>
    <w:p w:rsidR="00AF6023" w:rsidRPr="00C36261" w:rsidRDefault="00AF6023" w:rsidP="009D6D73">
      <w:pPr>
        <w:tabs>
          <w:tab w:val="left" w:pos="8080"/>
        </w:tabs>
        <w:spacing w:line="360" w:lineRule="auto"/>
        <w:ind w:right="49"/>
        <w:jc w:val="both"/>
        <w:rPr>
          <w:rFonts w:ascii="Palatino Linotype" w:eastAsia="Times New Roman" w:hAnsi="Palatino Linotype" w:cs="Times New Roman"/>
          <w:lang w:val="es-ES" w:eastAsia="es-MX"/>
        </w:rPr>
      </w:pPr>
    </w:p>
    <w:p w:rsidR="00194544" w:rsidRPr="00C36261" w:rsidRDefault="00194544" w:rsidP="009D6D73">
      <w:pPr>
        <w:shd w:val="clear" w:color="auto" w:fill="FFFFFF"/>
        <w:spacing w:line="360" w:lineRule="auto"/>
        <w:ind w:right="49"/>
        <w:jc w:val="both"/>
        <w:rPr>
          <w:rFonts w:ascii="Palatino Linotype" w:eastAsia="Calibri" w:hAnsi="Palatino Linotype"/>
          <w:lang w:val="es-MX" w:eastAsia="en-US"/>
        </w:rPr>
      </w:pPr>
      <w:r w:rsidRPr="00C36261">
        <w:rPr>
          <w:rFonts w:ascii="Palatino Linotype" w:eastAsia="Calibri" w:hAnsi="Palatino Linotype"/>
          <w:b/>
          <w:lang w:eastAsia="en-US"/>
        </w:rPr>
        <w:t xml:space="preserve">SEXTO. </w:t>
      </w:r>
      <w:r w:rsidRPr="00C36261">
        <w:rPr>
          <w:rFonts w:ascii="Palatino Linotype" w:eastAsia="Calibri" w:hAnsi="Palatino Linotype"/>
          <w:lang w:eastAsia="en-US"/>
        </w:rPr>
        <w:t>Se hace del conocimiento del</w:t>
      </w:r>
      <w:r w:rsidRPr="00C36261">
        <w:rPr>
          <w:rFonts w:ascii="Palatino Linotype" w:eastAsia="Calibri" w:hAnsi="Palatino Linotype"/>
          <w:b/>
          <w:lang w:eastAsia="en-US"/>
        </w:rPr>
        <w:t xml:space="preserve"> RECURRENTE </w:t>
      </w:r>
      <w:r w:rsidRPr="00C36261">
        <w:rPr>
          <w:rFonts w:ascii="Palatino Linotype" w:eastAsia="Calibri"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9D6D73" w:rsidRPr="00C36261" w:rsidRDefault="009D6D73" w:rsidP="009D6D73">
      <w:pPr>
        <w:shd w:val="clear" w:color="auto" w:fill="FFFFFF"/>
        <w:spacing w:line="360" w:lineRule="auto"/>
        <w:ind w:right="49"/>
        <w:jc w:val="both"/>
        <w:rPr>
          <w:rFonts w:ascii="Palatino Linotype" w:eastAsia="Palatino Linotype" w:hAnsi="Palatino Linotype" w:cs="Palatino Linotype"/>
        </w:rPr>
      </w:pPr>
    </w:p>
    <w:p w:rsidR="00B84DF1" w:rsidRPr="009D6D73" w:rsidRDefault="009D6D73" w:rsidP="009D6D73">
      <w:pPr>
        <w:shd w:val="clear" w:color="auto" w:fill="FFFFFF"/>
        <w:spacing w:line="360" w:lineRule="auto"/>
        <w:ind w:right="49"/>
        <w:jc w:val="both"/>
        <w:rPr>
          <w:rFonts w:ascii="Palatino Linotype" w:eastAsia="Palatino Linotype" w:hAnsi="Palatino Linotype" w:cs="Palatino Linotype"/>
        </w:rPr>
      </w:pPr>
      <w:r w:rsidRPr="00C36261">
        <w:rPr>
          <w:rFonts w:ascii="Palatino Linotype" w:eastAsia="Palatino Linotype" w:hAnsi="Palatino Linotype" w:cs="Palatino Linotype"/>
        </w:rPr>
        <w:t xml:space="preserve">ASÍ LO RESUELVE, POR </w:t>
      </w:r>
      <w:r w:rsidR="008B45F1" w:rsidRPr="00C36261">
        <w:rPr>
          <w:rFonts w:ascii="Palatino Linotype" w:eastAsia="Palatino Linotype" w:hAnsi="Palatino Linotype" w:cs="Palatino Linotype"/>
        </w:rPr>
        <w:t xml:space="preserve">MAYORÍA </w:t>
      </w:r>
      <w:r w:rsidRPr="00C36261">
        <w:rPr>
          <w:rFonts w:ascii="Palatino Linotype" w:eastAsia="Palatino Linotype" w:hAnsi="Palatino Linotype" w:cs="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B45F1" w:rsidRPr="00C36261">
        <w:rPr>
          <w:rFonts w:ascii="Palatino Linotype" w:eastAsia="Palatino Linotype" w:hAnsi="Palatino Linotype" w:cs="Palatino Linotype"/>
        </w:rPr>
        <w:t xml:space="preserve"> EMITIENDO VOTO PARTICULAR</w:t>
      </w:r>
      <w:r w:rsidRPr="00C36261">
        <w:rPr>
          <w:rFonts w:ascii="Palatino Linotype" w:eastAsia="Palatino Linotype" w:hAnsi="Palatino Linotype" w:cs="Palatino Linotype"/>
        </w:rPr>
        <w:t xml:space="preserve"> Y GUADALUPE RAMÍREZ PEÑA</w:t>
      </w:r>
      <w:r w:rsidR="008B45F1" w:rsidRPr="00C36261">
        <w:rPr>
          <w:rFonts w:ascii="Palatino Linotype" w:eastAsia="Palatino Linotype" w:hAnsi="Palatino Linotype" w:cs="Palatino Linotype"/>
        </w:rPr>
        <w:t xml:space="preserve"> EMITIENDO VOTO DISIDENTE</w:t>
      </w:r>
      <w:r w:rsidRPr="00C36261">
        <w:rPr>
          <w:rFonts w:ascii="Palatino Linotype" w:eastAsia="Palatino Linotype" w:hAnsi="Palatino Linotype" w:cs="Palatino Linotype"/>
        </w:rPr>
        <w:t>; EN LA VIGÉSIMA SÉPTIMA SESIÓN ORDINARIA, CELEBRADA EL SEIS (06) DE AGOSTO DE DOS MIL VEINTICINCO, ANTE EL SECRETARIO TÉCNICO DEL PLENO ALEXIS TAPIA RAMÍREZ.</w:t>
      </w:r>
    </w:p>
    <w:p w:rsidR="00B84DF1" w:rsidRPr="009D6D73" w:rsidRDefault="00B84DF1" w:rsidP="009D6D73">
      <w:pPr>
        <w:shd w:val="clear" w:color="auto" w:fill="FFFFFF"/>
        <w:spacing w:line="360" w:lineRule="auto"/>
        <w:ind w:right="49"/>
        <w:jc w:val="both"/>
        <w:rPr>
          <w:rFonts w:ascii="Palatino Linotype" w:eastAsia="Palatino Linotype" w:hAnsi="Palatino Linotype" w:cs="Palatino Linotype"/>
        </w:rPr>
      </w:pPr>
    </w:p>
    <w:p w:rsidR="00B84DF1" w:rsidRPr="009D6D73" w:rsidRDefault="00B84DF1" w:rsidP="009D6D73">
      <w:pPr>
        <w:spacing w:line="360" w:lineRule="auto"/>
        <w:ind w:right="49"/>
        <w:jc w:val="both"/>
        <w:rPr>
          <w:rFonts w:ascii="Palatino Linotype" w:eastAsia="Palatino Linotype" w:hAnsi="Palatino Linotype" w:cs="Palatino Linotype"/>
        </w:rPr>
      </w:pPr>
    </w:p>
    <w:p w:rsidR="00B84DF1" w:rsidRPr="009D6D73" w:rsidRDefault="00B84DF1" w:rsidP="009D6D73">
      <w:pPr>
        <w:spacing w:line="360" w:lineRule="auto"/>
        <w:ind w:right="49"/>
        <w:jc w:val="both"/>
        <w:rPr>
          <w:rFonts w:ascii="Palatino Linotype" w:eastAsia="Palatino Linotype" w:hAnsi="Palatino Linotype" w:cs="Palatino Linotype"/>
        </w:rPr>
      </w:pPr>
    </w:p>
    <w:p w:rsidR="00B84DF1" w:rsidRPr="009D6D73" w:rsidRDefault="00B84DF1" w:rsidP="009D6D73">
      <w:pPr>
        <w:spacing w:line="360" w:lineRule="auto"/>
        <w:ind w:right="49"/>
        <w:jc w:val="both"/>
        <w:rPr>
          <w:rFonts w:ascii="Palatino Linotype" w:eastAsia="Palatino Linotype" w:hAnsi="Palatino Linotype" w:cs="Palatino Linotype"/>
        </w:rPr>
      </w:pPr>
    </w:p>
    <w:p w:rsidR="00B84DF1" w:rsidRPr="009D6D73" w:rsidRDefault="00B84DF1" w:rsidP="009D6D73">
      <w:pPr>
        <w:spacing w:line="360" w:lineRule="auto"/>
        <w:ind w:right="49"/>
        <w:jc w:val="both"/>
        <w:rPr>
          <w:rFonts w:ascii="Palatino Linotype" w:eastAsia="Palatino Linotype" w:hAnsi="Palatino Linotype" w:cs="Palatino Linotype"/>
        </w:rPr>
      </w:pPr>
    </w:p>
    <w:p w:rsidR="00B84DF1" w:rsidRPr="009D6D73" w:rsidRDefault="00B84DF1" w:rsidP="009D6D73">
      <w:pPr>
        <w:spacing w:line="360" w:lineRule="auto"/>
        <w:ind w:right="49"/>
        <w:jc w:val="both"/>
        <w:rPr>
          <w:rFonts w:ascii="Palatino Linotype" w:eastAsia="Palatino Linotype" w:hAnsi="Palatino Linotype" w:cs="Palatino Linotype"/>
        </w:rPr>
      </w:pPr>
    </w:p>
    <w:p w:rsidR="00B84DF1" w:rsidRPr="009D6D73" w:rsidRDefault="00B84DF1" w:rsidP="009D6D73">
      <w:pPr>
        <w:spacing w:line="360" w:lineRule="auto"/>
        <w:ind w:right="49"/>
        <w:jc w:val="both"/>
        <w:rPr>
          <w:rFonts w:ascii="Palatino Linotype" w:eastAsia="Palatino Linotype" w:hAnsi="Palatino Linotype" w:cs="Palatino Linotype"/>
        </w:rPr>
      </w:pPr>
    </w:p>
    <w:p w:rsidR="00B84DF1" w:rsidRPr="009D6D73" w:rsidRDefault="00B84DF1" w:rsidP="009D6D73">
      <w:pPr>
        <w:spacing w:line="360" w:lineRule="auto"/>
        <w:ind w:right="49"/>
        <w:rPr>
          <w:rFonts w:ascii="Palatino Linotype" w:eastAsia="Palatino Linotype" w:hAnsi="Palatino Linotype" w:cs="Palatino Linotype"/>
        </w:rPr>
      </w:pPr>
    </w:p>
    <w:p w:rsidR="00B84DF1" w:rsidRPr="009D6D73" w:rsidRDefault="00B84DF1" w:rsidP="009D6D73">
      <w:pPr>
        <w:spacing w:line="360" w:lineRule="auto"/>
        <w:ind w:right="49"/>
        <w:rPr>
          <w:rFonts w:ascii="Palatino Linotype" w:eastAsia="Palatino Linotype" w:hAnsi="Palatino Linotype" w:cs="Palatino Linotype"/>
        </w:rPr>
      </w:pPr>
    </w:p>
    <w:p w:rsidR="00B84DF1" w:rsidRPr="009D6D73" w:rsidRDefault="00B84DF1" w:rsidP="009D6D73">
      <w:pPr>
        <w:spacing w:line="360" w:lineRule="auto"/>
        <w:ind w:right="49"/>
        <w:rPr>
          <w:rFonts w:ascii="Palatino Linotype" w:eastAsia="Palatino Linotype" w:hAnsi="Palatino Linotype" w:cs="Palatino Linotype"/>
        </w:rPr>
      </w:pPr>
    </w:p>
    <w:p w:rsidR="00B84DF1" w:rsidRPr="009D6D73" w:rsidRDefault="00B84DF1" w:rsidP="009D6D73">
      <w:pPr>
        <w:spacing w:line="360" w:lineRule="auto"/>
        <w:ind w:right="49"/>
        <w:rPr>
          <w:rFonts w:ascii="Palatino Linotype" w:eastAsia="Palatino Linotype" w:hAnsi="Palatino Linotype" w:cs="Palatino Linotype"/>
        </w:rPr>
      </w:pPr>
    </w:p>
    <w:p w:rsidR="00B84DF1" w:rsidRPr="009D6D73" w:rsidRDefault="00B84DF1" w:rsidP="009D6D73">
      <w:pPr>
        <w:spacing w:line="360" w:lineRule="auto"/>
        <w:ind w:right="49"/>
        <w:rPr>
          <w:rFonts w:ascii="Palatino Linotype" w:eastAsia="Palatino Linotype" w:hAnsi="Palatino Linotype" w:cs="Palatino Linotype"/>
        </w:rPr>
      </w:pPr>
    </w:p>
    <w:p w:rsidR="00B84DF1" w:rsidRPr="009D6D73" w:rsidRDefault="00B84DF1" w:rsidP="009D6D73">
      <w:pPr>
        <w:spacing w:line="360" w:lineRule="auto"/>
        <w:ind w:right="49"/>
        <w:rPr>
          <w:rFonts w:ascii="Palatino Linotype" w:eastAsia="Palatino Linotype" w:hAnsi="Palatino Linotype" w:cs="Palatino Linotype"/>
        </w:rPr>
      </w:pPr>
    </w:p>
    <w:p w:rsidR="00B84DF1" w:rsidRPr="009D6D73" w:rsidRDefault="00B84DF1" w:rsidP="009D6D73">
      <w:pPr>
        <w:spacing w:line="360" w:lineRule="auto"/>
        <w:ind w:right="49"/>
        <w:rPr>
          <w:rFonts w:ascii="Palatino Linotype" w:eastAsia="Palatino Linotype" w:hAnsi="Palatino Linotype" w:cs="Palatino Linotype"/>
        </w:rPr>
      </w:pPr>
    </w:p>
    <w:p w:rsidR="00B84DF1" w:rsidRPr="009D6D73" w:rsidRDefault="009D3673" w:rsidP="009D6D73">
      <w:pPr>
        <w:tabs>
          <w:tab w:val="left" w:pos="3374"/>
        </w:tabs>
        <w:spacing w:line="360" w:lineRule="auto"/>
        <w:ind w:right="49"/>
        <w:rPr>
          <w:rFonts w:ascii="Palatino Linotype" w:eastAsia="Palatino Linotype" w:hAnsi="Palatino Linotype" w:cs="Palatino Linotype"/>
        </w:rPr>
      </w:pPr>
      <w:r w:rsidRPr="009D6D73">
        <w:rPr>
          <w:rFonts w:ascii="Palatino Linotype" w:eastAsia="Palatino Linotype" w:hAnsi="Palatino Linotype" w:cs="Palatino Linotype"/>
        </w:rPr>
        <w:tab/>
      </w:r>
    </w:p>
    <w:p w:rsidR="00B84DF1" w:rsidRPr="009D6D73" w:rsidRDefault="00B84DF1" w:rsidP="009D6D73">
      <w:pPr>
        <w:tabs>
          <w:tab w:val="left" w:pos="3374"/>
        </w:tabs>
        <w:spacing w:line="360" w:lineRule="auto"/>
        <w:ind w:right="49"/>
        <w:rPr>
          <w:rFonts w:ascii="Palatino Linotype" w:eastAsia="Palatino Linotype" w:hAnsi="Palatino Linotype" w:cs="Palatino Linotype"/>
        </w:rPr>
      </w:pPr>
    </w:p>
    <w:p w:rsidR="00B84DF1" w:rsidRPr="009D6D73" w:rsidRDefault="00B84DF1" w:rsidP="009D6D73">
      <w:pPr>
        <w:tabs>
          <w:tab w:val="left" w:pos="3374"/>
        </w:tabs>
        <w:spacing w:line="360" w:lineRule="auto"/>
        <w:ind w:right="49"/>
        <w:rPr>
          <w:rFonts w:ascii="Palatino Linotype" w:eastAsia="Palatino Linotype" w:hAnsi="Palatino Linotype" w:cs="Palatino Linotype"/>
        </w:rPr>
      </w:pPr>
    </w:p>
    <w:p w:rsidR="00B84DF1" w:rsidRPr="009D6D73" w:rsidRDefault="00B84DF1" w:rsidP="009D6D73">
      <w:pPr>
        <w:tabs>
          <w:tab w:val="left" w:pos="3374"/>
        </w:tabs>
        <w:spacing w:line="360" w:lineRule="auto"/>
        <w:ind w:right="49"/>
        <w:rPr>
          <w:rFonts w:ascii="Palatino Linotype" w:eastAsia="Palatino Linotype" w:hAnsi="Palatino Linotype" w:cs="Palatino Linotype"/>
        </w:rPr>
      </w:pPr>
    </w:p>
    <w:p w:rsidR="00B84DF1" w:rsidRPr="009D6D73" w:rsidRDefault="00B84DF1" w:rsidP="009D6D73">
      <w:pPr>
        <w:tabs>
          <w:tab w:val="left" w:pos="3374"/>
        </w:tabs>
        <w:spacing w:line="360" w:lineRule="auto"/>
        <w:ind w:right="49"/>
        <w:rPr>
          <w:rFonts w:ascii="Palatino Linotype" w:eastAsia="Palatino Linotype" w:hAnsi="Palatino Linotype" w:cs="Palatino Linotype"/>
        </w:rPr>
      </w:pPr>
    </w:p>
    <w:p w:rsidR="00B84DF1" w:rsidRPr="009D6D73" w:rsidRDefault="00B84DF1" w:rsidP="009D6D73">
      <w:pPr>
        <w:tabs>
          <w:tab w:val="left" w:pos="3374"/>
        </w:tabs>
        <w:spacing w:line="360" w:lineRule="auto"/>
        <w:ind w:right="49"/>
        <w:rPr>
          <w:rFonts w:ascii="Palatino Linotype" w:eastAsia="Palatino Linotype" w:hAnsi="Palatino Linotype" w:cs="Palatino Linotype"/>
        </w:rPr>
      </w:pPr>
    </w:p>
    <w:p w:rsidR="00B84DF1" w:rsidRPr="009D6D73" w:rsidRDefault="00B84DF1" w:rsidP="009D6D73">
      <w:pPr>
        <w:tabs>
          <w:tab w:val="left" w:pos="3374"/>
        </w:tabs>
        <w:spacing w:line="360" w:lineRule="auto"/>
        <w:ind w:right="49"/>
        <w:rPr>
          <w:rFonts w:ascii="Palatino Linotype" w:eastAsia="Palatino Linotype" w:hAnsi="Palatino Linotype" w:cs="Palatino Linotype"/>
        </w:rPr>
      </w:pPr>
    </w:p>
    <w:p w:rsidR="00B84DF1" w:rsidRPr="009D6D73" w:rsidRDefault="00B84DF1" w:rsidP="009D6D73">
      <w:pPr>
        <w:tabs>
          <w:tab w:val="left" w:pos="3374"/>
        </w:tabs>
        <w:spacing w:line="360" w:lineRule="auto"/>
        <w:ind w:right="49"/>
        <w:rPr>
          <w:rFonts w:ascii="Palatino Linotype" w:eastAsia="Palatino Linotype" w:hAnsi="Palatino Linotype" w:cs="Palatino Linotype"/>
        </w:rPr>
      </w:pPr>
    </w:p>
    <w:p w:rsidR="00B84DF1" w:rsidRPr="009D6D73" w:rsidRDefault="00B84DF1" w:rsidP="009D6D73">
      <w:pPr>
        <w:tabs>
          <w:tab w:val="left" w:pos="3374"/>
        </w:tabs>
        <w:spacing w:line="360" w:lineRule="auto"/>
        <w:ind w:right="49"/>
        <w:rPr>
          <w:rFonts w:ascii="Palatino Linotype" w:eastAsia="Palatino Linotype" w:hAnsi="Palatino Linotype" w:cs="Palatino Linotype"/>
        </w:rPr>
      </w:pPr>
    </w:p>
    <w:p w:rsidR="00B84DF1" w:rsidRPr="009D6D73" w:rsidRDefault="00B84DF1" w:rsidP="009D6D73">
      <w:pPr>
        <w:spacing w:line="360" w:lineRule="auto"/>
        <w:ind w:right="49"/>
        <w:rPr>
          <w:rFonts w:ascii="Palatino Linotype" w:eastAsia="Palatino Linotype" w:hAnsi="Palatino Linotype" w:cs="Palatino Linotype"/>
        </w:rPr>
      </w:pPr>
    </w:p>
    <w:sectPr w:rsidR="00B84DF1" w:rsidRPr="009D6D73" w:rsidSect="00BB24E0">
      <w:headerReference w:type="even" r:id="rId13"/>
      <w:headerReference w:type="default" r:id="rId14"/>
      <w:footerReference w:type="default" r:id="rId15"/>
      <w:headerReference w:type="first" r:id="rId16"/>
      <w:footerReference w:type="first" r:id="rId17"/>
      <w:pgSz w:w="12240" w:h="15840"/>
      <w:pgMar w:top="2268"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872" w:rsidRDefault="002C2872">
      <w:r>
        <w:separator/>
      </w:r>
    </w:p>
  </w:endnote>
  <w:endnote w:type="continuationSeparator" w:id="0">
    <w:p w:rsidR="002C2872" w:rsidRDefault="002C2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4E0" w:rsidRDefault="00BB24E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04997">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04997">
      <w:rPr>
        <w:rFonts w:ascii="Palatino Linotype" w:eastAsia="Palatino Linotype" w:hAnsi="Palatino Linotype" w:cs="Palatino Linotype"/>
        <w:noProof/>
        <w:color w:val="000000"/>
        <w:sz w:val="20"/>
        <w:szCs w:val="20"/>
      </w:rPr>
      <w:t>54</w:t>
    </w:r>
    <w:r>
      <w:rPr>
        <w:rFonts w:ascii="Palatino Linotype" w:eastAsia="Palatino Linotype" w:hAnsi="Palatino Linotype" w:cs="Palatino Linotype"/>
        <w:color w:val="000000"/>
        <w:sz w:val="20"/>
        <w:szCs w:val="20"/>
      </w:rPr>
      <w:fldChar w:fldCharType="end"/>
    </w:r>
  </w:p>
  <w:p w:rsidR="00BB24E0" w:rsidRDefault="00BB24E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4E0" w:rsidRDefault="00BB24E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04997">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04997">
      <w:rPr>
        <w:rFonts w:ascii="Palatino Linotype" w:eastAsia="Palatino Linotype" w:hAnsi="Palatino Linotype" w:cs="Palatino Linotype"/>
        <w:noProof/>
        <w:color w:val="000000"/>
        <w:sz w:val="20"/>
        <w:szCs w:val="20"/>
      </w:rPr>
      <w:t>54</w:t>
    </w:r>
    <w:r>
      <w:rPr>
        <w:rFonts w:ascii="Palatino Linotype" w:eastAsia="Palatino Linotype" w:hAnsi="Palatino Linotype" w:cs="Palatino Linotype"/>
        <w:color w:val="000000"/>
        <w:sz w:val="20"/>
        <w:szCs w:val="20"/>
      </w:rPr>
      <w:fldChar w:fldCharType="end"/>
    </w:r>
  </w:p>
  <w:p w:rsidR="00BB24E0" w:rsidRDefault="00BB24E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872" w:rsidRDefault="002C2872">
      <w:r>
        <w:separator/>
      </w:r>
    </w:p>
  </w:footnote>
  <w:footnote w:type="continuationSeparator" w:id="0">
    <w:p w:rsidR="002C2872" w:rsidRDefault="002C2872">
      <w:r>
        <w:continuationSeparator/>
      </w:r>
    </w:p>
  </w:footnote>
  <w:footnote w:id="1">
    <w:p w:rsidR="00BB24E0" w:rsidRDefault="00BB24E0" w:rsidP="0019454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BB24E0" w:rsidRDefault="00BB24E0" w:rsidP="0019454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BB24E0" w:rsidRDefault="00BB24E0" w:rsidP="0019454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BB24E0" w:rsidRDefault="00BB24E0" w:rsidP="0019454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BB24E0" w:rsidRDefault="00BB24E0" w:rsidP="00194544">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BB24E0" w:rsidRDefault="00BB24E0" w:rsidP="0019454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BB24E0" w:rsidRDefault="00BB24E0" w:rsidP="00194544">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BB24E0" w:rsidRDefault="00BB24E0" w:rsidP="00194544">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4E0" w:rsidRDefault="00BB24E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512" w:type="dxa"/>
      <w:tblInd w:w="2552" w:type="dxa"/>
      <w:tblLayout w:type="fixed"/>
      <w:tblLook w:val="0400" w:firstRow="0" w:lastRow="0" w:firstColumn="0" w:lastColumn="0" w:noHBand="0" w:noVBand="1"/>
    </w:tblPr>
    <w:tblGrid>
      <w:gridCol w:w="2976"/>
      <w:gridCol w:w="4536"/>
    </w:tblGrid>
    <w:tr w:rsidR="00BB24E0" w:rsidTr="00BB24E0">
      <w:trPr>
        <w:trHeight w:val="227"/>
      </w:trPr>
      <w:tc>
        <w:tcPr>
          <w:tcW w:w="2976" w:type="dxa"/>
          <w:vAlign w:val="center"/>
        </w:tcPr>
        <w:p w:rsidR="00BB24E0" w:rsidRPr="009D6D73" w:rsidRDefault="00BB24E0" w:rsidP="009D6D73">
          <w:pPr>
            <w:ind w:right="34"/>
            <w:jc w:val="right"/>
            <w:rPr>
              <w:rFonts w:ascii="Palatino Linotype" w:eastAsia="Palatino Linotype" w:hAnsi="Palatino Linotype" w:cs="Palatino Linotype"/>
              <w:b/>
            </w:rPr>
          </w:pPr>
          <w:r w:rsidRPr="009D6D73">
            <w:rPr>
              <w:rFonts w:ascii="Palatino Linotype" w:eastAsia="Palatino Linotype" w:hAnsi="Palatino Linotype" w:cs="Palatino Linotype"/>
              <w:b/>
            </w:rPr>
            <w:t>Recurso de Revisión:</w:t>
          </w:r>
        </w:p>
      </w:tc>
      <w:tc>
        <w:tcPr>
          <w:tcW w:w="4536" w:type="dxa"/>
          <w:vAlign w:val="center"/>
        </w:tcPr>
        <w:p w:rsidR="00BB24E0" w:rsidRPr="009D6D73" w:rsidRDefault="00BB24E0" w:rsidP="009D6D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9D6D73">
            <w:rPr>
              <w:rFonts w:ascii="Palatino Linotype" w:eastAsia="Palatino Linotype" w:hAnsi="Palatino Linotype" w:cs="Palatino Linotype"/>
              <w:color w:val="000000"/>
            </w:rPr>
            <w:t>02234/INFOEM/IP/RR/2025</w:t>
          </w:r>
        </w:p>
      </w:tc>
    </w:tr>
    <w:tr w:rsidR="00BB24E0" w:rsidTr="00BB24E0">
      <w:trPr>
        <w:trHeight w:val="242"/>
      </w:trPr>
      <w:tc>
        <w:tcPr>
          <w:tcW w:w="2976" w:type="dxa"/>
          <w:vAlign w:val="center"/>
        </w:tcPr>
        <w:p w:rsidR="00BB24E0" w:rsidRPr="009D6D73" w:rsidRDefault="00BB24E0" w:rsidP="009D6D73">
          <w:pPr>
            <w:ind w:right="34"/>
            <w:jc w:val="right"/>
            <w:rPr>
              <w:rFonts w:ascii="Palatino Linotype" w:eastAsia="Palatino Linotype" w:hAnsi="Palatino Linotype" w:cs="Palatino Linotype"/>
              <w:b/>
            </w:rPr>
          </w:pPr>
          <w:r w:rsidRPr="009D6D73">
            <w:rPr>
              <w:rFonts w:ascii="Palatino Linotype" w:eastAsia="Palatino Linotype" w:hAnsi="Palatino Linotype" w:cs="Palatino Linotype"/>
              <w:b/>
            </w:rPr>
            <w:t>Sujeto Obligado:</w:t>
          </w:r>
        </w:p>
      </w:tc>
      <w:tc>
        <w:tcPr>
          <w:tcW w:w="4536" w:type="dxa"/>
          <w:vAlign w:val="center"/>
        </w:tcPr>
        <w:p w:rsidR="00BB24E0" w:rsidRPr="009D6D73" w:rsidRDefault="00BB24E0" w:rsidP="009D6D73">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9D6D73">
            <w:rPr>
              <w:rFonts w:ascii="Palatino Linotype" w:eastAsia="Palatino Linotype" w:hAnsi="Palatino Linotype" w:cs="Palatino Linotype"/>
              <w:color w:val="000000"/>
            </w:rPr>
            <w:t>Ayuntamiento de Naucalpan de Juárez</w:t>
          </w:r>
        </w:p>
      </w:tc>
    </w:tr>
    <w:tr w:rsidR="00BB24E0" w:rsidTr="00BB24E0">
      <w:trPr>
        <w:trHeight w:val="342"/>
      </w:trPr>
      <w:tc>
        <w:tcPr>
          <w:tcW w:w="2976" w:type="dxa"/>
          <w:vAlign w:val="center"/>
        </w:tcPr>
        <w:p w:rsidR="00BB24E0" w:rsidRPr="009D6D73" w:rsidRDefault="00BB24E0" w:rsidP="009D6D73">
          <w:pPr>
            <w:ind w:right="34"/>
            <w:jc w:val="right"/>
            <w:rPr>
              <w:rFonts w:ascii="Palatino Linotype" w:eastAsia="Palatino Linotype" w:hAnsi="Palatino Linotype" w:cs="Palatino Linotype"/>
              <w:b/>
            </w:rPr>
          </w:pPr>
          <w:r w:rsidRPr="009D6D73">
            <w:rPr>
              <w:rFonts w:ascii="Palatino Linotype" w:eastAsia="Palatino Linotype" w:hAnsi="Palatino Linotype" w:cs="Palatino Linotype"/>
              <w:b/>
            </w:rPr>
            <w:t>Comisionada Ponente:</w:t>
          </w:r>
        </w:p>
      </w:tc>
      <w:tc>
        <w:tcPr>
          <w:tcW w:w="4536" w:type="dxa"/>
          <w:vAlign w:val="center"/>
        </w:tcPr>
        <w:p w:rsidR="00BB24E0" w:rsidRPr="009D6D73" w:rsidRDefault="00BB24E0" w:rsidP="009D6D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9D6D73">
            <w:rPr>
              <w:rFonts w:ascii="Palatino Linotype" w:eastAsia="Palatino Linotype" w:hAnsi="Palatino Linotype" w:cs="Palatino Linotype"/>
              <w:color w:val="000000"/>
            </w:rPr>
            <w:t>María del Rosario Mejía Ayala</w:t>
          </w:r>
        </w:p>
      </w:tc>
    </w:tr>
  </w:tbl>
  <w:p w:rsidR="00BB24E0" w:rsidRDefault="00BB24E0">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05pt;margin-top:-129.8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7654" w:type="dxa"/>
      <w:tblInd w:w="2552" w:type="dxa"/>
      <w:tblLayout w:type="fixed"/>
      <w:tblLook w:val="0400" w:firstRow="0" w:lastRow="0" w:firstColumn="0" w:lastColumn="0" w:noHBand="0" w:noVBand="1"/>
    </w:tblPr>
    <w:tblGrid>
      <w:gridCol w:w="2977"/>
      <w:gridCol w:w="4677"/>
    </w:tblGrid>
    <w:tr w:rsidR="00BB24E0" w:rsidTr="00BB24E0">
      <w:trPr>
        <w:trHeight w:val="227"/>
      </w:trPr>
      <w:tc>
        <w:tcPr>
          <w:tcW w:w="2977" w:type="dxa"/>
          <w:vAlign w:val="center"/>
        </w:tcPr>
        <w:p w:rsidR="00BB24E0" w:rsidRPr="009D6D73" w:rsidRDefault="00BB24E0" w:rsidP="009D6D73">
          <w:pPr>
            <w:jc w:val="right"/>
            <w:rPr>
              <w:rFonts w:ascii="Palatino Linotype" w:eastAsia="Palatino Linotype" w:hAnsi="Palatino Linotype" w:cs="Palatino Linotype"/>
              <w:b/>
            </w:rPr>
          </w:pPr>
          <w:r w:rsidRPr="009D6D73">
            <w:rPr>
              <w:rFonts w:ascii="Palatino Linotype" w:eastAsia="Palatino Linotype" w:hAnsi="Palatino Linotype" w:cs="Palatino Linotype"/>
              <w:b/>
            </w:rPr>
            <w:t>Recurso de Revisión:</w:t>
          </w:r>
        </w:p>
      </w:tc>
      <w:tc>
        <w:tcPr>
          <w:tcW w:w="4677" w:type="dxa"/>
          <w:vAlign w:val="center"/>
        </w:tcPr>
        <w:p w:rsidR="00BB24E0" w:rsidRPr="009D6D73" w:rsidRDefault="00BB24E0" w:rsidP="009D6D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9D6D73">
            <w:rPr>
              <w:rFonts w:ascii="Palatino Linotype" w:eastAsia="Palatino Linotype" w:hAnsi="Palatino Linotype" w:cs="Palatino Linotype"/>
              <w:color w:val="000000"/>
            </w:rPr>
            <w:t>02234/INFOEM/IP/RR/2025</w:t>
          </w:r>
        </w:p>
      </w:tc>
    </w:tr>
    <w:tr w:rsidR="00BB24E0" w:rsidTr="00BB24E0">
      <w:trPr>
        <w:trHeight w:val="242"/>
      </w:trPr>
      <w:tc>
        <w:tcPr>
          <w:tcW w:w="2977" w:type="dxa"/>
          <w:vAlign w:val="center"/>
        </w:tcPr>
        <w:p w:rsidR="00BB24E0" w:rsidRPr="009D6D73" w:rsidRDefault="00BB24E0" w:rsidP="009D6D73">
          <w:pPr>
            <w:jc w:val="right"/>
            <w:rPr>
              <w:rFonts w:ascii="Palatino Linotype" w:eastAsia="Palatino Linotype" w:hAnsi="Palatino Linotype" w:cs="Palatino Linotype"/>
              <w:b/>
            </w:rPr>
          </w:pPr>
          <w:r w:rsidRPr="009D6D73">
            <w:rPr>
              <w:rFonts w:ascii="Palatino Linotype" w:eastAsia="Palatino Linotype" w:hAnsi="Palatino Linotype" w:cs="Palatino Linotype"/>
              <w:b/>
            </w:rPr>
            <w:t>Recurrente:</w:t>
          </w:r>
        </w:p>
      </w:tc>
      <w:tc>
        <w:tcPr>
          <w:tcW w:w="4677" w:type="dxa"/>
        </w:tcPr>
        <w:p w:rsidR="00BB24E0" w:rsidRPr="009D6D73" w:rsidRDefault="00BB24E0" w:rsidP="009D6D73">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highlight w:val="green"/>
            </w:rPr>
          </w:pPr>
        </w:p>
      </w:tc>
    </w:tr>
    <w:tr w:rsidR="00BB24E0" w:rsidTr="00BB24E0">
      <w:trPr>
        <w:trHeight w:val="342"/>
      </w:trPr>
      <w:tc>
        <w:tcPr>
          <w:tcW w:w="2977" w:type="dxa"/>
          <w:vAlign w:val="center"/>
        </w:tcPr>
        <w:p w:rsidR="00BB24E0" w:rsidRPr="009D6D73" w:rsidRDefault="00BB24E0" w:rsidP="009D6D73">
          <w:pPr>
            <w:jc w:val="right"/>
            <w:rPr>
              <w:rFonts w:ascii="Palatino Linotype" w:eastAsia="Palatino Linotype" w:hAnsi="Palatino Linotype" w:cs="Palatino Linotype"/>
              <w:b/>
            </w:rPr>
          </w:pPr>
          <w:r w:rsidRPr="009D6D73">
            <w:rPr>
              <w:rFonts w:ascii="Palatino Linotype" w:eastAsia="Palatino Linotype" w:hAnsi="Palatino Linotype" w:cs="Palatino Linotype"/>
              <w:b/>
            </w:rPr>
            <w:t>Sujeto Obligado:</w:t>
          </w:r>
        </w:p>
      </w:tc>
      <w:tc>
        <w:tcPr>
          <w:tcW w:w="4677" w:type="dxa"/>
          <w:vAlign w:val="center"/>
        </w:tcPr>
        <w:p w:rsidR="00BB24E0" w:rsidRPr="009D6D73" w:rsidRDefault="00BB24E0" w:rsidP="009D6D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9D6D73">
            <w:rPr>
              <w:rFonts w:ascii="Palatino Linotype" w:eastAsia="Palatino Linotype" w:hAnsi="Palatino Linotype" w:cs="Palatino Linotype"/>
              <w:color w:val="000000"/>
            </w:rPr>
            <w:t>Ayuntamiento de Naucalpan de Juárez</w:t>
          </w:r>
        </w:p>
      </w:tc>
    </w:tr>
    <w:tr w:rsidR="00BB24E0" w:rsidTr="00BB24E0">
      <w:trPr>
        <w:trHeight w:val="342"/>
      </w:trPr>
      <w:tc>
        <w:tcPr>
          <w:tcW w:w="2977" w:type="dxa"/>
          <w:vAlign w:val="center"/>
        </w:tcPr>
        <w:p w:rsidR="00BB24E0" w:rsidRPr="009D6D73" w:rsidRDefault="00BB24E0" w:rsidP="009D6D73">
          <w:pPr>
            <w:jc w:val="right"/>
            <w:rPr>
              <w:rFonts w:ascii="Palatino Linotype" w:eastAsia="Palatino Linotype" w:hAnsi="Palatino Linotype" w:cs="Palatino Linotype"/>
              <w:b/>
            </w:rPr>
          </w:pPr>
          <w:r w:rsidRPr="009D6D73">
            <w:rPr>
              <w:rFonts w:ascii="Palatino Linotype" w:eastAsia="Palatino Linotype" w:hAnsi="Palatino Linotype" w:cs="Palatino Linotype"/>
              <w:b/>
            </w:rPr>
            <w:t>Comisionada Ponente:</w:t>
          </w:r>
        </w:p>
      </w:tc>
      <w:tc>
        <w:tcPr>
          <w:tcW w:w="4677" w:type="dxa"/>
          <w:vAlign w:val="center"/>
        </w:tcPr>
        <w:p w:rsidR="00BB24E0" w:rsidRPr="009D6D73" w:rsidRDefault="00BB24E0" w:rsidP="009D6D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9D6D73">
            <w:rPr>
              <w:rFonts w:ascii="Palatino Linotype" w:eastAsia="Palatino Linotype" w:hAnsi="Palatino Linotype" w:cs="Palatino Linotype"/>
              <w:color w:val="000000"/>
            </w:rPr>
            <w:t>María del Rosario Mejía Ayala</w:t>
          </w:r>
        </w:p>
      </w:tc>
    </w:tr>
  </w:tbl>
  <w:p w:rsidR="00BB24E0" w:rsidRDefault="00BB24E0">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0A10F9"/>
    <w:multiLevelType w:val="hybridMultilevel"/>
    <w:tmpl w:val="A4E20040"/>
    <w:lvl w:ilvl="0" w:tplc="8DA468A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F9189B"/>
    <w:multiLevelType w:val="hybridMultilevel"/>
    <w:tmpl w:val="3EACB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4464B"/>
    <w:multiLevelType w:val="multilevel"/>
    <w:tmpl w:val="FDD45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6E3E65"/>
    <w:multiLevelType w:val="hybridMultilevel"/>
    <w:tmpl w:val="AA82C2A8"/>
    <w:lvl w:ilvl="0" w:tplc="2DC417EC">
      <w:start w:val="1"/>
      <w:numFmt w:val="decimal"/>
      <w:lvlText w:val="%1."/>
      <w:lvlJc w:val="left"/>
      <w:pPr>
        <w:ind w:left="720" w:hanging="360"/>
      </w:pPr>
      <w:rPr>
        <w:b/>
        <w:i w:val="0"/>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670094"/>
    <w:multiLevelType w:val="multilevel"/>
    <w:tmpl w:val="9932B572"/>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962B1F"/>
    <w:multiLevelType w:val="hybridMultilevel"/>
    <w:tmpl w:val="6540B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FA4E07"/>
    <w:multiLevelType w:val="multilevel"/>
    <w:tmpl w:val="3DF6786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8" w15:restartNumberingAfterBreak="0">
    <w:nsid w:val="2EE82D25"/>
    <w:multiLevelType w:val="multilevel"/>
    <w:tmpl w:val="1C6CA70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331E40FB"/>
    <w:multiLevelType w:val="hybridMultilevel"/>
    <w:tmpl w:val="48287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8464E8"/>
    <w:multiLevelType w:val="multilevel"/>
    <w:tmpl w:val="B0ECC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F44905"/>
    <w:multiLevelType w:val="multilevel"/>
    <w:tmpl w:val="221A92C6"/>
    <w:lvl w:ilvl="0">
      <w:start w:val="1"/>
      <w:numFmt w:val="decimal"/>
      <w:lvlText w:val="%1."/>
      <w:lvlJc w:val="left"/>
      <w:pPr>
        <w:ind w:left="784" w:hanging="357"/>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065959"/>
    <w:multiLevelType w:val="multilevel"/>
    <w:tmpl w:val="0464E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310F98"/>
    <w:multiLevelType w:val="hybridMultilevel"/>
    <w:tmpl w:val="4198C234"/>
    <w:lvl w:ilvl="0" w:tplc="A2DC400A">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429341D4"/>
    <w:multiLevelType w:val="multilevel"/>
    <w:tmpl w:val="356C0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F734587"/>
    <w:multiLevelType w:val="multilevel"/>
    <w:tmpl w:val="366630E2"/>
    <w:lvl w:ilvl="0">
      <w:start w:val="1"/>
      <w:numFmt w:val="decimal"/>
      <w:lvlText w:val="%1."/>
      <w:lvlJc w:val="left"/>
      <w:pPr>
        <w:ind w:left="502"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7291810"/>
    <w:multiLevelType w:val="multilevel"/>
    <w:tmpl w:val="C186AC7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9" w15:restartNumberingAfterBreak="0">
    <w:nsid w:val="577202FA"/>
    <w:multiLevelType w:val="hybridMultilevel"/>
    <w:tmpl w:val="D91489B2"/>
    <w:lvl w:ilvl="0" w:tplc="DDC08822">
      <w:start w:val="1"/>
      <w:numFmt w:val="decimal"/>
      <w:lvlText w:val="%1."/>
      <w:lvlJc w:val="left"/>
      <w:pPr>
        <w:ind w:left="360" w:hanging="360"/>
      </w:pPr>
      <w:rPr>
        <w:rFonts w:hAnsi="Arial Unicode MS" w:hint="default"/>
        <w:b/>
        <w:i w:val="0"/>
        <w:caps w:val="0"/>
        <w:smallCaps w:val="0"/>
        <w:strike w:val="0"/>
        <w:dstrike w:val="0"/>
        <w:outline w:val="0"/>
        <w:emboss w:val="0"/>
        <w:imprint w:val="0"/>
        <w:spacing w:val="0"/>
        <w:w w:val="100"/>
        <w:kern w:val="0"/>
        <w:position w:val="0"/>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F43DDD"/>
    <w:multiLevelType w:val="multilevel"/>
    <w:tmpl w:val="F6D02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177B67"/>
    <w:multiLevelType w:val="multilevel"/>
    <w:tmpl w:val="19F413F8"/>
    <w:lvl w:ilvl="0">
      <w:start w:val="1"/>
      <w:numFmt w:val="decimal"/>
      <w:lvlText w:val="%1."/>
      <w:lvlJc w:val="left"/>
      <w:pPr>
        <w:ind w:left="502" w:hanging="360"/>
      </w:pPr>
      <w:rPr>
        <w:rFonts w:ascii="Palatino Linotype" w:eastAsia="Palatino Linotype" w:hAnsi="Palatino Linotype" w:cs="Palatino Linotype"/>
        <w:b/>
        <w:i w:val="0"/>
        <w:color w:val="000000"/>
        <w:sz w:val="24"/>
        <w:szCs w:val="24"/>
        <w:lang w:val="es-ES_tradn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15:restartNumberingAfterBreak="0">
    <w:nsid w:val="674046BC"/>
    <w:multiLevelType w:val="hybridMultilevel"/>
    <w:tmpl w:val="6C08D50C"/>
    <w:lvl w:ilvl="0" w:tplc="1F24FF72">
      <w:start w:val="2"/>
      <w:numFmt w:val="upperLetter"/>
      <w:lvlText w:val="%1)"/>
      <w:lvlJc w:val="left"/>
      <w:pPr>
        <w:ind w:left="720" w:hanging="360"/>
      </w:pPr>
      <w:rPr>
        <w:rFonts w:eastAsia="Palatino Linotype" w:cs="Palatino Linotype"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A6564B"/>
    <w:multiLevelType w:val="hybridMultilevel"/>
    <w:tmpl w:val="43BE4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3F306F"/>
    <w:multiLevelType w:val="hybridMultilevel"/>
    <w:tmpl w:val="792039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0539D8"/>
    <w:multiLevelType w:val="hybridMultilevel"/>
    <w:tmpl w:val="9F8C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CF1743"/>
    <w:multiLevelType w:val="multilevel"/>
    <w:tmpl w:val="2938D5EC"/>
    <w:lvl w:ilvl="0">
      <w:start w:val="1"/>
      <w:numFmt w:val="bullet"/>
      <w:lvlText w:val="●"/>
      <w:lvlJc w:val="left"/>
      <w:pPr>
        <w:ind w:left="709" w:hanging="358"/>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28" w15:restartNumberingAfterBreak="0">
    <w:nsid w:val="72380D6D"/>
    <w:multiLevelType w:val="multilevel"/>
    <w:tmpl w:val="8B74789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0" w15:restartNumberingAfterBreak="0">
    <w:nsid w:val="7A914D4F"/>
    <w:multiLevelType w:val="hybridMultilevel"/>
    <w:tmpl w:val="7072356C"/>
    <w:lvl w:ilvl="0" w:tplc="D53629EC">
      <w:start w:val="1"/>
      <w:numFmt w:val="lowerLetter"/>
      <w:lvlText w:val="%1)"/>
      <w:lvlJc w:val="left"/>
      <w:pPr>
        <w:ind w:left="1713" w:hanging="360"/>
      </w:pPr>
      <w:rPr>
        <w:b/>
        <w:i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7D5D25CD"/>
    <w:multiLevelType w:val="multilevel"/>
    <w:tmpl w:val="4EA0A93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456C33"/>
    <w:multiLevelType w:val="hybridMultilevel"/>
    <w:tmpl w:val="579C61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7"/>
  </w:num>
  <w:num w:numId="3">
    <w:abstractNumId w:val="18"/>
  </w:num>
  <w:num w:numId="4">
    <w:abstractNumId w:val="28"/>
  </w:num>
  <w:num w:numId="5">
    <w:abstractNumId w:val="27"/>
  </w:num>
  <w:num w:numId="6">
    <w:abstractNumId w:val="2"/>
  </w:num>
  <w:num w:numId="7">
    <w:abstractNumId w:val="6"/>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1"/>
    <w:lvlOverride w:ilvl="0">
      <w:lvl w:ilvl="0">
        <w:numFmt w:val="decimal"/>
        <w:lvlText w:val="%1."/>
        <w:lvlJc w:val="left"/>
        <w:rPr>
          <w:b/>
        </w:rPr>
      </w:lvl>
    </w:lvlOverride>
  </w:num>
  <w:num w:numId="11">
    <w:abstractNumId w:val="9"/>
  </w:num>
  <w:num w:numId="12">
    <w:abstractNumId w:val="12"/>
  </w:num>
  <w:num w:numId="13">
    <w:abstractNumId w:val="5"/>
  </w:num>
  <w:num w:numId="14">
    <w:abstractNumId w:val="30"/>
  </w:num>
  <w:num w:numId="15">
    <w:abstractNumId w:val="16"/>
  </w:num>
  <w:num w:numId="16">
    <w:abstractNumId w:val="8"/>
  </w:num>
  <w:num w:numId="17">
    <w:abstractNumId w:val="0"/>
  </w:num>
  <w:num w:numId="18">
    <w:abstractNumId w:val="4"/>
  </w:num>
  <w:num w:numId="19">
    <w:abstractNumId w:val="22"/>
  </w:num>
  <w:num w:numId="20">
    <w:abstractNumId w:val="29"/>
  </w:num>
  <w:num w:numId="21">
    <w:abstractNumId w:val="1"/>
  </w:num>
  <w:num w:numId="22">
    <w:abstractNumId w:val="19"/>
  </w:num>
  <w:num w:numId="23">
    <w:abstractNumId w:val="25"/>
  </w:num>
  <w:num w:numId="24">
    <w:abstractNumId w:val="32"/>
  </w:num>
  <w:num w:numId="25">
    <w:abstractNumId w:val="3"/>
  </w:num>
  <w:num w:numId="26">
    <w:abstractNumId w:val="14"/>
  </w:num>
  <w:num w:numId="27">
    <w:abstractNumId w:val="13"/>
  </w:num>
  <w:num w:numId="28">
    <w:abstractNumId w:val="15"/>
  </w:num>
  <w:num w:numId="29">
    <w:abstractNumId w:val="11"/>
  </w:num>
  <w:num w:numId="30">
    <w:abstractNumId w:val="20"/>
  </w:num>
  <w:num w:numId="31">
    <w:abstractNumId w:val="26"/>
  </w:num>
  <w:num w:numId="32">
    <w:abstractNumId w:val="24"/>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F1"/>
    <w:rsid w:val="0000677B"/>
    <w:rsid w:val="0001363B"/>
    <w:rsid w:val="00015CA6"/>
    <w:rsid w:val="00024AFB"/>
    <w:rsid w:val="00034F10"/>
    <w:rsid w:val="000378F8"/>
    <w:rsid w:val="00041443"/>
    <w:rsid w:val="000444BD"/>
    <w:rsid w:val="00053809"/>
    <w:rsid w:val="00071823"/>
    <w:rsid w:val="000A5074"/>
    <w:rsid w:val="000A6833"/>
    <w:rsid w:val="000B554D"/>
    <w:rsid w:val="000C7A68"/>
    <w:rsid w:val="000E5750"/>
    <w:rsid w:val="000E7F59"/>
    <w:rsid w:val="000F1E77"/>
    <w:rsid w:val="00106B9D"/>
    <w:rsid w:val="00120600"/>
    <w:rsid w:val="001268E9"/>
    <w:rsid w:val="00134848"/>
    <w:rsid w:val="00137E3A"/>
    <w:rsid w:val="00156FC2"/>
    <w:rsid w:val="00194544"/>
    <w:rsid w:val="001964B7"/>
    <w:rsid w:val="001C3453"/>
    <w:rsid w:val="0021003A"/>
    <w:rsid w:val="00212FD8"/>
    <w:rsid w:val="0023609E"/>
    <w:rsid w:val="00256C47"/>
    <w:rsid w:val="00260274"/>
    <w:rsid w:val="0026452F"/>
    <w:rsid w:val="00267DE2"/>
    <w:rsid w:val="002910A9"/>
    <w:rsid w:val="0029404D"/>
    <w:rsid w:val="002B1760"/>
    <w:rsid w:val="002C2872"/>
    <w:rsid w:val="002E0DF4"/>
    <w:rsid w:val="002E2619"/>
    <w:rsid w:val="002E5220"/>
    <w:rsid w:val="002E54BD"/>
    <w:rsid w:val="002F0522"/>
    <w:rsid w:val="003063EE"/>
    <w:rsid w:val="0032619C"/>
    <w:rsid w:val="003A10C2"/>
    <w:rsid w:val="003B54B3"/>
    <w:rsid w:val="003B6629"/>
    <w:rsid w:val="003D2130"/>
    <w:rsid w:val="003D7E7B"/>
    <w:rsid w:val="003E15C4"/>
    <w:rsid w:val="003E335E"/>
    <w:rsid w:val="00404B7F"/>
    <w:rsid w:val="004204F5"/>
    <w:rsid w:val="00425628"/>
    <w:rsid w:val="00435EA5"/>
    <w:rsid w:val="00447084"/>
    <w:rsid w:val="00452EC1"/>
    <w:rsid w:val="00454DEC"/>
    <w:rsid w:val="00456AC6"/>
    <w:rsid w:val="004656BC"/>
    <w:rsid w:val="00472A9C"/>
    <w:rsid w:val="0047459A"/>
    <w:rsid w:val="004A0C6B"/>
    <w:rsid w:val="004D0E02"/>
    <w:rsid w:val="004D47CA"/>
    <w:rsid w:val="004E4B9F"/>
    <w:rsid w:val="00514236"/>
    <w:rsid w:val="005531B6"/>
    <w:rsid w:val="00555782"/>
    <w:rsid w:val="005572C9"/>
    <w:rsid w:val="00561B00"/>
    <w:rsid w:val="00564C26"/>
    <w:rsid w:val="0057241F"/>
    <w:rsid w:val="005B4B00"/>
    <w:rsid w:val="005D442D"/>
    <w:rsid w:val="006027C3"/>
    <w:rsid w:val="006261B6"/>
    <w:rsid w:val="006535A3"/>
    <w:rsid w:val="00654047"/>
    <w:rsid w:val="00655B77"/>
    <w:rsid w:val="00666BED"/>
    <w:rsid w:val="00671E11"/>
    <w:rsid w:val="00681C04"/>
    <w:rsid w:val="006B7977"/>
    <w:rsid w:val="006E36A4"/>
    <w:rsid w:val="006E7948"/>
    <w:rsid w:val="00704604"/>
    <w:rsid w:val="007137AB"/>
    <w:rsid w:val="00714C89"/>
    <w:rsid w:val="00725BBA"/>
    <w:rsid w:val="0073213D"/>
    <w:rsid w:val="007427EC"/>
    <w:rsid w:val="00763A69"/>
    <w:rsid w:val="00792763"/>
    <w:rsid w:val="007A402E"/>
    <w:rsid w:val="007C497A"/>
    <w:rsid w:val="007D4A48"/>
    <w:rsid w:val="007F745B"/>
    <w:rsid w:val="00804997"/>
    <w:rsid w:val="0081462E"/>
    <w:rsid w:val="00825F36"/>
    <w:rsid w:val="008311D3"/>
    <w:rsid w:val="0083179B"/>
    <w:rsid w:val="00831F7B"/>
    <w:rsid w:val="008330D2"/>
    <w:rsid w:val="00834AB8"/>
    <w:rsid w:val="008704F4"/>
    <w:rsid w:val="00874872"/>
    <w:rsid w:val="0087538C"/>
    <w:rsid w:val="00885F80"/>
    <w:rsid w:val="008B45F1"/>
    <w:rsid w:val="00900624"/>
    <w:rsid w:val="00961CA6"/>
    <w:rsid w:val="00972164"/>
    <w:rsid w:val="00996255"/>
    <w:rsid w:val="009A5C87"/>
    <w:rsid w:val="009B7697"/>
    <w:rsid w:val="009D3673"/>
    <w:rsid w:val="009D6D73"/>
    <w:rsid w:val="009F12B3"/>
    <w:rsid w:val="009F7C6A"/>
    <w:rsid w:val="00A1164D"/>
    <w:rsid w:val="00A227E2"/>
    <w:rsid w:val="00A36A65"/>
    <w:rsid w:val="00A502B5"/>
    <w:rsid w:val="00A634F0"/>
    <w:rsid w:val="00AC01CA"/>
    <w:rsid w:val="00AD2D90"/>
    <w:rsid w:val="00AD30C0"/>
    <w:rsid w:val="00AD753F"/>
    <w:rsid w:val="00AE3D3C"/>
    <w:rsid w:val="00AF6023"/>
    <w:rsid w:val="00B01467"/>
    <w:rsid w:val="00B02063"/>
    <w:rsid w:val="00B11C54"/>
    <w:rsid w:val="00B21ADF"/>
    <w:rsid w:val="00B26C5D"/>
    <w:rsid w:val="00B33052"/>
    <w:rsid w:val="00B3387E"/>
    <w:rsid w:val="00B36DB4"/>
    <w:rsid w:val="00B41162"/>
    <w:rsid w:val="00B44995"/>
    <w:rsid w:val="00B5309F"/>
    <w:rsid w:val="00B60BC1"/>
    <w:rsid w:val="00B62425"/>
    <w:rsid w:val="00B809CB"/>
    <w:rsid w:val="00B84DF1"/>
    <w:rsid w:val="00B91685"/>
    <w:rsid w:val="00BA3D27"/>
    <w:rsid w:val="00BB24E0"/>
    <w:rsid w:val="00BD7237"/>
    <w:rsid w:val="00BE415E"/>
    <w:rsid w:val="00C273BD"/>
    <w:rsid w:val="00C36261"/>
    <w:rsid w:val="00C449F2"/>
    <w:rsid w:val="00C45F15"/>
    <w:rsid w:val="00CB0047"/>
    <w:rsid w:val="00CB1566"/>
    <w:rsid w:val="00CB4A28"/>
    <w:rsid w:val="00CC616B"/>
    <w:rsid w:val="00CC78CD"/>
    <w:rsid w:val="00CD27D3"/>
    <w:rsid w:val="00CF5DF5"/>
    <w:rsid w:val="00CF698F"/>
    <w:rsid w:val="00CF798E"/>
    <w:rsid w:val="00D11877"/>
    <w:rsid w:val="00D36D2B"/>
    <w:rsid w:val="00D77568"/>
    <w:rsid w:val="00D82D8C"/>
    <w:rsid w:val="00D86EE0"/>
    <w:rsid w:val="00D96604"/>
    <w:rsid w:val="00DB20B2"/>
    <w:rsid w:val="00DC2BB2"/>
    <w:rsid w:val="00DC7C5B"/>
    <w:rsid w:val="00DD370B"/>
    <w:rsid w:val="00DD55D2"/>
    <w:rsid w:val="00DF2FE0"/>
    <w:rsid w:val="00DF36EF"/>
    <w:rsid w:val="00DF62A2"/>
    <w:rsid w:val="00E15CF3"/>
    <w:rsid w:val="00E17E99"/>
    <w:rsid w:val="00E30F92"/>
    <w:rsid w:val="00E845E2"/>
    <w:rsid w:val="00E96581"/>
    <w:rsid w:val="00EA1E48"/>
    <w:rsid w:val="00EC2856"/>
    <w:rsid w:val="00ED0A54"/>
    <w:rsid w:val="00EE5A08"/>
    <w:rsid w:val="00F0026A"/>
    <w:rsid w:val="00F15452"/>
    <w:rsid w:val="00F167E6"/>
    <w:rsid w:val="00F22B2F"/>
    <w:rsid w:val="00F321D3"/>
    <w:rsid w:val="00F6082D"/>
    <w:rsid w:val="00F62B72"/>
    <w:rsid w:val="00F816BF"/>
    <w:rsid w:val="00F916D5"/>
    <w:rsid w:val="00F97F2C"/>
    <w:rsid w:val="00FF18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883B1D0-BBD8-44E9-8C8E-DA36B95F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eastAsia="es-MX"/>
    </w:r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17"/>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8DCR661JXnLG5bgLMe5znzAKQ==">CgMxLjAyCGguZ2pkZ3hzMgloLjMwajB6bGwyCWguMWZvYjl0ZTIOaC5jNGEwNjRzOHA3czkyCWguM3pueXNoNzIJaC4yZXQ5MnAwMghoLnR5amN3dDIJaC4zZHk2dmttMgloLjRkMzRvZzgyCWguMXQzaDVzZjIJaC4zNW5rdW4yOAByITF5b2VuQ3NQcW1KQ1RmVTY4UFVNaFA3b2lsOTZDWlk4bQ==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6D3CE0-7A49-4F35-9D91-96563976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54</Pages>
  <Words>13140</Words>
  <Characters>72275</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8</cp:revision>
  <cp:lastPrinted>2025-08-08T16:25:00Z</cp:lastPrinted>
  <dcterms:created xsi:type="dcterms:W3CDTF">2025-07-17T18:04:00Z</dcterms:created>
  <dcterms:modified xsi:type="dcterms:W3CDTF">2025-08-11T16:44:00Z</dcterms:modified>
</cp:coreProperties>
</file>