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76E" w14:textId="5793E57F" w:rsidR="00546C2A" w:rsidRPr="00BC6D51" w:rsidRDefault="00546C2A" w:rsidP="00E42E77">
      <w:pPr>
        <w:spacing w:line="360" w:lineRule="auto"/>
        <w:jc w:val="both"/>
        <w:rPr>
          <w:rFonts w:ascii="Palatino Linotype" w:eastAsia="Palatino Linotype" w:hAnsi="Palatino Linotype" w:cs="Palatino Linotype"/>
          <w:color w:val="000000" w:themeColor="text1"/>
          <w:sz w:val="24"/>
          <w:szCs w:val="24"/>
        </w:rPr>
      </w:pPr>
      <w:bookmarkStart w:id="0" w:name="_Toc87549675"/>
      <w:bookmarkStart w:id="1" w:name="_GoBack"/>
      <w:bookmarkEnd w:id="1"/>
      <w:r w:rsidRPr="00BC6D51">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9E03D5">
        <w:rPr>
          <w:rFonts w:ascii="Palatino Linotype" w:eastAsia="Palatino Linotype" w:hAnsi="Palatino Linotype" w:cs="Palatino Linotype"/>
          <w:b/>
          <w:color w:val="000000" w:themeColor="text1"/>
          <w:sz w:val="24"/>
          <w:szCs w:val="24"/>
        </w:rPr>
        <w:t xml:space="preserve">de fecha </w:t>
      </w:r>
      <w:r w:rsidR="0050269C" w:rsidRPr="00BC6D51">
        <w:rPr>
          <w:rFonts w:ascii="Palatino Linotype" w:eastAsia="Palatino Linotype" w:hAnsi="Palatino Linotype" w:cs="Palatino Linotype"/>
          <w:b/>
          <w:color w:val="000000" w:themeColor="text1"/>
          <w:sz w:val="24"/>
          <w:szCs w:val="24"/>
        </w:rPr>
        <w:t xml:space="preserve">dos </w:t>
      </w:r>
      <w:r w:rsidR="009E03D5">
        <w:rPr>
          <w:rFonts w:ascii="Palatino Linotype" w:eastAsia="Palatino Linotype" w:hAnsi="Palatino Linotype" w:cs="Palatino Linotype"/>
          <w:b/>
          <w:color w:val="000000" w:themeColor="text1"/>
          <w:sz w:val="24"/>
          <w:szCs w:val="24"/>
        </w:rPr>
        <w:t xml:space="preserve">(02) </w:t>
      </w:r>
      <w:r w:rsidR="0050269C" w:rsidRPr="00BC6D51">
        <w:rPr>
          <w:rFonts w:ascii="Palatino Linotype" w:eastAsia="Palatino Linotype" w:hAnsi="Palatino Linotype" w:cs="Palatino Linotype"/>
          <w:b/>
          <w:color w:val="000000" w:themeColor="text1"/>
          <w:sz w:val="24"/>
          <w:szCs w:val="24"/>
        </w:rPr>
        <w:t>de julio</w:t>
      </w:r>
      <w:r w:rsidR="001C6110"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 xml:space="preserve">de dos mil veinticinco. </w:t>
      </w:r>
    </w:p>
    <w:p w14:paraId="3790767F" w14:textId="77777777" w:rsidR="00546C2A" w:rsidRPr="00BC6D51" w:rsidRDefault="00546C2A" w:rsidP="00E42E77">
      <w:pPr>
        <w:spacing w:line="360" w:lineRule="auto"/>
        <w:jc w:val="both"/>
        <w:rPr>
          <w:rFonts w:ascii="Palatino Linotype" w:eastAsia="Palatino Linotype" w:hAnsi="Palatino Linotype" w:cs="Palatino Linotype"/>
          <w:color w:val="000000" w:themeColor="text1"/>
          <w:sz w:val="24"/>
          <w:szCs w:val="24"/>
        </w:rPr>
      </w:pPr>
    </w:p>
    <w:p w14:paraId="3C1EB051" w14:textId="5840F5B2" w:rsidR="00546C2A" w:rsidRPr="00BC6D51" w:rsidRDefault="00546C2A" w:rsidP="00E42E77">
      <w:pPr>
        <w:spacing w:line="360" w:lineRule="auto"/>
        <w:jc w:val="both"/>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b/>
          <w:color w:val="000000" w:themeColor="text1"/>
          <w:sz w:val="24"/>
          <w:szCs w:val="24"/>
        </w:rPr>
        <w:t>VISTO</w:t>
      </w:r>
      <w:r w:rsidRPr="00BC6D51">
        <w:rPr>
          <w:rFonts w:ascii="Palatino Linotype" w:eastAsia="Palatino Linotype" w:hAnsi="Palatino Linotype" w:cs="Palatino Linotype"/>
          <w:color w:val="000000" w:themeColor="text1"/>
          <w:sz w:val="24"/>
          <w:szCs w:val="24"/>
        </w:rPr>
        <w:t xml:space="preserve"> el expediente electrónico formado con</w:t>
      </w:r>
      <w:r w:rsidR="00FA2E10" w:rsidRPr="00BC6D51">
        <w:rPr>
          <w:rFonts w:ascii="Palatino Linotype" w:eastAsia="Palatino Linotype" w:hAnsi="Palatino Linotype" w:cs="Palatino Linotype"/>
          <w:color w:val="000000" w:themeColor="text1"/>
          <w:sz w:val="24"/>
          <w:szCs w:val="24"/>
        </w:rPr>
        <w:t xml:space="preserve"> motivo del recurso de revisión</w:t>
      </w:r>
      <w:r w:rsidR="00FA2E10" w:rsidRPr="00BC6D51">
        <w:rPr>
          <w:rFonts w:ascii="Palatino Linotype" w:eastAsia="Palatino Linotype" w:hAnsi="Palatino Linotype" w:cs="Palatino Linotype"/>
          <w:b/>
          <w:bCs/>
          <w:color w:val="000000" w:themeColor="text1"/>
          <w:sz w:val="24"/>
          <w:szCs w:val="24"/>
        </w:rPr>
        <w:t> </w:t>
      </w:r>
      <w:r w:rsidR="0050269C" w:rsidRPr="00BC6D51">
        <w:rPr>
          <w:rFonts w:ascii="Palatino Linotype" w:eastAsia="Palatino Linotype" w:hAnsi="Palatino Linotype" w:cs="Palatino Linotype"/>
          <w:b/>
          <w:bCs/>
          <w:color w:val="000000" w:themeColor="text1"/>
          <w:sz w:val="24"/>
          <w:szCs w:val="24"/>
        </w:rPr>
        <w:t>01928/INFOEM/IP/RR/2025</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promovido por</w:t>
      </w:r>
      <w:r w:rsidRPr="00BC6D51">
        <w:rPr>
          <w:rFonts w:ascii="Palatino Linotype" w:eastAsia="Palatino Linotype" w:hAnsi="Palatino Linotype" w:cs="Palatino Linotype"/>
          <w:b/>
          <w:color w:val="000000" w:themeColor="text1"/>
          <w:sz w:val="24"/>
          <w:szCs w:val="24"/>
        </w:rPr>
        <w:t xml:space="preserve"> </w:t>
      </w:r>
      <w:r w:rsidR="009C4837" w:rsidRPr="00BC6D51">
        <w:rPr>
          <w:rFonts w:ascii="Palatino Linotype" w:eastAsia="Palatino Linotype" w:hAnsi="Palatino Linotype" w:cs="Palatino Linotype"/>
          <w:b/>
          <w:bCs/>
          <w:color w:val="000000" w:themeColor="text1"/>
          <w:sz w:val="24"/>
          <w:szCs w:val="24"/>
        </w:rPr>
        <w:t>una persona que no proporciono datos de identificación</w:t>
      </w:r>
      <w:r w:rsidR="00E42E77" w:rsidRPr="00BC6D51">
        <w:rPr>
          <w:rFonts w:ascii="Palatino Linotype" w:eastAsia="Palatino Linotype" w:hAnsi="Palatino Linotype" w:cs="Palatino Linotype"/>
          <w:b/>
          <w:bCs/>
          <w:color w:val="000000" w:themeColor="text1"/>
          <w:sz w:val="24"/>
          <w:szCs w:val="24"/>
        </w:rPr>
        <w:t>,</w:t>
      </w:r>
      <w:r w:rsidRPr="00BC6D51">
        <w:rPr>
          <w:rFonts w:ascii="Palatino Linotype" w:eastAsia="Palatino Linotype" w:hAnsi="Palatino Linotype" w:cs="Palatino Linotype"/>
          <w:color w:val="000000" w:themeColor="text1"/>
          <w:sz w:val="24"/>
          <w:szCs w:val="24"/>
        </w:rPr>
        <w:t xml:space="preserve"> a quien en lo sucesivo se identificará como </w:t>
      </w:r>
      <w:r w:rsidRPr="00BC6D51">
        <w:rPr>
          <w:rFonts w:ascii="Palatino Linotype" w:eastAsia="Palatino Linotype" w:hAnsi="Palatino Linotype" w:cs="Palatino Linotype"/>
          <w:b/>
          <w:color w:val="000000" w:themeColor="text1"/>
          <w:sz w:val="24"/>
          <w:szCs w:val="24"/>
        </w:rPr>
        <w:t>EL RECURRENTE</w:t>
      </w:r>
      <w:r w:rsidR="00FA2E10" w:rsidRPr="00BC6D51">
        <w:rPr>
          <w:rFonts w:ascii="Palatino Linotype" w:eastAsia="Palatino Linotype" w:hAnsi="Palatino Linotype" w:cs="Palatino Linotype"/>
          <w:color w:val="000000" w:themeColor="text1"/>
          <w:sz w:val="24"/>
          <w:szCs w:val="24"/>
        </w:rPr>
        <w:t>,</w:t>
      </w:r>
      <w:r w:rsidR="001C6110" w:rsidRPr="00BC6D51">
        <w:rPr>
          <w:rFonts w:ascii="Palatino Linotype" w:eastAsia="Palatino Linotype" w:hAnsi="Palatino Linotype" w:cs="Palatino Linotype"/>
          <w:color w:val="000000" w:themeColor="text1"/>
          <w:sz w:val="24"/>
          <w:szCs w:val="24"/>
        </w:rPr>
        <w:t xml:space="preserve"> en contra de la respuesta del</w:t>
      </w:r>
      <w:r w:rsidRPr="00BC6D51">
        <w:rPr>
          <w:rFonts w:ascii="Palatino Linotype" w:eastAsia="Palatino Linotype" w:hAnsi="Palatino Linotype" w:cs="Palatino Linotype"/>
          <w:color w:val="000000" w:themeColor="text1"/>
          <w:sz w:val="24"/>
          <w:szCs w:val="24"/>
        </w:rPr>
        <w:t xml:space="preserve"> </w:t>
      </w:r>
      <w:r w:rsidR="005029F8" w:rsidRPr="00BC6D51">
        <w:rPr>
          <w:rFonts w:ascii="Palatino Linotype" w:eastAsia="Palatino Linotype" w:hAnsi="Palatino Linotype" w:cs="Palatino Linotype"/>
          <w:b/>
          <w:bCs/>
          <w:color w:val="000000" w:themeColor="text1"/>
          <w:sz w:val="24"/>
          <w:szCs w:val="24"/>
        </w:rPr>
        <w:t>Ayuntamiento de Toluca</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en lo sucesivo el</w:t>
      </w:r>
      <w:r w:rsidRPr="00BC6D51">
        <w:rPr>
          <w:rFonts w:ascii="Palatino Linotype" w:eastAsia="Palatino Linotype" w:hAnsi="Palatino Linotype" w:cs="Palatino Linotype"/>
          <w:b/>
          <w:color w:val="000000" w:themeColor="text1"/>
          <w:sz w:val="24"/>
          <w:szCs w:val="24"/>
        </w:rPr>
        <w:t xml:space="preserve"> SUJETO OBLIGADO</w:t>
      </w:r>
      <w:r w:rsidRPr="00BC6D51">
        <w:rPr>
          <w:rFonts w:ascii="Palatino Linotype" w:eastAsia="Palatino Linotype" w:hAnsi="Palatino Linotype" w:cs="Palatino Linotype"/>
          <w:color w:val="000000" w:themeColor="text1"/>
          <w:sz w:val="24"/>
          <w:szCs w:val="24"/>
        </w:rPr>
        <w:t>, por lo que se procede a dictar la presente resolución, con base en los siguientes:</w:t>
      </w:r>
    </w:p>
    <w:p w14:paraId="005EE687" w14:textId="77777777" w:rsidR="00546C2A" w:rsidRPr="00BC6D51" w:rsidRDefault="00546C2A" w:rsidP="00E42E77">
      <w:pPr>
        <w:spacing w:line="360" w:lineRule="auto"/>
        <w:jc w:val="both"/>
        <w:rPr>
          <w:rFonts w:ascii="Palatino Linotype" w:eastAsia="Palatino Linotype" w:hAnsi="Palatino Linotype" w:cs="Palatino Linotype"/>
          <w:b/>
          <w:color w:val="000000" w:themeColor="text1"/>
          <w:sz w:val="24"/>
          <w:szCs w:val="24"/>
        </w:rPr>
      </w:pPr>
    </w:p>
    <w:p w14:paraId="53BE6703" w14:textId="52ACECDF" w:rsidR="00546C2A" w:rsidRDefault="00546C2A" w:rsidP="00E42E77">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BC6D51">
        <w:rPr>
          <w:rFonts w:ascii="Palatino Linotype" w:eastAsia="Palatino Linotype" w:hAnsi="Palatino Linotype" w:cs="Palatino Linotype"/>
          <w:b/>
          <w:color w:val="000000" w:themeColor="text1"/>
          <w:sz w:val="24"/>
          <w:szCs w:val="24"/>
        </w:rPr>
        <w:t>A</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N</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T</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E</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C</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E</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D</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E</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N</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T</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E</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S</w:t>
      </w:r>
    </w:p>
    <w:p w14:paraId="3191A0EF" w14:textId="77777777" w:rsidR="009E03D5" w:rsidRPr="00BC6D51" w:rsidRDefault="009E03D5" w:rsidP="00E42E77">
      <w:pPr>
        <w:keepNext/>
        <w:keepLines/>
        <w:spacing w:line="360" w:lineRule="auto"/>
        <w:jc w:val="center"/>
        <w:rPr>
          <w:rFonts w:ascii="Palatino Linotype" w:eastAsia="Palatino Linotype" w:hAnsi="Palatino Linotype" w:cs="Palatino Linotype"/>
          <w:b/>
          <w:color w:val="000000" w:themeColor="text1"/>
          <w:sz w:val="24"/>
          <w:szCs w:val="24"/>
        </w:rPr>
      </w:pPr>
    </w:p>
    <w:p w14:paraId="179CDA11" w14:textId="79F755F8"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El </w:t>
      </w:r>
      <w:r w:rsidR="005029F8" w:rsidRPr="00BC6D51">
        <w:rPr>
          <w:rFonts w:ascii="Palatino Linotype" w:eastAsia="Palatino Linotype" w:hAnsi="Palatino Linotype" w:cs="Palatino Linotype"/>
          <w:b/>
          <w:color w:val="000000" w:themeColor="text1"/>
          <w:sz w:val="24"/>
          <w:szCs w:val="24"/>
        </w:rPr>
        <w:t>trece</w:t>
      </w:r>
      <w:r w:rsidR="001C6110" w:rsidRPr="00BC6D51">
        <w:rPr>
          <w:rFonts w:ascii="Palatino Linotype" w:eastAsia="Palatino Linotype" w:hAnsi="Palatino Linotype" w:cs="Palatino Linotype"/>
          <w:b/>
          <w:color w:val="000000" w:themeColor="text1"/>
          <w:sz w:val="24"/>
          <w:szCs w:val="24"/>
        </w:rPr>
        <w:t xml:space="preserve"> de enero de dos mil veinticinco</w:t>
      </w:r>
      <w:r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EL RECURRENTE,</w:t>
      </w:r>
      <w:r w:rsidRPr="00BC6D51">
        <w:rPr>
          <w:rFonts w:ascii="Palatino Linotype" w:eastAsia="Palatino Linotype" w:hAnsi="Palatino Linotype" w:cs="Palatino Linotype"/>
          <w:color w:val="000000" w:themeColor="text1"/>
          <w:sz w:val="24"/>
          <w:szCs w:val="24"/>
        </w:rPr>
        <w:t xml:space="preserve"> ante el </w:t>
      </w:r>
      <w:r w:rsidRPr="00BC6D51">
        <w:rPr>
          <w:rFonts w:ascii="Palatino Linotype" w:eastAsia="Palatino Linotype" w:hAnsi="Palatino Linotype" w:cs="Palatino Linotype"/>
          <w:b/>
          <w:color w:val="000000" w:themeColor="text1"/>
          <w:sz w:val="24"/>
          <w:szCs w:val="24"/>
        </w:rPr>
        <w:t>SUJETO OBLIGADO</w:t>
      </w:r>
      <w:r w:rsidRPr="00BC6D51">
        <w:rPr>
          <w:rFonts w:ascii="Palatino Linotype" w:eastAsia="Palatino Linotype" w:hAnsi="Palatino Linotype" w:cs="Palatino Linotype"/>
          <w:color w:val="000000" w:themeColor="text1"/>
          <w:sz w:val="24"/>
          <w:szCs w:val="24"/>
        </w:rPr>
        <w:t xml:space="preserve"> vía Sistema de Acceso a la Información Mexiquense (</w:t>
      </w:r>
      <w:r w:rsidRPr="00BC6D51">
        <w:rPr>
          <w:rFonts w:ascii="Palatino Linotype" w:eastAsia="Palatino Linotype" w:hAnsi="Palatino Linotype" w:cs="Palatino Linotype"/>
          <w:b/>
          <w:color w:val="000000" w:themeColor="text1"/>
          <w:sz w:val="24"/>
          <w:szCs w:val="24"/>
        </w:rPr>
        <w:t>SAIMEX)</w:t>
      </w:r>
      <w:r w:rsidR="005029F8" w:rsidRPr="00BC6D51">
        <w:rPr>
          <w:rFonts w:ascii="Palatino Linotype" w:eastAsia="Palatino Linotype" w:hAnsi="Palatino Linotype" w:cs="Palatino Linotype"/>
          <w:color w:val="000000" w:themeColor="text1"/>
          <w:sz w:val="24"/>
          <w:szCs w:val="24"/>
        </w:rPr>
        <w:t>,</w:t>
      </w:r>
      <w:r w:rsidRPr="00BC6D51">
        <w:rPr>
          <w:rFonts w:ascii="Palatino Linotype" w:eastAsia="Palatino Linotype" w:hAnsi="Palatino Linotype" w:cs="Palatino Linotype"/>
          <w:color w:val="000000" w:themeColor="text1"/>
          <w:sz w:val="24"/>
          <w:szCs w:val="24"/>
        </w:rPr>
        <w:t>presentó la solicitud de infor</w:t>
      </w:r>
      <w:r w:rsidR="00062934" w:rsidRPr="00BC6D51">
        <w:rPr>
          <w:rFonts w:ascii="Palatino Linotype" w:eastAsia="Palatino Linotype" w:hAnsi="Palatino Linotype" w:cs="Palatino Linotype"/>
          <w:color w:val="000000" w:themeColor="text1"/>
          <w:sz w:val="24"/>
          <w:szCs w:val="24"/>
        </w:rPr>
        <w:t xml:space="preserve">mación registrada </w:t>
      </w:r>
      <w:r w:rsidR="001C6110" w:rsidRPr="00BC6D51">
        <w:rPr>
          <w:rFonts w:ascii="Palatino Linotype" w:eastAsia="Palatino Linotype" w:hAnsi="Palatino Linotype" w:cs="Palatino Linotype"/>
          <w:color w:val="000000" w:themeColor="text1"/>
          <w:sz w:val="24"/>
          <w:szCs w:val="24"/>
        </w:rPr>
        <w:t>con el número</w:t>
      </w:r>
      <w:r w:rsidR="00FA2E10" w:rsidRPr="00BC6D51">
        <w:rPr>
          <w:rFonts w:ascii="Palatino Linotype" w:eastAsia="Palatino Linotype" w:hAnsi="Palatino Linotype" w:cs="Palatino Linotype"/>
          <w:b/>
          <w:bCs/>
          <w:color w:val="000000" w:themeColor="text1"/>
          <w:sz w:val="24"/>
          <w:szCs w:val="24"/>
        </w:rPr>
        <w:t> </w:t>
      </w:r>
      <w:r w:rsidR="00062934" w:rsidRPr="00BC6D51">
        <w:rPr>
          <w:rFonts w:ascii="Palatino Linotype" w:eastAsia="Palatino Linotype" w:hAnsi="Palatino Linotype" w:cs="Palatino Linotype"/>
          <w:b/>
          <w:bCs/>
          <w:color w:val="000000" w:themeColor="text1"/>
          <w:sz w:val="24"/>
          <w:szCs w:val="24"/>
        </w:rPr>
        <w:t> 00207/TOLUCA/IP/2025</w:t>
      </w:r>
      <w:r w:rsidR="00FA2E10" w:rsidRPr="00BC6D51">
        <w:rPr>
          <w:rFonts w:ascii="Palatino Linotype" w:eastAsia="Palatino Linotype" w:hAnsi="Palatino Linotype" w:cs="Palatino Linotype"/>
          <w:b/>
          <w:bCs/>
          <w:color w:val="000000" w:themeColor="text1"/>
          <w:sz w:val="24"/>
          <w:szCs w:val="24"/>
        </w:rPr>
        <w:t>,</w:t>
      </w:r>
      <w:r w:rsidRPr="00BC6D51">
        <w:rPr>
          <w:rFonts w:ascii="Palatino Linotype" w:eastAsia="Palatino Linotype" w:hAnsi="Palatino Linotype" w:cs="Palatino Linotype"/>
          <w:b/>
          <w:color w:val="000000" w:themeColor="text1"/>
          <w:sz w:val="24"/>
          <w:szCs w:val="24"/>
        </w:rPr>
        <w:t xml:space="preserve"> </w:t>
      </w:r>
      <w:r w:rsidR="009E03D5">
        <w:rPr>
          <w:rFonts w:ascii="Palatino Linotype" w:eastAsia="Palatino Linotype" w:hAnsi="Palatino Linotype" w:cs="Palatino Linotype"/>
          <w:color w:val="000000" w:themeColor="text1"/>
          <w:sz w:val="24"/>
          <w:szCs w:val="24"/>
        </w:rPr>
        <w:t>en la que se</w:t>
      </w:r>
      <w:r w:rsidRPr="00BC6D51">
        <w:rPr>
          <w:rFonts w:ascii="Palatino Linotype" w:eastAsia="Palatino Linotype" w:hAnsi="Palatino Linotype" w:cs="Palatino Linotype"/>
          <w:color w:val="000000" w:themeColor="text1"/>
          <w:sz w:val="24"/>
          <w:szCs w:val="24"/>
        </w:rPr>
        <w:t xml:space="preserve"> solicitó lo siguiente:</w:t>
      </w:r>
    </w:p>
    <w:p w14:paraId="77668F2C" w14:textId="77777777" w:rsidR="00546C2A" w:rsidRPr="00BC6D51" w:rsidRDefault="00546C2A" w:rsidP="00E42E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14:paraId="348F7263" w14:textId="14F9D904" w:rsidR="00546C2A" w:rsidRDefault="00546C2A" w:rsidP="00E42E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r w:rsidR="00062934" w:rsidRPr="00BC6D51">
        <w:rPr>
          <w:rFonts w:ascii="Palatino Linotype" w:eastAsia="Palatino Linotype" w:hAnsi="Palatino Linotype" w:cs="Palatino Linotype"/>
          <w:i/>
          <w:color w:val="000000" w:themeColor="text1"/>
          <w:sz w:val="24"/>
          <w:szCs w:val="24"/>
        </w:rPr>
        <w:t>Se solicita todas las licitaciones y contratos realizado en la Administración en 2024</w:t>
      </w:r>
      <w:r w:rsidR="005029F8" w:rsidRPr="00BC6D51">
        <w:rPr>
          <w:rFonts w:ascii="Palatino Linotype" w:eastAsia="Palatino Linotype" w:hAnsi="Palatino Linotype" w:cs="Palatino Linotype"/>
          <w:i/>
          <w:color w:val="000000" w:themeColor="text1"/>
          <w:sz w:val="24"/>
          <w:szCs w:val="24"/>
        </w:rPr>
        <w:t xml:space="preserve">” </w:t>
      </w:r>
      <w:r w:rsidRPr="00BC6D51">
        <w:rPr>
          <w:rFonts w:ascii="Palatino Linotype" w:eastAsia="Palatino Linotype" w:hAnsi="Palatino Linotype" w:cs="Palatino Linotype"/>
          <w:i/>
          <w:color w:val="000000" w:themeColor="text1"/>
          <w:sz w:val="24"/>
          <w:szCs w:val="24"/>
        </w:rPr>
        <w:t xml:space="preserve">(Sic) </w:t>
      </w:r>
    </w:p>
    <w:p w14:paraId="20AA1604" w14:textId="77777777" w:rsidR="009E03D5" w:rsidRPr="00BC6D51" w:rsidRDefault="009E03D5" w:rsidP="00E42E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7E240CEA" w14:textId="77777777" w:rsidR="00546C2A" w:rsidRPr="00BC6D51" w:rsidRDefault="00546C2A" w:rsidP="00E42E7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14:paraId="547C301C" w14:textId="66219E25" w:rsidR="00FA2E10" w:rsidRPr="00BC6D51" w:rsidRDefault="00546C2A" w:rsidP="00E42E77">
      <w:pPr>
        <w:numPr>
          <w:ilvl w:val="0"/>
          <w:numId w:val="4"/>
        </w:numPr>
        <w:spacing w:line="360" w:lineRule="auto"/>
        <w:ind w:left="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Modalidad de entrega: </w:t>
      </w:r>
      <w:r w:rsidRPr="00BC6D51">
        <w:rPr>
          <w:rFonts w:ascii="Palatino Linotype" w:eastAsia="Palatino Linotype" w:hAnsi="Palatino Linotype" w:cs="Palatino Linotype"/>
          <w:b/>
          <w:color w:val="000000" w:themeColor="text1"/>
          <w:sz w:val="24"/>
          <w:szCs w:val="24"/>
        </w:rPr>
        <w:t>Vía SAIMEX.</w:t>
      </w:r>
    </w:p>
    <w:p w14:paraId="32BCEC66" w14:textId="77777777" w:rsidR="001C6110" w:rsidRPr="00BC6D51" w:rsidRDefault="001C6110" w:rsidP="00E42E77">
      <w:pPr>
        <w:spacing w:line="360" w:lineRule="auto"/>
        <w:jc w:val="both"/>
        <w:rPr>
          <w:rFonts w:ascii="Palatino Linotype" w:eastAsia="Palatino Linotype" w:hAnsi="Palatino Linotype" w:cs="Palatino Linotype"/>
          <w:color w:val="000000" w:themeColor="text1"/>
          <w:sz w:val="24"/>
          <w:szCs w:val="24"/>
        </w:rPr>
      </w:pPr>
    </w:p>
    <w:p w14:paraId="61A2CD36" w14:textId="045E60CB"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 xml:space="preserve">El </w:t>
      </w:r>
      <w:r w:rsidR="005029F8" w:rsidRPr="00BC6D51">
        <w:rPr>
          <w:rFonts w:ascii="Palatino Linotype" w:eastAsia="Palatino Linotype" w:hAnsi="Palatino Linotype" w:cs="Palatino Linotype"/>
          <w:b/>
          <w:color w:val="000000" w:themeColor="text1"/>
          <w:sz w:val="24"/>
          <w:szCs w:val="24"/>
        </w:rPr>
        <w:t>cinco</w:t>
      </w:r>
      <w:r w:rsidR="001C6110" w:rsidRPr="00BC6D51">
        <w:rPr>
          <w:rFonts w:ascii="Palatino Linotype" w:eastAsia="Palatino Linotype" w:hAnsi="Palatino Linotype" w:cs="Palatino Linotype"/>
          <w:b/>
          <w:color w:val="000000" w:themeColor="text1"/>
          <w:sz w:val="24"/>
          <w:szCs w:val="24"/>
        </w:rPr>
        <w:t xml:space="preserve"> de febrero de dos mil veinticinco</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el </w:t>
      </w:r>
      <w:r w:rsidRPr="00BC6D51">
        <w:rPr>
          <w:rFonts w:ascii="Palatino Linotype" w:eastAsia="Palatino Linotype" w:hAnsi="Palatino Linotype" w:cs="Palatino Linotype"/>
          <w:b/>
          <w:color w:val="000000" w:themeColor="text1"/>
          <w:sz w:val="24"/>
          <w:szCs w:val="24"/>
        </w:rPr>
        <w:t>SUJETO O</w:t>
      </w:r>
      <w:r w:rsidRPr="00BC6D51">
        <w:rPr>
          <w:rFonts w:ascii="Palatino Linotype" w:eastAsia="Palatino Linotype" w:hAnsi="Palatino Linotype" w:cs="Palatino Linotype"/>
          <w:color w:val="000000" w:themeColor="text1"/>
          <w:sz w:val="24"/>
          <w:szCs w:val="24"/>
        </w:rPr>
        <w:t>B</w:t>
      </w:r>
      <w:r w:rsidRPr="00BC6D51">
        <w:rPr>
          <w:rFonts w:ascii="Palatino Linotype" w:eastAsia="Palatino Linotype" w:hAnsi="Palatino Linotype" w:cs="Palatino Linotype"/>
          <w:b/>
          <w:color w:val="000000" w:themeColor="text1"/>
          <w:sz w:val="24"/>
          <w:szCs w:val="24"/>
        </w:rPr>
        <w:t xml:space="preserve">LIGADO </w:t>
      </w:r>
      <w:r w:rsidRPr="00BC6D51">
        <w:rPr>
          <w:rFonts w:ascii="Palatino Linotype" w:eastAsia="Palatino Linotype" w:hAnsi="Palatino Linotype" w:cs="Palatino Linotype"/>
          <w:color w:val="000000" w:themeColor="text1"/>
          <w:sz w:val="24"/>
          <w:szCs w:val="24"/>
        </w:rPr>
        <w:t xml:space="preserve">dio </w:t>
      </w:r>
      <w:r w:rsidRPr="00BC6D51">
        <w:rPr>
          <w:rFonts w:ascii="Palatino Linotype" w:eastAsia="Palatino Linotype" w:hAnsi="Palatino Linotype" w:cs="Palatino Linotype"/>
          <w:b/>
          <w:color w:val="000000" w:themeColor="text1"/>
          <w:sz w:val="24"/>
          <w:szCs w:val="24"/>
        </w:rPr>
        <w:t>RESPUESTA</w:t>
      </w:r>
      <w:r w:rsidR="001C6110" w:rsidRPr="00BC6D51">
        <w:rPr>
          <w:rFonts w:ascii="Palatino Linotype" w:eastAsia="Palatino Linotype" w:hAnsi="Palatino Linotype" w:cs="Palatino Linotype"/>
          <w:color w:val="000000" w:themeColor="text1"/>
          <w:sz w:val="24"/>
          <w:szCs w:val="24"/>
        </w:rPr>
        <w:t xml:space="preserve"> a través del archivo </w:t>
      </w:r>
      <w:r w:rsidR="005029F8" w:rsidRPr="00BC6D51">
        <w:rPr>
          <w:rFonts w:ascii="Palatino Linotype" w:eastAsia="Palatino Linotype" w:hAnsi="Palatino Linotype" w:cs="Palatino Linotype"/>
          <w:b/>
          <w:i/>
          <w:color w:val="000000" w:themeColor="text1"/>
          <w:sz w:val="24"/>
          <w:szCs w:val="24"/>
        </w:rPr>
        <w:t>RESPUESTA 0121. 2025.pdf</w:t>
      </w:r>
      <w:r w:rsidR="001C6110" w:rsidRPr="00BC6D51">
        <w:rPr>
          <w:rFonts w:ascii="Palatino Linotype" w:eastAsia="Palatino Linotype" w:hAnsi="Palatino Linotype" w:cs="Palatino Linotype"/>
          <w:b/>
          <w:i/>
          <w:color w:val="000000" w:themeColor="text1"/>
          <w:sz w:val="24"/>
          <w:szCs w:val="24"/>
        </w:rPr>
        <w:t xml:space="preserve"> </w:t>
      </w:r>
      <w:r w:rsidR="001C6110" w:rsidRPr="00BC6D51">
        <w:rPr>
          <w:rFonts w:ascii="Palatino Linotype" w:eastAsia="Palatino Linotype" w:hAnsi="Palatino Linotype" w:cs="Palatino Linotype"/>
          <w:color w:val="000000" w:themeColor="text1"/>
          <w:sz w:val="24"/>
          <w:szCs w:val="24"/>
        </w:rPr>
        <w:t xml:space="preserve">del que se desprende </w:t>
      </w:r>
      <w:r w:rsidR="005029F8" w:rsidRPr="00BC6D51">
        <w:rPr>
          <w:rFonts w:ascii="Palatino Linotype" w:eastAsia="Palatino Linotype" w:hAnsi="Palatino Linotype" w:cs="Palatino Linotype"/>
          <w:color w:val="000000" w:themeColor="text1"/>
          <w:sz w:val="24"/>
          <w:szCs w:val="24"/>
        </w:rPr>
        <w:t>lo siguiente:</w:t>
      </w:r>
    </w:p>
    <w:p w14:paraId="33B3F99A" w14:textId="77777777" w:rsidR="005029F8" w:rsidRPr="00BC6D51" w:rsidRDefault="005029F8" w:rsidP="00E42E77">
      <w:pPr>
        <w:spacing w:line="360" w:lineRule="auto"/>
        <w:jc w:val="both"/>
        <w:rPr>
          <w:rFonts w:ascii="Palatino Linotype" w:eastAsia="Palatino Linotype" w:hAnsi="Palatino Linotype" w:cs="Palatino Linotype"/>
          <w:b/>
          <w:i/>
          <w:color w:val="000000" w:themeColor="text1"/>
          <w:sz w:val="24"/>
          <w:szCs w:val="24"/>
        </w:rPr>
      </w:pPr>
    </w:p>
    <w:p w14:paraId="5B91860C" w14:textId="2EDDE5F9" w:rsidR="00062934" w:rsidRPr="00BC6D51" w:rsidRDefault="0012684C" w:rsidP="00E42E77">
      <w:pPr>
        <w:pStyle w:val="Prrafodelista"/>
        <w:numPr>
          <w:ilvl w:val="0"/>
          <w:numId w:val="24"/>
        </w:numPr>
        <w:spacing w:line="360" w:lineRule="auto"/>
        <w:ind w:left="0"/>
        <w:jc w:val="both"/>
        <w:rPr>
          <w:rFonts w:ascii="Palatino Linotype" w:eastAsia="Palatino Linotype" w:hAnsi="Palatino Linotype" w:cs="Palatino Linotype"/>
          <w:b/>
          <w:i/>
          <w:color w:val="000000" w:themeColor="text1"/>
          <w:sz w:val="24"/>
        </w:rPr>
      </w:pPr>
      <w:hyperlink r:id="rId9" w:tgtFrame="_blank" w:history="1">
        <w:r w:rsidR="00062934" w:rsidRPr="00BC6D51">
          <w:rPr>
            <w:rStyle w:val="Hipervnculo"/>
            <w:rFonts w:ascii="Palatino Linotype" w:eastAsia="Palatino Linotype" w:hAnsi="Palatino Linotype" w:cs="Palatino Linotype"/>
            <w:b/>
            <w:bCs/>
            <w:i/>
            <w:color w:val="000000" w:themeColor="text1"/>
            <w:sz w:val="24"/>
          </w:rPr>
          <w:t>Anexo Saimex 000207.pdf</w:t>
        </w:r>
      </w:hyperlink>
    </w:p>
    <w:p w14:paraId="7FDC30B5" w14:textId="7A868011" w:rsidR="00062934" w:rsidRPr="00BC6D51" w:rsidRDefault="00062934" w:rsidP="00E42E77">
      <w:pPr>
        <w:spacing w:line="360" w:lineRule="auto"/>
        <w:jc w:val="both"/>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Convocatoria de la Licitación Pública Nacional </w:t>
      </w:r>
      <w:r w:rsidRPr="00BC6D51">
        <w:rPr>
          <w:rFonts w:ascii="Palatino Linotype" w:eastAsia="Palatino Linotype" w:hAnsi="Palatino Linotype" w:cs="Palatino Linotype"/>
          <w:b/>
          <w:color w:val="000000" w:themeColor="text1"/>
          <w:sz w:val="24"/>
          <w:szCs w:val="24"/>
        </w:rPr>
        <w:t>MT/DGDYyOP/FAISMUN/LP-002/2024</w:t>
      </w:r>
    </w:p>
    <w:p w14:paraId="07507840" w14:textId="1EAA93EE" w:rsidR="00062934" w:rsidRPr="00BC6D51" w:rsidRDefault="00062934"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Acta Circunstanciada de la Licitación Pública Nacional MT/DGDYyOP/FAISMUN/LP-002/2024</w:t>
      </w:r>
      <w:r w:rsidR="00862182" w:rsidRPr="00BC6D51">
        <w:rPr>
          <w:rFonts w:ascii="Palatino Linotype" w:eastAsia="Palatino Linotype" w:hAnsi="Palatino Linotype" w:cs="Palatino Linotype"/>
          <w:color w:val="000000" w:themeColor="text1"/>
          <w:sz w:val="24"/>
          <w:szCs w:val="24"/>
        </w:rPr>
        <w:t>.  Se testaron firmas de las personas jurídicas colectivas participantes</w:t>
      </w:r>
    </w:p>
    <w:p w14:paraId="34FE9519" w14:textId="77777777" w:rsidR="00862182" w:rsidRPr="00BC6D51" w:rsidRDefault="00862182"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Acta de Junta de Aclaraciones de la Licitación Pública Nacional MT/DGDYyOP/FAISMUN/LP-002/2024, Se testaron firmas de las personas jurídicas colectivas participantes</w:t>
      </w:r>
    </w:p>
    <w:p w14:paraId="15CCB521" w14:textId="77777777" w:rsidR="00296917" w:rsidRPr="00BC6D51" w:rsidRDefault="00862182"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Acta de recepción y apertura de propuestas de la Licitación Pública Nacional MT/DGDYyOP/FAISMUN/LP-002/2024</w:t>
      </w:r>
      <w:r w:rsidR="00296917" w:rsidRPr="00BC6D51">
        <w:rPr>
          <w:rFonts w:ascii="Palatino Linotype" w:eastAsia="Palatino Linotype" w:hAnsi="Palatino Linotype" w:cs="Palatino Linotype"/>
          <w:color w:val="000000" w:themeColor="text1"/>
          <w:sz w:val="24"/>
          <w:szCs w:val="24"/>
        </w:rPr>
        <w:t>, Se testaron firmas de las personas jurídicas colectivas participantes</w:t>
      </w:r>
    </w:p>
    <w:p w14:paraId="490CFE98" w14:textId="463A025E" w:rsidR="00862182" w:rsidRPr="00BC6D51" w:rsidRDefault="00296917"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Dictamen de Adjudicación para el fallo para la Licitación Pública Nacional MT/DGDYyOP/FAISMUN/LP-002/2024</w:t>
      </w:r>
    </w:p>
    <w:p w14:paraId="6D936E00" w14:textId="77777777" w:rsidR="007617C5" w:rsidRPr="00BC6D51" w:rsidRDefault="00296917"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Acta de fallo de la</w:t>
      </w:r>
      <w:r w:rsidR="00F6295D"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Licitación Pública Nacional MT/DGDYyOP/FAISMUN/LP-002/2024</w:t>
      </w:r>
      <w:r w:rsidR="007617C5" w:rsidRPr="00BC6D51">
        <w:rPr>
          <w:rFonts w:ascii="Palatino Linotype" w:eastAsia="Palatino Linotype" w:hAnsi="Palatino Linotype" w:cs="Palatino Linotype"/>
          <w:color w:val="000000" w:themeColor="text1"/>
          <w:sz w:val="24"/>
          <w:szCs w:val="24"/>
        </w:rPr>
        <w:t>, Se testaron firmas de las personas jurídicas colectivas participantes</w:t>
      </w:r>
    </w:p>
    <w:p w14:paraId="3A79BAEC" w14:textId="6256C609" w:rsidR="00296917" w:rsidRPr="00BC6D51" w:rsidRDefault="007617C5"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Anexo al Acta de fallo</w:t>
      </w:r>
      <w:r w:rsidR="0069273C" w:rsidRPr="00BC6D51">
        <w:rPr>
          <w:rFonts w:ascii="Palatino Linotype" w:eastAsia="Palatino Linotype" w:hAnsi="Palatino Linotype" w:cs="Palatino Linotype"/>
          <w:color w:val="000000" w:themeColor="text1"/>
          <w:sz w:val="24"/>
          <w:szCs w:val="24"/>
        </w:rPr>
        <w:t>.</w:t>
      </w:r>
    </w:p>
    <w:p w14:paraId="1F69BC94" w14:textId="700BD836"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Anexo al Acta de Fallo de la Licitación Pública Nacional No. MT/DGDYyOP/FAISMUN/LP-002/2024</w:t>
      </w:r>
    </w:p>
    <w:p w14:paraId="11BE83A8" w14:textId="67C5841A" w:rsidR="0069273C" w:rsidRPr="00BC6D51" w:rsidRDefault="0069273C" w:rsidP="00E42E77">
      <w:pPr>
        <w:spacing w:line="360" w:lineRule="auto"/>
        <w:jc w:val="both"/>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Contrato de Obra Pública a Precios Unitarios y Tiempo </w:t>
      </w:r>
      <w:r w:rsidR="00300B7D" w:rsidRPr="00BC6D51">
        <w:rPr>
          <w:rFonts w:ascii="Palatino Linotype" w:eastAsia="Palatino Linotype" w:hAnsi="Palatino Linotype" w:cs="Palatino Linotype"/>
          <w:color w:val="000000" w:themeColor="text1"/>
          <w:sz w:val="24"/>
          <w:szCs w:val="24"/>
        </w:rPr>
        <w:t>determinado</w:t>
      </w:r>
      <w:r w:rsidRPr="00BC6D51">
        <w:rPr>
          <w:rFonts w:ascii="Palatino Linotype" w:eastAsia="Palatino Linotype" w:hAnsi="Palatino Linotype" w:cs="Palatino Linotype"/>
          <w:color w:val="000000" w:themeColor="text1"/>
          <w:sz w:val="24"/>
          <w:szCs w:val="24"/>
        </w:rPr>
        <w:t xml:space="preserve"> no. MT/DGDUOTyOP/FAISMIM/LP-C-0001/2024</w:t>
      </w:r>
    </w:p>
    <w:p w14:paraId="7033E3FE" w14:textId="0EFDCFAF" w:rsidR="0069273C"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CONTRATO DE OBRA PÚBLICA A PRECIOS UNITARIOS Y TIEMPO DETERMINADO No. MT/DGDUOTYOP/FAISMUN/LP-C-002/2024</w:t>
      </w:r>
    </w:p>
    <w:p w14:paraId="35F839B0" w14:textId="40664DD2" w:rsidR="0069273C"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MT/DGDUOTYOP/FAISMUN/LP-C-003/2024</w:t>
      </w:r>
    </w:p>
    <w:p w14:paraId="19073CB7" w14:textId="1C8272F1"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MT/DGDUOTYOP/FAISMUN/LP-C-004/2024</w:t>
      </w:r>
    </w:p>
    <w:p w14:paraId="51F08A8B" w14:textId="3D7050EC"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MT/DGDUOTYOP/FAISMUN/LP-C-005/2024</w:t>
      </w:r>
    </w:p>
    <w:p w14:paraId="79C9E8AF" w14:textId="7E7CA840"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MT/DGDUOTYOP/FAISMUN/LP-C-006/2024</w:t>
      </w:r>
    </w:p>
    <w:p w14:paraId="1C0AEEB8" w14:textId="099D6CC5" w:rsidR="00862182"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MT/DGDUOTYOP/FAISMUN/LP-C-007/2024</w:t>
      </w:r>
    </w:p>
    <w:p w14:paraId="3162B3BC" w14:textId="672C1F66" w:rsidR="00062934"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MT/DGDUOTYOP/FAISMUN/LP-C-008/2024</w:t>
      </w:r>
    </w:p>
    <w:p w14:paraId="4A6F8CB1" w14:textId="6D5692BE"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MT/DGDUOTYOP/FAISMUN/LP-C-009/2024</w:t>
      </w:r>
      <w:r w:rsidRPr="00BC6D51">
        <w:rPr>
          <w:rFonts w:ascii="Palatino Linotype" w:eastAsia="Palatino Linotype" w:hAnsi="Palatino Linotype" w:cs="Palatino Linotype"/>
          <w:color w:val="000000" w:themeColor="text1"/>
          <w:sz w:val="24"/>
          <w:szCs w:val="24"/>
        </w:rPr>
        <w:cr/>
      </w:r>
      <w:r w:rsidRPr="00BC6D51">
        <w:rPr>
          <w:rFonts w:ascii="Palatino Linotype" w:hAnsi="Palatino Linotype"/>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MT/DGDUOTYOP/FAISMUN/LP-C-010/2024</w:t>
      </w:r>
      <w:r w:rsidRPr="00BC6D51">
        <w:rPr>
          <w:rFonts w:ascii="Palatino Linotype" w:eastAsia="Palatino Linotype" w:hAnsi="Palatino Linotype" w:cs="Palatino Linotype"/>
          <w:color w:val="000000" w:themeColor="text1"/>
          <w:sz w:val="24"/>
          <w:szCs w:val="24"/>
        </w:rPr>
        <w:cr/>
        <w:t>CONTRATO DE OBRA PÚBLICA A PRECIOS UNITARIOS Y TIEMPO DETERMINADO No. MT/DGDUOTYOP/FAISMUN/LP-C-011/2024</w:t>
      </w:r>
    </w:p>
    <w:p w14:paraId="2D48815B" w14:textId="7A03748B"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CONTRATO DE OBRA PÚBLICA A PRECIOS UNITARIOS Y TIEMPO DETERMINADO No. MT/DGDUOTYOP/FAISMUN/LP-C-012/2024</w:t>
      </w:r>
    </w:p>
    <w:p w14:paraId="5E415F6F" w14:textId="1EA4B6F7"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CONTRATO DE OBRA PÚBLICA A PRECIOS UNITARIOS Y TIEMPO DETERMINADO No. MT/DGDUOTYOP/FAISMUN/LP-C-013/2024</w:t>
      </w:r>
    </w:p>
    <w:p w14:paraId="60E87208" w14:textId="77777777" w:rsidR="00300B7D" w:rsidRPr="00BC6D51" w:rsidRDefault="00300B7D" w:rsidP="00E42E77">
      <w:pPr>
        <w:spacing w:line="360" w:lineRule="auto"/>
        <w:jc w:val="both"/>
        <w:rPr>
          <w:rFonts w:ascii="Palatino Linotype" w:eastAsia="Palatino Linotype" w:hAnsi="Palatino Linotype" w:cs="Palatino Linotype"/>
          <w:color w:val="000000" w:themeColor="text1"/>
          <w:sz w:val="24"/>
          <w:szCs w:val="24"/>
        </w:rPr>
      </w:pPr>
    </w:p>
    <w:p w14:paraId="02BD72D2" w14:textId="4AE35A2C" w:rsidR="00062934" w:rsidRPr="00BC6D51" w:rsidRDefault="0012684C" w:rsidP="00E42E77">
      <w:pPr>
        <w:pStyle w:val="Prrafodelista"/>
        <w:numPr>
          <w:ilvl w:val="0"/>
          <w:numId w:val="24"/>
        </w:numPr>
        <w:spacing w:line="360" w:lineRule="auto"/>
        <w:ind w:left="0"/>
        <w:jc w:val="both"/>
        <w:rPr>
          <w:rStyle w:val="Hipervnculo"/>
          <w:rFonts w:ascii="Palatino Linotype" w:eastAsia="Palatino Linotype" w:hAnsi="Palatino Linotype" w:cs="Palatino Linotype"/>
          <w:b/>
          <w:i/>
          <w:color w:val="000000" w:themeColor="text1"/>
          <w:sz w:val="24"/>
          <w:u w:val="none"/>
        </w:rPr>
      </w:pPr>
      <w:hyperlink r:id="rId10" w:tgtFrame="_blank" w:history="1">
        <w:r w:rsidR="00062934" w:rsidRPr="00BC6D51">
          <w:rPr>
            <w:rStyle w:val="Hipervnculo"/>
            <w:rFonts w:ascii="Palatino Linotype" w:eastAsia="Palatino Linotype" w:hAnsi="Palatino Linotype" w:cs="Palatino Linotype"/>
            <w:b/>
            <w:bCs/>
            <w:i/>
            <w:color w:val="000000" w:themeColor="text1"/>
            <w:sz w:val="24"/>
            <w:u w:val="none"/>
          </w:rPr>
          <w:t>RESPUESTA 0207. 2025.pdf</w:t>
        </w:r>
      </w:hyperlink>
    </w:p>
    <w:p w14:paraId="0F072301" w14:textId="52C2696B" w:rsidR="00C178EB" w:rsidRPr="00BC6D51" w:rsidRDefault="00C178EB" w:rsidP="00E42E77">
      <w:pPr>
        <w:spacing w:line="360"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color w:val="000000" w:themeColor="text1"/>
          <w:sz w:val="24"/>
          <w:szCs w:val="24"/>
        </w:rPr>
        <w:t>Oficio de cuatro de febrero de dos mil veinticinco, firmado por el Titular de la Unidad de Transparencia, por el que informo que “</w:t>
      </w:r>
      <w:r w:rsidRPr="00BC6D51">
        <w:rPr>
          <w:rFonts w:ascii="Palatino Linotype" w:eastAsia="Palatino Linotype" w:hAnsi="Palatino Linotype" w:cs="Palatino Linotype"/>
          <w:i/>
          <w:color w:val="000000" w:themeColor="text1"/>
          <w:sz w:val="24"/>
          <w:szCs w:val="24"/>
        </w:rPr>
        <w:t>se realizó una búsqueda</w:t>
      </w:r>
      <w:r w:rsidR="001B5085" w:rsidRPr="00BC6D51">
        <w:rPr>
          <w:rFonts w:ascii="Palatino Linotype" w:eastAsia="Palatino Linotype" w:hAnsi="Palatino Linotype" w:cs="Palatino Linotype"/>
          <w:i/>
          <w:color w:val="000000" w:themeColor="text1"/>
          <w:sz w:val="24"/>
          <w:szCs w:val="24"/>
        </w:rPr>
        <w:t xml:space="preserve"> </w:t>
      </w:r>
      <w:r w:rsidRPr="00BC6D51">
        <w:rPr>
          <w:rFonts w:ascii="Palatino Linotype" w:eastAsia="Palatino Linotype" w:hAnsi="Palatino Linotype" w:cs="Palatino Linotype"/>
          <w:i/>
          <w:color w:val="000000" w:themeColor="text1"/>
          <w:sz w:val="24"/>
          <w:szCs w:val="24"/>
        </w:rPr>
        <w:t xml:space="preserve"> y razonable de la información objeto de la solicitud, en los archivos que se encuentran bajo resguardo y custodia, búsqueda en la que se ubicaron los documentos que a continuación se mencionan.</w:t>
      </w:r>
    </w:p>
    <w:p w14:paraId="3AA10B0B" w14:textId="01851A72" w:rsidR="00C178EB" w:rsidRPr="00BC6D51" w:rsidRDefault="00C178EB" w:rsidP="00E42E77">
      <w:pPr>
        <w:pStyle w:val="Prrafodelista"/>
        <w:numPr>
          <w:ilvl w:val="0"/>
          <w:numId w:val="24"/>
        </w:numPr>
        <w:spacing w:line="360" w:lineRule="auto"/>
        <w:ind w:left="0"/>
        <w:jc w:val="both"/>
        <w:rPr>
          <w:rFonts w:ascii="Palatino Linotype" w:eastAsia="Palatino Linotype" w:hAnsi="Palatino Linotype" w:cs="Palatino Linotype"/>
          <w:i/>
          <w:color w:val="000000" w:themeColor="text1"/>
          <w:sz w:val="24"/>
        </w:rPr>
      </w:pPr>
      <w:r w:rsidRPr="00BC6D51">
        <w:rPr>
          <w:rFonts w:ascii="Palatino Linotype" w:eastAsia="Palatino Linotype" w:hAnsi="Palatino Linotype" w:cs="Palatino Linotype"/>
          <w:i/>
          <w:color w:val="000000" w:themeColor="text1"/>
          <w:sz w:val="24"/>
        </w:rPr>
        <w:t>Procedimiento de licitación que se integra por: convocatoria, acta de visita al sitio, acta de junta de aclaraciones, acta de recepción y apertura de propuestas, dictamen de adjudicación y acta de fallo.</w:t>
      </w:r>
    </w:p>
    <w:p w14:paraId="6A5444B4" w14:textId="277CEA49" w:rsidR="00C178EB" w:rsidRPr="00BC6D51" w:rsidRDefault="00C178EB" w:rsidP="00E42E77">
      <w:pPr>
        <w:pStyle w:val="Prrafodelista"/>
        <w:numPr>
          <w:ilvl w:val="0"/>
          <w:numId w:val="24"/>
        </w:numPr>
        <w:spacing w:line="360" w:lineRule="auto"/>
        <w:ind w:left="0"/>
        <w:jc w:val="both"/>
        <w:rPr>
          <w:rFonts w:ascii="Palatino Linotype" w:eastAsia="Palatino Linotype" w:hAnsi="Palatino Linotype" w:cs="Palatino Linotype"/>
          <w:i/>
          <w:color w:val="000000" w:themeColor="text1"/>
          <w:sz w:val="24"/>
        </w:rPr>
      </w:pPr>
      <w:r w:rsidRPr="00BC6D51">
        <w:rPr>
          <w:rFonts w:ascii="Palatino Linotype" w:eastAsia="Palatino Linotype" w:hAnsi="Palatino Linotype" w:cs="Palatino Linotype"/>
          <w:i/>
          <w:color w:val="000000" w:themeColor="text1"/>
          <w:sz w:val="24"/>
        </w:rPr>
        <w:t>Trece contratos de obra pública a precios unitarios.</w:t>
      </w:r>
    </w:p>
    <w:p w14:paraId="7E34C277" w14:textId="436ACBCA" w:rsidR="00C178EB" w:rsidRPr="00BC6D51" w:rsidRDefault="00C178EB"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Asimismo, manifestó que la información remitida es la que obra en sus archivos bajo resguardo y custodia.</w:t>
      </w:r>
    </w:p>
    <w:p w14:paraId="7318D7ED" w14:textId="77777777" w:rsidR="00C178EB" w:rsidRPr="00BC6D51" w:rsidRDefault="00C178EB" w:rsidP="00E42E77">
      <w:pPr>
        <w:spacing w:line="360" w:lineRule="auto"/>
        <w:jc w:val="both"/>
        <w:rPr>
          <w:rFonts w:ascii="Palatino Linotype" w:eastAsia="Palatino Linotype" w:hAnsi="Palatino Linotype" w:cs="Palatino Linotype"/>
          <w:color w:val="000000" w:themeColor="text1"/>
          <w:sz w:val="24"/>
          <w:szCs w:val="24"/>
        </w:rPr>
      </w:pPr>
    </w:p>
    <w:p w14:paraId="1B208D3F" w14:textId="69F7028A" w:rsidR="00C178EB" w:rsidRPr="00BC6D51" w:rsidRDefault="00C178EB" w:rsidP="00E42E77">
      <w:pPr>
        <w:spacing w:line="360"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Por lo que respecta  a la Dirección General de Administración y Servidora Pública Habilitada, informo que la Dirección de Recursos Materiales, informa que lo solicitado, correspondiente al año 2024, podrá ser consultado en el Portal de Información Pública de Oficio Mexiquense (IPOMEX) en el artículo 92 fracción XXIX, a través del siguiente link:</w:t>
      </w:r>
    </w:p>
    <w:p w14:paraId="4429608B" w14:textId="1FAE34B6" w:rsidR="00C178EB" w:rsidRPr="00BC6D51" w:rsidRDefault="00C178EB" w:rsidP="00E42E77">
      <w:pPr>
        <w:spacing w:line="360"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noProof/>
          <w:color w:val="000000" w:themeColor="text1"/>
          <w:sz w:val="24"/>
          <w:szCs w:val="24"/>
          <w:lang w:eastAsia="es-MX"/>
        </w:rPr>
        <w:drawing>
          <wp:inline distT="0" distB="0" distL="0" distR="0" wp14:anchorId="7928DDE4" wp14:editId="2FD56160">
            <wp:extent cx="4696480" cy="285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6480" cy="285790"/>
                    </a:xfrm>
                    <a:prstGeom prst="rect">
                      <a:avLst/>
                    </a:prstGeom>
                  </pic:spPr>
                </pic:pic>
              </a:graphicData>
            </a:graphic>
          </wp:inline>
        </w:drawing>
      </w:r>
    </w:p>
    <w:p w14:paraId="38EA9385" w14:textId="7883EEA2" w:rsidR="00062934" w:rsidRPr="00BC6D51" w:rsidRDefault="00C178EB" w:rsidP="00E42E77">
      <w:pPr>
        <w:spacing w:line="360"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Asimismo, la Tesorería Municipal y Servidor Público Habilitado, informo que no se cuenta con la información solicitada.</w:t>
      </w:r>
    </w:p>
    <w:p w14:paraId="1A2A15C2" w14:textId="77777777" w:rsidR="00062934" w:rsidRPr="00BC6D51" w:rsidRDefault="00062934" w:rsidP="00E42E77">
      <w:pPr>
        <w:pStyle w:val="Prrafodelista"/>
        <w:spacing w:line="360" w:lineRule="auto"/>
        <w:ind w:left="0"/>
        <w:jc w:val="both"/>
        <w:rPr>
          <w:rFonts w:ascii="Palatino Linotype" w:eastAsia="Palatino Linotype" w:hAnsi="Palatino Linotype" w:cs="Palatino Linotype"/>
          <w:b/>
          <w:i/>
          <w:color w:val="000000" w:themeColor="text1"/>
          <w:sz w:val="24"/>
        </w:rPr>
      </w:pPr>
    </w:p>
    <w:p w14:paraId="576BAD3E" w14:textId="77777777" w:rsidR="00546C2A" w:rsidRPr="00BC6D51" w:rsidRDefault="00546C2A" w:rsidP="00E42E77">
      <w:pPr>
        <w:spacing w:line="360" w:lineRule="auto"/>
        <w:jc w:val="both"/>
        <w:rPr>
          <w:rFonts w:ascii="Palatino Linotype" w:eastAsia="Palatino Linotype" w:hAnsi="Palatino Linotype" w:cs="Palatino Linotype"/>
          <w:color w:val="000000" w:themeColor="text1"/>
          <w:sz w:val="24"/>
          <w:szCs w:val="24"/>
        </w:rPr>
      </w:pPr>
    </w:p>
    <w:p w14:paraId="58E21051" w14:textId="184CA30C"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 xml:space="preserve">Inconforme con lo anterior, el </w:t>
      </w:r>
      <w:r w:rsidR="00C178EB" w:rsidRPr="00BC6D51">
        <w:rPr>
          <w:rFonts w:ascii="Palatino Linotype" w:eastAsia="Palatino Linotype" w:hAnsi="Palatino Linotype" w:cs="Palatino Linotype"/>
          <w:b/>
          <w:color w:val="000000" w:themeColor="text1"/>
          <w:sz w:val="24"/>
          <w:szCs w:val="24"/>
        </w:rPr>
        <w:t>veinticuatro</w:t>
      </w:r>
      <w:r w:rsidR="009C4837" w:rsidRPr="00BC6D51">
        <w:rPr>
          <w:rFonts w:ascii="Palatino Linotype" w:eastAsia="Palatino Linotype" w:hAnsi="Palatino Linotype" w:cs="Palatino Linotype"/>
          <w:b/>
          <w:color w:val="000000" w:themeColor="text1"/>
          <w:sz w:val="24"/>
          <w:szCs w:val="24"/>
        </w:rPr>
        <w:t xml:space="preserve"> de febrero</w:t>
      </w:r>
      <w:r w:rsidR="001C6110" w:rsidRPr="00BC6D51">
        <w:rPr>
          <w:rFonts w:ascii="Palatino Linotype" w:eastAsia="Palatino Linotype" w:hAnsi="Palatino Linotype" w:cs="Palatino Linotype"/>
          <w:b/>
          <w:color w:val="000000" w:themeColor="text1"/>
          <w:sz w:val="24"/>
          <w:szCs w:val="24"/>
        </w:rPr>
        <w:t xml:space="preserve"> de dos mil veinticinco</w:t>
      </w:r>
      <w:r w:rsidRPr="00BC6D51">
        <w:rPr>
          <w:rFonts w:ascii="Palatino Linotype" w:eastAsia="Palatino Linotype" w:hAnsi="Palatino Linotype" w:cs="Palatino Linotype"/>
          <w:color w:val="000000" w:themeColor="text1"/>
          <w:sz w:val="24"/>
          <w:szCs w:val="24"/>
        </w:rPr>
        <w:t xml:space="preserve">,  el </w:t>
      </w:r>
      <w:r w:rsidRPr="00BC6D51">
        <w:rPr>
          <w:rFonts w:ascii="Palatino Linotype" w:eastAsia="Palatino Linotype" w:hAnsi="Palatino Linotype" w:cs="Palatino Linotype"/>
          <w:b/>
          <w:color w:val="000000" w:themeColor="text1"/>
          <w:sz w:val="24"/>
          <w:szCs w:val="24"/>
        </w:rPr>
        <w:t xml:space="preserve">SUJETO OBLIGADO </w:t>
      </w:r>
      <w:r w:rsidRPr="00BC6D51">
        <w:rPr>
          <w:rFonts w:ascii="Palatino Linotype" w:eastAsia="Palatino Linotype" w:hAnsi="Palatino Linotype" w:cs="Palatino Linotype"/>
          <w:color w:val="000000" w:themeColor="text1"/>
          <w:sz w:val="24"/>
          <w:szCs w:val="24"/>
        </w:rPr>
        <w:t xml:space="preserve">interpuso recurso de revisión, arguyendo como </w:t>
      </w:r>
    </w:p>
    <w:p w14:paraId="381B4D54" w14:textId="77777777" w:rsidR="009E03D5" w:rsidRDefault="009E03D5" w:rsidP="009E03D5">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p>
    <w:p w14:paraId="4C4BCA3B" w14:textId="7716EE02" w:rsidR="00546C2A" w:rsidRPr="009E03D5" w:rsidRDefault="00546C2A" w:rsidP="009E03D5">
      <w:pPr>
        <w:pStyle w:val="Prrafodelista"/>
        <w:numPr>
          <w:ilvl w:val="0"/>
          <w:numId w:val="31"/>
        </w:numPr>
        <w:pBdr>
          <w:top w:val="nil"/>
          <w:left w:val="nil"/>
          <w:bottom w:val="nil"/>
          <w:right w:val="nil"/>
          <w:between w:val="nil"/>
        </w:pBdr>
        <w:jc w:val="both"/>
        <w:rPr>
          <w:rFonts w:ascii="Palatino Linotype" w:eastAsia="Palatino Linotype" w:hAnsi="Palatino Linotype" w:cs="Palatino Linotype"/>
          <w:i/>
          <w:color w:val="000000" w:themeColor="text1"/>
          <w:sz w:val="24"/>
        </w:rPr>
      </w:pPr>
      <w:r w:rsidRPr="009E03D5">
        <w:rPr>
          <w:rFonts w:ascii="Palatino Linotype" w:eastAsia="Palatino Linotype" w:hAnsi="Palatino Linotype" w:cs="Palatino Linotype"/>
          <w:b/>
          <w:color w:val="000000" w:themeColor="text1"/>
          <w:sz w:val="24"/>
        </w:rPr>
        <w:t>Acto impugnado</w:t>
      </w:r>
      <w:r w:rsidRPr="009E03D5">
        <w:rPr>
          <w:rFonts w:ascii="Palatino Linotype" w:eastAsia="Palatino Linotype" w:hAnsi="Palatino Linotype" w:cs="Palatino Linotype"/>
          <w:b/>
          <w:i/>
          <w:color w:val="000000" w:themeColor="text1"/>
          <w:sz w:val="24"/>
        </w:rPr>
        <w:t>:</w:t>
      </w:r>
      <w:r w:rsidRPr="009E03D5">
        <w:rPr>
          <w:rFonts w:ascii="Palatino Linotype" w:eastAsia="Palatino Linotype" w:hAnsi="Palatino Linotype" w:cs="Palatino Linotype"/>
          <w:color w:val="000000" w:themeColor="text1"/>
          <w:sz w:val="24"/>
        </w:rPr>
        <w:t xml:space="preserve"> </w:t>
      </w:r>
      <w:r w:rsidRPr="009E03D5">
        <w:rPr>
          <w:rFonts w:ascii="Palatino Linotype" w:eastAsia="Palatino Linotype" w:hAnsi="Palatino Linotype" w:cs="Palatino Linotype"/>
          <w:i/>
          <w:color w:val="000000" w:themeColor="text1"/>
          <w:sz w:val="24"/>
        </w:rPr>
        <w:t>“</w:t>
      </w:r>
      <w:r w:rsidR="00C178EB" w:rsidRPr="009E03D5">
        <w:rPr>
          <w:rFonts w:ascii="Palatino Linotype" w:eastAsia="Palatino Linotype" w:hAnsi="Palatino Linotype" w:cs="Palatino Linotype"/>
          <w:i/>
          <w:color w:val="000000" w:themeColor="text1"/>
          <w:sz w:val="24"/>
        </w:rPr>
        <w:t>No entrega la información como se solicito</w:t>
      </w:r>
      <w:r w:rsidRPr="009E03D5">
        <w:rPr>
          <w:rFonts w:ascii="Palatino Linotype" w:eastAsia="Palatino Linotype" w:hAnsi="Palatino Linotype" w:cs="Palatino Linotype"/>
          <w:i/>
          <w:color w:val="000000" w:themeColor="text1"/>
          <w:sz w:val="24"/>
        </w:rPr>
        <w:t>” (sic)</w:t>
      </w:r>
    </w:p>
    <w:p w14:paraId="129A19DF" w14:textId="77777777" w:rsidR="00546C2A" w:rsidRPr="00BC6D51" w:rsidRDefault="00546C2A" w:rsidP="00E42E7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3CDF2AB9" w14:textId="1A6315FD" w:rsidR="00546C2A" w:rsidRPr="00BC6D51" w:rsidRDefault="00546C2A" w:rsidP="009E03D5">
      <w:pPr>
        <w:pStyle w:val="Listaconvietas2"/>
        <w:numPr>
          <w:ilvl w:val="0"/>
          <w:numId w:val="31"/>
        </w:numPr>
        <w:tabs>
          <w:tab w:val="clear" w:pos="643"/>
        </w:tabs>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b/>
          <w:color w:val="000000" w:themeColor="text1"/>
          <w:sz w:val="24"/>
          <w:szCs w:val="24"/>
        </w:rPr>
        <w:t xml:space="preserve">Razones o Motivos de inconformidad: </w:t>
      </w:r>
      <w:r w:rsidR="001C6110" w:rsidRPr="00BC6D51">
        <w:rPr>
          <w:rFonts w:ascii="Palatino Linotype" w:eastAsia="Palatino Linotype" w:hAnsi="Palatino Linotype" w:cs="Palatino Linotype"/>
          <w:b/>
          <w:color w:val="000000" w:themeColor="text1"/>
          <w:sz w:val="24"/>
          <w:szCs w:val="24"/>
        </w:rPr>
        <w:t>“</w:t>
      </w:r>
      <w:r w:rsidR="00C178EB" w:rsidRPr="00BC6D51">
        <w:rPr>
          <w:rFonts w:ascii="Palatino Linotype" w:eastAsia="Palatino Linotype" w:hAnsi="Palatino Linotype" w:cs="Palatino Linotype"/>
          <w:i/>
          <w:color w:val="000000" w:themeColor="text1"/>
          <w:sz w:val="24"/>
          <w:szCs w:val="24"/>
        </w:rPr>
        <w:t xml:space="preserve">No entrega los contratos y licitación </w:t>
      </w:r>
      <w:r w:rsidRPr="00BC6D51">
        <w:rPr>
          <w:rFonts w:ascii="Palatino Linotype" w:eastAsia="Palatino Linotype" w:hAnsi="Palatino Linotype" w:cs="Palatino Linotype"/>
          <w:i/>
          <w:color w:val="000000" w:themeColor="text1"/>
          <w:sz w:val="24"/>
          <w:szCs w:val="24"/>
        </w:rPr>
        <w:t>“(Sic)</w:t>
      </w:r>
    </w:p>
    <w:p w14:paraId="5876C336" w14:textId="77777777" w:rsidR="00546C2A" w:rsidRPr="00BC6D51" w:rsidRDefault="00546C2A" w:rsidP="00E42E77">
      <w:pPr>
        <w:spacing w:line="360" w:lineRule="auto"/>
        <w:jc w:val="both"/>
        <w:rPr>
          <w:rFonts w:ascii="Palatino Linotype" w:eastAsia="Palatino Linotype" w:hAnsi="Palatino Linotype" w:cs="Palatino Linotype"/>
          <w:color w:val="000000" w:themeColor="text1"/>
          <w:sz w:val="24"/>
          <w:szCs w:val="24"/>
        </w:rPr>
      </w:pPr>
    </w:p>
    <w:p w14:paraId="5F2BDDCF" w14:textId="50ABF653"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BC6D51">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BC6D51">
        <w:rPr>
          <w:rFonts w:ascii="Palatino Linotype" w:eastAsia="Palatino Linotype" w:hAnsi="Palatino Linotype" w:cs="Palatino Linotype"/>
          <w:color w:val="000000" w:themeColor="text1"/>
          <w:sz w:val="24"/>
          <w:szCs w:val="24"/>
        </w:rPr>
        <w:t xml:space="preserve">se turnó a la </w:t>
      </w:r>
      <w:r w:rsidRPr="00BC6D51">
        <w:rPr>
          <w:rFonts w:ascii="Palatino Linotype" w:eastAsia="Palatino Linotype" w:hAnsi="Palatino Linotype" w:cs="Palatino Linotype"/>
          <w:b/>
          <w:color w:val="000000" w:themeColor="text1"/>
          <w:sz w:val="24"/>
          <w:szCs w:val="24"/>
        </w:rPr>
        <w:t xml:space="preserve">Comisionada María del Rosario Mejía Ayala, </w:t>
      </w:r>
      <w:r w:rsidR="009E03D5">
        <w:rPr>
          <w:rFonts w:ascii="Palatino Linotype" w:eastAsia="Palatino Linotype" w:hAnsi="Palatino Linotype" w:cs="Palatino Linotype"/>
          <w:color w:val="000000" w:themeColor="text1"/>
          <w:sz w:val="24"/>
          <w:szCs w:val="24"/>
        </w:rPr>
        <w:t>para</w:t>
      </w:r>
      <w:r w:rsidRPr="00BC6D51">
        <w:rPr>
          <w:rFonts w:ascii="Palatino Linotype" w:eastAsia="Palatino Linotype" w:hAnsi="Palatino Linotype" w:cs="Palatino Linotype"/>
          <w:color w:val="000000" w:themeColor="text1"/>
          <w:sz w:val="24"/>
          <w:szCs w:val="24"/>
        </w:rPr>
        <w:t xml:space="preserve"> su análisis. </w:t>
      </w:r>
    </w:p>
    <w:p w14:paraId="30E93D52" w14:textId="77777777" w:rsidR="00546C2A" w:rsidRPr="00BC6D51" w:rsidRDefault="00546C2A" w:rsidP="00E42E77">
      <w:pPr>
        <w:spacing w:line="360" w:lineRule="auto"/>
        <w:jc w:val="both"/>
        <w:rPr>
          <w:rFonts w:ascii="Palatino Linotype" w:eastAsia="Palatino Linotype" w:hAnsi="Palatino Linotype" w:cs="Palatino Linotype"/>
          <w:color w:val="000000" w:themeColor="text1"/>
          <w:sz w:val="24"/>
          <w:szCs w:val="24"/>
        </w:rPr>
      </w:pPr>
    </w:p>
    <w:p w14:paraId="7EE23493" w14:textId="5BC75F0E"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La Comisionada Ponente con fundamento en lo dispuesto por el artículo 18 fracción II de la ley de la materia, a través del acuerdo de admisión notificado el </w:t>
      </w:r>
      <w:r w:rsidR="0050269C" w:rsidRPr="00BC6D51">
        <w:rPr>
          <w:rFonts w:ascii="Palatino Linotype" w:eastAsia="Palatino Linotype" w:hAnsi="Palatino Linotype" w:cs="Palatino Linotype"/>
          <w:b/>
          <w:color w:val="000000" w:themeColor="text1"/>
          <w:sz w:val="24"/>
          <w:szCs w:val="24"/>
        </w:rPr>
        <w:t>veintiocho</w:t>
      </w:r>
      <w:r w:rsidR="005029F8" w:rsidRPr="00BC6D51">
        <w:rPr>
          <w:rFonts w:ascii="Palatino Linotype" w:eastAsia="Palatino Linotype" w:hAnsi="Palatino Linotype" w:cs="Palatino Linotype"/>
          <w:b/>
          <w:color w:val="000000" w:themeColor="text1"/>
          <w:sz w:val="24"/>
          <w:szCs w:val="24"/>
        </w:rPr>
        <w:t xml:space="preserve"> de febrero</w:t>
      </w:r>
      <w:r w:rsidR="001C6110" w:rsidRPr="00BC6D51">
        <w:rPr>
          <w:rFonts w:ascii="Palatino Linotype" w:eastAsia="Palatino Linotype" w:hAnsi="Palatino Linotype" w:cs="Palatino Linotype"/>
          <w:b/>
          <w:color w:val="000000" w:themeColor="text1"/>
          <w:sz w:val="24"/>
          <w:szCs w:val="24"/>
        </w:rPr>
        <w:t xml:space="preserve"> de dos mil veinticinco</w:t>
      </w:r>
      <w:r w:rsidRPr="00BC6D51">
        <w:rPr>
          <w:rFonts w:ascii="Palatino Linotype" w:eastAsia="Palatino Linotype" w:hAnsi="Palatino Linotype" w:cs="Palatino Linotype"/>
          <w:b/>
          <w:color w:val="000000" w:themeColor="text1"/>
          <w:sz w:val="24"/>
          <w:szCs w:val="24"/>
        </w:rPr>
        <w:t>,</w:t>
      </w:r>
      <w:r w:rsidRPr="00BC6D51">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BC6D51">
        <w:rPr>
          <w:rFonts w:ascii="Palatino Linotype" w:eastAsia="Palatino Linotype" w:hAnsi="Palatino Linotype" w:cs="Palatino Linotype"/>
          <w:b/>
          <w:color w:val="000000" w:themeColor="text1"/>
          <w:sz w:val="24"/>
          <w:szCs w:val="24"/>
        </w:rPr>
        <w:t xml:space="preserve">SAIMEX </w:t>
      </w:r>
      <w:r w:rsidRPr="00BC6D51">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BC6D51">
        <w:rPr>
          <w:rFonts w:ascii="Palatino Linotype" w:eastAsia="Palatino Linotype" w:hAnsi="Palatino Linotype" w:cs="Palatino Linotype"/>
          <w:b/>
          <w:color w:val="000000" w:themeColor="text1"/>
          <w:sz w:val="24"/>
          <w:szCs w:val="24"/>
        </w:rPr>
        <w:t>SUJETO OBLIGADO</w:t>
      </w:r>
      <w:r w:rsidRPr="00BC6D51">
        <w:rPr>
          <w:rFonts w:ascii="Palatino Linotype" w:eastAsia="Palatino Linotype" w:hAnsi="Palatino Linotype" w:cs="Palatino Linotype"/>
          <w:color w:val="000000" w:themeColor="text1"/>
          <w:sz w:val="24"/>
          <w:szCs w:val="24"/>
        </w:rPr>
        <w:t xml:space="preserve"> presentara el informe justificado procedente. </w:t>
      </w:r>
    </w:p>
    <w:p w14:paraId="4707D7AC" w14:textId="77777777" w:rsidR="00546C2A" w:rsidRPr="00BC6D51" w:rsidRDefault="00546C2A" w:rsidP="00E42E77">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14:paraId="0E01DCAC" w14:textId="4A844280" w:rsidR="009C4837" w:rsidRPr="00BC6D51" w:rsidRDefault="00546C2A" w:rsidP="00E42E77">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BC6D51">
        <w:rPr>
          <w:rFonts w:ascii="Palatino Linotype" w:eastAsia="Palatino Linotype" w:hAnsi="Palatino Linotype" w:cs="Palatino Linotype"/>
          <w:b/>
          <w:color w:val="000000" w:themeColor="text1"/>
          <w:sz w:val="24"/>
          <w:szCs w:val="24"/>
        </w:rPr>
        <w:t>PARTICULAR,</w:t>
      </w:r>
      <w:r w:rsidRPr="00BC6D51">
        <w:rPr>
          <w:rFonts w:ascii="Palatino Linotype" w:eastAsia="Palatino Linotype" w:hAnsi="Palatino Linotype" w:cs="Palatino Linotype"/>
          <w:color w:val="000000" w:themeColor="text1"/>
          <w:sz w:val="24"/>
          <w:szCs w:val="24"/>
        </w:rPr>
        <w:t xml:space="preserve"> </w:t>
      </w:r>
      <w:r w:rsidR="009C4837" w:rsidRPr="00BC6D51">
        <w:rPr>
          <w:rFonts w:ascii="Palatino Linotype" w:eastAsia="Palatino Linotype" w:hAnsi="Palatino Linotype" w:cs="Palatino Linotype"/>
          <w:color w:val="000000" w:themeColor="text1"/>
          <w:sz w:val="24"/>
          <w:szCs w:val="24"/>
        </w:rPr>
        <w:t>no realizo manifestación alguna.</w:t>
      </w:r>
    </w:p>
    <w:p w14:paraId="4EF80170" w14:textId="77777777" w:rsidR="009C4837" w:rsidRPr="00BC6D51" w:rsidRDefault="009C4837" w:rsidP="00E42E77">
      <w:pPr>
        <w:spacing w:line="360" w:lineRule="auto"/>
        <w:jc w:val="both"/>
        <w:rPr>
          <w:rFonts w:ascii="Palatino Linotype" w:eastAsia="Palatino Linotype" w:hAnsi="Palatino Linotype" w:cs="Palatino Linotype"/>
          <w:i/>
          <w:color w:val="000000" w:themeColor="text1"/>
          <w:sz w:val="24"/>
          <w:szCs w:val="24"/>
        </w:rPr>
      </w:pPr>
    </w:p>
    <w:p w14:paraId="4FAB8528" w14:textId="7DC2F070" w:rsidR="00EB06FC" w:rsidRPr="00BC6D51" w:rsidRDefault="009C4837"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El</w:t>
      </w:r>
      <w:r w:rsidR="001C6110" w:rsidRPr="00BC6D51">
        <w:rPr>
          <w:rFonts w:ascii="Palatino Linotype" w:eastAsia="Palatino Linotype" w:hAnsi="Palatino Linotype" w:cs="Palatino Linotype"/>
          <w:color w:val="000000" w:themeColor="text1"/>
          <w:sz w:val="24"/>
          <w:szCs w:val="24"/>
        </w:rPr>
        <w:t xml:space="preserve"> </w:t>
      </w:r>
      <w:r w:rsidR="00546C2A" w:rsidRPr="00BC6D51">
        <w:rPr>
          <w:rFonts w:ascii="Palatino Linotype" w:eastAsia="Palatino Linotype" w:hAnsi="Palatino Linotype" w:cs="Palatino Linotype"/>
          <w:b/>
          <w:color w:val="000000" w:themeColor="text1"/>
          <w:sz w:val="24"/>
          <w:szCs w:val="24"/>
        </w:rPr>
        <w:t>SUJETO OBLIGADO,</w:t>
      </w:r>
      <w:r w:rsidR="00C178EB" w:rsidRPr="00BC6D51">
        <w:rPr>
          <w:rFonts w:ascii="Palatino Linotype" w:eastAsia="Palatino Linotype" w:hAnsi="Palatino Linotype" w:cs="Palatino Linotype"/>
          <w:b/>
          <w:color w:val="000000" w:themeColor="text1"/>
          <w:sz w:val="24"/>
          <w:szCs w:val="24"/>
        </w:rPr>
        <w:t xml:space="preserve"> </w:t>
      </w:r>
      <w:r w:rsidR="00C178EB" w:rsidRPr="00BC6D51">
        <w:rPr>
          <w:rFonts w:ascii="Palatino Linotype" w:eastAsia="Palatino Linotype" w:hAnsi="Palatino Linotype" w:cs="Palatino Linotype"/>
          <w:color w:val="000000" w:themeColor="text1"/>
          <w:sz w:val="24"/>
          <w:szCs w:val="24"/>
        </w:rPr>
        <w:t xml:space="preserve">el </w:t>
      </w:r>
      <w:r w:rsidR="00C178EB" w:rsidRPr="00BC6D51">
        <w:rPr>
          <w:rFonts w:ascii="Palatino Linotype" w:eastAsia="Palatino Linotype" w:hAnsi="Palatino Linotype" w:cs="Palatino Linotype"/>
          <w:b/>
          <w:color w:val="000000" w:themeColor="text1"/>
          <w:sz w:val="24"/>
          <w:szCs w:val="24"/>
        </w:rPr>
        <w:t>doce de marzo de dos mil veinticinco,</w:t>
      </w:r>
      <w:r w:rsidR="00546C2A"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remitió el archivo </w:t>
      </w:r>
      <w:r w:rsidR="00C178EB" w:rsidRPr="00BC6D51">
        <w:rPr>
          <w:rFonts w:ascii="Palatino Linotype" w:hAnsi="Palatino Linotype"/>
          <w:b/>
          <w:i/>
          <w:color w:val="000000" w:themeColor="text1"/>
          <w:sz w:val="24"/>
          <w:szCs w:val="24"/>
        </w:rPr>
        <w:t>INFORME JUSTIFICADO 01928-2025.pdf</w:t>
      </w:r>
      <w:r w:rsidR="005029F8" w:rsidRPr="00BC6D51">
        <w:rPr>
          <w:rFonts w:ascii="Palatino Linotype" w:eastAsia="Palatino Linotype" w:hAnsi="Palatino Linotype" w:cs="Palatino Linotype"/>
          <w:b/>
          <w:i/>
          <w:color w:val="000000" w:themeColor="text1"/>
          <w:sz w:val="24"/>
          <w:szCs w:val="24"/>
        </w:rPr>
        <w:t>,</w:t>
      </w:r>
      <w:r w:rsidR="005029F8" w:rsidRPr="00BC6D51">
        <w:rPr>
          <w:rFonts w:ascii="Palatino Linotype" w:eastAsia="Palatino Linotype" w:hAnsi="Palatino Linotype" w:cs="Palatino Linotype"/>
          <w:color w:val="000000" w:themeColor="text1"/>
          <w:sz w:val="24"/>
          <w:szCs w:val="24"/>
        </w:rPr>
        <w:t xml:space="preserve"> del que se desprende el Informe </w:t>
      </w:r>
      <w:r w:rsidR="005029F8" w:rsidRPr="00BC6D51">
        <w:rPr>
          <w:rFonts w:ascii="Palatino Linotype" w:eastAsia="Palatino Linotype" w:hAnsi="Palatino Linotype" w:cs="Palatino Linotype"/>
          <w:color w:val="000000" w:themeColor="text1"/>
          <w:sz w:val="24"/>
          <w:szCs w:val="24"/>
        </w:rPr>
        <w:lastRenderedPageBreak/>
        <w:t xml:space="preserve">Justificado firmado por el Titular de la Unidad de Transparencia, por el que medularmente ratifica su respuesta primigenia. </w:t>
      </w:r>
    </w:p>
    <w:p w14:paraId="4BBAB9CD" w14:textId="77777777" w:rsidR="0050269C" w:rsidRPr="00BC6D51" w:rsidRDefault="0050269C" w:rsidP="00E42E77">
      <w:pPr>
        <w:spacing w:line="360" w:lineRule="auto"/>
        <w:jc w:val="both"/>
        <w:rPr>
          <w:rFonts w:ascii="Palatino Linotype" w:eastAsia="Palatino Linotype" w:hAnsi="Palatino Linotype" w:cs="Palatino Linotype"/>
          <w:color w:val="000000" w:themeColor="text1"/>
          <w:sz w:val="24"/>
          <w:szCs w:val="24"/>
        </w:rPr>
      </w:pPr>
    </w:p>
    <w:p w14:paraId="0A9686B6" w14:textId="5FCE33F3" w:rsidR="0050269C" w:rsidRPr="00BC6D51" w:rsidRDefault="0050269C"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El </w:t>
      </w:r>
      <w:r w:rsidRPr="00BC6D51">
        <w:rPr>
          <w:rFonts w:ascii="Palatino Linotype" w:eastAsia="Palatino Linotype" w:hAnsi="Palatino Linotype" w:cs="Palatino Linotype"/>
          <w:b/>
          <w:color w:val="000000" w:themeColor="text1"/>
          <w:sz w:val="24"/>
          <w:szCs w:val="24"/>
        </w:rPr>
        <w:t xml:space="preserve">nueve de junio de dos mil veinticinco, </w:t>
      </w:r>
      <w:r w:rsidRPr="00BC6D51">
        <w:rPr>
          <w:rFonts w:ascii="Palatino Linotype" w:eastAsia="Palatino Linotype" w:hAnsi="Palatino Linotype" w:cs="Palatino Linotype"/>
          <w:color w:val="000000" w:themeColor="text1"/>
          <w:sz w:val="24"/>
          <w:szCs w:val="24"/>
        </w:rPr>
        <w:t>se notificó el acuerdo por el que se amplió el termino para resolver el recurso de revisión que nos ocupa.</w:t>
      </w:r>
    </w:p>
    <w:p w14:paraId="3C25AB4F" w14:textId="77777777" w:rsidR="005029F8" w:rsidRPr="00BC6D51" w:rsidRDefault="005029F8" w:rsidP="00E42E77">
      <w:pPr>
        <w:spacing w:line="360" w:lineRule="auto"/>
        <w:jc w:val="both"/>
        <w:rPr>
          <w:rFonts w:ascii="Palatino Linotype" w:eastAsia="Palatino Linotype" w:hAnsi="Palatino Linotype" w:cs="Palatino Linotype"/>
          <w:color w:val="000000" w:themeColor="text1"/>
          <w:sz w:val="24"/>
          <w:szCs w:val="24"/>
        </w:rPr>
      </w:pPr>
    </w:p>
    <w:p w14:paraId="1808D753" w14:textId="10F9E011" w:rsidR="00546C2A" w:rsidRPr="00BC6D51" w:rsidRDefault="00546C2A" w:rsidP="00E42E77">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BC6D51">
        <w:rPr>
          <w:rFonts w:ascii="Palatino Linotype" w:eastAsia="Palatino Linotype" w:hAnsi="Palatino Linotype" w:cs="Palatino Linotype"/>
          <w:color w:val="000000" w:themeColor="text1"/>
          <w:sz w:val="24"/>
          <w:szCs w:val="24"/>
        </w:rPr>
        <w:t xml:space="preserve">El </w:t>
      </w:r>
      <w:r w:rsidR="008E1B3C" w:rsidRPr="00BC6D51">
        <w:rPr>
          <w:rFonts w:ascii="Palatino Linotype" w:eastAsia="Palatino Linotype" w:hAnsi="Palatino Linotype" w:cs="Palatino Linotype"/>
          <w:b/>
          <w:color w:val="000000" w:themeColor="text1"/>
          <w:sz w:val="24"/>
          <w:szCs w:val="24"/>
        </w:rPr>
        <w:t>dos de julio</w:t>
      </w:r>
      <w:r w:rsidR="001C6110" w:rsidRPr="00BC6D51">
        <w:rPr>
          <w:rFonts w:ascii="Palatino Linotype" w:eastAsia="Palatino Linotype" w:hAnsi="Palatino Linotype" w:cs="Palatino Linotype"/>
          <w:b/>
          <w:color w:val="000000" w:themeColor="text1"/>
          <w:sz w:val="24"/>
          <w:szCs w:val="24"/>
        </w:rPr>
        <w:t xml:space="preserve"> de dos mil veinticinco</w:t>
      </w:r>
      <w:r w:rsidRPr="00BC6D51">
        <w:rPr>
          <w:rFonts w:ascii="Palatino Linotype" w:eastAsia="Palatino Linotype" w:hAnsi="Palatino Linotype" w:cs="Palatino Linotype"/>
          <w:color w:val="000000" w:themeColor="text1"/>
          <w:sz w:val="24"/>
          <w:szCs w:val="24"/>
        </w:rPr>
        <w:t xml:space="preserve">, la Comisionada Ponente decretó el cierre de instrucción y al no existir diligencias por realizar y se turnó el expediente a resolución correspondiente, por lo que no habiendo más que hacer constar, y </w:t>
      </w:r>
    </w:p>
    <w:p w14:paraId="6078F595" w14:textId="77777777" w:rsidR="00546C2A" w:rsidRPr="00BC6D51" w:rsidRDefault="00546C2A" w:rsidP="00E42E77">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14:paraId="1B724BBE" w14:textId="69A38511" w:rsidR="00546C2A" w:rsidRPr="00BC6D51" w:rsidRDefault="00546C2A" w:rsidP="00E42E77">
      <w:pPr>
        <w:keepNext/>
        <w:keepLines/>
        <w:spacing w:line="360" w:lineRule="auto"/>
        <w:jc w:val="center"/>
        <w:rPr>
          <w:rFonts w:ascii="Palatino Linotype" w:eastAsia="Palatino Linotype" w:hAnsi="Palatino Linotype" w:cs="Palatino Linotype"/>
          <w:color w:val="000000" w:themeColor="text1"/>
          <w:sz w:val="24"/>
          <w:szCs w:val="24"/>
        </w:rPr>
      </w:pPr>
      <w:bookmarkStart w:id="3" w:name="_heading=h.30j0zll" w:colFirst="0" w:colLast="0"/>
      <w:bookmarkEnd w:id="3"/>
      <w:r w:rsidRPr="00BC6D51">
        <w:rPr>
          <w:rFonts w:ascii="Palatino Linotype" w:eastAsia="Palatino Linotype" w:hAnsi="Palatino Linotype" w:cs="Palatino Linotype"/>
          <w:b/>
          <w:color w:val="000000" w:themeColor="text1"/>
          <w:sz w:val="24"/>
          <w:szCs w:val="24"/>
        </w:rPr>
        <w:t>C</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O</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N</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S</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I</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D</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E</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R</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A</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N</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D</w:t>
      </w:r>
      <w:r w:rsidR="00E42E77"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O</w:t>
      </w:r>
    </w:p>
    <w:p w14:paraId="7CCE3C09" w14:textId="77777777" w:rsidR="00546C2A" w:rsidRPr="00BC6D51" w:rsidRDefault="00546C2A" w:rsidP="00E42E77">
      <w:pPr>
        <w:spacing w:line="360" w:lineRule="auto"/>
        <w:rPr>
          <w:rFonts w:ascii="Palatino Linotype" w:eastAsia="Palatino Linotype" w:hAnsi="Palatino Linotype" w:cs="Palatino Linotype"/>
          <w:color w:val="000000" w:themeColor="text1"/>
          <w:sz w:val="24"/>
          <w:szCs w:val="24"/>
        </w:rPr>
      </w:pPr>
    </w:p>
    <w:p w14:paraId="0EE22D91" w14:textId="77777777" w:rsidR="00546C2A" w:rsidRPr="00BC6D51" w:rsidRDefault="00546C2A" w:rsidP="00E42E77">
      <w:pPr>
        <w:keepNext/>
        <w:keepLines/>
        <w:spacing w:line="360" w:lineRule="auto"/>
        <w:rPr>
          <w:rFonts w:ascii="Palatino Linotype" w:eastAsia="Palatino Linotype" w:hAnsi="Palatino Linotype" w:cs="Palatino Linotype"/>
          <w:b/>
          <w:color w:val="000000" w:themeColor="text1"/>
          <w:sz w:val="24"/>
          <w:szCs w:val="24"/>
        </w:rPr>
      </w:pPr>
      <w:bookmarkStart w:id="4" w:name="_heading=h.1fob9te" w:colFirst="0" w:colLast="0"/>
      <w:bookmarkEnd w:id="4"/>
      <w:r w:rsidRPr="00BC6D51">
        <w:rPr>
          <w:rFonts w:ascii="Palatino Linotype" w:eastAsia="Palatino Linotype" w:hAnsi="Palatino Linotype" w:cs="Palatino Linotype"/>
          <w:b/>
          <w:color w:val="000000" w:themeColor="text1"/>
          <w:sz w:val="24"/>
          <w:szCs w:val="24"/>
        </w:rPr>
        <w:t>PRIMERO. De la competencia</w:t>
      </w:r>
    </w:p>
    <w:p w14:paraId="530CD9F0" w14:textId="77777777" w:rsidR="00546C2A" w:rsidRPr="00BC6D51" w:rsidRDefault="00546C2A" w:rsidP="00E42E77">
      <w:pPr>
        <w:numPr>
          <w:ilvl w:val="0"/>
          <w:numId w:val="3"/>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6CFC189" w14:textId="77777777" w:rsidR="00546C2A" w:rsidRPr="00BC6D51" w:rsidRDefault="00546C2A" w:rsidP="00E42E77">
      <w:pPr>
        <w:keepNext/>
        <w:keepLines/>
        <w:spacing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BC6D51">
        <w:rPr>
          <w:rFonts w:ascii="Palatino Linotype" w:eastAsia="Palatino Linotype" w:hAnsi="Palatino Linotype" w:cs="Palatino Linotype"/>
          <w:b/>
          <w:color w:val="000000" w:themeColor="text1"/>
          <w:sz w:val="24"/>
          <w:szCs w:val="24"/>
        </w:rPr>
        <w:lastRenderedPageBreak/>
        <w:t>SEGUNDO. De la oportunidad y procedencia.</w:t>
      </w:r>
    </w:p>
    <w:p w14:paraId="775F54A6" w14:textId="15C87A53"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El medio de impugnación fue presentado a través del </w:t>
      </w:r>
      <w:r w:rsidRPr="00BC6D51">
        <w:rPr>
          <w:rFonts w:ascii="Palatino Linotype" w:eastAsia="Palatino Linotype" w:hAnsi="Palatino Linotype" w:cs="Palatino Linotype"/>
          <w:b/>
          <w:color w:val="000000" w:themeColor="text1"/>
          <w:sz w:val="24"/>
          <w:szCs w:val="24"/>
        </w:rPr>
        <w:t>SAIMEX,</w:t>
      </w:r>
      <w:r w:rsidRPr="00BC6D51">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BC6D51">
        <w:rPr>
          <w:rFonts w:ascii="Palatino Linotype" w:eastAsia="Palatino Linotype" w:hAnsi="Palatino Linotype" w:cs="Palatino Linotype"/>
          <w:b/>
          <w:color w:val="000000" w:themeColor="text1"/>
          <w:sz w:val="24"/>
          <w:szCs w:val="24"/>
        </w:rPr>
        <w:t>SUJETO OBLIGADO</w:t>
      </w:r>
      <w:r w:rsidRPr="00BC6D51">
        <w:rPr>
          <w:rFonts w:ascii="Palatino Linotype" w:eastAsia="Palatino Linotype" w:hAnsi="Palatino Linotype" w:cs="Palatino Linotype"/>
          <w:color w:val="000000" w:themeColor="text1"/>
          <w:sz w:val="24"/>
          <w:szCs w:val="24"/>
        </w:rPr>
        <w:t xml:space="preserve"> entregó respuesta el </w:t>
      </w:r>
      <w:r w:rsidR="009757AA" w:rsidRPr="00BC6D51">
        <w:rPr>
          <w:rFonts w:ascii="Palatino Linotype" w:eastAsia="Palatino Linotype" w:hAnsi="Palatino Linotype" w:cs="Palatino Linotype"/>
          <w:b/>
          <w:color w:val="000000" w:themeColor="text1"/>
          <w:sz w:val="24"/>
          <w:szCs w:val="24"/>
        </w:rPr>
        <w:t>cinco</w:t>
      </w:r>
      <w:r w:rsidR="000424FC" w:rsidRPr="00BC6D51">
        <w:rPr>
          <w:rFonts w:ascii="Palatino Linotype" w:eastAsia="Palatino Linotype" w:hAnsi="Palatino Linotype" w:cs="Palatino Linotype"/>
          <w:b/>
          <w:color w:val="000000" w:themeColor="text1"/>
          <w:sz w:val="24"/>
          <w:szCs w:val="24"/>
        </w:rPr>
        <w:t xml:space="preserve"> </w:t>
      </w:r>
      <w:r w:rsidR="001C6110" w:rsidRPr="00BC6D51">
        <w:rPr>
          <w:rFonts w:ascii="Palatino Linotype" w:eastAsia="Palatino Linotype" w:hAnsi="Palatino Linotype" w:cs="Palatino Linotype"/>
          <w:b/>
          <w:color w:val="000000" w:themeColor="text1"/>
          <w:sz w:val="24"/>
          <w:szCs w:val="24"/>
        </w:rPr>
        <w:t>de febrero de dos mil veinticinco</w:t>
      </w:r>
      <w:r w:rsidRPr="00BC6D51">
        <w:rPr>
          <w:rFonts w:ascii="Palatino Linotype" w:eastAsia="Palatino Linotype" w:hAnsi="Palatino Linotype" w:cs="Palatino Linotype"/>
          <w:color w:val="000000" w:themeColor="text1"/>
          <w:sz w:val="24"/>
          <w:szCs w:val="24"/>
        </w:rPr>
        <w:t xml:space="preserve">, de tal forma que el plazo para interponer el recurso transcurrió del </w:t>
      </w:r>
      <w:r w:rsidR="009757AA" w:rsidRPr="00BC6D51">
        <w:rPr>
          <w:rFonts w:ascii="Palatino Linotype" w:eastAsia="Palatino Linotype" w:hAnsi="Palatino Linotype" w:cs="Palatino Linotype"/>
          <w:b/>
          <w:color w:val="000000" w:themeColor="text1"/>
          <w:sz w:val="24"/>
          <w:szCs w:val="24"/>
        </w:rPr>
        <w:t>seis al veintiséis</w:t>
      </w:r>
      <w:r w:rsidR="000424FC" w:rsidRPr="00BC6D51">
        <w:rPr>
          <w:rFonts w:ascii="Palatino Linotype" w:eastAsia="Palatino Linotype" w:hAnsi="Palatino Linotype" w:cs="Palatino Linotype"/>
          <w:b/>
          <w:color w:val="000000" w:themeColor="text1"/>
          <w:sz w:val="24"/>
          <w:szCs w:val="24"/>
        </w:rPr>
        <w:t xml:space="preserve"> de febrero</w:t>
      </w:r>
      <w:r w:rsidR="00234F23" w:rsidRPr="00BC6D51">
        <w:rPr>
          <w:rFonts w:ascii="Palatino Linotype" w:eastAsia="Palatino Linotype" w:hAnsi="Palatino Linotype" w:cs="Palatino Linotype"/>
          <w:b/>
          <w:color w:val="000000" w:themeColor="text1"/>
          <w:sz w:val="24"/>
          <w:szCs w:val="24"/>
        </w:rPr>
        <w:t xml:space="preserve"> de dos mil veinticinco</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en consecuencia, si el </w:t>
      </w:r>
      <w:r w:rsidRPr="00BC6D51">
        <w:rPr>
          <w:rFonts w:ascii="Palatino Linotype" w:eastAsia="Palatino Linotype" w:hAnsi="Palatino Linotype" w:cs="Palatino Linotype"/>
          <w:b/>
          <w:color w:val="000000" w:themeColor="text1"/>
          <w:sz w:val="24"/>
          <w:szCs w:val="24"/>
        </w:rPr>
        <w:t>PARTICULAR</w:t>
      </w:r>
      <w:r w:rsidRPr="00BC6D51">
        <w:rPr>
          <w:rFonts w:ascii="Palatino Linotype" w:eastAsia="Palatino Linotype" w:hAnsi="Palatino Linotype" w:cs="Palatino Linotype"/>
          <w:color w:val="000000" w:themeColor="text1"/>
          <w:sz w:val="24"/>
          <w:szCs w:val="24"/>
        </w:rPr>
        <w:t xml:space="preserve"> presentó su inconformidad el </w:t>
      </w:r>
      <w:r w:rsidR="009757AA" w:rsidRPr="00BC6D51">
        <w:rPr>
          <w:rFonts w:ascii="Palatino Linotype" w:eastAsia="Palatino Linotype" w:hAnsi="Palatino Linotype" w:cs="Palatino Linotype"/>
          <w:b/>
          <w:color w:val="000000" w:themeColor="text1"/>
          <w:sz w:val="24"/>
          <w:szCs w:val="24"/>
        </w:rPr>
        <w:t xml:space="preserve">doce </w:t>
      </w:r>
      <w:r w:rsidR="000424FC" w:rsidRPr="00BC6D51">
        <w:rPr>
          <w:rFonts w:ascii="Palatino Linotype" w:eastAsia="Palatino Linotype" w:hAnsi="Palatino Linotype" w:cs="Palatino Linotype"/>
          <w:b/>
          <w:color w:val="000000" w:themeColor="text1"/>
          <w:sz w:val="24"/>
          <w:szCs w:val="24"/>
        </w:rPr>
        <w:t>de febrero de dos mil veinticinco</w:t>
      </w:r>
      <w:r w:rsidRPr="00BC6D51">
        <w:rPr>
          <w:rFonts w:ascii="Palatino Linotype" w:eastAsia="Palatino Linotype" w:hAnsi="Palatino Linotype" w:cs="Palatino Linotype"/>
          <w:color w:val="000000" w:themeColor="text1"/>
          <w:sz w:val="24"/>
          <w:szCs w:val="24"/>
        </w:rPr>
        <w:t xml:space="preserve">, este  se encuentra dentro de los márgenes temporales previstos en el artículo 178 de la </w:t>
      </w:r>
      <w:r w:rsidRPr="00BC6D51">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BC6D51">
        <w:rPr>
          <w:rFonts w:ascii="Palatino Linotype" w:eastAsia="Palatino Linotype" w:hAnsi="Palatino Linotype" w:cs="Palatino Linotype"/>
          <w:color w:val="000000" w:themeColor="text1"/>
          <w:sz w:val="24"/>
          <w:szCs w:val="24"/>
        </w:rPr>
        <w:t xml:space="preserve">vigente. </w:t>
      </w:r>
    </w:p>
    <w:p w14:paraId="1F3F4B55" w14:textId="77777777" w:rsidR="00546C2A" w:rsidRPr="00BC6D51" w:rsidRDefault="00546C2A" w:rsidP="00E42E77">
      <w:pPr>
        <w:spacing w:line="360" w:lineRule="auto"/>
        <w:jc w:val="both"/>
        <w:rPr>
          <w:rFonts w:ascii="Palatino Linotype" w:eastAsia="Palatino Linotype" w:hAnsi="Palatino Linotype" w:cs="Palatino Linotype"/>
          <w:color w:val="000000" w:themeColor="text1"/>
          <w:sz w:val="24"/>
          <w:szCs w:val="24"/>
        </w:rPr>
      </w:pPr>
      <w:bookmarkStart w:id="6" w:name="_heading=h.2et92p0" w:colFirst="0" w:colLast="0"/>
      <w:bookmarkEnd w:id="6"/>
    </w:p>
    <w:p w14:paraId="5A39CC6D" w14:textId="77777777" w:rsidR="00546C2A" w:rsidRPr="00BC6D51" w:rsidRDefault="00546C2A" w:rsidP="00E42E77">
      <w:pPr>
        <w:pStyle w:val="Ttulo2"/>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color w:val="000000" w:themeColor="text1"/>
          <w:sz w:val="24"/>
          <w:szCs w:val="24"/>
        </w:rPr>
        <w:t xml:space="preserve">TERCERO. Del planteamiento de la </w:t>
      </w:r>
      <w:r w:rsidRPr="00BC6D51">
        <w:rPr>
          <w:rFonts w:ascii="Palatino Linotype" w:eastAsia="Palatino Linotype" w:hAnsi="Palatino Linotype" w:cs="Palatino Linotype"/>
          <w:b/>
          <w:i/>
          <w:color w:val="000000" w:themeColor="text1"/>
          <w:sz w:val="24"/>
          <w:szCs w:val="24"/>
        </w:rPr>
        <w:t>Litis.</w:t>
      </w:r>
    </w:p>
    <w:p w14:paraId="0232E7E8" w14:textId="77777777"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Se solicitó la información que a continuación se desagrega:</w:t>
      </w:r>
    </w:p>
    <w:p w14:paraId="75F74F1F" w14:textId="77777777" w:rsidR="00546C2A" w:rsidRPr="00BC6D51" w:rsidRDefault="00546C2A" w:rsidP="00E42E77">
      <w:pPr>
        <w:spacing w:line="276" w:lineRule="auto"/>
        <w:rPr>
          <w:rFonts w:ascii="Palatino Linotype" w:eastAsia="Palatino Linotype" w:hAnsi="Palatino Linotype" w:cs="Palatino Linotype"/>
          <w:color w:val="000000" w:themeColor="text1"/>
          <w:sz w:val="24"/>
          <w:szCs w:val="24"/>
        </w:rPr>
      </w:pPr>
    </w:p>
    <w:p w14:paraId="319DFDC2" w14:textId="2835DD1B" w:rsidR="00234F23" w:rsidRPr="00BC6D51" w:rsidRDefault="009757AA" w:rsidP="00E42E77">
      <w:pPr>
        <w:pStyle w:val="Prrafodelista"/>
        <w:numPr>
          <w:ilvl w:val="0"/>
          <w:numId w:val="22"/>
        </w:numPr>
        <w:spacing w:line="276" w:lineRule="auto"/>
        <w:ind w:left="0"/>
        <w:rPr>
          <w:rFonts w:ascii="Palatino Linotype" w:eastAsia="Palatino Linotype" w:hAnsi="Palatino Linotype" w:cs="Palatino Linotype"/>
          <w:color w:val="000000" w:themeColor="text1"/>
          <w:sz w:val="24"/>
        </w:rPr>
      </w:pPr>
      <w:r w:rsidRPr="00BC6D51">
        <w:rPr>
          <w:rFonts w:ascii="Palatino Linotype" w:eastAsia="Palatino Linotype" w:hAnsi="Palatino Linotype" w:cs="Palatino Linotype"/>
          <w:color w:val="000000" w:themeColor="text1"/>
          <w:sz w:val="24"/>
        </w:rPr>
        <w:t>Se solicita todas las acciones que realizaron desde el día uno de su administración 2025 2027</w:t>
      </w:r>
      <w:r w:rsidR="000424FC" w:rsidRPr="00BC6D51">
        <w:rPr>
          <w:rFonts w:ascii="Palatino Linotype" w:eastAsia="Palatino Linotype" w:hAnsi="Palatino Linotype" w:cs="Palatino Linotype"/>
          <w:color w:val="000000" w:themeColor="text1"/>
          <w:sz w:val="24"/>
        </w:rPr>
        <w:t>.</w:t>
      </w:r>
    </w:p>
    <w:p w14:paraId="6689C60F" w14:textId="77777777" w:rsidR="000424FC" w:rsidRPr="00BC6D51" w:rsidRDefault="000424FC" w:rsidP="00E42E77">
      <w:pPr>
        <w:pStyle w:val="Prrafodelista"/>
        <w:spacing w:line="276" w:lineRule="auto"/>
        <w:ind w:left="0"/>
        <w:rPr>
          <w:rFonts w:ascii="Palatino Linotype" w:eastAsia="Palatino Linotype" w:hAnsi="Palatino Linotype" w:cs="Palatino Linotype"/>
          <w:color w:val="000000" w:themeColor="text1"/>
          <w:sz w:val="24"/>
        </w:rPr>
      </w:pPr>
    </w:p>
    <w:p w14:paraId="4562F8BA" w14:textId="638DE946"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El </w:t>
      </w:r>
      <w:r w:rsidRPr="00BC6D51">
        <w:rPr>
          <w:rFonts w:ascii="Palatino Linotype" w:eastAsia="Palatino Linotype" w:hAnsi="Palatino Linotype" w:cs="Palatino Linotype"/>
          <w:b/>
          <w:color w:val="000000" w:themeColor="text1"/>
          <w:sz w:val="24"/>
          <w:szCs w:val="24"/>
        </w:rPr>
        <w:t xml:space="preserve">SUJETO OBLIGADO, </w:t>
      </w:r>
      <w:r w:rsidR="008E1B3C" w:rsidRPr="00BC6D51">
        <w:rPr>
          <w:rFonts w:ascii="Palatino Linotype" w:eastAsia="Palatino Linotype" w:hAnsi="Palatino Linotype" w:cs="Palatino Linotype"/>
          <w:color w:val="000000" w:themeColor="text1"/>
          <w:sz w:val="24"/>
          <w:szCs w:val="24"/>
        </w:rPr>
        <w:t xml:space="preserve">remitió un Procedimiento de licitación que se integra por: convocatoria, acta de visita al sitio, acta de junta de aclaraciones, acta de recepción y apertura de propuestas, dictamen de adjudicación y acta de fallo y Trece contratos de obra pública a precios unitarios, así como un link en donde refirió se puede localizar la información del periodo solicitado. </w:t>
      </w:r>
    </w:p>
    <w:p w14:paraId="4134CD7E" w14:textId="77777777" w:rsidR="00E42E77" w:rsidRPr="00BC6D51" w:rsidRDefault="00E42E77" w:rsidP="00E42E77">
      <w:pPr>
        <w:spacing w:line="360" w:lineRule="auto"/>
        <w:jc w:val="both"/>
        <w:rPr>
          <w:rFonts w:ascii="Palatino Linotype" w:eastAsia="Palatino Linotype" w:hAnsi="Palatino Linotype" w:cs="Palatino Linotype"/>
          <w:color w:val="000000" w:themeColor="text1"/>
          <w:sz w:val="24"/>
          <w:szCs w:val="24"/>
        </w:rPr>
      </w:pPr>
    </w:p>
    <w:p w14:paraId="63E32424" w14:textId="36292628" w:rsidR="00234F23" w:rsidRPr="00BC6D51" w:rsidRDefault="00546C2A" w:rsidP="00E42E77">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Inconforme con lo anterior, el ahora </w:t>
      </w:r>
      <w:r w:rsidRPr="00BC6D51">
        <w:rPr>
          <w:rFonts w:ascii="Palatino Linotype" w:eastAsia="Palatino Linotype" w:hAnsi="Palatino Linotype" w:cs="Palatino Linotype"/>
          <w:b/>
          <w:color w:val="000000" w:themeColor="text1"/>
          <w:sz w:val="24"/>
          <w:szCs w:val="24"/>
        </w:rPr>
        <w:t xml:space="preserve">RECURRENTE </w:t>
      </w:r>
      <w:r w:rsidRPr="00BC6D51">
        <w:rPr>
          <w:rFonts w:ascii="Palatino Linotype" w:eastAsia="Palatino Linotype" w:hAnsi="Palatino Linotype" w:cs="Palatino Linotype"/>
          <w:color w:val="000000" w:themeColor="text1"/>
          <w:sz w:val="24"/>
          <w:szCs w:val="24"/>
        </w:rPr>
        <w:t xml:space="preserve">interpuso Recurso de Revisión arguyendo medularmente </w:t>
      </w:r>
      <w:r w:rsidR="009757AA" w:rsidRPr="00BC6D51">
        <w:rPr>
          <w:rFonts w:ascii="Palatino Linotype" w:eastAsia="Palatino Linotype" w:hAnsi="Palatino Linotype" w:cs="Palatino Linotype"/>
          <w:color w:val="000000" w:themeColor="text1"/>
          <w:sz w:val="24"/>
          <w:szCs w:val="24"/>
        </w:rPr>
        <w:t>que no se le entrego lo que se solicitó.</w:t>
      </w:r>
    </w:p>
    <w:p w14:paraId="1AB2AAA8" w14:textId="71BD559B" w:rsidR="00546C2A" w:rsidRPr="00BC6D51" w:rsidRDefault="00546C2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 xml:space="preserve">En dichas condiciones, la </w:t>
      </w:r>
      <w:r w:rsidRPr="00BC6D51">
        <w:rPr>
          <w:rFonts w:ascii="Palatino Linotype" w:eastAsia="Palatino Linotype" w:hAnsi="Palatino Linotype" w:cs="Palatino Linotype"/>
          <w:i/>
          <w:color w:val="000000" w:themeColor="text1"/>
          <w:sz w:val="24"/>
          <w:szCs w:val="24"/>
        </w:rPr>
        <w:t>Litis</w:t>
      </w:r>
      <w:r w:rsidRPr="00BC6D51">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BC6D51">
        <w:rPr>
          <w:rFonts w:ascii="Palatino Linotype" w:eastAsia="Palatino Linotype" w:hAnsi="Palatino Linotype" w:cs="Palatino Linotype"/>
          <w:b/>
          <w:color w:val="000000" w:themeColor="text1"/>
          <w:sz w:val="24"/>
          <w:szCs w:val="24"/>
        </w:rPr>
        <w:t xml:space="preserve"> </w:t>
      </w:r>
      <w:r w:rsidR="00234F23" w:rsidRPr="00BC6D51">
        <w:rPr>
          <w:rFonts w:ascii="Palatino Linotype" w:eastAsia="Palatino Linotype" w:hAnsi="Palatino Linotype" w:cs="Palatino Linotype"/>
          <w:b/>
          <w:color w:val="000000" w:themeColor="text1"/>
          <w:sz w:val="24"/>
          <w:szCs w:val="24"/>
        </w:rPr>
        <w:t>I</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de la </w:t>
      </w:r>
      <w:r w:rsidRPr="00BC6D51">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BC6D51">
        <w:rPr>
          <w:rFonts w:ascii="Palatino Linotype" w:eastAsia="Palatino Linotype" w:hAnsi="Palatino Linotype" w:cs="Palatino Linotype"/>
          <w:color w:val="000000" w:themeColor="text1"/>
          <w:sz w:val="24"/>
          <w:szCs w:val="24"/>
        </w:rPr>
        <w:t xml:space="preserve">; fracción que determina las hipótesis jurídica relativa </w:t>
      </w:r>
      <w:r w:rsidR="00234F23" w:rsidRPr="00BC6D51">
        <w:rPr>
          <w:rFonts w:ascii="Palatino Linotype" w:eastAsia="Palatino Linotype" w:hAnsi="Palatino Linotype" w:cs="Palatino Linotype"/>
          <w:color w:val="000000" w:themeColor="text1"/>
          <w:sz w:val="24"/>
          <w:szCs w:val="24"/>
        </w:rPr>
        <w:t xml:space="preserve">a </w:t>
      </w:r>
      <w:r w:rsidR="004E7D7A" w:rsidRPr="00BC6D51">
        <w:rPr>
          <w:rFonts w:ascii="Palatino Linotype" w:eastAsia="Palatino Linotype" w:hAnsi="Palatino Linotype" w:cs="Palatino Linotype"/>
          <w:color w:val="000000" w:themeColor="text1"/>
          <w:sz w:val="24"/>
          <w:szCs w:val="24"/>
        </w:rPr>
        <w:t>La negativa a la información solicitada</w:t>
      </w:r>
      <w:r w:rsidR="009757AA"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contexto del cual se dolió </w:t>
      </w:r>
      <w:r w:rsidRPr="00BC6D51">
        <w:rPr>
          <w:rFonts w:ascii="Palatino Linotype" w:eastAsia="Palatino Linotype" w:hAnsi="Palatino Linotype" w:cs="Palatino Linotype"/>
          <w:b/>
          <w:color w:val="000000" w:themeColor="text1"/>
          <w:sz w:val="24"/>
          <w:szCs w:val="24"/>
        </w:rPr>
        <w:t xml:space="preserve">EL RECURRENTE </w:t>
      </w:r>
      <w:r w:rsidRPr="00BC6D51">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en determinar si el </w:t>
      </w:r>
      <w:r w:rsidRPr="00BC6D51">
        <w:rPr>
          <w:rFonts w:ascii="Palatino Linotype" w:eastAsia="Palatino Linotype" w:hAnsi="Palatino Linotype" w:cs="Palatino Linotype"/>
          <w:b/>
          <w:color w:val="000000" w:themeColor="text1"/>
          <w:sz w:val="24"/>
          <w:szCs w:val="24"/>
        </w:rPr>
        <w:t>SUJETO</w:t>
      </w:r>
      <w:r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OBLIGADO</w:t>
      </w:r>
      <w:r w:rsidRPr="00BC6D51">
        <w:rPr>
          <w:rFonts w:ascii="Palatino Linotype" w:eastAsia="Palatino Linotype" w:hAnsi="Palatino Linotype" w:cs="Palatino Linotype"/>
          <w:color w:val="000000" w:themeColor="text1"/>
          <w:sz w:val="24"/>
          <w:szCs w:val="24"/>
        </w:rPr>
        <w:t xml:space="preserve"> con su respuesta ciertamente actualiza la causal de procedencia</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antes señalada. Así como comprobar si la respuesta emitida resulta congruente e integral en términos del artículo 11 de la ley de la materia.</w:t>
      </w:r>
    </w:p>
    <w:p w14:paraId="53499C79" w14:textId="77777777" w:rsidR="00546C2A" w:rsidRPr="00BC6D51" w:rsidRDefault="00546C2A" w:rsidP="00E42E77">
      <w:pPr>
        <w:pBdr>
          <w:top w:val="nil"/>
          <w:left w:val="nil"/>
          <w:bottom w:val="nil"/>
          <w:right w:val="nil"/>
          <w:between w:val="nil"/>
        </w:pBdr>
        <w:rPr>
          <w:rFonts w:ascii="Palatino Linotype" w:eastAsia="Palatino Linotype" w:hAnsi="Palatino Linotype" w:cs="Palatino Linotype"/>
          <w:color w:val="000000" w:themeColor="text1"/>
          <w:sz w:val="24"/>
          <w:szCs w:val="24"/>
        </w:rPr>
      </w:pPr>
    </w:p>
    <w:p w14:paraId="4A04C14F" w14:textId="77777777" w:rsidR="00546C2A" w:rsidRPr="00BC6D51" w:rsidRDefault="00546C2A" w:rsidP="00E42E77">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BC6D51">
        <w:rPr>
          <w:rFonts w:ascii="Palatino Linotype" w:eastAsia="Palatino Linotype" w:hAnsi="Palatino Linotype" w:cs="Palatino Linotype"/>
          <w:b/>
          <w:color w:val="000000" w:themeColor="text1"/>
          <w:sz w:val="24"/>
          <w:szCs w:val="24"/>
        </w:rPr>
        <w:t>CUARTO. Del estudio y resolución del asunto.</w:t>
      </w:r>
    </w:p>
    <w:p w14:paraId="3B5A579A" w14:textId="35162219" w:rsidR="00EE6511" w:rsidRPr="00BC6D51" w:rsidRDefault="001007D9"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Toc34911390"/>
      <w:bookmarkEnd w:id="0"/>
      <w:r w:rsidRPr="00BC6D51">
        <w:rPr>
          <w:rFonts w:ascii="Palatino Linotype" w:hAnsi="Palatino Linotype"/>
          <w:bCs/>
          <w:color w:val="000000" w:themeColor="text1"/>
          <w:sz w:val="24"/>
          <w:szCs w:val="24"/>
        </w:rPr>
        <w:t xml:space="preserve">Dicho lo anterior, este Órgano Resolutor se avocara a realizar el estudio en conjunto de todas las constancias que obran en el SAIMEX, con la finalidad </w:t>
      </w:r>
      <w:r w:rsidR="00DC7455" w:rsidRPr="00BC6D51">
        <w:rPr>
          <w:rFonts w:ascii="Palatino Linotype" w:hAnsi="Palatino Linotype"/>
          <w:bCs/>
          <w:color w:val="000000" w:themeColor="text1"/>
          <w:sz w:val="24"/>
          <w:szCs w:val="24"/>
        </w:rPr>
        <w:t xml:space="preserve">de poder determinar si los motivos de inconformidad hechos valer por el ahora </w:t>
      </w:r>
      <w:r w:rsidR="00DC7455" w:rsidRPr="00BC6D51">
        <w:rPr>
          <w:rFonts w:ascii="Palatino Linotype" w:hAnsi="Palatino Linotype"/>
          <w:b/>
          <w:bCs/>
          <w:color w:val="000000" w:themeColor="text1"/>
          <w:sz w:val="24"/>
          <w:szCs w:val="24"/>
        </w:rPr>
        <w:t xml:space="preserve">RECURRENTE, </w:t>
      </w:r>
      <w:r w:rsidR="00DC7455" w:rsidRPr="00BC6D51">
        <w:rPr>
          <w:rFonts w:ascii="Palatino Linotype" w:hAnsi="Palatino Linotype"/>
          <w:bCs/>
          <w:color w:val="000000" w:themeColor="text1"/>
          <w:sz w:val="24"/>
          <w:szCs w:val="24"/>
        </w:rPr>
        <w:t xml:space="preserve">resultan fundados. </w:t>
      </w:r>
    </w:p>
    <w:p w14:paraId="49FD71F1" w14:textId="77777777" w:rsidR="00234F23" w:rsidRPr="00BC6D51" w:rsidRDefault="00234F23" w:rsidP="00E42E77">
      <w:pPr>
        <w:spacing w:line="360" w:lineRule="auto"/>
        <w:jc w:val="both"/>
        <w:rPr>
          <w:rFonts w:ascii="Palatino Linotype" w:eastAsia="Palatino Linotype" w:hAnsi="Palatino Linotype" w:cs="Palatino Linotype"/>
          <w:color w:val="000000" w:themeColor="text1"/>
          <w:sz w:val="24"/>
          <w:szCs w:val="24"/>
        </w:rPr>
      </w:pPr>
    </w:p>
    <w:p w14:paraId="461A3A3B" w14:textId="6305F1F6" w:rsidR="00DE083D" w:rsidRPr="00BC6D51" w:rsidRDefault="00234F23"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rPr>
        <w:t>Primeramente, respecto la fuente obligacional,</w:t>
      </w:r>
      <w:r w:rsidR="004401D4" w:rsidRPr="00BC6D51">
        <w:rPr>
          <w:rFonts w:ascii="Palatino Linotype" w:eastAsia="Palatino Linotype" w:hAnsi="Palatino Linotype" w:cs="Palatino Linotype"/>
          <w:color w:val="000000" w:themeColor="text1"/>
          <w:sz w:val="24"/>
          <w:szCs w:val="24"/>
        </w:rPr>
        <w:t xml:space="preserve"> </w:t>
      </w:r>
      <w:r w:rsidR="00DE083D" w:rsidRPr="00BC6D51">
        <w:rPr>
          <w:rFonts w:ascii="Palatino Linotype" w:eastAsia="Palatino Linotype" w:hAnsi="Palatino Linotype" w:cs="Palatino Linotype"/>
          <w:color w:val="000000" w:themeColor="text1"/>
          <w:sz w:val="24"/>
          <w:szCs w:val="24"/>
        </w:rPr>
        <w:t>se advierte lo siguiente:</w:t>
      </w:r>
    </w:p>
    <w:p w14:paraId="4FF68AA4" w14:textId="54C8D9CB" w:rsidR="00DE083D" w:rsidRPr="00BC6D51" w:rsidRDefault="00DE083D" w:rsidP="009E03D5">
      <w:pPr>
        <w:spacing w:line="276" w:lineRule="auto"/>
        <w:jc w:val="both"/>
        <w:rPr>
          <w:rFonts w:ascii="Palatino Linotype" w:eastAsia="Palatino Linotype" w:hAnsi="Palatino Linotype" w:cs="Palatino Linotype"/>
          <w:b/>
          <w:i/>
          <w:color w:val="000000" w:themeColor="text1"/>
          <w:sz w:val="24"/>
          <w:szCs w:val="24"/>
          <w:lang w:eastAsia="es-MX"/>
        </w:rPr>
      </w:pPr>
      <w:r w:rsidRPr="00BC6D51">
        <w:rPr>
          <w:rFonts w:ascii="Palatino Linotype" w:eastAsia="Palatino Linotype" w:hAnsi="Palatino Linotype" w:cs="Palatino Linotype"/>
          <w:b/>
          <w:i/>
          <w:color w:val="000000" w:themeColor="text1"/>
          <w:sz w:val="24"/>
          <w:szCs w:val="24"/>
        </w:rPr>
        <w:t>BANDO MUNICIPAL</w:t>
      </w:r>
    </w:p>
    <w:p w14:paraId="590F75EF" w14:textId="77777777" w:rsidR="00DE083D" w:rsidRPr="00BC6D51" w:rsidRDefault="00DE083D" w:rsidP="009E03D5">
      <w:pPr>
        <w:spacing w:line="276" w:lineRule="auto"/>
        <w:jc w:val="both"/>
        <w:rPr>
          <w:rFonts w:ascii="Palatino Linotype" w:eastAsia="Palatino Linotype" w:hAnsi="Palatino Linotype" w:cs="Palatino Linotype"/>
          <w:b/>
          <w:i/>
          <w:color w:val="000000" w:themeColor="text1"/>
          <w:sz w:val="24"/>
          <w:szCs w:val="24"/>
        </w:rPr>
      </w:pPr>
    </w:p>
    <w:p w14:paraId="1572A34C" w14:textId="77777777" w:rsidR="00DE083D" w:rsidRPr="00BC6D51" w:rsidRDefault="00DE083D" w:rsidP="009E03D5">
      <w:pPr>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CAPÍTULO PRIMERO:</w:t>
      </w:r>
    </w:p>
    <w:p w14:paraId="69EF6263" w14:textId="77777777" w:rsidR="00DE083D" w:rsidRPr="00BC6D51" w:rsidRDefault="00DE083D" w:rsidP="009E03D5">
      <w:pPr>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DEL GOBIERNO Y SU ORGANIZACIÓN</w:t>
      </w:r>
    </w:p>
    <w:p w14:paraId="4721E5A8" w14:textId="4934E90F"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Artículo 89.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w:t>
      </w:r>
    </w:p>
    <w:p w14:paraId="7A743B04"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La Administración Pública Municipal será centralizada, descentralizada y autónoma.</w:t>
      </w:r>
    </w:p>
    <w:p w14:paraId="07E409CD"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p>
    <w:p w14:paraId="0D546C87" w14:textId="10BD94A9"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0BC4E178" w14:textId="77777777" w:rsidR="00DE083D" w:rsidRPr="00BC6D51" w:rsidRDefault="00DE083D" w:rsidP="00E42E77">
      <w:pPr>
        <w:spacing w:line="276" w:lineRule="auto"/>
        <w:jc w:val="both"/>
        <w:rPr>
          <w:rFonts w:ascii="Palatino Linotype" w:eastAsia="Palatino Linotype" w:hAnsi="Palatino Linotype" w:cs="Palatino Linotype"/>
          <w:i/>
          <w:color w:val="000000" w:themeColor="text1"/>
          <w:sz w:val="24"/>
          <w:szCs w:val="24"/>
        </w:rPr>
      </w:pPr>
    </w:p>
    <w:p w14:paraId="7AD43382"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I. DEPENDENCIAS:</w:t>
      </w:r>
    </w:p>
    <w:p w14:paraId="39C8F278"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1.Secretaría del Ayuntamiento;</w:t>
      </w:r>
    </w:p>
    <w:p w14:paraId="6D0AC354"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2.Tesorería Municipal;</w:t>
      </w:r>
    </w:p>
    <w:p w14:paraId="50F45045"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3.Órgano Interno de Control;</w:t>
      </w:r>
    </w:p>
    <w:p w14:paraId="47B8507E"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4.Dirección General de Gobierno;</w:t>
      </w:r>
    </w:p>
    <w:p w14:paraId="04F4BB0F"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5.Dirección General de Seguridad y Protección;</w:t>
      </w:r>
    </w:p>
    <w:p w14:paraId="3BB8D44A"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6.Dirección General de Administración;</w:t>
      </w:r>
    </w:p>
    <w:p w14:paraId="3CB4EA4F"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7.Dirección General de Medio Ambiente;</w:t>
      </w:r>
    </w:p>
    <w:p w14:paraId="038DA0DC"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8.Dirección General de Servicios Públicos;</w:t>
      </w:r>
    </w:p>
    <w:p w14:paraId="6B60C853"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9.Dirección General de Innovación, Planeación y Gestión Urbana;</w:t>
      </w:r>
    </w:p>
    <w:p w14:paraId="7AF1FF07" w14:textId="77777777" w:rsidR="00DE083D" w:rsidRPr="00BC6D51" w:rsidRDefault="00DE083D" w:rsidP="009E03D5">
      <w:pPr>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10.Dirección General de Obras Públicas;</w:t>
      </w:r>
    </w:p>
    <w:p w14:paraId="30D19885"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11.Dirección General de Desarrollo Económico;</w:t>
      </w:r>
    </w:p>
    <w:p w14:paraId="73D4EC39"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12.Dirección General de Bienestar; y</w:t>
      </w:r>
    </w:p>
    <w:p w14:paraId="4A77329A" w14:textId="77777777"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13.Dirección General de Educación, Cultura y Turismo.</w:t>
      </w:r>
    </w:p>
    <w:p w14:paraId="412C413E" w14:textId="73A0A056" w:rsidR="00DE083D" w:rsidRPr="00BC6D51" w:rsidRDefault="00DE083D" w:rsidP="009E03D5">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p>
    <w:p w14:paraId="59CFC52F" w14:textId="77777777" w:rsidR="00DE083D" w:rsidRPr="00BC6D51" w:rsidRDefault="00DE083D" w:rsidP="00E42E77">
      <w:pPr>
        <w:spacing w:line="360" w:lineRule="auto"/>
        <w:jc w:val="both"/>
        <w:rPr>
          <w:rFonts w:ascii="Palatino Linotype" w:eastAsia="Palatino Linotype" w:hAnsi="Palatino Linotype" w:cs="Palatino Linotype"/>
          <w:color w:val="000000" w:themeColor="text1"/>
          <w:sz w:val="24"/>
          <w:szCs w:val="24"/>
        </w:rPr>
      </w:pPr>
    </w:p>
    <w:p w14:paraId="74340AB6" w14:textId="239B6C35" w:rsidR="00DE083D" w:rsidRPr="00BC6D51" w:rsidRDefault="00DE083D" w:rsidP="00E42E77">
      <w:pPr>
        <w:spacing w:line="360"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18F7C915" w14:textId="10C99898" w:rsidR="00DE083D" w:rsidRPr="00BC6D51" w:rsidRDefault="00DE083D" w:rsidP="00E42E77">
      <w:pPr>
        <w:spacing w:line="360"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lastRenderedPageBreak/>
        <w:t>…</w:t>
      </w:r>
    </w:p>
    <w:p w14:paraId="20EFA762" w14:textId="1A82A47E" w:rsidR="00DE083D" w:rsidRPr="00BC6D51" w:rsidRDefault="00DE083D" w:rsidP="00E42E77">
      <w:pPr>
        <w:spacing w:line="360" w:lineRule="auto"/>
        <w:jc w:val="both"/>
        <w:rPr>
          <w:rFonts w:ascii="Palatino Linotype" w:eastAsia="Palatino Linotype" w:hAnsi="Palatino Linotype" w:cs="Palatino Linotype"/>
          <w:i/>
          <w:color w:val="000000" w:themeColor="text1"/>
          <w:sz w:val="24"/>
          <w:szCs w:val="24"/>
          <w:u w:val="single"/>
        </w:rPr>
      </w:pPr>
      <w:r w:rsidRPr="00BC6D51">
        <w:rPr>
          <w:rFonts w:ascii="Palatino Linotype" w:eastAsia="Palatino Linotype" w:hAnsi="Palatino Linotype" w:cs="Palatino Linotype"/>
          <w:i/>
          <w:color w:val="000000" w:themeColor="text1"/>
          <w:sz w:val="24"/>
          <w:szCs w:val="24"/>
          <w:u w:val="single"/>
        </w:rPr>
        <w:t>X. La persona titular de la Dirección General de Obras Públicas es responsable de coordinar la planificación y ejecución del Programa Anual de Obra Pública en alineación con el Plan de Desarrollo Municipal. Llevará a cabo, además, la presupuestación, adjudicación, contratación, ejecución y supervisión de la obra pública municipal, así como en su caso, la rescisión y/o terminación anticipada de contratos de obra pública.</w:t>
      </w:r>
    </w:p>
    <w:p w14:paraId="12CC77DD" w14:textId="77777777" w:rsidR="00DE083D" w:rsidRPr="00BC6D51" w:rsidRDefault="00DE083D" w:rsidP="00E42E77">
      <w:pPr>
        <w:spacing w:line="360" w:lineRule="auto"/>
        <w:jc w:val="both"/>
        <w:rPr>
          <w:rFonts w:ascii="Palatino Linotype" w:eastAsia="Palatino Linotype" w:hAnsi="Palatino Linotype" w:cs="Palatino Linotype"/>
          <w:color w:val="000000" w:themeColor="text1"/>
          <w:sz w:val="24"/>
          <w:szCs w:val="24"/>
        </w:rPr>
      </w:pPr>
    </w:p>
    <w:p w14:paraId="5535B396" w14:textId="77777777" w:rsidR="003C19E4" w:rsidRPr="00BC6D51" w:rsidRDefault="003C19E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rPr>
        <w:t>De lo anterior, se observa que es la Dirección General de Obras Públicas la encargada de generar, poseer y/o administrar la información solicitada</w:t>
      </w:r>
      <w:r w:rsidRPr="00BC6D51">
        <w:rPr>
          <w:rFonts w:ascii="Palatino Linotype" w:eastAsia="Palatino Linotype" w:hAnsi="Palatino Linotype" w:cs="Palatino Linotype"/>
          <w:b/>
          <w:color w:val="000000" w:themeColor="text1"/>
          <w:sz w:val="24"/>
          <w:szCs w:val="24"/>
        </w:rPr>
        <w:t>.</w:t>
      </w:r>
    </w:p>
    <w:p w14:paraId="21BC3F54" w14:textId="77777777" w:rsidR="00E42E77" w:rsidRPr="00BC6D51" w:rsidRDefault="00E42E77" w:rsidP="00E42E77">
      <w:pPr>
        <w:spacing w:line="360" w:lineRule="auto"/>
        <w:jc w:val="both"/>
        <w:rPr>
          <w:rFonts w:ascii="Palatino Linotype" w:eastAsia="Palatino Linotype" w:hAnsi="Palatino Linotype" w:cs="Palatino Linotype"/>
          <w:color w:val="000000" w:themeColor="text1"/>
          <w:sz w:val="24"/>
          <w:szCs w:val="24"/>
          <w:lang w:eastAsia="es-MX"/>
        </w:rPr>
      </w:pPr>
    </w:p>
    <w:p w14:paraId="2EBAB5CC" w14:textId="77777777" w:rsidR="003C19E4" w:rsidRPr="00BC6D51" w:rsidRDefault="003C19E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rPr>
        <w:t>Ahora bien, no se soslaya que la Dirección de Administración</w:t>
      </w:r>
      <w:r w:rsidR="004E7D7A" w:rsidRPr="00BC6D51">
        <w:rPr>
          <w:rFonts w:ascii="Palatino Linotype" w:eastAsia="Palatino Linotype" w:hAnsi="Palatino Linotype" w:cs="Palatino Linotype"/>
          <w:b/>
          <w:color w:val="000000" w:themeColor="text1"/>
          <w:sz w:val="24"/>
          <w:szCs w:val="24"/>
        </w:rPr>
        <w:t xml:space="preserve"> </w:t>
      </w:r>
      <w:r w:rsidR="004E7D7A"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remitió un link en donde refirió se encuentra la información solicitada, sin embargo, dicha situación se abordará en líneas subsecuentes</w:t>
      </w:r>
      <w:r w:rsidRPr="00BC6D51">
        <w:rPr>
          <w:rFonts w:ascii="Palatino Linotype" w:eastAsia="Palatino Linotype" w:hAnsi="Palatino Linotype" w:cs="Palatino Linotype"/>
          <w:color w:val="000000" w:themeColor="text1"/>
          <w:sz w:val="24"/>
          <w:szCs w:val="24"/>
          <w:lang w:eastAsia="es-MX"/>
        </w:rPr>
        <w:t>.</w:t>
      </w:r>
    </w:p>
    <w:p w14:paraId="6E745EAF" w14:textId="4BDD2262" w:rsidR="004E7D7A" w:rsidRPr="00BC6D51" w:rsidRDefault="003C19E4" w:rsidP="00E42E77">
      <w:pPr>
        <w:spacing w:line="360" w:lineRule="auto"/>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t xml:space="preserve"> </w:t>
      </w:r>
    </w:p>
    <w:p w14:paraId="37FAEC77" w14:textId="44659698" w:rsidR="004E7D7A" w:rsidRPr="00BC6D51" w:rsidRDefault="004E7D7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t xml:space="preserve">Precisado lo anterior, respecto la información solicitada y la remitida en respuesta, se colige primeramente, que el </w:t>
      </w:r>
      <w:r w:rsidRPr="00BC6D51">
        <w:rPr>
          <w:rFonts w:ascii="Palatino Linotype" w:eastAsia="Palatino Linotype" w:hAnsi="Palatino Linotype" w:cs="Palatino Linotype"/>
          <w:b/>
          <w:color w:val="000000" w:themeColor="text1"/>
          <w:sz w:val="24"/>
          <w:szCs w:val="24"/>
          <w:lang w:eastAsia="es-MX"/>
        </w:rPr>
        <w:t xml:space="preserve">SUJETO OBLIGADO, </w:t>
      </w:r>
      <w:r w:rsidRPr="00BC6D51">
        <w:rPr>
          <w:rFonts w:ascii="Palatino Linotype" w:eastAsia="Palatino Linotype" w:hAnsi="Palatino Linotype" w:cs="Palatino Linotype"/>
          <w:color w:val="000000" w:themeColor="text1"/>
          <w:sz w:val="24"/>
          <w:szCs w:val="24"/>
          <w:lang w:eastAsia="es-MX"/>
        </w:rPr>
        <w:t xml:space="preserve"> manifestó que la información remitida es la que obra en sus archivos.</w:t>
      </w:r>
    </w:p>
    <w:p w14:paraId="084F2EF2" w14:textId="77777777" w:rsidR="004E7D7A" w:rsidRPr="00BC6D51" w:rsidRDefault="004E7D7A" w:rsidP="00E42E77">
      <w:pPr>
        <w:spacing w:line="360" w:lineRule="auto"/>
        <w:jc w:val="both"/>
        <w:rPr>
          <w:rFonts w:ascii="Palatino Linotype" w:eastAsia="Palatino Linotype" w:hAnsi="Palatino Linotype" w:cs="Palatino Linotype"/>
          <w:color w:val="000000" w:themeColor="text1"/>
          <w:sz w:val="24"/>
          <w:szCs w:val="24"/>
          <w:lang w:eastAsia="es-MX"/>
        </w:rPr>
      </w:pPr>
    </w:p>
    <w:p w14:paraId="7012572C" w14:textId="53F48E6A" w:rsidR="006F7B14" w:rsidRPr="00BC6D51" w:rsidRDefault="006F7B1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rPr>
        <w:t xml:space="preserve">En ese contexto,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47F9B180" w14:textId="77777777" w:rsidR="006F7B14" w:rsidRPr="00BC6D51" w:rsidRDefault="006F7B14" w:rsidP="00E42E77">
      <w:pPr>
        <w:spacing w:line="276" w:lineRule="auto"/>
        <w:jc w:val="center"/>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lastRenderedPageBreak/>
        <w:t>LEY DE CONTRATACIÓN PÚBLICA DEL ESTADO DE MÉXICO Y MUNICIPIO</w:t>
      </w:r>
    </w:p>
    <w:p w14:paraId="511B4EAB"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p>
    <w:p w14:paraId="1FA5E7CA"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b/>
          <w:i/>
          <w:color w:val="000000" w:themeColor="text1"/>
          <w:sz w:val="24"/>
          <w:szCs w:val="24"/>
        </w:rPr>
        <w:t>Artículo 26.-</w:t>
      </w:r>
      <w:r w:rsidRPr="00BC6D51">
        <w:rPr>
          <w:rFonts w:ascii="Palatino Linotype" w:eastAsia="Palatino Linotype" w:hAnsi="Palatino Linotype" w:cs="Palatino Linotype"/>
          <w:i/>
          <w:color w:val="000000" w:themeColor="text1"/>
          <w:sz w:val="24"/>
          <w:szCs w:val="24"/>
        </w:rPr>
        <w:t xml:space="preserve"> Las adquisiciones, arrendamientos y servicios se adjudicarán a través de licitaciones públicas, mediante convocatoria pública. </w:t>
      </w:r>
    </w:p>
    <w:p w14:paraId="3AB9F8EA"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p>
    <w:p w14:paraId="0B8EFC42"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b/>
          <w:i/>
          <w:color w:val="000000" w:themeColor="text1"/>
          <w:sz w:val="24"/>
          <w:szCs w:val="24"/>
        </w:rPr>
        <w:t>Artículo 27.-</w:t>
      </w:r>
      <w:r w:rsidRPr="00BC6D51">
        <w:rPr>
          <w:rFonts w:ascii="Palatino Linotype" w:eastAsia="Palatino Linotype" w:hAnsi="Palatino Linotype" w:cs="Palatino Linotype"/>
          <w:i/>
          <w:color w:val="000000" w:themeColor="text1"/>
          <w:sz w:val="24"/>
          <w:szCs w:val="24"/>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14:paraId="07701BE3"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p>
    <w:p w14:paraId="72EA97DF" w14:textId="77777777" w:rsidR="006F7B14" w:rsidRPr="00BC6D51" w:rsidRDefault="006F7B1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Respecto al procedimiento de </w:t>
      </w:r>
      <w:r w:rsidRPr="00BC6D51">
        <w:rPr>
          <w:rFonts w:ascii="Palatino Linotype" w:eastAsia="Palatino Linotype" w:hAnsi="Palatino Linotype" w:cs="Palatino Linotype"/>
          <w:b/>
          <w:color w:val="000000" w:themeColor="text1"/>
          <w:sz w:val="24"/>
          <w:szCs w:val="24"/>
        </w:rPr>
        <w:t>licitación pública</w:t>
      </w:r>
      <w:r w:rsidRPr="00BC6D51">
        <w:rPr>
          <w:rFonts w:ascii="Palatino Linotype" w:eastAsia="Palatino Linotype" w:hAnsi="Palatino Linotype" w:cs="Palatino Linotype"/>
          <w:color w:val="000000" w:themeColor="text1"/>
          <w:sz w:val="24"/>
          <w:szCs w:val="24"/>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2CD13FFF"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rPr>
      </w:pPr>
    </w:p>
    <w:p w14:paraId="7290E862" w14:textId="77777777" w:rsidR="006F7B14" w:rsidRPr="00BC6D51" w:rsidRDefault="006F7B1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En cuando hace a la </w:t>
      </w:r>
      <w:r w:rsidRPr="00BC6D51">
        <w:rPr>
          <w:rFonts w:ascii="Palatino Linotype" w:eastAsia="Palatino Linotype" w:hAnsi="Palatino Linotype" w:cs="Palatino Linotype"/>
          <w:b/>
          <w:color w:val="000000" w:themeColor="text1"/>
          <w:sz w:val="24"/>
          <w:szCs w:val="24"/>
        </w:rPr>
        <w:t>adjudicación directa</w:t>
      </w:r>
      <w:r w:rsidRPr="00BC6D51">
        <w:rPr>
          <w:rFonts w:ascii="Palatino Linotype" w:eastAsia="Palatino Linotype" w:hAnsi="Palatino Linotype" w:cs="Palatino Linotype"/>
          <w:color w:val="000000" w:themeColor="text1"/>
          <w:sz w:val="24"/>
          <w:szCs w:val="24"/>
        </w:rPr>
        <w:t xml:space="preserve">, la Secretaría de la Función Pública, (consultable en </w:t>
      </w:r>
      <w:hyperlink r:id="rId12">
        <w:r w:rsidRPr="00BC6D51">
          <w:rPr>
            <w:rFonts w:ascii="Palatino Linotype" w:eastAsia="Palatino Linotype" w:hAnsi="Palatino Linotype" w:cs="Palatino Linotype"/>
            <w:color w:val="000000" w:themeColor="text1"/>
            <w:sz w:val="24"/>
            <w:szCs w:val="24"/>
            <w:u w:val="single"/>
          </w:rPr>
          <w:t>https://www.gob.mx/sfp/acciones-y-programas/1-3-3-adjudicacion-directa</w:t>
        </w:r>
      </w:hyperlink>
      <w:r w:rsidRPr="00BC6D51">
        <w:rPr>
          <w:rFonts w:ascii="Palatino Linotype" w:eastAsia="Palatino Linotype" w:hAnsi="Palatino Linotype" w:cs="Palatino Linotype"/>
          <w:color w:val="000000" w:themeColor="text1"/>
          <w:sz w:val="24"/>
          <w:szCs w:val="24"/>
        </w:rPr>
        <w:t xml:space="preserve">), establece que es un procedimiento que se realiza sin puesta en concurrencia y por ende, sin que exista competencia, adjudicándose el contrato a un proveedor que ha sido preseleccionado para tales efectos por la dependencia o entidad. </w:t>
      </w:r>
    </w:p>
    <w:p w14:paraId="3C2FF422"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rPr>
      </w:pPr>
    </w:p>
    <w:p w14:paraId="16B591FF" w14:textId="77777777" w:rsidR="006F7B14" w:rsidRPr="00BC6D51" w:rsidRDefault="006F7B1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Por último, respecto a la </w:t>
      </w:r>
      <w:r w:rsidRPr="00BC6D51">
        <w:rPr>
          <w:rFonts w:ascii="Palatino Linotype" w:eastAsia="Palatino Linotype" w:hAnsi="Palatino Linotype" w:cs="Palatino Linotype"/>
          <w:b/>
          <w:color w:val="000000" w:themeColor="text1"/>
          <w:sz w:val="24"/>
          <w:szCs w:val="24"/>
        </w:rPr>
        <w:t>invitación restringida a cuando menos tres proveedores</w:t>
      </w:r>
      <w:r w:rsidRPr="00BC6D51">
        <w:rPr>
          <w:rFonts w:ascii="Palatino Linotype" w:eastAsia="Palatino Linotype" w:hAnsi="Palatino Linotype" w:cs="Palatino Linotype"/>
          <w:color w:val="000000" w:themeColor="text1"/>
          <w:sz w:val="24"/>
          <w:szCs w:val="24"/>
        </w:rPr>
        <w:t xml:space="preserve">, la Secretaría de la Contraloría (consultable en </w:t>
      </w:r>
      <w:hyperlink r:id="rId13" w:anchor=":~:text=Es%20un%20procedimiento%20administrativo%2C%20de,tres%20oferentes%20a%20presentar%20propuestas%2C">
        <w:r w:rsidRPr="00BC6D51">
          <w:rPr>
            <w:rFonts w:ascii="Palatino Linotype" w:eastAsia="Palatino Linotype" w:hAnsi="Palatino Linotype" w:cs="Palatino Linotype"/>
            <w:color w:val="000000" w:themeColor="text1"/>
            <w:sz w:val="24"/>
            <w:szCs w:val="24"/>
            <w:u w:val="single"/>
          </w:rPr>
          <w:t>http://www.contraloriadf.gob.mx/contraloria/cursos/ADQUISICIONES/paginas/32.php#:~:text=Es%20un%20procedimiento%20administrativo%2C%20de,tres%20oferentes%20a</w:t>
        </w:r>
        <w:r w:rsidRPr="00BC6D51">
          <w:rPr>
            <w:rFonts w:ascii="Palatino Linotype" w:eastAsia="Palatino Linotype" w:hAnsi="Palatino Linotype" w:cs="Palatino Linotype"/>
            <w:color w:val="000000" w:themeColor="text1"/>
            <w:sz w:val="24"/>
            <w:szCs w:val="24"/>
            <w:u w:val="single"/>
          </w:rPr>
          <w:lastRenderedPageBreak/>
          <w:t>%20presentar%20propuestas%2C</w:t>
        </w:r>
      </w:hyperlink>
      <w:r w:rsidRPr="00BC6D51">
        <w:rPr>
          <w:rFonts w:ascii="Palatino Linotype" w:eastAsia="Palatino Linotype" w:hAnsi="Palatino Linotype" w:cs="Palatino Linotype"/>
          <w:color w:val="000000" w:themeColor="text1"/>
          <w:sz w:val="24"/>
          <w:szCs w:val="24"/>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4EAEAEB7"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rPr>
      </w:pPr>
    </w:p>
    <w:p w14:paraId="1E717C79" w14:textId="77777777" w:rsidR="006F7B14" w:rsidRPr="00BC6D51" w:rsidRDefault="006F7B14"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Ahora bien, es de precisar que la Ley Orgánica Municipal del Estado de México en su artículo 31 señala que son atribuciones de los ayuntamientos, las siguientes: </w:t>
      </w:r>
    </w:p>
    <w:p w14:paraId="3D72870A"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b/>
          <w:i/>
          <w:color w:val="000000" w:themeColor="text1"/>
          <w:sz w:val="24"/>
          <w:szCs w:val="24"/>
        </w:rPr>
        <w:t>Artículo 31.-</w:t>
      </w:r>
      <w:r w:rsidRPr="00BC6D51">
        <w:rPr>
          <w:rFonts w:ascii="Palatino Linotype" w:eastAsia="Palatino Linotype" w:hAnsi="Palatino Linotype" w:cs="Palatino Linotype"/>
          <w:i/>
          <w:color w:val="000000" w:themeColor="text1"/>
          <w:sz w:val="24"/>
          <w:szCs w:val="24"/>
        </w:rPr>
        <w:t xml:space="preserve"> Son atribuciones de los ayuntamientos:</w:t>
      </w:r>
    </w:p>
    <w:p w14:paraId="6DB3599B"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p>
    <w:p w14:paraId="14819163"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49B34307" w14:textId="77777777" w:rsidR="006F7B14" w:rsidRPr="00BC6D51" w:rsidRDefault="006F7B14"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p>
    <w:p w14:paraId="5D17AB45"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lang w:eastAsia="es-MX"/>
        </w:rPr>
      </w:pPr>
    </w:p>
    <w:p w14:paraId="51925BF1" w14:textId="77777777" w:rsidR="004E49A8" w:rsidRPr="00BC6D51" w:rsidRDefault="004E49A8"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Por otro lado, en lo que respecta a nuestra materia, la Ley de Transparencia y Acceso a la Información Pública del Estado de México y Municipios, precisa en su artículo 92, fracción XXIX que la información relacionada con dichos procedimientos, incluyendo la versión pública del expediente respectivo y de los contratos celebrados, debe ser puesta a disposición de los particulares de manera actualizada y permanente, tal como se observa a continuación: </w:t>
      </w:r>
    </w:p>
    <w:p w14:paraId="3E65DEFA"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b/>
          <w:i/>
          <w:color w:val="000000" w:themeColor="text1"/>
          <w:sz w:val="24"/>
          <w:szCs w:val="24"/>
        </w:rPr>
        <w:t>Artículo 92.</w:t>
      </w:r>
      <w:r w:rsidRPr="00BC6D51">
        <w:rPr>
          <w:rFonts w:ascii="Palatino Linotype" w:eastAsia="Palatino Linotype" w:hAnsi="Palatino Linotype" w:cs="Palatino Linotype"/>
          <w:i/>
          <w:color w:val="000000" w:themeColor="text1"/>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27E1FA"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p>
    <w:p w14:paraId="461526C3"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b/>
          <w:i/>
          <w:color w:val="000000" w:themeColor="text1"/>
          <w:sz w:val="24"/>
          <w:szCs w:val="24"/>
        </w:rPr>
        <w:lastRenderedPageBreak/>
        <w:t>XXIX.</w:t>
      </w:r>
      <w:r w:rsidRPr="00BC6D51">
        <w:rPr>
          <w:rFonts w:ascii="Palatino Linotype" w:eastAsia="Palatino Linotype" w:hAnsi="Palatino Linotype" w:cs="Palatino Linotype"/>
          <w:i/>
          <w:color w:val="000000" w:themeColor="text1"/>
          <w:sz w:val="24"/>
          <w:szCs w:val="24"/>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47CD2BE"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p>
    <w:p w14:paraId="33AD9CF0" w14:textId="77777777" w:rsidR="004E49A8" w:rsidRPr="00BC6D51" w:rsidRDefault="004E49A8" w:rsidP="00E42E77">
      <w:pPr>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 xml:space="preserve">a) De licitaciones públicas o procedimientos de invitación restringida: </w:t>
      </w:r>
    </w:p>
    <w:p w14:paraId="266A7BD4"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 La convocatoria o invitación emitida, así como los fundamentos legales aplicados para llevarla a cabo; </w:t>
      </w:r>
    </w:p>
    <w:p w14:paraId="5E1D4948"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2) Los nombres de los participantes o invitados; </w:t>
      </w:r>
    </w:p>
    <w:p w14:paraId="2491441F"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3) El nombre del ganador y las razones que lo justifican; </w:t>
      </w:r>
    </w:p>
    <w:p w14:paraId="73EF217D"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4) El área solicitante y la responsable de su ejecución; </w:t>
      </w:r>
    </w:p>
    <w:p w14:paraId="37E4BC82"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5) Las convocatorias e invitaciones emitidas;</w:t>
      </w:r>
    </w:p>
    <w:p w14:paraId="5D20AA0E"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6) Los dictámenes y fallo de adjudicación; </w:t>
      </w:r>
    </w:p>
    <w:p w14:paraId="4928CB54" w14:textId="77777777" w:rsidR="004E49A8" w:rsidRPr="00BC6D51" w:rsidRDefault="004E49A8" w:rsidP="00E42E77">
      <w:pPr>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 xml:space="preserve">7) El contrato y, en su caso, sus anexos; </w:t>
      </w:r>
    </w:p>
    <w:p w14:paraId="3D0D331A"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8) Los mecanismos de vigilancia y supervisión, incluyendo en su caso, los estudios de impacto urbano y ambiental, según corresponda; </w:t>
      </w:r>
    </w:p>
    <w:p w14:paraId="3E6E4144"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9) La partida presupuestal, de conformidad con el clasificador por objeto del gasto, en el caso de ser aplicable; </w:t>
      </w:r>
    </w:p>
    <w:p w14:paraId="26CA98DC"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10) Origen de los recursos especificando si son federales, estatales o municipales, así como el tipo de fondo de participación o aportación respectiva; </w:t>
      </w:r>
    </w:p>
    <w:p w14:paraId="4556EA84"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11) Los convenios modificatorios que, en su caso, sean firmados, precisando el objeto y la fecha de celebración; </w:t>
      </w:r>
    </w:p>
    <w:p w14:paraId="326FA571" w14:textId="77777777" w:rsidR="004E49A8" w:rsidRPr="00BC6D51" w:rsidRDefault="004E49A8" w:rsidP="00E42E77">
      <w:pPr>
        <w:spacing w:line="276" w:lineRule="auto"/>
        <w:jc w:val="both"/>
        <w:rPr>
          <w:rFonts w:ascii="Palatino Linotype" w:eastAsia="Palatino Linotype" w:hAnsi="Palatino Linotype" w:cs="Palatino Linotype"/>
          <w:b/>
          <w:i/>
          <w:color w:val="000000" w:themeColor="text1"/>
          <w:sz w:val="24"/>
          <w:szCs w:val="24"/>
          <w:u w:val="single"/>
        </w:rPr>
      </w:pPr>
      <w:r w:rsidRPr="00BC6D51">
        <w:rPr>
          <w:rFonts w:ascii="Palatino Linotype" w:eastAsia="Palatino Linotype" w:hAnsi="Palatino Linotype" w:cs="Palatino Linotype"/>
          <w:b/>
          <w:i/>
          <w:color w:val="000000" w:themeColor="text1"/>
          <w:sz w:val="24"/>
          <w:szCs w:val="24"/>
          <w:u w:val="single"/>
        </w:rPr>
        <w:t xml:space="preserve">12) Los informes de avance físico y financiero sobre las obras o servicios contratados; </w:t>
      </w:r>
    </w:p>
    <w:p w14:paraId="002AB194"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13) El convenio de terminación; y </w:t>
      </w:r>
    </w:p>
    <w:p w14:paraId="00EB1FDC"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14) El finiquito. </w:t>
      </w:r>
    </w:p>
    <w:p w14:paraId="5731EB07" w14:textId="77777777" w:rsidR="004E49A8" w:rsidRPr="00BC6D51" w:rsidRDefault="004E49A8" w:rsidP="00E42E77">
      <w:pPr>
        <w:spacing w:line="276" w:lineRule="auto"/>
        <w:jc w:val="both"/>
        <w:rPr>
          <w:rFonts w:ascii="Palatino Linotype" w:eastAsia="Palatino Linotype" w:hAnsi="Palatino Linotype" w:cs="Palatino Linotype"/>
          <w:b/>
          <w:i/>
          <w:color w:val="000000" w:themeColor="text1"/>
          <w:sz w:val="24"/>
          <w:szCs w:val="24"/>
        </w:rPr>
      </w:pPr>
    </w:p>
    <w:p w14:paraId="311244EC" w14:textId="77777777" w:rsidR="004E49A8" w:rsidRPr="00BC6D51" w:rsidRDefault="004E49A8" w:rsidP="00E42E77">
      <w:pPr>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 xml:space="preserve">b) De las adjudicaciones directas: </w:t>
      </w:r>
    </w:p>
    <w:p w14:paraId="24EAD493"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 La propuesta enviada por el participante; </w:t>
      </w:r>
    </w:p>
    <w:p w14:paraId="5FE9BFC7"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2) Los motivos y fundamentos legales aplicados para llevarla a cabo; </w:t>
      </w:r>
    </w:p>
    <w:p w14:paraId="256F0DDC"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3) La autorización del ejercicio de la opción; </w:t>
      </w:r>
    </w:p>
    <w:p w14:paraId="30737F39"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lastRenderedPageBreak/>
        <w:t xml:space="preserve">4) En su caso, las cotizaciones consideradas, especificando los nombres de los proveedores y sus montos; </w:t>
      </w:r>
    </w:p>
    <w:p w14:paraId="59E4806D"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5) El nombre de la persona física o jurídica colectiva adjudicada; </w:t>
      </w:r>
    </w:p>
    <w:p w14:paraId="2E1FC3D2"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6) La unidad administrativa solicitante y la responsable de su ejecución; </w:t>
      </w:r>
    </w:p>
    <w:p w14:paraId="13A80A30"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7) El número, fecha, el monto del contrato y el plazo de entrega o de ejecución de los servicios u obra; </w:t>
      </w:r>
    </w:p>
    <w:p w14:paraId="309B7E13"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8) Los mecanismos de vigilancia y supervisión, incluyendo, en su caso, los estudios de impacto urbano y ambiental, según corresponda; </w:t>
      </w:r>
    </w:p>
    <w:p w14:paraId="58405FF0"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9) Los informes de avance sobre las obras o servicios contratados; </w:t>
      </w:r>
    </w:p>
    <w:p w14:paraId="38AD6D81"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 xml:space="preserve">10) El convenio de terminación; y </w:t>
      </w:r>
    </w:p>
    <w:p w14:paraId="704EB63E"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11) El finiquito.</w:t>
      </w:r>
    </w:p>
    <w:p w14:paraId="16B25433"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p>
    <w:p w14:paraId="5254DCC0"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XXXVI. Padrón de proveedores y contratistas;</w:t>
      </w:r>
      <w:r w:rsidRPr="00BC6D51">
        <w:rPr>
          <w:rFonts w:ascii="Palatino Linotype" w:eastAsia="Palatino Linotype" w:hAnsi="Palatino Linotype" w:cs="Palatino Linotype"/>
          <w:i/>
          <w:color w:val="000000" w:themeColor="text1"/>
          <w:sz w:val="24"/>
          <w:szCs w:val="24"/>
        </w:rPr>
        <w:br/>
        <w:t>…</w:t>
      </w:r>
    </w:p>
    <w:p w14:paraId="1CA5A2BF" w14:textId="77777777" w:rsidR="004E49A8" w:rsidRPr="00BC6D51" w:rsidRDefault="004E49A8" w:rsidP="00E42E77">
      <w:pPr>
        <w:spacing w:line="276" w:lineRule="auto"/>
        <w:jc w:val="both"/>
        <w:rPr>
          <w:rFonts w:ascii="Palatino Linotype" w:eastAsia="Palatino Linotype" w:hAnsi="Palatino Linotype" w:cs="Palatino Linotype"/>
          <w:i/>
          <w:color w:val="000000" w:themeColor="text1"/>
          <w:sz w:val="24"/>
          <w:szCs w:val="24"/>
        </w:rPr>
      </w:pPr>
    </w:p>
    <w:p w14:paraId="60C8B8B4" w14:textId="3B7D9E43" w:rsidR="004E7D7A" w:rsidRPr="00BC6D51" w:rsidRDefault="00AF1A7E"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t xml:space="preserve">Por lo que hace </w:t>
      </w:r>
      <w:r w:rsidR="004E7D7A" w:rsidRPr="00BC6D51">
        <w:rPr>
          <w:rFonts w:ascii="Palatino Linotype" w:eastAsia="Palatino Linotype" w:hAnsi="Palatino Linotype" w:cs="Palatino Linotype"/>
          <w:color w:val="000000" w:themeColor="text1"/>
          <w:sz w:val="24"/>
          <w:szCs w:val="24"/>
          <w:lang w:eastAsia="es-MX"/>
        </w:rPr>
        <w:t>al link en donde</w:t>
      </w:r>
      <w:r w:rsidR="003C19E4" w:rsidRPr="00BC6D51">
        <w:rPr>
          <w:rFonts w:ascii="Palatino Linotype" w:eastAsia="Palatino Linotype" w:hAnsi="Palatino Linotype" w:cs="Palatino Linotype"/>
          <w:color w:val="000000" w:themeColor="text1"/>
          <w:sz w:val="24"/>
          <w:szCs w:val="24"/>
          <w:lang w:eastAsia="es-MX"/>
        </w:rPr>
        <w:t xml:space="preserve"> la Dirección de Administración</w:t>
      </w:r>
      <w:r w:rsidR="004E7D7A" w:rsidRPr="00BC6D51">
        <w:rPr>
          <w:rFonts w:ascii="Palatino Linotype" w:eastAsia="Palatino Linotype" w:hAnsi="Palatino Linotype" w:cs="Palatino Linotype"/>
          <w:color w:val="000000" w:themeColor="text1"/>
          <w:sz w:val="24"/>
          <w:szCs w:val="24"/>
          <w:lang w:eastAsia="es-MX"/>
        </w:rPr>
        <w:t xml:space="preserve"> refirió se encuentra la información solicitada, este Órgano Resolutor, advierte lo siguiente:</w:t>
      </w:r>
    </w:p>
    <w:p w14:paraId="4B7F5B47" w14:textId="3A0229D9" w:rsidR="004E7D7A" w:rsidRPr="00BC6D51" w:rsidRDefault="004E7D7A" w:rsidP="00E42E77">
      <w:pPr>
        <w:spacing w:line="360" w:lineRule="auto"/>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noProof/>
          <w:color w:val="000000" w:themeColor="text1"/>
          <w:sz w:val="24"/>
          <w:szCs w:val="24"/>
          <w:lang w:eastAsia="es-MX"/>
        </w:rPr>
        <w:drawing>
          <wp:inline distT="0" distB="0" distL="0" distR="0" wp14:anchorId="000C2C5F" wp14:editId="79BD0690">
            <wp:extent cx="5742940" cy="29711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971165"/>
                    </a:xfrm>
                    <a:prstGeom prst="rect">
                      <a:avLst/>
                    </a:prstGeom>
                  </pic:spPr>
                </pic:pic>
              </a:graphicData>
            </a:graphic>
          </wp:inline>
        </w:drawing>
      </w:r>
    </w:p>
    <w:p w14:paraId="7ED80022" w14:textId="64D78E19" w:rsidR="004E7D7A" w:rsidRPr="00BC6D51" w:rsidRDefault="004E7D7A"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lastRenderedPageBreak/>
        <w:t>De lo anterior, se advierte únicamente el periodo del ejercicio 2025, sin que esta información resulte trascendental al fondo del asunto, pues la información solicit</w:t>
      </w:r>
      <w:r w:rsidR="003C19E4" w:rsidRPr="00BC6D51">
        <w:rPr>
          <w:rFonts w:ascii="Palatino Linotype" w:eastAsia="Palatino Linotype" w:hAnsi="Palatino Linotype" w:cs="Palatino Linotype"/>
          <w:color w:val="000000" w:themeColor="text1"/>
          <w:sz w:val="24"/>
          <w:szCs w:val="24"/>
          <w:lang w:eastAsia="es-MX"/>
        </w:rPr>
        <w:t>ada es relativa al periodo 2024 y la misma no fue proporcionada por el Servidor Público Habilitado para tal efecto.</w:t>
      </w:r>
    </w:p>
    <w:p w14:paraId="31F37947" w14:textId="77777777" w:rsidR="004E7D7A" w:rsidRPr="00BC6D51" w:rsidRDefault="004E7D7A" w:rsidP="00E42E77">
      <w:pPr>
        <w:spacing w:line="360" w:lineRule="auto"/>
        <w:jc w:val="both"/>
        <w:rPr>
          <w:rFonts w:ascii="Palatino Linotype" w:eastAsia="Palatino Linotype" w:hAnsi="Palatino Linotype" w:cs="Palatino Linotype"/>
          <w:color w:val="000000" w:themeColor="text1"/>
          <w:sz w:val="24"/>
          <w:szCs w:val="24"/>
          <w:lang w:eastAsia="es-MX"/>
        </w:rPr>
      </w:pPr>
    </w:p>
    <w:p w14:paraId="653B1C49" w14:textId="20815373" w:rsidR="00B539B3" w:rsidRPr="00BC6D51" w:rsidRDefault="003D70A5" w:rsidP="00E42E77">
      <w:pPr>
        <w:numPr>
          <w:ilvl w:val="0"/>
          <w:numId w:val="3"/>
        </w:numPr>
        <w:spacing w:line="360" w:lineRule="auto"/>
        <w:ind w:left="0" w:firstLine="0"/>
        <w:jc w:val="both"/>
        <w:rPr>
          <w:rFonts w:ascii="Palatino Linotype" w:hAnsi="Palatino Linotype" w:cs="Arial"/>
          <w:color w:val="000000" w:themeColor="text1"/>
          <w:sz w:val="24"/>
          <w:szCs w:val="24"/>
        </w:rPr>
      </w:pPr>
      <w:r w:rsidRPr="00BC6D51">
        <w:rPr>
          <w:rFonts w:ascii="Palatino Linotype" w:eastAsia="Palatino Linotype" w:hAnsi="Palatino Linotype" w:cs="Palatino Linotype"/>
          <w:color w:val="000000" w:themeColor="text1"/>
          <w:sz w:val="24"/>
          <w:szCs w:val="24"/>
          <w:lang w:eastAsia="es-MX"/>
        </w:rPr>
        <w:t xml:space="preserve">Por lo que hace a la información remitida, en el archivo </w:t>
      </w:r>
      <w:hyperlink r:id="rId15" w:tgtFrame="_blank" w:history="1">
        <w:r w:rsidRPr="00BC6D51">
          <w:rPr>
            <w:rStyle w:val="Hipervnculo"/>
            <w:rFonts w:ascii="Palatino Linotype" w:eastAsia="Palatino Linotype" w:hAnsi="Palatino Linotype" w:cs="Palatino Linotype"/>
            <w:b/>
            <w:bCs/>
            <w:i/>
            <w:color w:val="000000" w:themeColor="text1"/>
            <w:sz w:val="24"/>
            <w:szCs w:val="24"/>
            <w:u w:val="none"/>
            <w:lang w:eastAsia="es-MX"/>
          </w:rPr>
          <w:t>Anexo Saimex 000207.pdf</w:t>
        </w:r>
      </w:hyperlink>
      <w:r w:rsidRPr="00BC6D51">
        <w:rPr>
          <w:rFonts w:ascii="Palatino Linotype" w:eastAsia="Palatino Linotype" w:hAnsi="Palatino Linotype" w:cs="Palatino Linotype"/>
          <w:b/>
          <w:i/>
          <w:color w:val="000000" w:themeColor="text1"/>
          <w:sz w:val="24"/>
          <w:szCs w:val="24"/>
          <w:lang w:eastAsia="es-MX"/>
        </w:rPr>
        <w:t xml:space="preserve">, </w:t>
      </w:r>
      <w:r w:rsidRPr="00BC6D51">
        <w:rPr>
          <w:rFonts w:ascii="Palatino Linotype" w:eastAsia="Palatino Linotype" w:hAnsi="Palatino Linotype" w:cs="Palatino Linotype"/>
          <w:color w:val="000000" w:themeColor="text1"/>
          <w:sz w:val="24"/>
          <w:szCs w:val="24"/>
          <w:lang w:eastAsia="es-MX"/>
        </w:rPr>
        <w:t xml:space="preserve">se advierte que si bien es cierto, el </w:t>
      </w:r>
      <w:r w:rsidRPr="00BC6D51">
        <w:rPr>
          <w:rFonts w:ascii="Palatino Linotype" w:eastAsia="Palatino Linotype" w:hAnsi="Palatino Linotype" w:cs="Palatino Linotype"/>
          <w:b/>
          <w:color w:val="000000" w:themeColor="text1"/>
          <w:sz w:val="24"/>
          <w:szCs w:val="24"/>
          <w:lang w:eastAsia="es-MX"/>
        </w:rPr>
        <w:t xml:space="preserve">SUJETO OBLIGADO, </w:t>
      </w:r>
      <w:r w:rsidRPr="00BC6D51">
        <w:rPr>
          <w:rFonts w:ascii="Palatino Linotype" w:eastAsia="Palatino Linotype" w:hAnsi="Palatino Linotype" w:cs="Palatino Linotype"/>
          <w:color w:val="000000" w:themeColor="text1"/>
          <w:sz w:val="24"/>
          <w:szCs w:val="24"/>
          <w:lang w:eastAsia="es-MX"/>
        </w:rPr>
        <w:t>refirió que es la información con la que cuenta y al no encontrarse actualizada la página del IPOMEX</w:t>
      </w:r>
      <w:r w:rsidRPr="00BC6D51">
        <w:rPr>
          <w:rFonts w:ascii="Palatino Linotype" w:hAnsi="Palatino Linotype" w:cs="Arial"/>
          <w:color w:val="000000" w:themeColor="text1"/>
          <w:sz w:val="24"/>
          <w:szCs w:val="24"/>
        </w:rPr>
        <w:t xml:space="preserve">, es necesario señalar que éste Órgano Garante no está facultado para pronunciarse sobre la veracidad de la información que los Sujetos Obligados ponen a disposición de los solicitantes; situación que se aleja de las atribuciones de este Instituto </w:t>
      </w:r>
      <w:r w:rsidRPr="00BC6D51">
        <w:rPr>
          <w:rFonts w:ascii="Palatino Linotype" w:hAnsi="Palatino Linotype"/>
          <w:color w:val="000000" w:themeColor="text1"/>
          <w:sz w:val="24"/>
          <w:szCs w:val="24"/>
        </w:rPr>
        <w:t>máxime que al momento que ponen a disposición ésta, la misma tiene el carácter oficial y se presume veraz, tan es así que la misma queda registrada en el Sistema de Acceso a la Información Mexiquense (SAIMEX).</w:t>
      </w:r>
    </w:p>
    <w:p w14:paraId="2ACAEB5A" w14:textId="77777777" w:rsidR="003D70A5" w:rsidRPr="00BC6D51" w:rsidRDefault="003D70A5" w:rsidP="00E42E77">
      <w:pPr>
        <w:pStyle w:val="Prrafodelista"/>
        <w:tabs>
          <w:tab w:val="left" w:pos="284"/>
        </w:tabs>
        <w:spacing w:line="360" w:lineRule="auto"/>
        <w:ind w:left="0"/>
        <w:jc w:val="both"/>
        <w:rPr>
          <w:rFonts w:ascii="Palatino Linotype" w:hAnsi="Palatino Linotype"/>
          <w:color w:val="000000" w:themeColor="text1"/>
          <w:sz w:val="24"/>
        </w:rPr>
      </w:pPr>
    </w:p>
    <w:p w14:paraId="45B3B7A2" w14:textId="77777777" w:rsidR="003D70A5" w:rsidRPr="00BC6D51" w:rsidRDefault="003D70A5" w:rsidP="00E42E77">
      <w:pPr>
        <w:numPr>
          <w:ilvl w:val="0"/>
          <w:numId w:val="3"/>
        </w:numPr>
        <w:spacing w:line="360" w:lineRule="auto"/>
        <w:ind w:left="0" w:firstLine="0"/>
        <w:jc w:val="both"/>
        <w:rPr>
          <w:rFonts w:ascii="Palatino Linotype" w:hAnsi="Palatino Linotype" w:cs="Arial"/>
          <w:color w:val="000000" w:themeColor="text1"/>
          <w:sz w:val="24"/>
          <w:szCs w:val="24"/>
        </w:rPr>
      </w:pPr>
      <w:r w:rsidRPr="00BC6D51">
        <w:rPr>
          <w:rFonts w:ascii="Palatino Linotype" w:hAnsi="Palatino Linotype" w:cs="Arial"/>
          <w:color w:val="000000" w:themeColor="text1"/>
          <w:sz w:val="24"/>
          <w:szCs w:val="24"/>
        </w:rPr>
        <w:t xml:space="preserve">Así </w:t>
      </w:r>
      <w:r w:rsidRPr="00BC6D51">
        <w:rPr>
          <w:rFonts w:ascii="Palatino Linotype" w:eastAsia="Palatino Linotype" w:hAnsi="Palatino Linotype" w:cs="Palatino Linotype"/>
          <w:color w:val="000000" w:themeColor="text1"/>
          <w:sz w:val="24"/>
          <w:szCs w:val="24"/>
          <w:lang w:eastAsia="es-MX"/>
        </w:rPr>
        <w:t>mismo</w:t>
      </w:r>
      <w:r w:rsidRPr="00BC6D51">
        <w:rPr>
          <w:rFonts w:ascii="Palatino Linotype" w:hAnsi="Palatino Linotype" w:cs="Arial"/>
          <w:color w:val="000000" w:themeColor="text1"/>
          <w:sz w:val="24"/>
          <w:szCs w:val="24"/>
        </w:rPr>
        <w:t xml:space="preserve">, la </w:t>
      </w:r>
      <w:r w:rsidRPr="00BC6D51">
        <w:rPr>
          <w:rFonts w:ascii="Palatino Linotype" w:hAnsi="Palatino Linotype" w:cs="Arial"/>
          <w:b/>
          <w:color w:val="000000" w:themeColor="text1"/>
          <w:sz w:val="24"/>
          <w:szCs w:val="24"/>
        </w:rPr>
        <w:t>Ley de Transparencia y Acceso a la Información Pública del Estado de México y Municipios</w:t>
      </w:r>
      <w:r w:rsidRPr="00BC6D51">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ADECF60" w14:textId="77777777" w:rsidR="003D70A5" w:rsidRPr="00BC6D51" w:rsidRDefault="003D70A5" w:rsidP="00E42E77">
      <w:pPr>
        <w:pStyle w:val="Prrafodelista"/>
        <w:spacing w:line="360" w:lineRule="auto"/>
        <w:ind w:left="0"/>
        <w:jc w:val="both"/>
        <w:rPr>
          <w:rFonts w:ascii="Palatino Linotype" w:hAnsi="Palatino Linotype" w:cs="Arial"/>
          <w:b/>
          <w:i/>
          <w:color w:val="000000" w:themeColor="text1"/>
          <w:sz w:val="24"/>
        </w:rPr>
      </w:pPr>
      <w:r w:rsidRPr="00BC6D51">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C6D51">
        <w:rPr>
          <w:rFonts w:ascii="Palatino Linotype" w:hAnsi="Palatino Linotype" w:cs="Arial"/>
          <w:b/>
          <w:i/>
          <w:color w:val="000000" w:themeColor="text1"/>
          <w:sz w:val="24"/>
        </w:rPr>
        <w:t xml:space="preserve">Los Sujetos Obligados deben </w:t>
      </w:r>
      <w:r w:rsidRPr="00BC6D51">
        <w:rPr>
          <w:rFonts w:ascii="Palatino Linotype" w:hAnsi="Palatino Linotype" w:cs="Arial"/>
          <w:b/>
          <w:i/>
          <w:color w:val="000000" w:themeColor="text1"/>
          <w:sz w:val="24"/>
        </w:rPr>
        <w:lastRenderedPageBreak/>
        <w:t>poner en práctica, políticas y programas de acceso a la información que se apeguen a criterios de publicidad, veracidad, oportunidad, precisión y suficiencia en beneficio de los solicitantes.</w:t>
      </w:r>
    </w:p>
    <w:p w14:paraId="00C694F5" w14:textId="77777777" w:rsidR="003D70A5" w:rsidRPr="00BC6D51" w:rsidRDefault="003D70A5" w:rsidP="00E42E77">
      <w:pPr>
        <w:spacing w:line="360" w:lineRule="auto"/>
        <w:jc w:val="both"/>
        <w:rPr>
          <w:rFonts w:ascii="Palatino Linotype" w:hAnsi="Palatino Linotype" w:cs="Arial"/>
          <w:b/>
          <w:i/>
          <w:color w:val="000000" w:themeColor="text1"/>
          <w:sz w:val="24"/>
          <w:szCs w:val="24"/>
        </w:rPr>
      </w:pPr>
    </w:p>
    <w:p w14:paraId="7558F237" w14:textId="3B661A6F" w:rsidR="003D70A5" w:rsidRPr="00BC6D51" w:rsidRDefault="003D70A5" w:rsidP="00E42E77">
      <w:pPr>
        <w:numPr>
          <w:ilvl w:val="0"/>
          <w:numId w:val="3"/>
        </w:numPr>
        <w:spacing w:line="360" w:lineRule="auto"/>
        <w:ind w:left="0" w:firstLine="0"/>
        <w:jc w:val="both"/>
        <w:rPr>
          <w:rFonts w:ascii="Palatino Linotype" w:hAnsi="Palatino Linotype" w:cs="Arial"/>
          <w:noProof/>
          <w:color w:val="000000" w:themeColor="text1"/>
          <w:sz w:val="24"/>
          <w:szCs w:val="24"/>
        </w:rPr>
      </w:pPr>
      <w:r w:rsidRPr="00BC6D51">
        <w:rPr>
          <w:rFonts w:ascii="Palatino Linotype" w:hAnsi="Palatino Linotype" w:cs="Arial"/>
          <w:noProof/>
          <w:color w:val="000000" w:themeColor="text1"/>
          <w:sz w:val="24"/>
          <w:szCs w:val="24"/>
        </w:rPr>
        <w:t xml:space="preserve">Numerales que compelen al </w:t>
      </w:r>
      <w:r w:rsidRPr="00BC6D51">
        <w:rPr>
          <w:rFonts w:ascii="Palatino Linotype" w:hAnsi="Palatino Linotype" w:cs="Arial"/>
          <w:b/>
          <w:noProof/>
          <w:color w:val="000000" w:themeColor="text1"/>
          <w:sz w:val="24"/>
          <w:szCs w:val="24"/>
        </w:rPr>
        <w:t>SUJETO OBLIGADO</w:t>
      </w:r>
      <w:r w:rsidRPr="00BC6D51">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C6D51">
        <w:rPr>
          <w:rFonts w:ascii="Palatino Linotype" w:eastAsia="MS Gothic" w:hAnsi="Palatino Linotype" w:cstheme="majorBidi"/>
          <w:color w:val="000000" w:themeColor="text1"/>
          <w:sz w:val="24"/>
          <w:szCs w:val="24"/>
        </w:rPr>
        <w:t xml:space="preserve">. </w:t>
      </w:r>
    </w:p>
    <w:p w14:paraId="25193F30" w14:textId="77777777" w:rsidR="003D70A5" w:rsidRPr="00BC6D51" w:rsidRDefault="003D70A5" w:rsidP="00E42E77">
      <w:pPr>
        <w:spacing w:line="360" w:lineRule="auto"/>
        <w:jc w:val="both"/>
        <w:rPr>
          <w:rFonts w:ascii="Palatino Linotype" w:eastAsia="Palatino Linotype" w:hAnsi="Palatino Linotype" w:cs="Palatino Linotype"/>
          <w:b/>
          <w:i/>
          <w:color w:val="000000" w:themeColor="text1"/>
          <w:sz w:val="24"/>
          <w:szCs w:val="24"/>
          <w:lang w:eastAsia="es-MX"/>
        </w:rPr>
      </w:pPr>
    </w:p>
    <w:p w14:paraId="54BB8E3F" w14:textId="3E290673" w:rsidR="00C51CE6" w:rsidRPr="00BC6D51" w:rsidRDefault="003D70A5" w:rsidP="00E42E77">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t xml:space="preserve">No obstante lo anterior, </w:t>
      </w:r>
      <w:r w:rsidR="004E49A8" w:rsidRPr="00BC6D51">
        <w:rPr>
          <w:rFonts w:ascii="Palatino Linotype" w:eastAsia="Palatino Linotype" w:hAnsi="Palatino Linotype" w:cs="Palatino Linotype"/>
          <w:color w:val="000000" w:themeColor="text1"/>
          <w:sz w:val="24"/>
          <w:szCs w:val="24"/>
          <w:lang w:eastAsia="es-MX"/>
        </w:rPr>
        <w:t>si bien es cierto quedo establecido que durante el ejercicio 2024, hubo una licitaci</w:t>
      </w:r>
      <w:r w:rsidR="00C51CE6" w:rsidRPr="00BC6D51">
        <w:rPr>
          <w:rFonts w:ascii="Palatino Linotype" w:eastAsia="Palatino Linotype" w:hAnsi="Palatino Linotype" w:cs="Palatino Linotype"/>
          <w:color w:val="000000" w:themeColor="text1"/>
          <w:sz w:val="24"/>
          <w:szCs w:val="24"/>
          <w:lang w:eastAsia="es-MX"/>
        </w:rPr>
        <w:t xml:space="preserve">ón y 13 contratos,  también cierto es que de acuerdo a </w:t>
      </w:r>
    </w:p>
    <w:p w14:paraId="43D4F158" w14:textId="2347C1E7" w:rsidR="00C51CE6" w:rsidRPr="00BC6D51" w:rsidRDefault="00C51CE6"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i/>
          <w:color w:val="000000" w:themeColor="text1"/>
          <w:sz w:val="24"/>
          <w:szCs w:val="24"/>
          <w:lang w:eastAsia="es-MX"/>
        </w:rPr>
        <w:t xml:space="preserve">LEY DE CONTRATACIÓN PÚBLICA DEL ESTADO DE MÉXICO Y MUNICIPIOS, </w:t>
      </w:r>
      <w:r w:rsidRPr="00BC6D51">
        <w:rPr>
          <w:rFonts w:ascii="Palatino Linotype" w:eastAsia="Palatino Linotype" w:hAnsi="Palatino Linotype" w:cs="Palatino Linotype"/>
          <w:color w:val="000000" w:themeColor="text1"/>
          <w:sz w:val="24"/>
          <w:szCs w:val="24"/>
          <w:lang w:eastAsia="es-MX"/>
        </w:rPr>
        <w:t>la licitación, se encuentra integrada de diversos documentos,  señalados en el artículo XXIX inciso a) mismos que ya quedaron referidos, en líneas que anteceden, luego entonces, al advertirse que se pronunció el Servidor Público Habilitado para tal efecto, mismo que informo que es la información con la que se cuenta y al existir fuente obligacional para generar, poseer y/o administrar la información que no fue remitida, resulta dable ordenar</w:t>
      </w:r>
      <w:r w:rsidRPr="00BC6D51">
        <w:rPr>
          <w:rFonts w:ascii="Palatino Linotype" w:eastAsia="Palatino Linotype" w:hAnsi="Palatino Linotype" w:cs="Palatino Linotype"/>
          <w:color w:val="000000" w:themeColor="text1"/>
          <w:sz w:val="24"/>
          <w:szCs w:val="24"/>
        </w:rPr>
        <w:t xml:space="preserve"> la declaratoria de inexistencia en términos de lo establecido en el artículo 19, párrafo tercero, 169 y 170 de la Ley de Transparencia y Acceso a la Información Pública del Estado de México y Municipios.</w:t>
      </w:r>
    </w:p>
    <w:p w14:paraId="1999636A" w14:textId="77777777" w:rsidR="00C51CE6" w:rsidRPr="00BC6D51" w:rsidRDefault="00C51CE6"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Lo anterior, debido a que de acuerdo con el Criterio 14/17, emitido por el Instituto Nacional de Transparencia, Acceso a la Información Pública y Protección de Datos Personales en el Estado de México y Municipios, la inexistencia de la información se refiere a lo siguiente:</w:t>
      </w:r>
    </w:p>
    <w:p w14:paraId="6A043104" w14:textId="77777777" w:rsidR="00C51CE6" w:rsidRPr="00BC6D51" w:rsidRDefault="00C51CE6" w:rsidP="00E42E77">
      <w:pPr>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i/>
          <w:color w:val="000000" w:themeColor="text1"/>
          <w:sz w:val="24"/>
          <w:szCs w:val="24"/>
        </w:rPr>
        <w:t>“</w:t>
      </w:r>
      <w:r w:rsidRPr="00BC6D51">
        <w:rPr>
          <w:rFonts w:ascii="Palatino Linotype" w:eastAsia="Palatino Linotype" w:hAnsi="Palatino Linotype" w:cs="Palatino Linotype"/>
          <w:b/>
          <w:i/>
          <w:color w:val="000000" w:themeColor="text1"/>
          <w:sz w:val="24"/>
          <w:szCs w:val="24"/>
        </w:rPr>
        <w:t xml:space="preserve">Inexistencia. </w:t>
      </w:r>
      <w:r w:rsidRPr="00BC6D51">
        <w:rPr>
          <w:rFonts w:ascii="Palatino Linotype" w:eastAsia="Palatino Linotype" w:hAnsi="Palatino Linotype" w:cs="Palatino Linotype"/>
          <w:i/>
          <w:color w:val="000000" w:themeColor="text1"/>
          <w:sz w:val="24"/>
          <w:szCs w:val="24"/>
        </w:rPr>
        <w:t>La inexistencia es una cuestión de hecho que se atribuye a la información solicitada e implica que ésta no se encuentra en los archivos del sujeto obligado, no obstante que cuenta con facultades para poseerla.”</w:t>
      </w:r>
    </w:p>
    <w:p w14:paraId="3DD94982" w14:textId="77777777" w:rsidR="00C51CE6" w:rsidRPr="00BC6D51" w:rsidRDefault="00C51CE6" w:rsidP="00E42E77">
      <w:pPr>
        <w:spacing w:line="360" w:lineRule="auto"/>
        <w:jc w:val="both"/>
        <w:rPr>
          <w:rFonts w:ascii="Palatino Linotype" w:eastAsia="Palatino Linotype" w:hAnsi="Palatino Linotype" w:cs="Palatino Linotype"/>
          <w:color w:val="000000" w:themeColor="text1"/>
          <w:sz w:val="24"/>
          <w:szCs w:val="24"/>
        </w:rPr>
      </w:pPr>
    </w:p>
    <w:p w14:paraId="53E5DF03" w14:textId="77777777" w:rsidR="00C51CE6" w:rsidRPr="00BC6D51" w:rsidRDefault="00C51CE6"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Es decir, la </w:t>
      </w:r>
      <w:r w:rsidRPr="00BC6D51">
        <w:rPr>
          <w:rFonts w:ascii="Palatino Linotype" w:eastAsia="Palatino Linotype" w:hAnsi="Palatino Linotype" w:cs="Palatino Linotype"/>
          <w:b/>
          <w:color w:val="000000" w:themeColor="text1"/>
          <w:sz w:val="24"/>
          <w:szCs w:val="24"/>
        </w:rPr>
        <w:t>inexistencia</w:t>
      </w:r>
      <w:r w:rsidRPr="00BC6D51">
        <w:rPr>
          <w:rFonts w:ascii="Palatino Linotype" w:eastAsia="Palatino Linotype" w:hAnsi="Palatino Linotype" w:cs="Palatino Linotype"/>
          <w:color w:val="000000" w:themeColor="text1"/>
          <w:sz w:val="24"/>
          <w:szCs w:val="24"/>
        </w:rPr>
        <w:t xml:space="preserve"> presupone la competencia del sujeto obligado para conocer de la información, pero por alguna circunstancia, la documentación solicitada no obra en sus archivos, por lo que, de conformidad con el artículo 19, párrafo tercero de la Ley de Transparencia y Acceso a la Información Pública del Estado de México y Municipios, se establece </w:t>
      </w:r>
      <w:r w:rsidRPr="00BC6D51">
        <w:rPr>
          <w:rFonts w:ascii="Palatino Linotype" w:eastAsia="Palatino Linotype" w:hAnsi="Palatino Linotype" w:cs="Palatino Linotype"/>
          <w:b/>
          <w:color w:val="000000" w:themeColor="text1"/>
          <w:sz w:val="24"/>
          <w:szCs w:val="24"/>
          <w:u w:val="single"/>
        </w:rPr>
        <w:t>que cuando los sujetos obligados, en el ejercicio de sus atribuciones, debía generar, poseer, administrar la información, pero está no se encuentra, el Comité de Transparencia, deberá emitir el acuerdo de inexistencia.</w:t>
      </w:r>
    </w:p>
    <w:p w14:paraId="34A94750" w14:textId="77777777" w:rsidR="00C51CE6" w:rsidRPr="00BC6D51" w:rsidRDefault="00C51CE6" w:rsidP="00E42E77">
      <w:pPr>
        <w:shd w:val="clear" w:color="auto" w:fill="FFFFFF"/>
        <w:spacing w:line="360" w:lineRule="auto"/>
        <w:jc w:val="both"/>
        <w:rPr>
          <w:rFonts w:ascii="Palatino Linotype" w:eastAsia="Palatino Linotype" w:hAnsi="Palatino Linotype" w:cs="Palatino Linotype"/>
          <w:color w:val="000000" w:themeColor="text1"/>
          <w:sz w:val="24"/>
          <w:szCs w:val="24"/>
        </w:rPr>
      </w:pPr>
    </w:p>
    <w:p w14:paraId="5D219E01" w14:textId="77777777" w:rsidR="00C51CE6" w:rsidRPr="00BC6D51" w:rsidRDefault="00C51CE6"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En ese orden de ideas, el Criterio 12/10 emitido por el Pleno del Instituto Nacional de Transparencia, Acceso a la Información y Protección de Datos Personales, mismo que se cita por analogía, en el que se establece lo siguiente:</w:t>
      </w:r>
    </w:p>
    <w:p w14:paraId="6DB77350" w14:textId="77777777" w:rsidR="00C51CE6" w:rsidRPr="00BC6D51" w:rsidRDefault="00C51CE6" w:rsidP="00E42E77">
      <w:pPr>
        <w:tabs>
          <w:tab w:val="left" w:pos="4253"/>
        </w:tabs>
        <w:spacing w:line="276" w:lineRule="auto"/>
        <w:jc w:val="both"/>
        <w:rPr>
          <w:rFonts w:ascii="Palatino Linotype" w:eastAsia="Palatino Linotype" w:hAnsi="Palatino Linotype" w:cs="Palatino Linotype"/>
          <w:b/>
          <w:i/>
          <w:color w:val="000000" w:themeColor="text1"/>
          <w:sz w:val="24"/>
          <w:szCs w:val="24"/>
        </w:rPr>
      </w:pPr>
      <w:r w:rsidRPr="00BC6D51">
        <w:rPr>
          <w:rFonts w:ascii="Palatino Linotype" w:eastAsia="Palatino Linotype" w:hAnsi="Palatino Linotype" w:cs="Palatino Linotype"/>
          <w:b/>
          <w:i/>
          <w:color w:val="000000" w:themeColor="text1"/>
          <w:sz w:val="24"/>
          <w:szCs w:val="24"/>
        </w:rPr>
        <w:t xml:space="preserve">“Propósito de la declaración formal de inexistencia. </w:t>
      </w:r>
      <w:r w:rsidRPr="00BC6D51">
        <w:rPr>
          <w:rFonts w:ascii="Palatino Linotype" w:eastAsia="Palatino Linotype" w:hAnsi="Palatino Linotype" w:cs="Palatino Linotype"/>
          <w:i/>
          <w:color w:val="000000" w:themeColor="text1"/>
          <w:sz w:val="24"/>
          <w:szCs w:val="24"/>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BC6D51">
        <w:rPr>
          <w:rFonts w:ascii="Palatino Linotype" w:eastAsia="Palatino Linotype" w:hAnsi="Palatino Linotype" w:cs="Palatino Linotype"/>
          <w:b/>
          <w:i/>
          <w:color w:val="000000" w:themeColor="text1"/>
          <w:sz w:val="24"/>
          <w:szCs w:val="24"/>
        </w:rPr>
        <w:t xml:space="preserve">es </w:t>
      </w:r>
      <w:r w:rsidRPr="00BC6D51">
        <w:rPr>
          <w:rFonts w:ascii="Palatino Linotype" w:eastAsia="Palatino Linotype" w:hAnsi="Palatino Linotype" w:cs="Palatino Linotype"/>
          <w:b/>
          <w:i/>
          <w:color w:val="000000" w:themeColor="text1"/>
          <w:sz w:val="24"/>
          <w:szCs w:val="24"/>
        </w:rPr>
        <w:lastRenderedPageBreak/>
        <w:t xml:space="preserve">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31CFB3EE" w14:textId="77777777" w:rsidR="00C51CE6" w:rsidRPr="00BC6D51" w:rsidRDefault="00C51CE6" w:rsidP="00E42E77">
      <w:pPr>
        <w:tabs>
          <w:tab w:val="left" w:pos="4667"/>
        </w:tabs>
        <w:spacing w:line="360" w:lineRule="auto"/>
        <w:jc w:val="both"/>
        <w:rPr>
          <w:rFonts w:ascii="Palatino Linotype" w:eastAsia="Palatino Linotype" w:hAnsi="Palatino Linotype" w:cs="Palatino Linotype"/>
          <w:color w:val="000000" w:themeColor="text1"/>
          <w:sz w:val="24"/>
          <w:szCs w:val="24"/>
        </w:rPr>
      </w:pPr>
    </w:p>
    <w:p w14:paraId="083692A6" w14:textId="77777777" w:rsidR="00C51CE6" w:rsidRPr="00BC6D51" w:rsidRDefault="00C51CE6"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De la misma manera, el Criterio 14/19 emitido por el Instituto de Transparencia, Acceso a </w:t>
      </w:r>
      <w:r w:rsidRPr="00BC6D51">
        <w:rPr>
          <w:rFonts w:ascii="Palatino Linotype" w:eastAsia="Palatino Linotype" w:hAnsi="Palatino Linotype" w:cs="Palatino Linotype"/>
          <w:color w:val="000000" w:themeColor="text1"/>
          <w:sz w:val="24"/>
          <w:szCs w:val="24"/>
          <w:lang w:eastAsia="es-MX"/>
        </w:rPr>
        <w:t>la</w:t>
      </w:r>
      <w:r w:rsidRPr="00BC6D51">
        <w:rPr>
          <w:rFonts w:ascii="Palatino Linotype" w:eastAsia="Palatino Linotype" w:hAnsi="Palatino Linotype" w:cs="Palatino Linotype"/>
          <w:color w:val="000000" w:themeColor="text1"/>
          <w:sz w:val="24"/>
          <w:szCs w:val="24"/>
        </w:rPr>
        <w:t xml:space="preserve"> Información y Protección de Datos Personales, establece lo siguiente:</w:t>
      </w:r>
    </w:p>
    <w:p w14:paraId="33E74E9E" w14:textId="77777777" w:rsidR="00C51CE6" w:rsidRPr="00BC6D51" w:rsidRDefault="00C51CE6" w:rsidP="00E42E77">
      <w:pPr>
        <w:tabs>
          <w:tab w:val="left" w:pos="4667"/>
        </w:tabs>
        <w:spacing w:line="276" w:lineRule="auto"/>
        <w:jc w:val="both"/>
        <w:rPr>
          <w:rFonts w:ascii="Palatino Linotype" w:eastAsia="Palatino Linotype" w:hAnsi="Palatino Linotype" w:cs="Palatino Linotype"/>
          <w:i/>
          <w:color w:val="000000" w:themeColor="text1"/>
          <w:sz w:val="24"/>
          <w:szCs w:val="24"/>
        </w:rPr>
      </w:pPr>
      <w:r w:rsidRPr="00BC6D51">
        <w:rPr>
          <w:rFonts w:ascii="Palatino Linotype" w:eastAsia="Palatino Linotype" w:hAnsi="Palatino Linotype" w:cs="Palatino Linotype"/>
          <w:b/>
          <w:i/>
          <w:color w:val="000000" w:themeColor="text1"/>
          <w:sz w:val="24"/>
          <w:szCs w:val="24"/>
        </w:rPr>
        <w:t>“Propósito de la declaración formal de inexistencia.</w:t>
      </w:r>
      <w:r w:rsidRPr="00BC6D51">
        <w:rPr>
          <w:rFonts w:ascii="Palatino Linotype" w:eastAsia="Palatino Linotype" w:hAnsi="Palatino Linotype" w:cs="Palatino Linotype"/>
          <w:i/>
          <w:color w:val="000000" w:themeColor="text1"/>
          <w:sz w:val="24"/>
          <w:szCs w:val="24"/>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4BBFCFFA" w14:textId="77777777" w:rsidR="00C51CE6" w:rsidRPr="00BC6D51" w:rsidRDefault="00C51CE6" w:rsidP="00E42E77">
      <w:pPr>
        <w:tabs>
          <w:tab w:val="left" w:pos="4667"/>
        </w:tabs>
        <w:spacing w:line="360" w:lineRule="auto"/>
        <w:jc w:val="both"/>
        <w:rPr>
          <w:rFonts w:ascii="Palatino Linotype" w:eastAsia="Palatino Linotype" w:hAnsi="Palatino Linotype" w:cs="Palatino Linotype"/>
          <w:color w:val="000000" w:themeColor="text1"/>
          <w:sz w:val="24"/>
          <w:szCs w:val="24"/>
        </w:rPr>
      </w:pPr>
    </w:p>
    <w:p w14:paraId="6667C383" w14:textId="5AD346C6" w:rsidR="00C51CE6" w:rsidRPr="00BC6D51" w:rsidRDefault="00C51CE6"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De los </w:t>
      </w:r>
      <w:r w:rsidRPr="00BC6D51">
        <w:rPr>
          <w:rFonts w:ascii="Palatino Linotype" w:eastAsia="Palatino Linotype" w:hAnsi="Palatino Linotype" w:cs="Palatino Linotype"/>
          <w:color w:val="000000" w:themeColor="text1"/>
          <w:sz w:val="24"/>
          <w:szCs w:val="24"/>
          <w:lang w:eastAsia="es-MX"/>
        </w:rPr>
        <w:t>criterios</w:t>
      </w:r>
      <w:r w:rsidRPr="00BC6D51">
        <w:rPr>
          <w:rFonts w:ascii="Palatino Linotype" w:eastAsia="Palatino Linotype" w:hAnsi="Palatino Linotype" w:cs="Palatino Linotype"/>
          <w:color w:val="000000" w:themeColor="text1"/>
          <w:sz w:val="24"/>
          <w:szCs w:val="24"/>
        </w:rPr>
        <w:t xml:space="preserve"> citados, se tiene que las declaraciones de inexistencia que emitan los Comités de Transparencia, deben contener los elementos suficientes que permitan que los solicitantes tengan certeza de la búsqueda de la información, esto es, que la declaratoria debe estar debidamente fundada y motivada, es decir; además de señalar los preceptos normativos aplicables, se deben especificar los criterios de búsqueda, las unidades en las que se buscó la información, y demás circunstancias tomadas en cuenta, con el fin de garantizar al solicitante que efectivamente se hicieron las gestiones necesarias para localizar la documentación de su interés.</w:t>
      </w:r>
    </w:p>
    <w:p w14:paraId="5710DB35" w14:textId="0C40E189" w:rsidR="003D70A5" w:rsidRPr="00BC6D51" w:rsidRDefault="00063932" w:rsidP="00E42E77">
      <w:pPr>
        <w:numPr>
          <w:ilvl w:val="0"/>
          <w:numId w:val="3"/>
        </w:numPr>
        <w:spacing w:line="360" w:lineRule="auto"/>
        <w:ind w:left="0" w:firstLine="0"/>
        <w:jc w:val="both"/>
        <w:rPr>
          <w:rFonts w:ascii="Palatino Linotype" w:eastAsia="Palatino Linotype" w:hAnsi="Palatino Linotype" w:cs="Palatino Linotype"/>
          <w:b/>
          <w:i/>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lastRenderedPageBreak/>
        <w:t>Aunado a lo anterior, se advierte que los documentos remitidos que forman parte de la licitación se remitieron de manera incompleta</w:t>
      </w:r>
      <w:r w:rsidR="003D70A5" w:rsidRPr="00BC6D51">
        <w:rPr>
          <w:rFonts w:ascii="Palatino Linotype" w:eastAsia="Palatino Linotype" w:hAnsi="Palatino Linotype" w:cs="Palatino Linotype"/>
          <w:color w:val="000000" w:themeColor="text1"/>
          <w:sz w:val="24"/>
          <w:szCs w:val="24"/>
          <w:lang w:eastAsia="es-MX"/>
        </w:rPr>
        <w:t>, ya que se remitieron con las firmas</w:t>
      </w:r>
      <w:r w:rsidR="00B539B3" w:rsidRPr="00BC6D51">
        <w:rPr>
          <w:rFonts w:ascii="Palatino Linotype" w:eastAsia="Palatino Linotype" w:hAnsi="Palatino Linotype" w:cs="Palatino Linotype"/>
          <w:color w:val="000000" w:themeColor="text1"/>
          <w:sz w:val="24"/>
          <w:szCs w:val="24"/>
          <w:lang w:eastAsia="es-MX"/>
        </w:rPr>
        <w:t xml:space="preserve"> y nombres</w:t>
      </w:r>
      <w:r w:rsidR="003D70A5" w:rsidRPr="00BC6D51">
        <w:rPr>
          <w:rFonts w:ascii="Palatino Linotype" w:eastAsia="Palatino Linotype" w:hAnsi="Palatino Linotype" w:cs="Palatino Linotype"/>
          <w:color w:val="000000" w:themeColor="text1"/>
          <w:sz w:val="24"/>
          <w:szCs w:val="24"/>
          <w:lang w:eastAsia="es-MX"/>
        </w:rPr>
        <w:t xml:space="preserve"> de las personas jurídico colectivas testadas, </w:t>
      </w:r>
      <w:r w:rsidR="00B539B3" w:rsidRPr="00BC6D51">
        <w:rPr>
          <w:rFonts w:ascii="Palatino Linotype" w:eastAsia="Palatino Linotype" w:hAnsi="Palatino Linotype" w:cs="Palatino Linotype"/>
          <w:color w:val="000000" w:themeColor="text1"/>
          <w:sz w:val="24"/>
          <w:szCs w:val="24"/>
          <w:lang w:eastAsia="es-MX"/>
        </w:rPr>
        <w:t>situación que deviene incorrecta toda vez que, dada la naturaleza de la información solicitada, las firmas en calidad de representantes legales como es el caso que nos ocupan, abonan a la transparencia, legalidad y rendición de cuentas, lo anterior, permite garantizar un proceso legal y transparente, dando certeza de las partes que en el intervinieron, razón por la cual, no se puede tener por colmada en su totalidad la solicitud de información que nos ocupa.</w:t>
      </w:r>
    </w:p>
    <w:p w14:paraId="057E4382" w14:textId="77777777" w:rsidR="00B539B3" w:rsidRPr="00BC6D51" w:rsidRDefault="00B539B3" w:rsidP="00E42E77">
      <w:pPr>
        <w:spacing w:line="360" w:lineRule="auto"/>
        <w:jc w:val="both"/>
        <w:rPr>
          <w:rFonts w:ascii="Palatino Linotype" w:eastAsia="Palatino Linotype" w:hAnsi="Palatino Linotype" w:cs="Palatino Linotype"/>
          <w:color w:val="000000" w:themeColor="text1"/>
          <w:sz w:val="24"/>
          <w:szCs w:val="24"/>
          <w:lang w:eastAsia="es-MX"/>
        </w:rPr>
      </w:pPr>
    </w:p>
    <w:p w14:paraId="3018EE95" w14:textId="629B1C06" w:rsidR="00063932" w:rsidRPr="00BC6D51" w:rsidRDefault="00063932"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t>Finalmente, por lo que hace a los contratos remitidos, se insiste en que este Órgano Resolutor no se encuentra facultado para dudar de la veracidad, asimismo, amén de que se remitieron de manera íntegra, no se observa que se hayan dejado a la vista datos personales susceptibles de ser clasificados, en consecuencia, el rubro relativo a los contratos de año 2024, se tiene por colmado.</w:t>
      </w:r>
    </w:p>
    <w:p w14:paraId="5303BFF8" w14:textId="77777777" w:rsidR="00063932" w:rsidRPr="00BC6D51" w:rsidRDefault="00063932" w:rsidP="00E42E77">
      <w:pPr>
        <w:spacing w:line="360" w:lineRule="auto"/>
        <w:jc w:val="both"/>
        <w:rPr>
          <w:rFonts w:ascii="Palatino Linotype" w:eastAsia="Palatino Linotype" w:hAnsi="Palatino Linotype" w:cs="Palatino Linotype"/>
          <w:color w:val="000000" w:themeColor="text1"/>
          <w:sz w:val="24"/>
          <w:szCs w:val="24"/>
          <w:lang w:eastAsia="es-MX"/>
        </w:rPr>
      </w:pPr>
    </w:p>
    <w:p w14:paraId="2E46436C" w14:textId="01D6D8C5" w:rsidR="00EA5F59" w:rsidRPr="00BC6D51" w:rsidRDefault="00B539B3" w:rsidP="00E42E7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lang w:eastAsia="es-MX"/>
        </w:rPr>
      </w:pPr>
      <w:r w:rsidRPr="00BC6D51">
        <w:rPr>
          <w:rFonts w:ascii="Palatino Linotype" w:eastAsia="Palatino Linotype" w:hAnsi="Palatino Linotype" w:cs="Palatino Linotype"/>
          <w:color w:val="000000" w:themeColor="text1"/>
          <w:sz w:val="24"/>
          <w:szCs w:val="24"/>
          <w:lang w:eastAsia="es-MX"/>
        </w:rPr>
        <w:t xml:space="preserve">En consecuencia de lo anterior, resulta dable ordenar al </w:t>
      </w:r>
      <w:r w:rsidRPr="00BC6D51">
        <w:rPr>
          <w:rFonts w:ascii="Palatino Linotype" w:eastAsia="Palatino Linotype" w:hAnsi="Palatino Linotype" w:cs="Palatino Linotype"/>
          <w:b/>
          <w:color w:val="000000" w:themeColor="text1"/>
          <w:sz w:val="24"/>
          <w:szCs w:val="24"/>
          <w:lang w:eastAsia="es-MX"/>
        </w:rPr>
        <w:t xml:space="preserve">SUJETO OBLIGADO, </w:t>
      </w:r>
      <w:r w:rsidRPr="00BC6D51">
        <w:rPr>
          <w:rFonts w:ascii="Palatino Linotype" w:eastAsia="Palatino Linotype" w:hAnsi="Palatino Linotype" w:cs="Palatino Linotype"/>
          <w:color w:val="000000" w:themeColor="text1"/>
          <w:sz w:val="24"/>
          <w:szCs w:val="24"/>
          <w:lang w:eastAsia="es-MX"/>
        </w:rPr>
        <w:t xml:space="preserve">remita en correcta versión pública, el procedimiento de licitación </w:t>
      </w:r>
      <w:r w:rsidR="00063932" w:rsidRPr="00BC6D51">
        <w:rPr>
          <w:rFonts w:ascii="Palatino Linotype" w:eastAsia="Palatino Linotype" w:hAnsi="Palatino Linotype" w:cs="Palatino Linotype"/>
          <w:color w:val="000000" w:themeColor="text1"/>
          <w:sz w:val="24"/>
          <w:szCs w:val="24"/>
          <w:lang w:eastAsia="es-MX"/>
        </w:rPr>
        <w:t>y las documentales remitidas, es decir,</w:t>
      </w:r>
      <w:r w:rsidRPr="00BC6D51">
        <w:rPr>
          <w:rFonts w:ascii="Palatino Linotype" w:eastAsia="Palatino Linotype" w:hAnsi="Palatino Linotype" w:cs="Palatino Linotype"/>
          <w:color w:val="000000" w:themeColor="text1"/>
          <w:sz w:val="24"/>
          <w:szCs w:val="24"/>
          <w:lang w:eastAsia="es-MX"/>
        </w:rPr>
        <w:t xml:space="preserve"> convocatoria, acta de visita al sitio, acta de junta de aclaraciones, acta de recepción y apertura de propuestas, dictamen de adjudicación y acta de fallo</w:t>
      </w:r>
      <w:r w:rsidR="00EA5F59" w:rsidRPr="00BC6D51">
        <w:rPr>
          <w:rFonts w:ascii="Palatino Linotype" w:eastAsia="Palatino Linotype" w:hAnsi="Palatino Linotype" w:cs="Palatino Linotype"/>
          <w:color w:val="000000" w:themeColor="text1"/>
          <w:sz w:val="24"/>
          <w:szCs w:val="24"/>
          <w:lang w:eastAsia="es-MX"/>
        </w:rPr>
        <w:t xml:space="preserve"> y respecto de los documentos que integran la licitación que no se remitieron, </w:t>
      </w:r>
      <w:r w:rsidR="00E063C9" w:rsidRPr="00BC6D51">
        <w:rPr>
          <w:rFonts w:ascii="Palatino Linotype" w:eastAsia="Palatino Linotype" w:hAnsi="Palatino Linotype" w:cs="Palatino Linotype"/>
          <w:color w:val="000000" w:themeColor="text1"/>
          <w:sz w:val="24"/>
          <w:szCs w:val="24"/>
          <w:lang w:eastAsia="es-MX"/>
        </w:rPr>
        <w:t xml:space="preserve">que de manera enunciativa más no limitativa convenio, de terminación, finiquito, mecanismos de vigilancia y supervisión, convenios modificatorios, entre otros, </w:t>
      </w:r>
      <w:r w:rsidR="00EA5F59" w:rsidRPr="00BC6D51">
        <w:rPr>
          <w:rFonts w:ascii="Palatino Linotype" w:eastAsia="Palatino Linotype" w:hAnsi="Palatino Linotype" w:cs="Palatino Linotype"/>
          <w:color w:val="000000" w:themeColor="text1"/>
          <w:sz w:val="24"/>
          <w:szCs w:val="24"/>
          <w:lang w:eastAsia="es-MX"/>
        </w:rPr>
        <w:t xml:space="preserve">se emita  la declaratoria de inexistencia en términos de lo establecido en el artículo 19, párrafo tercero, 169 y 170 de la </w:t>
      </w:r>
      <w:r w:rsidR="00EA5F59" w:rsidRPr="00BC6D51">
        <w:rPr>
          <w:rFonts w:ascii="Palatino Linotype" w:eastAsia="Palatino Linotype" w:hAnsi="Palatino Linotype" w:cs="Palatino Linotype"/>
          <w:color w:val="000000" w:themeColor="text1"/>
          <w:sz w:val="24"/>
          <w:szCs w:val="24"/>
          <w:lang w:eastAsia="es-MX"/>
        </w:rPr>
        <w:lastRenderedPageBreak/>
        <w:t>Ley de Transparencia y Acceso a la Información Pública del Estado de México y Municipios.</w:t>
      </w:r>
    </w:p>
    <w:p w14:paraId="47686C6B"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lang w:eastAsia="es-MX"/>
        </w:rPr>
      </w:pPr>
    </w:p>
    <w:p w14:paraId="1296D381" w14:textId="5F401993" w:rsidR="000424FC" w:rsidRPr="00BC6D51" w:rsidRDefault="004F2E85" w:rsidP="00E42E77">
      <w:pPr>
        <w:numPr>
          <w:ilvl w:val="0"/>
          <w:numId w:val="3"/>
        </w:numPr>
        <w:spacing w:line="360" w:lineRule="auto"/>
        <w:ind w:left="0" w:firstLine="0"/>
        <w:jc w:val="both"/>
        <w:rPr>
          <w:rFonts w:ascii="Palatino Linotype" w:hAnsi="Palatino Linotype" w:cs="Arial"/>
          <w:color w:val="000000" w:themeColor="text1"/>
          <w:sz w:val="24"/>
          <w:szCs w:val="24"/>
        </w:rPr>
      </w:pPr>
      <w:r w:rsidRPr="00BC6D51">
        <w:rPr>
          <w:rFonts w:ascii="Palatino Linotype" w:hAnsi="Palatino Linotype" w:cs="Arial"/>
          <w:color w:val="000000" w:themeColor="text1"/>
          <w:sz w:val="24"/>
          <w:szCs w:val="24"/>
        </w:rPr>
        <w:t>Al respecto</w:t>
      </w:r>
      <w:r w:rsidR="000424FC" w:rsidRPr="00BC6D51">
        <w:rPr>
          <w:rFonts w:ascii="Palatino Linotype" w:hAnsi="Palatino Linotype" w:cs="Arial"/>
          <w:color w:val="000000" w:themeColor="text1"/>
          <w:sz w:val="24"/>
          <w:szCs w:val="24"/>
        </w:rPr>
        <w:t xml:space="preserve">, la </w:t>
      </w:r>
      <w:r w:rsidR="000424FC" w:rsidRPr="00BC6D51">
        <w:rPr>
          <w:rFonts w:ascii="Palatino Linotype" w:hAnsi="Palatino Linotype" w:cs="Arial"/>
          <w:b/>
          <w:color w:val="000000" w:themeColor="text1"/>
          <w:sz w:val="24"/>
          <w:szCs w:val="24"/>
        </w:rPr>
        <w:t>Ley de Transparencia y Acceso a la Información Pública del Estado de México y Municipios</w:t>
      </w:r>
      <w:r w:rsidR="000424FC" w:rsidRPr="00BC6D51">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4D1FD48" w14:textId="77777777" w:rsidR="000424FC" w:rsidRPr="00BC6D51" w:rsidRDefault="000424FC" w:rsidP="00E42E77">
      <w:pPr>
        <w:pStyle w:val="Prrafodelista"/>
        <w:spacing w:line="360" w:lineRule="auto"/>
        <w:ind w:left="0"/>
        <w:jc w:val="both"/>
        <w:rPr>
          <w:rFonts w:ascii="Palatino Linotype" w:hAnsi="Palatino Linotype" w:cs="Arial"/>
          <w:b/>
          <w:i/>
          <w:color w:val="000000" w:themeColor="text1"/>
          <w:sz w:val="24"/>
        </w:rPr>
      </w:pPr>
      <w:r w:rsidRPr="00BC6D51">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C6D51">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56EE77DD" w14:textId="77777777" w:rsidR="000424FC" w:rsidRPr="00BC6D51" w:rsidRDefault="000424FC" w:rsidP="00E42E77">
      <w:pPr>
        <w:spacing w:line="360" w:lineRule="auto"/>
        <w:jc w:val="both"/>
        <w:rPr>
          <w:rFonts w:ascii="Palatino Linotype" w:hAnsi="Palatino Linotype" w:cs="Arial"/>
          <w:b/>
          <w:i/>
          <w:color w:val="000000" w:themeColor="text1"/>
          <w:sz w:val="24"/>
          <w:szCs w:val="24"/>
        </w:rPr>
      </w:pPr>
    </w:p>
    <w:p w14:paraId="157948C8" w14:textId="77777777" w:rsidR="000424FC" w:rsidRPr="00BC6D51" w:rsidRDefault="000424FC" w:rsidP="00E42E77">
      <w:pPr>
        <w:numPr>
          <w:ilvl w:val="0"/>
          <w:numId w:val="3"/>
        </w:numPr>
        <w:spacing w:line="360" w:lineRule="auto"/>
        <w:ind w:left="0" w:firstLine="0"/>
        <w:jc w:val="both"/>
        <w:rPr>
          <w:rFonts w:ascii="Palatino Linotype" w:hAnsi="Palatino Linotype" w:cs="Arial"/>
          <w:noProof/>
          <w:color w:val="000000" w:themeColor="text1"/>
          <w:sz w:val="24"/>
          <w:szCs w:val="24"/>
        </w:rPr>
      </w:pPr>
      <w:r w:rsidRPr="00BC6D51">
        <w:rPr>
          <w:rFonts w:ascii="Palatino Linotype" w:hAnsi="Palatino Linotype" w:cs="Arial"/>
          <w:noProof/>
          <w:color w:val="000000" w:themeColor="text1"/>
          <w:sz w:val="24"/>
          <w:szCs w:val="24"/>
        </w:rPr>
        <w:t xml:space="preserve">Numerales que compelen al </w:t>
      </w:r>
      <w:r w:rsidRPr="00BC6D51">
        <w:rPr>
          <w:rFonts w:ascii="Palatino Linotype" w:hAnsi="Palatino Linotype" w:cs="Arial"/>
          <w:b/>
          <w:noProof/>
          <w:color w:val="000000" w:themeColor="text1"/>
          <w:sz w:val="24"/>
          <w:szCs w:val="24"/>
        </w:rPr>
        <w:t>SUJETO OBLIGADO</w:t>
      </w:r>
      <w:r w:rsidRPr="00BC6D51">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C6D51">
        <w:rPr>
          <w:rFonts w:ascii="Palatino Linotype" w:eastAsia="MS Gothic" w:hAnsi="Palatino Linotype" w:cstheme="majorBidi"/>
          <w:color w:val="000000" w:themeColor="text1"/>
          <w:sz w:val="24"/>
          <w:szCs w:val="24"/>
        </w:rPr>
        <w:t xml:space="preserve">. </w:t>
      </w:r>
    </w:p>
    <w:p w14:paraId="4D7DA94C" w14:textId="77777777" w:rsidR="00DC7455" w:rsidRPr="00BC6D51" w:rsidRDefault="00DC7455" w:rsidP="00E42E77">
      <w:pPr>
        <w:numPr>
          <w:ilvl w:val="0"/>
          <w:numId w:val="3"/>
        </w:numPr>
        <w:spacing w:line="360" w:lineRule="auto"/>
        <w:ind w:left="0" w:firstLine="0"/>
        <w:contextualSpacing/>
        <w:jc w:val="both"/>
        <w:rPr>
          <w:rFonts w:ascii="Palatino Linotype" w:hAnsi="Palatino Linotype" w:cs="Arial"/>
          <w:color w:val="000000" w:themeColor="text1"/>
          <w:sz w:val="24"/>
          <w:szCs w:val="24"/>
        </w:rPr>
      </w:pPr>
      <w:r w:rsidRPr="00BC6D51">
        <w:rPr>
          <w:rFonts w:ascii="Palatino Linotype" w:hAnsi="Palatino Linotype" w:cs="Arial"/>
          <w:color w:val="000000" w:themeColor="text1"/>
          <w:sz w:val="24"/>
          <w:szCs w:val="24"/>
        </w:rPr>
        <w:lastRenderedPageBreak/>
        <w:t xml:space="preserve">Así mismo, la </w:t>
      </w:r>
      <w:r w:rsidRPr="00BC6D51">
        <w:rPr>
          <w:rFonts w:ascii="Palatino Linotype" w:hAnsi="Palatino Linotype" w:cs="Arial"/>
          <w:b/>
          <w:color w:val="000000" w:themeColor="text1"/>
          <w:sz w:val="24"/>
          <w:szCs w:val="24"/>
        </w:rPr>
        <w:t>Ley de Transparencia y Acceso a la Información Pública del Estado de México y Municipios</w:t>
      </w:r>
      <w:r w:rsidRPr="00BC6D51">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0016C1B" w14:textId="77777777" w:rsidR="00DC7455" w:rsidRPr="00BC6D51" w:rsidRDefault="00DC7455" w:rsidP="00E42E77">
      <w:pPr>
        <w:pStyle w:val="Prrafodelista"/>
        <w:spacing w:line="360" w:lineRule="auto"/>
        <w:ind w:left="0"/>
        <w:jc w:val="both"/>
        <w:rPr>
          <w:rFonts w:ascii="Palatino Linotype" w:hAnsi="Palatino Linotype" w:cs="Arial"/>
          <w:b/>
          <w:i/>
          <w:color w:val="000000" w:themeColor="text1"/>
          <w:sz w:val="24"/>
        </w:rPr>
      </w:pPr>
      <w:r w:rsidRPr="00BC6D51">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C6D51">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119D1C1B" w14:textId="77777777" w:rsidR="00DC7455" w:rsidRPr="00BC6D51" w:rsidRDefault="00DC7455" w:rsidP="00E42E77">
      <w:pPr>
        <w:spacing w:line="360" w:lineRule="auto"/>
        <w:jc w:val="both"/>
        <w:rPr>
          <w:rFonts w:ascii="Palatino Linotype" w:hAnsi="Palatino Linotype" w:cs="Arial"/>
          <w:b/>
          <w:i/>
          <w:color w:val="000000" w:themeColor="text1"/>
          <w:sz w:val="24"/>
          <w:szCs w:val="24"/>
        </w:rPr>
      </w:pPr>
    </w:p>
    <w:p w14:paraId="534BF88C" w14:textId="77777777" w:rsidR="00DC7455" w:rsidRPr="009E03D5" w:rsidRDefault="00DC7455" w:rsidP="00E42E77">
      <w:pPr>
        <w:numPr>
          <w:ilvl w:val="0"/>
          <w:numId w:val="3"/>
        </w:numPr>
        <w:spacing w:line="360" w:lineRule="auto"/>
        <w:ind w:left="0" w:firstLine="0"/>
        <w:contextualSpacing/>
        <w:jc w:val="both"/>
        <w:rPr>
          <w:rFonts w:ascii="Palatino Linotype" w:hAnsi="Palatino Linotype" w:cs="Arial"/>
          <w:noProof/>
          <w:color w:val="000000" w:themeColor="text1"/>
          <w:sz w:val="24"/>
          <w:szCs w:val="24"/>
        </w:rPr>
      </w:pPr>
      <w:r w:rsidRPr="00BC6D51">
        <w:rPr>
          <w:rFonts w:ascii="Palatino Linotype" w:hAnsi="Palatino Linotype" w:cs="Arial"/>
          <w:noProof/>
          <w:color w:val="000000" w:themeColor="text1"/>
          <w:sz w:val="24"/>
          <w:szCs w:val="24"/>
        </w:rPr>
        <w:t xml:space="preserve">Numerales que compelen al </w:t>
      </w:r>
      <w:r w:rsidRPr="00BC6D51">
        <w:rPr>
          <w:rFonts w:ascii="Palatino Linotype" w:hAnsi="Palatino Linotype" w:cs="Arial"/>
          <w:b/>
          <w:noProof/>
          <w:color w:val="000000" w:themeColor="text1"/>
          <w:sz w:val="24"/>
          <w:szCs w:val="24"/>
        </w:rPr>
        <w:t>SUJETO OBLIGADO</w:t>
      </w:r>
      <w:r w:rsidRPr="00BC6D51">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C6D51">
        <w:rPr>
          <w:rFonts w:ascii="Palatino Linotype" w:eastAsia="MS Gothic" w:hAnsi="Palatino Linotype" w:cstheme="majorBidi"/>
          <w:color w:val="000000" w:themeColor="text1"/>
          <w:sz w:val="24"/>
          <w:szCs w:val="24"/>
        </w:rPr>
        <w:t xml:space="preserve">. </w:t>
      </w:r>
    </w:p>
    <w:p w14:paraId="33DC3CFB" w14:textId="77777777" w:rsidR="009E03D5" w:rsidRPr="00BC6D51" w:rsidRDefault="009E03D5" w:rsidP="009E03D5">
      <w:pPr>
        <w:spacing w:line="360" w:lineRule="auto"/>
        <w:contextualSpacing/>
        <w:jc w:val="both"/>
        <w:rPr>
          <w:rFonts w:ascii="Palatino Linotype" w:hAnsi="Palatino Linotype" w:cs="Arial"/>
          <w:noProof/>
          <w:color w:val="000000" w:themeColor="text1"/>
          <w:sz w:val="24"/>
          <w:szCs w:val="24"/>
        </w:rPr>
      </w:pPr>
    </w:p>
    <w:p w14:paraId="6D92C146" w14:textId="77777777" w:rsidR="00EA5F59" w:rsidRPr="00BC6D51" w:rsidRDefault="00EA5F59" w:rsidP="00E42E77">
      <w:pPr>
        <w:pStyle w:val="Ttulo1"/>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b/>
          <w:color w:val="000000" w:themeColor="text1"/>
          <w:sz w:val="24"/>
          <w:szCs w:val="24"/>
        </w:rPr>
        <w:lastRenderedPageBreak/>
        <w:t>QUINTO. De la versión pública.</w:t>
      </w:r>
    </w:p>
    <w:p w14:paraId="4BE42DC6" w14:textId="77777777" w:rsidR="00EA5F59" w:rsidRPr="00BC6D51" w:rsidRDefault="00EA5F59" w:rsidP="00E42E77">
      <w:pPr>
        <w:pStyle w:val="Ttulo1"/>
        <w:numPr>
          <w:ilvl w:val="0"/>
          <w:numId w:val="27"/>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b/>
          <w:color w:val="000000" w:themeColor="text1"/>
          <w:sz w:val="24"/>
          <w:szCs w:val="24"/>
        </w:rPr>
        <w:t xml:space="preserve">Nociones generales. </w:t>
      </w:r>
    </w:p>
    <w:p w14:paraId="69F70380" w14:textId="77777777" w:rsidR="00EA5F59" w:rsidRPr="00BC6D51" w:rsidRDefault="00EA5F59" w:rsidP="00E42E77">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Debe destacarse que, debido a la naturaleza de la información solicitada</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BC6D51">
        <w:rPr>
          <w:rFonts w:ascii="Palatino Linotype" w:eastAsia="Palatino Linotype" w:hAnsi="Palatino Linotype" w:cs="Palatino Linotype"/>
          <w:b/>
          <w:color w:val="000000" w:themeColor="text1"/>
          <w:sz w:val="24"/>
          <w:szCs w:val="24"/>
        </w:rPr>
        <w:t xml:space="preserve">SUJETO OBLIGADO </w:t>
      </w:r>
      <w:r w:rsidRPr="00BC6D51">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14:paraId="444E36CB" w14:textId="77777777" w:rsidR="00EA5F59" w:rsidRPr="00BC6D51" w:rsidRDefault="00EA5F59" w:rsidP="00E42E7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14:paraId="0798D5CD" w14:textId="77777777" w:rsidR="00EA5F59" w:rsidRPr="00BC6D51" w:rsidRDefault="00EA5F59" w:rsidP="00E42E77">
      <w:pPr>
        <w:numPr>
          <w:ilvl w:val="0"/>
          <w:numId w:val="2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No pasa desapercibido para este Órgano Garante que los </w:t>
      </w:r>
      <w:r w:rsidRPr="00BC6D51">
        <w:rPr>
          <w:rFonts w:ascii="Palatino Linotype" w:eastAsia="Palatino Linotype" w:hAnsi="Palatino Linotype" w:cs="Palatino Linotype"/>
          <w:b/>
          <w:color w:val="000000" w:themeColor="text1"/>
          <w:sz w:val="24"/>
          <w:szCs w:val="24"/>
        </w:rPr>
        <w:t xml:space="preserve">Sujetos Obligados </w:t>
      </w:r>
      <w:r w:rsidRPr="00BC6D51">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D4EDAF7" w14:textId="77777777" w:rsidR="00EA5F59" w:rsidRPr="00BC6D51" w:rsidRDefault="00EA5F59" w:rsidP="00E42E77">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655"/>
      </w:tblGrid>
      <w:tr w:rsidR="00E42E77" w:rsidRPr="00BC6D51" w14:paraId="7B994AF5" w14:textId="77777777" w:rsidTr="009E03D5">
        <w:tc>
          <w:tcPr>
            <w:tcW w:w="1838" w:type="dxa"/>
          </w:tcPr>
          <w:p w14:paraId="2532DFC4" w14:textId="77777777" w:rsidR="00EA5F59" w:rsidRPr="00BC6D51" w:rsidRDefault="00EA5F59" w:rsidP="009E03D5">
            <w:pPr>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 Requisitos previos.</w:t>
            </w:r>
          </w:p>
        </w:tc>
        <w:tc>
          <w:tcPr>
            <w:tcW w:w="7655" w:type="dxa"/>
          </w:tcPr>
          <w:p w14:paraId="2BBF3839"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61DCAA43"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697CB816"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vigente al momento de interponer la solicitud de información, respectivamente.</w:t>
            </w:r>
          </w:p>
          <w:p w14:paraId="70AF0579"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p>
          <w:p w14:paraId="0571D8DD"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 xml:space="preserve">El último de estos requisitos previos consiste en que no se pueden emitir acuerdos de carácter general ni particular, esto es, </w:t>
            </w:r>
            <w:r w:rsidRPr="00BC6D51">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BC6D51">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E42E77" w:rsidRPr="00BC6D51" w14:paraId="0EF74172" w14:textId="77777777" w:rsidTr="009E03D5">
        <w:tc>
          <w:tcPr>
            <w:tcW w:w="1838" w:type="dxa"/>
          </w:tcPr>
          <w:p w14:paraId="42DD8D71" w14:textId="77777777" w:rsidR="00EA5F59" w:rsidRPr="00BC6D51" w:rsidRDefault="00EA5F59" w:rsidP="009E03D5">
            <w:pPr>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b) Supuestos de clasificación.</w:t>
            </w:r>
          </w:p>
        </w:tc>
        <w:tc>
          <w:tcPr>
            <w:tcW w:w="7655" w:type="dxa"/>
          </w:tcPr>
          <w:p w14:paraId="48880C61"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264FC765"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DA14595"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El </w:t>
            </w:r>
            <w:r w:rsidRPr="00BC6D51">
              <w:rPr>
                <w:rFonts w:ascii="Palatino Linotype" w:eastAsia="Palatino Linotype" w:hAnsi="Palatino Linotype" w:cs="Palatino Linotype"/>
                <w:b/>
                <w:color w:val="000000" w:themeColor="text1"/>
                <w:sz w:val="24"/>
                <w:szCs w:val="24"/>
              </w:rPr>
              <w:t>Sujeto Obligado</w:t>
            </w:r>
            <w:r w:rsidRPr="00BC6D51">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42E77" w:rsidRPr="00BC6D51" w14:paraId="643E0082" w14:textId="77777777" w:rsidTr="009E03D5">
        <w:tc>
          <w:tcPr>
            <w:tcW w:w="1838" w:type="dxa"/>
          </w:tcPr>
          <w:p w14:paraId="3E965D80" w14:textId="77777777" w:rsidR="00EA5F59" w:rsidRPr="00BC6D51" w:rsidRDefault="00EA5F59" w:rsidP="009E03D5">
            <w:pPr>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c) Formalidades para emitir el acuerdo de clasificación.</w:t>
            </w:r>
          </w:p>
        </w:tc>
        <w:tc>
          <w:tcPr>
            <w:tcW w:w="7655" w:type="dxa"/>
          </w:tcPr>
          <w:p w14:paraId="298DBBFC"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3D718D23"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Es necesario que </w:t>
            </w:r>
            <w:r w:rsidRPr="00BC6D51">
              <w:rPr>
                <w:rFonts w:ascii="Palatino Linotype" w:eastAsia="Palatino Linotype" w:hAnsi="Palatino Linotype" w:cs="Palatino Linotype"/>
                <w:b/>
                <w:color w:val="000000" w:themeColor="text1"/>
                <w:sz w:val="24"/>
                <w:szCs w:val="24"/>
                <w:u w:val="single"/>
              </w:rPr>
              <w:t>el acto reúna con los requisitos elementales</w:t>
            </w:r>
            <w:r w:rsidRPr="00BC6D51">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48404258"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BC6D51">
              <w:rPr>
                <w:rFonts w:ascii="Palatino Linotype" w:eastAsia="Palatino Linotype" w:hAnsi="Palatino Linotype" w:cs="Palatino Linotype"/>
                <w:color w:val="000000" w:themeColor="text1"/>
                <w:sz w:val="24"/>
                <w:szCs w:val="24"/>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E42E77" w:rsidRPr="00BC6D51" w14:paraId="00415282" w14:textId="77777777" w:rsidTr="009E03D5">
        <w:tc>
          <w:tcPr>
            <w:tcW w:w="1838" w:type="dxa"/>
          </w:tcPr>
          <w:p w14:paraId="39A67390" w14:textId="77777777" w:rsidR="00EA5F59" w:rsidRPr="00BC6D51" w:rsidRDefault="00EA5F59" w:rsidP="009E03D5">
            <w:pPr>
              <w:rPr>
                <w:rFonts w:ascii="Palatino Linotype" w:eastAsia="Palatino Linotype" w:hAnsi="Palatino Linotype" w:cs="Palatino Linotype"/>
                <w:color w:val="000000" w:themeColor="text1"/>
                <w:sz w:val="24"/>
                <w:szCs w:val="24"/>
              </w:rPr>
            </w:pPr>
          </w:p>
          <w:p w14:paraId="41AC2A36"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d) Requisitos de fondo del acuerdo de clasificación. </w:t>
            </w:r>
          </w:p>
        </w:tc>
        <w:tc>
          <w:tcPr>
            <w:tcW w:w="7655" w:type="dxa"/>
          </w:tcPr>
          <w:p w14:paraId="04DC3DBA"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C6D51">
              <w:rPr>
                <w:rFonts w:ascii="Palatino Linotype" w:eastAsia="Palatino Linotype" w:hAnsi="Palatino Linotype" w:cs="Palatino Linotype"/>
                <w:b/>
                <w:color w:val="000000" w:themeColor="text1"/>
                <w:sz w:val="24"/>
                <w:szCs w:val="24"/>
              </w:rPr>
              <w:t>Sujetos Obligados</w:t>
            </w:r>
            <w:r w:rsidRPr="00BC6D51">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1038AF76"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De lo anterior, se desprende que para una correcta </w:t>
            </w:r>
            <w:r w:rsidRPr="00BC6D51">
              <w:rPr>
                <w:rFonts w:ascii="Palatino Linotype" w:eastAsia="Palatino Linotype" w:hAnsi="Palatino Linotype" w:cs="Palatino Linotype"/>
                <w:b/>
                <w:color w:val="000000" w:themeColor="text1"/>
                <w:sz w:val="24"/>
                <w:szCs w:val="24"/>
              </w:rPr>
              <w:t>clasificación total o parcial</w:t>
            </w:r>
            <w:r w:rsidRPr="00BC6D51">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AFFFC1"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F390AB"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5E01A5C5"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Ahora bien, </w:t>
            </w:r>
            <w:r w:rsidRPr="00BC6D51">
              <w:rPr>
                <w:rFonts w:ascii="Palatino Linotype" w:eastAsia="Palatino Linotype" w:hAnsi="Palatino Linotype" w:cs="Palatino Linotype"/>
                <w:b/>
                <w:color w:val="000000" w:themeColor="text1"/>
                <w:sz w:val="24"/>
                <w:szCs w:val="24"/>
                <w:u w:val="single"/>
              </w:rPr>
              <w:t>para cada caso además de fundar y motivar</w:t>
            </w:r>
            <w:r w:rsidRPr="00BC6D51">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A5F59" w:rsidRPr="00BC6D51" w14:paraId="3F8E81AD" w14:textId="77777777" w:rsidTr="009E03D5">
        <w:tc>
          <w:tcPr>
            <w:tcW w:w="1838" w:type="dxa"/>
          </w:tcPr>
          <w:p w14:paraId="6506F3D4"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655" w:type="dxa"/>
          </w:tcPr>
          <w:p w14:paraId="56C50B78"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6055E1B2"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C0411B" w14:textId="77777777" w:rsidR="00EA5F59" w:rsidRPr="00BC6D51" w:rsidRDefault="00EA5F59" w:rsidP="009E03D5">
            <w:pPr>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E9D210" w14:textId="77777777" w:rsidR="00063932" w:rsidRPr="00BC6D51" w:rsidRDefault="00063932" w:rsidP="00E42E77">
      <w:pPr>
        <w:spacing w:line="360" w:lineRule="auto"/>
        <w:contextualSpacing/>
        <w:jc w:val="both"/>
        <w:rPr>
          <w:rFonts w:ascii="Palatino Linotype" w:hAnsi="Palatino Linotype"/>
          <w:color w:val="000000" w:themeColor="text1"/>
          <w:sz w:val="24"/>
          <w:szCs w:val="24"/>
        </w:rPr>
      </w:pPr>
    </w:p>
    <w:p w14:paraId="7467117A" w14:textId="77777777" w:rsidR="006F7B14" w:rsidRPr="00BC6D51" w:rsidRDefault="006F7B14" w:rsidP="00E42E77">
      <w:pPr>
        <w:numPr>
          <w:ilvl w:val="0"/>
          <w:numId w:val="30"/>
        </w:numPr>
        <w:spacing w:line="360" w:lineRule="auto"/>
        <w:ind w:left="0" w:firstLine="0"/>
        <w:contextualSpacing/>
        <w:jc w:val="both"/>
        <w:rPr>
          <w:rFonts w:ascii="Palatino Linotype" w:eastAsia="Palatino Linotype" w:hAnsi="Palatino Linotype" w:cs="Palatino Linotype"/>
          <w:color w:val="000000" w:themeColor="text1"/>
          <w:sz w:val="24"/>
          <w:szCs w:val="24"/>
        </w:rPr>
      </w:pPr>
      <w:bookmarkStart w:id="9" w:name="_heading=h.tyjcwt" w:colFirst="0" w:colLast="0"/>
      <w:bookmarkEnd w:id="8"/>
      <w:bookmarkEnd w:id="9"/>
      <w:r w:rsidRPr="00BC6D51">
        <w:rPr>
          <w:rFonts w:ascii="Palatino Linotype" w:eastAsia="Palatino Linotype" w:hAnsi="Palatino Linotype" w:cs="Palatino Linotype"/>
          <w:color w:val="000000" w:themeColor="text1"/>
          <w:sz w:val="24"/>
          <w:szCs w:val="24"/>
        </w:rPr>
        <w:t xml:space="preserve">Por lo anteriormente expuesto y fundado, este </w:t>
      </w:r>
      <w:r w:rsidRPr="00BC6D51">
        <w:rPr>
          <w:rFonts w:ascii="Palatino Linotype" w:eastAsia="Palatino Linotype" w:hAnsi="Palatino Linotype" w:cs="Palatino Linotype"/>
          <w:b/>
          <w:color w:val="000000" w:themeColor="text1"/>
          <w:sz w:val="24"/>
          <w:szCs w:val="24"/>
        </w:rPr>
        <w:t>ÓRGANO GARANTE</w:t>
      </w:r>
      <w:r w:rsidRPr="00BC6D51">
        <w:rPr>
          <w:rFonts w:ascii="Palatino Linotype" w:eastAsia="Palatino Linotype" w:hAnsi="Palatino Linotype" w:cs="Palatino Linotype"/>
          <w:color w:val="000000" w:themeColor="text1"/>
          <w:sz w:val="24"/>
          <w:szCs w:val="24"/>
        </w:rPr>
        <w:t xml:space="preserve"> emite los </w:t>
      </w:r>
      <w:r w:rsidRPr="00BC6D51">
        <w:rPr>
          <w:rFonts w:ascii="Palatino Linotype" w:hAnsi="Palatino Linotype" w:cs="Arial"/>
          <w:color w:val="000000" w:themeColor="text1"/>
          <w:sz w:val="24"/>
          <w:szCs w:val="24"/>
        </w:rPr>
        <w:t>siguientes</w:t>
      </w:r>
      <w:r w:rsidRPr="00BC6D51">
        <w:rPr>
          <w:rFonts w:ascii="Palatino Linotype" w:eastAsia="Palatino Linotype" w:hAnsi="Palatino Linotype" w:cs="Palatino Linotype"/>
          <w:color w:val="000000" w:themeColor="text1"/>
          <w:sz w:val="24"/>
          <w:szCs w:val="24"/>
        </w:rPr>
        <w:t>:</w:t>
      </w:r>
    </w:p>
    <w:p w14:paraId="311667D0" w14:textId="77777777" w:rsidR="006F7B14" w:rsidRPr="00BC6D51" w:rsidRDefault="006F7B14" w:rsidP="00E42E77">
      <w:pPr>
        <w:keepNext/>
        <w:keepLines/>
        <w:spacing w:line="360" w:lineRule="auto"/>
        <w:jc w:val="center"/>
        <w:rPr>
          <w:rFonts w:ascii="Palatino Linotype" w:eastAsia="Palatino Linotype" w:hAnsi="Palatino Linotype" w:cs="Palatino Linotype"/>
          <w:b/>
          <w:color w:val="000000" w:themeColor="text1"/>
          <w:sz w:val="24"/>
          <w:szCs w:val="24"/>
        </w:rPr>
      </w:pPr>
      <w:bookmarkStart w:id="10" w:name="_heading=h.3rdcrjn" w:colFirst="0" w:colLast="0"/>
      <w:bookmarkEnd w:id="10"/>
      <w:r w:rsidRPr="00BC6D51">
        <w:rPr>
          <w:rFonts w:ascii="Palatino Linotype" w:eastAsia="Palatino Linotype" w:hAnsi="Palatino Linotype" w:cs="Palatino Linotype"/>
          <w:b/>
          <w:color w:val="000000" w:themeColor="text1"/>
          <w:sz w:val="24"/>
          <w:szCs w:val="24"/>
        </w:rPr>
        <w:t>R E S O L U T I V O S</w:t>
      </w:r>
    </w:p>
    <w:p w14:paraId="43995F05" w14:textId="77777777" w:rsidR="006F7B14" w:rsidRPr="00BC6D51" w:rsidRDefault="006F7B14" w:rsidP="00E42E77">
      <w:pPr>
        <w:keepNext/>
        <w:keepLines/>
        <w:spacing w:line="360" w:lineRule="auto"/>
        <w:jc w:val="center"/>
        <w:rPr>
          <w:rFonts w:ascii="Palatino Linotype" w:eastAsia="Palatino Linotype" w:hAnsi="Palatino Linotype" w:cs="Palatino Linotype"/>
          <w:b/>
          <w:color w:val="000000" w:themeColor="text1"/>
          <w:sz w:val="24"/>
          <w:szCs w:val="24"/>
        </w:rPr>
      </w:pPr>
    </w:p>
    <w:p w14:paraId="6DDF0F17" w14:textId="7D457576" w:rsidR="006F7B14" w:rsidRPr="00BC6D51" w:rsidRDefault="006F7B14" w:rsidP="00E42E77">
      <w:pPr>
        <w:spacing w:line="360" w:lineRule="auto"/>
        <w:jc w:val="both"/>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b/>
          <w:color w:val="000000" w:themeColor="text1"/>
          <w:sz w:val="24"/>
          <w:szCs w:val="24"/>
        </w:rPr>
        <w:t xml:space="preserve">PRIMERO. </w:t>
      </w:r>
      <w:r w:rsidRPr="00BC6D51">
        <w:rPr>
          <w:rFonts w:ascii="Palatino Linotype" w:eastAsia="Palatino Linotype" w:hAnsi="Palatino Linotype" w:cs="Palatino Linotype"/>
          <w:color w:val="000000" w:themeColor="text1"/>
          <w:sz w:val="24"/>
          <w:szCs w:val="24"/>
        </w:rPr>
        <w:t>Resultan fundadas las</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BC6D51">
        <w:rPr>
          <w:rFonts w:ascii="Palatino Linotype" w:eastAsia="Palatino Linotype" w:hAnsi="Palatino Linotype" w:cs="Palatino Linotype"/>
          <w:b/>
          <w:bCs/>
          <w:color w:val="000000" w:themeColor="text1"/>
          <w:sz w:val="24"/>
          <w:szCs w:val="24"/>
        </w:rPr>
        <w:t>01928/INFOEM/IP/RR/2025</w:t>
      </w:r>
      <w:r w:rsidRPr="00BC6D51">
        <w:rPr>
          <w:rFonts w:ascii="Palatino Linotype" w:eastAsia="Palatino Linotype" w:hAnsi="Palatino Linotype" w:cs="Palatino Linotype"/>
          <w:b/>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 xml:space="preserve">en términos de los </w:t>
      </w:r>
      <w:r w:rsidRPr="00BC6D51">
        <w:rPr>
          <w:rFonts w:ascii="Palatino Linotype" w:eastAsia="Palatino Linotype" w:hAnsi="Palatino Linotype" w:cs="Palatino Linotype"/>
          <w:b/>
          <w:color w:val="000000" w:themeColor="text1"/>
          <w:sz w:val="24"/>
          <w:szCs w:val="24"/>
        </w:rPr>
        <w:t>Considerandos</w:t>
      </w:r>
      <w:r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 xml:space="preserve">CUARTO </w:t>
      </w:r>
      <w:r w:rsidRPr="00BC6D51">
        <w:rPr>
          <w:rFonts w:ascii="Palatino Linotype" w:eastAsia="Palatino Linotype" w:hAnsi="Palatino Linotype" w:cs="Palatino Linotype"/>
          <w:color w:val="000000" w:themeColor="text1"/>
          <w:sz w:val="24"/>
          <w:szCs w:val="24"/>
        </w:rPr>
        <w:t>de la presente resolución.</w:t>
      </w:r>
    </w:p>
    <w:p w14:paraId="2152E21D"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rPr>
      </w:pPr>
    </w:p>
    <w:p w14:paraId="5B239CF8" w14:textId="0049BB07" w:rsidR="00EA5F59" w:rsidRPr="00BC6D51" w:rsidRDefault="006F7B14" w:rsidP="00E42E77">
      <w:pPr>
        <w:spacing w:line="360" w:lineRule="auto"/>
        <w:jc w:val="both"/>
        <w:rPr>
          <w:rFonts w:ascii="Palatino Linotype" w:eastAsia="Palatino Linotype" w:hAnsi="Palatino Linotype" w:cs="Palatino Linotype"/>
          <w:color w:val="000000" w:themeColor="text1"/>
          <w:sz w:val="24"/>
          <w:szCs w:val="24"/>
        </w:rPr>
      </w:pPr>
      <w:bookmarkStart w:id="11" w:name="_heading=h.26in1rg" w:colFirst="0" w:colLast="0"/>
      <w:bookmarkEnd w:id="11"/>
      <w:r w:rsidRPr="00BC6D51">
        <w:rPr>
          <w:rFonts w:ascii="Palatino Linotype" w:eastAsia="Palatino Linotype" w:hAnsi="Palatino Linotype" w:cs="Palatino Linotype"/>
          <w:b/>
          <w:color w:val="000000" w:themeColor="text1"/>
          <w:sz w:val="24"/>
          <w:szCs w:val="24"/>
        </w:rPr>
        <w:t>SEGUNDO.</w:t>
      </w:r>
      <w:r w:rsidRPr="00BC6D51">
        <w:rPr>
          <w:rFonts w:ascii="Palatino Linotype" w:eastAsia="Palatino Linotype" w:hAnsi="Palatino Linotype" w:cs="Palatino Linotype"/>
          <w:color w:val="000000" w:themeColor="text1"/>
          <w:sz w:val="24"/>
          <w:szCs w:val="24"/>
        </w:rPr>
        <w:t xml:space="preserve"> Se</w:t>
      </w:r>
      <w:r w:rsidRPr="00BC6D51">
        <w:rPr>
          <w:rFonts w:ascii="Palatino Linotype" w:eastAsia="Palatino Linotype" w:hAnsi="Palatino Linotype" w:cs="Palatino Linotype"/>
          <w:b/>
          <w:color w:val="000000" w:themeColor="text1"/>
          <w:sz w:val="24"/>
          <w:szCs w:val="24"/>
        </w:rPr>
        <w:t xml:space="preserve"> MODIFICA </w:t>
      </w:r>
      <w:r w:rsidRPr="00BC6D51">
        <w:rPr>
          <w:rFonts w:ascii="Palatino Linotype" w:eastAsia="Palatino Linotype" w:hAnsi="Palatino Linotype" w:cs="Palatino Linotype"/>
          <w:color w:val="000000" w:themeColor="text1"/>
          <w:sz w:val="24"/>
          <w:szCs w:val="24"/>
        </w:rPr>
        <w:t xml:space="preserve">la respuesta emitida por el </w:t>
      </w:r>
      <w:r w:rsidRPr="00BC6D51">
        <w:rPr>
          <w:rFonts w:ascii="Palatino Linotype" w:eastAsia="Palatino Linotype" w:hAnsi="Palatino Linotype" w:cs="Palatino Linotype"/>
          <w:b/>
          <w:color w:val="000000" w:themeColor="text1"/>
          <w:sz w:val="24"/>
          <w:szCs w:val="24"/>
        </w:rPr>
        <w:t xml:space="preserve">Ayuntamiento de Toluca </w:t>
      </w:r>
      <w:r w:rsidRPr="00BC6D51">
        <w:rPr>
          <w:rFonts w:ascii="Palatino Linotype" w:eastAsia="Palatino Linotype" w:hAnsi="Palatino Linotype" w:cs="Palatino Linotype"/>
          <w:color w:val="000000" w:themeColor="text1"/>
          <w:sz w:val="24"/>
          <w:szCs w:val="24"/>
        </w:rPr>
        <w:t>y se</w:t>
      </w:r>
      <w:r w:rsidRPr="00BC6D51">
        <w:rPr>
          <w:rFonts w:ascii="Palatino Linotype" w:eastAsia="Palatino Linotype" w:hAnsi="Palatino Linotype" w:cs="Palatino Linotype"/>
          <w:b/>
          <w:color w:val="000000" w:themeColor="text1"/>
          <w:sz w:val="24"/>
          <w:szCs w:val="24"/>
        </w:rPr>
        <w:t xml:space="preserve"> ORDENA </w:t>
      </w:r>
      <w:r w:rsidRPr="00BC6D51">
        <w:rPr>
          <w:rFonts w:ascii="Palatino Linotype" w:eastAsia="Palatino Linotype" w:hAnsi="Palatino Linotype" w:cs="Palatino Linotype"/>
          <w:color w:val="000000" w:themeColor="text1"/>
          <w:sz w:val="24"/>
          <w:szCs w:val="24"/>
        </w:rPr>
        <w:t>entregar vía Sistema de Accesos a la Información Mexiquense (SAIMEX</w:t>
      </w:r>
      <w:r w:rsidRPr="00BC6D51">
        <w:rPr>
          <w:rFonts w:ascii="Palatino Linotype" w:eastAsia="Palatino Linotype" w:hAnsi="Palatino Linotype" w:cs="Palatino Linotype"/>
          <w:i/>
          <w:color w:val="000000" w:themeColor="text1"/>
          <w:sz w:val="24"/>
          <w:szCs w:val="24"/>
        </w:rPr>
        <w:t xml:space="preserve">), </w:t>
      </w:r>
      <w:r w:rsidRPr="00BC6D51">
        <w:rPr>
          <w:rFonts w:ascii="Palatino Linotype" w:eastAsia="Palatino Linotype" w:hAnsi="Palatino Linotype" w:cs="Palatino Linotype"/>
          <w:color w:val="000000" w:themeColor="text1"/>
          <w:sz w:val="24"/>
          <w:szCs w:val="24"/>
        </w:rPr>
        <w:t>de ser el caso, en versión pública, la siguiente información:</w:t>
      </w:r>
    </w:p>
    <w:p w14:paraId="2798A25C" w14:textId="77777777" w:rsidR="00EA5F59" w:rsidRPr="00BC6D51" w:rsidRDefault="00EA5F59" w:rsidP="00E42E77">
      <w:pPr>
        <w:spacing w:line="360" w:lineRule="auto"/>
        <w:jc w:val="both"/>
        <w:rPr>
          <w:rFonts w:ascii="Palatino Linotype" w:eastAsia="Palatino Linotype" w:hAnsi="Palatino Linotype" w:cs="Palatino Linotype"/>
          <w:color w:val="000000" w:themeColor="text1"/>
          <w:sz w:val="24"/>
          <w:szCs w:val="24"/>
        </w:rPr>
      </w:pPr>
    </w:p>
    <w:p w14:paraId="06BF434B" w14:textId="7C2EEC1F" w:rsidR="00EA5F59" w:rsidRPr="00BC6D51" w:rsidRDefault="00EA5F59"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De la licitación remitida en respuesta:</w:t>
      </w:r>
    </w:p>
    <w:p w14:paraId="17AFA8C7" w14:textId="2F254D16" w:rsidR="006F7B14" w:rsidRPr="00BC6D51" w:rsidRDefault="00EA5F59" w:rsidP="00E42E77">
      <w:pPr>
        <w:pStyle w:val="Prrafodelista"/>
        <w:numPr>
          <w:ilvl w:val="0"/>
          <w:numId w:val="22"/>
        </w:numPr>
        <w:spacing w:line="360" w:lineRule="auto"/>
        <w:ind w:left="0"/>
        <w:jc w:val="both"/>
        <w:rPr>
          <w:rFonts w:ascii="Palatino Linotype" w:eastAsia="Palatino Linotype" w:hAnsi="Palatino Linotype" w:cs="Palatino Linotype"/>
          <w:color w:val="000000" w:themeColor="text1"/>
          <w:sz w:val="24"/>
        </w:rPr>
      </w:pPr>
      <w:bookmarkStart w:id="12" w:name="_heading=h.lnxbz9" w:colFirst="0" w:colLast="0"/>
      <w:bookmarkEnd w:id="12"/>
      <w:r w:rsidRPr="00BC6D51">
        <w:rPr>
          <w:rFonts w:ascii="Palatino Linotype" w:eastAsia="Palatino Linotype" w:hAnsi="Palatino Linotype" w:cs="Palatino Linotype"/>
          <w:b/>
          <w:color w:val="000000" w:themeColor="text1"/>
          <w:sz w:val="24"/>
        </w:rPr>
        <w:lastRenderedPageBreak/>
        <w:t>Acuerdo emitido por el Comité de Transparencia donde confirme la inexistencia de la documentación faltante conforme a lo establecido en el artículo 19, párrafo tercero, 169 y 170 de la Ley de Transparencia y Acceso a la Información Pública del Estado de México y Municipios.</w:t>
      </w:r>
    </w:p>
    <w:p w14:paraId="4BDD9CC0" w14:textId="77777777" w:rsidR="001B5085" w:rsidRPr="00BC6D51" w:rsidRDefault="001B5085" w:rsidP="001B5085">
      <w:pPr>
        <w:pStyle w:val="Prrafodelista"/>
        <w:spacing w:line="360" w:lineRule="auto"/>
        <w:ind w:left="0"/>
        <w:jc w:val="both"/>
        <w:rPr>
          <w:rFonts w:ascii="Palatino Linotype" w:eastAsia="Palatino Linotype" w:hAnsi="Palatino Linotype" w:cs="Palatino Linotype"/>
          <w:color w:val="000000" w:themeColor="text1"/>
          <w:sz w:val="24"/>
        </w:rPr>
      </w:pPr>
    </w:p>
    <w:p w14:paraId="450B0727" w14:textId="2776ED9B" w:rsidR="00EA5F59" w:rsidRPr="00BC6D51" w:rsidRDefault="00EA5F59" w:rsidP="00E42E77">
      <w:pPr>
        <w:pStyle w:val="Prrafodelista"/>
        <w:numPr>
          <w:ilvl w:val="0"/>
          <w:numId w:val="22"/>
        </w:numPr>
        <w:spacing w:line="360" w:lineRule="auto"/>
        <w:ind w:left="0"/>
        <w:jc w:val="both"/>
        <w:rPr>
          <w:rFonts w:ascii="Palatino Linotype" w:eastAsia="Palatino Linotype" w:hAnsi="Palatino Linotype" w:cs="Palatino Linotype"/>
          <w:b/>
          <w:color w:val="000000" w:themeColor="text1"/>
          <w:sz w:val="24"/>
        </w:rPr>
      </w:pPr>
      <w:r w:rsidRPr="00BC6D51">
        <w:rPr>
          <w:rFonts w:ascii="Palatino Linotype" w:eastAsia="Palatino Linotype" w:hAnsi="Palatino Linotype" w:cs="Palatino Linotype"/>
          <w:b/>
          <w:color w:val="000000" w:themeColor="text1"/>
          <w:sz w:val="24"/>
        </w:rPr>
        <w:t>Docu</w:t>
      </w:r>
      <w:r w:rsidR="001B5085" w:rsidRPr="00BC6D51">
        <w:rPr>
          <w:rFonts w:ascii="Palatino Linotype" w:eastAsia="Palatino Linotype" w:hAnsi="Palatino Linotype" w:cs="Palatino Linotype"/>
          <w:b/>
          <w:color w:val="000000" w:themeColor="text1"/>
          <w:sz w:val="24"/>
        </w:rPr>
        <w:t xml:space="preserve">mentación remitida en respuesta, </w:t>
      </w:r>
      <w:r w:rsidRPr="00BC6D51">
        <w:rPr>
          <w:rFonts w:ascii="Palatino Linotype" w:eastAsia="Palatino Linotype" w:hAnsi="Palatino Linotype" w:cs="Palatino Linotype"/>
          <w:b/>
          <w:color w:val="000000" w:themeColor="text1"/>
          <w:sz w:val="24"/>
        </w:rPr>
        <w:t>en correcta versión pública.</w:t>
      </w:r>
    </w:p>
    <w:p w14:paraId="32BB7147" w14:textId="77777777" w:rsidR="00EA5F59" w:rsidRPr="00BC6D51" w:rsidRDefault="00EA5F59" w:rsidP="00E42E77">
      <w:pPr>
        <w:spacing w:line="360" w:lineRule="auto"/>
        <w:jc w:val="both"/>
        <w:rPr>
          <w:rFonts w:ascii="Palatino Linotype" w:eastAsia="Palatino Linotype" w:hAnsi="Palatino Linotype" w:cs="Palatino Linotype"/>
          <w:b/>
          <w:color w:val="000000" w:themeColor="text1"/>
          <w:sz w:val="24"/>
          <w:szCs w:val="24"/>
        </w:rPr>
      </w:pPr>
    </w:p>
    <w:p w14:paraId="601EED57" w14:textId="77777777" w:rsidR="00EA5F59" w:rsidRPr="00BC6D51" w:rsidRDefault="00EA5F59"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271309A" w14:textId="77777777" w:rsidR="00EA5F59" w:rsidRPr="00BC6D51" w:rsidRDefault="00EA5F59" w:rsidP="00E42E77">
      <w:pPr>
        <w:pStyle w:val="Prrafodelista"/>
        <w:spacing w:line="360" w:lineRule="auto"/>
        <w:ind w:left="0"/>
        <w:jc w:val="both"/>
        <w:rPr>
          <w:rFonts w:ascii="Palatino Linotype" w:eastAsia="Palatino Linotype" w:hAnsi="Palatino Linotype" w:cs="Palatino Linotype"/>
          <w:color w:val="000000" w:themeColor="text1"/>
          <w:sz w:val="24"/>
        </w:rPr>
      </w:pPr>
    </w:p>
    <w:p w14:paraId="48EA8B12" w14:textId="77777777" w:rsidR="006F7B14" w:rsidRPr="00BC6D51" w:rsidRDefault="006F7B14" w:rsidP="00E42E77">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sz w:val="24"/>
          <w:szCs w:val="24"/>
        </w:rPr>
      </w:pPr>
      <w:r w:rsidRPr="00BC6D51">
        <w:rPr>
          <w:rFonts w:ascii="Palatino Linotype" w:eastAsia="Palatino Linotype" w:hAnsi="Palatino Linotype" w:cs="Palatino Linotype"/>
          <w:b/>
          <w:color w:val="000000" w:themeColor="text1"/>
          <w:sz w:val="24"/>
          <w:szCs w:val="24"/>
        </w:rPr>
        <w:t>TERCERO. NOTIFÍQUESE</w:t>
      </w:r>
      <w:r w:rsidRPr="00BC6D51">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C6D51">
        <w:rPr>
          <w:rFonts w:ascii="Palatino Linotype" w:eastAsia="Palatino Linotype" w:hAnsi="Palatino Linotype" w:cs="Palatino Linotype"/>
          <w:b/>
          <w:color w:val="000000" w:themeColor="text1"/>
          <w:sz w:val="24"/>
          <w:szCs w:val="24"/>
        </w:rPr>
        <w:t>dé cumplimiento a lo ordenado dentro del plazo de diez días hábiles</w:t>
      </w:r>
      <w:r w:rsidRPr="00BC6D5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w:t>
      </w:r>
      <w:r w:rsidRPr="00BC6D51">
        <w:rPr>
          <w:rFonts w:ascii="Palatino Linotype" w:eastAsia="Palatino Linotype" w:hAnsi="Palatino Linotype" w:cs="Palatino Linotype"/>
          <w:color w:val="000000" w:themeColor="text1"/>
          <w:sz w:val="24"/>
          <w:szCs w:val="24"/>
        </w:rPr>
        <w:lastRenderedPageBreak/>
        <w:t>214, 215 y 216 de la Ley  de Transparencia y Acceso a la Información Pública del Estado de México y Municipios.</w:t>
      </w:r>
    </w:p>
    <w:p w14:paraId="5DBC697C" w14:textId="77777777" w:rsidR="006F7B14" w:rsidRPr="00BC6D51" w:rsidRDefault="006F7B14" w:rsidP="00E42E77">
      <w:pP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b/>
          <w:color w:val="000000" w:themeColor="text1"/>
          <w:sz w:val="24"/>
          <w:szCs w:val="24"/>
        </w:rPr>
        <w:t xml:space="preserve">CUARTO. Notifíquese </w:t>
      </w:r>
      <w:r w:rsidRPr="00BC6D51">
        <w:rPr>
          <w:rFonts w:ascii="Palatino Linotype" w:eastAsia="Palatino Linotype" w:hAnsi="Palatino Linotype" w:cs="Palatino Linotype"/>
          <w:color w:val="000000" w:themeColor="text1"/>
          <w:sz w:val="24"/>
          <w:szCs w:val="24"/>
        </w:rPr>
        <w:t xml:space="preserve">al </w:t>
      </w:r>
      <w:r w:rsidRPr="00BC6D51">
        <w:rPr>
          <w:rFonts w:ascii="Palatino Linotype" w:eastAsia="Palatino Linotype" w:hAnsi="Palatino Linotype" w:cs="Palatino Linotype"/>
          <w:b/>
          <w:color w:val="000000" w:themeColor="text1"/>
          <w:sz w:val="24"/>
          <w:szCs w:val="24"/>
        </w:rPr>
        <w:t xml:space="preserve">RECURRENTE </w:t>
      </w:r>
      <w:r w:rsidRPr="00BC6D51">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14:paraId="2027A127" w14:textId="77777777" w:rsidR="006F7B14" w:rsidRPr="00BC6D51" w:rsidRDefault="006F7B14" w:rsidP="00E42E77">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p>
    <w:p w14:paraId="2B5E063F" w14:textId="77777777" w:rsidR="006F7B14" w:rsidRPr="00BC6D51" w:rsidRDefault="006F7B14" w:rsidP="00E42E77">
      <w:pPr>
        <w:spacing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b/>
          <w:color w:val="000000" w:themeColor="text1"/>
          <w:sz w:val="24"/>
          <w:szCs w:val="24"/>
        </w:rPr>
        <w:t xml:space="preserve">QUINTO. </w:t>
      </w:r>
      <w:r w:rsidRPr="00BC6D51">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2277C0" w14:textId="77777777" w:rsidR="006F7B14" w:rsidRPr="00BC6D51" w:rsidRDefault="006F7B14" w:rsidP="00E42E77">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BC6D51">
        <w:rPr>
          <w:rFonts w:ascii="Palatino Linotype" w:eastAsia="Palatino Linotype" w:hAnsi="Palatino Linotype" w:cs="Palatino Linotype"/>
          <w:b/>
          <w:color w:val="000000" w:themeColor="text1"/>
          <w:sz w:val="24"/>
          <w:szCs w:val="24"/>
        </w:rPr>
        <w:t>SEXTO.</w:t>
      </w:r>
      <w:r w:rsidRPr="00BC6D51">
        <w:rPr>
          <w:rFonts w:ascii="Palatino Linotype" w:eastAsia="Palatino Linotype" w:hAnsi="Palatino Linotype" w:cs="Palatino Linotype"/>
          <w:color w:val="000000" w:themeColor="text1"/>
          <w:sz w:val="24"/>
          <w:szCs w:val="24"/>
        </w:rPr>
        <w:t xml:space="preserve"> </w:t>
      </w:r>
      <w:r w:rsidRPr="00BC6D51">
        <w:rPr>
          <w:rFonts w:ascii="Palatino Linotype" w:eastAsia="Palatino Linotype" w:hAnsi="Palatino Linotype" w:cs="Palatino Linotype"/>
          <w:b/>
          <w:color w:val="000000" w:themeColor="text1"/>
          <w:sz w:val="24"/>
          <w:szCs w:val="24"/>
        </w:rPr>
        <w:t>Se hace del conocimiento del RECURRENTE</w:t>
      </w:r>
      <w:r w:rsidRPr="00BC6D51">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7E344F5" w14:textId="438F2F99" w:rsidR="00810AA9" w:rsidRDefault="00BC6D51" w:rsidP="00E42E77">
      <w:pPr>
        <w:spacing w:line="360" w:lineRule="auto"/>
        <w:jc w:val="both"/>
        <w:rPr>
          <w:rFonts w:ascii="Palatino Linotype" w:eastAsia="Palatino Linotype" w:hAnsi="Palatino Linotype" w:cs="Palatino Linotype"/>
          <w:color w:val="000000" w:themeColor="text1"/>
          <w:sz w:val="24"/>
          <w:szCs w:val="24"/>
        </w:rPr>
      </w:pPr>
      <w:bookmarkStart w:id="13" w:name="_heading=h.208k9nv06m61" w:colFirst="0" w:colLast="0"/>
      <w:bookmarkEnd w:id="13"/>
      <w:r w:rsidRPr="00BC6D51">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w:t>
      </w:r>
      <w:r w:rsidRPr="00BC6D51">
        <w:rPr>
          <w:rFonts w:ascii="Palatino Linotype" w:eastAsia="Palatino Linotype" w:hAnsi="Palatino Linotype" w:cs="Palatino Linotype"/>
          <w:color w:val="000000" w:themeColor="text1"/>
          <w:sz w:val="24"/>
          <w:szCs w:val="24"/>
        </w:rPr>
        <w:lastRenderedPageBreak/>
        <w:t>DOS MIL VEINTICINCO, ANTE EL SECRETARIO TÉCNICO DEL PLENO ALEXIS TAPIA RAMÍREZ</w:t>
      </w:r>
      <w:r w:rsidR="00C05FB4" w:rsidRPr="00BC6D51">
        <w:rPr>
          <w:rFonts w:ascii="Palatino Linotype" w:eastAsia="Palatino Linotype" w:hAnsi="Palatino Linotype" w:cs="Palatino Linotype"/>
          <w:color w:val="000000" w:themeColor="text1"/>
          <w:sz w:val="24"/>
          <w:szCs w:val="24"/>
        </w:rPr>
        <w:t>.</w:t>
      </w:r>
    </w:p>
    <w:p w14:paraId="7BF4E5BA" w14:textId="77777777" w:rsidR="001B5085" w:rsidRDefault="001B5085" w:rsidP="00E42E77">
      <w:pPr>
        <w:spacing w:line="360" w:lineRule="auto"/>
        <w:jc w:val="both"/>
        <w:rPr>
          <w:rFonts w:ascii="Palatino Linotype" w:eastAsia="Palatino Linotype" w:hAnsi="Palatino Linotype" w:cs="Palatino Linotype"/>
          <w:color w:val="000000" w:themeColor="text1"/>
          <w:sz w:val="24"/>
          <w:szCs w:val="24"/>
        </w:rPr>
      </w:pPr>
    </w:p>
    <w:p w14:paraId="7D1E1185" w14:textId="77777777" w:rsidR="001B5085" w:rsidRDefault="001B5085" w:rsidP="00E42E77">
      <w:pPr>
        <w:spacing w:line="360" w:lineRule="auto"/>
        <w:jc w:val="both"/>
        <w:rPr>
          <w:rFonts w:ascii="Palatino Linotype" w:eastAsia="Palatino Linotype" w:hAnsi="Palatino Linotype" w:cs="Palatino Linotype"/>
          <w:color w:val="000000" w:themeColor="text1"/>
          <w:sz w:val="24"/>
          <w:szCs w:val="24"/>
        </w:rPr>
      </w:pPr>
    </w:p>
    <w:p w14:paraId="397C4F9F"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71075B21"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423FEF0F"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29C2E5D9"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34F86FAD"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39E12261"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37AF1DA2"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54109B4E"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1C22D5CE"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7F710AD6"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2EB9AD21"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2433885B"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6802DBD4"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50B84CE0"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496A06B0"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038F7B90"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3283ECD3"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0A212642"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34C57005"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15673295"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330C2B89" w14:textId="77777777" w:rsidR="009E03D5" w:rsidRDefault="009E03D5" w:rsidP="00E42E77">
      <w:pPr>
        <w:spacing w:line="360" w:lineRule="auto"/>
        <w:jc w:val="both"/>
        <w:rPr>
          <w:rFonts w:ascii="Palatino Linotype" w:eastAsia="Palatino Linotype" w:hAnsi="Palatino Linotype" w:cs="Palatino Linotype"/>
          <w:color w:val="000000" w:themeColor="text1"/>
          <w:sz w:val="24"/>
          <w:szCs w:val="24"/>
        </w:rPr>
      </w:pPr>
    </w:p>
    <w:p w14:paraId="0CF0B79C" w14:textId="77777777" w:rsidR="00231EAB" w:rsidRDefault="00231EAB" w:rsidP="00E42E77">
      <w:pPr>
        <w:spacing w:line="360" w:lineRule="auto"/>
        <w:jc w:val="both"/>
        <w:rPr>
          <w:rFonts w:ascii="Palatino Linotype" w:eastAsia="Palatino Linotype" w:hAnsi="Palatino Linotype" w:cs="Palatino Linotype"/>
          <w:color w:val="000000" w:themeColor="text1"/>
          <w:sz w:val="24"/>
          <w:szCs w:val="24"/>
        </w:rPr>
      </w:pPr>
    </w:p>
    <w:p w14:paraId="09C0A362" w14:textId="77777777" w:rsidR="00231EAB" w:rsidRPr="00E42E77" w:rsidRDefault="00231EAB" w:rsidP="00E42E77">
      <w:pPr>
        <w:spacing w:line="360" w:lineRule="auto"/>
        <w:jc w:val="both"/>
        <w:rPr>
          <w:rFonts w:ascii="Palatino Linotype" w:eastAsia="Palatino Linotype" w:hAnsi="Palatino Linotype" w:cs="Palatino Linotype"/>
          <w:color w:val="000000" w:themeColor="text1"/>
          <w:sz w:val="24"/>
          <w:szCs w:val="24"/>
        </w:rPr>
      </w:pPr>
    </w:p>
    <w:sectPr w:rsidR="00231EAB" w:rsidRPr="00E42E77" w:rsidSect="009E03D5">
      <w:headerReference w:type="even" r:id="rId16"/>
      <w:headerReference w:type="default" r:id="rId17"/>
      <w:footerReference w:type="default" r:id="rId18"/>
      <w:headerReference w:type="first" r:id="rId19"/>
      <w:footerReference w:type="first" r:id="rId20"/>
      <w:type w:val="continuous"/>
      <w:pgSz w:w="12240" w:h="15840"/>
      <w:pgMar w:top="80" w:right="1183" w:bottom="1418" w:left="1588" w:header="1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7555D" w14:textId="77777777" w:rsidR="0012684C" w:rsidRDefault="0012684C">
      <w:r>
        <w:separator/>
      </w:r>
    </w:p>
  </w:endnote>
  <w:endnote w:type="continuationSeparator" w:id="0">
    <w:p w14:paraId="7DB8EF37" w14:textId="77777777" w:rsidR="0012684C" w:rsidRDefault="0012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601153"/>
      <w:docPartObj>
        <w:docPartGallery w:val="AutoText"/>
      </w:docPartObj>
    </w:sdtPr>
    <w:sdtEndPr/>
    <w:sdtContent>
      <w:sdt>
        <w:sdtPr>
          <w:id w:val="457372407"/>
          <w:docPartObj>
            <w:docPartGallery w:val="AutoText"/>
          </w:docPartObj>
        </w:sdtPr>
        <w:sdtEndPr/>
        <w:sdtContent>
          <w:p w14:paraId="2020A581" w14:textId="42058121" w:rsidR="00063932" w:rsidRDefault="00063932">
            <w:pPr>
              <w:pStyle w:val="Piedepgina"/>
              <w:jc w:val="right"/>
            </w:pPr>
          </w:p>
          <w:p w14:paraId="1F7A191C" w14:textId="2A69F491" w:rsidR="00063932" w:rsidRDefault="000639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03D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03D5">
              <w:rPr>
                <w:b/>
                <w:bCs/>
                <w:noProof/>
              </w:rPr>
              <w:t>29</w:t>
            </w:r>
            <w:r>
              <w:rPr>
                <w:b/>
                <w:bCs/>
                <w:sz w:val="24"/>
                <w:szCs w:val="24"/>
              </w:rPr>
              <w:fldChar w:fldCharType="end"/>
            </w:r>
          </w:p>
        </w:sdtContent>
      </w:sdt>
    </w:sdtContent>
  </w:sdt>
  <w:p w14:paraId="2A221972" w14:textId="77777777" w:rsidR="00063932" w:rsidRDefault="00063932">
    <w:pPr>
      <w:pStyle w:val="Piedepgina"/>
    </w:pPr>
  </w:p>
  <w:p w14:paraId="1D6FF208" w14:textId="77777777" w:rsidR="00063932" w:rsidRDefault="00063932"/>
  <w:p w14:paraId="70055CD7" w14:textId="77777777" w:rsidR="00063932" w:rsidRDefault="00063932"/>
  <w:p w14:paraId="5452645F" w14:textId="77777777" w:rsidR="00063932" w:rsidRDefault="000639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808835"/>
      <w:docPartObj>
        <w:docPartGallery w:val="AutoText"/>
      </w:docPartObj>
    </w:sdtPr>
    <w:sdtEndPr/>
    <w:sdtContent>
      <w:sdt>
        <w:sdtPr>
          <w:id w:val="-1965041091"/>
          <w:docPartObj>
            <w:docPartGallery w:val="AutoText"/>
          </w:docPartObj>
        </w:sdtPr>
        <w:sdtEndPr/>
        <w:sdtContent>
          <w:p w14:paraId="696399DD" w14:textId="598BCC50" w:rsidR="00063932" w:rsidRDefault="000639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03D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03D5">
              <w:rPr>
                <w:b/>
                <w:bCs/>
                <w:noProof/>
              </w:rPr>
              <w:t>29</w:t>
            </w:r>
            <w:r>
              <w:rPr>
                <w:b/>
                <w:bCs/>
                <w:sz w:val="24"/>
                <w:szCs w:val="24"/>
              </w:rPr>
              <w:fldChar w:fldCharType="end"/>
            </w:r>
          </w:p>
        </w:sdtContent>
      </w:sdt>
    </w:sdtContent>
  </w:sdt>
  <w:p w14:paraId="2D12AEB2" w14:textId="77777777" w:rsidR="00063932" w:rsidRDefault="00063932">
    <w:pPr>
      <w:pStyle w:val="Piedepgina"/>
    </w:pPr>
  </w:p>
  <w:p w14:paraId="54227169" w14:textId="77777777" w:rsidR="00063932" w:rsidRDefault="00063932"/>
  <w:p w14:paraId="7DE40FB1" w14:textId="77777777" w:rsidR="00063932" w:rsidRDefault="00063932"/>
  <w:p w14:paraId="33755E87" w14:textId="77777777" w:rsidR="00063932" w:rsidRDefault="000639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63122" w14:textId="77777777" w:rsidR="0012684C" w:rsidRDefault="0012684C">
      <w:r>
        <w:separator/>
      </w:r>
    </w:p>
  </w:footnote>
  <w:footnote w:type="continuationSeparator" w:id="0">
    <w:p w14:paraId="66259196" w14:textId="77777777" w:rsidR="0012684C" w:rsidRDefault="00126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063932" w:rsidRDefault="0012684C">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063932" w:rsidRDefault="00063932"/>
  <w:p w14:paraId="77B719CE" w14:textId="77777777" w:rsidR="00063932" w:rsidRDefault="00063932"/>
  <w:p w14:paraId="50A3AAAA" w14:textId="77777777" w:rsidR="00063932" w:rsidRDefault="000639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843"/>
      <w:gridCol w:w="8363"/>
    </w:tblGrid>
    <w:tr w:rsidR="00063932" w14:paraId="6255E3A4" w14:textId="77777777" w:rsidTr="009E03D5">
      <w:trPr>
        <w:trHeight w:val="1435"/>
      </w:trPr>
      <w:tc>
        <w:tcPr>
          <w:tcW w:w="1843" w:type="dxa"/>
          <w:shd w:val="clear" w:color="auto" w:fill="auto"/>
        </w:tcPr>
        <w:p w14:paraId="3E05202F" w14:textId="0D9B5D43" w:rsidR="00063932" w:rsidRDefault="00063932">
          <w:pPr>
            <w:tabs>
              <w:tab w:val="right" w:pos="4273"/>
            </w:tabs>
            <w:rPr>
              <w:rFonts w:ascii="Garamond" w:eastAsia="Calibri" w:hAnsi="Garamond"/>
              <w:sz w:val="16"/>
              <w:szCs w:val="16"/>
              <w:lang w:eastAsia="en-US"/>
            </w:rPr>
          </w:pPr>
        </w:p>
      </w:tc>
      <w:tc>
        <w:tcPr>
          <w:tcW w:w="8363" w:type="dxa"/>
          <w:shd w:val="clear" w:color="auto" w:fill="auto"/>
        </w:tcPr>
        <w:p w14:paraId="1ACAB9A9" w14:textId="77777777" w:rsidR="009E03D5" w:rsidRDefault="009E03D5"/>
        <w:p w14:paraId="6E4148D5" w14:textId="77777777" w:rsidR="009E03D5" w:rsidRDefault="009E03D5"/>
        <w:p w14:paraId="5993F54F" w14:textId="77777777" w:rsidR="009E03D5" w:rsidRDefault="009E03D5"/>
        <w:tbl>
          <w:tblPr>
            <w:tblStyle w:val="Tablaconcuadrcula"/>
            <w:tblW w:w="6379" w:type="dxa"/>
            <w:tblInd w:w="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545"/>
          </w:tblGrid>
          <w:tr w:rsidR="00063932" w:rsidRPr="00E42E77" w14:paraId="727F90BF" w14:textId="77777777" w:rsidTr="009E03D5">
            <w:trPr>
              <w:trHeight w:val="338"/>
            </w:trPr>
            <w:tc>
              <w:tcPr>
                <w:tcW w:w="2834" w:type="dxa"/>
              </w:tcPr>
              <w:p w14:paraId="410A3741" w14:textId="535C9D39" w:rsidR="00063932" w:rsidRPr="00E42E77" w:rsidRDefault="00063932" w:rsidP="00E42E77">
                <w:pPr>
                  <w:tabs>
                    <w:tab w:val="right" w:pos="8838"/>
                  </w:tabs>
                  <w:jc w:val="right"/>
                  <w:rPr>
                    <w:rFonts w:ascii="Palatino Linotype" w:eastAsia="Calibri" w:hAnsi="Palatino Linotype" w:cs="Tahoma"/>
                    <w:b/>
                    <w:sz w:val="24"/>
                    <w:szCs w:val="24"/>
                    <w:lang w:eastAsia="en-US"/>
                  </w:rPr>
                </w:pPr>
                <w:r w:rsidRPr="00E42E77">
                  <w:rPr>
                    <w:rFonts w:ascii="Palatino Linotype" w:eastAsia="Calibri" w:hAnsi="Palatino Linotype" w:cs="Tahoma"/>
                    <w:b/>
                    <w:sz w:val="24"/>
                    <w:szCs w:val="24"/>
                    <w:lang w:eastAsia="en-US"/>
                  </w:rPr>
                  <w:t>Recurso de Revisión:</w:t>
                </w:r>
              </w:p>
            </w:tc>
            <w:tc>
              <w:tcPr>
                <w:tcW w:w="3545" w:type="dxa"/>
              </w:tcPr>
              <w:p w14:paraId="3FF69A05" w14:textId="4497BBCE" w:rsidR="00063932" w:rsidRPr="00E42E77" w:rsidRDefault="0050269C" w:rsidP="00E42E77">
                <w:pPr>
                  <w:tabs>
                    <w:tab w:val="right" w:pos="8838"/>
                  </w:tabs>
                  <w:ind w:left="-107" w:right="-105"/>
                  <w:jc w:val="both"/>
                  <w:rPr>
                    <w:rFonts w:ascii="Palatino Linotype" w:eastAsia="Calibri" w:hAnsi="Palatino Linotype" w:cs="Tahoma"/>
                    <w:sz w:val="24"/>
                    <w:szCs w:val="24"/>
                    <w:lang w:eastAsia="en-US"/>
                  </w:rPr>
                </w:pPr>
                <w:r w:rsidRPr="00E42E77">
                  <w:rPr>
                    <w:rFonts w:ascii="Palatino Linotype" w:eastAsia="Calibri" w:hAnsi="Palatino Linotype" w:cs="Tahoma"/>
                    <w:bCs/>
                    <w:sz w:val="24"/>
                    <w:szCs w:val="24"/>
                    <w:lang w:val="es-MX" w:eastAsia="en-US"/>
                  </w:rPr>
                  <w:t> 01928/INFOEM/IP/RR/2025</w:t>
                </w:r>
              </w:p>
            </w:tc>
          </w:tr>
          <w:tr w:rsidR="00063932" w:rsidRPr="00E42E77" w14:paraId="1389436A" w14:textId="1D5CB96D" w:rsidTr="009E03D5">
            <w:trPr>
              <w:trHeight w:val="283"/>
            </w:trPr>
            <w:tc>
              <w:tcPr>
                <w:tcW w:w="2834" w:type="dxa"/>
              </w:tcPr>
              <w:p w14:paraId="22E0F4E9" w14:textId="77777777" w:rsidR="00063932" w:rsidRPr="00E42E77" w:rsidRDefault="00063932" w:rsidP="00E42E77">
                <w:pPr>
                  <w:tabs>
                    <w:tab w:val="right" w:pos="8838"/>
                  </w:tabs>
                  <w:jc w:val="right"/>
                  <w:rPr>
                    <w:rFonts w:ascii="Palatino Linotype" w:eastAsia="Calibri" w:hAnsi="Palatino Linotype" w:cs="Tahoma"/>
                    <w:b/>
                    <w:sz w:val="24"/>
                    <w:szCs w:val="24"/>
                    <w:lang w:eastAsia="en-US"/>
                  </w:rPr>
                </w:pPr>
                <w:bookmarkStart w:id="14" w:name="_Hlk33010189"/>
                <w:r w:rsidRPr="00E42E77">
                  <w:rPr>
                    <w:rFonts w:ascii="Palatino Linotype" w:eastAsia="Calibri" w:hAnsi="Palatino Linotype" w:cs="Tahoma"/>
                    <w:b/>
                    <w:sz w:val="24"/>
                    <w:szCs w:val="24"/>
                    <w:lang w:eastAsia="en-US"/>
                  </w:rPr>
                  <w:t>Sujeto Obligado:</w:t>
                </w:r>
              </w:p>
            </w:tc>
            <w:tc>
              <w:tcPr>
                <w:tcW w:w="3545" w:type="dxa"/>
              </w:tcPr>
              <w:p w14:paraId="2B205C7F" w14:textId="773BBA83" w:rsidR="00063932" w:rsidRPr="00E42E77" w:rsidRDefault="00063932" w:rsidP="00E42E77">
                <w:pPr>
                  <w:tabs>
                    <w:tab w:val="right" w:pos="8838"/>
                  </w:tabs>
                  <w:ind w:left="-107" w:right="-107"/>
                  <w:jc w:val="both"/>
                  <w:rPr>
                    <w:rFonts w:ascii="Palatino Linotype" w:hAnsi="Palatino Linotype"/>
                    <w:bCs/>
                    <w:color w:val="000000"/>
                    <w:sz w:val="24"/>
                    <w:szCs w:val="24"/>
                    <w:lang w:val="es-MX"/>
                  </w:rPr>
                </w:pPr>
                <w:r w:rsidRPr="00E42E77">
                  <w:rPr>
                    <w:rFonts w:ascii="Palatino Linotype" w:hAnsi="Palatino Linotype"/>
                    <w:bCs/>
                    <w:color w:val="000000"/>
                    <w:sz w:val="24"/>
                    <w:szCs w:val="24"/>
                    <w:lang w:val="es-MX"/>
                  </w:rPr>
                  <w:t>Ayuntamiento de Toluca</w:t>
                </w:r>
              </w:p>
            </w:tc>
          </w:tr>
          <w:bookmarkEnd w:id="14"/>
          <w:tr w:rsidR="00063932" w:rsidRPr="00E42E77" w14:paraId="28CCE4E5" w14:textId="77777777" w:rsidTr="009E03D5">
            <w:trPr>
              <w:trHeight w:val="283"/>
            </w:trPr>
            <w:tc>
              <w:tcPr>
                <w:tcW w:w="2834" w:type="dxa"/>
              </w:tcPr>
              <w:p w14:paraId="13EBF3BB" w14:textId="6E4ECE4B" w:rsidR="00063932" w:rsidRPr="00E42E77" w:rsidRDefault="00063932" w:rsidP="00E42E77">
                <w:pPr>
                  <w:tabs>
                    <w:tab w:val="right" w:pos="8838"/>
                  </w:tabs>
                  <w:jc w:val="right"/>
                  <w:rPr>
                    <w:rFonts w:ascii="Palatino Linotype" w:eastAsia="Calibri" w:hAnsi="Palatino Linotype" w:cs="Tahoma"/>
                    <w:b/>
                    <w:sz w:val="24"/>
                    <w:szCs w:val="24"/>
                    <w:lang w:eastAsia="en-US"/>
                  </w:rPr>
                </w:pPr>
                <w:r w:rsidRPr="00E42E77">
                  <w:rPr>
                    <w:rFonts w:ascii="Palatino Linotype" w:eastAsia="Calibri" w:hAnsi="Palatino Linotype" w:cs="Tahoma"/>
                    <w:b/>
                    <w:sz w:val="24"/>
                    <w:szCs w:val="24"/>
                    <w:lang w:eastAsia="en-US"/>
                  </w:rPr>
                  <w:t>Comisionada Ponente:</w:t>
                </w:r>
              </w:p>
            </w:tc>
            <w:tc>
              <w:tcPr>
                <w:tcW w:w="3545" w:type="dxa"/>
              </w:tcPr>
              <w:p w14:paraId="5DF20594" w14:textId="1A6CDEA4" w:rsidR="00063932" w:rsidRPr="00E42E77" w:rsidRDefault="00063932" w:rsidP="00E42E77">
                <w:pPr>
                  <w:tabs>
                    <w:tab w:val="right" w:pos="8838"/>
                  </w:tabs>
                  <w:ind w:left="-107" w:right="-105"/>
                  <w:jc w:val="both"/>
                  <w:rPr>
                    <w:rFonts w:ascii="Palatino Linotype" w:eastAsia="Calibri" w:hAnsi="Palatino Linotype" w:cs="Tahoma"/>
                    <w:sz w:val="24"/>
                    <w:szCs w:val="24"/>
                    <w:lang w:eastAsia="en-US"/>
                  </w:rPr>
                </w:pPr>
                <w:r w:rsidRPr="00E42E77">
                  <w:rPr>
                    <w:rFonts w:ascii="Palatino Linotype" w:eastAsia="Calibri" w:hAnsi="Palatino Linotype" w:cs="Tahoma"/>
                    <w:sz w:val="24"/>
                    <w:szCs w:val="24"/>
                    <w:lang w:eastAsia="en-US"/>
                  </w:rPr>
                  <w:t>María del Rosario Mejía Ayala</w:t>
                </w:r>
              </w:p>
            </w:tc>
          </w:tr>
        </w:tbl>
        <w:p w14:paraId="5775EEC5" w14:textId="77777777" w:rsidR="00063932" w:rsidRDefault="00063932">
          <w:pPr>
            <w:tabs>
              <w:tab w:val="right" w:pos="8838"/>
            </w:tabs>
            <w:ind w:left="-28"/>
            <w:jc w:val="both"/>
            <w:rPr>
              <w:rFonts w:ascii="Arial" w:eastAsia="Calibri" w:hAnsi="Arial" w:cs="Arial"/>
              <w:b/>
              <w:sz w:val="22"/>
              <w:szCs w:val="22"/>
              <w:lang w:eastAsia="en-US"/>
            </w:rPr>
          </w:pPr>
        </w:p>
      </w:tc>
    </w:tr>
  </w:tbl>
  <w:p w14:paraId="0AE465A1" w14:textId="1C36C120" w:rsidR="00063932" w:rsidRPr="009E03D5" w:rsidRDefault="0012684C" w:rsidP="009E03D5">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alt="" style="position:absolute;margin-left:-56.05pt;margin-top:-120.2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104386EF" w14:textId="77777777" w:rsidR="00063932" w:rsidRDefault="00063932"/>
  <w:p w14:paraId="60A3E393" w14:textId="77777777" w:rsidR="00063932" w:rsidRDefault="000639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063932" w14:paraId="61517A1D" w14:textId="77777777" w:rsidTr="009E03D5">
      <w:trPr>
        <w:trHeight w:val="567"/>
      </w:trPr>
      <w:tc>
        <w:tcPr>
          <w:tcW w:w="1560" w:type="dxa"/>
          <w:shd w:val="clear" w:color="auto" w:fill="auto"/>
        </w:tcPr>
        <w:p w14:paraId="4B74E846" w14:textId="1E0D62B9" w:rsidR="00063932" w:rsidRDefault="00063932">
          <w:pPr>
            <w:tabs>
              <w:tab w:val="right" w:pos="4273"/>
            </w:tabs>
            <w:rPr>
              <w:rFonts w:ascii="Garamond" w:eastAsia="Calibri" w:hAnsi="Garamond"/>
              <w:sz w:val="22"/>
              <w:szCs w:val="22"/>
              <w:lang w:eastAsia="en-US"/>
            </w:rPr>
          </w:pPr>
        </w:p>
      </w:tc>
      <w:tc>
        <w:tcPr>
          <w:tcW w:w="7938" w:type="dxa"/>
          <w:shd w:val="clear" w:color="auto" w:fill="auto"/>
        </w:tcPr>
        <w:p w14:paraId="556E043B" w14:textId="77777777" w:rsidR="009E03D5" w:rsidRDefault="009E03D5"/>
        <w:p w14:paraId="24FB0879" w14:textId="77777777" w:rsidR="009E03D5" w:rsidRDefault="009E03D5"/>
        <w:tbl>
          <w:tblPr>
            <w:tblStyle w:val="Tablaconcuadrcula"/>
            <w:tblW w:w="10064"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536"/>
            <w:gridCol w:w="2979"/>
          </w:tblGrid>
          <w:tr w:rsidR="00063932" w:rsidRPr="00E42E77" w14:paraId="7F59E1EF" w14:textId="77777777" w:rsidTr="00E42E77">
            <w:trPr>
              <w:trHeight w:val="144"/>
            </w:trPr>
            <w:tc>
              <w:tcPr>
                <w:tcW w:w="2549" w:type="dxa"/>
              </w:tcPr>
              <w:p w14:paraId="5EFF942E" w14:textId="77777777" w:rsidR="00063932" w:rsidRPr="00E42E77" w:rsidRDefault="00063932" w:rsidP="00E42E77">
                <w:pPr>
                  <w:tabs>
                    <w:tab w:val="right" w:pos="8838"/>
                  </w:tabs>
                  <w:ind w:left="-74" w:right="-105"/>
                  <w:jc w:val="right"/>
                  <w:rPr>
                    <w:rFonts w:ascii="Palatino Linotype" w:eastAsia="Calibri" w:hAnsi="Palatino Linotype" w:cs="Tahoma"/>
                    <w:b/>
                    <w:sz w:val="24"/>
                    <w:szCs w:val="24"/>
                    <w:lang w:eastAsia="en-US"/>
                  </w:rPr>
                </w:pPr>
                <w:bookmarkStart w:id="15" w:name="_Hlk12526980"/>
                <w:r w:rsidRPr="00E42E77">
                  <w:rPr>
                    <w:rFonts w:ascii="Palatino Linotype" w:eastAsia="Calibri" w:hAnsi="Palatino Linotype" w:cs="Tahoma"/>
                    <w:b/>
                    <w:sz w:val="24"/>
                    <w:szCs w:val="24"/>
                    <w:lang w:eastAsia="en-US"/>
                  </w:rPr>
                  <w:t>Recurso de Revisión:</w:t>
                </w:r>
              </w:p>
            </w:tc>
            <w:tc>
              <w:tcPr>
                <w:tcW w:w="4536" w:type="dxa"/>
              </w:tcPr>
              <w:p w14:paraId="0DE47EE2" w14:textId="3B9E61E2" w:rsidR="00063932" w:rsidRPr="00E42E77" w:rsidRDefault="0050269C" w:rsidP="00E42E77">
                <w:pPr>
                  <w:tabs>
                    <w:tab w:val="right" w:pos="8838"/>
                  </w:tabs>
                  <w:ind w:right="-105"/>
                  <w:jc w:val="both"/>
                  <w:rPr>
                    <w:rFonts w:ascii="Palatino Linotype" w:eastAsia="Calibri" w:hAnsi="Palatino Linotype" w:cs="Tahoma"/>
                    <w:sz w:val="24"/>
                    <w:szCs w:val="24"/>
                    <w:lang w:eastAsia="en-US"/>
                  </w:rPr>
                </w:pPr>
                <w:r w:rsidRPr="00E42E77">
                  <w:rPr>
                    <w:rFonts w:ascii="Palatino Linotype" w:eastAsia="Calibri" w:hAnsi="Palatino Linotype" w:cs="Tahoma"/>
                    <w:bCs/>
                    <w:sz w:val="24"/>
                    <w:szCs w:val="24"/>
                    <w:lang w:val="es-MX" w:eastAsia="en-US"/>
                  </w:rPr>
                  <w:t>01928/INFOEM/IP/RR/2025</w:t>
                </w:r>
              </w:p>
            </w:tc>
            <w:tc>
              <w:tcPr>
                <w:tcW w:w="2979" w:type="dxa"/>
              </w:tcPr>
              <w:p w14:paraId="11E4533C" w14:textId="3B21362A" w:rsidR="00063932" w:rsidRPr="00E42E77" w:rsidRDefault="00063932" w:rsidP="00E42E77">
                <w:pPr>
                  <w:tabs>
                    <w:tab w:val="right" w:pos="8838"/>
                  </w:tabs>
                  <w:ind w:left="-74" w:right="-105"/>
                  <w:jc w:val="both"/>
                  <w:rPr>
                    <w:rFonts w:ascii="Palatino Linotype" w:eastAsia="Calibri" w:hAnsi="Palatino Linotype" w:cs="Tahoma"/>
                    <w:bCs/>
                    <w:sz w:val="24"/>
                    <w:szCs w:val="24"/>
                    <w:lang w:eastAsia="en-US"/>
                  </w:rPr>
                </w:pPr>
              </w:p>
            </w:tc>
          </w:tr>
          <w:tr w:rsidR="00063932" w:rsidRPr="00E42E77" w14:paraId="3FC4FA7D" w14:textId="77777777" w:rsidTr="00E42E77">
            <w:trPr>
              <w:trHeight w:val="144"/>
            </w:trPr>
            <w:tc>
              <w:tcPr>
                <w:tcW w:w="2549" w:type="dxa"/>
              </w:tcPr>
              <w:p w14:paraId="363D966B" w14:textId="77777777" w:rsidR="00063932" w:rsidRPr="00E42E77" w:rsidRDefault="00063932" w:rsidP="00E42E77">
                <w:pPr>
                  <w:tabs>
                    <w:tab w:val="right" w:pos="8838"/>
                  </w:tabs>
                  <w:ind w:left="-74" w:right="-105"/>
                  <w:jc w:val="right"/>
                  <w:rPr>
                    <w:rFonts w:ascii="Palatino Linotype" w:eastAsia="Calibri" w:hAnsi="Palatino Linotype" w:cs="Tahoma"/>
                    <w:b/>
                    <w:sz w:val="24"/>
                    <w:szCs w:val="24"/>
                    <w:lang w:eastAsia="en-US"/>
                  </w:rPr>
                </w:pPr>
                <w:bookmarkStart w:id="16" w:name="_Hlk10641523"/>
                <w:bookmarkEnd w:id="15"/>
                <w:r w:rsidRPr="00E42E77">
                  <w:rPr>
                    <w:rFonts w:ascii="Palatino Linotype" w:eastAsia="Calibri" w:hAnsi="Palatino Linotype" w:cs="Tahoma"/>
                    <w:b/>
                    <w:sz w:val="24"/>
                    <w:szCs w:val="24"/>
                    <w:lang w:eastAsia="en-US"/>
                  </w:rPr>
                  <w:t>Recurrente:</w:t>
                </w:r>
              </w:p>
            </w:tc>
            <w:tc>
              <w:tcPr>
                <w:tcW w:w="4536" w:type="dxa"/>
              </w:tcPr>
              <w:p w14:paraId="73C065CD" w14:textId="19459E29" w:rsidR="00063932" w:rsidRPr="00E42E77" w:rsidRDefault="00063932" w:rsidP="00E42E77">
                <w:pPr>
                  <w:tabs>
                    <w:tab w:val="left" w:pos="3122"/>
                    <w:tab w:val="right" w:pos="8838"/>
                  </w:tabs>
                  <w:ind w:left="-3" w:right="1457"/>
                  <w:jc w:val="both"/>
                  <w:rPr>
                    <w:rFonts w:ascii="Palatino Linotype" w:eastAsia="Calibri" w:hAnsi="Palatino Linotype" w:cs="Tahoma"/>
                    <w:sz w:val="24"/>
                    <w:szCs w:val="24"/>
                    <w:lang w:eastAsia="en-US"/>
                  </w:rPr>
                </w:pPr>
              </w:p>
            </w:tc>
            <w:tc>
              <w:tcPr>
                <w:tcW w:w="2979" w:type="dxa"/>
              </w:tcPr>
              <w:p w14:paraId="370E6EFF" w14:textId="3B7EABB6" w:rsidR="00063932" w:rsidRPr="00E42E77" w:rsidRDefault="00063932" w:rsidP="00E42E77">
                <w:pPr>
                  <w:tabs>
                    <w:tab w:val="left" w:pos="3122"/>
                    <w:tab w:val="right" w:pos="8838"/>
                  </w:tabs>
                  <w:ind w:right="-105"/>
                  <w:jc w:val="both"/>
                  <w:rPr>
                    <w:rFonts w:ascii="Palatino Linotype" w:eastAsia="Calibri" w:hAnsi="Palatino Linotype" w:cs="Tahoma"/>
                    <w:sz w:val="24"/>
                    <w:szCs w:val="24"/>
                    <w:lang w:eastAsia="en-US"/>
                  </w:rPr>
                </w:pPr>
              </w:p>
            </w:tc>
          </w:tr>
          <w:bookmarkEnd w:id="16"/>
          <w:tr w:rsidR="00063932" w:rsidRPr="00E42E77" w14:paraId="4D832A43" w14:textId="77777777" w:rsidTr="00E42E77">
            <w:trPr>
              <w:trHeight w:val="283"/>
            </w:trPr>
            <w:tc>
              <w:tcPr>
                <w:tcW w:w="2549" w:type="dxa"/>
              </w:tcPr>
              <w:p w14:paraId="02CA5CB0" w14:textId="77777777" w:rsidR="00063932" w:rsidRPr="00E42E77" w:rsidRDefault="00063932" w:rsidP="00E42E77">
                <w:pPr>
                  <w:tabs>
                    <w:tab w:val="right" w:pos="8838"/>
                  </w:tabs>
                  <w:ind w:left="-74" w:right="-105"/>
                  <w:jc w:val="right"/>
                  <w:rPr>
                    <w:rFonts w:ascii="Palatino Linotype" w:eastAsia="Calibri" w:hAnsi="Palatino Linotype" w:cs="Tahoma"/>
                    <w:b/>
                    <w:sz w:val="24"/>
                    <w:szCs w:val="24"/>
                    <w:lang w:eastAsia="en-US"/>
                  </w:rPr>
                </w:pPr>
                <w:r w:rsidRPr="00E42E77">
                  <w:rPr>
                    <w:rFonts w:ascii="Palatino Linotype" w:eastAsia="Calibri" w:hAnsi="Palatino Linotype" w:cs="Tahoma"/>
                    <w:b/>
                    <w:sz w:val="24"/>
                    <w:szCs w:val="24"/>
                    <w:lang w:eastAsia="en-US"/>
                  </w:rPr>
                  <w:t>Sujeto Obligado:</w:t>
                </w:r>
              </w:p>
            </w:tc>
            <w:tc>
              <w:tcPr>
                <w:tcW w:w="4536" w:type="dxa"/>
              </w:tcPr>
              <w:p w14:paraId="28528629" w14:textId="5C97B6C3" w:rsidR="00063932" w:rsidRPr="00E42E77" w:rsidRDefault="00063932" w:rsidP="00E42E77">
                <w:pPr>
                  <w:tabs>
                    <w:tab w:val="left" w:pos="2834"/>
                    <w:tab w:val="right" w:pos="8838"/>
                  </w:tabs>
                  <w:ind w:left="-3" w:right="-105"/>
                  <w:jc w:val="both"/>
                  <w:rPr>
                    <w:rFonts w:ascii="Palatino Linotype" w:eastAsia="Calibri" w:hAnsi="Palatino Linotype" w:cs="Tahoma"/>
                    <w:sz w:val="24"/>
                    <w:szCs w:val="24"/>
                    <w:lang w:eastAsia="en-US"/>
                  </w:rPr>
                </w:pPr>
                <w:r w:rsidRPr="00E42E77">
                  <w:rPr>
                    <w:rFonts w:ascii="Palatino Linotype" w:hAnsi="Palatino Linotype"/>
                    <w:bCs/>
                    <w:color w:val="000000"/>
                    <w:sz w:val="24"/>
                    <w:szCs w:val="24"/>
                    <w:lang w:val="es-MX"/>
                  </w:rPr>
                  <w:t>Ayuntamiento de Toluca</w:t>
                </w:r>
              </w:p>
            </w:tc>
            <w:tc>
              <w:tcPr>
                <w:tcW w:w="2979" w:type="dxa"/>
              </w:tcPr>
              <w:p w14:paraId="00F18B8C" w14:textId="77777777" w:rsidR="00063932" w:rsidRPr="00E42E77" w:rsidRDefault="00063932" w:rsidP="00E42E77">
                <w:pPr>
                  <w:tabs>
                    <w:tab w:val="left" w:pos="2834"/>
                    <w:tab w:val="right" w:pos="8838"/>
                  </w:tabs>
                  <w:ind w:left="-74" w:right="-105"/>
                  <w:jc w:val="both"/>
                  <w:rPr>
                    <w:rFonts w:ascii="Palatino Linotype" w:eastAsia="Calibri" w:hAnsi="Palatino Linotype" w:cs="Tahoma"/>
                    <w:b/>
                    <w:bCs/>
                    <w:sz w:val="24"/>
                    <w:szCs w:val="24"/>
                    <w:lang w:eastAsia="en-US"/>
                  </w:rPr>
                </w:pPr>
              </w:p>
            </w:tc>
          </w:tr>
          <w:tr w:rsidR="00063932" w:rsidRPr="00E42E77" w14:paraId="7BC74D7A" w14:textId="77777777" w:rsidTr="00E42E77">
            <w:trPr>
              <w:trHeight w:val="283"/>
            </w:trPr>
            <w:tc>
              <w:tcPr>
                <w:tcW w:w="2549" w:type="dxa"/>
              </w:tcPr>
              <w:p w14:paraId="3BF93338" w14:textId="01E84F2D" w:rsidR="00063932" w:rsidRPr="00E42E77" w:rsidRDefault="00063932" w:rsidP="00E42E77">
                <w:pPr>
                  <w:tabs>
                    <w:tab w:val="right" w:pos="8838"/>
                  </w:tabs>
                  <w:ind w:left="-74" w:right="-105"/>
                  <w:jc w:val="right"/>
                  <w:rPr>
                    <w:rFonts w:ascii="Palatino Linotype" w:eastAsia="Calibri" w:hAnsi="Palatino Linotype" w:cs="Tahoma"/>
                    <w:b/>
                    <w:sz w:val="24"/>
                    <w:szCs w:val="24"/>
                    <w:lang w:eastAsia="en-US"/>
                  </w:rPr>
                </w:pPr>
                <w:r w:rsidRPr="00E42E77">
                  <w:rPr>
                    <w:rFonts w:ascii="Palatino Linotype" w:eastAsia="Calibri" w:hAnsi="Palatino Linotype" w:cs="Tahoma"/>
                    <w:b/>
                    <w:sz w:val="24"/>
                    <w:szCs w:val="24"/>
                    <w:lang w:eastAsia="en-US"/>
                  </w:rPr>
                  <w:t>Comisionada Ponente:</w:t>
                </w:r>
              </w:p>
            </w:tc>
            <w:tc>
              <w:tcPr>
                <w:tcW w:w="4536" w:type="dxa"/>
              </w:tcPr>
              <w:p w14:paraId="3589422E" w14:textId="64278750" w:rsidR="00063932" w:rsidRPr="00E42E77" w:rsidRDefault="00063932" w:rsidP="00E42E77">
                <w:pPr>
                  <w:tabs>
                    <w:tab w:val="right" w:pos="8838"/>
                  </w:tabs>
                  <w:ind w:left="-3" w:right="-105"/>
                  <w:jc w:val="both"/>
                  <w:rPr>
                    <w:rFonts w:ascii="Palatino Linotype" w:eastAsia="Calibri" w:hAnsi="Palatino Linotype" w:cs="Tahoma"/>
                    <w:sz w:val="24"/>
                    <w:szCs w:val="24"/>
                    <w:lang w:eastAsia="en-US"/>
                  </w:rPr>
                </w:pPr>
                <w:r w:rsidRPr="00E42E77">
                  <w:rPr>
                    <w:rFonts w:ascii="Palatino Linotype" w:eastAsia="Calibri" w:hAnsi="Palatino Linotype" w:cs="Tahoma"/>
                    <w:sz w:val="24"/>
                    <w:szCs w:val="24"/>
                    <w:lang w:eastAsia="en-US"/>
                  </w:rPr>
                  <w:t>María del Rosario Mejía Ayala</w:t>
                </w:r>
              </w:p>
            </w:tc>
            <w:tc>
              <w:tcPr>
                <w:tcW w:w="2979" w:type="dxa"/>
              </w:tcPr>
              <w:p w14:paraId="6DBCB70D" w14:textId="77777777" w:rsidR="00063932" w:rsidRPr="00E42E77" w:rsidRDefault="00063932" w:rsidP="00E42E77">
                <w:pPr>
                  <w:tabs>
                    <w:tab w:val="right" w:pos="8838"/>
                  </w:tabs>
                  <w:ind w:left="-74" w:right="-105"/>
                  <w:jc w:val="both"/>
                  <w:rPr>
                    <w:rFonts w:ascii="Palatino Linotype" w:eastAsia="Calibri" w:hAnsi="Palatino Linotype" w:cs="Tahoma"/>
                    <w:b/>
                    <w:bCs/>
                    <w:sz w:val="24"/>
                    <w:szCs w:val="24"/>
                    <w:lang w:eastAsia="en-US"/>
                  </w:rPr>
                </w:pPr>
              </w:p>
            </w:tc>
          </w:tr>
        </w:tbl>
        <w:p w14:paraId="27F446EB" w14:textId="77777777" w:rsidR="00063932" w:rsidRDefault="00063932">
          <w:pPr>
            <w:tabs>
              <w:tab w:val="right" w:pos="8838"/>
            </w:tabs>
            <w:ind w:left="-28"/>
            <w:jc w:val="both"/>
            <w:rPr>
              <w:rFonts w:ascii="Arial" w:eastAsia="Calibri" w:hAnsi="Arial" w:cs="Arial"/>
              <w:b/>
              <w:sz w:val="22"/>
              <w:szCs w:val="22"/>
              <w:lang w:eastAsia="en-US"/>
            </w:rPr>
          </w:pPr>
        </w:p>
      </w:tc>
    </w:tr>
  </w:tbl>
  <w:p w14:paraId="5F654A99" w14:textId="6CB7D4AE" w:rsidR="00063932" w:rsidRDefault="0012684C"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alt="" style="position:absolute;margin-left:-62.2pt;margin-top:-131.65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063932" w:rsidRDefault="00063932"/>
  <w:p w14:paraId="69AC6122" w14:textId="77777777" w:rsidR="00063932" w:rsidRDefault="000639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D03BEB"/>
    <w:multiLevelType w:val="hybridMultilevel"/>
    <w:tmpl w:val="97842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25FF2"/>
    <w:multiLevelType w:val="hybridMultilevel"/>
    <w:tmpl w:val="29E6C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343EED"/>
    <w:multiLevelType w:val="hybridMultilevel"/>
    <w:tmpl w:val="A8847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C72460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DE4F52"/>
    <w:multiLevelType w:val="multilevel"/>
    <w:tmpl w:val="71564F72"/>
    <w:lvl w:ilvl="0">
      <w:start w:val="47"/>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6"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316F3"/>
    <w:multiLevelType w:val="hybridMultilevel"/>
    <w:tmpl w:val="43C65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206E6F"/>
    <w:multiLevelType w:val="hybridMultilevel"/>
    <w:tmpl w:val="3DC4FC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A1105BC"/>
    <w:multiLevelType w:val="hybridMultilevel"/>
    <w:tmpl w:val="4E628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65447C"/>
    <w:multiLevelType w:val="multilevel"/>
    <w:tmpl w:val="EFFE6B96"/>
    <w:lvl w:ilvl="0">
      <w:start w:val="45"/>
      <w:numFmt w:val="decimal"/>
      <w:lvlText w:val="%1."/>
      <w:lvlJc w:val="left"/>
      <w:pPr>
        <w:ind w:left="3054" w:hanging="360"/>
      </w:pPr>
      <w:rPr>
        <w:rFonts w:hint="default"/>
        <w:b/>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23" w15:restartNumberingAfterBreak="0">
    <w:nsid w:val="625C2CFE"/>
    <w:multiLevelType w:val="hybridMultilevel"/>
    <w:tmpl w:val="D88883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C810E8"/>
    <w:multiLevelType w:val="hybridMultilevel"/>
    <w:tmpl w:val="850494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D77336"/>
    <w:multiLevelType w:val="hybridMultilevel"/>
    <w:tmpl w:val="E05EFA9C"/>
    <w:lvl w:ilvl="0" w:tplc="CEECE33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4727F5"/>
    <w:multiLevelType w:val="multilevel"/>
    <w:tmpl w:val="5A726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6F26A5"/>
    <w:multiLevelType w:val="hybridMultilevel"/>
    <w:tmpl w:val="C8D2DC3E"/>
    <w:lvl w:ilvl="0" w:tplc="2312D3B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29"/>
  </w:num>
  <w:num w:numId="4">
    <w:abstractNumId w:val="4"/>
  </w:num>
  <w:num w:numId="5">
    <w:abstractNumId w:val="8"/>
  </w:num>
  <w:num w:numId="6">
    <w:abstractNumId w:val="7"/>
  </w:num>
  <w:num w:numId="7">
    <w:abstractNumId w:val="6"/>
  </w:num>
  <w:num w:numId="8">
    <w:abstractNumId w:val="28"/>
  </w:num>
  <w:num w:numId="9">
    <w:abstractNumId w:val="27"/>
  </w:num>
  <w:num w:numId="10">
    <w:abstractNumId w:val="10"/>
  </w:num>
  <w:num w:numId="11">
    <w:abstractNumId w:val="17"/>
  </w:num>
  <w:num w:numId="12">
    <w:abstractNumId w:val="1"/>
  </w:num>
  <w:num w:numId="13">
    <w:abstractNumId w:val="30"/>
  </w:num>
  <w:num w:numId="14">
    <w:abstractNumId w:val="24"/>
  </w:num>
  <w:num w:numId="15">
    <w:abstractNumId w:val="25"/>
  </w:num>
  <w:num w:numId="16">
    <w:abstractNumId w:val="19"/>
  </w:num>
  <w:num w:numId="17">
    <w:abstractNumId w:val="13"/>
  </w:num>
  <w:num w:numId="18">
    <w:abstractNumId w:val="14"/>
  </w:num>
  <w:num w:numId="19">
    <w:abstractNumId w:val="18"/>
  </w:num>
  <w:num w:numId="20">
    <w:abstractNumId w:val="15"/>
  </w:num>
  <w:num w:numId="21">
    <w:abstractNumId w:val="21"/>
  </w:num>
  <w:num w:numId="22">
    <w:abstractNumId w:val="20"/>
  </w:num>
  <w:num w:numId="23">
    <w:abstractNumId w:val="3"/>
  </w:num>
  <w:num w:numId="24">
    <w:abstractNumId w:val="23"/>
  </w:num>
  <w:num w:numId="25">
    <w:abstractNumId w:val="26"/>
  </w:num>
  <w:num w:numId="26">
    <w:abstractNumId w:val="5"/>
  </w:num>
  <w:num w:numId="27">
    <w:abstractNumId w:val="9"/>
  </w:num>
  <w:num w:numId="28">
    <w:abstractNumId w:val="16"/>
  </w:num>
  <w:num w:numId="29">
    <w:abstractNumId w:val="22"/>
  </w:num>
  <w:num w:numId="30">
    <w:abstractNumId w:val="11"/>
  </w:num>
  <w:num w:numId="3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529D"/>
    <w:rsid w:val="00006543"/>
    <w:rsid w:val="00006EB8"/>
    <w:rsid w:val="000077E8"/>
    <w:rsid w:val="00010B0D"/>
    <w:rsid w:val="00012CD0"/>
    <w:rsid w:val="00013A19"/>
    <w:rsid w:val="00013DD9"/>
    <w:rsid w:val="000143FA"/>
    <w:rsid w:val="00014465"/>
    <w:rsid w:val="0001556E"/>
    <w:rsid w:val="000159F0"/>
    <w:rsid w:val="00015A4E"/>
    <w:rsid w:val="00017050"/>
    <w:rsid w:val="00017348"/>
    <w:rsid w:val="00017858"/>
    <w:rsid w:val="00017D26"/>
    <w:rsid w:val="00020818"/>
    <w:rsid w:val="00020CAE"/>
    <w:rsid w:val="00020CF1"/>
    <w:rsid w:val="000212E5"/>
    <w:rsid w:val="000217A4"/>
    <w:rsid w:val="00021C64"/>
    <w:rsid w:val="00022835"/>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1725"/>
    <w:rsid w:val="000424FC"/>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934"/>
    <w:rsid w:val="00062CA2"/>
    <w:rsid w:val="0006393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064"/>
    <w:rsid w:val="000812BE"/>
    <w:rsid w:val="000813B0"/>
    <w:rsid w:val="0008148B"/>
    <w:rsid w:val="00082026"/>
    <w:rsid w:val="000827E1"/>
    <w:rsid w:val="00082B18"/>
    <w:rsid w:val="00084E6C"/>
    <w:rsid w:val="00085010"/>
    <w:rsid w:val="00085304"/>
    <w:rsid w:val="00085D14"/>
    <w:rsid w:val="00087F25"/>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457"/>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920"/>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5AB"/>
    <w:rsid w:val="000F6834"/>
    <w:rsid w:val="000F6966"/>
    <w:rsid w:val="000F76AB"/>
    <w:rsid w:val="000F7A45"/>
    <w:rsid w:val="000F7FD8"/>
    <w:rsid w:val="001007D9"/>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18E3"/>
    <w:rsid w:val="001124F0"/>
    <w:rsid w:val="001133D5"/>
    <w:rsid w:val="001139FD"/>
    <w:rsid w:val="00114068"/>
    <w:rsid w:val="00114BD2"/>
    <w:rsid w:val="001150E9"/>
    <w:rsid w:val="001166C8"/>
    <w:rsid w:val="00116F92"/>
    <w:rsid w:val="001171BD"/>
    <w:rsid w:val="00117E18"/>
    <w:rsid w:val="0012107A"/>
    <w:rsid w:val="001221B8"/>
    <w:rsid w:val="00123033"/>
    <w:rsid w:val="0012305A"/>
    <w:rsid w:val="001237D5"/>
    <w:rsid w:val="0012684C"/>
    <w:rsid w:val="00127757"/>
    <w:rsid w:val="001279BF"/>
    <w:rsid w:val="00127E43"/>
    <w:rsid w:val="00127FF6"/>
    <w:rsid w:val="001301F3"/>
    <w:rsid w:val="001313F8"/>
    <w:rsid w:val="00132573"/>
    <w:rsid w:val="00132A80"/>
    <w:rsid w:val="00132F95"/>
    <w:rsid w:val="00132FE8"/>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6766"/>
    <w:rsid w:val="00147566"/>
    <w:rsid w:val="00147666"/>
    <w:rsid w:val="00147887"/>
    <w:rsid w:val="00147955"/>
    <w:rsid w:val="00147A67"/>
    <w:rsid w:val="001500C2"/>
    <w:rsid w:val="00150E21"/>
    <w:rsid w:val="00151053"/>
    <w:rsid w:val="001519CC"/>
    <w:rsid w:val="00151DCA"/>
    <w:rsid w:val="00151FBB"/>
    <w:rsid w:val="00153143"/>
    <w:rsid w:val="0015381E"/>
    <w:rsid w:val="00153C5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2A8"/>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2CB"/>
    <w:rsid w:val="001A3EA6"/>
    <w:rsid w:val="001A3EE2"/>
    <w:rsid w:val="001A4B49"/>
    <w:rsid w:val="001A4B83"/>
    <w:rsid w:val="001A7FD2"/>
    <w:rsid w:val="001B0041"/>
    <w:rsid w:val="001B0125"/>
    <w:rsid w:val="001B01AD"/>
    <w:rsid w:val="001B107D"/>
    <w:rsid w:val="001B1108"/>
    <w:rsid w:val="001B1E95"/>
    <w:rsid w:val="001B20A8"/>
    <w:rsid w:val="001B2CD9"/>
    <w:rsid w:val="001B38FF"/>
    <w:rsid w:val="001B39C2"/>
    <w:rsid w:val="001B5085"/>
    <w:rsid w:val="001B62A0"/>
    <w:rsid w:val="001B7973"/>
    <w:rsid w:val="001C066E"/>
    <w:rsid w:val="001C17B0"/>
    <w:rsid w:val="001C2357"/>
    <w:rsid w:val="001C282F"/>
    <w:rsid w:val="001C2D8D"/>
    <w:rsid w:val="001C2F9F"/>
    <w:rsid w:val="001C3087"/>
    <w:rsid w:val="001C6110"/>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652C"/>
    <w:rsid w:val="001F67A1"/>
    <w:rsid w:val="001F7690"/>
    <w:rsid w:val="001F78D9"/>
    <w:rsid w:val="0020044B"/>
    <w:rsid w:val="00201349"/>
    <w:rsid w:val="002013B6"/>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1EAB"/>
    <w:rsid w:val="00232673"/>
    <w:rsid w:val="0023301D"/>
    <w:rsid w:val="00233CFE"/>
    <w:rsid w:val="002348E4"/>
    <w:rsid w:val="00234F23"/>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917"/>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26F"/>
    <w:rsid w:val="002C02B9"/>
    <w:rsid w:val="002C0440"/>
    <w:rsid w:val="002C06E4"/>
    <w:rsid w:val="002C0DC2"/>
    <w:rsid w:val="002C255D"/>
    <w:rsid w:val="002C2EA7"/>
    <w:rsid w:val="002C33B4"/>
    <w:rsid w:val="002C3951"/>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C8A"/>
    <w:rsid w:val="002F5FCB"/>
    <w:rsid w:val="002F69C1"/>
    <w:rsid w:val="002F6F44"/>
    <w:rsid w:val="002F77DA"/>
    <w:rsid w:val="0030032A"/>
    <w:rsid w:val="003005D5"/>
    <w:rsid w:val="003007B1"/>
    <w:rsid w:val="00300A0B"/>
    <w:rsid w:val="00300B7D"/>
    <w:rsid w:val="003014A1"/>
    <w:rsid w:val="00301F46"/>
    <w:rsid w:val="003026E8"/>
    <w:rsid w:val="003037E1"/>
    <w:rsid w:val="00303CAD"/>
    <w:rsid w:val="00303CD6"/>
    <w:rsid w:val="00303E71"/>
    <w:rsid w:val="00304172"/>
    <w:rsid w:val="00304E7C"/>
    <w:rsid w:val="00306418"/>
    <w:rsid w:val="00306902"/>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38C"/>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5EF4"/>
    <w:rsid w:val="00346919"/>
    <w:rsid w:val="00346926"/>
    <w:rsid w:val="003472DE"/>
    <w:rsid w:val="00347DE3"/>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29E"/>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FFC"/>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9E4"/>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067"/>
    <w:rsid w:val="003D624F"/>
    <w:rsid w:val="003D70A5"/>
    <w:rsid w:val="003D75E8"/>
    <w:rsid w:val="003D778F"/>
    <w:rsid w:val="003D7EE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AF1"/>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DD4"/>
    <w:rsid w:val="00436FD3"/>
    <w:rsid w:val="00437789"/>
    <w:rsid w:val="004401D4"/>
    <w:rsid w:val="004406CF"/>
    <w:rsid w:val="00441804"/>
    <w:rsid w:val="004435B4"/>
    <w:rsid w:val="00443A63"/>
    <w:rsid w:val="004448B0"/>
    <w:rsid w:val="00444B20"/>
    <w:rsid w:val="0044550A"/>
    <w:rsid w:val="004461BC"/>
    <w:rsid w:val="004463B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3C2F"/>
    <w:rsid w:val="004751D6"/>
    <w:rsid w:val="00475E6B"/>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080C"/>
    <w:rsid w:val="004C14AC"/>
    <w:rsid w:val="004C201C"/>
    <w:rsid w:val="004C3224"/>
    <w:rsid w:val="004C36E5"/>
    <w:rsid w:val="004C4ACC"/>
    <w:rsid w:val="004C6B28"/>
    <w:rsid w:val="004C6F68"/>
    <w:rsid w:val="004C74C3"/>
    <w:rsid w:val="004C7AA9"/>
    <w:rsid w:val="004C7E83"/>
    <w:rsid w:val="004C7F28"/>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49A8"/>
    <w:rsid w:val="004E59B8"/>
    <w:rsid w:val="004E5EAD"/>
    <w:rsid w:val="004E6A3B"/>
    <w:rsid w:val="004E7D7A"/>
    <w:rsid w:val="004E7DB7"/>
    <w:rsid w:val="004F1A6A"/>
    <w:rsid w:val="004F1E2D"/>
    <w:rsid w:val="004F2D88"/>
    <w:rsid w:val="004F2E85"/>
    <w:rsid w:val="004F3D21"/>
    <w:rsid w:val="004F44D0"/>
    <w:rsid w:val="004F583D"/>
    <w:rsid w:val="004F60EF"/>
    <w:rsid w:val="004F66B6"/>
    <w:rsid w:val="004F7B6E"/>
    <w:rsid w:val="005000AA"/>
    <w:rsid w:val="0050269C"/>
    <w:rsid w:val="005029F8"/>
    <w:rsid w:val="005034EE"/>
    <w:rsid w:val="005059CD"/>
    <w:rsid w:val="00506429"/>
    <w:rsid w:val="00506E71"/>
    <w:rsid w:val="005070C3"/>
    <w:rsid w:val="00507A11"/>
    <w:rsid w:val="00507C00"/>
    <w:rsid w:val="0051276F"/>
    <w:rsid w:val="00512D06"/>
    <w:rsid w:val="005130AC"/>
    <w:rsid w:val="005130CC"/>
    <w:rsid w:val="00513DF5"/>
    <w:rsid w:val="0051676E"/>
    <w:rsid w:val="005178F8"/>
    <w:rsid w:val="005179FB"/>
    <w:rsid w:val="00520212"/>
    <w:rsid w:val="005220BE"/>
    <w:rsid w:val="00522CC8"/>
    <w:rsid w:val="005244D0"/>
    <w:rsid w:val="005248FB"/>
    <w:rsid w:val="00526575"/>
    <w:rsid w:val="0053014B"/>
    <w:rsid w:val="00531DFA"/>
    <w:rsid w:val="00532546"/>
    <w:rsid w:val="00532842"/>
    <w:rsid w:val="00532DCC"/>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2A"/>
    <w:rsid w:val="00546C4E"/>
    <w:rsid w:val="005478D5"/>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601B9"/>
    <w:rsid w:val="00563BEB"/>
    <w:rsid w:val="00566849"/>
    <w:rsid w:val="00566F49"/>
    <w:rsid w:val="00570981"/>
    <w:rsid w:val="00571CE1"/>
    <w:rsid w:val="00571D56"/>
    <w:rsid w:val="0057318B"/>
    <w:rsid w:val="005740F6"/>
    <w:rsid w:val="005743D2"/>
    <w:rsid w:val="00575905"/>
    <w:rsid w:val="0057600C"/>
    <w:rsid w:val="0057608D"/>
    <w:rsid w:val="00577102"/>
    <w:rsid w:val="005774D1"/>
    <w:rsid w:val="005802BD"/>
    <w:rsid w:val="00580BBC"/>
    <w:rsid w:val="00581A10"/>
    <w:rsid w:val="00581ABD"/>
    <w:rsid w:val="00581FA4"/>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18B3"/>
    <w:rsid w:val="005A237B"/>
    <w:rsid w:val="005A474A"/>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68F"/>
    <w:rsid w:val="005F2C8A"/>
    <w:rsid w:val="005F3B37"/>
    <w:rsid w:val="005F48F1"/>
    <w:rsid w:val="005F5098"/>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C01"/>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6FE3"/>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77E7D"/>
    <w:rsid w:val="006811F2"/>
    <w:rsid w:val="00681785"/>
    <w:rsid w:val="006828D8"/>
    <w:rsid w:val="00682AD1"/>
    <w:rsid w:val="0068455C"/>
    <w:rsid w:val="00684887"/>
    <w:rsid w:val="006850CE"/>
    <w:rsid w:val="006867FA"/>
    <w:rsid w:val="00687C4D"/>
    <w:rsid w:val="00691804"/>
    <w:rsid w:val="006918B1"/>
    <w:rsid w:val="00691B69"/>
    <w:rsid w:val="0069273C"/>
    <w:rsid w:val="00692778"/>
    <w:rsid w:val="00692F47"/>
    <w:rsid w:val="00693AAD"/>
    <w:rsid w:val="00693BD3"/>
    <w:rsid w:val="00693C8E"/>
    <w:rsid w:val="006969BA"/>
    <w:rsid w:val="00696C0F"/>
    <w:rsid w:val="00697C93"/>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A7B"/>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115"/>
    <w:rsid w:val="006F785E"/>
    <w:rsid w:val="006F7B14"/>
    <w:rsid w:val="006F7EB8"/>
    <w:rsid w:val="007003A9"/>
    <w:rsid w:val="0070094A"/>
    <w:rsid w:val="00700AA4"/>
    <w:rsid w:val="00702DD7"/>
    <w:rsid w:val="007047D3"/>
    <w:rsid w:val="00705663"/>
    <w:rsid w:val="00705C4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5967"/>
    <w:rsid w:val="00756B83"/>
    <w:rsid w:val="00756D3D"/>
    <w:rsid w:val="007573B2"/>
    <w:rsid w:val="007574BB"/>
    <w:rsid w:val="0075764C"/>
    <w:rsid w:val="00757897"/>
    <w:rsid w:val="007616E5"/>
    <w:rsid w:val="007617C5"/>
    <w:rsid w:val="0076204C"/>
    <w:rsid w:val="00762198"/>
    <w:rsid w:val="00762D65"/>
    <w:rsid w:val="00763CE8"/>
    <w:rsid w:val="00765E5E"/>
    <w:rsid w:val="007705F9"/>
    <w:rsid w:val="00770792"/>
    <w:rsid w:val="007709DD"/>
    <w:rsid w:val="007729CD"/>
    <w:rsid w:val="007737B5"/>
    <w:rsid w:val="00774BF5"/>
    <w:rsid w:val="00774FFE"/>
    <w:rsid w:val="00775638"/>
    <w:rsid w:val="00775677"/>
    <w:rsid w:val="0077599A"/>
    <w:rsid w:val="00776811"/>
    <w:rsid w:val="0077724D"/>
    <w:rsid w:val="00777353"/>
    <w:rsid w:val="00780CD6"/>
    <w:rsid w:val="00781352"/>
    <w:rsid w:val="00781A64"/>
    <w:rsid w:val="00782EA4"/>
    <w:rsid w:val="00782F1B"/>
    <w:rsid w:val="00785461"/>
    <w:rsid w:val="00785985"/>
    <w:rsid w:val="00786FF3"/>
    <w:rsid w:val="007876CF"/>
    <w:rsid w:val="00787B77"/>
    <w:rsid w:val="0079082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46E7"/>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6F52"/>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5E95"/>
    <w:rsid w:val="00806A8E"/>
    <w:rsid w:val="00806ABD"/>
    <w:rsid w:val="00807232"/>
    <w:rsid w:val="008079E5"/>
    <w:rsid w:val="00810AA9"/>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5F80"/>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182"/>
    <w:rsid w:val="00862771"/>
    <w:rsid w:val="008633B1"/>
    <w:rsid w:val="00863A1C"/>
    <w:rsid w:val="008659D6"/>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535"/>
    <w:rsid w:val="0089048E"/>
    <w:rsid w:val="0089173B"/>
    <w:rsid w:val="00891E76"/>
    <w:rsid w:val="0089220F"/>
    <w:rsid w:val="008924C1"/>
    <w:rsid w:val="008935AA"/>
    <w:rsid w:val="0089384F"/>
    <w:rsid w:val="00894E66"/>
    <w:rsid w:val="008951CA"/>
    <w:rsid w:val="008963F0"/>
    <w:rsid w:val="00896BD5"/>
    <w:rsid w:val="008973EC"/>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370"/>
    <w:rsid w:val="008B1DF8"/>
    <w:rsid w:val="008B2357"/>
    <w:rsid w:val="008B4826"/>
    <w:rsid w:val="008B4FFA"/>
    <w:rsid w:val="008B5AB3"/>
    <w:rsid w:val="008B5CCB"/>
    <w:rsid w:val="008B666C"/>
    <w:rsid w:val="008B6765"/>
    <w:rsid w:val="008B6848"/>
    <w:rsid w:val="008B6A74"/>
    <w:rsid w:val="008B7265"/>
    <w:rsid w:val="008C2BBC"/>
    <w:rsid w:val="008C2F39"/>
    <w:rsid w:val="008C2FA1"/>
    <w:rsid w:val="008C3245"/>
    <w:rsid w:val="008C37E5"/>
    <w:rsid w:val="008C3F59"/>
    <w:rsid w:val="008C57C2"/>
    <w:rsid w:val="008C58DF"/>
    <w:rsid w:val="008D0090"/>
    <w:rsid w:val="008D1369"/>
    <w:rsid w:val="008D189A"/>
    <w:rsid w:val="008D189D"/>
    <w:rsid w:val="008D2C4C"/>
    <w:rsid w:val="008D36ED"/>
    <w:rsid w:val="008D41B3"/>
    <w:rsid w:val="008D60EF"/>
    <w:rsid w:val="008D62B9"/>
    <w:rsid w:val="008D7AB7"/>
    <w:rsid w:val="008D7C6E"/>
    <w:rsid w:val="008D7E0D"/>
    <w:rsid w:val="008D7EDB"/>
    <w:rsid w:val="008E019E"/>
    <w:rsid w:val="008E0927"/>
    <w:rsid w:val="008E1829"/>
    <w:rsid w:val="008E1A61"/>
    <w:rsid w:val="008E1B3C"/>
    <w:rsid w:val="008E2327"/>
    <w:rsid w:val="008E251A"/>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DC2"/>
    <w:rsid w:val="008F6F29"/>
    <w:rsid w:val="008F7068"/>
    <w:rsid w:val="00900320"/>
    <w:rsid w:val="00900CBA"/>
    <w:rsid w:val="009021B9"/>
    <w:rsid w:val="00902912"/>
    <w:rsid w:val="00902D00"/>
    <w:rsid w:val="0090360E"/>
    <w:rsid w:val="00903D37"/>
    <w:rsid w:val="0090553A"/>
    <w:rsid w:val="00906EAF"/>
    <w:rsid w:val="00906F91"/>
    <w:rsid w:val="009079D1"/>
    <w:rsid w:val="00907C2E"/>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C32"/>
    <w:rsid w:val="00951FBB"/>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57AA"/>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5A8"/>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4837"/>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D7D99"/>
    <w:rsid w:val="009E03D5"/>
    <w:rsid w:val="009E0D72"/>
    <w:rsid w:val="009E10E1"/>
    <w:rsid w:val="009E110C"/>
    <w:rsid w:val="009E20AB"/>
    <w:rsid w:val="009E34CC"/>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9F7BFD"/>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3F0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23C8"/>
    <w:rsid w:val="00A437EC"/>
    <w:rsid w:val="00A43816"/>
    <w:rsid w:val="00A43CD2"/>
    <w:rsid w:val="00A4594F"/>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866"/>
    <w:rsid w:val="00AD497C"/>
    <w:rsid w:val="00AD4A8A"/>
    <w:rsid w:val="00AD50F9"/>
    <w:rsid w:val="00AD71D9"/>
    <w:rsid w:val="00AD7C5E"/>
    <w:rsid w:val="00AE0B4B"/>
    <w:rsid w:val="00AE0CDB"/>
    <w:rsid w:val="00AE1169"/>
    <w:rsid w:val="00AE12AA"/>
    <w:rsid w:val="00AE22EA"/>
    <w:rsid w:val="00AE370F"/>
    <w:rsid w:val="00AE3BE3"/>
    <w:rsid w:val="00AE47BF"/>
    <w:rsid w:val="00AE489D"/>
    <w:rsid w:val="00AE4BD1"/>
    <w:rsid w:val="00AE552E"/>
    <w:rsid w:val="00AF08DA"/>
    <w:rsid w:val="00AF0A77"/>
    <w:rsid w:val="00AF19F2"/>
    <w:rsid w:val="00AF1A7E"/>
    <w:rsid w:val="00AF28C8"/>
    <w:rsid w:val="00AF3B03"/>
    <w:rsid w:val="00AF3DDB"/>
    <w:rsid w:val="00AF4C29"/>
    <w:rsid w:val="00AF51A8"/>
    <w:rsid w:val="00AF6432"/>
    <w:rsid w:val="00AF6D3D"/>
    <w:rsid w:val="00AF6DED"/>
    <w:rsid w:val="00AF7502"/>
    <w:rsid w:val="00AF79BD"/>
    <w:rsid w:val="00AF7DB8"/>
    <w:rsid w:val="00B007F7"/>
    <w:rsid w:val="00B00C80"/>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39B3"/>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72A2"/>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516"/>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C0924"/>
    <w:rsid w:val="00BC1FA5"/>
    <w:rsid w:val="00BC2592"/>
    <w:rsid w:val="00BC2C0C"/>
    <w:rsid w:val="00BC3C5F"/>
    <w:rsid w:val="00BC4DAC"/>
    <w:rsid w:val="00BC6D51"/>
    <w:rsid w:val="00BC6FDD"/>
    <w:rsid w:val="00BC732A"/>
    <w:rsid w:val="00BC758B"/>
    <w:rsid w:val="00BC7B92"/>
    <w:rsid w:val="00BD223D"/>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5A62"/>
    <w:rsid w:val="00BE69BF"/>
    <w:rsid w:val="00BE6C99"/>
    <w:rsid w:val="00BE6E79"/>
    <w:rsid w:val="00BE725A"/>
    <w:rsid w:val="00BE73C1"/>
    <w:rsid w:val="00BE7430"/>
    <w:rsid w:val="00BE7B48"/>
    <w:rsid w:val="00BE7C6B"/>
    <w:rsid w:val="00BF03EB"/>
    <w:rsid w:val="00BF07BE"/>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5FB4"/>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178EB"/>
    <w:rsid w:val="00C20A16"/>
    <w:rsid w:val="00C20C00"/>
    <w:rsid w:val="00C210FD"/>
    <w:rsid w:val="00C21A0D"/>
    <w:rsid w:val="00C22183"/>
    <w:rsid w:val="00C22901"/>
    <w:rsid w:val="00C25238"/>
    <w:rsid w:val="00C26B6F"/>
    <w:rsid w:val="00C2734F"/>
    <w:rsid w:val="00C305F2"/>
    <w:rsid w:val="00C31040"/>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1CE6"/>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1D83"/>
    <w:rsid w:val="00C62178"/>
    <w:rsid w:val="00C62694"/>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AC2"/>
    <w:rsid w:val="00C93F1B"/>
    <w:rsid w:val="00C94EF0"/>
    <w:rsid w:val="00C95093"/>
    <w:rsid w:val="00C95AB0"/>
    <w:rsid w:val="00C96DFE"/>
    <w:rsid w:val="00C9709F"/>
    <w:rsid w:val="00C976D1"/>
    <w:rsid w:val="00C97851"/>
    <w:rsid w:val="00CA123D"/>
    <w:rsid w:val="00CA2A14"/>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24D"/>
    <w:rsid w:val="00CE07B8"/>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6481"/>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558C"/>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1C1D"/>
    <w:rsid w:val="00DB2180"/>
    <w:rsid w:val="00DB42F5"/>
    <w:rsid w:val="00DB469A"/>
    <w:rsid w:val="00DB4B8A"/>
    <w:rsid w:val="00DB4DC0"/>
    <w:rsid w:val="00DB52C3"/>
    <w:rsid w:val="00DB5454"/>
    <w:rsid w:val="00DB5DA3"/>
    <w:rsid w:val="00DB7E5F"/>
    <w:rsid w:val="00DC10B0"/>
    <w:rsid w:val="00DC1246"/>
    <w:rsid w:val="00DC1594"/>
    <w:rsid w:val="00DC2884"/>
    <w:rsid w:val="00DC2B02"/>
    <w:rsid w:val="00DC4770"/>
    <w:rsid w:val="00DC4BCD"/>
    <w:rsid w:val="00DC4E3D"/>
    <w:rsid w:val="00DC6770"/>
    <w:rsid w:val="00DC68D6"/>
    <w:rsid w:val="00DC7455"/>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7DC3"/>
    <w:rsid w:val="00DE0808"/>
    <w:rsid w:val="00DE083D"/>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BCD"/>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3C9"/>
    <w:rsid w:val="00E0682E"/>
    <w:rsid w:val="00E06E31"/>
    <w:rsid w:val="00E078DD"/>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14D5"/>
    <w:rsid w:val="00E32C71"/>
    <w:rsid w:val="00E32DBA"/>
    <w:rsid w:val="00E34B25"/>
    <w:rsid w:val="00E3553C"/>
    <w:rsid w:val="00E35655"/>
    <w:rsid w:val="00E367AD"/>
    <w:rsid w:val="00E36EE1"/>
    <w:rsid w:val="00E401D4"/>
    <w:rsid w:val="00E40B85"/>
    <w:rsid w:val="00E4236F"/>
    <w:rsid w:val="00E42E77"/>
    <w:rsid w:val="00E433BE"/>
    <w:rsid w:val="00E43469"/>
    <w:rsid w:val="00E4369C"/>
    <w:rsid w:val="00E43A0F"/>
    <w:rsid w:val="00E445DA"/>
    <w:rsid w:val="00E44A42"/>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C10"/>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5F59"/>
    <w:rsid w:val="00EA7E07"/>
    <w:rsid w:val="00EB06FC"/>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E6511"/>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894"/>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95D"/>
    <w:rsid w:val="00F62EF2"/>
    <w:rsid w:val="00F636DA"/>
    <w:rsid w:val="00F638C3"/>
    <w:rsid w:val="00F645B3"/>
    <w:rsid w:val="00F6497E"/>
    <w:rsid w:val="00F65227"/>
    <w:rsid w:val="00F65512"/>
    <w:rsid w:val="00F66B06"/>
    <w:rsid w:val="00F671D1"/>
    <w:rsid w:val="00F677E2"/>
    <w:rsid w:val="00F67B74"/>
    <w:rsid w:val="00F70830"/>
    <w:rsid w:val="00F70C89"/>
    <w:rsid w:val="00F70E5B"/>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2E10"/>
    <w:rsid w:val="00FA30E8"/>
    <w:rsid w:val="00FA3DF0"/>
    <w:rsid w:val="00FA7547"/>
    <w:rsid w:val="00FA7D57"/>
    <w:rsid w:val="00FB0008"/>
    <w:rsid w:val="00FB029E"/>
    <w:rsid w:val="00FB05EB"/>
    <w:rsid w:val="00FB071C"/>
    <w:rsid w:val="00FB1030"/>
    <w:rsid w:val="00FB1ACE"/>
    <w:rsid w:val="00FB1B08"/>
    <w:rsid w:val="00FB2A36"/>
    <w:rsid w:val="00FB3EA0"/>
    <w:rsid w:val="00FB53BC"/>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A86"/>
    <w:rsid w:val="00FD3C34"/>
    <w:rsid w:val="00FD49A2"/>
    <w:rsid w:val="00FD4FA5"/>
    <w:rsid w:val="00FD5166"/>
    <w:rsid w:val="00FD6CDE"/>
    <w:rsid w:val="00FD758C"/>
    <w:rsid w:val="00FE108D"/>
    <w:rsid w:val="00FE1955"/>
    <w:rsid w:val="00FE19D5"/>
    <w:rsid w:val="00FE3D58"/>
    <w:rsid w:val="00FE5983"/>
    <w:rsid w:val="00FE62DC"/>
    <w:rsid w:val="00FE731D"/>
    <w:rsid w:val="00FF05B9"/>
    <w:rsid w:val="00FF0EB1"/>
    <w:rsid w:val="00FF30DE"/>
    <w:rsid w:val="00FF456A"/>
    <w:rsid w:val="00FF46FD"/>
    <w:rsid w:val="00FF6204"/>
    <w:rsid w:val="00FF634D"/>
    <w:rsid w:val="00FF7BD4"/>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8052648">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00739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5789599">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8410726">
      <w:bodyDiv w:val="1"/>
      <w:marLeft w:val="0"/>
      <w:marRight w:val="0"/>
      <w:marTop w:val="0"/>
      <w:marBottom w:val="0"/>
      <w:divBdr>
        <w:top w:val="none" w:sz="0" w:space="0" w:color="auto"/>
        <w:left w:val="none" w:sz="0" w:space="0" w:color="auto"/>
        <w:bottom w:val="none" w:sz="0" w:space="0" w:color="auto"/>
        <w:right w:val="none" w:sz="0" w:space="0" w:color="auto"/>
      </w:divBdr>
      <w:divsChild>
        <w:div w:id="1979991036">
          <w:marLeft w:val="0"/>
          <w:marRight w:val="0"/>
          <w:marTop w:val="0"/>
          <w:marBottom w:val="0"/>
          <w:divBdr>
            <w:top w:val="none" w:sz="0" w:space="0" w:color="auto"/>
            <w:left w:val="none" w:sz="0" w:space="0" w:color="auto"/>
            <w:bottom w:val="none" w:sz="0" w:space="0" w:color="auto"/>
            <w:right w:val="none" w:sz="0" w:space="0" w:color="auto"/>
          </w:divBdr>
        </w:div>
      </w:divsChild>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015952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940352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8866529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944054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663569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323160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714506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traloriadf.gob.mx/contraloria/cursos/ADQUISICIONES/paginas/32.php"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b.mx/sfp/acciones-y-programas/1-3-3-adjudicacion-direct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saimex.org.mx/saimex/solicitud/downloadAttach/2338153.page" TargetMode="External"/><Relationship Id="rId10" Type="http://schemas.openxmlformats.org/officeDocument/2006/relationships/hyperlink" Target="https://saimex.org.mx/saimex/solicitud/downloadAttach/2341087.pag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saimex.org.mx/saimex/solicitud/downloadAttach/2338153.page"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9D035-2175-4CD6-8A9A-7A443A0D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6566</Words>
  <Characters>36119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8</cp:revision>
  <cp:lastPrinted>2025-07-04T16:34:00Z</cp:lastPrinted>
  <dcterms:created xsi:type="dcterms:W3CDTF">2025-06-26T19:16:00Z</dcterms:created>
  <dcterms:modified xsi:type="dcterms:W3CDTF">2025-07-07T23:03:00Z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