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078970BB" w:rsidR="005000AA" w:rsidRPr="00FB4DC3" w:rsidRDefault="005000AA" w:rsidP="005000AA">
      <w:pPr>
        <w:spacing w:before="240" w:after="240" w:line="360" w:lineRule="auto"/>
        <w:jc w:val="both"/>
        <w:rPr>
          <w:rFonts w:ascii="Palatino Linotype" w:hAnsi="Palatino Linotype"/>
          <w:sz w:val="22"/>
          <w:szCs w:val="22"/>
        </w:rPr>
      </w:pPr>
      <w:r w:rsidRPr="00FB4DC3">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080DD7" w:rsidRPr="00FB4DC3">
        <w:rPr>
          <w:rFonts w:ascii="Palatino Linotype" w:hAnsi="Palatino Linotype"/>
          <w:sz w:val="22"/>
          <w:szCs w:val="22"/>
        </w:rPr>
        <w:t>doce de marzo</w:t>
      </w:r>
      <w:r w:rsidR="00DB30D6" w:rsidRPr="00FB4DC3">
        <w:rPr>
          <w:rFonts w:ascii="Palatino Linotype" w:hAnsi="Palatino Linotype"/>
          <w:sz w:val="22"/>
          <w:szCs w:val="22"/>
        </w:rPr>
        <w:t xml:space="preserve"> de dos mil </w:t>
      </w:r>
      <w:r w:rsidR="00092184" w:rsidRPr="00FB4DC3">
        <w:rPr>
          <w:rFonts w:ascii="Palatino Linotype" w:hAnsi="Palatino Linotype"/>
          <w:sz w:val="22"/>
          <w:szCs w:val="22"/>
        </w:rPr>
        <w:t>veinticinco</w:t>
      </w:r>
      <w:r w:rsidR="00080DD7" w:rsidRPr="00FB4DC3">
        <w:rPr>
          <w:rFonts w:ascii="Palatino Linotype" w:hAnsi="Palatino Linotype"/>
          <w:sz w:val="22"/>
          <w:szCs w:val="22"/>
        </w:rPr>
        <w:t>.</w:t>
      </w:r>
    </w:p>
    <w:p w14:paraId="4C818016" w14:textId="4CF20FF0" w:rsidR="005000AA" w:rsidRPr="00FB4DC3" w:rsidRDefault="005000AA" w:rsidP="005000AA">
      <w:pPr>
        <w:pStyle w:val="Encabezado"/>
        <w:spacing w:line="360" w:lineRule="auto"/>
        <w:jc w:val="both"/>
        <w:rPr>
          <w:rFonts w:ascii="Palatino Linotype" w:hAnsi="Palatino Linotype"/>
          <w:sz w:val="22"/>
          <w:szCs w:val="22"/>
        </w:rPr>
      </w:pPr>
      <w:r w:rsidRPr="00FB4DC3">
        <w:rPr>
          <w:rFonts w:ascii="Palatino Linotype" w:hAnsi="Palatino Linotype"/>
          <w:b/>
          <w:sz w:val="22"/>
          <w:szCs w:val="22"/>
        </w:rPr>
        <w:t>VISTO el</w:t>
      </w:r>
      <w:r w:rsidRPr="00FB4DC3">
        <w:rPr>
          <w:rFonts w:ascii="Palatino Linotype" w:hAnsi="Palatino Linotype"/>
          <w:sz w:val="22"/>
          <w:szCs w:val="22"/>
        </w:rPr>
        <w:t xml:space="preserve"> expediente electrónico formado con motivo del recurso de revisión </w:t>
      </w:r>
      <w:r w:rsidR="00DB30D6" w:rsidRPr="00FB4DC3">
        <w:rPr>
          <w:rFonts w:ascii="Palatino Linotype" w:hAnsi="Palatino Linotype" w:cs="Arial"/>
          <w:b/>
          <w:sz w:val="22"/>
          <w:szCs w:val="22"/>
        </w:rPr>
        <w:t>0</w:t>
      </w:r>
      <w:r w:rsidR="00080DD7" w:rsidRPr="00FB4DC3">
        <w:rPr>
          <w:rFonts w:ascii="Palatino Linotype" w:hAnsi="Palatino Linotype" w:cs="Arial"/>
          <w:b/>
          <w:sz w:val="22"/>
          <w:szCs w:val="22"/>
        </w:rPr>
        <w:t>7568</w:t>
      </w:r>
      <w:r w:rsidR="00D11ED5" w:rsidRPr="00FB4DC3">
        <w:rPr>
          <w:rFonts w:ascii="Palatino Linotype" w:eastAsia="Calibri" w:hAnsi="Palatino Linotype" w:cs="Tahoma"/>
          <w:b/>
          <w:sz w:val="22"/>
          <w:szCs w:val="22"/>
          <w:lang w:eastAsia="en-US"/>
        </w:rPr>
        <w:t>/INFOEM/ICR-</w:t>
      </w:r>
      <w:r w:rsidR="00080DD7" w:rsidRPr="00FB4DC3">
        <w:rPr>
          <w:rFonts w:ascii="Palatino Linotype" w:eastAsia="Calibri" w:hAnsi="Palatino Linotype" w:cs="Tahoma"/>
          <w:b/>
          <w:sz w:val="22"/>
          <w:szCs w:val="22"/>
          <w:lang w:eastAsia="en-US"/>
        </w:rPr>
        <w:t>08/IP/RR/2024</w:t>
      </w:r>
      <w:r w:rsidRPr="00FB4DC3">
        <w:rPr>
          <w:rFonts w:ascii="Palatino Linotype" w:hAnsi="Palatino Linotype" w:cs="Arial"/>
          <w:b/>
          <w:bCs/>
          <w:sz w:val="22"/>
          <w:szCs w:val="22"/>
        </w:rPr>
        <w:t>,</w:t>
      </w:r>
      <w:r w:rsidR="005E100F" w:rsidRPr="00FB4DC3">
        <w:rPr>
          <w:rFonts w:ascii="Palatino Linotype" w:hAnsi="Palatino Linotype" w:cs="Arial"/>
          <w:b/>
          <w:bCs/>
          <w:sz w:val="22"/>
          <w:szCs w:val="22"/>
        </w:rPr>
        <w:t xml:space="preserve"> </w:t>
      </w:r>
      <w:r w:rsidRPr="00FB4DC3">
        <w:rPr>
          <w:rFonts w:ascii="Palatino Linotype" w:hAnsi="Palatino Linotype"/>
          <w:sz w:val="22"/>
          <w:szCs w:val="22"/>
        </w:rPr>
        <w:t>promovido por</w:t>
      </w:r>
      <w:r w:rsidR="00080DD7" w:rsidRPr="00FB4DC3">
        <w:rPr>
          <w:rFonts w:ascii="Palatino Linotype" w:hAnsi="Palatino Linotype"/>
          <w:sz w:val="22"/>
          <w:szCs w:val="22"/>
        </w:rPr>
        <w:t xml:space="preserve"> </w:t>
      </w:r>
      <w:r w:rsidR="00AA64EC">
        <w:rPr>
          <w:rFonts w:ascii="Palatino Linotype" w:hAnsi="Palatino Linotype"/>
          <w:b/>
          <w:sz w:val="22"/>
          <w:szCs w:val="22"/>
        </w:rPr>
        <w:t>XXXX</w:t>
      </w:r>
      <w:r w:rsidR="00CA3902" w:rsidRPr="00FB4DC3">
        <w:rPr>
          <w:rFonts w:ascii="Palatino Linotype" w:eastAsia="Calibri" w:hAnsi="Palatino Linotype" w:cs="Tahoma"/>
          <w:b/>
          <w:sz w:val="22"/>
          <w:szCs w:val="22"/>
          <w:lang w:eastAsia="en-US"/>
        </w:rPr>
        <w:t>,</w:t>
      </w:r>
      <w:r w:rsidR="005D09C1" w:rsidRPr="00FB4DC3">
        <w:rPr>
          <w:rFonts w:ascii="Palatino Linotype" w:hAnsi="Palatino Linotype"/>
          <w:sz w:val="22"/>
          <w:szCs w:val="22"/>
        </w:rPr>
        <w:t xml:space="preserve"> en su calidad de </w:t>
      </w:r>
      <w:r w:rsidRPr="00FB4DC3">
        <w:rPr>
          <w:rFonts w:ascii="Palatino Linotype" w:hAnsi="Palatino Linotype"/>
          <w:b/>
          <w:sz w:val="22"/>
          <w:szCs w:val="22"/>
        </w:rPr>
        <w:t>RECURRENTE</w:t>
      </w:r>
      <w:r w:rsidRPr="00FB4DC3">
        <w:rPr>
          <w:rFonts w:ascii="Palatino Linotype" w:hAnsi="Palatino Linotype" w:cs="Arial"/>
          <w:sz w:val="22"/>
          <w:szCs w:val="22"/>
        </w:rPr>
        <w:t xml:space="preserve">, en contra de la </w:t>
      </w:r>
      <w:r w:rsidR="005D09C1" w:rsidRPr="00FB4DC3">
        <w:rPr>
          <w:rFonts w:ascii="Palatino Linotype" w:hAnsi="Palatino Linotype" w:cs="Arial"/>
          <w:sz w:val="22"/>
          <w:szCs w:val="22"/>
        </w:rPr>
        <w:t xml:space="preserve">falta de </w:t>
      </w:r>
      <w:r w:rsidRPr="00FB4DC3">
        <w:rPr>
          <w:rFonts w:ascii="Palatino Linotype" w:hAnsi="Palatino Linotype" w:cs="Arial"/>
          <w:sz w:val="22"/>
          <w:szCs w:val="22"/>
        </w:rPr>
        <w:t>respuesta del</w:t>
      </w:r>
      <w:r w:rsidR="00080DD7" w:rsidRPr="00FB4DC3">
        <w:rPr>
          <w:rFonts w:ascii="Palatino Linotype" w:eastAsia="Calibri" w:hAnsi="Palatino Linotype" w:cs="Arial"/>
          <w:b/>
          <w:sz w:val="22"/>
          <w:szCs w:val="22"/>
        </w:rPr>
        <w:t xml:space="preserve"> Ayunta</w:t>
      </w:r>
      <w:bookmarkStart w:id="0" w:name="_GoBack"/>
      <w:bookmarkEnd w:id="0"/>
      <w:r w:rsidR="00080DD7" w:rsidRPr="00FB4DC3">
        <w:rPr>
          <w:rFonts w:ascii="Palatino Linotype" w:eastAsia="Calibri" w:hAnsi="Palatino Linotype" w:cs="Arial"/>
          <w:b/>
          <w:sz w:val="22"/>
          <w:szCs w:val="22"/>
        </w:rPr>
        <w:t>miento de Rayón</w:t>
      </w:r>
      <w:r w:rsidRPr="00FB4DC3">
        <w:rPr>
          <w:rFonts w:ascii="Palatino Linotype" w:hAnsi="Palatino Linotype" w:cs="Arial"/>
          <w:sz w:val="22"/>
          <w:szCs w:val="22"/>
        </w:rPr>
        <w:t>,</w:t>
      </w:r>
      <w:r w:rsidRPr="00FB4DC3">
        <w:rPr>
          <w:rFonts w:ascii="Palatino Linotype" w:hAnsi="Palatino Linotype"/>
          <w:b/>
          <w:sz w:val="22"/>
          <w:szCs w:val="22"/>
        </w:rPr>
        <w:t xml:space="preserve"> </w:t>
      </w:r>
      <w:r w:rsidRPr="00FB4DC3">
        <w:rPr>
          <w:rFonts w:ascii="Palatino Linotype" w:hAnsi="Palatino Linotype"/>
          <w:sz w:val="22"/>
          <w:szCs w:val="22"/>
        </w:rPr>
        <w:t>en lo sucesivo el</w:t>
      </w:r>
      <w:r w:rsidRPr="00FB4DC3">
        <w:rPr>
          <w:rFonts w:ascii="Palatino Linotype" w:hAnsi="Palatino Linotype"/>
          <w:b/>
          <w:sz w:val="22"/>
          <w:szCs w:val="22"/>
        </w:rPr>
        <w:t xml:space="preserve"> SUJETO OBLIGADO, </w:t>
      </w:r>
      <w:r w:rsidRPr="00FB4DC3">
        <w:rPr>
          <w:rFonts w:ascii="Palatino Linotype" w:hAnsi="Palatino Linotype"/>
          <w:sz w:val="22"/>
          <w:szCs w:val="22"/>
        </w:rPr>
        <w:t>se procede a dictar la presente resolución, con base en los siguientes:</w:t>
      </w:r>
    </w:p>
    <w:p w14:paraId="1F1BAF80" w14:textId="77777777" w:rsidR="005000AA" w:rsidRPr="00FB4DC3" w:rsidRDefault="005000AA" w:rsidP="005000AA">
      <w:pPr>
        <w:pStyle w:val="Ttulo1"/>
        <w:jc w:val="center"/>
        <w:rPr>
          <w:rFonts w:ascii="Palatino Linotype" w:hAnsi="Palatino Linotype"/>
          <w:b/>
          <w:color w:val="auto"/>
          <w:sz w:val="22"/>
          <w:szCs w:val="22"/>
        </w:rPr>
      </w:pPr>
      <w:bookmarkStart w:id="1" w:name="_Toc87549671"/>
      <w:r w:rsidRPr="00FB4DC3">
        <w:rPr>
          <w:rFonts w:ascii="Palatino Linotype" w:hAnsi="Palatino Linotype"/>
          <w:b/>
          <w:color w:val="auto"/>
          <w:sz w:val="22"/>
          <w:szCs w:val="22"/>
        </w:rPr>
        <w:t>ANTECEDENTES</w:t>
      </w:r>
      <w:bookmarkEnd w:id="1"/>
    </w:p>
    <w:p w14:paraId="04287D5F" w14:textId="19645FAD" w:rsidR="005000AA" w:rsidRPr="00FB4DC3" w:rsidRDefault="005000AA" w:rsidP="00DB30D6">
      <w:pPr>
        <w:tabs>
          <w:tab w:val="left" w:pos="2490"/>
        </w:tabs>
        <w:rPr>
          <w:rFonts w:ascii="Palatino Linotype" w:hAnsi="Palatino Linotype"/>
          <w:sz w:val="22"/>
          <w:szCs w:val="22"/>
          <w:lang w:eastAsia="en-US"/>
        </w:rPr>
      </w:pPr>
    </w:p>
    <w:p w14:paraId="668C0CEA" w14:textId="2B9FAF5F" w:rsidR="000E274D" w:rsidRPr="00FB4DC3" w:rsidRDefault="00A36BE2" w:rsidP="000E274D">
      <w:pPr>
        <w:pStyle w:val="Prrafodelista"/>
        <w:numPr>
          <w:ilvl w:val="0"/>
          <w:numId w:val="3"/>
        </w:numPr>
        <w:spacing w:line="360" w:lineRule="auto"/>
        <w:ind w:left="0" w:firstLine="0"/>
        <w:jc w:val="both"/>
        <w:rPr>
          <w:rFonts w:ascii="Palatino Linotype" w:hAnsi="Palatino Linotype" w:cs="Arial"/>
          <w:szCs w:val="22"/>
          <w:lang w:val="es-ES"/>
        </w:rPr>
      </w:pPr>
      <w:r w:rsidRPr="00FB4DC3">
        <w:rPr>
          <w:rFonts w:ascii="Palatino Linotype" w:eastAsia="Calibri" w:hAnsi="Palatino Linotype" w:cs="Arial"/>
          <w:szCs w:val="22"/>
          <w:lang w:val="es-ES"/>
        </w:rPr>
        <w:t xml:space="preserve">El </w:t>
      </w:r>
      <w:r w:rsidR="00080DD7" w:rsidRPr="00FB4DC3">
        <w:rPr>
          <w:rFonts w:ascii="Palatino Linotype" w:eastAsia="Palatino Linotype" w:hAnsi="Palatino Linotype" w:cs="Palatino Linotype"/>
          <w:b/>
          <w:szCs w:val="22"/>
        </w:rPr>
        <w:t xml:space="preserve">cinco de noviembre de dos mil veinticuatro, </w:t>
      </w:r>
      <w:r w:rsidR="00080DD7" w:rsidRPr="00FB4DC3">
        <w:rPr>
          <w:rFonts w:ascii="Palatino Linotype" w:eastAsia="Palatino Linotype" w:hAnsi="Palatino Linotype" w:cs="Palatino Linotype"/>
          <w:szCs w:val="22"/>
        </w:rPr>
        <w:t xml:space="preserve">el </w:t>
      </w:r>
      <w:r w:rsidR="00080DD7" w:rsidRPr="00FB4DC3">
        <w:rPr>
          <w:rFonts w:ascii="Palatino Linotype" w:eastAsia="Palatino Linotype" w:hAnsi="Palatino Linotype" w:cs="Palatino Linotype"/>
          <w:b/>
          <w:szCs w:val="22"/>
        </w:rPr>
        <w:t xml:space="preserve">Recurrente, </w:t>
      </w:r>
      <w:r w:rsidR="00080DD7" w:rsidRPr="00FB4DC3">
        <w:rPr>
          <w:rFonts w:ascii="Palatino Linotype" w:eastAsia="Palatino Linotype" w:hAnsi="Palatino Linotype" w:cs="Palatino Linotype"/>
          <w:szCs w:val="22"/>
        </w:rPr>
        <w:t xml:space="preserve">presentó a través del Sistema de Acceso a la Información Mexiquense </w:t>
      </w:r>
      <w:r w:rsidR="00080DD7" w:rsidRPr="00FB4DC3">
        <w:rPr>
          <w:rFonts w:ascii="Palatino Linotype" w:eastAsia="Palatino Linotype" w:hAnsi="Palatino Linotype" w:cs="Palatino Linotype"/>
          <w:b/>
          <w:szCs w:val="22"/>
        </w:rPr>
        <w:t>(SAIMEX)</w:t>
      </w:r>
      <w:r w:rsidR="00080DD7" w:rsidRPr="00FB4DC3">
        <w:rPr>
          <w:rFonts w:ascii="Palatino Linotype" w:eastAsia="Palatino Linotype" w:hAnsi="Palatino Linotype" w:cs="Palatino Linotype"/>
          <w:szCs w:val="22"/>
        </w:rPr>
        <w:t xml:space="preserve">, la solicitud de acceso a la información pública, misma que se registró con número de folio </w:t>
      </w:r>
      <w:r w:rsidR="00080DD7" w:rsidRPr="00FB4DC3">
        <w:rPr>
          <w:rFonts w:ascii="Palatino Linotype" w:eastAsia="Palatino Linotype" w:hAnsi="Palatino Linotype" w:cs="Palatino Linotype"/>
          <w:b/>
          <w:szCs w:val="22"/>
        </w:rPr>
        <w:t xml:space="preserve">00146/RAYON/IP/2024, </w:t>
      </w:r>
      <w:r w:rsidR="00080DD7" w:rsidRPr="00FB4DC3">
        <w:rPr>
          <w:rFonts w:ascii="Palatino Linotype" w:eastAsia="Palatino Linotype" w:hAnsi="Palatino Linotype" w:cs="Palatino Linotype"/>
          <w:szCs w:val="22"/>
        </w:rPr>
        <w:t>lo siguiente:</w:t>
      </w:r>
    </w:p>
    <w:p w14:paraId="44290BF5" w14:textId="5DFB423C" w:rsidR="00526A69" w:rsidRPr="00FB4DC3" w:rsidRDefault="00526A69" w:rsidP="00526A69">
      <w:pPr>
        <w:pStyle w:val="Prrafodelista"/>
        <w:spacing w:line="360" w:lineRule="auto"/>
        <w:ind w:left="0"/>
        <w:jc w:val="both"/>
        <w:rPr>
          <w:rFonts w:ascii="Palatino Linotype" w:hAnsi="Palatino Linotype" w:cs="Arial"/>
          <w:szCs w:val="22"/>
          <w:lang w:val="es-ES"/>
        </w:rPr>
      </w:pPr>
    </w:p>
    <w:p w14:paraId="3FD777CA" w14:textId="77777777" w:rsidR="00080DD7" w:rsidRPr="00FB4DC3" w:rsidRDefault="00080DD7" w:rsidP="00080DD7">
      <w:pPr>
        <w:pBdr>
          <w:top w:val="nil"/>
          <w:left w:val="nil"/>
          <w:bottom w:val="nil"/>
          <w:right w:val="nil"/>
          <w:between w:val="nil"/>
        </w:pBdr>
        <w:ind w:left="567" w:right="567"/>
        <w:jc w:val="both"/>
        <w:rPr>
          <w:rFonts w:ascii="Palatino Linotype" w:eastAsia="Palatino Linotype" w:hAnsi="Palatino Linotype" w:cs="Palatino Linotype"/>
          <w:b/>
          <w:i/>
          <w:color w:val="000000"/>
          <w:sz w:val="22"/>
          <w:szCs w:val="22"/>
        </w:rPr>
      </w:pPr>
      <w:r w:rsidRPr="00FB4DC3">
        <w:rPr>
          <w:rFonts w:ascii="Palatino Linotype" w:eastAsia="Palatino Linotype" w:hAnsi="Palatino Linotype" w:cs="Palatino Linotype"/>
          <w:i/>
          <w:color w:val="000000"/>
          <w:sz w:val="22"/>
          <w:szCs w:val="22"/>
        </w:rPr>
        <w:t>“</w:t>
      </w:r>
      <w:r w:rsidRPr="00FB4DC3">
        <w:rPr>
          <w:rFonts w:ascii="Palatino Linotype" w:hAnsi="Palatino Linotype"/>
          <w:i/>
          <w:color w:val="000000"/>
          <w:sz w:val="22"/>
          <w:szCs w:val="22"/>
        </w:rPr>
        <w:t>1. INFORMES DE GOBIERNO DE L AÑO 2015, 2016, 2017, 2018, 2019, 2020, 2021 Y 2022. 2. PRESUPUESTO DE INGRESOS Y EGRESOS DE LOS AÑOS 2015, 2016, 2017, 2018, 2019, 2020, 2021 Y 2022. 3. Los recibos de nómina de los años 2015, 2016, 2017, 2018, 2019, 2020, 2021, 2022, 2023 y 2024, de los presidentes municipales, síndicos, regidores y de todos y cada uno de los titulares de área ya sean directores o coordinadores, que fungen y fungieron en esos puestos.</w:t>
      </w:r>
      <w:r w:rsidRPr="00FB4DC3">
        <w:rPr>
          <w:rFonts w:ascii="Palatino Linotype" w:eastAsia="Palatino Linotype" w:hAnsi="Palatino Linotype" w:cs="Palatino Linotype"/>
          <w:i/>
          <w:color w:val="000000"/>
          <w:sz w:val="22"/>
          <w:szCs w:val="22"/>
        </w:rPr>
        <w:t>” (Sic)</w:t>
      </w:r>
    </w:p>
    <w:p w14:paraId="15944006" w14:textId="77777777" w:rsidR="00526A69" w:rsidRPr="00FB4DC3" w:rsidRDefault="00526A69" w:rsidP="000E274D">
      <w:pPr>
        <w:pStyle w:val="Prrafodelista"/>
        <w:spacing w:line="360" w:lineRule="auto"/>
        <w:ind w:left="0"/>
        <w:jc w:val="both"/>
        <w:rPr>
          <w:rFonts w:ascii="Palatino Linotype" w:hAnsi="Palatino Linotype" w:cs="Arial"/>
          <w:szCs w:val="22"/>
          <w:lang w:val="es-ES"/>
        </w:rPr>
      </w:pPr>
    </w:p>
    <w:p w14:paraId="05FC21AC" w14:textId="51ACA03C" w:rsidR="00427E2F" w:rsidRPr="00FB4DC3" w:rsidRDefault="005000AA" w:rsidP="000E274D">
      <w:pPr>
        <w:pStyle w:val="Prrafodelista"/>
        <w:spacing w:line="360" w:lineRule="auto"/>
        <w:ind w:left="0"/>
        <w:jc w:val="both"/>
        <w:rPr>
          <w:rFonts w:ascii="Palatino Linotype" w:hAnsi="Palatino Linotype" w:cs="Arial"/>
          <w:szCs w:val="22"/>
          <w:lang w:val="es-ES"/>
        </w:rPr>
      </w:pPr>
      <w:r w:rsidRPr="00FB4DC3">
        <w:rPr>
          <w:rFonts w:ascii="Palatino Linotype" w:hAnsi="Palatino Linotype" w:cs="Arial"/>
          <w:szCs w:val="22"/>
          <w:lang w:val="es-ES"/>
        </w:rPr>
        <w:t xml:space="preserve">Señaló como modalidad de entrega de la información a través del </w:t>
      </w:r>
      <w:r w:rsidRPr="00FB4DC3">
        <w:rPr>
          <w:rFonts w:ascii="Palatino Linotype" w:hAnsi="Palatino Linotype" w:cs="Arial"/>
          <w:b/>
          <w:szCs w:val="22"/>
          <w:lang w:val="es-ES"/>
        </w:rPr>
        <w:t>SAIMEX.</w:t>
      </w:r>
    </w:p>
    <w:p w14:paraId="787A25E3" w14:textId="77777777" w:rsidR="007F4367" w:rsidRPr="00FB4DC3" w:rsidRDefault="007F4367" w:rsidP="000E274D">
      <w:pPr>
        <w:pStyle w:val="Prrafodelista"/>
        <w:spacing w:before="240" w:after="240" w:line="360" w:lineRule="auto"/>
        <w:ind w:left="0"/>
        <w:jc w:val="both"/>
        <w:rPr>
          <w:rFonts w:ascii="Palatino Linotype" w:hAnsi="Palatino Linotype"/>
          <w:iCs/>
          <w:color w:val="000000"/>
          <w:szCs w:val="22"/>
        </w:rPr>
      </w:pPr>
    </w:p>
    <w:p w14:paraId="47BDCF02" w14:textId="0717D24C" w:rsidR="005D09C1" w:rsidRPr="00FB4DC3" w:rsidRDefault="005000AA" w:rsidP="005D09C1">
      <w:pPr>
        <w:pStyle w:val="Prrafodelista"/>
        <w:numPr>
          <w:ilvl w:val="0"/>
          <w:numId w:val="3"/>
        </w:numPr>
        <w:spacing w:before="240" w:after="240" w:line="360" w:lineRule="auto"/>
        <w:ind w:left="0" w:firstLine="0"/>
        <w:jc w:val="both"/>
        <w:rPr>
          <w:rFonts w:ascii="Palatino Linotype" w:hAnsi="Palatino Linotype"/>
          <w:i/>
          <w:color w:val="000000"/>
          <w:szCs w:val="22"/>
        </w:rPr>
      </w:pPr>
      <w:r w:rsidRPr="00FB4DC3">
        <w:rPr>
          <w:rFonts w:ascii="Palatino Linotype" w:eastAsia="Calibri" w:hAnsi="Palatino Linotype"/>
          <w:szCs w:val="22"/>
          <w:lang w:val="es-ES"/>
        </w:rPr>
        <w:t xml:space="preserve">El </w:t>
      </w:r>
      <w:r w:rsidR="000E274D" w:rsidRPr="00FB4DC3">
        <w:rPr>
          <w:rFonts w:ascii="Palatino Linotype" w:eastAsia="Calibri" w:hAnsi="Palatino Linotype"/>
          <w:b/>
          <w:bCs/>
          <w:szCs w:val="22"/>
          <w:lang w:val="es-ES"/>
        </w:rPr>
        <w:t>SUJETO OBLIGADO</w:t>
      </w:r>
      <w:r w:rsidR="000E274D" w:rsidRPr="00FB4DC3">
        <w:rPr>
          <w:rFonts w:ascii="Palatino Linotype" w:eastAsia="Calibri" w:hAnsi="Palatino Linotype"/>
          <w:szCs w:val="22"/>
          <w:lang w:val="es-ES"/>
        </w:rPr>
        <w:t xml:space="preserve"> </w:t>
      </w:r>
      <w:r w:rsidR="005D09C1" w:rsidRPr="00FB4DC3">
        <w:rPr>
          <w:rFonts w:ascii="Palatino Linotype" w:eastAsia="Calibri" w:hAnsi="Palatino Linotype"/>
          <w:szCs w:val="22"/>
          <w:lang w:val="es-ES"/>
        </w:rPr>
        <w:t>no emitió respuesta a la solicitud</w:t>
      </w:r>
      <w:r w:rsidR="000E274D" w:rsidRPr="00FB4DC3">
        <w:rPr>
          <w:rFonts w:ascii="Palatino Linotype" w:eastAsia="Calibri" w:hAnsi="Palatino Linotype"/>
          <w:szCs w:val="22"/>
          <w:lang w:val="es-ES"/>
        </w:rPr>
        <w:t xml:space="preserve"> de información</w:t>
      </w:r>
      <w:r w:rsidR="005D09C1" w:rsidRPr="00FB4DC3">
        <w:rPr>
          <w:rFonts w:ascii="Palatino Linotype" w:eastAsia="Calibri" w:hAnsi="Palatino Linotype"/>
          <w:szCs w:val="22"/>
          <w:lang w:val="es-ES"/>
        </w:rPr>
        <w:t>.</w:t>
      </w:r>
    </w:p>
    <w:p w14:paraId="3CE72CFC" w14:textId="3423FCEA" w:rsidR="00E65B7C" w:rsidRPr="00FB4DC3" w:rsidRDefault="00E65B7C" w:rsidP="00DD7DC3">
      <w:pPr>
        <w:pStyle w:val="Prrafodelista"/>
        <w:spacing w:before="240" w:after="240" w:line="360" w:lineRule="auto"/>
        <w:ind w:left="1287" w:right="567"/>
        <w:jc w:val="both"/>
        <w:rPr>
          <w:rFonts w:ascii="Palatino Linotype" w:hAnsi="Palatino Linotype"/>
          <w:i/>
          <w:color w:val="000000"/>
          <w:szCs w:val="22"/>
        </w:rPr>
      </w:pPr>
    </w:p>
    <w:p w14:paraId="1BE16529" w14:textId="4589EE8C" w:rsidR="00080DD7" w:rsidRPr="00FB4DC3" w:rsidRDefault="00080DD7" w:rsidP="00080DD7">
      <w:pPr>
        <w:pStyle w:val="Prrafodelista"/>
        <w:numPr>
          <w:ilvl w:val="0"/>
          <w:numId w:val="3"/>
        </w:numPr>
        <w:spacing w:before="240" w:after="240" w:line="360" w:lineRule="auto"/>
        <w:ind w:left="0" w:firstLine="0"/>
        <w:jc w:val="both"/>
        <w:rPr>
          <w:rFonts w:ascii="Palatino Linotype" w:hAnsi="Palatino Linotype" w:cs="Arial"/>
          <w:i/>
          <w:szCs w:val="22"/>
        </w:rPr>
      </w:pPr>
      <w:bookmarkStart w:id="2" w:name="_Toc462307683"/>
      <w:bookmarkStart w:id="3" w:name="_Toc472427085"/>
      <w:bookmarkStart w:id="4" w:name="_Toc472500652"/>
      <w:r w:rsidRPr="00FB4DC3">
        <w:rPr>
          <w:rFonts w:ascii="Palatino Linotype" w:eastAsia="Calibri" w:hAnsi="Palatino Linotype" w:cs="Arial"/>
          <w:szCs w:val="22"/>
          <w:lang w:val="es-AR"/>
        </w:rPr>
        <w:lastRenderedPageBreak/>
        <w:t xml:space="preserve">Ante </w:t>
      </w:r>
      <w:r w:rsidRPr="00FB4DC3">
        <w:rPr>
          <w:rFonts w:ascii="Palatino Linotype" w:eastAsia="Palatino Linotype" w:hAnsi="Palatino Linotype" w:cs="Palatino Linotype"/>
        </w:rPr>
        <w:t>la falta de respuesta</w:t>
      </w:r>
      <w:r w:rsidRPr="00FB4DC3">
        <w:rPr>
          <w:rFonts w:ascii="Palatino Linotype" w:eastAsia="Palatino Linotype" w:hAnsi="Palatino Linotype" w:cs="Palatino Linotype"/>
          <w:b/>
        </w:rPr>
        <w:t xml:space="preserve"> </w:t>
      </w:r>
      <w:r w:rsidRPr="00FB4DC3">
        <w:rPr>
          <w:rFonts w:ascii="Palatino Linotype" w:eastAsia="Palatino Linotype" w:hAnsi="Palatino Linotype" w:cs="Palatino Linotype"/>
        </w:rPr>
        <w:t xml:space="preserve">del </w:t>
      </w:r>
      <w:r w:rsidRPr="00FB4DC3">
        <w:rPr>
          <w:rFonts w:ascii="Palatino Linotype" w:eastAsia="Palatino Linotype" w:hAnsi="Palatino Linotype" w:cs="Palatino Linotype"/>
          <w:b/>
        </w:rPr>
        <w:t>Sujeto Obligado</w:t>
      </w:r>
      <w:r w:rsidRPr="00FB4DC3">
        <w:rPr>
          <w:rFonts w:ascii="Palatino Linotype" w:eastAsia="Palatino Linotype" w:hAnsi="Palatino Linotype" w:cs="Palatino Linotype"/>
        </w:rPr>
        <w:t xml:space="preserve">, el </w:t>
      </w:r>
      <w:r w:rsidRPr="00FB4DC3">
        <w:rPr>
          <w:rFonts w:ascii="Palatino Linotype" w:eastAsia="Palatino Linotype" w:hAnsi="Palatino Linotype" w:cs="Palatino Linotype"/>
          <w:b/>
        </w:rPr>
        <w:t>Recurrente</w:t>
      </w:r>
      <w:r w:rsidRPr="00FB4DC3">
        <w:rPr>
          <w:rFonts w:ascii="Palatino Linotype" w:eastAsia="Palatino Linotype" w:hAnsi="Palatino Linotype" w:cs="Palatino Linotype"/>
        </w:rPr>
        <w:t xml:space="preserve"> interpuso el recurso de revisión el </w:t>
      </w:r>
      <w:r w:rsidRPr="00FB4DC3">
        <w:rPr>
          <w:rFonts w:ascii="Palatino Linotype" w:eastAsia="Palatino Linotype" w:hAnsi="Palatino Linotype" w:cs="Palatino Linotype"/>
          <w:b/>
        </w:rPr>
        <w:t xml:space="preserve">diez de diciembre de dos mil veinticuatro, </w:t>
      </w:r>
      <w:r w:rsidRPr="00FB4DC3">
        <w:rPr>
          <w:rFonts w:ascii="Palatino Linotype" w:eastAsia="Palatino Linotype" w:hAnsi="Palatino Linotype" w:cs="Palatino Linotype"/>
        </w:rPr>
        <w:t xml:space="preserve">registrado en el </w:t>
      </w:r>
      <w:r w:rsidRPr="00FB4DC3">
        <w:rPr>
          <w:rFonts w:ascii="Palatino Linotype" w:eastAsia="Palatino Linotype" w:hAnsi="Palatino Linotype" w:cs="Palatino Linotype"/>
          <w:b/>
        </w:rPr>
        <w:t xml:space="preserve">SAIMEX </w:t>
      </w:r>
      <w:r w:rsidRPr="00FB4DC3">
        <w:rPr>
          <w:rFonts w:ascii="Palatino Linotype" w:eastAsia="Palatino Linotype" w:hAnsi="Palatino Linotype" w:cs="Palatino Linotype"/>
        </w:rPr>
        <w:t xml:space="preserve">con número de expediente </w:t>
      </w:r>
      <w:r w:rsidRPr="00FB4DC3">
        <w:rPr>
          <w:rFonts w:ascii="Palatino Linotype" w:eastAsia="Palatino Linotype" w:hAnsi="Palatino Linotype" w:cs="Palatino Linotype"/>
          <w:b/>
        </w:rPr>
        <w:t xml:space="preserve">07568/INFOEM/IP/RR/2024, </w:t>
      </w:r>
      <w:r w:rsidRPr="00FB4DC3">
        <w:rPr>
          <w:rFonts w:ascii="Palatino Linotype" w:eastAsia="Palatino Linotype" w:hAnsi="Palatino Linotype" w:cs="Palatino Linotype"/>
        </w:rPr>
        <w:t>en el cual aduce, las siguientes manifestaciones:</w:t>
      </w:r>
    </w:p>
    <w:p w14:paraId="7BD385B9" w14:textId="0AD40690" w:rsidR="00526A69" w:rsidRPr="00FB4DC3" w:rsidRDefault="00526A69" w:rsidP="00526A69">
      <w:pPr>
        <w:jc w:val="both"/>
        <w:rPr>
          <w:rFonts w:ascii="Palatino Linotype" w:eastAsia="Calibri" w:hAnsi="Palatino Linotype" w:cs="Arial"/>
          <w:sz w:val="22"/>
          <w:szCs w:val="22"/>
          <w:lang w:val="es-ES"/>
        </w:rPr>
      </w:pPr>
    </w:p>
    <w:p w14:paraId="1E2A08CF" w14:textId="77777777" w:rsidR="00080DD7" w:rsidRPr="00FB4DC3" w:rsidRDefault="00080DD7" w:rsidP="00080DD7">
      <w:pPr>
        <w:numPr>
          <w:ilvl w:val="0"/>
          <w:numId w:val="11"/>
        </w:numPr>
        <w:jc w:val="both"/>
        <w:rPr>
          <w:rFonts w:ascii="Palatino Linotype" w:eastAsia="Palatino Linotype" w:hAnsi="Palatino Linotype" w:cs="Palatino Linotype"/>
          <w:b/>
        </w:rPr>
      </w:pPr>
      <w:r w:rsidRPr="00FB4DC3">
        <w:rPr>
          <w:rFonts w:ascii="Palatino Linotype" w:eastAsia="Palatino Linotype" w:hAnsi="Palatino Linotype" w:cs="Palatino Linotype"/>
          <w:b/>
        </w:rPr>
        <w:t xml:space="preserve">Acto Impugnado: </w:t>
      </w:r>
    </w:p>
    <w:p w14:paraId="4DA0C025" w14:textId="77777777" w:rsidR="00080DD7" w:rsidRPr="00FB4DC3" w:rsidRDefault="00080DD7" w:rsidP="00080DD7">
      <w:pPr>
        <w:ind w:left="720"/>
        <w:jc w:val="both"/>
        <w:rPr>
          <w:rFonts w:ascii="Palatino Linotype" w:eastAsia="Palatino Linotype" w:hAnsi="Palatino Linotype" w:cs="Palatino Linotype"/>
          <w:i/>
          <w:color w:val="000000"/>
        </w:rPr>
      </w:pPr>
      <w:r w:rsidRPr="00FB4DC3">
        <w:rPr>
          <w:rFonts w:ascii="Palatino Linotype" w:eastAsia="Palatino Linotype" w:hAnsi="Palatino Linotype" w:cs="Palatino Linotype"/>
          <w:i/>
          <w:color w:val="000000"/>
        </w:rPr>
        <w:t>“</w:t>
      </w:r>
      <w:r w:rsidRPr="00FB4DC3">
        <w:rPr>
          <w:rFonts w:ascii="Palatino Linotype" w:hAnsi="Palatino Linotype"/>
          <w:i/>
          <w:color w:val="000000"/>
        </w:rPr>
        <w:t>ACTO POR EL CUAL LA AUTORIDAD SE NIEGA A PROPORCIONAR LA INFORMACIÓN REQUERIDA.</w:t>
      </w:r>
      <w:r w:rsidRPr="00FB4DC3">
        <w:rPr>
          <w:rFonts w:ascii="Palatino Linotype" w:eastAsia="Palatino Linotype" w:hAnsi="Palatino Linotype" w:cs="Palatino Linotype"/>
          <w:i/>
          <w:color w:val="000000"/>
        </w:rPr>
        <w:t>” (Sic).</w:t>
      </w:r>
    </w:p>
    <w:p w14:paraId="2AF82834" w14:textId="77777777" w:rsidR="00080DD7" w:rsidRPr="00FB4DC3" w:rsidRDefault="00080DD7" w:rsidP="00080DD7">
      <w:pPr>
        <w:ind w:left="720"/>
        <w:jc w:val="both"/>
        <w:rPr>
          <w:rFonts w:ascii="Palatino Linotype" w:eastAsia="Palatino Linotype" w:hAnsi="Palatino Linotype" w:cs="Palatino Linotype"/>
          <w:b/>
        </w:rPr>
      </w:pPr>
    </w:p>
    <w:p w14:paraId="0D2B27CA" w14:textId="77777777" w:rsidR="00080DD7" w:rsidRPr="00FB4DC3" w:rsidRDefault="00080DD7" w:rsidP="00080DD7">
      <w:pPr>
        <w:numPr>
          <w:ilvl w:val="0"/>
          <w:numId w:val="11"/>
        </w:numPr>
        <w:pBdr>
          <w:top w:val="nil"/>
          <w:left w:val="nil"/>
          <w:bottom w:val="nil"/>
          <w:right w:val="nil"/>
          <w:between w:val="nil"/>
        </w:pBdr>
        <w:jc w:val="both"/>
        <w:rPr>
          <w:rFonts w:ascii="Palatino Linotype" w:eastAsia="Palatino Linotype" w:hAnsi="Palatino Linotype" w:cs="Palatino Linotype"/>
          <w:i/>
          <w:color w:val="000000"/>
        </w:rPr>
      </w:pPr>
      <w:r w:rsidRPr="00FB4DC3">
        <w:rPr>
          <w:rFonts w:ascii="Palatino Linotype" w:eastAsia="Palatino Linotype" w:hAnsi="Palatino Linotype" w:cs="Palatino Linotype"/>
          <w:b/>
          <w:color w:val="000000"/>
        </w:rPr>
        <w:t>Razones o Motivos de Inconformidad</w:t>
      </w:r>
      <w:r w:rsidRPr="00FB4DC3">
        <w:rPr>
          <w:rFonts w:ascii="Palatino Linotype" w:eastAsia="Palatino Linotype" w:hAnsi="Palatino Linotype" w:cs="Palatino Linotype"/>
          <w:color w:val="000000"/>
        </w:rPr>
        <w:t xml:space="preserve">: </w:t>
      </w:r>
    </w:p>
    <w:p w14:paraId="4BA21C24" w14:textId="77777777" w:rsidR="00080DD7" w:rsidRPr="00FB4DC3" w:rsidRDefault="00080DD7" w:rsidP="00080DD7">
      <w:pPr>
        <w:pBdr>
          <w:top w:val="nil"/>
          <w:left w:val="nil"/>
          <w:bottom w:val="nil"/>
          <w:right w:val="nil"/>
          <w:between w:val="nil"/>
        </w:pBdr>
        <w:ind w:left="720"/>
        <w:jc w:val="both"/>
        <w:rPr>
          <w:rFonts w:ascii="Palatino Linotype" w:eastAsia="Palatino Linotype" w:hAnsi="Palatino Linotype" w:cs="Palatino Linotype"/>
          <w:i/>
          <w:color w:val="000000"/>
        </w:rPr>
      </w:pPr>
      <w:r w:rsidRPr="00FB4DC3">
        <w:rPr>
          <w:rFonts w:ascii="Palatino Linotype" w:eastAsia="Palatino Linotype" w:hAnsi="Palatino Linotype" w:cs="Palatino Linotype"/>
          <w:i/>
          <w:color w:val="000000"/>
        </w:rPr>
        <w:t>“</w:t>
      </w:r>
      <w:r w:rsidRPr="00FB4DC3">
        <w:rPr>
          <w:rFonts w:ascii="Palatino Linotype" w:hAnsi="Palatino Linotype"/>
          <w:i/>
          <w:color w:val="000000"/>
        </w:rPr>
        <w:t>LA NEGATIVA DE PROPORCIONAR LA INFORMACIÓN</w:t>
      </w:r>
      <w:r w:rsidRPr="00FB4DC3">
        <w:rPr>
          <w:rFonts w:ascii="Palatino Linotype" w:eastAsia="Palatino Linotype" w:hAnsi="Palatino Linotype" w:cs="Palatino Linotype"/>
          <w:i/>
          <w:color w:val="000000"/>
        </w:rPr>
        <w:t>” (Sic)</w:t>
      </w:r>
    </w:p>
    <w:p w14:paraId="266B68E2" w14:textId="77777777" w:rsidR="00526A69" w:rsidRPr="00FB4DC3" w:rsidRDefault="00526A69" w:rsidP="00526A69">
      <w:pPr>
        <w:ind w:right="539"/>
        <w:jc w:val="both"/>
        <w:rPr>
          <w:rFonts w:ascii="Palatino Linotype" w:eastAsia="Calibri" w:hAnsi="Palatino Linotype" w:cs="Arial"/>
          <w:i/>
          <w:sz w:val="22"/>
          <w:szCs w:val="22"/>
          <w:lang w:val="es-ES"/>
        </w:rPr>
      </w:pPr>
    </w:p>
    <w:bookmarkEnd w:id="2"/>
    <w:bookmarkEnd w:id="3"/>
    <w:bookmarkEnd w:id="4"/>
    <w:p w14:paraId="5BE2AC11" w14:textId="7CD22702" w:rsidR="005000AA" w:rsidRPr="00FB4DC3"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Cs w:val="22"/>
          <w:lang w:val="es-AR"/>
        </w:rPr>
      </w:pPr>
      <w:r w:rsidRPr="00FB4DC3">
        <w:rPr>
          <w:rFonts w:ascii="Palatino Linotype" w:hAnsi="Palatino Linotype" w:cs="Arial"/>
          <w:szCs w:val="22"/>
          <w:lang w:val="es-ES"/>
        </w:rPr>
        <w:t xml:space="preserve">Se registró el recurso de revisión bajo el número de expediente </w:t>
      </w:r>
      <w:r w:rsidRPr="00FB4DC3">
        <w:rPr>
          <w:rFonts w:ascii="Palatino Linotype" w:hAnsi="Palatino Linotype" w:cs="Arial"/>
          <w:bCs/>
          <w:szCs w:val="22"/>
        </w:rPr>
        <w:t xml:space="preserve">al rubro indicado, asimismo con fundamento en lo dispuesto por el </w:t>
      </w:r>
      <w:r w:rsidRPr="00FB4DC3">
        <w:rPr>
          <w:rFonts w:ascii="Palatino Linotype" w:eastAsia="Calibri" w:hAnsi="Palatino Linotype" w:cs="Arial"/>
          <w:szCs w:val="22"/>
          <w:lang w:val="es-ES"/>
        </w:rPr>
        <w:t xml:space="preserve">artículo 185 fracción I de la </w:t>
      </w:r>
      <w:r w:rsidRPr="00FB4DC3">
        <w:rPr>
          <w:rFonts w:ascii="Palatino Linotype" w:eastAsia="Calibri" w:hAnsi="Palatino Linotype" w:cs="Arial"/>
          <w:b/>
          <w:szCs w:val="22"/>
          <w:lang w:val="es-ES"/>
        </w:rPr>
        <w:t xml:space="preserve">Ley de Transparencia y Acceso a la Información Pública del Estado de México y Municipios </w:t>
      </w:r>
      <w:r w:rsidR="00D31521" w:rsidRPr="00FB4DC3">
        <w:rPr>
          <w:rFonts w:ascii="Palatino Linotype" w:hAnsi="Palatino Linotype" w:cs="Arial"/>
          <w:szCs w:val="22"/>
          <w:lang w:val="es-ES"/>
        </w:rPr>
        <w:t>se turnó a</w:t>
      </w:r>
      <w:r w:rsidR="00F942BD" w:rsidRPr="00FB4DC3">
        <w:rPr>
          <w:rFonts w:ascii="Palatino Linotype" w:hAnsi="Palatino Linotype" w:cs="Arial"/>
          <w:szCs w:val="22"/>
          <w:lang w:val="es-ES"/>
        </w:rPr>
        <w:t xml:space="preserve"> </w:t>
      </w:r>
      <w:r w:rsidRPr="00FB4DC3">
        <w:rPr>
          <w:rFonts w:ascii="Palatino Linotype" w:hAnsi="Palatino Linotype" w:cs="Arial"/>
          <w:szCs w:val="22"/>
          <w:lang w:val="es-ES"/>
        </w:rPr>
        <w:t>l</w:t>
      </w:r>
      <w:r w:rsidR="00F942BD" w:rsidRPr="00FB4DC3">
        <w:rPr>
          <w:rFonts w:ascii="Palatino Linotype" w:hAnsi="Palatino Linotype" w:cs="Arial"/>
          <w:szCs w:val="22"/>
          <w:lang w:val="es-ES"/>
        </w:rPr>
        <w:t>a</w:t>
      </w:r>
      <w:r w:rsidRPr="00FB4DC3">
        <w:rPr>
          <w:rFonts w:ascii="Palatino Linotype" w:hAnsi="Palatino Linotype" w:cs="Arial"/>
          <w:szCs w:val="22"/>
          <w:lang w:val="es-ES"/>
        </w:rPr>
        <w:t xml:space="preserve"> </w:t>
      </w:r>
      <w:r w:rsidR="00F942BD" w:rsidRPr="00FB4DC3">
        <w:rPr>
          <w:rFonts w:ascii="Palatino Linotype" w:hAnsi="Palatino Linotype" w:cs="Arial"/>
          <w:b/>
          <w:szCs w:val="22"/>
          <w:lang w:val="es-ES"/>
        </w:rPr>
        <w:t>Comisionada</w:t>
      </w:r>
      <w:r w:rsidRPr="00FB4DC3">
        <w:rPr>
          <w:rFonts w:ascii="Palatino Linotype" w:hAnsi="Palatino Linotype" w:cs="Arial"/>
          <w:b/>
          <w:szCs w:val="22"/>
          <w:lang w:val="es-ES"/>
        </w:rPr>
        <w:t xml:space="preserve"> </w:t>
      </w:r>
      <w:r w:rsidR="00F942BD" w:rsidRPr="00FB4DC3">
        <w:rPr>
          <w:rFonts w:ascii="Palatino Linotype" w:hAnsi="Palatino Linotype" w:cs="Arial"/>
          <w:b/>
          <w:szCs w:val="22"/>
          <w:lang w:val="es-ES"/>
        </w:rPr>
        <w:t>María del Rosario Mejía Ayala</w:t>
      </w:r>
      <w:r w:rsidRPr="00FB4DC3">
        <w:rPr>
          <w:rFonts w:ascii="Palatino Linotype" w:hAnsi="Palatino Linotype" w:cs="Arial"/>
          <w:b/>
          <w:szCs w:val="22"/>
          <w:lang w:val="es-ES"/>
        </w:rPr>
        <w:t xml:space="preserve">, </w:t>
      </w:r>
      <w:r w:rsidRPr="00FB4DC3">
        <w:rPr>
          <w:rFonts w:ascii="Palatino Linotype" w:hAnsi="Palatino Linotype" w:cs="Arial"/>
          <w:szCs w:val="22"/>
          <w:lang w:val="es-ES"/>
        </w:rPr>
        <w:t xml:space="preserve">con el objeto de </w:t>
      </w:r>
      <w:r w:rsidRPr="00FB4DC3">
        <w:rPr>
          <w:rFonts w:ascii="Palatino Linotype" w:hAnsi="Palatino Linotype" w:cs="Arial"/>
          <w:szCs w:val="22"/>
        </w:rPr>
        <w:t>su análisis.</w:t>
      </w:r>
    </w:p>
    <w:p w14:paraId="21EFF6B2" w14:textId="77777777" w:rsidR="005000AA" w:rsidRPr="00FB4DC3" w:rsidRDefault="005000AA" w:rsidP="005000AA">
      <w:pPr>
        <w:pStyle w:val="Prrafodelista"/>
        <w:spacing w:before="240" w:after="240" w:line="360" w:lineRule="auto"/>
        <w:ind w:left="0"/>
        <w:jc w:val="both"/>
        <w:rPr>
          <w:rFonts w:ascii="Palatino Linotype" w:eastAsia="Calibri" w:hAnsi="Palatino Linotype" w:cs="Arial"/>
          <w:szCs w:val="22"/>
          <w:lang w:val="es-AR"/>
        </w:rPr>
      </w:pPr>
    </w:p>
    <w:p w14:paraId="0DD7E16F" w14:textId="0DA43F41" w:rsidR="005000AA" w:rsidRPr="00FB4DC3"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FB4DC3">
        <w:rPr>
          <w:rFonts w:ascii="Palatino Linotype" w:eastAsia="Calibri" w:hAnsi="Palatino Linotype" w:cs="Arial"/>
          <w:szCs w:val="22"/>
          <w:lang w:val="es-ES"/>
        </w:rPr>
        <w:t>La Comisionada</w:t>
      </w:r>
      <w:r w:rsidR="005000AA" w:rsidRPr="00FB4DC3">
        <w:rPr>
          <w:rFonts w:ascii="Palatino Linotype" w:eastAsia="Calibri" w:hAnsi="Palatino Linotype" w:cs="Arial"/>
          <w:szCs w:val="22"/>
          <w:lang w:val="es-ES"/>
        </w:rPr>
        <w:t xml:space="preserve"> Ponente con fundamento en lo dispuesto por el artículo 185 fracción II de la ley de la materia, a través del acuerdo de admisión de fecha </w:t>
      </w:r>
      <w:r w:rsidR="00080DD7" w:rsidRPr="00FB4DC3">
        <w:rPr>
          <w:rFonts w:ascii="Palatino Linotype" w:eastAsia="Calibri" w:hAnsi="Palatino Linotype" w:cs="Arial"/>
          <w:szCs w:val="22"/>
          <w:lang w:val="es-ES"/>
        </w:rPr>
        <w:t>diecisiete de diciembre de dos mil veinticuatro</w:t>
      </w:r>
      <w:r w:rsidR="005000AA" w:rsidRPr="00FB4DC3">
        <w:rPr>
          <w:rFonts w:ascii="Palatino Linotype" w:eastAsia="Calibri" w:hAnsi="Palatino Linotype" w:cs="Arial"/>
          <w:szCs w:val="22"/>
          <w:lang w:val="es-ES"/>
        </w:rPr>
        <w:t xml:space="preserve">, puso a disposición de las partes el expediente electrónico </w:t>
      </w:r>
      <w:r w:rsidR="005000AA" w:rsidRPr="00FB4DC3">
        <w:rPr>
          <w:rFonts w:ascii="Palatino Linotype" w:eastAsia="Calibri" w:hAnsi="Palatino Linotype" w:cs="Arial"/>
          <w:szCs w:val="22"/>
        </w:rPr>
        <w:t xml:space="preserve">vía </w:t>
      </w:r>
      <w:r w:rsidR="005000AA" w:rsidRPr="00FB4DC3">
        <w:rPr>
          <w:rFonts w:ascii="Palatino Linotype" w:eastAsia="Calibri" w:hAnsi="Palatino Linotype" w:cs="Arial"/>
          <w:b/>
          <w:szCs w:val="22"/>
          <w:lang w:val="es-ES"/>
        </w:rPr>
        <w:t xml:space="preserve">SAIMEX </w:t>
      </w:r>
      <w:r w:rsidR="005000AA" w:rsidRPr="00FB4DC3">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005000AA" w:rsidRPr="00FB4DC3">
        <w:rPr>
          <w:rFonts w:ascii="Palatino Linotype" w:eastAsia="Calibri" w:hAnsi="Palatino Linotype" w:cs="Arial"/>
          <w:b/>
          <w:szCs w:val="22"/>
          <w:lang w:val="es-ES"/>
        </w:rPr>
        <w:t>SUJETO OBLIGADO</w:t>
      </w:r>
      <w:r w:rsidR="005000AA" w:rsidRPr="00FB4DC3">
        <w:rPr>
          <w:rFonts w:ascii="Palatino Linotype" w:eastAsia="Calibri" w:hAnsi="Palatino Linotype" w:cs="Arial"/>
          <w:szCs w:val="22"/>
          <w:lang w:val="es-ES"/>
        </w:rPr>
        <w:t xml:space="preserve"> presentara el informe justificado procedente.</w:t>
      </w:r>
    </w:p>
    <w:p w14:paraId="47932EDD" w14:textId="5E561AB6" w:rsidR="00BC6FDD" w:rsidRPr="00FB4DC3" w:rsidRDefault="00BC6FDD" w:rsidP="009F0722">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2"/>
          <w:szCs w:val="22"/>
          <w:lang w:val="es-ES_tradnl"/>
        </w:rPr>
      </w:pPr>
      <w:r w:rsidRPr="00FB4DC3">
        <w:rPr>
          <w:rFonts w:ascii="Palatino Linotype" w:eastAsiaTheme="minorEastAsia" w:hAnsi="Palatino Linotype"/>
          <w:color w:val="000000"/>
          <w:sz w:val="22"/>
          <w:szCs w:val="22"/>
          <w:lang w:val="es-ES_tradnl"/>
        </w:rPr>
        <w:t xml:space="preserve">El </w:t>
      </w:r>
      <w:r w:rsidRPr="00FB4DC3">
        <w:rPr>
          <w:rFonts w:ascii="Palatino Linotype" w:eastAsiaTheme="minorEastAsia" w:hAnsi="Palatino Linotype"/>
          <w:b/>
          <w:color w:val="000000"/>
          <w:sz w:val="22"/>
          <w:szCs w:val="22"/>
          <w:lang w:val="es-ES_tradnl"/>
        </w:rPr>
        <w:t xml:space="preserve">SUJETO OBLIGADO </w:t>
      </w:r>
      <w:r w:rsidRPr="00FB4DC3">
        <w:rPr>
          <w:rFonts w:ascii="Palatino Linotype" w:eastAsiaTheme="minorEastAsia" w:hAnsi="Palatino Linotype"/>
          <w:color w:val="000000"/>
          <w:sz w:val="22"/>
          <w:szCs w:val="22"/>
          <w:lang w:val="es-ES_tradnl"/>
        </w:rPr>
        <w:t>no rindió informe justificado para manifestar lo que a su derecho conviniera; por su parte</w:t>
      </w:r>
      <w:r w:rsidR="000E274D" w:rsidRPr="00FB4DC3">
        <w:rPr>
          <w:rFonts w:ascii="Palatino Linotype" w:eastAsiaTheme="minorEastAsia" w:hAnsi="Palatino Linotype"/>
          <w:color w:val="000000"/>
          <w:sz w:val="22"/>
          <w:szCs w:val="22"/>
          <w:lang w:val="es-ES_tradnl"/>
        </w:rPr>
        <w:t>,</w:t>
      </w:r>
      <w:r w:rsidRPr="00FB4DC3">
        <w:rPr>
          <w:rFonts w:ascii="Palatino Linotype" w:eastAsiaTheme="minorEastAsia" w:hAnsi="Palatino Linotype"/>
          <w:color w:val="000000"/>
          <w:sz w:val="22"/>
          <w:szCs w:val="22"/>
          <w:lang w:val="es-ES_tradnl"/>
        </w:rPr>
        <w:t xml:space="preserve"> el </w:t>
      </w:r>
      <w:r w:rsidRPr="00FB4DC3">
        <w:rPr>
          <w:rFonts w:ascii="Palatino Linotype" w:eastAsiaTheme="minorEastAsia" w:hAnsi="Palatino Linotype"/>
          <w:b/>
          <w:color w:val="000000"/>
          <w:sz w:val="22"/>
          <w:szCs w:val="22"/>
          <w:lang w:val="es-ES_tradnl"/>
        </w:rPr>
        <w:t xml:space="preserve">RECURRENTE </w:t>
      </w:r>
      <w:r w:rsidRPr="00FB4DC3">
        <w:rPr>
          <w:rFonts w:ascii="Palatino Linotype" w:eastAsiaTheme="minorEastAsia" w:hAnsi="Palatino Linotype"/>
          <w:color w:val="000000"/>
          <w:sz w:val="22"/>
          <w:szCs w:val="22"/>
          <w:lang w:val="es-ES_tradnl"/>
        </w:rPr>
        <w:t xml:space="preserve">no presentó alegatos ni ofreció medios de prueba, según constancias del Sistema de Acceso a la Información Mexiquense </w:t>
      </w:r>
      <w:r w:rsidR="00172709" w:rsidRPr="00FB4DC3">
        <w:rPr>
          <w:rFonts w:ascii="Palatino Linotype" w:eastAsiaTheme="minorEastAsia" w:hAnsi="Palatino Linotype"/>
          <w:b/>
          <w:color w:val="000000"/>
          <w:sz w:val="22"/>
          <w:szCs w:val="22"/>
          <w:lang w:val="es-ES_tradnl"/>
        </w:rPr>
        <w:t>SAIMEX.</w:t>
      </w:r>
    </w:p>
    <w:p w14:paraId="23DC60AD" w14:textId="77777777" w:rsidR="00BC6FDD" w:rsidRPr="00FB4DC3"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Cs w:val="22"/>
        </w:rPr>
      </w:pPr>
      <w:r w:rsidRPr="00FB4DC3">
        <w:rPr>
          <w:rFonts w:ascii="Palatino Linotype" w:hAnsi="Palatino Linotype" w:cs="Arial"/>
          <w:color w:val="222222"/>
          <w:szCs w:val="22"/>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87596A7" w14:textId="77777777" w:rsidR="00BC6FDD" w:rsidRPr="00FB4DC3" w:rsidRDefault="00BC6FDD" w:rsidP="00BC6FDD">
      <w:pPr>
        <w:pStyle w:val="Prrafodelista"/>
        <w:tabs>
          <w:tab w:val="left" w:pos="284"/>
        </w:tabs>
        <w:spacing w:line="360" w:lineRule="auto"/>
        <w:ind w:left="0"/>
        <w:jc w:val="both"/>
        <w:rPr>
          <w:rFonts w:ascii="Palatino Linotype" w:hAnsi="Palatino Linotype" w:cs="Arial"/>
          <w:szCs w:val="22"/>
        </w:rPr>
      </w:pPr>
    </w:p>
    <w:p w14:paraId="44B7D876" w14:textId="1096BC24" w:rsidR="00BC6FDD" w:rsidRPr="00FB4DC3" w:rsidRDefault="00BC6FDD" w:rsidP="009F0722">
      <w:pPr>
        <w:pStyle w:val="m1609377113336227858gmail-msonormal"/>
        <w:shd w:val="clear" w:color="auto" w:fill="FFFFFF"/>
        <w:tabs>
          <w:tab w:val="left" w:pos="284"/>
        </w:tabs>
        <w:spacing w:before="0" w:beforeAutospacing="0" w:after="0" w:afterAutospacing="0"/>
        <w:ind w:left="567" w:right="567"/>
        <w:jc w:val="both"/>
        <w:rPr>
          <w:rFonts w:ascii="Palatino Linotype" w:hAnsi="Palatino Linotype" w:cs="Arial"/>
          <w:i/>
          <w:iCs/>
          <w:color w:val="222222"/>
          <w:sz w:val="22"/>
          <w:szCs w:val="22"/>
          <w:lang w:val="es-ES_tradnl"/>
        </w:rPr>
      </w:pPr>
      <w:r w:rsidRPr="00FB4DC3">
        <w:rPr>
          <w:rFonts w:ascii="Palatino Linotype" w:hAnsi="Palatino Linotype" w:cs="Arial"/>
          <w:b/>
          <w:bCs/>
          <w:i/>
          <w:iCs/>
          <w:color w:val="222222"/>
          <w:sz w:val="22"/>
          <w:szCs w:val="22"/>
          <w:lang w:val="es-ES_tradnl"/>
        </w:rPr>
        <w:t>QUEJA, RECURSO DE. LA OMISION DE RENDIR EL INFORME RESPECTIVO NO IMPIDE QUE SE RESUELV</w:t>
      </w:r>
      <w:r w:rsidRPr="00FB4DC3">
        <w:rPr>
          <w:rFonts w:ascii="Palatino Linotype" w:hAnsi="Palatino Linotype" w:cs="Arial"/>
          <w:i/>
          <w:iCs/>
          <w:color w:val="222222"/>
          <w:sz w:val="22"/>
          <w:szCs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01BC75CB" w14:textId="77777777" w:rsidR="009F0722" w:rsidRPr="00FB4DC3" w:rsidRDefault="009F0722" w:rsidP="009F0722">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i/>
          <w:iCs/>
          <w:color w:val="222222"/>
          <w:sz w:val="22"/>
          <w:szCs w:val="22"/>
          <w:lang w:val="es-ES_tradnl"/>
        </w:rPr>
      </w:pPr>
    </w:p>
    <w:p w14:paraId="5BF7F1A5" w14:textId="77777777" w:rsidR="00BC6FDD" w:rsidRPr="00FB4DC3"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Cs w:val="22"/>
          <w:lang w:eastAsia="es-MX"/>
        </w:rPr>
      </w:pPr>
      <w:r w:rsidRPr="00FB4DC3">
        <w:rPr>
          <w:rFonts w:ascii="Palatino Linotype" w:hAnsi="Palatino Linotype" w:cs="Arial"/>
          <w:color w:val="222222"/>
          <w:szCs w:val="22"/>
        </w:rPr>
        <w:t>Por lo cual se reitera, que la falta de informe justificado no impide que este Órgano Garante conozca y resuelva el recurso de revisión, solo propicia que el </w:t>
      </w:r>
      <w:r w:rsidRPr="00FB4DC3">
        <w:rPr>
          <w:rFonts w:ascii="Palatino Linotype" w:hAnsi="Palatino Linotype" w:cs="Arial"/>
          <w:b/>
          <w:bCs/>
          <w:color w:val="222222"/>
          <w:szCs w:val="22"/>
        </w:rPr>
        <w:t>SUJETO OBLIGADO</w:t>
      </w:r>
      <w:r w:rsidRPr="00FB4DC3">
        <w:rPr>
          <w:rFonts w:ascii="Palatino Linotype" w:hAnsi="Palatino Linotype" w:cs="Arial"/>
          <w:color w:val="222222"/>
          <w:szCs w:val="22"/>
        </w:rPr>
        <w:t> pierda la oportunidad de justificar su falta de respuesta y manifestar lo que a su derecho convenga.</w:t>
      </w:r>
    </w:p>
    <w:p w14:paraId="4A76603E" w14:textId="77777777" w:rsidR="00E65B7C" w:rsidRPr="00FB4DC3" w:rsidRDefault="00E65B7C" w:rsidP="00E65B7C">
      <w:pPr>
        <w:pStyle w:val="Prrafodelista"/>
        <w:spacing w:before="240" w:after="240" w:line="360" w:lineRule="auto"/>
        <w:ind w:left="0"/>
        <w:jc w:val="both"/>
        <w:rPr>
          <w:rFonts w:ascii="Palatino Linotype" w:hAnsi="Palatino Linotype"/>
          <w:i/>
          <w:color w:val="000000"/>
          <w:szCs w:val="22"/>
        </w:rPr>
      </w:pPr>
    </w:p>
    <w:p w14:paraId="04016115" w14:textId="112BE686" w:rsidR="00BC6FDD" w:rsidRPr="00FB4DC3" w:rsidRDefault="00465ADC" w:rsidP="00463BCB">
      <w:pPr>
        <w:pStyle w:val="Prrafodelista"/>
        <w:numPr>
          <w:ilvl w:val="0"/>
          <w:numId w:val="3"/>
        </w:numPr>
        <w:spacing w:line="360" w:lineRule="auto"/>
        <w:ind w:left="0" w:firstLine="0"/>
        <w:jc w:val="both"/>
        <w:rPr>
          <w:rFonts w:ascii="Palatino Linotype" w:hAnsi="Palatino Linotype" w:cs="Tahoma"/>
          <w:szCs w:val="22"/>
        </w:rPr>
      </w:pPr>
      <w:r w:rsidRPr="00FB4DC3">
        <w:rPr>
          <w:rFonts w:ascii="Palatino Linotype" w:eastAsia="Calibri" w:hAnsi="Palatino Linotype" w:cs="Arial"/>
          <w:szCs w:val="22"/>
          <w:lang w:val="es-ES"/>
        </w:rPr>
        <w:t xml:space="preserve">El </w:t>
      </w:r>
      <w:r w:rsidR="00225F48" w:rsidRPr="00FB4DC3">
        <w:rPr>
          <w:rFonts w:ascii="Palatino Linotype" w:eastAsia="Calibri" w:hAnsi="Palatino Linotype" w:cs="Arial"/>
          <w:szCs w:val="22"/>
          <w:lang w:val="es-ES"/>
        </w:rPr>
        <w:t xml:space="preserve">diecisiete  </w:t>
      </w:r>
      <w:r w:rsidR="00080DD7" w:rsidRPr="00FB4DC3">
        <w:rPr>
          <w:rFonts w:ascii="Palatino Linotype" w:eastAsia="Calibri" w:hAnsi="Palatino Linotype" w:cs="Arial"/>
          <w:szCs w:val="22"/>
          <w:lang w:val="es-ES"/>
        </w:rPr>
        <w:t>de enero de dos mil veinticuatro</w:t>
      </w:r>
      <w:r w:rsidR="00D57154" w:rsidRPr="00FB4DC3">
        <w:rPr>
          <w:rFonts w:ascii="Palatino Linotype" w:eastAsia="Calibri" w:hAnsi="Palatino Linotype" w:cs="Arial"/>
          <w:szCs w:val="22"/>
          <w:lang w:val="es-ES"/>
        </w:rPr>
        <w:t>, la</w:t>
      </w:r>
      <w:r w:rsidR="00D57154" w:rsidRPr="00FB4DC3">
        <w:rPr>
          <w:rFonts w:ascii="Palatino Linotype" w:hAnsi="Palatino Linotype"/>
          <w:szCs w:val="22"/>
        </w:rPr>
        <w:t xml:space="preserve"> Comisionada Ponente decretó el cierre de instrucción, p</w:t>
      </w:r>
      <w:r w:rsidR="00D57154" w:rsidRPr="00FB4DC3">
        <w:rPr>
          <w:rFonts w:ascii="Palatino Linotype" w:hAnsi="Palatino Linotype" w:cs="Tahoma"/>
          <w:szCs w:val="22"/>
        </w:rPr>
        <w:t>or lo que turnó la presente resolución para su aprobación.</w:t>
      </w:r>
    </w:p>
    <w:p w14:paraId="2A7F6D02" w14:textId="77777777" w:rsidR="00467E24" w:rsidRPr="00FB4DC3" w:rsidRDefault="00467E24" w:rsidP="00467E24">
      <w:pPr>
        <w:pStyle w:val="Prrafodelista"/>
        <w:spacing w:line="360" w:lineRule="auto"/>
        <w:ind w:left="0"/>
        <w:jc w:val="both"/>
        <w:rPr>
          <w:rFonts w:ascii="Palatino Linotype" w:eastAsia="Calibri" w:hAnsi="Palatino Linotype" w:cs="Arial"/>
          <w:szCs w:val="22"/>
          <w:lang w:val="es-ES"/>
        </w:rPr>
      </w:pPr>
    </w:p>
    <w:p w14:paraId="4995D5BB" w14:textId="727872A9" w:rsidR="00467E24" w:rsidRPr="00FB4DC3" w:rsidRDefault="00467E24" w:rsidP="00467E24">
      <w:pPr>
        <w:pStyle w:val="Prrafodelista"/>
        <w:numPr>
          <w:ilvl w:val="0"/>
          <w:numId w:val="3"/>
        </w:numPr>
        <w:spacing w:line="360" w:lineRule="auto"/>
        <w:ind w:left="0" w:firstLine="0"/>
        <w:jc w:val="both"/>
        <w:rPr>
          <w:rFonts w:ascii="Palatino Linotype" w:hAnsi="Palatino Linotype" w:cs="Tahoma"/>
          <w:szCs w:val="22"/>
        </w:rPr>
      </w:pPr>
      <w:r w:rsidRPr="00FB4DC3">
        <w:rPr>
          <w:rFonts w:ascii="Palatino Linotype" w:hAnsi="Palatino Linotype" w:cs="Tahoma"/>
          <w:szCs w:val="22"/>
        </w:rPr>
        <w:lastRenderedPageBreak/>
        <w:t xml:space="preserve">El </w:t>
      </w:r>
      <w:r w:rsidR="00080DD7" w:rsidRPr="00FB4DC3">
        <w:rPr>
          <w:rFonts w:ascii="Palatino Linotype" w:hAnsi="Palatino Linotype" w:cs="Tahoma"/>
          <w:szCs w:val="22"/>
        </w:rPr>
        <w:t>veintidós de enero de dos mil veinticinco</w:t>
      </w:r>
      <w:r w:rsidRPr="00FB4DC3">
        <w:rPr>
          <w:rFonts w:ascii="Palatino Linotype" w:hAnsi="Palatino Linotype" w:cs="Tahoma"/>
          <w:szCs w:val="22"/>
        </w:rPr>
        <w:t xml:space="preserve">, en la </w:t>
      </w:r>
      <w:r w:rsidR="00080DD7" w:rsidRPr="00FB4DC3">
        <w:rPr>
          <w:rFonts w:ascii="Palatino Linotype" w:hAnsi="Palatino Linotype" w:cs="Tahoma"/>
          <w:szCs w:val="22"/>
        </w:rPr>
        <w:t>Segunda</w:t>
      </w:r>
      <w:r w:rsidR="00A62A4B" w:rsidRPr="00FB4DC3">
        <w:rPr>
          <w:rFonts w:ascii="Palatino Linotype" w:hAnsi="Palatino Linotype" w:cs="Tahoma"/>
          <w:szCs w:val="22"/>
        </w:rPr>
        <w:t xml:space="preserve"> </w:t>
      </w:r>
      <w:r w:rsidRPr="00FB4DC3">
        <w:rPr>
          <w:rFonts w:ascii="Palatino Linotype" w:hAnsi="Palatino Linotype" w:cs="Tahoma"/>
          <w:szCs w:val="22"/>
        </w:rPr>
        <w:t xml:space="preserve">Sesión Ordinaria, el Pleno del Instituto de Transparencia, Acceso a la Información Pública y Protección de Datos Personales del Estado de México y Municipios, aprobó por Unanimidad de votos, la resolución dictada </w:t>
      </w:r>
      <w:r w:rsidR="009E7062" w:rsidRPr="00FB4DC3">
        <w:rPr>
          <w:rFonts w:ascii="Palatino Linotype" w:hAnsi="Palatino Linotype" w:cs="Tahoma"/>
          <w:szCs w:val="22"/>
        </w:rPr>
        <w:t xml:space="preserve">en el recurso de revisión </w:t>
      </w:r>
      <w:r w:rsidR="00080DD7" w:rsidRPr="00FB4DC3">
        <w:rPr>
          <w:rFonts w:ascii="Palatino Linotype" w:hAnsi="Palatino Linotype" w:cs="Tahoma"/>
          <w:szCs w:val="22"/>
        </w:rPr>
        <w:t>07568/INFOEM/IP/RR/2024</w:t>
      </w:r>
      <w:r w:rsidRPr="00FB4DC3">
        <w:rPr>
          <w:rFonts w:ascii="Palatino Linotype" w:hAnsi="Palatino Linotype" w:cs="Tahoma"/>
          <w:szCs w:val="22"/>
        </w:rPr>
        <w:t xml:space="preserve"> en la cual se determinó lo siguiente:</w:t>
      </w:r>
    </w:p>
    <w:p w14:paraId="143548B8" w14:textId="77777777" w:rsidR="00467E24" w:rsidRPr="00FB4DC3" w:rsidRDefault="00467E24" w:rsidP="00467E24">
      <w:pPr>
        <w:pStyle w:val="Prrafodelista"/>
        <w:rPr>
          <w:rFonts w:ascii="Palatino Linotype" w:hAnsi="Palatino Linotype" w:cs="Tahoma"/>
          <w:szCs w:val="22"/>
        </w:rPr>
      </w:pPr>
    </w:p>
    <w:p w14:paraId="3B498526" w14:textId="77777777" w:rsidR="00080DD7" w:rsidRPr="00FB4DC3" w:rsidRDefault="00080DD7" w:rsidP="00080DD7">
      <w:pPr>
        <w:tabs>
          <w:tab w:val="left" w:pos="8647"/>
        </w:tabs>
        <w:ind w:left="567" w:right="539"/>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PRIMERO.</w:t>
      </w:r>
      <w:r w:rsidRPr="00FB4DC3">
        <w:rPr>
          <w:rFonts w:ascii="Palatino Linotype" w:eastAsia="Palatino Linotype" w:hAnsi="Palatino Linotype" w:cs="Palatino Linotype"/>
          <w:i/>
          <w:sz w:val="22"/>
        </w:rPr>
        <w:t xml:space="preserve"> Resultan fundadas las razones o motivos de inconformidad hechos valer por el </w:t>
      </w:r>
      <w:r w:rsidRPr="00FB4DC3">
        <w:rPr>
          <w:rFonts w:ascii="Palatino Linotype" w:eastAsia="Palatino Linotype" w:hAnsi="Palatino Linotype" w:cs="Palatino Linotype"/>
          <w:b/>
          <w:i/>
          <w:sz w:val="22"/>
        </w:rPr>
        <w:t>Recurrente,</w:t>
      </w:r>
      <w:r w:rsidRPr="00FB4DC3">
        <w:rPr>
          <w:rFonts w:ascii="Palatino Linotype" w:eastAsia="Palatino Linotype" w:hAnsi="Palatino Linotype" w:cs="Palatino Linotype"/>
          <w:i/>
          <w:sz w:val="22"/>
        </w:rPr>
        <w:t xml:space="preserve"> en términos del considerando </w:t>
      </w:r>
      <w:r w:rsidRPr="00FB4DC3">
        <w:rPr>
          <w:rFonts w:ascii="Palatino Linotype" w:eastAsia="Palatino Linotype" w:hAnsi="Palatino Linotype" w:cs="Palatino Linotype"/>
          <w:b/>
          <w:i/>
          <w:sz w:val="22"/>
        </w:rPr>
        <w:t>TERCERO</w:t>
      </w:r>
      <w:r w:rsidRPr="00FB4DC3">
        <w:rPr>
          <w:rFonts w:ascii="Palatino Linotype" w:eastAsia="Palatino Linotype" w:hAnsi="Palatino Linotype" w:cs="Palatino Linotype"/>
          <w:i/>
          <w:sz w:val="22"/>
        </w:rPr>
        <w:t>, de la presente resolución.</w:t>
      </w:r>
    </w:p>
    <w:p w14:paraId="0E85CA84" w14:textId="77777777" w:rsidR="00080DD7" w:rsidRPr="00FB4DC3" w:rsidRDefault="00080DD7" w:rsidP="00080DD7">
      <w:pPr>
        <w:tabs>
          <w:tab w:val="left" w:pos="8647"/>
        </w:tabs>
        <w:ind w:left="567" w:right="539"/>
        <w:jc w:val="both"/>
        <w:rPr>
          <w:rFonts w:ascii="Palatino Linotype" w:eastAsia="Palatino Linotype" w:hAnsi="Palatino Linotype" w:cs="Palatino Linotype"/>
          <w:i/>
          <w:sz w:val="22"/>
        </w:rPr>
      </w:pPr>
    </w:p>
    <w:p w14:paraId="3DB6D6E9" w14:textId="77777777" w:rsidR="00080DD7" w:rsidRPr="00FB4DC3" w:rsidRDefault="00080DD7" w:rsidP="00080DD7">
      <w:pPr>
        <w:tabs>
          <w:tab w:val="left" w:pos="8647"/>
        </w:tabs>
        <w:ind w:left="567" w:right="539"/>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SEGUNDO.</w:t>
      </w:r>
      <w:r w:rsidRPr="00FB4DC3">
        <w:rPr>
          <w:rFonts w:ascii="Palatino Linotype" w:eastAsia="Palatino Linotype" w:hAnsi="Palatino Linotype" w:cs="Palatino Linotype"/>
          <w:i/>
          <w:sz w:val="22"/>
        </w:rPr>
        <w:t xml:space="preserve"> Se </w:t>
      </w:r>
      <w:r w:rsidRPr="00FB4DC3">
        <w:rPr>
          <w:rFonts w:ascii="Palatino Linotype" w:eastAsia="Palatino Linotype" w:hAnsi="Palatino Linotype" w:cs="Palatino Linotype"/>
          <w:b/>
          <w:i/>
          <w:sz w:val="22"/>
        </w:rPr>
        <w:t>ORDENA</w:t>
      </w:r>
      <w:r w:rsidRPr="00FB4DC3">
        <w:rPr>
          <w:rFonts w:ascii="Palatino Linotype" w:eastAsia="Palatino Linotype" w:hAnsi="Palatino Linotype" w:cs="Palatino Linotype"/>
          <w:i/>
          <w:sz w:val="22"/>
        </w:rPr>
        <w:t xml:space="preserve"> al </w:t>
      </w:r>
      <w:r w:rsidRPr="00FB4DC3">
        <w:rPr>
          <w:rFonts w:ascii="Palatino Linotype" w:eastAsia="Palatino Linotype" w:hAnsi="Palatino Linotype" w:cs="Palatino Linotype"/>
          <w:b/>
          <w:i/>
          <w:sz w:val="22"/>
        </w:rPr>
        <w:t>Sujeto Obligado</w:t>
      </w:r>
      <w:r w:rsidRPr="00FB4DC3">
        <w:rPr>
          <w:rFonts w:ascii="Palatino Linotype" w:eastAsia="Palatino Linotype" w:hAnsi="Palatino Linotype" w:cs="Palatino Linotype"/>
          <w:i/>
          <w:sz w:val="22"/>
        </w:rPr>
        <w:t xml:space="preserve"> atienda la solicitud de información </w:t>
      </w:r>
      <w:r w:rsidRPr="00FB4DC3">
        <w:rPr>
          <w:rFonts w:ascii="Palatino Linotype" w:eastAsia="Palatino Linotype" w:hAnsi="Palatino Linotype" w:cs="Palatino Linotype"/>
          <w:b/>
          <w:i/>
          <w:sz w:val="22"/>
        </w:rPr>
        <w:t xml:space="preserve">00146/RAYON/IP/2024, </w:t>
      </w:r>
      <w:r w:rsidRPr="00FB4DC3">
        <w:rPr>
          <w:rFonts w:ascii="Palatino Linotype" w:eastAsia="Palatino Linotype" w:hAnsi="Palatino Linotype" w:cs="Palatino Linotype"/>
          <w:i/>
          <w:sz w:val="22"/>
        </w:rPr>
        <w:t xml:space="preserve">vía Sistema de Acceso a la Información Mexiquense </w:t>
      </w:r>
      <w:r w:rsidRPr="00FB4DC3">
        <w:rPr>
          <w:rFonts w:ascii="Palatino Linotype" w:eastAsia="Palatino Linotype" w:hAnsi="Palatino Linotype" w:cs="Palatino Linotype"/>
          <w:b/>
          <w:i/>
          <w:sz w:val="22"/>
        </w:rPr>
        <w:t>(SAIMEX)</w:t>
      </w:r>
      <w:r w:rsidRPr="00FB4DC3">
        <w:rPr>
          <w:rFonts w:ascii="Palatino Linotype" w:eastAsia="Palatino Linotype" w:hAnsi="Palatino Linotype" w:cs="Palatino Linotype"/>
          <w:i/>
          <w:sz w:val="22"/>
        </w:rPr>
        <w:t xml:space="preserve">, en términos del Considerando </w:t>
      </w:r>
      <w:r w:rsidRPr="00FB4DC3">
        <w:rPr>
          <w:rFonts w:ascii="Palatino Linotype" w:eastAsia="Palatino Linotype" w:hAnsi="Palatino Linotype" w:cs="Palatino Linotype"/>
          <w:b/>
          <w:i/>
          <w:sz w:val="22"/>
        </w:rPr>
        <w:t xml:space="preserve">TERCERO </w:t>
      </w:r>
      <w:r w:rsidRPr="00FB4DC3">
        <w:rPr>
          <w:rFonts w:ascii="Palatino Linotype" w:eastAsia="Palatino Linotype" w:hAnsi="Palatino Linotype" w:cs="Palatino Linotype"/>
          <w:i/>
          <w:sz w:val="22"/>
        </w:rPr>
        <w:t>de esta resolución</w:t>
      </w:r>
      <w:r w:rsidRPr="00FB4DC3">
        <w:rPr>
          <w:rFonts w:ascii="Palatino Linotype" w:eastAsia="Palatino Linotype" w:hAnsi="Palatino Linotype" w:cs="Palatino Linotype"/>
          <w:b/>
          <w:i/>
          <w:sz w:val="22"/>
        </w:rPr>
        <w:t>.</w:t>
      </w:r>
    </w:p>
    <w:p w14:paraId="2A5F81E3" w14:textId="77777777" w:rsidR="00080DD7" w:rsidRPr="00FB4DC3" w:rsidRDefault="00080DD7" w:rsidP="00080DD7">
      <w:pPr>
        <w:tabs>
          <w:tab w:val="left" w:pos="8647"/>
        </w:tabs>
        <w:ind w:left="567" w:right="539"/>
        <w:jc w:val="both"/>
        <w:rPr>
          <w:rFonts w:ascii="Palatino Linotype" w:eastAsia="Palatino Linotype" w:hAnsi="Palatino Linotype" w:cs="Palatino Linotype"/>
          <w:i/>
          <w:sz w:val="22"/>
        </w:rPr>
      </w:pPr>
    </w:p>
    <w:p w14:paraId="2D06A1C1" w14:textId="77777777" w:rsidR="00080DD7" w:rsidRPr="00FB4DC3" w:rsidRDefault="00080DD7" w:rsidP="00080DD7">
      <w:pPr>
        <w:tabs>
          <w:tab w:val="left" w:pos="8647"/>
        </w:tabs>
        <w:ind w:left="567" w:right="539"/>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TERCERO</w:t>
      </w:r>
      <w:r w:rsidRPr="00FB4DC3">
        <w:rPr>
          <w:rFonts w:ascii="Palatino Linotype" w:eastAsia="Palatino Linotype" w:hAnsi="Palatino Linotype" w:cs="Palatino Linotype"/>
          <w:i/>
          <w:sz w:val="22"/>
        </w:rPr>
        <w:t xml:space="preserve">. </w:t>
      </w:r>
      <w:r w:rsidRPr="00FB4DC3">
        <w:rPr>
          <w:rFonts w:ascii="Palatino Linotype" w:eastAsia="Palatino Linotype" w:hAnsi="Palatino Linotype" w:cs="Palatino Linotype"/>
          <w:b/>
          <w:i/>
          <w:sz w:val="22"/>
        </w:rPr>
        <w:t>Notifíquese</w:t>
      </w:r>
      <w:r w:rsidRPr="00FB4DC3">
        <w:rPr>
          <w:rFonts w:ascii="Palatino Linotype" w:eastAsia="Palatino Linotype" w:hAnsi="Palatino Linotype" w:cs="Palatino Linotype"/>
          <w:i/>
          <w:sz w:val="22"/>
        </w:rPr>
        <w:t xml:space="preserve">, vía Sistema de Acceso a la Información Mexiquense </w:t>
      </w:r>
      <w:r w:rsidRPr="00FB4DC3">
        <w:rPr>
          <w:rFonts w:ascii="Palatino Linotype" w:eastAsia="Palatino Linotype" w:hAnsi="Palatino Linotype" w:cs="Palatino Linotype"/>
          <w:b/>
          <w:i/>
          <w:sz w:val="22"/>
        </w:rPr>
        <w:t>(SAIMEX),</w:t>
      </w:r>
      <w:r w:rsidRPr="00FB4DC3">
        <w:rPr>
          <w:rFonts w:ascii="Palatino Linotype" w:eastAsia="Palatino Linotype" w:hAnsi="Palatino Linotype" w:cs="Palatino Linotype"/>
          <w:i/>
          <w:sz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783D1B" w14:textId="77777777" w:rsidR="00080DD7" w:rsidRPr="00FB4DC3" w:rsidRDefault="00080DD7" w:rsidP="00080DD7">
      <w:pPr>
        <w:tabs>
          <w:tab w:val="left" w:pos="8647"/>
        </w:tabs>
        <w:ind w:left="567" w:right="539"/>
        <w:jc w:val="both"/>
        <w:rPr>
          <w:rFonts w:ascii="Palatino Linotype" w:eastAsia="Palatino Linotype" w:hAnsi="Palatino Linotype" w:cs="Palatino Linotype"/>
          <w:b/>
          <w:i/>
          <w:sz w:val="22"/>
        </w:rPr>
      </w:pPr>
    </w:p>
    <w:p w14:paraId="09CD2667" w14:textId="77777777" w:rsidR="00080DD7" w:rsidRPr="00FB4DC3" w:rsidRDefault="00080DD7" w:rsidP="00080DD7">
      <w:pPr>
        <w:tabs>
          <w:tab w:val="left" w:pos="8647"/>
        </w:tabs>
        <w:ind w:left="567" w:right="539"/>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CUARTO</w:t>
      </w:r>
      <w:r w:rsidRPr="00FB4DC3">
        <w:rPr>
          <w:rFonts w:ascii="Palatino Linotype" w:eastAsia="Palatino Linotype" w:hAnsi="Palatino Linotype" w:cs="Palatino Linotype"/>
          <w:i/>
          <w:sz w:val="22"/>
        </w:rPr>
        <w:t xml:space="preserve">. </w:t>
      </w:r>
      <w:r w:rsidRPr="00FB4DC3">
        <w:rPr>
          <w:rFonts w:ascii="Palatino Linotype" w:eastAsia="Palatino Linotype" w:hAnsi="Palatino Linotype" w:cs="Palatino Linotype"/>
          <w:b/>
          <w:i/>
          <w:sz w:val="22"/>
        </w:rPr>
        <w:t>Notifíquese</w:t>
      </w:r>
      <w:r w:rsidRPr="00FB4DC3">
        <w:rPr>
          <w:rFonts w:ascii="Palatino Linotype" w:eastAsia="Palatino Linotype" w:hAnsi="Palatino Linotype" w:cs="Palatino Linotype"/>
          <w:i/>
          <w:sz w:val="22"/>
        </w:rPr>
        <w:t xml:space="preserve">, vía Sistema de Acceso a la Información Mexiquense </w:t>
      </w:r>
      <w:r w:rsidRPr="00FB4DC3">
        <w:rPr>
          <w:rFonts w:ascii="Palatino Linotype" w:eastAsia="Palatino Linotype" w:hAnsi="Palatino Linotype" w:cs="Palatino Linotype"/>
          <w:b/>
          <w:i/>
          <w:sz w:val="22"/>
        </w:rPr>
        <w:t>(SAIMEX)</w:t>
      </w:r>
      <w:r w:rsidRPr="00FB4DC3">
        <w:rPr>
          <w:rFonts w:ascii="Palatino Linotype" w:eastAsia="Palatino Linotype" w:hAnsi="Palatino Linotype" w:cs="Palatino Linotype"/>
          <w:i/>
          <w:sz w:val="22"/>
        </w:rPr>
        <w:t xml:space="preserve"> al </w:t>
      </w:r>
      <w:r w:rsidRPr="00FB4DC3">
        <w:rPr>
          <w:rFonts w:ascii="Palatino Linotype" w:eastAsia="Palatino Linotype" w:hAnsi="Palatino Linotype" w:cs="Palatino Linotype"/>
          <w:b/>
          <w:i/>
          <w:sz w:val="22"/>
        </w:rPr>
        <w:t>Recurrente</w:t>
      </w:r>
      <w:r w:rsidRPr="00FB4DC3">
        <w:rPr>
          <w:rFonts w:ascii="Palatino Linotype" w:eastAsia="Palatino Linotype" w:hAnsi="Palatino Linotype" w:cs="Palatino Linotype"/>
          <w:i/>
          <w:sz w:val="22"/>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1E46FEFC" w14:textId="77777777" w:rsidR="00080DD7" w:rsidRPr="00FB4DC3" w:rsidRDefault="00080DD7" w:rsidP="00080DD7">
      <w:pPr>
        <w:ind w:left="567" w:right="539"/>
        <w:jc w:val="both"/>
        <w:rPr>
          <w:rFonts w:ascii="Palatino Linotype" w:eastAsia="Palatino Linotype" w:hAnsi="Palatino Linotype" w:cs="Palatino Linotype"/>
          <w:i/>
          <w:sz w:val="22"/>
        </w:rPr>
      </w:pPr>
    </w:p>
    <w:p w14:paraId="24B0BA8D" w14:textId="77777777" w:rsidR="00080DD7" w:rsidRPr="00FB4DC3" w:rsidRDefault="00080DD7" w:rsidP="00080DD7">
      <w:pPr>
        <w:ind w:left="567" w:right="539"/>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QUINTO</w:t>
      </w:r>
      <w:r w:rsidRPr="00FB4DC3">
        <w:rPr>
          <w:rFonts w:ascii="Palatino Linotype" w:eastAsia="Palatino Linotype" w:hAnsi="Palatino Linotype" w:cs="Palatino Linotype"/>
          <w:i/>
          <w:sz w:val="22"/>
        </w:rPr>
        <w:t xml:space="preserve">. </w:t>
      </w:r>
      <w:r w:rsidRPr="00FB4DC3">
        <w:rPr>
          <w:rFonts w:ascii="Palatino Linotype" w:eastAsia="Palatino Linotype" w:hAnsi="Palatino Linotype" w:cs="Palatino Linotype"/>
          <w:b/>
          <w:i/>
          <w:sz w:val="22"/>
        </w:rPr>
        <w:t>Se hace del conocimiento</w:t>
      </w:r>
      <w:r w:rsidRPr="00FB4DC3">
        <w:rPr>
          <w:rFonts w:ascii="Palatino Linotype" w:eastAsia="Palatino Linotype" w:hAnsi="Palatino Linotype" w:cs="Palatino Linotype"/>
          <w:i/>
          <w:sz w:val="22"/>
        </w:rPr>
        <w:t xml:space="preserve"> del </w:t>
      </w:r>
      <w:r w:rsidRPr="00FB4DC3">
        <w:rPr>
          <w:rFonts w:ascii="Palatino Linotype" w:eastAsia="Palatino Linotype" w:hAnsi="Palatino Linotype" w:cs="Palatino Linotype"/>
          <w:b/>
          <w:i/>
          <w:sz w:val="22"/>
        </w:rPr>
        <w:t>Recurrente</w:t>
      </w:r>
      <w:r w:rsidRPr="00FB4DC3">
        <w:rPr>
          <w:rFonts w:ascii="Palatino Linotype" w:eastAsia="Palatino Linotype" w:hAnsi="Palatino Linotype" w:cs="Palatino Linotype"/>
          <w:i/>
          <w:sz w:val="22"/>
        </w:rPr>
        <w:t xml:space="preserve"> que, de conformidad con lo establecido en el artículo 179, párrafo segundo, de la Ley de Transparencia y Acceso a la Información Pública del Estado de México y Municipios, tiene derecho a interponer </w:t>
      </w:r>
      <w:r w:rsidRPr="00FB4DC3">
        <w:rPr>
          <w:rFonts w:ascii="Palatino Linotype" w:eastAsia="Palatino Linotype" w:hAnsi="Palatino Linotype" w:cs="Palatino Linotype"/>
          <w:i/>
          <w:sz w:val="22"/>
        </w:rPr>
        <w:lastRenderedPageBreak/>
        <w:t>nuevamente Recurso de Revisión ante este Instituto, por la respuesta que proporcione el Sujeto Obligado, en cumplimiento a esta Resolución.</w:t>
      </w:r>
    </w:p>
    <w:p w14:paraId="2AF1851F" w14:textId="77777777" w:rsidR="00080DD7" w:rsidRPr="00FB4DC3" w:rsidRDefault="00080DD7" w:rsidP="00080DD7">
      <w:pPr>
        <w:ind w:left="567" w:right="539"/>
        <w:jc w:val="both"/>
        <w:rPr>
          <w:rFonts w:ascii="Palatino Linotype" w:eastAsia="Palatino Linotype" w:hAnsi="Palatino Linotype" w:cs="Palatino Linotype"/>
          <w:i/>
          <w:sz w:val="22"/>
        </w:rPr>
      </w:pPr>
      <w:bookmarkStart w:id="5" w:name="_heading=h.gjdgxs" w:colFirst="0" w:colLast="0"/>
      <w:bookmarkEnd w:id="5"/>
    </w:p>
    <w:p w14:paraId="77D0F53A" w14:textId="48694607" w:rsidR="00467E24" w:rsidRPr="00FB4DC3" w:rsidRDefault="00080DD7" w:rsidP="00080DD7">
      <w:pPr>
        <w:ind w:left="567" w:right="539"/>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SEXTO</w:t>
      </w:r>
      <w:r w:rsidRPr="00FB4DC3">
        <w:rPr>
          <w:rFonts w:ascii="Palatino Linotype" w:eastAsia="Palatino Linotype" w:hAnsi="Palatino Linotype" w:cs="Palatino Linotype"/>
          <w:i/>
          <w:sz w:val="22"/>
        </w:rPr>
        <w:t xml:space="preserve">. </w:t>
      </w:r>
      <w:r w:rsidRPr="00FB4DC3">
        <w:rPr>
          <w:rFonts w:ascii="Palatino Linotype" w:eastAsia="Palatino Linotype" w:hAnsi="Palatino Linotype" w:cs="Palatino Linotype"/>
          <w:b/>
          <w:i/>
          <w:sz w:val="22"/>
        </w:rPr>
        <w:t>Gírese</w:t>
      </w:r>
      <w:r w:rsidRPr="00FB4DC3">
        <w:rPr>
          <w:rFonts w:ascii="Palatino Linotype" w:eastAsia="Palatino Linotype" w:hAnsi="Palatino Linotype" w:cs="Palatino Linotype"/>
          <w:i/>
          <w:sz w:val="22"/>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FB4DC3">
        <w:rPr>
          <w:rFonts w:ascii="Palatino Linotype" w:eastAsia="Palatino Linotype" w:hAnsi="Palatino Linotype" w:cs="Palatino Linotype"/>
          <w:b/>
          <w:i/>
          <w:sz w:val="22"/>
        </w:rPr>
        <w:t>Considerando TERCERO</w:t>
      </w:r>
      <w:r w:rsidRPr="00FB4DC3">
        <w:rPr>
          <w:rFonts w:ascii="Palatino Linotype" w:eastAsia="Palatino Linotype" w:hAnsi="Palatino Linotype" w:cs="Palatino Linotype"/>
          <w:i/>
          <w:sz w:val="22"/>
        </w:rPr>
        <w:t xml:space="preserve"> de la presente resolución.</w:t>
      </w:r>
    </w:p>
    <w:p w14:paraId="56409618" w14:textId="77777777" w:rsidR="00467E24" w:rsidRPr="00FB4DC3" w:rsidRDefault="00467E24" w:rsidP="00465ADC">
      <w:pPr>
        <w:rPr>
          <w:rFonts w:ascii="Palatino Linotype" w:eastAsia="Calibri" w:hAnsi="Palatino Linotype" w:cs="Arial"/>
          <w:sz w:val="22"/>
          <w:szCs w:val="22"/>
          <w:lang w:val="es-ES"/>
        </w:rPr>
      </w:pPr>
    </w:p>
    <w:p w14:paraId="348C57D3" w14:textId="31758EBE" w:rsidR="00467E24" w:rsidRPr="00FB4DC3" w:rsidRDefault="009A3BD4" w:rsidP="00A62A4B">
      <w:pPr>
        <w:pStyle w:val="Prrafodelista"/>
        <w:numPr>
          <w:ilvl w:val="0"/>
          <w:numId w:val="3"/>
        </w:numPr>
        <w:spacing w:line="360" w:lineRule="auto"/>
        <w:ind w:left="0" w:firstLine="0"/>
        <w:jc w:val="both"/>
        <w:rPr>
          <w:rFonts w:ascii="Palatino Linotype" w:hAnsi="Palatino Linotype" w:cs="Tahoma"/>
          <w:szCs w:val="22"/>
        </w:rPr>
      </w:pPr>
      <w:r w:rsidRPr="00FB4DC3">
        <w:rPr>
          <w:rFonts w:ascii="Palatino Linotype" w:hAnsi="Palatino Linotype" w:cs="Tahoma"/>
          <w:szCs w:val="22"/>
        </w:rPr>
        <w:t xml:space="preserve">El </w:t>
      </w:r>
      <w:r w:rsidR="00080DD7" w:rsidRPr="00FB4DC3">
        <w:rPr>
          <w:rFonts w:ascii="Palatino Linotype" w:hAnsi="Palatino Linotype" w:cs="Tahoma"/>
          <w:szCs w:val="22"/>
        </w:rPr>
        <w:t>trece de febrero de dos mil veinticinco</w:t>
      </w:r>
      <w:r w:rsidR="00AB4D16" w:rsidRPr="00FB4DC3">
        <w:rPr>
          <w:rFonts w:ascii="Palatino Linotype" w:hAnsi="Palatino Linotype" w:cs="Tahoma"/>
          <w:szCs w:val="22"/>
        </w:rPr>
        <w:t xml:space="preserve">, se notificó el acuerdo de incumplimiento </w:t>
      </w:r>
      <w:r w:rsidR="00C70899" w:rsidRPr="00FB4DC3">
        <w:rPr>
          <w:rFonts w:ascii="Palatino Linotype" w:hAnsi="Palatino Linotype" w:cs="Tahoma"/>
          <w:szCs w:val="22"/>
        </w:rPr>
        <w:t>a la resolución emitida al recurso de revisión.</w:t>
      </w:r>
    </w:p>
    <w:p w14:paraId="6490223A" w14:textId="77777777" w:rsidR="00844685" w:rsidRPr="00FB4DC3" w:rsidRDefault="00844685" w:rsidP="00E81009">
      <w:pPr>
        <w:pStyle w:val="Prrafodelista"/>
        <w:spacing w:line="360" w:lineRule="auto"/>
        <w:ind w:left="0"/>
        <w:jc w:val="both"/>
        <w:rPr>
          <w:rFonts w:ascii="Palatino Linotype" w:hAnsi="Palatino Linotype" w:cs="Tahoma"/>
          <w:szCs w:val="22"/>
        </w:rPr>
      </w:pPr>
    </w:p>
    <w:p w14:paraId="07121C09" w14:textId="03DBC507" w:rsidR="00467E24" w:rsidRPr="00FB4DC3" w:rsidRDefault="00467E24" w:rsidP="00467E24">
      <w:pPr>
        <w:pStyle w:val="Prrafodelista"/>
        <w:numPr>
          <w:ilvl w:val="0"/>
          <w:numId w:val="3"/>
        </w:numPr>
        <w:spacing w:line="360" w:lineRule="auto"/>
        <w:ind w:left="0" w:firstLine="0"/>
        <w:jc w:val="both"/>
        <w:rPr>
          <w:rFonts w:ascii="Palatino Linotype" w:hAnsi="Palatino Linotype" w:cs="Tahoma"/>
          <w:szCs w:val="22"/>
        </w:rPr>
      </w:pPr>
      <w:r w:rsidRPr="00FB4DC3">
        <w:rPr>
          <w:rFonts w:ascii="Palatino Linotype" w:hAnsi="Palatino Linotype" w:cs="Tahoma"/>
          <w:szCs w:val="22"/>
        </w:rPr>
        <w:t xml:space="preserve">El </w:t>
      </w:r>
      <w:r w:rsidR="00080DD7" w:rsidRPr="00FB4DC3">
        <w:rPr>
          <w:rFonts w:ascii="Palatino Linotype" w:hAnsi="Palatino Linotype" w:cs="Tahoma"/>
          <w:szCs w:val="22"/>
        </w:rPr>
        <w:t>veintiuno de febrero de dos mil veinticinco</w:t>
      </w:r>
      <w:r w:rsidRPr="00FB4DC3">
        <w:rPr>
          <w:rFonts w:ascii="Palatino Linotype" w:hAnsi="Palatino Linotype" w:cs="Tahoma"/>
          <w:szCs w:val="22"/>
        </w:rPr>
        <w:t xml:space="preserve">, </w:t>
      </w:r>
      <w:r w:rsidRPr="00FB4DC3">
        <w:rPr>
          <w:rFonts w:ascii="Palatino Linotype" w:hAnsi="Palatino Linotype"/>
          <w:szCs w:val="22"/>
        </w:rPr>
        <w:t xml:space="preserve">el </w:t>
      </w:r>
      <w:r w:rsidR="005E100F" w:rsidRPr="00FB4DC3">
        <w:rPr>
          <w:rFonts w:ascii="Palatino Linotype" w:hAnsi="Palatino Linotype"/>
          <w:b/>
          <w:bCs/>
          <w:szCs w:val="22"/>
        </w:rPr>
        <w:t>RECURRENTE</w:t>
      </w:r>
      <w:r w:rsidRPr="00FB4DC3">
        <w:rPr>
          <w:rFonts w:ascii="Palatino Linotype" w:hAnsi="Palatino Linotype"/>
          <w:szCs w:val="22"/>
        </w:rPr>
        <w:t xml:space="preserve"> interpuso el medio de impugnación en estudio indicando como acto impugnado y razones o motivos de inconformidad lo que a continuación se transcribe:</w:t>
      </w:r>
    </w:p>
    <w:p w14:paraId="5CCA4BB3" w14:textId="77777777" w:rsidR="00467E24" w:rsidRPr="00FB4DC3" w:rsidRDefault="00467E24" w:rsidP="00467E24">
      <w:pPr>
        <w:pStyle w:val="Prrafodelista"/>
        <w:spacing w:line="360" w:lineRule="auto"/>
        <w:ind w:left="0"/>
        <w:jc w:val="both"/>
        <w:rPr>
          <w:rFonts w:ascii="Palatino Linotype" w:hAnsi="Palatino Linotype" w:cs="Tahoma"/>
          <w:szCs w:val="22"/>
        </w:rPr>
      </w:pPr>
    </w:p>
    <w:p w14:paraId="0997C42E" w14:textId="3903D948" w:rsidR="00467E24" w:rsidRPr="00FB4DC3" w:rsidRDefault="00467E24" w:rsidP="00080DD7">
      <w:pPr>
        <w:pStyle w:val="Prrafodelista"/>
        <w:ind w:left="567"/>
        <w:jc w:val="both"/>
        <w:rPr>
          <w:rFonts w:ascii="Palatino Linotype" w:hAnsi="Palatino Linotype"/>
          <w:i/>
          <w:szCs w:val="22"/>
          <w:lang w:eastAsia="es-MX"/>
        </w:rPr>
      </w:pPr>
      <w:r w:rsidRPr="00FB4DC3">
        <w:rPr>
          <w:rFonts w:ascii="Palatino Linotype" w:hAnsi="Palatino Linotype" w:cs="Tahoma"/>
          <w:b/>
          <w:szCs w:val="22"/>
        </w:rPr>
        <w:t>Acto impugnado</w:t>
      </w:r>
      <w:r w:rsidRPr="00FB4DC3">
        <w:rPr>
          <w:rFonts w:ascii="Palatino Linotype" w:hAnsi="Palatino Linotype" w:cs="Tahoma"/>
          <w:szCs w:val="22"/>
        </w:rPr>
        <w:t xml:space="preserve"> </w:t>
      </w:r>
      <w:r w:rsidRPr="00FB4DC3">
        <w:rPr>
          <w:rFonts w:ascii="Palatino Linotype" w:hAnsi="Palatino Linotype" w:cs="Tahoma"/>
          <w:i/>
          <w:szCs w:val="22"/>
        </w:rPr>
        <w:t>“</w:t>
      </w:r>
      <w:r w:rsidR="00080DD7" w:rsidRPr="00FB4DC3">
        <w:rPr>
          <w:rFonts w:ascii="Palatino Linotype" w:hAnsi="Palatino Linotype"/>
          <w:i/>
          <w:szCs w:val="22"/>
          <w:lang w:eastAsia="es-MX"/>
        </w:rPr>
        <w:t xml:space="preserve">la </w:t>
      </w:r>
      <w:r w:rsidR="00080DD7" w:rsidRPr="00FB4DC3">
        <w:rPr>
          <w:rFonts w:ascii="Palatino Linotype" w:hAnsi="Palatino Linotype"/>
          <w:i/>
          <w:color w:val="000000"/>
          <w:szCs w:val="22"/>
        </w:rPr>
        <w:t>negativa u omisión de brindar la información solicitada.</w:t>
      </w:r>
      <w:r w:rsidR="00D57154" w:rsidRPr="00FB4DC3">
        <w:rPr>
          <w:rFonts w:ascii="Palatino Linotype" w:hAnsi="Palatino Linotype"/>
          <w:i/>
          <w:szCs w:val="22"/>
          <w:lang w:eastAsia="es-MX"/>
        </w:rPr>
        <w:t>” (Sic)</w:t>
      </w:r>
    </w:p>
    <w:p w14:paraId="4658A569" w14:textId="77777777" w:rsidR="00080DD7" w:rsidRPr="00FB4DC3" w:rsidRDefault="00080DD7" w:rsidP="00080DD7">
      <w:pPr>
        <w:pStyle w:val="Prrafodelista"/>
        <w:ind w:left="567"/>
        <w:jc w:val="both"/>
        <w:rPr>
          <w:rFonts w:ascii="Palatino Linotype" w:hAnsi="Palatino Linotype"/>
          <w:szCs w:val="22"/>
          <w:lang w:eastAsia="es-MX"/>
        </w:rPr>
      </w:pPr>
    </w:p>
    <w:p w14:paraId="1E4DD2A2" w14:textId="3136EF1C" w:rsidR="00467E24" w:rsidRPr="00FB4DC3" w:rsidRDefault="00467E24" w:rsidP="00080DD7">
      <w:pPr>
        <w:pStyle w:val="Prrafodelista"/>
        <w:ind w:left="567"/>
        <w:jc w:val="both"/>
        <w:rPr>
          <w:rFonts w:ascii="Palatino Linotype" w:hAnsi="Palatino Linotype"/>
          <w:szCs w:val="22"/>
          <w:lang w:eastAsia="es-MX"/>
        </w:rPr>
      </w:pPr>
      <w:r w:rsidRPr="00FB4DC3">
        <w:rPr>
          <w:rFonts w:ascii="Palatino Linotype" w:hAnsi="Palatino Linotype"/>
          <w:b/>
          <w:szCs w:val="22"/>
          <w:lang w:eastAsia="es-MX"/>
        </w:rPr>
        <w:t>Razones o motivos de la inconformidad</w:t>
      </w:r>
      <w:r w:rsidRPr="00FB4DC3">
        <w:rPr>
          <w:rFonts w:ascii="Palatino Linotype" w:hAnsi="Palatino Linotype"/>
          <w:szCs w:val="22"/>
          <w:lang w:eastAsia="es-MX"/>
        </w:rPr>
        <w:t xml:space="preserve"> </w:t>
      </w:r>
      <w:r w:rsidRPr="00FB4DC3">
        <w:rPr>
          <w:rFonts w:ascii="Palatino Linotype" w:hAnsi="Palatino Linotype"/>
          <w:i/>
          <w:iCs/>
          <w:szCs w:val="22"/>
          <w:lang w:eastAsia="es-MX"/>
        </w:rPr>
        <w:t>“</w:t>
      </w:r>
      <w:r w:rsidR="00080DD7" w:rsidRPr="00FB4DC3">
        <w:rPr>
          <w:rFonts w:ascii="Palatino Linotype" w:hAnsi="Palatino Linotype"/>
          <w:i/>
          <w:iCs/>
          <w:szCs w:val="22"/>
          <w:lang w:eastAsia="es-MX"/>
        </w:rPr>
        <w:t xml:space="preserve">la </w:t>
      </w:r>
      <w:r w:rsidR="00080DD7" w:rsidRPr="00FB4DC3">
        <w:rPr>
          <w:rFonts w:ascii="Palatino Linotype" w:hAnsi="Palatino Linotype"/>
          <w:i/>
          <w:color w:val="000000"/>
          <w:szCs w:val="22"/>
        </w:rPr>
        <w:t> negativa u omisión de la autoridad obligada de brindar una respuesta a una solicitud de información publica.</w:t>
      </w:r>
      <w:r w:rsidRPr="00FB4DC3">
        <w:rPr>
          <w:rFonts w:ascii="Palatino Linotype" w:hAnsi="Palatino Linotype"/>
          <w:i/>
          <w:iCs/>
          <w:szCs w:val="22"/>
          <w:lang w:eastAsia="es-MX"/>
        </w:rPr>
        <w:t>”</w:t>
      </w:r>
      <w:r w:rsidR="00D57154" w:rsidRPr="00FB4DC3">
        <w:rPr>
          <w:rFonts w:ascii="Palatino Linotype" w:hAnsi="Palatino Linotype"/>
          <w:i/>
          <w:iCs/>
          <w:szCs w:val="22"/>
          <w:lang w:eastAsia="es-MX"/>
        </w:rPr>
        <w:t xml:space="preserve"> (Sic)</w:t>
      </w:r>
    </w:p>
    <w:p w14:paraId="2A9653FD" w14:textId="77777777" w:rsidR="00467E24" w:rsidRPr="00FB4DC3" w:rsidRDefault="00467E24" w:rsidP="00467E24">
      <w:pPr>
        <w:pStyle w:val="Prrafodelista"/>
        <w:spacing w:line="360" w:lineRule="auto"/>
        <w:ind w:left="0"/>
        <w:jc w:val="both"/>
        <w:rPr>
          <w:rFonts w:ascii="Palatino Linotype" w:hAnsi="Palatino Linotype" w:cs="Tahoma"/>
          <w:szCs w:val="22"/>
        </w:rPr>
      </w:pPr>
    </w:p>
    <w:p w14:paraId="6420E128" w14:textId="76837B6F" w:rsidR="00467E24" w:rsidRPr="00FB4DC3" w:rsidRDefault="00467E24" w:rsidP="00467E24">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FB4DC3">
        <w:rPr>
          <w:rFonts w:ascii="Palatino Linotype" w:eastAsia="Calibri" w:hAnsi="Palatino Linotype" w:cs="Arial"/>
          <w:szCs w:val="22"/>
          <w:lang w:val="es-ES"/>
        </w:rPr>
        <w:t>La Comisionada Ponente con fundamento en lo dispuesto por el artículo 185 fracción II de la ley de la materia, a través del acuerdo de admisión de fecha</w:t>
      </w:r>
      <w:r w:rsidR="00D57154" w:rsidRPr="00FB4DC3">
        <w:rPr>
          <w:rFonts w:ascii="Palatino Linotype" w:eastAsia="Calibri" w:hAnsi="Palatino Linotype" w:cs="Arial"/>
          <w:szCs w:val="22"/>
          <w:lang w:val="es-ES"/>
        </w:rPr>
        <w:t xml:space="preserve"> </w:t>
      </w:r>
      <w:r w:rsidR="00080DD7" w:rsidRPr="00FB4DC3">
        <w:rPr>
          <w:rFonts w:ascii="Palatino Linotype" w:eastAsia="Calibri" w:hAnsi="Palatino Linotype" w:cs="Arial"/>
          <w:szCs w:val="22"/>
          <w:lang w:val="es-ES"/>
        </w:rPr>
        <w:t>veinticuatro de febrero de dos mil veinticinco</w:t>
      </w:r>
      <w:r w:rsidRPr="00FB4DC3">
        <w:rPr>
          <w:rFonts w:ascii="Palatino Linotype" w:eastAsia="Calibri" w:hAnsi="Palatino Linotype" w:cs="Arial"/>
          <w:szCs w:val="22"/>
          <w:lang w:val="es-ES"/>
        </w:rPr>
        <w:t xml:space="preserve">, puso a disposición de las partes el expediente electrónico </w:t>
      </w:r>
      <w:r w:rsidRPr="00FB4DC3">
        <w:rPr>
          <w:rFonts w:ascii="Palatino Linotype" w:eastAsia="Calibri" w:hAnsi="Palatino Linotype" w:cs="Arial"/>
          <w:szCs w:val="22"/>
        </w:rPr>
        <w:t xml:space="preserve">vía </w:t>
      </w:r>
      <w:r w:rsidRPr="00FB4DC3">
        <w:rPr>
          <w:rFonts w:ascii="Palatino Linotype" w:eastAsia="Calibri" w:hAnsi="Palatino Linotype" w:cs="Arial"/>
          <w:b/>
          <w:szCs w:val="22"/>
          <w:lang w:val="es-ES"/>
        </w:rPr>
        <w:t xml:space="preserve">SAIMEX </w:t>
      </w:r>
      <w:r w:rsidRPr="00FB4DC3">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FB4DC3">
        <w:rPr>
          <w:rFonts w:ascii="Palatino Linotype" w:eastAsia="Calibri" w:hAnsi="Palatino Linotype" w:cs="Arial"/>
          <w:b/>
          <w:szCs w:val="22"/>
          <w:lang w:val="es-ES"/>
        </w:rPr>
        <w:t>SUJETO OBLIGADO</w:t>
      </w:r>
      <w:r w:rsidRPr="00FB4DC3">
        <w:rPr>
          <w:rFonts w:ascii="Palatino Linotype" w:eastAsia="Calibri" w:hAnsi="Palatino Linotype" w:cs="Arial"/>
          <w:szCs w:val="22"/>
          <w:lang w:val="es-ES"/>
        </w:rPr>
        <w:t xml:space="preserve"> presentara el informe justificado procedente.</w:t>
      </w:r>
    </w:p>
    <w:p w14:paraId="5C6AA9F9" w14:textId="77777777" w:rsidR="00467E24" w:rsidRPr="00FB4DC3" w:rsidRDefault="00467E24" w:rsidP="00467E24">
      <w:pPr>
        <w:pStyle w:val="Prrafodelista"/>
        <w:spacing w:line="360" w:lineRule="auto"/>
        <w:ind w:left="0"/>
        <w:jc w:val="both"/>
        <w:rPr>
          <w:rFonts w:ascii="Palatino Linotype" w:hAnsi="Palatino Linotype" w:cs="Tahoma"/>
          <w:szCs w:val="22"/>
        </w:rPr>
      </w:pPr>
    </w:p>
    <w:p w14:paraId="2D219745" w14:textId="77777777" w:rsidR="005B3A55" w:rsidRPr="00FB4DC3" w:rsidRDefault="00E81009" w:rsidP="005E100F">
      <w:pPr>
        <w:pStyle w:val="Prrafodelista"/>
        <w:numPr>
          <w:ilvl w:val="0"/>
          <w:numId w:val="3"/>
        </w:numPr>
        <w:spacing w:line="360" w:lineRule="auto"/>
        <w:ind w:left="0" w:firstLine="0"/>
        <w:jc w:val="both"/>
        <w:rPr>
          <w:rFonts w:ascii="Palatino Linotype" w:hAnsi="Palatino Linotype" w:cs="Tahoma"/>
          <w:szCs w:val="22"/>
        </w:rPr>
      </w:pPr>
      <w:r w:rsidRPr="00FB4DC3">
        <w:rPr>
          <w:rFonts w:ascii="Palatino Linotype" w:eastAsiaTheme="minorEastAsia" w:hAnsi="Palatino Linotype"/>
          <w:color w:val="000000"/>
          <w:szCs w:val="22"/>
          <w:lang w:val="es-ES_tradnl"/>
        </w:rPr>
        <w:lastRenderedPageBreak/>
        <w:t xml:space="preserve">El </w:t>
      </w:r>
      <w:r w:rsidR="005E100F" w:rsidRPr="00FB4DC3">
        <w:rPr>
          <w:rFonts w:ascii="Palatino Linotype" w:eastAsiaTheme="minorEastAsia" w:hAnsi="Palatino Linotype"/>
          <w:b/>
          <w:bCs/>
          <w:color w:val="000000"/>
          <w:szCs w:val="22"/>
          <w:lang w:val="es-ES_tradnl"/>
        </w:rPr>
        <w:t>RECURRENTE</w:t>
      </w:r>
      <w:r w:rsidRPr="00FB4DC3">
        <w:rPr>
          <w:rFonts w:ascii="Palatino Linotype" w:eastAsiaTheme="minorEastAsia" w:hAnsi="Palatino Linotype"/>
          <w:color w:val="000000"/>
          <w:szCs w:val="22"/>
          <w:lang w:val="es-ES_tradnl"/>
        </w:rPr>
        <w:t xml:space="preserve"> no realizó manifestaciones</w:t>
      </w:r>
      <w:r w:rsidRPr="00FB4DC3">
        <w:rPr>
          <w:rFonts w:ascii="Palatino Linotype" w:eastAsiaTheme="minorEastAsia" w:hAnsi="Palatino Linotype"/>
          <w:bCs/>
          <w:color w:val="000000"/>
          <w:szCs w:val="22"/>
          <w:lang w:val="es-ES_tradnl"/>
        </w:rPr>
        <w:t xml:space="preserve">; por su parte, el </w:t>
      </w:r>
      <w:r w:rsidR="005E100F" w:rsidRPr="00FB4DC3">
        <w:rPr>
          <w:rFonts w:ascii="Palatino Linotype" w:eastAsiaTheme="minorEastAsia" w:hAnsi="Palatino Linotype"/>
          <w:b/>
          <w:color w:val="000000"/>
          <w:szCs w:val="22"/>
          <w:lang w:val="es-ES_tradnl"/>
        </w:rPr>
        <w:t>SUJETO OBLIGADO</w:t>
      </w:r>
      <w:r w:rsidR="005E100F" w:rsidRPr="00FB4DC3">
        <w:rPr>
          <w:rFonts w:ascii="Palatino Linotype" w:eastAsiaTheme="minorEastAsia" w:hAnsi="Palatino Linotype"/>
          <w:bCs/>
          <w:color w:val="000000"/>
          <w:szCs w:val="22"/>
          <w:lang w:val="es-ES_tradnl"/>
        </w:rPr>
        <w:t xml:space="preserve"> </w:t>
      </w:r>
      <w:r w:rsidR="005B3A55" w:rsidRPr="00FB4DC3">
        <w:rPr>
          <w:rFonts w:ascii="Palatino Linotype" w:eastAsiaTheme="minorEastAsia" w:hAnsi="Palatino Linotype"/>
          <w:bCs/>
          <w:color w:val="000000"/>
          <w:szCs w:val="22"/>
          <w:lang w:val="es-ES_tradnl"/>
        </w:rPr>
        <w:t xml:space="preserve">no </w:t>
      </w:r>
      <w:r w:rsidRPr="00FB4DC3">
        <w:rPr>
          <w:rFonts w:ascii="Palatino Linotype" w:eastAsiaTheme="minorEastAsia" w:hAnsi="Palatino Linotype"/>
          <w:bCs/>
          <w:color w:val="000000"/>
          <w:szCs w:val="22"/>
          <w:lang w:val="es-ES_tradnl"/>
        </w:rPr>
        <w:t xml:space="preserve">rindió </w:t>
      </w:r>
      <w:r w:rsidR="005B3A55" w:rsidRPr="00FB4DC3">
        <w:rPr>
          <w:rFonts w:ascii="Palatino Linotype" w:eastAsiaTheme="minorEastAsia" w:hAnsi="Palatino Linotype"/>
          <w:bCs/>
          <w:color w:val="000000"/>
          <w:szCs w:val="22"/>
          <w:lang w:val="es-ES_tradnl"/>
        </w:rPr>
        <w:t xml:space="preserve">el </w:t>
      </w:r>
      <w:r w:rsidRPr="00FB4DC3">
        <w:rPr>
          <w:rFonts w:ascii="Palatino Linotype" w:eastAsiaTheme="minorEastAsia" w:hAnsi="Palatino Linotype"/>
          <w:bCs/>
          <w:color w:val="000000"/>
          <w:szCs w:val="22"/>
          <w:lang w:val="es-ES_tradnl"/>
        </w:rPr>
        <w:t>info</w:t>
      </w:r>
      <w:r w:rsidR="00AF0F3E" w:rsidRPr="00FB4DC3">
        <w:rPr>
          <w:rFonts w:ascii="Palatino Linotype" w:eastAsiaTheme="minorEastAsia" w:hAnsi="Palatino Linotype"/>
          <w:bCs/>
          <w:color w:val="000000"/>
          <w:szCs w:val="22"/>
          <w:lang w:val="es-ES_tradnl"/>
        </w:rPr>
        <w:t xml:space="preserve">rme justificado </w:t>
      </w:r>
      <w:r w:rsidR="005B3A55" w:rsidRPr="00FB4DC3">
        <w:rPr>
          <w:rFonts w:ascii="Palatino Linotype" w:eastAsiaTheme="minorEastAsia" w:hAnsi="Palatino Linotype"/>
          <w:bCs/>
          <w:color w:val="000000"/>
          <w:szCs w:val="22"/>
          <w:lang w:val="es-ES_tradnl"/>
        </w:rPr>
        <w:t xml:space="preserve">correspondiente. </w:t>
      </w:r>
    </w:p>
    <w:p w14:paraId="72F8C99F" w14:textId="77777777" w:rsidR="006D3646" w:rsidRPr="00FB4DC3" w:rsidRDefault="006D3646" w:rsidP="006D3646">
      <w:pPr>
        <w:pStyle w:val="Prrafodelista"/>
        <w:spacing w:before="240" w:after="240" w:line="360" w:lineRule="auto"/>
        <w:ind w:left="0"/>
        <w:jc w:val="both"/>
        <w:rPr>
          <w:rFonts w:ascii="Palatino Linotype" w:hAnsi="Palatino Linotype"/>
          <w:i/>
          <w:color w:val="000000"/>
          <w:szCs w:val="22"/>
        </w:rPr>
      </w:pPr>
    </w:p>
    <w:p w14:paraId="5478C872" w14:textId="572F759D" w:rsidR="006D3646" w:rsidRPr="00FB4DC3" w:rsidRDefault="00E81009" w:rsidP="006D3646">
      <w:pPr>
        <w:pStyle w:val="Prrafodelista"/>
        <w:numPr>
          <w:ilvl w:val="0"/>
          <w:numId w:val="3"/>
        </w:numPr>
        <w:spacing w:line="360" w:lineRule="auto"/>
        <w:ind w:left="0" w:firstLine="0"/>
        <w:jc w:val="both"/>
        <w:rPr>
          <w:rFonts w:ascii="Palatino Linotype" w:hAnsi="Palatino Linotype" w:cs="Tahoma"/>
          <w:szCs w:val="22"/>
        </w:rPr>
      </w:pPr>
      <w:r w:rsidRPr="00FB4DC3">
        <w:rPr>
          <w:rFonts w:ascii="Palatino Linotype" w:hAnsi="Palatino Linotype" w:cs="Tahoma"/>
          <w:szCs w:val="22"/>
        </w:rPr>
        <w:t xml:space="preserve">El </w:t>
      </w:r>
      <w:r w:rsidR="00080DD7" w:rsidRPr="00FB4DC3">
        <w:rPr>
          <w:rFonts w:ascii="Palatino Linotype" w:hAnsi="Palatino Linotype" w:cs="Tahoma"/>
          <w:szCs w:val="22"/>
        </w:rPr>
        <w:t>siete de marzo de dos mil veinticinco</w:t>
      </w:r>
      <w:r w:rsidRPr="00FB4DC3">
        <w:rPr>
          <w:rFonts w:ascii="Palatino Linotype" w:hAnsi="Palatino Linotype" w:cs="Tahoma"/>
          <w:szCs w:val="22"/>
        </w:rPr>
        <w:t xml:space="preserve">, </w:t>
      </w:r>
      <w:r w:rsidR="006D3646" w:rsidRPr="00FB4DC3">
        <w:rPr>
          <w:rFonts w:ascii="Palatino Linotype" w:eastAsia="Calibri" w:hAnsi="Palatino Linotype" w:cs="Arial"/>
          <w:szCs w:val="22"/>
          <w:lang w:val="es-ES"/>
        </w:rPr>
        <w:t>la</w:t>
      </w:r>
      <w:r w:rsidR="006D3646" w:rsidRPr="00FB4DC3">
        <w:rPr>
          <w:rFonts w:ascii="Palatino Linotype" w:hAnsi="Palatino Linotype"/>
          <w:szCs w:val="22"/>
        </w:rPr>
        <w:t xml:space="preserve"> Comisionada Ponente decretó el cierre de instrucción</w:t>
      </w:r>
      <w:r w:rsidR="006D3646" w:rsidRPr="00FB4DC3">
        <w:rPr>
          <w:rFonts w:ascii="Palatino Linotype" w:hAnsi="Palatino Linotype" w:cs="Arial"/>
          <w:szCs w:val="22"/>
        </w:rPr>
        <w:t>.</w:t>
      </w:r>
      <w:r w:rsidR="006D3646" w:rsidRPr="00FB4DC3">
        <w:rPr>
          <w:rFonts w:ascii="Palatino Linotype" w:hAnsi="Palatino Linotype" w:cs="Tahoma"/>
          <w:szCs w:val="22"/>
        </w:rPr>
        <w:t xml:space="preserve"> Por lo que turnó la presente resolución para su aprobación.</w:t>
      </w:r>
      <w:r w:rsidR="005E100F" w:rsidRPr="00FB4DC3">
        <w:rPr>
          <w:rFonts w:ascii="Palatino Linotype" w:hAnsi="Palatino Linotype" w:cs="Tahoma"/>
          <w:szCs w:val="22"/>
        </w:rPr>
        <w:t>----------------</w:t>
      </w:r>
      <w:r w:rsidR="00080DD7" w:rsidRPr="00FB4DC3">
        <w:rPr>
          <w:rFonts w:ascii="Palatino Linotype" w:hAnsi="Palatino Linotype" w:cs="Tahoma"/>
          <w:szCs w:val="22"/>
        </w:rPr>
        <w:t>-------------</w:t>
      </w:r>
    </w:p>
    <w:p w14:paraId="55F9C5E2" w14:textId="77777777" w:rsidR="00AF0F3E" w:rsidRPr="00FB4DC3" w:rsidRDefault="00AF0F3E" w:rsidP="00AF0F3E">
      <w:pPr>
        <w:pStyle w:val="Prrafodelista"/>
        <w:spacing w:line="360" w:lineRule="auto"/>
        <w:ind w:left="0"/>
        <w:jc w:val="both"/>
        <w:rPr>
          <w:rFonts w:ascii="Palatino Linotype" w:hAnsi="Palatino Linotype" w:cs="Tahoma"/>
          <w:szCs w:val="22"/>
        </w:rPr>
      </w:pPr>
    </w:p>
    <w:p w14:paraId="0F9176A0" w14:textId="77777777" w:rsidR="005000AA" w:rsidRPr="00FB4DC3" w:rsidRDefault="005000AA" w:rsidP="005000AA">
      <w:pPr>
        <w:pStyle w:val="Ttulo1"/>
        <w:jc w:val="center"/>
        <w:rPr>
          <w:rFonts w:ascii="Palatino Linotype" w:hAnsi="Palatino Linotype"/>
          <w:b/>
          <w:color w:val="auto"/>
          <w:sz w:val="22"/>
          <w:szCs w:val="22"/>
        </w:rPr>
      </w:pPr>
      <w:bookmarkStart w:id="6" w:name="_Toc87549672"/>
      <w:r w:rsidRPr="00FB4DC3">
        <w:rPr>
          <w:rFonts w:ascii="Palatino Linotype" w:hAnsi="Palatino Linotype"/>
          <w:b/>
          <w:color w:val="auto"/>
          <w:sz w:val="22"/>
          <w:szCs w:val="22"/>
        </w:rPr>
        <w:t>CONSIDERANDO</w:t>
      </w:r>
      <w:bookmarkEnd w:id="6"/>
      <w:r w:rsidRPr="00FB4DC3">
        <w:rPr>
          <w:rFonts w:ascii="Palatino Linotype" w:hAnsi="Palatino Linotype"/>
          <w:b/>
          <w:color w:val="auto"/>
          <w:sz w:val="22"/>
          <w:szCs w:val="22"/>
        </w:rPr>
        <w:t xml:space="preserve"> </w:t>
      </w:r>
    </w:p>
    <w:p w14:paraId="694B8C5E" w14:textId="77777777" w:rsidR="00BC3803" w:rsidRPr="00FB4DC3" w:rsidRDefault="00BC3803" w:rsidP="00BC3803">
      <w:pPr>
        <w:rPr>
          <w:rFonts w:ascii="Palatino Linotype" w:hAnsi="Palatino Linotype"/>
          <w:sz w:val="22"/>
          <w:szCs w:val="22"/>
        </w:rPr>
      </w:pPr>
    </w:p>
    <w:p w14:paraId="1058C60B" w14:textId="77777777" w:rsidR="005000AA" w:rsidRPr="00FB4DC3" w:rsidRDefault="005000AA" w:rsidP="005000AA">
      <w:pPr>
        <w:pStyle w:val="Ttulo2"/>
        <w:rPr>
          <w:rFonts w:ascii="Palatino Linotype" w:hAnsi="Palatino Linotype"/>
          <w:b/>
          <w:color w:val="auto"/>
          <w:sz w:val="22"/>
          <w:szCs w:val="22"/>
        </w:rPr>
      </w:pPr>
      <w:bookmarkStart w:id="7" w:name="_Toc87549673"/>
      <w:r w:rsidRPr="00FB4DC3">
        <w:rPr>
          <w:rFonts w:ascii="Palatino Linotype" w:hAnsi="Palatino Linotype"/>
          <w:b/>
          <w:color w:val="auto"/>
          <w:sz w:val="22"/>
          <w:szCs w:val="22"/>
        </w:rPr>
        <w:t>PRIMERO. De la competencia</w:t>
      </w:r>
      <w:bookmarkEnd w:id="7"/>
    </w:p>
    <w:p w14:paraId="5064D679" w14:textId="77777777" w:rsidR="00BC3803" w:rsidRPr="00FB4DC3" w:rsidRDefault="00BC3803" w:rsidP="00BC3803">
      <w:pPr>
        <w:rPr>
          <w:rFonts w:ascii="Palatino Linotype" w:hAnsi="Palatino Linotype"/>
          <w:sz w:val="22"/>
          <w:szCs w:val="22"/>
        </w:rPr>
      </w:pPr>
    </w:p>
    <w:p w14:paraId="38B24DFE" w14:textId="0FFB0946" w:rsidR="005000AA" w:rsidRPr="00FB4DC3" w:rsidRDefault="005000AA" w:rsidP="005000AA">
      <w:pPr>
        <w:pStyle w:val="Prrafodelista"/>
        <w:numPr>
          <w:ilvl w:val="0"/>
          <w:numId w:val="3"/>
        </w:numPr>
        <w:spacing w:before="240" w:after="240" w:line="360" w:lineRule="auto"/>
        <w:ind w:left="0" w:firstLine="0"/>
        <w:jc w:val="both"/>
        <w:rPr>
          <w:rFonts w:ascii="Palatino Linotype" w:hAnsi="Palatino Linotype"/>
          <w:szCs w:val="22"/>
        </w:rPr>
      </w:pPr>
      <w:r w:rsidRPr="00FB4DC3">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FB4DC3">
        <w:rPr>
          <w:rFonts w:ascii="Palatino Linotype" w:hAnsi="Palatino Linotype" w:cs="Arial"/>
          <w:color w:val="222222"/>
          <w:szCs w:val="22"/>
          <w:lang w:val="es-ES"/>
        </w:rPr>
        <w:t>trigésimo</w:t>
      </w:r>
      <w:r w:rsidR="00413861" w:rsidRPr="00FB4DC3">
        <w:rPr>
          <w:rFonts w:ascii="Palatino Linotype" w:hAnsi="Palatino Linotype" w:cs="Arial"/>
          <w:color w:val="222222"/>
          <w:szCs w:val="22"/>
          <w:lang w:val="es-ES"/>
        </w:rPr>
        <w:t xml:space="preserve"> segundo,</w:t>
      </w:r>
      <w:r w:rsidRPr="00FB4DC3">
        <w:rPr>
          <w:rFonts w:ascii="Palatino Linotype" w:hAnsi="Palatino Linotype" w:cs="Arial"/>
          <w:color w:val="222222"/>
          <w:szCs w:val="22"/>
          <w:lang w:val="es-ES"/>
        </w:rPr>
        <w:t xml:space="preserve"> trigésimo</w:t>
      </w:r>
      <w:r w:rsidR="00413861" w:rsidRPr="00FB4DC3">
        <w:rPr>
          <w:rFonts w:ascii="Palatino Linotype" w:hAnsi="Palatino Linotype" w:cs="Arial"/>
          <w:color w:val="222222"/>
          <w:szCs w:val="22"/>
          <w:lang w:val="es-ES"/>
        </w:rPr>
        <w:t xml:space="preserve"> tercero y trigésimo cuarto,</w:t>
      </w:r>
      <w:r w:rsidRPr="00FB4DC3">
        <w:rPr>
          <w:rFonts w:ascii="Palatino Linotype" w:hAnsi="Palatino Linotype" w:cs="Arial"/>
          <w:color w:val="222222"/>
          <w:szCs w:val="22"/>
          <w:lang w:val="es-ES"/>
        </w:rPr>
        <w:t xml:space="preserve"> fracciones</w:t>
      </w:r>
      <w:r w:rsidRPr="00FB4DC3">
        <w:rPr>
          <w:rFonts w:ascii="Palatino Linotype" w:eastAsia="Calibri" w:hAnsi="Palatino Linotype"/>
          <w:szCs w:val="22"/>
          <w:lang w:val="es-ES"/>
        </w:rPr>
        <w:t xml:space="preserve"> IV y V de la Constitución Política del Estado Libre y Soberano de México; artículos 1, 2 fracción II, 13, 29, 36 fracciones I y II, 176, 178, 179, 181 párrafo tercero y 185 </w:t>
      </w:r>
      <w:r w:rsidRPr="00FB4DC3">
        <w:rPr>
          <w:rFonts w:ascii="Palatino Linotype" w:eastAsia="Calibri" w:hAnsi="Palatino Linotype" w:cs="Arial"/>
          <w:szCs w:val="22"/>
          <w:lang w:val="es-ES"/>
        </w:rPr>
        <w:t>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FB4DC3">
        <w:rPr>
          <w:rFonts w:ascii="Palatino Linotype" w:hAnsi="Palatino Linotype"/>
          <w:szCs w:val="22"/>
        </w:rPr>
        <w:t>.</w:t>
      </w:r>
    </w:p>
    <w:p w14:paraId="6D296A9A" w14:textId="77777777" w:rsidR="005000AA" w:rsidRPr="00FB4DC3" w:rsidRDefault="005000AA" w:rsidP="005000AA">
      <w:pPr>
        <w:pStyle w:val="Ttulo2"/>
        <w:rPr>
          <w:rFonts w:ascii="Palatino Linotype" w:hAnsi="Palatino Linotype"/>
          <w:b/>
          <w:color w:val="auto"/>
          <w:sz w:val="22"/>
          <w:szCs w:val="22"/>
        </w:rPr>
      </w:pPr>
      <w:bookmarkStart w:id="8" w:name="_Toc87549674"/>
      <w:r w:rsidRPr="00FB4DC3">
        <w:rPr>
          <w:rFonts w:ascii="Palatino Linotype" w:hAnsi="Palatino Linotype"/>
          <w:b/>
          <w:color w:val="auto"/>
          <w:sz w:val="22"/>
          <w:szCs w:val="22"/>
        </w:rPr>
        <w:t>SEGUNDO. De la oportunidad y procedencia.</w:t>
      </w:r>
      <w:bookmarkEnd w:id="8"/>
    </w:p>
    <w:p w14:paraId="4ACCEDCA" w14:textId="77777777" w:rsidR="00BC3803" w:rsidRPr="00FB4DC3" w:rsidRDefault="00BC3803" w:rsidP="00BC3803">
      <w:pPr>
        <w:rPr>
          <w:rFonts w:ascii="Palatino Linotype" w:hAnsi="Palatino Linotype"/>
          <w:sz w:val="22"/>
          <w:szCs w:val="22"/>
        </w:rPr>
      </w:pPr>
    </w:p>
    <w:p w14:paraId="53051EF8" w14:textId="77777777" w:rsidR="00BC6FDD" w:rsidRPr="00FB4DC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2"/>
          <w:szCs w:val="22"/>
          <w:lang w:val="es-ES_tradnl"/>
        </w:rPr>
      </w:pPr>
      <w:r w:rsidRPr="00FB4DC3">
        <w:rPr>
          <w:rFonts w:ascii="Palatino Linotype" w:eastAsia="Calibri" w:hAnsi="Palatino Linotype" w:cs="Arial"/>
          <w:sz w:val="22"/>
          <w:szCs w:val="22"/>
          <w:lang w:val="es-ES"/>
        </w:rPr>
        <w:t xml:space="preserve">Es de precisar, que la Ley de Transparencia y Acceso a la Información Pública del Estado de México y Municipios, en el artículo 178 describe la procedencia del recurso de </w:t>
      </w:r>
      <w:r w:rsidRPr="00FB4DC3">
        <w:rPr>
          <w:rFonts w:ascii="Palatino Linotype" w:eastAsia="Calibri" w:hAnsi="Palatino Linotype" w:cs="Arial"/>
          <w:sz w:val="22"/>
          <w:szCs w:val="22"/>
          <w:lang w:val="es-ES"/>
        </w:rPr>
        <w:lastRenderedPageBreak/>
        <w:t xml:space="preserve">revisión, asimismo señala que el plazo del </w:t>
      </w:r>
      <w:r w:rsidRPr="00FB4DC3">
        <w:rPr>
          <w:rFonts w:ascii="Palatino Linotype" w:eastAsia="Calibri" w:hAnsi="Palatino Linotype" w:cs="Arial"/>
          <w:b/>
          <w:sz w:val="22"/>
          <w:szCs w:val="22"/>
          <w:lang w:val="es-ES"/>
        </w:rPr>
        <w:t>SUJETO OBLIGADO</w:t>
      </w:r>
      <w:r w:rsidRPr="00FB4DC3">
        <w:rPr>
          <w:rFonts w:ascii="Palatino Linotype" w:eastAsia="Calibri" w:hAnsi="Palatino Linotype" w:cs="Arial"/>
          <w:sz w:val="22"/>
          <w:szCs w:val="22"/>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FB4DC3" w:rsidRDefault="00BC6FDD" w:rsidP="00BC6FDD">
      <w:pPr>
        <w:tabs>
          <w:tab w:val="left" w:pos="284"/>
        </w:tabs>
        <w:spacing w:before="240" w:after="240" w:line="360" w:lineRule="auto"/>
        <w:contextualSpacing/>
        <w:jc w:val="both"/>
        <w:rPr>
          <w:rFonts w:ascii="Palatino Linotype" w:hAnsi="Palatino Linotype" w:cs="Arial"/>
          <w:color w:val="000000"/>
          <w:sz w:val="22"/>
          <w:szCs w:val="22"/>
          <w:lang w:val="es-ES_tradnl"/>
        </w:rPr>
      </w:pPr>
    </w:p>
    <w:p w14:paraId="40996BC4" w14:textId="77777777" w:rsidR="00BC6FDD" w:rsidRPr="00FB4DC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2"/>
          <w:szCs w:val="22"/>
          <w:lang w:val="es-ES_tradnl"/>
        </w:rPr>
      </w:pPr>
      <w:r w:rsidRPr="00FB4DC3">
        <w:rPr>
          <w:rFonts w:ascii="Palatino Linotype" w:eastAsia="Calibri" w:hAnsi="Palatino Linotype" w:cs="Arial"/>
          <w:sz w:val="22"/>
          <w:szCs w:val="22"/>
          <w:lang w:val="es-ES"/>
        </w:rPr>
        <w:t xml:space="preserve">Por ende, se constituye la figura jurídica de la </w:t>
      </w:r>
      <w:r w:rsidRPr="00FB4DC3">
        <w:rPr>
          <w:rFonts w:ascii="Palatino Linotype" w:eastAsia="Calibri" w:hAnsi="Palatino Linotype" w:cs="Arial"/>
          <w:i/>
          <w:sz w:val="22"/>
          <w:szCs w:val="22"/>
          <w:lang w:val="es-ES"/>
        </w:rPr>
        <w:t>negativa ficta</w:t>
      </w:r>
      <w:r w:rsidRPr="00FB4DC3">
        <w:rPr>
          <w:rFonts w:ascii="Palatino Linotype" w:eastAsia="Calibri" w:hAnsi="Palatino Linotype" w:cs="Arial"/>
          <w:sz w:val="22"/>
          <w:szCs w:val="22"/>
          <w:lang w:val="es-ES"/>
        </w:rPr>
        <w:t xml:space="preserve">, cuya esencia es atribuir un efecto negativo al silencio de la autoridad administrativa frente a las instancias y solicitudes que hagan los particulares, lo cual encuentra sustento en lo que establece el artículo </w:t>
      </w:r>
      <w:r w:rsidRPr="00FB4DC3">
        <w:rPr>
          <w:rFonts w:ascii="Palatino Linotype" w:eastAsia="Calibri" w:hAnsi="Palatino Linotype" w:cs="Arial"/>
          <w:b/>
          <w:sz w:val="22"/>
          <w:szCs w:val="22"/>
          <w:lang w:val="es-ES"/>
        </w:rPr>
        <w:t>178</w:t>
      </w:r>
      <w:r w:rsidRPr="00FB4DC3">
        <w:rPr>
          <w:rFonts w:ascii="Palatino Linotype" w:eastAsia="Calibri" w:hAnsi="Palatino Linotype" w:cs="Arial"/>
          <w:sz w:val="22"/>
          <w:szCs w:val="22"/>
          <w:lang w:val="es-ES"/>
        </w:rPr>
        <w:t xml:space="preserve"> segundo párrafo de </w:t>
      </w:r>
      <w:r w:rsidRPr="00FB4DC3">
        <w:rPr>
          <w:rFonts w:ascii="Palatino Linotype" w:eastAsia="Calibri" w:hAnsi="Palatino Linotype" w:cs="Arial"/>
          <w:b/>
          <w:sz w:val="22"/>
          <w:szCs w:val="22"/>
          <w:lang w:val="es-ES"/>
        </w:rPr>
        <w:t>Ley de Transparencia y Acceso a la Información Pública del Estado de México y Municipios</w:t>
      </w:r>
      <w:r w:rsidRPr="00FB4DC3">
        <w:rPr>
          <w:rFonts w:ascii="Palatino Linotype" w:eastAsia="Calibri" w:hAnsi="Palatino Linotype"/>
          <w:color w:val="000000"/>
          <w:sz w:val="22"/>
          <w:szCs w:val="22"/>
          <w:shd w:val="clear" w:color="auto" w:fill="FFFFFF"/>
        </w:rPr>
        <w:t xml:space="preserve">, que dispone; ante la falta de respuesta del </w:t>
      </w:r>
      <w:r w:rsidRPr="00FB4DC3">
        <w:rPr>
          <w:rFonts w:ascii="Palatino Linotype" w:eastAsia="Calibri" w:hAnsi="Palatino Linotype"/>
          <w:b/>
          <w:color w:val="000000"/>
          <w:sz w:val="22"/>
          <w:szCs w:val="22"/>
          <w:shd w:val="clear" w:color="auto" w:fill="FFFFFF"/>
        </w:rPr>
        <w:t>SUJETO OBLIGADO,</w:t>
      </w:r>
      <w:r w:rsidRPr="00FB4DC3">
        <w:rPr>
          <w:rFonts w:ascii="Palatino Linotype" w:eastAsia="Calibri" w:hAnsi="Palatino Linotype"/>
          <w:color w:val="000000"/>
          <w:sz w:val="22"/>
          <w:szCs w:val="22"/>
          <w:shd w:val="clear" w:color="auto" w:fill="FFFFFF"/>
        </w:rPr>
        <w:t xml:space="preserve"> dentro de los plazos establecidos en esta Ley, a una solicitud de acceso a la información pública, el recurso </w:t>
      </w:r>
      <w:r w:rsidRPr="00FB4DC3">
        <w:rPr>
          <w:rFonts w:ascii="Palatino Linotype" w:eastAsia="Calibri" w:hAnsi="Palatino Linotype"/>
          <w:b/>
          <w:color w:val="000000"/>
          <w:sz w:val="22"/>
          <w:szCs w:val="22"/>
          <w:shd w:val="clear" w:color="auto" w:fill="FFFFFF"/>
        </w:rPr>
        <w:t xml:space="preserve">podrá ser interpuesto en cualquier momento. </w:t>
      </w:r>
    </w:p>
    <w:p w14:paraId="58C80622" w14:textId="77777777" w:rsidR="00BC6FDD" w:rsidRPr="00FB4DC3" w:rsidRDefault="00BC6FDD" w:rsidP="00BC6FDD">
      <w:pPr>
        <w:tabs>
          <w:tab w:val="left" w:pos="284"/>
        </w:tabs>
        <w:contextualSpacing/>
        <w:rPr>
          <w:rFonts w:ascii="Palatino Linotype" w:hAnsi="Palatino Linotype" w:cs="Arial"/>
          <w:color w:val="000000"/>
          <w:sz w:val="22"/>
          <w:szCs w:val="22"/>
          <w:lang w:val="es-ES_tradnl"/>
        </w:rPr>
      </w:pPr>
    </w:p>
    <w:p w14:paraId="0FD49BEB" w14:textId="563AB351" w:rsidR="005E100F" w:rsidRPr="00FB4DC3" w:rsidRDefault="00BC6FDD" w:rsidP="005B3A55">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2"/>
          <w:szCs w:val="22"/>
          <w:lang w:val="es-ES_tradnl"/>
        </w:rPr>
      </w:pPr>
      <w:r w:rsidRPr="00FB4DC3">
        <w:rPr>
          <w:rFonts w:ascii="Palatino Linotype" w:eastAsia="Calibri" w:hAnsi="Palatino Linotype" w:cs="Arial"/>
          <w:sz w:val="22"/>
          <w:szCs w:val="22"/>
          <w:lang w:val="es-ES"/>
        </w:rPr>
        <w:t xml:space="preserve">Por lo que, tratándose de la </w:t>
      </w:r>
      <w:r w:rsidRPr="00FB4DC3">
        <w:rPr>
          <w:rFonts w:ascii="Palatino Linotype" w:eastAsia="Calibri" w:hAnsi="Palatino Linotype" w:cs="Arial"/>
          <w:i/>
          <w:sz w:val="22"/>
          <w:szCs w:val="22"/>
          <w:lang w:val="es-ES"/>
        </w:rPr>
        <w:t>negativa ficta</w:t>
      </w:r>
      <w:r w:rsidRPr="00FB4DC3">
        <w:rPr>
          <w:rFonts w:ascii="Palatino Linotype" w:eastAsia="Calibri" w:hAnsi="Palatino Linotype" w:cs="Arial"/>
          <w:sz w:val="22"/>
          <w:szCs w:val="22"/>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FB4DC3">
        <w:rPr>
          <w:rFonts w:ascii="Palatino Linotype" w:eastAsia="Calibri" w:hAnsi="Palatino Linotype" w:cs="Arial"/>
          <w:i/>
          <w:sz w:val="22"/>
          <w:szCs w:val="22"/>
          <w:lang w:val="es-ES"/>
        </w:rPr>
        <w:t>negativa ficta</w:t>
      </w:r>
      <w:r w:rsidRPr="00FB4DC3">
        <w:rPr>
          <w:rFonts w:ascii="Palatino Linotype" w:eastAsia="Calibri" w:hAnsi="Palatino Linotype" w:cs="Arial"/>
          <w:sz w:val="22"/>
          <w:szCs w:val="22"/>
          <w:lang w:val="es-ES"/>
        </w:rPr>
        <w:t>, que señala:</w:t>
      </w:r>
    </w:p>
    <w:p w14:paraId="7827B0A4" w14:textId="77777777" w:rsidR="00BC6FDD" w:rsidRPr="00FB4DC3" w:rsidRDefault="00BC6FDD" w:rsidP="005E100F">
      <w:pPr>
        <w:tabs>
          <w:tab w:val="left" w:pos="284"/>
          <w:tab w:val="left" w:pos="7655"/>
        </w:tabs>
        <w:spacing w:before="240" w:after="240"/>
        <w:ind w:left="567" w:right="539"/>
        <w:jc w:val="center"/>
        <w:rPr>
          <w:rFonts w:ascii="Palatino Linotype" w:eastAsia="Calibri" w:hAnsi="Palatino Linotype" w:cs="Arial"/>
          <w:b/>
          <w:sz w:val="22"/>
          <w:szCs w:val="22"/>
          <w:lang w:val="es-ES"/>
        </w:rPr>
      </w:pPr>
      <w:r w:rsidRPr="00FB4DC3">
        <w:rPr>
          <w:rFonts w:ascii="Palatino Linotype" w:eastAsia="Calibri" w:hAnsi="Palatino Linotype" w:cs="Arial"/>
          <w:b/>
          <w:sz w:val="22"/>
          <w:szCs w:val="22"/>
          <w:lang w:val="es-ES"/>
        </w:rPr>
        <w:t>Criterio 0001-15</w:t>
      </w:r>
    </w:p>
    <w:p w14:paraId="25B06B5B" w14:textId="40C79D3F" w:rsidR="00BC6FDD" w:rsidRPr="00FB4DC3" w:rsidRDefault="00BC6FDD" w:rsidP="005E100F">
      <w:pPr>
        <w:tabs>
          <w:tab w:val="left" w:pos="284"/>
          <w:tab w:val="left" w:pos="7655"/>
        </w:tabs>
        <w:spacing w:before="240" w:after="240"/>
        <w:ind w:left="567" w:right="539"/>
        <w:jc w:val="both"/>
        <w:rPr>
          <w:rFonts w:ascii="Palatino Linotype" w:eastAsia="Calibri" w:hAnsi="Palatino Linotype" w:cs="Arial"/>
          <w:i/>
          <w:sz w:val="22"/>
          <w:szCs w:val="22"/>
          <w:lang w:val="es-ES"/>
        </w:rPr>
      </w:pPr>
      <w:r w:rsidRPr="00FB4DC3">
        <w:rPr>
          <w:rFonts w:ascii="Palatino Linotype" w:eastAsia="Calibri" w:hAnsi="Palatino Linotype" w:cs="Arial"/>
          <w:b/>
          <w:i/>
          <w:sz w:val="22"/>
          <w:szCs w:val="22"/>
          <w:lang w:val="es-ES"/>
        </w:rPr>
        <w:lastRenderedPageBreak/>
        <w:t>NEGATIVA FICTA. PLAZO PARA INTERPONER EL RECURSO DE REVISIÓN TRATÁNDOSE DE.</w:t>
      </w:r>
      <w:r w:rsidRPr="00FB4DC3">
        <w:rPr>
          <w:rFonts w:ascii="Palatino Linotype" w:eastAsia="Calibri" w:hAnsi="Palatino Linotype" w:cs="Arial"/>
          <w:i/>
          <w:sz w:val="22"/>
          <w:szCs w:val="22"/>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4E853BA" w14:textId="77777777" w:rsidR="005E100F" w:rsidRPr="00FB4DC3" w:rsidRDefault="005E100F" w:rsidP="005E100F">
      <w:pPr>
        <w:tabs>
          <w:tab w:val="left" w:pos="284"/>
          <w:tab w:val="left" w:pos="7655"/>
        </w:tabs>
        <w:spacing w:before="240" w:after="240"/>
        <w:ind w:right="822"/>
        <w:jc w:val="both"/>
        <w:rPr>
          <w:rFonts w:ascii="Palatino Linotype" w:eastAsia="Calibri" w:hAnsi="Palatino Linotype" w:cs="Arial"/>
          <w:i/>
          <w:sz w:val="22"/>
          <w:szCs w:val="22"/>
          <w:lang w:val="es-ES"/>
        </w:rPr>
      </w:pPr>
    </w:p>
    <w:p w14:paraId="7C134B8F" w14:textId="77777777" w:rsidR="00BC6FDD" w:rsidRPr="00FB4DC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2"/>
          <w:szCs w:val="22"/>
          <w:lang w:val="es-ES" w:eastAsia="es-MX"/>
        </w:rPr>
      </w:pPr>
      <w:r w:rsidRPr="00FB4DC3">
        <w:rPr>
          <w:rFonts w:ascii="Palatino Linotype" w:hAnsi="Palatino Linotype" w:cs="Arial"/>
          <w:color w:val="000000" w:themeColor="text1"/>
          <w:sz w:val="22"/>
          <w:szCs w:val="22"/>
          <w:lang w:val="es-ES" w:eastAsia="es-MX"/>
        </w:rPr>
        <w:t xml:space="preserve">Lo anterior, se explica porque la </w:t>
      </w:r>
      <w:r w:rsidRPr="00FB4DC3">
        <w:rPr>
          <w:rFonts w:ascii="Palatino Linotype" w:hAnsi="Palatino Linotype" w:cs="Arial"/>
          <w:b/>
          <w:color w:val="000000" w:themeColor="text1"/>
          <w:sz w:val="22"/>
          <w:szCs w:val="22"/>
          <w:u w:val="single"/>
          <w:lang w:val="es-ES" w:eastAsia="es-MX"/>
        </w:rPr>
        <w:t>posible ausencia</w:t>
      </w:r>
      <w:r w:rsidRPr="00FB4DC3">
        <w:rPr>
          <w:rFonts w:ascii="Palatino Linotype" w:hAnsi="Palatino Linotype" w:cs="Arial"/>
          <w:color w:val="000000" w:themeColor="text1"/>
          <w:sz w:val="22"/>
          <w:szCs w:val="22"/>
          <w:lang w:val="es-ES" w:eastAsia="es-MX"/>
        </w:rPr>
        <w:t xml:space="preserve"> de una respuesta en la solicitud constituye un acto que vulnera el derecho de manera continua y actualizable cada día en tanto, no se emita la respuesta a la que esté impuesto el </w:t>
      </w:r>
      <w:r w:rsidRPr="00FB4DC3">
        <w:rPr>
          <w:rFonts w:ascii="Palatino Linotype" w:hAnsi="Palatino Linotype" w:cs="Arial"/>
          <w:b/>
          <w:color w:val="000000" w:themeColor="text1"/>
          <w:sz w:val="22"/>
          <w:szCs w:val="22"/>
          <w:lang w:val="es-ES" w:eastAsia="es-MX"/>
        </w:rPr>
        <w:t>SUJETO OBLIGADO</w:t>
      </w:r>
      <w:r w:rsidRPr="00FB4DC3">
        <w:rPr>
          <w:rFonts w:ascii="Palatino Linotype" w:hAnsi="Palatino Linotype" w:cs="Arial"/>
          <w:color w:val="000000" w:themeColor="text1"/>
          <w:sz w:val="22"/>
          <w:szCs w:val="22"/>
          <w:lang w:val="es-ES" w:eastAsia="es-MX"/>
        </w:rPr>
        <w:t>.</w:t>
      </w:r>
    </w:p>
    <w:p w14:paraId="2B5DC99B" w14:textId="77777777" w:rsidR="00BC3803" w:rsidRPr="00FB4DC3" w:rsidRDefault="00BC3803" w:rsidP="00BC3803">
      <w:pPr>
        <w:tabs>
          <w:tab w:val="left" w:pos="284"/>
        </w:tabs>
        <w:spacing w:before="240" w:after="240" w:line="360" w:lineRule="auto"/>
        <w:contextualSpacing/>
        <w:jc w:val="both"/>
        <w:rPr>
          <w:rFonts w:ascii="Palatino Linotype" w:hAnsi="Palatino Linotype" w:cs="Arial"/>
          <w:color w:val="000000" w:themeColor="text1"/>
          <w:sz w:val="22"/>
          <w:szCs w:val="22"/>
          <w:lang w:val="es-ES" w:eastAsia="es-MX"/>
        </w:rPr>
      </w:pPr>
    </w:p>
    <w:p w14:paraId="158472AF" w14:textId="77777777" w:rsidR="00BC3803" w:rsidRPr="00FB4DC3" w:rsidRDefault="00BC3803" w:rsidP="00BC3803">
      <w:pPr>
        <w:numPr>
          <w:ilvl w:val="0"/>
          <w:numId w:val="2"/>
        </w:numPr>
        <w:spacing w:line="360" w:lineRule="auto"/>
        <w:ind w:left="0" w:firstLine="0"/>
        <w:contextualSpacing/>
        <w:jc w:val="both"/>
        <w:rPr>
          <w:rFonts w:ascii="Palatino Linotype" w:eastAsia="Calibri" w:hAnsi="Palatino Linotype" w:cs="Arial"/>
          <w:sz w:val="22"/>
          <w:szCs w:val="22"/>
          <w:lang w:val="es-ES_tradnl"/>
        </w:rPr>
      </w:pPr>
      <w:r w:rsidRPr="00FB4DC3">
        <w:rPr>
          <w:rFonts w:ascii="Palatino Linotype" w:eastAsia="Calibri" w:hAnsi="Palatino Linotype" w:cs="Arial"/>
          <w:sz w:val="22"/>
          <w:szCs w:val="22"/>
          <w:lang w:val="es-ES_tradnl"/>
        </w:rPr>
        <w:t xml:space="preserve">Por otra parte, de la revisión al expediente electrónico del </w:t>
      </w:r>
      <w:r w:rsidRPr="00FB4DC3">
        <w:rPr>
          <w:rFonts w:ascii="Palatino Linotype" w:eastAsia="Calibri" w:hAnsi="Palatino Linotype" w:cs="Arial"/>
          <w:b/>
          <w:sz w:val="22"/>
          <w:szCs w:val="22"/>
          <w:lang w:val="es-ES_tradnl"/>
        </w:rPr>
        <w:t>SAIMEX</w:t>
      </w:r>
      <w:r w:rsidRPr="00FB4DC3">
        <w:rPr>
          <w:rFonts w:ascii="Palatino Linotype" w:eastAsia="Calibri" w:hAnsi="Palatino Linotype" w:cs="Arial"/>
          <w:sz w:val="22"/>
          <w:szCs w:val="22"/>
          <w:lang w:val="es-ES_tradnl"/>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153058A0" w14:textId="77777777" w:rsidR="00BC3803" w:rsidRPr="00FB4DC3" w:rsidRDefault="00BC3803" w:rsidP="00BC3803">
      <w:pPr>
        <w:pStyle w:val="Prrafodelista"/>
        <w:ind w:left="0"/>
        <w:rPr>
          <w:rFonts w:ascii="Palatino Linotype" w:eastAsia="Calibri" w:hAnsi="Palatino Linotype" w:cs="Arial"/>
          <w:szCs w:val="22"/>
          <w:lang w:val="es-ES_tradnl"/>
        </w:rPr>
      </w:pPr>
    </w:p>
    <w:p w14:paraId="7AC4BCAD" w14:textId="59D571AA" w:rsidR="00BC3803" w:rsidRPr="00FB4DC3" w:rsidRDefault="00BC3803" w:rsidP="00BC3803">
      <w:pPr>
        <w:numPr>
          <w:ilvl w:val="0"/>
          <w:numId w:val="2"/>
        </w:numPr>
        <w:spacing w:line="360" w:lineRule="auto"/>
        <w:ind w:left="0" w:firstLine="0"/>
        <w:contextualSpacing/>
        <w:jc w:val="both"/>
        <w:rPr>
          <w:rFonts w:ascii="Palatino Linotype" w:eastAsia="Calibri" w:hAnsi="Palatino Linotype" w:cs="Arial"/>
          <w:sz w:val="22"/>
          <w:szCs w:val="22"/>
          <w:lang w:val="es-ES_tradnl"/>
        </w:rPr>
      </w:pPr>
      <w:r w:rsidRPr="00FB4DC3">
        <w:rPr>
          <w:rFonts w:ascii="Palatino Linotype" w:eastAsia="Calibri" w:hAnsi="Palatino Linotype" w:cs="Arial"/>
          <w:sz w:val="22"/>
          <w:szCs w:val="22"/>
          <w:lang w:val="es-ES_tradnl"/>
        </w:rPr>
        <w:lastRenderedPageBreak/>
        <w:t xml:space="preserve">Esto es así, ya que de conformidad con los artículos 6, Apartado A, fracciones III y IV de la Constitución Política de los Estados Unidos Mexicanos y </w:t>
      </w:r>
      <w:r w:rsidRPr="00FB4DC3">
        <w:rPr>
          <w:rFonts w:ascii="Palatino Linotype" w:eastAsia="Calibri" w:hAnsi="Palatino Linotype" w:cs="Arial"/>
          <w:bCs/>
          <w:sz w:val="22"/>
          <w:szCs w:val="22"/>
          <w:lang w:val="es-ES"/>
        </w:rPr>
        <w:t xml:space="preserve">5, párrafos vigésimo, vigésimo primero y vigésimo </w:t>
      </w:r>
      <w:r w:rsidR="005E100F" w:rsidRPr="00FB4DC3">
        <w:rPr>
          <w:rFonts w:ascii="Palatino Linotype" w:eastAsia="Calibri" w:hAnsi="Palatino Linotype" w:cs="Arial"/>
          <w:bCs/>
          <w:sz w:val="22"/>
          <w:szCs w:val="22"/>
          <w:lang w:val="es-ES"/>
        </w:rPr>
        <w:t xml:space="preserve">segundo </w:t>
      </w:r>
      <w:r w:rsidRPr="00FB4DC3">
        <w:rPr>
          <w:rFonts w:ascii="Palatino Linotype" w:eastAsia="Calibri" w:hAnsi="Palatino Linotype" w:cs="Arial"/>
          <w:bCs/>
          <w:sz w:val="22"/>
          <w:szCs w:val="22"/>
          <w:lang w:val="es-ES"/>
        </w:rPr>
        <w:t>fracciones IV y V </w:t>
      </w:r>
      <w:r w:rsidRPr="00FB4DC3">
        <w:rPr>
          <w:rFonts w:ascii="Palatino Linotype" w:eastAsia="Calibri" w:hAnsi="Palatino Linotype" w:cs="Arial"/>
          <w:sz w:val="22"/>
          <w:szCs w:val="22"/>
          <w:lang w:val="es-ES_tradnl"/>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68872EC8" w14:textId="77777777" w:rsidR="00BC3803" w:rsidRPr="00FB4DC3" w:rsidRDefault="00BC3803" w:rsidP="00BC3803">
      <w:pPr>
        <w:pStyle w:val="Prrafodelista"/>
        <w:ind w:left="0"/>
        <w:rPr>
          <w:rFonts w:ascii="Palatino Linotype" w:eastAsia="Calibri" w:hAnsi="Palatino Linotype" w:cs="Arial"/>
          <w:szCs w:val="22"/>
          <w:lang w:val="es-ES_tradnl"/>
        </w:rPr>
      </w:pPr>
    </w:p>
    <w:p w14:paraId="251AAB44" w14:textId="77777777" w:rsidR="00BC3803" w:rsidRPr="00FB4DC3" w:rsidRDefault="00BC3803" w:rsidP="00BC3803">
      <w:pPr>
        <w:numPr>
          <w:ilvl w:val="0"/>
          <w:numId w:val="2"/>
        </w:numPr>
        <w:spacing w:line="360" w:lineRule="auto"/>
        <w:ind w:left="0" w:firstLine="0"/>
        <w:contextualSpacing/>
        <w:jc w:val="both"/>
        <w:rPr>
          <w:rFonts w:ascii="Palatino Linotype" w:eastAsia="Calibri" w:hAnsi="Palatino Linotype" w:cs="Arial"/>
          <w:sz w:val="22"/>
          <w:szCs w:val="22"/>
          <w:lang w:val="es-ES_tradnl"/>
        </w:rPr>
      </w:pPr>
      <w:r w:rsidRPr="00FB4DC3">
        <w:rPr>
          <w:rFonts w:ascii="Palatino Linotype" w:eastAsia="Calibri" w:hAnsi="Palatino Linotype" w:cs="Arial"/>
          <w:sz w:val="22"/>
          <w:szCs w:val="22"/>
          <w:lang w:val="es-ES_tradnl"/>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B2905CE" w14:textId="77777777" w:rsidR="00BC3803" w:rsidRPr="00FB4DC3" w:rsidRDefault="00BC3803" w:rsidP="00BC3803">
      <w:pPr>
        <w:pStyle w:val="Prrafodelista"/>
        <w:ind w:left="0"/>
        <w:rPr>
          <w:rFonts w:ascii="Palatino Linotype" w:eastAsia="Calibri" w:hAnsi="Palatino Linotype" w:cs="Arial"/>
          <w:szCs w:val="22"/>
          <w:lang w:val="es-ES_tradnl"/>
        </w:rPr>
      </w:pPr>
    </w:p>
    <w:p w14:paraId="3FD068DB" w14:textId="77777777" w:rsidR="00BC3803" w:rsidRPr="00FB4DC3" w:rsidRDefault="00BC3803" w:rsidP="00BC3803">
      <w:pPr>
        <w:numPr>
          <w:ilvl w:val="0"/>
          <w:numId w:val="2"/>
        </w:numPr>
        <w:spacing w:line="360" w:lineRule="auto"/>
        <w:ind w:left="0" w:firstLine="0"/>
        <w:contextualSpacing/>
        <w:jc w:val="both"/>
        <w:rPr>
          <w:rFonts w:ascii="Palatino Linotype" w:eastAsia="Calibri" w:hAnsi="Palatino Linotype" w:cs="Arial"/>
          <w:sz w:val="22"/>
          <w:szCs w:val="22"/>
          <w:lang w:val="es-ES_tradnl"/>
        </w:rPr>
      </w:pPr>
      <w:r w:rsidRPr="00FB4DC3">
        <w:rPr>
          <w:rFonts w:ascii="Palatino Linotype" w:eastAsia="Calibri" w:hAnsi="Palatino Linotype" w:cs="Arial"/>
          <w:sz w:val="22"/>
          <w:szCs w:val="22"/>
          <w:lang w:val="es-ES_tradnl"/>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39537C2A" w14:textId="77777777" w:rsidR="00BC3803" w:rsidRPr="00FB4DC3" w:rsidRDefault="00BC3803" w:rsidP="00BC3803">
      <w:pPr>
        <w:pStyle w:val="Prrafodelista"/>
        <w:ind w:left="0"/>
        <w:rPr>
          <w:rFonts w:ascii="Palatino Linotype" w:eastAsia="Calibri" w:hAnsi="Palatino Linotype" w:cs="Arial"/>
          <w:szCs w:val="22"/>
          <w:lang w:val="es-ES_tradnl"/>
        </w:rPr>
      </w:pPr>
    </w:p>
    <w:p w14:paraId="739EBA4B" w14:textId="27C389B5" w:rsidR="00BC3803" w:rsidRPr="00FB4DC3" w:rsidRDefault="00BC3803" w:rsidP="00BC3803">
      <w:pPr>
        <w:numPr>
          <w:ilvl w:val="0"/>
          <w:numId w:val="2"/>
        </w:numPr>
        <w:spacing w:line="360" w:lineRule="auto"/>
        <w:ind w:left="0" w:firstLine="0"/>
        <w:contextualSpacing/>
        <w:jc w:val="both"/>
        <w:rPr>
          <w:rFonts w:ascii="Palatino Linotype" w:eastAsia="Calibri" w:hAnsi="Palatino Linotype" w:cs="Arial"/>
          <w:sz w:val="22"/>
          <w:szCs w:val="22"/>
          <w:lang w:val="es-ES_tradnl"/>
        </w:rPr>
      </w:pPr>
      <w:r w:rsidRPr="00FB4DC3">
        <w:rPr>
          <w:rFonts w:ascii="Palatino Linotype" w:eastAsia="Calibri" w:hAnsi="Palatino Linotype" w:cs="Arial"/>
          <w:sz w:val="22"/>
          <w:szCs w:val="22"/>
          <w:lang w:val="es-ES_tradnl"/>
        </w:rPr>
        <w:t xml:space="preserve">Por lo que el nombre del solicitando y </w:t>
      </w:r>
      <w:r w:rsidR="005E100F" w:rsidRPr="00FB4DC3">
        <w:rPr>
          <w:rFonts w:ascii="Palatino Linotype" w:eastAsia="Calibri" w:hAnsi="Palatino Linotype" w:cs="Arial"/>
          <w:b/>
          <w:bCs/>
          <w:sz w:val="22"/>
          <w:szCs w:val="22"/>
          <w:lang w:val="es-ES_tradnl"/>
        </w:rPr>
        <w:t>RECURRENTE</w:t>
      </w:r>
      <w:r w:rsidRPr="00FB4DC3">
        <w:rPr>
          <w:rFonts w:ascii="Palatino Linotype" w:eastAsia="Calibri" w:hAnsi="Palatino Linotype" w:cs="Arial"/>
          <w:sz w:val="22"/>
          <w:szCs w:val="22"/>
          <w:lang w:val="es-ES_tradnl"/>
        </w:rPr>
        <w:t xml:space="preserve"> no puede ser considerado un requisito indispensable de procedibilidad del recurso de revisión que nos ocupa, ya que el </w:t>
      </w:r>
      <w:r w:rsidRPr="00FB4DC3">
        <w:rPr>
          <w:rFonts w:ascii="Palatino Linotype" w:eastAsia="Calibri" w:hAnsi="Palatino Linotype" w:cs="Arial"/>
          <w:sz w:val="22"/>
          <w:szCs w:val="22"/>
          <w:lang w:val="es-ES_tradnl"/>
        </w:rPr>
        <w:lastRenderedPageBreak/>
        <w:t xml:space="preserve">acceso a la información no está condicionado a acreditar algún interés ya sea jurídico o legítimo, máxime que es un elemento subsanable por este Órgano </w:t>
      </w:r>
      <w:r w:rsidR="006C7293" w:rsidRPr="00FB4DC3">
        <w:rPr>
          <w:rFonts w:ascii="Palatino Linotype" w:eastAsia="Calibri" w:hAnsi="Palatino Linotype" w:cs="Arial"/>
          <w:sz w:val="22"/>
          <w:szCs w:val="22"/>
          <w:lang w:val="es-ES_tradnl"/>
        </w:rPr>
        <w:t>Garante.</w:t>
      </w:r>
    </w:p>
    <w:p w14:paraId="0B46B46C" w14:textId="77777777" w:rsidR="00BC6FDD" w:rsidRPr="00FB4DC3" w:rsidRDefault="00BC6FDD" w:rsidP="00BC3803">
      <w:pPr>
        <w:tabs>
          <w:tab w:val="left" w:pos="284"/>
        </w:tabs>
        <w:contextualSpacing/>
        <w:rPr>
          <w:rFonts w:ascii="Palatino Linotype" w:hAnsi="Palatino Linotype" w:cs="Arial"/>
          <w:color w:val="000000" w:themeColor="text1"/>
          <w:sz w:val="22"/>
          <w:szCs w:val="22"/>
          <w:lang w:val="es-ES" w:eastAsia="es-MX"/>
        </w:rPr>
      </w:pPr>
    </w:p>
    <w:p w14:paraId="13CB5EC4" w14:textId="77777777" w:rsidR="00BC6FDD" w:rsidRPr="00FB4DC3"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2"/>
          <w:szCs w:val="22"/>
          <w:lang w:val="es-ES_tradnl"/>
        </w:rPr>
      </w:pPr>
      <w:r w:rsidRPr="00FB4DC3">
        <w:rPr>
          <w:rFonts w:ascii="Palatino Linotype" w:eastAsia="Calibri" w:hAnsi="Palatino Linotype" w:cs="Arial"/>
          <w:sz w:val="22"/>
          <w:szCs w:val="22"/>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73D1E88D" w:rsidR="005000AA" w:rsidRPr="00FB4DC3" w:rsidRDefault="005000AA" w:rsidP="005000AA">
      <w:pPr>
        <w:pStyle w:val="Ttulo1"/>
        <w:rPr>
          <w:rFonts w:ascii="Palatino Linotype" w:hAnsi="Palatino Linotype"/>
          <w:b/>
          <w:color w:val="auto"/>
          <w:sz w:val="22"/>
          <w:szCs w:val="22"/>
        </w:rPr>
      </w:pPr>
      <w:bookmarkStart w:id="9" w:name="_Toc87549675"/>
      <w:r w:rsidRPr="00FB4DC3">
        <w:rPr>
          <w:rFonts w:ascii="Palatino Linotype" w:hAnsi="Palatino Linotype"/>
          <w:b/>
          <w:color w:val="auto"/>
          <w:sz w:val="22"/>
          <w:szCs w:val="22"/>
        </w:rPr>
        <w:t xml:space="preserve">TERCERO. </w:t>
      </w:r>
      <w:r w:rsidR="006411BB" w:rsidRPr="00FB4DC3">
        <w:rPr>
          <w:rFonts w:ascii="Palatino Linotype" w:hAnsi="Palatino Linotype"/>
          <w:b/>
          <w:color w:val="auto"/>
          <w:sz w:val="22"/>
          <w:szCs w:val="22"/>
        </w:rPr>
        <w:t>De las causales del sobreseimiento</w:t>
      </w:r>
      <w:bookmarkEnd w:id="9"/>
      <w:r w:rsidRPr="00FB4DC3">
        <w:rPr>
          <w:rFonts w:ascii="Palatino Linotype" w:hAnsi="Palatino Linotype"/>
          <w:b/>
          <w:color w:val="auto"/>
          <w:sz w:val="22"/>
          <w:szCs w:val="22"/>
        </w:rPr>
        <w:t xml:space="preserve"> </w:t>
      </w:r>
    </w:p>
    <w:p w14:paraId="64EC7D21" w14:textId="77777777" w:rsidR="00BC3803" w:rsidRPr="00FB4DC3" w:rsidRDefault="00BC3803" w:rsidP="00BC3803">
      <w:pPr>
        <w:rPr>
          <w:rFonts w:ascii="Palatino Linotype" w:eastAsia="MS Mincho" w:hAnsi="Palatino Linotype"/>
          <w:sz w:val="22"/>
          <w:szCs w:val="22"/>
        </w:rPr>
      </w:pPr>
    </w:p>
    <w:p w14:paraId="3156DD22" w14:textId="77777777" w:rsidR="006D3646" w:rsidRPr="00FB4DC3" w:rsidRDefault="006D3646" w:rsidP="006D3646">
      <w:pPr>
        <w:rPr>
          <w:rFonts w:ascii="Palatino Linotype" w:hAnsi="Palatino Linotype"/>
          <w:sz w:val="22"/>
          <w:szCs w:val="22"/>
        </w:rPr>
      </w:pPr>
    </w:p>
    <w:p w14:paraId="6C6E3F16" w14:textId="77777777" w:rsidR="006D3646" w:rsidRPr="00FB4DC3" w:rsidRDefault="006D3646" w:rsidP="006D3646">
      <w:pPr>
        <w:pStyle w:val="Prrafodelista"/>
        <w:numPr>
          <w:ilvl w:val="0"/>
          <w:numId w:val="2"/>
        </w:numPr>
        <w:spacing w:line="360" w:lineRule="auto"/>
        <w:ind w:left="0" w:right="49" w:firstLine="0"/>
        <w:jc w:val="both"/>
        <w:rPr>
          <w:rFonts w:ascii="Palatino Linotype" w:hAnsi="Palatino Linotype" w:cs="Arial"/>
          <w:color w:val="000000"/>
          <w:szCs w:val="22"/>
        </w:rPr>
      </w:pPr>
      <w:r w:rsidRPr="00FB4DC3">
        <w:rPr>
          <w:rFonts w:ascii="Palatino Linotype" w:hAnsi="Palatino Linotype" w:cs="Arial"/>
          <w:color w:val="000000"/>
          <w:szCs w:val="22"/>
        </w:rPr>
        <w:t>Tal y como se puede apreciar en el expediente electrónico que obra en el SAIMEX, el Sujeto Obligado fue omiso en atender la solicitud de información que formuló el particular, aún y cuando la Constitución Política de los Estados Unidos Mexicanos establece que “</w:t>
      </w:r>
      <w:r w:rsidRPr="00FB4DC3">
        <w:rPr>
          <w:rFonts w:ascii="Palatino Linotype" w:hAnsi="Palatino Linotype" w:cs="Helvetica"/>
          <w:i/>
          <w:szCs w:val="22"/>
          <w:shd w:val="clear" w:color="auto" w:fill="FFFFFF"/>
        </w:rPr>
        <w:t>Todas las autoridades, en el ámbito de sus competencias, tienen la obligación de promover, respetar, proteger y garantizar los derechos humanos de conformidad con los principios de universalidad, interdependencia, indivisibilidad y progresividad…”</w:t>
      </w:r>
      <w:r w:rsidRPr="00FB4DC3">
        <w:rPr>
          <w:rStyle w:val="Refdenotaalpie"/>
          <w:rFonts w:ascii="Palatino Linotype" w:hAnsi="Palatino Linotype" w:cs="Helvetica"/>
          <w:i/>
          <w:szCs w:val="22"/>
          <w:shd w:val="clear" w:color="auto" w:fill="FFFFFF"/>
        </w:rPr>
        <w:footnoteReference w:id="1"/>
      </w:r>
      <w:r w:rsidRPr="00FB4DC3">
        <w:rPr>
          <w:rFonts w:ascii="Palatino Linotype" w:hAnsi="Palatino Linotype" w:cs="Helvetica"/>
          <w:szCs w:val="22"/>
          <w:shd w:val="clear" w:color="auto" w:fill="FFFFFF"/>
        </w:rPr>
        <w:t>, por lo tanto, como el mismo ordenamiento refiere que “</w:t>
      </w:r>
      <w:r w:rsidRPr="00FB4DC3">
        <w:rPr>
          <w:rFonts w:ascii="Palatino Linotype" w:hAnsi="Palatino Linotype"/>
          <w:i/>
          <w:szCs w:val="22"/>
        </w:rPr>
        <w:t>Toda persona tiene derecho al libre acceso a información plural y oportuna, así como a buscar, recibir y difundir información e ideas de toda índole por cualquier medio de expresión.”</w:t>
      </w:r>
      <w:r w:rsidRPr="00FB4DC3">
        <w:rPr>
          <w:rStyle w:val="Refdenotaalpie"/>
          <w:rFonts w:ascii="Palatino Linotype" w:hAnsi="Palatino Linotype"/>
          <w:i/>
          <w:szCs w:val="22"/>
        </w:rPr>
        <w:footnoteReference w:id="2"/>
      </w:r>
      <w:r w:rsidRPr="00FB4DC3">
        <w:rPr>
          <w:rFonts w:ascii="Palatino Linotype" w:hAnsi="Palatino Linotype"/>
          <w:i/>
          <w:szCs w:val="22"/>
        </w:rPr>
        <w:t xml:space="preserve">,  </w:t>
      </w:r>
      <w:r w:rsidRPr="00FB4DC3">
        <w:rPr>
          <w:rFonts w:ascii="Palatino Linotype" w:hAnsi="Palatino Linotype"/>
          <w:szCs w:val="22"/>
        </w:rPr>
        <w:t>se e</w:t>
      </w:r>
      <w:r w:rsidRPr="00FB4DC3">
        <w:rPr>
          <w:rFonts w:ascii="Palatino Linotype" w:hAnsi="Palatino Linotype" w:cs="Helvetica"/>
          <w:szCs w:val="22"/>
          <w:shd w:val="clear" w:color="auto" w:fill="FFFFFF"/>
        </w:rPr>
        <w:t xml:space="preserve">ntiende que el acceso a la información es un derecho, por lo tanto, todas las autoridades en el ámbito de su competencia se ven impuestas por la obligación de </w:t>
      </w:r>
      <w:r w:rsidRPr="00FB4DC3">
        <w:rPr>
          <w:rFonts w:ascii="Palatino Linotype" w:hAnsi="Palatino Linotype" w:cs="Helvetica"/>
          <w:b/>
          <w:szCs w:val="22"/>
          <w:shd w:val="clear" w:color="auto" w:fill="FFFFFF"/>
        </w:rPr>
        <w:t>promover, proteger, respetar y garantizar</w:t>
      </w:r>
      <w:r w:rsidRPr="00FB4DC3">
        <w:rPr>
          <w:rFonts w:ascii="Palatino Linotype" w:hAnsi="Palatino Linotype" w:cs="Helvetica"/>
          <w:szCs w:val="22"/>
          <w:shd w:val="clear" w:color="auto" w:fill="FFFFFF"/>
        </w:rPr>
        <w:t xml:space="preserve"> el libre acceso a la información.</w:t>
      </w:r>
    </w:p>
    <w:p w14:paraId="5C7711BF" w14:textId="77777777" w:rsidR="006D3646" w:rsidRPr="00FB4DC3" w:rsidRDefault="006D3646" w:rsidP="006D3646">
      <w:pPr>
        <w:pStyle w:val="Prrafodelista"/>
        <w:spacing w:line="360" w:lineRule="auto"/>
        <w:ind w:left="0" w:right="49"/>
        <w:jc w:val="both"/>
        <w:rPr>
          <w:rFonts w:ascii="Palatino Linotype" w:hAnsi="Palatino Linotype" w:cs="Arial"/>
          <w:color w:val="000000"/>
          <w:szCs w:val="22"/>
        </w:rPr>
      </w:pPr>
    </w:p>
    <w:p w14:paraId="5EF0B5CF" w14:textId="0DD31428" w:rsidR="006D3646" w:rsidRPr="00FB4DC3" w:rsidRDefault="006D3646" w:rsidP="006D3646">
      <w:pPr>
        <w:pStyle w:val="Prrafodelista"/>
        <w:numPr>
          <w:ilvl w:val="0"/>
          <w:numId w:val="2"/>
        </w:numPr>
        <w:spacing w:line="360" w:lineRule="auto"/>
        <w:ind w:left="0" w:right="49" w:firstLine="0"/>
        <w:jc w:val="both"/>
        <w:rPr>
          <w:rFonts w:ascii="Palatino Linotype" w:hAnsi="Palatino Linotype" w:cs="Arial"/>
          <w:color w:val="000000"/>
          <w:szCs w:val="22"/>
        </w:rPr>
      </w:pPr>
      <w:r w:rsidRPr="00FB4DC3">
        <w:rPr>
          <w:rFonts w:ascii="Palatino Linotype" w:hAnsi="Palatino Linotype" w:cs="Helvetica"/>
          <w:szCs w:val="22"/>
          <w:shd w:val="clear" w:color="auto" w:fill="FFFFFF"/>
        </w:rPr>
        <w:lastRenderedPageBreak/>
        <w:t xml:space="preserve">Es así, que la falta de respuesta a una solicitud implica una afectación directa al derecho humano que le asiste a la persona que solicita acceder a la información. En conclusión tenemos que la autoridad responsable al ser omiso en emitir respuesta </w:t>
      </w:r>
      <w:r w:rsidRPr="00FB4DC3">
        <w:rPr>
          <w:rFonts w:ascii="Palatino Linotype" w:hAnsi="Palatino Linotype" w:cs="Helvetica"/>
          <w:b/>
          <w:szCs w:val="22"/>
          <w:shd w:val="clear" w:color="auto" w:fill="FFFFFF"/>
        </w:rPr>
        <w:t>no promovió, protegió, respetó ni garantizo el derecho constitucional y convencionalmente reconocido de acceso a la información</w:t>
      </w:r>
      <w:r w:rsidRPr="00FB4DC3">
        <w:rPr>
          <w:rFonts w:ascii="Palatino Linotype" w:hAnsi="Palatino Linotype" w:cs="Helvetica"/>
          <w:szCs w:val="22"/>
          <w:shd w:val="clear" w:color="auto" w:fill="FFFFFF"/>
        </w:rPr>
        <w:t xml:space="preserve">, toda vez que no brindó lo que le fue solicitado en el tiempo previamente establecido para tal efecto, provocando así que el particular deba de recurrir a </w:t>
      </w:r>
      <w:r w:rsidRPr="00FB4DC3">
        <w:rPr>
          <w:rFonts w:ascii="Palatino Linotype" w:hAnsi="Palatino Linotype" w:cs="Helvetica"/>
          <w:i/>
          <w:szCs w:val="22"/>
          <w:shd w:val="clear" w:color="auto" w:fill="FFFFFF"/>
        </w:rPr>
        <w:t>“la garantía secundaria mediante la cual se pretender reparar cualquier posible afectación al derecho de acceso a la información pública…”</w:t>
      </w:r>
      <w:r w:rsidRPr="00FB4DC3">
        <w:rPr>
          <w:rStyle w:val="Refdenotaalpie"/>
          <w:rFonts w:ascii="Palatino Linotype" w:hAnsi="Palatino Linotype" w:cs="Helvetica"/>
          <w:i/>
          <w:szCs w:val="22"/>
          <w:shd w:val="clear" w:color="auto" w:fill="FFFFFF"/>
        </w:rPr>
        <w:footnoteReference w:id="3"/>
      </w:r>
      <w:r w:rsidRPr="00FB4DC3">
        <w:rPr>
          <w:rFonts w:ascii="Palatino Linotype" w:hAnsi="Palatino Linotype" w:cs="Helvetica"/>
          <w:i/>
          <w:szCs w:val="22"/>
          <w:shd w:val="clear" w:color="auto" w:fill="FFFFFF"/>
        </w:rPr>
        <w:t xml:space="preserve"> </w:t>
      </w:r>
      <w:r w:rsidR="004F26BE" w:rsidRPr="00FB4DC3">
        <w:rPr>
          <w:rFonts w:ascii="Palatino Linotype" w:hAnsi="Palatino Linotype" w:cs="Helvetica"/>
          <w:szCs w:val="22"/>
          <w:shd w:val="clear" w:color="auto" w:fill="FFFFFF"/>
        </w:rPr>
        <w:t xml:space="preserve">siendo el recurso de revisión, mismo que fue interpuesto por el particular, derivado de la falta de respuesta a la solicitud de información. </w:t>
      </w:r>
    </w:p>
    <w:p w14:paraId="537BB5D7" w14:textId="77777777" w:rsidR="006D3646" w:rsidRPr="00FB4DC3" w:rsidRDefault="006D3646" w:rsidP="006D3646">
      <w:pPr>
        <w:pStyle w:val="Prrafodelista"/>
        <w:spacing w:line="360" w:lineRule="auto"/>
        <w:rPr>
          <w:rFonts w:ascii="Palatino Linotype" w:hAnsi="Palatino Linotype" w:cs="Arial"/>
          <w:color w:val="000000"/>
          <w:szCs w:val="22"/>
        </w:rPr>
      </w:pPr>
    </w:p>
    <w:p w14:paraId="35534F7C" w14:textId="5E102AD8" w:rsidR="00976653" w:rsidRPr="00FB4DC3" w:rsidRDefault="00976653" w:rsidP="006D3646">
      <w:pPr>
        <w:pStyle w:val="Prrafodelista"/>
        <w:numPr>
          <w:ilvl w:val="0"/>
          <w:numId w:val="2"/>
        </w:numPr>
        <w:spacing w:line="360" w:lineRule="auto"/>
        <w:ind w:left="0" w:right="49" w:firstLine="0"/>
        <w:jc w:val="both"/>
        <w:rPr>
          <w:rFonts w:ascii="Palatino Linotype" w:hAnsi="Palatino Linotype" w:cs="Arial"/>
          <w:color w:val="000000"/>
          <w:szCs w:val="22"/>
        </w:rPr>
      </w:pPr>
      <w:r w:rsidRPr="00FB4DC3">
        <w:rPr>
          <w:rFonts w:ascii="Palatino Linotype" w:hAnsi="Palatino Linotype" w:cs="Arial"/>
          <w:color w:val="000000"/>
          <w:szCs w:val="22"/>
        </w:rPr>
        <w:t xml:space="preserve">Ahora bien, el artículo </w:t>
      </w:r>
      <w:r w:rsidR="004F26BE" w:rsidRPr="00FB4DC3">
        <w:rPr>
          <w:rFonts w:ascii="Palatino Linotype" w:hAnsi="Palatino Linotype" w:cs="Arial"/>
          <w:color w:val="000000"/>
          <w:szCs w:val="22"/>
        </w:rPr>
        <w:t xml:space="preserve"> 192 de la Ley de Transparencia del Estado de México y Municipios</w:t>
      </w:r>
      <w:r w:rsidRPr="00FB4DC3">
        <w:rPr>
          <w:rFonts w:ascii="Palatino Linotype" w:hAnsi="Palatino Linotype" w:cs="Arial"/>
          <w:color w:val="000000"/>
          <w:szCs w:val="22"/>
        </w:rPr>
        <w:t xml:space="preserve"> establece las causales por la que puede ser </w:t>
      </w:r>
      <w:r w:rsidR="004F26BE" w:rsidRPr="00FB4DC3">
        <w:rPr>
          <w:rFonts w:ascii="Palatino Linotype" w:hAnsi="Palatino Linotype" w:cs="Arial"/>
          <w:color w:val="000000"/>
          <w:szCs w:val="22"/>
        </w:rPr>
        <w:t>sobreseído</w:t>
      </w:r>
      <w:r w:rsidRPr="00FB4DC3">
        <w:rPr>
          <w:rFonts w:ascii="Palatino Linotype" w:hAnsi="Palatino Linotype" w:cs="Arial"/>
          <w:color w:val="000000"/>
          <w:szCs w:val="22"/>
        </w:rPr>
        <w:t xml:space="preserve"> el recurso de revisión:</w:t>
      </w:r>
    </w:p>
    <w:p w14:paraId="6D6DF861" w14:textId="77777777" w:rsidR="00976653" w:rsidRPr="00FB4DC3" w:rsidRDefault="00976653" w:rsidP="00976653">
      <w:pPr>
        <w:pStyle w:val="Prrafodelista"/>
        <w:spacing w:line="360" w:lineRule="auto"/>
        <w:ind w:left="0" w:right="49"/>
        <w:jc w:val="both"/>
        <w:rPr>
          <w:rFonts w:ascii="Palatino Linotype" w:hAnsi="Palatino Linotype" w:cs="Arial"/>
          <w:color w:val="000000"/>
          <w:szCs w:val="22"/>
        </w:rPr>
      </w:pPr>
    </w:p>
    <w:p w14:paraId="22FBD405" w14:textId="58705F76" w:rsidR="00976653" w:rsidRPr="00FB4DC3" w:rsidRDefault="006C7293" w:rsidP="00465ADC">
      <w:pPr>
        <w:pStyle w:val="Prrafodelista"/>
        <w:ind w:left="567" w:right="822"/>
        <w:jc w:val="both"/>
        <w:rPr>
          <w:rFonts w:ascii="Palatino Linotype" w:hAnsi="Palatino Linotype" w:cs="Arial"/>
          <w:i/>
          <w:color w:val="000000"/>
          <w:szCs w:val="22"/>
        </w:rPr>
      </w:pPr>
      <w:r w:rsidRPr="00FB4DC3">
        <w:rPr>
          <w:rFonts w:ascii="Palatino Linotype" w:hAnsi="Palatino Linotype" w:cs="Arial"/>
          <w:color w:val="000000"/>
          <w:szCs w:val="22"/>
        </w:rPr>
        <w:t>“Artículo</w:t>
      </w:r>
      <w:r w:rsidR="00976653" w:rsidRPr="00FB4DC3">
        <w:rPr>
          <w:rFonts w:ascii="Palatino Linotype" w:hAnsi="Palatino Linotype" w:cs="Arial"/>
          <w:b/>
          <w:bCs/>
          <w:i/>
          <w:color w:val="000000"/>
          <w:szCs w:val="22"/>
        </w:rPr>
        <w:t xml:space="preserve"> 192.</w:t>
      </w:r>
      <w:r w:rsidR="00976653" w:rsidRPr="00FB4DC3">
        <w:rPr>
          <w:rFonts w:ascii="Palatino Linotype" w:hAnsi="Palatino Linotype" w:cs="Arial"/>
          <w:i/>
          <w:color w:val="000000"/>
          <w:szCs w:val="22"/>
        </w:rPr>
        <w:t xml:space="preserve"> El recurso será sobreseído, en todo o en parte, cuando una vez admitido, se actualicen alguno de los siguientes supuestos:</w:t>
      </w:r>
    </w:p>
    <w:p w14:paraId="320182AF" w14:textId="77777777" w:rsidR="00976653" w:rsidRPr="00FB4DC3" w:rsidRDefault="00976653" w:rsidP="00465ADC">
      <w:pPr>
        <w:pStyle w:val="Prrafodelista"/>
        <w:ind w:left="567" w:right="822"/>
        <w:rPr>
          <w:rFonts w:ascii="Palatino Linotype" w:hAnsi="Palatino Linotype" w:cs="Arial"/>
          <w:i/>
          <w:color w:val="000000"/>
          <w:szCs w:val="22"/>
        </w:rPr>
      </w:pPr>
      <w:r w:rsidRPr="00FB4DC3">
        <w:rPr>
          <w:rFonts w:ascii="Palatino Linotype" w:hAnsi="Palatino Linotype" w:cs="Arial"/>
          <w:i/>
          <w:color w:val="000000"/>
          <w:szCs w:val="22"/>
        </w:rPr>
        <w:t xml:space="preserve">I. El recurrente se desista expresamente del recurso; </w:t>
      </w:r>
    </w:p>
    <w:p w14:paraId="7EFF3642" w14:textId="77777777" w:rsidR="00976653" w:rsidRPr="00FB4DC3" w:rsidRDefault="00976653" w:rsidP="00465ADC">
      <w:pPr>
        <w:pStyle w:val="Prrafodelista"/>
        <w:ind w:left="567" w:right="822"/>
        <w:rPr>
          <w:rFonts w:ascii="Palatino Linotype" w:hAnsi="Palatino Linotype" w:cs="Arial"/>
          <w:i/>
          <w:color w:val="000000"/>
          <w:szCs w:val="22"/>
        </w:rPr>
      </w:pPr>
      <w:r w:rsidRPr="00FB4DC3">
        <w:rPr>
          <w:rFonts w:ascii="Palatino Linotype" w:hAnsi="Palatino Linotype" w:cs="Arial"/>
          <w:i/>
          <w:color w:val="000000"/>
          <w:szCs w:val="22"/>
        </w:rPr>
        <w:t xml:space="preserve">II. El recurrente fallezca o, tratándose de personas jurídicas colectivas, se disuelva; </w:t>
      </w:r>
    </w:p>
    <w:p w14:paraId="1FD17525" w14:textId="77777777" w:rsidR="00976653" w:rsidRPr="00FB4DC3" w:rsidRDefault="00976653" w:rsidP="00465ADC">
      <w:pPr>
        <w:pStyle w:val="Prrafodelista"/>
        <w:ind w:left="567" w:right="822"/>
        <w:rPr>
          <w:rFonts w:ascii="Palatino Linotype" w:hAnsi="Palatino Linotype" w:cs="Arial"/>
          <w:i/>
          <w:color w:val="000000"/>
          <w:szCs w:val="22"/>
        </w:rPr>
      </w:pPr>
      <w:r w:rsidRPr="00FB4DC3">
        <w:rPr>
          <w:rFonts w:ascii="Palatino Linotype" w:hAnsi="Palatino Linotype" w:cs="Arial"/>
          <w:i/>
          <w:color w:val="000000"/>
          <w:szCs w:val="22"/>
        </w:rPr>
        <w:t xml:space="preserve">III. El sujeto obligado responsable del acto lo modifique o revoque de tal manera que el recurso de revisión quede sin materia; </w:t>
      </w:r>
    </w:p>
    <w:p w14:paraId="4187C6F6" w14:textId="77777777" w:rsidR="00976653" w:rsidRPr="00FB4DC3" w:rsidRDefault="00976653" w:rsidP="00465ADC">
      <w:pPr>
        <w:pStyle w:val="Prrafodelista"/>
        <w:ind w:left="567" w:right="822"/>
        <w:rPr>
          <w:rFonts w:ascii="Palatino Linotype" w:hAnsi="Palatino Linotype" w:cs="Arial"/>
          <w:b/>
          <w:i/>
          <w:color w:val="000000"/>
          <w:szCs w:val="22"/>
        </w:rPr>
      </w:pPr>
      <w:r w:rsidRPr="00FB4DC3">
        <w:rPr>
          <w:rFonts w:ascii="Palatino Linotype" w:hAnsi="Palatino Linotype" w:cs="Arial"/>
          <w:b/>
          <w:i/>
          <w:color w:val="000000"/>
          <w:szCs w:val="22"/>
        </w:rPr>
        <w:t xml:space="preserve">IV. Admitido el recurso de revisión, aparezca alguna causal de improcedencia en los términos de la presente Ley; y </w:t>
      </w:r>
    </w:p>
    <w:p w14:paraId="1A8CF4E9" w14:textId="1272506A" w:rsidR="006D3646" w:rsidRPr="00FB4DC3" w:rsidRDefault="00976653" w:rsidP="00465ADC">
      <w:pPr>
        <w:pStyle w:val="Prrafodelista"/>
        <w:ind w:left="567" w:right="822"/>
        <w:rPr>
          <w:rFonts w:ascii="Palatino Linotype" w:hAnsi="Palatino Linotype" w:cs="Arial"/>
          <w:i/>
          <w:color w:val="000000"/>
          <w:szCs w:val="22"/>
        </w:rPr>
      </w:pPr>
      <w:r w:rsidRPr="00FB4DC3">
        <w:rPr>
          <w:rFonts w:ascii="Palatino Linotype" w:hAnsi="Palatino Linotype" w:cs="Arial"/>
          <w:i/>
          <w:color w:val="000000"/>
          <w:szCs w:val="22"/>
        </w:rPr>
        <w:t>V. Cuando por cualquier motivo quede sin materia el recurso.</w:t>
      </w:r>
      <w:r w:rsidR="004F26BE" w:rsidRPr="00FB4DC3">
        <w:rPr>
          <w:rFonts w:ascii="Palatino Linotype" w:hAnsi="Palatino Linotype" w:cs="Arial"/>
          <w:i/>
          <w:color w:val="000000"/>
          <w:szCs w:val="22"/>
        </w:rPr>
        <w:t>”</w:t>
      </w:r>
    </w:p>
    <w:p w14:paraId="4683A5D5" w14:textId="77777777" w:rsidR="004F26BE" w:rsidRPr="00FB4DC3" w:rsidRDefault="004F26BE" w:rsidP="005E100F">
      <w:pPr>
        <w:spacing w:line="360" w:lineRule="auto"/>
        <w:ind w:right="822"/>
        <w:rPr>
          <w:rFonts w:ascii="Palatino Linotype" w:hAnsi="Palatino Linotype" w:cs="Arial"/>
          <w:i/>
          <w:color w:val="000000"/>
          <w:sz w:val="22"/>
          <w:szCs w:val="22"/>
        </w:rPr>
      </w:pPr>
    </w:p>
    <w:p w14:paraId="4757FE6C" w14:textId="49F64240" w:rsidR="00976653" w:rsidRPr="00FB4DC3" w:rsidRDefault="004F26BE" w:rsidP="00463BC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Cs w:val="22"/>
        </w:rPr>
      </w:pPr>
      <w:r w:rsidRPr="00FB4DC3">
        <w:rPr>
          <w:rFonts w:ascii="Palatino Linotype" w:hAnsi="Palatino Linotype" w:cs="Arial"/>
          <w:szCs w:val="22"/>
        </w:rPr>
        <w:t xml:space="preserve">Es así que, el precepto legal establece que cuando admitido el recurso de revisión no actualice una causal de procedencia, será sobreseído en términos de la Ley; consecuentemente, </w:t>
      </w:r>
      <w:r w:rsidRPr="00FB4DC3">
        <w:rPr>
          <w:rFonts w:ascii="Palatino Linotype" w:hAnsi="Palatino Linotype" w:cs="Arial"/>
          <w:szCs w:val="22"/>
        </w:rPr>
        <w:lastRenderedPageBreak/>
        <w:t xml:space="preserve">es necesario traer a contexto el artículo 191, fracción III de la Ley en la materia, que establece que el recurso de revisión será desechado por improcedente, cuando </w:t>
      </w:r>
      <w:r w:rsidRPr="00FB4DC3">
        <w:rPr>
          <w:rFonts w:ascii="Palatino Linotype" w:hAnsi="Palatino Linotype" w:cs="Arial"/>
          <w:bCs/>
          <w:szCs w:val="22"/>
          <w:lang w:val="es-ES"/>
        </w:rPr>
        <w:t>dicho medio no actualice alguno de los supuestos previstos en el diverso 179 de la presente Ley que establecen:</w:t>
      </w:r>
    </w:p>
    <w:p w14:paraId="1B91F87B" w14:textId="77777777" w:rsidR="004F26BE" w:rsidRPr="00FB4DC3" w:rsidRDefault="004F26BE" w:rsidP="004F26BE">
      <w:pPr>
        <w:pStyle w:val="Prrafodelista"/>
        <w:autoSpaceDE w:val="0"/>
        <w:autoSpaceDN w:val="0"/>
        <w:adjustRightInd w:val="0"/>
        <w:spacing w:before="120" w:after="120" w:line="360" w:lineRule="auto"/>
        <w:ind w:left="0"/>
        <w:jc w:val="both"/>
        <w:rPr>
          <w:rFonts w:ascii="Palatino Linotype" w:hAnsi="Palatino Linotype" w:cs="Arial"/>
          <w:bCs/>
          <w:szCs w:val="22"/>
          <w:lang w:val="es-ES"/>
        </w:rPr>
      </w:pPr>
    </w:p>
    <w:p w14:paraId="4FAA1359" w14:textId="322638EB" w:rsidR="004F26BE" w:rsidRPr="00FB4DC3" w:rsidRDefault="005E100F" w:rsidP="00465ADC">
      <w:pPr>
        <w:pStyle w:val="Prrafodelista"/>
        <w:autoSpaceDE w:val="0"/>
        <w:autoSpaceDN w:val="0"/>
        <w:adjustRightInd w:val="0"/>
        <w:spacing w:before="120" w:after="120"/>
        <w:ind w:left="567" w:right="539"/>
        <w:rPr>
          <w:rFonts w:ascii="Palatino Linotype" w:hAnsi="Palatino Linotype" w:cs="Arial"/>
          <w:i/>
          <w:szCs w:val="22"/>
        </w:rPr>
      </w:pPr>
      <w:r w:rsidRPr="00FB4DC3">
        <w:rPr>
          <w:rFonts w:ascii="Palatino Linotype" w:hAnsi="Palatino Linotype" w:cs="Arial"/>
          <w:i/>
          <w:szCs w:val="22"/>
        </w:rPr>
        <w:t>“</w:t>
      </w:r>
      <w:r w:rsidR="004F26BE" w:rsidRPr="00FB4DC3">
        <w:rPr>
          <w:rFonts w:ascii="Palatino Linotype" w:hAnsi="Palatino Linotype" w:cs="Arial"/>
          <w:b/>
          <w:bCs/>
          <w:i/>
          <w:szCs w:val="22"/>
        </w:rPr>
        <w:t>Artículo 191.</w:t>
      </w:r>
      <w:r w:rsidR="004F26BE" w:rsidRPr="00FB4DC3">
        <w:rPr>
          <w:rFonts w:ascii="Palatino Linotype" w:hAnsi="Palatino Linotype" w:cs="Arial"/>
          <w:i/>
          <w:szCs w:val="22"/>
        </w:rPr>
        <w:t xml:space="preserve"> El recurso será desechado por improcedente cuando:</w:t>
      </w:r>
    </w:p>
    <w:p w14:paraId="4AB528C7"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i/>
          <w:szCs w:val="22"/>
        </w:rPr>
      </w:pPr>
    </w:p>
    <w:p w14:paraId="22EA4644"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i/>
          <w:szCs w:val="22"/>
        </w:rPr>
      </w:pPr>
      <w:r w:rsidRPr="00FB4DC3">
        <w:rPr>
          <w:rFonts w:ascii="Palatino Linotype" w:hAnsi="Palatino Linotype" w:cs="Arial"/>
          <w:i/>
          <w:szCs w:val="22"/>
        </w:rPr>
        <w:t xml:space="preserve">I. Sea extemporáneo por haber transcurrido el plazo establecido en la presente Ley, a partir de la respuesta; </w:t>
      </w:r>
    </w:p>
    <w:p w14:paraId="10966EBB"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i/>
          <w:szCs w:val="22"/>
        </w:rPr>
      </w:pPr>
      <w:r w:rsidRPr="00FB4DC3">
        <w:rPr>
          <w:rFonts w:ascii="Palatino Linotype" w:hAnsi="Palatino Linotype" w:cs="Arial"/>
          <w:i/>
          <w:szCs w:val="22"/>
        </w:rPr>
        <w:t xml:space="preserve">II. Se esté tramitando ante el Poder Judicial de la Federación algún recurso o medio de defensa interpuesto por el recurrente; </w:t>
      </w:r>
    </w:p>
    <w:p w14:paraId="7622AF1B"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b/>
          <w:i/>
          <w:szCs w:val="22"/>
        </w:rPr>
      </w:pPr>
      <w:r w:rsidRPr="00FB4DC3">
        <w:rPr>
          <w:rFonts w:ascii="Palatino Linotype" w:hAnsi="Palatino Linotype" w:cs="Arial"/>
          <w:b/>
          <w:i/>
          <w:szCs w:val="22"/>
        </w:rPr>
        <w:t xml:space="preserve">III. No actualice alguno de los supuestos previstos en la presente Ley; </w:t>
      </w:r>
    </w:p>
    <w:p w14:paraId="2BA4A156"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i/>
          <w:szCs w:val="22"/>
        </w:rPr>
      </w:pPr>
      <w:r w:rsidRPr="00FB4DC3">
        <w:rPr>
          <w:rFonts w:ascii="Palatino Linotype" w:hAnsi="Palatino Linotype" w:cs="Arial"/>
          <w:i/>
          <w:szCs w:val="22"/>
        </w:rPr>
        <w:t xml:space="preserve">IV. No se haya desahogado la prevención en los términos establecidos en la presente Ley; </w:t>
      </w:r>
    </w:p>
    <w:p w14:paraId="65CE23E7"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i/>
          <w:szCs w:val="22"/>
        </w:rPr>
      </w:pPr>
      <w:r w:rsidRPr="00FB4DC3">
        <w:rPr>
          <w:rFonts w:ascii="Palatino Linotype" w:hAnsi="Palatino Linotype" w:cs="Arial"/>
          <w:i/>
          <w:szCs w:val="22"/>
        </w:rPr>
        <w:t xml:space="preserve">V. Se impugne la veracidad de la información proporcionada; </w:t>
      </w:r>
    </w:p>
    <w:p w14:paraId="30442F95"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i/>
          <w:szCs w:val="22"/>
        </w:rPr>
      </w:pPr>
      <w:r w:rsidRPr="00FB4DC3">
        <w:rPr>
          <w:rFonts w:ascii="Palatino Linotype" w:hAnsi="Palatino Linotype" w:cs="Arial"/>
          <w:i/>
          <w:szCs w:val="22"/>
        </w:rPr>
        <w:t xml:space="preserve">VI. Se trate de una consulta, o trámite en específico; y </w:t>
      </w:r>
    </w:p>
    <w:p w14:paraId="42E238BA"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szCs w:val="22"/>
        </w:rPr>
      </w:pPr>
      <w:r w:rsidRPr="00FB4DC3">
        <w:rPr>
          <w:rFonts w:ascii="Palatino Linotype" w:hAnsi="Palatino Linotype" w:cs="Arial"/>
          <w:i/>
          <w:szCs w:val="22"/>
        </w:rPr>
        <w:t>VII. El recurrente amplíe su solicitud en el recurso de revisión, únicamente respecto de los nuevos contenidos.</w:t>
      </w:r>
    </w:p>
    <w:p w14:paraId="07587A9A"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szCs w:val="22"/>
        </w:rPr>
      </w:pPr>
    </w:p>
    <w:p w14:paraId="69633379"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bCs/>
          <w:i/>
          <w:szCs w:val="22"/>
        </w:rPr>
      </w:pPr>
      <w:r w:rsidRPr="00FB4DC3">
        <w:rPr>
          <w:rFonts w:ascii="Palatino Linotype" w:hAnsi="Palatino Linotype" w:cs="Arial"/>
          <w:b/>
          <w:bCs/>
          <w:i/>
          <w:szCs w:val="22"/>
        </w:rPr>
        <w:t xml:space="preserve">“Artículo 179. </w:t>
      </w:r>
      <w:r w:rsidRPr="00FB4DC3">
        <w:rPr>
          <w:rFonts w:ascii="Palatino Linotype" w:hAnsi="Palatino Linotype" w:cs="Arial"/>
          <w:bCs/>
          <w:i/>
          <w:szCs w:val="22"/>
        </w:rPr>
        <w:t xml:space="preserve">El recurso de revisión es un medio de protección que la Ley otorga a los particulares, para hacer valer su derecho de acceso a la información pública, y procederá en contra de las siguientes causas: </w:t>
      </w:r>
    </w:p>
    <w:p w14:paraId="1DBA954E"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bCs/>
          <w:i/>
          <w:szCs w:val="22"/>
        </w:rPr>
      </w:pPr>
    </w:p>
    <w:p w14:paraId="19FE9DD7"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I. La negativa a la información solicitada; </w:t>
      </w:r>
    </w:p>
    <w:p w14:paraId="57FA060A"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II. La clasificación de la información; </w:t>
      </w:r>
    </w:p>
    <w:p w14:paraId="2DC68BAB"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III. La declaración de inexistencia de la información; </w:t>
      </w:r>
    </w:p>
    <w:p w14:paraId="34E8F763"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IV. La declaración de incompetencia por el sujeto obligado; </w:t>
      </w:r>
    </w:p>
    <w:p w14:paraId="686769C1"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V. La entrega de información incompleta; </w:t>
      </w:r>
    </w:p>
    <w:p w14:paraId="6250F451"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VI. La entrega de información que no corresponda con lo solicitado; </w:t>
      </w:r>
    </w:p>
    <w:p w14:paraId="56B9B425"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VII. La falta de respuesta a una solicitud de acceso a la información; </w:t>
      </w:r>
    </w:p>
    <w:p w14:paraId="2D40DEC9"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VIII. La notificación, entrega o puesta a disposición de información en una modalidad o formato distinto al solicitado; </w:t>
      </w:r>
    </w:p>
    <w:p w14:paraId="2CAF9BB7"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IX. La entrega o puesta a disposición de información en un formato incomprensible y/o no accesible para el solicitante; </w:t>
      </w:r>
    </w:p>
    <w:p w14:paraId="67F57506"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X. Los costos o tiempos de entrega de la información; </w:t>
      </w:r>
    </w:p>
    <w:p w14:paraId="4E975433"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XI. La falta de trámite a una solicitud; </w:t>
      </w:r>
    </w:p>
    <w:p w14:paraId="1E860D62"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lastRenderedPageBreak/>
        <w:t xml:space="preserve">XII. La negativa a permitir la consulta directa de la información; </w:t>
      </w:r>
    </w:p>
    <w:p w14:paraId="17BC2ED0" w14:textId="77777777" w:rsidR="004F26BE" w:rsidRPr="00FB4DC3" w:rsidRDefault="004F26BE" w:rsidP="00465ADC">
      <w:pPr>
        <w:pStyle w:val="Prrafodelista"/>
        <w:autoSpaceDE w:val="0"/>
        <w:autoSpaceDN w:val="0"/>
        <w:adjustRightInd w:val="0"/>
        <w:spacing w:before="120" w:after="120"/>
        <w:ind w:left="567" w:right="539"/>
        <w:jc w:val="both"/>
        <w:rPr>
          <w:rFonts w:ascii="Palatino Linotype" w:hAnsi="Palatino Linotype" w:cs="Arial"/>
          <w:bCs/>
          <w:i/>
          <w:szCs w:val="22"/>
        </w:rPr>
      </w:pPr>
      <w:r w:rsidRPr="00FB4DC3">
        <w:rPr>
          <w:rFonts w:ascii="Palatino Linotype" w:hAnsi="Palatino Linotype" w:cs="Arial"/>
          <w:bCs/>
          <w:i/>
          <w:szCs w:val="22"/>
        </w:rPr>
        <w:t xml:space="preserve">XIII. La falta, deficiencia o insuficiencia de la fundamentación y/o motivación en la respuesta; y </w:t>
      </w:r>
    </w:p>
    <w:p w14:paraId="295C9C9C"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bCs/>
          <w:i/>
          <w:szCs w:val="22"/>
        </w:rPr>
      </w:pPr>
      <w:r w:rsidRPr="00FB4DC3">
        <w:rPr>
          <w:rFonts w:ascii="Palatino Linotype" w:hAnsi="Palatino Linotype" w:cs="Arial"/>
          <w:bCs/>
          <w:i/>
          <w:szCs w:val="22"/>
        </w:rPr>
        <w:t>XIV. La orientación a un trámite específico.</w:t>
      </w:r>
    </w:p>
    <w:p w14:paraId="60F0C53E" w14:textId="77777777" w:rsidR="004F26BE" w:rsidRPr="00FB4DC3" w:rsidRDefault="004F26BE" w:rsidP="00465ADC">
      <w:pPr>
        <w:pStyle w:val="Prrafodelista"/>
        <w:autoSpaceDE w:val="0"/>
        <w:autoSpaceDN w:val="0"/>
        <w:adjustRightInd w:val="0"/>
        <w:spacing w:before="120" w:after="120"/>
        <w:ind w:left="567" w:right="539"/>
        <w:rPr>
          <w:rFonts w:ascii="Palatino Linotype" w:hAnsi="Palatino Linotype" w:cs="Arial"/>
          <w:bCs/>
          <w:i/>
          <w:szCs w:val="22"/>
        </w:rPr>
      </w:pPr>
      <w:r w:rsidRPr="00FB4DC3">
        <w:rPr>
          <w:rFonts w:ascii="Palatino Linotype" w:hAnsi="Palatino Linotype" w:cs="Arial"/>
          <w:bCs/>
          <w:i/>
          <w:szCs w:val="22"/>
        </w:rPr>
        <w:t>...”</w:t>
      </w:r>
    </w:p>
    <w:p w14:paraId="5D5AC6CD" w14:textId="77777777" w:rsidR="004F26BE" w:rsidRPr="00FB4DC3" w:rsidRDefault="004F26BE" w:rsidP="004F26BE">
      <w:pPr>
        <w:pStyle w:val="Prrafodelista"/>
        <w:autoSpaceDE w:val="0"/>
        <w:autoSpaceDN w:val="0"/>
        <w:adjustRightInd w:val="0"/>
        <w:spacing w:before="120" w:after="120" w:line="360" w:lineRule="auto"/>
        <w:ind w:left="0"/>
        <w:jc w:val="both"/>
        <w:rPr>
          <w:rFonts w:ascii="Palatino Linotype" w:hAnsi="Palatino Linotype" w:cs="Arial"/>
          <w:szCs w:val="22"/>
        </w:rPr>
      </w:pPr>
    </w:p>
    <w:p w14:paraId="5D948E6C" w14:textId="13403192" w:rsidR="003476C2" w:rsidRPr="00FB4DC3" w:rsidRDefault="003476C2" w:rsidP="003476C2">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Cs w:val="22"/>
        </w:rPr>
      </w:pPr>
      <w:r w:rsidRPr="00FB4DC3">
        <w:rPr>
          <w:rFonts w:ascii="Palatino Linotype" w:hAnsi="Palatino Linotype" w:cs="Arial"/>
          <w:szCs w:val="22"/>
        </w:rPr>
        <w:t>Puntualizado lo anterior, es necesario precisar qu</w:t>
      </w:r>
      <w:r w:rsidR="005E100F" w:rsidRPr="00FB4DC3">
        <w:rPr>
          <w:rFonts w:ascii="Palatino Linotype" w:hAnsi="Palatino Linotype" w:cs="Arial"/>
          <w:szCs w:val="22"/>
        </w:rPr>
        <w:t>e,</w:t>
      </w:r>
      <w:r w:rsidRPr="00FB4DC3">
        <w:rPr>
          <w:rFonts w:ascii="Palatino Linotype" w:hAnsi="Palatino Linotype" w:cs="Arial"/>
          <w:szCs w:val="22"/>
        </w:rPr>
        <w:t xml:space="preserve"> en el presente recurso de revisión, se dictó una </w:t>
      </w:r>
      <w:r w:rsidR="005E100F" w:rsidRPr="00FB4DC3">
        <w:rPr>
          <w:rFonts w:ascii="Palatino Linotype" w:hAnsi="Palatino Linotype" w:cs="Arial"/>
          <w:szCs w:val="22"/>
        </w:rPr>
        <w:t>R</w:t>
      </w:r>
      <w:r w:rsidRPr="00FB4DC3">
        <w:rPr>
          <w:rFonts w:ascii="Palatino Linotype" w:hAnsi="Palatino Linotype" w:cs="Arial"/>
          <w:szCs w:val="22"/>
        </w:rPr>
        <w:t xml:space="preserve">esolución en la </w:t>
      </w:r>
      <w:r w:rsidR="00BD7991" w:rsidRPr="00FB4DC3">
        <w:rPr>
          <w:rFonts w:ascii="Palatino Linotype" w:hAnsi="Palatino Linotype" w:cs="Arial"/>
          <w:szCs w:val="22"/>
        </w:rPr>
        <w:t>Trigésima Primera</w:t>
      </w:r>
      <w:r w:rsidRPr="00FB4DC3">
        <w:rPr>
          <w:rFonts w:ascii="Palatino Linotype" w:hAnsi="Palatino Linotype" w:cs="Arial"/>
          <w:szCs w:val="22"/>
        </w:rPr>
        <w:t xml:space="preserve"> </w:t>
      </w:r>
      <w:r w:rsidR="005E100F" w:rsidRPr="00FB4DC3">
        <w:rPr>
          <w:rFonts w:ascii="Palatino Linotype" w:hAnsi="Palatino Linotype" w:cs="Arial"/>
          <w:szCs w:val="22"/>
        </w:rPr>
        <w:t>S</w:t>
      </w:r>
      <w:r w:rsidRPr="00FB4DC3">
        <w:rPr>
          <w:rFonts w:ascii="Palatino Linotype" w:hAnsi="Palatino Linotype" w:cs="Arial"/>
          <w:szCs w:val="22"/>
        </w:rPr>
        <w:t xml:space="preserve">esión </w:t>
      </w:r>
      <w:r w:rsidR="005E100F" w:rsidRPr="00FB4DC3">
        <w:rPr>
          <w:rFonts w:ascii="Palatino Linotype" w:hAnsi="Palatino Linotype" w:cs="Arial"/>
          <w:szCs w:val="22"/>
        </w:rPr>
        <w:t>O</w:t>
      </w:r>
      <w:r w:rsidRPr="00FB4DC3">
        <w:rPr>
          <w:rFonts w:ascii="Palatino Linotype" w:hAnsi="Palatino Linotype" w:cs="Arial"/>
          <w:szCs w:val="22"/>
        </w:rPr>
        <w:t>rdinaria, en la que se determinó como causal de procedencia, la fracción VII, del artículo 179 de la Ley de Transparencia y Acceso a la Información Pública del Estado de M</w:t>
      </w:r>
      <w:r w:rsidR="003053BB" w:rsidRPr="00FB4DC3">
        <w:rPr>
          <w:rFonts w:ascii="Palatino Linotype" w:hAnsi="Palatino Linotype" w:cs="Arial"/>
          <w:szCs w:val="22"/>
        </w:rPr>
        <w:t>éxico y Municipios, en la que se ordenó</w:t>
      </w:r>
      <w:r w:rsidRPr="00FB4DC3">
        <w:rPr>
          <w:rFonts w:ascii="Palatino Linotype" w:hAnsi="Palatino Linotype" w:cs="Arial"/>
          <w:szCs w:val="22"/>
        </w:rPr>
        <w:t xml:space="preserve"> dar trámite a la solicitud de información:</w:t>
      </w:r>
    </w:p>
    <w:p w14:paraId="51EF69BF" w14:textId="68B8B5FA" w:rsidR="009F0722" w:rsidRPr="00FB4DC3" w:rsidRDefault="009F0722" w:rsidP="009F0722">
      <w:pPr>
        <w:pStyle w:val="Prrafodelista"/>
        <w:autoSpaceDE w:val="0"/>
        <w:autoSpaceDN w:val="0"/>
        <w:adjustRightInd w:val="0"/>
        <w:spacing w:before="120" w:after="120" w:line="360" w:lineRule="auto"/>
        <w:ind w:left="0"/>
        <w:jc w:val="both"/>
        <w:rPr>
          <w:rFonts w:ascii="Palatino Linotype" w:hAnsi="Palatino Linotype" w:cs="Arial"/>
          <w:i/>
          <w:szCs w:val="22"/>
        </w:rPr>
      </w:pPr>
    </w:p>
    <w:p w14:paraId="051BBFEA" w14:textId="77777777" w:rsidR="006C7293" w:rsidRPr="00FB4DC3" w:rsidRDefault="006C7293" w:rsidP="006C7293">
      <w:pPr>
        <w:tabs>
          <w:tab w:val="left" w:pos="8647"/>
        </w:tabs>
        <w:ind w:left="567" w:right="822"/>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PRIMERO.</w:t>
      </w:r>
      <w:r w:rsidRPr="00FB4DC3">
        <w:rPr>
          <w:rFonts w:ascii="Palatino Linotype" w:eastAsia="Palatino Linotype" w:hAnsi="Palatino Linotype" w:cs="Palatino Linotype"/>
          <w:i/>
          <w:sz w:val="22"/>
        </w:rPr>
        <w:t xml:space="preserve"> Resultan fundadas las razones o motivos de inconformidad hechos valer por el </w:t>
      </w:r>
      <w:r w:rsidRPr="00FB4DC3">
        <w:rPr>
          <w:rFonts w:ascii="Palatino Linotype" w:eastAsia="Palatino Linotype" w:hAnsi="Palatino Linotype" w:cs="Palatino Linotype"/>
          <w:b/>
          <w:i/>
          <w:sz w:val="22"/>
        </w:rPr>
        <w:t>Recurrente,</w:t>
      </w:r>
      <w:r w:rsidRPr="00FB4DC3">
        <w:rPr>
          <w:rFonts w:ascii="Palatino Linotype" w:eastAsia="Palatino Linotype" w:hAnsi="Palatino Linotype" w:cs="Palatino Linotype"/>
          <w:i/>
          <w:sz w:val="22"/>
        </w:rPr>
        <w:t xml:space="preserve"> en términos del considerando </w:t>
      </w:r>
      <w:r w:rsidRPr="00FB4DC3">
        <w:rPr>
          <w:rFonts w:ascii="Palatino Linotype" w:eastAsia="Palatino Linotype" w:hAnsi="Palatino Linotype" w:cs="Palatino Linotype"/>
          <w:b/>
          <w:i/>
          <w:sz w:val="22"/>
        </w:rPr>
        <w:t>TERCERO</w:t>
      </w:r>
      <w:r w:rsidRPr="00FB4DC3">
        <w:rPr>
          <w:rFonts w:ascii="Palatino Linotype" w:eastAsia="Palatino Linotype" w:hAnsi="Palatino Linotype" w:cs="Palatino Linotype"/>
          <w:i/>
          <w:sz w:val="22"/>
        </w:rPr>
        <w:t>, de la presente resolución.</w:t>
      </w:r>
    </w:p>
    <w:p w14:paraId="149E350C" w14:textId="77777777" w:rsidR="006C7293" w:rsidRPr="00FB4DC3" w:rsidRDefault="006C7293" w:rsidP="006C7293">
      <w:pPr>
        <w:tabs>
          <w:tab w:val="left" w:pos="8647"/>
        </w:tabs>
        <w:ind w:left="567" w:right="822"/>
        <w:jc w:val="both"/>
        <w:rPr>
          <w:rFonts w:ascii="Palatino Linotype" w:eastAsia="Palatino Linotype" w:hAnsi="Palatino Linotype" w:cs="Palatino Linotype"/>
          <w:i/>
          <w:sz w:val="22"/>
        </w:rPr>
      </w:pPr>
    </w:p>
    <w:p w14:paraId="1465DA50" w14:textId="77777777" w:rsidR="006C7293" w:rsidRPr="00FB4DC3" w:rsidRDefault="006C7293" w:rsidP="006C7293">
      <w:pPr>
        <w:tabs>
          <w:tab w:val="left" w:pos="8647"/>
        </w:tabs>
        <w:ind w:left="567" w:right="822"/>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rPr>
        <w:t>SEGUNDO.</w:t>
      </w:r>
      <w:r w:rsidRPr="00FB4DC3">
        <w:rPr>
          <w:rFonts w:ascii="Palatino Linotype" w:eastAsia="Palatino Linotype" w:hAnsi="Palatino Linotype" w:cs="Palatino Linotype"/>
          <w:i/>
          <w:sz w:val="22"/>
        </w:rPr>
        <w:t xml:space="preserve"> Se </w:t>
      </w:r>
      <w:r w:rsidRPr="00FB4DC3">
        <w:rPr>
          <w:rFonts w:ascii="Palatino Linotype" w:eastAsia="Palatino Linotype" w:hAnsi="Palatino Linotype" w:cs="Palatino Linotype"/>
          <w:b/>
          <w:i/>
          <w:sz w:val="22"/>
        </w:rPr>
        <w:t>ORDENA</w:t>
      </w:r>
      <w:r w:rsidRPr="00FB4DC3">
        <w:rPr>
          <w:rFonts w:ascii="Palatino Linotype" w:eastAsia="Palatino Linotype" w:hAnsi="Palatino Linotype" w:cs="Palatino Linotype"/>
          <w:i/>
          <w:sz w:val="22"/>
        </w:rPr>
        <w:t xml:space="preserve"> al </w:t>
      </w:r>
      <w:r w:rsidRPr="00FB4DC3">
        <w:rPr>
          <w:rFonts w:ascii="Palatino Linotype" w:eastAsia="Palatino Linotype" w:hAnsi="Palatino Linotype" w:cs="Palatino Linotype"/>
          <w:b/>
          <w:i/>
          <w:sz w:val="22"/>
        </w:rPr>
        <w:t>Sujeto Obligado</w:t>
      </w:r>
      <w:r w:rsidRPr="00FB4DC3">
        <w:rPr>
          <w:rFonts w:ascii="Palatino Linotype" w:eastAsia="Palatino Linotype" w:hAnsi="Palatino Linotype" w:cs="Palatino Linotype"/>
          <w:i/>
          <w:sz w:val="22"/>
        </w:rPr>
        <w:t xml:space="preserve"> atienda la solicitud de información </w:t>
      </w:r>
      <w:r w:rsidRPr="00FB4DC3">
        <w:rPr>
          <w:rFonts w:ascii="Palatino Linotype" w:eastAsia="Palatino Linotype" w:hAnsi="Palatino Linotype" w:cs="Palatino Linotype"/>
          <w:b/>
          <w:i/>
          <w:sz w:val="22"/>
        </w:rPr>
        <w:t xml:space="preserve">00146/RAYON/IP/2024, </w:t>
      </w:r>
      <w:r w:rsidRPr="00FB4DC3">
        <w:rPr>
          <w:rFonts w:ascii="Palatino Linotype" w:eastAsia="Palatino Linotype" w:hAnsi="Palatino Linotype" w:cs="Palatino Linotype"/>
          <w:i/>
          <w:sz w:val="22"/>
        </w:rPr>
        <w:t xml:space="preserve">vía Sistema de Acceso a la Información Mexiquense </w:t>
      </w:r>
      <w:r w:rsidRPr="00FB4DC3">
        <w:rPr>
          <w:rFonts w:ascii="Palatino Linotype" w:eastAsia="Palatino Linotype" w:hAnsi="Palatino Linotype" w:cs="Palatino Linotype"/>
          <w:b/>
          <w:i/>
          <w:sz w:val="22"/>
        </w:rPr>
        <w:t>(SAIMEX)</w:t>
      </w:r>
      <w:r w:rsidRPr="00FB4DC3">
        <w:rPr>
          <w:rFonts w:ascii="Palatino Linotype" w:eastAsia="Palatino Linotype" w:hAnsi="Palatino Linotype" w:cs="Palatino Linotype"/>
          <w:i/>
          <w:sz w:val="22"/>
        </w:rPr>
        <w:t xml:space="preserve">, en términos del Considerando </w:t>
      </w:r>
      <w:r w:rsidRPr="00FB4DC3">
        <w:rPr>
          <w:rFonts w:ascii="Palatino Linotype" w:eastAsia="Palatino Linotype" w:hAnsi="Palatino Linotype" w:cs="Palatino Linotype"/>
          <w:b/>
          <w:i/>
          <w:sz w:val="22"/>
        </w:rPr>
        <w:t xml:space="preserve">TERCERO </w:t>
      </w:r>
      <w:r w:rsidRPr="00FB4DC3">
        <w:rPr>
          <w:rFonts w:ascii="Palatino Linotype" w:eastAsia="Palatino Linotype" w:hAnsi="Palatino Linotype" w:cs="Palatino Linotype"/>
          <w:i/>
          <w:sz w:val="22"/>
        </w:rPr>
        <w:t>de esta resolución</w:t>
      </w:r>
      <w:r w:rsidRPr="00FB4DC3">
        <w:rPr>
          <w:rFonts w:ascii="Palatino Linotype" w:eastAsia="Palatino Linotype" w:hAnsi="Palatino Linotype" w:cs="Palatino Linotype"/>
          <w:b/>
          <w:i/>
          <w:sz w:val="22"/>
        </w:rPr>
        <w:t>.</w:t>
      </w:r>
    </w:p>
    <w:p w14:paraId="2274F772" w14:textId="77777777" w:rsidR="006C7293" w:rsidRPr="00FB4DC3" w:rsidRDefault="006C7293" w:rsidP="006C7293">
      <w:pPr>
        <w:tabs>
          <w:tab w:val="left" w:pos="8647"/>
        </w:tabs>
        <w:ind w:left="567" w:right="822"/>
        <w:jc w:val="both"/>
        <w:rPr>
          <w:rFonts w:ascii="Palatino Linotype" w:eastAsia="Palatino Linotype" w:hAnsi="Palatino Linotype" w:cs="Palatino Linotype"/>
          <w:i/>
          <w:sz w:val="22"/>
        </w:rPr>
      </w:pPr>
    </w:p>
    <w:p w14:paraId="4E9CB2D1" w14:textId="226129DA" w:rsidR="006C7293" w:rsidRPr="00FB4DC3" w:rsidRDefault="006C7293" w:rsidP="006C7293">
      <w:pPr>
        <w:ind w:left="567" w:right="822"/>
        <w:jc w:val="both"/>
        <w:rPr>
          <w:rFonts w:ascii="Palatino Linotype" w:eastAsia="Palatino Linotype" w:hAnsi="Palatino Linotype" w:cs="Palatino Linotype"/>
          <w:b/>
          <w:i/>
          <w:sz w:val="22"/>
          <w:szCs w:val="22"/>
        </w:rPr>
      </w:pPr>
      <w:r w:rsidRPr="00FB4DC3">
        <w:rPr>
          <w:rFonts w:ascii="Palatino Linotype" w:eastAsia="Palatino Linotype" w:hAnsi="Palatino Linotype" w:cs="Palatino Linotype"/>
          <w:b/>
          <w:i/>
          <w:sz w:val="22"/>
        </w:rPr>
        <w:t>(…)</w:t>
      </w:r>
    </w:p>
    <w:p w14:paraId="75B3498D" w14:textId="77777777" w:rsidR="006C7293" w:rsidRPr="00FB4DC3" w:rsidRDefault="006C7293" w:rsidP="006C7293">
      <w:pPr>
        <w:ind w:left="567" w:right="822"/>
        <w:jc w:val="both"/>
        <w:rPr>
          <w:rFonts w:ascii="Palatino Linotype" w:eastAsia="Palatino Linotype" w:hAnsi="Palatino Linotype" w:cs="Palatino Linotype"/>
          <w:i/>
          <w:sz w:val="22"/>
          <w:szCs w:val="22"/>
        </w:rPr>
      </w:pPr>
      <w:r w:rsidRPr="00FB4DC3">
        <w:rPr>
          <w:rFonts w:ascii="Palatino Linotype" w:eastAsia="Palatino Linotype" w:hAnsi="Palatino Linotype" w:cs="Palatino Linotype"/>
          <w:b/>
          <w:i/>
          <w:sz w:val="22"/>
          <w:szCs w:val="22"/>
        </w:rPr>
        <w:t>QUINTO</w:t>
      </w:r>
      <w:r w:rsidRPr="00FB4DC3">
        <w:rPr>
          <w:rFonts w:ascii="Palatino Linotype" w:eastAsia="Palatino Linotype" w:hAnsi="Palatino Linotype" w:cs="Palatino Linotype"/>
          <w:i/>
          <w:sz w:val="22"/>
          <w:szCs w:val="22"/>
        </w:rPr>
        <w:t xml:space="preserve">. </w:t>
      </w:r>
      <w:r w:rsidRPr="00FB4DC3">
        <w:rPr>
          <w:rFonts w:ascii="Palatino Linotype" w:eastAsia="Palatino Linotype" w:hAnsi="Palatino Linotype" w:cs="Palatino Linotype"/>
          <w:b/>
          <w:i/>
          <w:sz w:val="22"/>
          <w:szCs w:val="22"/>
        </w:rPr>
        <w:t>Se hace del conocimiento</w:t>
      </w:r>
      <w:r w:rsidRPr="00FB4DC3">
        <w:rPr>
          <w:rFonts w:ascii="Palatino Linotype" w:eastAsia="Palatino Linotype" w:hAnsi="Palatino Linotype" w:cs="Palatino Linotype"/>
          <w:i/>
          <w:sz w:val="22"/>
          <w:szCs w:val="22"/>
        </w:rPr>
        <w:t xml:space="preserve"> del </w:t>
      </w:r>
      <w:r w:rsidRPr="00FB4DC3">
        <w:rPr>
          <w:rFonts w:ascii="Palatino Linotype" w:eastAsia="Palatino Linotype" w:hAnsi="Palatino Linotype" w:cs="Palatino Linotype"/>
          <w:b/>
          <w:i/>
          <w:sz w:val="22"/>
          <w:szCs w:val="22"/>
        </w:rPr>
        <w:t>Recurrente</w:t>
      </w:r>
      <w:r w:rsidRPr="00FB4DC3">
        <w:rPr>
          <w:rFonts w:ascii="Palatino Linotype" w:eastAsia="Palatino Linotype" w:hAnsi="Palatino Linotype" w:cs="Palatino Linotype"/>
          <w:i/>
          <w:sz w:val="22"/>
          <w:szCs w:val="22"/>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048F53C9" w14:textId="77777777" w:rsidR="006C7293" w:rsidRPr="00FB4DC3" w:rsidRDefault="006C7293" w:rsidP="006C7293">
      <w:pPr>
        <w:ind w:left="567" w:right="822"/>
        <w:jc w:val="both"/>
        <w:rPr>
          <w:rFonts w:ascii="Palatino Linotype" w:eastAsia="Palatino Linotype" w:hAnsi="Palatino Linotype" w:cs="Palatino Linotype"/>
          <w:i/>
          <w:sz w:val="22"/>
          <w:szCs w:val="22"/>
        </w:rPr>
      </w:pPr>
    </w:p>
    <w:p w14:paraId="54B2F302" w14:textId="72ED7C6C" w:rsidR="009F0722" w:rsidRPr="00FB4DC3" w:rsidRDefault="006C7293" w:rsidP="006C7293">
      <w:pPr>
        <w:ind w:left="567" w:right="822"/>
        <w:jc w:val="both"/>
        <w:rPr>
          <w:rFonts w:ascii="Palatino Linotype" w:eastAsia="Palatino Linotype" w:hAnsi="Palatino Linotype" w:cs="Palatino Linotype"/>
          <w:i/>
          <w:sz w:val="22"/>
        </w:rPr>
      </w:pPr>
      <w:r w:rsidRPr="00FB4DC3">
        <w:rPr>
          <w:rFonts w:ascii="Palatino Linotype" w:eastAsia="Palatino Linotype" w:hAnsi="Palatino Linotype" w:cs="Palatino Linotype"/>
          <w:b/>
          <w:i/>
          <w:sz w:val="22"/>
          <w:szCs w:val="22"/>
        </w:rPr>
        <w:t>SEXTO</w:t>
      </w:r>
      <w:r w:rsidRPr="00FB4DC3">
        <w:rPr>
          <w:rFonts w:ascii="Palatino Linotype" w:eastAsia="Palatino Linotype" w:hAnsi="Palatino Linotype" w:cs="Palatino Linotype"/>
          <w:i/>
          <w:sz w:val="22"/>
          <w:szCs w:val="22"/>
        </w:rPr>
        <w:t xml:space="preserve">. </w:t>
      </w:r>
      <w:r w:rsidRPr="00FB4DC3">
        <w:rPr>
          <w:rFonts w:ascii="Palatino Linotype" w:eastAsia="Palatino Linotype" w:hAnsi="Palatino Linotype" w:cs="Palatino Linotype"/>
          <w:b/>
          <w:i/>
          <w:sz w:val="22"/>
          <w:szCs w:val="22"/>
        </w:rPr>
        <w:t>Gírese</w:t>
      </w:r>
      <w:r w:rsidRPr="00FB4DC3">
        <w:rPr>
          <w:rFonts w:ascii="Palatino Linotype" w:eastAsia="Palatino Linotype" w:hAnsi="Palatino Linotype" w:cs="Palatino Linotype"/>
          <w:i/>
          <w:sz w:val="22"/>
          <w:szCs w:val="22"/>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r w:rsidRPr="00FB4DC3">
        <w:rPr>
          <w:rFonts w:ascii="Palatino Linotype" w:eastAsia="Palatino Linotype" w:hAnsi="Palatino Linotype" w:cs="Palatino Linotype"/>
          <w:i/>
          <w:sz w:val="22"/>
        </w:rPr>
        <w:t xml:space="preserve">, en términos de lo señalado en el </w:t>
      </w:r>
      <w:r w:rsidRPr="00FB4DC3">
        <w:rPr>
          <w:rFonts w:ascii="Palatino Linotype" w:eastAsia="Palatino Linotype" w:hAnsi="Palatino Linotype" w:cs="Palatino Linotype"/>
          <w:b/>
          <w:i/>
          <w:sz w:val="22"/>
        </w:rPr>
        <w:t>Considerando TERCERO</w:t>
      </w:r>
      <w:r w:rsidRPr="00FB4DC3">
        <w:rPr>
          <w:rFonts w:ascii="Palatino Linotype" w:eastAsia="Palatino Linotype" w:hAnsi="Palatino Linotype" w:cs="Palatino Linotype"/>
          <w:i/>
          <w:sz w:val="22"/>
        </w:rPr>
        <w:t xml:space="preserve"> de la presente resolución.</w:t>
      </w:r>
    </w:p>
    <w:p w14:paraId="40CD9ABB" w14:textId="505090C7" w:rsidR="00976653" w:rsidRPr="00FB4DC3" w:rsidRDefault="003053BB" w:rsidP="00463BC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Cs w:val="22"/>
        </w:rPr>
      </w:pPr>
      <w:r w:rsidRPr="00FB4DC3">
        <w:rPr>
          <w:rFonts w:ascii="Palatino Linotype" w:hAnsi="Palatino Linotype" w:cs="Arial"/>
          <w:szCs w:val="22"/>
        </w:rPr>
        <w:lastRenderedPageBreak/>
        <w:t xml:space="preserve">Asimismo, como se advierte en el en el </w:t>
      </w:r>
      <w:r w:rsidRPr="00FB4DC3">
        <w:rPr>
          <w:rFonts w:ascii="Palatino Linotype" w:hAnsi="Palatino Linotype" w:cs="Arial"/>
          <w:b/>
          <w:bCs/>
          <w:szCs w:val="22"/>
        </w:rPr>
        <w:t xml:space="preserve">Resolutivo </w:t>
      </w:r>
      <w:r w:rsidR="006C7293" w:rsidRPr="00FB4DC3">
        <w:rPr>
          <w:rFonts w:ascii="Palatino Linotype" w:hAnsi="Palatino Linotype" w:cs="Arial"/>
          <w:b/>
          <w:bCs/>
          <w:szCs w:val="22"/>
        </w:rPr>
        <w:t>QUINTO</w:t>
      </w:r>
      <w:r w:rsidRPr="00FB4DC3">
        <w:rPr>
          <w:rFonts w:ascii="Palatino Linotype" w:hAnsi="Palatino Linotype" w:cs="Arial"/>
          <w:szCs w:val="22"/>
        </w:rPr>
        <w:t xml:space="preserve">, se hizo del conocimiento al </w:t>
      </w:r>
      <w:r w:rsidR="005E100F" w:rsidRPr="00FB4DC3">
        <w:rPr>
          <w:rFonts w:ascii="Palatino Linotype" w:hAnsi="Palatino Linotype" w:cs="Arial"/>
          <w:b/>
          <w:bCs/>
          <w:szCs w:val="22"/>
        </w:rPr>
        <w:t>RECURRENTE</w:t>
      </w:r>
      <w:r w:rsidRPr="00FB4DC3">
        <w:rPr>
          <w:rFonts w:ascii="Palatino Linotype" w:hAnsi="Palatino Linotype" w:cs="Arial"/>
          <w:szCs w:val="22"/>
        </w:rPr>
        <w:t xml:space="preserve"> que tenía derecho a interponer nuevamente Recurso de Revisión ante este Instituto, por la respuesta emitida por el </w:t>
      </w:r>
      <w:r w:rsidR="005E100F" w:rsidRPr="00FB4DC3">
        <w:rPr>
          <w:rFonts w:ascii="Palatino Linotype" w:hAnsi="Palatino Linotype" w:cs="Arial"/>
          <w:b/>
          <w:bCs/>
          <w:szCs w:val="22"/>
        </w:rPr>
        <w:t>SUJETO OBLIGADO</w:t>
      </w:r>
      <w:r w:rsidR="005E100F" w:rsidRPr="00FB4DC3">
        <w:rPr>
          <w:rFonts w:ascii="Palatino Linotype" w:hAnsi="Palatino Linotype" w:cs="Arial"/>
          <w:szCs w:val="22"/>
        </w:rPr>
        <w:t xml:space="preserve"> </w:t>
      </w:r>
      <w:r w:rsidRPr="00FB4DC3">
        <w:rPr>
          <w:rFonts w:ascii="Palatino Linotype" w:hAnsi="Palatino Linotype" w:cs="Arial"/>
          <w:szCs w:val="22"/>
        </w:rPr>
        <w:t>en cumplimiento a la resolución, tal y como lo contempla el último párrafo del artículo 179 de la Ley de Transparencia y Acceso a la Información Pública del Estado de México y Municipios:</w:t>
      </w:r>
    </w:p>
    <w:p w14:paraId="10C3DDF5" w14:textId="77777777" w:rsidR="003053BB" w:rsidRPr="00FB4DC3" w:rsidRDefault="003053BB" w:rsidP="003053BB">
      <w:pPr>
        <w:pStyle w:val="Prrafodelista"/>
        <w:autoSpaceDE w:val="0"/>
        <w:autoSpaceDN w:val="0"/>
        <w:adjustRightInd w:val="0"/>
        <w:spacing w:before="120" w:after="120" w:line="360" w:lineRule="auto"/>
        <w:ind w:left="0"/>
        <w:jc w:val="both"/>
        <w:rPr>
          <w:rFonts w:ascii="Palatino Linotype" w:hAnsi="Palatino Linotype" w:cs="Arial"/>
          <w:szCs w:val="22"/>
        </w:rPr>
      </w:pPr>
    </w:p>
    <w:p w14:paraId="7BE17D34" w14:textId="747D2390" w:rsidR="003053BB" w:rsidRPr="00FB4DC3" w:rsidRDefault="003053BB" w:rsidP="002A0BAC">
      <w:pPr>
        <w:pStyle w:val="Prrafodelista"/>
        <w:tabs>
          <w:tab w:val="left" w:pos="709"/>
        </w:tabs>
        <w:autoSpaceDE w:val="0"/>
        <w:autoSpaceDN w:val="0"/>
        <w:adjustRightInd w:val="0"/>
        <w:spacing w:before="120" w:after="120"/>
        <w:ind w:left="567" w:right="539"/>
        <w:jc w:val="both"/>
        <w:rPr>
          <w:rFonts w:ascii="Palatino Linotype" w:hAnsi="Palatino Linotype" w:cs="Arial"/>
          <w:i/>
          <w:szCs w:val="22"/>
        </w:rPr>
      </w:pPr>
      <w:r w:rsidRPr="00FB4DC3">
        <w:rPr>
          <w:rFonts w:ascii="Palatino Linotype" w:hAnsi="Palatino Linotype" w:cs="Arial"/>
          <w:i/>
          <w:szCs w:val="22"/>
        </w:rPr>
        <w:t>“</w:t>
      </w:r>
      <w:r w:rsidRPr="00FB4DC3">
        <w:rPr>
          <w:rFonts w:ascii="Palatino Linotype" w:hAnsi="Palatino Linotype" w:cs="Arial"/>
          <w:b/>
          <w:bCs/>
          <w:i/>
          <w:szCs w:val="22"/>
        </w:rPr>
        <w:t>Artículo 179.</w:t>
      </w:r>
      <w:r w:rsidRPr="00FB4DC3">
        <w:rPr>
          <w:rFonts w:ascii="Palatino Linotype" w:hAnsi="Palatino Linotype" w:cs="Arial"/>
          <w:i/>
          <w:szCs w:val="22"/>
        </w:rPr>
        <w:t xml:space="preserve"> El recurso de revisión es un medio de protección que la Ley otorga a los particulares, para hacer valer su derecho de acceso a la información pública, y procederá en contra de las siguientes causas:</w:t>
      </w:r>
    </w:p>
    <w:p w14:paraId="50228973" w14:textId="5CDE01B0" w:rsidR="003053BB" w:rsidRPr="00FB4DC3" w:rsidRDefault="003053BB" w:rsidP="002A0BAC">
      <w:pPr>
        <w:pStyle w:val="Prrafodelista"/>
        <w:tabs>
          <w:tab w:val="left" w:pos="709"/>
        </w:tabs>
        <w:autoSpaceDE w:val="0"/>
        <w:autoSpaceDN w:val="0"/>
        <w:adjustRightInd w:val="0"/>
        <w:spacing w:before="120" w:after="120"/>
        <w:ind w:left="567" w:right="539"/>
        <w:jc w:val="both"/>
        <w:rPr>
          <w:rFonts w:ascii="Palatino Linotype" w:hAnsi="Palatino Linotype" w:cs="Arial"/>
          <w:i/>
          <w:szCs w:val="22"/>
        </w:rPr>
      </w:pPr>
      <w:r w:rsidRPr="00FB4DC3">
        <w:rPr>
          <w:rFonts w:ascii="Palatino Linotype" w:hAnsi="Palatino Linotype" w:cs="Arial"/>
          <w:i/>
          <w:szCs w:val="22"/>
        </w:rPr>
        <w:t>…</w:t>
      </w:r>
    </w:p>
    <w:p w14:paraId="4BF3A550" w14:textId="5346E8AB" w:rsidR="003053BB" w:rsidRPr="00FB4DC3" w:rsidRDefault="003053BB" w:rsidP="002A0BAC">
      <w:pPr>
        <w:pStyle w:val="Prrafodelista"/>
        <w:tabs>
          <w:tab w:val="left" w:pos="709"/>
        </w:tabs>
        <w:autoSpaceDE w:val="0"/>
        <w:autoSpaceDN w:val="0"/>
        <w:adjustRightInd w:val="0"/>
        <w:spacing w:before="120" w:after="120"/>
        <w:ind w:left="567" w:right="539"/>
        <w:jc w:val="both"/>
        <w:rPr>
          <w:rFonts w:ascii="Palatino Linotype" w:hAnsi="Palatino Linotype" w:cs="Arial"/>
          <w:i/>
          <w:szCs w:val="22"/>
        </w:rPr>
      </w:pPr>
      <w:r w:rsidRPr="00FB4DC3">
        <w:rPr>
          <w:rFonts w:ascii="Palatino Linotype" w:hAnsi="Palatino Linotype" w:cs="Arial"/>
          <w:i/>
          <w:szCs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06036644" w14:textId="77777777" w:rsidR="003053BB" w:rsidRPr="00FB4DC3" w:rsidRDefault="003053BB" w:rsidP="003053BB">
      <w:pPr>
        <w:pStyle w:val="Prrafodelista"/>
        <w:autoSpaceDE w:val="0"/>
        <w:autoSpaceDN w:val="0"/>
        <w:adjustRightInd w:val="0"/>
        <w:spacing w:before="120" w:after="120" w:line="360" w:lineRule="auto"/>
        <w:ind w:left="0"/>
        <w:jc w:val="both"/>
        <w:rPr>
          <w:rFonts w:ascii="Palatino Linotype" w:hAnsi="Palatino Linotype" w:cs="Arial"/>
          <w:szCs w:val="22"/>
        </w:rPr>
      </w:pPr>
    </w:p>
    <w:p w14:paraId="157532E5" w14:textId="7E63BE33" w:rsidR="00EF7969" w:rsidRPr="00FB4DC3" w:rsidRDefault="003053BB" w:rsidP="00463BC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Cs w:val="22"/>
        </w:rPr>
      </w:pPr>
      <w:r w:rsidRPr="00FB4DC3">
        <w:rPr>
          <w:rFonts w:ascii="Palatino Linotype" w:hAnsi="Palatino Linotype" w:cs="Arial"/>
          <w:szCs w:val="22"/>
        </w:rPr>
        <w:t>Como se advierte del precepto legal, únicamente se puede interponer recurso de revisi</w:t>
      </w:r>
      <w:r w:rsidR="009F2E07" w:rsidRPr="00FB4DC3">
        <w:rPr>
          <w:rFonts w:ascii="Palatino Linotype" w:hAnsi="Palatino Linotype" w:cs="Arial"/>
          <w:szCs w:val="22"/>
        </w:rPr>
        <w:t xml:space="preserve">ón ante la respuesta del </w:t>
      </w:r>
      <w:r w:rsidR="005E100F" w:rsidRPr="00FB4DC3">
        <w:rPr>
          <w:rFonts w:ascii="Palatino Linotype" w:hAnsi="Palatino Linotype" w:cs="Arial"/>
          <w:b/>
          <w:bCs/>
          <w:szCs w:val="22"/>
        </w:rPr>
        <w:t>SUJETO OBLIGADO</w:t>
      </w:r>
      <w:r w:rsidR="005E100F" w:rsidRPr="00FB4DC3">
        <w:rPr>
          <w:rFonts w:ascii="Palatino Linotype" w:hAnsi="Palatino Linotype" w:cs="Arial"/>
          <w:szCs w:val="22"/>
        </w:rPr>
        <w:t xml:space="preserve"> </w:t>
      </w:r>
      <w:r w:rsidR="009F2E07" w:rsidRPr="00FB4DC3">
        <w:rPr>
          <w:rFonts w:ascii="Palatino Linotype" w:hAnsi="Palatino Linotype" w:cs="Arial"/>
          <w:szCs w:val="22"/>
        </w:rPr>
        <w:t xml:space="preserve">en cumplimiento de la resolución dictada por el Pleno de este Instituto y que </w:t>
      </w:r>
      <w:r w:rsidR="009F2E07" w:rsidRPr="00FB4DC3">
        <w:rPr>
          <w:rFonts w:ascii="Palatino Linotype" w:hAnsi="Palatino Linotype" w:cs="Tahoma"/>
          <w:bCs/>
          <w:iCs/>
          <w:szCs w:val="22"/>
          <w:lang w:val="es-ES"/>
        </w:rPr>
        <w:t xml:space="preserve">hayan derivado de un Medio de Impugnación en donde la causal de procedencia fuera alguna de las fracciones referidas en el último párrafo, del artículo 179 referido. </w:t>
      </w:r>
    </w:p>
    <w:p w14:paraId="2481939F" w14:textId="77777777" w:rsidR="00EF7969" w:rsidRPr="00FB4DC3" w:rsidRDefault="00EF7969" w:rsidP="00EF7969">
      <w:pPr>
        <w:pStyle w:val="Prrafodelista"/>
        <w:autoSpaceDE w:val="0"/>
        <w:autoSpaceDN w:val="0"/>
        <w:adjustRightInd w:val="0"/>
        <w:spacing w:before="120" w:after="120" w:line="360" w:lineRule="auto"/>
        <w:ind w:left="0"/>
        <w:jc w:val="both"/>
        <w:rPr>
          <w:rFonts w:ascii="Palatino Linotype" w:hAnsi="Palatino Linotype" w:cs="Arial"/>
          <w:szCs w:val="22"/>
        </w:rPr>
      </w:pPr>
    </w:p>
    <w:p w14:paraId="66B39AF7" w14:textId="59126A09" w:rsidR="00463BCB" w:rsidRPr="00FB4DC3" w:rsidRDefault="009F2E07" w:rsidP="00EF7969">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Cs w:val="22"/>
        </w:rPr>
      </w:pPr>
      <w:r w:rsidRPr="00FB4DC3">
        <w:rPr>
          <w:rFonts w:ascii="Palatino Linotype" w:hAnsi="Palatino Linotype" w:cs="Tahoma"/>
          <w:bCs/>
          <w:iCs/>
          <w:szCs w:val="22"/>
          <w:lang w:val="es-ES"/>
        </w:rPr>
        <w:t xml:space="preserve">En este caso, el </w:t>
      </w:r>
      <w:r w:rsidR="005E100F" w:rsidRPr="00FB4DC3">
        <w:rPr>
          <w:rFonts w:ascii="Palatino Linotype" w:hAnsi="Palatino Linotype" w:cs="Tahoma"/>
          <w:b/>
          <w:iCs/>
          <w:szCs w:val="22"/>
          <w:lang w:val="es-ES"/>
        </w:rPr>
        <w:t>SUJETO OBLIGADO</w:t>
      </w:r>
      <w:r w:rsidR="005E100F" w:rsidRPr="00FB4DC3">
        <w:rPr>
          <w:rFonts w:ascii="Palatino Linotype" w:hAnsi="Palatino Linotype" w:cs="Tahoma"/>
          <w:bCs/>
          <w:iCs/>
          <w:szCs w:val="22"/>
          <w:lang w:val="es-ES"/>
        </w:rPr>
        <w:t xml:space="preserve"> </w:t>
      </w:r>
      <w:r w:rsidRPr="00FB4DC3">
        <w:rPr>
          <w:rFonts w:ascii="Palatino Linotype" w:hAnsi="Palatino Linotype" w:cs="Tahoma"/>
          <w:bCs/>
          <w:iCs/>
          <w:szCs w:val="22"/>
          <w:lang w:val="es-ES"/>
        </w:rPr>
        <w:t xml:space="preserve">no emitió respuesta en cumplimiento a la resolución emitida en el recurso de revisión, por lo tanto, al interponerse el segundo recurso de revisión, no se configura ninguna causal de procedencia, pues como ya se señaló, el </w:t>
      </w:r>
      <w:r w:rsidR="005E100F" w:rsidRPr="00FB4DC3">
        <w:rPr>
          <w:rFonts w:ascii="Palatino Linotype" w:hAnsi="Palatino Linotype" w:cs="Tahoma"/>
          <w:b/>
          <w:iCs/>
          <w:szCs w:val="22"/>
          <w:lang w:val="es-ES"/>
        </w:rPr>
        <w:t>SUJETO OBLIGADO</w:t>
      </w:r>
      <w:r w:rsidR="005E100F" w:rsidRPr="00FB4DC3">
        <w:rPr>
          <w:rFonts w:ascii="Palatino Linotype" w:hAnsi="Palatino Linotype" w:cs="Tahoma"/>
          <w:bCs/>
          <w:iCs/>
          <w:szCs w:val="22"/>
          <w:lang w:val="es-ES"/>
        </w:rPr>
        <w:t xml:space="preserve"> </w:t>
      </w:r>
      <w:r w:rsidRPr="00FB4DC3">
        <w:rPr>
          <w:rFonts w:ascii="Palatino Linotype" w:hAnsi="Palatino Linotype" w:cs="Tahoma"/>
          <w:bCs/>
          <w:iCs/>
          <w:szCs w:val="22"/>
          <w:lang w:val="es-ES"/>
        </w:rPr>
        <w:t>no había emitido una respuest</w:t>
      </w:r>
      <w:r w:rsidR="00B97343" w:rsidRPr="00FB4DC3">
        <w:rPr>
          <w:rFonts w:ascii="Palatino Linotype" w:hAnsi="Palatino Linotype" w:cs="Tahoma"/>
          <w:bCs/>
          <w:iCs/>
          <w:szCs w:val="22"/>
          <w:lang w:val="es-ES"/>
        </w:rPr>
        <w:t xml:space="preserve">a de la cual se pudiera inconformar el </w:t>
      </w:r>
      <w:r w:rsidR="005E100F" w:rsidRPr="00FB4DC3">
        <w:rPr>
          <w:rFonts w:ascii="Palatino Linotype" w:hAnsi="Palatino Linotype" w:cs="Tahoma"/>
          <w:b/>
          <w:iCs/>
          <w:szCs w:val="22"/>
          <w:lang w:val="es-ES"/>
        </w:rPr>
        <w:t>RECURRENTE.</w:t>
      </w:r>
      <w:r w:rsidR="005E100F" w:rsidRPr="00FB4DC3">
        <w:rPr>
          <w:rFonts w:ascii="Palatino Linotype" w:hAnsi="Palatino Linotype" w:cs="Tahoma"/>
          <w:bCs/>
          <w:iCs/>
          <w:szCs w:val="22"/>
          <w:lang w:val="es-ES"/>
        </w:rPr>
        <w:t xml:space="preserve"> </w:t>
      </w:r>
    </w:p>
    <w:p w14:paraId="7B8514FB" w14:textId="77777777" w:rsidR="00EF7969" w:rsidRPr="00FB4DC3" w:rsidRDefault="00463BCB" w:rsidP="00EF7969">
      <w:pPr>
        <w:pStyle w:val="Prrafodelista"/>
        <w:numPr>
          <w:ilvl w:val="0"/>
          <w:numId w:val="2"/>
        </w:numPr>
        <w:spacing w:line="360" w:lineRule="auto"/>
        <w:ind w:left="0" w:firstLine="0"/>
        <w:jc w:val="both"/>
        <w:rPr>
          <w:rFonts w:ascii="Palatino Linotype" w:hAnsi="Palatino Linotype" w:cs="Arial"/>
          <w:szCs w:val="22"/>
        </w:rPr>
      </w:pPr>
      <w:r w:rsidRPr="00FB4DC3">
        <w:rPr>
          <w:rFonts w:ascii="Palatino Linotype" w:hAnsi="Palatino Linotype" w:cs="Arial"/>
          <w:szCs w:val="22"/>
        </w:rPr>
        <w:lastRenderedPageBreak/>
        <w:t xml:space="preserve">Bajo esas consideraciones, </w:t>
      </w:r>
      <w:r w:rsidR="00EF7969" w:rsidRPr="00FB4DC3">
        <w:rPr>
          <w:rFonts w:ascii="Palatino Linotype" w:hAnsi="Palatino Linotype" w:cs="Arial"/>
          <w:szCs w:val="22"/>
        </w:rPr>
        <w:t>el recurso de revisión actualiza la causal de sobreseimiento establecida en la fracción IV del artículo 192, en relación a la fracción III del artículo 191, ambos de la Ley de Transparencia y Acceso a la Información Pública del Estado de México y Municipios.</w:t>
      </w:r>
    </w:p>
    <w:p w14:paraId="2ADF6FD5" w14:textId="2408AA96" w:rsidR="00EF7969" w:rsidRPr="00FB4DC3" w:rsidRDefault="00EF7969" w:rsidP="00EF7969">
      <w:pPr>
        <w:pStyle w:val="Prrafodelista"/>
        <w:ind w:left="0"/>
        <w:rPr>
          <w:rFonts w:ascii="Palatino Linotype" w:hAnsi="Palatino Linotype" w:cs="Arial"/>
          <w:szCs w:val="22"/>
        </w:rPr>
      </w:pPr>
    </w:p>
    <w:p w14:paraId="18814E0F" w14:textId="0BE9FEC5" w:rsidR="005000AA" w:rsidRPr="00FB4DC3" w:rsidRDefault="005000AA" w:rsidP="00EF7969">
      <w:pPr>
        <w:pStyle w:val="Prrafodelista"/>
        <w:numPr>
          <w:ilvl w:val="0"/>
          <w:numId w:val="2"/>
        </w:numPr>
        <w:spacing w:line="360" w:lineRule="auto"/>
        <w:ind w:left="0" w:firstLine="0"/>
        <w:jc w:val="both"/>
        <w:rPr>
          <w:rFonts w:ascii="Palatino Linotype" w:hAnsi="Palatino Linotype" w:cs="Palatino Linotype"/>
          <w:szCs w:val="22"/>
        </w:rPr>
      </w:pPr>
      <w:r w:rsidRPr="00FB4DC3">
        <w:rPr>
          <w:rFonts w:ascii="Palatino Linotype" w:hAnsi="Palatino Linotype" w:cs="Arial"/>
          <w:color w:val="222222"/>
          <w:szCs w:val="22"/>
          <w:lang w:eastAsia="es-MX"/>
        </w:rPr>
        <w:t xml:space="preserve">Por lo anteriormente expuesto y fundado, este </w:t>
      </w:r>
      <w:r w:rsidRPr="00FB4DC3">
        <w:rPr>
          <w:rFonts w:ascii="Palatino Linotype" w:hAnsi="Palatino Linotype" w:cs="Arial"/>
          <w:b/>
          <w:bCs/>
          <w:color w:val="222222"/>
          <w:szCs w:val="22"/>
          <w:lang w:eastAsia="es-MX"/>
        </w:rPr>
        <w:t>ÓRGANO GARANTE</w:t>
      </w:r>
      <w:r w:rsidRPr="00FB4DC3">
        <w:rPr>
          <w:rFonts w:ascii="Palatino Linotype" w:hAnsi="Palatino Linotype" w:cs="Arial"/>
          <w:color w:val="222222"/>
          <w:szCs w:val="22"/>
          <w:lang w:eastAsia="es-MX"/>
        </w:rPr>
        <w:t xml:space="preserve"> emite los siguientes:</w:t>
      </w:r>
    </w:p>
    <w:p w14:paraId="463AEB82" w14:textId="1A6F6637" w:rsidR="005000AA" w:rsidRPr="00FB4DC3" w:rsidRDefault="005000AA" w:rsidP="00C53585">
      <w:pPr>
        <w:pStyle w:val="Ttulo1"/>
        <w:jc w:val="center"/>
        <w:rPr>
          <w:rFonts w:ascii="Palatino Linotype" w:hAnsi="Palatino Linotype"/>
          <w:b/>
          <w:color w:val="auto"/>
          <w:sz w:val="22"/>
          <w:szCs w:val="22"/>
        </w:rPr>
      </w:pPr>
      <w:bookmarkStart w:id="10" w:name="_Toc4061692"/>
      <w:bookmarkStart w:id="11" w:name="_Toc486525261"/>
      <w:bookmarkStart w:id="12" w:name="_Toc445745148"/>
      <w:bookmarkStart w:id="13" w:name="_Toc447699324"/>
      <w:bookmarkStart w:id="14" w:name="_Toc87549684"/>
      <w:r w:rsidRPr="00FB4DC3">
        <w:rPr>
          <w:rFonts w:ascii="Palatino Linotype" w:hAnsi="Palatino Linotype"/>
          <w:b/>
          <w:color w:val="auto"/>
          <w:sz w:val="22"/>
          <w:szCs w:val="22"/>
        </w:rPr>
        <w:t>R E S O L U T I V O S</w:t>
      </w:r>
      <w:bookmarkEnd w:id="10"/>
      <w:bookmarkEnd w:id="11"/>
      <w:bookmarkEnd w:id="12"/>
      <w:bookmarkEnd w:id="13"/>
      <w:bookmarkEnd w:id="14"/>
    </w:p>
    <w:p w14:paraId="2B38CFA8" w14:textId="77777777" w:rsidR="00C53585" w:rsidRPr="00FB4DC3" w:rsidRDefault="00C53585" w:rsidP="00616297">
      <w:pPr>
        <w:tabs>
          <w:tab w:val="left" w:pos="284"/>
        </w:tabs>
        <w:spacing w:line="360" w:lineRule="auto"/>
        <w:jc w:val="both"/>
        <w:rPr>
          <w:rFonts w:ascii="Palatino Linotype" w:hAnsi="Palatino Linotype" w:cs="Arial"/>
          <w:b/>
          <w:sz w:val="22"/>
          <w:szCs w:val="22"/>
          <w:lang w:val="es-ES_tradnl"/>
        </w:rPr>
      </w:pPr>
    </w:p>
    <w:p w14:paraId="7C2D49AC" w14:textId="78C85DDD" w:rsidR="006411BB" w:rsidRPr="00FB4DC3" w:rsidRDefault="006411BB" w:rsidP="006411BB">
      <w:pPr>
        <w:pStyle w:val="Prrafodelista"/>
        <w:widowControl w:val="0"/>
        <w:tabs>
          <w:tab w:val="left" w:pos="1701"/>
        </w:tabs>
        <w:autoSpaceDE w:val="0"/>
        <w:autoSpaceDN w:val="0"/>
        <w:adjustRightInd w:val="0"/>
        <w:spacing w:before="120" w:line="360" w:lineRule="auto"/>
        <w:ind w:left="0"/>
        <w:jc w:val="both"/>
        <w:rPr>
          <w:rFonts w:ascii="Palatino Linotype" w:hAnsi="Palatino Linotype"/>
          <w:b/>
          <w:szCs w:val="22"/>
        </w:rPr>
      </w:pPr>
      <w:bookmarkStart w:id="15" w:name="_Toc450120669"/>
      <w:bookmarkStart w:id="16" w:name="_Toc460947011"/>
      <w:r w:rsidRPr="00FB4DC3">
        <w:rPr>
          <w:rFonts w:ascii="Palatino Linotype" w:hAnsi="Palatino Linotype" w:cs="Arial"/>
          <w:b/>
          <w:szCs w:val="22"/>
        </w:rPr>
        <w:t xml:space="preserve">PRIMERO. </w:t>
      </w:r>
      <w:r w:rsidRPr="00FB4DC3">
        <w:rPr>
          <w:rFonts w:ascii="Palatino Linotype" w:hAnsi="Palatino Linotype"/>
          <w:szCs w:val="22"/>
        </w:rPr>
        <w:t xml:space="preserve">Se </w:t>
      </w:r>
      <w:r w:rsidRPr="00FB4DC3">
        <w:rPr>
          <w:rFonts w:ascii="Palatino Linotype" w:hAnsi="Palatino Linotype"/>
          <w:b/>
          <w:szCs w:val="22"/>
        </w:rPr>
        <w:t>SOBRESEE</w:t>
      </w:r>
      <w:r w:rsidRPr="00FB4DC3">
        <w:rPr>
          <w:rFonts w:ascii="Palatino Linotype" w:hAnsi="Palatino Linotype"/>
          <w:szCs w:val="22"/>
        </w:rPr>
        <w:t xml:space="preserve"> el recurso de revisión número </w:t>
      </w:r>
      <w:r w:rsidR="006C7293" w:rsidRPr="00FB4DC3">
        <w:rPr>
          <w:rFonts w:ascii="Palatino Linotype" w:hAnsi="Palatino Linotype"/>
          <w:b/>
          <w:szCs w:val="22"/>
        </w:rPr>
        <w:t>07568</w:t>
      </w:r>
      <w:r w:rsidR="00EF7969" w:rsidRPr="00FB4DC3">
        <w:rPr>
          <w:rFonts w:ascii="Palatino Linotype" w:hAnsi="Palatino Linotype"/>
          <w:b/>
          <w:szCs w:val="22"/>
        </w:rPr>
        <w:t>/INFOEM/ICR-</w:t>
      </w:r>
      <w:r w:rsidR="006C7293" w:rsidRPr="00FB4DC3">
        <w:rPr>
          <w:rFonts w:ascii="Palatino Linotype" w:hAnsi="Palatino Linotype"/>
          <w:b/>
          <w:szCs w:val="22"/>
        </w:rPr>
        <w:t>08</w:t>
      </w:r>
      <w:r w:rsidR="005E100F" w:rsidRPr="00FB4DC3">
        <w:rPr>
          <w:rFonts w:ascii="Palatino Linotype" w:hAnsi="Palatino Linotype"/>
          <w:b/>
          <w:szCs w:val="22"/>
        </w:rPr>
        <w:t>/</w:t>
      </w:r>
      <w:r w:rsidR="006C7293" w:rsidRPr="00FB4DC3">
        <w:rPr>
          <w:rFonts w:ascii="Palatino Linotype" w:hAnsi="Palatino Linotype"/>
          <w:b/>
          <w:szCs w:val="22"/>
        </w:rPr>
        <w:t>IP/RR/2024</w:t>
      </w:r>
      <w:r w:rsidRPr="00FB4DC3">
        <w:rPr>
          <w:rFonts w:ascii="Palatino Linotype" w:hAnsi="Palatino Linotype"/>
          <w:b/>
          <w:szCs w:val="22"/>
        </w:rPr>
        <w:t xml:space="preserve">, </w:t>
      </w:r>
      <w:r w:rsidR="007D44DE" w:rsidRPr="00FB4DC3">
        <w:rPr>
          <w:rFonts w:ascii="Palatino Linotype" w:hAnsi="Palatino Linotype"/>
          <w:szCs w:val="22"/>
        </w:rPr>
        <w:t xml:space="preserve">por improcedente, </w:t>
      </w:r>
      <w:r w:rsidRPr="00FB4DC3">
        <w:rPr>
          <w:rFonts w:ascii="Palatino Linotype" w:hAnsi="Palatino Linotype"/>
          <w:szCs w:val="22"/>
        </w:rPr>
        <w:t>conforme al artículo 192</w:t>
      </w:r>
      <w:r w:rsidR="00092184" w:rsidRPr="00FB4DC3">
        <w:rPr>
          <w:rFonts w:ascii="Palatino Linotype" w:hAnsi="Palatino Linotype"/>
          <w:szCs w:val="22"/>
        </w:rPr>
        <w:t>,</w:t>
      </w:r>
      <w:r w:rsidRPr="00FB4DC3">
        <w:rPr>
          <w:rFonts w:ascii="Palatino Linotype" w:hAnsi="Palatino Linotype"/>
          <w:szCs w:val="22"/>
        </w:rPr>
        <w:t xml:space="preserve"> fracción IV</w:t>
      </w:r>
      <w:r w:rsidR="00092184" w:rsidRPr="00FB4DC3">
        <w:rPr>
          <w:rFonts w:ascii="Palatino Linotype" w:hAnsi="Palatino Linotype"/>
          <w:szCs w:val="22"/>
        </w:rPr>
        <w:t>,</w:t>
      </w:r>
      <w:r w:rsidR="005E100F" w:rsidRPr="00FB4DC3">
        <w:rPr>
          <w:rFonts w:ascii="Palatino Linotype" w:hAnsi="Palatino Linotype"/>
          <w:szCs w:val="22"/>
        </w:rPr>
        <w:t xml:space="preserve"> </w:t>
      </w:r>
      <w:r w:rsidRPr="00FB4DC3">
        <w:rPr>
          <w:rFonts w:ascii="Palatino Linotype" w:hAnsi="Palatino Linotype"/>
          <w:szCs w:val="22"/>
        </w:rPr>
        <w:t xml:space="preserve">de la Ley de Transparencia y Acceso a la Información Pública del Estado de México y Municipios, en términos del Considerando </w:t>
      </w:r>
      <w:r w:rsidRPr="00FB4DC3">
        <w:rPr>
          <w:rFonts w:ascii="Palatino Linotype" w:hAnsi="Palatino Linotype"/>
          <w:b/>
          <w:szCs w:val="22"/>
        </w:rPr>
        <w:t>TERCERO</w:t>
      </w:r>
      <w:r w:rsidRPr="00FB4DC3">
        <w:rPr>
          <w:rFonts w:ascii="Palatino Linotype" w:hAnsi="Palatino Linotype"/>
          <w:szCs w:val="22"/>
        </w:rPr>
        <w:t xml:space="preserve"> de la presente resolución.</w:t>
      </w:r>
    </w:p>
    <w:p w14:paraId="7070422B" w14:textId="58C1EF4A" w:rsidR="006411BB" w:rsidRPr="00FB4DC3" w:rsidRDefault="006411BB" w:rsidP="006411BB">
      <w:pPr>
        <w:spacing w:before="240" w:after="360" w:line="360" w:lineRule="auto"/>
        <w:jc w:val="both"/>
        <w:rPr>
          <w:rStyle w:val="Ttulo2Car"/>
          <w:rFonts w:ascii="Palatino Linotype" w:hAnsi="Palatino Linotype"/>
          <w:b/>
          <w:color w:val="000000" w:themeColor="text1"/>
          <w:sz w:val="22"/>
          <w:szCs w:val="22"/>
        </w:rPr>
      </w:pPr>
      <w:bookmarkStart w:id="17" w:name="_Toc461648590"/>
      <w:bookmarkStart w:id="18" w:name="_Toc461648682"/>
      <w:bookmarkStart w:id="19" w:name="_Toc462228049"/>
      <w:bookmarkStart w:id="20" w:name="_Toc462228129"/>
      <w:bookmarkStart w:id="21" w:name="_Toc496099789"/>
      <w:bookmarkStart w:id="22" w:name="_Toc496100166"/>
      <w:bookmarkStart w:id="23" w:name="_Toc499756977"/>
      <w:bookmarkStart w:id="24" w:name="_Toc499757020"/>
      <w:bookmarkStart w:id="25" w:name="_Toc504377974"/>
      <w:r w:rsidRPr="00FB4DC3">
        <w:rPr>
          <w:rFonts w:ascii="Palatino Linotype" w:hAnsi="Palatino Linotype" w:cs="Arial"/>
          <w:b/>
          <w:sz w:val="22"/>
          <w:szCs w:val="22"/>
        </w:rPr>
        <w:t>SEGUNDO.</w:t>
      </w:r>
      <w:bookmarkEnd w:id="17"/>
      <w:bookmarkEnd w:id="18"/>
      <w:bookmarkEnd w:id="19"/>
      <w:bookmarkEnd w:id="20"/>
      <w:bookmarkEnd w:id="21"/>
      <w:bookmarkEnd w:id="22"/>
      <w:bookmarkEnd w:id="23"/>
      <w:bookmarkEnd w:id="24"/>
      <w:bookmarkEnd w:id="25"/>
      <w:r w:rsidRPr="00FB4DC3">
        <w:rPr>
          <w:rStyle w:val="Ttulo2Car"/>
          <w:rFonts w:ascii="Palatino Linotype" w:hAnsi="Palatino Linotype"/>
          <w:b/>
          <w:color w:val="000000" w:themeColor="text1"/>
          <w:sz w:val="22"/>
          <w:szCs w:val="22"/>
        </w:rPr>
        <w:t xml:space="preserve"> </w:t>
      </w:r>
      <w:r w:rsidR="00092184" w:rsidRPr="00FB4DC3">
        <w:rPr>
          <w:rFonts w:ascii="Palatino Linotype" w:eastAsia="MS Mincho" w:hAnsi="Palatino Linotype" w:cs="Arial"/>
          <w:b/>
          <w:bCs/>
          <w:color w:val="000000" w:themeColor="text1"/>
          <w:sz w:val="22"/>
          <w:szCs w:val="22"/>
          <w:shd w:val="clear" w:color="auto" w:fill="FFFFFF"/>
        </w:rPr>
        <w:t>Notifíquese</w:t>
      </w:r>
      <w:r w:rsidRPr="00FB4DC3">
        <w:rPr>
          <w:rFonts w:ascii="Palatino Linotype" w:eastAsia="MS Mincho" w:hAnsi="Palatino Linotype" w:cs="Arial"/>
          <w:b/>
          <w:bCs/>
          <w:color w:val="000000" w:themeColor="text1"/>
          <w:sz w:val="22"/>
          <w:szCs w:val="22"/>
          <w:shd w:val="clear" w:color="auto" w:fill="FFFFFF"/>
        </w:rPr>
        <w:t xml:space="preserve"> </w:t>
      </w:r>
      <w:r w:rsidRPr="00FB4DC3">
        <w:rPr>
          <w:rFonts w:ascii="Palatino Linotype" w:eastAsia="MS Mincho" w:hAnsi="Palatino Linotype"/>
          <w:color w:val="000000" w:themeColor="text1"/>
          <w:sz w:val="22"/>
          <w:szCs w:val="22"/>
          <w:shd w:val="clear" w:color="auto" w:fill="FFFFFF"/>
        </w:rPr>
        <w:t>al Titular de la Unidad de Transparencia del</w:t>
      </w:r>
      <w:r w:rsidRPr="00FB4DC3">
        <w:rPr>
          <w:rFonts w:ascii="Palatino Linotype" w:eastAsia="MS Mincho" w:hAnsi="Palatino Linotype"/>
          <w:b/>
          <w:bCs/>
          <w:color w:val="000000" w:themeColor="text1"/>
          <w:sz w:val="22"/>
          <w:szCs w:val="22"/>
          <w:shd w:val="clear" w:color="auto" w:fill="FFFFFF"/>
        </w:rPr>
        <w:t xml:space="preserve"> SUJETO OBLIGADO</w:t>
      </w:r>
      <w:r w:rsidRPr="00FB4DC3">
        <w:rPr>
          <w:rFonts w:ascii="Palatino Linotype" w:eastAsia="MS Mincho" w:hAnsi="Palatino Linotype"/>
          <w:color w:val="000000" w:themeColor="text1"/>
          <w:sz w:val="22"/>
          <w:szCs w:val="22"/>
          <w:shd w:val="clear" w:color="auto" w:fill="FFFFFF"/>
        </w:rPr>
        <w:t xml:space="preserve"> vía Sistema de Acceso a Información Mexiquense, la presente resolución. </w:t>
      </w:r>
    </w:p>
    <w:p w14:paraId="1DA76109" w14:textId="4BE60763" w:rsidR="006411BB" w:rsidRPr="00FB4DC3" w:rsidRDefault="006411BB" w:rsidP="006411BB">
      <w:pPr>
        <w:spacing w:line="360" w:lineRule="auto"/>
        <w:jc w:val="both"/>
        <w:rPr>
          <w:rFonts w:ascii="Palatino Linotype" w:hAnsi="Palatino Linotype"/>
          <w:sz w:val="22"/>
          <w:szCs w:val="22"/>
        </w:rPr>
      </w:pPr>
      <w:bookmarkStart w:id="26" w:name="_Toc460947013"/>
      <w:bookmarkEnd w:id="15"/>
      <w:bookmarkEnd w:id="16"/>
      <w:r w:rsidRPr="00FB4DC3">
        <w:rPr>
          <w:rFonts w:ascii="Palatino Linotype" w:hAnsi="Palatino Linotype" w:cs="Arial"/>
          <w:b/>
          <w:sz w:val="22"/>
          <w:szCs w:val="22"/>
        </w:rPr>
        <w:t xml:space="preserve">TERCERO. </w:t>
      </w:r>
      <w:r w:rsidRPr="00FB4DC3">
        <w:rPr>
          <w:rFonts w:ascii="Palatino Linotype" w:hAnsi="Palatino Linotype"/>
          <w:b/>
          <w:bCs/>
          <w:color w:val="222222"/>
          <w:sz w:val="22"/>
          <w:szCs w:val="22"/>
          <w:lang w:val="es-ES"/>
        </w:rPr>
        <w:t>Notifíquese a</w:t>
      </w:r>
      <w:r w:rsidRPr="00FB4DC3">
        <w:rPr>
          <w:rFonts w:ascii="Palatino Linotype" w:hAnsi="Palatino Linotype"/>
          <w:b/>
          <w:sz w:val="22"/>
          <w:szCs w:val="22"/>
        </w:rPr>
        <w:t xml:space="preserve">l RECURRENTE </w:t>
      </w:r>
      <w:r w:rsidRPr="00FB4DC3">
        <w:rPr>
          <w:rFonts w:ascii="Palatino Linotype" w:hAnsi="Palatino Linotype"/>
          <w:sz w:val="22"/>
          <w:szCs w:val="22"/>
        </w:rPr>
        <w:t>la presente resolución</w:t>
      </w:r>
      <w:r w:rsidR="005E100F" w:rsidRPr="00FB4DC3">
        <w:rPr>
          <w:rFonts w:ascii="Palatino Linotype" w:hAnsi="Palatino Linotype"/>
          <w:sz w:val="22"/>
          <w:szCs w:val="22"/>
        </w:rPr>
        <w:t xml:space="preserve"> vía Sistema de Acceso a Información Mexiquense </w:t>
      </w:r>
      <w:r w:rsidR="005E100F" w:rsidRPr="00FB4DC3">
        <w:rPr>
          <w:rFonts w:ascii="Palatino Linotype" w:hAnsi="Palatino Linotype"/>
          <w:b/>
          <w:bCs/>
          <w:sz w:val="22"/>
          <w:szCs w:val="22"/>
        </w:rPr>
        <w:t>(SAIMEX).</w:t>
      </w:r>
    </w:p>
    <w:p w14:paraId="39426206" w14:textId="77777777" w:rsidR="006411BB" w:rsidRPr="00FB4DC3" w:rsidRDefault="006411BB" w:rsidP="006411BB">
      <w:pPr>
        <w:spacing w:line="360" w:lineRule="auto"/>
        <w:jc w:val="both"/>
        <w:rPr>
          <w:rFonts w:ascii="Palatino Linotype" w:hAnsi="Palatino Linotype"/>
          <w:sz w:val="22"/>
          <w:szCs w:val="22"/>
        </w:rPr>
      </w:pPr>
    </w:p>
    <w:bookmarkEnd w:id="26"/>
    <w:p w14:paraId="6191F937" w14:textId="2305C573" w:rsidR="002C3F45" w:rsidRPr="00FB4DC3" w:rsidRDefault="006411BB" w:rsidP="009F0722">
      <w:pPr>
        <w:spacing w:line="360" w:lineRule="auto"/>
        <w:jc w:val="both"/>
        <w:rPr>
          <w:rFonts w:ascii="Palatino Linotype" w:eastAsia="MS Mincho" w:hAnsi="Palatino Linotype"/>
          <w:sz w:val="22"/>
          <w:szCs w:val="22"/>
          <w:lang w:val="es-ES"/>
        </w:rPr>
      </w:pPr>
      <w:r w:rsidRPr="00FB4DC3">
        <w:rPr>
          <w:rFonts w:ascii="Palatino Linotype" w:eastAsia="MS Mincho" w:hAnsi="Palatino Linotype"/>
          <w:b/>
          <w:sz w:val="22"/>
          <w:szCs w:val="22"/>
        </w:rPr>
        <w:t>CUARTO.</w:t>
      </w:r>
      <w:r w:rsidRPr="00FB4DC3">
        <w:rPr>
          <w:rFonts w:ascii="Palatino Linotype" w:eastAsia="MS Mincho" w:hAnsi="Palatino Linotype"/>
          <w:sz w:val="22"/>
          <w:szCs w:val="22"/>
        </w:rPr>
        <w:t xml:space="preserve"> </w:t>
      </w:r>
      <w:r w:rsidRPr="00FB4DC3">
        <w:rPr>
          <w:rFonts w:ascii="Palatino Linotype" w:eastAsia="MS Mincho" w:hAnsi="Palatino Linotype"/>
          <w:sz w:val="22"/>
          <w:szCs w:val="22"/>
          <w:lang w:val="es-ES"/>
        </w:rPr>
        <w:t>Se hace del conocimiento de</w:t>
      </w:r>
      <w:r w:rsidR="00092184" w:rsidRPr="00FB4DC3">
        <w:rPr>
          <w:rFonts w:ascii="Palatino Linotype" w:eastAsia="MS Mincho" w:hAnsi="Palatino Linotype"/>
          <w:sz w:val="22"/>
          <w:szCs w:val="22"/>
          <w:lang w:val="es-ES"/>
        </w:rPr>
        <w:t>l</w:t>
      </w:r>
      <w:r w:rsidRPr="00FB4DC3">
        <w:rPr>
          <w:rFonts w:ascii="Palatino Linotype" w:eastAsia="MS Mincho" w:hAnsi="Palatino Linotype"/>
          <w:sz w:val="22"/>
          <w:szCs w:val="22"/>
          <w:lang w:val="es-ES"/>
        </w:rPr>
        <w:t xml:space="preserve"> </w:t>
      </w:r>
      <w:r w:rsidRPr="00FB4DC3">
        <w:rPr>
          <w:rFonts w:ascii="Palatino Linotype" w:eastAsia="Calibri" w:hAnsi="Palatino Linotype" w:cs="Tahoma"/>
          <w:b/>
          <w:sz w:val="22"/>
          <w:szCs w:val="22"/>
          <w:lang w:eastAsia="en-US"/>
        </w:rPr>
        <w:t>RECURRENTE</w:t>
      </w:r>
      <w:r w:rsidRPr="00FB4DC3">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B4DC3">
        <w:rPr>
          <w:rFonts w:ascii="Palatino Linotype" w:eastAsia="MS Mincho" w:hAnsi="Palatino Linotype"/>
          <w:bCs/>
          <w:sz w:val="22"/>
          <w:szCs w:val="22"/>
          <w:lang w:val="es-ES"/>
        </w:rPr>
        <w:t>vía juicio de amparo</w:t>
      </w:r>
      <w:r w:rsidRPr="00FB4DC3">
        <w:rPr>
          <w:rFonts w:ascii="Palatino Linotype" w:eastAsia="MS Mincho" w:hAnsi="Palatino Linotype"/>
          <w:sz w:val="22"/>
          <w:szCs w:val="22"/>
          <w:lang w:val="es-ES"/>
        </w:rPr>
        <w:t> en los términos de las leyes aplicables.</w:t>
      </w:r>
    </w:p>
    <w:p w14:paraId="74789932" w14:textId="77777777" w:rsidR="00092184" w:rsidRPr="00092184" w:rsidRDefault="00092184" w:rsidP="00092184">
      <w:pPr>
        <w:spacing w:line="360" w:lineRule="auto"/>
        <w:ind w:left="-142" w:right="-234" w:firstLine="1"/>
        <w:jc w:val="both"/>
        <w:rPr>
          <w:rFonts w:ascii="Palatino Linotype" w:hAnsi="Palatino Linotype"/>
          <w:sz w:val="22"/>
        </w:rPr>
      </w:pPr>
      <w:r w:rsidRPr="00FB4DC3">
        <w:rPr>
          <w:rFonts w:ascii="Palatino Linotype" w:hAnsi="Palatino Linotype"/>
          <w:sz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092184">
        <w:rPr>
          <w:rFonts w:ascii="Palatino Linotype" w:hAnsi="Palatino Linotype"/>
          <w:sz w:val="22"/>
        </w:rPr>
        <w:t xml:space="preserve"> </w:t>
      </w:r>
    </w:p>
    <w:p w14:paraId="26988562" w14:textId="77777777" w:rsidR="00DF54E4" w:rsidRDefault="00DF54E4" w:rsidP="005000AA">
      <w:pPr>
        <w:spacing w:before="240" w:after="360" w:line="360" w:lineRule="auto"/>
        <w:jc w:val="both"/>
        <w:rPr>
          <w:rFonts w:ascii="Palatino Linotype" w:hAnsi="Palatino Linotype"/>
          <w:color w:val="222222"/>
          <w:sz w:val="22"/>
          <w:szCs w:val="22"/>
          <w:lang w:val="es-ES" w:eastAsia="es-MX"/>
        </w:rPr>
      </w:pPr>
    </w:p>
    <w:p w14:paraId="20D78649"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07475DC3"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57E4C101"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7DCD21EB"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419B3D6A"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7B8FEDE3"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5BA60A42"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0BE47C4B"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5780F574"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0955436D"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27086FBC"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09B34F8C"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3EFF75F1"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695C6E59"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1A023755"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62117A0A"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5383BA62" w14:textId="77777777" w:rsidR="00FB4DC3" w:rsidRDefault="00FB4DC3" w:rsidP="005000AA">
      <w:pPr>
        <w:spacing w:before="240" w:after="360" w:line="360" w:lineRule="auto"/>
        <w:jc w:val="both"/>
        <w:rPr>
          <w:rFonts w:ascii="Palatino Linotype" w:hAnsi="Palatino Linotype"/>
          <w:color w:val="222222"/>
          <w:sz w:val="22"/>
          <w:szCs w:val="22"/>
          <w:lang w:val="es-ES" w:eastAsia="es-MX"/>
        </w:rPr>
      </w:pPr>
    </w:p>
    <w:p w14:paraId="7F9218E4" w14:textId="77777777" w:rsidR="00FB4DC3" w:rsidRPr="00080DD7" w:rsidRDefault="00FB4DC3" w:rsidP="005000AA">
      <w:pPr>
        <w:spacing w:before="240" w:after="360" w:line="360" w:lineRule="auto"/>
        <w:jc w:val="both"/>
        <w:rPr>
          <w:rFonts w:ascii="Palatino Linotype" w:hAnsi="Palatino Linotype"/>
          <w:color w:val="222222"/>
          <w:sz w:val="22"/>
          <w:szCs w:val="22"/>
          <w:lang w:val="es-ES" w:eastAsia="es-MX"/>
        </w:rPr>
      </w:pPr>
    </w:p>
    <w:sectPr w:rsidR="00FB4DC3" w:rsidRPr="00080DD7">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DA22D" w14:textId="77777777" w:rsidR="00860E7A" w:rsidRDefault="00860E7A">
      <w:r>
        <w:separator/>
      </w:r>
    </w:p>
  </w:endnote>
  <w:endnote w:type="continuationSeparator" w:id="0">
    <w:p w14:paraId="0DD01C3E" w14:textId="77777777" w:rsidR="00860E7A" w:rsidRDefault="0086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463BCB" w:rsidRDefault="00463BCB">
            <w:pPr>
              <w:pStyle w:val="Piedepgina"/>
              <w:jc w:val="right"/>
            </w:pPr>
          </w:p>
          <w:p w14:paraId="1F7A191C" w14:textId="30C6AB00" w:rsidR="00463BCB" w:rsidRDefault="00463B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64EC">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64EC">
              <w:rPr>
                <w:b/>
                <w:bCs/>
                <w:noProof/>
              </w:rPr>
              <w:t>17</w:t>
            </w:r>
            <w:r>
              <w:rPr>
                <w:b/>
                <w:bCs/>
                <w:sz w:val="24"/>
                <w:szCs w:val="24"/>
              </w:rPr>
              <w:fldChar w:fldCharType="end"/>
            </w:r>
          </w:p>
        </w:sdtContent>
      </w:sdt>
    </w:sdtContent>
  </w:sdt>
  <w:p w14:paraId="2A221972" w14:textId="77777777" w:rsidR="00463BCB" w:rsidRDefault="00463BCB">
    <w:pPr>
      <w:pStyle w:val="Piedepgina"/>
    </w:pPr>
  </w:p>
  <w:p w14:paraId="1D6FF208" w14:textId="77777777" w:rsidR="00463BCB" w:rsidRDefault="00463BCB"/>
  <w:p w14:paraId="70055CD7" w14:textId="77777777" w:rsidR="00463BCB" w:rsidRDefault="00463BCB"/>
  <w:p w14:paraId="5452645F" w14:textId="77777777" w:rsidR="00463BCB" w:rsidRDefault="00463B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3AEEECB3" w:rsidR="00463BCB" w:rsidRDefault="00463B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64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64EC">
              <w:rPr>
                <w:b/>
                <w:bCs/>
                <w:noProof/>
              </w:rPr>
              <w:t>17</w:t>
            </w:r>
            <w:r>
              <w:rPr>
                <w:b/>
                <w:bCs/>
                <w:sz w:val="24"/>
                <w:szCs w:val="24"/>
              </w:rPr>
              <w:fldChar w:fldCharType="end"/>
            </w:r>
          </w:p>
        </w:sdtContent>
      </w:sdt>
    </w:sdtContent>
  </w:sdt>
  <w:p w14:paraId="2D12AEB2" w14:textId="77777777" w:rsidR="00463BCB" w:rsidRDefault="00463BCB">
    <w:pPr>
      <w:pStyle w:val="Piedepgina"/>
    </w:pPr>
  </w:p>
  <w:p w14:paraId="54227169" w14:textId="77777777" w:rsidR="00463BCB" w:rsidRDefault="00463BCB"/>
  <w:p w14:paraId="7DE40FB1" w14:textId="77777777" w:rsidR="00463BCB" w:rsidRDefault="00463BCB"/>
  <w:p w14:paraId="33755E87" w14:textId="77777777" w:rsidR="00463BCB" w:rsidRDefault="00463B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30523" w14:textId="77777777" w:rsidR="00860E7A" w:rsidRDefault="00860E7A">
      <w:r>
        <w:separator/>
      </w:r>
    </w:p>
  </w:footnote>
  <w:footnote w:type="continuationSeparator" w:id="0">
    <w:p w14:paraId="47470CF2" w14:textId="77777777" w:rsidR="00860E7A" w:rsidRDefault="00860E7A">
      <w:r>
        <w:continuationSeparator/>
      </w:r>
    </w:p>
  </w:footnote>
  <w:footnote w:id="1">
    <w:p w14:paraId="4F27C3CC" w14:textId="77777777" w:rsidR="00463BCB" w:rsidRDefault="00463BCB" w:rsidP="006D3646">
      <w:pPr>
        <w:pStyle w:val="Textonotapie"/>
      </w:pPr>
      <w:r>
        <w:rPr>
          <w:rStyle w:val="Refdenotaalpie"/>
        </w:rPr>
        <w:footnoteRef/>
      </w:r>
      <w:r>
        <w:t xml:space="preserve"> Tercer párrafo, artículo 1º, Constitución Política de los Estados Unidos Mexicanos.</w:t>
      </w:r>
    </w:p>
  </w:footnote>
  <w:footnote w:id="2">
    <w:p w14:paraId="438F535C" w14:textId="77777777" w:rsidR="00463BCB" w:rsidRDefault="00463BCB" w:rsidP="006D3646">
      <w:pPr>
        <w:pStyle w:val="Textonotapie"/>
      </w:pPr>
      <w:r>
        <w:rPr>
          <w:rStyle w:val="Refdenotaalpie"/>
        </w:rPr>
        <w:footnoteRef/>
      </w:r>
      <w:r>
        <w:t xml:space="preserve"> Segundo Párrafo, artículo 6º, Constitución Política de los Estados Unidos Mexicanos.</w:t>
      </w:r>
    </w:p>
  </w:footnote>
  <w:footnote w:id="3">
    <w:p w14:paraId="6C7DB9A0" w14:textId="77777777" w:rsidR="00463BCB" w:rsidRDefault="00463BCB" w:rsidP="006D3646">
      <w:pPr>
        <w:pStyle w:val="Textonotapie"/>
      </w:pPr>
      <w:r>
        <w:rPr>
          <w:rStyle w:val="Refdenotaalpie"/>
        </w:rPr>
        <w:footnoteRef/>
      </w:r>
      <w:r>
        <w:t xml:space="preserve"> Artículo 176, Ley de Transparencia y Acceso a la Información Pública del Estado de México y Municipios.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463BCB" w:rsidRDefault="00860E7A">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1" type="#_x0000_t75" alt=""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133C4830" w14:textId="77777777" w:rsidR="00463BCB" w:rsidRDefault="00463BCB"/>
  <w:p w14:paraId="77B719CE" w14:textId="77777777" w:rsidR="00463BCB" w:rsidRDefault="00463BCB"/>
  <w:p w14:paraId="50A3AAAA" w14:textId="77777777" w:rsidR="00463BCB" w:rsidRDefault="00463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463BCB" w14:paraId="6255E3A4" w14:textId="77777777" w:rsidTr="00814079">
      <w:trPr>
        <w:trHeight w:val="1435"/>
      </w:trPr>
      <w:tc>
        <w:tcPr>
          <w:tcW w:w="1843" w:type="dxa"/>
          <w:shd w:val="clear" w:color="auto" w:fill="auto"/>
        </w:tcPr>
        <w:p w14:paraId="3E05202F" w14:textId="4A7C9DF8" w:rsidR="00463BCB" w:rsidRDefault="00463BC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463BCB" w:rsidRDefault="00463BCB"/>
        <w:tbl>
          <w:tblPr>
            <w:tblStyle w:val="Tablaconcuadrcula"/>
            <w:tblW w:w="709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463BCB" w14:paraId="727F90BF" w14:textId="77777777" w:rsidTr="008306E4">
            <w:trPr>
              <w:trHeight w:val="338"/>
            </w:trPr>
            <w:tc>
              <w:tcPr>
                <w:tcW w:w="2551" w:type="dxa"/>
              </w:tcPr>
              <w:p w14:paraId="23087CD5" w14:textId="77777777" w:rsidR="00463BCB" w:rsidRDefault="00463BCB">
                <w:pPr>
                  <w:tabs>
                    <w:tab w:val="right" w:pos="8838"/>
                  </w:tabs>
                  <w:ind w:right="-105"/>
                  <w:rPr>
                    <w:rFonts w:ascii="Palatino Linotype" w:eastAsia="Calibri" w:hAnsi="Palatino Linotype" w:cs="Tahoma"/>
                    <w:b/>
                    <w:sz w:val="22"/>
                    <w:szCs w:val="22"/>
                    <w:lang w:eastAsia="en-US"/>
                  </w:rPr>
                </w:pPr>
              </w:p>
              <w:p w14:paraId="410A3741" w14:textId="535C9D39" w:rsidR="00463BCB" w:rsidRDefault="00463BC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67E34D7D" w14:textId="77777777" w:rsidR="00463BCB" w:rsidRDefault="00463BCB" w:rsidP="00427B6E">
                <w:pPr>
                  <w:tabs>
                    <w:tab w:val="right" w:pos="8838"/>
                  </w:tabs>
                  <w:ind w:right="-105" w:hanging="101"/>
                  <w:jc w:val="both"/>
                  <w:rPr>
                    <w:rFonts w:ascii="Palatino Linotype" w:eastAsia="Calibri" w:hAnsi="Palatino Linotype" w:cs="Tahoma"/>
                    <w:bCs/>
                    <w:sz w:val="22"/>
                    <w:szCs w:val="22"/>
                    <w:lang w:eastAsia="en-US"/>
                  </w:rPr>
                </w:pPr>
              </w:p>
              <w:p w14:paraId="3FF69A05" w14:textId="2D1D3190" w:rsidR="00463BCB" w:rsidRDefault="00DB30D6" w:rsidP="007F4367">
                <w:pPr>
                  <w:tabs>
                    <w:tab w:val="right" w:pos="8838"/>
                  </w:tabs>
                  <w:ind w:right="-105" w:hanging="101"/>
                  <w:jc w:val="both"/>
                  <w:rPr>
                    <w:rFonts w:ascii="Palatino Linotype" w:eastAsia="Calibri" w:hAnsi="Palatino Linotype" w:cs="Tahoma"/>
                    <w:bCs/>
                    <w:sz w:val="22"/>
                    <w:szCs w:val="22"/>
                    <w:lang w:eastAsia="en-US"/>
                  </w:rPr>
                </w:pPr>
                <w:r>
                  <w:rPr>
                    <w:rFonts w:ascii="Palatino Linotype" w:hAnsi="Palatino Linotype" w:cs="Arial"/>
                    <w:b/>
                    <w:sz w:val="22"/>
                    <w:szCs w:val="24"/>
                  </w:rPr>
                  <w:t>0</w:t>
                </w:r>
                <w:r w:rsidR="00080DD7">
                  <w:rPr>
                    <w:rFonts w:ascii="Palatino Linotype" w:hAnsi="Palatino Linotype" w:cs="Arial"/>
                    <w:b/>
                    <w:sz w:val="22"/>
                    <w:szCs w:val="24"/>
                  </w:rPr>
                  <w:t>7568</w:t>
                </w:r>
                <w:r w:rsidR="008306E4" w:rsidRPr="004934A5">
                  <w:rPr>
                    <w:rFonts w:ascii="Palatino Linotype" w:eastAsia="Calibri" w:hAnsi="Palatino Linotype" w:cs="Tahoma"/>
                    <w:b/>
                    <w:sz w:val="22"/>
                    <w:lang w:eastAsia="en-US"/>
                  </w:rPr>
                  <w:t>/INFOEM</w:t>
                </w:r>
                <w:r w:rsidR="00D11ED5">
                  <w:rPr>
                    <w:rFonts w:ascii="Palatino Linotype" w:eastAsia="Calibri" w:hAnsi="Palatino Linotype" w:cs="Tahoma"/>
                    <w:b/>
                    <w:sz w:val="22"/>
                    <w:lang w:eastAsia="en-US"/>
                  </w:rPr>
                  <w:t>/ICR-</w:t>
                </w:r>
                <w:r w:rsidR="00080DD7">
                  <w:rPr>
                    <w:rFonts w:ascii="Palatino Linotype" w:eastAsia="Calibri" w:hAnsi="Palatino Linotype" w:cs="Tahoma"/>
                    <w:b/>
                    <w:sz w:val="22"/>
                    <w:lang w:eastAsia="en-US"/>
                  </w:rPr>
                  <w:t>08/IP/RR/2024</w:t>
                </w:r>
              </w:p>
            </w:tc>
          </w:tr>
          <w:tr w:rsidR="00463BCB" w14:paraId="1389436A" w14:textId="4EB800AC" w:rsidTr="008306E4">
            <w:trPr>
              <w:trHeight w:val="283"/>
            </w:trPr>
            <w:tc>
              <w:tcPr>
                <w:tcW w:w="2551" w:type="dxa"/>
              </w:tcPr>
              <w:p w14:paraId="22E0F4E9" w14:textId="77777777" w:rsidR="00463BCB" w:rsidRDefault="00463BCB">
                <w:pPr>
                  <w:tabs>
                    <w:tab w:val="right" w:pos="8838"/>
                  </w:tabs>
                  <w:ind w:right="-105"/>
                  <w:rPr>
                    <w:rFonts w:ascii="Palatino Linotype" w:eastAsia="Calibri" w:hAnsi="Palatino Linotype" w:cs="Tahoma"/>
                    <w:b/>
                    <w:sz w:val="22"/>
                    <w:szCs w:val="22"/>
                    <w:lang w:eastAsia="en-US"/>
                  </w:rPr>
                </w:pPr>
                <w:bookmarkStart w:id="27" w:name="_Hlk33010189"/>
                <w:r>
                  <w:rPr>
                    <w:rFonts w:ascii="Palatino Linotype" w:eastAsia="Calibri" w:hAnsi="Palatino Linotype" w:cs="Tahoma"/>
                    <w:b/>
                    <w:sz w:val="22"/>
                    <w:szCs w:val="22"/>
                    <w:lang w:eastAsia="en-US"/>
                  </w:rPr>
                  <w:t>Sujeto Obligado:</w:t>
                </w:r>
              </w:p>
            </w:tc>
            <w:tc>
              <w:tcPr>
                <w:tcW w:w="4544" w:type="dxa"/>
              </w:tcPr>
              <w:p w14:paraId="2B205C7F" w14:textId="03EA106E" w:rsidR="00463BCB" w:rsidRPr="00130842" w:rsidRDefault="00080DD7" w:rsidP="00B93FF6">
                <w:pPr>
                  <w:tabs>
                    <w:tab w:val="left" w:pos="2834"/>
                    <w:tab w:val="right" w:pos="8838"/>
                  </w:tabs>
                  <w:ind w:left="-113" w:right="1318"/>
                  <w:jc w:val="both"/>
                  <w:rPr>
                    <w:rFonts w:ascii="Palatino Linotype" w:eastAsia="Calibri" w:hAnsi="Palatino Linotype" w:cs="Tahoma"/>
                    <w:b/>
                    <w:sz w:val="22"/>
                    <w:szCs w:val="22"/>
                    <w:lang w:eastAsia="en-US"/>
                  </w:rPr>
                </w:pPr>
                <w:r>
                  <w:rPr>
                    <w:rFonts w:ascii="Palatino Linotype" w:eastAsia="Calibri" w:hAnsi="Palatino Linotype" w:cs="Arial"/>
                    <w:b/>
                    <w:sz w:val="22"/>
                    <w:szCs w:val="24"/>
                  </w:rPr>
                  <w:t>Ayuntamiento de Rayón</w:t>
                </w:r>
              </w:p>
            </w:tc>
          </w:tr>
          <w:bookmarkEnd w:id="27"/>
          <w:tr w:rsidR="00463BCB" w14:paraId="28CCE4E5" w14:textId="77777777" w:rsidTr="008306E4">
            <w:trPr>
              <w:trHeight w:val="283"/>
            </w:trPr>
            <w:tc>
              <w:tcPr>
                <w:tcW w:w="2551" w:type="dxa"/>
              </w:tcPr>
              <w:p w14:paraId="13EBF3BB" w14:textId="6E4ECE4B" w:rsidR="00463BCB" w:rsidRDefault="00463BC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463BCB" w:rsidRPr="00130842" w:rsidRDefault="00463BCB" w:rsidP="00187E51">
                <w:pPr>
                  <w:tabs>
                    <w:tab w:val="right" w:pos="8838"/>
                  </w:tabs>
                  <w:ind w:left="-11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r>
        </w:tbl>
        <w:p w14:paraId="5775EEC5" w14:textId="77777777" w:rsidR="00463BCB" w:rsidRDefault="00463BCB">
          <w:pPr>
            <w:tabs>
              <w:tab w:val="right" w:pos="8838"/>
            </w:tabs>
            <w:ind w:left="-28"/>
            <w:jc w:val="both"/>
            <w:rPr>
              <w:rFonts w:ascii="Arial" w:eastAsia="Calibri" w:hAnsi="Arial" w:cs="Arial"/>
              <w:b/>
              <w:sz w:val="22"/>
              <w:szCs w:val="22"/>
              <w:lang w:eastAsia="en-US"/>
            </w:rPr>
          </w:pPr>
        </w:p>
      </w:tc>
    </w:tr>
  </w:tbl>
  <w:p w14:paraId="07EF2D29" w14:textId="1620A8B4" w:rsidR="00463BCB" w:rsidRDefault="00860E7A"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alt="" style="position:absolute;margin-left:-104.3pt;margin-top:-133.1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p w14:paraId="0AE465A1" w14:textId="77777777" w:rsidR="00463BCB" w:rsidRDefault="00463BCB"/>
  <w:p w14:paraId="104386EF" w14:textId="77777777" w:rsidR="00463BCB" w:rsidRDefault="00463BCB"/>
  <w:p w14:paraId="60A3E393" w14:textId="77777777" w:rsidR="00463BCB" w:rsidRDefault="00463B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463BCB" w14:paraId="61517A1D" w14:textId="77777777" w:rsidTr="003A6126">
      <w:trPr>
        <w:trHeight w:val="1435"/>
      </w:trPr>
      <w:tc>
        <w:tcPr>
          <w:tcW w:w="1560" w:type="dxa"/>
          <w:shd w:val="clear" w:color="auto" w:fill="auto"/>
        </w:tcPr>
        <w:p w14:paraId="4B74E846" w14:textId="1E0D62B9" w:rsidR="00463BCB" w:rsidRDefault="00463BC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55" w:type="dxa"/>
            <w:tblInd w:w="1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4646"/>
            <w:gridCol w:w="3402"/>
          </w:tblGrid>
          <w:tr w:rsidR="00463BCB" w14:paraId="7F59E1EF" w14:textId="77777777" w:rsidTr="008306E4">
            <w:trPr>
              <w:trHeight w:val="144"/>
            </w:trPr>
            <w:tc>
              <w:tcPr>
                <w:tcW w:w="2407" w:type="dxa"/>
              </w:tcPr>
              <w:p w14:paraId="5EFF942E"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bookmarkStart w:id="28" w:name="_Hlk12526980"/>
                <w:r>
                  <w:rPr>
                    <w:rFonts w:ascii="Palatino Linotype" w:eastAsia="Calibri" w:hAnsi="Palatino Linotype" w:cs="Tahoma"/>
                    <w:b/>
                    <w:sz w:val="22"/>
                    <w:szCs w:val="22"/>
                    <w:lang w:eastAsia="en-US"/>
                  </w:rPr>
                  <w:t>Recurso de Revisión:</w:t>
                </w:r>
              </w:p>
            </w:tc>
            <w:tc>
              <w:tcPr>
                <w:tcW w:w="4646" w:type="dxa"/>
              </w:tcPr>
              <w:p w14:paraId="0DE47EE2" w14:textId="7EABD841" w:rsidR="00463BCB" w:rsidRPr="0000791B" w:rsidRDefault="00DB30D6" w:rsidP="00B93FF6">
                <w:pPr>
                  <w:tabs>
                    <w:tab w:val="right" w:pos="8838"/>
                  </w:tabs>
                  <w:ind w:left="-3" w:right="-105"/>
                  <w:jc w:val="both"/>
                  <w:rPr>
                    <w:rFonts w:ascii="Palatino Linotype" w:eastAsia="Calibri" w:hAnsi="Palatino Linotype" w:cs="Tahoma"/>
                    <w:sz w:val="22"/>
                    <w:szCs w:val="22"/>
                    <w:lang w:eastAsia="en-US"/>
                  </w:rPr>
                </w:pPr>
                <w:r>
                  <w:rPr>
                    <w:rFonts w:ascii="Palatino Linotype" w:hAnsi="Palatino Linotype" w:cs="Arial"/>
                    <w:b/>
                    <w:sz w:val="22"/>
                    <w:szCs w:val="24"/>
                  </w:rPr>
                  <w:t>0</w:t>
                </w:r>
                <w:r w:rsidR="00080DD7">
                  <w:rPr>
                    <w:rFonts w:ascii="Palatino Linotype" w:hAnsi="Palatino Linotype" w:cs="Arial"/>
                    <w:b/>
                    <w:sz w:val="22"/>
                    <w:szCs w:val="24"/>
                  </w:rPr>
                  <w:t>7568</w:t>
                </w:r>
                <w:r w:rsidR="00463BCB" w:rsidRPr="004934A5">
                  <w:rPr>
                    <w:rFonts w:ascii="Palatino Linotype" w:eastAsia="Calibri" w:hAnsi="Palatino Linotype" w:cs="Tahoma"/>
                    <w:b/>
                    <w:sz w:val="22"/>
                    <w:lang w:eastAsia="en-US"/>
                  </w:rPr>
                  <w:t>/INFOEM</w:t>
                </w:r>
                <w:r w:rsidR="00D11ED5">
                  <w:rPr>
                    <w:rFonts w:ascii="Palatino Linotype" w:eastAsia="Calibri" w:hAnsi="Palatino Linotype" w:cs="Tahoma"/>
                    <w:b/>
                    <w:sz w:val="22"/>
                    <w:lang w:eastAsia="en-US"/>
                  </w:rPr>
                  <w:t>/ICR-</w:t>
                </w:r>
                <w:r w:rsidR="00080DD7">
                  <w:rPr>
                    <w:rFonts w:ascii="Palatino Linotype" w:eastAsia="Calibri" w:hAnsi="Palatino Linotype" w:cs="Tahoma"/>
                    <w:b/>
                    <w:sz w:val="22"/>
                    <w:lang w:eastAsia="en-US"/>
                  </w:rPr>
                  <w:t>08/IP/RR/2024</w:t>
                </w:r>
              </w:p>
            </w:tc>
            <w:tc>
              <w:tcPr>
                <w:tcW w:w="3402" w:type="dxa"/>
              </w:tcPr>
              <w:p w14:paraId="11E4533C" w14:textId="3B21362A" w:rsidR="00463BCB" w:rsidRDefault="00463BCB">
                <w:pPr>
                  <w:tabs>
                    <w:tab w:val="right" w:pos="8838"/>
                  </w:tabs>
                  <w:ind w:left="-74" w:right="-105"/>
                  <w:jc w:val="both"/>
                  <w:rPr>
                    <w:rFonts w:ascii="Palatino Linotype" w:eastAsia="Calibri" w:hAnsi="Palatino Linotype" w:cs="Tahoma"/>
                    <w:bCs/>
                    <w:sz w:val="22"/>
                    <w:szCs w:val="22"/>
                    <w:lang w:eastAsia="en-US"/>
                  </w:rPr>
                </w:pPr>
              </w:p>
            </w:tc>
          </w:tr>
          <w:tr w:rsidR="00463BCB" w14:paraId="3FC4FA7D" w14:textId="77777777" w:rsidTr="008306E4">
            <w:trPr>
              <w:trHeight w:val="144"/>
            </w:trPr>
            <w:tc>
              <w:tcPr>
                <w:tcW w:w="2407" w:type="dxa"/>
              </w:tcPr>
              <w:p w14:paraId="363D966B"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bookmarkStart w:id="29" w:name="_Hlk10641523"/>
                <w:bookmarkEnd w:id="28"/>
                <w:r>
                  <w:rPr>
                    <w:rFonts w:ascii="Palatino Linotype" w:eastAsia="Calibri" w:hAnsi="Palatino Linotype" w:cs="Tahoma"/>
                    <w:b/>
                    <w:sz w:val="22"/>
                    <w:szCs w:val="22"/>
                    <w:lang w:eastAsia="en-US"/>
                  </w:rPr>
                  <w:t>Recurrente:</w:t>
                </w:r>
              </w:p>
            </w:tc>
            <w:tc>
              <w:tcPr>
                <w:tcW w:w="4646" w:type="dxa"/>
              </w:tcPr>
              <w:p w14:paraId="73C065CD" w14:textId="014276D0" w:rsidR="00463BCB" w:rsidRPr="00427E2F" w:rsidRDefault="00AA64EC" w:rsidP="00080DD7">
                <w:pPr>
                  <w:tabs>
                    <w:tab w:val="left" w:pos="3122"/>
                    <w:tab w:val="right" w:pos="8838"/>
                  </w:tabs>
                  <w:ind w:right="1457"/>
                  <w:jc w:val="both"/>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XXXX</w:t>
                </w:r>
              </w:p>
            </w:tc>
            <w:tc>
              <w:tcPr>
                <w:tcW w:w="3402" w:type="dxa"/>
              </w:tcPr>
              <w:p w14:paraId="370E6EFF" w14:textId="3B7EABB6" w:rsidR="00463BCB" w:rsidRDefault="00463BCB" w:rsidP="003037E1">
                <w:pPr>
                  <w:tabs>
                    <w:tab w:val="left" w:pos="3122"/>
                    <w:tab w:val="right" w:pos="8838"/>
                  </w:tabs>
                  <w:ind w:right="-105"/>
                  <w:jc w:val="both"/>
                  <w:rPr>
                    <w:rFonts w:ascii="Palatino Linotype" w:eastAsia="Calibri" w:hAnsi="Palatino Linotype" w:cs="Tahoma"/>
                    <w:sz w:val="22"/>
                    <w:szCs w:val="22"/>
                    <w:lang w:eastAsia="en-US"/>
                  </w:rPr>
                </w:pPr>
              </w:p>
            </w:tc>
          </w:tr>
          <w:bookmarkEnd w:id="29"/>
          <w:tr w:rsidR="00463BCB" w14:paraId="4D832A43" w14:textId="77777777" w:rsidTr="008306E4">
            <w:trPr>
              <w:trHeight w:val="283"/>
            </w:trPr>
            <w:tc>
              <w:tcPr>
                <w:tcW w:w="2407" w:type="dxa"/>
              </w:tcPr>
              <w:p w14:paraId="02CA5CB0"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3CFF9246" w:rsidR="00463BCB" w:rsidRPr="00130842" w:rsidRDefault="00080DD7" w:rsidP="00CA3902">
                <w:pPr>
                  <w:tabs>
                    <w:tab w:val="left" w:pos="2834"/>
                    <w:tab w:val="right" w:pos="8838"/>
                  </w:tabs>
                  <w:ind w:left="-3" w:right="1315"/>
                  <w:jc w:val="both"/>
                  <w:rPr>
                    <w:rFonts w:ascii="Palatino Linotype" w:eastAsia="Calibri" w:hAnsi="Palatino Linotype" w:cs="Tahoma"/>
                    <w:b/>
                    <w:sz w:val="22"/>
                    <w:szCs w:val="22"/>
                    <w:lang w:eastAsia="en-US"/>
                  </w:rPr>
                </w:pPr>
                <w:r>
                  <w:rPr>
                    <w:rFonts w:ascii="Palatino Linotype" w:eastAsia="Calibri" w:hAnsi="Palatino Linotype" w:cs="Arial"/>
                    <w:b/>
                    <w:sz w:val="22"/>
                    <w:szCs w:val="24"/>
                  </w:rPr>
                  <w:t>Ayuntamiento de Rayón</w:t>
                </w:r>
              </w:p>
            </w:tc>
            <w:tc>
              <w:tcPr>
                <w:tcW w:w="3402" w:type="dxa"/>
              </w:tcPr>
              <w:p w14:paraId="00F18B8C" w14:textId="77777777" w:rsidR="00463BCB" w:rsidRDefault="00463BCB">
                <w:pPr>
                  <w:tabs>
                    <w:tab w:val="left" w:pos="2834"/>
                    <w:tab w:val="right" w:pos="8838"/>
                  </w:tabs>
                  <w:ind w:left="-74" w:right="-105"/>
                  <w:jc w:val="both"/>
                  <w:rPr>
                    <w:rFonts w:ascii="Palatino Linotype" w:eastAsia="Calibri" w:hAnsi="Palatino Linotype" w:cs="Tahoma"/>
                    <w:sz w:val="22"/>
                    <w:szCs w:val="22"/>
                    <w:lang w:eastAsia="en-US"/>
                  </w:rPr>
                </w:pPr>
              </w:p>
            </w:tc>
          </w:tr>
          <w:tr w:rsidR="00463BCB" w14:paraId="7BC74D7A" w14:textId="77777777" w:rsidTr="008306E4">
            <w:trPr>
              <w:trHeight w:val="283"/>
            </w:trPr>
            <w:tc>
              <w:tcPr>
                <w:tcW w:w="2407" w:type="dxa"/>
              </w:tcPr>
              <w:p w14:paraId="3BF93338" w14:textId="01E84F2D" w:rsidR="00463BCB" w:rsidRDefault="00463BC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463BCB" w:rsidRPr="00130842" w:rsidRDefault="00463BCB" w:rsidP="003037E1">
                <w:pPr>
                  <w:tabs>
                    <w:tab w:val="right" w:pos="8838"/>
                  </w:tabs>
                  <w:ind w:left="-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c>
              <w:tcPr>
                <w:tcW w:w="3402" w:type="dxa"/>
              </w:tcPr>
              <w:p w14:paraId="6DBCB70D" w14:textId="77777777" w:rsidR="00463BCB" w:rsidRDefault="00463BCB">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463BCB" w:rsidRDefault="00463BCB">
          <w:pPr>
            <w:tabs>
              <w:tab w:val="right" w:pos="8838"/>
            </w:tabs>
            <w:ind w:left="-28"/>
            <w:jc w:val="both"/>
            <w:rPr>
              <w:rFonts w:ascii="Arial" w:eastAsia="Calibri" w:hAnsi="Arial" w:cs="Arial"/>
              <w:b/>
              <w:sz w:val="22"/>
              <w:szCs w:val="22"/>
              <w:lang w:eastAsia="en-US"/>
            </w:rPr>
          </w:pPr>
        </w:p>
      </w:tc>
    </w:tr>
  </w:tbl>
  <w:p w14:paraId="5F654A99" w14:textId="6CB7D4AE" w:rsidR="00463BCB" w:rsidRDefault="00860E7A"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alt="" style="position:absolute;margin-left:-75.8pt;margin-top:-134.3pt;width:663.5pt;height:12in;z-index:-251658240;mso-wrap-edited:f;mso-width-percent:0;mso-height-percent:0;mso-position-horizontal-relative:margin;mso-position-vertical-relative:margin;mso-width-percent:0;mso-height-percent:0" o:allowincell="f">
          <v:imagedata r:id="rId1" o:title="marcaaguaINFOEM"/>
          <w10:wrap anchorx="margin" anchory="margin"/>
        </v:shape>
      </w:pict>
    </w:r>
  </w:p>
  <w:p w14:paraId="673BC59D" w14:textId="77777777" w:rsidR="00463BCB" w:rsidRDefault="00463BCB"/>
  <w:p w14:paraId="69AC6122" w14:textId="77777777" w:rsidR="00463BCB" w:rsidRDefault="00463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9A64A2B"/>
    <w:multiLevelType w:val="hybridMultilevel"/>
    <w:tmpl w:val="10A00A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C3412C"/>
    <w:multiLevelType w:val="hybridMultilevel"/>
    <w:tmpl w:val="9814E382"/>
    <w:lvl w:ilvl="0" w:tplc="B1FCA7B0">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43D48"/>
    <w:multiLevelType w:val="hybridMultilevel"/>
    <w:tmpl w:val="61B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CC4AE1"/>
    <w:multiLevelType w:val="multilevel"/>
    <w:tmpl w:val="9E22F006"/>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93456"/>
    <w:multiLevelType w:val="hybridMultilevel"/>
    <w:tmpl w:val="FD3EF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EB0FDC"/>
    <w:multiLevelType w:val="hybridMultilevel"/>
    <w:tmpl w:val="4948E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4A500E"/>
    <w:multiLevelType w:val="hybridMultilevel"/>
    <w:tmpl w:val="622ED5C2"/>
    <w:lvl w:ilvl="0" w:tplc="BEE8439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7"/>
  </w:num>
  <w:num w:numId="8">
    <w:abstractNumId w:val="9"/>
  </w:num>
  <w:num w:numId="9">
    <w:abstractNumId w:val="8"/>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0DD7"/>
    <w:rsid w:val="000813B0"/>
    <w:rsid w:val="0008148B"/>
    <w:rsid w:val="00082026"/>
    <w:rsid w:val="000827E1"/>
    <w:rsid w:val="00082B18"/>
    <w:rsid w:val="00084E6C"/>
    <w:rsid w:val="00085304"/>
    <w:rsid w:val="0009197A"/>
    <w:rsid w:val="00092184"/>
    <w:rsid w:val="00092475"/>
    <w:rsid w:val="00092518"/>
    <w:rsid w:val="000932E2"/>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6A9"/>
    <w:rsid w:val="000A7211"/>
    <w:rsid w:val="000A77A3"/>
    <w:rsid w:val="000A7DBC"/>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274D"/>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D14"/>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709"/>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5F48"/>
    <w:rsid w:val="002260D8"/>
    <w:rsid w:val="002275FF"/>
    <w:rsid w:val="00230421"/>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429"/>
    <w:rsid w:val="0025469C"/>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BAC"/>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3F45"/>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53BB"/>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476C2"/>
    <w:rsid w:val="00350142"/>
    <w:rsid w:val="00350D3D"/>
    <w:rsid w:val="00352BAE"/>
    <w:rsid w:val="003535F4"/>
    <w:rsid w:val="00353724"/>
    <w:rsid w:val="00353B6D"/>
    <w:rsid w:val="00354920"/>
    <w:rsid w:val="00355DC6"/>
    <w:rsid w:val="00357700"/>
    <w:rsid w:val="003604D7"/>
    <w:rsid w:val="00360D94"/>
    <w:rsid w:val="00361176"/>
    <w:rsid w:val="0036164E"/>
    <w:rsid w:val="0036194F"/>
    <w:rsid w:val="00361B4C"/>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4B6"/>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6A02"/>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861"/>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61"/>
    <w:rsid w:val="004356F7"/>
    <w:rsid w:val="00436FD3"/>
    <w:rsid w:val="00437789"/>
    <w:rsid w:val="004406CF"/>
    <w:rsid w:val="004417F6"/>
    <w:rsid w:val="00441804"/>
    <w:rsid w:val="004435B4"/>
    <w:rsid w:val="00443A63"/>
    <w:rsid w:val="004448B0"/>
    <w:rsid w:val="00444B20"/>
    <w:rsid w:val="0044550A"/>
    <w:rsid w:val="00447F7D"/>
    <w:rsid w:val="00451065"/>
    <w:rsid w:val="004528B2"/>
    <w:rsid w:val="0045504F"/>
    <w:rsid w:val="00456223"/>
    <w:rsid w:val="00460032"/>
    <w:rsid w:val="0046048A"/>
    <w:rsid w:val="00460BA0"/>
    <w:rsid w:val="00463AE9"/>
    <w:rsid w:val="00463BCB"/>
    <w:rsid w:val="00463D81"/>
    <w:rsid w:val="004641EB"/>
    <w:rsid w:val="00465ADC"/>
    <w:rsid w:val="00465C75"/>
    <w:rsid w:val="00466346"/>
    <w:rsid w:val="00466604"/>
    <w:rsid w:val="00467E2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CDC"/>
    <w:rsid w:val="004E7DB7"/>
    <w:rsid w:val="004F1A6A"/>
    <w:rsid w:val="004F26BE"/>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676E"/>
    <w:rsid w:val="005178F8"/>
    <w:rsid w:val="00520212"/>
    <w:rsid w:val="005220BE"/>
    <w:rsid w:val="00522CC8"/>
    <w:rsid w:val="005244D0"/>
    <w:rsid w:val="005248FB"/>
    <w:rsid w:val="00526575"/>
    <w:rsid w:val="00526A69"/>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3A55"/>
    <w:rsid w:val="005B5CB1"/>
    <w:rsid w:val="005B5CC4"/>
    <w:rsid w:val="005B6585"/>
    <w:rsid w:val="005B6854"/>
    <w:rsid w:val="005B7D18"/>
    <w:rsid w:val="005B7EA6"/>
    <w:rsid w:val="005C1943"/>
    <w:rsid w:val="005C2452"/>
    <w:rsid w:val="005C2FFD"/>
    <w:rsid w:val="005C37A0"/>
    <w:rsid w:val="005C3851"/>
    <w:rsid w:val="005C4034"/>
    <w:rsid w:val="005C4458"/>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00F"/>
    <w:rsid w:val="005E1EE5"/>
    <w:rsid w:val="005E37E9"/>
    <w:rsid w:val="005E4B8C"/>
    <w:rsid w:val="005E50A8"/>
    <w:rsid w:val="005E512C"/>
    <w:rsid w:val="005E5C96"/>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1BB"/>
    <w:rsid w:val="00641804"/>
    <w:rsid w:val="006418ED"/>
    <w:rsid w:val="00641C5F"/>
    <w:rsid w:val="00642A9E"/>
    <w:rsid w:val="00642B13"/>
    <w:rsid w:val="006431FF"/>
    <w:rsid w:val="0064345F"/>
    <w:rsid w:val="00643C2B"/>
    <w:rsid w:val="00645F7D"/>
    <w:rsid w:val="00646100"/>
    <w:rsid w:val="006476CA"/>
    <w:rsid w:val="006544EC"/>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91B"/>
    <w:rsid w:val="00687C4D"/>
    <w:rsid w:val="00691804"/>
    <w:rsid w:val="00691B69"/>
    <w:rsid w:val="00692778"/>
    <w:rsid w:val="00692F47"/>
    <w:rsid w:val="00693AAD"/>
    <w:rsid w:val="00693BD3"/>
    <w:rsid w:val="00693C8E"/>
    <w:rsid w:val="006969BA"/>
    <w:rsid w:val="00696C0F"/>
    <w:rsid w:val="00697028"/>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44D"/>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15"/>
    <w:rsid w:val="006C7293"/>
    <w:rsid w:val="006C7760"/>
    <w:rsid w:val="006C7776"/>
    <w:rsid w:val="006C79C0"/>
    <w:rsid w:val="006C7EEA"/>
    <w:rsid w:val="006D052F"/>
    <w:rsid w:val="006D07CA"/>
    <w:rsid w:val="006D1DEB"/>
    <w:rsid w:val="006D1F0C"/>
    <w:rsid w:val="006D233A"/>
    <w:rsid w:val="006D3563"/>
    <w:rsid w:val="006D3646"/>
    <w:rsid w:val="006D522C"/>
    <w:rsid w:val="006D56A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2620"/>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44DE"/>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4367"/>
    <w:rsid w:val="007F5179"/>
    <w:rsid w:val="007F56C5"/>
    <w:rsid w:val="007F7004"/>
    <w:rsid w:val="0080056E"/>
    <w:rsid w:val="00801457"/>
    <w:rsid w:val="00801BCE"/>
    <w:rsid w:val="00801E7D"/>
    <w:rsid w:val="00802515"/>
    <w:rsid w:val="00802FAC"/>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06E4"/>
    <w:rsid w:val="008315CE"/>
    <w:rsid w:val="008336A5"/>
    <w:rsid w:val="00833DE9"/>
    <w:rsid w:val="00835474"/>
    <w:rsid w:val="00836DF1"/>
    <w:rsid w:val="008373C0"/>
    <w:rsid w:val="0084105A"/>
    <w:rsid w:val="0084145F"/>
    <w:rsid w:val="00841DA2"/>
    <w:rsid w:val="00843890"/>
    <w:rsid w:val="00844685"/>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0E7A"/>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1BD"/>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551"/>
    <w:rsid w:val="00953EDC"/>
    <w:rsid w:val="00953FF0"/>
    <w:rsid w:val="00954950"/>
    <w:rsid w:val="009566A5"/>
    <w:rsid w:val="009575EC"/>
    <w:rsid w:val="00960346"/>
    <w:rsid w:val="009617D3"/>
    <w:rsid w:val="009629BE"/>
    <w:rsid w:val="00962C63"/>
    <w:rsid w:val="00964061"/>
    <w:rsid w:val="0096463B"/>
    <w:rsid w:val="0096488E"/>
    <w:rsid w:val="00965001"/>
    <w:rsid w:val="00967869"/>
    <w:rsid w:val="0096796E"/>
    <w:rsid w:val="00967DA5"/>
    <w:rsid w:val="00971A46"/>
    <w:rsid w:val="00971BAD"/>
    <w:rsid w:val="00971BF7"/>
    <w:rsid w:val="00971F24"/>
    <w:rsid w:val="00971F54"/>
    <w:rsid w:val="009725C5"/>
    <w:rsid w:val="00972AEA"/>
    <w:rsid w:val="00972B4E"/>
    <w:rsid w:val="00973F40"/>
    <w:rsid w:val="00976653"/>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BD4"/>
    <w:rsid w:val="009A3F45"/>
    <w:rsid w:val="009A54B4"/>
    <w:rsid w:val="009A620E"/>
    <w:rsid w:val="009A6606"/>
    <w:rsid w:val="009A6658"/>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7062"/>
    <w:rsid w:val="009E70E7"/>
    <w:rsid w:val="009F0722"/>
    <w:rsid w:val="009F2492"/>
    <w:rsid w:val="009F25A8"/>
    <w:rsid w:val="009F2E07"/>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2A4B"/>
    <w:rsid w:val="00A64F18"/>
    <w:rsid w:val="00A667BD"/>
    <w:rsid w:val="00A66808"/>
    <w:rsid w:val="00A6697B"/>
    <w:rsid w:val="00A67022"/>
    <w:rsid w:val="00A67F68"/>
    <w:rsid w:val="00A719AA"/>
    <w:rsid w:val="00A73DE3"/>
    <w:rsid w:val="00A74C2D"/>
    <w:rsid w:val="00A74D33"/>
    <w:rsid w:val="00A7564A"/>
    <w:rsid w:val="00A76B34"/>
    <w:rsid w:val="00A8015B"/>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4EC"/>
    <w:rsid w:val="00AA6CCD"/>
    <w:rsid w:val="00AA7F48"/>
    <w:rsid w:val="00AB0073"/>
    <w:rsid w:val="00AB010D"/>
    <w:rsid w:val="00AB0749"/>
    <w:rsid w:val="00AB273B"/>
    <w:rsid w:val="00AB4D16"/>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0F3E"/>
    <w:rsid w:val="00AF19F2"/>
    <w:rsid w:val="00AF28C8"/>
    <w:rsid w:val="00AF3B03"/>
    <w:rsid w:val="00AF4C29"/>
    <w:rsid w:val="00AF51A8"/>
    <w:rsid w:val="00AF6432"/>
    <w:rsid w:val="00AF6D3D"/>
    <w:rsid w:val="00AF6DED"/>
    <w:rsid w:val="00AF7502"/>
    <w:rsid w:val="00AF79BD"/>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343"/>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3803"/>
    <w:rsid w:val="00BC4DAC"/>
    <w:rsid w:val="00BC6FDD"/>
    <w:rsid w:val="00BC732A"/>
    <w:rsid w:val="00BC758B"/>
    <w:rsid w:val="00BD19EB"/>
    <w:rsid w:val="00BD2EAC"/>
    <w:rsid w:val="00BD4059"/>
    <w:rsid w:val="00BD455F"/>
    <w:rsid w:val="00BD4617"/>
    <w:rsid w:val="00BD4BB3"/>
    <w:rsid w:val="00BD782A"/>
    <w:rsid w:val="00BD798E"/>
    <w:rsid w:val="00BD7991"/>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0B51"/>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20A16"/>
    <w:rsid w:val="00C20C00"/>
    <w:rsid w:val="00C210FD"/>
    <w:rsid w:val="00C22183"/>
    <w:rsid w:val="00C22859"/>
    <w:rsid w:val="00C22901"/>
    <w:rsid w:val="00C25238"/>
    <w:rsid w:val="00C26B6F"/>
    <w:rsid w:val="00C2734F"/>
    <w:rsid w:val="00C305F2"/>
    <w:rsid w:val="00C31AF4"/>
    <w:rsid w:val="00C32A89"/>
    <w:rsid w:val="00C3345C"/>
    <w:rsid w:val="00C3426A"/>
    <w:rsid w:val="00C36BB3"/>
    <w:rsid w:val="00C40653"/>
    <w:rsid w:val="00C407E5"/>
    <w:rsid w:val="00C40BD0"/>
    <w:rsid w:val="00C41BDB"/>
    <w:rsid w:val="00C41F64"/>
    <w:rsid w:val="00C42DAC"/>
    <w:rsid w:val="00C4342B"/>
    <w:rsid w:val="00C436E3"/>
    <w:rsid w:val="00C443B2"/>
    <w:rsid w:val="00C44666"/>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0899"/>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3BF1"/>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1B7"/>
    <w:rsid w:val="00CE0A60"/>
    <w:rsid w:val="00CE0DCE"/>
    <w:rsid w:val="00CE1B6A"/>
    <w:rsid w:val="00CE1BC9"/>
    <w:rsid w:val="00CE321D"/>
    <w:rsid w:val="00CE33C1"/>
    <w:rsid w:val="00CE4DD6"/>
    <w:rsid w:val="00CE597A"/>
    <w:rsid w:val="00CE6484"/>
    <w:rsid w:val="00CE6763"/>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1ED5"/>
    <w:rsid w:val="00D1202D"/>
    <w:rsid w:val="00D1276A"/>
    <w:rsid w:val="00D131D5"/>
    <w:rsid w:val="00D143C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2C28"/>
    <w:rsid w:val="00D53731"/>
    <w:rsid w:val="00D538C7"/>
    <w:rsid w:val="00D54BD5"/>
    <w:rsid w:val="00D5620B"/>
    <w:rsid w:val="00D57154"/>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30D6"/>
    <w:rsid w:val="00DB42F5"/>
    <w:rsid w:val="00DB469A"/>
    <w:rsid w:val="00DB4B8A"/>
    <w:rsid w:val="00DB52C3"/>
    <w:rsid w:val="00DB5454"/>
    <w:rsid w:val="00DB5DA3"/>
    <w:rsid w:val="00DB7E5F"/>
    <w:rsid w:val="00DC002E"/>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16AD"/>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009"/>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7969"/>
    <w:rsid w:val="00F016F0"/>
    <w:rsid w:val="00F02171"/>
    <w:rsid w:val="00F0260C"/>
    <w:rsid w:val="00F03228"/>
    <w:rsid w:val="00F033EF"/>
    <w:rsid w:val="00F04076"/>
    <w:rsid w:val="00F04A6E"/>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EA0"/>
    <w:rsid w:val="00FB4A57"/>
    <w:rsid w:val="00FB4DC3"/>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1975219">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22564886">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22521928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88774949">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23A3F-3024-46CC-A001-34A771D9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4105</Words>
  <Characters>22578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Cuenta Microsoft</cp:lastModifiedBy>
  <cp:revision>5</cp:revision>
  <cp:lastPrinted>2025-03-13T17:11:00Z</cp:lastPrinted>
  <dcterms:created xsi:type="dcterms:W3CDTF">2025-03-10T19:00:00Z</dcterms:created>
  <dcterms:modified xsi:type="dcterms:W3CDTF">2025-04-01T17:58:00Z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