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51156"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veintinueve de enero de dos mil veinticinco. </w:t>
      </w:r>
    </w:p>
    <w:p w14:paraId="7B26F923"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130BF4F" w14:textId="1EC2501A"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Visto</w:t>
      </w:r>
      <w:r w:rsidRPr="00795960">
        <w:rPr>
          <w:rFonts w:ascii="Palatino Linotype" w:eastAsia="Palatino Linotype" w:hAnsi="Palatino Linotype" w:cs="Palatino Linotype"/>
          <w:sz w:val="22"/>
          <w:szCs w:val="22"/>
        </w:rPr>
        <w:t xml:space="preserve"> el expediente relativo al recurso de revisión </w:t>
      </w:r>
      <w:r w:rsidRPr="00795960">
        <w:rPr>
          <w:rFonts w:ascii="Palatino Linotype" w:eastAsia="Palatino Linotype" w:hAnsi="Palatino Linotype" w:cs="Palatino Linotype"/>
          <w:b/>
          <w:sz w:val="22"/>
          <w:szCs w:val="22"/>
        </w:rPr>
        <w:t>07684/INFOEM/IP/RR/2024</w:t>
      </w:r>
      <w:r w:rsidRPr="00795960">
        <w:rPr>
          <w:rFonts w:ascii="Palatino Linotype" w:eastAsia="Palatino Linotype" w:hAnsi="Palatino Linotype" w:cs="Palatino Linotype"/>
          <w:sz w:val="22"/>
          <w:szCs w:val="22"/>
        </w:rPr>
        <w:t xml:space="preserve">, interpuesto por el </w:t>
      </w:r>
      <w:r w:rsidRPr="00795960">
        <w:rPr>
          <w:rFonts w:ascii="Palatino Linotype" w:eastAsia="Palatino Linotype" w:hAnsi="Palatino Linotype" w:cs="Palatino Linotype"/>
          <w:b/>
          <w:sz w:val="22"/>
          <w:szCs w:val="22"/>
        </w:rPr>
        <w:t xml:space="preserve">C. </w:t>
      </w:r>
      <w:r w:rsidR="000947C9" w:rsidRPr="000947C9">
        <w:rPr>
          <w:rFonts w:ascii="Palatino Linotype" w:eastAsia="Palatino Linotype" w:hAnsi="Palatino Linotype" w:cs="Palatino Linotype"/>
          <w:b/>
          <w:sz w:val="22"/>
          <w:szCs w:val="22"/>
        </w:rPr>
        <w:t>XXXXX XXXXXXX XXXXX XXXXXXXX</w:t>
      </w:r>
      <w:r w:rsidRPr="00795960">
        <w:rPr>
          <w:rFonts w:ascii="Palatino Linotype" w:eastAsia="Palatino Linotype" w:hAnsi="Palatino Linotype" w:cs="Palatino Linotype"/>
          <w:b/>
          <w:sz w:val="22"/>
          <w:szCs w:val="22"/>
        </w:rPr>
        <w:t xml:space="preserve">, </w:t>
      </w:r>
      <w:r w:rsidRPr="00795960">
        <w:rPr>
          <w:rFonts w:ascii="Palatino Linotype" w:eastAsia="Palatino Linotype" w:hAnsi="Palatino Linotype" w:cs="Palatino Linotype"/>
          <w:sz w:val="22"/>
          <w:szCs w:val="22"/>
        </w:rPr>
        <w:t>en lo sucesivo se le denominará la parte</w:t>
      </w:r>
      <w:r w:rsidRPr="00795960">
        <w:rPr>
          <w:rFonts w:ascii="Palatino Linotype" w:eastAsia="Palatino Linotype" w:hAnsi="Palatino Linotype" w:cs="Palatino Linotype"/>
          <w:b/>
          <w:sz w:val="22"/>
          <w:szCs w:val="22"/>
        </w:rPr>
        <w:t xml:space="preserve"> Recurrente</w:t>
      </w:r>
      <w:r w:rsidRPr="00795960">
        <w:rPr>
          <w:rFonts w:ascii="Palatino Linotype" w:eastAsia="Palatino Linotype" w:hAnsi="Palatino Linotype" w:cs="Palatino Linotype"/>
          <w:sz w:val="22"/>
          <w:szCs w:val="22"/>
        </w:rPr>
        <w:t>, en contra de la respuesta a su solicitud de información con número de folio</w:t>
      </w:r>
      <w:r w:rsidRPr="00795960">
        <w:rPr>
          <w:rFonts w:ascii="Palatino Linotype" w:eastAsia="Palatino Linotype" w:hAnsi="Palatino Linotype" w:cs="Palatino Linotype"/>
          <w:b/>
          <w:sz w:val="22"/>
          <w:szCs w:val="22"/>
        </w:rPr>
        <w:t xml:space="preserve"> 00323/HUIXQUIL/IP/2024</w:t>
      </w:r>
      <w:r w:rsidRPr="00795960">
        <w:rPr>
          <w:rFonts w:ascii="Palatino Linotype" w:eastAsia="Palatino Linotype" w:hAnsi="Palatino Linotype" w:cs="Palatino Linotype"/>
          <w:sz w:val="22"/>
          <w:szCs w:val="22"/>
        </w:rPr>
        <w:t xml:space="preserve">, por parte del </w:t>
      </w:r>
      <w:r w:rsidRPr="00795960">
        <w:rPr>
          <w:rFonts w:ascii="Palatino Linotype" w:eastAsia="Palatino Linotype" w:hAnsi="Palatino Linotype" w:cs="Palatino Linotype"/>
          <w:b/>
          <w:sz w:val="22"/>
          <w:szCs w:val="22"/>
        </w:rPr>
        <w:t xml:space="preserve">Ayuntamiento de Huixquilucan </w:t>
      </w:r>
      <w:r w:rsidRPr="00795960">
        <w:rPr>
          <w:rFonts w:ascii="Palatino Linotype" w:eastAsia="Palatino Linotype" w:hAnsi="Palatino Linotype" w:cs="Palatino Linotype"/>
          <w:sz w:val="22"/>
          <w:szCs w:val="22"/>
        </w:rPr>
        <w:t xml:space="preserve">en lo sucesivo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w:t>
      </w:r>
      <w:r w:rsidRPr="00795960">
        <w:rPr>
          <w:rFonts w:ascii="Palatino Linotype" w:eastAsia="Palatino Linotype" w:hAnsi="Palatino Linotype" w:cs="Palatino Linotype"/>
          <w:b/>
          <w:sz w:val="22"/>
          <w:szCs w:val="22"/>
        </w:rPr>
        <w:t xml:space="preserve"> </w:t>
      </w:r>
      <w:r w:rsidRPr="00795960">
        <w:rPr>
          <w:rFonts w:ascii="Palatino Linotype" w:eastAsia="Palatino Linotype" w:hAnsi="Palatino Linotype" w:cs="Palatino Linotype"/>
          <w:sz w:val="22"/>
          <w:szCs w:val="22"/>
        </w:rPr>
        <w:t>se procede a dictar la presente resolución, con base en los siguientes:</w:t>
      </w:r>
    </w:p>
    <w:p w14:paraId="6627FC75" w14:textId="77777777" w:rsidR="00CB0D47" w:rsidRPr="00795960" w:rsidRDefault="00CF22F4">
      <w:pPr>
        <w:numPr>
          <w:ilvl w:val="0"/>
          <w:numId w:val="10"/>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795960">
        <w:rPr>
          <w:rFonts w:ascii="Palatino Linotype" w:eastAsia="Palatino Linotype" w:hAnsi="Palatino Linotype" w:cs="Palatino Linotype"/>
          <w:b/>
          <w:sz w:val="22"/>
          <w:szCs w:val="22"/>
        </w:rPr>
        <w:t>A N T E C E D E N T E S:</w:t>
      </w:r>
    </w:p>
    <w:p w14:paraId="270D0EA4" w14:textId="77777777" w:rsidR="00CB0D47" w:rsidRPr="00795960" w:rsidRDefault="00CB0D4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AF75FE7" w14:textId="77777777" w:rsidR="00CB0D47" w:rsidRPr="00795960" w:rsidRDefault="00CF22F4">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95960">
        <w:rPr>
          <w:rFonts w:ascii="Palatino Linotype" w:eastAsia="Palatino Linotype" w:hAnsi="Palatino Linotype" w:cs="Palatino Linotype"/>
          <w:b/>
          <w:sz w:val="22"/>
          <w:szCs w:val="22"/>
        </w:rPr>
        <w:t xml:space="preserve">Solicitud de acceso a la información. </w:t>
      </w:r>
      <w:r w:rsidRPr="00795960">
        <w:rPr>
          <w:rFonts w:ascii="Palatino Linotype" w:eastAsia="Palatino Linotype" w:hAnsi="Palatino Linotype" w:cs="Palatino Linotype"/>
          <w:sz w:val="22"/>
          <w:szCs w:val="22"/>
        </w:rPr>
        <w:t xml:space="preserve">Con fecha </w:t>
      </w:r>
      <w:r w:rsidRPr="00795960">
        <w:rPr>
          <w:rFonts w:ascii="Palatino Linotype" w:eastAsia="Palatino Linotype" w:hAnsi="Palatino Linotype" w:cs="Palatino Linotype"/>
          <w:b/>
          <w:sz w:val="22"/>
          <w:szCs w:val="22"/>
        </w:rPr>
        <w:t>doce de noviembre de dos mil veinticuatro</w:t>
      </w:r>
      <w:r w:rsidRPr="00795960">
        <w:rPr>
          <w:rFonts w:ascii="Palatino Linotype" w:eastAsia="Palatino Linotype" w:hAnsi="Palatino Linotype" w:cs="Palatino Linotype"/>
          <w:sz w:val="22"/>
          <w:szCs w:val="22"/>
        </w:rPr>
        <w:t xml:space="preserve">,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formuló solicitud de acceso a información pública al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a través del Sistema de Acceso a la Información Mexiquense, en adelante </w:t>
      </w:r>
      <w:r w:rsidRPr="00795960">
        <w:rPr>
          <w:rFonts w:ascii="Palatino Linotype" w:eastAsia="Palatino Linotype" w:hAnsi="Palatino Linotype" w:cs="Palatino Linotype"/>
          <w:b/>
          <w:sz w:val="22"/>
          <w:szCs w:val="22"/>
        </w:rPr>
        <w:t>SAIMEX</w:t>
      </w:r>
      <w:r w:rsidRPr="00795960">
        <w:rPr>
          <w:rFonts w:ascii="Palatino Linotype" w:eastAsia="Palatino Linotype" w:hAnsi="Palatino Linotype" w:cs="Palatino Linotype"/>
          <w:sz w:val="22"/>
          <w:szCs w:val="22"/>
        </w:rPr>
        <w:t>, requiriéndole lo siguiente:</w:t>
      </w:r>
    </w:p>
    <w:p w14:paraId="3F26EED8"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3A5AAB6"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 conformidad al Articulo LXVII fracción D del Convenio de prestaciones de ley y colaterales 2023 celebrado entre el Ayuntamiento de Huixquilucan y el </w:t>
      </w:r>
      <w:proofErr w:type="spellStart"/>
      <w:r w:rsidRPr="00795960">
        <w:rPr>
          <w:rFonts w:ascii="Palatino Linotype" w:eastAsia="Palatino Linotype" w:hAnsi="Palatino Linotype" w:cs="Palatino Linotype"/>
          <w:i/>
          <w:sz w:val="22"/>
          <w:szCs w:val="22"/>
        </w:rPr>
        <w:t>Suteym</w:t>
      </w:r>
      <w:proofErr w:type="spellEnd"/>
      <w:r w:rsidRPr="00795960">
        <w:rPr>
          <w:rFonts w:ascii="Palatino Linotype" w:eastAsia="Palatino Linotype" w:hAnsi="Palatino Linotype" w:cs="Palatino Linotype"/>
          <w:i/>
          <w:sz w:val="22"/>
          <w:szCs w:val="22"/>
        </w:rPr>
        <w:t xml:space="preserve">, me permito solicitar las NOMINAS DE LAS QUINCENAS PRIMERA DE FEBRERO, SEGUNDA DE JULIO, SEGUNDA DE DICIEMBRE de los años 2020-2021-2022 y 2023, </w:t>
      </w:r>
      <w:proofErr w:type="spellStart"/>
      <w:r w:rsidRPr="00795960">
        <w:rPr>
          <w:rFonts w:ascii="Palatino Linotype" w:eastAsia="Palatino Linotype" w:hAnsi="Palatino Linotype" w:cs="Palatino Linotype"/>
          <w:i/>
          <w:sz w:val="22"/>
          <w:szCs w:val="22"/>
        </w:rPr>
        <w:t>asi</w:t>
      </w:r>
      <w:proofErr w:type="spellEnd"/>
      <w:r w:rsidRPr="00795960">
        <w:rPr>
          <w:rFonts w:ascii="Palatino Linotype" w:eastAsia="Palatino Linotype" w:hAnsi="Palatino Linotype" w:cs="Palatino Linotype"/>
          <w:i/>
          <w:sz w:val="22"/>
          <w:szCs w:val="22"/>
        </w:rPr>
        <w:t xml:space="preserve"> como SEGUNDA DE MARZO, PRIMERA DE JULIO y SEGUNDA DE OCTUBRE 2024, en los mismos términos que le son entregadas el sindicato de conformidad con el articulo y </w:t>
      </w:r>
      <w:proofErr w:type="spellStart"/>
      <w:r w:rsidRPr="00795960">
        <w:rPr>
          <w:rFonts w:ascii="Palatino Linotype" w:eastAsia="Palatino Linotype" w:hAnsi="Palatino Linotype" w:cs="Palatino Linotype"/>
          <w:i/>
          <w:sz w:val="22"/>
          <w:szCs w:val="22"/>
        </w:rPr>
        <w:t>fraccion</w:t>
      </w:r>
      <w:proofErr w:type="spellEnd"/>
      <w:r w:rsidRPr="00795960">
        <w:rPr>
          <w:rFonts w:ascii="Palatino Linotype" w:eastAsia="Palatino Linotype" w:hAnsi="Palatino Linotype" w:cs="Palatino Linotype"/>
          <w:i/>
          <w:sz w:val="22"/>
          <w:szCs w:val="22"/>
        </w:rPr>
        <w:t xml:space="preserve"> aquí señaladas. Gracias”</w:t>
      </w:r>
    </w:p>
    <w:p w14:paraId="1592E495" w14:textId="77777777" w:rsidR="00CB0D47" w:rsidRPr="00795960" w:rsidRDefault="00CB0D47">
      <w:pPr>
        <w:spacing w:line="360" w:lineRule="auto"/>
        <w:ind w:left="709" w:right="900"/>
        <w:jc w:val="both"/>
        <w:rPr>
          <w:rFonts w:ascii="Palatino Linotype" w:eastAsia="Palatino Linotype" w:hAnsi="Palatino Linotype" w:cs="Palatino Linotype"/>
          <w:b/>
          <w:i/>
          <w:sz w:val="22"/>
          <w:szCs w:val="22"/>
        </w:rPr>
      </w:pPr>
    </w:p>
    <w:p w14:paraId="3F57E126"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Modalidad elegida para la entrega de la información: </w:t>
      </w:r>
      <w:r w:rsidRPr="00795960">
        <w:rPr>
          <w:rFonts w:ascii="Palatino Linotype" w:eastAsia="Palatino Linotype" w:hAnsi="Palatino Linotype" w:cs="Palatino Linotype"/>
          <w:sz w:val="22"/>
          <w:szCs w:val="22"/>
        </w:rPr>
        <w:t xml:space="preserve">a través del Sistema de Acceso a la Información Mexiquense. </w:t>
      </w:r>
    </w:p>
    <w:p w14:paraId="29655169"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EF1047C" w14:textId="77777777" w:rsidR="00CB0D47" w:rsidRPr="00795960" w:rsidRDefault="00CF22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Respuesta. </w:t>
      </w:r>
      <w:r w:rsidRPr="00795960">
        <w:rPr>
          <w:rFonts w:ascii="Palatino Linotype" w:eastAsia="Palatino Linotype" w:hAnsi="Palatino Linotype" w:cs="Palatino Linotype"/>
          <w:sz w:val="22"/>
          <w:szCs w:val="22"/>
        </w:rPr>
        <w:t xml:space="preserve">Con fecha </w:t>
      </w:r>
      <w:r w:rsidRPr="00795960">
        <w:rPr>
          <w:rFonts w:ascii="Palatino Linotype" w:eastAsia="Palatino Linotype" w:hAnsi="Palatino Linotype" w:cs="Palatino Linotype"/>
          <w:b/>
          <w:sz w:val="22"/>
          <w:szCs w:val="22"/>
        </w:rPr>
        <w:t>cuatro de diciembre de dos mil veinticuatro</w:t>
      </w:r>
      <w:r w:rsidRPr="00795960">
        <w:rPr>
          <w:rFonts w:ascii="Palatino Linotype" w:eastAsia="Palatino Linotype" w:hAnsi="Palatino Linotype" w:cs="Palatino Linotype"/>
          <w:sz w:val="22"/>
          <w:szCs w:val="22"/>
        </w:rPr>
        <w:t xml:space="preserve">,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6F45CCA1" w14:textId="77777777" w:rsidR="00CB0D47" w:rsidRPr="00795960" w:rsidRDefault="00CB0D47">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63C8368B" w14:textId="77777777" w:rsidR="00CB0D47" w:rsidRPr="00795960" w:rsidRDefault="00CF22F4">
      <w:pPr>
        <w:tabs>
          <w:tab w:val="left" w:pos="7371"/>
        </w:tabs>
        <w:ind w:left="851" w:right="616"/>
        <w:jc w:val="both"/>
        <w:rPr>
          <w:rFonts w:ascii="Palatino Linotype" w:eastAsia="Palatino Linotype" w:hAnsi="Palatino Linotype" w:cs="Palatino Linotype"/>
          <w:i/>
          <w:sz w:val="22"/>
          <w:szCs w:val="22"/>
        </w:rPr>
      </w:pPr>
      <w:proofErr w:type="gramStart"/>
      <w:r w:rsidRPr="00795960">
        <w:rPr>
          <w:rFonts w:ascii="Palatino Linotype" w:eastAsia="Palatino Linotype" w:hAnsi="Palatino Linotype" w:cs="Palatino Linotype"/>
          <w:i/>
          <w:sz w:val="22"/>
          <w:szCs w:val="22"/>
        </w:rPr>
        <w:t>”En</w:t>
      </w:r>
      <w:proofErr w:type="gramEnd"/>
      <w:r w:rsidRPr="00795960">
        <w:rPr>
          <w:rFonts w:ascii="Palatino Linotype" w:eastAsia="Palatino Linotype" w:hAnsi="Palatino Linotype" w:cs="Palatino Linotype"/>
          <w:i/>
          <w:sz w:val="22"/>
          <w:szCs w:val="22"/>
        </w:rPr>
        <w:t xml:space="preserve"> respuesta a la solicitud recibida, nos permitimos hacer de su conocimiento que con fundamento en el artículo 53, Fracciones: II, V y VI de la Ley de Transparencia y Acceso a la Información Pública del Estado de México y Municipios, le contestamos que:</w:t>
      </w:r>
    </w:p>
    <w:p w14:paraId="12E16EA8" w14:textId="77777777" w:rsidR="00CB0D47" w:rsidRPr="00795960" w:rsidRDefault="00CF22F4">
      <w:pPr>
        <w:tabs>
          <w:tab w:val="left" w:pos="7371"/>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AL RESPECTO Y EN ATENCIÓN A SU SOLICITUD DE INFORMACIÓN REGISTRADA EN EL SISTEMA DE ACCESO A LA INFORMACIÓN PÚBLICA MEXIQUENSE (SAIMEX), CON EL NÚMERO DE FOLIO: 00323/HUIXQUIL/IP/2024, MISMA QUE A LA LETRA DICE: “De conformidad al Articulo LXVII fracción D del Convenio de prestaciones de ley y colaterales 2023 celebrado entre el Ayuntamiento de Huixquilucan y el </w:t>
      </w:r>
      <w:proofErr w:type="spellStart"/>
      <w:r w:rsidRPr="00795960">
        <w:rPr>
          <w:rFonts w:ascii="Palatino Linotype" w:eastAsia="Palatino Linotype" w:hAnsi="Palatino Linotype" w:cs="Palatino Linotype"/>
          <w:i/>
          <w:sz w:val="22"/>
          <w:szCs w:val="22"/>
        </w:rPr>
        <w:t>Suteym</w:t>
      </w:r>
      <w:proofErr w:type="spellEnd"/>
      <w:r w:rsidRPr="00795960">
        <w:rPr>
          <w:rFonts w:ascii="Palatino Linotype" w:eastAsia="Palatino Linotype" w:hAnsi="Palatino Linotype" w:cs="Palatino Linotype"/>
          <w:i/>
          <w:sz w:val="22"/>
          <w:szCs w:val="22"/>
        </w:rPr>
        <w:t xml:space="preserve">, me permito solicitar las NOMINAS DE LAS QUINCENAS PRIMERA DE FEBRERO, SEGUNDA DE JULIO, SEGUNDA DE DICIEMBRE de los años 2020-2021-2022 y 2023, </w:t>
      </w:r>
      <w:proofErr w:type="spellStart"/>
      <w:r w:rsidRPr="00795960">
        <w:rPr>
          <w:rFonts w:ascii="Palatino Linotype" w:eastAsia="Palatino Linotype" w:hAnsi="Palatino Linotype" w:cs="Palatino Linotype"/>
          <w:i/>
          <w:sz w:val="22"/>
          <w:szCs w:val="22"/>
        </w:rPr>
        <w:t>asi</w:t>
      </w:r>
      <w:proofErr w:type="spellEnd"/>
      <w:r w:rsidRPr="00795960">
        <w:rPr>
          <w:rFonts w:ascii="Palatino Linotype" w:eastAsia="Palatino Linotype" w:hAnsi="Palatino Linotype" w:cs="Palatino Linotype"/>
          <w:i/>
          <w:sz w:val="22"/>
          <w:szCs w:val="22"/>
        </w:rPr>
        <w:t xml:space="preserve"> como SEGUNDA DE MARZO, PRIMERA DE JULIO y SEGUNDA DE OCTUBRE 2024, en los mismos términos que le son entregadas el sindicato de conformidad con el articulo y </w:t>
      </w:r>
      <w:proofErr w:type="spellStart"/>
      <w:r w:rsidRPr="00795960">
        <w:rPr>
          <w:rFonts w:ascii="Palatino Linotype" w:eastAsia="Palatino Linotype" w:hAnsi="Palatino Linotype" w:cs="Palatino Linotype"/>
          <w:i/>
          <w:sz w:val="22"/>
          <w:szCs w:val="22"/>
        </w:rPr>
        <w:t>fraccion</w:t>
      </w:r>
      <w:proofErr w:type="spellEnd"/>
      <w:r w:rsidRPr="00795960">
        <w:rPr>
          <w:rFonts w:ascii="Palatino Linotype" w:eastAsia="Palatino Linotype" w:hAnsi="Palatino Linotype" w:cs="Palatino Linotype"/>
          <w:i/>
          <w:sz w:val="22"/>
          <w:szCs w:val="22"/>
        </w:rPr>
        <w:t xml:space="preserve"> aquí señaladas. Gracias” (SIC). SOBRE EL PARTICULAR, ESTA UNIDAD DE TRANSPARENCIA EN EJERCICIO DE </w:t>
      </w:r>
      <w:r w:rsidRPr="00795960">
        <w:rPr>
          <w:rFonts w:ascii="Palatino Linotype" w:eastAsia="Palatino Linotype" w:hAnsi="Palatino Linotype" w:cs="Palatino Linotype"/>
          <w:i/>
          <w:sz w:val="22"/>
          <w:szCs w:val="22"/>
        </w:rPr>
        <w:lastRenderedPageBreak/>
        <w:t xml:space="preserve">LAS ATRIBUCIONES QUE LA LEY LE CONFIERE TURNÓ SU SOLICITUD DE INFORMACIÓN A LA SIGUIENTE UNIDAD ADMINISTRATIVA: DIRECCIÓN GENERAL DE ADMINISTRACIÓN QUE DE CONFORMIDAD CON LO ESTABLECIDO EN EL REGLAMENTO ORGÁNICO DE HUIXQUILUCAN ES COMPETENTE PARA CONTESTAR SU SOLICITUD DE INFORMACIÓN, MISMA QUE MANIFESTÓ LO SIGUIENTE: </w:t>
      </w:r>
      <w:r w:rsidRPr="00795960">
        <w:rPr>
          <w:rFonts w:ascii="Palatino Linotype" w:eastAsia="Palatino Linotype" w:hAnsi="Palatino Linotype" w:cs="Palatino Linotype"/>
          <w:b/>
          <w:i/>
          <w:sz w:val="22"/>
          <w:szCs w:val="22"/>
        </w:rPr>
        <w:t>DIRECCIÓN GENERAL DE ADMINISTRACIÓN: “SE ADJUNTA RESPUESTA”</w:t>
      </w:r>
      <w:r w:rsidRPr="00795960">
        <w:rPr>
          <w:rFonts w:ascii="Palatino Linotype" w:eastAsia="Palatino Linotype" w:hAnsi="Palatino Linotype" w:cs="Palatino Linotype"/>
          <w:i/>
          <w:sz w:val="22"/>
          <w:szCs w:val="22"/>
        </w:rPr>
        <w:t xml:space="preserve">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6D5ED5AE" w14:textId="77777777" w:rsidR="00CB0D47" w:rsidRPr="00795960" w:rsidRDefault="00CF22F4">
      <w:pPr>
        <w:tabs>
          <w:tab w:val="left" w:pos="7371"/>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ATENTAMENTE</w:t>
      </w:r>
    </w:p>
    <w:p w14:paraId="6A386C52" w14:textId="77777777" w:rsidR="00CB0D47" w:rsidRPr="00795960" w:rsidRDefault="00CF22F4">
      <w:pPr>
        <w:tabs>
          <w:tab w:val="left" w:pos="7371"/>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C. ULISES MAURICIO SALAZAR FRANCO.”</w:t>
      </w:r>
    </w:p>
    <w:p w14:paraId="11A0663A" w14:textId="77777777" w:rsidR="00CB0D47" w:rsidRPr="00795960" w:rsidRDefault="00CB0D47">
      <w:pPr>
        <w:spacing w:line="360" w:lineRule="auto"/>
        <w:ind w:right="49"/>
        <w:jc w:val="both"/>
        <w:rPr>
          <w:rFonts w:ascii="Palatino Linotype" w:eastAsia="Palatino Linotype" w:hAnsi="Palatino Linotype" w:cs="Palatino Linotype"/>
          <w:sz w:val="22"/>
          <w:szCs w:val="22"/>
        </w:rPr>
      </w:pPr>
    </w:p>
    <w:p w14:paraId="517E69C7"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Del mismo modo,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adjuntó a su respuesta el archivo electrónico </w:t>
      </w:r>
      <w:r w:rsidRPr="00795960">
        <w:rPr>
          <w:rFonts w:ascii="Palatino Linotype" w:eastAsia="Palatino Linotype" w:hAnsi="Palatino Linotype" w:cs="Palatino Linotype"/>
          <w:b/>
          <w:i/>
          <w:sz w:val="22"/>
          <w:szCs w:val="22"/>
        </w:rPr>
        <w:t>“RESPUESTA 323.pdf”</w:t>
      </w:r>
      <w:r w:rsidRPr="00795960">
        <w:rPr>
          <w:rFonts w:ascii="Palatino Linotype" w:eastAsia="Palatino Linotype" w:hAnsi="Palatino Linotype" w:cs="Palatino Linotype"/>
          <w:sz w:val="22"/>
          <w:szCs w:val="22"/>
        </w:rPr>
        <w:t xml:space="preserve">, el cual contiene el oficio número SAP/1688/11/2024 de fecha veintiuno de noviembre de dos mil veinticuatro, signado por la Subdirectora de Administración de Personal, mediante el cual informó que la información solicitada </w:t>
      </w:r>
      <w:r w:rsidRPr="00795960">
        <w:rPr>
          <w:rFonts w:ascii="Palatino Linotype" w:eastAsia="Palatino Linotype" w:hAnsi="Palatino Linotype" w:cs="Palatino Linotype"/>
          <w:sz w:val="22"/>
          <w:szCs w:val="22"/>
        </w:rPr>
        <w:lastRenderedPageBreak/>
        <w:t xml:space="preserve">corresponde a la plantilla nominal, disponible en la página oficial de Información Pública de Oficio de los Sujetos Obligados del Estado de México y Municipios (IPOMEX), en el apartado del artículo 92 fracción VIII A correspondiente a “Remuneraciones”, disponible en el siguiente link: </w:t>
      </w:r>
    </w:p>
    <w:p w14:paraId="79ACE5A9" w14:textId="77777777" w:rsidR="00CB0D47" w:rsidRPr="00795960" w:rsidRDefault="00CF22F4">
      <w:pPr>
        <w:spacing w:line="360" w:lineRule="auto"/>
        <w:ind w:right="49"/>
        <w:jc w:val="center"/>
        <w:rPr>
          <w:rFonts w:ascii="Palatino Linotype" w:eastAsia="Palatino Linotype" w:hAnsi="Palatino Linotype" w:cs="Palatino Linotype"/>
          <w:sz w:val="22"/>
          <w:szCs w:val="22"/>
        </w:rPr>
      </w:pPr>
      <w:r w:rsidRPr="00795960">
        <w:rPr>
          <w:rFonts w:ascii="Palatino Linotype" w:eastAsia="Palatino Linotype" w:hAnsi="Palatino Linotype" w:cs="Palatino Linotype"/>
          <w:noProof/>
          <w:sz w:val="22"/>
          <w:szCs w:val="22"/>
          <w:lang w:val="es-MX" w:eastAsia="es-MX"/>
        </w:rPr>
        <w:drawing>
          <wp:inline distT="0" distB="0" distL="0" distR="0" wp14:anchorId="7A563739" wp14:editId="58918442">
            <wp:extent cx="4417921" cy="14144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17921" cy="141440"/>
                    </a:xfrm>
                    <a:prstGeom prst="rect">
                      <a:avLst/>
                    </a:prstGeom>
                    <a:ln/>
                  </pic:spPr>
                </pic:pic>
              </a:graphicData>
            </a:graphic>
          </wp:inline>
        </w:drawing>
      </w:r>
    </w:p>
    <w:p w14:paraId="78F37396" w14:textId="77777777" w:rsidR="00CB0D47" w:rsidRPr="00795960" w:rsidRDefault="00CB0D4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A6309D" w14:textId="77777777" w:rsidR="00CB0D47" w:rsidRPr="00795960" w:rsidRDefault="00CF22F4">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Interposición del recurso de revisión. </w:t>
      </w:r>
      <w:r w:rsidRPr="00795960">
        <w:rPr>
          <w:rFonts w:ascii="Palatino Linotype" w:eastAsia="Palatino Linotype" w:hAnsi="Palatino Linotype" w:cs="Palatino Linotype"/>
          <w:sz w:val="22"/>
          <w:szCs w:val="22"/>
        </w:rPr>
        <w:t xml:space="preserve">Inconforme con la respuesta del </w:t>
      </w:r>
      <w:r w:rsidRPr="00795960">
        <w:rPr>
          <w:rFonts w:ascii="Palatino Linotype" w:eastAsia="Palatino Linotype" w:hAnsi="Palatino Linotype" w:cs="Palatino Linotype"/>
          <w:b/>
          <w:sz w:val="22"/>
          <w:szCs w:val="22"/>
        </w:rPr>
        <w:t xml:space="preserve">Sujeto Obligado </w:t>
      </w:r>
      <w:r w:rsidRPr="00795960">
        <w:rPr>
          <w:rFonts w:ascii="Palatino Linotype" w:eastAsia="Palatino Linotype" w:hAnsi="Palatino Linotype" w:cs="Palatino Linotype"/>
          <w:sz w:val="22"/>
          <w:szCs w:val="22"/>
        </w:rPr>
        <w:t>la parte</w:t>
      </w:r>
      <w:r w:rsidRPr="00795960">
        <w:rPr>
          <w:rFonts w:ascii="Palatino Linotype" w:eastAsia="Palatino Linotype" w:hAnsi="Palatino Linotype" w:cs="Palatino Linotype"/>
          <w:b/>
          <w:sz w:val="22"/>
          <w:szCs w:val="22"/>
        </w:rPr>
        <w:t xml:space="preserve"> Recurrente</w:t>
      </w:r>
      <w:r w:rsidRPr="00795960">
        <w:rPr>
          <w:rFonts w:ascii="Palatino Linotype" w:eastAsia="Palatino Linotype" w:hAnsi="Palatino Linotype" w:cs="Palatino Linotype"/>
          <w:sz w:val="22"/>
          <w:szCs w:val="22"/>
        </w:rPr>
        <w:t xml:space="preserve"> interpuso recurso de revisión a través del SAIMEX en fecha </w:t>
      </w:r>
      <w:r w:rsidRPr="00795960">
        <w:rPr>
          <w:rFonts w:ascii="Palatino Linotype" w:eastAsia="Palatino Linotype" w:hAnsi="Palatino Linotype" w:cs="Palatino Linotype"/>
          <w:b/>
          <w:sz w:val="22"/>
          <w:szCs w:val="22"/>
        </w:rPr>
        <w:t>diecisiete de diciembre de dos mil veinticuatro</w:t>
      </w:r>
      <w:r w:rsidRPr="00795960">
        <w:rPr>
          <w:rFonts w:ascii="Palatino Linotype" w:eastAsia="Palatino Linotype" w:hAnsi="Palatino Linotype" w:cs="Palatino Linotype"/>
          <w:sz w:val="22"/>
          <w:szCs w:val="22"/>
        </w:rPr>
        <w:t>, a través del cual expresó lo siguiente:</w:t>
      </w:r>
    </w:p>
    <w:p w14:paraId="38A3B8E6" w14:textId="77777777" w:rsidR="00CB0D47" w:rsidRPr="00795960" w:rsidRDefault="00CB0D47">
      <w:pPr>
        <w:ind w:left="851" w:right="616"/>
        <w:jc w:val="both"/>
        <w:rPr>
          <w:rFonts w:ascii="Palatino Linotype" w:eastAsia="Palatino Linotype" w:hAnsi="Palatino Linotype" w:cs="Palatino Linotype"/>
          <w:b/>
          <w:sz w:val="22"/>
          <w:szCs w:val="22"/>
        </w:rPr>
      </w:pPr>
    </w:p>
    <w:p w14:paraId="7BF91C6E"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sz w:val="22"/>
          <w:szCs w:val="22"/>
        </w:rPr>
        <w:t xml:space="preserve">Acto impugnado. </w:t>
      </w:r>
      <w:r w:rsidRPr="00795960">
        <w:rPr>
          <w:rFonts w:ascii="Palatino Linotype" w:eastAsia="Palatino Linotype" w:hAnsi="Palatino Linotype" w:cs="Palatino Linotype"/>
          <w:i/>
          <w:sz w:val="22"/>
          <w:szCs w:val="22"/>
        </w:rPr>
        <w:t xml:space="preserve">“LA FALTA DE ENTREGA DE LA INFORMACIÓN SOLICITADA.” </w:t>
      </w:r>
    </w:p>
    <w:p w14:paraId="1EC48FBD" w14:textId="77777777" w:rsidR="00CB0D47" w:rsidRPr="00795960" w:rsidRDefault="00CB0D47">
      <w:pPr>
        <w:ind w:left="851" w:right="616"/>
        <w:rPr>
          <w:rFonts w:ascii="Palatino Linotype" w:eastAsia="Palatino Linotype" w:hAnsi="Palatino Linotype" w:cs="Palatino Linotype"/>
          <w:sz w:val="22"/>
          <w:szCs w:val="22"/>
        </w:rPr>
      </w:pPr>
    </w:p>
    <w:p w14:paraId="75CB0F29" w14:textId="77777777" w:rsidR="00CB0D47" w:rsidRPr="00795960" w:rsidRDefault="00CF22F4">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795960">
        <w:rPr>
          <w:rFonts w:ascii="Palatino Linotype" w:eastAsia="Palatino Linotype" w:hAnsi="Palatino Linotype" w:cs="Palatino Linotype"/>
          <w:b/>
          <w:sz w:val="22"/>
          <w:szCs w:val="22"/>
        </w:rPr>
        <w:t xml:space="preserve">Motivos de inconformidad. </w:t>
      </w:r>
      <w:r w:rsidRPr="00795960">
        <w:rPr>
          <w:rFonts w:ascii="Palatino Linotype" w:eastAsia="Palatino Linotype" w:hAnsi="Palatino Linotype" w:cs="Palatino Linotype"/>
          <w:i/>
          <w:sz w:val="22"/>
          <w:szCs w:val="22"/>
        </w:rPr>
        <w:t xml:space="preserve">“Se solicita la entrega de las </w:t>
      </w:r>
      <w:proofErr w:type="spellStart"/>
      <w:r w:rsidRPr="00795960">
        <w:rPr>
          <w:rFonts w:ascii="Palatino Linotype" w:eastAsia="Palatino Linotype" w:hAnsi="Palatino Linotype" w:cs="Palatino Linotype"/>
          <w:i/>
          <w:sz w:val="22"/>
          <w:szCs w:val="22"/>
        </w:rPr>
        <w:t>nominas</w:t>
      </w:r>
      <w:proofErr w:type="spellEnd"/>
      <w:r w:rsidRPr="00795960">
        <w:rPr>
          <w:rFonts w:ascii="Palatino Linotype" w:eastAsia="Palatino Linotype" w:hAnsi="Palatino Linotype" w:cs="Palatino Linotype"/>
          <w:i/>
          <w:sz w:val="22"/>
          <w:szCs w:val="22"/>
        </w:rPr>
        <w:t xml:space="preserve"> como fueron entregadas al SUTEYM porque estas contienen información que no </w:t>
      </w:r>
      <w:proofErr w:type="spellStart"/>
      <w:r w:rsidRPr="00795960">
        <w:rPr>
          <w:rFonts w:ascii="Palatino Linotype" w:eastAsia="Palatino Linotype" w:hAnsi="Palatino Linotype" w:cs="Palatino Linotype"/>
          <w:i/>
          <w:sz w:val="22"/>
          <w:szCs w:val="22"/>
        </w:rPr>
        <w:t>esta</w:t>
      </w:r>
      <w:proofErr w:type="spellEnd"/>
      <w:r w:rsidRPr="00795960">
        <w:rPr>
          <w:rFonts w:ascii="Palatino Linotype" w:eastAsia="Palatino Linotype" w:hAnsi="Palatino Linotype" w:cs="Palatino Linotype"/>
          <w:i/>
          <w:sz w:val="22"/>
          <w:szCs w:val="22"/>
        </w:rPr>
        <w:t xml:space="preserve"> detallada en la </w:t>
      </w:r>
      <w:proofErr w:type="spellStart"/>
      <w:r w:rsidRPr="00795960">
        <w:rPr>
          <w:rFonts w:ascii="Palatino Linotype" w:eastAsia="Palatino Linotype" w:hAnsi="Palatino Linotype" w:cs="Palatino Linotype"/>
          <w:i/>
          <w:sz w:val="22"/>
          <w:szCs w:val="22"/>
        </w:rPr>
        <w:t>pagina</w:t>
      </w:r>
      <w:proofErr w:type="spellEnd"/>
      <w:r w:rsidRPr="00795960">
        <w:rPr>
          <w:rFonts w:ascii="Palatino Linotype" w:eastAsia="Palatino Linotype" w:hAnsi="Palatino Linotype" w:cs="Palatino Linotype"/>
          <w:i/>
          <w:sz w:val="22"/>
          <w:szCs w:val="22"/>
        </w:rPr>
        <w:t xml:space="preserve"> de </w:t>
      </w:r>
      <w:proofErr w:type="spellStart"/>
      <w:r w:rsidRPr="00795960">
        <w:rPr>
          <w:rFonts w:ascii="Palatino Linotype" w:eastAsia="Palatino Linotype" w:hAnsi="Palatino Linotype" w:cs="Palatino Linotype"/>
          <w:i/>
          <w:sz w:val="22"/>
          <w:szCs w:val="22"/>
        </w:rPr>
        <w:t>ipomex</w:t>
      </w:r>
      <w:proofErr w:type="spellEnd"/>
      <w:r w:rsidRPr="00795960">
        <w:rPr>
          <w:rFonts w:ascii="Palatino Linotype" w:eastAsia="Palatino Linotype" w:hAnsi="Palatino Linotype" w:cs="Palatino Linotype"/>
          <w:i/>
          <w:sz w:val="22"/>
          <w:szCs w:val="22"/>
        </w:rPr>
        <w:t xml:space="preserve">, </w:t>
      </w:r>
      <w:proofErr w:type="spellStart"/>
      <w:r w:rsidRPr="00795960">
        <w:rPr>
          <w:rFonts w:ascii="Palatino Linotype" w:eastAsia="Palatino Linotype" w:hAnsi="Palatino Linotype" w:cs="Palatino Linotype"/>
          <w:i/>
          <w:sz w:val="22"/>
          <w:szCs w:val="22"/>
        </w:rPr>
        <w:t>ademas</w:t>
      </w:r>
      <w:proofErr w:type="spellEnd"/>
      <w:r w:rsidRPr="00795960">
        <w:rPr>
          <w:rFonts w:ascii="Palatino Linotype" w:eastAsia="Palatino Linotype" w:hAnsi="Palatino Linotype" w:cs="Palatino Linotype"/>
          <w:i/>
          <w:sz w:val="22"/>
          <w:szCs w:val="22"/>
        </w:rPr>
        <w:t xml:space="preserve"> de que esto no representa ningún trabajo extra porque las mismas ya deben existir porque ya fueron en su momento entregadas al SUTEYM, esperando NO PERSISTIR CON LA NEGATIVA A NO ENTREGAR LA INFORMACIÓN COMO SE ESTA SOLICITANDO...... GRACIAS”</w:t>
      </w:r>
    </w:p>
    <w:p w14:paraId="0A119F5E"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611B9C35" w14:textId="77777777" w:rsidR="00CB0D47" w:rsidRPr="00795960" w:rsidRDefault="00CF22F4">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Turno. </w:t>
      </w:r>
      <w:r w:rsidRPr="0079596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795960">
        <w:rPr>
          <w:rFonts w:ascii="Palatino Linotype" w:eastAsia="Palatino Linotype" w:hAnsi="Palatino Linotype" w:cs="Palatino Linotype"/>
          <w:b/>
          <w:sz w:val="22"/>
          <w:szCs w:val="22"/>
        </w:rPr>
        <w:t>07684/INFOEM/IP/RR/2024</w:t>
      </w:r>
      <w:r w:rsidRPr="00795960">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95960">
        <w:rPr>
          <w:rFonts w:ascii="Palatino Linotype" w:eastAsia="Palatino Linotype" w:hAnsi="Palatino Linotype" w:cs="Palatino Linotype"/>
          <w:b/>
          <w:sz w:val="22"/>
          <w:szCs w:val="22"/>
        </w:rPr>
        <w:t>Guadalupe Ramírez Peña</w:t>
      </w:r>
      <w:r w:rsidRPr="00795960">
        <w:rPr>
          <w:rFonts w:ascii="Palatino Linotype" w:eastAsia="Palatino Linotype" w:hAnsi="Palatino Linotype" w:cs="Palatino Linotype"/>
          <w:sz w:val="22"/>
          <w:szCs w:val="22"/>
        </w:rPr>
        <w:t>, para su análisis, estudio, elaboración del proyecto y presentación ante el Pleno de este Instituto.</w:t>
      </w:r>
    </w:p>
    <w:p w14:paraId="7B448CE5" w14:textId="77777777" w:rsidR="00CB0D47" w:rsidRPr="00795960" w:rsidRDefault="00CB0D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FDE1FC3" w14:textId="77777777" w:rsidR="00CB0D47" w:rsidRPr="00795960" w:rsidRDefault="00CF22F4">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795960">
        <w:rPr>
          <w:rFonts w:ascii="Palatino Linotype" w:eastAsia="Palatino Linotype" w:hAnsi="Palatino Linotype" w:cs="Palatino Linotype"/>
          <w:b/>
          <w:sz w:val="22"/>
          <w:szCs w:val="22"/>
        </w:rPr>
        <w:t xml:space="preserve">Admisión del recurso de revisión: </w:t>
      </w:r>
      <w:r w:rsidRPr="00795960">
        <w:rPr>
          <w:rFonts w:ascii="Palatino Linotype" w:eastAsia="Palatino Linotype" w:hAnsi="Palatino Linotype" w:cs="Palatino Linotype"/>
          <w:sz w:val="22"/>
          <w:szCs w:val="22"/>
        </w:rPr>
        <w:t xml:space="preserve">En fecha </w:t>
      </w:r>
      <w:r w:rsidRPr="00795960">
        <w:rPr>
          <w:rFonts w:ascii="Palatino Linotype" w:eastAsia="Palatino Linotype" w:hAnsi="Palatino Linotype" w:cs="Palatino Linotype"/>
          <w:b/>
          <w:sz w:val="22"/>
          <w:szCs w:val="22"/>
        </w:rPr>
        <w:t>veinte de diciembre de dos mil veinticuatro</w:t>
      </w:r>
      <w:r w:rsidRPr="00795960">
        <w:rPr>
          <w:rFonts w:ascii="Palatino Linotype" w:eastAsia="Palatino Linotype" w:hAnsi="Palatino Linotype" w:cs="Palatino Linotype"/>
          <w:sz w:val="22"/>
          <w:szCs w:val="22"/>
        </w:rPr>
        <w:t xml:space="preserve">, la Comisionada Ponente admitió a trámite el recurso de revisión que ahora se </w:t>
      </w:r>
      <w:r w:rsidRPr="00795960">
        <w:rPr>
          <w:rFonts w:ascii="Palatino Linotype" w:eastAsia="Palatino Linotype" w:hAnsi="Palatino Linotype" w:cs="Palatino Linotype"/>
          <w:sz w:val="22"/>
          <w:szCs w:val="22"/>
        </w:rPr>
        <w:lastRenderedPageBreak/>
        <w:t xml:space="preserve">resuelve, dando un plazo máximo de siete días hábiles para que las partes manifestaran lo que a su derecho resultara conveniente, ofrecieran pruebas, formularan alegatos y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presentara su informe justificado.</w:t>
      </w:r>
    </w:p>
    <w:p w14:paraId="577524F9" w14:textId="77777777" w:rsidR="00CB0D47" w:rsidRPr="00795960" w:rsidRDefault="00CB0D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41859F2" w14:textId="77777777" w:rsidR="00CB0D47" w:rsidRPr="00795960" w:rsidRDefault="00CF22F4">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Manifestaciones</w:t>
      </w:r>
      <w:r w:rsidRPr="00795960">
        <w:rPr>
          <w:rFonts w:ascii="Palatino Linotype" w:eastAsia="Palatino Linotype" w:hAnsi="Palatino Linotype" w:cs="Palatino Linotype"/>
          <w:sz w:val="22"/>
          <w:szCs w:val="22"/>
        </w:rPr>
        <w:t xml:space="preserve">: De las constancias que obran en el expediente electrónico del SAIMEX se desprende que en fecha </w:t>
      </w:r>
      <w:r w:rsidRPr="00795960">
        <w:rPr>
          <w:rFonts w:ascii="Palatino Linotype" w:eastAsia="Palatino Linotype" w:hAnsi="Palatino Linotype" w:cs="Palatino Linotype"/>
          <w:b/>
          <w:sz w:val="22"/>
          <w:szCs w:val="22"/>
        </w:rPr>
        <w:t>dieciséis de enero de dos mil veinticinco</w:t>
      </w:r>
      <w:r w:rsidRPr="00795960">
        <w:rPr>
          <w:rFonts w:ascii="Palatino Linotype" w:eastAsia="Palatino Linotype" w:hAnsi="Palatino Linotype" w:cs="Palatino Linotype"/>
          <w:sz w:val="22"/>
          <w:szCs w:val="22"/>
        </w:rPr>
        <w:t xml:space="preserve">, el Sujeto Obligado adjunto los siguientes archivos electrónicos: </w:t>
      </w:r>
    </w:p>
    <w:p w14:paraId="753F6B8F" w14:textId="77777777" w:rsidR="00CB0D47" w:rsidRPr="00795960" w:rsidRDefault="00CB0D47">
      <w:pPr>
        <w:pBdr>
          <w:top w:val="nil"/>
          <w:left w:val="nil"/>
          <w:bottom w:val="nil"/>
          <w:right w:val="nil"/>
          <w:between w:val="nil"/>
        </w:pBdr>
        <w:ind w:left="708"/>
        <w:rPr>
          <w:rFonts w:ascii="Palatino Linotype" w:eastAsia="Palatino Linotype" w:hAnsi="Palatino Linotype" w:cs="Palatino Linotype"/>
          <w:sz w:val="22"/>
          <w:szCs w:val="22"/>
        </w:rPr>
      </w:pPr>
    </w:p>
    <w:p w14:paraId="1D0E3434" w14:textId="77777777" w:rsidR="00CB0D47" w:rsidRPr="00795960" w:rsidRDefault="00CF22F4">
      <w:pPr>
        <w:numPr>
          <w:ilvl w:val="0"/>
          <w:numId w:val="3"/>
        </w:numPr>
        <w:pBdr>
          <w:top w:val="nil"/>
          <w:left w:val="nil"/>
          <w:bottom w:val="nil"/>
          <w:right w:val="nil"/>
          <w:between w:val="nil"/>
        </w:pBdr>
        <w:tabs>
          <w:tab w:val="left" w:pos="284"/>
        </w:tabs>
        <w:spacing w:line="360" w:lineRule="auto"/>
        <w:ind w:left="851" w:right="616"/>
        <w:jc w:val="both"/>
        <w:rPr>
          <w:rFonts w:ascii="Palatino Linotype" w:eastAsia="Palatino Linotype" w:hAnsi="Palatino Linotype" w:cs="Palatino Linotype"/>
          <w:sz w:val="22"/>
          <w:szCs w:val="22"/>
        </w:rPr>
      </w:pPr>
      <w:proofErr w:type="spellStart"/>
      <w:r w:rsidRPr="00795960">
        <w:rPr>
          <w:rFonts w:ascii="Palatino Linotype" w:eastAsia="Palatino Linotype" w:hAnsi="Palatino Linotype" w:cs="Palatino Linotype"/>
          <w:b/>
          <w:i/>
          <w:sz w:val="22"/>
          <w:szCs w:val="22"/>
        </w:rPr>
        <w:t>Inf</w:t>
      </w:r>
      <w:proofErr w:type="spellEnd"/>
      <w:r w:rsidRPr="00795960">
        <w:rPr>
          <w:rFonts w:ascii="Palatino Linotype" w:eastAsia="Palatino Linotype" w:hAnsi="Palatino Linotype" w:cs="Palatino Linotype"/>
          <w:b/>
          <w:i/>
          <w:sz w:val="22"/>
          <w:szCs w:val="22"/>
        </w:rPr>
        <w:t xml:space="preserve">. </w:t>
      </w:r>
      <w:proofErr w:type="spellStart"/>
      <w:r w:rsidRPr="00795960">
        <w:rPr>
          <w:rFonts w:ascii="Palatino Linotype" w:eastAsia="Palatino Linotype" w:hAnsi="Palatino Linotype" w:cs="Palatino Linotype"/>
          <w:b/>
          <w:i/>
          <w:sz w:val="22"/>
          <w:szCs w:val="22"/>
        </w:rPr>
        <w:t>Justicado</w:t>
      </w:r>
      <w:proofErr w:type="spellEnd"/>
      <w:r w:rsidRPr="00795960">
        <w:rPr>
          <w:rFonts w:ascii="Palatino Linotype" w:eastAsia="Palatino Linotype" w:hAnsi="Palatino Linotype" w:cs="Palatino Linotype"/>
          <w:b/>
          <w:i/>
          <w:sz w:val="22"/>
          <w:szCs w:val="22"/>
        </w:rPr>
        <w:t xml:space="preserve"> 7684_24.pdf:</w:t>
      </w:r>
      <w:r w:rsidRPr="00795960">
        <w:rPr>
          <w:rFonts w:ascii="Palatino Linotype" w:eastAsia="Palatino Linotype" w:hAnsi="Palatino Linotype" w:cs="Palatino Linotype"/>
          <w:sz w:val="22"/>
          <w:szCs w:val="22"/>
        </w:rPr>
        <w:t xml:space="preserve"> Oficio signado por el Titular de la Unidad de Transparencia en el que informa la entrega de del oficio número DGA/SPAI/0049/01/2025 de la Dirección General de Administración. </w:t>
      </w:r>
    </w:p>
    <w:p w14:paraId="44F56E0E" w14:textId="77777777" w:rsidR="00CB0D47" w:rsidRPr="00795960" w:rsidRDefault="00CF22F4">
      <w:pPr>
        <w:numPr>
          <w:ilvl w:val="0"/>
          <w:numId w:val="3"/>
        </w:numPr>
        <w:pBdr>
          <w:top w:val="nil"/>
          <w:left w:val="nil"/>
          <w:bottom w:val="nil"/>
          <w:right w:val="nil"/>
          <w:between w:val="nil"/>
        </w:pBdr>
        <w:tabs>
          <w:tab w:val="left" w:pos="284"/>
        </w:tabs>
        <w:spacing w:line="360" w:lineRule="auto"/>
        <w:ind w:left="851" w:right="616"/>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i/>
          <w:sz w:val="22"/>
          <w:szCs w:val="22"/>
        </w:rPr>
        <w:t>ALEGATOS 7684.pdf</w:t>
      </w:r>
      <w:r w:rsidRPr="00795960">
        <w:rPr>
          <w:rFonts w:ascii="Palatino Linotype" w:eastAsia="Palatino Linotype" w:hAnsi="Palatino Linotype" w:cs="Palatino Linotype"/>
          <w:sz w:val="22"/>
          <w:szCs w:val="22"/>
        </w:rPr>
        <w:t xml:space="preserve">: Oficio número DGA/SPAI/0049/01/2025 de fecha quince de enero de dos mil veinticinco, signado por la </w:t>
      </w:r>
      <w:proofErr w:type="gramStart"/>
      <w:r w:rsidRPr="00795960">
        <w:rPr>
          <w:rFonts w:ascii="Palatino Linotype" w:eastAsia="Palatino Linotype" w:hAnsi="Palatino Linotype" w:cs="Palatino Linotype"/>
          <w:sz w:val="22"/>
          <w:szCs w:val="22"/>
        </w:rPr>
        <w:t>Directora General</w:t>
      </w:r>
      <w:proofErr w:type="gramEnd"/>
      <w:r w:rsidRPr="00795960">
        <w:rPr>
          <w:rFonts w:ascii="Palatino Linotype" w:eastAsia="Palatino Linotype" w:hAnsi="Palatino Linotype" w:cs="Palatino Linotype"/>
          <w:sz w:val="22"/>
          <w:szCs w:val="22"/>
        </w:rPr>
        <w:t xml:space="preserve"> de Administración, mediante el cual informó que tuvo a bien proporcionar en su respuesta primigenia, el enlace URL donde efectivamente se encuentra la información materia del presente. En consecuencia, ratifica en todas y cada de sus pretensiones establecidas en dicha respuesta. Para todos los efectos legales a que dé lugar. </w:t>
      </w:r>
    </w:p>
    <w:p w14:paraId="168BEDA6" w14:textId="77777777" w:rsidR="00CB0D47" w:rsidRPr="00795960" w:rsidRDefault="00CB0D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128B5A0" w14:textId="77777777" w:rsidR="00CB0D47" w:rsidRPr="00795960" w:rsidRDefault="00CF22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Documentos que se hicieron del conocimiento de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en fecha </w:t>
      </w:r>
      <w:r w:rsidRPr="00795960">
        <w:rPr>
          <w:rFonts w:ascii="Palatino Linotype" w:eastAsia="Palatino Linotype" w:hAnsi="Palatino Linotype" w:cs="Palatino Linotype"/>
          <w:b/>
          <w:sz w:val="22"/>
          <w:szCs w:val="22"/>
        </w:rPr>
        <w:t>veintiuno de enero de dos mil veinticinco</w:t>
      </w:r>
      <w:r w:rsidRPr="00795960">
        <w:rPr>
          <w:rFonts w:ascii="Palatino Linotype" w:eastAsia="Palatino Linotype" w:hAnsi="Palatino Linotype" w:cs="Palatino Linotype"/>
          <w:sz w:val="22"/>
          <w:szCs w:val="22"/>
        </w:rPr>
        <w:t>, misma que no realizó manifestaciones o alegatos que a su derecho convinieran.</w:t>
      </w:r>
    </w:p>
    <w:p w14:paraId="61CC7711" w14:textId="77777777" w:rsidR="00CB0D47" w:rsidRPr="00795960" w:rsidRDefault="00CB0D47">
      <w:pPr>
        <w:pBdr>
          <w:top w:val="nil"/>
          <w:left w:val="nil"/>
          <w:bottom w:val="nil"/>
          <w:right w:val="nil"/>
          <w:between w:val="nil"/>
        </w:pBdr>
        <w:tabs>
          <w:tab w:val="left" w:pos="284"/>
        </w:tabs>
        <w:spacing w:line="360" w:lineRule="auto"/>
        <w:rPr>
          <w:rFonts w:ascii="Palatino Linotype" w:eastAsia="Palatino Linotype" w:hAnsi="Palatino Linotype" w:cs="Palatino Linotype"/>
          <w:sz w:val="22"/>
          <w:szCs w:val="22"/>
        </w:rPr>
      </w:pPr>
    </w:p>
    <w:p w14:paraId="7C00AD00" w14:textId="77777777" w:rsidR="00CB0D47" w:rsidRPr="00795960" w:rsidRDefault="00CF22F4">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Cierre de instrucción. </w:t>
      </w:r>
      <w:r w:rsidRPr="00795960">
        <w:rPr>
          <w:rFonts w:ascii="Palatino Linotype" w:eastAsia="Palatino Linotype" w:hAnsi="Palatino Linotype" w:cs="Palatino Linotype"/>
          <w:sz w:val="22"/>
          <w:szCs w:val="22"/>
        </w:rPr>
        <w:t xml:space="preserve">El </w:t>
      </w:r>
      <w:r w:rsidRPr="00795960">
        <w:rPr>
          <w:rFonts w:ascii="Palatino Linotype" w:eastAsia="Palatino Linotype" w:hAnsi="Palatino Linotype" w:cs="Palatino Linotype"/>
          <w:b/>
          <w:sz w:val="22"/>
          <w:szCs w:val="22"/>
        </w:rPr>
        <w:t>veintisiete de enero de dos mil veinticinco</w:t>
      </w:r>
      <w:r w:rsidRPr="00795960">
        <w:rPr>
          <w:rFonts w:ascii="Palatino Linotype" w:eastAsia="Palatino Linotype" w:hAnsi="Palatino Linotype" w:cs="Palatino Linotype"/>
          <w:sz w:val="22"/>
          <w:szCs w:val="22"/>
        </w:rPr>
        <w:t xml:space="preserve">, la Comisionada Ponente determinó el cierre de instrucción en términos de la fracción VI del artículo 185 de </w:t>
      </w:r>
      <w:r w:rsidRPr="00795960">
        <w:rPr>
          <w:rFonts w:ascii="Palatino Linotype" w:eastAsia="Palatino Linotype" w:hAnsi="Palatino Linotype" w:cs="Palatino Linotype"/>
          <w:sz w:val="22"/>
          <w:szCs w:val="22"/>
        </w:rPr>
        <w:lastRenderedPageBreak/>
        <w:t>la Ley de Transparencia y Acceso a la Información Pública del Estado de México y Municipios.</w:t>
      </w:r>
    </w:p>
    <w:p w14:paraId="40F9D36F" w14:textId="77777777" w:rsidR="00CB0D47" w:rsidRPr="00795960" w:rsidRDefault="00CB0D4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B311BAC"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5FF60DD"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133CDC9" w14:textId="77777777" w:rsidR="00CB0D47" w:rsidRPr="00795960" w:rsidRDefault="00CF22F4">
      <w:pPr>
        <w:numPr>
          <w:ilvl w:val="0"/>
          <w:numId w:val="10"/>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795960">
        <w:rPr>
          <w:rFonts w:ascii="Palatino Linotype" w:eastAsia="Palatino Linotype" w:hAnsi="Palatino Linotype" w:cs="Palatino Linotype"/>
          <w:b/>
          <w:sz w:val="22"/>
          <w:szCs w:val="22"/>
        </w:rPr>
        <w:t>C O N S I D E R A N D O:</w:t>
      </w:r>
    </w:p>
    <w:p w14:paraId="5B6A6724" w14:textId="77777777" w:rsidR="00CB0D47" w:rsidRPr="00795960" w:rsidRDefault="00CB0D4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C03C917"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Primero. Competencia. </w:t>
      </w:r>
      <w:r w:rsidRPr="00795960">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46383E" w14:textId="77777777" w:rsidR="00CB0D47" w:rsidRPr="00795960" w:rsidRDefault="00CB0D47">
      <w:pPr>
        <w:spacing w:line="360" w:lineRule="auto"/>
        <w:jc w:val="both"/>
        <w:rPr>
          <w:rFonts w:ascii="Palatino Linotype" w:eastAsia="Palatino Linotype" w:hAnsi="Palatino Linotype" w:cs="Palatino Linotype"/>
          <w:b/>
          <w:sz w:val="22"/>
          <w:szCs w:val="22"/>
        </w:rPr>
      </w:pPr>
    </w:p>
    <w:p w14:paraId="18E887E7"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Segundo. Oportunidad y Procedibilidad del Recurso de Revisión</w:t>
      </w:r>
      <w:r w:rsidRPr="0079596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BB2798B"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8ED8E0D"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 xml:space="preserve">El recurso de revisión fue interpuesto dentro del plazo de quince días hábiles, previsto en el artículo 178 de la Ley de Transparencia y Acceso a la Información Pública del Estado de México y Municipios, ya que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proporcionó su respuesta a la solicitud de información el </w:t>
      </w:r>
      <w:r w:rsidRPr="00795960">
        <w:rPr>
          <w:rFonts w:ascii="Palatino Linotype" w:eastAsia="Palatino Linotype" w:hAnsi="Palatino Linotype" w:cs="Palatino Linotype"/>
          <w:b/>
          <w:sz w:val="22"/>
          <w:szCs w:val="22"/>
        </w:rPr>
        <w:t>cuatro de diciembre de dos mil veinticuatro</w:t>
      </w:r>
      <w:r w:rsidRPr="00795960">
        <w:rPr>
          <w:rFonts w:ascii="Palatino Linotype" w:eastAsia="Palatino Linotype" w:hAnsi="Palatino Linotype" w:cs="Palatino Linotype"/>
          <w:sz w:val="22"/>
          <w:szCs w:val="22"/>
        </w:rPr>
        <w:t xml:space="preserve">, y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presentó su recurso de revisión el </w:t>
      </w:r>
      <w:r w:rsidRPr="00795960">
        <w:rPr>
          <w:rFonts w:ascii="Palatino Linotype" w:eastAsia="Palatino Linotype" w:hAnsi="Palatino Linotype" w:cs="Palatino Linotype"/>
          <w:b/>
          <w:sz w:val="22"/>
          <w:szCs w:val="22"/>
        </w:rPr>
        <w:t>diecisiete de diciembre de dos mil veinticuatro</w:t>
      </w:r>
      <w:r w:rsidRPr="00795960">
        <w:rPr>
          <w:rFonts w:ascii="Palatino Linotype" w:eastAsia="Palatino Linotype" w:hAnsi="Palatino Linotype" w:cs="Palatino Linotype"/>
          <w:sz w:val="22"/>
          <w:szCs w:val="22"/>
        </w:rPr>
        <w:t>;</w:t>
      </w:r>
      <w:r w:rsidRPr="00795960">
        <w:rPr>
          <w:rFonts w:ascii="Palatino Linotype" w:eastAsia="Palatino Linotype" w:hAnsi="Palatino Linotype" w:cs="Palatino Linotype"/>
          <w:b/>
          <w:sz w:val="22"/>
          <w:szCs w:val="22"/>
        </w:rPr>
        <w:t xml:space="preserve"> </w:t>
      </w:r>
      <w:r w:rsidRPr="00795960">
        <w:rPr>
          <w:rFonts w:ascii="Palatino Linotype" w:eastAsia="Palatino Linotype" w:hAnsi="Palatino Linotype" w:cs="Palatino Linotype"/>
          <w:sz w:val="22"/>
          <w:szCs w:val="22"/>
        </w:rPr>
        <w:t xml:space="preserve">esto es al noveno día hábil siguiente en que tuvo conocimiento de la respuesta. </w:t>
      </w:r>
    </w:p>
    <w:p w14:paraId="4C6F90A4" w14:textId="77777777" w:rsidR="00CB0D47" w:rsidRPr="00795960" w:rsidRDefault="00CB0D47">
      <w:pPr>
        <w:spacing w:line="360" w:lineRule="auto"/>
        <w:ind w:right="843"/>
        <w:jc w:val="both"/>
        <w:rPr>
          <w:rFonts w:ascii="Palatino Linotype" w:eastAsia="Palatino Linotype" w:hAnsi="Palatino Linotype" w:cs="Palatino Linotype"/>
          <w:i/>
          <w:sz w:val="22"/>
          <w:szCs w:val="22"/>
        </w:rPr>
      </w:pPr>
    </w:p>
    <w:p w14:paraId="6F0CD099"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9AB626F"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EEC290C"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64EF7A56"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5235324C"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 xml:space="preserve">Artículo 179. </w:t>
      </w:r>
      <w:r w:rsidRPr="0079596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DD76D84"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2C914DFA"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 La negativa a la información solicitada;</w:t>
      </w:r>
    </w:p>
    <w:p w14:paraId="5D692E4F"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 </w:t>
      </w:r>
    </w:p>
    <w:p w14:paraId="27227946" w14:textId="77777777" w:rsidR="00CB0D47" w:rsidRPr="00795960" w:rsidRDefault="00CB0D47">
      <w:pPr>
        <w:spacing w:line="360" w:lineRule="auto"/>
        <w:ind w:left="567" w:right="616"/>
        <w:jc w:val="both"/>
        <w:rPr>
          <w:rFonts w:ascii="Palatino Linotype" w:eastAsia="Palatino Linotype" w:hAnsi="Palatino Linotype" w:cs="Palatino Linotype"/>
          <w:i/>
          <w:sz w:val="22"/>
          <w:szCs w:val="22"/>
        </w:rPr>
      </w:pPr>
    </w:p>
    <w:p w14:paraId="70932D7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Tercero. Materia de Revisión</w:t>
      </w:r>
      <w:r w:rsidRPr="00795960">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594459E4"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E395F1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Cuarto. Estudio de fondo del asunto. </w:t>
      </w:r>
      <w:r w:rsidRPr="00795960">
        <w:rPr>
          <w:rFonts w:ascii="Palatino Linotype" w:eastAsia="Palatino Linotype" w:hAnsi="Palatino Linotype" w:cs="Palatino Linotype"/>
          <w:sz w:val="22"/>
          <w:szCs w:val="22"/>
        </w:rPr>
        <w:t>Es conveniente analizar si la respuesta del Sujeto Obligado</w:t>
      </w:r>
      <w:r w:rsidRPr="00795960">
        <w:rPr>
          <w:rFonts w:ascii="Palatino Linotype" w:eastAsia="Palatino Linotype" w:hAnsi="Palatino Linotype" w:cs="Palatino Linotype"/>
          <w:b/>
          <w:sz w:val="22"/>
          <w:szCs w:val="22"/>
        </w:rPr>
        <w:t xml:space="preserve"> </w:t>
      </w:r>
      <w:r w:rsidRPr="00795960">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A00BD7B"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971FB44" w14:textId="77777777" w:rsidR="00CB0D47" w:rsidRPr="00795960" w:rsidRDefault="00CF22F4">
      <w:pPr>
        <w:tabs>
          <w:tab w:val="left" w:pos="851"/>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4</w:t>
      </w:r>
      <w:r w:rsidRPr="0079596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C1228A" w14:textId="77777777" w:rsidR="00CB0D47" w:rsidRPr="00795960" w:rsidRDefault="00CF22F4">
      <w:pPr>
        <w:tabs>
          <w:tab w:val="left" w:pos="851"/>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9596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56E2DF" w14:textId="77777777" w:rsidR="00CB0D47" w:rsidRPr="00795960" w:rsidRDefault="00CF22F4">
      <w:pPr>
        <w:tabs>
          <w:tab w:val="left" w:pos="851"/>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95960">
        <w:rPr>
          <w:rFonts w:ascii="Palatino Linotype" w:eastAsia="Palatino Linotype" w:hAnsi="Palatino Linotype" w:cs="Palatino Linotype"/>
          <w:i/>
          <w:sz w:val="22"/>
          <w:szCs w:val="22"/>
        </w:rPr>
        <w:t>.”(</w:t>
      </w:r>
      <w:proofErr w:type="gramEnd"/>
      <w:r w:rsidRPr="00795960">
        <w:rPr>
          <w:rFonts w:ascii="Palatino Linotype" w:eastAsia="Palatino Linotype" w:hAnsi="Palatino Linotype" w:cs="Palatino Linotype"/>
          <w:i/>
          <w:sz w:val="22"/>
          <w:szCs w:val="22"/>
        </w:rPr>
        <w:t>Sic)</w:t>
      </w:r>
    </w:p>
    <w:p w14:paraId="004A5D9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FF4C511"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w:t>
      </w:r>
      <w:r w:rsidRPr="00795960">
        <w:rPr>
          <w:rFonts w:ascii="Palatino Linotype" w:eastAsia="Palatino Linotype" w:hAnsi="Palatino Linotype" w:cs="Palatino Linotype"/>
          <w:sz w:val="22"/>
          <w:szCs w:val="22"/>
        </w:rPr>
        <w:lastRenderedPageBreak/>
        <w:t>lo establece el artículo 12 de la Ley de Transparencia y Acceso a la Información Pública del Estado de México y Municipios, que a la letra dice:</w:t>
      </w:r>
    </w:p>
    <w:p w14:paraId="2C38EFE6" w14:textId="77777777" w:rsidR="00CB0D47" w:rsidRPr="00795960" w:rsidRDefault="00CB0D47">
      <w:pPr>
        <w:spacing w:line="276" w:lineRule="auto"/>
        <w:ind w:left="567" w:right="616"/>
        <w:jc w:val="both"/>
        <w:rPr>
          <w:rFonts w:ascii="Palatino Linotype" w:eastAsia="Palatino Linotype" w:hAnsi="Palatino Linotype" w:cs="Palatino Linotype"/>
          <w:sz w:val="22"/>
          <w:szCs w:val="22"/>
        </w:rPr>
      </w:pPr>
    </w:p>
    <w:p w14:paraId="1F5820CD"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12.-</w:t>
      </w:r>
      <w:r w:rsidRPr="0079596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2EF0E93" w14:textId="77777777" w:rsidR="00CB0D47" w:rsidRPr="00795960" w:rsidRDefault="00CB0D47">
      <w:pPr>
        <w:ind w:left="851" w:right="616"/>
        <w:jc w:val="both"/>
        <w:rPr>
          <w:rFonts w:ascii="Palatino Linotype" w:eastAsia="Palatino Linotype" w:hAnsi="Palatino Linotype" w:cs="Palatino Linotype"/>
          <w:i/>
          <w:sz w:val="22"/>
          <w:szCs w:val="22"/>
        </w:rPr>
      </w:pPr>
    </w:p>
    <w:p w14:paraId="780ED66B"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795960">
        <w:rPr>
          <w:rFonts w:ascii="Palatino Linotype" w:eastAsia="Palatino Linotype" w:hAnsi="Palatino Linotype" w:cs="Palatino Linotype"/>
          <w:i/>
          <w:sz w:val="22"/>
          <w:szCs w:val="22"/>
        </w:rPr>
        <w:t xml:space="preserve">.” </w:t>
      </w:r>
    </w:p>
    <w:p w14:paraId="6C44CFD6" w14:textId="77777777" w:rsidR="00CB0D47" w:rsidRPr="00795960" w:rsidRDefault="00CB0D47">
      <w:pPr>
        <w:spacing w:line="360" w:lineRule="auto"/>
        <w:ind w:right="-93"/>
        <w:jc w:val="both"/>
        <w:rPr>
          <w:rFonts w:ascii="Palatino Linotype" w:eastAsia="Palatino Linotype" w:hAnsi="Palatino Linotype" w:cs="Palatino Linotype"/>
          <w:sz w:val="22"/>
          <w:szCs w:val="22"/>
        </w:rPr>
      </w:pPr>
    </w:p>
    <w:p w14:paraId="26E64672" w14:textId="77777777" w:rsidR="00CB0D47" w:rsidRPr="00795960" w:rsidRDefault="00CF22F4">
      <w:pPr>
        <w:spacing w:line="360" w:lineRule="auto"/>
        <w:ind w:right="-93"/>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B294712" w14:textId="77777777" w:rsidR="00CB0D47" w:rsidRPr="00795960" w:rsidRDefault="00CB0D47">
      <w:pPr>
        <w:spacing w:line="360" w:lineRule="auto"/>
        <w:ind w:right="-93"/>
        <w:jc w:val="both"/>
        <w:rPr>
          <w:rFonts w:ascii="Palatino Linotype" w:eastAsia="Palatino Linotype" w:hAnsi="Palatino Linotype" w:cs="Palatino Linotype"/>
          <w:sz w:val="22"/>
          <w:szCs w:val="22"/>
        </w:rPr>
      </w:pPr>
    </w:p>
    <w:p w14:paraId="29987E91" w14:textId="77777777" w:rsidR="00CB0D47" w:rsidRPr="00795960" w:rsidRDefault="00CF22F4">
      <w:pPr>
        <w:spacing w:line="360" w:lineRule="auto"/>
        <w:jc w:val="both"/>
        <w:rPr>
          <w:rFonts w:ascii="Palatino Linotype" w:eastAsia="Palatino Linotype" w:hAnsi="Palatino Linotype" w:cs="Palatino Linotype"/>
          <w:b/>
          <w:sz w:val="22"/>
          <w:szCs w:val="22"/>
        </w:rPr>
      </w:pPr>
      <w:r w:rsidRPr="00795960">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795960">
        <w:rPr>
          <w:rFonts w:ascii="Palatino Linotype" w:eastAsia="Palatino Linotype" w:hAnsi="Palatino Linotype" w:cs="Palatino Linotype"/>
          <w:b/>
          <w:sz w:val="22"/>
          <w:szCs w:val="22"/>
        </w:rPr>
        <w:t xml:space="preserve"> </w:t>
      </w:r>
    </w:p>
    <w:p w14:paraId="5A3C526C" w14:textId="77777777" w:rsidR="00CB0D47" w:rsidRPr="00795960" w:rsidRDefault="00CB0D47">
      <w:pPr>
        <w:spacing w:line="276" w:lineRule="auto"/>
        <w:ind w:left="851" w:right="850"/>
        <w:jc w:val="both"/>
        <w:rPr>
          <w:rFonts w:ascii="Palatino Linotype" w:eastAsia="Palatino Linotype" w:hAnsi="Palatino Linotype" w:cs="Palatino Linotype"/>
          <w:sz w:val="22"/>
          <w:szCs w:val="22"/>
        </w:rPr>
      </w:pPr>
    </w:p>
    <w:p w14:paraId="5732D99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No existe obligación de elaborar documentos ad hoc para atender las solicitudes de acceso a la información.</w:t>
      </w:r>
      <w:r w:rsidRPr="0079596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795960">
        <w:rPr>
          <w:rFonts w:ascii="Palatino Linotype" w:eastAsia="Palatino Linotype" w:hAnsi="Palatino Linotype" w:cs="Palatino Linotype"/>
          <w:i/>
          <w:sz w:val="22"/>
          <w:szCs w:val="22"/>
        </w:rPr>
        <w:lastRenderedPageBreak/>
        <w:t xml:space="preserve">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4D26652" w14:textId="77777777" w:rsidR="00CB0D47" w:rsidRPr="00795960" w:rsidRDefault="00CB0D47">
      <w:pPr>
        <w:spacing w:line="276" w:lineRule="auto"/>
        <w:ind w:left="567" w:right="616"/>
        <w:jc w:val="both"/>
        <w:rPr>
          <w:rFonts w:ascii="Palatino Linotype" w:eastAsia="Palatino Linotype" w:hAnsi="Palatino Linotype" w:cs="Palatino Linotype"/>
          <w:i/>
          <w:sz w:val="22"/>
          <w:szCs w:val="22"/>
        </w:rPr>
      </w:pPr>
    </w:p>
    <w:p w14:paraId="26AC4A4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AA749D"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848775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F160E74"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C35628B"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 xml:space="preserve">Artículo 3. </w:t>
      </w:r>
      <w:r w:rsidRPr="00795960">
        <w:rPr>
          <w:rFonts w:ascii="Palatino Linotype" w:eastAsia="Palatino Linotype" w:hAnsi="Palatino Linotype" w:cs="Palatino Linotype"/>
          <w:i/>
          <w:sz w:val="22"/>
          <w:szCs w:val="22"/>
        </w:rPr>
        <w:t>Para los efectos de la presente Ley se entenderá por:</w:t>
      </w:r>
    </w:p>
    <w:p w14:paraId="47121F46"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1D46A3C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XI. Documento:</w:t>
      </w:r>
      <w:r w:rsidRPr="00795960">
        <w:rPr>
          <w:rFonts w:ascii="Palatino Linotype" w:eastAsia="Palatino Linotype" w:hAnsi="Palatino Linotype" w:cs="Palatino Linotype"/>
          <w:i/>
          <w:sz w:val="22"/>
          <w:szCs w:val="22"/>
        </w:rPr>
        <w:t xml:space="preserve"> Los expedientes, reportes, estudios, actas</w:t>
      </w:r>
      <w:r w:rsidRPr="00795960">
        <w:rPr>
          <w:rFonts w:ascii="Palatino Linotype" w:eastAsia="Palatino Linotype" w:hAnsi="Palatino Linotype" w:cs="Palatino Linotype"/>
          <w:b/>
          <w:i/>
          <w:sz w:val="22"/>
          <w:szCs w:val="22"/>
        </w:rPr>
        <w:t>,</w:t>
      </w:r>
      <w:r w:rsidRPr="0079596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062A51" w14:textId="77777777" w:rsidR="00CB0D47" w:rsidRPr="00795960" w:rsidRDefault="00CB0D47">
      <w:pPr>
        <w:spacing w:line="360" w:lineRule="auto"/>
        <w:ind w:left="851" w:right="899"/>
        <w:jc w:val="both"/>
        <w:rPr>
          <w:rFonts w:ascii="Palatino Linotype" w:eastAsia="Palatino Linotype" w:hAnsi="Palatino Linotype" w:cs="Palatino Linotype"/>
          <w:sz w:val="22"/>
          <w:szCs w:val="22"/>
        </w:rPr>
      </w:pPr>
    </w:p>
    <w:p w14:paraId="1992262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CEF0B4" w14:textId="77777777" w:rsidR="00CB0D47" w:rsidRPr="00795960" w:rsidRDefault="00CB0D47">
      <w:pPr>
        <w:spacing w:line="360" w:lineRule="auto"/>
        <w:ind w:left="851" w:right="899"/>
        <w:jc w:val="both"/>
        <w:rPr>
          <w:rFonts w:ascii="Palatino Linotype" w:eastAsia="Palatino Linotype" w:hAnsi="Palatino Linotype" w:cs="Palatino Linotype"/>
          <w:sz w:val="22"/>
          <w:szCs w:val="22"/>
        </w:rPr>
      </w:pPr>
    </w:p>
    <w:p w14:paraId="1BF4DBE5"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sz w:val="22"/>
          <w:szCs w:val="22"/>
        </w:rPr>
        <w:t>“</w:t>
      </w:r>
      <w:r w:rsidRPr="0079596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9596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A4A401"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En </w:t>
      </w:r>
      <w:proofErr w:type="gramStart"/>
      <w:r w:rsidRPr="00795960">
        <w:rPr>
          <w:rFonts w:ascii="Palatino Linotype" w:eastAsia="Palatino Linotype" w:hAnsi="Palatino Linotype" w:cs="Palatino Linotype"/>
          <w:i/>
          <w:sz w:val="22"/>
          <w:szCs w:val="22"/>
        </w:rPr>
        <w:t>consecuencia</w:t>
      </w:r>
      <w:proofErr w:type="gramEnd"/>
      <w:r w:rsidRPr="0079596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6347C9A"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95960">
        <w:rPr>
          <w:rFonts w:ascii="Palatino Linotype" w:eastAsia="Palatino Linotype" w:hAnsi="Palatino Linotype" w:cs="Palatino Linotype"/>
          <w:i/>
          <w:sz w:val="22"/>
          <w:szCs w:val="22"/>
        </w:rPr>
        <w:t>que</w:t>
      </w:r>
      <w:proofErr w:type="gramEnd"/>
      <w:r w:rsidRPr="00795960">
        <w:rPr>
          <w:rFonts w:ascii="Palatino Linotype" w:eastAsia="Palatino Linotype" w:hAnsi="Palatino Linotype" w:cs="Palatino Linotype"/>
          <w:i/>
          <w:sz w:val="22"/>
          <w:szCs w:val="22"/>
        </w:rPr>
        <w:t xml:space="preserve"> en ejercicio de las atribuciones conferidas, sea generada por los Sujetos Obligados;</w:t>
      </w:r>
    </w:p>
    <w:p w14:paraId="769CE94C"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95960">
        <w:rPr>
          <w:rFonts w:ascii="Palatino Linotype" w:eastAsia="Palatino Linotype" w:hAnsi="Palatino Linotype" w:cs="Palatino Linotype"/>
          <w:b/>
          <w:i/>
          <w:sz w:val="22"/>
          <w:szCs w:val="22"/>
        </w:rPr>
        <w:t>que</w:t>
      </w:r>
      <w:proofErr w:type="gramEnd"/>
      <w:r w:rsidRPr="00795960">
        <w:rPr>
          <w:rFonts w:ascii="Palatino Linotype" w:eastAsia="Palatino Linotype" w:hAnsi="Palatino Linotype" w:cs="Palatino Linotype"/>
          <w:b/>
          <w:i/>
          <w:sz w:val="22"/>
          <w:szCs w:val="22"/>
        </w:rPr>
        <w:t xml:space="preserve"> en ejercicio de las atribuciones conferidas, sea administrada por los Sujetos Obligados, y</w:t>
      </w:r>
    </w:p>
    <w:p w14:paraId="7CAF0224"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795960">
        <w:rPr>
          <w:rFonts w:ascii="Palatino Linotype" w:eastAsia="Palatino Linotype" w:hAnsi="Palatino Linotype" w:cs="Palatino Linotype"/>
          <w:b/>
          <w:i/>
          <w:sz w:val="22"/>
          <w:szCs w:val="22"/>
        </w:rPr>
        <w:t>que</w:t>
      </w:r>
      <w:proofErr w:type="gramEnd"/>
      <w:r w:rsidRPr="00795960">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0F210E4"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417EF7BC"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w:t>
      </w:r>
      <w:r w:rsidRPr="00795960">
        <w:rPr>
          <w:rFonts w:ascii="Palatino Linotype" w:eastAsia="Palatino Linotype" w:hAnsi="Palatino Linotype" w:cs="Palatino Linotype"/>
          <w:sz w:val="22"/>
          <w:szCs w:val="22"/>
        </w:rPr>
        <w:lastRenderedPageBreak/>
        <w:t>establece en la Ley de Transparencia y Acceso a la Información Pública del Estado de México y Municipios.</w:t>
      </w:r>
    </w:p>
    <w:p w14:paraId="3EF2B94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00BA5AF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84099D7" w14:textId="77777777" w:rsidR="00CB0D47" w:rsidRPr="00795960" w:rsidRDefault="00CF22F4">
      <w:pPr>
        <w:spacing w:before="240" w:after="240" w:line="360" w:lineRule="auto"/>
        <w:ind w:right="51"/>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requirió al </w:t>
      </w:r>
      <w:r w:rsidRPr="00795960">
        <w:rPr>
          <w:rFonts w:ascii="Palatino Linotype" w:eastAsia="Palatino Linotype" w:hAnsi="Palatino Linotype" w:cs="Palatino Linotype"/>
          <w:b/>
          <w:sz w:val="22"/>
          <w:szCs w:val="22"/>
        </w:rPr>
        <w:t xml:space="preserve">Sujeto Obligado </w:t>
      </w:r>
      <w:r w:rsidRPr="00795960">
        <w:rPr>
          <w:rFonts w:ascii="Palatino Linotype" w:eastAsia="Palatino Linotype" w:hAnsi="Palatino Linotype" w:cs="Palatino Linotype"/>
          <w:sz w:val="22"/>
          <w:szCs w:val="22"/>
        </w:rPr>
        <w:t>le proporcione, información consistente en lo siguiente:</w:t>
      </w:r>
    </w:p>
    <w:p w14:paraId="315A73FF" w14:textId="77777777" w:rsidR="00CB0D47" w:rsidRPr="00795960" w:rsidRDefault="00CF22F4">
      <w:pPr>
        <w:numPr>
          <w:ilvl w:val="0"/>
          <w:numId w:val="2"/>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Las nóminas de las siguientes quincenas, en los términos que le son entregadas el sindicato: </w:t>
      </w:r>
    </w:p>
    <w:p w14:paraId="7620C707" w14:textId="77777777" w:rsidR="00CB0D47" w:rsidRPr="00795960" w:rsidRDefault="00CF22F4">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 los años 2020, 202, 2022 y 2023: </w:t>
      </w:r>
    </w:p>
    <w:p w14:paraId="62804161" w14:textId="77777777" w:rsidR="00CB0D47" w:rsidRPr="00795960" w:rsidRDefault="00CF22F4">
      <w:pPr>
        <w:numPr>
          <w:ilvl w:val="0"/>
          <w:numId w:val="6"/>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primera de febrero, </w:t>
      </w:r>
    </w:p>
    <w:p w14:paraId="6D5902C6" w14:textId="77777777" w:rsidR="00CB0D47" w:rsidRPr="00795960" w:rsidRDefault="00CF22F4">
      <w:pPr>
        <w:numPr>
          <w:ilvl w:val="0"/>
          <w:numId w:val="6"/>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segunda de julio; y,</w:t>
      </w:r>
    </w:p>
    <w:p w14:paraId="0ACC4C49" w14:textId="77777777" w:rsidR="00CB0D47" w:rsidRPr="00795960" w:rsidRDefault="00CF22F4">
      <w:pPr>
        <w:numPr>
          <w:ilvl w:val="0"/>
          <w:numId w:val="6"/>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segunda de diciembre</w:t>
      </w:r>
    </w:p>
    <w:p w14:paraId="5A9744CA" w14:textId="77777777" w:rsidR="00CB0D47" w:rsidRPr="00795960" w:rsidRDefault="00CF22F4">
      <w:pPr>
        <w:numPr>
          <w:ilvl w:val="0"/>
          <w:numId w:val="5"/>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Del año 2024: </w:t>
      </w:r>
    </w:p>
    <w:p w14:paraId="7836E307" w14:textId="77777777" w:rsidR="00CB0D47" w:rsidRPr="00795960" w:rsidRDefault="00CF22F4">
      <w:pPr>
        <w:numPr>
          <w:ilvl w:val="0"/>
          <w:numId w:val="7"/>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segunda de marzo, </w:t>
      </w:r>
    </w:p>
    <w:p w14:paraId="6CB08817" w14:textId="77777777" w:rsidR="00CB0D47" w:rsidRPr="00795960" w:rsidRDefault="00CF22F4">
      <w:pPr>
        <w:numPr>
          <w:ilvl w:val="0"/>
          <w:numId w:val="7"/>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primera de julio; y, </w:t>
      </w:r>
    </w:p>
    <w:p w14:paraId="4B61C0A2" w14:textId="77777777" w:rsidR="00CB0D47" w:rsidRPr="00795960" w:rsidRDefault="00CF22F4">
      <w:pPr>
        <w:numPr>
          <w:ilvl w:val="0"/>
          <w:numId w:val="7"/>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segunda de octubre. </w:t>
      </w:r>
    </w:p>
    <w:p w14:paraId="0027DE72"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48D7BD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tal sentido,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a través de la Subdirectora de Administración de Personal, en respuesta informó que la información solicitada corresponde a la plantilla nominal, disponible en la página oficial de Información Pública de Oficio de los Sujetos Obligados del Estado de México y Municipios (IPOMEX), en el apartado del artículo 92 fracción VIII A correspondiente a “Remuneraciones”, disponible en el siguiente link: </w:t>
      </w:r>
      <w:hyperlink r:id="rId9">
        <w:r w:rsidRPr="00795960">
          <w:rPr>
            <w:rFonts w:ascii="Palatino Linotype" w:eastAsia="Palatino Linotype" w:hAnsi="Palatino Linotype" w:cs="Palatino Linotype"/>
            <w:sz w:val="22"/>
            <w:szCs w:val="22"/>
            <w:u w:val="single"/>
          </w:rPr>
          <w:t>https://www.ipomex.org.mx/ipo3/lgt/indice/HUIXQUILUCAN/art_92_viii.web</w:t>
        </w:r>
      </w:hyperlink>
      <w:r w:rsidRPr="00795960">
        <w:rPr>
          <w:rFonts w:ascii="Palatino Linotype" w:eastAsia="Palatino Linotype" w:hAnsi="Palatino Linotype" w:cs="Palatino Linotype"/>
          <w:sz w:val="22"/>
          <w:szCs w:val="22"/>
        </w:rPr>
        <w:t xml:space="preserve"> </w:t>
      </w:r>
    </w:p>
    <w:p w14:paraId="12D53C22"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9708F5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Derivado de ello, la parte solicitante, interpuso el recurso de revisión que se analiza en el presente asunto, por medio del cual se inconformó en lo medular de la falta de entrega de la información solicitada. </w:t>
      </w:r>
    </w:p>
    <w:p w14:paraId="0E37E856"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1D8EE36" w14:textId="77777777" w:rsidR="00CB0D47" w:rsidRPr="00795960" w:rsidRDefault="00CF22F4">
      <w:pPr>
        <w:tabs>
          <w:tab w:val="left" w:pos="4962"/>
        </w:tabs>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Es así que, el </w:t>
      </w:r>
      <w:r w:rsidRPr="00795960">
        <w:rPr>
          <w:rFonts w:ascii="Palatino Linotype" w:eastAsia="Palatino Linotype" w:hAnsi="Palatino Linotype" w:cs="Palatino Linotype"/>
          <w:b/>
          <w:sz w:val="22"/>
          <w:szCs w:val="22"/>
        </w:rPr>
        <w:t xml:space="preserve">Sujeto Obligado </w:t>
      </w:r>
      <w:r w:rsidRPr="00795960">
        <w:rPr>
          <w:rFonts w:ascii="Palatino Linotype" w:eastAsia="Palatino Linotype" w:hAnsi="Palatino Linotype" w:cs="Palatino Linotype"/>
          <w:sz w:val="22"/>
          <w:szCs w:val="22"/>
        </w:rPr>
        <w:t xml:space="preserve">en informe justificado ratificó su respuesta al señalar que en el enlace URL efectivamente se encuentra la información materia del presente recurso, mientras que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no realizó manifestaciones o alegatos que a su derecho convinieran.</w:t>
      </w:r>
    </w:p>
    <w:p w14:paraId="4A3757C7"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Es de precisar que posterior a su admisión, este Instituto procedió a conformar el expediente electrónico del recurso de revisión que nos ocupa, concediéndoles a las partes un plazo de siete días hábiles para que presentaran sus manifestaciones, informe justificado o alegatos, teniendo así que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ratificó los términos de su respuesta inicial, mientras que la parte</w:t>
      </w:r>
      <w:r w:rsidRPr="00795960">
        <w:rPr>
          <w:rFonts w:ascii="Palatino Linotype" w:eastAsia="Palatino Linotype" w:hAnsi="Palatino Linotype" w:cs="Palatino Linotype"/>
          <w:b/>
          <w:sz w:val="22"/>
          <w:szCs w:val="22"/>
        </w:rPr>
        <w:t xml:space="preserve"> Recurrente</w:t>
      </w:r>
      <w:r w:rsidRPr="00795960">
        <w:rPr>
          <w:rFonts w:ascii="Palatino Linotype" w:eastAsia="Palatino Linotype" w:hAnsi="Palatino Linotype" w:cs="Palatino Linotype"/>
          <w:sz w:val="22"/>
          <w:szCs w:val="22"/>
        </w:rPr>
        <w:t xml:space="preserve"> fue omisa en remitir pronunciamiento alguno, por lo tanto, se decretó el cierre de instrucción y se procede a emitir la resolución que conforme a derecho corresponda.</w:t>
      </w:r>
    </w:p>
    <w:p w14:paraId="482F483D"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Expuestas las posturas de las partes, es de vital importancia iniciar el presente análisis destacando el hecho de </w:t>
      </w:r>
      <w:proofErr w:type="gramStart"/>
      <w:r w:rsidRPr="00795960">
        <w:rPr>
          <w:rFonts w:ascii="Palatino Linotype" w:eastAsia="Palatino Linotype" w:hAnsi="Palatino Linotype" w:cs="Palatino Linotype"/>
          <w:sz w:val="22"/>
          <w:szCs w:val="22"/>
        </w:rPr>
        <w:t>que</w:t>
      </w:r>
      <w:proofErr w:type="gramEnd"/>
      <w:r w:rsidRPr="00795960">
        <w:rPr>
          <w:rFonts w:ascii="Palatino Linotype" w:eastAsia="Palatino Linotype" w:hAnsi="Palatino Linotype" w:cs="Palatino Linotype"/>
          <w:sz w:val="22"/>
          <w:szCs w:val="22"/>
        </w:rPr>
        <w:t xml:space="preserve"> en el presente asunto, se pronunció la Subdirección de </w:t>
      </w:r>
      <w:r w:rsidRPr="00795960">
        <w:rPr>
          <w:rFonts w:ascii="Palatino Linotype" w:eastAsia="Palatino Linotype" w:hAnsi="Palatino Linotype" w:cs="Palatino Linotype"/>
          <w:sz w:val="22"/>
          <w:szCs w:val="22"/>
        </w:rPr>
        <w:lastRenderedPageBreak/>
        <w:t>Administración de Personal dependiente de la Dirección de Administración, el cual de conformidad con el Reglamento Orgánico de la Administración Pública Municipal de Huixquilucan vigente, cuenta con las siguientes atribuciones:</w:t>
      </w:r>
    </w:p>
    <w:p w14:paraId="58F31B22" w14:textId="77777777" w:rsidR="00CB0D47" w:rsidRPr="00795960" w:rsidRDefault="00CF22F4">
      <w:pPr>
        <w:spacing w:line="276" w:lineRule="auto"/>
        <w:ind w:left="851" w:right="616"/>
        <w:jc w:val="both"/>
        <w:rPr>
          <w:rFonts w:ascii="Palatino Linotype" w:eastAsia="Palatino Linotype" w:hAnsi="Palatino Linotype" w:cs="Palatino Linotype"/>
          <w:b/>
          <w:i/>
          <w:sz w:val="22"/>
          <w:szCs w:val="22"/>
          <w:u w:val="single"/>
        </w:rPr>
      </w:pPr>
      <w:r w:rsidRPr="00795960">
        <w:rPr>
          <w:rFonts w:ascii="Palatino Linotype" w:eastAsia="Palatino Linotype" w:hAnsi="Palatino Linotype" w:cs="Palatino Linotype"/>
          <w:i/>
          <w:sz w:val="22"/>
          <w:szCs w:val="22"/>
        </w:rPr>
        <w:t xml:space="preserve">“Artículo 128. La </w:t>
      </w:r>
      <w:r w:rsidRPr="00795960">
        <w:rPr>
          <w:rFonts w:ascii="Palatino Linotype" w:eastAsia="Palatino Linotype" w:hAnsi="Palatino Linotype" w:cs="Palatino Linotype"/>
          <w:b/>
          <w:i/>
          <w:sz w:val="22"/>
          <w:szCs w:val="22"/>
          <w:u w:val="single"/>
        </w:rPr>
        <w:t>Dirección General de Administración tendrá adscritas las siguientes Unidades Administrativas:</w:t>
      </w:r>
    </w:p>
    <w:p w14:paraId="0164D26E"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 Dirección de Recursos Materiales, Adquisiciones y Servicios Generales;</w:t>
      </w:r>
    </w:p>
    <w:p w14:paraId="13E968BB"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a) Subdirección de Recursos Materiales y Adquisiciones;</w:t>
      </w:r>
    </w:p>
    <w:p w14:paraId="7C638C32"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b) Subdirección de Servicios Generales;</w:t>
      </w:r>
    </w:p>
    <w:p w14:paraId="120663B3"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II. Dirección de Factor Humano y Productividad;</w:t>
      </w:r>
    </w:p>
    <w:p w14:paraId="1A2B79C2" w14:textId="77777777" w:rsidR="00CB0D47" w:rsidRPr="00795960" w:rsidRDefault="00CF22F4">
      <w:pPr>
        <w:spacing w:line="276" w:lineRule="auto"/>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a) Subdirección de Administración de Personal;</w:t>
      </w:r>
    </w:p>
    <w:p w14:paraId="10EAD601"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III. Subdirección de Sistemas;</w:t>
      </w:r>
    </w:p>
    <w:p w14:paraId="1C20A5A1" w14:textId="77777777" w:rsidR="00CB0D47" w:rsidRPr="00795960" w:rsidRDefault="00CF22F4">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IV. Subdirección de Proceso Administrativo Interno.</w:t>
      </w:r>
    </w:p>
    <w:p w14:paraId="2B7ECCFC"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3A8A9B91" w14:textId="77777777" w:rsidR="00CB0D47" w:rsidRPr="00795960" w:rsidRDefault="00CF22F4">
      <w:pPr>
        <w:spacing w:line="276" w:lineRule="auto"/>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Artículo 137.</w:t>
      </w:r>
      <w:r w:rsidRPr="00795960">
        <w:rPr>
          <w:rFonts w:ascii="Palatino Linotype" w:eastAsia="Palatino Linotype" w:hAnsi="Palatino Linotype" w:cs="Palatino Linotype"/>
          <w:i/>
          <w:sz w:val="22"/>
          <w:szCs w:val="22"/>
        </w:rPr>
        <w:t xml:space="preserve"> La </w:t>
      </w:r>
      <w:r w:rsidRPr="00795960">
        <w:rPr>
          <w:rFonts w:ascii="Palatino Linotype" w:eastAsia="Palatino Linotype" w:hAnsi="Palatino Linotype" w:cs="Palatino Linotype"/>
          <w:b/>
          <w:sz w:val="22"/>
          <w:szCs w:val="22"/>
          <w:u w:val="single"/>
        </w:rPr>
        <w:t>Subdirección de Administración de Personal</w:t>
      </w:r>
      <w:r w:rsidRPr="00795960">
        <w:rPr>
          <w:rFonts w:ascii="Palatino Linotype" w:eastAsia="Palatino Linotype" w:hAnsi="Palatino Linotype" w:cs="Palatino Linotype"/>
          <w:sz w:val="22"/>
          <w:szCs w:val="22"/>
          <w:u w:val="single"/>
        </w:rPr>
        <w:t xml:space="preserve"> tendrá las siguientes </w:t>
      </w:r>
      <w:r w:rsidRPr="00795960">
        <w:rPr>
          <w:rFonts w:ascii="Palatino Linotype" w:eastAsia="Palatino Linotype" w:hAnsi="Palatino Linotype" w:cs="Palatino Linotype"/>
          <w:b/>
          <w:i/>
          <w:sz w:val="22"/>
          <w:szCs w:val="22"/>
          <w:u w:val="single"/>
        </w:rPr>
        <w:t>atribuciones</w:t>
      </w:r>
      <w:r w:rsidRPr="00795960">
        <w:rPr>
          <w:rFonts w:ascii="Palatino Linotype" w:eastAsia="Palatino Linotype" w:hAnsi="Palatino Linotype" w:cs="Palatino Linotype"/>
          <w:b/>
          <w:i/>
          <w:sz w:val="22"/>
          <w:szCs w:val="22"/>
        </w:rPr>
        <w:t>:</w:t>
      </w:r>
    </w:p>
    <w:p w14:paraId="727ED01B"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 Vigilar la elaboración y actualización del registro del personal que labora en la Administración Pública Municipal Centralizada;</w:t>
      </w:r>
    </w:p>
    <w:p w14:paraId="06029220"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II. Supervisar la elaboración de la nómina de pago a los servidores públicos municipales, </w:t>
      </w:r>
    </w:p>
    <w:p w14:paraId="2BAC81E9"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III. Verificar que los pagos de nómina se efectúen en tiempo y forma;</w:t>
      </w:r>
    </w:p>
    <w:p w14:paraId="14008889"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IV. Atender las solicitudes de finiquitos, liquidaciones, laudos o convenios, con la intervención de las Dependencias competentes;</w:t>
      </w:r>
    </w:p>
    <w:p w14:paraId="7382AEC8" w14:textId="77777777" w:rsidR="00CB0D47" w:rsidRPr="00795960" w:rsidRDefault="00CF22F4">
      <w:pPr>
        <w:spacing w:line="276" w:lineRule="auto"/>
        <w:ind w:left="851" w:right="616"/>
        <w:jc w:val="both"/>
        <w:rPr>
          <w:rFonts w:ascii="Palatino Linotype" w:eastAsia="Palatino Linotype" w:hAnsi="Palatino Linotype" w:cs="Palatino Linotype"/>
          <w:b/>
          <w:i/>
          <w:sz w:val="22"/>
          <w:szCs w:val="22"/>
          <w:u w:val="single"/>
        </w:rPr>
      </w:pPr>
      <w:r w:rsidRPr="00795960">
        <w:rPr>
          <w:rFonts w:ascii="Palatino Linotype" w:eastAsia="Palatino Linotype" w:hAnsi="Palatino Linotype" w:cs="Palatino Linotype"/>
          <w:b/>
          <w:i/>
          <w:sz w:val="22"/>
          <w:szCs w:val="22"/>
          <w:u w:val="single"/>
        </w:rPr>
        <w:t>V. Brindar atención y seguimiento a las cláusulas del Convenio de Sueldos, Prestaciones Colaterales y de Ley.</w:t>
      </w:r>
    </w:p>
    <w:p w14:paraId="777825A4"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VI. Coordinar el proceso de credencialización de los servidores públicos de la administración pública municipal centralizada.</w:t>
      </w:r>
    </w:p>
    <w:p w14:paraId="5748EF80"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VII. Proponer programas de profesionalismo y capacitación para el personal de la administración pública municipal centralizada.</w:t>
      </w:r>
    </w:p>
    <w:p w14:paraId="2418E322"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VIII. Las demás que las disposiciones legales aplicables le confieran, las que le encomiende la Dirección de Factor Humano y Productividad y las que correspondan a las Dependencias que se les adscriban.”</w:t>
      </w:r>
    </w:p>
    <w:p w14:paraId="69CE5CD3"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(Énfasis Añadido)</w:t>
      </w:r>
    </w:p>
    <w:p w14:paraId="2CCC03D0" w14:textId="77777777" w:rsidR="00CB0D47" w:rsidRPr="00795960" w:rsidRDefault="00CB0D47">
      <w:pPr>
        <w:spacing w:line="276" w:lineRule="auto"/>
        <w:ind w:right="616"/>
        <w:jc w:val="both"/>
        <w:rPr>
          <w:rFonts w:ascii="Palatino Linotype" w:eastAsia="Palatino Linotype" w:hAnsi="Palatino Linotype" w:cs="Palatino Linotype"/>
          <w:i/>
          <w:sz w:val="22"/>
          <w:szCs w:val="22"/>
        </w:rPr>
      </w:pPr>
    </w:p>
    <w:p w14:paraId="29BB1164"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Asimismo, el artículo 138 del mismo Reglamento refiere que la Subdirección de Administración de Personal se auxiliara de un Departamento de Proceso de Nómina y Prestaciones Laborales, tal y como se muestra a continuación: </w:t>
      </w:r>
    </w:p>
    <w:p w14:paraId="0896E01B" w14:textId="77777777" w:rsidR="00CB0D47" w:rsidRPr="00795960" w:rsidRDefault="00CB0D47">
      <w:pPr>
        <w:spacing w:line="276" w:lineRule="auto"/>
        <w:ind w:left="851" w:right="616"/>
        <w:jc w:val="both"/>
        <w:rPr>
          <w:rFonts w:ascii="Palatino Linotype" w:eastAsia="Palatino Linotype" w:hAnsi="Palatino Linotype" w:cs="Palatino Linotype"/>
          <w:i/>
          <w:sz w:val="22"/>
          <w:szCs w:val="22"/>
        </w:rPr>
      </w:pPr>
    </w:p>
    <w:p w14:paraId="1F2016D2"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u w:val="single"/>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138</w:t>
      </w:r>
      <w:r w:rsidRPr="00795960">
        <w:rPr>
          <w:rFonts w:ascii="Palatino Linotype" w:eastAsia="Palatino Linotype" w:hAnsi="Palatino Linotype" w:cs="Palatino Linotype"/>
          <w:i/>
          <w:sz w:val="22"/>
          <w:szCs w:val="22"/>
        </w:rPr>
        <w:t xml:space="preserve">. Para el despacho de los asuntos de su competencia, </w:t>
      </w:r>
      <w:r w:rsidRPr="00795960">
        <w:rPr>
          <w:rFonts w:ascii="Palatino Linotype" w:eastAsia="Palatino Linotype" w:hAnsi="Palatino Linotype" w:cs="Palatino Linotype"/>
          <w:i/>
          <w:sz w:val="22"/>
          <w:szCs w:val="22"/>
          <w:u w:val="single"/>
        </w:rPr>
        <w:t>el titular de la Subdirección de Administración de Personal, se apoyará de:</w:t>
      </w:r>
    </w:p>
    <w:p w14:paraId="2D1833CF" w14:textId="77777777" w:rsidR="00CB0D47" w:rsidRPr="00795960" w:rsidRDefault="00CF22F4">
      <w:pPr>
        <w:spacing w:line="276" w:lineRule="auto"/>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1. Departamento de Proceso de Nómina y Prestaciones Laborales;</w:t>
      </w:r>
    </w:p>
    <w:p w14:paraId="1488448C"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2. Departamento de Prestaciones por Terminación Laboral;</w:t>
      </w:r>
    </w:p>
    <w:p w14:paraId="4ABA791D"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3. Departamento de Prestaciones por Convenio; y</w:t>
      </w:r>
    </w:p>
    <w:p w14:paraId="6EC52799"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4. Departamento de Capacitación y Evaluación del Servicio Público</w:t>
      </w:r>
      <w:proofErr w:type="gramStart"/>
      <w:r w:rsidRPr="00795960">
        <w:rPr>
          <w:rFonts w:ascii="Palatino Linotype" w:eastAsia="Palatino Linotype" w:hAnsi="Palatino Linotype" w:cs="Palatino Linotype"/>
          <w:i/>
          <w:sz w:val="22"/>
          <w:szCs w:val="22"/>
        </w:rPr>
        <w:t>.”(</w:t>
      </w:r>
      <w:proofErr w:type="gramEnd"/>
      <w:r w:rsidRPr="00795960">
        <w:rPr>
          <w:rFonts w:ascii="Palatino Linotype" w:eastAsia="Palatino Linotype" w:hAnsi="Palatino Linotype" w:cs="Palatino Linotype"/>
          <w:i/>
          <w:sz w:val="22"/>
          <w:szCs w:val="22"/>
        </w:rPr>
        <w:t>Sic)</w:t>
      </w:r>
    </w:p>
    <w:p w14:paraId="1C8CFF29"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Por su parte, el Manual de Organización de la Dirección General de Administración refiere que el Departamento de Proceso de Nómina y Prestaciones Laborales tiene como objetivo llevar el registro del personal que labore en la Administración Pública Municipal, </w:t>
      </w:r>
      <w:r w:rsidRPr="00795960">
        <w:rPr>
          <w:rFonts w:ascii="Palatino Linotype" w:eastAsia="Palatino Linotype" w:hAnsi="Palatino Linotype" w:cs="Palatino Linotype"/>
          <w:b/>
          <w:sz w:val="22"/>
          <w:szCs w:val="22"/>
          <w:u w:val="single"/>
        </w:rPr>
        <w:t>elaborar con oportunidad las nóminas quincenales, vigilar el proceso de la nómina para que los pagos se efectúen en tiempo y forma</w:t>
      </w:r>
      <w:r w:rsidRPr="00795960">
        <w:rPr>
          <w:rFonts w:ascii="Palatino Linotype" w:eastAsia="Palatino Linotype" w:hAnsi="Palatino Linotype" w:cs="Palatino Linotype"/>
          <w:sz w:val="22"/>
          <w:szCs w:val="22"/>
        </w:rPr>
        <w:t xml:space="preserve">, así como mantener actualizados los registros de los trabajadores. </w:t>
      </w:r>
    </w:p>
    <w:p w14:paraId="682594FE"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Aunado a ello, señala que el Departamento de Proceso de Nómina y Prestaciones Laborales, cuenta con las siguientes funciones: </w:t>
      </w:r>
    </w:p>
    <w:p w14:paraId="04D1D0F5"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“Funciones: </w:t>
      </w:r>
    </w:p>
    <w:p w14:paraId="004A0413"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u w:val="single"/>
        </w:rPr>
        <w:t>Aplicar las disposiciones en materia laboral,</w:t>
      </w:r>
      <w:r w:rsidRPr="00795960">
        <w:rPr>
          <w:rFonts w:ascii="Palatino Linotype" w:eastAsia="Palatino Linotype" w:hAnsi="Palatino Linotype" w:cs="Palatino Linotype"/>
          <w:i/>
          <w:sz w:val="22"/>
          <w:szCs w:val="22"/>
        </w:rPr>
        <w:t xml:space="preserve"> de prestación social y presupuestación, en el marco normativo al que refiera cada caso en particular, tal es el caso de; la Ley del Trabajo de los Servidores Públicos del Estado y Municipios, la Ley del Impuesto sobre la Renta, la Ley de Seguridad Social para los Servidores Públicos del Estado de México y Municipios, </w:t>
      </w:r>
      <w:r w:rsidRPr="00795960">
        <w:rPr>
          <w:rFonts w:ascii="Palatino Linotype" w:eastAsia="Palatino Linotype" w:hAnsi="Palatino Linotype" w:cs="Palatino Linotype"/>
          <w:b/>
          <w:i/>
          <w:sz w:val="22"/>
          <w:szCs w:val="22"/>
        </w:rPr>
        <w:t xml:space="preserve">el </w:t>
      </w:r>
      <w:r w:rsidRPr="00795960">
        <w:rPr>
          <w:rFonts w:ascii="Palatino Linotype" w:eastAsia="Palatino Linotype" w:hAnsi="Palatino Linotype" w:cs="Palatino Linotype"/>
          <w:b/>
          <w:i/>
          <w:sz w:val="22"/>
          <w:szCs w:val="22"/>
          <w:u w:val="single"/>
        </w:rPr>
        <w:t>Convenio Sindical</w:t>
      </w:r>
      <w:r w:rsidRPr="00795960">
        <w:rPr>
          <w:rFonts w:ascii="Palatino Linotype" w:eastAsia="Palatino Linotype" w:hAnsi="Palatino Linotype" w:cs="Palatino Linotype"/>
          <w:i/>
          <w:sz w:val="22"/>
          <w:szCs w:val="22"/>
        </w:rPr>
        <w:t xml:space="preserve">, y demás Leyes y Reglamentos aplicables, para salvaguardar los derechos y obligaciones de los servidores públicos de la Administración Pública Municipal. </w:t>
      </w:r>
    </w:p>
    <w:p w14:paraId="328B01CE"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lastRenderedPageBreak/>
        <w:t xml:space="preserve">Llevar </w:t>
      </w:r>
      <w:proofErr w:type="gramStart"/>
      <w:r w:rsidRPr="00795960">
        <w:rPr>
          <w:rFonts w:ascii="Palatino Linotype" w:eastAsia="Palatino Linotype" w:hAnsi="Palatino Linotype" w:cs="Palatino Linotype"/>
          <w:i/>
          <w:sz w:val="22"/>
          <w:szCs w:val="22"/>
        </w:rPr>
        <w:t>acabo</w:t>
      </w:r>
      <w:proofErr w:type="gramEnd"/>
      <w:r w:rsidRPr="00795960">
        <w:rPr>
          <w:rFonts w:ascii="Palatino Linotype" w:eastAsia="Palatino Linotype" w:hAnsi="Palatino Linotype" w:cs="Palatino Linotype"/>
          <w:i/>
          <w:sz w:val="22"/>
          <w:szCs w:val="22"/>
        </w:rPr>
        <w:t xml:space="preserve"> la elaboración de oficios de respuesta a las áreas de la Administración Pública Municipal que lo requieran. </w:t>
      </w:r>
    </w:p>
    <w:p w14:paraId="19D0F875"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 xml:space="preserve">Actualizar el Sistema de Nómina, de acuerdo a las reformas fiscales y de seguridad social. </w:t>
      </w:r>
    </w:p>
    <w:p w14:paraId="00D86059"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 xml:space="preserve">Llevar a cabo oportunamente la apertura del sistema de nómina y realizar la captura de movimientos del personal mediante documentación soporte y comprobatoria, para constatar mediante los registros correspondientes, que los servidores públicos reciban correcta y oportunamente las remuneraciones, a que tienen derecho. </w:t>
      </w:r>
    </w:p>
    <w:p w14:paraId="07F4E085"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Registrar la nómina de los préstamos a corto y mediano plazo, seguros de vida y subcuentas voluntarias, tramitados ante ISSEMYM por los servidores públicos, de la Administración Pública Municipal. </w:t>
      </w:r>
    </w:p>
    <w:p w14:paraId="58560BE8"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Calcular en tiempo y forma el aguinaldo (anual) y prima vacacional (semestral) para proceder con los trámites administrativos del pago oportuno de las prestaciones a que tienen derechos, los servidores públicos de la Administración Pública Municipal. </w:t>
      </w:r>
    </w:p>
    <w:p w14:paraId="7813B475"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 xml:space="preserve">Llevar </w:t>
      </w:r>
      <w:proofErr w:type="gramStart"/>
      <w:r w:rsidRPr="00795960">
        <w:rPr>
          <w:rFonts w:ascii="Palatino Linotype" w:eastAsia="Palatino Linotype" w:hAnsi="Palatino Linotype" w:cs="Palatino Linotype"/>
          <w:b/>
          <w:i/>
          <w:sz w:val="22"/>
          <w:szCs w:val="22"/>
        </w:rPr>
        <w:t>acabo</w:t>
      </w:r>
      <w:proofErr w:type="gramEnd"/>
      <w:r w:rsidRPr="00795960">
        <w:rPr>
          <w:rFonts w:ascii="Palatino Linotype" w:eastAsia="Palatino Linotype" w:hAnsi="Palatino Linotype" w:cs="Palatino Linotype"/>
          <w:b/>
          <w:i/>
          <w:sz w:val="22"/>
          <w:szCs w:val="22"/>
        </w:rPr>
        <w:t xml:space="preserve"> oportunamente el cierre del sistema de nómina,</w:t>
      </w:r>
      <w:r w:rsidRPr="00795960">
        <w:rPr>
          <w:rFonts w:ascii="Palatino Linotype" w:eastAsia="Palatino Linotype" w:hAnsi="Palatino Linotype" w:cs="Palatino Linotype"/>
          <w:i/>
          <w:sz w:val="22"/>
          <w:szCs w:val="22"/>
        </w:rPr>
        <w:t xml:space="preserve"> vigilando el estricto cumplimiento de las fechas establecidas en el calendario de pagos, así como de los procesos que se deriven de esta actividad. </w:t>
      </w:r>
    </w:p>
    <w:p w14:paraId="26FEE7B0"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Informar el importe total a erogar por concepto de nómina, lista de raya y ayudas sociales de forma quincenal según corresponda al superior jerárquico y a su vez al área competente, para su procedencia</w:t>
      </w:r>
      <w:r w:rsidRPr="00795960">
        <w:rPr>
          <w:rFonts w:ascii="Palatino Linotype" w:eastAsia="Palatino Linotype" w:hAnsi="Palatino Linotype" w:cs="Palatino Linotype"/>
          <w:i/>
          <w:sz w:val="22"/>
          <w:szCs w:val="22"/>
        </w:rPr>
        <w:t xml:space="preserve">. </w:t>
      </w:r>
    </w:p>
    <w:p w14:paraId="1C0B1618"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Timbrar y poner a disposición de los servidores públicos el recibo de nómina, que ampare el importe de las remuneraciones a que tienen derecho. </w:t>
      </w:r>
    </w:p>
    <w:p w14:paraId="705B514F"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Elaborar los archivos de dispersión de las diferentes cuentas bancarias, para efecto del pago de nómina de los servidores públicos, personal de lista de raya y ayudas sociales, y remitirlos al área competente, para su procedencia. </w:t>
      </w:r>
    </w:p>
    <w:p w14:paraId="7A4B458C" w14:textId="77777777" w:rsidR="00CB0D47" w:rsidRPr="00795960" w:rsidRDefault="00CF22F4">
      <w:pPr>
        <w:numPr>
          <w:ilvl w:val="0"/>
          <w:numId w:val="8"/>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u w:val="single"/>
        </w:rPr>
        <w:t xml:space="preserve">Instrumentar y llevar </w:t>
      </w:r>
      <w:proofErr w:type="gramStart"/>
      <w:r w:rsidRPr="00795960">
        <w:rPr>
          <w:rFonts w:ascii="Palatino Linotype" w:eastAsia="Palatino Linotype" w:hAnsi="Palatino Linotype" w:cs="Palatino Linotype"/>
          <w:b/>
          <w:i/>
          <w:sz w:val="22"/>
          <w:szCs w:val="22"/>
          <w:u w:val="single"/>
        </w:rPr>
        <w:t>acabo</w:t>
      </w:r>
      <w:proofErr w:type="gramEnd"/>
      <w:r w:rsidRPr="00795960">
        <w:rPr>
          <w:rFonts w:ascii="Palatino Linotype" w:eastAsia="Palatino Linotype" w:hAnsi="Palatino Linotype" w:cs="Palatino Linotype"/>
          <w:b/>
          <w:i/>
          <w:sz w:val="22"/>
          <w:szCs w:val="22"/>
          <w:u w:val="single"/>
        </w:rPr>
        <w:t xml:space="preserve"> el control eficiente de nóminas</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u w:val="single"/>
        </w:rPr>
        <w:t>para dar atención en tiempo y forma a la información solicitada por las diferentes áreas contables y presupuestales respecto a la entrega y comprobación de las nóminas</w:t>
      </w:r>
      <w:r w:rsidRPr="00795960">
        <w:rPr>
          <w:rFonts w:ascii="Palatino Linotype" w:eastAsia="Palatino Linotype" w:hAnsi="Palatino Linotype" w:cs="Palatino Linotype"/>
          <w:i/>
          <w:sz w:val="22"/>
          <w:szCs w:val="22"/>
        </w:rPr>
        <w:t xml:space="preserve"> (nómina digital, reporte de percepciones, reporte de deducciones, reporte mensual de mandos medios, reporte de altas y bajas, entre otros), así como efectuar los respaldos de información en cinta magnética. </w:t>
      </w:r>
    </w:p>
    <w:p w14:paraId="34B803D2" w14:textId="77777777" w:rsidR="00CB0D47" w:rsidRPr="00795960" w:rsidRDefault="00CF22F4">
      <w:pPr>
        <w:pBdr>
          <w:top w:val="nil"/>
          <w:left w:val="nil"/>
          <w:bottom w:val="nil"/>
          <w:right w:val="nil"/>
          <w:between w:val="nil"/>
        </w:pBdr>
        <w:spacing w:line="276" w:lineRule="auto"/>
        <w:ind w:left="121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127761CA" w14:textId="77777777" w:rsidR="00CB0D47" w:rsidRPr="00795960" w:rsidRDefault="00CF22F4">
      <w:pPr>
        <w:pBdr>
          <w:top w:val="nil"/>
          <w:left w:val="nil"/>
          <w:bottom w:val="nil"/>
          <w:right w:val="nil"/>
          <w:between w:val="nil"/>
        </w:pBdr>
        <w:spacing w:line="276" w:lineRule="auto"/>
        <w:ind w:left="121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lastRenderedPageBreak/>
        <w:t>(Énfasis Añadido)</w:t>
      </w:r>
    </w:p>
    <w:p w14:paraId="08EF3556"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manera que como se desprende de la cita insertada, la Dirección de Administración a través del Departamento de Proceso de Nómina y Prestaciones Laborales, es la competente para dirigir y supervisar el sistema de nómina y realizar la captura de movimientos del personal mediante documentación soporte y comprobatoria, para constatar mediante los registros correspondientes, que los servidores públicos reciban correcta y oportunamente las remuneraciones, a que tienen derecho, por lo tanto, se tiene que se agotó el procedimiento de búsqueda de la información previsto en el artículo 162 de la Ley de Transparencia y Acceso a la Información Pública del Estado de México y Municipios. </w:t>
      </w:r>
    </w:p>
    <w:p w14:paraId="5BDDEB7F"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Bajo esa óptica, conviene traer a contexto el artículo 54 de la Ley del Trabajo de los Servidores Públicos del Estado y Municipios, que señala:</w:t>
      </w:r>
    </w:p>
    <w:p w14:paraId="6BA05D5F"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2AF77B" w14:textId="77777777" w:rsidR="00CB0D47" w:rsidRPr="00795960" w:rsidRDefault="00CF22F4" w:rsidP="00673A0E">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54.</w:t>
      </w:r>
      <w:r w:rsidRPr="00795960">
        <w:rPr>
          <w:rFonts w:ascii="Palatino Linotype" w:eastAsia="Palatino Linotype" w:hAnsi="Palatino Linotype" w:cs="Palatino Linotype"/>
          <w:i/>
          <w:sz w:val="22"/>
          <w:szCs w:val="22"/>
        </w:rPr>
        <w:t xml:space="preserve"> Cada institución pública o, en su caso, dependencia, en razón de la naturaleza de sus funciones, contará con un Reglamento de Condiciones Generales de Trabajo aplicables a los servidores públicos sindicalizados y generales. </w:t>
      </w:r>
    </w:p>
    <w:p w14:paraId="4564E7CD" w14:textId="77777777" w:rsidR="00CB0D47" w:rsidRPr="00795960" w:rsidRDefault="00CF22F4" w:rsidP="00673A0E">
      <w:pPr>
        <w:spacing w:line="276" w:lineRule="auto"/>
        <w:ind w:left="851" w:right="616"/>
        <w:jc w:val="both"/>
        <w:rPr>
          <w:rFonts w:ascii="Palatino Linotype" w:eastAsia="Palatino Linotype" w:hAnsi="Palatino Linotype" w:cs="Palatino Linotype"/>
          <w:b/>
          <w:i/>
          <w:sz w:val="22"/>
          <w:szCs w:val="22"/>
          <w:u w:val="single"/>
        </w:rPr>
      </w:pPr>
      <w:r w:rsidRPr="00795960">
        <w:rPr>
          <w:rFonts w:ascii="Palatino Linotype" w:eastAsia="Palatino Linotype" w:hAnsi="Palatino Linotype" w:cs="Palatino Linotype"/>
          <w:i/>
          <w:sz w:val="22"/>
          <w:szCs w:val="22"/>
        </w:rPr>
        <w:t>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w:t>
      </w:r>
      <w:r w:rsidRPr="00795960">
        <w:rPr>
          <w:rFonts w:ascii="Palatino Linotype" w:eastAsia="Palatino Linotype" w:hAnsi="Palatino Linotype" w:cs="Palatino Linotype"/>
          <w:b/>
          <w:i/>
          <w:sz w:val="22"/>
          <w:szCs w:val="22"/>
          <w:u w:val="single"/>
        </w:rPr>
        <w:t xml:space="preserve">; los Convenios de sueldos y prestaciones celebrados con el Sindicato se aplicarán solo a los trabajadores miembros y reconocidos por la agrupación Sindical de conformidad con la normatividad aplicable. </w:t>
      </w:r>
    </w:p>
    <w:p w14:paraId="4B1D6D34" w14:textId="77777777" w:rsidR="00CB0D47" w:rsidRPr="00795960" w:rsidRDefault="00CB0D47" w:rsidP="00673A0E">
      <w:pPr>
        <w:spacing w:line="276" w:lineRule="auto"/>
        <w:ind w:left="851" w:right="616"/>
        <w:jc w:val="both"/>
        <w:rPr>
          <w:rFonts w:ascii="Palatino Linotype" w:eastAsia="Palatino Linotype" w:hAnsi="Palatino Linotype" w:cs="Palatino Linotype"/>
          <w:i/>
          <w:sz w:val="22"/>
          <w:szCs w:val="22"/>
        </w:rPr>
      </w:pPr>
    </w:p>
    <w:p w14:paraId="42F34A8B" w14:textId="77777777" w:rsidR="00CB0D47" w:rsidRPr="00795960" w:rsidRDefault="00CF22F4" w:rsidP="00673A0E">
      <w:pPr>
        <w:spacing w:line="276" w:lineRule="auto"/>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Los beneficios que se establezcan en</w:t>
      </w:r>
      <w:r w:rsidRPr="00795960">
        <w:rPr>
          <w:rFonts w:ascii="Palatino Linotype" w:eastAsia="Palatino Linotype" w:hAnsi="Palatino Linotype" w:cs="Palatino Linotype"/>
          <w:i/>
          <w:sz w:val="22"/>
          <w:szCs w:val="22"/>
        </w:rPr>
        <w:t xml:space="preserve"> los Reglamentos de Condiciones Generales de Trabajo y en </w:t>
      </w:r>
      <w:r w:rsidRPr="00795960">
        <w:rPr>
          <w:rFonts w:ascii="Palatino Linotype" w:eastAsia="Palatino Linotype" w:hAnsi="Palatino Linotype" w:cs="Palatino Linotype"/>
          <w:b/>
          <w:i/>
          <w:sz w:val="22"/>
          <w:szCs w:val="22"/>
        </w:rPr>
        <w:t xml:space="preserve">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 </w:t>
      </w:r>
    </w:p>
    <w:p w14:paraId="0A7F8A7F" w14:textId="77777777" w:rsidR="00CB0D47" w:rsidRPr="00795960" w:rsidRDefault="00CB0D47" w:rsidP="00673A0E">
      <w:pPr>
        <w:spacing w:line="276" w:lineRule="auto"/>
        <w:ind w:left="851" w:right="616"/>
        <w:jc w:val="both"/>
        <w:rPr>
          <w:rFonts w:ascii="Palatino Linotype" w:eastAsia="Palatino Linotype" w:hAnsi="Palatino Linotype" w:cs="Palatino Linotype"/>
          <w:i/>
          <w:sz w:val="22"/>
          <w:szCs w:val="22"/>
        </w:rPr>
      </w:pPr>
    </w:p>
    <w:p w14:paraId="59F0CF00" w14:textId="77777777" w:rsidR="00CB0D47" w:rsidRPr="00795960" w:rsidRDefault="00CF22F4" w:rsidP="00673A0E">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w:t>
      </w:r>
    </w:p>
    <w:p w14:paraId="06421AEE" w14:textId="77777777" w:rsidR="00CB0D47" w:rsidRPr="00795960" w:rsidRDefault="00CF22F4" w:rsidP="00673A0E">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(Énfasis añadido)</w:t>
      </w:r>
    </w:p>
    <w:p w14:paraId="310FCD77"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4A2021"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lo anterior se establece que los Convenios de sueldos y prestaciones celebrados con el Sindicato se aplicarán solo para los trabajadores miembros y reconocidos por la agrupación sindical. </w:t>
      </w:r>
    </w:p>
    <w:p w14:paraId="24BF59EC"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E97498"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Por otra parte, el artículo 82 de la Ley en comento, establece:</w:t>
      </w:r>
    </w:p>
    <w:p w14:paraId="262ADE76" w14:textId="77777777" w:rsidR="00CB0D47" w:rsidRPr="00795960" w:rsidRDefault="00CB0D47">
      <w:pPr>
        <w:ind w:left="851" w:right="899"/>
        <w:jc w:val="both"/>
        <w:rPr>
          <w:rFonts w:ascii="Palatino Linotype" w:eastAsia="Palatino Linotype" w:hAnsi="Palatino Linotype" w:cs="Palatino Linotype"/>
          <w:i/>
          <w:sz w:val="22"/>
          <w:szCs w:val="22"/>
        </w:rPr>
      </w:pPr>
    </w:p>
    <w:p w14:paraId="55A51647" w14:textId="77777777" w:rsidR="00CB0D47" w:rsidRPr="00795960" w:rsidRDefault="00CF22F4" w:rsidP="00673A0E">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82.</w:t>
      </w:r>
      <w:r w:rsidRPr="00795960">
        <w:rPr>
          <w:rFonts w:ascii="Palatino Linotype" w:eastAsia="Palatino Linotype" w:hAnsi="Palatino Linotype" w:cs="Palatino Linotype"/>
          <w:i/>
          <w:sz w:val="22"/>
          <w:szCs w:val="22"/>
        </w:rPr>
        <w:t xml:space="preserve"> Las instituciones públicas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 </w:t>
      </w:r>
    </w:p>
    <w:p w14:paraId="39549196" w14:textId="77777777" w:rsidR="00CB0D47" w:rsidRPr="00795960" w:rsidRDefault="00CB0D47" w:rsidP="00673A0E">
      <w:pPr>
        <w:spacing w:line="276" w:lineRule="auto"/>
        <w:ind w:left="851" w:right="616"/>
        <w:jc w:val="both"/>
        <w:rPr>
          <w:rFonts w:ascii="Palatino Linotype" w:eastAsia="Palatino Linotype" w:hAnsi="Palatino Linotype" w:cs="Palatino Linotype"/>
          <w:i/>
          <w:sz w:val="22"/>
          <w:szCs w:val="22"/>
        </w:rPr>
      </w:pPr>
    </w:p>
    <w:p w14:paraId="7C6201A1" w14:textId="77777777" w:rsidR="00CB0D47" w:rsidRPr="00795960" w:rsidRDefault="00CF22F4" w:rsidP="00673A0E">
      <w:pPr>
        <w:spacing w:line="276" w:lineRule="auto"/>
        <w:ind w:left="851" w:right="616"/>
        <w:jc w:val="both"/>
        <w:rPr>
          <w:rFonts w:ascii="Palatino Linotype" w:eastAsia="Palatino Linotype" w:hAnsi="Palatino Linotype" w:cs="Palatino Linotype"/>
          <w:i/>
          <w:sz w:val="22"/>
          <w:szCs w:val="22"/>
        </w:rPr>
      </w:pPr>
      <w:proofErr w:type="gramStart"/>
      <w:r w:rsidRPr="00795960">
        <w:rPr>
          <w:rFonts w:ascii="Palatino Linotype" w:eastAsia="Palatino Linotype" w:hAnsi="Palatino Linotype" w:cs="Palatino Linotype"/>
          <w:i/>
          <w:sz w:val="22"/>
          <w:szCs w:val="22"/>
        </w:rPr>
        <w:t>Asimismo</w:t>
      </w:r>
      <w:proofErr w:type="gramEnd"/>
      <w:r w:rsidRPr="00795960">
        <w:rPr>
          <w:rFonts w:ascii="Palatino Linotype" w:eastAsia="Palatino Linotype" w:hAnsi="Palatino Linotype" w:cs="Palatino Linotype"/>
          <w:i/>
          <w:sz w:val="22"/>
          <w:szCs w:val="22"/>
        </w:rPr>
        <w:t xml:space="preserve"> se podrán realizar revisiones, en cuanto a incrementos salariales se refiere, en caso de presentarse una situación económica en el país que, repercutiendo en los sueldos, si así lo ameritara.” </w:t>
      </w:r>
    </w:p>
    <w:p w14:paraId="56E56B08" w14:textId="77777777" w:rsidR="00CB0D47" w:rsidRPr="00795960" w:rsidRDefault="00CF22F4" w:rsidP="00673A0E">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(Énfasis añadido)</w:t>
      </w:r>
    </w:p>
    <w:p w14:paraId="3A480153" w14:textId="77777777" w:rsidR="00CB0D47" w:rsidRPr="00795960" w:rsidRDefault="00CB0D47">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7767AACF"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manera que en este precepto legal se precisa que las instituciones públicas, en este caso del Ayuntamiento de Huixquilucan, realizará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 </w:t>
      </w:r>
      <w:r w:rsidRPr="00795960">
        <w:rPr>
          <w:rFonts w:ascii="Palatino Linotype" w:eastAsia="Palatino Linotype" w:hAnsi="Palatino Linotype" w:cs="Palatino Linotype"/>
          <w:sz w:val="22"/>
          <w:szCs w:val="22"/>
        </w:rPr>
        <w:lastRenderedPageBreak/>
        <w:t>asimismo se podrán realizar revisiones, en cuanto a incrementos salariales se refiere, en caso de presentarse una situación económica en el país que, repercuta en los sueldos.</w:t>
      </w:r>
    </w:p>
    <w:p w14:paraId="5F10C959"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0948CE"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Expuesto lo anterior, sobre la naturaleza de la información, es conviene señalar que, respecto de la nómina solicitada, nos lleva a precisar que en nuestra legislación del Estado de México no existe como tal una definición de </w:t>
      </w:r>
      <w:r w:rsidRPr="00795960">
        <w:rPr>
          <w:rFonts w:ascii="Palatino Linotype" w:eastAsia="Palatino Linotype" w:hAnsi="Palatino Linotype" w:cs="Palatino Linotype"/>
          <w:b/>
          <w:i/>
          <w:sz w:val="22"/>
          <w:szCs w:val="22"/>
        </w:rPr>
        <w:t>“nómina”</w:t>
      </w:r>
      <w:r w:rsidRPr="00795960">
        <w:rPr>
          <w:rFonts w:ascii="Palatino Linotype" w:eastAsia="Palatino Linotype" w:hAnsi="Palatino Linotype" w:cs="Palatino Linotype"/>
          <w:sz w:val="22"/>
          <w:szCs w:val="22"/>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93AC8C6" w14:textId="77777777" w:rsidR="00CB0D47" w:rsidRPr="00795960" w:rsidRDefault="00CB0D47">
      <w:pPr>
        <w:tabs>
          <w:tab w:val="left" w:pos="4962"/>
        </w:tabs>
        <w:spacing w:line="360" w:lineRule="auto"/>
        <w:ind w:right="-28"/>
        <w:jc w:val="both"/>
        <w:rPr>
          <w:rFonts w:ascii="Palatino Linotype" w:eastAsia="Palatino Linotype" w:hAnsi="Palatino Linotype" w:cs="Palatino Linotype"/>
          <w:sz w:val="22"/>
          <w:szCs w:val="22"/>
        </w:rPr>
      </w:pPr>
    </w:p>
    <w:p w14:paraId="3F3527C6"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 xml:space="preserve">NÓMINA </w:t>
      </w:r>
      <w:r w:rsidRPr="00795960">
        <w:rPr>
          <w:rFonts w:ascii="Palatino Linotype" w:eastAsia="Palatino Linotype" w:hAnsi="Palatino Linotype" w:cs="Palatino Linotype"/>
          <w:i/>
          <w:sz w:val="22"/>
          <w:szCs w:val="22"/>
        </w:rPr>
        <w:t>Listado general de los trabajadores de una institución, en</w:t>
      </w:r>
      <w:r w:rsidRPr="00795960">
        <w:rPr>
          <w:rFonts w:ascii="Palatino Linotype" w:eastAsia="Palatino Linotype" w:hAnsi="Palatino Linotype" w:cs="Palatino Linotype"/>
          <w:b/>
          <w:i/>
          <w:sz w:val="22"/>
          <w:szCs w:val="22"/>
        </w:rPr>
        <w:t xml:space="preserve"> </w:t>
      </w:r>
      <w:r w:rsidRPr="00795960">
        <w:rPr>
          <w:rFonts w:ascii="Palatino Linotype" w:eastAsia="Palatino Linotype" w:hAnsi="Palatino Linotype" w:cs="Palatino Linotype"/>
          <w:i/>
          <w:sz w:val="22"/>
          <w:szCs w:val="22"/>
        </w:rPr>
        <w:t>el cual se asientan las percepciones brutas, deducciones y</w:t>
      </w:r>
      <w:r w:rsidRPr="00795960">
        <w:rPr>
          <w:rFonts w:ascii="Palatino Linotype" w:eastAsia="Palatino Linotype" w:hAnsi="Palatino Linotype" w:cs="Palatino Linotype"/>
          <w:b/>
          <w:i/>
          <w:sz w:val="22"/>
          <w:szCs w:val="22"/>
        </w:rPr>
        <w:t xml:space="preserve"> </w:t>
      </w:r>
      <w:r w:rsidRPr="00795960">
        <w:rPr>
          <w:rFonts w:ascii="Palatino Linotype" w:eastAsia="Palatino Linotype" w:hAnsi="Palatino Linotype" w:cs="Palatino Linotype"/>
          <w:i/>
          <w:sz w:val="22"/>
          <w:szCs w:val="22"/>
        </w:rPr>
        <w:t>alcance neto de las mismas; la nómina es utilizada para</w:t>
      </w:r>
      <w:r w:rsidRPr="00795960">
        <w:rPr>
          <w:rFonts w:ascii="Palatino Linotype" w:eastAsia="Palatino Linotype" w:hAnsi="Palatino Linotype" w:cs="Palatino Linotype"/>
          <w:b/>
          <w:i/>
          <w:sz w:val="22"/>
          <w:szCs w:val="22"/>
        </w:rPr>
        <w:t xml:space="preserve"> </w:t>
      </w:r>
      <w:r w:rsidRPr="00795960">
        <w:rPr>
          <w:rFonts w:ascii="Palatino Linotype" w:eastAsia="Palatino Linotype" w:hAnsi="Palatino Linotype" w:cs="Palatino Linotype"/>
          <w:i/>
          <w:sz w:val="22"/>
          <w:szCs w:val="22"/>
        </w:rPr>
        <w:t>efectuar los pagos periódicos (semanales, quincenales o</w:t>
      </w:r>
      <w:r w:rsidRPr="00795960">
        <w:rPr>
          <w:rFonts w:ascii="Palatino Linotype" w:eastAsia="Palatino Linotype" w:hAnsi="Palatino Linotype" w:cs="Palatino Linotype"/>
          <w:b/>
          <w:i/>
          <w:sz w:val="22"/>
          <w:szCs w:val="22"/>
        </w:rPr>
        <w:t xml:space="preserve"> </w:t>
      </w:r>
      <w:r w:rsidRPr="00795960">
        <w:rPr>
          <w:rFonts w:ascii="Palatino Linotype" w:eastAsia="Palatino Linotype" w:hAnsi="Palatino Linotype" w:cs="Palatino Linotype"/>
          <w:i/>
          <w:sz w:val="22"/>
          <w:szCs w:val="22"/>
        </w:rPr>
        <w:t>mensuales) a los trabajadores por concepto de sueldos y</w:t>
      </w:r>
      <w:r w:rsidRPr="00795960">
        <w:rPr>
          <w:rFonts w:ascii="Palatino Linotype" w:eastAsia="Palatino Linotype" w:hAnsi="Palatino Linotype" w:cs="Palatino Linotype"/>
          <w:b/>
          <w:i/>
          <w:sz w:val="22"/>
          <w:szCs w:val="22"/>
        </w:rPr>
        <w:t xml:space="preserve"> </w:t>
      </w:r>
      <w:r w:rsidRPr="00795960">
        <w:rPr>
          <w:rFonts w:ascii="Palatino Linotype" w:eastAsia="Palatino Linotype" w:hAnsi="Palatino Linotype" w:cs="Palatino Linotype"/>
          <w:i/>
          <w:sz w:val="22"/>
          <w:szCs w:val="22"/>
        </w:rPr>
        <w:t>salarios</w:t>
      </w:r>
      <w:proofErr w:type="gramStart"/>
      <w:r w:rsidRPr="00795960">
        <w:rPr>
          <w:rFonts w:ascii="Palatino Linotype" w:eastAsia="Palatino Linotype" w:hAnsi="Palatino Linotype" w:cs="Palatino Linotype"/>
          <w:i/>
          <w:sz w:val="22"/>
          <w:szCs w:val="22"/>
        </w:rPr>
        <w:t>.”(</w:t>
      </w:r>
      <w:proofErr w:type="gramEnd"/>
      <w:r w:rsidRPr="00795960">
        <w:rPr>
          <w:rFonts w:ascii="Palatino Linotype" w:eastAsia="Palatino Linotype" w:hAnsi="Palatino Linotype" w:cs="Palatino Linotype"/>
          <w:i/>
          <w:sz w:val="22"/>
          <w:szCs w:val="22"/>
        </w:rPr>
        <w:t>Sic)</w:t>
      </w:r>
    </w:p>
    <w:p w14:paraId="7543BA95" w14:textId="77777777" w:rsidR="00CB0D47" w:rsidRPr="00795960" w:rsidRDefault="00CB0D47">
      <w:pPr>
        <w:spacing w:line="360" w:lineRule="auto"/>
        <w:ind w:right="-93"/>
        <w:jc w:val="both"/>
        <w:rPr>
          <w:rFonts w:ascii="Palatino Linotype" w:eastAsia="Palatino Linotype" w:hAnsi="Palatino Linotype" w:cs="Palatino Linotype"/>
          <w:sz w:val="22"/>
          <w:szCs w:val="22"/>
        </w:rPr>
      </w:pPr>
    </w:p>
    <w:p w14:paraId="4259D64C" w14:textId="77777777" w:rsidR="00CB0D47" w:rsidRPr="00795960" w:rsidRDefault="00CF22F4">
      <w:pPr>
        <w:spacing w:after="240" w:line="360" w:lineRule="auto"/>
        <w:jc w:val="both"/>
        <w:rPr>
          <w:rFonts w:ascii="Palatino Linotype" w:eastAsia="Palatino Linotype" w:hAnsi="Palatino Linotype" w:cs="Palatino Linotype"/>
          <w:sz w:val="22"/>
          <w:szCs w:val="22"/>
          <w:u w:val="single"/>
        </w:rPr>
      </w:pPr>
      <w:r w:rsidRPr="00795960">
        <w:rPr>
          <w:rFonts w:ascii="Palatino Linotype" w:eastAsia="Palatino Linotype" w:hAnsi="Palatino Linotype" w:cs="Palatino Linotype"/>
          <w:sz w:val="22"/>
          <w:szCs w:val="22"/>
        </w:rPr>
        <w:t xml:space="preserve">De lo precedente, se concluye que la nómina, </w:t>
      </w:r>
      <w:r w:rsidRPr="00795960">
        <w:rPr>
          <w:rFonts w:ascii="Palatino Linotype" w:eastAsia="Palatino Linotype" w:hAnsi="Palatino Linotype" w:cs="Palatino Linotype"/>
          <w:sz w:val="22"/>
          <w:szCs w:val="22"/>
          <w:u w:val="single"/>
        </w:rPr>
        <w:t>es el registro utilizado para efectuar los pagos a los trabajadores por concepto de sueldos y salarios</w:t>
      </w:r>
      <w:r w:rsidRPr="00795960">
        <w:rPr>
          <w:rFonts w:ascii="Palatino Linotype" w:eastAsia="Palatino Linotype" w:hAnsi="Palatino Linotype" w:cs="Palatino Linotype"/>
          <w:sz w:val="22"/>
          <w:szCs w:val="22"/>
        </w:rPr>
        <w:t xml:space="preserve">, el cual se compone por el conjunto de trabajadores en el que </w:t>
      </w:r>
      <w:r w:rsidRPr="00795960">
        <w:rPr>
          <w:rFonts w:ascii="Palatino Linotype" w:eastAsia="Palatino Linotype" w:hAnsi="Palatino Linotype" w:cs="Palatino Linotype"/>
          <w:b/>
          <w:sz w:val="22"/>
          <w:szCs w:val="22"/>
        </w:rPr>
        <w:t xml:space="preserve">se asientan las </w:t>
      </w:r>
      <w:r w:rsidRPr="00795960">
        <w:rPr>
          <w:rFonts w:ascii="Palatino Linotype" w:eastAsia="Palatino Linotype" w:hAnsi="Palatino Linotype" w:cs="Palatino Linotype"/>
          <w:b/>
          <w:sz w:val="22"/>
          <w:szCs w:val="22"/>
          <w:u w:val="single"/>
        </w:rPr>
        <w:t>percepciones brutas, deducciones y la cantidad neta a pagar</w:t>
      </w:r>
      <w:r w:rsidRPr="00795960">
        <w:rPr>
          <w:rFonts w:ascii="Palatino Linotype" w:eastAsia="Palatino Linotype" w:hAnsi="Palatino Linotype" w:cs="Palatino Linotype"/>
          <w:sz w:val="22"/>
          <w:szCs w:val="22"/>
          <w:u w:val="single"/>
        </w:rPr>
        <w:t>.</w:t>
      </w:r>
    </w:p>
    <w:p w14:paraId="0B7EF84E"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En ese contexto, tratándose de servidores públicos de los Municipios la Ley del Trabajo de los Servidores Públicos del Estado y Municipios, en su artículo 220-K, establece lo siguiente:</w:t>
      </w:r>
    </w:p>
    <w:p w14:paraId="210881E2" w14:textId="77777777" w:rsidR="00CB0D47" w:rsidRPr="00795960" w:rsidRDefault="00CF22F4">
      <w:pPr>
        <w:tabs>
          <w:tab w:val="left" w:pos="9072"/>
        </w:tabs>
        <w:spacing w:before="240"/>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lastRenderedPageBreak/>
        <w:t>“ARTÍCULO 220 K.-</w:t>
      </w:r>
      <w:r w:rsidRPr="00795960">
        <w:rPr>
          <w:rFonts w:ascii="Palatino Linotype" w:eastAsia="Palatino Linotype" w:hAnsi="Palatino Linotype" w:cs="Palatino Linotype"/>
          <w:i/>
          <w:sz w:val="22"/>
          <w:szCs w:val="22"/>
        </w:rPr>
        <w:t xml:space="preserve"> La </w:t>
      </w:r>
      <w:r w:rsidRPr="00795960">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se precisan</w:t>
      </w:r>
      <w:r w:rsidRPr="00795960">
        <w:rPr>
          <w:rFonts w:ascii="Palatino Linotype" w:eastAsia="Palatino Linotype" w:hAnsi="Palatino Linotype" w:cs="Palatino Linotype"/>
          <w:i/>
          <w:sz w:val="22"/>
          <w:szCs w:val="22"/>
        </w:rPr>
        <w:t>:</w:t>
      </w:r>
    </w:p>
    <w:p w14:paraId="5E6B81C2" w14:textId="77777777" w:rsidR="00CB0D47" w:rsidRPr="00795960" w:rsidRDefault="00CF22F4">
      <w:pPr>
        <w:tabs>
          <w:tab w:val="left" w:pos="9072"/>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5D5DD454" w14:textId="77777777" w:rsidR="00CB0D47" w:rsidRPr="00795960" w:rsidRDefault="00CF22F4">
      <w:pPr>
        <w:tabs>
          <w:tab w:val="left" w:pos="9072"/>
        </w:tabs>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i/>
          <w:sz w:val="22"/>
          <w:szCs w:val="22"/>
        </w:rPr>
        <w:t xml:space="preserve">II. </w:t>
      </w:r>
      <w:r w:rsidRPr="00795960">
        <w:rPr>
          <w:rFonts w:ascii="Palatino Linotype" w:eastAsia="Palatino Linotype" w:hAnsi="Palatino Linotype" w:cs="Palatino Linotype"/>
          <w:b/>
          <w:i/>
          <w:sz w:val="22"/>
          <w:szCs w:val="22"/>
        </w:rPr>
        <w:t>Recibos de pagos de salarios o</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las constancias documentales del pago de salario</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cuando sea por depósito o mediante información electrónica;</w:t>
      </w:r>
    </w:p>
    <w:p w14:paraId="73A78715" w14:textId="77777777" w:rsidR="00CB0D47" w:rsidRPr="00795960" w:rsidRDefault="00CF22F4">
      <w:pPr>
        <w:tabs>
          <w:tab w:val="left" w:pos="9072"/>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7CF63865" w14:textId="77777777" w:rsidR="00CB0D47" w:rsidRPr="00795960" w:rsidRDefault="00CF22F4">
      <w:pPr>
        <w:tabs>
          <w:tab w:val="left" w:pos="9072"/>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CDE7FFE" w14:textId="77777777" w:rsidR="00CB0D47" w:rsidRPr="00795960" w:rsidRDefault="00CF22F4">
      <w:pPr>
        <w:tabs>
          <w:tab w:val="left" w:pos="9072"/>
        </w:tabs>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4EE0EC25" w14:textId="77777777" w:rsidR="00CB0D47" w:rsidRPr="00795960" w:rsidRDefault="00CB0D47">
      <w:pPr>
        <w:tabs>
          <w:tab w:val="left" w:pos="9072"/>
        </w:tabs>
        <w:ind w:left="851" w:right="851"/>
        <w:jc w:val="both"/>
        <w:rPr>
          <w:rFonts w:ascii="Palatino Linotype" w:eastAsia="Palatino Linotype" w:hAnsi="Palatino Linotype" w:cs="Palatino Linotype"/>
          <w:i/>
          <w:sz w:val="22"/>
          <w:szCs w:val="22"/>
        </w:rPr>
      </w:pPr>
    </w:p>
    <w:p w14:paraId="25D01C1D" w14:textId="77777777" w:rsidR="00CB0D47" w:rsidRPr="00795960" w:rsidRDefault="00CF22F4">
      <w:pPr>
        <w:spacing w:line="360" w:lineRule="auto"/>
        <w:ind w:right="51"/>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BD341C1" w14:textId="77777777" w:rsidR="00CB0D47" w:rsidRPr="00795960" w:rsidRDefault="00CF22F4">
      <w:pPr>
        <w:spacing w:before="240" w:after="240"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Ahora bien, sobre la liga electrónica proporcionada en respuesta, es de precisar que esta se encuentra en formato cerrado, es decir, que no se puede copiar y pegar para tener acceso; sobre el tema, Trujillo, Humberto (2019), en el </w:t>
      </w:r>
      <w:r w:rsidRPr="00795960">
        <w:rPr>
          <w:rFonts w:ascii="Palatino Linotype" w:eastAsia="Palatino Linotype" w:hAnsi="Palatino Linotype" w:cs="Palatino Linotype"/>
          <w:i/>
          <w:sz w:val="22"/>
          <w:szCs w:val="22"/>
        </w:rPr>
        <w:t>“Diccionario de Transparencia y Acceso a la Información Pública”</w:t>
      </w:r>
      <w:r w:rsidRPr="00795960">
        <w:rPr>
          <w:rFonts w:ascii="Palatino Linotype" w:eastAsia="Palatino Linotype" w:hAnsi="Palatino Linotype" w:cs="Palatino Linotype"/>
          <w:sz w:val="22"/>
          <w:szCs w:val="22"/>
        </w:rPr>
        <w:t xml:space="preserve">, precisa que cuando un </w:t>
      </w:r>
      <w:r w:rsidRPr="00795960">
        <w:rPr>
          <w:rFonts w:ascii="Palatino Linotype" w:eastAsia="Palatino Linotype" w:hAnsi="Palatino Linotype" w:cs="Palatino Linotype"/>
          <w:b/>
          <w:sz w:val="22"/>
          <w:szCs w:val="22"/>
        </w:rPr>
        <w:t xml:space="preserve">Sujeto Obligado </w:t>
      </w:r>
      <w:r w:rsidRPr="00795960">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328E4BF3"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w:t>
      </w:r>
      <w:r w:rsidRPr="00795960">
        <w:rPr>
          <w:rFonts w:ascii="Palatino Linotype" w:eastAsia="Palatino Linotype" w:hAnsi="Palatino Linotype" w:cs="Palatino Linotype"/>
          <w:sz w:val="22"/>
          <w:szCs w:val="22"/>
        </w:rPr>
        <w:lastRenderedPageBreak/>
        <w:t xml:space="preserve">necesario que los datos digitales (como ligas electrónicas), se proporcionen en un formato abierto. </w:t>
      </w:r>
    </w:p>
    <w:p w14:paraId="1804840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00496606"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ADB9C1E"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600FD9E" w14:textId="77777777" w:rsidR="00CB0D47" w:rsidRPr="00795960" w:rsidRDefault="00CF22F4">
      <w:pPr>
        <w:numPr>
          <w:ilvl w:val="0"/>
          <w:numId w:val="9"/>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Dato abierto:</w:t>
      </w:r>
      <w:r w:rsidRPr="00795960">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F0E9302" w14:textId="77777777" w:rsidR="00CB0D47" w:rsidRPr="00795960" w:rsidRDefault="00CB0D47">
      <w:pPr>
        <w:spacing w:line="360" w:lineRule="auto"/>
        <w:ind w:left="851" w:right="616" w:firstLine="60"/>
        <w:jc w:val="both"/>
        <w:rPr>
          <w:rFonts w:ascii="Palatino Linotype" w:eastAsia="Palatino Linotype" w:hAnsi="Palatino Linotype" w:cs="Palatino Linotype"/>
          <w:sz w:val="22"/>
          <w:szCs w:val="22"/>
        </w:rPr>
      </w:pPr>
    </w:p>
    <w:p w14:paraId="0D2A69E7" w14:textId="77777777" w:rsidR="00CB0D47" w:rsidRPr="00795960" w:rsidRDefault="00CF22F4">
      <w:pPr>
        <w:numPr>
          <w:ilvl w:val="0"/>
          <w:numId w:val="9"/>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Formato accesible: </w:t>
      </w:r>
      <w:r w:rsidRPr="00795960">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están disponibles públicamente y que permite el acceso sin restricción de uso por parte de los usuarios.</w:t>
      </w:r>
    </w:p>
    <w:p w14:paraId="2F2D82E8"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0003DCC5"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2F3926EB"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E96C57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Al respecto, el artículo 161 de la Ley de Transparencia y Acceso a la Información Pública del Estado de México y Municipios, establece que cuando la documentación peticionada ya se </w:t>
      </w:r>
      <w:r w:rsidRPr="00795960">
        <w:rPr>
          <w:rFonts w:ascii="Palatino Linotype" w:eastAsia="Palatino Linotype" w:hAnsi="Palatino Linotype" w:cs="Palatino Linotype"/>
          <w:sz w:val="22"/>
          <w:szCs w:val="22"/>
        </w:rPr>
        <w:lastRenderedPageBreak/>
        <w:t>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921269A"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47D2BA1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Cómo se logra observar,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 misma, por lo que se le invita al Ayuntamiento de Huixquilucan que cuando considere proporcionar ligas electrónicas o enlaces electrónicos para dar respuesta a solicitudes de acceso a la información pública, las proporcione en datos abiertos con la finalidad de facilitar el acceso a la información a los particulares.  </w:t>
      </w:r>
    </w:p>
    <w:p w14:paraId="7A38C2AA"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6E90DF34"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Sin menoscabar lo anterior, resulta claro que si bien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asumió contar con la información, esto es, con la entrega de la liga electrónica que a su decir contiene la información solicitada, de los motivos de inconformidad se advierte que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w:t>
      </w:r>
      <w:r w:rsidRPr="00795960">
        <w:rPr>
          <w:rFonts w:ascii="Palatino Linotype" w:eastAsia="Palatino Linotype" w:hAnsi="Palatino Linotype" w:cs="Palatino Linotype"/>
          <w:b/>
          <w:sz w:val="22"/>
          <w:szCs w:val="22"/>
          <w:u w:val="single"/>
        </w:rPr>
        <w:t xml:space="preserve">si accedió a dicho enlace electrónico al señalar que </w:t>
      </w:r>
      <w:r w:rsidRPr="00795960">
        <w:rPr>
          <w:rFonts w:ascii="Palatino Linotype" w:eastAsia="Palatino Linotype" w:hAnsi="Palatino Linotype" w:cs="Palatino Linotype"/>
          <w:i/>
          <w:sz w:val="22"/>
          <w:szCs w:val="22"/>
          <w:u w:val="single"/>
        </w:rPr>
        <w:t xml:space="preserve">“Se solicita la entrega de las </w:t>
      </w:r>
      <w:proofErr w:type="spellStart"/>
      <w:r w:rsidRPr="00795960">
        <w:rPr>
          <w:rFonts w:ascii="Palatino Linotype" w:eastAsia="Palatino Linotype" w:hAnsi="Palatino Linotype" w:cs="Palatino Linotype"/>
          <w:i/>
          <w:sz w:val="22"/>
          <w:szCs w:val="22"/>
          <w:u w:val="single"/>
        </w:rPr>
        <w:t>nominas</w:t>
      </w:r>
      <w:proofErr w:type="spellEnd"/>
      <w:r w:rsidRPr="00795960">
        <w:rPr>
          <w:rFonts w:ascii="Palatino Linotype" w:eastAsia="Palatino Linotype" w:hAnsi="Palatino Linotype" w:cs="Palatino Linotype"/>
          <w:i/>
          <w:sz w:val="22"/>
          <w:szCs w:val="22"/>
          <w:u w:val="single"/>
        </w:rPr>
        <w:t xml:space="preserve"> como fueron entregadas al SUTEYM </w:t>
      </w:r>
      <w:r w:rsidRPr="00795960">
        <w:rPr>
          <w:rFonts w:ascii="Palatino Linotype" w:eastAsia="Palatino Linotype" w:hAnsi="Palatino Linotype" w:cs="Palatino Linotype"/>
          <w:b/>
          <w:i/>
          <w:sz w:val="22"/>
          <w:szCs w:val="22"/>
          <w:u w:val="single"/>
        </w:rPr>
        <w:t>porque estas contienen</w:t>
      </w:r>
      <w:r w:rsidRPr="00795960">
        <w:rPr>
          <w:rFonts w:ascii="Palatino Linotype" w:eastAsia="Palatino Linotype" w:hAnsi="Palatino Linotype" w:cs="Palatino Linotype"/>
          <w:i/>
          <w:sz w:val="22"/>
          <w:szCs w:val="22"/>
          <w:u w:val="single"/>
        </w:rPr>
        <w:t xml:space="preserve"> </w:t>
      </w:r>
      <w:r w:rsidRPr="00795960">
        <w:rPr>
          <w:rFonts w:ascii="Palatino Linotype" w:eastAsia="Palatino Linotype" w:hAnsi="Palatino Linotype" w:cs="Palatino Linotype"/>
          <w:b/>
          <w:i/>
          <w:sz w:val="22"/>
          <w:szCs w:val="22"/>
          <w:u w:val="single"/>
        </w:rPr>
        <w:t xml:space="preserve">información que no </w:t>
      </w:r>
      <w:proofErr w:type="spellStart"/>
      <w:r w:rsidRPr="00795960">
        <w:rPr>
          <w:rFonts w:ascii="Palatino Linotype" w:eastAsia="Palatino Linotype" w:hAnsi="Palatino Linotype" w:cs="Palatino Linotype"/>
          <w:b/>
          <w:i/>
          <w:sz w:val="22"/>
          <w:szCs w:val="22"/>
          <w:u w:val="single"/>
        </w:rPr>
        <w:t>esta</w:t>
      </w:r>
      <w:proofErr w:type="spellEnd"/>
      <w:r w:rsidRPr="00795960">
        <w:rPr>
          <w:rFonts w:ascii="Palatino Linotype" w:eastAsia="Palatino Linotype" w:hAnsi="Palatino Linotype" w:cs="Palatino Linotype"/>
          <w:b/>
          <w:i/>
          <w:sz w:val="22"/>
          <w:szCs w:val="22"/>
          <w:u w:val="single"/>
        </w:rPr>
        <w:t xml:space="preserve"> detallada en la </w:t>
      </w:r>
      <w:proofErr w:type="spellStart"/>
      <w:r w:rsidRPr="00795960">
        <w:rPr>
          <w:rFonts w:ascii="Palatino Linotype" w:eastAsia="Palatino Linotype" w:hAnsi="Palatino Linotype" w:cs="Palatino Linotype"/>
          <w:b/>
          <w:i/>
          <w:sz w:val="22"/>
          <w:szCs w:val="22"/>
          <w:u w:val="single"/>
        </w:rPr>
        <w:t>pagina</w:t>
      </w:r>
      <w:proofErr w:type="spellEnd"/>
      <w:r w:rsidRPr="00795960">
        <w:rPr>
          <w:rFonts w:ascii="Palatino Linotype" w:eastAsia="Palatino Linotype" w:hAnsi="Palatino Linotype" w:cs="Palatino Linotype"/>
          <w:b/>
          <w:i/>
          <w:sz w:val="22"/>
          <w:szCs w:val="22"/>
          <w:u w:val="single"/>
        </w:rPr>
        <w:t xml:space="preserve"> de </w:t>
      </w:r>
      <w:proofErr w:type="spellStart"/>
      <w:r w:rsidRPr="00795960">
        <w:rPr>
          <w:rFonts w:ascii="Palatino Linotype" w:eastAsia="Palatino Linotype" w:hAnsi="Palatino Linotype" w:cs="Palatino Linotype"/>
          <w:b/>
          <w:i/>
          <w:sz w:val="22"/>
          <w:szCs w:val="22"/>
          <w:u w:val="single"/>
        </w:rPr>
        <w:t>ipomex</w:t>
      </w:r>
      <w:proofErr w:type="spellEnd"/>
      <w:r w:rsidRPr="00795960">
        <w:rPr>
          <w:rFonts w:ascii="Palatino Linotype" w:eastAsia="Palatino Linotype" w:hAnsi="Palatino Linotype" w:cs="Palatino Linotype"/>
          <w:b/>
          <w:i/>
          <w:sz w:val="22"/>
          <w:szCs w:val="22"/>
          <w:u w:val="single"/>
        </w:rPr>
        <w:t>,</w:t>
      </w:r>
      <w:r w:rsidRPr="00795960">
        <w:rPr>
          <w:rFonts w:ascii="Palatino Linotype" w:eastAsia="Palatino Linotype" w:hAnsi="Palatino Linotype" w:cs="Palatino Linotype"/>
          <w:i/>
          <w:sz w:val="22"/>
          <w:szCs w:val="22"/>
          <w:u w:val="single"/>
        </w:rPr>
        <w:t xml:space="preserve"> </w:t>
      </w:r>
      <w:proofErr w:type="spellStart"/>
      <w:r w:rsidRPr="00795960">
        <w:rPr>
          <w:rFonts w:ascii="Palatino Linotype" w:eastAsia="Palatino Linotype" w:hAnsi="Palatino Linotype" w:cs="Palatino Linotype"/>
          <w:i/>
          <w:sz w:val="22"/>
          <w:szCs w:val="22"/>
          <w:u w:val="single"/>
        </w:rPr>
        <w:t>ademas</w:t>
      </w:r>
      <w:proofErr w:type="spellEnd"/>
      <w:r w:rsidRPr="00795960">
        <w:rPr>
          <w:rFonts w:ascii="Palatino Linotype" w:eastAsia="Palatino Linotype" w:hAnsi="Palatino Linotype" w:cs="Palatino Linotype"/>
          <w:i/>
          <w:sz w:val="22"/>
          <w:szCs w:val="22"/>
          <w:u w:val="single"/>
        </w:rPr>
        <w:t xml:space="preserve"> de que esto no representa ningún trabajo extra porque las mismas ya deben existir porque ya fueron en su momento entregadas al SUTEYM,...”</w:t>
      </w:r>
      <w:r w:rsidRPr="00795960">
        <w:rPr>
          <w:rFonts w:ascii="Palatino Linotype" w:eastAsia="Palatino Linotype" w:hAnsi="Palatino Linotype" w:cs="Palatino Linotype"/>
          <w:sz w:val="22"/>
          <w:szCs w:val="22"/>
        </w:rPr>
        <w:t xml:space="preserve"> (Sic); ante ello, se procede acceder a la liga referida por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para determinar si se puede acceder a la información solicitada, ya que el motivo de inconformidad versa en ese sentido:</w:t>
      </w:r>
    </w:p>
    <w:p w14:paraId="46CFBA03" w14:textId="77777777" w:rsidR="00CB0D47" w:rsidRPr="00795960" w:rsidRDefault="00CF22F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795960">
        <w:rPr>
          <w:rFonts w:ascii="Palatino Linotype" w:eastAsia="Palatino Linotype" w:hAnsi="Palatino Linotype" w:cs="Palatino Linotype"/>
          <w:noProof/>
          <w:sz w:val="22"/>
          <w:szCs w:val="22"/>
          <w:lang w:val="es-MX" w:eastAsia="es-MX"/>
        </w:rPr>
        <w:lastRenderedPageBreak/>
        <w:drawing>
          <wp:inline distT="0" distB="0" distL="0" distR="0" wp14:anchorId="618BD03C" wp14:editId="4BC07C17">
            <wp:extent cx="4310974" cy="2561428"/>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b="13532"/>
                    <a:stretch>
                      <a:fillRect/>
                    </a:stretch>
                  </pic:blipFill>
                  <pic:spPr>
                    <a:xfrm>
                      <a:off x="0" y="0"/>
                      <a:ext cx="4310974" cy="2561428"/>
                    </a:xfrm>
                    <a:prstGeom prst="rect">
                      <a:avLst/>
                    </a:prstGeom>
                    <a:ln/>
                  </pic:spPr>
                </pic:pic>
              </a:graphicData>
            </a:graphic>
          </wp:inline>
        </w:drawing>
      </w:r>
    </w:p>
    <w:p w14:paraId="2A1FE320" w14:textId="77777777" w:rsidR="00CB0D47" w:rsidRPr="00795960" w:rsidRDefault="00CF22F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795960">
        <w:rPr>
          <w:rFonts w:ascii="Palatino Linotype" w:eastAsia="Palatino Linotype" w:hAnsi="Palatino Linotype" w:cs="Palatino Linotype"/>
          <w:noProof/>
          <w:sz w:val="22"/>
          <w:szCs w:val="22"/>
          <w:lang w:val="es-MX" w:eastAsia="es-MX"/>
        </w:rPr>
        <w:drawing>
          <wp:inline distT="0" distB="0" distL="0" distR="0" wp14:anchorId="32656695" wp14:editId="771D2F01">
            <wp:extent cx="2641874" cy="3292357"/>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41874" cy="3292357"/>
                    </a:xfrm>
                    <a:prstGeom prst="rect">
                      <a:avLst/>
                    </a:prstGeom>
                    <a:ln/>
                  </pic:spPr>
                </pic:pic>
              </a:graphicData>
            </a:graphic>
          </wp:inline>
        </w:drawing>
      </w:r>
    </w:p>
    <w:p w14:paraId="24591AE4" w14:textId="77777777" w:rsidR="00CB0D47" w:rsidRPr="00795960" w:rsidRDefault="00CF22F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795960">
        <w:rPr>
          <w:rFonts w:ascii="Palatino Linotype" w:eastAsia="Palatino Linotype" w:hAnsi="Palatino Linotype" w:cs="Palatino Linotype"/>
          <w:noProof/>
          <w:sz w:val="22"/>
          <w:szCs w:val="22"/>
          <w:lang w:val="es-MX" w:eastAsia="es-MX"/>
        </w:rPr>
        <w:lastRenderedPageBreak/>
        <w:drawing>
          <wp:inline distT="0" distB="0" distL="0" distR="0" wp14:anchorId="35A12124" wp14:editId="01812B96">
            <wp:extent cx="3487417" cy="5027694"/>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487417" cy="5027694"/>
                    </a:xfrm>
                    <a:prstGeom prst="rect">
                      <a:avLst/>
                    </a:prstGeom>
                    <a:ln/>
                  </pic:spPr>
                </pic:pic>
              </a:graphicData>
            </a:graphic>
          </wp:inline>
        </w:drawing>
      </w:r>
    </w:p>
    <w:p w14:paraId="0969759F"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las imágenes insertadas con anterioridad se advierte que, la liga electrónica únicamente direcciona al apartado de Remuneraciones de los años 2018 al 2023 de </w:t>
      </w:r>
      <w:proofErr w:type="spellStart"/>
      <w:r w:rsidRPr="00795960">
        <w:rPr>
          <w:rFonts w:ascii="Palatino Linotype" w:eastAsia="Palatino Linotype" w:hAnsi="Palatino Linotype" w:cs="Palatino Linotype"/>
          <w:sz w:val="22"/>
          <w:szCs w:val="22"/>
        </w:rPr>
        <w:t>Ipomex</w:t>
      </w:r>
      <w:proofErr w:type="spellEnd"/>
      <w:r w:rsidRPr="00795960">
        <w:rPr>
          <w:rFonts w:ascii="Palatino Linotype" w:eastAsia="Palatino Linotype" w:hAnsi="Palatino Linotype" w:cs="Palatino Linotype"/>
          <w:sz w:val="22"/>
          <w:szCs w:val="22"/>
        </w:rPr>
        <w:t xml:space="preserve"> y al acceder algún año, este direcciona a las remuneraciones de todos los servidores públicos adscritos al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y no a la nómina solicitada, esto en razón de que el particular solicitó un documento en específico y de lo remitido en </w:t>
      </w:r>
      <w:proofErr w:type="spellStart"/>
      <w:r w:rsidRPr="00795960">
        <w:rPr>
          <w:rFonts w:ascii="Palatino Linotype" w:eastAsia="Palatino Linotype" w:hAnsi="Palatino Linotype" w:cs="Palatino Linotype"/>
          <w:sz w:val="22"/>
          <w:szCs w:val="22"/>
        </w:rPr>
        <w:t>ipomex</w:t>
      </w:r>
      <w:proofErr w:type="spellEnd"/>
      <w:r w:rsidRPr="00795960">
        <w:rPr>
          <w:rFonts w:ascii="Palatino Linotype" w:eastAsia="Palatino Linotype" w:hAnsi="Palatino Linotype" w:cs="Palatino Linotype"/>
          <w:sz w:val="22"/>
          <w:szCs w:val="22"/>
        </w:rPr>
        <w:t xml:space="preserve"> se advierten únicamente determinados datos. </w:t>
      </w:r>
    </w:p>
    <w:p w14:paraId="2DD2119B"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FA2DAA"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 xml:space="preserve">Por consiguiente, con dicha liga electrónica, no se colmó la pretensión de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en razón de que la misma no arroja la información requerida en concreto, pue se reitera que el particular solicitó específicamente la nómina del personal sindicalizado de determinadas quincenas, información que no se advierte de lo publicado en el Portal de Información Pública de Oficio Mexiquense al solo contener datos específicos y al implicar que el particular realice una búsqueda de la información dentro de todos los registros. </w:t>
      </w:r>
    </w:p>
    <w:p w14:paraId="0EB6C21B"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41364A"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Para ello conviene recordar que, desde un primer momento el particular solicitó la Nómina en términos de la Cláusula LXVII fracción D) del Convenio de prestaciones de ley y colaterales 2023, celebrado entre el Ayuntamiento de Huixquilucan y el Sindicato Único de Trabajadores de los Poderes, Municipios e Instituciones Descentralizadas del Estado de México, por lo que este Organismo Garante procedió a buscar dentro de la información que se encuentra publicada en el Portal de Información Pública de Oficio Mexiquense del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el Convenio referido, encontrándose en un primer momento y a manera de ejemplo, el Convenio de Sueldos, Prestaciones Colaterales y de Ley 2019</w:t>
      </w:r>
      <w:r w:rsidRPr="00795960">
        <w:rPr>
          <w:rFonts w:ascii="Palatino Linotype" w:eastAsia="Palatino Linotype" w:hAnsi="Palatino Linotype" w:cs="Palatino Linotype"/>
          <w:sz w:val="22"/>
          <w:szCs w:val="22"/>
          <w:vertAlign w:val="superscript"/>
        </w:rPr>
        <w:footnoteReference w:id="1"/>
      </w:r>
      <w:r w:rsidRPr="00795960">
        <w:rPr>
          <w:rFonts w:ascii="Palatino Linotype" w:eastAsia="Palatino Linotype" w:hAnsi="Palatino Linotype" w:cs="Palatino Linotype"/>
          <w:sz w:val="22"/>
          <w:szCs w:val="22"/>
        </w:rPr>
        <w:t xml:space="preserve">, del que se advierte lo siguiente: </w:t>
      </w:r>
    </w:p>
    <w:p w14:paraId="24CC7C5E" w14:textId="77777777" w:rsidR="00CB0D47" w:rsidRPr="00795960" w:rsidRDefault="00CF22F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795960">
        <w:rPr>
          <w:rFonts w:ascii="Palatino Linotype" w:eastAsia="Palatino Linotype" w:hAnsi="Palatino Linotype" w:cs="Palatino Linotype"/>
          <w:noProof/>
          <w:sz w:val="22"/>
          <w:szCs w:val="22"/>
          <w:lang w:val="es-MX" w:eastAsia="es-MX"/>
        </w:rPr>
        <w:lastRenderedPageBreak/>
        <w:drawing>
          <wp:inline distT="0" distB="0" distL="0" distR="0" wp14:anchorId="5371D43C" wp14:editId="50E7EB39">
            <wp:extent cx="4014942" cy="4442876"/>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014942" cy="4442876"/>
                    </a:xfrm>
                    <a:prstGeom prst="rect">
                      <a:avLst/>
                    </a:prstGeom>
                    <a:ln/>
                  </pic:spPr>
                </pic:pic>
              </a:graphicData>
            </a:graphic>
          </wp:inline>
        </w:drawing>
      </w:r>
      <w:r w:rsidRPr="00795960">
        <w:rPr>
          <w:noProof/>
          <w:lang w:val="es-MX" w:eastAsia="es-MX"/>
        </w:rPr>
        <mc:AlternateContent>
          <mc:Choice Requires="wpg">
            <w:drawing>
              <wp:anchor distT="0" distB="0" distL="114300" distR="114300" simplePos="0" relativeHeight="251658240" behindDoc="0" locked="0" layoutInCell="1" hidden="0" allowOverlap="1" wp14:anchorId="6C37BE73" wp14:editId="31922C54">
                <wp:simplePos x="0" y="0"/>
                <wp:positionH relativeFrom="column">
                  <wp:posOffset>901700</wp:posOffset>
                </wp:positionH>
                <wp:positionV relativeFrom="paragraph">
                  <wp:posOffset>2781300</wp:posOffset>
                </wp:positionV>
                <wp:extent cx="3772066" cy="1124281"/>
                <wp:effectExtent l="0" t="0" r="0" b="0"/>
                <wp:wrapNone/>
                <wp:docPr id="33" name="Rectángulo 33"/>
                <wp:cNvGraphicFramePr/>
                <a:graphic xmlns:a="http://schemas.openxmlformats.org/drawingml/2006/main">
                  <a:graphicData uri="http://schemas.microsoft.com/office/word/2010/wordprocessingShape">
                    <wps:wsp>
                      <wps:cNvSpPr/>
                      <wps:spPr>
                        <a:xfrm>
                          <a:off x="3469492" y="3227385"/>
                          <a:ext cx="3753016" cy="1105231"/>
                        </a:xfrm>
                        <a:prstGeom prst="rect">
                          <a:avLst/>
                        </a:prstGeom>
                        <a:noFill/>
                        <a:ln w="19050" cap="flat" cmpd="sng">
                          <a:solidFill>
                            <a:srgbClr val="FF0000"/>
                          </a:solidFill>
                          <a:prstDash val="solid"/>
                          <a:miter lim="800000"/>
                          <a:headEnd type="none" w="sm" len="sm"/>
                          <a:tailEnd type="none" w="sm" len="sm"/>
                        </a:ln>
                      </wps:spPr>
                      <wps:txbx>
                        <w:txbxContent>
                          <w:p w14:paraId="6BA609DA" w14:textId="77777777" w:rsidR="00CB0D47" w:rsidRDefault="00CB0D47">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114300" distR="114300" hidden="0" layoutInCell="1" locked="0" relativeHeight="0" simplePos="0">
                <wp:simplePos x="0" y="0"/>
                <wp:positionH relativeFrom="column">
                  <wp:posOffset>901700</wp:posOffset>
                </wp:positionH>
                <wp:positionV relativeFrom="paragraph">
                  <wp:posOffset>2781300</wp:posOffset>
                </wp:positionV>
                <wp:extent cx="3772066" cy="1124281"/>
                <wp:effectExtent b="0" l="0" r="0" t="0"/>
                <wp:wrapNone/>
                <wp:docPr id="3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772066" cy="1124281"/>
                        </a:xfrm>
                        <a:prstGeom prst="rect"/>
                        <a:ln/>
                      </pic:spPr>
                    </pic:pic>
                  </a:graphicData>
                </a:graphic>
              </wp:anchor>
            </w:drawing>
          </mc:Fallback>
        </mc:AlternateContent>
      </w:r>
    </w:p>
    <w:p w14:paraId="53CBE090"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lo anterior, se puede observar que la cláusula LXVII inciso D), señala que el Ayuntamiento de Huixquilucan se encuentra comprometido a remitir al sindicato la nómina de los servidores públicos sindicalizados con los siguientes datos: número de empleado, nombre completo, Categoría, RFC, Clave </w:t>
      </w:r>
      <w:proofErr w:type="spellStart"/>
      <w:r w:rsidRPr="00795960">
        <w:rPr>
          <w:rFonts w:ascii="Palatino Linotype" w:eastAsia="Palatino Linotype" w:hAnsi="Palatino Linotype" w:cs="Palatino Linotype"/>
          <w:sz w:val="22"/>
          <w:szCs w:val="22"/>
        </w:rPr>
        <w:t>Issemym</w:t>
      </w:r>
      <w:proofErr w:type="spellEnd"/>
      <w:r w:rsidRPr="00795960">
        <w:rPr>
          <w:rFonts w:ascii="Palatino Linotype" w:eastAsia="Palatino Linotype" w:hAnsi="Palatino Linotype" w:cs="Palatino Linotype"/>
          <w:sz w:val="22"/>
          <w:szCs w:val="22"/>
        </w:rPr>
        <w:t xml:space="preserve">, CURP, Periodo Laborado, Número de Nómina, Días Trabajados, Faltas, Claves con nombre de percepciones, y deducciones, Adscripción y zona de trabajo. </w:t>
      </w:r>
    </w:p>
    <w:p w14:paraId="4F72D9EA"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1ECB8A"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Aunado a ello, se localizó el convenio referido por la parte </w:t>
      </w:r>
      <w:r w:rsidRPr="00795960">
        <w:rPr>
          <w:rFonts w:ascii="Palatino Linotype" w:eastAsia="Palatino Linotype" w:hAnsi="Palatino Linotype" w:cs="Palatino Linotype"/>
          <w:b/>
          <w:sz w:val="22"/>
          <w:szCs w:val="22"/>
        </w:rPr>
        <w:t xml:space="preserve">Recurrente </w:t>
      </w:r>
      <w:r w:rsidRPr="00795960">
        <w:rPr>
          <w:rFonts w:ascii="Palatino Linotype" w:eastAsia="Palatino Linotype" w:hAnsi="Palatino Linotype" w:cs="Palatino Linotype"/>
          <w:sz w:val="22"/>
          <w:szCs w:val="22"/>
        </w:rPr>
        <w:t xml:space="preserve">en su solicitud de información, esto es, el Convenio de Sueldos, Prestaciones, Colaterales y de Ley 2023 celebrado entre el Ayuntamiento de Huixquilucan y el Sindicato Único de Trabajadores de </w:t>
      </w:r>
      <w:r w:rsidRPr="00795960">
        <w:rPr>
          <w:rFonts w:ascii="Palatino Linotype" w:eastAsia="Palatino Linotype" w:hAnsi="Palatino Linotype" w:cs="Palatino Linotype"/>
          <w:sz w:val="22"/>
          <w:szCs w:val="22"/>
        </w:rPr>
        <w:lastRenderedPageBreak/>
        <w:t xml:space="preserve">los Poderes, Municipios e Instituciones Descentralizadas del Estado de México, del cual se advierte que la cláusula referida por el particular, también hace referencia  a la nómina de los servidores públicos sindicalizados, que el Ayuntamiento proporciona al Sindicato dentro de los cinco días posteriores a la fecha en la que se apertura el pago, situación que se observa a continuación: </w:t>
      </w:r>
    </w:p>
    <w:p w14:paraId="2C732555" w14:textId="77777777" w:rsidR="00CB0D47" w:rsidRPr="00795960" w:rsidRDefault="00CB0D47">
      <w:pPr>
        <w:jc w:val="both"/>
        <w:rPr>
          <w:rFonts w:ascii="Palatino Linotype" w:eastAsia="Palatino Linotype" w:hAnsi="Palatino Linotype" w:cs="Palatino Linotype"/>
        </w:rPr>
      </w:pPr>
    </w:p>
    <w:p w14:paraId="586BEA32" w14:textId="77777777" w:rsidR="00CB0D47" w:rsidRPr="00795960" w:rsidRDefault="00CF22F4">
      <w:pPr>
        <w:jc w:val="center"/>
        <w:rPr>
          <w:rFonts w:ascii="Palatino Linotype" w:eastAsia="Palatino Linotype" w:hAnsi="Palatino Linotype" w:cs="Palatino Linotype"/>
        </w:rPr>
      </w:pPr>
      <w:r w:rsidRPr="00795960">
        <w:rPr>
          <w:rFonts w:ascii="Palatino Linotype" w:eastAsia="Palatino Linotype" w:hAnsi="Palatino Linotype" w:cs="Palatino Linotype"/>
          <w:noProof/>
          <w:lang w:val="es-MX" w:eastAsia="es-MX"/>
        </w:rPr>
        <w:drawing>
          <wp:inline distT="0" distB="0" distL="0" distR="0" wp14:anchorId="4FBB5161" wp14:editId="602DDF49">
            <wp:extent cx="4599503" cy="1901628"/>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99503" cy="1901628"/>
                    </a:xfrm>
                    <a:prstGeom prst="rect">
                      <a:avLst/>
                    </a:prstGeom>
                    <a:ln/>
                  </pic:spPr>
                </pic:pic>
              </a:graphicData>
            </a:graphic>
          </wp:inline>
        </w:drawing>
      </w:r>
    </w:p>
    <w:p w14:paraId="3F046278" w14:textId="77777777" w:rsidR="00CB0D47" w:rsidRPr="00795960" w:rsidRDefault="00CF22F4">
      <w:pPr>
        <w:jc w:val="center"/>
        <w:rPr>
          <w:rFonts w:ascii="Palatino Linotype" w:eastAsia="Palatino Linotype" w:hAnsi="Palatino Linotype" w:cs="Palatino Linotype"/>
        </w:rPr>
      </w:pPr>
      <w:r w:rsidRPr="00795960">
        <w:rPr>
          <w:rFonts w:ascii="Palatino Linotype" w:eastAsia="Palatino Linotype" w:hAnsi="Palatino Linotype" w:cs="Palatino Linotype"/>
        </w:rPr>
        <w:t>…</w:t>
      </w:r>
    </w:p>
    <w:p w14:paraId="26427B6C" w14:textId="77777777" w:rsidR="00CB0D47" w:rsidRPr="00795960" w:rsidRDefault="00CF22F4">
      <w:pPr>
        <w:jc w:val="center"/>
        <w:rPr>
          <w:rFonts w:ascii="Palatino Linotype" w:eastAsia="Palatino Linotype" w:hAnsi="Palatino Linotype" w:cs="Palatino Linotype"/>
        </w:rPr>
      </w:pPr>
      <w:r w:rsidRPr="00795960">
        <w:rPr>
          <w:rFonts w:ascii="Palatino Linotype" w:eastAsia="Palatino Linotype" w:hAnsi="Palatino Linotype" w:cs="Palatino Linotype"/>
          <w:noProof/>
          <w:lang w:val="es-MX" w:eastAsia="es-MX"/>
        </w:rPr>
        <w:drawing>
          <wp:inline distT="0" distB="0" distL="0" distR="0" wp14:anchorId="5ADBE6AF" wp14:editId="412DA862">
            <wp:extent cx="4848209" cy="1531591"/>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848209" cy="1531591"/>
                    </a:xfrm>
                    <a:prstGeom prst="rect">
                      <a:avLst/>
                    </a:prstGeom>
                    <a:ln/>
                  </pic:spPr>
                </pic:pic>
              </a:graphicData>
            </a:graphic>
          </wp:inline>
        </w:drawing>
      </w:r>
    </w:p>
    <w:p w14:paraId="5F85B24D" w14:textId="77777777" w:rsidR="00CB0D47" w:rsidRPr="00795960" w:rsidRDefault="00CB0D47">
      <w:pPr>
        <w:jc w:val="both"/>
        <w:rPr>
          <w:rFonts w:ascii="Palatino Linotype" w:eastAsia="Palatino Linotype" w:hAnsi="Palatino Linotype" w:cs="Palatino Linotype"/>
        </w:rPr>
      </w:pPr>
    </w:p>
    <w:p w14:paraId="27162C89" w14:textId="77777777" w:rsidR="00CB0D47" w:rsidRPr="00795960" w:rsidRDefault="00CF22F4">
      <w:pPr>
        <w:spacing w:line="360" w:lineRule="auto"/>
        <w:jc w:val="both"/>
        <w:rPr>
          <w:sz w:val="22"/>
          <w:szCs w:val="22"/>
        </w:rPr>
      </w:pPr>
      <w:r w:rsidRPr="00795960">
        <w:rPr>
          <w:rFonts w:ascii="Palatino Linotype" w:eastAsia="Palatino Linotype" w:hAnsi="Palatino Linotype" w:cs="Palatino Linotype"/>
          <w:sz w:val="22"/>
          <w:szCs w:val="22"/>
        </w:rPr>
        <w:t xml:space="preserve">De este modo, se concluye que lo informado por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no colma lo solicitado, puesto que la liga electrónica sólo remite al apartado de remuneraciones en el que se advierten únicamente datos específicos sin mayor detalle y no así a la nómina de los servidores públicos sindicalizados que el Ayuntamiento se encuentra comprometido a proporcionar al Sindicato, en cumplimiento a lo establecido en el referido Convenio; por lo que, no se colmó el derecho de acceso a la información de la parte</w:t>
      </w:r>
      <w:r w:rsidRPr="00795960">
        <w:rPr>
          <w:rFonts w:ascii="Palatino Linotype" w:eastAsia="Palatino Linotype" w:hAnsi="Palatino Linotype" w:cs="Palatino Linotype"/>
          <w:b/>
          <w:sz w:val="22"/>
          <w:szCs w:val="22"/>
        </w:rPr>
        <w:t xml:space="preserve"> Recurrente. </w:t>
      </w:r>
    </w:p>
    <w:p w14:paraId="18B74137" w14:textId="77777777" w:rsidR="00CB0D47" w:rsidRPr="00795960" w:rsidRDefault="00CB0D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4D8C5C" w14:textId="77777777" w:rsidR="00CB0D47" w:rsidRPr="00795960" w:rsidRDefault="00CF22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 xml:space="preserve">De este modo, se concluye que lo informado por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no colma lo solicitado, puesto que la liga electrónica sólo remite al apartado de remuneraciones en el que se advierten únicamente datos específicos sin mayor detalle y no así a la nómina solicitada; aunado a que, este contiene las remuneraciones de todos los servidores públicos del Ayuntamiento de Huixquilucan y no únicamente del personal sindicalizado, por lo que, no se colmó el derecho de acceso a la información de la parte</w:t>
      </w:r>
      <w:r w:rsidRPr="00795960">
        <w:rPr>
          <w:rFonts w:ascii="Palatino Linotype" w:eastAsia="Palatino Linotype" w:hAnsi="Palatino Linotype" w:cs="Palatino Linotype"/>
          <w:b/>
          <w:sz w:val="22"/>
          <w:szCs w:val="22"/>
        </w:rPr>
        <w:t xml:space="preserve"> Recurrente. </w:t>
      </w:r>
    </w:p>
    <w:p w14:paraId="3F0E73CC" w14:textId="77777777" w:rsidR="00CB0D47" w:rsidRPr="00795960" w:rsidRDefault="00CF22F4">
      <w:pPr>
        <w:spacing w:before="240" w:after="240"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Es por todo lo anterior que esta autoridad estima que las razones o motivos de inconformidad hechos valer por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devienen fundados; por lo que, lo procedente es </w:t>
      </w:r>
      <w:r w:rsidRPr="00795960">
        <w:rPr>
          <w:rFonts w:ascii="Palatino Linotype" w:eastAsia="Palatino Linotype" w:hAnsi="Palatino Linotype" w:cs="Palatino Linotype"/>
          <w:b/>
          <w:sz w:val="22"/>
          <w:szCs w:val="22"/>
        </w:rPr>
        <w:t xml:space="preserve">Modificar </w:t>
      </w:r>
      <w:r w:rsidRPr="00795960">
        <w:rPr>
          <w:rFonts w:ascii="Palatino Linotype" w:eastAsia="Palatino Linotype" w:hAnsi="Palatino Linotype" w:cs="Palatino Linotype"/>
          <w:sz w:val="22"/>
          <w:szCs w:val="22"/>
        </w:rPr>
        <w:t xml:space="preserve">la respuesta del </w:t>
      </w:r>
      <w:r w:rsidRPr="00795960">
        <w:rPr>
          <w:rFonts w:ascii="Palatino Linotype" w:eastAsia="Palatino Linotype" w:hAnsi="Palatino Linotype" w:cs="Palatino Linotype"/>
          <w:b/>
          <w:sz w:val="22"/>
          <w:szCs w:val="22"/>
        </w:rPr>
        <w:t xml:space="preserve">Sujeto Obligado y ordenar la entrega </w:t>
      </w:r>
      <w:r w:rsidRPr="00795960">
        <w:rPr>
          <w:rFonts w:ascii="Palatino Linotype" w:eastAsia="Palatino Linotype" w:hAnsi="Palatino Linotype" w:cs="Palatino Linotype"/>
          <w:sz w:val="22"/>
          <w:szCs w:val="22"/>
        </w:rPr>
        <w:t xml:space="preserve">de lo siguiente, en versión pública, atendiendo a lo dispuesto por el considerando quinto: </w:t>
      </w:r>
    </w:p>
    <w:p w14:paraId="287D32CD" w14:textId="77777777" w:rsidR="00CB0D47" w:rsidRPr="00795960" w:rsidRDefault="00CF22F4">
      <w:pPr>
        <w:numPr>
          <w:ilvl w:val="0"/>
          <w:numId w:val="2"/>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Las nóminas del personal sindicalizado en los términos en que se remitieron al Sindicato, del siguiente periodo: </w:t>
      </w:r>
    </w:p>
    <w:p w14:paraId="6612A635" w14:textId="77777777" w:rsidR="00CB0D47" w:rsidRPr="00795960" w:rsidRDefault="00CB0D47">
      <w:pPr>
        <w:pBdr>
          <w:top w:val="nil"/>
          <w:left w:val="nil"/>
          <w:bottom w:val="nil"/>
          <w:right w:val="nil"/>
          <w:between w:val="nil"/>
        </w:pBdr>
        <w:spacing w:line="276" w:lineRule="auto"/>
        <w:ind w:left="720" w:right="616"/>
        <w:jc w:val="both"/>
        <w:rPr>
          <w:rFonts w:ascii="Palatino Linotype" w:eastAsia="Palatino Linotype" w:hAnsi="Palatino Linotype" w:cs="Palatino Linotype"/>
          <w:i/>
          <w:sz w:val="22"/>
          <w:szCs w:val="22"/>
        </w:rPr>
      </w:pPr>
    </w:p>
    <w:p w14:paraId="747F20E2" w14:textId="77777777" w:rsidR="00CB0D47" w:rsidRPr="00795960" w:rsidRDefault="00CF22F4">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 los años 2020, 2021, 2022 y 2023: </w:t>
      </w:r>
    </w:p>
    <w:p w14:paraId="4C1D71F1" w14:textId="77777777" w:rsidR="00CB0D47" w:rsidRPr="00795960" w:rsidRDefault="00CF22F4">
      <w:pPr>
        <w:numPr>
          <w:ilvl w:val="0"/>
          <w:numId w:val="6"/>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primera quincena de febrero, segunda quincena de julio y segunda quincena de diciembre.</w:t>
      </w:r>
    </w:p>
    <w:p w14:paraId="20A8FD80" w14:textId="77777777" w:rsidR="00CB0D47" w:rsidRPr="00795960" w:rsidRDefault="00CF22F4">
      <w:pPr>
        <w:numPr>
          <w:ilvl w:val="0"/>
          <w:numId w:val="5"/>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Del año 2024: </w:t>
      </w:r>
    </w:p>
    <w:p w14:paraId="0E11CDE7" w14:textId="77777777" w:rsidR="00CB0D47" w:rsidRPr="00795960" w:rsidRDefault="00CF22F4">
      <w:pPr>
        <w:numPr>
          <w:ilvl w:val="0"/>
          <w:numId w:val="7"/>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segunda quincena de marzo, primera quincena de julio y, segunda quincena de octubre. </w:t>
      </w:r>
    </w:p>
    <w:p w14:paraId="5C14C572" w14:textId="77777777" w:rsidR="00CB0D47" w:rsidRPr="00795960" w:rsidRDefault="00CB0D47">
      <w:pPr>
        <w:spacing w:line="360" w:lineRule="auto"/>
        <w:ind w:right="49"/>
        <w:jc w:val="both"/>
        <w:rPr>
          <w:rFonts w:ascii="Palatino Linotype" w:eastAsia="Palatino Linotype" w:hAnsi="Palatino Linotype" w:cs="Palatino Linotype"/>
          <w:sz w:val="22"/>
          <w:szCs w:val="22"/>
        </w:rPr>
      </w:pPr>
    </w:p>
    <w:p w14:paraId="23E79EE7"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 xml:space="preserve">Quinto. Versión Pública. </w:t>
      </w:r>
      <w:r w:rsidRPr="00795960">
        <w:rPr>
          <w:rFonts w:ascii="Palatino Linotype" w:eastAsia="Palatino Linotype" w:hAnsi="Palatino Linotype" w:cs="Palatino Linotype"/>
          <w:sz w:val="22"/>
          <w:szCs w:val="22"/>
        </w:rPr>
        <w:t>Como fue debidamente apuntado,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 El derecho de acceso a la información pública tiene como limitante el respeto a la intimidad y a la vida privada de las personas, es </w:t>
      </w:r>
      <w:r w:rsidRPr="00795960">
        <w:rPr>
          <w:rFonts w:ascii="Palatino Linotype" w:eastAsia="Palatino Linotype" w:hAnsi="Palatino Linotype" w:cs="Palatino Linotype"/>
          <w:sz w:val="22"/>
          <w:szCs w:val="22"/>
        </w:rPr>
        <w:lastRenderedPageBreak/>
        <w:t>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7C7BA6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4466A31"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C64A7CC"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6C8640AE"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756C51E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3.</w:t>
      </w:r>
      <w:r w:rsidRPr="00795960">
        <w:rPr>
          <w:rFonts w:ascii="Palatino Linotype" w:eastAsia="Palatino Linotype" w:hAnsi="Palatino Linotype" w:cs="Palatino Linotype"/>
          <w:i/>
          <w:sz w:val="22"/>
          <w:szCs w:val="22"/>
        </w:rPr>
        <w:t xml:space="preserve"> Para los efectos de la presente Ley se entenderá por:</w:t>
      </w:r>
    </w:p>
    <w:p w14:paraId="578F5DD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320FE73C"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IX. Datos personales</w:t>
      </w:r>
      <w:r w:rsidRPr="0079596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726B261"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1295F4F4"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XX. Información clasificada</w:t>
      </w:r>
      <w:r w:rsidRPr="00795960">
        <w:rPr>
          <w:rFonts w:ascii="Palatino Linotype" w:eastAsia="Palatino Linotype" w:hAnsi="Palatino Linotype" w:cs="Palatino Linotype"/>
          <w:i/>
          <w:sz w:val="22"/>
          <w:szCs w:val="22"/>
        </w:rPr>
        <w:t>: Aquella considerada por la presente Ley como reservada o confidencial;</w:t>
      </w:r>
    </w:p>
    <w:p w14:paraId="1DE2F39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XXI. Información confidencial</w:t>
      </w:r>
      <w:r w:rsidRPr="0079596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A764C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7ED23BB2"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XXXII. Protección de Datos Personales</w:t>
      </w:r>
      <w:r w:rsidRPr="0079596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249233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2AD898B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XLV. Versión pública</w:t>
      </w:r>
      <w:r w:rsidRPr="0079596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267BD5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 Artículo 6</w:t>
      </w:r>
      <w:r w:rsidRPr="0079596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w:t>
      </w:r>
      <w:r w:rsidRPr="00795960">
        <w:rPr>
          <w:rFonts w:ascii="Palatino Linotype" w:eastAsia="Palatino Linotype" w:hAnsi="Palatino Linotype" w:cs="Palatino Linotype"/>
          <w:i/>
          <w:sz w:val="22"/>
          <w:szCs w:val="22"/>
        </w:rPr>
        <w:lastRenderedPageBreak/>
        <w:t>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0D754B2"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w:t>
      </w:r>
    </w:p>
    <w:p w14:paraId="0FD9234F"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Artículo 91.</w:t>
      </w:r>
      <w:r w:rsidRPr="0079596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82C3DE2"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744EB2B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Artículo 137.</w:t>
      </w:r>
      <w:r w:rsidRPr="0079596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2ABF0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 Artículo 143.</w:t>
      </w:r>
      <w:r w:rsidRPr="0079596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4EEE0A2"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w:t>
      </w:r>
      <w:r w:rsidRPr="0079596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B2C7B11" w14:textId="77777777" w:rsidR="00CB0D47" w:rsidRPr="00795960" w:rsidRDefault="00CB0D47">
      <w:pPr>
        <w:ind w:left="851" w:right="616"/>
        <w:jc w:val="both"/>
        <w:rPr>
          <w:rFonts w:ascii="Palatino Linotype" w:eastAsia="Palatino Linotype" w:hAnsi="Palatino Linotype" w:cs="Palatino Linotype"/>
          <w:i/>
          <w:sz w:val="22"/>
          <w:szCs w:val="22"/>
        </w:rPr>
      </w:pPr>
    </w:p>
    <w:p w14:paraId="747A41A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1363F20"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692067C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B3AC74A"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8FC34F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95960">
        <w:rPr>
          <w:rFonts w:ascii="Palatino Linotype" w:eastAsia="Palatino Linotype" w:hAnsi="Palatino Linotype" w:cs="Palatino Linotype"/>
          <w:b/>
          <w:sz w:val="22"/>
          <w:szCs w:val="22"/>
        </w:rPr>
        <w:t>Registro Federal de Contribuyentes</w:t>
      </w:r>
      <w:r w:rsidRPr="00795960">
        <w:rPr>
          <w:rFonts w:ascii="Palatino Linotype" w:eastAsia="Palatino Linotype" w:hAnsi="Palatino Linotype" w:cs="Palatino Linotype"/>
          <w:sz w:val="22"/>
          <w:szCs w:val="22"/>
        </w:rPr>
        <w:t xml:space="preserve"> (RFC), la </w:t>
      </w:r>
      <w:r w:rsidRPr="00795960">
        <w:rPr>
          <w:rFonts w:ascii="Palatino Linotype" w:eastAsia="Palatino Linotype" w:hAnsi="Palatino Linotype" w:cs="Palatino Linotype"/>
          <w:b/>
          <w:sz w:val="22"/>
          <w:szCs w:val="22"/>
        </w:rPr>
        <w:t>Clave Única de Registro de Población</w:t>
      </w:r>
      <w:r w:rsidRPr="00795960">
        <w:rPr>
          <w:rFonts w:ascii="Palatino Linotype" w:eastAsia="Palatino Linotype" w:hAnsi="Palatino Linotype" w:cs="Palatino Linotype"/>
          <w:sz w:val="22"/>
          <w:szCs w:val="22"/>
        </w:rPr>
        <w:t xml:space="preserve"> (CURP), la </w:t>
      </w:r>
      <w:r w:rsidRPr="00795960">
        <w:rPr>
          <w:rFonts w:ascii="Palatino Linotype" w:eastAsia="Palatino Linotype" w:hAnsi="Palatino Linotype" w:cs="Palatino Linotype"/>
          <w:b/>
          <w:sz w:val="22"/>
          <w:szCs w:val="22"/>
        </w:rPr>
        <w:t>Clave de cualquier tipo de seguridad social</w:t>
      </w:r>
      <w:r w:rsidRPr="00795960">
        <w:rPr>
          <w:rFonts w:ascii="Palatino Linotype" w:eastAsia="Palatino Linotype" w:hAnsi="Palatino Linotype" w:cs="Palatino Linotype"/>
          <w:sz w:val="22"/>
          <w:szCs w:val="22"/>
        </w:rPr>
        <w:t xml:space="preserve"> (ISSEMYM, u otros), los </w:t>
      </w:r>
      <w:r w:rsidRPr="00795960">
        <w:rPr>
          <w:rFonts w:ascii="Palatino Linotype" w:eastAsia="Palatino Linotype" w:hAnsi="Palatino Linotype" w:cs="Palatino Linotype"/>
          <w:b/>
          <w:sz w:val="22"/>
          <w:szCs w:val="22"/>
        </w:rPr>
        <w:t>números de cuentas bancarias</w:t>
      </w:r>
      <w:r w:rsidRPr="00795960">
        <w:rPr>
          <w:rFonts w:ascii="Palatino Linotype" w:eastAsia="Palatino Linotype" w:hAnsi="Palatino Linotype" w:cs="Palatino Linotype"/>
          <w:sz w:val="22"/>
          <w:szCs w:val="22"/>
        </w:rPr>
        <w:t xml:space="preserve">, claves estandarizadas – interbancarias - (CLABES) y de tarjetas, los </w:t>
      </w:r>
      <w:r w:rsidRPr="00795960">
        <w:rPr>
          <w:rFonts w:ascii="Palatino Linotype" w:eastAsia="Palatino Linotype" w:hAnsi="Palatino Linotype" w:cs="Palatino Linotype"/>
          <w:b/>
          <w:sz w:val="22"/>
          <w:szCs w:val="22"/>
        </w:rPr>
        <w:t>préstamos o descuentos</w:t>
      </w:r>
      <w:r w:rsidRPr="00795960">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795960">
        <w:rPr>
          <w:rFonts w:ascii="Palatino Linotype" w:eastAsia="Palatino Linotype" w:hAnsi="Palatino Linotype" w:cs="Palatino Linotype"/>
          <w:b/>
          <w:sz w:val="22"/>
          <w:szCs w:val="22"/>
        </w:rPr>
        <w:t xml:space="preserve"> número de empleado, </w:t>
      </w:r>
      <w:r w:rsidRPr="00795960">
        <w:rPr>
          <w:rFonts w:ascii="Palatino Linotype" w:eastAsia="Palatino Linotype" w:hAnsi="Palatino Linotype" w:cs="Palatino Linotype"/>
          <w:sz w:val="22"/>
          <w:szCs w:val="22"/>
        </w:rPr>
        <w:t xml:space="preserve">así como de ser el caso, el </w:t>
      </w:r>
      <w:r w:rsidRPr="00795960">
        <w:rPr>
          <w:rFonts w:ascii="Palatino Linotype" w:eastAsia="Palatino Linotype" w:hAnsi="Palatino Linotype" w:cs="Palatino Linotype"/>
          <w:b/>
          <w:sz w:val="22"/>
          <w:szCs w:val="22"/>
        </w:rPr>
        <w:t>folio fiscal</w:t>
      </w:r>
      <w:r w:rsidRPr="00795960">
        <w:rPr>
          <w:rFonts w:ascii="Palatino Linotype" w:eastAsia="Palatino Linotype" w:hAnsi="Palatino Linotype" w:cs="Palatino Linotype"/>
          <w:sz w:val="22"/>
          <w:szCs w:val="22"/>
        </w:rPr>
        <w:t xml:space="preserve">, la  </w:t>
      </w:r>
      <w:r w:rsidRPr="00795960">
        <w:rPr>
          <w:rFonts w:ascii="Palatino Linotype" w:eastAsia="Palatino Linotype" w:hAnsi="Palatino Linotype" w:cs="Palatino Linotype"/>
          <w:b/>
          <w:sz w:val="22"/>
          <w:szCs w:val="22"/>
        </w:rPr>
        <w:t xml:space="preserve">cadena original, </w:t>
      </w:r>
      <w:r w:rsidRPr="00795960">
        <w:rPr>
          <w:rFonts w:ascii="Palatino Linotype" w:eastAsia="Palatino Linotype" w:hAnsi="Palatino Linotype" w:cs="Palatino Linotype"/>
          <w:sz w:val="22"/>
          <w:szCs w:val="22"/>
        </w:rPr>
        <w:t>los</w:t>
      </w:r>
      <w:r w:rsidRPr="00795960">
        <w:rPr>
          <w:rFonts w:ascii="Palatino Linotype" w:eastAsia="Palatino Linotype" w:hAnsi="Palatino Linotype" w:cs="Palatino Linotype"/>
          <w:b/>
          <w:sz w:val="22"/>
          <w:szCs w:val="22"/>
        </w:rPr>
        <w:t xml:space="preserve"> códigos bidimensionales o códigos QR,</w:t>
      </w:r>
      <w:r w:rsidRPr="00795960">
        <w:rPr>
          <w:rFonts w:ascii="Palatino Linotype" w:eastAsia="Palatino Linotype" w:hAnsi="Palatino Linotype" w:cs="Palatino Linotype"/>
          <w:sz w:val="22"/>
          <w:szCs w:val="22"/>
        </w:rPr>
        <w:t xml:space="preserve"> y cualquier información de carácter fiscal, bajo las siguientes consideraciones. </w:t>
      </w:r>
    </w:p>
    <w:p w14:paraId="3E89458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33CCBF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E69BBF7"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95960">
        <w:rPr>
          <w:rFonts w:ascii="Palatino Linotype" w:eastAsia="Palatino Linotype" w:hAnsi="Palatino Linotype" w:cs="Palatino Linotype"/>
          <w:sz w:val="22"/>
          <w:szCs w:val="22"/>
        </w:rPr>
        <w:t>homoclave</w:t>
      </w:r>
      <w:proofErr w:type="spellEnd"/>
      <w:r w:rsidRPr="00795960">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795CC88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78595B1"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ACC9F69"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770C5F93"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“Registro Federal de Contribuyentes (RFC) de personas físicas</w:t>
      </w:r>
      <w:r w:rsidRPr="00795960">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0BB81D7" w14:textId="77777777" w:rsidR="00CB0D47" w:rsidRPr="00795960" w:rsidRDefault="00CB0D47">
      <w:pPr>
        <w:ind w:left="851" w:right="616"/>
        <w:jc w:val="both"/>
        <w:rPr>
          <w:rFonts w:ascii="Palatino Linotype" w:eastAsia="Palatino Linotype" w:hAnsi="Palatino Linotype" w:cs="Palatino Linotype"/>
          <w:i/>
          <w:sz w:val="22"/>
          <w:szCs w:val="22"/>
        </w:rPr>
      </w:pPr>
    </w:p>
    <w:p w14:paraId="2470DD43"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795960">
        <w:rPr>
          <w:rFonts w:ascii="Palatino Linotype" w:eastAsia="Palatino Linotype" w:hAnsi="Palatino Linotype" w:cs="Palatino Linotype"/>
          <w:sz w:val="22"/>
          <w:szCs w:val="22"/>
        </w:rPr>
        <w:t>homoclave</w:t>
      </w:r>
      <w:proofErr w:type="spellEnd"/>
      <w:r w:rsidRPr="00795960">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8E52A1C"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A8D34B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De igual manera la Clave Única de Registro de Población, CURP, constituye un dato personal, ya que tiene como finalidad registrar a cada una de las personas que integran la </w:t>
      </w:r>
      <w:r w:rsidRPr="00795960">
        <w:rPr>
          <w:rFonts w:ascii="Palatino Linotype" w:eastAsia="Palatino Linotype" w:hAnsi="Palatino Linotype" w:cs="Palatino Linotype"/>
          <w:sz w:val="22"/>
          <w:szCs w:val="22"/>
        </w:rPr>
        <w:lastRenderedPageBreak/>
        <w:t>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62B067A"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BA4353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18/17, el cual refiere:</w:t>
      </w:r>
    </w:p>
    <w:p w14:paraId="25993520"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 xml:space="preserve">“Clave Única de Registro de Población (CURP). </w:t>
      </w:r>
      <w:r w:rsidRPr="00795960">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197D96E" w14:textId="77777777" w:rsidR="00CB0D47" w:rsidRPr="00795960" w:rsidRDefault="00CB0D47">
      <w:pPr>
        <w:ind w:left="851" w:right="616"/>
        <w:jc w:val="both"/>
        <w:rPr>
          <w:rFonts w:ascii="Palatino Linotype" w:eastAsia="Palatino Linotype" w:hAnsi="Palatino Linotype" w:cs="Palatino Linotype"/>
          <w:i/>
          <w:sz w:val="22"/>
          <w:szCs w:val="22"/>
        </w:rPr>
      </w:pPr>
    </w:p>
    <w:p w14:paraId="397D0B6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D2B6256"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54683C1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DD6C0DC"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2B184B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1F3D8E04"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77DFD02"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575FE920"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57F61B2"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52D3A0CF"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BCD196A"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Lo argumentado encuentra sustento en los criterios 10/17 y 11/17 emitidos por el Instituto Nacional de Transparencia, Acceso a la Información y Protección de Datos Personales, INAI, que llevan por rubro y texto los siguientes:</w:t>
      </w:r>
    </w:p>
    <w:p w14:paraId="2654C6C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Cuentas bancarias y/o CLABE interbancaria de personas físicas y morales privadas.</w:t>
      </w:r>
      <w:r w:rsidRPr="00795960">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D5AC73E"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795960">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E9A4E2B" w14:textId="77777777" w:rsidR="00CB0D47" w:rsidRPr="00795960" w:rsidRDefault="00CB0D47">
      <w:pPr>
        <w:ind w:left="851" w:right="616"/>
        <w:jc w:val="both"/>
        <w:rPr>
          <w:rFonts w:ascii="Palatino Linotype" w:eastAsia="Palatino Linotype" w:hAnsi="Palatino Linotype" w:cs="Palatino Linotype"/>
          <w:i/>
          <w:sz w:val="22"/>
          <w:szCs w:val="22"/>
        </w:rPr>
      </w:pPr>
    </w:p>
    <w:p w14:paraId="40B5ADC0"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Por cuanto hace a los </w:t>
      </w:r>
      <w:r w:rsidRPr="00795960">
        <w:rPr>
          <w:rFonts w:ascii="Palatino Linotype" w:eastAsia="Palatino Linotype" w:hAnsi="Palatino Linotype" w:cs="Palatino Linotype"/>
          <w:b/>
          <w:sz w:val="22"/>
          <w:szCs w:val="22"/>
        </w:rPr>
        <w:t>préstamos o descuentos de carácter personal</w:t>
      </w:r>
      <w:r w:rsidRPr="00795960">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14D7685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6CA469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3902F429"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415D928D"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 xml:space="preserve">“ARTÍCULO 84. </w:t>
      </w:r>
      <w:r w:rsidRPr="00795960">
        <w:rPr>
          <w:rFonts w:ascii="Palatino Linotype" w:eastAsia="Palatino Linotype" w:hAnsi="Palatino Linotype" w:cs="Palatino Linotype"/>
          <w:i/>
          <w:sz w:val="22"/>
          <w:szCs w:val="22"/>
        </w:rPr>
        <w:t>Sólo podrán hacerse retenciones, descuentos o deducciones al sueldo de los servidores públicos por concepto de:</w:t>
      </w:r>
    </w:p>
    <w:p w14:paraId="3DCBF3E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 Gravámenes fiscales relacionados con el sueldo;</w:t>
      </w:r>
    </w:p>
    <w:p w14:paraId="5458C61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6CB49D79"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III. Cuotas sindicales;</w:t>
      </w:r>
    </w:p>
    <w:p w14:paraId="680A167A"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60D395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45D6B1D"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2EE30D54"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VII. Faltas de puntualidad o de asistencia injustificadas;</w:t>
      </w:r>
    </w:p>
    <w:p w14:paraId="57832888"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VIII. Pensiones alimenticias ordenadas por la autoridad judicial;</w:t>
      </w:r>
      <w:r w:rsidRPr="00795960">
        <w:rPr>
          <w:rFonts w:ascii="Palatino Linotype" w:eastAsia="Palatino Linotype" w:hAnsi="Palatino Linotype" w:cs="Palatino Linotype"/>
          <w:i/>
          <w:sz w:val="22"/>
          <w:szCs w:val="22"/>
        </w:rPr>
        <w:t xml:space="preserve"> o</w:t>
      </w:r>
    </w:p>
    <w:p w14:paraId="5DB6BB27"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IX. Cualquier otro convenido con instituciones de servicios y aceptado por el servidor público.</w:t>
      </w:r>
    </w:p>
    <w:p w14:paraId="4636A78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9C5B026"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0036DEE" w14:textId="77777777" w:rsidR="00CB0D47" w:rsidRPr="00795960" w:rsidRDefault="00CF22F4">
      <w:pPr>
        <w:pBdr>
          <w:top w:val="nil"/>
          <w:left w:val="nil"/>
          <w:bottom w:val="nil"/>
          <w:right w:val="nil"/>
          <w:between w:val="nil"/>
        </w:pBdr>
        <w:spacing w:line="360" w:lineRule="auto"/>
        <w:jc w:val="both"/>
      </w:pPr>
      <w:r w:rsidRPr="00795960">
        <w:rPr>
          <w:rFonts w:ascii="Palatino Linotype" w:eastAsia="Palatino Linotype" w:hAnsi="Palatino Linotype" w:cs="Palatino Linotype"/>
          <w:sz w:val="22"/>
          <w:szCs w:val="22"/>
        </w:rPr>
        <w:lastRenderedPageBreak/>
        <w:t>Como se puede observar, el precepto citado establece claramente cuáles son esos descuentos o gravámenes que directamente se relacionan con las obligaciones adquiridas como servidores públicos y aquellos que únicamente inciden en su vida privada. </w:t>
      </w:r>
    </w:p>
    <w:p w14:paraId="4E9D3248" w14:textId="77777777" w:rsidR="00CB0D47" w:rsidRPr="00795960" w:rsidRDefault="00CB0D47">
      <w:pPr>
        <w:spacing w:line="360" w:lineRule="auto"/>
      </w:pPr>
    </w:p>
    <w:p w14:paraId="7F9EC081" w14:textId="77777777" w:rsidR="00CB0D47" w:rsidRPr="00795960" w:rsidRDefault="00CF22F4">
      <w:pPr>
        <w:pBdr>
          <w:top w:val="nil"/>
          <w:left w:val="nil"/>
          <w:bottom w:val="nil"/>
          <w:right w:val="nil"/>
          <w:between w:val="nil"/>
        </w:pBdr>
        <w:spacing w:line="360" w:lineRule="auto"/>
        <w:jc w:val="both"/>
      </w:pPr>
      <w:r w:rsidRPr="00795960">
        <w:rPr>
          <w:rFonts w:ascii="Palatino Linotype" w:eastAsia="Palatino Linotype" w:hAnsi="Palatino Linotype" w:cs="Palatino Linotype"/>
          <w:sz w:val="22"/>
          <w:szCs w:val="22"/>
        </w:rPr>
        <w:t xml:space="preserve">De este modo, los descuentos o deducciones por </w:t>
      </w:r>
      <w:r w:rsidRPr="00795960">
        <w:rPr>
          <w:rFonts w:ascii="Palatino Linotype" w:eastAsia="Palatino Linotype" w:hAnsi="Palatino Linotype" w:cs="Palatino Linotype"/>
          <w:b/>
          <w:sz w:val="22"/>
          <w:szCs w:val="22"/>
        </w:rPr>
        <w:t>cuotas sindicales, pensiones alimenticias o créditos adquiridos con instituciones privadas</w:t>
      </w:r>
      <w:r w:rsidRPr="00795960">
        <w:rPr>
          <w:rFonts w:ascii="Palatino Linotype" w:eastAsia="Palatino Linotype" w:hAnsi="Palatino Linotype" w:cs="Palatino Linotype"/>
          <w:sz w:val="22"/>
          <w:szCs w:val="22"/>
        </w:rPr>
        <w:t>, entre otros, que no se relacionen con el gasto público, al revelar parte de los decisiones que adopta una persona respecto del uso y destino de su remuneración salarial, lo cual incide en la manera en que se integra su patrimonio, es información que no es de carácter público, sino que constituye información confidencial en virtud de que corresponde con decisiones personales y por tanto, se debe clasificar como confidencial.</w:t>
      </w:r>
    </w:p>
    <w:p w14:paraId="084C1897" w14:textId="77777777" w:rsidR="00CB0D47" w:rsidRPr="00795960" w:rsidRDefault="00CF22F4">
      <w:pPr>
        <w:pBdr>
          <w:top w:val="nil"/>
          <w:left w:val="nil"/>
          <w:bottom w:val="nil"/>
          <w:right w:val="nil"/>
          <w:between w:val="nil"/>
        </w:pBdr>
        <w:spacing w:before="240" w:after="240" w:line="360" w:lineRule="auto"/>
        <w:jc w:val="both"/>
      </w:pPr>
      <w:r w:rsidRPr="00795960">
        <w:rPr>
          <w:rFonts w:ascii="Palatino Linotype" w:eastAsia="Palatino Linotype" w:hAnsi="Palatino Linotype" w:cs="Palatino Linotype"/>
          <w:sz w:val="22"/>
          <w:szCs w:val="22"/>
        </w:rPr>
        <w:t xml:space="preserve">Las claves y conceptos de los descuentos personales guardan también la misma naturaleza que los importes, </w:t>
      </w:r>
      <w:proofErr w:type="gramStart"/>
      <w:r w:rsidRPr="00795960">
        <w:rPr>
          <w:rFonts w:ascii="Palatino Linotype" w:eastAsia="Palatino Linotype" w:hAnsi="Palatino Linotype" w:cs="Palatino Linotype"/>
          <w:sz w:val="22"/>
          <w:szCs w:val="22"/>
        </w:rPr>
        <w:t>ya que</w:t>
      </w:r>
      <w:proofErr w:type="gramEnd"/>
      <w:r w:rsidRPr="00795960">
        <w:rPr>
          <w:rFonts w:ascii="Palatino Linotype" w:eastAsia="Palatino Linotype" w:hAnsi="Palatino Linotype" w:cs="Palatino Linotype"/>
          <w:sz w:val="22"/>
          <w:szCs w:val="22"/>
        </w:rPr>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6A5818E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Ahora bien, por lo que hace a las </w:t>
      </w:r>
      <w:r w:rsidRPr="00795960">
        <w:rPr>
          <w:rFonts w:ascii="Palatino Linotype" w:eastAsia="Palatino Linotype" w:hAnsi="Palatino Linotype" w:cs="Palatino Linotype"/>
          <w:b/>
          <w:sz w:val="22"/>
          <w:szCs w:val="22"/>
        </w:rPr>
        <w:t>cuotas sindicales</w:t>
      </w:r>
      <w:r w:rsidRPr="00795960">
        <w:rPr>
          <w:rFonts w:ascii="Palatino Linotype" w:eastAsia="Palatino Linotype" w:hAnsi="Palatino Linotype" w:cs="Palatino Linotype"/>
          <w:sz w:val="22"/>
          <w:szCs w:val="22"/>
        </w:rPr>
        <w:t>, estas se encuentran previstas en la fracción VI del artículo 110 de la Ley Federal del Trabajo, que se cita para pronta referencia, a continuación:</w:t>
      </w:r>
    </w:p>
    <w:p w14:paraId="50C0D4D3"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0B17A3F"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110.-</w:t>
      </w:r>
      <w:r w:rsidRPr="00795960">
        <w:rPr>
          <w:rFonts w:ascii="Palatino Linotype" w:eastAsia="Palatino Linotype" w:hAnsi="Palatino Linotype" w:cs="Palatino Linotype"/>
          <w:i/>
          <w:sz w:val="22"/>
          <w:szCs w:val="22"/>
        </w:rPr>
        <w:t xml:space="preserve"> Los descuentos en los salarios de los trabajadores, están prohibidos salvo en los casos y con los requisitos siguientes:</w:t>
      </w:r>
    </w:p>
    <w:p w14:paraId="03AB8354"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65D9E915"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VI.</w:t>
      </w:r>
      <w:r w:rsidRPr="00795960">
        <w:rPr>
          <w:rFonts w:ascii="Palatino Linotype" w:eastAsia="Palatino Linotype" w:hAnsi="Palatino Linotype" w:cs="Palatino Linotype"/>
          <w:i/>
          <w:sz w:val="22"/>
          <w:szCs w:val="22"/>
        </w:rPr>
        <w:t xml:space="preserve"> Pago de las </w:t>
      </w:r>
      <w:r w:rsidRPr="00795960">
        <w:rPr>
          <w:rFonts w:ascii="Palatino Linotype" w:eastAsia="Palatino Linotype" w:hAnsi="Palatino Linotype" w:cs="Palatino Linotype"/>
          <w:b/>
          <w:i/>
          <w:sz w:val="22"/>
          <w:szCs w:val="22"/>
        </w:rPr>
        <w:t>cuotas sindicales ordinarias</w:t>
      </w:r>
      <w:r w:rsidRPr="00795960">
        <w:rPr>
          <w:rFonts w:ascii="Palatino Linotype" w:eastAsia="Palatino Linotype" w:hAnsi="Palatino Linotype" w:cs="Palatino Linotype"/>
          <w:i/>
          <w:sz w:val="22"/>
          <w:szCs w:val="22"/>
        </w:rPr>
        <w:t xml:space="preserve"> previstas en los estatutos de los sindicatos.</w:t>
      </w:r>
    </w:p>
    <w:p w14:paraId="73CFB3FA"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lastRenderedPageBreak/>
        <w:t>El trabajador podrá manifestar por escrito su voluntad de que no se le aplique la cuota sindical, en cuyo caso el patrón no podrá descontarla;</w:t>
      </w:r>
    </w:p>
    <w:p w14:paraId="02386680"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48C0E689"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B58EBC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Precepto legal con el cual logra acreditarse que, las cuotas sindicales forman parte de las deducciones de ley, que le son aplicadas por los patrones (caso particular Dependencia Pública) a los servidores públicos que forman parte de los agremiados de un Sindicato. Información que, al ya devenir de recurso que ya le fue proporcionado (pagado) al servidor público, se considera de carácter confidencial, por formar parte de su esfera patrimonial. </w:t>
      </w:r>
    </w:p>
    <w:p w14:paraId="0D5A82F2"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645E3A3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En ese mismo orden de ideas, se trae a colación el criterio 09/17 emitido por el Instituto Nacional de Acceso a la Información (INAI), el cual se cita a continuación para pronta referencia:</w:t>
      </w:r>
    </w:p>
    <w:p w14:paraId="0DECCBBE" w14:textId="77777777" w:rsidR="00CB0D47" w:rsidRPr="00795960" w:rsidRDefault="00CB0D47">
      <w:pPr>
        <w:spacing w:line="360" w:lineRule="auto"/>
        <w:jc w:val="both"/>
        <w:rPr>
          <w:rFonts w:ascii="Palatino Linotype" w:eastAsia="Palatino Linotype" w:hAnsi="Palatino Linotype" w:cs="Palatino Linotype"/>
          <w:sz w:val="22"/>
          <w:szCs w:val="22"/>
        </w:rPr>
      </w:pPr>
      <w:bookmarkStart w:id="3" w:name="_heading=h.1fob9te" w:colFirst="0" w:colLast="0"/>
      <w:bookmarkEnd w:id="3"/>
    </w:p>
    <w:p w14:paraId="5050F77D" w14:textId="77777777" w:rsidR="00CB0D47" w:rsidRPr="00795960" w:rsidRDefault="00CF22F4">
      <w:pPr>
        <w:spacing w:line="276" w:lineRule="auto"/>
        <w:ind w:left="851" w:right="567"/>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Cuotas sindicales. No están sujetas al escrutinio público.</w:t>
      </w:r>
      <w:r w:rsidRPr="00795960">
        <w:rPr>
          <w:rFonts w:ascii="Palatino Linotype" w:eastAsia="Palatino Linotype" w:hAnsi="Palatino Linotype" w:cs="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4D334A7B" w14:textId="77777777" w:rsidR="00CB0D47" w:rsidRPr="00795960" w:rsidRDefault="00CF22F4">
      <w:pPr>
        <w:spacing w:line="276" w:lineRule="auto"/>
        <w:ind w:left="851" w:right="567"/>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b/>
          <w:i/>
          <w:sz w:val="22"/>
          <w:szCs w:val="22"/>
        </w:rPr>
        <w:t>Precedentes:</w:t>
      </w:r>
    </w:p>
    <w:p w14:paraId="43BD22E1" w14:textId="77777777" w:rsidR="00CB0D47" w:rsidRPr="00795960" w:rsidRDefault="00CF22F4">
      <w:pPr>
        <w:spacing w:line="276" w:lineRule="auto"/>
        <w:ind w:left="851" w:right="567"/>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i/>
          <w:sz w:val="22"/>
          <w:szCs w:val="22"/>
        </w:rPr>
        <w:tab/>
        <w:t xml:space="preserve">Acceso a la información pública. RRA 4169/16.  Sesión del 22 de febrero de 2017. Votación por unanimidad. Sin votos disidentes o particulares. Sindicato Nacional de Trabajadores de la Secretaría de Comunicaciones y Transportes. Comisionada Ponente María Patricia </w:t>
      </w:r>
      <w:proofErr w:type="spellStart"/>
      <w:r w:rsidRPr="00795960">
        <w:rPr>
          <w:rFonts w:ascii="Palatino Linotype" w:eastAsia="Palatino Linotype" w:hAnsi="Palatino Linotype" w:cs="Palatino Linotype"/>
          <w:i/>
          <w:sz w:val="22"/>
          <w:szCs w:val="22"/>
        </w:rPr>
        <w:t>Kurczyn</w:t>
      </w:r>
      <w:proofErr w:type="spellEnd"/>
      <w:r w:rsidRPr="00795960">
        <w:rPr>
          <w:rFonts w:ascii="Palatino Linotype" w:eastAsia="Palatino Linotype" w:hAnsi="Palatino Linotype" w:cs="Palatino Linotype"/>
          <w:i/>
          <w:sz w:val="22"/>
          <w:szCs w:val="22"/>
        </w:rPr>
        <w:t xml:space="preserve"> Villalobos. </w:t>
      </w:r>
    </w:p>
    <w:p w14:paraId="49EFF58B" w14:textId="77777777" w:rsidR="00CB0D47" w:rsidRPr="00795960" w:rsidRDefault="00CF22F4">
      <w:pPr>
        <w:spacing w:line="276" w:lineRule="auto"/>
        <w:ind w:left="851" w:right="567"/>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i/>
          <w:sz w:val="22"/>
          <w:szCs w:val="22"/>
        </w:rPr>
        <w:tab/>
        <w:t xml:space="preserve">Acceso a la información pública. RRA 0089/17.  Sesión del 22 de febrero de 2017. Votación por unanimidad. Sin votos disidentes o particulares. Sindicato Nacional de Trabajadores de la Educación. Comisionado Ponente </w:t>
      </w:r>
      <w:proofErr w:type="spellStart"/>
      <w:r w:rsidRPr="00795960">
        <w:rPr>
          <w:rFonts w:ascii="Palatino Linotype" w:eastAsia="Palatino Linotype" w:hAnsi="Palatino Linotype" w:cs="Palatino Linotype"/>
          <w:i/>
          <w:sz w:val="22"/>
          <w:szCs w:val="22"/>
        </w:rPr>
        <w:t>Rosendoevgueni</w:t>
      </w:r>
      <w:proofErr w:type="spellEnd"/>
      <w:r w:rsidRPr="00795960">
        <w:rPr>
          <w:rFonts w:ascii="Palatino Linotype" w:eastAsia="Palatino Linotype" w:hAnsi="Palatino Linotype" w:cs="Palatino Linotype"/>
          <w:i/>
          <w:sz w:val="22"/>
          <w:szCs w:val="22"/>
        </w:rPr>
        <w:t xml:space="preserve"> Monterrey </w:t>
      </w:r>
      <w:proofErr w:type="spellStart"/>
      <w:r w:rsidRPr="00795960">
        <w:rPr>
          <w:rFonts w:ascii="Palatino Linotype" w:eastAsia="Palatino Linotype" w:hAnsi="Palatino Linotype" w:cs="Palatino Linotype"/>
          <w:i/>
          <w:sz w:val="22"/>
          <w:szCs w:val="22"/>
        </w:rPr>
        <w:t>Chepov</w:t>
      </w:r>
      <w:proofErr w:type="spellEnd"/>
      <w:r w:rsidRPr="00795960">
        <w:rPr>
          <w:rFonts w:ascii="Palatino Linotype" w:eastAsia="Palatino Linotype" w:hAnsi="Palatino Linotype" w:cs="Palatino Linotype"/>
          <w:i/>
          <w:sz w:val="22"/>
          <w:szCs w:val="22"/>
        </w:rPr>
        <w:t xml:space="preserve">. </w:t>
      </w:r>
    </w:p>
    <w:p w14:paraId="15ABAD3D" w14:textId="77777777" w:rsidR="00CB0D47" w:rsidRPr="00795960" w:rsidRDefault="00CF22F4">
      <w:pPr>
        <w:spacing w:line="276" w:lineRule="auto"/>
        <w:ind w:left="851" w:right="567"/>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i/>
          <w:sz w:val="22"/>
          <w:szCs w:val="22"/>
        </w:rPr>
        <w:tab/>
        <w:t xml:space="preserve">Acceso a la información pública. RRA 0304/17. Sesión del 01 de marzo de 2017. Votación por unanimidad. Sin votos disidentes o particulares. Sindicato </w:t>
      </w:r>
      <w:r w:rsidRPr="00795960">
        <w:rPr>
          <w:rFonts w:ascii="Palatino Linotype" w:eastAsia="Palatino Linotype" w:hAnsi="Palatino Linotype" w:cs="Palatino Linotype"/>
          <w:i/>
          <w:sz w:val="22"/>
          <w:szCs w:val="22"/>
        </w:rPr>
        <w:lastRenderedPageBreak/>
        <w:t>Nacional de Trabajadores del Instituto de Seguridad y Servicios Sociales de los Trabajadores del Estado. Comisionado Ponente Oscar Mauricio Guerra Ford.”</w:t>
      </w:r>
    </w:p>
    <w:p w14:paraId="7621CB88" w14:textId="77777777" w:rsidR="00CB0D47" w:rsidRPr="00795960" w:rsidRDefault="00CF22F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098A2076"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Con relación al </w:t>
      </w:r>
      <w:r w:rsidRPr="00795960">
        <w:rPr>
          <w:rFonts w:ascii="Palatino Linotype" w:eastAsia="Palatino Linotype" w:hAnsi="Palatino Linotype" w:cs="Palatino Linotype"/>
          <w:b/>
          <w:sz w:val="22"/>
          <w:szCs w:val="22"/>
        </w:rPr>
        <w:t>número de empleado</w:t>
      </w:r>
      <w:r w:rsidRPr="00795960">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795960">
        <w:rPr>
          <w:rFonts w:ascii="Palatino Linotype" w:eastAsia="Palatino Linotype" w:hAnsi="Palatino Linotype" w:cs="Palatino Linotype"/>
          <w:sz w:val="22"/>
          <w:szCs w:val="22"/>
          <w:vertAlign w:val="superscript"/>
        </w:rPr>
        <w:footnoteReference w:id="2"/>
      </w:r>
      <w:r w:rsidRPr="00795960">
        <w:rPr>
          <w:rFonts w:ascii="Palatino Linotype" w:eastAsia="Palatino Linotype" w:hAnsi="Palatino Linotype" w:cs="Palatino Linotype"/>
          <w:sz w:val="22"/>
          <w:szCs w:val="22"/>
        </w:rPr>
        <w:t>.</w:t>
      </w:r>
    </w:p>
    <w:p w14:paraId="130C12AE"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51355F72"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795960">
        <w:rPr>
          <w:rFonts w:ascii="Palatino Linotype" w:eastAsia="Palatino Linotype" w:hAnsi="Palatino Linotype" w:cs="Palatino Linotype"/>
          <w:sz w:val="22"/>
          <w:szCs w:val="22"/>
        </w:rPr>
        <w:t>INAI  se</w:t>
      </w:r>
      <w:proofErr w:type="gramEnd"/>
      <w:r w:rsidRPr="00795960">
        <w:rPr>
          <w:rFonts w:ascii="Palatino Linotype" w:eastAsia="Palatino Linotype" w:hAnsi="Palatino Linotype" w:cs="Palatino Linotype"/>
          <w:sz w:val="22"/>
          <w:szCs w:val="22"/>
        </w:rPr>
        <w:t xml:space="preserve"> ha pronunciado sobre su publicidad, a través del criterio 06/19, que indica lo siguiente:</w:t>
      </w:r>
    </w:p>
    <w:p w14:paraId="079B8823"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 xml:space="preserve">“Número de empleado. </w:t>
      </w:r>
      <w:r w:rsidRPr="00795960">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4C25385" w14:textId="77777777" w:rsidR="00CB0D47" w:rsidRPr="00795960" w:rsidRDefault="00CB0D47">
      <w:pPr>
        <w:ind w:left="851" w:right="616"/>
        <w:jc w:val="both"/>
        <w:rPr>
          <w:rFonts w:ascii="Palatino Linotype" w:eastAsia="Palatino Linotype" w:hAnsi="Palatino Linotype" w:cs="Palatino Linotype"/>
          <w:i/>
          <w:sz w:val="22"/>
          <w:szCs w:val="22"/>
        </w:rPr>
      </w:pPr>
    </w:p>
    <w:p w14:paraId="5E0B06F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w:t>
      </w:r>
      <w:r w:rsidRPr="00795960">
        <w:rPr>
          <w:rFonts w:ascii="Palatino Linotype" w:eastAsia="Palatino Linotype" w:hAnsi="Palatino Linotype" w:cs="Palatino Linotype"/>
          <w:sz w:val="22"/>
          <w:szCs w:val="22"/>
        </w:rPr>
        <w:lastRenderedPageBreak/>
        <w:t xml:space="preserve">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817BA26"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14D4461"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De la información fiscal</w:t>
      </w:r>
      <w:r w:rsidRPr="00795960">
        <w:rPr>
          <w:rFonts w:ascii="Palatino Linotype" w:eastAsia="Palatino Linotype" w:hAnsi="Palatino Linotype" w:cs="Palatino Linotype"/>
          <w:sz w:val="22"/>
          <w:szCs w:val="22"/>
        </w:rPr>
        <w:t xml:space="preserve">: </w:t>
      </w:r>
    </w:p>
    <w:p w14:paraId="3C4531C1"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La </w:t>
      </w:r>
      <w:r w:rsidRPr="00795960">
        <w:rPr>
          <w:rFonts w:ascii="Palatino Linotype" w:eastAsia="Palatino Linotype" w:hAnsi="Palatino Linotype" w:cs="Palatino Linotype"/>
          <w:b/>
          <w:sz w:val="22"/>
          <w:szCs w:val="22"/>
        </w:rPr>
        <w:t>Cadena Original</w:t>
      </w:r>
      <w:r w:rsidRPr="00795960">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45927DF9"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1FF79087"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Los </w:t>
      </w:r>
      <w:r w:rsidRPr="00795960">
        <w:rPr>
          <w:rFonts w:ascii="Palatino Linotype" w:eastAsia="Palatino Linotype" w:hAnsi="Palatino Linotype" w:cs="Palatino Linotype"/>
          <w:b/>
          <w:sz w:val="22"/>
          <w:szCs w:val="22"/>
        </w:rPr>
        <w:t>códigos bidimensionales</w:t>
      </w:r>
      <w:r w:rsidRPr="00795960">
        <w:rPr>
          <w:rFonts w:ascii="Palatino Linotype" w:eastAsia="Palatino Linotype" w:hAnsi="Palatino Linotype" w:cs="Palatino Linotype"/>
          <w:sz w:val="22"/>
          <w:szCs w:val="22"/>
        </w:rPr>
        <w:t xml:space="preserve"> o </w:t>
      </w:r>
      <w:r w:rsidRPr="00795960">
        <w:rPr>
          <w:rFonts w:ascii="Palatino Linotype" w:eastAsia="Palatino Linotype" w:hAnsi="Palatino Linotype" w:cs="Palatino Linotype"/>
          <w:b/>
          <w:sz w:val="22"/>
          <w:szCs w:val="22"/>
        </w:rPr>
        <w:t xml:space="preserve">códigos QR, </w:t>
      </w:r>
      <w:r w:rsidRPr="00795960">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795960">
        <w:rPr>
          <w:rFonts w:ascii="Palatino Linotype" w:eastAsia="Palatino Linotype" w:hAnsi="Palatino Linotype" w:cs="Palatino Linotype"/>
          <w:b/>
          <w:sz w:val="22"/>
          <w:szCs w:val="22"/>
        </w:rPr>
        <w:t xml:space="preserve">Sujeto Obligado </w:t>
      </w:r>
      <w:r w:rsidRPr="00795960">
        <w:rPr>
          <w:rFonts w:ascii="Palatino Linotype" w:eastAsia="Palatino Linotype" w:hAnsi="Palatino Linotype" w:cs="Palatino Linotype"/>
          <w:sz w:val="22"/>
          <w:szCs w:val="22"/>
        </w:rPr>
        <w:t>analizar dicha circunstancia con la finalidad de determinar si se actualiza algún supuesto de confidencialidad.</w:t>
      </w:r>
    </w:p>
    <w:p w14:paraId="77704110"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287D019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lastRenderedPageBreak/>
        <w:t xml:space="preserve">En tal sentido, si derivado del análisis efectuado por </w:t>
      </w:r>
      <w:r w:rsidRPr="00795960">
        <w:rPr>
          <w:rFonts w:ascii="Palatino Linotype" w:eastAsia="Palatino Linotype" w:hAnsi="Palatino Linotype" w:cs="Palatino Linotype"/>
          <w:b/>
          <w:sz w:val="22"/>
          <w:szCs w:val="22"/>
        </w:rPr>
        <w:t xml:space="preserve">Sujeto Obligado </w:t>
      </w:r>
      <w:r w:rsidRPr="00795960">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14:paraId="5EB2E495"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0FF80318"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795960">
        <w:rPr>
          <w:rFonts w:ascii="Palatino Linotype" w:eastAsia="Palatino Linotype" w:hAnsi="Palatino Linotype" w:cs="Palatino Linotype"/>
          <w:b/>
          <w:sz w:val="22"/>
          <w:szCs w:val="22"/>
          <w:u w:val="single"/>
        </w:rPr>
        <w:t>razones, motivos o circunstancias especiales</w:t>
      </w:r>
      <w:r w:rsidRPr="00795960">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89B76D4"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3F2A64F4"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795960">
        <w:rPr>
          <w:rFonts w:ascii="Palatino Linotype" w:eastAsia="Palatino Linotype" w:hAnsi="Palatino Linotype" w:cs="Palatino Linotype"/>
          <w:sz w:val="22"/>
          <w:szCs w:val="22"/>
        </w:rPr>
        <w:t>Responsable</w:t>
      </w:r>
      <w:proofErr w:type="gramEnd"/>
      <w:r w:rsidRPr="00795960">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86FB87C" w14:textId="77777777" w:rsidR="00CB0D47" w:rsidRPr="00795960" w:rsidRDefault="00CB0D47">
      <w:pPr>
        <w:ind w:left="851" w:right="616"/>
        <w:jc w:val="both"/>
        <w:rPr>
          <w:rFonts w:ascii="Palatino Linotype" w:eastAsia="Palatino Linotype" w:hAnsi="Palatino Linotype" w:cs="Palatino Linotype"/>
          <w:b/>
          <w:i/>
          <w:sz w:val="22"/>
          <w:szCs w:val="22"/>
        </w:rPr>
      </w:pPr>
    </w:p>
    <w:p w14:paraId="510550B3"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“Artículo 49.</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Los Comités de Transparencia</w:t>
      </w:r>
      <w:r w:rsidRPr="00795960">
        <w:rPr>
          <w:rFonts w:ascii="Palatino Linotype" w:eastAsia="Palatino Linotype" w:hAnsi="Palatino Linotype" w:cs="Palatino Linotype"/>
          <w:i/>
          <w:sz w:val="22"/>
          <w:szCs w:val="22"/>
        </w:rPr>
        <w:t xml:space="preserve"> tendrán las siguientes atribuciones:</w:t>
      </w:r>
    </w:p>
    <w:p w14:paraId="53F5D332"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VIII. Aprobar, modificar o revocar la clasificación de la información</w:t>
      </w:r>
      <w:r w:rsidRPr="00795960">
        <w:rPr>
          <w:rFonts w:ascii="Palatino Linotype" w:eastAsia="Palatino Linotype" w:hAnsi="Palatino Linotype" w:cs="Palatino Linotype"/>
          <w:i/>
          <w:sz w:val="22"/>
          <w:szCs w:val="22"/>
        </w:rPr>
        <w:t>…”</w:t>
      </w:r>
    </w:p>
    <w:p w14:paraId="18B3FBC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53.</w:t>
      </w:r>
      <w:r w:rsidRPr="00795960">
        <w:rPr>
          <w:rFonts w:ascii="Palatino Linotype" w:eastAsia="Palatino Linotype" w:hAnsi="Palatino Linotype" w:cs="Palatino Linotype"/>
          <w:i/>
          <w:sz w:val="22"/>
          <w:szCs w:val="22"/>
        </w:rPr>
        <w:t xml:space="preserve"> Las </w:t>
      </w:r>
      <w:r w:rsidRPr="00795960">
        <w:rPr>
          <w:rFonts w:ascii="Palatino Linotype" w:eastAsia="Palatino Linotype" w:hAnsi="Palatino Linotype" w:cs="Palatino Linotype"/>
          <w:b/>
          <w:i/>
          <w:sz w:val="22"/>
          <w:szCs w:val="22"/>
        </w:rPr>
        <w:t>Unidades de Transparencia</w:t>
      </w:r>
      <w:r w:rsidRPr="00795960">
        <w:rPr>
          <w:rFonts w:ascii="Palatino Linotype" w:eastAsia="Palatino Linotype" w:hAnsi="Palatino Linotype" w:cs="Palatino Linotype"/>
          <w:i/>
          <w:sz w:val="22"/>
          <w:szCs w:val="22"/>
        </w:rPr>
        <w:t xml:space="preserve"> tendrán las siguientes </w:t>
      </w:r>
      <w:r w:rsidRPr="00795960">
        <w:rPr>
          <w:rFonts w:ascii="Palatino Linotype" w:eastAsia="Palatino Linotype" w:hAnsi="Palatino Linotype" w:cs="Palatino Linotype"/>
          <w:b/>
          <w:i/>
          <w:sz w:val="22"/>
          <w:szCs w:val="22"/>
        </w:rPr>
        <w:t>funciones</w:t>
      </w:r>
      <w:r w:rsidRPr="00795960">
        <w:rPr>
          <w:rFonts w:ascii="Palatino Linotype" w:eastAsia="Palatino Linotype" w:hAnsi="Palatino Linotype" w:cs="Palatino Linotype"/>
          <w:i/>
          <w:sz w:val="22"/>
          <w:szCs w:val="22"/>
        </w:rPr>
        <w:t>:</w:t>
      </w:r>
    </w:p>
    <w:p w14:paraId="4BCF009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X. Presentar ante el Comité, el proyecto de clasificación de información</w:t>
      </w:r>
      <w:r w:rsidRPr="00795960">
        <w:rPr>
          <w:rFonts w:ascii="Palatino Linotype" w:eastAsia="Palatino Linotype" w:hAnsi="Palatino Linotype" w:cs="Palatino Linotype"/>
          <w:i/>
          <w:sz w:val="22"/>
          <w:szCs w:val="22"/>
        </w:rPr>
        <w:t xml:space="preserve">…” </w:t>
      </w:r>
    </w:p>
    <w:p w14:paraId="5F56B85C"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“Artículo 59.</w:t>
      </w:r>
      <w:r w:rsidRPr="00795960">
        <w:rPr>
          <w:rFonts w:ascii="Palatino Linotype" w:eastAsia="Palatino Linotype" w:hAnsi="Palatino Linotype" w:cs="Palatino Linotype"/>
          <w:i/>
          <w:sz w:val="22"/>
          <w:szCs w:val="22"/>
        </w:rPr>
        <w:t xml:space="preserve"> Los </w:t>
      </w:r>
      <w:r w:rsidRPr="00795960">
        <w:rPr>
          <w:rFonts w:ascii="Palatino Linotype" w:eastAsia="Palatino Linotype" w:hAnsi="Palatino Linotype" w:cs="Palatino Linotype"/>
          <w:b/>
          <w:i/>
          <w:sz w:val="22"/>
          <w:szCs w:val="22"/>
        </w:rPr>
        <w:t>servidores públicos habilitados</w:t>
      </w:r>
      <w:r w:rsidRPr="00795960">
        <w:rPr>
          <w:rFonts w:ascii="Palatino Linotype" w:eastAsia="Palatino Linotype" w:hAnsi="Palatino Linotype" w:cs="Palatino Linotype"/>
          <w:i/>
          <w:sz w:val="22"/>
          <w:szCs w:val="22"/>
        </w:rPr>
        <w:t xml:space="preserve"> tendrán las </w:t>
      </w:r>
      <w:r w:rsidRPr="00795960">
        <w:rPr>
          <w:rFonts w:ascii="Palatino Linotype" w:eastAsia="Palatino Linotype" w:hAnsi="Palatino Linotype" w:cs="Palatino Linotype"/>
          <w:b/>
          <w:i/>
          <w:sz w:val="22"/>
          <w:szCs w:val="22"/>
        </w:rPr>
        <w:t>funciones</w:t>
      </w:r>
      <w:r w:rsidRPr="00795960">
        <w:rPr>
          <w:rFonts w:ascii="Palatino Linotype" w:eastAsia="Palatino Linotype" w:hAnsi="Palatino Linotype" w:cs="Palatino Linotype"/>
          <w:i/>
          <w:sz w:val="22"/>
          <w:szCs w:val="22"/>
        </w:rPr>
        <w:t xml:space="preserve"> siguientes:</w:t>
      </w:r>
    </w:p>
    <w:p w14:paraId="1CEB85E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95960">
        <w:rPr>
          <w:rFonts w:ascii="Palatino Linotype" w:eastAsia="Palatino Linotype" w:hAnsi="Palatino Linotype" w:cs="Palatino Linotype"/>
          <w:i/>
          <w:sz w:val="22"/>
          <w:szCs w:val="22"/>
        </w:rPr>
        <w:t>, la cual tendrá los fundamentos y argumentos en que se basa dicha propuesta…”</w:t>
      </w:r>
    </w:p>
    <w:p w14:paraId="127CB8A7" w14:textId="77777777" w:rsidR="00CB0D47" w:rsidRPr="00795960" w:rsidRDefault="00CB0D47">
      <w:pPr>
        <w:ind w:left="851" w:right="616"/>
        <w:jc w:val="both"/>
        <w:rPr>
          <w:rFonts w:ascii="Palatino Linotype" w:eastAsia="Palatino Linotype" w:hAnsi="Palatino Linotype" w:cs="Palatino Linotype"/>
          <w:i/>
          <w:sz w:val="22"/>
          <w:szCs w:val="22"/>
        </w:rPr>
      </w:pPr>
    </w:p>
    <w:p w14:paraId="55C487F4"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FA078B3"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A435BCB"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52562D3"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064CF7AC"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lastRenderedPageBreak/>
        <w:t>“</w:t>
      </w:r>
      <w:r w:rsidRPr="00795960">
        <w:rPr>
          <w:rFonts w:ascii="Palatino Linotype" w:eastAsia="Palatino Linotype" w:hAnsi="Palatino Linotype" w:cs="Palatino Linotype"/>
          <w:b/>
          <w:i/>
          <w:sz w:val="22"/>
          <w:szCs w:val="22"/>
        </w:rPr>
        <w:t>Artículo 149.</w:t>
      </w:r>
      <w:r w:rsidRPr="00795960">
        <w:rPr>
          <w:rFonts w:ascii="Palatino Linotype" w:eastAsia="Palatino Linotype" w:hAnsi="Palatino Linotype" w:cs="Palatino Linotype"/>
          <w:i/>
          <w:sz w:val="22"/>
          <w:szCs w:val="22"/>
        </w:rPr>
        <w:t xml:space="preserve"> El </w:t>
      </w:r>
      <w:r w:rsidRPr="00795960">
        <w:rPr>
          <w:rFonts w:ascii="Palatino Linotype" w:eastAsia="Palatino Linotype" w:hAnsi="Palatino Linotype" w:cs="Palatino Linotype"/>
          <w:b/>
          <w:i/>
          <w:sz w:val="22"/>
          <w:szCs w:val="22"/>
        </w:rPr>
        <w:t>acuerdo que clasifique la información como confidencial</w:t>
      </w:r>
      <w:r w:rsidRPr="0079596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51C62BBE" w14:textId="77777777" w:rsidR="00CB0D47" w:rsidRPr="00795960" w:rsidRDefault="00CB0D47">
      <w:pPr>
        <w:ind w:left="851" w:right="616"/>
        <w:jc w:val="both"/>
        <w:rPr>
          <w:rFonts w:ascii="Palatino Linotype" w:eastAsia="Palatino Linotype" w:hAnsi="Palatino Linotype" w:cs="Palatino Linotype"/>
          <w:i/>
          <w:sz w:val="22"/>
          <w:szCs w:val="22"/>
        </w:rPr>
      </w:pPr>
    </w:p>
    <w:p w14:paraId="3A8902F2"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Es decir,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542DF79"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6183EB76"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1CED0B26" w14:textId="77777777" w:rsidR="00CB0D47" w:rsidRPr="00795960" w:rsidRDefault="00CB0D47">
      <w:pPr>
        <w:ind w:left="851" w:right="616"/>
        <w:jc w:val="both"/>
        <w:rPr>
          <w:rFonts w:ascii="Palatino Linotype" w:eastAsia="Palatino Linotype" w:hAnsi="Palatino Linotype" w:cs="Palatino Linotype"/>
          <w:i/>
          <w:sz w:val="22"/>
          <w:szCs w:val="22"/>
        </w:rPr>
      </w:pPr>
      <w:bookmarkStart w:id="4" w:name="_heading=h.1t3h5sf" w:colFirst="0" w:colLast="0"/>
      <w:bookmarkEnd w:id="4"/>
    </w:p>
    <w:p w14:paraId="4CD17F41" w14:textId="77777777" w:rsidR="00CB0D47" w:rsidRPr="00795960" w:rsidRDefault="00CF22F4">
      <w:pPr>
        <w:ind w:left="851" w:right="616"/>
        <w:jc w:val="both"/>
        <w:rPr>
          <w:rFonts w:ascii="Palatino Linotype" w:eastAsia="Palatino Linotype" w:hAnsi="Palatino Linotype" w:cs="Palatino Linotype"/>
          <w:b/>
          <w:i/>
          <w:sz w:val="22"/>
          <w:szCs w:val="22"/>
        </w:rPr>
      </w:pPr>
      <w:r w:rsidRPr="00795960">
        <w:rPr>
          <w:rFonts w:ascii="Palatino Linotype" w:eastAsia="Palatino Linotype" w:hAnsi="Palatino Linotype" w:cs="Palatino Linotype"/>
          <w:i/>
          <w:sz w:val="22"/>
          <w:szCs w:val="22"/>
        </w:rPr>
        <w:t>“</w:t>
      </w:r>
      <w:r w:rsidRPr="00795960">
        <w:rPr>
          <w:rFonts w:ascii="Palatino Linotype" w:eastAsia="Palatino Linotype" w:hAnsi="Palatino Linotype" w:cs="Palatino Linotype"/>
          <w:b/>
          <w:i/>
          <w:sz w:val="22"/>
          <w:szCs w:val="22"/>
        </w:rPr>
        <w:t>Artículo 132.</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La clasificación de la información se llevará a cabo en el momento en que:</w:t>
      </w:r>
    </w:p>
    <w:p w14:paraId="1C0BC146"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
    <w:p w14:paraId="0A025A0C"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II.</w:t>
      </w:r>
      <w:r w:rsidRPr="00795960">
        <w:rPr>
          <w:rFonts w:ascii="Palatino Linotype" w:eastAsia="Palatino Linotype" w:hAnsi="Palatino Linotype" w:cs="Palatino Linotype"/>
          <w:i/>
          <w:sz w:val="22"/>
          <w:szCs w:val="22"/>
        </w:rPr>
        <w:t xml:space="preserve"> Se determine mediante resolución de autoridad competente; o</w:t>
      </w:r>
    </w:p>
    <w:p w14:paraId="17453A01"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III</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Se generen versiones públicas para dar cumplimiento a las obligaciones de transparencia previstas en esta Ley</w:t>
      </w:r>
      <w:r w:rsidRPr="00795960">
        <w:rPr>
          <w:rFonts w:ascii="Palatino Linotype" w:eastAsia="Palatino Linotype" w:hAnsi="Palatino Linotype" w:cs="Palatino Linotype"/>
          <w:i/>
          <w:sz w:val="22"/>
          <w:szCs w:val="22"/>
        </w:rPr>
        <w:t>.”</w:t>
      </w:r>
    </w:p>
    <w:p w14:paraId="55CF0251"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w:t>
      </w:r>
      <w:proofErr w:type="gramStart"/>
      <w:r w:rsidRPr="00795960">
        <w:rPr>
          <w:rFonts w:ascii="Palatino Linotype" w:eastAsia="Palatino Linotype" w:hAnsi="Palatino Linotype" w:cs="Palatino Linotype"/>
          <w:b/>
          <w:i/>
          <w:sz w:val="22"/>
          <w:szCs w:val="22"/>
        </w:rPr>
        <w:t>Segundo.-</w:t>
      </w:r>
      <w:proofErr w:type="gramEnd"/>
      <w:r w:rsidRPr="00795960">
        <w:rPr>
          <w:rFonts w:ascii="Palatino Linotype" w:eastAsia="Palatino Linotype" w:hAnsi="Palatino Linotype" w:cs="Palatino Linotype"/>
          <w:i/>
          <w:sz w:val="22"/>
          <w:szCs w:val="22"/>
        </w:rPr>
        <w:t xml:space="preserve"> Para efectos de los presentes Lineamientos Generales, se entenderá por:</w:t>
      </w:r>
    </w:p>
    <w:p w14:paraId="0198C1FC"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lastRenderedPageBreak/>
        <w:t>XVIII.</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Versión pública:</w:t>
      </w:r>
      <w:r w:rsidRPr="0079596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95960">
        <w:rPr>
          <w:rFonts w:ascii="Palatino Linotype" w:eastAsia="Palatino Linotype" w:hAnsi="Palatino Linotype" w:cs="Palatino Linotype"/>
          <w:b/>
          <w:i/>
          <w:sz w:val="22"/>
          <w:szCs w:val="22"/>
        </w:rPr>
        <w:t>fundando y motivando la</w:t>
      </w:r>
      <w:r w:rsidRPr="00795960">
        <w:rPr>
          <w:rFonts w:ascii="Palatino Linotype" w:eastAsia="Palatino Linotype" w:hAnsi="Palatino Linotype" w:cs="Palatino Linotype"/>
          <w:i/>
          <w:sz w:val="22"/>
          <w:szCs w:val="22"/>
        </w:rPr>
        <w:t xml:space="preserve"> reserva o </w:t>
      </w:r>
      <w:r w:rsidRPr="00795960">
        <w:rPr>
          <w:rFonts w:ascii="Palatino Linotype" w:eastAsia="Palatino Linotype" w:hAnsi="Palatino Linotype" w:cs="Palatino Linotype"/>
          <w:b/>
          <w:i/>
          <w:sz w:val="22"/>
          <w:szCs w:val="22"/>
        </w:rPr>
        <w:t>confidencialidad</w:t>
      </w:r>
      <w:r w:rsidRPr="00795960">
        <w:rPr>
          <w:rFonts w:ascii="Palatino Linotype" w:eastAsia="Palatino Linotype" w:hAnsi="Palatino Linotype" w:cs="Palatino Linotype"/>
          <w:i/>
          <w:sz w:val="22"/>
          <w:szCs w:val="22"/>
        </w:rPr>
        <w:t>, a través de la resolución que para tal efecto emita el Comité de Transparencia.</w:t>
      </w:r>
    </w:p>
    <w:p w14:paraId="5C568AE1"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Cuarto.</w:t>
      </w:r>
      <w:r w:rsidRPr="00795960">
        <w:rPr>
          <w:rFonts w:ascii="Palatino Linotype" w:eastAsia="Palatino Linotype" w:hAnsi="Palatino Linotype" w:cs="Palatino Linotype"/>
          <w:i/>
          <w:sz w:val="22"/>
          <w:szCs w:val="22"/>
        </w:rPr>
        <w:t xml:space="preserve"> </w:t>
      </w:r>
      <w:r w:rsidRPr="00795960">
        <w:rPr>
          <w:rFonts w:ascii="Palatino Linotype" w:eastAsia="Palatino Linotype" w:hAnsi="Palatino Linotype" w:cs="Palatino Linotype"/>
          <w:b/>
          <w:i/>
          <w:sz w:val="22"/>
          <w:szCs w:val="22"/>
        </w:rPr>
        <w:t>Para clasificar la información como</w:t>
      </w:r>
      <w:r w:rsidRPr="00795960">
        <w:rPr>
          <w:rFonts w:ascii="Palatino Linotype" w:eastAsia="Palatino Linotype" w:hAnsi="Palatino Linotype" w:cs="Palatino Linotype"/>
          <w:i/>
          <w:sz w:val="22"/>
          <w:szCs w:val="22"/>
        </w:rPr>
        <w:t xml:space="preserve"> reservada o </w:t>
      </w:r>
      <w:r w:rsidRPr="00795960">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795960">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1ACBA0"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202C863"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Quinto.</w:t>
      </w:r>
      <w:r w:rsidRPr="0079596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CE6330"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Sexto.</w:t>
      </w:r>
      <w:r w:rsidRPr="00795960">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BC037DA"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82B732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Séptimo.</w:t>
      </w:r>
      <w:r w:rsidRPr="00795960">
        <w:rPr>
          <w:rFonts w:ascii="Palatino Linotype" w:eastAsia="Palatino Linotype" w:hAnsi="Palatino Linotype" w:cs="Palatino Linotype"/>
          <w:i/>
          <w:sz w:val="22"/>
          <w:szCs w:val="22"/>
        </w:rPr>
        <w:t xml:space="preserve"> La clasificación de la información se llevará a cabo en el momento en que:</w:t>
      </w:r>
    </w:p>
    <w:p w14:paraId="05ED4130"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w:t>
      </w:r>
      <w:r w:rsidRPr="00795960">
        <w:rPr>
          <w:rFonts w:ascii="Palatino Linotype" w:eastAsia="Palatino Linotype" w:hAnsi="Palatino Linotype" w:cs="Palatino Linotype"/>
          <w:i/>
          <w:sz w:val="22"/>
          <w:szCs w:val="22"/>
        </w:rPr>
        <w:t xml:space="preserve"> Se reciba una solicitud de acceso a la información;</w:t>
      </w:r>
    </w:p>
    <w:p w14:paraId="79EA93BE"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II.</w:t>
      </w:r>
      <w:r w:rsidRPr="00795960">
        <w:rPr>
          <w:rFonts w:ascii="Palatino Linotype" w:eastAsia="Palatino Linotype" w:hAnsi="Palatino Linotype" w:cs="Palatino Linotype"/>
          <w:i/>
          <w:sz w:val="22"/>
          <w:szCs w:val="22"/>
        </w:rPr>
        <w:t xml:space="preserve"> Se determine mediante resolución de autoridad competente, o</w:t>
      </w:r>
    </w:p>
    <w:p w14:paraId="3732E0E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III.</w:t>
      </w:r>
      <w:r w:rsidRPr="0079596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5EAC194"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A11256F"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Octavo.</w:t>
      </w:r>
      <w:r w:rsidRPr="0079596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D5BE8F"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78FC465E"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1247CDD"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FD6CF5F"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EDE6C59"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Noveno.</w:t>
      </w:r>
      <w:r w:rsidRPr="0079596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EF4283"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Décimo.</w:t>
      </w:r>
      <w:r w:rsidRPr="0079596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6D76D8F"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192FC37" w14:textId="77777777" w:rsidR="00CB0D47" w:rsidRPr="00795960" w:rsidRDefault="00CF22F4">
      <w:pPr>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b/>
          <w:i/>
          <w:sz w:val="22"/>
          <w:szCs w:val="22"/>
        </w:rPr>
        <w:t>Décimo primero.</w:t>
      </w:r>
      <w:r w:rsidRPr="0079596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EE287B9" w14:textId="77777777" w:rsidR="00CB0D47" w:rsidRPr="00795960" w:rsidRDefault="00CB0D47">
      <w:pPr>
        <w:spacing w:line="360" w:lineRule="auto"/>
        <w:jc w:val="both"/>
        <w:rPr>
          <w:rFonts w:ascii="Palatino Linotype" w:eastAsia="Palatino Linotype" w:hAnsi="Palatino Linotype" w:cs="Palatino Linotype"/>
          <w:sz w:val="22"/>
          <w:szCs w:val="22"/>
        </w:rPr>
      </w:pPr>
    </w:p>
    <w:p w14:paraId="737D9175" w14:textId="77777777" w:rsidR="00CB0D47" w:rsidRPr="00795960" w:rsidRDefault="00CF22F4">
      <w:pPr>
        <w:spacing w:line="360" w:lineRule="auto"/>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3891582" w14:textId="77777777" w:rsidR="006A08D8" w:rsidRPr="00795960" w:rsidRDefault="006A08D8">
      <w:pPr>
        <w:spacing w:line="360" w:lineRule="auto"/>
        <w:ind w:left="567"/>
        <w:jc w:val="center"/>
        <w:rPr>
          <w:rFonts w:ascii="Palatino Linotype" w:eastAsia="Palatino Linotype" w:hAnsi="Palatino Linotype" w:cs="Palatino Linotype"/>
          <w:b/>
          <w:sz w:val="22"/>
          <w:szCs w:val="22"/>
        </w:rPr>
      </w:pPr>
    </w:p>
    <w:p w14:paraId="5E6CA850" w14:textId="77777777" w:rsidR="006A08D8" w:rsidRPr="00795960" w:rsidRDefault="006A08D8">
      <w:pPr>
        <w:spacing w:line="360" w:lineRule="auto"/>
        <w:ind w:left="567"/>
        <w:jc w:val="center"/>
        <w:rPr>
          <w:rFonts w:ascii="Palatino Linotype" w:eastAsia="Palatino Linotype" w:hAnsi="Palatino Linotype" w:cs="Palatino Linotype"/>
          <w:b/>
          <w:sz w:val="22"/>
          <w:szCs w:val="22"/>
        </w:rPr>
      </w:pPr>
    </w:p>
    <w:p w14:paraId="334219C2" w14:textId="6D0B1D37" w:rsidR="00CB0D47" w:rsidRPr="00795960" w:rsidRDefault="00CF22F4">
      <w:pPr>
        <w:spacing w:line="360" w:lineRule="auto"/>
        <w:ind w:left="567"/>
        <w:jc w:val="center"/>
        <w:rPr>
          <w:rFonts w:ascii="Palatino Linotype" w:eastAsia="Palatino Linotype" w:hAnsi="Palatino Linotype" w:cs="Palatino Linotype"/>
          <w:b/>
          <w:sz w:val="22"/>
          <w:szCs w:val="22"/>
        </w:rPr>
      </w:pPr>
      <w:r w:rsidRPr="00795960">
        <w:rPr>
          <w:rFonts w:ascii="Palatino Linotype" w:eastAsia="Palatino Linotype" w:hAnsi="Palatino Linotype" w:cs="Palatino Linotype"/>
          <w:b/>
          <w:sz w:val="22"/>
          <w:szCs w:val="22"/>
        </w:rPr>
        <w:t>R E S U E L V E</w:t>
      </w:r>
    </w:p>
    <w:p w14:paraId="09E302D1" w14:textId="77777777" w:rsidR="00CB0D47" w:rsidRPr="00795960" w:rsidRDefault="00CB0D47">
      <w:pPr>
        <w:spacing w:line="360" w:lineRule="auto"/>
        <w:ind w:left="1080"/>
        <w:rPr>
          <w:rFonts w:ascii="Palatino Linotype" w:eastAsia="Palatino Linotype" w:hAnsi="Palatino Linotype" w:cs="Palatino Linotype"/>
          <w:b/>
          <w:sz w:val="22"/>
          <w:szCs w:val="22"/>
        </w:rPr>
      </w:pPr>
    </w:p>
    <w:p w14:paraId="64EFCF82"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Primero.</w:t>
      </w:r>
      <w:r w:rsidRPr="00795960">
        <w:rPr>
          <w:rFonts w:ascii="Palatino Linotype" w:eastAsia="Palatino Linotype" w:hAnsi="Palatino Linotype" w:cs="Palatino Linotype"/>
          <w:sz w:val="22"/>
          <w:szCs w:val="22"/>
        </w:rPr>
        <w:t xml:space="preserve"> Resultan </w:t>
      </w:r>
      <w:r w:rsidRPr="00795960">
        <w:rPr>
          <w:rFonts w:ascii="Palatino Linotype" w:eastAsia="Palatino Linotype" w:hAnsi="Palatino Linotype" w:cs="Palatino Linotype"/>
          <w:b/>
          <w:sz w:val="22"/>
          <w:szCs w:val="22"/>
        </w:rPr>
        <w:t>fundados</w:t>
      </w:r>
      <w:r w:rsidRPr="00795960">
        <w:rPr>
          <w:rFonts w:ascii="Palatino Linotype" w:eastAsia="Palatino Linotype" w:hAnsi="Palatino Linotype" w:cs="Palatino Linotype"/>
          <w:sz w:val="22"/>
          <w:szCs w:val="22"/>
        </w:rPr>
        <w:t xml:space="preserve"> los motivos de inconformidad hechos valer por la parte </w:t>
      </w:r>
      <w:r w:rsidRPr="00795960">
        <w:rPr>
          <w:rFonts w:ascii="Palatino Linotype" w:eastAsia="Palatino Linotype" w:hAnsi="Palatino Linotype" w:cs="Palatino Linotype"/>
          <w:b/>
          <w:sz w:val="22"/>
          <w:szCs w:val="22"/>
        </w:rPr>
        <w:t>Recurrente</w:t>
      </w:r>
      <w:r w:rsidRPr="00795960">
        <w:rPr>
          <w:rFonts w:ascii="Palatino Linotype" w:eastAsia="Palatino Linotype" w:hAnsi="Palatino Linotype" w:cs="Palatino Linotype"/>
          <w:sz w:val="22"/>
          <w:szCs w:val="22"/>
        </w:rPr>
        <w:t xml:space="preserve"> en el Recurso de Revisión </w:t>
      </w:r>
      <w:r w:rsidRPr="00795960">
        <w:rPr>
          <w:rFonts w:ascii="Palatino Linotype" w:eastAsia="Palatino Linotype" w:hAnsi="Palatino Linotype" w:cs="Palatino Linotype"/>
          <w:b/>
          <w:sz w:val="22"/>
          <w:szCs w:val="22"/>
        </w:rPr>
        <w:t>07684/INFOEM/IP/RR/2024</w:t>
      </w:r>
      <w:r w:rsidRPr="00795960">
        <w:rPr>
          <w:rFonts w:ascii="Palatino Linotype" w:eastAsia="Palatino Linotype" w:hAnsi="Palatino Linotype" w:cs="Palatino Linotype"/>
          <w:sz w:val="22"/>
          <w:szCs w:val="22"/>
        </w:rPr>
        <w:t xml:space="preserve">, por lo que, en términos del </w:t>
      </w:r>
      <w:r w:rsidRPr="00795960">
        <w:rPr>
          <w:rFonts w:ascii="Palatino Linotype" w:eastAsia="Palatino Linotype" w:hAnsi="Palatino Linotype" w:cs="Palatino Linotype"/>
          <w:b/>
          <w:sz w:val="22"/>
          <w:szCs w:val="22"/>
        </w:rPr>
        <w:t xml:space="preserve">Considerando Cuarto </w:t>
      </w:r>
      <w:r w:rsidRPr="00795960">
        <w:rPr>
          <w:rFonts w:ascii="Palatino Linotype" w:eastAsia="Palatino Linotype" w:hAnsi="Palatino Linotype" w:cs="Palatino Linotype"/>
          <w:sz w:val="22"/>
          <w:szCs w:val="22"/>
        </w:rPr>
        <w:t xml:space="preserve">de esta resolución, se </w:t>
      </w:r>
      <w:r w:rsidRPr="00795960">
        <w:rPr>
          <w:rFonts w:ascii="Palatino Linotype" w:eastAsia="Palatino Linotype" w:hAnsi="Palatino Linotype" w:cs="Palatino Linotype"/>
          <w:b/>
          <w:sz w:val="22"/>
          <w:szCs w:val="22"/>
        </w:rPr>
        <w:t>Modifica</w:t>
      </w:r>
      <w:r w:rsidRPr="00795960">
        <w:rPr>
          <w:rFonts w:ascii="Palatino Linotype" w:eastAsia="Palatino Linotype" w:hAnsi="Palatino Linotype" w:cs="Palatino Linotype"/>
          <w:sz w:val="22"/>
          <w:szCs w:val="22"/>
        </w:rPr>
        <w:t xml:space="preserve"> la respuesta emitida por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w:t>
      </w:r>
    </w:p>
    <w:p w14:paraId="5EF8A848" w14:textId="77777777" w:rsidR="00CB0D47" w:rsidRPr="00795960" w:rsidRDefault="00CB0D47">
      <w:pPr>
        <w:spacing w:line="360" w:lineRule="auto"/>
        <w:ind w:right="49"/>
        <w:jc w:val="both"/>
        <w:rPr>
          <w:rFonts w:ascii="Palatino Linotype" w:eastAsia="Palatino Linotype" w:hAnsi="Palatino Linotype" w:cs="Palatino Linotype"/>
          <w:sz w:val="22"/>
          <w:szCs w:val="22"/>
        </w:rPr>
      </w:pPr>
    </w:p>
    <w:p w14:paraId="045CCE3E"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Segundo</w:t>
      </w:r>
      <w:r w:rsidRPr="00795960">
        <w:rPr>
          <w:rFonts w:ascii="Palatino Linotype" w:eastAsia="Palatino Linotype" w:hAnsi="Palatino Linotype" w:cs="Palatino Linotype"/>
          <w:sz w:val="22"/>
          <w:szCs w:val="22"/>
        </w:rPr>
        <w:t xml:space="preserve">. Se </w:t>
      </w:r>
      <w:r w:rsidRPr="00795960">
        <w:rPr>
          <w:rFonts w:ascii="Palatino Linotype" w:eastAsia="Palatino Linotype" w:hAnsi="Palatino Linotype" w:cs="Palatino Linotype"/>
          <w:b/>
          <w:sz w:val="22"/>
          <w:szCs w:val="22"/>
        </w:rPr>
        <w:t>ordena</w:t>
      </w:r>
      <w:r w:rsidRPr="00795960">
        <w:rPr>
          <w:rFonts w:ascii="Palatino Linotype" w:eastAsia="Palatino Linotype" w:hAnsi="Palatino Linotype" w:cs="Palatino Linotype"/>
          <w:sz w:val="22"/>
          <w:szCs w:val="22"/>
        </w:rPr>
        <w:t xml:space="preserve"> al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que, en términos del </w:t>
      </w:r>
      <w:r w:rsidRPr="00795960">
        <w:rPr>
          <w:rFonts w:ascii="Palatino Linotype" w:eastAsia="Palatino Linotype" w:hAnsi="Palatino Linotype" w:cs="Palatino Linotype"/>
          <w:b/>
          <w:sz w:val="22"/>
          <w:szCs w:val="22"/>
        </w:rPr>
        <w:t>Considerando Cuarto y Quinto</w:t>
      </w:r>
      <w:r w:rsidRPr="00795960">
        <w:rPr>
          <w:rFonts w:ascii="Palatino Linotype" w:eastAsia="Palatino Linotype" w:hAnsi="Palatino Linotype" w:cs="Palatino Linotype"/>
          <w:sz w:val="22"/>
          <w:szCs w:val="22"/>
        </w:rPr>
        <w:t xml:space="preserve">, haga entrega vía Sistema de Acceso a la Información Mexiquense, en versión pública, el documento o documentos en donde conste lo siguiente: </w:t>
      </w:r>
    </w:p>
    <w:p w14:paraId="7760CC34" w14:textId="77777777" w:rsidR="00CB0D47" w:rsidRPr="00795960" w:rsidRDefault="00CF22F4">
      <w:pPr>
        <w:numPr>
          <w:ilvl w:val="0"/>
          <w:numId w:val="2"/>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Las nóminas del personal sindicalizado en los términos en que se remitieron al Sindicato, del siguiente periodo: </w:t>
      </w:r>
    </w:p>
    <w:p w14:paraId="5786E31F" w14:textId="77777777" w:rsidR="00CB0D47" w:rsidRPr="00795960" w:rsidRDefault="00CB0D47">
      <w:pPr>
        <w:pBdr>
          <w:top w:val="nil"/>
          <w:left w:val="nil"/>
          <w:bottom w:val="nil"/>
          <w:right w:val="nil"/>
          <w:between w:val="nil"/>
        </w:pBdr>
        <w:spacing w:line="276" w:lineRule="auto"/>
        <w:ind w:left="720" w:right="616"/>
        <w:jc w:val="both"/>
        <w:rPr>
          <w:rFonts w:ascii="Palatino Linotype" w:eastAsia="Palatino Linotype" w:hAnsi="Palatino Linotype" w:cs="Palatino Linotype"/>
          <w:i/>
          <w:sz w:val="22"/>
          <w:szCs w:val="22"/>
        </w:rPr>
      </w:pPr>
    </w:p>
    <w:p w14:paraId="6CC3FC64" w14:textId="77777777" w:rsidR="00CB0D47" w:rsidRPr="00795960" w:rsidRDefault="00CF22F4">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 los años 2020, 2021, 2022 y 2023: </w:t>
      </w:r>
    </w:p>
    <w:p w14:paraId="35B68A41" w14:textId="77777777" w:rsidR="00CB0D47" w:rsidRPr="00795960" w:rsidRDefault="00CF22F4">
      <w:pPr>
        <w:numPr>
          <w:ilvl w:val="0"/>
          <w:numId w:val="6"/>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primera quincena de febrero, segunda quincena de julio y segunda quincena de diciembre</w:t>
      </w:r>
    </w:p>
    <w:p w14:paraId="36E2B841" w14:textId="77777777" w:rsidR="00CB0D47" w:rsidRPr="00795960" w:rsidRDefault="00CF22F4">
      <w:pPr>
        <w:numPr>
          <w:ilvl w:val="0"/>
          <w:numId w:val="5"/>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Del año 2024: </w:t>
      </w:r>
    </w:p>
    <w:p w14:paraId="32C36AE2" w14:textId="77777777" w:rsidR="00CB0D47" w:rsidRPr="00795960" w:rsidRDefault="00CF22F4">
      <w:pPr>
        <w:numPr>
          <w:ilvl w:val="0"/>
          <w:numId w:val="7"/>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segunda quincena de marzo, primera quincena de julio y segunda quincena de octubre. </w:t>
      </w:r>
    </w:p>
    <w:p w14:paraId="0DE82EB4" w14:textId="77777777" w:rsidR="00CB0D47" w:rsidRPr="00795960" w:rsidRDefault="00CB0D47">
      <w:pPr>
        <w:spacing w:line="276" w:lineRule="auto"/>
        <w:ind w:left="851" w:right="616"/>
        <w:jc w:val="both"/>
        <w:rPr>
          <w:rFonts w:ascii="Palatino Linotype" w:eastAsia="Palatino Linotype" w:hAnsi="Palatino Linotype" w:cs="Palatino Linotype"/>
          <w:i/>
          <w:sz w:val="22"/>
          <w:szCs w:val="22"/>
        </w:rPr>
      </w:pPr>
    </w:p>
    <w:p w14:paraId="1F5477A0" w14:textId="77777777" w:rsidR="00CB0D47" w:rsidRPr="00795960" w:rsidRDefault="00CF22F4">
      <w:pPr>
        <w:spacing w:line="276" w:lineRule="auto"/>
        <w:ind w:left="851" w:right="616"/>
        <w:jc w:val="both"/>
        <w:rPr>
          <w:rFonts w:ascii="Palatino Linotype" w:eastAsia="Palatino Linotype" w:hAnsi="Palatino Linotype" w:cs="Palatino Linotype"/>
          <w:i/>
          <w:sz w:val="22"/>
          <w:szCs w:val="22"/>
        </w:rPr>
      </w:pPr>
      <w:r w:rsidRPr="00795960">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795960">
        <w:rPr>
          <w:rFonts w:ascii="Palatino Linotype" w:eastAsia="Palatino Linotype" w:hAnsi="Palatino Linotype" w:cs="Palatino Linotype"/>
          <w:b/>
          <w:i/>
          <w:sz w:val="22"/>
          <w:szCs w:val="22"/>
        </w:rPr>
        <w:t>Recurrente</w:t>
      </w:r>
      <w:r w:rsidRPr="00795960">
        <w:rPr>
          <w:rFonts w:ascii="Palatino Linotype" w:eastAsia="Palatino Linotype" w:hAnsi="Palatino Linotype" w:cs="Palatino Linotype"/>
          <w:i/>
          <w:sz w:val="22"/>
          <w:szCs w:val="22"/>
        </w:rPr>
        <w:t>, mismo que igualmente hará de su conocimiento.</w:t>
      </w:r>
    </w:p>
    <w:p w14:paraId="067DEC80" w14:textId="77777777" w:rsidR="00CB0D47" w:rsidRPr="00795960" w:rsidRDefault="00CB0D47">
      <w:pPr>
        <w:spacing w:line="360" w:lineRule="auto"/>
        <w:ind w:right="49"/>
        <w:jc w:val="both"/>
        <w:rPr>
          <w:rFonts w:ascii="Palatino Linotype" w:eastAsia="Palatino Linotype" w:hAnsi="Palatino Linotype" w:cs="Palatino Linotype"/>
          <w:sz w:val="22"/>
          <w:szCs w:val="22"/>
        </w:rPr>
      </w:pPr>
    </w:p>
    <w:p w14:paraId="27E6A6E5"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Tercero.</w:t>
      </w:r>
      <w:r w:rsidRPr="00795960">
        <w:rPr>
          <w:rFonts w:ascii="Palatino Linotype" w:eastAsia="Palatino Linotype" w:hAnsi="Palatino Linotype" w:cs="Palatino Linotype"/>
          <w:sz w:val="22"/>
          <w:szCs w:val="22"/>
        </w:rPr>
        <w:t xml:space="preserve"> </w:t>
      </w:r>
      <w:r w:rsidRPr="00795960">
        <w:rPr>
          <w:rFonts w:ascii="Palatino Linotype" w:eastAsia="Palatino Linotype" w:hAnsi="Palatino Linotype" w:cs="Palatino Linotype"/>
          <w:b/>
          <w:sz w:val="22"/>
          <w:szCs w:val="22"/>
        </w:rPr>
        <w:t xml:space="preserve">Notifíquese </w:t>
      </w:r>
      <w:r w:rsidRPr="00795960">
        <w:rPr>
          <w:rFonts w:ascii="Palatino Linotype" w:eastAsia="Palatino Linotype" w:hAnsi="Palatino Linotype" w:cs="Palatino Linotype"/>
          <w:sz w:val="22"/>
          <w:szCs w:val="22"/>
        </w:rPr>
        <w:t xml:space="preserve">vía </w:t>
      </w:r>
      <w:r w:rsidRPr="00795960">
        <w:rPr>
          <w:rFonts w:ascii="Palatino Linotype" w:eastAsia="Palatino Linotype" w:hAnsi="Palatino Linotype" w:cs="Palatino Linotype"/>
          <w:b/>
          <w:sz w:val="22"/>
          <w:szCs w:val="22"/>
        </w:rPr>
        <w:t xml:space="preserve">SAIMEX, </w:t>
      </w:r>
      <w:r w:rsidRPr="00795960">
        <w:rPr>
          <w:rFonts w:ascii="Palatino Linotype" w:eastAsia="Palatino Linotype" w:hAnsi="Palatino Linotype" w:cs="Palatino Linotype"/>
          <w:sz w:val="22"/>
          <w:szCs w:val="22"/>
        </w:rPr>
        <w:t>la presente resolución al T</w:t>
      </w:r>
      <w:r w:rsidRPr="00795960">
        <w:rPr>
          <w:rFonts w:ascii="Palatino Linotype" w:eastAsia="Palatino Linotype" w:hAnsi="Palatino Linotype" w:cs="Palatino Linotype"/>
          <w:b/>
          <w:sz w:val="22"/>
          <w:szCs w:val="22"/>
        </w:rPr>
        <w:t xml:space="preserve">itular de la Unidad de Transparencia </w:t>
      </w:r>
      <w:r w:rsidRPr="00795960">
        <w:rPr>
          <w:rFonts w:ascii="Palatino Linotype" w:eastAsia="Palatino Linotype" w:hAnsi="Palatino Linotype" w:cs="Palatino Linotype"/>
          <w:sz w:val="22"/>
          <w:szCs w:val="22"/>
        </w:rPr>
        <w:t xml:space="preserve">del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para que conforme al artículo 186 último párrafo, 189 </w:t>
      </w:r>
      <w:r w:rsidRPr="00795960">
        <w:rPr>
          <w:rFonts w:ascii="Palatino Linotype" w:eastAsia="Palatino Linotype" w:hAnsi="Palatino Linotype" w:cs="Palatino Linotype"/>
          <w:sz w:val="22"/>
          <w:szCs w:val="22"/>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569D621A" w14:textId="77777777" w:rsidR="00CB0D47" w:rsidRPr="00795960" w:rsidRDefault="00CB0D47">
      <w:pPr>
        <w:spacing w:line="360" w:lineRule="auto"/>
        <w:ind w:right="49"/>
        <w:jc w:val="both"/>
        <w:rPr>
          <w:rFonts w:ascii="Palatino Linotype" w:eastAsia="Palatino Linotype" w:hAnsi="Palatino Linotype" w:cs="Palatino Linotype"/>
          <w:sz w:val="22"/>
          <w:szCs w:val="22"/>
        </w:rPr>
      </w:pPr>
    </w:p>
    <w:p w14:paraId="6EC96126"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Cuarto.</w:t>
      </w:r>
      <w:r w:rsidRPr="00795960">
        <w:rPr>
          <w:rFonts w:ascii="Palatino Linotype" w:eastAsia="Palatino Linotype" w:hAnsi="Palatino Linotype" w:cs="Palatino Linotype"/>
          <w:sz w:val="22"/>
          <w:szCs w:val="22"/>
        </w:rPr>
        <w:t xml:space="preserve"> </w:t>
      </w:r>
      <w:r w:rsidRPr="00795960">
        <w:rPr>
          <w:rFonts w:ascii="Palatino Linotype" w:eastAsia="Palatino Linotype" w:hAnsi="Palatino Linotype" w:cs="Palatino Linotype"/>
          <w:b/>
          <w:sz w:val="22"/>
          <w:szCs w:val="22"/>
        </w:rPr>
        <w:t xml:space="preserve">Notifíquese </w:t>
      </w:r>
      <w:r w:rsidRPr="00795960">
        <w:rPr>
          <w:rFonts w:ascii="Palatino Linotype" w:eastAsia="Palatino Linotype" w:hAnsi="Palatino Linotype" w:cs="Palatino Linotype"/>
          <w:sz w:val="22"/>
          <w:szCs w:val="22"/>
        </w:rPr>
        <w:t xml:space="preserve">vía </w:t>
      </w:r>
      <w:r w:rsidRPr="00795960">
        <w:rPr>
          <w:rFonts w:ascii="Palatino Linotype" w:eastAsia="Palatino Linotype" w:hAnsi="Palatino Linotype" w:cs="Palatino Linotype"/>
          <w:b/>
          <w:sz w:val="22"/>
          <w:szCs w:val="22"/>
        </w:rPr>
        <w:t xml:space="preserve">SAIMEX </w:t>
      </w:r>
      <w:r w:rsidRPr="00795960">
        <w:rPr>
          <w:rFonts w:ascii="Palatino Linotype" w:eastAsia="Palatino Linotype" w:hAnsi="Palatino Linotype" w:cs="Palatino Linotype"/>
          <w:sz w:val="22"/>
          <w:szCs w:val="22"/>
        </w:rPr>
        <w:t xml:space="preserve">a la parte </w:t>
      </w:r>
      <w:r w:rsidRPr="00795960">
        <w:rPr>
          <w:rFonts w:ascii="Palatino Linotype" w:eastAsia="Palatino Linotype" w:hAnsi="Palatino Linotype" w:cs="Palatino Linotype"/>
          <w:b/>
          <w:sz w:val="22"/>
          <w:szCs w:val="22"/>
        </w:rPr>
        <w:t xml:space="preserve">Recurrente </w:t>
      </w:r>
      <w:r w:rsidRPr="00795960">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3EA0E99D" w14:textId="77777777" w:rsidR="00CB0D47" w:rsidRPr="00795960" w:rsidRDefault="00CB0D47">
      <w:pPr>
        <w:spacing w:line="360" w:lineRule="auto"/>
        <w:ind w:right="49"/>
        <w:jc w:val="both"/>
        <w:rPr>
          <w:rFonts w:ascii="Palatino Linotype" w:eastAsia="Palatino Linotype" w:hAnsi="Palatino Linotype" w:cs="Palatino Linotype"/>
          <w:sz w:val="22"/>
          <w:szCs w:val="22"/>
        </w:rPr>
      </w:pPr>
    </w:p>
    <w:p w14:paraId="3E2EFAC9" w14:textId="77777777" w:rsidR="00CB0D47" w:rsidRPr="00795960" w:rsidRDefault="00CF22F4">
      <w:pPr>
        <w:spacing w:line="360" w:lineRule="auto"/>
        <w:ind w:right="49"/>
        <w:jc w:val="both"/>
        <w:rPr>
          <w:rFonts w:ascii="Palatino Linotype" w:eastAsia="Palatino Linotype" w:hAnsi="Palatino Linotype" w:cs="Palatino Linotype"/>
          <w:sz w:val="22"/>
          <w:szCs w:val="22"/>
        </w:rPr>
      </w:pPr>
      <w:r w:rsidRPr="00795960">
        <w:rPr>
          <w:rFonts w:ascii="Palatino Linotype" w:eastAsia="Palatino Linotype" w:hAnsi="Palatino Linotype" w:cs="Palatino Linotype"/>
          <w:b/>
          <w:sz w:val="22"/>
          <w:szCs w:val="22"/>
        </w:rPr>
        <w:t>Quinto.</w:t>
      </w:r>
      <w:r w:rsidRPr="00795960">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795960">
        <w:rPr>
          <w:rFonts w:ascii="Palatino Linotype" w:eastAsia="Palatino Linotype" w:hAnsi="Palatino Linotype" w:cs="Palatino Linotype"/>
          <w:b/>
          <w:sz w:val="22"/>
          <w:szCs w:val="22"/>
        </w:rPr>
        <w:t>Sujeto Obligado</w:t>
      </w:r>
      <w:r w:rsidRPr="00795960">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B57C730" w14:textId="77777777" w:rsidR="00CB0D47" w:rsidRPr="00795960" w:rsidRDefault="00CB0D47">
      <w:pPr>
        <w:spacing w:line="360" w:lineRule="auto"/>
        <w:jc w:val="both"/>
        <w:rPr>
          <w:rFonts w:ascii="Palatino Linotype" w:eastAsia="Palatino Linotype" w:hAnsi="Palatino Linotype" w:cs="Palatino Linotype"/>
          <w:b/>
          <w:sz w:val="22"/>
          <w:szCs w:val="22"/>
        </w:rPr>
      </w:pPr>
    </w:p>
    <w:p w14:paraId="618151EE" w14:textId="77777777" w:rsidR="00CB0D47" w:rsidRPr="00E62318" w:rsidRDefault="00CF22F4">
      <w:pPr>
        <w:spacing w:line="360" w:lineRule="auto"/>
        <w:jc w:val="both"/>
        <w:rPr>
          <w:rFonts w:ascii="Palatino Linotype" w:eastAsia="Palatino Linotype" w:hAnsi="Palatino Linotype" w:cs="Palatino Linotype"/>
          <w:sz w:val="22"/>
          <w:szCs w:val="22"/>
        </w:rPr>
        <w:sectPr w:rsidR="00CB0D47" w:rsidRPr="00E62318">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r w:rsidRPr="0079596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VEINTINUEVE DE ENERO DE DOS MIL VEINTICINCO, ANTE EL SECRETARIO TÉCNICO DEL PLENO ALEXIS TAPIA RAMÍREZ.</w:t>
      </w:r>
      <w:r w:rsidRPr="00E62318">
        <w:rPr>
          <w:rFonts w:ascii="Palatino Linotype" w:eastAsia="Palatino Linotype" w:hAnsi="Palatino Linotype" w:cs="Palatino Linotype"/>
          <w:sz w:val="22"/>
          <w:szCs w:val="22"/>
        </w:rPr>
        <w:t xml:space="preserve">                              </w:t>
      </w:r>
    </w:p>
    <w:p w14:paraId="3930FAF7" w14:textId="77777777" w:rsidR="00CB0D47" w:rsidRPr="00E62318" w:rsidRDefault="00CB0D47">
      <w:pPr>
        <w:spacing w:line="360" w:lineRule="auto"/>
        <w:jc w:val="both"/>
        <w:rPr>
          <w:rFonts w:ascii="Palatino Linotype" w:eastAsia="Palatino Linotype" w:hAnsi="Palatino Linotype" w:cs="Palatino Linotype"/>
          <w:sz w:val="22"/>
          <w:szCs w:val="22"/>
        </w:rPr>
      </w:pPr>
    </w:p>
    <w:p w14:paraId="2718B7F7" w14:textId="77777777" w:rsidR="00CB0D47" w:rsidRPr="00E62318" w:rsidRDefault="00CB0D47">
      <w:pPr>
        <w:spacing w:line="360" w:lineRule="auto"/>
        <w:jc w:val="both"/>
        <w:rPr>
          <w:rFonts w:ascii="Palatino Linotype" w:eastAsia="Palatino Linotype" w:hAnsi="Palatino Linotype" w:cs="Palatino Linotype"/>
          <w:sz w:val="22"/>
          <w:szCs w:val="22"/>
        </w:rPr>
      </w:pPr>
    </w:p>
    <w:sectPr w:rsidR="00CB0D47" w:rsidRPr="00E62318">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67E7" w14:textId="77777777" w:rsidR="004921AD" w:rsidRDefault="004921AD">
      <w:r>
        <w:separator/>
      </w:r>
    </w:p>
  </w:endnote>
  <w:endnote w:type="continuationSeparator" w:id="0">
    <w:p w14:paraId="43BC5664" w14:textId="77777777" w:rsidR="004921AD" w:rsidRDefault="0049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31C2DA4-6491-4245-B7AD-407E05E9FEA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9AED2CA-1721-485D-9018-5CCCF1E8AE04}"/>
    <w:embedBold r:id="rId3" w:fontKey="{1E5D89CC-5E22-47E0-89F2-883EF5D7D085}"/>
    <w:embedItalic r:id="rId4" w:fontKey="{F163EEBE-004F-46FC-929E-D36646AB4D67}"/>
    <w:embedBoldItalic r:id="rId5" w:fontKey="{6258AD4B-1864-4F28-97CF-32F0D090E2D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5C75D3C-A8F0-4BA2-9BE5-96A8023DAE80}"/>
    <w:embedItalic r:id="rId7" w:fontKey="{8F18192D-820C-4B2C-9190-DFDB0351FE3F}"/>
  </w:font>
  <w:font w:name="Segoe UI">
    <w:panose1 w:val="020B0502040204020203"/>
    <w:charset w:val="00"/>
    <w:family w:val="swiss"/>
    <w:pitch w:val="variable"/>
    <w:sig w:usb0="E4002EFF" w:usb1="C000E47F" w:usb2="00000009" w:usb3="00000000" w:csb0="000001FF" w:csb1="00000000"/>
    <w:embedRegular r:id="rId8" w:fontKey="{595FE9AF-D956-4631-95B1-D90288A19CC1}"/>
  </w:font>
  <w:font w:name="Helvetica">
    <w:panose1 w:val="020B0504020202020204"/>
    <w:charset w:val="00"/>
    <w:family w:val="swiss"/>
    <w:notTrueType/>
    <w:pitch w:val="variable"/>
    <w:sig w:usb0="00000003" w:usb1="00000000" w:usb2="00000000" w:usb3="00000000" w:csb0="00000001" w:csb1="00000000"/>
    <w:embedRegular r:id="rId9" w:fontKey="{1F084316-A013-43BB-B2DF-343A4C0D3BF7}"/>
  </w:font>
  <w:font w:name="Georgia">
    <w:panose1 w:val="02040502050405020303"/>
    <w:charset w:val="00"/>
    <w:family w:val="roman"/>
    <w:pitch w:val="variable"/>
    <w:sig w:usb0="00000287" w:usb1="00000000" w:usb2="00000000" w:usb3="00000000" w:csb0="0000009F" w:csb1="00000000"/>
    <w:embedRegular r:id="rId10" w:fontKey="{D9952C94-2A9F-4688-9B1F-DB8B499112CB}"/>
    <w:embedItalic r:id="rId11" w:fontKey="{857D40BE-E145-4A0D-AA77-CF99817B9A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78BD6801-9665-417C-914B-0648681A2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095D" w14:textId="77777777" w:rsidR="00CB0D47" w:rsidRDefault="00CF22F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3200">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3200">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5C2021F4" w14:textId="77777777" w:rsidR="00CB0D47" w:rsidRDefault="00CB0D47">
    <w:pPr>
      <w:pBdr>
        <w:top w:val="nil"/>
        <w:left w:val="nil"/>
        <w:bottom w:val="nil"/>
        <w:right w:val="nil"/>
        <w:between w:val="nil"/>
      </w:pBdr>
      <w:tabs>
        <w:tab w:val="center" w:pos="4252"/>
        <w:tab w:val="right" w:pos="8504"/>
      </w:tabs>
      <w:rPr>
        <w:color w:val="000000"/>
      </w:rPr>
    </w:pPr>
  </w:p>
  <w:p w14:paraId="57C38081" w14:textId="77777777" w:rsidR="00CB0D47" w:rsidRDefault="00CB0D4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DDB9" w14:textId="77777777" w:rsidR="00CB0D47" w:rsidRDefault="00CF22F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3200">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3200">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6F6FFA3D" w14:textId="77777777" w:rsidR="00CB0D47" w:rsidRDefault="00CB0D4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0F8A2" w14:textId="77777777" w:rsidR="004921AD" w:rsidRDefault="004921AD">
      <w:r>
        <w:separator/>
      </w:r>
    </w:p>
  </w:footnote>
  <w:footnote w:type="continuationSeparator" w:id="0">
    <w:p w14:paraId="1DF0D327" w14:textId="77777777" w:rsidR="004921AD" w:rsidRDefault="004921AD">
      <w:r>
        <w:continuationSeparator/>
      </w:r>
    </w:p>
  </w:footnote>
  <w:footnote w:id="1">
    <w:p w14:paraId="48B5F308" w14:textId="77777777" w:rsidR="00CB0D47" w:rsidRDefault="00CF22F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8"/>
          <w:szCs w:val="18"/>
        </w:rPr>
        <w:t xml:space="preserve">Consultable en: </w:t>
      </w:r>
      <w:hyperlink r:id="rId1">
        <w:r>
          <w:rPr>
            <w:rFonts w:ascii="Palatino Linotype" w:eastAsia="Palatino Linotype" w:hAnsi="Palatino Linotype" w:cs="Palatino Linotype"/>
            <w:color w:val="0563C1"/>
            <w:sz w:val="18"/>
            <w:szCs w:val="18"/>
            <w:u w:val="single"/>
          </w:rPr>
          <w:t>https://www.ipomex.org.mx/recursos/ipo/files_ipo3/2019/44261/10/1a9877ece9634a9d8c0182959b73dffc.pdf</w:t>
        </w:r>
      </w:hyperlink>
      <w:r>
        <w:rPr>
          <w:rFonts w:ascii="Palatino Linotype" w:eastAsia="Palatino Linotype" w:hAnsi="Palatino Linotype" w:cs="Palatino Linotype"/>
          <w:color w:val="000000"/>
          <w:sz w:val="18"/>
          <w:szCs w:val="18"/>
        </w:rPr>
        <w:t xml:space="preserve"> </w:t>
      </w:r>
    </w:p>
  </w:footnote>
  <w:footnote w:id="2">
    <w:p w14:paraId="0739546C" w14:textId="77777777" w:rsidR="00CB0D47" w:rsidRDefault="00CF22F4">
      <w:pP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4A41" w14:textId="77777777" w:rsidR="00CB0D47" w:rsidRDefault="00CF22F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B109B09" wp14:editId="6718694E">
          <wp:simplePos x="0" y="0"/>
          <wp:positionH relativeFrom="column">
            <wp:posOffset>-638174</wp:posOffset>
          </wp:positionH>
          <wp:positionV relativeFrom="paragraph">
            <wp:posOffset>-450214</wp:posOffset>
          </wp:positionV>
          <wp:extent cx="7809876" cy="10165823"/>
          <wp:effectExtent l="0" t="0" r="0" b="0"/>
          <wp:wrapNone/>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528" w:type="dxa"/>
      <w:tblInd w:w="3261" w:type="dxa"/>
      <w:tblLayout w:type="fixed"/>
      <w:tblLook w:val="0400" w:firstRow="0" w:lastRow="0" w:firstColumn="0" w:lastColumn="0" w:noHBand="0" w:noVBand="1"/>
    </w:tblPr>
    <w:tblGrid>
      <w:gridCol w:w="2551"/>
      <w:gridCol w:w="2977"/>
    </w:tblGrid>
    <w:tr w:rsidR="00CB0D47" w14:paraId="67506452" w14:textId="77777777">
      <w:tc>
        <w:tcPr>
          <w:tcW w:w="2551" w:type="dxa"/>
          <w:vAlign w:val="center"/>
        </w:tcPr>
        <w:p w14:paraId="708F7315" w14:textId="77777777" w:rsidR="00CB0D47" w:rsidRDefault="00CF22F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A3ED3CE" w14:textId="77777777" w:rsidR="00CB0D47" w:rsidRDefault="00CF22F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07684/INFOEM/IP/RR/2024</w:t>
          </w:r>
        </w:p>
      </w:tc>
    </w:tr>
    <w:tr w:rsidR="00CB0D47" w14:paraId="6990AE8C" w14:textId="77777777">
      <w:trPr>
        <w:trHeight w:val="228"/>
      </w:trPr>
      <w:tc>
        <w:tcPr>
          <w:tcW w:w="2551" w:type="dxa"/>
          <w:vAlign w:val="center"/>
        </w:tcPr>
        <w:p w14:paraId="12257981" w14:textId="77777777" w:rsidR="00CB0D47" w:rsidRDefault="00CF22F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2B309ED" w14:textId="77777777" w:rsidR="00CB0D47" w:rsidRDefault="00CF22F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CB0D47" w14:paraId="705079B7" w14:textId="77777777">
      <w:tc>
        <w:tcPr>
          <w:tcW w:w="2551" w:type="dxa"/>
          <w:vAlign w:val="center"/>
        </w:tcPr>
        <w:p w14:paraId="6E852ED0" w14:textId="77777777" w:rsidR="00CB0D47" w:rsidRDefault="00CF22F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661C85E" w14:textId="77777777" w:rsidR="00CB0D47" w:rsidRDefault="00CF22F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A5A4AD4" w14:textId="77777777" w:rsidR="00CB0D47" w:rsidRDefault="00CF22F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C2ED" w14:textId="77777777" w:rsidR="00CB0D47" w:rsidRDefault="00CF22F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8CC8A7" wp14:editId="69FA770C">
          <wp:simplePos x="0" y="0"/>
          <wp:positionH relativeFrom="column">
            <wp:posOffset>-798193</wp:posOffset>
          </wp:positionH>
          <wp:positionV relativeFrom="paragraph">
            <wp:posOffset>-399413</wp:posOffset>
          </wp:positionV>
          <wp:extent cx="7809876" cy="10165823"/>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CB0D47" w14:paraId="26BBB8CC" w14:textId="77777777">
      <w:tc>
        <w:tcPr>
          <w:tcW w:w="2551" w:type="dxa"/>
          <w:vAlign w:val="center"/>
        </w:tcPr>
        <w:p w14:paraId="11C7FCBB" w14:textId="77777777" w:rsidR="00CB0D47" w:rsidRDefault="00CF22F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0375B70" w14:textId="77777777" w:rsidR="00CB0D47" w:rsidRDefault="00CF22F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07684/INFOEM/IP/RR/2024</w:t>
          </w:r>
        </w:p>
      </w:tc>
    </w:tr>
    <w:tr w:rsidR="00CB0D47" w14:paraId="20B88EE8" w14:textId="77777777">
      <w:tc>
        <w:tcPr>
          <w:tcW w:w="2551" w:type="dxa"/>
          <w:vAlign w:val="center"/>
        </w:tcPr>
        <w:p w14:paraId="0AAD2D2C" w14:textId="77777777" w:rsidR="00CB0D47" w:rsidRDefault="00CF22F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0AABA44" w14:textId="1562C10F" w:rsidR="00CB0D47" w:rsidRDefault="000947C9">
          <w:pPr>
            <w:ind w:right="-533"/>
            <w:jc w:val="both"/>
            <w:rPr>
              <w:rFonts w:ascii="Palatino Linotype" w:eastAsia="Palatino Linotype" w:hAnsi="Palatino Linotype" w:cs="Palatino Linotype"/>
              <w:b/>
              <w:sz w:val="22"/>
              <w:szCs w:val="22"/>
            </w:rPr>
          </w:pPr>
          <w:bookmarkStart w:id="5" w:name="_Hlk189737723"/>
          <w:r>
            <w:rPr>
              <w:rFonts w:ascii="Palatino Linotype" w:eastAsia="Palatino Linotype" w:hAnsi="Palatino Linotype" w:cs="Palatino Linotype"/>
              <w:b/>
              <w:sz w:val="22"/>
              <w:szCs w:val="22"/>
            </w:rPr>
            <w:t xml:space="preserve">XXXXX XXXXXXX XXXXX XXXXXXXX </w:t>
          </w:r>
          <w:bookmarkEnd w:id="5"/>
        </w:p>
      </w:tc>
    </w:tr>
    <w:tr w:rsidR="00CB0D47" w14:paraId="6664DD69" w14:textId="77777777">
      <w:trPr>
        <w:trHeight w:val="228"/>
      </w:trPr>
      <w:tc>
        <w:tcPr>
          <w:tcW w:w="2551" w:type="dxa"/>
          <w:vAlign w:val="center"/>
        </w:tcPr>
        <w:p w14:paraId="634F29B4" w14:textId="77777777" w:rsidR="00CB0D47" w:rsidRDefault="00CF22F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EFFCCE8" w14:textId="77777777" w:rsidR="00CB0D47" w:rsidRDefault="00CF22F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CB0D47" w14:paraId="510E797D" w14:textId="77777777">
      <w:tc>
        <w:tcPr>
          <w:tcW w:w="2551" w:type="dxa"/>
          <w:vAlign w:val="center"/>
        </w:tcPr>
        <w:p w14:paraId="468EEC2C" w14:textId="77777777" w:rsidR="00CB0D47" w:rsidRDefault="00CF22F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4072474" w14:textId="77777777" w:rsidR="00CB0D47" w:rsidRDefault="00CF22F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3579A49" w14:textId="77777777" w:rsidR="00CB0D47" w:rsidRDefault="00CB0D4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E04E" w14:textId="77777777" w:rsidR="00CB0D47" w:rsidRDefault="00CB0D4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64F096D" w14:textId="77777777" w:rsidR="00CB0D47" w:rsidRDefault="00CB0D4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B9D"/>
    <w:multiLevelType w:val="multilevel"/>
    <w:tmpl w:val="81343DB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0EF63773"/>
    <w:multiLevelType w:val="multilevel"/>
    <w:tmpl w:val="1180D790"/>
    <w:lvl w:ilvl="0">
      <w:start w:val="1"/>
      <w:numFmt w:val="bullet"/>
      <w:pStyle w:val="Listaconvietas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AB00D81"/>
    <w:multiLevelType w:val="multilevel"/>
    <w:tmpl w:val="623AA27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2F9D524E"/>
    <w:multiLevelType w:val="multilevel"/>
    <w:tmpl w:val="A3BE3854"/>
    <w:lvl w:ilvl="0">
      <w:start w:val="4"/>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 w15:restartNumberingAfterBreak="0">
    <w:nsid w:val="345E2F3F"/>
    <w:multiLevelType w:val="multilevel"/>
    <w:tmpl w:val="8FA05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EF71FE"/>
    <w:multiLevelType w:val="multilevel"/>
    <w:tmpl w:val="F8CC632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4A653A99"/>
    <w:multiLevelType w:val="multilevel"/>
    <w:tmpl w:val="5FD27CC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5A4FCA"/>
    <w:multiLevelType w:val="multilevel"/>
    <w:tmpl w:val="682610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E1906CA"/>
    <w:multiLevelType w:val="multilevel"/>
    <w:tmpl w:val="4BE05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676A52"/>
    <w:multiLevelType w:val="multilevel"/>
    <w:tmpl w:val="44944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8"/>
  </w:num>
  <w:num w:numId="4">
    <w:abstractNumId w:val="1"/>
  </w:num>
  <w:num w:numId="5">
    <w:abstractNumId w:val="7"/>
  </w:num>
  <w:num w:numId="6">
    <w:abstractNumId w:val="5"/>
  </w:num>
  <w:num w:numId="7">
    <w:abstractNumId w:val="2"/>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47"/>
    <w:rsid w:val="000947C9"/>
    <w:rsid w:val="002D6EDF"/>
    <w:rsid w:val="004921AD"/>
    <w:rsid w:val="00673A0E"/>
    <w:rsid w:val="006A08D8"/>
    <w:rsid w:val="007708A2"/>
    <w:rsid w:val="00795960"/>
    <w:rsid w:val="00CB0D47"/>
    <w:rsid w:val="00CF22F4"/>
    <w:rsid w:val="00E62318"/>
    <w:rsid w:val="00F93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3912D"/>
  <w15:docId w15:val="{9DED2060-BD19-4093-AEEB-606E483E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A34A0"/>
    <w:rPr>
      <w:color w:val="605E5C"/>
      <w:shd w:val="clear" w:color="auto" w:fill="E1DFDD"/>
    </w:rPr>
  </w:style>
  <w:style w:type="paragraph" w:customStyle="1" w:styleId="Default">
    <w:name w:val="Default"/>
    <w:rsid w:val="00740F46"/>
    <w:pPr>
      <w:autoSpaceDE w:val="0"/>
      <w:autoSpaceDN w:val="0"/>
      <w:adjustRightInd w:val="0"/>
    </w:pPr>
    <w:rPr>
      <w:rFonts w:ascii="Arial" w:eastAsiaTheme="minorHAnsi" w:hAnsi="Arial" w:cs="Arial"/>
      <w:color w:val="000000"/>
      <w:lang w:val="es-MX" w:eastAsia="en-US"/>
    </w:rPr>
  </w:style>
  <w:style w:type="table" w:customStyle="1" w:styleId="Tablaconcuadrcula2">
    <w:name w:val="Tabla con cuadrícula2"/>
    <w:basedOn w:val="Tablanormal"/>
    <w:next w:val="Tablaconcuadrcula"/>
    <w:uiPriority w:val="39"/>
    <w:rsid w:val="0057641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HUIXQUILUCAN/art_92_viii.web" TargetMode="External"/><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4261/10/1a9877ece9634a9d8c0182959b73dff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4x+rB9ChPf3dgbE/KRWYTJle0g==">CgMxLjAyCWguM3pueXNoNzIIaC5namRneHMyCWguMzBqMHpsbDIJaC4xZm9iOXRlMgloLjF0M2g1c2Y4AHIhMTZWSGZXeHFMWllLTHJmSzRLd3RyWHZkOC1jMnUxZEo5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12583</Words>
  <Characters>69210</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2025-01-31T19:56:00Z</cp:lastPrinted>
  <dcterms:created xsi:type="dcterms:W3CDTF">2025-02-06T18:40:00Z</dcterms:created>
  <dcterms:modified xsi:type="dcterms:W3CDTF">2025-02-06T18:40:00Z</dcterms:modified>
</cp:coreProperties>
</file>