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DD4" w:rsidRPr="00F752E9" w:rsidRDefault="00764DD4" w:rsidP="00F752E9">
      <w:pPr>
        <w:widowControl w:val="0"/>
        <w:pBdr>
          <w:top w:val="nil"/>
          <w:left w:val="nil"/>
          <w:bottom w:val="nil"/>
          <w:right w:val="nil"/>
          <w:between w:val="nil"/>
        </w:pBdr>
        <w:spacing w:line="276" w:lineRule="auto"/>
        <w:rPr>
          <w:rFonts w:ascii="Palatino Linotype" w:hAnsi="Palatino Linotype"/>
        </w:rPr>
      </w:pPr>
    </w:p>
    <w:p w:rsidR="00764DD4" w:rsidRPr="00693CDC" w:rsidRDefault="00764DD4" w:rsidP="00F752E9">
      <w:pPr>
        <w:tabs>
          <w:tab w:val="left" w:pos="3465"/>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693CDC">
        <w:rPr>
          <w:rFonts w:ascii="Palatino Linotype" w:eastAsia="Palatino Linotype" w:hAnsi="Palatino Linotype" w:cs="Palatino Linotype"/>
          <w:b/>
          <w:color w:val="000000"/>
        </w:rPr>
        <w:t xml:space="preserve">del </w:t>
      </w:r>
      <w:r w:rsidR="000D1B5A" w:rsidRPr="00693CDC">
        <w:rPr>
          <w:rFonts w:ascii="Palatino Linotype" w:eastAsia="Palatino Linotype" w:hAnsi="Palatino Linotype" w:cs="Palatino Linotype"/>
          <w:b/>
          <w:color w:val="000000"/>
        </w:rPr>
        <w:t>veintiuno de mayo de dos mil veinticinco</w:t>
      </w:r>
      <w:r w:rsidRPr="00693CDC">
        <w:rPr>
          <w:rFonts w:ascii="Palatino Linotype" w:eastAsia="Palatino Linotype" w:hAnsi="Palatino Linotype" w:cs="Palatino Linotype"/>
          <w:color w:val="000000"/>
        </w:rPr>
        <w:t>.</w:t>
      </w:r>
    </w:p>
    <w:p w:rsidR="00764DD4" w:rsidRPr="00693CDC" w:rsidRDefault="00764DD4" w:rsidP="00F752E9">
      <w:pPr>
        <w:tabs>
          <w:tab w:val="left" w:pos="3465"/>
        </w:tabs>
        <w:spacing w:line="360" w:lineRule="auto"/>
        <w:jc w:val="both"/>
        <w:rPr>
          <w:rFonts w:ascii="Palatino Linotype" w:eastAsia="Palatino Linotype" w:hAnsi="Palatino Linotype" w:cs="Palatino Linotype"/>
          <w:color w:val="000000"/>
        </w:rPr>
      </w:pPr>
    </w:p>
    <w:p w:rsidR="00764DD4" w:rsidRPr="00693CDC" w:rsidRDefault="00764DD4" w:rsidP="00F752E9">
      <w:pPr>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b/>
          <w:color w:val="000000"/>
        </w:rPr>
        <w:t>VISTO</w:t>
      </w:r>
      <w:r w:rsidRPr="00693CDC">
        <w:rPr>
          <w:rFonts w:ascii="Palatino Linotype" w:eastAsia="Palatino Linotype" w:hAnsi="Palatino Linotype" w:cs="Palatino Linotype"/>
          <w:color w:val="000000"/>
        </w:rPr>
        <w:t xml:space="preserve"> el expediente electrónico formado con motivo del recurso de revisión </w:t>
      </w:r>
      <w:r w:rsidR="000D1B5A" w:rsidRPr="00693CDC">
        <w:rPr>
          <w:rFonts w:ascii="Palatino Linotype" w:eastAsia="Palatino Linotype" w:hAnsi="Palatino Linotype" w:cs="Palatino Linotype"/>
          <w:b/>
        </w:rPr>
        <w:t>00873/INFOEM/IP/RR/2025</w:t>
      </w:r>
      <w:r w:rsidRPr="00693CDC">
        <w:rPr>
          <w:rFonts w:ascii="Palatino Linotype" w:eastAsia="Palatino Linotype" w:hAnsi="Palatino Linotype" w:cs="Palatino Linotype"/>
          <w:color w:val="000000"/>
        </w:rPr>
        <w:t xml:space="preserve">, interpuesto por </w:t>
      </w:r>
      <w:r w:rsidR="000D1B5A" w:rsidRPr="00693CDC">
        <w:rPr>
          <w:rFonts w:ascii="Palatino Linotype" w:eastAsia="Palatino Linotype" w:hAnsi="Palatino Linotype" w:cs="Palatino Linotype"/>
          <w:b/>
          <w:bCs/>
        </w:rPr>
        <w:t>un usuario que no proporcionó nombre para ser identificado</w:t>
      </w:r>
      <w:r w:rsidR="00F752E9" w:rsidRPr="00693CDC">
        <w:rPr>
          <w:rFonts w:ascii="Palatino Linotype" w:eastAsia="Palatino Linotype" w:hAnsi="Palatino Linotype" w:cs="Palatino Linotype"/>
          <w:color w:val="000000"/>
        </w:rPr>
        <w:t xml:space="preserve">, en adelante EL </w:t>
      </w:r>
      <w:r w:rsidRPr="00693CDC">
        <w:rPr>
          <w:rFonts w:ascii="Palatino Linotype" w:eastAsia="Palatino Linotype" w:hAnsi="Palatino Linotype" w:cs="Palatino Linotype"/>
          <w:b/>
          <w:color w:val="000000"/>
        </w:rPr>
        <w:t>RECURRENTE</w:t>
      </w:r>
      <w:r w:rsidRPr="00693CDC">
        <w:rPr>
          <w:rFonts w:ascii="Palatino Linotype" w:eastAsia="Palatino Linotype" w:hAnsi="Palatino Linotype" w:cs="Palatino Linotype"/>
          <w:color w:val="000000"/>
        </w:rPr>
        <w:t xml:space="preserve">; en contra de la respuesta del </w:t>
      </w:r>
      <w:r w:rsidR="000D1B5A" w:rsidRPr="00693CDC">
        <w:rPr>
          <w:rFonts w:ascii="Palatino Linotype" w:eastAsia="Palatino Linotype" w:hAnsi="Palatino Linotype" w:cs="Palatino Linotype"/>
          <w:b/>
          <w:bCs/>
          <w:color w:val="000000"/>
        </w:rPr>
        <w:t>Ayuntamiento de Tlalnepantla de Baz</w:t>
      </w:r>
      <w:r w:rsidRPr="00693CDC">
        <w:rPr>
          <w:rFonts w:ascii="Palatino Linotype" w:eastAsia="Palatino Linotype" w:hAnsi="Palatino Linotype" w:cs="Palatino Linotype"/>
          <w:b/>
          <w:color w:val="000000"/>
        </w:rPr>
        <w:t>,</w:t>
      </w:r>
      <w:r w:rsidRPr="00693CDC">
        <w:rPr>
          <w:rFonts w:ascii="Palatino Linotype" w:eastAsia="Palatino Linotype" w:hAnsi="Palatino Linotype" w:cs="Palatino Linotype"/>
          <w:color w:val="000000"/>
        </w:rPr>
        <w:t xml:space="preserve"> en lo sucesivo el</w:t>
      </w:r>
      <w:r w:rsidRPr="00693CDC">
        <w:rPr>
          <w:rFonts w:ascii="Palatino Linotype" w:eastAsia="Palatino Linotype" w:hAnsi="Palatino Linotype" w:cs="Palatino Linotype"/>
          <w:b/>
          <w:color w:val="000000"/>
        </w:rPr>
        <w:t xml:space="preserve"> SUJETO OBLIGADO, </w:t>
      </w:r>
      <w:r w:rsidRPr="00693CDC">
        <w:rPr>
          <w:rFonts w:ascii="Palatino Linotype" w:eastAsia="Palatino Linotype" w:hAnsi="Palatino Linotype" w:cs="Palatino Linotype"/>
          <w:color w:val="000000"/>
        </w:rPr>
        <w:t xml:space="preserve">se procede a dictar la presente resolución, con base en los siguientes: </w:t>
      </w:r>
    </w:p>
    <w:p w:rsidR="00764DD4" w:rsidRPr="00693CDC" w:rsidRDefault="00764DD4" w:rsidP="00F752E9">
      <w:pPr>
        <w:spacing w:line="360" w:lineRule="auto"/>
        <w:jc w:val="both"/>
        <w:rPr>
          <w:rFonts w:ascii="Palatino Linotype" w:eastAsia="Palatino Linotype" w:hAnsi="Palatino Linotype" w:cs="Palatino Linotype"/>
          <w:color w:val="000000"/>
        </w:rPr>
      </w:pPr>
    </w:p>
    <w:p w:rsidR="00764DD4" w:rsidRPr="00693CDC" w:rsidRDefault="00764DD4" w:rsidP="00F752E9">
      <w:pPr>
        <w:pStyle w:val="Ttulo1"/>
        <w:spacing w:before="0" w:line="360" w:lineRule="auto"/>
        <w:jc w:val="center"/>
        <w:rPr>
          <w:b/>
          <w:color w:val="000000"/>
          <w:szCs w:val="24"/>
        </w:rPr>
      </w:pPr>
      <w:bookmarkStart w:id="0" w:name="_heading=h.gjdgxs" w:colFirst="0" w:colLast="0"/>
      <w:bookmarkEnd w:id="0"/>
      <w:r w:rsidRPr="00693CDC">
        <w:rPr>
          <w:b/>
          <w:color w:val="000000"/>
          <w:szCs w:val="24"/>
        </w:rPr>
        <w:t>A N T E C E D E N T E S</w:t>
      </w:r>
    </w:p>
    <w:p w:rsidR="00764DD4" w:rsidRPr="00693CDC" w:rsidRDefault="00764DD4" w:rsidP="00F752E9">
      <w:pPr>
        <w:rPr>
          <w:rFonts w:ascii="Palatino Linotype" w:hAnsi="Palatino Linotype"/>
        </w:rPr>
      </w:pPr>
    </w:p>
    <w:p w:rsidR="00764DD4" w:rsidRPr="00693CDC" w:rsidRDefault="000D1B5A"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 xml:space="preserve">El </w:t>
      </w:r>
      <w:r w:rsidRPr="00693CDC">
        <w:rPr>
          <w:rFonts w:ascii="Palatino Linotype" w:eastAsia="Palatino Linotype" w:hAnsi="Palatino Linotype" w:cs="Palatino Linotype"/>
          <w:b/>
          <w:color w:val="000000"/>
        </w:rPr>
        <w:t>dieciséis de enero de dos mil veinticinco</w:t>
      </w:r>
      <w:r w:rsidR="00764DD4" w:rsidRPr="00693CDC">
        <w:rPr>
          <w:rFonts w:ascii="Palatino Linotype" w:eastAsia="Palatino Linotype" w:hAnsi="Palatino Linotype" w:cs="Palatino Linotype"/>
          <w:color w:val="000000"/>
        </w:rPr>
        <w:t>, el particular presentó</w:t>
      </w:r>
      <w:r w:rsidR="00764DD4" w:rsidRPr="00693CDC">
        <w:rPr>
          <w:rFonts w:ascii="Palatino Linotype" w:eastAsia="Palatino Linotype" w:hAnsi="Palatino Linotype" w:cs="Palatino Linotype"/>
          <w:b/>
          <w:color w:val="000000"/>
        </w:rPr>
        <w:t xml:space="preserve"> </w:t>
      </w:r>
      <w:r w:rsidR="00764DD4" w:rsidRPr="00693CDC">
        <w:rPr>
          <w:rFonts w:ascii="Palatino Linotype" w:eastAsia="Palatino Linotype" w:hAnsi="Palatino Linotype" w:cs="Palatino Linotype"/>
          <w:color w:val="000000"/>
        </w:rPr>
        <w:t>a través del Sistema de Acceso a la Información Mexiquense (SAIMEX), la solicitud de información pública registrada con el número</w:t>
      </w:r>
      <w:r w:rsidR="00764DD4" w:rsidRPr="00693CDC">
        <w:rPr>
          <w:rFonts w:ascii="Palatino Linotype" w:eastAsia="Palatino Linotype" w:hAnsi="Palatino Linotype" w:cs="Palatino Linotype"/>
          <w:b/>
          <w:color w:val="000000"/>
        </w:rPr>
        <w:t xml:space="preserve"> </w:t>
      </w:r>
      <w:r w:rsidRPr="00693CDC">
        <w:rPr>
          <w:rFonts w:ascii="Palatino Linotype" w:eastAsia="Palatino Linotype" w:hAnsi="Palatino Linotype" w:cs="Palatino Linotype"/>
          <w:b/>
          <w:bCs/>
          <w:color w:val="000000"/>
        </w:rPr>
        <w:t>00049/TLALNEPA/IP/2025</w:t>
      </w:r>
      <w:r w:rsidR="00764DD4" w:rsidRPr="00693CDC">
        <w:rPr>
          <w:rFonts w:ascii="Palatino Linotype" w:eastAsia="Palatino Linotype" w:hAnsi="Palatino Linotype" w:cs="Palatino Linotype"/>
          <w:b/>
          <w:color w:val="000000"/>
        </w:rPr>
        <w:t>,</w:t>
      </w:r>
      <w:r w:rsidR="00764DD4" w:rsidRPr="00693CDC">
        <w:rPr>
          <w:rFonts w:ascii="Palatino Linotype" w:eastAsia="Palatino Linotype" w:hAnsi="Palatino Linotype" w:cs="Palatino Linotype"/>
          <w:color w:val="000000"/>
        </w:rPr>
        <w:t xml:space="preserve"> mediante la cual requirió lo siguiente:</w:t>
      </w:r>
    </w:p>
    <w:p w:rsidR="00764DD4" w:rsidRPr="00693CDC" w:rsidRDefault="00764DD4" w:rsidP="00F752E9">
      <w:pPr>
        <w:pBdr>
          <w:top w:val="nil"/>
          <w:left w:val="nil"/>
          <w:bottom w:val="nil"/>
          <w:right w:val="nil"/>
          <w:between w:val="nil"/>
        </w:pBdr>
        <w:spacing w:line="276" w:lineRule="auto"/>
        <w:jc w:val="both"/>
        <w:rPr>
          <w:rFonts w:ascii="Palatino Linotype" w:eastAsia="Palatino Linotype" w:hAnsi="Palatino Linotype" w:cs="Palatino Linotype"/>
          <w:i/>
          <w:color w:val="000000"/>
        </w:rPr>
      </w:pPr>
    </w:p>
    <w:p w:rsidR="00764DD4" w:rsidRPr="00693CDC" w:rsidRDefault="00764DD4" w:rsidP="00F752E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93CDC">
        <w:rPr>
          <w:rFonts w:ascii="Palatino Linotype" w:eastAsia="Palatino Linotype" w:hAnsi="Palatino Linotype" w:cs="Palatino Linotype"/>
          <w:i/>
          <w:color w:val="000000"/>
        </w:rPr>
        <w:t>“</w:t>
      </w:r>
      <w:r w:rsidR="000D1B5A" w:rsidRPr="00693CDC">
        <w:rPr>
          <w:rFonts w:ascii="Palatino Linotype" w:eastAsia="Palatino Linotype" w:hAnsi="Palatino Linotype" w:cs="Palatino Linotype"/>
          <w:i/>
          <w:color w:val="000000"/>
        </w:rPr>
        <w:t>solicito de todos los contratos de obra pública que fueron celebrados durante el mes de enero a junio de 2022, la versión publica de las propuestas técnicas y económicas de las empresas ganadoras y que firmaron los contratos, lo anterior se solicita a efecto de privilegiar el acceso a la información pública, así como las actas de entrega recepción de dichas obras que fueron adjudicadas en los contratos de obra pública de los meses de enero a junio de 2022 y sus contratos de dichas fechas indicadas.</w:t>
      </w:r>
      <w:r w:rsidRPr="00693CDC">
        <w:rPr>
          <w:rFonts w:ascii="Palatino Linotype" w:eastAsia="Palatino Linotype" w:hAnsi="Palatino Linotype" w:cs="Palatino Linotype"/>
          <w:i/>
          <w:color w:val="000000"/>
        </w:rPr>
        <w:t>”</w:t>
      </w:r>
    </w:p>
    <w:p w:rsidR="00764DD4" w:rsidRPr="00693CDC" w:rsidRDefault="00764DD4" w:rsidP="00F752E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64DD4" w:rsidRPr="00693CDC" w:rsidRDefault="00764DD4"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lastRenderedPageBreak/>
        <w:t xml:space="preserve">Modalidad de entrega: A través del SAIMEX. </w:t>
      </w:r>
    </w:p>
    <w:p w:rsidR="00764DD4" w:rsidRPr="00693CDC" w:rsidRDefault="00764DD4" w:rsidP="00F752E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64DD4" w:rsidRPr="00693CDC" w:rsidRDefault="00764DD4" w:rsidP="00F752E9">
      <w:pPr>
        <w:pStyle w:val="Prrafodelista"/>
        <w:ind w:left="0"/>
        <w:rPr>
          <w:rFonts w:ascii="Palatino Linotype" w:eastAsia="Palatino Linotype" w:hAnsi="Palatino Linotype" w:cs="Palatino Linotype"/>
          <w:color w:val="000000"/>
        </w:rPr>
      </w:pPr>
    </w:p>
    <w:p w:rsidR="00764DD4" w:rsidRPr="00693CDC" w:rsidRDefault="000D1B5A"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 xml:space="preserve">El </w:t>
      </w:r>
      <w:r w:rsidRPr="00693CDC">
        <w:rPr>
          <w:rFonts w:ascii="Palatino Linotype" w:eastAsia="Palatino Linotype" w:hAnsi="Palatino Linotype" w:cs="Palatino Linotype"/>
          <w:b/>
          <w:color w:val="000000"/>
        </w:rPr>
        <w:t>seis de febrero de dos mil veinticinco</w:t>
      </w:r>
      <w:r w:rsidR="00764DD4" w:rsidRPr="00693CDC">
        <w:rPr>
          <w:rFonts w:ascii="Palatino Linotype" w:eastAsia="Palatino Linotype" w:hAnsi="Palatino Linotype" w:cs="Palatino Linotype"/>
          <w:color w:val="000000"/>
        </w:rPr>
        <w:t>, el Sujeto Obligado dio respuesta a la solicitud en los siguientes términos:</w:t>
      </w:r>
    </w:p>
    <w:p w:rsidR="00764DD4" w:rsidRPr="00693CDC" w:rsidRDefault="00764DD4" w:rsidP="00F752E9">
      <w:pPr>
        <w:pBdr>
          <w:top w:val="nil"/>
          <w:left w:val="nil"/>
          <w:bottom w:val="nil"/>
          <w:right w:val="nil"/>
          <w:between w:val="nil"/>
        </w:pBdr>
        <w:rPr>
          <w:rFonts w:ascii="Palatino Linotype" w:eastAsia="Palatino Linotype" w:hAnsi="Palatino Linotype" w:cs="Palatino Linotype"/>
          <w:color w:val="000000"/>
        </w:rPr>
      </w:pPr>
    </w:p>
    <w:tbl>
      <w:tblPr>
        <w:tblW w:w="7762" w:type="dxa"/>
        <w:jc w:val="center"/>
        <w:tblCellSpacing w:w="0" w:type="dxa"/>
        <w:tblCellMar>
          <w:left w:w="0" w:type="dxa"/>
          <w:right w:w="0" w:type="dxa"/>
        </w:tblCellMar>
        <w:tblLook w:val="04A0" w:firstRow="1" w:lastRow="0" w:firstColumn="1" w:lastColumn="0" w:noHBand="0" w:noVBand="1"/>
      </w:tblPr>
      <w:tblGrid>
        <w:gridCol w:w="7762"/>
      </w:tblGrid>
      <w:tr w:rsidR="000D1B5A" w:rsidRPr="00693CDC" w:rsidTr="000D1B5A">
        <w:trPr>
          <w:trHeight w:val="321"/>
          <w:tblCellSpacing w:w="0" w:type="dxa"/>
          <w:jc w:val="center"/>
        </w:trPr>
        <w:tc>
          <w:tcPr>
            <w:tcW w:w="0" w:type="auto"/>
            <w:vAlign w:val="center"/>
            <w:hideMark/>
          </w:tcPr>
          <w:p w:rsidR="000D1B5A" w:rsidRPr="00693CDC" w:rsidRDefault="000D1B5A" w:rsidP="00F752E9">
            <w:pPr>
              <w:spacing w:line="360" w:lineRule="auto"/>
              <w:jc w:val="right"/>
              <w:rPr>
                <w:rFonts w:ascii="Palatino Linotype" w:eastAsia="Times New Roman" w:hAnsi="Palatino Linotype" w:cs="Times New Roman"/>
                <w:i/>
              </w:rPr>
            </w:pPr>
            <w:r w:rsidRPr="00693CDC">
              <w:rPr>
                <w:rFonts w:ascii="Palatino Linotype" w:eastAsia="Times New Roman" w:hAnsi="Palatino Linotype" w:cs="Times New Roman"/>
                <w:i/>
              </w:rPr>
              <w:t>Tlalnepantla de Baz, México a 06 de Febrero de 2025</w:t>
            </w:r>
          </w:p>
        </w:tc>
      </w:tr>
      <w:tr w:rsidR="000D1B5A" w:rsidRPr="00693CDC" w:rsidTr="000D1B5A">
        <w:trPr>
          <w:trHeight w:val="321"/>
          <w:tblCellSpacing w:w="0" w:type="dxa"/>
          <w:jc w:val="center"/>
        </w:trPr>
        <w:tc>
          <w:tcPr>
            <w:tcW w:w="0" w:type="auto"/>
            <w:vAlign w:val="center"/>
            <w:hideMark/>
          </w:tcPr>
          <w:p w:rsidR="000D1B5A" w:rsidRPr="00693CDC" w:rsidRDefault="000D1B5A" w:rsidP="00F752E9">
            <w:pPr>
              <w:spacing w:line="360" w:lineRule="auto"/>
              <w:jc w:val="right"/>
              <w:rPr>
                <w:rFonts w:ascii="Palatino Linotype" w:eastAsia="Times New Roman" w:hAnsi="Palatino Linotype" w:cs="Times New Roman"/>
                <w:i/>
              </w:rPr>
            </w:pPr>
            <w:r w:rsidRPr="00693CDC">
              <w:rPr>
                <w:rFonts w:ascii="Palatino Linotype" w:eastAsia="Times New Roman" w:hAnsi="Palatino Linotype" w:cs="Times New Roman"/>
                <w:i/>
              </w:rPr>
              <w:t>Nombre del solicitante: C. Solicitante</w:t>
            </w:r>
          </w:p>
        </w:tc>
      </w:tr>
      <w:tr w:rsidR="000D1B5A" w:rsidRPr="00693CDC" w:rsidTr="000D1B5A">
        <w:trPr>
          <w:trHeight w:val="321"/>
          <w:tblCellSpacing w:w="0" w:type="dxa"/>
          <w:jc w:val="center"/>
        </w:trPr>
        <w:tc>
          <w:tcPr>
            <w:tcW w:w="0" w:type="auto"/>
            <w:vAlign w:val="center"/>
            <w:hideMark/>
          </w:tcPr>
          <w:p w:rsidR="000D1B5A" w:rsidRPr="00693CDC" w:rsidRDefault="000D1B5A" w:rsidP="00F752E9">
            <w:pPr>
              <w:spacing w:line="360" w:lineRule="auto"/>
              <w:jc w:val="right"/>
              <w:rPr>
                <w:rFonts w:ascii="Palatino Linotype" w:eastAsia="Times New Roman" w:hAnsi="Palatino Linotype" w:cs="Times New Roman"/>
                <w:i/>
              </w:rPr>
            </w:pPr>
            <w:r w:rsidRPr="00693CDC">
              <w:rPr>
                <w:rFonts w:ascii="Palatino Linotype" w:eastAsia="Times New Roman" w:hAnsi="Palatino Linotype" w:cs="Times New Roman"/>
                <w:i/>
              </w:rPr>
              <w:t>Folio de la solicitud: 00049/TLALNEPA/IP/2025</w:t>
            </w:r>
          </w:p>
        </w:tc>
      </w:tr>
      <w:tr w:rsidR="000D1B5A" w:rsidRPr="00693CDC" w:rsidTr="000D1B5A">
        <w:trPr>
          <w:trHeight w:val="481"/>
          <w:tblCellSpacing w:w="0" w:type="dxa"/>
          <w:jc w:val="center"/>
        </w:trPr>
        <w:tc>
          <w:tcPr>
            <w:tcW w:w="0" w:type="auto"/>
            <w:vAlign w:val="center"/>
            <w:hideMark/>
          </w:tcPr>
          <w:p w:rsidR="000D1B5A" w:rsidRPr="00693CDC" w:rsidRDefault="000D1B5A" w:rsidP="00F752E9">
            <w:pPr>
              <w:spacing w:line="360" w:lineRule="auto"/>
              <w:jc w:val="right"/>
              <w:rPr>
                <w:rFonts w:ascii="Palatino Linotype" w:eastAsia="Times New Roman" w:hAnsi="Palatino Linotype" w:cs="Times New Roman"/>
                <w:i/>
              </w:rPr>
            </w:pPr>
          </w:p>
        </w:tc>
      </w:tr>
      <w:tr w:rsidR="000D1B5A" w:rsidRPr="00693CDC" w:rsidTr="000D1B5A">
        <w:trPr>
          <w:trHeight w:val="160"/>
          <w:tblCellSpacing w:w="0" w:type="dxa"/>
          <w:jc w:val="center"/>
        </w:trPr>
        <w:tc>
          <w:tcPr>
            <w:tcW w:w="0" w:type="auto"/>
            <w:vAlign w:val="center"/>
            <w:hideMark/>
          </w:tcPr>
          <w:p w:rsidR="000D1B5A" w:rsidRPr="00693CDC" w:rsidRDefault="000D1B5A" w:rsidP="00F752E9">
            <w:pPr>
              <w:spacing w:line="360" w:lineRule="auto"/>
              <w:jc w:val="center"/>
              <w:rPr>
                <w:rFonts w:ascii="Palatino Linotype" w:eastAsia="Times New Roman" w:hAnsi="Palatino Linotype" w:cs="Times New Roman"/>
                <w:i/>
              </w:rPr>
            </w:pPr>
          </w:p>
        </w:tc>
      </w:tr>
      <w:tr w:rsidR="000D1B5A" w:rsidRPr="00693CDC" w:rsidTr="000D1B5A">
        <w:trPr>
          <w:trHeight w:val="401"/>
          <w:tblCellSpacing w:w="0" w:type="dxa"/>
          <w:jc w:val="center"/>
        </w:trPr>
        <w:tc>
          <w:tcPr>
            <w:tcW w:w="0" w:type="auto"/>
            <w:vAlign w:val="center"/>
            <w:hideMark/>
          </w:tcPr>
          <w:p w:rsidR="000D1B5A" w:rsidRPr="00693CDC" w:rsidRDefault="000D1B5A" w:rsidP="00F752E9">
            <w:pPr>
              <w:spacing w:line="360" w:lineRule="auto"/>
              <w:rPr>
                <w:rFonts w:ascii="Palatino Linotype" w:eastAsia="Times New Roman" w:hAnsi="Palatino Linotype" w:cs="Times New Roman"/>
                <w:i/>
              </w:rPr>
            </w:pPr>
          </w:p>
        </w:tc>
      </w:tr>
      <w:tr w:rsidR="000D1B5A" w:rsidRPr="00693CDC" w:rsidTr="000D1B5A">
        <w:trPr>
          <w:trHeight w:val="160"/>
          <w:tblCellSpacing w:w="0" w:type="dxa"/>
          <w:jc w:val="center"/>
        </w:trPr>
        <w:tc>
          <w:tcPr>
            <w:tcW w:w="0" w:type="auto"/>
            <w:vAlign w:val="center"/>
            <w:hideMark/>
          </w:tcPr>
          <w:p w:rsidR="000D1B5A" w:rsidRPr="00693CDC" w:rsidRDefault="000D1B5A" w:rsidP="00F752E9">
            <w:pPr>
              <w:spacing w:line="360" w:lineRule="auto"/>
              <w:jc w:val="both"/>
              <w:rPr>
                <w:rFonts w:ascii="Palatino Linotype" w:eastAsia="Times New Roman" w:hAnsi="Palatino Linotype" w:cs="Times New Roman"/>
                <w:i/>
              </w:rPr>
            </w:pPr>
            <w:r w:rsidRPr="00693CDC">
              <w:rPr>
                <w:rFonts w:ascii="Palatino Linotype" w:eastAsia="Times New Roman" w:hAnsi="Palatino Linotype" w:cs="Times New Roman"/>
                <w:i/>
              </w:rPr>
              <w:t xml:space="preserve">AQUIEN </w:t>
            </w:r>
            <w:proofErr w:type="gramStart"/>
            <w:r w:rsidRPr="00693CDC">
              <w:rPr>
                <w:rFonts w:ascii="Palatino Linotype" w:eastAsia="Times New Roman" w:hAnsi="Palatino Linotype" w:cs="Times New Roman"/>
                <w:i/>
              </w:rPr>
              <w:t>CORRESPONDA .</w:t>
            </w:r>
            <w:proofErr w:type="gramEnd"/>
            <w:r w:rsidRPr="00693CDC">
              <w:rPr>
                <w:rFonts w:ascii="Palatino Linotype" w:eastAsia="Times New Roman" w:hAnsi="Palatino Linotype" w:cs="Times New Roman"/>
                <w:i/>
              </w:rPr>
              <w:t xml:space="preserve"> P R E S E N T E. 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tc>
      </w:tr>
      <w:tr w:rsidR="000D1B5A" w:rsidRPr="00693CDC" w:rsidTr="000D1B5A">
        <w:trPr>
          <w:trHeight w:val="401"/>
          <w:tblCellSpacing w:w="0" w:type="dxa"/>
          <w:jc w:val="center"/>
        </w:trPr>
        <w:tc>
          <w:tcPr>
            <w:tcW w:w="0" w:type="auto"/>
            <w:vAlign w:val="center"/>
            <w:hideMark/>
          </w:tcPr>
          <w:p w:rsidR="000D1B5A" w:rsidRPr="00693CDC" w:rsidRDefault="000D1B5A" w:rsidP="00F752E9">
            <w:pPr>
              <w:spacing w:line="360" w:lineRule="auto"/>
              <w:rPr>
                <w:rFonts w:ascii="Palatino Linotype" w:eastAsia="Times New Roman" w:hAnsi="Palatino Linotype" w:cs="Times New Roman"/>
                <w:i/>
              </w:rPr>
            </w:pPr>
          </w:p>
        </w:tc>
      </w:tr>
      <w:tr w:rsidR="000D1B5A" w:rsidRPr="00693CDC" w:rsidTr="000D1B5A">
        <w:trPr>
          <w:trHeight w:val="160"/>
          <w:tblCellSpacing w:w="0" w:type="dxa"/>
          <w:jc w:val="center"/>
        </w:trPr>
        <w:tc>
          <w:tcPr>
            <w:tcW w:w="0" w:type="auto"/>
            <w:vAlign w:val="center"/>
            <w:hideMark/>
          </w:tcPr>
          <w:p w:rsidR="000D1B5A" w:rsidRPr="00693CDC" w:rsidRDefault="000D1B5A" w:rsidP="00F752E9">
            <w:pPr>
              <w:spacing w:line="360" w:lineRule="auto"/>
              <w:jc w:val="center"/>
              <w:rPr>
                <w:rFonts w:ascii="Palatino Linotype" w:eastAsia="Times New Roman" w:hAnsi="Palatino Linotype" w:cs="Times New Roman"/>
                <w:i/>
              </w:rPr>
            </w:pPr>
          </w:p>
        </w:tc>
      </w:tr>
      <w:tr w:rsidR="000D1B5A" w:rsidRPr="00693CDC" w:rsidTr="000D1B5A">
        <w:trPr>
          <w:trHeight w:val="160"/>
          <w:tblCellSpacing w:w="0" w:type="dxa"/>
          <w:jc w:val="center"/>
        </w:trPr>
        <w:tc>
          <w:tcPr>
            <w:tcW w:w="0" w:type="auto"/>
            <w:vAlign w:val="center"/>
            <w:hideMark/>
          </w:tcPr>
          <w:p w:rsidR="000D1B5A" w:rsidRPr="00693CDC" w:rsidRDefault="000D1B5A" w:rsidP="00F752E9">
            <w:pPr>
              <w:spacing w:line="360" w:lineRule="auto"/>
              <w:rPr>
                <w:rFonts w:ascii="Palatino Linotype" w:eastAsia="Times New Roman" w:hAnsi="Palatino Linotype" w:cs="Times New Roman"/>
                <w:i/>
              </w:rPr>
            </w:pPr>
          </w:p>
        </w:tc>
      </w:tr>
      <w:tr w:rsidR="000D1B5A" w:rsidRPr="00693CDC" w:rsidTr="000D1B5A">
        <w:trPr>
          <w:trHeight w:val="160"/>
          <w:tblCellSpacing w:w="0" w:type="dxa"/>
          <w:jc w:val="center"/>
        </w:trPr>
        <w:tc>
          <w:tcPr>
            <w:tcW w:w="0" w:type="auto"/>
            <w:vAlign w:val="center"/>
            <w:hideMark/>
          </w:tcPr>
          <w:p w:rsidR="000D1B5A" w:rsidRPr="00693CDC" w:rsidRDefault="000D1B5A" w:rsidP="00F752E9">
            <w:pPr>
              <w:spacing w:line="360" w:lineRule="auto"/>
              <w:rPr>
                <w:rFonts w:ascii="Palatino Linotype" w:eastAsia="Times New Roman" w:hAnsi="Palatino Linotype" w:cs="Times New Roman"/>
                <w:i/>
              </w:rPr>
            </w:pPr>
            <w:r w:rsidRPr="00693CDC">
              <w:rPr>
                <w:rFonts w:ascii="Palatino Linotype" w:eastAsia="Times New Roman" w:hAnsi="Palatino Linotype" w:cs="Times New Roman"/>
                <w:i/>
              </w:rPr>
              <w:t>ATENTAMENTE</w:t>
            </w:r>
          </w:p>
        </w:tc>
      </w:tr>
      <w:tr w:rsidR="000D1B5A" w:rsidRPr="00693CDC" w:rsidTr="000D1B5A">
        <w:trPr>
          <w:trHeight w:val="240"/>
          <w:tblCellSpacing w:w="0" w:type="dxa"/>
          <w:jc w:val="center"/>
        </w:trPr>
        <w:tc>
          <w:tcPr>
            <w:tcW w:w="0" w:type="auto"/>
            <w:vAlign w:val="center"/>
            <w:hideMark/>
          </w:tcPr>
          <w:p w:rsidR="000D1B5A" w:rsidRPr="00693CDC" w:rsidRDefault="000D1B5A" w:rsidP="00F752E9">
            <w:pPr>
              <w:spacing w:line="360" w:lineRule="auto"/>
              <w:rPr>
                <w:rFonts w:ascii="Palatino Linotype" w:eastAsia="Times New Roman" w:hAnsi="Palatino Linotype" w:cs="Times New Roman"/>
                <w:i/>
              </w:rPr>
            </w:pPr>
          </w:p>
        </w:tc>
      </w:tr>
      <w:tr w:rsidR="000D1B5A" w:rsidRPr="00693CDC" w:rsidTr="000D1B5A">
        <w:trPr>
          <w:trHeight w:val="160"/>
          <w:tblCellSpacing w:w="0" w:type="dxa"/>
          <w:jc w:val="center"/>
        </w:trPr>
        <w:tc>
          <w:tcPr>
            <w:tcW w:w="0" w:type="auto"/>
            <w:vAlign w:val="center"/>
            <w:hideMark/>
          </w:tcPr>
          <w:p w:rsidR="000D1B5A" w:rsidRPr="00693CDC" w:rsidRDefault="000D1B5A" w:rsidP="00F752E9">
            <w:pPr>
              <w:spacing w:line="360" w:lineRule="auto"/>
              <w:rPr>
                <w:rFonts w:ascii="Palatino Linotype" w:eastAsia="Times New Roman" w:hAnsi="Palatino Linotype" w:cs="Times New Roman"/>
                <w:i/>
              </w:rPr>
            </w:pPr>
            <w:r w:rsidRPr="00693CDC">
              <w:rPr>
                <w:rFonts w:ascii="Palatino Linotype" w:eastAsia="Times New Roman" w:hAnsi="Palatino Linotype" w:cs="Times New Roman"/>
                <w:i/>
              </w:rPr>
              <w:lastRenderedPageBreak/>
              <w:t>C. LIZETTA CHAVEZ SANTIAGO</w:t>
            </w:r>
          </w:p>
        </w:tc>
      </w:tr>
    </w:tbl>
    <w:p w:rsidR="00764DD4" w:rsidRPr="00693CDC" w:rsidRDefault="00764DD4" w:rsidP="00F752E9">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p>
    <w:p w:rsidR="00764DD4" w:rsidRPr="00693CDC" w:rsidRDefault="00764DD4" w:rsidP="00F752E9">
      <w:pPr>
        <w:pBdr>
          <w:top w:val="nil"/>
          <w:left w:val="nil"/>
          <w:bottom w:val="nil"/>
          <w:right w:val="nil"/>
          <w:between w:val="nil"/>
        </w:pBdr>
        <w:tabs>
          <w:tab w:val="left" w:pos="284"/>
          <w:tab w:val="left" w:pos="426"/>
        </w:tabs>
        <w:spacing w:line="360" w:lineRule="auto"/>
        <w:jc w:val="both"/>
        <w:rPr>
          <w:rFonts w:ascii="Palatino Linotype" w:hAnsi="Palatino Linotype"/>
        </w:rPr>
      </w:pPr>
    </w:p>
    <w:p w:rsidR="000D1B5A" w:rsidRPr="00693CDC" w:rsidRDefault="000D1B5A" w:rsidP="00F752E9">
      <w:pPr>
        <w:pStyle w:val="Prrafodelista"/>
        <w:numPr>
          <w:ilvl w:val="0"/>
          <w:numId w:val="4"/>
        </w:numPr>
        <w:pBdr>
          <w:top w:val="nil"/>
          <w:left w:val="nil"/>
          <w:bottom w:val="nil"/>
          <w:right w:val="nil"/>
          <w:between w:val="nil"/>
        </w:pBdr>
        <w:tabs>
          <w:tab w:val="left" w:pos="284"/>
          <w:tab w:val="left" w:pos="426"/>
        </w:tabs>
        <w:spacing w:line="360" w:lineRule="auto"/>
        <w:ind w:left="0"/>
        <w:jc w:val="both"/>
        <w:rPr>
          <w:rFonts w:ascii="Palatino Linotype" w:hAnsi="Palatino Linotype"/>
        </w:rPr>
      </w:pPr>
      <w:r w:rsidRPr="00693CDC">
        <w:rPr>
          <w:rFonts w:ascii="Palatino Linotype" w:hAnsi="Palatino Linotype"/>
        </w:rPr>
        <w:t xml:space="preserve">A la respuesta se adjuntó el archivo electrónico denominado </w:t>
      </w:r>
      <w:hyperlink r:id="rId7" w:tgtFrame="_blank" w:history="1">
        <w:r w:rsidRPr="00693CDC">
          <w:rPr>
            <w:rStyle w:val="Hipervnculo"/>
            <w:rFonts w:ascii="Palatino Linotype" w:hAnsi="Palatino Linotype" w:cs="Arial"/>
            <w:b/>
            <w:bCs/>
            <w:color w:val="auto"/>
          </w:rPr>
          <w:t xml:space="preserve">respuesta </w:t>
        </w:r>
        <w:proofErr w:type="spellStart"/>
        <w:r w:rsidRPr="00693CDC">
          <w:rPr>
            <w:rStyle w:val="Hipervnculo"/>
            <w:rFonts w:ascii="Palatino Linotype" w:hAnsi="Palatino Linotype" w:cs="Arial"/>
            <w:b/>
            <w:bCs/>
            <w:color w:val="auto"/>
          </w:rPr>
          <w:t>saimex</w:t>
        </w:r>
        <w:proofErr w:type="spellEnd"/>
        <w:r w:rsidRPr="00693CDC">
          <w:rPr>
            <w:rStyle w:val="Hipervnculo"/>
            <w:rFonts w:ascii="Palatino Linotype" w:hAnsi="Palatino Linotype" w:cs="Arial"/>
            <w:b/>
            <w:bCs/>
            <w:color w:val="auto"/>
          </w:rPr>
          <w:t xml:space="preserve"> 49.zip</w:t>
        </w:r>
      </w:hyperlink>
      <w:r w:rsidRPr="00693CDC">
        <w:rPr>
          <w:rFonts w:ascii="Palatino Linotype" w:hAnsi="Palatino Linotype"/>
        </w:rPr>
        <w:t>, en el que se advierte la información que se describe enseguida:</w:t>
      </w:r>
    </w:p>
    <w:p w:rsidR="000D1B5A" w:rsidRPr="00693CDC" w:rsidRDefault="000D1B5A" w:rsidP="00F752E9">
      <w:pPr>
        <w:pBdr>
          <w:top w:val="nil"/>
          <w:left w:val="nil"/>
          <w:bottom w:val="nil"/>
          <w:right w:val="nil"/>
          <w:between w:val="nil"/>
        </w:pBdr>
        <w:tabs>
          <w:tab w:val="left" w:pos="284"/>
          <w:tab w:val="left" w:pos="426"/>
        </w:tabs>
        <w:spacing w:line="360" w:lineRule="auto"/>
        <w:jc w:val="both"/>
        <w:rPr>
          <w:rFonts w:ascii="Palatino Linotype" w:hAnsi="Palatino Linotype"/>
        </w:rPr>
      </w:pPr>
    </w:p>
    <w:p w:rsidR="000D1B5A" w:rsidRPr="00693CDC" w:rsidRDefault="00AC264C" w:rsidP="00F752E9">
      <w:pPr>
        <w:pStyle w:val="Prrafodelista"/>
        <w:numPr>
          <w:ilvl w:val="0"/>
          <w:numId w:val="5"/>
        </w:numPr>
        <w:pBdr>
          <w:top w:val="nil"/>
          <w:left w:val="nil"/>
          <w:bottom w:val="nil"/>
          <w:right w:val="nil"/>
          <w:between w:val="nil"/>
        </w:pBdr>
        <w:tabs>
          <w:tab w:val="left" w:pos="284"/>
          <w:tab w:val="left" w:pos="426"/>
        </w:tabs>
        <w:spacing w:line="360" w:lineRule="auto"/>
        <w:ind w:left="0" w:firstLine="0"/>
        <w:jc w:val="both"/>
        <w:rPr>
          <w:rFonts w:ascii="Palatino Linotype" w:hAnsi="Palatino Linotype"/>
        </w:rPr>
      </w:pPr>
      <w:r w:rsidRPr="00693CDC">
        <w:rPr>
          <w:rFonts w:ascii="Palatino Linotype" w:hAnsi="Palatino Linotype"/>
          <w:b/>
        </w:rPr>
        <w:t>16-CT-05-ORD-2025.pdf</w:t>
      </w:r>
      <w:r w:rsidRPr="00693CDC">
        <w:rPr>
          <w:rFonts w:ascii="Palatino Linotype" w:hAnsi="Palatino Linotype"/>
        </w:rPr>
        <w:t>:</w:t>
      </w:r>
      <w:r w:rsidR="00C858C8" w:rsidRPr="00693CDC">
        <w:rPr>
          <w:rFonts w:ascii="Palatino Linotype" w:hAnsi="Palatino Linotype"/>
        </w:rPr>
        <w:t xml:space="preserve"> Acuerdo 16/CT/05-ORD/2025 de la Quinta Sesión Ordinaria, del Comité de Transparencia en el que se aprobó el cambio de modalidad en el entrega de la información a consulta directa. </w:t>
      </w:r>
    </w:p>
    <w:p w:rsidR="00F752E9" w:rsidRPr="00693CDC" w:rsidRDefault="00F752E9" w:rsidP="00F752E9">
      <w:pPr>
        <w:pStyle w:val="Prrafodelista"/>
        <w:pBdr>
          <w:top w:val="nil"/>
          <w:left w:val="nil"/>
          <w:bottom w:val="nil"/>
          <w:right w:val="nil"/>
          <w:between w:val="nil"/>
        </w:pBdr>
        <w:tabs>
          <w:tab w:val="left" w:pos="284"/>
          <w:tab w:val="left" w:pos="426"/>
        </w:tabs>
        <w:spacing w:line="360" w:lineRule="auto"/>
        <w:ind w:left="0"/>
        <w:jc w:val="both"/>
        <w:rPr>
          <w:rFonts w:ascii="Palatino Linotype" w:hAnsi="Palatino Linotype"/>
        </w:rPr>
      </w:pPr>
    </w:p>
    <w:p w:rsidR="00AC264C" w:rsidRPr="00693CDC" w:rsidRDefault="00C858C8" w:rsidP="00F752E9">
      <w:pPr>
        <w:pStyle w:val="Prrafodelista"/>
        <w:numPr>
          <w:ilvl w:val="0"/>
          <w:numId w:val="5"/>
        </w:numPr>
        <w:pBdr>
          <w:top w:val="nil"/>
          <w:left w:val="nil"/>
          <w:bottom w:val="nil"/>
          <w:right w:val="nil"/>
          <w:between w:val="nil"/>
        </w:pBdr>
        <w:tabs>
          <w:tab w:val="left" w:pos="284"/>
          <w:tab w:val="left" w:pos="426"/>
        </w:tabs>
        <w:spacing w:line="360" w:lineRule="auto"/>
        <w:ind w:left="0" w:firstLine="0"/>
        <w:jc w:val="both"/>
        <w:rPr>
          <w:rFonts w:ascii="Palatino Linotype" w:hAnsi="Palatino Linotype"/>
        </w:rPr>
      </w:pPr>
      <w:r w:rsidRPr="00693CDC">
        <w:rPr>
          <w:rFonts w:ascii="Palatino Linotype" w:hAnsi="Palatino Linotype"/>
          <w:b/>
        </w:rPr>
        <w:t xml:space="preserve">Respuesta </w:t>
      </w:r>
      <w:proofErr w:type="spellStart"/>
      <w:r w:rsidRPr="00693CDC">
        <w:rPr>
          <w:rFonts w:ascii="Palatino Linotype" w:hAnsi="Palatino Linotype"/>
          <w:b/>
        </w:rPr>
        <w:t>saimex</w:t>
      </w:r>
      <w:proofErr w:type="spellEnd"/>
      <w:r w:rsidRPr="00693CDC">
        <w:rPr>
          <w:rFonts w:ascii="Palatino Linotype" w:hAnsi="Palatino Linotype"/>
          <w:b/>
        </w:rPr>
        <w:t xml:space="preserve"> 49.pdf</w:t>
      </w:r>
      <w:r w:rsidRPr="00693CDC">
        <w:rPr>
          <w:rFonts w:ascii="Palatino Linotype" w:hAnsi="Palatino Linotype"/>
        </w:rPr>
        <w:t>: oficio TLA/DIU/CJ/010/2025</w:t>
      </w:r>
      <w:r w:rsidR="006D11B2" w:rsidRPr="00693CDC">
        <w:rPr>
          <w:rFonts w:ascii="Palatino Linotype" w:hAnsi="Palatino Linotype"/>
        </w:rPr>
        <w:t xml:space="preserve"> de fecha seis de febrero de dos</w:t>
      </w:r>
      <w:r w:rsidRPr="00693CDC">
        <w:rPr>
          <w:rFonts w:ascii="Palatino Linotype" w:hAnsi="Palatino Linotype"/>
        </w:rPr>
        <w:t xml:space="preserve"> mil veinticinco</w:t>
      </w:r>
      <w:r w:rsidR="006D11B2" w:rsidRPr="00693CDC">
        <w:rPr>
          <w:rFonts w:ascii="Palatino Linotype" w:hAnsi="Palatino Linotype"/>
        </w:rPr>
        <w:t xml:space="preserve">, suscrito por el servidor público habilitado en el que señaló que la información solicitada es de aproximadamente 11.12 GB y sobrepasa las capacidades técnicas del SAIMEX, por lo que solicitó el cambio de modalidad en la entrega de la información a consulta directa. </w:t>
      </w:r>
    </w:p>
    <w:p w:rsidR="000D1B5A" w:rsidRPr="00693CDC" w:rsidRDefault="000D1B5A" w:rsidP="00F752E9">
      <w:pPr>
        <w:pBdr>
          <w:top w:val="nil"/>
          <w:left w:val="nil"/>
          <w:bottom w:val="nil"/>
          <w:right w:val="nil"/>
          <w:between w:val="nil"/>
        </w:pBdr>
        <w:tabs>
          <w:tab w:val="left" w:pos="284"/>
          <w:tab w:val="left" w:pos="426"/>
        </w:tabs>
        <w:spacing w:line="360" w:lineRule="auto"/>
        <w:jc w:val="both"/>
        <w:rPr>
          <w:rFonts w:ascii="Palatino Linotype" w:hAnsi="Palatino Linotype"/>
        </w:rPr>
      </w:pPr>
    </w:p>
    <w:p w:rsidR="00764DD4" w:rsidRPr="00693CDC" w:rsidRDefault="00764DD4" w:rsidP="00F752E9">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 xml:space="preserve">Derivado de la respuesta emitida por el </w:t>
      </w:r>
      <w:r w:rsidRPr="00693CDC">
        <w:rPr>
          <w:rFonts w:ascii="Palatino Linotype" w:eastAsia="Palatino Linotype" w:hAnsi="Palatino Linotype" w:cs="Palatino Linotype"/>
          <w:b/>
          <w:color w:val="000000"/>
        </w:rPr>
        <w:t>SUJETO OBLIGADO</w:t>
      </w:r>
      <w:r w:rsidRPr="00693CDC">
        <w:rPr>
          <w:rFonts w:ascii="Palatino Linotype" w:eastAsia="Palatino Linotype" w:hAnsi="Palatino Linotype" w:cs="Palatino Linotype"/>
          <w:color w:val="000000"/>
        </w:rPr>
        <w:t xml:space="preserve">, el </w:t>
      </w:r>
      <w:r w:rsidR="008F0FBA" w:rsidRPr="00693CDC">
        <w:rPr>
          <w:rFonts w:ascii="Palatino Linotype" w:eastAsia="Palatino Linotype" w:hAnsi="Palatino Linotype" w:cs="Palatino Linotype"/>
          <w:color w:val="000000"/>
        </w:rPr>
        <w:t>siete de febrero de dos mil veinticinc</w:t>
      </w:r>
      <w:r w:rsidRPr="00693CDC">
        <w:rPr>
          <w:rFonts w:ascii="Palatino Linotype" w:eastAsia="Palatino Linotype" w:hAnsi="Palatino Linotype" w:cs="Palatino Linotype"/>
          <w:color w:val="000000"/>
        </w:rPr>
        <w:t>o, la particular interpuso el recurso de revisión en el que refirió lo siguiente:</w:t>
      </w:r>
    </w:p>
    <w:p w:rsidR="00764DD4" w:rsidRPr="00693CDC" w:rsidRDefault="00764DD4" w:rsidP="00F752E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64DD4" w:rsidRPr="00693CDC" w:rsidRDefault="00764DD4"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b/>
          <w:color w:val="000000"/>
        </w:rPr>
        <w:t>Acto impugnado:</w:t>
      </w:r>
      <w:r w:rsidRPr="00693CDC">
        <w:rPr>
          <w:rFonts w:ascii="Palatino Linotype" w:eastAsia="Palatino Linotype" w:hAnsi="Palatino Linotype" w:cs="Palatino Linotype"/>
          <w:color w:val="000000"/>
        </w:rPr>
        <w:t xml:space="preserve"> “</w:t>
      </w:r>
      <w:r w:rsidR="008F0FBA" w:rsidRPr="00693CDC">
        <w:rPr>
          <w:rFonts w:ascii="Palatino Linotype" w:eastAsia="Palatino Linotype" w:hAnsi="Palatino Linotype" w:cs="Palatino Linotype"/>
          <w:i/>
          <w:color w:val="000000"/>
        </w:rPr>
        <w:t xml:space="preserve">la falta de transparencia y </w:t>
      </w:r>
      <w:proofErr w:type="spellStart"/>
      <w:r w:rsidR="008F0FBA" w:rsidRPr="00693CDC">
        <w:rPr>
          <w:rFonts w:ascii="Palatino Linotype" w:eastAsia="Palatino Linotype" w:hAnsi="Palatino Linotype" w:cs="Palatino Linotype"/>
          <w:i/>
          <w:color w:val="000000"/>
        </w:rPr>
        <w:t>rendicion</w:t>
      </w:r>
      <w:proofErr w:type="spellEnd"/>
      <w:r w:rsidR="008F0FBA" w:rsidRPr="00693CDC">
        <w:rPr>
          <w:rFonts w:ascii="Palatino Linotype" w:eastAsia="Palatino Linotype" w:hAnsi="Palatino Linotype" w:cs="Palatino Linotype"/>
          <w:i/>
          <w:color w:val="000000"/>
        </w:rPr>
        <w:t xml:space="preserve"> de cuentas de este gobierno </w:t>
      </w:r>
      <w:proofErr w:type="spellStart"/>
      <w:r w:rsidR="008F0FBA" w:rsidRPr="00693CDC">
        <w:rPr>
          <w:rFonts w:ascii="Palatino Linotype" w:eastAsia="Palatino Linotype" w:hAnsi="Palatino Linotype" w:cs="Palatino Linotype"/>
          <w:i/>
          <w:color w:val="000000"/>
        </w:rPr>
        <w:t>muniicpal</w:t>
      </w:r>
      <w:proofErr w:type="spellEnd"/>
      <w:r w:rsidR="008F0FBA" w:rsidRPr="00693CDC">
        <w:rPr>
          <w:rFonts w:ascii="Palatino Linotype" w:eastAsia="Palatino Linotype" w:hAnsi="Palatino Linotype" w:cs="Palatino Linotype"/>
          <w:i/>
          <w:color w:val="000000"/>
        </w:rPr>
        <w:t xml:space="preserve">, </w:t>
      </w:r>
      <w:proofErr w:type="spellStart"/>
      <w:r w:rsidR="008F0FBA" w:rsidRPr="00693CDC">
        <w:rPr>
          <w:rFonts w:ascii="Palatino Linotype" w:eastAsia="Palatino Linotype" w:hAnsi="Palatino Linotype" w:cs="Palatino Linotype"/>
          <w:i/>
          <w:color w:val="000000"/>
        </w:rPr>
        <w:t>negandose</w:t>
      </w:r>
      <w:proofErr w:type="spellEnd"/>
      <w:r w:rsidR="008F0FBA" w:rsidRPr="00693CDC">
        <w:rPr>
          <w:rFonts w:ascii="Palatino Linotype" w:eastAsia="Palatino Linotype" w:hAnsi="Palatino Linotype" w:cs="Palatino Linotype"/>
          <w:i/>
          <w:color w:val="000000"/>
        </w:rPr>
        <w:t xml:space="preserve"> a entregar la </w:t>
      </w:r>
      <w:proofErr w:type="spellStart"/>
      <w:r w:rsidR="008F0FBA" w:rsidRPr="00693CDC">
        <w:rPr>
          <w:rFonts w:ascii="Palatino Linotype" w:eastAsia="Palatino Linotype" w:hAnsi="Palatino Linotype" w:cs="Palatino Linotype"/>
          <w:i/>
          <w:color w:val="000000"/>
        </w:rPr>
        <w:t>informacion</w:t>
      </w:r>
      <w:proofErr w:type="spellEnd"/>
      <w:r w:rsidR="008F0FBA" w:rsidRPr="00693CDC">
        <w:rPr>
          <w:rFonts w:ascii="Palatino Linotype" w:eastAsia="Palatino Linotype" w:hAnsi="Palatino Linotype" w:cs="Palatino Linotype"/>
          <w:i/>
          <w:color w:val="000000"/>
        </w:rPr>
        <w:t xml:space="preserve"> publica, sin fundamento y motivos, carentes de sustento legal alguno, es por ello que solicito al Instituto se de vista a la </w:t>
      </w:r>
      <w:proofErr w:type="spellStart"/>
      <w:r w:rsidR="008F0FBA" w:rsidRPr="00693CDC">
        <w:rPr>
          <w:rFonts w:ascii="Palatino Linotype" w:eastAsia="Palatino Linotype" w:hAnsi="Palatino Linotype" w:cs="Palatino Linotype"/>
          <w:i/>
          <w:color w:val="000000"/>
        </w:rPr>
        <w:t>Contraloria</w:t>
      </w:r>
      <w:proofErr w:type="spellEnd"/>
      <w:r w:rsidR="008F0FBA" w:rsidRPr="00693CDC">
        <w:rPr>
          <w:rFonts w:ascii="Palatino Linotype" w:eastAsia="Palatino Linotype" w:hAnsi="Palatino Linotype" w:cs="Palatino Linotype"/>
          <w:i/>
          <w:color w:val="000000"/>
        </w:rPr>
        <w:t xml:space="preserve"> Interna del </w:t>
      </w:r>
      <w:proofErr w:type="spellStart"/>
      <w:r w:rsidR="008F0FBA" w:rsidRPr="00693CDC">
        <w:rPr>
          <w:rFonts w:ascii="Palatino Linotype" w:eastAsia="Palatino Linotype" w:hAnsi="Palatino Linotype" w:cs="Palatino Linotype"/>
          <w:i/>
          <w:color w:val="000000"/>
        </w:rPr>
        <w:t>Instiuto</w:t>
      </w:r>
      <w:proofErr w:type="spellEnd"/>
      <w:r w:rsidR="008F0FBA" w:rsidRPr="00693CDC">
        <w:rPr>
          <w:rFonts w:ascii="Palatino Linotype" w:eastAsia="Palatino Linotype" w:hAnsi="Palatino Linotype" w:cs="Palatino Linotype"/>
          <w:i/>
          <w:color w:val="000000"/>
        </w:rPr>
        <w:t xml:space="preserve"> de Transparencia Estatal para que se conmine a la entrega de </w:t>
      </w:r>
      <w:proofErr w:type="spellStart"/>
      <w:r w:rsidR="008F0FBA" w:rsidRPr="00693CDC">
        <w:rPr>
          <w:rFonts w:ascii="Palatino Linotype" w:eastAsia="Palatino Linotype" w:hAnsi="Palatino Linotype" w:cs="Palatino Linotype"/>
          <w:i/>
          <w:color w:val="000000"/>
        </w:rPr>
        <w:t>informacion</w:t>
      </w:r>
      <w:proofErr w:type="spellEnd"/>
      <w:r w:rsidR="008F0FBA" w:rsidRPr="00693CDC">
        <w:rPr>
          <w:rFonts w:ascii="Palatino Linotype" w:eastAsia="Palatino Linotype" w:hAnsi="Palatino Linotype" w:cs="Palatino Linotype"/>
          <w:i/>
          <w:color w:val="000000"/>
        </w:rPr>
        <w:t xml:space="preserve"> </w:t>
      </w:r>
      <w:proofErr w:type="spellStart"/>
      <w:r w:rsidR="008F0FBA" w:rsidRPr="00693CDC">
        <w:rPr>
          <w:rFonts w:ascii="Palatino Linotype" w:eastAsia="Palatino Linotype" w:hAnsi="Palatino Linotype" w:cs="Palatino Linotype"/>
          <w:i/>
          <w:color w:val="000000"/>
        </w:rPr>
        <w:t>asi</w:t>
      </w:r>
      <w:proofErr w:type="spellEnd"/>
      <w:r w:rsidR="008F0FBA" w:rsidRPr="00693CDC">
        <w:rPr>
          <w:rFonts w:ascii="Palatino Linotype" w:eastAsia="Palatino Linotype" w:hAnsi="Palatino Linotype" w:cs="Palatino Linotype"/>
          <w:i/>
          <w:color w:val="000000"/>
        </w:rPr>
        <w:t xml:space="preserve"> </w:t>
      </w:r>
      <w:proofErr w:type="spellStart"/>
      <w:r w:rsidR="008F0FBA" w:rsidRPr="00693CDC">
        <w:rPr>
          <w:rFonts w:ascii="Palatino Linotype" w:eastAsia="Palatino Linotype" w:hAnsi="Palatino Linotype" w:cs="Palatino Linotype"/>
          <w:i/>
          <w:color w:val="000000"/>
        </w:rPr>
        <w:t>mimso</w:t>
      </w:r>
      <w:proofErr w:type="spellEnd"/>
      <w:r w:rsidR="008F0FBA" w:rsidRPr="00693CDC">
        <w:rPr>
          <w:rFonts w:ascii="Palatino Linotype" w:eastAsia="Palatino Linotype" w:hAnsi="Palatino Linotype" w:cs="Palatino Linotype"/>
          <w:i/>
          <w:color w:val="000000"/>
        </w:rPr>
        <w:t xml:space="preserve"> se acredite la personalidad del servidor </w:t>
      </w:r>
      <w:proofErr w:type="spellStart"/>
      <w:r w:rsidR="008F0FBA" w:rsidRPr="00693CDC">
        <w:rPr>
          <w:rFonts w:ascii="Palatino Linotype" w:eastAsia="Palatino Linotype" w:hAnsi="Palatino Linotype" w:cs="Palatino Linotype"/>
          <w:i/>
          <w:color w:val="000000"/>
        </w:rPr>
        <w:t>publico</w:t>
      </w:r>
      <w:proofErr w:type="spellEnd"/>
      <w:r w:rsidR="008F0FBA" w:rsidRPr="00693CDC">
        <w:rPr>
          <w:rFonts w:ascii="Palatino Linotype" w:eastAsia="Palatino Linotype" w:hAnsi="Palatino Linotype" w:cs="Palatino Linotype"/>
          <w:i/>
          <w:color w:val="000000"/>
        </w:rPr>
        <w:t xml:space="preserve"> habilitado.</w:t>
      </w:r>
      <w:r w:rsidRPr="00693CDC">
        <w:rPr>
          <w:rFonts w:ascii="Palatino Linotype" w:eastAsia="Palatino Linotype" w:hAnsi="Palatino Linotype" w:cs="Palatino Linotype"/>
          <w:i/>
          <w:color w:val="000000"/>
        </w:rPr>
        <w:t>”</w:t>
      </w:r>
      <w:r w:rsidRPr="00693CDC">
        <w:rPr>
          <w:rFonts w:ascii="Palatino Linotype" w:eastAsia="Palatino Linotype" w:hAnsi="Palatino Linotype" w:cs="Palatino Linotype"/>
          <w:color w:val="000000"/>
        </w:rPr>
        <w:t xml:space="preserve"> (Sic).</w:t>
      </w:r>
    </w:p>
    <w:p w:rsidR="00764DD4" w:rsidRPr="00693CDC" w:rsidRDefault="00764DD4"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64DD4" w:rsidRPr="00693CDC" w:rsidRDefault="00764DD4"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b/>
          <w:color w:val="000000"/>
        </w:rPr>
        <w:t>Motivos o razones de inconformidad:</w:t>
      </w:r>
      <w:r w:rsidRPr="00693CDC">
        <w:rPr>
          <w:rFonts w:ascii="Palatino Linotype" w:eastAsia="Palatino Linotype" w:hAnsi="Palatino Linotype" w:cs="Palatino Linotype"/>
          <w:color w:val="000000"/>
        </w:rPr>
        <w:t xml:space="preserve"> </w:t>
      </w:r>
      <w:r w:rsidRPr="00693CDC">
        <w:rPr>
          <w:rFonts w:ascii="Palatino Linotype" w:eastAsia="Palatino Linotype" w:hAnsi="Palatino Linotype" w:cs="Palatino Linotype"/>
          <w:i/>
          <w:color w:val="000000"/>
        </w:rPr>
        <w:t>“</w:t>
      </w:r>
      <w:r w:rsidR="008F0FBA" w:rsidRPr="00693CDC">
        <w:rPr>
          <w:rFonts w:ascii="Palatino Linotype" w:eastAsia="Palatino Linotype" w:hAnsi="Palatino Linotype" w:cs="Palatino Linotype"/>
          <w:i/>
          <w:color w:val="000000"/>
        </w:rPr>
        <w:t xml:space="preserve">la falta de transparencia y </w:t>
      </w:r>
      <w:proofErr w:type="spellStart"/>
      <w:r w:rsidR="008F0FBA" w:rsidRPr="00693CDC">
        <w:rPr>
          <w:rFonts w:ascii="Palatino Linotype" w:eastAsia="Palatino Linotype" w:hAnsi="Palatino Linotype" w:cs="Palatino Linotype"/>
          <w:i/>
          <w:color w:val="000000"/>
        </w:rPr>
        <w:t>rendicion</w:t>
      </w:r>
      <w:proofErr w:type="spellEnd"/>
      <w:r w:rsidR="008F0FBA" w:rsidRPr="00693CDC">
        <w:rPr>
          <w:rFonts w:ascii="Palatino Linotype" w:eastAsia="Palatino Linotype" w:hAnsi="Palatino Linotype" w:cs="Palatino Linotype"/>
          <w:i/>
          <w:color w:val="000000"/>
        </w:rPr>
        <w:t xml:space="preserve"> de cuentas de este gobierno </w:t>
      </w:r>
      <w:proofErr w:type="spellStart"/>
      <w:r w:rsidR="008F0FBA" w:rsidRPr="00693CDC">
        <w:rPr>
          <w:rFonts w:ascii="Palatino Linotype" w:eastAsia="Palatino Linotype" w:hAnsi="Palatino Linotype" w:cs="Palatino Linotype"/>
          <w:i/>
          <w:color w:val="000000"/>
        </w:rPr>
        <w:t>muniicpal</w:t>
      </w:r>
      <w:proofErr w:type="spellEnd"/>
      <w:r w:rsidR="008F0FBA" w:rsidRPr="00693CDC">
        <w:rPr>
          <w:rFonts w:ascii="Palatino Linotype" w:eastAsia="Palatino Linotype" w:hAnsi="Palatino Linotype" w:cs="Palatino Linotype"/>
          <w:i/>
          <w:color w:val="000000"/>
        </w:rPr>
        <w:t xml:space="preserve">, </w:t>
      </w:r>
      <w:proofErr w:type="spellStart"/>
      <w:r w:rsidR="008F0FBA" w:rsidRPr="00693CDC">
        <w:rPr>
          <w:rFonts w:ascii="Palatino Linotype" w:eastAsia="Palatino Linotype" w:hAnsi="Palatino Linotype" w:cs="Palatino Linotype"/>
          <w:i/>
          <w:color w:val="000000"/>
        </w:rPr>
        <w:t>negandose</w:t>
      </w:r>
      <w:proofErr w:type="spellEnd"/>
      <w:r w:rsidR="008F0FBA" w:rsidRPr="00693CDC">
        <w:rPr>
          <w:rFonts w:ascii="Palatino Linotype" w:eastAsia="Palatino Linotype" w:hAnsi="Palatino Linotype" w:cs="Palatino Linotype"/>
          <w:i/>
          <w:color w:val="000000"/>
        </w:rPr>
        <w:t xml:space="preserve"> a entregar la </w:t>
      </w:r>
      <w:proofErr w:type="spellStart"/>
      <w:r w:rsidR="008F0FBA" w:rsidRPr="00693CDC">
        <w:rPr>
          <w:rFonts w:ascii="Palatino Linotype" w:eastAsia="Palatino Linotype" w:hAnsi="Palatino Linotype" w:cs="Palatino Linotype"/>
          <w:i/>
          <w:color w:val="000000"/>
        </w:rPr>
        <w:t>informacion</w:t>
      </w:r>
      <w:proofErr w:type="spellEnd"/>
      <w:r w:rsidR="008F0FBA" w:rsidRPr="00693CDC">
        <w:rPr>
          <w:rFonts w:ascii="Palatino Linotype" w:eastAsia="Palatino Linotype" w:hAnsi="Palatino Linotype" w:cs="Palatino Linotype"/>
          <w:i/>
          <w:color w:val="000000"/>
        </w:rPr>
        <w:t xml:space="preserve"> publica, sin fundamento y motivos, carentes de sustento legal alguno, es por ello que solicito al Instituto se de vista a la </w:t>
      </w:r>
      <w:proofErr w:type="spellStart"/>
      <w:r w:rsidR="008F0FBA" w:rsidRPr="00693CDC">
        <w:rPr>
          <w:rFonts w:ascii="Palatino Linotype" w:eastAsia="Palatino Linotype" w:hAnsi="Palatino Linotype" w:cs="Palatino Linotype"/>
          <w:i/>
          <w:color w:val="000000"/>
        </w:rPr>
        <w:t>Contraloria</w:t>
      </w:r>
      <w:proofErr w:type="spellEnd"/>
      <w:r w:rsidR="008F0FBA" w:rsidRPr="00693CDC">
        <w:rPr>
          <w:rFonts w:ascii="Palatino Linotype" w:eastAsia="Palatino Linotype" w:hAnsi="Palatino Linotype" w:cs="Palatino Linotype"/>
          <w:i/>
          <w:color w:val="000000"/>
        </w:rPr>
        <w:t xml:space="preserve"> Interna del </w:t>
      </w:r>
      <w:proofErr w:type="spellStart"/>
      <w:r w:rsidR="008F0FBA" w:rsidRPr="00693CDC">
        <w:rPr>
          <w:rFonts w:ascii="Palatino Linotype" w:eastAsia="Palatino Linotype" w:hAnsi="Palatino Linotype" w:cs="Palatino Linotype"/>
          <w:i/>
          <w:color w:val="000000"/>
        </w:rPr>
        <w:t>Instiuto</w:t>
      </w:r>
      <w:proofErr w:type="spellEnd"/>
      <w:r w:rsidR="008F0FBA" w:rsidRPr="00693CDC">
        <w:rPr>
          <w:rFonts w:ascii="Palatino Linotype" w:eastAsia="Palatino Linotype" w:hAnsi="Palatino Linotype" w:cs="Palatino Linotype"/>
          <w:i/>
          <w:color w:val="000000"/>
        </w:rPr>
        <w:t xml:space="preserve"> de Transparencia Estatal para que se conmine a la entrega de </w:t>
      </w:r>
      <w:proofErr w:type="spellStart"/>
      <w:r w:rsidR="008F0FBA" w:rsidRPr="00693CDC">
        <w:rPr>
          <w:rFonts w:ascii="Palatino Linotype" w:eastAsia="Palatino Linotype" w:hAnsi="Palatino Linotype" w:cs="Palatino Linotype"/>
          <w:i/>
          <w:color w:val="000000"/>
        </w:rPr>
        <w:t>informacion</w:t>
      </w:r>
      <w:proofErr w:type="spellEnd"/>
      <w:r w:rsidR="008F0FBA" w:rsidRPr="00693CDC">
        <w:rPr>
          <w:rFonts w:ascii="Palatino Linotype" w:eastAsia="Palatino Linotype" w:hAnsi="Palatino Linotype" w:cs="Palatino Linotype"/>
          <w:i/>
          <w:color w:val="000000"/>
        </w:rPr>
        <w:t xml:space="preserve"> </w:t>
      </w:r>
      <w:proofErr w:type="spellStart"/>
      <w:r w:rsidR="008F0FBA" w:rsidRPr="00693CDC">
        <w:rPr>
          <w:rFonts w:ascii="Palatino Linotype" w:eastAsia="Palatino Linotype" w:hAnsi="Palatino Linotype" w:cs="Palatino Linotype"/>
          <w:i/>
          <w:color w:val="000000"/>
        </w:rPr>
        <w:t>asi</w:t>
      </w:r>
      <w:proofErr w:type="spellEnd"/>
      <w:r w:rsidR="008F0FBA" w:rsidRPr="00693CDC">
        <w:rPr>
          <w:rFonts w:ascii="Palatino Linotype" w:eastAsia="Palatino Linotype" w:hAnsi="Palatino Linotype" w:cs="Palatino Linotype"/>
          <w:i/>
          <w:color w:val="000000"/>
        </w:rPr>
        <w:t xml:space="preserve"> </w:t>
      </w:r>
      <w:proofErr w:type="spellStart"/>
      <w:r w:rsidR="008F0FBA" w:rsidRPr="00693CDC">
        <w:rPr>
          <w:rFonts w:ascii="Palatino Linotype" w:eastAsia="Palatino Linotype" w:hAnsi="Palatino Linotype" w:cs="Palatino Linotype"/>
          <w:i/>
          <w:color w:val="000000"/>
        </w:rPr>
        <w:t>mimso</w:t>
      </w:r>
      <w:proofErr w:type="spellEnd"/>
      <w:r w:rsidR="008F0FBA" w:rsidRPr="00693CDC">
        <w:rPr>
          <w:rFonts w:ascii="Palatino Linotype" w:eastAsia="Palatino Linotype" w:hAnsi="Palatino Linotype" w:cs="Palatino Linotype"/>
          <w:i/>
          <w:color w:val="000000"/>
        </w:rPr>
        <w:t xml:space="preserve"> se acredite la personalidad del servidor </w:t>
      </w:r>
      <w:proofErr w:type="spellStart"/>
      <w:r w:rsidR="008F0FBA" w:rsidRPr="00693CDC">
        <w:rPr>
          <w:rFonts w:ascii="Palatino Linotype" w:eastAsia="Palatino Linotype" w:hAnsi="Palatino Linotype" w:cs="Palatino Linotype"/>
          <w:i/>
          <w:color w:val="000000"/>
        </w:rPr>
        <w:t>publico</w:t>
      </w:r>
      <w:proofErr w:type="spellEnd"/>
      <w:r w:rsidR="008F0FBA" w:rsidRPr="00693CDC">
        <w:rPr>
          <w:rFonts w:ascii="Palatino Linotype" w:eastAsia="Palatino Linotype" w:hAnsi="Palatino Linotype" w:cs="Palatino Linotype"/>
          <w:i/>
          <w:color w:val="000000"/>
        </w:rPr>
        <w:t xml:space="preserve"> habilitado.</w:t>
      </w:r>
      <w:r w:rsidRPr="00693CDC">
        <w:rPr>
          <w:rFonts w:ascii="Palatino Linotype" w:eastAsia="Palatino Linotype" w:hAnsi="Palatino Linotype" w:cs="Palatino Linotype"/>
          <w:i/>
          <w:color w:val="000000"/>
        </w:rPr>
        <w:t xml:space="preserve">" </w:t>
      </w:r>
      <w:r w:rsidRPr="00693CDC">
        <w:rPr>
          <w:rFonts w:ascii="Palatino Linotype" w:eastAsia="Palatino Linotype" w:hAnsi="Palatino Linotype" w:cs="Palatino Linotype"/>
          <w:color w:val="000000"/>
        </w:rPr>
        <w:t xml:space="preserve">(Sic) </w:t>
      </w:r>
    </w:p>
    <w:p w:rsidR="00764DD4" w:rsidRPr="00693CDC" w:rsidRDefault="00764DD4"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64DD4" w:rsidRPr="00693CDC" w:rsidRDefault="00764DD4"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693CDC">
        <w:rPr>
          <w:rFonts w:ascii="Palatino Linotype" w:eastAsia="Palatino Linotype" w:hAnsi="Palatino Linotype" w:cs="Palatino Linotype"/>
          <w:b/>
          <w:color w:val="000000"/>
        </w:rPr>
        <w:t>Comisionada María del Rosario Mejía Ayala</w:t>
      </w:r>
      <w:r w:rsidRPr="00693CDC">
        <w:rPr>
          <w:rFonts w:ascii="Palatino Linotype" w:eastAsia="Palatino Linotype" w:hAnsi="Palatino Linotype" w:cs="Palatino Linotype"/>
          <w:color w:val="000000"/>
        </w:rPr>
        <w:t>, con el objeto de su análisis.</w:t>
      </w:r>
    </w:p>
    <w:p w:rsidR="00764DD4" w:rsidRPr="00693CDC" w:rsidRDefault="00764DD4" w:rsidP="00F752E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64DD4" w:rsidRPr="00693CDC" w:rsidRDefault="00764DD4"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 xml:space="preserve">La Comisionada Ponente, con fundamento en lo dispuesto por el artículo 185 fracción II de la Ley de Transparencia y Acceso a la Información Pública del Estado de México y Municipios, a través del acuerdo de admisión del </w:t>
      </w:r>
      <w:r w:rsidR="008F0FBA" w:rsidRPr="00693CDC">
        <w:rPr>
          <w:rFonts w:ascii="Palatino Linotype" w:eastAsia="Palatino Linotype" w:hAnsi="Palatino Linotype" w:cs="Palatino Linotype"/>
          <w:b/>
          <w:color w:val="000000"/>
        </w:rPr>
        <w:t>once de febrero de dos mil veinticinco</w:t>
      </w:r>
      <w:r w:rsidRPr="00693CDC">
        <w:rPr>
          <w:rFonts w:ascii="Palatino Linotype" w:eastAsia="Palatino Linotype" w:hAnsi="Palatino Linotype" w:cs="Palatino Linotype"/>
          <w:color w:val="000000"/>
        </w:rPr>
        <w:t>, puso a disposición de las partes el expediente electrónico vía Sistema de Acceso a la Información Mexiquense (</w:t>
      </w:r>
      <w:r w:rsidRPr="00693CDC">
        <w:rPr>
          <w:rFonts w:ascii="Palatino Linotype" w:eastAsia="Palatino Linotype" w:hAnsi="Palatino Linotype" w:cs="Palatino Linotype"/>
          <w:b/>
          <w:color w:val="000000"/>
        </w:rPr>
        <w:t xml:space="preserve">SAIMEX) </w:t>
      </w:r>
      <w:r w:rsidRPr="00693CDC">
        <w:rPr>
          <w:rFonts w:ascii="Palatino Linotype" w:eastAsia="Palatino Linotype" w:hAnsi="Palatino Linotype" w:cs="Palatino Linotype"/>
          <w:color w:val="000000"/>
        </w:rPr>
        <w:t xml:space="preserve">a efecto de que en un plazo máximo de siete días manifestaran lo que a su derecho convinieran, ofrecieran pruebas y alegatos según corresponda a los casos concretos, de esta forma para que el </w:t>
      </w:r>
      <w:r w:rsidRPr="00693CDC">
        <w:rPr>
          <w:rFonts w:ascii="Palatino Linotype" w:eastAsia="Palatino Linotype" w:hAnsi="Palatino Linotype" w:cs="Palatino Linotype"/>
          <w:b/>
          <w:color w:val="000000"/>
        </w:rPr>
        <w:t>SUJETO OBLIGADO</w:t>
      </w:r>
      <w:r w:rsidRPr="00693CDC">
        <w:rPr>
          <w:rFonts w:ascii="Palatino Linotype" w:eastAsia="Palatino Linotype" w:hAnsi="Palatino Linotype" w:cs="Palatino Linotype"/>
          <w:color w:val="000000"/>
        </w:rPr>
        <w:t xml:space="preserve"> presentara el informe justificado procedente.</w:t>
      </w:r>
    </w:p>
    <w:p w:rsidR="00764DD4" w:rsidRPr="00693CDC" w:rsidRDefault="00764DD4" w:rsidP="00F752E9">
      <w:pPr>
        <w:pStyle w:val="Prrafodelista"/>
        <w:ind w:left="0"/>
        <w:rPr>
          <w:rFonts w:ascii="Palatino Linotype" w:eastAsia="Palatino Linotype" w:hAnsi="Palatino Linotype" w:cs="Palatino Linotype"/>
          <w:color w:val="000000"/>
        </w:rPr>
      </w:pPr>
    </w:p>
    <w:p w:rsidR="008F0FBA" w:rsidRPr="00693CDC" w:rsidRDefault="00764DD4"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De las actuaciones en el Sistema SAIMEX, se advierte que el Recurrente fue omiso en realizar manifestaciones; por</w:t>
      </w:r>
      <w:r w:rsidR="008F0FBA" w:rsidRPr="00693CDC">
        <w:rPr>
          <w:rFonts w:ascii="Palatino Linotype" w:eastAsia="Palatino Linotype" w:hAnsi="Palatino Linotype" w:cs="Palatino Linotype"/>
          <w:color w:val="000000"/>
        </w:rPr>
        <w:t xml:space="preserve"> su parte, el Sujeto Obligado  entregó informe justificado el diecinueve de febrero de dos mil veinticinco y se puso a la vista el trece de mayo del mismo año,</w:t>
      </w:r>
      <w:r w:rsidR="00337E64" w:rsidRPr="00693CDC">
        <w:rPr>
          <w:rFonts w:ascii="Palatino Linotype" w:eastAsia="Palatino Linotype" w:hAnsi="Palatino Linotype" w:cs="Palatino Linotype"/>
          <w:color w:val="000000"/>
        </w:rPr>
        <w:t xml:space="preserve"> sin embargo, el informe se adjuntó en el apartado de manifestaciones del </w:t>
      </w:r>
      <w:r w:rsidR="00337E64" w:rsidRPr="00693CDC">
        <w:rPr>
          <w:rFonts w:ascii="Palatino Linotype" w:eastAsia="Palatino Linotype" w:hAnsi="Palatino Linotype" w:cs="Palatino Linotype"/>
          <w:color w:val="000000"/>
        </w:rPr>
        <w:lastRenderedPageBreak/>
        <w:t>Recurrente, por lo que se le insta al Sujeto Obligado, que en próximas ocasiones adjunte los documentos en el apartado correspondiente; el archivo remitido se describe enseguida</w:t>
      </w:r>
      <w:r w:rsidR="008F0FBA" w:rsidRPr="00693CDC">
        <w:rPr>
          <w:rFonts w:ascii="Palatino Linotype" w:eastAsia="Palatino Linotype" w:hAnsi="Palatino Linotype" w:cs="Palatino Linotype"/>
          <w:color w:val="000000"/>
        </w:rPr>
        <w:t>:</w:t>
      </w:r>
    </w:p>
    <w:p w:rsidR="008F0FBA" w:rsidRPr="00693CDC" w:rsidRDefault="008F0FBA" w:rsidP="00F752E9">
      <w:pPr>
        <w:pStyle w:val="Prrafodelista"/>
        <w:spacing w:line="360" w:lineRule="auto"/>
        <w:ind w:left="0"/>
        <w:rPr>
          <w:rFonts w:ascii="Palatino Linotype" w:eastAsia="Palatino Linotype" w:hAnsi="Palatino Linotype" w:cs="Palatino Linotype"/>
          <w:color w:val="000000"/>
        </w:rPr>
      </w:pPr>
    </w:p>
    <w:p w:rsidR="00764DD4" w:rsidRPr="00693CDC" w:rsidRDefault="0088750B" w:rsidP="00F752E9">
      <w:pPr>
        <w:pStyle w:val="Prrafodelista"/>
        <w:numPr>
          <w:ilvl w:val="0"/>
          <w:numId w:val="4"/>
        </w:numPr>
        <w:spacing w:line="360" w:lineRule="auto"/>
        <w:ind w:left="0"/>
        <w:jc w:val="both"/>
        <w:rPr>
          <w:rFonts w:ascii="Palatino Linotype" w:eastAsia="Times New Roman" w:hAnsi="Palatino Linotype" w:cs="Arial"/>
        </w:rPr>
      </w:pPr>
      <w:hyperlink r:id="rId8" w:history="1">
        <w:r w:rsidR="008F0FBA" w:rsidRPr="00693CDC">
          <w:rPr>
            <w:rFonts w:ascii="Palatino Linotype" w:eastAsia="Times New Roman" w:hAnsi="Palatino Linotype" w:cs="Arial"/>
            <w:b/>
            <w:bCs/>
          </w:rPr>
          <w:t>INFRA URBANA RR.pdf</w:t>
        </w:r>
      </w:hyperlink>
      <w:r w:rsidR="008F0FBA" w:rsidRPr="00693CDC">
        <w:rPr>
          <w:rFonts w:ascii="Palatino Linotype" w:eastAsia="Times New Roman" w:hAnsi="Palatino Linotype" w:cs="Arial"/>
        </w:rPr>
        <w:t xml:space="preserve">: oficio número UTAIM/0513/2025 de fecha dieciocho de abril de dos mil veinticinco, </w:t>
      </w:r>
      <w:r w:rsidR="00545F0A" w:rsidRPr="00693CDC">
        <w:rPr>
          <w:rFonts w:ascii="Palatino Linotype" w:eastAsia="Times New Roman" w:hAnsi="Palatino Linotype" w:cs="Arial"/>
        </w:rPr>
        <w:t xml:space="preserve">suscrito por la Directora de Infraestructura, quien, de forma medular, ratificó la respuesta y señaló que la vista a contraloría se trata de plus </w:t>
      </w:r>
      <w:proofErr w:type="spellStart"/>
      <w:r w:rsidR="00545F0A" w:rsidRPr="00693CDC">
        <w:rPr>
          <w:rFonts w:ascii="Palatino Linotype" w:eastAsia="Times New Roman" w:hAnsi="Palatino Linotype" w:cs="Arial"/>
        </w:rPr>
        <w:t>petitio</w:t>
      </w:r>
      <w:proofErr w:type="spellEnd"/>
      <w:r w:rsidR="00545F0A" w:rsidRPr="00693CDC">
        <w:rPr>
          <w:rFonts w:ascii="Palatino Linotype" w:eastAsia="Times New Roman" w:hAnsi="Palatino Linotype" w:cs="Arial"/>
        </w:rPr>
        <w:t xml:space="preserve">. </w:t>
      </w:r>
    </w:p>
    <w:p w:rsidR="008F0FBA" w:rsidRPr="00693CDC" w:rsidRDefault="008F0FBA" w:rsidP="00F752E9">
      <w:pPr>
        <w:pStyle w:val="Prrafodelista"/>
        <w:ind w:left="0"/>
        <w:jc w:val="both"/>
        <w:rPr>
          <w:rFonts w:ascii="Palatino Linotype" w:eastAsia="Times New Roman" w:hAnsi="Palatino Linotype" w:cs="Arial"/>
        </w:rPr>
      </w:pPr>
    </w:p>
    <w:p w:rsidR="00764DD4" w:rsidRPr="00693CDC" w:rsidRDefault="00764DD4" w:rsidP="00F752E9">
      <w:pPr>
        <w:pBdr>
          <w:top w:val="nil"/>
          <w:left w:val="nil"/>
          <w:bottom w:val="nil"/>
          <w:right w:val="nil"/>
          <w:between w:val="nil"/>
        </w:pBdr>
        <w:rPr>
          <w:rFonts w:ascii="Palatino Linotype" w:eastAsia="Palatino Linotype" w:hAnsi="Palatino Linotype" w:cs="Palatino Linotype"/>
          <w:color w:val="000000"/>
        </w:rPr>
      </w:pPr>
      <w:bookmarkStart w:id="1" w:name="_heading=h.30j0zll" w:colFirst="0" w:colLast="0"/>
      <w:bookmarkEnd w:id="1"/>
    </w:p>
    <w:p w:rsidR="00752E7B" w:rsidRPr="00693CDC" w:rsidRDefault="00752E7B"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 xml:space="preserve">El </w:t>
      </w:r>
      <w:r w:rsidRPr="00693CDC">
        <w:rPr>
          <w:rFonts w:ascii="Palatino Linotype" w:eastAsia="Palatino Linotype" w:hAnsi="Palatino Linotype" w:cs="Palatino Linotype"/>
          <w:b/>
          <w:color w:val="000000"/>
        </w:rPr>
        <w:t>trece de mayo de dos mil veinticinco</w:t>
      </w:r>
      <w:r w:rsidRPr="00693CDC">
        <w:rPr>
          <w:rFonts w:ascii="Palatino Linotype" w:eastAsia="Palatino Linotype" w:hAnsi="Palatino Linotype" w:cs="Palatino Linotype"/>
          <w:color w:val="000000"/>
        </w:rPr>
        <w:t xml:space="preserve">, se notificó el acuerdo a través del cual se aprobó la ampliación de plazo para emitir resolución. </w:t>
      </w:r>
    </w:p>
    <w:p w:rsidR="00752E7B" w:rsidRPr="00693CDC" w:rsidRDefault="00752E7B" w:rsidP="00F752E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64DD4" w:rsidRPr="00693CDC" w:rsidRDefault="00752E7B"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 xml:space="preserve">El </w:t>
      </w:r>
      <w:r w:rsidRPr="00693CDC">
        <w:rPr>
          <w:rFonts w:ascii="Palatino Linotype" w:eastAsia="Palatino Linotype" w:hAnsi="Palatino Linotype" w:cs="Palatino Linotype"/>
          <w:b/>
          <w:color w:val="000000"/>
        </w:rPr>
        <w:t>diecinueve de mayo de dos mil veinticinco</w:t>
      </w:r>
      <w:r w:rsidR="00764DD4" w:rsidRPr="00693CDC">
        <w:rPr>
          <w:rFonts w:ascii="Palatino Linotype" w:eastAsia="Palatino Linotype" w:hAnsi="Palatino Linotype" w:cs="Palatino Linotype"/>
          <w:color w:val="000000"/>
        </w:rPr>
        <w:t>, la Comisionada Ponente decretó el cierre de instrucción, por lo que ordenó turnar el expediente para su resolución, misma que ahora se pronuncia.</w:t>
      </w:r>
    </w:p>
    <w:p w:rsidR="00764DD4" w:rsidRPr="00693CDC" w:rsidRDefault="00764DD4"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64DD4" w:rsidRPr="00693CDC" w:rsidRDefault="00764DD4" w:rsidP="00F752E9">
      <w:pPr>
        <w:pStyle w:val="Ttulo1"/>
        <w:spacing w:before="0"/>
        <w:jc w:val="center"/>
        <w:rPr>
          <w:b/>
          <w:color w:val="000000"/>
          <w:szCs w:val="24"/>
        </w:rPr>
      </w:pPr>
      <w:bookmarkStart w:id="2" w:name="_heading=h.1fob9te" w:colFirst="0" w:colLast="0"/>
      <w:bookmarkEnd w:id="2"/>
      <w:r w:rsidRPr="00693CDC">
        <w:rPr>
          <w:b/>
          <w:color w:val="000000"/>
          <w:szCs w:val="24"/>
        </w:rPr>
        <w:t>CONSIDERANDO</w:t>
      </w:r>
    </w:p>
    <w:p w:rsidR="00764DD4" w:rsidRPr="00693CDC" w:rsidRDefault="00764DD4" w:rsidP="00F752E9">
      <w:pPr>
        <w:rPr>
          <w:rFonts w:ascii="Palatino Linotype" w:hAnsi="Palatino Linotype"/>
          <w:color w:val="000000"/>
        </w:rPr>
      </w:pPr>
    </w:p>
    <w:p w:rsidR="00764DD4" w:rsidRPr="00693CDC" w:rsidRDefault="00764DD4" w:rsidP="00F752E9">
      <w:pPr>
        <w:pStyle w:val="Ttulo2"/>
        <w:spacing w:before="0"/>
        <w:rPr>
          <w:rFonts w:ascii="Palatino Linotype" w:eastAsia="Palatino Linotype" w:hAnsi="Palatino Linotype" w:cs="Palatino Linotype"/>
          <w:b/>
          <w:color w:val="000000"/>
          <w:sz w:val="24"/>
          <w:szCs w:val="24"/>
        </w:rPr>
      </w:pPr>
      <w:bookmarkStart w:id="3" w:name="_heading=h.3znysh7" w:colFirst="0" w:colLast="0"/>
      <w:bookmarkEnd w:id="3"/>
      <w:r w:rsidRPr="00693CDC">
        <w:rPr>
          <w:rFonts w:ascii="Palatino Linotype" w:eastAsia="Palatino Linotype" w:hAnsi="Palatino Linotype" w:cs="Palatino Linotype"/>
          <w:b/>
          <w:color w:val="000000"/>
          <w:sz w:val="24"/>
          <w:szCs w:val="24"/>
        </w:rPr>
        <w:t>PRIMERO. De la competencia</w:t>
      </w:r>
    </w:p>
    <w:p w:rsidR="00764DD4" w:rsidRPr="00693CDC" w:rsidRDefault="00764DD4" w:rsidP="00F752E9">
      <w:pPr>
        <w:rPr>
          <w:rFonts w:ascii="Palatino Linotype" w:eastAsia="Palatino Linotype" w:hAnsi="Palatino Linotype" w:cs="Palatino Linotype"/>
          <w:color w:val="000000"/>
        </w:rPr>
      </w:pPr>
    </w:p>
    <w:p w:rsidR="00764DD4" w:rsidRPr="00693CDC" w:rsidRDefault="00764DD4"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693CDC">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93CDC">
        <w:rPr>
          <w:rFonts w:ascii="Palatino Linotype" w:eastAsia="Palatino Linotype" w:hAnsi="Palatino Linotype" w:cs="Palatino Linotype"/>
          <w:b/>
          <w:color w:val="000000"/>
        </w:rPr>
        <w:t>Constitución Política de los Estados Unidos Mexicanos</w:t>
      </w:r>
      <w:r w:rsidRPr="00693CDC">
        <w:rPr>
          <w:rFonts w:ascii="Palatino Linotype" w:eastAsia="Palatino Linotype" w:hAnsi="Palatino Linotype" w:cs="Palatino Linotype"/>
          <w:color w:val="000000"/>
        </w:rPr>
        <w:t xml:space="preserve">; 5, párrafos </w:t>
      </w:r>
      <w:r w:rsidRPr="00693CDC">
        <w:rPr>
          <w:rFonts w:ascii="Palatino Linotype" w:eastAsia="Palatino Linotype" w:hAnsi="Palatino Linotype" w:cs="Palatino Linotype"/>
          <w:color w:val="222222"/>
        </w:rPr>
        <w:t xml:space="preserve">trigésimo </w:t>
      </w:r>
      <w:r w:rsidR="002E5C77" w:rsidRPr="00693CDC">
        <w:rPr>
          <w:rFonts w:ascii="Palatino Linotype" w:eastAsia="Palatino Linotype" w:hAnsi="Palatino Linotype" w:cs="Palatino Linotype"/>
          <w:color w:val="222222"/>
        </w:rPr>
        <w:t xml:space="preserve">séptimo, trigésimo octavo y trigésimo noveno </w:t>
      </w:r>
      <w:r w:rsidRPr="00693CDC">
        <w:rPr>
          <w:rFonts w:ascii="Palatino Linotype" w:eastAsia="Palatino Linotype" w:hAnsi="Palatino Linotype" w:cs="Palatino Linotype"/>
          <w:color w:val="222222"/>
        </w:rPr>
        <w:t>fracciones</w:t>
      </w:r>
      <w:r w:rsidRPr="00693CDC">
        <w:rPr>
          <w:rFonts w:ascii="Palatino Linotype" w:eastAsia="Palatino Linotype" w:hAnsi="Palatino Linotype" w:cs="Palatino Linotype"/>
          <w:color w:val="000000"/>
        </w:rPr>
        <w:t xml:space="preserve"> IV y V de la </w:t>
      </w:r>
      <w:r w:rsidRPr="00693CDC">
        <w:rPr>
          <w:rFonts w:ascii="Palatino Linotype" w:eastAsia="Palatino Linotype" w:hAnsi="Palatino Linotype" w:cs="Palatino Linotype"/>
          <w:b/>
          <w:color w:val="000000"/>
        </w:rPr>
        <w:t>Constitución Política del Estado Libre y Soberano de México</w:t>
      </w:r>
      <w:r w:rsidRPr="00693CDC">
        <w:rPr>
          <w:rFonts w:ascii="Palatino Linotype" w:eastAsia="Palatino Linotype" w:hAnsi="Palatino Linotype" w:cs="Palatino Linotype"/>
          <w:color w:val="000000"/>
        </w:rPr>
        <w:t xml:space="preserve">; artículos 1, 2 fracción II, 13, 29, 36 </w:t>
      </w:r>
      <w:r w:rsidRPr="00693CDC">
        <w:rPr>
          <w:rFonts w:ascii="Palatino Linotype" w:eastAsia="Palatino Linotype" w:hAnsi="Palatino Linotype" w:cs="Palatino Linotype"/>
          <w:color w:val="000000"/>
        </w:rPr>
        <w:lastRenderedPageBreak/>
        <w:t xml:space="preserve">fracciones I y II, 176, 178, 179, 181 párrafo tercero y 185 de la </w:t>
      </w:r>
      <w:r w:rsidRPr="00693CDC">
        <w:rPr>
          <w:rFonts w:ascii="Palatino Linotype" w:eastAsia="Palatino Linotype" w:hAnsi="Palatino Linotype" w:cs="Palatino Linotype"/>
          <w:b/>
          <w:color w:val="000000"/>
        </w:rPr>
        <w:t>Ley de Transparencia y Acceso a la Información Pública del Estado de México y Municipios</w:t>
      </w:r>
      <w:r w:rsidRPr="00693CDC">
        <w:rPr>
          <w:rFonts w:ascii="Palatino Linotype" w:eastAsia="Palatino Linotype" w:hAnsi="Palatino Linotype" w:cs="Palatino Linotype"/>
          <w:color w:val="000000"/>
        </w:rPr>
        <w:t xml:space="preserve">; y 7, 9 fracciones I y XXIV, y 11 del </w:t>
      </w:r>
      <w:r w:rsidRPr="00693CDC">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693CDC">
        <w:rPr>
          <w:rFonts w:ascii="Palatino Linotype" w:eastAsia="Palatino Linotype" w:hAnsi="Palatino Linotype" w:cs="Palatino Linotype"/>
          <w:color w:val="000000"/>
        </w:rPr>
        <w:t>.</w:t>
      </w:r>
    </w:p>
    <w:p w:rsidR="00764DD4" w:rsidRPr="00693CDC" w:rsidRDefault="00764DD4" w:rsidP="00F752E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764DD4" w:rsidRPr="00693CDC" w:rsidRDefault="00764DD4" w:rsidP="00F752E9">
      <w:pPr>
        <w:pStyle w:val="Ttulo2"/>
        <w:tabs>
          <w:tab w:val="left" w:pos="426"/>
        </w:tabs>
        <w:spacing w:before="0"/>
        <w:rPr>
          <w:rFonts w:ascii="Palatino Linotype" w:eastAsia="Palatino Linotype" w:hAnsi="Palatino Linotype" w:cs="Palatino Linotype"/>
          <w:b/>
          <w:color w:val="000000"/>
          <w:sz w:val="24"/>
          <w:szCs w:val="24"/>
        </w:rPr>
      </w:pPr>
      <w:bookmarkStart w:id="4" w:name="_heading=h.2et92p0" w:colFirst="0" w:colLast="0"/>
      <w:bookmarkEnd w:id="4"/>
      <w:r w:rsidRPr="00693CDC">
        <w:rPr>
          <w:rFonts w:ascii="Palatino Linotype" w:eastAsia="Palatino Linotype" w:hAnsi="Palatino Linotype" w:cs="Palatino Linotype"/>
          <w:b/>
          <w:color w:val="000000"/>
          <w:sz w:val="24"/>
          <w:szCs w:val="24"/>
        </w:rPr>
        <w:t>SEGUNDO. De la oportunidad y procedencia.</w:t>
      </w:r>
    </w:p>
    <w:p w:rsidR="00764DD4" w:rsidRPr="00693CDC" w:rsidRDefault="00764DD4" w:rsidP="00F752E9">
      <w:pPr>
        <w:rPr>
          <w:rFonts w:ascii="Palatino Linotype" w:hAnsi="Palatino Linotype"/>
          <w:color w:val="000000"/>
        </w:rPr>
      </w:pPr>
    </w:p>
    <w:p w:rsidR="00764DD4" w:rsidRPr="00693CDC" w:rsidRDefault="00764DD4"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otorgados; siendo así que el </w:t>
      </w:r>
      <w:r w:rsidRPr="00693CDC">
        <w:rPr>
          <w:rFonts w:ascii="Palatino Linotype" w:eastAsia="Palatino Linotype" w:hAnsi="Palatino Linotype" w:cs="Palatino Linotype"/>
          <w:b/>
          <w:color w:val="000000"/>
        </w:rPr>
        <w:t>SUJETO OBLIGADO</w:t>
      </w:r>
      <w:r w:rsidRPr="00693CDC">
        <w:rPr>
          <w:rFonts w:ascii="Palatino Linotype" w:eastAsia="Palatino Linotype" w:hAnsi="Palatino Linotype" w:cs="Palatino Linotype"/>
          <w:color w:val="000000"/>
        </w:rPr>
        <w:t xml:space="preserve"> entregó respuesta el </w:t>
      </w:r>
      <w:r w:rsidR="00412CAC" w:rsidRPr="00693CDC">
        <w:rPr>
          <w:rFonts w:ascii="Palatino Linotype" w:eastAsia="Palatino Linotype" w:hAnsi="Palatino Linotype" w:cs="Palatino Linotype"/>
          <w:b/>
          <w:color w:val="000000"/>
        </w:rPr>
        <w:t>seis de febrero de dos mil veinticinco</w:t>
      </w:r>
      <w:r w:rsidRPr="00693CDC">
        <w:rPr>
          <w:rFonts w:ascii="Palatino Linotype" w:eastAsia="Palatino Linotype" w:hAnsi="Palatino Linotype" w:cs="Palatino Linotype"/>
          <w:color w:val="000000"/>
        </w:rPr>
        <w:t xml:space="preserve">, de tal forma que el plazo para interponer el recurso de revisión transcurrió del </w:t>
      </w:r>
      <w:r w:rsidR="00412CAC" w:rsidRPr="00693CDC">
        <w:rPr>
          <w:rFonts w:ascii="Palatino Linotype" w:eastAsia="Palatino Linotype" w:hAnsi="Palatino Linotype" w:cs="Palatino Linotype"/>
          <w:b/>
          <w:color w:val="000000"/>
        </w:rPr>
        <w:t>siete al veintisiete de febrero de dos mil veinticinco</w:t>
      </w:r>
      <w:r w:rsidRPr="00693CDC">
        <w:rPr>
          <w:rFonts w:ascii="Palatino Linotype" w:eastAsia="Palatino Linotype" w:hAnsi="Palatino Linotype" w:cs="Palatino Linotype"/>
          <w:color w:val="000000"/>
        </w:rPr>
        <w:t xml:space="preserve">; el recurso de revisión fue interpuesto el </w:t>
      </w:r>
      <w:r w:rsidR="00412CAC" w:rsidRPr="00693CDC">
        <w:rPr>
          <w:rFonts w:ascii="Palatino Linotype" w:eastAsia="Palatino Linotype" w:hAnsi="Palatino Linotype" w:cs="Palatino Linotype"/>
          <w:b/>
          <w:color w:val="000000"/>
        </w:rPr>
        <w:t>siete de febrero de dos mil veinticinco</w:t>
      </w:r>
      <w:r w:rsidRPr="00693CDC">
        <w:rPr>
          <w:rFonts w:ascii="Palatino Linotype" w:eastAsia="Palatino Linotype" w:hAnsi="Palatino Linotype" w:cs="Palatino Linotype"/>
          <w:color w:val="000000"/>
        </w:rPr>
        <w:t>, éste se encuentra dentro de los márgenes temporales previstos en el artículo 178 de la Ley de Transparencia y Acceso a la Información Pública del Estado de México y Municipios</w:t>
      </w:r>
      <w:r w:rsidRPr="00693CDC">
        <w:rPr>
          <w:rFonts w:ascii="Palatino Linotype" w:eastAsia="Palatino Linotype" w:hAnsi="Palatino Linotype" w:cs="Palatino Linotype"/>
          <w:b/>
          <w:color w:val="000000"/>
        </w:rPr>
        <w:t xml:space="preserve"> </w:t>
      </w:r>
      <w:r w:rsidRPr="00693CDC">
        <w:rPr>
          <w:rFonts w:ascii="Palatino Linotype" w:eastAsia="Palatino Linotype" w:hAnsi="Palatino Linotype" w:cs="Palatino Linotype"/>
          <w:color w:val="000000"/>
        </w:rPr>
        <w:t>vigente.</w:t>
      </w:r>
    </w:p>
    <w:p w:rsidR="00412CAC" w:rsidRPr="00693CDC" w:rsidRDefault="00412CAC" w:rsidP="00F752E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12CAC" w:rsidRPr="00693CDC" w:rsidRDefault="00412CAC" w:rsidP="00F752E9">
      <w:pPr>
        <w:numPr>
          <w:ilvl w:val="0"/>
          <w:numId w:val="1"/>
        </w:numPr>
        <w:spacing w:line="360" w:lineRule="auto"/>
        <w:contextualSpacing/>
        <w:jc w:val="both"/>
        <w:rPr>
          <w:rFonts w:ascii="Palatino Linotype" w:eastAsia="Calibri" w:hAnsi="Palatino Linotype" w:cs="Arial"/>
          <w:lang w:val="es-ES_tradnl" w:eastAsia="es-ES"/>
        </w:rPr>
      </w:pPr>
      <w:r w:rsidRPr="00693CDC">
        <w:rPr>
          <w:rFonts w:ascii="Palatino Linotype" w:eastAsia="Calibri" w:hAnsi="Palatino Linotype" w:cs="Arial"/>
          <w:lang w:val="es-ES_tradnl" w:eastAsia="es-ES"/>
        </w:rPr>
        <w:t xml:space="preserve">Por otra parte, de la revisión al expediente electrónico del </w:t>
      </w:r>
      <w:r w:rsidRPr="00693CDC">
        <w:rPr>
          <w:rFonts w:ascii="Palatino Linotype" w:eastAsia="Calibri" w:hAnsi="Palatino Linotype" w:cs="Arial"/>
          <w:b/>
          <w:lang w:val="es-ES_tradnl" w:eastAsia="es-ES"/>
        </w:rPr>
        <w:t>SAIMEX</w:t>
      </w:r>
      <w:r w:rsidRPr="00693CDC">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w:t>
      </w:r>
      <w:r w:rsidRPr="00693CDC">
        <w:rPr>
          <w:rFonts w:ascii="Palatino Linotype" w:eastAsia="Calibri" w:hAnsi="Palatino Linotype" w:cs="Arial"/>
          <w:lang w:val="es-ES_tradnl" w:eastAsia="es-ES"/>
        </w:rPr>
        <w:lastRenderedPageBreak/>
        <w:t>numeral 155 párrafo tercero de la Ley de la materia, en concatenación con el 180 del mismo ordenamiento.</w:t>
      </w:r>
    </w:p>
    <w:p w:rsidR="00412CAC" w:rsidRPr="00693CDC" w:rsidRDefault="00412CAC" w:rsidP="00F752E9">
      <w:pPr>
        <w:pStyle w:val="Prrafodelista"/>
        <w:ind w:left="0"/>
        <w:rPr>
          <w:rFonts w:ascii="Palatino Linotype" w:eastAsia="Calibri" w:hAnsi="Palatino Linotype" w:cs="Arial"/>
          <w:lang w:val="es-ES_tradnl" w:eastAsia="es-ES"/>
        </w:rPr>
      </w:pPr>
    </w:p>
    <w:p w:rsidR="00412CAC" w:rsidRPr="00693CDC" w:rsidRDefault="00412CAC" w:rsidP="00F752E9">
      <w:pPr>
        <w:numPr>
          <w:ilvl w:val="0"/>
          <w:numId w:val="1"/>
        </w:numPr>
        <w:spacing w:line="360" w:lineRule="auto"/>
        <w:contextualSpacing/>
        <w:jc w:val="both"/>
        <w:rPr>
          <w:rFonts w:ascii="Palatino Linotype" w:eastAsia="Calibri" w:hAnsi="Palatino Linotype" w:cs="Arial"/>
          <w:lang w:val="es-ES_tradnl" w:eastAsia="es-ES"/>
        </w:rPr>
      </w:pPr>
      <w:r w:rsidRPr="00693CDC">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693CDC">
        <w:rPr>
          <w:rFonts w:ascii="Palatino Linotype" w:eastAsia="Calibri" w:hAnsi="Palatino Linotype" w:cs="Arial"/>
          <w:bCs/>
          <w:lang w:val="es-ES" w:eastAsia="es-ES"/>
        </w:rPr>
        <w:t xml:space="preserve">5, párrafos vigésimo, vigésimo primero y vigésimo </w:t>
      </w:r>
      <w:r w:rsidR="003816B4" w:rsidRPr="00693CDC">
        <w:rPr>
          <w:rFonts w:ascii="Palatino Linotype" w:eastAsia="Calibri" w:hAnsi="Palatino Linotype" w:cs="Arial"/>
          <w:bCs/>
          <w:lang w:val="es-ES" w:eastAsia="es-ES"/>
        </w:rPr>
        <w:t>segundo</w:t>
      </w:r>
      <w:r w:rsidRPr="00693CDC">
        <w:rPr>
          <w:rFonts w:ascii="Palatino Linotype" w:eastAsia="Calibri" w:hAnsi="Palatino Linotype" w:cs="Arial"/>
          <w:bCs/>
          <w:lang w:val="es-ES" w:eastAsia="es-ES"/>
        </w:rPr>
        <w:t> fracciones IV y V </w:t>
      </w:r>
      <w:r w:rsidRPr="00693CDC">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12CAC" w:rsidRPr="00693CDC" w:rsidRDefault="00412CAC" w:rsidP="00F752E9">
      <w:pPr>
        <w:pStyle w:val="Prrafodelista"/>
        <w:ind w:left="0"/>
        <w:rPr>
          <w:rFonts w:ascii="Palatino Linotype" w:eastAsia="Calibri" w:hAnsi="Palatino Linotype" w:cs="Arial"/>
          <w:lang w:val="es-ES_tradnl" w:eastAsia="es-ES"/>
        </w:rPr>
      </w:pPr>
    </w:p>
    <w:p w:rsidR="00412CAC" w:rsidRPr="00693CDC" w:rsidRDefault="00412CAC" w:rsidP="00F752E9">
      <w:pPr>
        <w:numPr>
          <w:ilvl w:val="0"/>
          <w:numId w:val="1"/>
        </w:numPr>
        <w:spacing w:line="360" w:lineRule="auto"/>
        <w:contextualSpacing/>
        <w:jc w:val="both"/>
        <w:rPr>
          <w:rFonts w:ascii="Palatino Linotype" w:eastAsia="Calibri" w:hAnsi="Palatino Linotype" w:cs="Arial"/>
          <w:lang w:val="es-ES_tradnl" w:eastAsia="es-ES"/>
        </w:rPr>
      </w:pPr>
      <w:r w:rsidRPr="00693CDC">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12CAC" w:rsidRPr="00693CDC" w:rsidRDefault="00412CAC" w:rsidP="00F752E9">
      <w:pPr>
        <w:pStyle w:val="Prrafodelista"/>
        <w:ind w:left="0"/>
        <w:rPr>
          <w:rFonts w:ascii="Palatino Linotype" w:eastAsia="Calibri" w:hAnsi="Palatino Linotype" w:cs="Arial"/>
          <w:lang w:val="es-ES_tradnl" w:eastAsia="es-ES"/>
        </w:rPr>
      </w:pPr>
    </w:p>
    <w:p w:rsidR="00412CAC" w:rsidRPr="00693CDC" w:rsidRDefault="00412CAC" w:rsidP="00F752E9">
      <w:pPr>
        <w:numPr>
          <w:ilvl w:val="0"/>
          <w:numId w:val="1"/>
        </w:numPr>
        <w:spacing w:line="360" w:lineRule="auto"/>
        <w:contextualSpacing/>
        <w:jc w:val="both"/>
        <w:rPr>
          <w:rFonts w:ascii="Palatino Linotype" w:eastAsia="Calibri" w:hAnsi="Palatino Linotype" w:cs="Arial"/>
          <w:lang w:val="es-ES_tradnl" w:eastAsia="es-ES"/>
        </w:rPr>
      </w:pPr>
      <w:r w:rsidRPr="00693CDC">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12CAC" w:rsidRPr="00693CDC" w:rsidRDefault="00412CAC" w:rsidP="00F752E9">
      <w:pPr>
        <w:pStyle w:val="Prrafodelista"/>
        <w:ind w:left="0"/>
        <w:rPr>
          <w:rFonts w:ascii="Palatino Linotype" w:eastAsia="Calibri" w:hAnsi="Palatino Linotype" w:cs="Arial"/>
          <w:lang w:val="es-ES_tradnl" w:eastAsia="es-ES"/>
        </w:rPr>
      </w:pPr>
    </w:p>
    <w:p w:rsidR="00764DD4" w:rsidRPr="00693CDC" w:rsidRDefault="00412CAC" w:rsidP="00F752E9">
      <w:pPr>
        <w:numPr>
          <w:ilvl w:val="0"/>
          <w:numId w:val="1"/>
        </w:numPr>
        <w:spacing w:line="360" w:lineRule="auto"/>
        <w:contextualSpacing/>
        <w:jc w:val="both"/>
        <w:rPr>
          <w:rFonts w:ascii="Palatino Linotype" w:eastAsia="Calibri" w:hAnsi="Palatino Linotype" w:cs="Arial"/>
          <w:lang w:val="es-ES_tradnl" w:eastAsia="es-ES"/>
        </w:rPr>
      </w:pPr>
      <w:r w:rsidRPr="00693CDC">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693CDC">
        <w:rPr>
          <w:rFonts w:ascii="Palatino Linotype" w:eastAsia="Calibri" w:hAnsi="Palatino Linotype" w:cs="Arial"/>
          <w:lang w:val="es-ES_tradnl" w:eastAsia="es-ES"/>
        </w:rPr>
        <w:t>procedibilidad</w:t>
      </w:r>
      <w:proofErr w:type="spellEnd"/>
      <w:r w:rsidRPr="00693CDC">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93CDC">
        <w:rPr>
          <w:rFonts w:ascii="Palatino Linotype" w:eastAsia="Calibri" w:hAnsi="Palatino Linotype" w:cs="Arial"/>
          <w:lang w:val="es-ES_tradnl" w:eastAsia="es-ES"/>
        </w:rPr>
        <w:t>Resolutor</w:t>
      </w:r>
      <w:proofErr w:type="spellEnd"/>
      <w:r w:rsidRPr="00693CDC">
        <w:rPr>
          <w:rFonts w:ascii="Palatino Linotype" w:eastAsia="Calibri" w:hAnsi="Palatino Linotype" w:cs="Arial"/>
          <w:lang w:val="es-ES_tradnl" w:eastAsia="es-ES"/>
        </w:rPr>
        <w:t>.</w:t>
      </w:r>
    </w:p>
    <w:p w:rsidR="00412CAC" w:rsidRPr="00693CDC" w:rsidRDefault="00412CAC" w:rsidP="00F752E9">
      <w:pPr>
        <w:spacing w:line="360" w:lineRule="auto"/>
        <w:contextualSpacing/>
        <w:jc w:val="both"/>
        <w:rPr>
          <w:rFonts w:ascii="Palatino Linotype" w:eastAsia="Calibri" w:hAnsi="Palatino Linotype" w:cs="Arial"/>
          <w:lang w:val="es-ES_tradnl" w:eastAsia="es-ES"/>
        </w:rPr>
      </w:pPr>
    </w:p>
    <w:p w:rsidR="00764DD4" w:rsidRPr="00693CDC" w:rsidRDefault="00764DD4"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764DD4" w:rsidRPr="00693CDC" w:rsidRDefault="00764DD4" w:rsidP="00F752E9">
      <w:pPr>
        <w:pBdr>
          <w:top w:val="nil"/>
          <w:left w:val="nil"/>
          <w:bottom w:val="nil"/>
          <w:right w:val="nil"/>
          <w:between w:val="nil"/>
        </w:pBdr>
        <w:rPr>
          <w:rFonts w:ascii="Palatino Linotype" w:eastAsia="Palatino Linotype" w:hAnsi="Palatino Linotype" w:cs="Palatino Linotype"/>
          <w:color w:val="000000"/>
        </w:rPr>
      </w:pPr>
    </w:p>
    <w:p w:rsidR="00764DD4" w:rsidRPr="00693CDC" w:rsidRDefault="00764DD4" w:rsidP="00F752E9">
      <w:pPr>
        <w:pStyle w:val="Ttulo2"/>
        <w:spacing w:before="0"/>
        <w:rPr>
          <w:rFonts w:ascii="Palatino Linotype" w:eastAsia="Palatino Linotype" w:hAnsi="Palatino Linotype" w:cs="Palatino Linotype"/>
          <w:b/>
          <w:color w:val="000000"/>
          <w:sz w:val="24"/>
          <w:szCs w:val="24"/>
        </w:rPr>
      </w:pPr>
      <w:bookmarkStart w:id="5" w:name="_heading=h.tyjcwt" w:colFirst="0" w:colLast="0"/>
      <w:bookmarkEnd w:id="5"/>
      <w:r w:rsidRPr="00693CDC">
        <w:rPr>
          <w:rFonts w:ascii="Palatino Linotype" w:eastAsia="Palatino Linotype" w:hAnsi="Palatino Linotype" w:cs="Palatino Linotype"/>
          <w:b/>
          <w:color w:val="000000"/>
          <w:sz w:val="24"/>
          <w:szCs w:val="24"/>
        </w:rPr>
        <w:t xml:space="preserve">TERCERO. Del planteamiento de la </w:t>
      </w:r>
      <w:r w:rsidRPr="00693CDC">
        <w:rPr>
          <w:rFonts w:ascii="Palatino Linotype" w:eastAsia="Palatino Linotype" w:hAnsi="Palatino Linotype" w:cs="Palatino Linotype"/>
          <w:b/>
          <w:i/>
          <w:color w:val="000000"/>
          <w:sz w:val="24"/>
          <w:szCs w:val="24"/>
        </w:rPr>
        <w:t>Litis</w:t>
      </w:r>
      <w:r w:rsidRPr="00693CDC">
        <w:rPr>
          <w:rFonts w:ascii="Palatino Linotype" w:eastAsia="Palatino Linotype" w:hAnsi="Palatino Linotype" w:cs="Palatino Linotype"/>
          <w:b/>
          <w:color w:val="000000"/>
          <w:sz w:val="24"/>
          <w:szCs w:val="24"/>
        </w:rPr>
        <w:t>.</w:t>
      </w:r>
    </w:p>
    <w:p w:rsidR="00764DD4" w:rsidRPr="00693CDC" w:rsidRDefault="00764DD4" w:rsidP="00F752E9">
      <w:pPr>
        <w:rPr>
          <w:rFonts w:ascii="Palatino Linotype" w:hAnsi="Palatino Linotype"/>
          <w:lang w:eastAsia="en-US"/>
        </w:rPr>
      </w:pPr>
    </w:p>
    <w:p w:rsidR="00764DD4" w:rsidRPr="00693CDC" w:rsidRDefault="00764DD4" w:rsidP="00F752E9">
      <w:pPr>
        <w:rPr>
          <w:rFonts w:ascii="Palatino Linotype" w:eastAsia="Palatino Linotype" w:hAnsi="Palatino Linotype" w:cs="Palatino Linotype"/>
          <w:color w:val="000000"/>
        </w:rPr>
      </w:pPr>
    </w:p>
    <w:p w:rsidR="00764DD4" w:rsidRPr="00693CDC" w:rsidRDefault="00412CAC"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693CDC">
        <w:rPr>
          <w:rFonts w:ascii="Palatino Linotype" w:eastAsia="Palatino Linotype" w:hAnsi="Palatino Linotype" w:cs="Palatino Linotype"/>
          <w:color w:val="000000"/>
        </w:rPr>
        <w:t xml:space="preserve">El Recurrente, solicitó los contratos de obra pública, propuestas técnicas y económicas de las empresas ganadoras que firmaron los contratos y las actas de entrega recepción de las obras, del periodo comprendido del primero de enero al treinta de junio de dos mil veintidós. </w:t>
      </w:r>
    </w:p>
    <w:p w:rsidR="002838D3" w:rsidRPr="00693CDC" w:rsidRDefault="002838D3" w:rsidP="00F752E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p>
    <w:p w:rsidR="002838D3" w:rsidRPr="00693CDC" w:rsidRDefault="002838D3"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693CDC">
        <w:rPr>
          <w:rFonts w:ascii="Palatino Linotype" w:eastAsia="Palatino Linotype" w:hAnsi="Palatino Linotype" w:cs="Palatino Linotype"/>
          <w:color w:val="000000"/>
        </w:rPr>
        <w:t xml:space="preserve">Posteriormente, el Sujeto Obligado realizó el cambio de modalidad en la entrega de la información a consulta directa. Derivado de ello, el particular interpuso recurso de revisión en el que señaló su inconformidad por la negativa de la información. </w:t>
      </w:r>
    </w:p>
    <w:p w:rsidR="00764DD4" w:rsidRPr="00693CDC" w:rsidRDefault="00764DD4" w:rsidP="00F752E9">
      <w:pPr>
        <w:pBdr>
          <w:top w:val="nil"/>
          <w:left w:val="nil"/>
          <w:bottom w:val="nil"/>
          <w:right w:val="nil"/>
          <w:between w:val="nil"/>
        </w:pBdr>
        <w:rPr>
          <w:rFonts w:ascii="Palatino Linotype" w:eastAsia="Palatino Linotype" w:hAnsi="Palatino Linotype" w:cs="Palatino Linotype"/>
          <w:color w:val="000000"/>
        </w:rPr>
      </w:pPr>
    </w:p>
    <w:p w:rsidR="00764DD4" w:rsidRPr="00693CDC" w:rsidRDefault="00764DD4" w:rsidP="00F752E9">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lastRenderedPageBreak/>
        <w:t xml:space="preserve">Por lo anterior, la </w:t>
      </w:r>
      <w:r w:rsidRPr="00693CDC">
        <w:rPr>
          <w:rFonts w:ascii="Palatino Linotype" w:eastAsia="Palatino Linotype" w:hAnsi="Palatino Linotype" w:cs="Palatino Linotype"/>
          <w:i/>
          <w:color w:val="000000"/>
        </w:rPr>
        <w:t>Litis</w:t>
      </w:r>
      <w:r w:rsidRPr="00693CDC">
        <w:rPr>
          <w:rFonts w:ascii="Palatino Linotype" w:eastAsia="Palatino Linotype" w:hAnsi="Palatino Linotype" w:cs="Palatino Linotype"/>
          <w:color w:val="000000"/>
        </w:rPr>
        <w:t xml:space="preserve"> a resolver en el presente recurso se circunscribe en determinar si la respuesta del </w:t>
      </w:r>
      <w:r w:rsidRPr="00693CDC">
        <w:rPr>
          <w:rFonts w:ascii="Palatino Linotype" w:eastAsia="Palatino Linotype" w:hAnsi="Palatino Linotype" w:cs="Palatino Linotype"/>
          <w:b/>
          <w:color w:val="000000"/>
        </w:rPr>
        <w:t>SUJETO OBLIGADO</w:t>
      </w:r>
      <w:r w:rsidRPr="00693CDC">
        <w:rPr>
          <w:rFonts w:ascii="Palatino Linotype" w:eastAsia="Palatino Linotype" w:hAnsi="Palatino Linotype" w:cs="Palatino Linotype"/>
          <w:color w:val="000000"/>
        </w:rPr>
        <w:t xml:space="preserve"> colma el derecho de acceso a la información ejercido por el </w:t>
      </w:r>
      <w:r w:rsidRPr="00693CDC">
        <w:rPr>
          <w:rFonts w:ascii="Palatino Linotype" w:eastAsia="Palatino Linotype" w:hAnsi="Palatino Linotype" w:cs="Palatino Linotype"/>
          <w:b/>
          <w:color w:val="000000"/>
        </w:rPr>
        <w:t>RECURRENTE</w:t>
      </w:r>
      <w:r w:rsidRPr="00693CDC">
        <w:rPr>
          <w:rFonts w:ascii="Palatino Linotype" w:eastAsia="Palatino Linotype" w:hAnsi="Palatino Linotype" w:cs="Palatino Linotype"/>
          <w:color w:val="000000"/>
        </w:rPr>
        <w:t xml:space="preserve">; o si, por el contrario, se actualiza la causal de procedencia del recurso de revisión establecida en la fracción I del artículo 179 de la Ley de Transparencia y Acceso a la Información Pública del Estado de México y Municipios, </w:t>
      </w:r>
      <w:r w:rsidR="002838D3" w:rsidRPr="00693CDC">
        <w:rPr>
          <w:rFonts w:ascii="Palatino Linotype" w:eastAsia="Palatino Linotype" w:hAnsi="Palatino Linotype" w:cs="Palatino Linotype"/>
          <w:color w:val="000000"/>
        </w:rPr>
        <w:t xml:space="preserve">que establece la negativa de la información. </w:t>
      </w:r>
    </w:p>
    <w:p w:rsidR="00764DD4" w:rsidRPr="00693CDC" w:rsidRDefault="00764DD4" w:rsidP="00F752E9">
      <w:pPr>
        <w:pBdr>
          <w:top w:val="nil"/>
          <w:left w:val="nil"/>
          <w:bottom w:val="nil"/>
          <w:right w:val="nil"/>
          <w:between w:val="nil"/>
        </w:pBdr>
        <w:rPr>
          <w:rFonts w:ascii="Palatino Linotype" w:eastAsia="Palatino Linotype" w:hAnsi="Palatino Linotype" w:cs="Palatino Linotype"/>
          <w:color w:val="000000"/>
        </w:rPr>
      </w:pPr>
    </w:p>
    <w:p w:rsidR="00764DD4" w:rsidRPr="00693CDC" w:rsidRDefault="00764DD4" w:rsidP="00F752E9">
      <w:pPr>
        <w:pStyle w:val="Ttulo2"/>
        <w:tabs>
          <w:tab w:val="left" w:pos="426"/>
        </w:tabs>
        <w:rPr>
          <w:rFonts w:ascii="Palatino Linotype" w:eastAsia="Palatino Linotype" w:hAnsi="Palatino Linotype" w:cs="Palatino Linotype"/>
          <w:b/>
          <w:color w:val="000000"/>
          <w:sz w:val="24"/>
          <w:szCs w:val="24"/>
        </w:rPr>
      </w:pPr>
      <w:bookmarkStart w:id="6" w:name="_heading=h.3dy6vkm" w:colFirst="0" w:colLast="0"/>
      <w:bookmarkEnd w:id="6"/>
      <w:r w:rsidRPr="00693CDC">
        <w:rPr>
          <w:rFonts w:ascii="Palatino Linotype" w:eastAsia="Palatino Linotype" w:hAnsi="Palatino Linotype" w:cs="Palatino Linotype"/>
          <w:b/>
          <w:color w:val="000000"/>
          <w:sz w:val="24"/>
          <w:szCs w:val="24"/>
        </w:rPr>
        <w:t>CUARTO. Estudio y Resolución del asunto.</w:t>
      </w:r>
      <w:bookmarkStart w:id="7" w:name="_heading=h.1t3h5sf" w:colFirst="0" w:colLast="0"/>
      <w:bookmarkStart w:id="8" w:name="_heading=h.4d34og8" w:colFirst="0" w:colLast="0"/>
      <w:bookmarkStart w:id="9" w:name="_heading=h.lnxbz9" w:colFirst="0" w:colLast="0"/>
      <w:bookmarkEnd w:id="7"/>
      <w:bookmarkEnd w:id="8"/>
      <w:bookmarkEnd w:id="9"/>
    </w:p>
    <w:p w:rsidR="00764DD4" w:rsidRPr="00693CDC" w:rsidRDefault="00764DD4" w:rsidP="00F752E9">
      <w:pPr>
        <w:pStyle w:val="Prrafodelista"/>
        <w:ind w:left="0"/>
        <w:rPr>
          <w:rFonts w:ascii="Palatino Linotype" w:hAnsi="Palatino Linotype" w:cs="Arial"/>
          <w:color w:val="000000"/>
        </w:rPr>
      </w:pPr>
    </w:p>
    <w:p w:rsidR="00764DD4" w:rsidRPr="00693CDC" w:rsidRDefault="00764DD4" w:rsidP="00F752E9">
      <w:pPr>
        <w:numPr>
          <w:ilvl w:val="0"/>
          <w:numId w:val="1"/>
        </w:numPr>
        <w:spacing w:line="360" w:lineRule="auto"/>
        <w:contextualSpacing/>
        <w:jc w:val="both"/>
        <w:rPr>
          <w:rFonts w:ascii="Palatino Linotype" w:eastAsiaTheme="minorEastAsia" w:hAnsi="Palatino Linotype"/>
          <w:lang w:val="es-ES_tradnl" w:eastAsia="es-ES"/>
        </w:rPr>
      </w:pPr>
      <w:r w:rsidRPr="00693CDC">
        <w:rPr>
          <w:rFonts w:ascii="Palatino Linotype"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693CDC">
        <w:rPr>
          <w:rFonts w:ascii="Palatino Linotype" w:eastAsia="Calibri" w:hAnsi="Palatino Linotype" w:cs="Arial"/>
          <w:lang w:val="es-ES"/>
        </w:rPr>
        <w:t>Ley de Transparencia y Acceso a la Información Pública del Estado de México y Municipios</w:t>
      </w:r>
      <w:r w:rsidRPr="00693CDC">
        <w:rPr>
          <w:rFonts w:ascii="Palatino Linotype" w:hAnsi="Palatino Linotype" w:cs="Arial"/>
          <w:lang w:val="es-ES"/>
        </w:rPr>
        <w:t>.</w:t>
      </w:r>
    </w:p>
    <w:p w:rsidR="002838D3" w:rsidRPr="00693CDC" w:rsidRDefault="00764DD4" w:rsidP="00F752E9">
      <w:pPr>
        <w:pStyle w:val="Prrafodelista"/>
        <w:numPr>
          <w:ilvl w:val="0"/>
          <w:numId w:val="1"/>
        </w:numPr>
        <w:spacing w:before="240" w:after="240" w:line="360" w:lineRule="auto"/>
        <w:jc w:val="both"/>
        <w:rPr>
          <w:rFonts w:ascii="Palatino Linotype" w:eastAsia="MS Mincho" w:hAnsi="Palatino Linotype" w:cs="Arial"/>
          <w:lang w:val="es-ES_tradnl" w:eastAsia="es-ES"/>
        </w:rPr>
      </w:pPr>
      <w:r w:rsidRPr="00693CDC">
        <w:rPr>
          <w:rFonts w:ascii="Palatino Linotype" w:eastAsia="MS Mincho" w:hAnsi="Palatino Linotype" w:cs="Arial"/>
          <w:lang w:eastAsia="es-ES"/>
        </w:rPr>
        <w:t>El Recurrente solicitó</w:t>
      </w:r>
      <w:r w:rsidR="002838D3" w:rsidRPr="00693CDC">
        <w:rPr>
          <w:rFonts w:ascii="Palatino Linotype" w:eastAsia="Palatino Linotype" w:hAnsi="Palatino Linotype" w:cs="Palatino Linotype"/>
          <w:color w:val="000000"/>
        </w:rPr>
        <w:t xml:space="preserve"> los contratos de obra pública, propuestas técnicas y económicas de las empresas ganadoras que firmaron los contratos y las actas de entrega recepción de las obras, del periodo comprendido del primero de enero al treinta de junio de dos mil veintidós. Posteriormente, el Sujeto Obligado realizó el cambio de modalidad en la entrega de la información a consulta directa.</w:t>
      </w:r>
    </w:p>
    <w:p w:rsidR="00764DD4" w:rsidRPr="00693CDC" w:rsidRDefault="00764DD4" w:rsidP="00F752E9">
      <w:pPr>
        <w:pStyle w:val="Prrafodelista"/>
        <w:spacing w:before="240" w:after="240" w:line="360" w:lineRule="auto"/>
        <w:ind w:left="0"/>
        <w:jc w:val="both"/>
        <w:rPr>
          <w:rFonts w:ascii="Palatino Linotype" w:eastAsia="MS Mincho" w:hAnsi="Palatino Linotype" w:cs="Arial"/>
          <w:lang w:val="es-ES_tradnl" w:eastAsia="es-ES"/>
        </w:rPr>
      </w:pPr>
    </w:p>
    <w:p w:rsidR="00764DD4" w:rsidRPr="00693CDC" w:rsidRDefault="00764DD4" w:rsidP="00F752E9">
      <w:pPr>
        <w:pStyle w:val="Prrafodelista"/>
        <w:numPr>
          <w:ilvl w:val="0"/>
          <w:numId w:val="1"/>
        </w:numPr>
        <w:spacing w:line="360" w:lineRule="auto"/>
        <w:jc w:val="both"/>
        <w:rPr>
          <w:rFonts w:ascii="Palatino Linotype" w:hAnsi="Palatino Linotype"/>
        </w:rPr>
      </w:pPr>
      <w:r w:rsidRPr="00693CDC">
        <w:rPr>
          <w:rFonts w:ascii="Palatino Linotype" w:hAnsi="Palatino Linotype"/>
        </w:rPr>
        <w:t xml:space="preserve">Primeramente, se precisa que se obvia el análisis de la competencia por parte del </w:t>
      </w:r>
      <w:r w:rsidRPr="00693CDC">
        <w:rPr>
          <w:rFonts w:ascii="Palatino Linotype" w:hAnsi="Palatino Linotype"/>
          <w:b/>
          <w:bCs/>
        </w:rPr>
        <w:t>SUJETO OBLIGADO</w:t>
      </w:r>
      <w:r w:rsidRPr="00693CDC">
        <w:rPr>
          <w:rFonts w:ascii="Palatino Linotype" w:hAnsi="Palatino Linotype"/>
        </w:rPr>
        <w:t>, para generar, administrar o poseer la información solicitada, dado que éste ha asumido la misma, en razón de que en su respuesta admitió contar con dicha información.</w:t>
      </w:r>
    </w:p>
    <w:p w:rsidR="00764DD4" w:rsidRPr="00693CDC" w:rsidRDefault="00764DD4" w:rsidP="00F752E9">
      <w:pPr>
        <w:pStyle w:val="Prrafodelista"/>
        <w:spacing w:line="360" w:lineRule="auto"/>
        <w:ind w:left="0"/>
        <w:jc w:val="both"/>
        <w:rPr>
          <w:rFonts w:ascii="Palatino Linotype" w:hAnsi="Palatino Linotype"/>
        </w:rPr>
      </w:pPr>
    </w:p>
    <w:p w:rsidR="00764DD4" w:rsidRPr="00693CDC" w:rsidRDefault="00764DD4" w:rsidP="00F752E9">
      <w:pPr>
        <w:pStyle w:val="Prrafodelista"/>
        <w:numPr>
          <w:ilvl w:val="0"/>
          <w:numId w:val="1"/>
        </w:numPr>
        <w:spacing w:line="360" w:lineRule="auto"/>
        <w:jc w:val="both"/>
        <w:rPr>
          <w:rFonts w:ascii="Palatino Linotype" w:hAnsi="Palatino Linotype"/>
        </w:rPr>
      </w:pPr>
      <w:r w:rsidRPr="00693CDC">
        <w:rPr>
          <w:rFonts w:ascii="Palatino Linotype" w:hAnsi="Palatino Linotype"/>
        </w:rPr>
        <w:lastRenderedPageBreak/>
        <w:t xml:space="preserve">En efecto, el hecho de que </w:t>
      </w:r>
      <w:r w:rsidRPr="00693CDC">
        <w:rPr>
          <w:rFonts w:ascii="Palatino Linotype" w:hAnsi="Palatino Linotype"/>
          <w:b/>
          <w:bCs/>
        </w:rPr>
        <w:t>EL SUJETO OBLIGADO</w:t>
      </w:r>
      <w:r w:rsidRPr="00693CDC">
        <w:rPr>
          <w:rFonts w:ascii="Palatino Linotype" w:hAnsi="Palatino Linotype"/>
        </w:rPr>
        <w:t xml:space="preserve"> haya admitido contar con la información pública solicitada, acepta que l</w:t>
      </w:r>
      <w:bookmarkStart w:id="10" w:name="_Hlk94787977"/>
      <w:r w:rsidRPr="00693CDC">
        <w:rPr>
          <w:rFonts w:ascii="Palatino Linotype" w:hAnsi="Palatino Linotype"/>
        </w:rPr>
        <w:t>a genera, posee y administra, en ejercicio de sus funciones</w:t>
      </w:r>
      <w:bookmarkEnd w:id="10"/>
      <w:r w:rsidRPr="00693CDC">
        <w:rPr>
          <w:rFonts w:ascii="Palatino Linotype" w:hAnsi="Palatino Linotype"/>
        </w:rPr>
        <w:t xml:space="preserve"> de derecho público, motivo por el cual se actualiza el supuesto jurídico, previsto en el artículo 12 de la Ley de Transparencia y Acceso a la Información Pública del Estado de México y Municipios.</w:t>
      </w:r>
    </w:p>
    <w:p w:rsidR="00764DD4" w:rsidRPr="00693CDC" w:rsidRDefault="00764DD4" w:rsidP="00F752E9">
      <w:pPr>
        <w:pStyle w:val="Prrafodelista"/>
        <w:spacing w:line="360" w:lineRule="auto"/>
        <w:ind w:left="0"/>
        <w:jc w:val="both"/>
        <w:rPr>
          <w:rFonts w:ascii="Palatino Linotype" w:hAnsi="Palatino Linotype"/>
        </w:rPr>
      </w:pPr>
    </w:p>
    <w:p w:rsidR="00764DD4" w:rsidRPr="00693CDC" w:rsidRDefault="00764DD4" w:rsidP="00F752E9">
      <w:pPr>
        <w:pStyle w:val="Prrafodelista"/>
        <w:spacing w:line="276" w:lineRule="auto"/>
        <w:ind w:left="0"/>
        <w:jc w:val="both"/>
        <w:rPr>
          <w:rFonts w:ascii="Palatino Linotype" w:hAnsi="Palatino Linotype"/>
          <w:i/>
          <w:iCs/>
        </w:rPr>
      </w:pPr>
      <w:r w:rsidRPr="00693CDC">
        <w:rPr>
          <w:rFonts w:ascii="Palatino Linotype" w:hAnsi="Palatino Linotype"/>
          <w:i/>
          <w:iCs/>
        </w:rPr>
        <w:t>“</w:t>
      </w:r>
      <w:r w:rsidRPr="00693CDC">
        <w:rPr>
          <w:rFonts w:ascii="Palatino Linotype" w:hAnsi="Palatino Linotype"/>
          <w:b/>
          <w:bCs/>
          <w:i/>
          <w:iCs/>
        </w:rPr>
        <w:t>Artículo 12.</w:t>
      </w:r>
      <w:r w:rsidRPr="00693CDC">
        <w:rPr>
          <w:rFonts w:ascii="Palatino Linotype" w:hAnsi="Palatino Linotype"/>
          <w:i/>
          <w:iCs/>
        </w:rPr>
        <w:t> Quienes generen, recopilen, administren, manejen, procesen, archiven o conserven información pública serán responsables de la misma en los términos de las disposiciones jurídicas aplicables.</w:t>
      </w:r>
    </w:p>
    <w:p w:rsidR="00764DD4" w:rsidRPr="00693CDC" w:rsidRDefault="00764DD4" w:rsidP="00F752E9">
      <w:pPr>
        <w:pStyle w:val="Prrafodelista"/>
        <w:spacing w:line="276" w:lineRule="auto"/>
        <w:ind w:left="0"/>
        <w:jc w:val="both"/>
        <w:rPr>
          <w:rFonts w:ascii="Palatino Linotype" w:hAnsi="Palatino Linotype"/>
          <w:i/>
          <w:iCs/>
        </w:rPr>
      </w:pPr>
    </w:p>
    <w:p w:rsidR="00764DD4" w:rsidRPr="00693CDC" w:rsidRDefault="00764DD4" w:rsidP="00F752E9">
      <w:pPr>
        <w:pStyle w:val="Prrafodelista"/>
        <w:spacing w:line="276" w:lineRule="auto"/>
        <w:ind w:left="0"/>
        <w:jc w:val="both"/>
        <w:rPr>
          <w:rFonts w:ascii="Palatino Linotype" w:hAnsi="Palatino Linotype"/>
          <w:i/>
          <w:iCs/>
        </w:rPr>
      </w:pPr>
      <w:r w:rsidRPr="00693CDC">
        <w:rPr>
          <w:rFonts w:ascii="Palatino Linotype" w:hAnsi="Palatino Linotype"/>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64DD4" w:rsidRPr="00693CDC" w:rsidRDefault="00764DD4" w:rsidP="00F752E9">
      <w:pPr>
        <w:pStyle w:val="Prrafodelista"/>
        <w:spacing w:line="276" w:lineRule="auto"/>
        <w:ind w:left="0"/>
        <w:jc w:val="both"/>
        <w:rPr>
          <w:rFonts w:ascii="Palatino Linotype" w:hAnsi="Palatino Linotype"/>
        </w:rPr>
      </w:pPr>
    </w:p>
    <w:p w:rsidR="00764DD4" w:rsidRPr="00693CDC" w:rsidRDefault="00764DD4" w:rsidP="00F752E9">
      <w:pPr>
        <w:pStyle w:val="Prrafodelista"/>
        <w:numPr>
          <w:ilvl w:val="0"/>
          <w:numId w:val="1"/>
        </w:numPr>
        <w:spacing w:line="360" w:lineRule="auto"/>
        <w:jc w:val="both"/>
        <w:rPr>
          <w:rFonts w:ascii="Palatino Linotype" w:hAnsi="Palatino Linotype"/>
        </w:rPr>
      </w:pPr>
      <w:r w:rsidRPr="00693CDC">
        <w:rPr>
          <w:rFonts w:ascii="Palatino Linotype" w:hAnsi="Palatino Linotype"/>
        </w:rPr>
        <w:t>Así, el estudio de la naturaleza jurídica de la información pública solicitada, tiene por objeto determinar si ésta la genera, posee o administra </w:t>
      </w:r>
      <w:r w:rsidRPr="00693CDC">
        <w:rPr>
          <w:rFonts w:ascii="Palatino Linotype" w:hAnsi="Palatino Linotype"/>
          <w:b/>
          <w:bCs/>
        </w:rPr>
        <w:t>EL SUJETO OBLIGADO</w:t>
      </w:r>
      <w:r w:rsidRPr="00693CDC">
        <w:rPr>
          <w:rFonts w:ascii="Palatino Linotype" w:hAnsi="Palatino Linotype"/>
        </w:rPr>
        <w:t xml:space="preserve">; sin embargo, en aquellos casos en que éste la asume, a nada práctico nos conduciría su estudio, ya que se insiste, dicha información, fue admitida por el mismo, tan ese así que señaló que la información podía ser consultada </w:t>
      </w:r>
      <w:r w:rsidR="00EE614E" w:rsidRPr="00693CDC">
        <w:rPr>
          <w:rFonts w:ascii="Palatino Linotype" w:hAnsi="Palatino Linotype"/>
        </w:rPr>
        <w:t>directamente en las oficinas de la Unidad de Transparencia del Sujeto Obligado</w:t>
      </w:r>
      <w:r w:rsidRPr="00693CDC">
        <w:rPr>
          <w:rFonts w:ascii="Palatino Linotype" w:hAnsi="Palatino Linotype"/>
        </w:rPr>
        <w:t>; por lo que, la genera, posee y administra, en ejercicio de sus funciones de derecho público, motivo por el cual, se actualiza el supuesto jurídico, previsto en el artículo 12 de la Ley de la materia, anteriormente referido.</w:t>
      </w:r>
    </w:p>
    <w:p w:rsidR="00764DD4" w:rsidRPr="00693CDC" w:rsidRDefault="00764DD4" w:rsidP="00F752E9">
      <w:pPr>
        <w:pStyle w:val="Prrafodelista"/>
        <w:ind w:left="0"/>
        <w:rPr>
          <w:rFonts w:ascii="Palatino Linotype" w:hAnsi="Palatino Linotype"/>
        </w:rPr>
      </w:pPr>
    </w:p>
    <w:p w:rsidR="00764DD4" w:rsidRPr="00693CDC" w:rsidRDefault="00764DD4" w:rsidP="00F752E9">
      <w:pPr>
        <w:pStyle w:val="Prrafodelista"/>
        <w:numPr>
          <w:ilvl w:val="0"/>
          <w:numId w:val="1"/>
        </w:numPr>
        <w:tabs>
          <w:tab w:val="left" w:pos="567"/>
        </w:tabs>
        <w:spacing w:line="360" w:lineRule="auto"/>
        <w:jc w:val="both"/>
        <w:rPr>
          <w:rFonts w:ascii="Palatino Linotype" w:eastAsia="MS Mincho" w:hAnsi="Palatino Linotype"/>
        </w:rPr>
      </w:pPr>
      <w:r w:rsidRPr="00693CDC">
        <w:rPr>
          <w:rFonts w:ascii="Palatino Linotype" w:hAnsi="Palatino Linotype"/>
        </w:rPr>
        <w:t>Ahora bien, la Ley de Transparencia y Acceso a la Información Pública del Estado de México y Municipios establece en los artículos 155 fracción V, 158 y 164 lo siguiente:</w:t>
      </w:r>
    </w:p>
    <w:p w:rsidR="00764DD4" w:rsidRPr="00693CDC" w:rsidRDefault="00764DD4" w:rsidP="00F752E9">
      <w:pPr>
        <w:pStyle w:val="Prrafodelista"/>
        <w:tabs>
          <w:tab w:val="left" w:pos="567"/>
        </w:tabs>
        <w:spacing w:line="360" w:lineRule="auto"/>
        <w:ind w:left="0"/>
        <w:jc w:val="both"/>
        <w:rPr>
          <w:rFonts w:ascii="Palatino Linotype" w:eastAsia="MS Mincho" w:hAnsi="Palatino Linotype"/>
        </w:rPr>
      </w:pPr>
    </w:p>
    <w:p w:rsidR="00764DD4" w:rsidRPr="00693CDC" w:rsidRDefault="00764DD4" w:rsidP="00F752E9">
      <w:pPr>
        <w:pStyle w:val="Prrafodelista"/>
        <w:tabs>
          <w:tab w:val="left" w:pos="851"/>
        </w:tabs>
        <w:spacing w:before="240" w:after="240" w:line="360" w:lineRule="auto"/>
        <w:ind w:left="0"/>
        <w:jc w:val="both"/>
        <w:rPr>
          <w:rFonts w:ascii="Palatino Linotype" w:hAnsi="Palatino Linotype"/>
          <w:i/>
          <w:iCs/>
        </w:rPr>
      </w:pPr>
      <w:r w:rsidRPr="00693CDC">
        <w:rPr>
          <w:rFonts w:ascii="Palatino Linotype" w:hAnsi="Palatino Linotype"/>
          <w:i/>
          <w:iCs/>
        </w:rPr>
        <w:t>Artículo 155. Para presentar una solicitud por escrito, no se podrán exigir mayores requisitos que los siguientes:</w:t>
      </w:r>
    </w:p>
    <w:p w:rsidR="00764DD4" w:rsidRPr="00693CDC" w:rsidRDefault="00764DD4" w:rsidP="00F752E9">
      <w:pPr>
        <w:pStyle w:val="Prrafodelista"/>
        <w:tabs>
          <w:tab w:val="left" w:pos="851"/>
        </w:tabs>
        <w:spacing w:before="240" w:after="240" w:line="360" w:lineRule="auto"/>
        <w:ind w:left="0"/>
        <w:jc w:val="both"/>
        <w:rPr>
          <w:rFonts w:ascii="Palatino Linotype" w:hAnsi="Palatino Linotype"/>
          <w:i/>
          <w:iCs/>
        </w:rPr>
      </w:pPr>
      <w:r w:rsidRPr="00693CDC">
        <w:rPr>
          <w:rFonts w:ascii="Palatino Linotype" w:hAnsi="Palatino Linotype"/>
          <w:i/>
          <w:iCs/>
        </w:rPr>
        <w:t>I. a IV. …</w:t>
      </w:r>
    </w:p>
    <w:p w:rsidR="00764DD4" w:rsidRPr="00693CDC" w:rsidRDefault="00764DD4" w:rsidP="00F752E9">
      <w:pPr>
        <w:pStyle w:val="Prrafodelista"/>
        <w:tabs>
          <w:tab w:val="left" w:pos="851"/>
        </w:tabs>
        <w:spacing w:before="240" w:after="240" w:line="360" w:lineRule="auto"/>
        <w:ind w:left="0"/>
        <w:jc w:val="both"/>
        <w:rPr>
          <w:rFonts w:ascii="Palatino Linotype" w:hAnsi="Palatino Linotype"/>
          <w:i/>
          <w:iCs/>
        </w:rPr>
      </w:pPr>
      <w:r w:rsidRPr="00693CDC">
        <w:rPr>
          <w:rFonts w:ascii="Palatino Linotype" w:hAnsi="Palatino Linotype"/>
          <w:i/>
          <w:iC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764DD4" w:rsidRPr="00693CDC" w:rsidRDefault="00764DD4" w:rsidP="00F752E9">
      <w:pPr>
        <w:pStyle w:val="Prrafodelista"/>
        <w:tabs>
          <w:tab w:val="left" w:pos="851"/>
        </w:tabs>
        <w:spacing w:before="240" w:after="240" w:line="360" w:lineRule="auto"/>
        <w:ind w:left="0"/>
        <w:jc w:val="both"/>
        <w:rPr>
          <w:rFonts w:ascii="Palatino Linotype" w:hAnsi="Palatino Linotype"/>
          <w:i/>
          <w:iCs/>
        </w:rPr>
      </w:pPr>
      <w:r w:rsidRPr="00693CDC">
        <w:rPr>
          <w:rFonts w:ascii="Palatino Linotype" w:hAnsi="Palatino Linotype"/>
          <w:i/>
          <w:iCs/>
        </w:rPr>
        <w:t>…</w:t>
      </w:r>
    </w:p>
    <w:p w:rsidR="00764DD4" w:rsidRPr="00693CDC" w:rsidRDefault="00764DD4" w:rsidP="00F752E9">
      <w:pPr>
        <w:pStyle w:val="Prrafodelista"/>
        <w:tabs>
          <w:tab w:val="left" w:pos="851"/>
        </w:tabs>
        <w:spacing w:before="240" w:after="240" w:line="360" w:lineRule="auto"/>
        <w:ind w:left="0"/>
        <w:jc w:val="both"/>
        <w:rPr>
          <w:rFonts w:ascii="Palatino Linotype" w:hAnsi="Palatino Linotype"/>
          <w:i/>
          <w:iCs/>
        </w:rPr>
      </w:pPr>
      <w:r w:rsidRPr="00693CDC">
        <w:rPr>
          <w:rFonts w:ascii="Palatino Linotype" w:hAnsi="Palatino Linotype"/>
          <w:i/>
          <w:iCs/>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764DD4" w:rsidRPr="00693CDC" w:rsidRDefault="00764DD4" w:rsidP="00F752E9">
      <w:pPr>
        <w:pStyle w:val="Prrafodelista"/>
        <w:tabs>
          <w:tab w:val="left" w:pos="851"/>
        </w:tabs>
        <w:spacing w:before="240" w:after="240" w:line="360" w:lineRule="auto"/>
        <w:ind w:left="0"/>
        <w:jc w:val="both"/>
        <w:rPr>
          <w:rFonts w:ascii="Palatino Linotype" w:hAnsi="Palatino Linotype"/>
          <w:i/>
          <w:iCs/>
        </w:rPr>
      </w:pPr>
      <w:r w:rsidRPr="00693CDC">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rsidR="00764DD4" w:rsidRPr="00693CDC" w:rsidRDefault="00764DD4" w:rsidP="00F752E9">
      <w:pPr>
        <w:pStyle w:val="Prrafodelista"/>
        <w:tabs>
          <w:tab w:val="left" w:pos="851"/>
        </w:tabs>
        <w:spacing w:before="240" w:after="240" w:line="360" w:lineRule="auto"/>
        <w:ind w:left="0"/>
        <w:jc w:val="both"/>
        <w:rPr>
          <w:rFonts w:ascii="Palatino Linotype" w:hAnsi="Palatino Linotype"/>
          <w:i/>
          <w:iCs/>
        </w:rPr>
      </w:pPr>
      <w:r w:rsidRPr="00693CDC">
        <w:rPr>
          <w:rFonts w:ascii="Palatino Linotype" w:hAnsi="Palatino Linotype"/>
          <w:i/>
          <w:iC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764DD4" w:rsidRPr="00693CDC" w:rsidRDefault="00764DD4" w:rsidP="00F752E9">
      <w:pPr>
        <w:pStyle w:val="Prrafodelista"/>
        <w:tabs>
          <w:tab w:val="left" w:pos="851"/>
        </w:tabs>
        <w:spacing w:before="240" w:after="240" w:line="360" w:lineRule="auto"/>
        <w:ind w:left="0"/>
        <w:jc w:val="both"/>
        <w:rPr>
          <w:rFonts w:ascii="Palatino Linotype" w:hAnsi="Palatino Linotype"/>
          <w:i/>
          <w:iCs/>
        </w:rPr>
      </w:pPr>
    </w:p>
    <w:p w:rsidR="00764DD4" w:rsidRPr="00693CDC" w:rsidRDefault="00764DD4" w:rsidP="00F752E9">
      <w:pPr>
        <w:pStyle w:val="Prrafodelista"/>
        <w:numPr>
          <w:ilvl w:val="0"/>
          <w:numId w:val="1"/>
        </w:numPr>
        <w:tabs>
          <w:tab w:val="left" w:pos="567"/>
          <w:tab w:val="left" w:pos="851"/>
        </w:tabs>
        <w:spacing w:before="240" w:after="240" w:line="360" w:lineRule="auto"/>
        <w:jc w:val="both"/>
        <w:rPr>
          <w:rFonts w:ascii="Palatino Linotype" w:hAnsi="Palatino Linotype"/>
        </w:rPr>
      </w:pPr>
      <w:r w:rsidRPr="00693CDC">
        <w:rPr>
          <w:rFonts w:ascii="Palatino Linotype" w:hAnsi="Palatino Linotype"/>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rsidR="00764DD4" w:rsidRPr="00693CDC" w:rsidRDefault="00764DD4" w:rsidP="00F752E9">
      <w:pPr>
        <w:pStyle w:val="Prrafodelista"/>
        <w:tabs>
          <w:tab w:val="left" w:pos="426"/>
        </w:tabs>
        <w:spacing w:line="360" w:lineRule="auto"/>
        <w:ind w:left="0"/>
        <w:jc w:val="both"/>
        <w:rPr>
          <w:rFonts w:ascii="Palatino Linotype" w:hAnsi="Palatino Linotype"/>
          <w:color w:val="000000" w:themeColor="text1"/>
        </w:rPr>
      </w:pPr>
    </w:p>
    <w:p w:rsidR="00764DD4" w:rsidRPr="00693CDC" w:rsidRDefault="00764DD4" w:rsidP="00F752E9">
      <w:pPr>
        <w:pStyle w:val="Prrafodelista"/>
        <w:numPr>
          <w:ilvl w:val="0"/>
          <w:numId w:val="1"/>
        </w:numPr>
        <w:tabs>
          <w:tab w:val="left" w:pos="0"/>
        </w:tabs>
        <w:spacing w:line="360" w:lineRule="auto"/>
        <w:jc w:val="both"/>
        <w:rPr>
          <w:rFonts w:ascii="Palatino Linotype" w:hAnsi="Palatino Linotype"/>
        </w:rPr>
      </w:pPr>
      <w:r w:rsidRPr="00693CDC">
        <w:rPr>
          <w:rFonts w:ascii="Palatino Linotype" w:hAnsi="Palatino Linotype"/>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693CDC">
        <w:rPr>
          <w:rFonts w:ascii="Palatino Linotype" w:hAnsi="Palatino Linotype"/>
          <w:b/>
          <w:bCs/>
        </w:rPr>
        <w:t>SUJETO OBLIGADO</w:t>
      </w:r>
      <w:r w:rsidRPr="00693CDC">
        <w:rPr>
          <w:rFonts w:ascii="Palatino Linotype" w:hAnsi="Palatino Linotype"/>
        </w:rPr>
        <w:t xml:space="preserve">, éste podrá poder a disposición los documentos vía </w:t>
      </w:r>
      <w:r w:rsidRPr="00693CDC">
        <w:rPr>
          <w:rFonts w:ascii="Palatino Linotype" w:hAnsi="Palatino Linotype"/>
          <w:i/>
        </w:rPr>
        <w:t>In Situ</w:t>
      </w:r>
      <w:r w:rsidRPr="00693CDC">
        <w:rPr>
          <w:rFonts w:ascii="Palatino Linotype" w:hAnsi="Palatino Linotype"/>
        </w:rPr>
        <w:t xml:space="preserve"> o Consulta Directa, </w:t>
      </w:r>
      <w:r w:rsidRPr="00693CDC">
        <w:rPr>
          <w:rFonts w:ascii="Palatino Linotype" w:hAnsi="Palatino Linotype"/>
          <w:b/>
          <w:bCs/>
        </w:rPr>
        <w:t>siempre y cuando se funden y motiven las razones que justifiquen la imposibilidad de entregar la información en la modalidad originalmente solicitada</w:t>
      </w:r>
      <w:r w:rsidRPr="00693CDC">
        <w:rPr>
          <w:rFonts w:ascii="Palatino Linotype" w:hAnsi="Palatino Linotype"/>
        </w:rPr>
        <w:t xml:space="preserve">. </w:t>
      </w:r>
    </w:p>
    <w:p w:rsidR="00764DD4" w:rsidRPr="00693CDC" w:rsidRDefault="00764DD4" w:rsidP="00F752E9">
      <w:pPr>
        <w:pStyle w:val="Prrafodelista"/>
        <w:tabs>
          <w:tab w:val="left" w:pos="0"/>
        </w:tabs>
        <w:spacing w:line="360" w:lineRule="auto"/>
        <w:ind w:left="0"/>
        <w:jc w:val="both"/>
        <w:rPr>
          <w:rFonts w:ascii="Palatino Linotype" w:hAnsi="Palatino Linotype"/>
        </w:rPr>
      </w:pPr>
    </w:p>
    <w:p w:rsidR="00764DD4" w:rsidRPr="00693CDC" w:rsidRDefault="00764DD4" w:rsidP="00F752E9">
      <w:pPr>
        <w:pStyle w:val="Prrafodelista"/>
        <w:numPr>
          <w:ilvl w:val="0"/>
          <w:numId w:val="1"/>
        </w:numPr>
        <w:tabs>
          <w:tab w:val="left" w:pos="0"/>
        </w:tabs>
        <w:spacing w:line="360" w:lineRule="auto"/>
        <w:jc w:val="both"/>
        <w:rPr>
          <w:rFonts w:ascii="Palatino Linotype" w:hAnsi="Palatino Linotype"/>
        </w:rPr>
      </w:pPr>
      <w:r w:rsidRPr="00693CDC">
        <w:rPr>
          <w:rFonts w:ascii="Palatino Linotype" w:hAnsi="Palatino Linotype"/>
        </w:rPr>
        <w:t xml:space="preserve">Es decir, del artículo anterior, se derivan tres hipótesis que en conjunto, y de manera fundada y motivada, validan el cambio de modalidad de entrega de la información y las cuales son, que las documentales a proporcionar </w:t>
      </w:r>
      <w:r w:rsidRPr="00693CDC">
        <w:rPr>
          <w:rFonts w:ascii="Palatino Linotype" w:hAnsi="Palatino Linotype"/>
          <w:b/>
          <w:bCs/>
        </w:rPr>
        <w:t>sobrepasen las capacidades técnicas, administrativas y humanas del SUJETO OBLIGADO</w:t>
      </w:r>
      <w:r w:rsidRPr="00693CDC">
        <w:rPr>
          <w:rFonts w:ascii="Palatino Linotype" w:hAnsi="Palatino Linotype"/>
        </w:rPr>
        <w:t xml:space="preserve">. </w:t>
      </w:r>
    </w:p>
    <w:p w:rsidR="00764DD4" w:rsidRPr="00693CDC" w:rsidRDefault="00764DD4" w:rsidP="00F752E9">
      <w:pPr>
        <w:pStyle w:val="Prrafodelista"/>
        <w:tabs>
          <w:tab w:val="left" w:pos="0"/>
        </w:tabs>
        <w:spacing w:line="360" w:lineRule="auto"/>
        <w:ind w:left="0"/>
        <w:jc w:val="both"/>
        <w:rPr>
          <w:rFonts w:ascii="Palatino Linotype" w:hAnsi="Palatino Linotype"/>
        </w:rPr>
      </w:pPr>
    </w:p>
    <w:p w:rsidR="00764DD4" w:rsidRPr="00693CDC" w:rsidRDefault="00764DD4" w:rsidP="00F752E9">
      <w:pPr>
        <w:pStyle w:val="Prrafodelista"/>
        <w:numPr>
          <w:ilvl w:val="0"/>
          <w:numId w:val="1"/>
        </w:numPr>
        <w:tabs>
          <w:tab w:val="left" w:pos="0"/>
        </w:tabs>
        <w:spacing w:line="360" w:lineRule="auto"/>
        <w:jc w:val="both"/>
        <w:rPr>
          <w:rFonts w:ascii="Palatino Linotype" w:hAnsi="Palatino Linotype"/>
        </w:rPr>
      </w:pPr>
      <w:r w:rsidRPr="00693CDC">
        <w:rPr>
          <w:rFonts w:ascii="Palatino Linotype" w:hAnsi="Palatino Linotype"/>
        </w:rPr>
        <w:t>Para ello, cabe mencionar lo que se entiende por “</w:t>
      </w:r>
      <w:r w:rsidRPr="00693CDC">
        <w:rPr>
          <w:rFonts w:ascii="Palatino Linotype" w:hAnsi="Palatino Linotype"/>
          <w:b/>
          <w:bCs/>
        </w:rPr>
        <w:t>capacidad</w:t>
      </w:r>
      <w:r w:rsidRPr="00693CDC">
        <w:rPr>
          <w:rFonts w:ascii="Palatino Linotype" w:hAnsi="Palatino Linotype"/>
        </w:rPr>
        <w:t>”; que, de manera general, puede ser interpretado como la circunstancia o conjunto de condiciones, cualidades o aptitudes que permiten el desarrollo o el cumplimiento de una función o desempeño de un cargo.</w:t>
      </w:r>
    </w:p>
    <w:p w:rsidR="00764DD4" w:rsidRPr="00693CDC" w:rsidRDefault="00764DD4" w:rsidP="00F752E9">
      <w:pPr>
        <w:pStyle w:val="Prrafodelista"/>
        <w:tabs>
          <w:tab w:val="left" w:pos="0"/>
        </w:tabs>
        <w:spacing w:line="360" w:lineRule="auto"/>
        <w:ind w:left="0"/>
        <w:jc w:val="both"/>
        <w:rPr>
          <w:rFonts w:ascii="Palatino Linotype" w:hAnsi="Palatino Linotype"/>
        </w:rPr>
      </w:pPr>
    </w:p>
    <w:p w:rsidR="00764DD4" w:rsidRPr="00693CDC" w:rsidRDefault="00764DD4" w:rsidP="00F752E9">
      <w:pPr>
        <w:pStyle w:val="Prrafodelista"/>
        <w:numPr>
          <w:ilvl w:val="0"/>
          <w:numId w:val="1"/>
        </w:numPr>
        <w:tabs>
          <w:tab w:val="left" w:pos="0"/>
        </w:tabs>
        <w:spacing w:line="360" w:lineRule="auto"/>
        <w:jc w:val="both"/>
        <w:rPr>
          <w:rFonts w:ascii="Palatino Linotype" w:hAnsi="Palatino Linotype"/>
        </w:rPr>
      </w:pPr>
      <w:r w:rsidRPr="00693CDC">
        <w:rPr>
          <w:rFonts w:ascii="Palatino Linotype" w:hAnsi="Palatino Linotype"/>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764DD4" w:rsidRPr="00693CDC" w:rsidRDefault="00764DD4" w:rsidP="00F752E9">
      <w:pPr>
        <w:pStyle w:val="Prrafodelista"/>
        <w:tabs>
          <w:tab w:val="left" w:pos="426"/>
        </w:tabs>
        <w:spacing w:line="360" w:lineRule="auto"/>
        <w:ind w:left="0"/>
        <w:jc w:val="both"/>
        <w:rPr>
          <w:rFonts w:ascii="Palatino Linotype" w:hAnsi="Palatino Linotype"/>
        </w:rPr>
      </w:pPr>
    </w:p>
    <w:p w:rsidR="00764DD4" w:rsidRPr="00693CDC" w:rsidRDefault="00764DD4" w:rsidP="00F752E9">
      <w:pPr>
        <w:pStyle w:val="Prrafodelista"/>
        <w:numPr>
          <w:ilvl w:val="0"/>
          <w:numId w:val="1"/>
        </w:numPr>
        <w:tabs>
          <w:tab w:val="left" w:pos="0"/>
        </w:tabs>
        <w:spacing w:line="360" w:lineRule="auto"/>
        <w:jc w:val="both"/>
        <w:rPr>
          <w:rFonts w:ascii="Palatino Linotype" w:hAnsi="Palatino Linotype"/>
        </w:rPr>
      </w:pPr>
      <w:r w:rsidRPr="00693CDC">
        <w:rPr>
          <w:rFonts w:ascii="Palatino Linotype" w:hAnsi="Palatino Linotype"/>
        </w:rPr>
        <w:t xml:space="preserve">Ahora bien, en relación con </w:t>
      </w:r>
      <w:r w:rsidRPr="00693CDC">
        <w:rPr>
          <w:rFonts w:ascii="Palatino Linotype" w:hAnsi="Palatino Linotype"/>
          <w:b/>
        </w:rPr>
        <w:t>el peso máximo de archivos que soporta el SAIMEX para adjuntar como respuesta a las solicitudes de información</w:t>
      </w:r>
      <w:r w:rsidRPr="00693CDC">
        <w:rPr>
          <w:rFonts w:ascii="Palatino Linotype" w:hAnsi="Palatino Linotype"/>
        </w:rPr>
        <w:t xml:space="preserve">, de acuerdo con la Dirección de Informática de este Instituto, la plataforma </w:t>
      </w:r>
      <w:r w:rsidRPr="00693CDC">
        <w:rPr>
          <w:rFonts w:ascii="Palatino Linotype" w:hAnsi="Palatino Linotype"/>
          <w:b/>
        </w:rPr>
        <w:t>tiene el soporte tecnológico para que se puedan adjuntar archivos con un peso aproximado de hasta 500Mb o un equivalente de hasta 8,000 hojas</w:t>
      </w:r>
      <w:r w:rsidRPr="00693CDC">
        <w:rPr>
          <w:rFonts w:ascii="Palatino Linotype" w:hAnsi="Palatino Linotype"/>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rsidR="00764DD4" w:rsidRPr="00693CDC" w:rsidRDefault="00764DD4" w:rsidP="00F752E9">
      <w:pPr>
        <w:pStyle w:val="Prrafodelista"/>
        <w:tabs>
          <w:tab w:val="left" w:pos="0"/>
        </w:tabs>
        <w:spacing w:line="360" w:lineRule="auto"/>
        <w:ind w:left="0"/>
        <w:jc w:val="both"/>
        <w:rPr>
          <w:rFonts w:ascii="Palatino Linotype" w:hAnsi="Palatino Linotype"/>
        </w:rPr>
      </w:pPr>
    </w:p>
    <w:p w:rsidR="00764DD4" w:rsidRPr="00693CDC" w:rsidRDefault="00764DD4" w:rsidP="00F752E9">
      <w:pPr>
        <w:pStyle w:val="Prrafodelista"/>
        <w:numPr>
          <w:ilvl w:val="0"/>
          <w:numId w:val="1"/>
        </w:numPr>
        <w:tabs>
          <w:tab w:val="left" w:pos="0"/>
        </w:tabs>
        <w:spacing w:line="360" w:lineRule="auto"/>
        <w:jc w:val="both"/>
        <w:rPr>
          <w:rFonts w:ascii="Palatino Linotype" w:hAnsi="Palatino Linotype"/>
        </w:rPr>
      </w:pPr>
      <w:r w:rsidRPr="00693CDC">
        <w:rPr>
          <w:rFonts w:ascii="Palatino Linotype" w:hAnsi="Palatino Linotype"/>
        </w:rPr>
        <w:t xml:space="preserve">No obstante lo anterior, urge recordar que la esencia de solicitar la entrega de la información vía SAIMEX es que el particular se haga de ésta por </w:t>
      </w:r>
      <w:r w:rsidRPr="00693CDC">
        <w:rPr>
          <w:rFonts w:ascii="Palatino Linotype" w:hAnsi="Palatino Linotype"/>
          <w:b/>
          <w:bCs/>
        </w:rPr>
        <w:t>medios electrónicos</w:t>
      </w:r>
      <w:r w:rsidRPr="00693CDC">
        <w:rPr>
          <w:rFonts w:ascii="Palatino Linotype" w:hAnsi="Palatino Linotype"/>
        </w:rPr>
        <w:t xml:space="preserve">; esto es, por una vía digital, a distancia, que le permita descargar los documentos desde un ordenador o teléfono móvil. Asimismo, conviene traer a estudio </w:t>
      </w:r>
      <w:r w:rsidRPr="00693CDC">
        <w:rPr>
          <w:rFonts w:ascii="Palatino Linotype" w:eastAsia="Palatino Linotype" w:hAnsi="Palatino Linotype" w:cs="Palatino Linotype"/>
        </w:rPr>
        <w:t xml:space="preserve">lo establecido en el Capítulo X de </w:t>
      </w:r>
      <w:r w:rsidRPr="00693CDC">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Pr="00693CDC">
        <w:rPr>
          <w:rFonts w:ascii="Palatino Linotype" w:eastAsia="Palatino Linotype" w:hAnsi="Palatino Linotype" w:cs="Palatino Linotype"/>
        </w:rPr>
        <w:t>, relativo a la Consulta Directa, mismo que se transcribe a continuación:</w:t>
      </w:r>
    </w:p>
    <w:p w:rsidR="00764DD4" w:rsidRPr="00693CDC" w:rsidRDefault="00764DD4" w:rsidP="00F752E9">
      <w:pPr>
        <w:pStyle w:val="Prrafodelista"/>
        <w:tabs>
          <w:tab w:val="left" w:pos="426"/>
        </w:tabs>
        <w:spacing w:line="360" w:lineRule="auto"/>
        <w:ind w:left="0"/>
        <w:jc w:val="both"/>
        <w:rPr>
          <w:rFonts w:ascii="Palatino Linotype" w:hAnsi="Palatino Linotype"/>
        </w:rPr>
      </w:pPr>
    </w:p>
    <w:p w:rsidR="00764DD4" w:rsidRPr="00693CDC" w:rsidRDefault="00764DD4" w:rsidP="00F752E9">
      <w:pPr>
        <w:pStyle w:val="Prrafodelista"/>
        <w:tabs>
          <w:tab w:val="left" w:pos="851"/>
        </w:tabs>
        <w:spacing w:line="276" w:lineRule="auto"/>
        <w:ind w:left="0"/>
        <w:jc w:val="both"/>
        <w:rPr>
          <w:rFonts w:ascii="Palatino Linotype" w:hAnsi="Palatino Linotype"/>
          <w:b/>
          <w:bCs/>
          <w:i/>
          <w:iCs/>
        </w:rPr>
      </w:pPr>
      <w:r w:rsidRPr="00693CDC">
        <w:rPr>
          <w:rFonts w:ascii="Palatino Linotype" w:hAnsi="Palatino Linotype"/>
          <w:i/>
          <w:iCs/>
        </w:rPr>
        <w:t>“</w:t>
      </w:r>
      <w:r w:rsidRPr="00693CDC">
        <w:rPr>
          <w:rFonts w:ascii="Palatino Linotype" w:hAnsi="Palatino Linotype"/>
          <w:b/>
          <w:bCs/>
          <w:i/>
          <w:iCs/>
        </w:rPr>
        <w:t xml:space="preserve">CAPÍTULO X </w:t>
      </w:r>
    </w:p>
    <w:p w:rsidR="00764DD4" w:rsidRPr="00693CDC" w:rsidRDefault="00764DD4" w:rsidP="00F752E9">
      <w:pPr>
        <w:pStyle w:val="Prrafodelista"/>
        <w:tabs>
          <w:tab w:val="left" w:pos="851"/>
        </w:tabs>
        <w:spacing w:line="276" w:lineRule="auto"/>
        <w:ind w:left="0"/>
        <w:jc w:val="both"/>
        <w:rPr>
          <w:rFonts w:ascii="Palatino Linotype" w:hAnsi="Palatino Linotype"/>
          <w:b/>
          <w:bCs/>
          <w:i/>
          <w:iCs/>
        </w:rPr>
      </w:pPr>
      <w:r w:rsidRPr="00693CDC">
        <w:rPr>
          <w:rFonts w:ascii="Palatino Linotype" w:hAnsi="Palatino Linotype"/>
          <w:b/>
          <w:bCs/>
          <w:i/>
          <w:iCs/>
        </w:rPr>
        <w:t xml:space="preserve">DE LA CONSULTA DIRECTA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Sexagésimo séptimo.</w:t>
      </w:r>
      <w:r w:rsidRPr="00693CDC">
        <w:rPr>
          <w:rFonts w:ascii="Palatino Linotype" w:hAnsi="Palatino Linotype"/>
          <w:i/>
          <w:iCs/>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w:t>
      </w:r>
      <w:r w:rsidRPr="00693CDC">
        <w:rPr>
          <w:rFonts w:ascii="Palatino Linotype" w:hAnsi="Palatino Linotype"/>
          <w:i/>
          <w:iCs/>
        </w:rPr>
        <w:lastRenderedPageBreak/>
        <w:t xml:space="preserve">emitir la resolución en la que funde y motive la clasificación de las partes o secciones que no podrán dejarse a la vista del solicitante.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Sexagésimo octavo.</w:t>
      </w:r>
      <w:r w:rsidRPr="00693CDC">
        <w:rPr>
          <w:rFonts w:ascii="Palatino Linotype" w:hAnsi="Palatino Linotype"/>
          <w:i/>
          <w:iCs/>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Sexagésimo noveno.</w:t>
      </w:r>
      <w:r w:rsidRPr="00693CDC">
        <w:rPr>
          <w:rFonts w:ascii="Palatino Linotype" w:hAnsi="Palatino Linotype"/>
          <w:i/>
          <w:iCs/>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Septuagésimo.</w:t>
      </w:r>
      <w:r w:rsidRPr="00693CDC">
        <w:rPr>
          <w:rFonts w:ascii="Palatino Linotype" w:hAnsi="Palatino Linotype"/>
          <w:i/>
          <w:iCs/>
        </w:rPr>
        <w:t xml:space="preserve"> Para el desahogo de las actuaciones tendientes a permitir la consulta directa, en los casos en que ésta resulte procedente, los sujetos obligados deberán observar lo siguiente: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I.</w:t>
      </w:r>
      <w:r w:rsidRPr="00693CDC">
        <w:rPr>
          <w:rFonts w:ascii="Palatino Linotype" w:hAnsi="Palatino Linotype"/>
          <w:i/>
          <w:iCs/>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II.</w:t>
      </w:r>
      <w:r w:rsidRPr="00693CDC">
        <w:rPr>
          <w:rFonts w:ascii="Palatino Linotype" w:hAnsi="Palatino Linotype"/>
          <w:i/>
          <w:iCs/>
        </w:rPr>
        <w:t xml:space="preserve"> En su caso, la procedencia de los ajustes razonables solicitados y/o la procedencia de acceso en la lengua indígena requerida;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 xml:space="preserve">III. </w:t>
      </w:r>
      <w:r w:rsidRPr="00693CDC">
        <w:rPr>
          <w:rFonts w:ascii="Palatino Linotype" w:hAnsi="Palatino Linotype"/>
          <w:i/>
          <w:iC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 xml:space="preserve">IV. </w:t>
      </w:r>
      <w:r w:rsidRPr="00693CDC">
        <w:rPr>
          <w:rFonts w:ascii="Palatino Linotype" w:hAnsi="Palatino Linotype"/>
          <w:i/>
          <w:iCs/>
        </w:rPr>
        <w:t>Proporcionar al solicitante las facilidades y asistencia requerida para la consulta de los documentos;</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V.</w:t>
      </w:r>
      <w:r w:rsidRPr="00693CDC">
        <w:rPr>
          <w:rFonts w:ascii="Palatino Linotype" w:hAnsi="Palatino Linotype"/>
          <w:i/>
          <w:iCs/>
        </w:rPr>
        <w:t xml:space="preserve"> Abstenerse de requerir al solicitante que acredite interés alguno;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lastRenderedPageBreak/>
        <w:t>VI.</w:t>
      </w:r>
      <w:r w:rsidRPr="00693CDC">
        <w:rPr>
          <w:rFonts w:ascii="Palatino Linotype" w:hAnsi="Palatino Linotype"/>
          <w:i/>
          <w:iCs/>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a)</w:t>
      </w:r>
      <w:r w:rsidRPr="00693CDC">
        <w:rPr>
          <w:rFonts w:ascii="Palatino Linotype" w:hAnsi="Palatino Linotype"/>
          <w:i/>
          <w:iCs/>
        </w:rPr>
        <w:t xml:space="preserve"> Contar con instalaciones y mobiliario adecuado para asegurar tanto la integridad del documento consultado, como para proporcionar al solicitante las mejores condiciones para poder llevar a cabo la consulta directa;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b)</w:t>
      </w:r>
      <w:r w:rsidRPr="00693CDC">
        <w:rPr>
          <w:rFonts w:ascii="Palatino Linotype" w:hAnsi="Palatino Linotype"/>
          <w:i/>
          <w:iCs/>
        </w:rPr>
        <w:t xml:space="preserve"> Equipo y personal de vigilancia;</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c)</w:t>
      </w:r>
      <w:r w:rsidRPr="00693CDC">
        <w:rPr>
          <w:rFonts w:ascii="Palatino Linotype" w:hAnsi="Palatino Linotype"/>
          <w:i/>
          <w:iCs/>
        </w:rPr>
        <w:t xml:space="preserve"> Plan de acción contra robo o vandalismo;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d)</w:t>
      </w:r>
      <w:r w:rsidRPr="00693CDC">
        <w:rPr>
          <w:rFonts w:ascii="Palatino Linotype" w:hAnsi="Palatino Linotype"/>
          <w:i/>
          <w:iCs/>
        </w:rPr>
        <w:t xml:space="preserve"> Extintores de fuego de gas inocuo;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e)</w:t>
      </w:r>
      <w:r w:rsidRPr="00693CDC">
        <w:rPr>
          <w:rFonts w:ascii="Palatino Linotype" w:hAnsi="Palatino Linotype"/>
          <w:i/>
          <w:iCs/>
        </w:rPr>
        <w:t xml:space="preserve"> Registro e identificación del personal autorizado para el tratamiento de los documentos o expedientes a revisar;</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f)</w:t>
      </w:r>
      <w:r w:rsidRPr="00693CDC">
        <w:rPr>
          <w:rFonts w:ascii="Palatino Linotype" w:hAnsi="Palatino Linotype"/>
          <w:i/>
          <w:iCs/>
        </w:rPr>
        <w:t xml:space="preserve"> Registro e identificación de los particulares autorizados para llevar a cabo la consulta directa, y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g)</w:t>
      </w:r>
      <w:r w:rsidRPr="00693CDC">
        <w:rPr>
          <w:rFonts w:ascii="Palatino Linotype" w:hAnsi="Palatino Linotype"/>
          <w:i/>
          <w:iCs/>
        </w:rPr>
        <w:t xml:space="preserve"> Las demás que, a criterio de los sujetos obligados, resulten necesarias.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VII.</w:t>
      </w:r>
      <w:r w:rsidRPr="00693CDC">
        <w:rPr>
          <w:rFonts w:ascii="Palatino Linotype" w:hAnsi="Palatino Linotype"/>
          <w:i/>
          <w:iCs/>
        </w:rPr>
        <w:t xml:space="preserve"> Hacer del conocimiento del solicitante, previo al acceso a la información, las reglas a que se sujetará la consulta para garantizar la integridad de los documentos, y</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VIII.</w:t>
      </w:r>
      <w:r w:rsidRPr="00693CDC">
        <w:rPr>
          <w:rFonts w:ascii="Palatino Linotype" w:hAnsi="Palatino Linotype"/>
          <w:i/>
          <w:iCs/>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 xml:space="preserve">Septuagésimo primero. </w:t>
      </w:r>
      <w:r w:rsidRPr="00693CDC">
        <w:rPr>
          <w:rFonts w:ascii="Palatino Linotype" w:hAnsi="Palatino Linotype"/>
          <w:i/>
          <w:iC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i/>
          <w:iCs/>
        </w:rPr>
        <w:t xml:space="preserve">El solicitante deberá observar en todo momento las reglas que el sujeto obligado haya hecho de su conocimiento para efectos de la conservación de los documentos.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Septuagésimo segundo.</w:t>
      </w:r>
      <w:r w:rsidRPr="00693CDC">
        <w:rPr>
          <w:rFonts w:ascii="Palatino Linotype" w:hAnsi="Palatino Linotype"/>
          <w:i/>
          <w:iCs/>
        </w:rPr>
        <w:t xml:space="preserve"> El solicitante deberá realizar la consulta de los documentos requeridos en el lugar, horarios y con la persona destinada para tal efecto.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i/>
          <w:iCs/>
        </w:rPr>
        <w:lastRenderedPageBreak/>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b/>
          <w:bCs/>
          <w:i/>
          <w:iCs/>
        </w:rPr>
        <w:t>Septuagésimo tercero.</w:t>
      </w:r>
      <w:r w:rsidRPr="00693CDC">
        <w:rPr>
          <w:rFonts w:ascii="Palatino Linotype" w:hAnsi="Palatino Linotype"/>
          <w:i/>
          <w:iCs/>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r w:rsidRPr="00693CDC">
        <w:rPr>
          <w:rFonts w:ascii="Palatino Linotype" w:hAnsi="Palatino Linotype"/>
          <w:i/>
          <w:iCs/>
        </w:rPr>
        <w:t>La información deberá ser entregada sin costo, cuando implique la entrega de no más de veinte hojas simples.”</w:t>
      </w:r>
    </w:p>
    <w:p w:rsidR="00764DD4" w:rsidRPr="00693CDC" w:rsidRDefault="00764DD4" w:rsidP="00F752E9">
      <w:pPr>
        <w:pStyle w:val="Prrafodelista"/>
        <w:tabs>
          <w:tab w:val="left" w:pos="851"/>
        </w:tabs>
        <w:spacing w:line="276" w:lineRule="auto"/>
        <w:ind w:left="0"/>
        <w:jc w:val="both"/>
        <w:rPr>
          <w:rFonts w:ascii="Palatino Linotype" w:hAnsi="Palatino Linotype"/>
          <w:i/>
          <w:iCs/>
        </w:rPr>
      </w:pPr>
    </w:p>
    <w:p w:rsidR="00E20836" w:rsidRPr="00693CDC" w:rsidRDefault="00E20836" w:rsidP="00F752E9">
      <w:pPr>
        <w:pStyle w:val="Prrafodelista"/>
        <w:numPr>
          <w:ilvl w:val="0"/>
          <w:numId w:val="1"/>
        </w:numPr>
        <w:tabs>
          <w:tab w:val="left" w:pos="0"/>
        </w:tabs>
        <w:spacing w:line="360" w:lineRule="auto"/>
        <w:jc w:val="both"/>
        <w:rPr>
          <w:rFonts w:ascii="Palatino Linotype" w:hAnsi="Palatino Linotype"/>
        </w:rPr>
      </w:pPr>
      <w:r w:rsidRPr="00693CDC">
        <w:rPr>
          <w:rFonts w:ascii="Palatino Linotype" w:hAnsi="Palatino Linotype"/>
        </w:rPr>
        <w:t xml:space="preserve">En el presente caso, recordemos que el Sujeto Obligado señaló que la información solicitada sobrepasa las capacidades técnicas del SAIMEX, con un peso de 11.12 GB y realizó el cambio de modalidad únicamente a consulta directa, sin embargo, </w:t>
      </w:r>
      <w:r w:rsidR="0083476C" w:rsidRPr="00693CDC">
        <w:rPr>
          <w:rFonts w:ascii="Palatino Linotype" w:hAnsi="Palatino Linotype"/>
        </w:rPr>
        <w:t>no ofreció otras modalidades como lo señalan los preceptos legales antes referidos</w:t>
      </w:r>
      <w:r w:rsidR="00D074ED" w:rsidRPr="00693CDC">
        <w:rPr>
          <w:rFonts w:ascii="Palatino Linotype" w:hAnsi="Palatino Linotype"/>
        </w:rPr>
        <w:t>, por ello</w:t>
      </w:r>
      <w:r w:rsidRPr="00693CDC">
        <w:rPr>
          <w:rFonts w:ascii="Palatino Linotype" w:hAnsi="Palatino Linotype"/>
        </w:rPr>
        <w:t xml:space="preserve">, este órgano Garante determina que no es procedente el cambio de modalidad. </w:t>
      </w:r>
    </w:p>
    <w:p w:rsidR="00F752E9" w:rsidRPr="00693CDC" w:rsidRDefault="00F752E9" w:rsidP="00F752E9">
      <w:pPr>
        <w:pStyle w:val="Prrafodelista"/>
        <w:tabs>
          <w:tab w:val="left" w:pos="0"/>
        </w:tabs>
        <w:spacing w:line="360" w:lineRule="auto"/>
        <w:ind w:left="0"/>
        <w:jc w:val="both"/>
        <w:rPr>
          <w:rFonts w:ascii="Palatino Linotype" w:hAnsi="Palatino Linotype"/>
        </w:rPr>
      </w:pPr>
    </w:p>
    <w:p w:rsidR="00E20836" w:rsidRPr="00693CDC" w:rsidRDefault="0083476C" w:rsidP="00F752E9">
      <w:pPr>
        <w:pStyle w:val="Prrafodelista"/>
        <w:numPr>
          <w:ilvl w:val="0"/>
          <w:numId w:val="1"/>
        </w:numPr>
        <w:tabs>
          <w:tab w:val="left" w:pos="0"/>
        </w:tabs>
        <w:spacing w:line="360" w:lineRule="auto"/>
        <w:jc w:val="both"/>
        <w:rPr>
          <w:rFonts w:ascii="Palatino Linotype" w:hAnsi="Palatino Linotype"/>
        </w:rPr>
      </w:pPr>
      <w:r w:rsidRPr="00693CDC">
        <w:rPr>
          <w:rFonts w:ascii="Palatino Linotype" w:hAnsi="Palatino Linotype"/>
        </w:rPr>
        <w:t>Aunado a ello</w:t>
      </w:r>
      <w:r w:rsidR="00E20836" w:rsidRPr="00693CDC">
        <w:rPr>
          <w:rFonts w:ascii="Palatino Linotype" w:hAnsi="Palatino Linotype"/>
        </w:rPr>
        <w:t>, es necesario referir que la información solicitada es parte de la</w:t>
      </w:r>
      <w:r w:rsidRPr="00693CDC">
        <w:rPr>
          <w:rFonts w:ascii="Palatino Linotype" w:hAnsi="Palatino Linotype"/>
        </w:rPr>
        <w:t>s</w:t>
      </w:r>
      <w:r w:rsidR="00E20836" w:rsidRPr="00693CDC">
        <w:rPr>
          <w:rFonts w:ascii="Palatino Linotype" w:hAnsi="Palatino Linotype"/>
        </w:rPr>
        <w:t xml:space="preserve"> obligaciones de transparencia común, establecidas en el artículo 92 </w:t>
      </w:r>
      <w:r w:rsidRPr="00693CDC">
        <w:rPr>
          <w:rFonts w:ascii="Palatino Linotype" w:hAnsi="Palatino Linotype"/>
        </w:rPr>
        <w:t xml:space="preserve">fracciones XXIX </w:t>
      </w:r>
      <w:r w:rsidR="00E20836" w:rsidRPr="00693CDC">
        <w:rPr>
          <w:rFonts w:ascii="Palatino Linotype" w:hAnsi="Palatino Linotype"/>
        </w:rPr>
        <w:t>de la Ley de Transparencia y Acceso a la Información Pública del</w:t>
      </w:r>
      <w:r w:rsidRPr="00693CDC">
        <w:rPr>
          <w:rFonts w:ascii="Palatino Linotype" w:hAnsi="Palatino Linotype"/>
        </w:rPr>
        <w:t xml:space="preserve"> Estado de México y Municipios que </w:t>
      </w:r>
      <w:r w:rsidR="00D074ED" w:rsidRPr="00693CDC">
        <w:rPr>
          <w:rFonts w:ascii="Palatino Linotype" w:hAnsi="Palatino Linotype"/>
        </w:rPr>
        <w:t>refiere</w:t>
      </w:r>
      <w:r w:rsidRPr="00693CDC">
        <w:rPr>
          <w:rFonts w:ascii="Palatino Linotype" w:hAnsi="Palatino Linotype"/>
        </w:rPr>
        <w:t>:</w:t>
      </w:r>
    </w:p>
    <w:p w:rsidR="0083476C" w:rsidRPr="00693CDC" w:rsidRDefault="0083476C" w:rsidP="00F752E9">
      <w:pPr>
        <w:pStyle w:val="Prrafodelista"/>
        <w:ind w:left="0"/>
        <w:rPr>
          <w:rFonts w:ascii="Palatino Linotype" w:hAnsi="Palatino Linotype"/>
        </w:rPr>
      </w:pP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a) De licitaciones públicas o procedimientos de invitación restringida: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lastRenderedPageBreak/>
        <w:t xml:space="preserve">1) La convocatoria o invitación emitida, así como los fundamentos legales aplicados para llevarla a cabo;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2) Los nombres de los participantes o invitados;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3) El nombre del ganador y las razones que lo justifican;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4) El área solicitante y la responsable de su ejecución;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5) Las convocatorias e invitaciones emitidas;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6) Los dictámenes y fallo de adjudicación;</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7) El contrato y, en su caso, sus anexos;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8) Los mecanismos de vigilancia y supervisión, incluyendo en su caso, los estudios de impacto urbano y ambiental, según corresponda;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9) La partida presupuestal, de conformidad con el clasificador por objeto del gasto, en el caso de ser aplicable;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10) Origen de los recursos especificando si son federales, estatales o municipales, así como el tipo de fondo de participación o aportación respectiva;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11) Los convenios modificatorios que, en su caso, sean firmados, precisando el objeto y la fecha de celebración;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12) Los informes de avance físico y financiero sobre las obras o servicios contratados;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13) El convenio de terminación; y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14) El finiquito.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b) De las adjudicaciones directas: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1) La propuesta enviada por el participante;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2) Los motivos y fundamentos legales aplicados para llevarla a cabo;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3) La autorización del ejercicio de la opción;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4) En su caso, las cotizaciones consideradas, especificando los nombres de los proveedores y sus montos;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lastRenderedPageBreak/>
        <w:t xml:space="preserve">5) El nombre de la persona física o jurídica colectiva adjudicada;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6) La unidad administrativa solicitante y la responsable de su ejecución;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7) El número, fecha, el monto del contrato y el plazo de entrega o de ejecución de los servicios u obra;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8) Los mecanismos de vigilancia y supervisión, incluyendo, en su caso, los estudios de impacto urbano y ambiental, según corresponda;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9) Los informes de avance sobre las obras o servicios contratados; </w:t>
      </w:r>
    </w:p>
    <w:p w:rsidR="0083476C"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 xml:space="preserve">10) El convenio de terminación; y </w:t>
      </w:r>
    </w:p>
    <w:p w:rsidR="00C35D40" w:rsidRPr="00693CDC" w:rsidRDefault="0083476C" w:rsidP="00F752E9">
      <w:pPr>
        <w:pStyle w:val="Prrafodelista"/>
        <w:tabs>
          <w:tab w:val="left" w:pos="851"/>
        </w:tabs>
        <w:spacing w:line="360" w:lineRule="auto"/>
        <w:ind w:left="0"/>
        <w:jc w:val="both"/>
        <w:rPr>
          <w:rFonts w:ascii="Palatino Linotype" w:hAnsi="Palatino Linotype"/>
          <w:i/>
        </w:rPr>
      </w:pPr>
      <w:r w:rsidRPr="00693CDC">
        <w:rPr>
          <w:rFonts w:ascii="Palatino Linotype" w:hAnsi="Palatino Linotype"/>
          <w:i/>
        </w:rPr>
        <w:t>11) El finiquito.</w:t>
      </w:r>
    </w:p>
    <w:p w:rsidR="00C35D40" w:rsidRPr="00693CDC" w:rsidRDefault="00D074ED" w:rsidP="00F752E9">
      <w:pPr>
        <w:numPr>
          <w:ilvl w:val="0"/>
          <w:numId w:val="1"/>
        </w:numPr>
        <w:shd w:val="clear" w:color="auto" w:fill="FFFFFF"/>
        <w:spacing w:before="240" w:after="240" w:line="360" w:lineRule="auto"/>
        <w:jc w:val="both"/>
        <w:rPr>
          <w:rFonts w:ascii="Palatino Linotype" w:hAnsi="Palatino Linotype"/>
          <w:color w:val="222222"/>
        </w:rPr>
      </w:pPr>
      <w:r w:rsidRPr="00693CDC">
        <w:rPr>
          <w:rFonts w:ascii="Palatino Linotype" w:hAnsi="Palatino Linotype"/>
          <w:color w:val="222222"/>
        </w:rPr>
        <w:t>Como se advierte, la información corresponde a parte de las obligaciones de transparencia común, es decir, que es información que el Sujeto Obligado debe publicar en su página de Información Pública de Oficio Mexiquense</w:t>
      </w:r>
      <w:r w:rsidR="005918D3" w:rsidRPr="00693CDC">
        <w:rPr>
          <w:rFonts w:ascii="Palatino Linotype" w:hAnsi="Palatino Linotype"/>
          <w:color w:val="222222"/>
        </w:rPr>
        <w:t xml:space="preserve"> (IPOMEX)</w:t>
      </w:r>
      <w:r w:rsidRPr="00693CDC">
        <w:rPr>
          <w:rFonts w:ascii="Palatino Linotype" w:hAnsi="Palatino Linotype"/>
          <w:color w:val="222222"/>
        </w:rPr>
        <w:t>, por lo tanto, no procede el cambio de modalidad a consulta directa.</w:t>
      </w:r>
    </w:p>
    <w:p w:rsidR="00B168F0" w:rsidRPr="00693CDC" w:rsidRDefault="00B168F0" w:rsidP="00F752E9">
      <w:pPr>
        <w:numPr>
          <w:ilvl w:val="0"/>
          <w:numId w:val="1"/>
        </w:numPr>
        <w:shd w:val="clear" w:color="auto" w:fill="FFFFFF"/>
        <w:spacing w:before="240" w:after="240" w:line="360" w:lineRule="auto"/>
        <w:jc w:val="both"/>
        <w:rPr>
          <w:rFonts w:ascii="Palatino Linotype" w:hAnsi="Palatino Linotype"/>
          <w:color w:val="222222"/>
        </w:rPr>
      </w:pPr>
      <w:r w:rsidRPr="00693CDC">
        <w:rPr>
          <w:rFonts w:ascii="Palatino Linotype" w:hAnsi="Palatino Linotype"/>
          <w:color w:val="222222"/>
        </w:rPr>
        <w:t xml:space="preserve">Por otro lado, recordemos que al interponer recurso de revisión, el Recurrente refirió </w:t>
      </w:r>
      <w:r w:rsidRPr="00693CDC">
        <w:rPr>
          <w:rFonts w:ascii="Palatino Linotype" w:hAnsi="Palatino Linotype"/>
          <w:i/>
          <w:color w:val="222222"/>
        </w:rPr>
        <w:t>“…</w:t>
      </w:r>
      <w:r w:rsidRPr="00693CDC">
        <w:rPr>
          <w:rFonts w:ascii="Palatino Linotype" w:hAnsi="Palatino Linotype"/>
          <w:i/>
          <w:color w:val="000000"/>
        </w:rPr>
        <w:t xml:space="preserve">es por ello que solicito al Instituto se de vista a la </w:t>
      </w:r>
      <w:proofErr w:type="spellStart"/>
      <w:r w:rsidRPr="00693CDC">
        <w:rPr>
          <w:rFonts w:ascii="Palatino Linotype" w:hAnsi="Palatino Linotype"/>
          <w:i/>
          <w:color w:val="000000"/>
        </w:rPr>
        <w:t>Contraloria</w:t>
      </w:r>
      <w:proofErr w:type="spellEnd"/>
      <w:r w:rsidRPr="00693CDC">
        <w:rPr>
          <w:rFonts w:ascii="Palatino Linotype" w:hAnsi="Palatino Linotype"/>
          <w:i/>
          <w:color w:val="000000"/>
        </w:rPr>
        <w:t xml:space="preserve"> Interna del </w:t>
      </w:r>
      <w:proofErr w:type="spellStart"/>
      <w:r w:rsidRPr="00693CDC">
        <w:rPr>
          <w:rFonts w:ascii="Palatino Linotype" w:hAnsi="Palatino Linotype"/>
          <w:i/>
          <w:color w:val="000000"/>
        </w:rPr>
        <w:t>Instiuto</w:t>
      </w:r>
      <w:proofErr w:type="spellEnd"/>
      <w:r w:rsidRPr="00693CDC">
        <w:rPr>
          <w:rFonts w:ascii="Palatino Linotype" w:hAnsi="Palatino Linotype"/>
          <w:i/>
          <w:color w:val="000000"/>
        </w:rPr>
        <w:t xml:space="preserve"> de Transparencia Estatal para que se conmine a la entrega de </w:t>
      </w:r>
      <w:proofErr w:type="spellStart"/>
      <w:r w:rsidRPr="00693CDC">
        <w:rPr>
          <w:rFonts w:ascii="Palatino Linotype" w:hAnsi="Palatino Linotype"/>
          <w:i/>
          <w:color w:val="000000"/>
        </w:rPr>
        <w:t>informacion</w:t>
      </w:r>
      <w:proofErr w:type="spellEnd"/>
      <w:r w:rsidRPr="00693CDC">
        <w:rPr>
          <w:rFonts w:ascii="Palatino Linotype" w:hAnsi="Palatino Linotype"/>
          <w:i/>
          <w:color w:val="000000"/>
        </w:rPr>
        <w:t xml:space="preserve"> </w:t>
      </w:r>
      <w:proofErr w:type="spellStart"/>
      <w:r w:rsidRPr="00693CDC">
        <w:rPr>
          <w:rFonts w:ascii="Palatino Linotype" w:hAnsi="Palatino Linotype"/>
          <w:i/>
          <w:color w:val="000000"/>
        </w:rPr>
        <w:t>asi</w:t>
      </w:r>
      <w:proofErr w:type="spellEnd"/>
      <w:r w:rsidRPr="00693CDC">
        <w:rPr>
          <w:rFonts w:ascii="Palatino Linotype" w:hAnsi="Palatino Linotype"/>
          <w:i/>
          <w:color w:val="000000"/>
        </w:rPr>
        <w:t xml:space="preserve"> </w:t>
      </w:r>
      <w:proofErr w:type="spellStart"/>
      <w:r w:rsidRPr="00693CDC">
        <w:rPr>
          <w:rFonts w:ascii="Palatino Linotype" w:hAnsi="Palatino Linotype"/>
          <w:i/>
          <w:color w:val="000000"/>
        </w:rPr>
        <w:t>mimso</w:t>
      </w:r>
      <w:proofErr w:type="spellEnd"/>
      <w:r w:rsidRPr="00693CDC">
        <w:rPr>
          <w:rFonts w:ascii="Palatino Linotype" w:hAnsi="Palatino Linotype"/>
          <w:i/>
          <w:color w:val="000000"/>
        </w:rPr>
        <w:t xml:space="preserve"> se acredite la personalidad del servidor </w:t>
      </w:r>
      <w:proofErr w:type="spellStart"/>
      <w:r w:rsidRPr="00693CDC">
        <w:rPr>
          <w:rFonts w:ascii="Palatino Linotype" w:hAnsi="Palatino Linotype"/>
          <w:i/>
          <w:color w:val="000000"/>
        </w:rPr>
        <w:t>publico</w:t>
      </w:r>
      <w:proofErr w:type="spellEnd"/>
      <w:r w:rsidRPr="00693CDC">
        <w:rPr>
          <w:rFonts w:ascii="Palatino Linotype" w:hAnsi="Palatino Linotype"/>
          <w:i/>
          <w:color w:val="000000"/>
        </w:rPr>
        <w:t xml:space="preserve"> habilitado.”, </w:t>
      </w:r>
      <w:r w:rsidRPr="00693CDC">
        <w:rPr>
          <w:rFonts w:ascii="Palatino Linotype" w:hAnsi="Palatino Linotype"/>
          <w:color w:val="000000"/>
        </w:rPr>
        <w:t>al respecto, es necesario señalar que</w:t>
      </w:r>
      <w:r w:rsidRPr="00693CDC">
        <w:rPr>
          <w:rFonts w:ascii="Palatino Linotype" w:hAnsi="Palatino Linotype"/>
          <w:lang w:val="es-ES"/>
        </w:rPr>
        <w:t xml:space="preserve"> el Recurso de Revisión no es el medio para sancionar, este Órgano Garante sugiere al solicitante, interponer su queja o denuncia ante la autoridad competente.</w:t>
      </w:r>
    </w:p>
    <w:p w:rsidR="00764DD4" w:rsidRPr="00693CDC" w:rsidRDefault="00764DD4" w:rsidP="00F752E9">
      <w:pPr>
        <w:numPr>
          <w:ilvl w:val="0"/>
          <w:numId w:val="1"/>
        </w:numPr>
        <w:shd w:val="clear" w:color="auto" w:fill="FFFFFF"/>
        <w:spacing w:before="240" w:after="240" w:line="360" w:lineRule="auto"/>
        <w:jc w:val="both"/>
        <w:rPr>
          <w:rFonts w:ascii="Palatino Linotype" w:hAnsi="Palatino Linotype"/>
          <w:color w:val="222222"/>
        </w:rPr>
      </w:pPr>
      <w:r w:rsidRPr="00693CDC">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el </w:t>
      </w:r>
      <w:r w:rsidRPr="00693CDC">
        <w:rPr>
          <w:rFonts w:ascii="Palatino Linotype" w:eastAsia="Palatino Linotype" w:hAnsi="Palatino Linotype" w:cs="Palatino Linotype"/>
          <w:b/>
          <w:color w:val="000000"/>
        </w:rPr>
        <w:t>RECURRENTE</w:t>
      </w:r>
      <w:r w:rsidRPr="00693CDC">
        <w:rPr>
          <w:rFonts w:ascii="Palatino Linotype" w:eastAsia="Palatino Linotype" w:hAnsi="Palatino Linotype" w:cs="Palatino Linotype"/>
          <w:color w:val="000000"/>
        </w:rPr>
        <w:t xml:space="preserve"> dentro del recurso de revisión </w:t>
      </w:r>
      <w:r w:rsidR="00D074ED" w:rsidRPr="00693CDC">
        <w:rPr>
          <w:rFonts w:ascii="Palatino Linotype" w:eastAsia="Palatino Linotype" w:hAnsi="Palatino Linotype" w:cs="Palatino Linotype"/>
          <w:b/>
          <w:color w:val="000000"/>
        </w:rPr>
        <w:t>00873/INFOEM/IP/RR/2025</w:t>
      </w:r>
      <w:r w:rsidRPr="00693CDC">
        <w:rPr>
          <w:rFonts w:ascii="Palatino Linotype" w:eastAsia="Palatino Linotype" w:hAnsi="Palatino Linotype" w:cs="Palatino Linotype"/>
          <w:color w:val="000000"/>
        </w:rPr>
        <w:t xml:space="preserve">; por ello, y con fundamento en la fracción III del numeral 186 de la Ley de Transparencia y Acceso </w:t>
      </w:r>
      <w:r w:rsidRPr="00693CDC">
        <w:rPr>
          <w:rFonts w:ascii="Palatino Linotype" w:eastAsia="Palatino Linotype" w:hAnsi="Palatino Linotype" w:cs="Palatino Linotype"/>
          <w:color w:val="000000"/>
        </w:rPr>
        <w:lastRenderedPageBreak/>
        <w:t xml:space="preserve">a la Información Pública del Estado de México y Municipios, se </w:t>
      </w:r>
      <w:r w:rsidRPr="00693CDC">
        <w:rPr>
          <w:rFonts w:ascii="Palatino Linotype" w:eastAsia="Palatino Linotype" w:hAnsi="Palatino Linotype" w:cs="Palatino Linotype"/>
          <w:b/>
          <w:color w:val="000000"/>
        </w:rPr>
        <w:t>REVOCA</w:t>
      </w:r>
      <w:r w:rsidRPr="00693CDC">
        <w:rPr>
          <w:rFonts w:ascii="Palatino Linotype" w:eastAsia="Palatino Linotype" w:hAnsi="Palatino Linotype" w:cs="Palatino Linotype"/>
          <w:color w:val="000000"/>
        </w:rPr>
        <w:t xml:space="preserve"> la respuesta a la solicitud de información número </w:t>
      </w:r>
      <w:r w:rsidR="00D074ED" w:rsidRPr="00693CDC">
        <w:rPr>
          <w:rFonts w:ascii="Palatino Linotype" w:eastAsia="Palatino Linotype" w:hAnsi="Palatino Linotype" w:cs="Palatino Linotype"/>
          <w:b/>
          <w:bCs/>
          <w:color w:val="000000"/>
        </w:rPr>
        <w:t>00049/TLALNEPA/IP/2025</w:t>
      </w:r>
      <w:r w:rsidRPr="00693CDC">
        <w:rPr>
          <w:rFonts w:ascii="Palatino Linotype" w:eastAsia="Palatino Linotype" w:hAnsi="Palatino Linotype" w:cs="Palatino Linotype"/>
          <w:color w:val="000000"/>
        </w:rPr>
        <w:t>.</w:t>
      </w:r>
      <w:bookmarkStart w:id="11" w:name="_heading=h.2s8eyo1" w:colFirst="0" w:colLast="0"/>
      <w:bookmarkEnd w:id="11"/>
    </w:p>
    <w:p w:rsidR="00764DD4" w:rsidRPr="00693CDC" w:rsidRDefault="00764DD4" w:rsidP="00F752E9">
      <w:pPr>
        <w:pStyle w:val="Prrafodelista"/>
        <w:tabs>
          <w:tab w:val="left" w:pos="426"/>
        </w:tabs>
        <w:spacing w:line="360" w:lineRule="auto"/>
        <w:ind w:left="0"/>
        <w:jc w:val="both"/>
        <w:outlineLvl w:val="1"/>
        <w:rPr>
          <w:rFonts w:ascii="Palatino Linotype" w:hAnsi="Palatino Linotype"/>
          <w:b/>
          <w:bCs/>
          <w:color w:val="000000" w:themeColor="text1"/>
        </w:rPr>
      </w:pPr>
      <w:bookmarkStart w:id="12" w:name="_Toc89350464"/>
      <w:bookmarkStart w:id="13" w:name="_Toc94119619"/>
      <w:r w:rsidRPr="00693CDC">
        <w:rPr>
          <w:rFonts w:ascii="Palatino Linotype" w:hAnsi="Palatino Linotype"/>
          <w:b/>
          <w:bCs/>
          <w:color w:val="000000" w:themeColor="text1"/>
        </w:rPr>
        <w:t>QUINTO. De la versión pública.</w:t>
      </w:r>
      <w:bookmarkEnd w:id="12"/>
      <w:bookmarkEnd w:id="13"/>
    </w:p>
    <w:p w:rsidR="00764DD4" w:rsidRPr="00693CDC" w:rsidRDefault="00764DD4" w:rsidP="00F752E9">
      <w:pPr>
        <w:pStyle w:val="Prrafodelista"/>
        <w:tabs>
          <w:tab w:val="left" w:pos="426"/>
        </w:tabs>
        <w:spacing w:line="360" w:lineRule="auto"/>
        <w:ind w:left="0"/>
        <w:jc w:val="both"/>
        <w:rPr>
          <w:rFonts w:ascii="Palatino Linotype" w:hAnsi="Palatino Linotype"/>
          <w:color w:val="000000" w:themeColor="text1"/>
        </w:rPr>
      </w:pPr>
    </w:p>
    <w:p w:rsidR="00764DD4" w:rsidRPr="00693CDC" w:rsidRDefault="00764DD4" w:rsidP="00F752E9">
      <w:pPr>
        <w:pStyle w:val="Prrafodelista"/>
        <w:numPr>
          <w:ilvl w:val="0"/>
          <w:numId w:val="1"/>
        </w:numPr>
        <w:tabs>
          <w:tab w:val="left" w:pos="0"/>
        </w:tabs>
        <w:spacing w:line="360" w:lineRule="auto"/>
        <w:jc w:val="both"/>
        <w:rPr>
          <w:rFonts w:ascii="Palatino Linotype" w:hAnsi="Palatino Linotype"/>
          <w:color w:val="000000" w:themeColor="text1"/>
        </w:rPr>
      </w:pPr>
      <w:r w:rsidRPr="00693CDC">
        <w:rPr>
          <w:rFonts w:ascii="Palatino Linotype" w:hAnsi="Palatino Linotype"/>
          <w:color w:val="000000" w:themeColor="text1"/>
        </w:rPr>
        <w:t>Debe destacarse que, debido a la naturaleza de la información solicitada</w:t>
      </w:r>
      <w:r w:rsidRPr="00693CDC">
        <w:rPr>
          <w:rFonts w:ascii="Palatino Linotype" w:hAnsi="Palatino Linotype"/>
          <w:b/>
          <w:color w:val="000000" w:themeColor="text1"/>
        </w:rPr>
        <w:t xml:space="preserve"> </w:t>
      </w:r>
      <w:r w:rsidRPr="00693CDC">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764DD4" w:rsidRPr="00693CDC" w:rsidRDefault="00764DD4" w:rsidP="00F752E9">
      <w:pPr>
        <w:pStyle w:val="Prrafodelista"/>
        <w:tabs>
          <w:tab w:val="left" w:pos="426"/>
        </w:tabs>
        <w:spacing w:line="360" w:lineRule="auto"/>
        <w:ind w:left="0"/>
        <w:jc w:val="both"/>
        <w:rPr>
          <w:rFonts w:ascii="Palatino Linotype" w:hAnsi="Palatino Linotype"/>
          <w:color w:val="000000" w:themeColor="text1"/>
        </w:rPr>
      </w:pPr>
    </w:p>
    <w:p w:rsidR="00764DD4" w:rsidRPr="00693CDC" w:rsidRDefault="00764DD4" w:rsidP="00F752E9">
      <w:pPr>
        <w:pStyle w:val="Prrafodelista"/>
        <w:numPr>
          <w:ilvl w:val="0"/>
          <w:numId w:val="1"/>
        </w:numPr>
        <w:spacing w:line="360" w:lineRule="auto"/>
        <w:jc w:val="both"/>
        <w:rPr>
          <w:rFonts w:ascii="Palatino Linotype" w:hAnsi="Palatino Linotype"/>
          <w:color w:val="000000" w:themeColor="text1"/>
        </w:rPr>
      </w:pPr>
      <w:r w:rsidRPr="00693CDC">
        <w:rPr>
          <w:rFonts w:ascii="Palatino Linotype" w:hAnsi="Palatino Linotype"/>
          <w:color w:val="000000" w:themeColor="text1"/>
        </w:rPr>
        <w:t xml:space="preserve">La </w:t>
      </w:r>
      <w:r w:rsidRPr="00693CDC">
        <w:rPr>
          <w:rFonts w:ascii="Palatino Linotype" w:eastAsia="MS Mincho" w:hAnsi="Palatino Linotype"/>
        </w:rPr>
        <w:t>clasificación total o parcial de la información requerida, mediante solicitud de acceso a la información pública, constituye una restricción al derecho humano de acceso a la información</w:t>
      </w:r>
      <w:r w:rsidRPr="00693CDC">
        <w:rPr>
          <w:rFonts w:ascii="Palatino Linotype" w:hAnsi="Palatino Linotype" w:cs="Arial"/>
          <w:color w:val="000000"/>
        </w:rPr>
        <w:t>, por lo que es menester reiterar los mismos:</w:t>
      </w:r>
    </w:p>
    <w:p w:rsidR="00764DD4" w:rsidRPr="00693CDC" w:rsidRDefault="00764DD4" w:rsidP="00F752E9">
      <w:pPr>
        <w:pStyle w:val="Prrafodelista"/>
        <w:tabs>
          <w:tab w:val="left" w:pos="426"/>
        </w:tabs>
        <w:spacing w:line="360" w:lineRule="auto"/>
        <w:ind w:left="0"/>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764DD4" w:rsidRPr="00693CDC" w:rsidTr="00C858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64DD4" w:rsidRPr="00693CDC" w:rsidRDefault="00764DD4" w:rsidP="00F752E9">
            <w:pPr>
              <w:spacing w:line="360" w:lineRule="auto"/>
              <w:rPr>
                <w:rFonts w:ascii="Palatino Linotype" w:hAnsi="Palatino Linotype"/>
              </w:rPr>
            </w:pPr>
            <w:r w:rsidRPr="00693CDC">
              <w:rPr>
                <w:rFonts w:ascii="Palatino Linotype" w:hAnsi="Palatino Linotype" w:cstheme="majorBidi"/>
                <w:b w:val="0"/>
              </w:rPr>
              <w:t>a) Requisitos previos.</w:t>
            </w:r>
          </w:p>
        </w:tc>
        <w:tc>
          <w:tcPr>
            <w:tcW w:w="6990" w:type="dxa"/>
          </w:tcPr>
          <w:p w:rsidR="00764DD4" w:rsidRPr="00693CDC" w:rsidRDefault="00764DD4" w:rsidP="00F752E9">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 xml:space="preserve">Los artículos 100 y 122 de la Ley Estatal y de la Ley General, respectivamente, señalan que si los </w:t>
            </w:r>
            <w:r w:rsidRPr="00693CDC">
              <w:rPr>
                <w:rFonts w:ascii="Palatino Linotype" w:hAnsi="Palatino Linotype" w:cs="Arial"/>
                <w:b w:val="0"/>
                <w:color w:val="000000"/>
              </w:rPr>
              <w:t>Sujetos Obligados</w:t>
            </w:r>
            <w:r w:rsidRPr="00693CDC">
              <w:rPr>
                <w:rFonts w:ascii="Palatino Linotype"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764DD4" w:rsidRPr="00693CDC" w:rsidRDefault="00764DD4" w:rsidP="00F752E9">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Al hacerlo tienen que precisar de qué información se trata, señalando el supuesto de clasificación (confidencialidad o reserva).</w:t>
            </w:r>
          </w:p>
          <w:p w:rsidR="00764DD4" w:rsidRPr="00693CDC" w:rsidRDefault="00764DD4" w:rsidP="00F752E9">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lastRenderedPageBreak/>
              <w:t>Además, se debe señalar el procedimiento, de los tres que establecen los artículos 132 y 106 de la Ley Estatal y General, respectivamente.</w:t>
            </w:r>
          </w:p>
          <w:p w:rsidR="00764DD4" w:rsidRPr="00693CDC" w:rsidRDefault="00764DD4" w:rsidP="00F752E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693CDC">
              <w:rPr>
                <w:rFonts w:ascii="Palatino Linotype" w:hAnsi="Palatino Linotype" w:cs="Arial"/>
                <w:color w:val="000000"/>
              </w:rPr>
              <w:t xml:space="preserve">El último de estos requisitos previos consiste en que no se pueden emitir acuerdos de carácter general ni particular, esto es, </w:t>
            </w:r>
            <w:r w:rsidRPr="00693CDC">
              <w:rPr>
                <w:rFonts w:ascii="Palatino Linotype" w:hAnsi="Palatino Linotype" w:cs="Arial"/>
                <w:b w:val="0"/>
                <w:color w:val="000000"/>
                <w:u w:val="single"/>
              </w:rPr>
              <w:t xml:space="preserve">no se puede hacer un acuerdo para clasificar de manera general todos los documentos de un expediente o área,  </w:t>
            </w:r>
            <w:r w:rsidRPr="00693CDC">
              <w:rPr>
                <w:rFonts w:ascii="Palatino Linotype" w:hAnsi="Palatino Linotype" w:cs="Arial"/>
                <w:color w:val="000000"/>
              </w:rPr>
              <w:t>sin individualizar su análisis y tampoco se puede hacer un acuerdo por cada dato que se vaya a clasificar dentro de un documento con diez datos, por ejemplo, susceptibles de ser clasificados.</w:t>
            </w:r>
          </w:p>
        </w:tc>
      </w:tr>
      <w:tr w:rsidR="00764DD4" w:rsidRPr="00693CDC" w:rsidTr="00C858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64DD4" w:rsidRPr="00693CDC" w:rsidRDefault="00764DD4" w:rsidP="00F752E9">
            <w:pPr>
              <w:spacing w:line="360" w:lineRule="auto"/>
              <w:rPr>
                <w:rFonts w:ascii="Palatino Linotype" w:hAnsi="Palatino Linotype"/>
              </w:rPr>
            </w:pPr>
            <w:r w:rsidRPr="00693CDC">
              <w:rPr>
                <w:rFonts w:ascii="Palatino Linotype" w:hAnsi="Palatino Linotype" w:cstheme="majorBidi"/>
                <w:b w:val="0"/>
              </w:rPr>
              <w:lastRenderedPageBreak/>
              <w:t>b) Supuestos de clasificación.</w:t>
            </w:r>
          </w:p>
        </w:tc>
        <w:tc>
          <w:tcPr>
            <w:tcW w:w="6990" w:type="dxa"/>
          </w:tcPr>
          <w:p w:rsidR="00764DD4" w:rsidRPr="00693CDC" w:rsidRDefault="00764DD4" w:rsidP="00F752E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764DD4" w:rsidRPr="00693CDC" w:rsidRDefault="00764DD4" w:rsidP="00F752E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64DD4" w:rsidRPr="00693CDC" w:rsidRDefault="00764DD4" w:rsidP="00F752E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693CDC">
              <w:rPr>
                <w:rFonts w:ascii="Palatino Linotype" w:hAnsi="Palatino Linotype" w:cs="Arial"/>
                <w:color w:val="000000"/>
              </w:rPr>
              <w:lastRenderedPageBreak/>
              <w:t xml:space="preserve">El </w:t>
            </w:r>
            <w:r w:rsidRPr="00693CDC">
              <w:rPr>
                <w:rFonts w:ascii="Palatino Linotype" w:hAnsi="Palatino Linotype" w:cs="Arial"/>
                <w:b/>
                <w:color w:val="000000"/>
              </w:rPr>
              <w:t>SUJETO OBLIGADO</w:t>
            </w:r>
            <w:r w:rsidRPr="00693CDC">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64DD4" w:rsidRPr="00693CDC" w:rsidTr="00C858C8">
        <w:tc>
          <w:tcPr>
            <w:cnfStyle w:val="001000000000" w:firstRow="0" w:lastRow="0" w:firstColumn="1" w:lastColumn="0" w:oddVBand="0" w:evenVBand="0" w:oddHBand="0" w:evenHBand="0" w:firstRowFirstColumn="0" w:firstRowLastColumn="0" w:lastRowFirstColumn="0" w:lastRowLastColumn="0"/>
            <w:tcW w:w="1838" w:type="dxa"/>
          </w:tcPr>
          <w:p w:rsidR="00764DD4" w:rsidRPr="00693CDC" w:rsidRDefault="00764DD4" w:rsidP="00F752E9">
            <w:pPr>
              <w:spacing w:line="360" w:lineRule="auto"/>
              <w:rPr>
                <w:rFonts w:ascii="Palatino Linotype" w:hAnsi="Palatino Linotype"/>
              </w:rPr>
            </w:pPr>
            <w:r w:rsidRPr="00693CDC">
              <w:rPr>
                <w:rFonts w:ascii="Palatino Linotype" w:hAnsi="Palatino Linotype" w:cstheme="majorBidi"/>
                <w:b w:val="0"/>
              </w:rPr>
              <w:lastRenderedPageBreak/>
              <w:t>c) Formalidades para emitir el acuerdo de clasificación.</w:t>
            </w:r>
          </w:p>
        </w:tc>
        <w:tc>
          <w:tcPr>
            <w:tcW w:w="6990" w:type="dxa"/>
          </w:tcPr>
          <w:p w:rsidR="00764DD4" w:rsidRPr="00693CDC" w:rsidRDefault="00764DD4" w:rsidP="00F752E9">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764DD4" w:rsidRPr="00693CDC" w:rsidRDefault="00764DD4" w:rsidP="00F752E9">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 xml:space="preserve">Es necesario que </w:t>
            </w:r>
            <w:r w:rsidRPr="00693CDC">
              <w:rPr>
                <w:rFonts w:ascii="Palatino Linotype" w:hAnsi="Palatino Linotype" w:cs="Arial"/>
                <w:b/>
                <w:color w:val="000000"/>
                <w:u w:val="single"/>
              </w:rPr>
              <w:t>el acto reúna con los requisitos elementales</w:t>
            </w:r>
            <w:r w:rsidRPr="00693CDC">
              <w:rPr>
                <w:rFonts w:ascii="Palatino Linotype" w:hAnsi="Palatino Linotype" w:cs="Arial"/>
                <w:color w:val="000000"/>
              </w:rPr>
              <w:t>, entre ellos, que la autoridad que va a emitir el acto de autoridad sea la legalmente facultada para ello.</w:t>
            </w:r>
          </w:p>
          <w:p w:rsidR="00764DD4" w:rsidRPr="00693CDC" w:rsidRDefault="00764DD4" w:rsidP="00F752E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693CDC">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64DD4" w:rsidRPr="00693CDC" w:rsidTr="00C858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64DD4" w:rsidRPr="00693CDC" w:rsidRDefault="00764DD4" w:rsidP="00F752E9">
            <w:pPr>
              <w:spacing w:line="360" w:lineRule="auto"/>
              <w:rPr>
                <w:rFonts w:ascii="Palatino Linotype" w:hAnsi="Palatino Linotype"/>
                <w:b w:val="0"/>
              </w:rPr>
            </w:pPr>
          </w:p>
          <w:p w:rsidR="00764DD4" w:rsidRPr="00693CDC" w:rsidRDefault="00764DD4" w:rsidP="00F752E9">
            <w:pPr>
              <w:spacing w:line="360" w:lineRule="auto"/>
              <w:jc w:val="both"/>
              <w:rPr>
                <w:rFonts w:ascii="Palatino Linotype" w:hAnsi="Palatino Linotype"/>
                <w:b w:val="0"/>
              </w:rPr>
            </w:pPr>
            <w:r w:rsidRPr="00693CDC">
              <w:rPr>
                <w:rFonts w:ascii="Palatino Linotype" w:hAnsi="Palatino Linotype" w:cs="Arial"/>
                <w:b w:val="0"/>
                <w:color w:val="000000"/>
              </w:rPr>
              <w:t xml:space="preserve">d) Requisitos de fondo del </w:t>
            </w:r>
            <w:r w:rsidRPr="00693CDC">
              <w:rPr>
                <w:rFonts w:ascii="Palatino Linotype" w:hAnsi="Palatino Linotype" w:cs="Arial"/>
                <w:b w:val="0"/>
                <w:color w:val="000000"/>
              </w:rPr>
              <w:lastRenderedPageBreak/>
              <w:t xml:space="preserve">acuerdo de clasificación. </w:t>
            </w:r>
          </w:p>
        </w:tc>
        <w:tc>
          <w:tcPr>
            <w:tcW w:w="6990" w:type="dxa"/>
          </w:tcPr>
          <w:p w:rsidR="00764DD4" w:rsidRPr="00693CDC" w:rsidRDefault="00764DD4" w:rsidP="00F752E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lastRenderedPageBreak/>
              <w:t xml:space="preserve">Como se ha señalado antes, al hacer el juicio de subsunción o encaje entre el supuesto de hecho y la hipótesis jurídica, se debe acreditar la estricta correspondencia entre un elemento y otro. </w:t>
            </w:r>
            <w:r w:rsidRPr="00693CDC">
              <w:rPr>
                <w:rFonts w:ascii="Palatino Linotype" w:hAnsi="Palatino Linotype" w:cs="Arial"/>
                <w:color w:val="000000"/>
              </w:rPr>
              <w:lastRenderedPageBreak/>
              <w:t xml:space="preserve">Ahora, en esta parte del procedimiento, que se desahoga en sede del Comité de Transparencia, la ley señala que la carga de la prueba, para justificar las restricciones, corresponde a los </w:t>
            </w:r>
            <w:r w:rsidRPr="00693CDC">
              <w:rPr>
                <w:rFonts w:ascii="Palatino Linotype" w:hAnsi="Palatino Linotype" w:cs="Arial"/>
                <w:b/>
                <w:color w:val="000000"/>
              </w:rPr>
              <w:t>Sujetos Obligados</w:t>
            </w:r>
            <w:r w:rsidRPr="00693CDC">
              <w:rPr>
                <w:rFonts w:ascii="Palatino Linotype" w:hAnsi="Palatino Linotype" w:cs="Arial"/>
                <w:color w:val="000000"/>
              </w:rPr>
              <w:t xml:space="preserve">, por lo que deberán fundar y motivar debidamente la clasificación. </w:t>
            </w:r>
          </w:p>
          <w:p w:rsidR="00764DD4" w:rsidRPr="00693CDC" w:rsidRDefault="00764DD4" w:rsidP="00F752E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 xml:space="preserve">De lo anterior, se desprende que para una correcta </w:t>
            </w:r>
            <w:r w:rsidRPr="00693CDC">
              <w:rPr>
                <w:rFonts w:ascii="Palatino Linotype" w:hAnsi="Palatino Linotype" w:cs="Arial"/>
                <w:b/>
                <w:color w:val="000000"/>
              </w:rPr>
              <w:t>clasificación total o parcial</w:t>
            </w:r>
            <w:r w:rsidRPr="00693CDC">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64DD4" w:rsidRPr="00693CDC" w:rsidRDefault="00764DD4" w:rsidP="00F752E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64DD4" w:rsidRPr="00693CDC" w:rsidRDefault="00764DD4" w:rsidP="00F752E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764DD4" w:rsidRPr="00693CDC" w:rsidRDefault="00764DD4" w:rsidP="00F752E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lastRenderedPageBreak/>
              <w:t xml:space="preserve">Ahora bien, </w:t>
            </w:r>
            <w:r w:rsidRPr="00693CDC">
              <w:rPr>
                <w:rFonts w:ascii="Palatino Linotype" w:hAnsi="Palatino Linotype" w:cs="Arial"/>
                <w:b/>
                <w:color w:val="000000"/>
                <w:u w:val="single"/>
              </w:rPr>
              <w:t>para cada caso además de fundar y motivar</w:t>
            </w:r>
            <w:r w:rsidRPr="00693CDC">
              <w:rPr>
                <w:rFonts w:ascii="Palatino Linotype" w:hAnsi="Palatino Linotype" w:cs="Arial"/>
                <w:color w:val="000000"/>
              </w:rPr>
              <w:t xml:space="preserve">, se debe identificar con claridad que datos contenidos en las documentales que son susceptibles de suprimirse, por ejemplo; </w:t>
            </w:r>
            <w:r w:rsidRPr="00693CDC">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64DD4" w:rsidRPr="00693CDC" w:rsidTr="00C858C8">
        <w:tc>
          <w:tcPr>
            <w:cnfStyle w:val="001000000000" w:firstRow="0" w:lastRow="0" w:firstColumn="1" w:lastColumn="0" w:oddVBand="0" w:evenVBand="0" w:oddHBand="0" w:evenHBand="0" w:firstRowFirstColumn="0" w:firstRowLastColumn="0" w:lastRowFirstColumn="0" w:lastRowLastColumn="0"/>
            <w:tcW w:w="1838" w:type="dxa"/>
          </w:tcPr>
          <w:p w:rsidR="00764DD4" w:rsidRPr="00693CDC" w:rsidRDefault="00764DD4" w:rsidP="00F752E9">
            <w:pPr>
              <w:spacing w:line="360" w:lineRule="auto"/>
              <w:jc w:val="both"/>
              <w:rPr>
                <w:rFonts w:ascii="Palatino Linotype" w:hAnsi="Palatino Linotype" w:cs="Arial"/>
                <w:color w:val="000000"/>
              </w:rPr>
            </w:pPr>
            <w:r w:rsidRPr="00693CDC">
              <w:rPr>
                <w:rFonts w:ascii="Palatino Linotype" w:eastAsia="MS Gothic" w:hAnsi="Palatino Linotype"/>
                <w:b w:val="0"/>
              </w:rPr>
              <w:lastRenderedPageBreak/>
              <w:t xml:space="preserve">e) Condiciones especiales de la clasificación de la información como confidencial. </w:t>
            </w:r>
          </w:p>
          <w:p w:rsidR="00764DD4" w:rsidRPr="00693CDC" w:rsidRDefault="00764DD4" w:rsidP="00F752E9">
            <w:pPr>
              <w:spacing w:line="360" w:lineRule="auto"/>
              <w:rPr>
                <w:rFonts w:ascii="Palatino Linotype" w:hAnsi="Palatino Linotype"/>
              </w:rPr>
            </w:pPr>
          </w:p>
        </w:tc>
        <w:tc>
          <w:tcPr>
            <w:tcW w:w="6990" w:type="dxa"/>
          </w:tcPr>
          <w:p w:rsidR="00764DD4" w:rsidRPr="00693CDC" w:rsidRDefault="00764DD4" w:rsidP="00F752E9">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764DD4" w:rsidRPr="00693CDC" w:rsidRDefault="00764DD4" w:rsidP="00F752E9">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93CDC">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64DD4" w:rsidRPr="00693CDC" w:rsidRDefault="00764DD4" w:rsidP="00F752E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693CDC">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64DD4" w:rsidRPr="00693CDC" w:rsidRDefault="00764DD4" w:rsidP="00F752E9">
      <w:pPr>
        <w:shd w:val="clear" w:color="auto" w:fill="FFFFFF"/>
        <w:spacing w:before="240" w:after="240" w:line="360" w:lineRule="auto"/>
        <w:jc w:val="both"/>
        <w:rPr>
          <w:rFonts w:ascii="Palatino Linotype" w:hAnsi="Palatino Linotype"/>
          <w:color w:val="222222"/>
        </w:rPr>
      </w:pPr>
    </w:p>
    <w:p w:rsidR="00B45D6F" w:rsidRPr="00693CDC" w:rsidRDefault="00B45D6F" w:rsidP="00F752E9">
      <w:pPr>
        <w:pStyle w:val="Prrafodelista"/>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color w:val="000000"/>
        </w:rPr>
        <w:lastRenderedPageBreak/>
        <w:t xml:space="preserve">Por otro lado, no pasa desapercibido para este Órgano Garante que dentro de la información que se ordena entregar, pueden estar contenidos datos que por su naturaleza son clasificados, entre los que, de manera enunciativa más no limitativa, se puede advertir  el domicilio fiscal y RCF del representante legal. </w:t>
      </w:r>
    </w:p>
    <w:p w:rsidR="00B45D6F" w:rsidRPr="00693CDC" w:rsidRDefault="00B45D6F"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45D6F" w:rsidRPr="00693CDC" w:rsidRDefault="00B45D6F" w:rsidP="00F752E9">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693CDC">
        <w:rPr>
          <w:rFonts w:ascii="Palatino Linotype" w:eastAsia="Palatino Linotype" w:hAnsi="Palatino Linotype" w:cs="Palatino Linotype"/>
          <w:b/>
          <w:color w:val="000000"/>
        </w:rPr>
        <w:t xml:space="preserve">Domicilio fiscal. </w:t>
      </w:r>
    </w:p>
    <w:p w:rsidR="00B45D6F" w:rsidRPr="00693CDC" w:rsidRDefault="00B45D6F" w:rsidP="00F752E9">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p>
    <w:p w:rsidR="00B45D6F" w:rsidRPr="00693CDC" w:rsidRDefault="00B45D6F" w:rsidP="00F752E9">
      <w:pPr>
        <w:pStyle w:val="Prrafodelista"/>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93CDC">
        <w:rPr>
          <w:rFonts w:ascii="Palatino Linotype" w:hAnsi="Palatino Linotype" w:cs="Tahoma"/>
          <w:lang w:val="es-E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B45D6F" w:rsidRPr="00693CDC" w:rsidRDefault="00B45D6F"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45D6F" w:rsidRPr="00693CDC" w:rsidRDefault="00B45D6F" w:rsidP="00F752E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93CDC">
        <w:rPr>
          <w:rFonts w:ascii="Palatino Linotype" w:hAnsi="Palatino Linotype" w:cs="Tahoma"/>
          <w:lang w:val="es-ES"/>
        </w:rPr>
        <w:t>De la misma manera, lo establece los diversos 29 y 33 del Código Civil Federal, al precisar que el domicilio de personas físicas</w:t>
      </w:r>
      <w:r w:rsidRPr="00693CDC">
        <w:rPr>
          <w:rFonts w:ascii="Palatino Linotype" w:hAnsi="Palatino Linotype" w:cs="Tahoma"/>
          <w:b/>
          <w:lang w:val="es-ES"/>
        </w:rPr>
        <w:t xml:space="preserve">, es el lugar donde residen habitualmente, el lugar del centro principal de sus negocios, donde residan o el lugar donde se encuentren; </w:t>
      </w:r>
      <w:r w:rsidRPr="00693CDC">
        <w:rPr>
          <w:rFonts w:ascii="Palatino Linotype" w:hAnsi="Palatino Linotype" w:cs="Tahoma"/>
          <w:lang w:val="es-ES"/>
        </w:rPr>
        <w:t>mientras que, de las personas morales, aquel donde se halle su administración.</w:t>
      </w:r>
    </w:p>
    <w:p w:rsidR="00F752E9" w:rsidRPr="00693CDC" w:rsidRDefault="00F752E9"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45D6F" w:rsidRPr="00693CDC" w:rsidRDefault="00B45D6F" w:rsidP="00F752E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93CDC">
        <w:rPr>
          <w:rFonts w:ascii="Palatino Linotype" w:eastAsia="Calibri" w:hAnsi="Palatino Linotype" w:cs="Tahoma"/>
          <w:bCs/>
          <w:iCs/>
          <w:lang w:val="es-ES"/>
        </w:rPr>
        <w:t>Además, respecto al domicilio fiscal, resulta necesario traer el artículo 10 del Código Fiscal de la Federación, que establece que, tratándose de personas físicas, corresponderá dicho dato:</w:t>
      </w:r>
    </w:p>
    <w:p w:rsidR="00B45D6F" w:rsidRPr="00693CDC" w:rsidRDefault="00B45D6F" w:rsidP="00F752E9">
      <w:pPr>
        <w:shd w:val="clear" w:color="auto" w:fill="FFFFFF" w:themeFill="background1"/>
        <w:spacing w:line="360" w:lineRule="auto"/>
        <w:jc w:val="both"/>
        <w:rPr>
          <w:rFonts w:ascii="Palatino Linotype" w:eastAsia="Calibri" w:hAnsi="Palatino Linotype" w:cs="Tahoma"/>
          <w:bCs/>
          <w:iCs/>
          <w:lang w:val="es-ES"/>
        </w:rPr>
      </w:pPr>
    </w:p>
    <w:p w:rsidR="00B45D6F" w:rsidRPr="00693CDC" w:rsidRDefault="00B45D6F" w:rsidP="00F752E9">
      <w:pPr>
        <w:pStyle w:val="Prrafodelista"/>
        <w:numPr>
          <w:ilvl w:val="0"/>
          <w:numId w:val="9"/>
        </w:numPr>
        <w:shd w:val="clear" w:color="auto" w:fill="FFFFFF" w:themeFill="background1"/>
        <w:spacing w:line="360" w:lineRule="auto"/>
        <w:ind w:left="0"/>
        <w:jc w:val="both"/>
        <w:rPr>
          <w:rFonts w:ascii="Palatino Linotype" w:eastAsia="Calibri" w:hAnsi="Palatino Linotype" w:cs="Tahoma"/>
          <w:bCs/>
          <w:iCs/>
        </w:rPr>
      </w:pPr>
      <w:r w:rsidRPr="00693CDC">
        <w:rPr>
          <w:rFonts w:ascii="Palatino Linotype" w:eastAsia="Calibri" w:hAnsi="Palatino Linotype" w:cs="Tahoma"/>
          <w:bCs/>
          <w:iCs/>
        </w:rPr>
        <w:t>El lugar donde realizan actividades empresariales, el local, en que se encuentre el principal asiente de sus negocios, y</w:t>
      </w:r>
    </w:p>
    <w:p w:rsidR="00B45D6F" w:rsidRPr="00693CDC" w:rsidRDefault="00B45D6F" w:rsidP="00F752E9">
      <w:pPr>
        <w:pStyle w:val="Prrafodelista"/>
        <w:numPr>
          <w:ilvl w:val="0"/>
          <w:numId w:val="9"/>
        </w:numPr>
        <w:shd w:val="clear" w:color="auto" w:fill="FFFFFF" w:themeFill="background1"/>
        <w:spacing w:line="360" w:lineRule="auto"/>
        <w:ind w:left="0"/>
        <w:jc w:val="both"/>
        <w:rPr>
          <w:rFonts w:ascii="Palatino Linotype" w:eastAsia="Calibri" w:hAnsi="Palatino Linotype" w:cs="Tahoma"/>
          <w:bCs/>
          <w:iCs/>
        </w:rPr>
      </w:pPr>
      <w:r w:rsidRPr="00693CDC">
        <w:rPr>
          <w:rFonts w:ascii="Palatino Linotype" w:eastAsia="Calibri" w:hAnsi="Palatino Linotype" w:cs="Tahoma"/>
          <w:bCs/>
          <w:iCs/>
        </w:rPr>
        <w:lastRenderedPageBreak/>
        <w:t>La casa habitación, cuando no cuenta con un local o lugar donde realice las acciones previamente señaladas.</w:t>
      </w:r>
    </w:p>
    <w:p w:rsidR="00B45D6F" w:rsidRPr="00693CDC" w:rsidRDefault="00B45D6F" w:rsidP="00F752E9">
      <w:pPr>
        <w:pStyle w:val="Prrafodelista"/>
        <w:shd w:val="clear" w:color="auto" w:fill="FFFFFF" w:themeFill="background1"/>
        <w:spacing w:line="360" w:lineRule="auto"/>
        <w:ind w:left="0"/>
        <w:jc w:val="both"/>
        <w:rPr>
          <w:rFonts w:ascii="Palatino Linotype" w:eastAsia="Calibri" w:hAnsi="Palatino Linotype" w:cs="Tahoma"/>
          <w:bCs/>
          <w:iCs/>
        </w:rPr>
      </w:pPr>
    </w:p>
    <w:p w:rsidR="00B45D6F" w:rsidRPr="00693CDC" w:rsidRDefault="00B45D6F" w:rsidP="00F752E9">
      <w:pPr>
        <w:pStyle w:val="Prrafodelista"/>
        <w:numPr>
          <w:ilvl w:val="0"/>
          <w:numId w:val="1"/>
        </w:numPr>
        <w:shd w:val="clear" w:color="auto" w:fill="FFFFFF" w:themeFill="background1"/>
        <w:spacing w:line="360" w:lineRule="auto"/>
        <w:jc w:val="both"/>
        <w:rPr>
          <w:rFonts w:ascii="Palatino Linotype" w:eastAsia="Calibri" w:hAnsi="Palatino Linotype" w:cs="Tahoma"/>
          <w:bCs/>
          <w:iCs/>
          <w:lang w:val="es-ES"/>
        </w:rPr>
      </w:pPr>
      <w:r w:rsidRPr="00693CDC">
        <w:rPr>
          <w:rFonts w:ascii="Palatino Linotype" w:eastAsia="Calibri" w:hAnsi="Palatino Linotype" w:cs="Tahoma"/>
          <w:bCs/>
          <w:iCs/>
          <w:lang w:val="es-ES"/>
        </w:rPr>
        <w:t>Mientras, que, en el caso de personas morales, el domicilio fiscal, corresponderá al local donde se encuentra la administración principal del negocio.</w:t>
      </w:r>
    </w:p>
    <w:p w:rsidR="00B45D6F" w:rsidRPr="00693CDC" w:rsidRDefault="00B45D6F" w:rsidP="00F752E9">
      <w:pPr>
        <w:pStyle w:val="Prrafodelista"/>
        <w:shd w:val="clear" w:color="auto" w:fill="FFFFFF" w:themeFill="background1"/>
        <w:spacing w:line="360" w:lineRule="auto"/>
        <w:ind w:left="0"/>
        <w:jc w:val="both"/>
        <w:rPr>
          <w:rFonts w:ascii="Palatino Linotype" w:eastAsia="Calibri" w:hAnsi="Palatino Linotype" w:cs="Tahoma"/>
          <w:bCs/>
          <w:iCs/>
          <w:lang w:val="es-ES"/>
        </w:rPr>
      </w:pPr>
    </w:p>
    <w:p w:rsidR="00B45D6F" w:rsidRPr="00693CDC" w:rsidRDefault="00B45D6F" w:rsidP="00F752E9">
      <w:pPr>
        <w:pStyle w:val="Prrafodelista"/>
        <w:numPr>
          <w:ilvl w:val="0"/>
          <w:numId w:val="1"/>
        </w:numPr>
        <w:shd w:val="clear" w:color="auto" w:fill="FFFFFF" w:themeFill="background1"/>
        <w:spacing w:line="360" w:lineRule="auto"/>
        <w:jc w:val="both"/>
        <w:rPr>
          <w:rFonts w:ascii="Palatino Linotype" w:eastAsia="Calibri" w:hAnsi="Palatino Linotype" w:cs="Tahoma"/>
          <w:bCs/>
          <w:iCs/>
          <w:lang w:val="es-ES"/>
        </w:rPr>
      </w:pPr>
      <w:r w:rsidRPr="00693CDC">
        <w:rPr>
          <w:rFonts w:ascii="Palatino Linotype" w:eastAsia="Calibri" w:hAnsi="Palatino Linotype" w:cs="Tahoma"/>
          <w:bCs/>
          <w:iCs/>
          <w:lang w:val="es-ES"/>
        </w:rPr>
        <w:t>Como se logra observar, el domicilio fiscal de los proveedores personas físicas, se encuentra en dos supuestos, por lo que, se procede a su análisis.</w:t>
      </w:r>
    </w:p>
    <w:p w:rsidR="00B45D6F" w:rsidRPr="00693CDC" w:rsidRDefault="00B45D6F" w:rsidP="00F752E9">
      <w:pPr>
        <w:pStyle w:val="Prrafodelista"/>
        <w:ind w:left="0"/>
        <w:rPr>
          <w:rFonts w:ascii="Palatino Linotype" w:hAnsi="Palatino Linotype" w:cs="Tahoma"/>
          <w:lang w:val="es-ES"/>
        </w:rPr>
      </w:pPr>
    </w:p>
    <w:p w:rsidR="00B45D6F" w:rsidRPr="00693CDC" w:rsidRDefault="00B45D6F" w:rsidP="00F752E9">
      <w:pPr>
        <w:pStyle w:val="Prrafodelista"/>
        <w:numPr>
          <w:ilvl w:val="0"/>
          <w:numId w:val="1"/>
        </w:numPr>
        <w:shd w:val="clear" w:color="auto" w:fill="FFFFFF" w:themeFill="background1"/>
        <w:spacing w:line="360" w:lineRule="auto"/>
        <w:jc w:val="both"/>
        <w:rPr>
          <w:rFonts w:ascii="Palatino Linotype" w:eastAsia="Calibri" w:hAnsi="Palatino Linotype" w:cs="Tahoma"/>
          <w:bCs/>
          <w:iCs/>
          <w:lang w:val="es-ES"/>
        </w:rPr>
      </w:pPr>
      <w:r w:rsidRPr="00693CDC">
        <w:rPr>
          <w:rFonts w:ascii="Palatino Linotype" w:hAnsi="Palatino Linotype" w:cs="Tahoma"/>
          <w:lang w:val="es-ES"/>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rsidR="00B45D6F" w:rsidRPr="00693CDC" w:rsidRDefault="00B45D6F" w:rsidP="00F752E9">
      <w:pPr>
        <w:pStyle w:val="Prrafodelista"/>
        <w:ind w:left="0"/>
        <w:rPr>
          <w:rFonts w:ascii="Palatino Linotype" w:eastAsia="Calibri" w:hAnsi="Palatino Linotype" w:cs="Tahoma"/>
          <w:bCs/>
          <w:iCs/>
          <w:lang w:val="es-ES"/>
        </w:rPr>
      </w:pPr>
    </w:p>
    <w:p w:rsidR="00B45D6F" w:rsidRPr="00693CDC" w:rsidRDefault="00B45D6F" w:rsidP="00F752E9">
      <w:pPr>
        <w:pStyle w:val="Prrafodelista"/>
        <w:numPr>
          <w:ilvl w:val="0"/>
          <w:numId w:val="1"/>
        </w:numPr>
        <w:shd w:val="clear" w:color="auto" w:fill="FFFFFF" w:themeFill="background1"/>
        <w:spacing w:line="360" w:lineRule="auto"/>
        <w:jc w:val="both"/>
        <w:rPr>
          <w:rFonts w:ascii="Palatino Linotype" w:eastAsia="Calibri" w:hAnsi="Palatino Linotype" w:cs="Tahoma"/>
          <w:bCs/>
          <w:iCs/>
          <w:lang w:val="es-ES"/>
        </w:rPr>
      </w:pPr>
      <w:r w:rsidRPr="00693CDC">
        <w:rPr>
          <w:rFonts w:ascii="Palatino Linotype" w:eastAsia="Calibri" w:hAnsi="Palatino Linotype" w:cs="Tahoma"/>
          <w:bCs/>
          <w:iCs/>
          <w:lang w:val="es-ES"/>
        </w:rPr>
        <w:t xml:space="preserve">Ahora bien, en el caso de que el domicilio corresponda al lugar donde realiza sus actividades empresariales, como es el caso de las personas morales, se considera necesario traer a colación, </w:t>
      </w:r>
      <w:r w:rsidRPr="00693CDC">
        <w:rPr>
          <w:rFonts w:ascii="Palatino Linotype" w:eastAsia="Calibri" w:hAnsi="Palatino Linotype" w:cs="Tahoma"/>
          <w:bCs/>
        </w:rPr>
        <w:t xml:space="preserve">los formatos de los Lineamientos técnicos generales para la publicación, homologación y estandarización de la información de las obligaciones establecidas en el título quinto y en la fracción IV del artículo 31 de la Ley General de </w:t>
      </w:r>
      <w:r w:rsidRPr="00693CDC">
        <w:rPr>
          <w:rFonts w:ascii="Palatino Linotype" w:eastAsia="Calibri" w:hAnsi="Palatino Linotype" w:cs="Tahoma"/>
          <w:bCs/>
        </w:rPr>
        <w:lastRenderedPageBreak/>
        <w:t>Transparencia y Acceso a la Información Pública, que deben de difundir los sujetos obligados en los portales de Internet y en la Plataforma Nacional de Transparencia, tal como se muestran a continuación:</w:t>
      </w:r>
    </w:p>
    <w:p w:rsidR="00F752E9" w:rsidRPr="00693CDC" w:rsidRDefault="00F752E9" w:rsidP="00F752E9">
      <w:pPr>
        <w:pStyle w:val="Prrafodelista"/>
        <w:shd w:val="clear" w:color="auto" w:fill="FFFFFF" w:themeFill="background1"/>
        <w:spacing w:line="360" w:lineRule="auto"/>
        <w:ind w:left="0"/>
        <w:jc w:val="both"/>
        <w:rPr>
          <w:rFonts w:ascii="Palatino Linotype" w:eastAsia="Calibri" w:hAnsi="Palatino Linotype" w:cs="Tahoma"/>
          <w:bCs/>
        </w:rPr>
      </w:pPr>
    </w:p>
    <w:p w:rsidR="00F752E9" w:rsidRPr="00693CDC" w:rsidRDefault="00F752E9" w:rsidP="00F752E9">
      <w:pPr>
        <w:pStyle w:val="Prrafodelista"/>
        <w:shd w:val="clear" w:color="auto" w:fill="FFFFFF" w:themeFill="background1"/>
        <w:spacing w:line="360" w:lineRule="auto"/>
        <w:ind w:left="0"/>
        <w:jc w:val="both"/>
        <w:rPr>
          <w:rFonts w:ascii="Palatino Linotype" w:eastAsia="Calibri" w:hAnsi="Palatino Linotype" w:cs="Tahoma"/>
          <w:bCs/>
        </w:rPr>
      </w:pPr>
    </w:p>
    <w:p w:rsidR="00F752E9" w:rsidRPr="00693CDC" w:rsidRDefault="00F752E9" w:rsidP="00F752E9">
      <w:pPr>
        <w:pStyle w:val="Prrafodelista"/>
        <w:shd w:val="clear" w:color="auto" w:fill="FFFFFF" w:themeFill="background1"/>
        <w:spacing w:line="360" w:lineRule="auto"/>
        <w:ind w:left="0"/>
        <w:jc w:val="both"/>
        <w:rPr>
          <w:rFonts w:ascii="Palatino Linotype" w:eastAsia="Calibri" w:hAnsi="Palatino Linotype" w:cs="Tahoma"/>
          <w:bCs/>
          <w:iCs/>
          <w:lang w:val="es-ES"/>
        </w:rPr>
      </w:pPr>
    </w:p>
    <w:p w:rsidR="00B45D6F" w:rsidRPr="00693CDC" w:rsidRDefault="00B45D6F" w:rsidP="00F752E9">
      <w:pPr>
        <w:spacing w:line="360" w:lineRule="auto"/>
        <w:jc w:val="both"/>
        <w:rPr>
          <w:rFonts w:ascii="Palatino Linotype" w:eastAsia="Calibri" w:hAnsi="Palatino Linotype" w:cs="Tahoma"/>
          <w:bCs/>
        </w:rPr>
      </w:pPr>
    </w:p>
    <w:p w:rsidR="00B45D6F" w:rsidRPr="00693CDC" w:rsidRDefault="00B45D6F" w:rsidP="00F752E9">
      <w:pPr>
        <w:shd w:val="clear" w:color="auto" w:fill="FFFFFF" w:themeFill="background1"/>
        <w:spacing w:line="360" w:lineRule="auto"/>
        <w:jc w:val="center"/>
        <w:rPr>
          <w:rFonts w:ascii="Palatino Linotype" w:eastAsia="Calibri" w:hAnsi="Palatino Linotype" w:cs="Tahoma"/>
          <w:b/>
          <w:bCs/>
          <w:iCs/>
          <w:lang w:val="es-ES"/>
        </w:rPr>
      </w:pPr>
      <w:r w:rsidRPr="00693CDC">
        <w:rPr>
          <w:rFonts w:ascii="Palatino Linotype" w:hAnsi="Palatino Linotype"/>
          <w:noProof/>
        </w:rPr>
        <w:drawing>
          <wp:inline distT="0" distB="0" distL="0" distR="0" wp14:anchorId="014FA47C" wp14:editId="6765E3A4">
            <wp:extent cx="4680000" cy="625042"/>
            <wp:effectExtent l="0" t="0" r="6350" b="3810"/>
            <wp:docPr id="29" name="Imagen 2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Diagrama&#10;&#10;Descripción generada automáticamente"/>
                    <pic:cNvPicPr/>
                  </pic:nvPicPr>
                  <pic:blipFill rotWithShape="1">
                    <a:blip r:embed="rId9"/>
                    <a:srcRect b="18367"/>
                    <a:stretch/>
                  </pic:blipFill>
                  <pic:spPr bwMode="auto">
                    <a:xfrm>
                      <a:off x="0" y="0"/>
                      <a:ext cx="4680000" cy="625042"/>
                    </a:xfrm>
                    <a:prstGeom prst="rect">
                      <a:avLst/>
                    </a:prstGeom>
                    <a:ln>
                      <a:noFill/>
                    </a:ln>
                    <a:extLst>
                      <a:ext uri="{53640926-AAD7-44D8-BBD7-CCE9431645EC}">
                        <a14:shadowObscured xmlns:a14="http://schemas.microsoft.com/office/drawing/2010/main"/>
                      </a:ext>
                    </a:extLst>
                  </pic:spPr>
                </pic:pic>
              </a:graphicData>
            </a:graphic>
          </wp:inline>
        </w:drawing>
      </w:r>
    </w:p>
    <w:p w:rsidR="00B45D6F" w:rsidRPr="00693CDC" w:rsidRDefault="00B45D6F" w:rsidP="00F752E9">
      <w:pPr>
        <w:shd w:val="clear" w:color="auto" w:fill="FFFFFF" w:themeFill="background1"/>
        <w:spacing w:line="360" w:lineRule="auto"/>
        <w:jc w:val="center"/>
        <w:rPr>
          <w:rFonts w:ascii="Palatino Linotype" w:eastAsia="Calibri" w:hAnsi="Palatino Linotype" w:cs="Tahoma"/>
          <w:b/>
          <w:bCs/>
          <w:iCs/>
          <w:lang w:val="es-ES"/>
        </w:rPr>
      </w:pPr>
      <w:r w:rsidRPr="00693CDC">
        <w:rPr>
          <w:rFonts w:ascii="Palatino Linotype" w:hAnsi="Palatino Linotype"/>
          <w:noProof/>
        </w:rPr>
        <mc:AlternateContent>
          <mc:Choice Requires="wps">
            <w:drawing>
              <wp:anchor distT="0" distB="0" distL="114300" distR="114300" simplePos="0" relativeHeight="251659264" behindDoc="0" locked="0" layoutInCell="1" allowOverlap="1" wp14:anchorId="4ADAE611" wp14:editId="4AB8F729">
                <wp:simplePos x="0" y="0"/>
                <wp:positionH relativeFrom="column">
                  <wp:posOffset>587375</wp:posOffset>
                </wp:positionH>
                <wp:positionV relativeFrom="paragraph">
                  <wp:posOffset>1589405</wp:posOffset>
                </wp:positionV>
                <wp:extent cx="4707172" cy="1193855"/>
                <wp:effectExtent l="19050" t="19050" r="17780" b="25400"/>
                <wp:wrapNone/>
                <wp:docPr id="17" name="Rectángulo 17"/>
                <wp:cNvGraphicFramePr/>
                <a:graphic xmlns:a="http://schemas.openxmlformats.org/drawingml/2006/main">
                  <a:graphicData uri="http://schemas.microsoft.com/office/word/2010/wordprocessingShape">
                    <wps:wsp>
                      <wps:cNvSpPr/>
                      <wps:spPr>
                        <a:xfrm>
                          <a:off x="0" y="0"/>
                          <a:ext cx="4707172" cy="11938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F6EEA" id="Rectángulo 17" o:spid="_x0000_s1026" style="position:absolute;margin-left:46.25pt;margin-top:125.15pt;width:370.6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D0pQIAAJQFAAAOAAAAZHJzL2Uyb0RvYy54bWysVMFu2zAMvQ/YPwi6r7bTZGmNOkXQIsOA&#10;og3aDj0rshwbkEVNUuJkf7Nv2Y+Nkmw36IodhvkgSyL5SD6RvLo+tJLshbENqIJmZyklQnEoG7Ut&#10;6Lfn1acLSqxjqmQSlCjoUVh6vfj44arTuZhADbIUhiCIsnmnC1o7p/MksbwWLbNnoIVCYQWmZQ6P&#10;ZpuUhnWI3spkkqafkw5MqQ1wYS3e3kYhXQT8qhLcPVSVFY7IgmJsLqwmrBu/Josrlm8N03XD+zDY&#10;P0TRskah0xHqljlGdqb5A6ptuAELlTvj0CZQVQ0XIQfMJkvfZPNUMy1CLkiO1SNN9v/B8vv92pCm&#10;xLebU6JYi2/0iKz9+qm2OwkEb5GiTtscNZ/02vQni1uf76Eyrf9jJuQQaD2OtIqDIxwvp/N0ns0n&#10;lHCUZdnl+cVs5lGTV3NtrPsioCV+U1CDEQQ62f7Ouqg6qHhvClaNlHjPcqlIV9DziyxNg4UF2ZRe&#10;6oXWbDc30pA9w+dfrVL8escnahiGVBiNTzKmFXbuKEV08CgqZAgTmUQPvjbFCMs4F8plUVSzUkRv&#10;s1Nng0XIWSoE9MgVRjli9wCDZgQZsCMDvb43FaG0R+M+9b8ZjxbBMyg3GreNAvNeZhKz6j1H/YGk&#10;SI1naQPlEevHQGwsq/mqwRe8Y9atmcFOwp7D6eAecKkk4EtBv6OkBvPjvXuvjwWOUko67MyC2u87&#10;ZgQl8qvC0r/MplPfyuEwnc0neDCnks2pRO3aG8DXz3AOaR62Xt/JYVsZaF9wiCy9VxQxxdF3Qbkz&#10;w+HGxYmBY4iL5TKoYftq5u7Uk+Ye3LPqK/T58MKM7svYYQfcw9DFLH9TzVHXWypY7hxUTSj1V157&#10;vrH1Q+H0Y8rPltNz0HodpovfAAAA//8DAFBLAwQUAAYACAAAACEAfwBNGt8AAAAKAQAADwAAAGRy&#10;cy9kb3ducmV2LnhtbEyPQU+EMBCF7yb+h2ZMvLll6a6ySNkYEzV6EzVeuzACoZ0S2l3w3zue9DiZ&#10;L+99r9gvzooTTqH3pGG9SkAg1b7pqdXw/vZwlYEI0VBjrCfU8I0B9uX5WWHyxs/0iqcqtoJDKORG&#10;QxfjmEsZ6g6dCSs/IvHvy0/ORD6nVjaTmTncWZkmybV0pidu6MyI9x3WQ3V0Gp7n1PafrXl5qobq&#10;Y/Cbx/XNzml9ebHc3YKIuMQ/GH71WR1Kdjr4IzVBWA27dMukhnSbKBAMZErxloOGjcoUyLKQ/yeU&#10;PwAAAP//AwBQSwECLQAUAAYACAAAACEAtoM4kv4AAADhAQAAEwAAAAAAAAAAAAAAAAAAAAAAW0Nv&#10;bnRlbnRfVHlwZXNdLnhtbFBLAQItABQABgAIAAAAIQA4/SH/1gAAAJQBAAALAAAAAAAAAAAAAAAA&#10;AC8BAABfcmVscy8ucmVsc1BLAQItABQABgAIAAAAIQB670D0pQIAAJQFAAAOAAAAAAAAAAAAAAAA&#10;AC4CAABkcnMvZTJvRG9jLnhtbFBLAQItABQABgAIAAAAIQB/AE0a3wAAAAoBAAAPAAAAAAAAAAAA&#10;AAAAAP8EAABkcnMvZG93bnJldi54bWxQSwUGAAAAAAQABADzAAAACwYAAAAA&#10;" filled="f" strokecolor="red" strokeweight="3pt"/>
            </w:pict>
          </mc:Fallback>
        </mc:AlternateContent>
      </w:r>
      <w:r w:rsidRPr="00693CDC">
        <w:rPr>
          <w:rFonts w:ascii="Palatino Linotype" w:hAnsi="Palatino Linotype"/>
          <w:noProof/>
        </w:rPr>
        <w:drawing>
          <wp:inline distT="0" distB="0" distL="0" distR="0" wp14:anchorId="34EEC9B2" wp14:editId="47BC776C">
            <wp:extent cx="4678586" cy="2822713"/>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499"/>
                    <a:stretch/>
                  </pic:blipFill>
                  <pic:spPr bwMode="auto">
                    <a:xfrm>
                      <a:off x="0" y="0"/>
                      <a:ext cx="4680000" cy="2823566"/>
                    </a:xfrm>
                    <a:prstGeom prst="rect">
                      <a:avLst/>
                    </a:prstGeom>
                    <a:ln>
                      <a:noFill/>
                    </a:ln>
                    <a:extLst>
                      <a:ext uri="{53640926-AAD7-44D8-BBD7-CCE9431645EC}">
                        <a14:shadowObscured xmlns:a14="http://schemas.microsoft.com/office/drawing/2010/main"/>
                      </a:ext>
                    </a:extLst>
                  </pic:spPr>
                </pic:pic>
              </a:graphicData>
            </a:graphic>
          </wp:inline>
        </w:drawing>
      </w:r>
    </w:p>
    <w:p w:rsidR="00B45D6F" w:rsidRPr="00693CDC" w:rsidRDefault="00B45D6F" w:rsidP="00F752E9">
      <w:pPr>
        <w:shd w:val="clear" w:color="auto" w:fill="FFFFFF" w:themeFill="background1"/>
        <w:spacing w:line="360" w:lineRule="auto"/>
        <w:jc w:val="both"/>
        <w:rPr>
          <w:rFonts w:ascii="Palatino Linotype" w:eastAsia="Calibri" w:hAnsi="Palatino Linotype" w:cs="Tahoma"/>
          <w:bCs/>
          <w:iCs/>
          <w:lang w:val="es-ES"/>
        </w:rPr>
      </w:pPr>
    </w:p>
    <w:p w:rsidR="00B45D6F" w:rsidRPr="00693CDC" w:rsidRDefault="00B45D6F" w:rsidP="00F752E9">
      <w:pPr>
        <w:pStyle w:val="Prrafodelista"/>
        <w:numPr>
          <w:ilvl w:val="0"/>
          <w:numId w:val="1"/>
        </w:numPr>
        <w:shd w:val="clear" w:color="auto" w:fill="FFFFFF" w:themeFill="background1"/>
        <w:spacing w:line="360" w:lineRule="auto"/>
        <w:jc w:val="both"/>
        <w:rPr>
          <w:rFonts w:ascii="Palatino Linotype" w:eastAsia="Calibri" w:hAnsi="Palatino Linotype" w:cs="Tahoma"/>
          <w:bCs/>
          <w:iCs/>
          <w:lang w:val="es-ES"/>
        </w:rPr>
      </w:pPr>
      <w:r w:rsidRPr="00693CDC">
        <w:rPr>
          <w:rFonts w:ascii="Palatino Linotype" w:eastAsia="Calibri" w:hAnsi="Palatino Linotype" w:cs="Tahoma"/>
          <w:bCs/>
          <w:iCs/>
          <w:lang w:val="es-ES"/>
        </w:rPr>
        <w:t>Como se logra observar, es obligación de transparencia proporcionar el domicilio fiscal de los proveedores, por lo que, se considera que, en el caso, de que dicho dato, corresponda a un local o lugar donde realice sus actividades empresariales, se debe entregar.</w:t>
      </w:r>
    </w:p>
    <w:p w:rsidR="00B45D6F" w:rsidRPr="00693CDC" w:rsidRDefault="00B45D6F" w:rsidP="00F752E9">
      <w:pPr>
        <w:pStyle w:val="Prrafodelista"/>
        <w:shd w:val="clear" w:color="auto" w:fill="FFFFFF" w:themeFill="background1"/>
        <w:spacing w:line="360" w:lineRule="auto"/>
        <w:ind w:left="0"/>
        <w:jc w:val="both"/>
        <w:rPr>
          <w:rFonts w:ascii="Palatino Linotype" w:eastAsia="Calibri" w:hAnsi="Palatino Linotype" w:cs="Tahoma"/>
          <w:bCs/>
          <w:iCs/>
          <w:lang w:val="es-ES"/>
        </w:rPr>
      </w:pPr>
    </w:p>
    <w:p w:rsidR="00B45D6F" w:rsidRPr="00693CDC" w:rsidRDefault="00B45D6F" w:rsidP="00F752E9">
      <w:pPr>
        <w:pStyle w:val="Prrafodelista"/>
        <w:numPr>
          <w:ilvl w:val="0"/>
          <w:numId w:val="1"/>
        </w:numPr>
        <w:shd w:val="clear" w:color="auto" w:fill="FFFFFF" w:themeFill="background1"/>
        <w:spacing w:line="360" w:lineRule="auto"/>
        <w:jc w:val="both"/>
        <w:rPr>
          <w:rFonts w:ascii="Palatino Linotype" w:eastAsia="Calibri" w:hAnsi="Palatino Linotype" w:cs="Tahoma"/>
          <w:bCs/>
          <w:iCs/>
          <w:lang w:val="es-ES"/>
        </w:rPr>
      </w:pPr>
      <w:r w:rsidRPr="00693CDC">
        <w:rPr>
          <w:rFonts w:ascii="Palatino Linotype" w:eastAsia="Calibri" w:hAnsi="Palatino Linotype" w:cs="Tahoma"/>
          <w:bCs/>
          <w:iCs/>
          <w:lang w:val="es-ES"/>
        </w:rPr>
        <w:lastRenderedPageBreak/>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rsidR="00B45D6F" w:rsidRPr="00693CDC" w:rsidRDefault="00B45D6F"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752E9" w:rsidRPr="00693CDC" w:rsidRDefault="00F752E9"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752E9" w:rsidRPr="00693CDC" w:rsidRDefault="00F752E9"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752E9" w:rsidRPr="00693CDC" w:rsidRDefault="00F752E9" w:rsidP="00F752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45D6F" w:rsidRPr="00693CDC" w:rsidRDefault="00B45D6F" w:rsidP="00F752E9">
      <w:pPr>
        <w:pStyle w:val="Prrafodelista"/>
        <w:numPr>
          <w:ilvl w:val="0"/>
          <w:numId w:val="1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693CDC">
        <w:rPr>
          <w:rFonts w:ascii="Palatino Linotype" w:eastAsia="Palatino Linotype" w:hAnsi="Palatino Linotype" w:cs="Palatino Linotype"/>
          <w:b/>
          <w:color w:val="000000"/>
        </w:rPr>
        <w:t>Del RFC de personas físicas</w:t>
      </w:r>
    </w:p>
    <w:p w:rsidR="00B45D6F" w:rsidRPr="00693CDC" w:rsidRDefault="00B45D6F" w:rsidP="00F752E9">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p>
    <w:p w:rsidR="00B45D6F" w:rsidRPr="00693CDC" w:rsidRDefault="00B45D6F" w:rsidP="00F752E9">
      <w:pPr>
        <w:pStyle w:val="Prrafodelista"/>
        <w:numPr>
          <w:ilvl w:val="0"/>
          <w:numId w:val="1"/>
        </w:numPr>
        <w:spacing w:before="240" w:after="240" w:line="360" w:lineRule="auto"/>
        <w:jc w:val="both"/>
        <w:rPr>
          <w:rFonts w:ascii="Palatino Linotype" w:eastAsia="Palatino Linotype" w:hAnsi="Palatino Linotype" w:cs="Palatino Linotype"/>
        </w:rPr>
      </w:pPr>
      <w:r w:rsidRPr="00693CDC">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693CDC">
        <w:rPr>
          <w:rFonts w:ascii="Palatino Linotype" w:eastAsia="Palatino Linotype" w:hAnsi="Palatino Linotype" w:cs="Palatino Linotype"/>
        </w:rPr>
        <w:t>homoclave</w:t>
      </w:r>
      <w:proofErr w:type="spellEnd"/>
      <w:r w:rsidRPr="00693CDC">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rsidR="00B45D6F" w:rsidRPr="00693CDC" w:rsidRDefault="00B45D6F" w:rsidP="00F752E9">
      <w:pPr>
        <w:pStyle w:val="Prrafodelista"/>
        <w:spacing w:before="240" w:after="240" w:line="360" w:lineRule="auto"/>
        <w:ind w:left="0"/>
        <w:jc w:val="both"/>
        <w:rPr>
          <w:rFonts w:ascii="Palatino Linotype" w:eastAsia="Palatino Linotype" w:hAnsi="Palatino Linotype" w:cs="Palatino Linotype"/>
        </w:rPr>
      </w:pPr>
    </w:p>
    <w:p w:rsidR="00B45D6F" w:rsidRPr="00693CDC" w:rsidRDefault="00B45D6F" w:rsidP="00F752E9">
      <w:pPr>
        <w:pStyle w:val="Prrafodelista"/>
        <w:numPr>
          <w:ilvl w:val="0"/>
          <w:numId w:val="1"/>
        </w:numPr>
        <w:spacing w:before="240" w:after="240" w:line="360" w:lineRule="auto"/>
        <w:jc w:val="both"/>
        <w:rPr>
          <w:rFonts w:ascii="Palatino Linotype" w:eastAsia="Palatino Linotype" w:hAnsi="Palatino Linotype" w:cs="Palatino Linotype"/>
        </w:rPr>
      </w:pPr>
      <w:r w:rsidRPr="00693CDC">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45D6F" w:rsidRPr="00693CDC" w:rsidRDefault="00B45D6F" w:rsidP="00F752E9">
      <w:pPr>
        <w:pStyle w:val="Prrafodelista"/>
        <w:ind w:left="0"/>
        <w:rPr>
          <w:rFonts w:ascii="Palatino Linotype" w:eastAsia="Palatino Linotype" w:hAnsi="Palatino Linotype" w:cs="Palatino Linotype"/>
        </w:rPr>
      </w:pPr>
    </w:p>
    <w:p w:rsidR="00B45D6F" w:rsidRPr="00693CDC" w:rsidRDefault="00B45D6F" w:rsidP="00F752E9">
      <w:pPr>
        <w:pStyle w:val="Prrafodelista"/>
        <w:spacing w:before="240" w:after="240" w:line="360" w:lineRule="auto"/>
        <w:ind w:left="0"/>
        <w:jc w:val="both"/>
        <w:rPr>
          <w:rFonts w:ascii="Palatino Linotype" w:eastAsia="Palatino Linotype" w:hAnsi="Palatino Linotype" w:cs="Palatino Linotype"/>
        </w:rPr>
      </w:pPr>
    </w:p>
    <w:p w:rsidR="00B45D6F" w:rsidRPr="00693CDC" w:rsidRDefault="00B45D6F" w:rsidP="00F752E9">
      <w:pPr>
        <w:pStyle w:val="Prrafodelista"/>
        <w:numPr>
          <w:ilvl w:val="0"/>
          <w:numId w:val="1"/>
        </w:numPr>
        <w:spacing w:before="240" w:after="240" w:line="360" w:lineRule="auto"/>
        <w:jc w:val="both"/>
        <w:rPr>
          <w:rFonts w:ascii="Palatino Linotype" w:eastAsia="Palatino Linotype" w:hAnsi="Palatino Linotype" w:cs="Palatino Linotype"/>
        </w:rPr>
      </w:pPr>
      <w:r w:rsidRPr="00693CDC">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rsidR="00B45D6F" w:rsidRPr="00693CDC" w:rsidRDefault="00B45D6F" w:rsidP="00F752E9">
      <w:pPr>
        <w:spacing w:after="160" w:line="259" w:lineRule="auto"/>
        <w:jc w:val="both"/>
        <w:rPr>
          <w:rFonts w:ascii="Palatino Linotype" w:eastAsia="Palatino Linotype" w:hAnsi="Palatino Linotype" w:cs="Palatino Linotype"/>
          <w:i/>
        </w:rPr>
      </w:pPr>
      <w:r w:rsidRPr="00693CDC">
        <w:rPr>
          <w:rFonts w:ascii="Palatino Linotype" w:eastAsia="Palatino Linotype" w:hAnsi="Palatino Linotype" w:cs="Palatino Linotype"/>
          <w:b/>
          <w:i/>
        </w:rPr>
        <w:lastRenderedPageBreak/>
        <w:t xml:space="preserve"> “Registro Federal de Contribuyentes (RFC) de personas físicas</w:t>
      </w:r>
      <w:r w:rsidRPr="00693CDC">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F752E9" w:rsidRPr="00693CDC" w:rsidRDefault="00F752E9" w:rsidP="00F752E9">
      <w:pPr>
        <w:spacing w:after="160" w:line="259" w:lineRule="auto"/>
        <w:jc w:val="both"/>
        <w:rPr>
          <w:rFonts w:ascii="Palatino Linotype" w:eastAsia="Palatino Linotype" w:hAnsi="Palatino Linotype" w:cs="Palatino Linotype"/>
          <w:i/>
        </w:rPr>
      </w:pPr>
    </w:p>
    <w:p w:rsidR="00B45D6F" w:rsidRPr="00693CDC" w:rsidRDefault="00B45D6F" w:rsidP="00F752E9">
      <w:pPr>
        <w:pStyle w:val="Prrafodelista"/>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93CDC">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693CDC">
        <w:rPr>
          <w:rFonts w:ascii="Palatino Linotype" w:eastAsia="Palatino Linotype" w:hAnsi="Palatino Linotype" w:cs="Palatino Linotype"/>
        </w:rPr>
        <w:t>homoclave</w:t>
      </w:r>
      <w:proofErr w:type="spellEnd"/>
      <w:r w:rsidRPr="00693CDC">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64DD4" w:rsidRPr="00693CDC" w:rsidRDefault="00764DD4" w:rsidP="00F752E9">
      <w:pPr>
        <w:numPr>
          <w:ilvl w:val="0"/>
          <w:numId w:val="1"/>
        </w:numPr>
        <w:shd w:val="clear" w:color="auto" w:fill="FFFFFF"/>
        <w:spacing w:before="240" w:after="240" w:line="360" w:lineRule="auto"/>
        <w:jc w:val="both"/>
        <w:rPr>
          <w:rFonts w:ascii="Palatino Linotype" w:hAnsi="Palatino Linotype"/>
          <w:color w:val="222222"/>
        </w:rPr>
      </w:pPr>
      <w:r w:rsidRPr="00693CDC">
        <w:rPr>
          <w:rFonts w:ascii="Palatino Linotype" w:eastAsia="Palatino Linotype" w:hAnsi="Palatino Linotype" w:cs="Palatino Linotype"/>
        </w:rPr>
        <w:t xml:space="preserve">Por lo anteriormente expuesto y fundado, este </w:t>
      </w:r>
      <w:r w:rsidRPr="00693CDC">
        <w:rPr>
          <w:rFonts w:ascii="Palatino Linotype" w:eastAsia="Palatino Linotype" w:hAnsi="Palatino Linotype" w:cs="Palatino Linotype"/>
          <w:b/>
        </w:rPr>
        <w:t>ÓRGANO GARANTE</w:t>
      </w:r>
      <w:r w:rsidRPr="00693CDC">
        <w:rPr>
          <w:rFonts w:ascii="Palatino Linotype" w:eastAsia="Palatino Linotype" w:hAnsi="Palatino Linotype" w:cs="Palatino Linotype"/>
        </w:rPr>
        <w:t xml:space="preserve"> emite los siguientes:</w:t>
      </w:r>
    </w:p>
    <w:p w:rsidR="00764DD4" w:rsidRPr="00693CDC" w:rsidRDefault="00764DD4" w:rsidP="00F752E9">
      <w:pPr>
        <w:keepNext/>
        <w:keepLines/>
        <w:spacing w:line="360" w:lineRule="auto"/>
        <w:jc w:val="center"/>
        <w:rPr>
          <w:rFonts w:ascii="Palatino Linotype" w:eastAsia="Palatino Linotype" w:hAnsi="Palatino Linotype" w:cs="Palatino Linotype"/>
          <w:b/>
          <w:color w:val="000000"/>
        </w:rPr>
      </w:pPr>
      <w:bookmarkStart w:id="14" w:name="_heading=h.17dp8vu" w:colFirst="0" w:colLast="0"/>
      <w:bookmarkEnd w:id="14"/>
      <w:r w:rsidRPr="00693CDC">
        <w:rPr>
          <w:rFonts w:ascii="Palatino Linotype" w:eastAsia="Palatino Linotype" w:hAnsi="Palatino Linotype" w:cs="Palatino Linotype"/>
          <w:b/>
          <w:color w:val="000000"/>
        </w:rPr>
        <w:t>R E S O L U T I V O S</w:t>
      </w:r>
    </w:p>
    <w:p w:rsidR="00764DD4" w:rsidRPr="00693CDC" w:rsidRDefault="00764DD4" w:rsidP="00F752E9">
      <w:pPr>
        <w:keepNext/>
        <w:keepLines/>
        <w:spacing w:line="360" w:lineRule="auto"/>
        <w:jc w:val="center"/>
        <w:rPr>
          <w:rFonts w:ascii="Palatino Linotype" w:eastAsia="Palatino Linotype" w:hAnsi="Palatino Linotype" w:cs="Palatino Linotype"/>
          <w:b/>
          <w:color w:val="000000"/>
        </w:rPr>
      </w:pPr>
    </w:p>
    <w:p w:rsidR="00764DD4" w:rsidRPr="00693CDC" w:rsidRDefault="00764DD4" w:rsidP="00F752E9">
      <w:pPr>
        <w:spacing w:line="360" w:lineRule="auto"/>
        <w:jc w:val="both"/>
        <w:rPr>
          <w:rFonts w:ascii="Palatino Linotype" w:eastAsia="Palatino Linotype" w:hAnsi="Palatino Linotype" w:cs="Palatino Linotype"/>
        </w:rPr>
      </w:pPr>
      <w:r w:rsidRPr="00693CDC">
        <w:rPr>
          <w:rFonts w:ascii="Palatino Linotype" w:eastAsia="Palatino Linotype" w:hAnsi="Palatino Linotype" w:cs="Palatino Linotype"/>
          <w:b/>
        </w:rPr>
        <w:t>PRIMERO</w:t>
      </w:r>
      <w:r w:rsidRPr="00693CDC">
        <w:rPr>
          <w:rFonts w:ascii="Palatino Linotype" w:eastAsia="Palatino Linotype" w:hAnsi="Palatino Linotype" w:cs="Palatino Linotype"/>
        </w:rPr>
        <w:t xml:space="preserve">. Resultan fundadas las razones o motivos de inconformidad hechos valer en el Recurso de Revisión </w:t>
      </w:r>
      <w:r w:rsidR="00D074ED" w:rsidRPr="00693CDC">
        <w:rPr>
          <w:rFonts w:ascii="Palatino Linotype" w:eastAsia="Palatino Linotype" w:hAnsi="Palatino Linotype" w:cs="Palatino Linotype"/>
          <w:b/>
        </w:rPr>
        <w:t>00873/INFOEM/IP/RR/2025</w:t>
      </w:r>
      <w:r w:rsidRPr="00693CDC">
        <w:rPr>
          <w:rFonts w:ascii="Palatino Linotype" w:eastAsia="Palatino Linotype" w:hAnsi="Palatino Linotype" w:cs="Palatino Linotype"/>
        </w:rPr>
        <w:t>,</w:t>
      </w:r>
      <w:r w:rsidRPr="00693CDC">
        <w:rPr>
          <w:rFonts w:ascii="Palatino Linotype" w:eastAsia="Palatino Linotype" w:hAnsi="Palatino Linotype" w:cs="Palatino Linotype"/>
          <w:b/>
        </w:rPr>
        <w:t xml:space="preserve"> </w:t>
      </w:r>
      <w:r w:rsidRPr="00693CDC">
        <w:rPr>
          <w:rFonts w:ascii="Palatino Linotype" w:eastAsia="Palatino Linotype" w:hAnsi="Palatino Linotype" w:cs="Palatino Linotype"/>
        </w:rPr>
        <w:t>en términos de los Considerandos</w:t>
      </w:r>
      <w:r w:rsidRPr="00693CDC">
        <w:rPr>
          <w:rFonts w:ascii="Palatino Linotype" w:eastAsia="Palatino Linotype" w:hAnsi="Palatino Linotype" w:cs="Palatino Linotype"/>
          <w:b/>
        </w:rPr>
        <w:t xml:space="preserve"> Cuarto y Quinto </w:t>
      </w:r>
      <w:r w:rsidRPr="00693CDC">
        <w:rPr>
          <w:rFonts w:ascii="Palatino Linotype" w:eastAsia="Palatino Linotype" w:hAnsi="Palatino Linotype" w:cs="Palatino Linotype"/>
        </w:rPr>
        <w:t xml:space="preserve">de la presente resolución. </w:t>
      </w:r>
    </w:p>
    <w:p w:rsidR="00764DD4" w:rsidRPr="00693CDC" w:rsidRDefault="00764DD4" w:rsidP="00F752E9">
      <w:pPr>
        <w:spacing w:line="360" w:lineRule="auto"/>
        <w:jc w:val="both"/>
        <w:rPr>
          <w:rFonts w:ascii="Palatino Linotype" w:eastAsia="Palatino Linotype" w:hAnsi="Palatino Linotype" w:cs="Palatino Linotype"/>
        </w:rPr>
      </w:pPr>
    </w:p>
    <w:p w:rsidR="00764DD4" w:rsidRPr="00693CDC" w:rsidRDefault="00764DD4" w:rsidP="00F752E9">
      <w:pPr>
        <w:spacing w:line="360" w:lineRule="auto"/>
        <w:jc w:val="both"/>
        <w:rPr>
          <w:rFonts w:ascii="Palatino Linotype" w:eastAsia="Palatino Linotype" w:hAnsi="Palatino Linotype" w:cs="Palatino Linotype"/>
        </w:rPr>
      </w:pPr>
      <w:bookmarkStart w:id="15" w:name="_heading=h.3rdcrjn" w:colFirst="0" w:colLast="0"/>
      <w:bookmarkEnd w:id="15"/>
      <w:r w:rsidRPr="00693CDC">
        <w:rPr>
          <w:rFonts w:ascii="Palatino Linotype" w:eastAsia="Palatino Linotype" w:hAnsi="Palatino Linotype" w:cs="Palatino Linotype"/>
          <w:b/>
        </w:rPr>
        <w:t xml:space="preserve">SEGUNDO. </w:t>
      </w:r>
      <w:r w:rsidRPr="00693CDC">
        <w:rPr>
          <w:rFonts w:ascii="Palatino Linotype" w:eastAsia="Palatino Linotype" w:hAnsi="Palatino Linotype" w:cs="Palatino Linotype"/>
          <w:color w:val="000000"/>
        </w:rPr>
        <w:t xml:space="preserve">Se </w:t>
      </w:r>
      <w:r w:rsidRPr="00693CDC">
        <w:rPr>
          <w:rFonts w:ascii="Palatino Linotype" w:eastAsia="Palatino Linotype" w:hAnsi="Palatino Linotype" w:cs="Palatino Linotype"/>
          <w:b/>
          <w:color w:val="000000"/>
        </w:rPr>
        <w:t xml:space="preserve">REVOCA </w:t>
      </w:r>
      <w:r w:rsidRPr="00693CDC">
        <w:rPr>
          <w:rFonts w:ascii="Palatino Linotype" w:eastAsia="Palatino Linotype" w:hAnsi="Palatino Linotype" w:cs="Palatino Linotype"/>
          <w:color w:val="000000"/>
        </w:rPr>
        <w:t xml:space="preserve">la respuesta emitida por el </w:t>
      </w:r>
      <w:r w:rsidR="00D074ED" w:rsidRPr="00693CDC">
        <w:rPr>
          <w:rFonts w:ascii="Palatino Linotype" w:eastAsia="Palatino Linotype" w:hAnsi="Palatino Linotype" w:cs="Palatino Linotype"/>
          <w:b/>
          <w:bCs/>
          <w:color w:val="000000"/>
        </w:rPr>
        <w:t>Ayuntamiento de Tlalnepantla de Baz</w:t>
      </w:r>
      <w:r w:rsidRPr="00693CDC">
        <w:rPr>
          <w:rFonts w:ascii="Palatino Linotype" w:eastAsia="Palatino Linotype" w:hAnsi="Palatino Linotype" w:cs="Palatino Linotype"/>
          <w:b/>
          <w:bCs/>
          <w:color w:val="000000"/>
        </w:rPr>
        <w:t xml:space="preserve"> </w:t>
      </w:r>
      <w:r w:rsidRPr="00693CDC">
        <w:rPr>
          <w:rFonts w:ascii="Palatino Linotype" w:eastAsia="Palatino Linotype" w:hAnsi="Palatino Linotype" w:cs="Palatino Linotype"/>
          <w:b/>
          <w:color w:val="000000"/>
        </w:rPr>
        <w:t xml:space="preserve">  </w:t>
      </w:r>
      <w:r w:rsidRPr="00693CDC">
        <w:rPr>
          <w:rFonts w:ascii="Palatino Linotype" w:eastAsia="Palatino Linotype" w:hAnsi="Palatino Linotype" w:cs="Palatino Linotype"/>
          <w:color w:val="000000"/>
        </w:rPr>
        <w:t xml:space="preserve">y se </w:t>
      </w:r>
      <w:r w:rsidRPr="00693CDC">
        <w:rPr>
          <w:rFonts w:ascii="Palatino Linotype" w:eastAsia="Palatino Linotype" w:hAnsi="Palatino Linotype" w:cs="Palatino Linotype"/>
          <w:b/>
          <w:color w:val="000000"/>
        </w:rPr>
        <w:t>ORDENA</w:t>
      </w:r>
      <w:r w:rsidRPr="00693CDC">
        <w:rPr>
          <w:rFonts w:ascii="Palatino Linotype" w:eastAsia="Palatino Linotype" w:hAnsi="Palatino Linotype" w:cs="Palatino Linotype"/>
          <w:color w:val="000000"/>
        </w:rPr>
        <w:t xml:space="preserve"> entregar vía Sistema de Acceso a la Información Mexiquense </w:t>
      </w:r>
      <w:r w:rsidRPr="00693CDC">
        <w:rPr>
          <w:rFonts w:ascii="Palatino Linotype" w:eastAsia="Palatino Linotype" w:hAnsi="Palatino Linotype" w:cs="Palatino Linotype"/>
          <w:b/>
          <w:color w:val="000000"/>
        </w:rPr>
        <w:t xml:space="preserve">(SAIMEX), </w:t>
      </w:r>
      <w:r w:rsidRPr="00693CDC">
        <w:rPr>
          <w:rFonts w:ascii="Palatino Linotype" w:eastAsia="Palatino Linotype" w:hAnsi="Palatino Linotype" w:cs="Palatino Linotype"/>
          <w:color w:val="000000"/>
        </w:rPr>
        <w:t>de ser procedente en versión pública</w:t>
      </w:r>
      <w:r w:rsidRPr="00693CDC">
        <w:rPr>
          <w:rFonts w:ascii="Palatino Linotype" w:eastAsia="Palatino Linotype" w:hAnsi="Palatino Linotype" w:cs="Palatino Linotype"/>
          <w:b/>
          <w:color w:val="000000"/>
        </w:rPr>
        <w:t>,</w:t>
      </w:r>
      <w:r w:rsidRPr="00693CDC">
        <w:rPr>
          <w:rFonts w:ascii="Palatino Linotype" w:eastAsia="Palatino Linotype" w:hAnsi="Palatino Linotype" w:cs="Palatino Linotype"/>
          <w:i/>
          <w:color w:val="000000"/>
        </w:rPr>
        <w:t xml:space="preserve"> </w:t>
      </w:r>
      <w:r w:rsidRPr="00693CDC">
        <w:rPr>
          <w:rFonts w:ascii="Palatino Linotype" w:eastAsia="Palatino Linotype" w:hAnsi="Palatino Linotype" w:cs="Palatino Linotype"/>
          <w:color w:val="000000"/>
        </w:rPr>
        <w:t>la siguiente información:</w:t>
      </w:r>
    </w:p>
    <w:p w:rsidR="00764DD4" w:rsidRPr="00693CDC" w:rsidRDefault="00764DD4" w:rsidP="00F752E9">
      <w:pPr>
        <w:tabs>
          <w:tab w:val="left" w:pos="8080"/>
        </w:tabs>
        <w:spacing w:line="360" w:lineRule="auto"/>
        <w:jc w:val="both"/>
        <w:rPr>
          <w:rFonts w:ascii="Palatino Linotype" w:eastAsia="Palatino Linotype" w:hAnsi="Palatino Linotype" w:cs="Palatino Linotype"/>
        </w:rPr>
      </w:pPr>
    </w:p>
    <w:p w:rsidR="00764DD4" w:rsidRPr="00693CDC" w:rsidRDefault="00D074ED" w:rsidP="00F752E9">
      <w:pPr>
        <w:numPr>
          <w:ilvl w:val="0"/>
          <w:numId w:val="2"/>
        </w:numPr>
        <w:pBdr>
          <w:top w:val="nil"/>
          <w:left w:val="nil"/>
          <w:bottom w:val="nil"/>
          <w:right w:val="nil"/>
          <w:between w:val="nil"/>
        </w:pBdr>
        <w:tabs>
          <w:tab w:val="left" w:pos="993"/>
        </w:tabs>
        <w:spacing w:line="360" w:lineRule="auto"/>
        <w:ind w:left="0" w:hanging="152"/>
        <w:jc w:val="both"/>
        <w:rPr>
          <w:rFonts w:ascii="Palatino Linotype" w:eastAsia="Palatino Linotype" w:hAnsi="Palatino Linotype" w:cs="Palatino Linotype"/>
          <w:b/>
        </w:rPr>
      </w:pPr>
      <w:r w:rsidRPr="00693CDC">
        <w:rPr>
          <w:rFonts w:ascii="Palatino Linotype" w:hAnsi="Palatino Linotype"/>
          <w:b/>
          <w:color w:val="000000"/>
        </w:rPr>
        <w:lastRenderedPageBreak/>
        <w:t>Contratos de obra pública</w:t>
      </w:r>
      <w:r w:rsidR="00B168F0" w:rsidRPr="00693CDC">
        <w:rPr>
          <w:rFonts w:ascii="Palatino Linotype" w:hAnsi="Palatino Linotype"/>
          <w:b/>
          <w:color w:val="000000"/>
        </w:rPr>
        <w:t xml:space="preserve">, propuesta técnicas y económicas de las empresas ganadoras y actas entrega recepción de las obras públicas, del periodo comprendido del primero de enero al treinta de junio de dos mil veintidós. </w:t>
      </w:r>
    </w:p>
    <w:p w:rsidR="00764DD4" w:rsidRPr="00693CDC" w:rsidRDefault="00764DD4" w:rsidP="00F752E9">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b/>
        </w:rPr>
      </w:pPr>
    </w:p>
    <w:p w:rsidR="00764DD4" w:rsidRPr="00693CDC" w:rsidRDefault="00764DD4" w:rsidP="00F752E9">
      <w:pPr>
        <w:spacing w:line="360" w:lineRule="auto"/>
        <w:jc w:val="both"/>
        <w:rPr>
          <w:rFonts w:ascii="Palatino Linotype" w:eastAsia="Calibri" w:hAnsi="Palatino Linotype" w:cs="Arial"/>
        </w:rPr>
      </w:pPr>
      <w:r w:rsidRPr="00693CD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764DD4" w:rsidRPr="00693CDC" w:rsidRDefault="00764DD4" w:rsidP="00F752E9">
      <w:pPr>
        <w:spacing w:line="360" w:lineRule="auto"/>
        <w:jc w:val="both"/>
        <w:rPr>
          <w:rFonts w:ascii="Palatino Linotype" w:eastAsia="Palatino Linotype" w:hAnsi="Palatino Linotype" w:cs="Palatino Linotype"/>
          <w:b/>
        </w:rPr>
      </w:pPr>
    </w:p>
    <w:p w:rsidR="00764DD4" w:rsidRPr="00693CDC" w:rsidRDefault="00764DD4" w:rsidP="00F752E9">
      <w:pPr>
        <w:tabs>
          <w:tab w:val="left" w:pos="8080"/>
        </w:tabs>
        <w:spacing w:line="360" w:lineRule="auto"/>
        <w:jc w:val="both"/>
        <w:rPr>
          <w:rFonts w:ascii="Palatino Linotype" w:eastAsia="Palatino Linotype" w:hAnsi="Palatino Linotype" w:cs="Palatino Linotype"/>
          <w:color w:val="222222"/>
        </w:rPr>
      </w:pPr>
      <w:r w:rsidRPr="00693CDC">
        <w:rPr>
          <w:rFonts w:ascii="Palatino Linotype" w:eastAsia="Palatino Linotype" w:hAnsi="Palatino Linotype" w:cs="Palatino Linotype"/>
          <w:b/>
        </w:rPr>
        <w:t xml:space="preserve">TERCERO. Notifíquese </w:t>
      </w:r>
      <w:r w:rsidRPr="00693CDC">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93CDC">
        <w:rPr>
          <w:rFonts w:ascii="Palatino Linotype" w:eastAsia="Palatino Linotype" w:hAnsi="Palatino Linotype" w:cs="Palatino Linotype"/>
          <w:b/>
        </w:rPr>
        <w:t>dé cumplimiento a lo ordenado dentro del</w:t>
      </w:r>
      <w:r w:rsidRPr="00693CDC">
        <w:rPr>
          <w:rFonts w:ascii="Palatino Linotype" w:eastAsia="Palatino Linotype" w:hAnsi="Palatino Linotype" w:cs="Palatino Linotype"/>
        </w:rPr>
        <w:t xml:space="preserve"> </w:t>
      </w:r>
      <w:r w:rsidRPr="00693CDC">
        <w:rPr>
          <w:rFonts w:ascii="Palatino Linotype" w:eastAsia="Palatino Linotype" w:hAnsi="Palatino Linotype" w:cs="Palatino Linotype"/>
          <w:b/>
        </w:rPr>
        <w:t>plazo de diez días hábiles</w:t>
      </w:r>
      <w:r w:rsidRPr="00693CDC">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64DD4" w:rsidRPr="00693CDC" w:rsidRDefault="00764DD4" w:rsidP="00F752E9">
      <w:pPr>
        <w:tabs>
          <w:tab w:val="left" w:pos="8080"/>
        </w:tabs>
        <w:spacing w:line="360" w:lineRule="auto"/>
        <w:jc w:val="both"/>
        <w:rPr>
          <w:rFonts w:ascii="Palatino Linotype" w:eastAsia="Palatino Linotype" w:hAnsi="Palatino Linotype" w:cs="Palatino Linotype"/>
          <w:color w:val="222222"/>
        </w:rPr>
      </w:pPr>
    </w:p>
    <w:p w:rsidR="00764DD4" w:rsidRPr="00693CDC" w:rsidRDefault="00764DD4" w:rsidP="00F752E9">
      <w:pPr>
        <w:shd w:val="clear" w:color="auto" w:fill="FFFFFF"/>
        <w:spacing w:line="360" w:lineRule="auto"/>
        <w:jc w:val="both"/>
        <w:rPr>
          <w:rFonts w:ascii="Palatino Linotype" w:eastAsia="Palatino Linotype" w:hAnsi="Palatino Linotype" w:cs="Palatino Linotype"/>
        </w:rPr>
      </w:pPr>
      <w:r w:rsidRPr="00693CDC">
        <w:rPr>
          <w:rFonts w:ascii="Palatino Linotype" w:eastAsia="Palatino Linotype" w:hAnsi="Palatino Linotype" w:cs="Palatino Linotype"/>
          <w:b/>
        </w:rPr>
        <w:t>CUARTO. Notifíquese al RECURRENTE</w:t>
      </w:r>
      <w:r w:rsidRPr="00693CDC">
        <w:rPr>
          <w:rFonts w:ascii="Palatino Linotype" w:eastAsia="Palatino Linotype" w:hAnsi="Palatino Linotype" w:cs="Palatino Linotype"/>
        </w:rPr>
        <w:t xml:space="preserve"> la presente resolución vía SAIMEX.</w:t>
      </w:r>
    </w:p>
    <w:p w:rsidR="00764DD4" w:rsidRPr="00693CDC" w:rsidRDefault="00764DD4" w:rsidP="00F752E9">
      <w:pPr>
        <w:shd w:val="clear" w:color="auto" w:fill="FFFFFF"/>
        <w:spacing w:line="360" w:lineRule="auto"/>
        <w:jc w:val="both"/>
        <w:rPr>
          <w:rFonts w:ascii="Palatino Linotype" w:eastAsia="Palatino Linotype" w:hAnsi="Palatino Linotype" w:cs="Palatino Linotype"/>
          <w:b/>
          <w:color w:val="FF0000"/>
        </w:rPr>
      </w:pPr>
    </w:p>
    <w:p w:rsidR="00764DD4" w:rsidRPr="00693CDC" w:rsidRDefault="00764DD4" w:rsidP="00F752E9">
      <w:pPr>
        <w:spacing w:line="360" w:lineRule="auto"/>
        <w:jc w:val="both"/>
        <w:rPr>
          <w:rFonts w:ascii="Palatino Linotype" w:eastAsia="Palatino Linotype" w:hAnsi="Palatino Linotype" w:cs="Palatino Linotype"/>
        </w:rPr>
      </w:pPr>
      <w:r w:rsidRPr="00693CDC">
        <w:rPr>
          <w:rFonts w:ascii="Palatino Linotype" w:eastAsia="Palatino Linotype" w:hAnsi="Palatino Linotype" w:cs="Palatino Linotype"/>
          <w:b/>
        </w:rPr>
        <w:lastRenderedPageBreak/>
        <w:t>QUINTO.</w:t>
      </w:r>
      <w:r w:rsidRPr="00693CDC">
        <w:rPr>
          <w:rFonts w:ascii="Palatino Linotype" w:eastAsia="Palatino Linotype" w:hAnsi="Palatino Linotype" w:cs="Palatino Linotype"/>
        </w:rPr>
        <w:t xml:space="preserve"> Se hace del conocimiento del </w:t>
      </w:r>
      <w:r w:rsidRPr="00693CDC">
        <w:rPr>
          <w:rFonts w:ascii="Palatino Linotype" w:eastAsia="Palatino Linotype" w:hAnsi="Palatino Linotype" w:cs="Palatino Linotype"/>
          <w:b/>
        </w:rPr>
        <w:t>RECURRENTE</w:t>
      </w:r>
      <w:r w:rsidRPr="00693CDC">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64DD4" w:rsidRPr="00693CDC" w:rsidRDefault="00764DD4" w:rsidP="00F752E9">
      <w:pPr>
        <w:spacing w:line="360" w:lineRule="auto"/>
        <w:jc w:val="both"/>
        <w:rPr>
          <w:rFonts w:ascii="Palatino Linotype" w:eastAsia="Palatino Linotype" w:hAnsi="Palatino Linotype" w:cs="Palatino Linotype"/>
          <w:color w:val="000000"/>
        </w:rPr>
      </w:pPr>
    </w:p>
    <w:p w:rsidR="00764DD4" w:rsidRPr="00693CDC" w:rsidRDefault="00764DD4" w:rsidP="00F752E9">
      <w:pPr>
        <w:spacing w:line="360" w:lineRule="auto"/>
        <w:jc w:val="both"/>
        <w:rPr>
          <w:rFonts w:ascii="Palatino Linotype" w:eastAsia="Palatino Linotype" w:hAnsi="Palatino Linotype" w:cs="Palatino Linotype"/>
        </w:rPr>
      </w:pPr>
      <w:r w:rsidRPr="00693CDC">
        <w:rPr>
          <w:rFonts w:ascii="Palatino Linotype" w:eastAsia="Palatino Linotype" w:hAnsi="Palatino Linotype" w:cs="Palatino Linotype"/>
          <w:b/>
          <w:color w:val="000000"/>
        </w:rPr>
        <w:t xml:space="preserve">SEXTO. </w:t>
      </w:r>
      <w:r w:rsidRPr="00693CDC">
        <w:rPr>
          <w:rFonts w:ascii="Palatino Linotype" w:eastAsia="Palatino Linotype" w:hAnsi="Palatino Linotype" w:cs="Palatino Linotype"/>
        </w:rPr>
        <w:t>De conformidad con el artículo 198 de la Ley de Transparencia y Acceso a la Información Públi</w:t>
      </w:r>
      <w:bookmarkStart w:id="16" w:name="_GoBack"/>
      <w:bookmarkEnd w:id="16"/>
      <w:r w:rsidRPr="00693CDC">
        <w:rPr>
          <w:rFonts w:ascii="Palatino Linotype" w:eastAsia="Palatino Linotype" w:hAnsi="Palatino Linotype" w:cs="Palatino Linotype"/>
        </w:rPr>
        <w:t>ca del Estado de México y Municipios, de considerarlo procedente, el Sujeto Obligado de manera fundada y motivada, podrá solicitar una ampliación de plazo para el cumplimiento de la presente resolución.</w:t>
      </w:r>
    </w:p>
    <w:p w:rsidR="00764DD4" w:rsidRPr="00693CDC" w:rsidRDefault="00764DD4" w:rsidP="00F752E9">
      <w:pPr>
        <w:pStyle w:val="Prrafodelista"/>
        <w:spacing w:before="240" w:after="240" w:line="360" w:lineRule="auto"/>
        <w:ind w:left="0"/>
        <w:jc w:val="both"/>
        <w:rPr>
          <w:rFonts w:ascii="Palatino Linotype" w:eastAsia="MS Mincho" w:hAnsi="Palatino Linotype" w:cs="Arial"/>
          <w:lang w:val="es-ES_tradnl" w:eastAsia="es-ES"/>
        </w:rPr>
      </w:pPr>
    </w:p>
    <w:p w:rsidR="00764DD4" w:rsidRPr="00F752E9" w:rsidRDefault="00693CDC" w:rsidP="00F752E9">
      <w:pPr>
        <w:spacing w:line="360" w:lineRule="auto"/>
        <w:jc w:val="both"/>
        <w:rPr>
          <w:rFonts w:ascii="Palatino Linotype" w:eastAsia="Palatino Linotype" w:hAnsi="Palatino Linotype" w:cs="Palatino Linotype"/>
          <w:color w:val="000000"/>
        </w:rPr>
      </w:pPr>
      <w:r w:rsidRPr="00693CD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F752E9" w:rsidRPr="00693CDC">
        <w:rPr>
          <w:rFonts w:ascii="Palatino Linotype" w:eastAsia="Palatino Linotype" w:hAnsi="Palatino Linotype" w:cs="Palatino Linotype"/>
        </w:rPr>
        <w:t>ÍREZ.</w:t>
      </w:r>
      <w:r w:rsidR="00764DD4" w:rsidRPr="00F752E9">
        <w:rPr>
          <w:rFonts w:ascii="Palatino Linotype" w:hAnsi="Palatino Linotype"/>
        </w:rPr>
        <w:br w:type="page"/>
      </w:r>
    </w:p>
    <w:p w:rsidR="00764DD4" w:rsidRPr="00F752E9" w:rsidRDefault="00764DD4" w:rsidP="00F752E9">
      <w:pPr>
        <w:rPr>
          <w:rFonts w:ascii="Palatino Linotype" w:hAnsi="Palatino Linotype"/>
        </w:rPr>
      </w:pPr>
    </w:p>
    <w:p w:rsidR="00764DD4" w:rsidRPr="00F752E9" w:rsidRDefault="00764DD4" w:rsidP="00F752E9">
      <w:pPr>
        <w:rPr>
          <w:rFonts w:ascii="Palatino Linotype" w:hAnsi="Palatino Linotype"/>
        </w:rPr>
      </w:pPr>
    </w:p>
    <w:p w:rsidR="00764DD4" w:rsidRPr="00F752E9" w:rsidRDefault="00764DD4" w:rsidP="00F752E9">
      <w:pPr>
        <w:rPr>
          <w:rFonts w:ascii="Palatino Linotype" w:hAnsi="Palatino Linotype"/>
        </w:rPr>
      </w:pPr>
    </w:p>
    <w:p w:rsidR="00764DD4" w:rsidRPr="00F752E9" w:rsidRDefault="00764DD4" w:rsidP="00F752E9">
      <w:pPr>
        <w:rPr>
          <w:rFonts w:ascii="Palatino Linotype" w:hAnsi="Palatino Linotype"/>
        </w:rPr>
      </w:pPr>
    </w:p>
    <w:p w:rsidR="003F5BB4" w:rsidRPr="00F752E9" w:rsidRDefault="003F5BB4" w:rsidP="00F752E9">
      <w:pPr>
        <w:rPr>
          <w:rFonts w:ascii="Palatino Linotype" w:hAnsi="Palatino Linotype"/>
        </w:rPr>
      </w:pPr>
    </w:p>
    <w:sectPr w:rsidR="003F5BB4" w:rsidRPr="00F752E9" w:rsidSect="00F752E9">
      <w:headerReference w:type="default" r:id="rId11"/>
      <w:footerReference w:type="default" r:id="rId12"/>
      <w:headerReference w:type="first" r:id="rId13"/>
      <w:footerReference w:type="first" r:id="rId14"/>
      <w:pgSz w:w="12240" w:h="15840"/>
      <w:pgMar w:top="2268" w:right="1325" w:bottom="1560"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50B" w:rsidRDefault="0088750B" w:rsidP="00764DD4">
      <w:r>
        <w:separator/>
      </w:r>
    </w:p>
  </w:endnote>
  <w:endnote w:type="continuationSeparator" w:id="0">
    <w:p w:rsidR="0088750B" w:rsidRDefault="0088750B" w:rsidP="007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836" w:rsidRDefault="00E2083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93CDC">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93CDC">
      <w:rPr>
        <w:rFonts w:ascii="Palatino Linotype" w:eastAsia="Palatino Linotype" w:hAnsi="Palatino Linotype" w:cs="Palatino Linotype"/>
        <w:b/>
        <w:noProof/>
        <w:color w:val="000000"/>
        <w:sz w:val="22"/>
        <w:szCs w:val="22"/>
      </w:rPr>
      <w:t>31</w:t>
    </w:r>
    <w:r>
      <w:rPr>
        <w:rFonts w:ascii="Palatino Linotype" w:eastAsia="Palatino Linotype" w:hAnsi="Palatino Linotype" w:cs="Palatino Linotype"/>
        <w:b/>
        <w:color w:val="000000"/>
        <w:sz w:val="22"/>
        <w:szCs w:val="22"/>
      </w:rPr>
      <w:fldChar w:fldCharType="end"/>
    </w:r>
  </w:p>
  <w:p w:rsidR="00E20836" w:rsidRDefault="00E2083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836" w:rsidRDefault="00E2083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93CD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93CDC">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p w:rsidR="00E20836" w:rsidRDefault="00E2083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50B" w:rsidRDefault="0088750B" w:rsidP="00764DD4">
      <w:r>
        <w:separator/>
      </w:r>
    </w:p>
  </w:footnote>
  <w:footnote w:type="continuationSeparator" w:id="0">
    <w:p w:rsidR="0088750B" w:rsidRDefault="0088750B" w:rsidP="00764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836" w:rsidRDefault="00E20836">
    <w:pPr>
      <w:widowControl w:val="0"/>
      <w:pBdr>
        <w:top w:val="nil"/>
        <w:left w:val="nil"/>
        <w:bottom w:val="nil"/>
        <w:right w:val="nil"/>
        <w:between w:val="nil"/>
      </w:pBdr>
      <w:spacing w:line="276" w:lineRule="auto"/>
      <w:rPr>
        <w:color w:val="000000"/>
      </w:rPr>
    </w:pPr>
  </w:p>
  <w:tbl>
    <w:tblPr>
      <w:tblW w:w="7655" w:type="dxa"/>
      <w:tblInd w:w="2259" w:type="dxa"/>
      <w:tblBorders>
        <w:top w:val="nil"/>
        <w:left w:val="nil"/>
        <w:bottom w:val="nil"/>
        <w:right w:val="nil"/>
        <w:insideH w:val="nil"/>
        <w:insideV w:val="nil"/>
      </w:tblBorders>
      <w:tblLayout w:type="fixed"/>
      <w:tblLook w:val="0400" w:firstRow="0" w:lastRow="0" w:firstColumn="0" w:lastColumn="0" w:noHBand="0" w:noVBand="1"/>
    </w:tblPr>
    <w:tblGrid>
      <w:gridCol w:w="3544"/>
      <w:gridCol w:w="4111"/>
    </w:tblGrid>
    <w:tr w:rsidR="00E20836" w:rsidRPr="00F752E9" w:rsidTr="00F752E9">
      <w:trPr>
        <w:trHeight w:val="127"/>
      </w:trPr>
      <w:tc>
        <w:tcPr>
          <w:tcW w:w="3544" w:type="dxa"/>
          <w:vAlign w:val="center"/>
        </w:tcPr>
        <w:p w:rsidR="00E20836" w:rsidRPr="00F752E9" w:rsidRDefault="00E20836">
          <w:pPr>
            <w:ind w:right="34"/>
            <w:jc w:val="right"/>
            <w:rPr>
              <w:rFonts w:ascii="Palatino Linotype" w:eastAsia="Palatino Linotype" w:hAnsi="Palatino Linotype" w:cs="Palatino Linotype"/>
              <w:b/>
            </w:rPr>
          </w:pPr>
          <w:r w:rsidRPr="00F752E9">
            <w:rPr>
              <w:rFonts w:ascii="Palatino Linotype" w:eastAsia="Palatino Linotype" w:hAnsi="Palatino Linotype" w:cs="Palatino Linotype"/>
              <w:b/>
            </w:rPr>
            <w:t>RECURSO DE REVISIÓN:</w:t>
          </w:r>
        </w:p>
      </w:tc>
      <w:tc>
        <w:tcPr>
          <w:tcW w:w="4111" w:type="dxa"/>
          <w:vAlign w:val="center"/>
        </w:tcPr>
        <w:p w:rsidR="00E20836" w:rsidRPr="00F752E9" w:rsidRDefault="00E20836" w:rsidP="00F752E9">
          <w:pPr>
            <w:pBdr>
              <w:top w:val="nil"/>
              <w:left w:val="nil"/>
              <w:bottom w:val="nil"/>
              <w:right w:val="nil"/>
              <w:between w:val="nil"/>
            </w:pBdr>
            <w:tabs>
              <w:tab w:val="right" w:pos="8504"/>
            </w:tabs>
            <w:ind w:left="-108"/>
            <w:jc w:val="both"/>
            <w:rPr>
              <w:rFonts w:ascii="Palatino Linotype" w:eastAsia="Palatino Linotype" w:hAnsi="Palatino Linotype" w:cs="Palatino Linotype"/>
            </w:rPr>
          </w:pPr>
          <w:r w:rsidRPr="00F752E9">
            <w:rPr>
              <w:rFonts w:ascii="Palatino Linotype" w:eastAsia="Palatino Linotype" w:hAnsi="Palatino Linotype" w:cs="Palatino Linotype"/>
            </w:rPr>
            <w:t>00873/INFOEM/IP/RR/2024</w:t>
          </w:r>
        </w:p>
      </w:tc>
    </w:tr>
    <w:tr w:rsidR="00E20836" w:rsidRPr="00F752E9" w:rsidTr="00F752E9">
      <w:trPr>
        <w:trHeight w:val="214"/>
      </w:trPr>
      <w:tc>
        <w:tcPr>
          <w:tcW w:w="3544" w:type="dxa"/>
          <w:vAlign w:val="center"/>
        </w:tcPr>
        <w:p w:rsidR="00E20836" w:rsidRPr="00F752E9" w:rsidRDefault="00E20836">
          <w:pPr>
            <w:ind w:right="34"/>
            <w:jc w:val="right"/>
            <w:rPr>
              <w:rFonts w:ascii="Palatino Linotype" w:eastAsia="Palatino Linotype" w:hAnsi="Palatino Linotype" w:cs="Palatino Linotype"/>
              <w:b/>
            </w:rPr>
          </w:pPr>
          <w:r w:rsidRPr="00F752E9">
            <w:rPr>
              <w:rFonts w:ascii="Palatino Linotype" w:eastAsia="Palatino Linotype" w:hAnsi="Palatino Linotype" w:cs="Palatino Linotype"/>
              <w:b/>
            </w:rPr>
            <w:t>SUJETO OBLIGADO:</w:t>
          </w:r>
        </w:p>
      </w:tc>
      <w:tc>
        <w:tcPr>
          <w:tcW w:w="4111" w:type="dxa"/>
          <w:vAlign w:val="center"/>
        </w:tcPr>
        <w:p w:rsidR="00E20836" w:rsidRPr="00F752E9" w:rsidRDefault="00E20836" w:rsidP="00F752E9">
          <w:pPr>
            <w:pBdr>
              <w:top w:val="nil"/>
              <w:left w:val="nil"/>
              <w:bottom w:val="nil"/>
              <w:right w:val="nil"/>
              <w:between w:val="nil"/>
            </w:pBdr>
            <w:tabs>
              <w:tab w:val="right" w:pos="8504"/>
            </w:tabs>
            <w:ind w:left="-108"/>
            <w:jc w:val="both"/>
            <w:rPr>
              <w:rFonts w:ascii="Palatino Linotype" w:eastAsia="Palatino Linotype" w:hAnsi="Palatino Linotype" w:cs="Palatino Linotype"/>
            </w:rPr>
          </w:pPr>
          <w:r w:rsidRPr="00F752E9">
            <w:rPr>
              <w:rFonts w:ascii="Palatino Linotype" w:eastAsia="Palatino Linotype" w:hAnsi="Palatino Linotype" w:cs="Palatino Linotype"/>
              <w:bCs/>
            </w:rPr>
            <w:t>Ayuntamiento de Tlalnepantla de Baz</w:t>
          </w:r>
        </w:p>
      </w:tc>
    </w:tr>
    <w:tr w:rsidR="00E20836" w:rsidRPr="00F752E9" w:rsidTr="00F752E9">
      <w:trPr>
        <w:trHeight w:val="295"/>
      </w:trPr>
      <w:tc>
        <w:tcPr>
          <w:tcW w:w="3544" w:type="dxa"/>
          <w:vAlign w:val="center"/>
        </w:tcPr>
        <w:p w:rsidR="00E20836" w:rsidRPr="00F752E9" w:rsidRDefault="00E20836">
          <w:pPr>
            <w:ind w:right="34"/>
            <w:jc w:val="right"/>
            <w:rPr>
              <w:rFonts w:ascii="Palatino Linotype" w:eastAsia="Palatino Linotype" w:hAnsi="Palatino Linotype" w:cs="Palatino Linotype"/>
              <w:b/>
            </w:rPr>
          </w:pPr>
          <w:r w:rsidRPr="00F752E9">
            <w:rPr>
              <w:rFonts w:ascii="Palatino Linotype" w:eastAsia="Palatino Linotype" w:hAnsi="Palatino Linotype" w:cs="Palatino Linotype"/>
              <w:b/>
            </w:rPr>
            <w:t>COMISIONADA PONENTE:</w:t>
          </w:r>
        </w:p>
      </w:tc>
      <w:tc>
        <w:tcPr>
          <w:tcW w:w="4111" w:type="dxa"/>
          <w:vAlign w:val="center"/>
        </w:tcPr>
        <w:p w:rsidR="00E20836" w:rsidRPr="00F752E9" w:rsidRDefault="00E20836" w:rsidP="00F752E9">
          <w:pPr>
            <w:pBdr>
              <w:top w:val="nil"/>
              <w:left w:val="nil"/>
              <w:bottom w:val="nil"/>
              <w:right w:val="nil"/>
              <w:between w:val="nil"/>
            </w:pBdr>
            <w:tabs>
              <w:tab w:val="right" w:pos="8504"/>
            </w:tabs>
            <w:ind w:left="-108"/>
            <w:rPr>
              <w:rFonts w:ascii="Palatino Linotype" w:eastAsia="Palatino Linotype" w:hAnsi="Palatino Linotype" w:cs="Palatino Linotype"/>
            </w:rPr>
          </w:pPr>
          <w:r w:rsidRPr="00F752E9">
            <w:rPr>
              <w:rFonts w:ascii="Palatino Linotype" w:eastAsia="Palatino Linotype" w:hAnsi="Palatino Linotype" w:cs="Palatino Linotype"/>
            </w:rPr>
            <w:t>María del Rosario Mejía Ayala</w:t>
          </w:r>
        </w:p>
      </w:tc>
    </w:tr>
  </w:tbl>
  <w:p w:rsidR="00E20836" w:rsidRDefault="00E20836">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7216" behindDoc="1" locked="0" layoutInCell="1" hidden="0" allowOverlap="1" wp14:anchorId="47DA16FB" wp14:editId="14B081FD">
          <wp:simplePos x="0" y="0"/>
          <wp:positionH relativeFrom="page">
            <wp:posOffset>30785</wp:posOffset>
          </wp:positionH>
          <wp:positionV relativeFrom="page">
            <wp:posOffset>30480</wp:posOffset>
          </wp:positionV>
          <wp:extent cx="7695210" cy="10020839"/>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5210" cy="10020839"/>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836" w:rsidRDefault="0088750B">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18.65pt;margin-top:-128.35pt;width:663.5pt;height:12in;z-index:-251658240;mso-position-horizontal:absolute;mso-position-horizontal-relative:margin;mso-position-vertical:absolute;mso-position-vertical-relative:margin">
          <v:imagedata r:id="rId1" o:title="image1"/>
          <w10:wrap anchorx="margin" anchory="margin"/>
        </v:shape>
      </w:pict>
    </w:r>
    <w:r w:rsidR="00E20836">
      <w:rPr>
        <w:color w:val="000000"/>
      </w:rPr>
      <w:tab/>
    </w:r>
  </w:p>
  <w:tbl>
    <w:tblPr>
      <w:tblW w:w="7938" w:type="dxa"/>
      <w:tblInd w:w="2274" w:type="dxa"/>
      <w:tblBorders>
        <w:top w:val="nil"/>
        <w:left w:val="nil"/>
        <w:bottom w:val="nil"/>
        <w:right w:val="nil"/>
        <w:insideH w:val="nil"/>
        <w:insideV w:val="nil"/>
      </w:tblBorders>
      <w:tblLayout w:type="fixed"/>
      <w:tblLook w:val="0400" w:firstRow="0" w:lastRow="0" w:firstColumn="0" w:lastColumn="0" w:noHBand="0" w:noVBand="1"/>
    </w:tblPr>
    <w:tblGrid>
      <w:gridCol w:w="3544"/>
      <w:gridCol w:w="4394"/>
    </w:tblGrid>
    <w:tr w:rsidR="00E20836" w:rsidRPr="00F752E9" w:rsidTr="00F752E9">
      <w:trPr>
        <w:trHeight w:val="138"/>
      </w:trPr>
      <w:tc>
        <w:tcPr>
          <w:tcW w:w="3544" w:type="dxa"/>
          <w:vAlign w:val="center"/>
        </w:tcPr>
        <w:p w:rsidR="00E20836" w:rsidRPr="00F752E9" w:rsidRDefault="00E20836">
          <w:pPr>
            <w:jc w:val="right"/>
            <w:rPr>
              <w:rFonts w:ascii="Palatino Linotype" w:eastAsia="Palatino Linotype" w:hAnsi="Palatino Linotype" w:cs="Palatino Linotype"/>
              <w:b/>
            </w:rPr>
          </w:pPr>
          <w:r w:rsidRPr="00F752E9">
            <w:rPr>
              <w:rFonts w:ascii="Palatino Linotype" w:eastAsia="Palatino Linotype" w:hAnsi="Palatino Linotype" w:cs="Palatino Linotype"/>
              <w:b/>
            </w:rPr>
            <w:t>RECURSO DE REVISIÓN:</w:t>
          </w:r>
        </w:p>
      </w:tc>
      <w:tc>
        <w:tcPr>
          <w:tcW w:w="4394" w:type="dxa"/>
          <w:vAlign w:val="center"/>
        </w:tcPr>
        <w:p w:rsidR="00E20836" w:rsidRPr="00F752E9" w:rsidRDefault="00E20836" w:rsidP="00F752E9">
          <w:pPr>
            <w:pBdr>
              <w:top w:val="nil"/>
              <w:left w:val="nil"/>
              <w:bottom w:val="nil"/>
              <w:right w:val="nil"/>
              <w:between w:val="nil"/>
            </w:pBdr>
            <w:tabs>
              <w:tab w:val="right" w:pos="8504"/>
            </w:tabs>
            <w:rPr>
              <w:rFonts w:ascii="Palatino Linotype" w:eastAsia="Palatino Linotype" w:hAnsi="Palatino Linotype" w:cs="Palatino Linotype"/>
            </w:rPr>
          </w:pPr>
          <w:r w:rsidRPr="00F752E9">
            <w:rPr>
              <w:rFonts w:ascii="Palatino Linotype" w:eastAsia="Palatino Linotype" w:hAnsi="Palatino Linotype" w:cs="Palatino Linotype"/>
            </w:rPr>
            <w:t>00873/INFOEM/IP/RR/2025</w:t>
          </w:r>
        </w:p>
      </w:tc>
    </w:tr>
    <w:tr w:rsidR="00E20836" w:rsidRPr="00F752E9" w:rsidTr="00F752E9">
      <w:trPr>
        <w:trHeight w:val="233"/>
      </w:trPr>
      <w:tc>
        <w:tcPr>
          <w:tcW w:w="3544" w:type="dxa"/>
          <w:vAlign w:val="center"/>
        </w:tcPr>
        <w:p w:rsidR="00E20836" w:rsidRPr="00F752E9" w:rsidRDefault="00E20836">
          <w:pPr>
            <w:jc w:val="right"/>
            <w:rPr>
              <w:rFonts w:ascii="Palatino Linotype" w:eastAsia="Palatino Linotype" w:hAnsi="Palatino Linotype" w:cs="Palatino Linotype"/>
              <w:b/>
            </w:rPr>
          </w:pPr>
          <w:r w:rsidRPr="00F752E9">
            <w:rPr>
              <w:rFonts w:ascii="Palatino Linotype" w:eastAsia="Palatino Linotype" w:hAnsi="Palatino Linotype" w:cs="Palatino Linotype"/>
              <w:b/>
            </w:rPr>
            <w:t>RECURRENTE:</w:t>
          </w:r>
        </w:p>
      </w:tc>
      <w:tc>
        <w:tcPr>
          <w:tcW w:w="4394" w:type="dxa"/>
        </w:tcPr>
        <w:p w:rsidR="00E20836" w:rsidRPr="00F752E9" w:rsidRDefault="00E20836" w:rsidP="00F752E9">
          <w:pPr>
            <w:pBdr>
              <w:top w:val="nil"/>
              <w:left w:val="nil"/>
              <w:bottom w:val="nil"/>
              <w:right w:val="nil"/>
              <w:between w:val="nil"/>
            </w:pBdr>
            <w:tabs>
              <w:tab w:val="right" w:pos="8504"/>
            </w:tabs>
            <w:rPr>
              <w:rFonts w:ascii="Palatino Linotype" w:eastAsia="Palatino Linotype" w:hAnsi="Palatino Linotype" w:cs="Palatino Linotype"/>
            </w:rPr>
          </w:pPr>
        </w:p>
      </w:tc>
    </w:tr>
    <w:tr w:rsidR="00E20836" w:rsidRPr="00F752E9" w:rsidTr="00F752E9">
      <w:trPr>
        <w:trHeight w:val="321"/>
      </w:trPr>
      <w:tc>
        <w:tcPr>
          <w:tcW w:w="3544" w:type="dxa"/>
          <w:vAlign w:val="center"/>
        </w:tcPr>
        <w:p w:rsidR="00E20836" w:rsidRPr="00F752E9" w:rsidRDefault="00E20836">
          <w:pPr>
            <w:jc w:val="right"/>
            <w:rPr>
              <w:rFonts w:ascii="Palatino Linotype" w:eastAsia="Palatino Linotype" w:hAnsi="Palatino Linotype" w:cs="Palatino Linotype"/>
              <w:b/>
            </w:rPr>
          </w:pPr>
          <w:r w:rsidRPr="00F752E9">
            <w:rPr>
              <w:rFonts w:ascii="Palatino Linotype" w:eastAsia="Palatino Linotype" w:hAnsi="Palatino Linotype" w:cs="Palatino Linotype"/>
              <w:b/>
            </w:rPr>
            <w:t>SUJETO OBLIGADO:</w:t>
          </w:r>
        </w:p>
      </w:tc>
      <w:tc>
        <w:tcPr>
          <w:tcW w:w="4394" w:type="dxa"/>
          <w:vAlign w:val="center"/>
        </w:tcPr>
        <w:p w:rsidR="00E20836" w:rsidRPr="00F752E9" w:rsidRDefault="00E20836" w:rsidP="00F752E9">
          <w:pPr>
            <w:pBdr>
              <w:top w:val="nil"/>
              <w:left w:val="nil"/>
              <w:bottom w:val="nil"/>
              <w:right w:val="nil"/>
              <w:between w:val="nil"/>
            </w:pBdr>
            <w:tabs>
              <w:tab w:val="right" w:pos="8504"/>
            </w:tabs>
            <w:jc w:val="both"/>
            <w:rPr>
              <w:rFonts w:ascii="Palatino Linotype" w:eastAsia="Palatino Linotype" w:hAnsi="Palatino Linotype" w:cs="Palatino Linotype"/>
            </w:rPr>
          </w:pPr>
          <w:r w:rsidRPr="00F752E9">
            <w:rPr>
              <w:rFonts w:ascii="Palatino Linotype" w:eastAsia="Palatino Linotype" w:hAnsi="Palatino Linotype" w:cs="Palatino Linotype"/>
              <w:bCs/>
            </w:rPr>
            <w:t>Ayuntamiento de Tlalnepantla de Baz</w:t>
          </w:r>
        </w:p>
      </w:tc>
    </w:tr>
    <w:tr w:rsidR="00E20836" w:rsidRPr="00F752E9" w:rsidTr="00F752E9">
      <w:trPr>
        <w:trHeight w:val="321"/>
      </w:trPr>
      <w:tc>
        <w:tcPr>
          <w:tcW w:w="3544" w:type="dxa"/>
          <w:vAlign w:val="center"/>
        </w:tcPr>
        <w:p w:rsidR="00E20836" w:rsidRPr="00F752E9" w:rsidRDefault="00E20836">
          <w:pPr>
            <w:jc w:val="right"/>
            <w:rPr>
              <w:rFonts w:ascii="Palatino Linotype" w:eastAsia="Palatino Linotype" w:hAnsi="Palatino Linotype" w:cs="Palatino Linotype"/>
              <w:b/>
            </w:rPr>
          </w:pPr>
          <w:r w:rsidRPr="00F752E9">
            <w:rPr>
              <w:rFonts w:ascii="Palatino Linotype" w:eastAsia="Palatino Linotype" w:hAnsi="Palatino Linotype" w:cs="Palatino Linotype"/>
              <w:b/>
            </w:rPr>
            <w:t>COMISIONADA PONENTE:</w:t>
          </w:r>
        </w:p>
      </w:tc>
      <w:tc>
        <w:tcPr>
          <w:tcW w:w="4394" w:type="dxa"/>
          <w:vAlign w:val="center"/>
        </w:tcPr>
        <w:p w:rsidR="00E20836" w:rsidRPr="00F752E9" w:rsidRDefault="00E20836" w:rsidP="00F752E9">
          <w:pPr>
            <w:pBdr>
              <w:top w:val="nil"/>
              <w:left w:val="nil"/>
              <w:bottom w:val="nil"/>
              <w:right w:val="nil"/>
              <w:between w:val="nil"/>
            </w:pBdr>
            <w:tabs>
              <w:tab w:val="right" w:pos="8504"/>
            </w:tabs>
            <w:rPr>
              <w:rFonts w:ascii="Palatino Linotype" w:eastAsia="Palatino Linotype" w:hAnsi="Palatino Linotype" w:cs="Palatino Linotype"/>
            </w:rPr>
          </w:pPr>
          <w:r w:rsidRPr="00F752E9">
            <w:rPr>
              <w:rFonts w:ascii="Palatino Linotype" w:eastAsia="Palatino Linotype" w:hAnsi="Palatino Linotype" w:cs="Palatino Linotype"/>
            </w:rPr>
            <w:t>María del Rosario Mejía Ayala</w:t>
          </w:r>
        </w:p>
      </w:tc>
    </w:tr>
  </w:tbl>
  <w:p w:rsidR="00E20836" w:rsidRDefault="00E20836">
    <w:pPr>
      <w:pBdr>
        <w:top w:val="nil"/>
        <w:left w:val="nil"/>
        <w:bottom w:val="nil"/>
        <w:right w:val="nil"/>
        <w:between w:val="nil"/>
      </w:pBdr>
      <w:tabs>
        <w:tab w:val="center" w:pos="4252"/>
        <w:tab w:val="right" w:pos="8504"/>
        <w:tab w:val="left" w:pos="3103"/>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038E7"/>
    <w:multiLevelType w:val="hybridMultilevel"/>
    <w:tmpl w:val="BC8280CC"/>
    <w:lvl w:ilvl="0" w:tplc="272C3B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9863BD5"/>
    <w:multiLevelType w:val="multilevel"/>
    <w:tmpl w:val="260875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7E224A"/>
    <w:multiLevelType w:val="hybridMultilevel"/>
    <w:tmpl w:val="486E2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1C21EFE"/>
    <w:multiLevelType w:val="hybridMultilevel"/>
    <w:tmpl w:val="7A522FD0"/>
    <w:lvl w:ilvl="0" w:tplc="A6BAAF5A">
      <w:start w:val="3"/>
      <w:numFmt w:val="bullet"/>
      <w:lvlText w:val="-"/>
      <w:lvlJc w:val="left"/>
      <w:pPr>
        <w:ind w:left="720" w:hanging="360"/>
      </w:pPr>
      <w:rPr>
        <w:rFonts w:ascii="Palatino Linotype" w:eastAsia="Cambria" w:hAnsi="Palatino Linotype"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4F52EF"/>
    <w:multiLevelType w:val="hybridMultilevel"/>
    <w:tmpl w:val="BF800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8D1034"/>
    <w:multiLevelType w:val="hybridMultilevel"/>
    <w:tmpl w:val="965E13CC"/>
    <w:lvl w:ilvl="0" w:tplc="A6BAAF5A">
      <w:start w:val="3"/>
      <w:numFmt w:val="bullet"/>
      <w:lvlText w:val="-"/>
      <w:lvlJc w:val="left"/>
      <w:pPr>
        <w:ind w:left="720" w:hanging="360"/>
      </w:pPr>
      <w:rPr>
        <w:rFonts w:ascii="Palatino Linotype" w:eastAsia="Cambria" w:hAnsi="Palatino Linotype"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E165C95"/>
    <w:multiLevelType w:val="hybridMultilevel"/>
    <w:tmpl w:val="03D8B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E927C22"/>
    <w:multiLevelType w:val="multilevel"/>
    <w:tmpl w:val="CCF8E8CA"/>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7"/>
  </w:num>
  <w:num w:numId="6">
    <w:abstractNumId w:val="3"/>
  </w:num>
  <w:num w:numId="7">
    <w:abstractNumId w:val="4"/>
  </w:num>
  <w:num w:numId="8">
    <w:abstractNumId w:val="10"/>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D4"/>
    <w:rsid w:val="000D1B5A"/>
    <w:rsid w:val="001577E6"/>
    <w:rsid w:val="002838D3"/>
    <w:rsid w:val="002E5C77"/>
    <w:rsid w:val="00337E64"/>
    <w:rsid w:val="003816B4"/>
    <w:rsid w:val="003E3EDC"/>
    <w:rsid w:val="003F5BB4"/>
    <w:rsid w:val="00412CAC"/>
    <w:rsid w:val="00545F0A"/>
    <w:rsid w:val="005512FB"/>
    <w:rsid w:val="005918D3"/>
    <w:rsid w:val="00693CDC"/>
    <w:rsid w:val="006D11B2"/>
    <w:rsid w:val="00752E7B"/>
    <w:rsid w:val="00764DD4"/>
    <w:rsid w:val="007E2219"/>
    <w:rsid w:val="0083476C"/>
    <w:rsid w:val="0088750B"/>
    <w:rsid w:val="008F0FBA"/>
    <w:rsid w:val="0099501E"/>
    <w:rsid w:val="00AC264C"/>
    <w:rsid w:val="00AE47DB"/>
    <w:rsid w:val="00B168F0"/>
    <w:rsid w:val="00B45D6F"/>
    <w:rsid w:val="00C35D40"/>
    <w:rsid w:val="00C858C8"/>
    <w:rsid w:val="00D074ED"/>
    <w:rsid w:val="00E20836"/>
    <w:rsid w:val="00EE614E"/>
    <w:rsid w:val="00F75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6B4BC3E-873D-4F32-9425-37A4702B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DD4"/>
    <w:pPr>
      <w:spacing w:after="0" w:line="240" w:lineRule="auto"/>
    </w:pPr>
    <w:rPr>
      <w:rFonts w:ascii="Cambria" w:eastAsia="Cambria" w:hAnsi="Cambria" w:cs="Cambria"/>
      <w:sz w:val="24"/>
      <w:szCs w:val="24"/>
      <w:lang w:eastAsia="es-MX"/>
    </w:rPr>
  </w:style>
  <w:style w:type="paragraph" w:styleId="Ttulo1">
    <w:name w:val="heading 1"/>
    <w:basedOn w:val="Normal"/>
    <w:next w:val="Normal"/>
    <w:link w:val="Ttulo1Car"/>
    <w:uiPriority w:val="9"/>
    <w:qFormat/>
    <w:rsid w:val="00764DD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764DD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4DD4"/>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764DD4"/>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4DD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4DD4"/>
    <w:rPr>
      <w:rFonts w:ascii="Cambria" w:eastAsia="Cambria" w:hAnsi="Cambria" w:cs="Cambria"/>
      <w:sz w:val="24"/>
      <w:szCs w:val="24"/>
      <w:lang w:eastAsia="es-MX"/>
    </w:rPr>
  </w:style>
  <w:style w:type="table" w:styleId="Tabladecuadrcula6concolores">
    <w:name w:val="Grid Table 6 Colorful"/>
    <w:basedOn w:val="Tablanormal"/>
    <w:uiPriority w:val="51"/>
    <w:rsid w:val="00764DD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64DD4"/>
    <w:pPr>
      <w:tabs>
        <w:tab w:val="center" w:pos="4419"/>
        <w:tab w:val="right" w:pos="8838"/>
      </w:tabs>
    </w:pPr>
  </w:style>
  <w:style w:type="character" w:customStyle="1" w:styleId="EncabezadoCar">
    <w:name w:val="Encabezado Car"/>
    <w:basedOn w:val="Fuentedeprrafopredeter"/>
    <w:link w:val="Encabezado"/>
    <w:uiPriority w:val="99"/>
    <w:rsid w:val="00764DD4"/>
    <w:rPr>
      <w:rFonts w:ascii="Cambria" w:eastAsia="Cambria" w:hAnsi="Cambria" w:cs="Cambria"/>
      <w:sz w:val="24"/>
      <w:szCs w:val="24"/>
      <w:lang w:eastAsia="es-MX"/>
    </w:rPr>
  </w:style>
  <w:style w:type="paragraph" w:styleId="Piedepgina">
    <w:name w:val="footer"/>
    <w:basedOn w:val="Normal"/>
    <w:link w:val="PiedepginaCar"/>
    <w:uiPriority w:val="99"/>
    <w:unhideWhenUsed/>
    <w:rsid w:val="00764DD4"/>
    <w:pPr>
      <w:tabs>
        <w:tab w:val="center" w:pos="4419"/>
        <w:tab w:val="right" w:pos="8838"/>
      </w:tabs>
    </w:pPr>
  </w:style>
  <w:style w:type="character" w:customStyle="1" w:styleId="PiedepginaCar">
    <w:name w:val="Pie de página Car"/>
    <w:basedOn w:val="Fuentedeprrafopredeter"/>
    <w:link w:val="Piedepgina"/>
    <w:uiPriority w:val="99"/>
    <w:rsid w:val="00764DD4"/>
    <w:rPr>
      <w:rFonts w:ascii="Cambria" w:eastAsia="Cambria" w:hAnsi="Cambria" w:cs="Cambria"/>
      <w:sz w:val="24"/>
      <w:szCs w:val="24"/>
      <w:lang w:eastAsia="es-MX"/>
    </w:rPr>
  </w:style>
  <w:style w:type="character" w:styleId="Hipervnculo">
    <w:name w:val="Hyperlink"/>
    <w:basedOn w:val="Fuentedeprrafopredeter"/>
    <w:uiPriority w:val="99"/>
    <w:semiHidden/>
    <w:unhideWhenUsed/>
    <w:rsid w:val="000D1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541886">
      <w:bodyDiv w:val="1"/>
      <w:marLeft w:val="0"/>
      <w:marRight w:val="0"/>
      <w:marTop w:val="0"/>
      <w:marBottom w:val="0"/>
      <w:divBdr>
        <w:top w:val="none" w:sz="0" w:space="0" w:color="auto"/>
        <w:left w:val="none" w:sz="0" w:space="0" w:color="auto"/>
        <w:bottom w:val="none" w:sz="0" w:space="0" w:color="auto"/>
        <w:right w:val="none" w:sz="0" w:space="0" w:color="auto"/>
      </w:divBdr>
    </w:div>
    <w:div w:id="82347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8205.p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imex.org.mx/saimex/solicitud/downloadAttach/2343807.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31</Pages>
  <Words>6894</Words>
  <Characters>37923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9</cp:revision>
  <cp:lastPrinted>2025-05-23T15:57:00Z</cp:lastPrinted>
  <dcterms:created xsi:type="dcterms:W3CDTF">2025-05-13T21:18:00Z</dcterms:created>
  <dcterms:modified xsi:type="dcterms:W3CDTF">2025-05-23T15:57:00Z</dcterms:modified>
</cp:coreProperties>
</file>