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0B1D47" w14:textId="00C65DBF" w:rsidR="00ED077A" w:rsidRPr="00BE3318" w:rsidRDefault="004629A8" w:rsidP="00A96522">
      <w:pPr>
        <w:spacing w:line="360" w:lineRule="auto"/>
        <w:jc w:val="both"/>
        <w:rPr>
          <w:rFonts w:ascii="Palatino Linotype" w:eastAsia="Palatino Linotype" w:hAnsi="Palatino Linotype" w:cs="Palatino Linotype"/>
          <w:color w:val="000000" w:themeColor="text1"/>
          <w:sz w:val="24"/>
          <w:szCs w:val="24"/>
        </w:rPr>
      </w:pPr>
      <w:bookmarkStart w:id="0" w:name="_heading=h.qap7zv4fhwt7" w:colFirst="0" w:colLast="0"/>
      <w:bookmarkStart w:id="1" w:name="_GoBack"/>
      <w:bookmarkEnd w:id="0"/>
      <w:bookmarkEnd w:id="1"/>
      <w:r w:rsidRPr="00BE3318">
        <w:rPr>
          <w:rFonts w:ascii="Palatino Linotype" w:eastAsia="Palatino Linotype" w:hAnsi="Palatino Linotype" w:cs="Palatino Linotype"/>
          <w:color w:val="000000" w:themeColor="text1"/>
          <w:sz w:val="24"/>
          <w:szCs w:val="24"/>
        </w:rPr>
        <w:t xml:space="preserve">Resolución del Pleno del Instituto de Transparencia, Acceso a la Información Pública y Protección de Datos Personales del Estado de México y Municipios, con domicilio en Metepec, Estado de México; de </w:t>
      </w:r>
      <w:r w:rsidR="00B43B8B">
        <w:rPr>
          <w:rFonts w:ascii="Palatino Linotype" w:eastAsia="Palatino Linotype" w:hAnsi="Palatino Linotype" w:cs="Palatino Linotype"/>
          <w:color w:val="000000" w:themeColor="text1"/>
          <w:sz w:val="24"/>
          <w:szCs w:val="24"/>
        </w:rPr>
        <w:t xml:space="preserve">fecha </w:t>
      </w:r>
      <w:r w:rsidRPr="00BE3318">
        <w:rPr>
          <w:rFonts w:ascii="Palatino Linotype" w:eastAsia="Palatino Linotype" w:hAnsi="Palatino Linotype" w:cs="Palatino Linotype"/>
          <w:b/>
          <w:color w:val="000000" w:themeColor="text1"/>
          <w:sz w:val="24"/>
          <w:szCs w:val="24"/>
        </w:rPr>
        <w:t xml:space="preserve">diez </w:t>
      </w:r>
      <w:r w:rsidR="00B43B8B">
        <w:rPr>
          <w:rFonts w:ascii="Palatino Linotype" w:eastAsia="Palatino Linotype" w:hAnsi="Palatino Linotype" w:cs="Palatino Linotype"/>
          <w:b/>
          <w:color w:val="000000" w:themeColor="text1"/>
          <w:sz w:val="24"/>
          <w:szCs w:val="24"/>
        </w:rPr>
        <w:t xml:space="preserve">(10) </w:t>
      </w:r>
      <w:r w:rsidRPr="00BE3318">
        <w:rPr>
          <w:rFonts w:ascii="Palatino Linotype" w:eastAsia="Palatino Linotype" w:hAnsi="Palatino Linotype" w:cs="Palatino Linotype"/>
          <w:b/>
          <w:color w:val="000000" w:themeColor="text1"/>
          <w:sz w:val="24"/>
          <w:szCs w:val="24"/>
        </w:rPr>
        <w:t xml:space="preserve">de septiembre de dos mil veinticinco. </w:t>
      </w:r>
    </w:p>
    <w:p w14:paraId="136EF4E1" w14:textId="77777777" w:rsidR="00ED077A" w:rsidRPr="00BE3318" w:rsidRDefault="00ED077A" w:rsidP="00A96522">
      <w:pPr>
        <w:spacing w:line="360" w:lineRule="auto"/>
        <w:jc w:val="both"/>
        <w:rPr>
          <w:rFonts w:ascii="Palatino Linotype" w:eastAsia="Palatino Linotype" w:hAnsi="Palatino Linotype" w:cs="Palatino Linotype"/>
          <w:color w:val="000000" w:themeColor="text1"/>
          <w:sz w:val="24"/>
          <w:szCs w:val="24"/>
        </w:rPr>
      </w:pPr>
    </w:p>
    <w:p w14:paraId="22B5052D" w14:textId="42B53223" w:rsidR="00ED077A" w:rsidRPr="00BE3318" w:rsidRDefault="004629A8" w:rsidP="00A96522">
      <w:pPr>
        <w:spacing w:line="360" w:lineRule="auto"/>
        <w:jc w:val="both"/>
        <w:rPr>
          <w:rFonts w:ascii="Palatino Linotype" w:eastAsia="Palatino Linotype" w:hAnsi="Palatino Linotype" w:cs="Palatino Linotype"/>
          <w:b/>
          <w:color w:val="000000" w:themeColor="text1"/>
          <w:sz w:val="24"/>
          <w:szCs w:val="24"/>
        </w:rPr>
      </w:pPr>
      <w:r w:rsidRPr="00BE3318">
        <w:rPr>
          <w:rFonts w:ascii="Palatino Linotype" w:eastAsia="Palatino Linotype" w:hAnsi="Palatino Linotype" w:cs="Palatino Linotype"/>
          <w:b/>
          <w:color w:val="000000" w:themeColor="text1"/>
          <w:sz w:val="24"/>
          <w:szCs w:val="24"/>
        </w:rPr>
        <w:t>VISTO</w:t>
      </w:r>
      <w:r w:rsidRPr="00BE3318">
        <w:rPr>
          <w:rFonts w:ascii="Palatino Linotype" w:eastAsia="Palatino Linotype" w:hAnsi="Palatino Linotype" w:cs="Palatino Linotype"/>
          <w:color w:val="000000" w:themeColor="text1"/>
          <w:sz w:val="24"/>
          <w:szCs w:val="24"/>
        </w:rPr>
        <w:t xml:space="preserve"> el expediente electrónico formado con motivo del recurso de revisión</w:t>
      </w:r>
      <w:r w:rsidRPr="00BE3318">
        <w:rPr>
          <w:rFonts w:ascii="Palatino Linotype" w:eastAsia="Palatino Linotype" w:hAnsi="Palatino Linotype" w:cs="Palatino Linotype"/>
          <w:b/>
          <w:color w:val="000000" w:themeColor="text1"/>
          <w:sz w:val="24"/>
          <w:szCs w:val="24"/>
        </w:rPr>
        <w:t xml:space="preserve"> 03273/INFOEM/IP/RR/2025, </w:t>
      </w:r>
      <w:r w:rsidRPr="00BE3318">
        <w:rPr>
          <w:rFonts w:ascii="Palatino Linotype" w:eastAsia="Palatino Linotype" w:hAnsi="Palatino Linotype" w:cs="Palatino Linotype"/>
          <w:color w:val="000000" w:themeColor="text1"/>
          <w:sz w:val="24"/>
          <w:szCs w:val="24"/>
        </w:rPr>
        <w:t>promovido por</w:t>
      </w:r>
      <w:r w:rsidRPr="00BE3318">
        <w:rPr>
          <w:rFonts w:ascii="Palatino Linotype" w:eastAsia="Palatino Linotype" w:hAnsi="Palatino Linotype" w:cs="Palatino Linotype"/>
          <w:b/>
          <w:color w:val="000000" w:themeColor="text1"/>
          <w:sz w:val="24"/>
          <w:szCs w:val="24"/>
        </w:rPr>
        <w:t xml:space="preserve"> </w:t>
      </w:r>
      <w:r w:rsidR="00B43B8B">
        <w:rPr>
          <w:rFonts w:ascii="Palatino Linotype" w:eastAsia="Palatino Linotype" w:hAnsi="Palatino Linotype" w:cs="Palatino Linotype"/>
          <w:b/>
          <w:color w:val="000000" w:themeColor="text1"/>
          <w:sz w:val="24"/>
          <w:szCs w:val="24"/>
        </w:rPr>
        <w:t>un usuario</w:t>
      </w:r>
      <w:r w:rsidRPr="00BE3318">
        <w:rPr>
          <w:rFonts w:ascii="Palatino Linotype" w:eastAsia="Palatino Linotype" w:hAnsi="Palatino Linotype" w:cs="Palatino Linotype"/>
          <w:b/>
          <w:color w:val="000000" w:themeColor="text1"/>
          <w:sz w:val="24"/>
          <w:szCs w:val="24"/>
        </w:rPr>
        <w:t xml:space="preserve"> que no prop</w:t>
      </w:r>
      <w:r w:rsidR="00B43B8B">
        <w:rPr>
          <w:rFonts w:ascii="Palatino Linotype" w:eastAsia="Palatino Linotype" w:hAnsi="Palatino Linotype" w:cs="Palatino Linotype"/>
          <w:b/>
          <w:color w:val="000000" w:themeColor="text1"/>
          <w:sz w:val="24"/>
          <w:szCs w:val="24"/>
        </w:rPr>
        <w:t xml:space="preserve">orciono datos de identificación, </w:t>
      </w:r>
      <w:r w:rsidRPr="00BE3318">
        <w:rPr>
          <w:rFonts w:ascii="Palatino Linotype" w:eastAsia="Palatino Linotype" w:hAnsi="Palatino Linotype" w:cs="Palatino Linotype"/>
          <w:color w:val="000000" w:themeColor="text1"/>
          <w:sz w:val="24"/>
          <w:szCs w:val="24"/>
        </w:rPr>
        <w:t xml:space="preserve">a quien en lo sucesivo se </w:t>
      </w:r>
      <w:r w:rsidR="00B43B8B">
        <w:rPr>
          <w:rFonts w:ascii="Palatino Linotype" w:eastAsia="Palatino Linotype" w:hAnsi="Palatino Linotype" w:cs="Palatino Linotype"/>
          <w:color w:val="000000" w:themeColor="text1"/>
          <w:sz w:val="24"/>
          <w:szCs w:val="24"/>
        </w:rPr>
        <w:t xml:space="preserve">denominará </w:t>
      </w:r>
      <w:r w:rsidRPr="00BE3318">
        <w:rPr>
          <w:rFonts w:ascii="Palatino Linotype" w:eastAsia="Palatino Linotype" w:hAnsi="Palatino Linotype" w:cs="Palatino Linotype"/>
          <w:color w:val="000000" w:themeColor="text1"/>
          <w:sz w:val="24"/>
          <w:szCs w:val="24"/>
        </w:rPr>
        <w:t xml:space="preserve">como </w:t>
      </w:r>
      <w:r w:rsidRPr="00BE3318">
        <w:rPr>
          <w:rFonts w:ascii="Palatino Linotype" w:eastAsia="Palatino Linotype" w:hAnsi="Palatino Linotype" w:cs="Palatino Linotype"/>
          <w:b/>
          <w:color w:val="000000" w:themeColor="text1"/>
          <w:sz w:val="24"/>
          <w:szCs w:val="24"/>
        </w:rPr>
        <w:t>EL RECURRENTE</w:t>
      </w:r>
      <w:r w:rsidRPr="00BE3318">
        <w:rPr>
          <w:rFonts w:ascii="Palatino Linotype" w:eastAsia="Palatino Linotype" w:hAnsi="Palatino Linotype" w:cs="Palatino Linotype"/>
          <w:color w:val="000000" w:themeColor="text1"/>
          <w:sz w:val="24"/>
          <w:szCs w:val="24"/>
        </w:rPr>
        <w:t xml:space="preserve">, en contra de la respuesta del </w:t>
      </w:r>
      <w:r w:rsidRPr="00BE3318">
        <w:rPr>
          <w:rFonts w:ascii="Palatino Linotype" w:eastAsia="Palatino Linotype" w:hAnsi="Palatino Linotype" w:cs="Palatino Linotype"/>
          <w:b/>
          <w:color w:val="000000" w:themeColor="text1"/>
          <w:sz w:val="24"/>
          <w:szCs w:val="24"/>
        </w:rPr>
        <w:t xml:space="preserve">Ayuntamiento de Toluca, </w:t>
      </w:r>
      <w:r w:rsidRPr="00BE3318">
        <w:rPr>
          <w:rFonts w:ascii="Palatino Linotype" w:eastAsia="Palatino Linotype" w:hAnsi="Palatino Linotype" w:cs="Palatino Linotype"/>
          <w:color w:val="000000" w:themeColor="text1"/>
          <w:sz w:val="24"/>
          <w:szCs w:val="24"/>
        </w:rPr>
        <w:t xml:space="preserve">en </w:t>
      </w:r>
      <w:r w:rsidR="00B43B8B">
        <w:rPr>
          <w:rFonts w:ascii="Palatino Linotype" w:eastAsia="Palatino Linotype" w:hAnsi="Palatino Linotype" w:cs="Palatino Linotype"/>
          <w:color w:val="000000" w:themeColor="text1"/>
          <w:sz w:val="24"/>
          <w:szCs w:val="24"/>
        </w:rPr>
        <w:t>adelante</w:t>
      </w:r>
      <w:r w:rsidRPr="00BE3318">
        <w:rPr>
          <w:rFonts w:ascii="Palatino Linotype" w:eastAsia="Palatino Linotype" w:hAnsi="Palatino Linotype" w:cs="Palatino Linotype"/>
          <w:color w:val="000000" w:themeColor="text1"/>
          <w:sz w:val="24"/>
          <w:szCs w:val="24"/>
        </w:rPr>
        <w:t xml:space="preserve"> el</w:t>
      </w:r>
      <w:r w:rsidRPr="00BE3318">
        <w:rPr>
          <w:rFonts w:ascii="Palatino Linotype" w:eastAsia="Palatino Linotype" w:hAnsi="Palatino Linotype" w:cs="Palatino Linotype"/>
          <w:b/>
          <w:color w:val="000000" w:themeColor="text1"/>
          <w:sz w:val="24"/>
          <w:szCs w:val="24"/>
        </w:rPr>
        <w:t xml:space="preserve"> SUJETO OBLIGADO</w:t>
      </w:r>
      <w:r w:rsidRPr="00BE3318">
        <w:rPr>
          <w:rFonts w:ascii="Palatino Linotype" w:eastAsia="Palatino Linotype" w:hAnsi="Palatino Linotype" w:cs="Palatino Linotype"/>
          <w:color w:val="000000" w:themeColor="text1"/>
          <w:sz w:val="24"/>
          <w:szCs w:val="24"/>
        </w:rPr>
        <w:t>, por lo que se procede a dictar la presente resolución, con base en los siguientes:</w:t>
      </w:r>
    </w:p>
    <w:p w14:paraId="159453FC" w14:textId="77777777" w:rsidR="00ED077A" w:rsidRPr="00BE3318" w:rsidRDefault="00ED077A" w:rsidP="00A96522">
      <w:pPr>
        <w:spacing w:line="360" w:lineRule="auto"/>
        <w:jc w:val="both"/>
        <w:rPr>
          <w:rFonts w:ascii="Palatino Linotype" w:eastAsia="Palatino Linotype" w:hAnsi="Palatino Linotype" w:cs="Palatino Linotype"/>
          <w:b/>
          <w:color w:val="000000" w:themeColor="text1"/>
          <w:sz w:val="24"/>
          <w:szCs w:val="24"/>
        </w:rPr>
      </w:pPr>
    </w:p>
    <w:p w14:paraId="7666ACB5" w14:textId="4B4E3956" w:rsidR="00ED077A" w:rsidRDefault="004629A8" w:rsidP="00A96522">
      <w:pPr>
        <w:keepNext/>
        <w:keepLines/>
        <w:spacing w:line="360" w:lineRule="auto"/>
        <w:jc w:val="center"/>
        <w:rPr>
          <w:rFonts w:ascii="Palatino Linotype" w:eastAsia="Palatino Linotype" w:hAnsi="Palatino Linotype" w:cs="Palatino Linotype"/>
          <w:b/>
          <w:color w:val="000000" w:themeColor="text1"/>
          <w:sz w:val="24"/>
          <w:szCs w:val="24"/>
        </w:rPr>
      </w:pPr>
      <w:bookmarkStart w:id="2" w:name="_heading=h.gjdgxs" w:colFirst="0" w:colLast="0"/>
      <w:bookmarkEnd w:id="2"/>
      <w:r w:rsidRPr="00BE3318">
        <w:rPr>
          <w:rFonts w:ascii="Palatino Linotype" w:eastAsia="Palatino Linotype" w:hAnsi="Palatino Linotype" w:cs="Palatino Linotype"/>
          <w:b/>
          <w:color w:val="000000" w:themeColor="text1"/>
          <w:sz w:val="24"/>
          <w:szCs w:val="24"/>
        </w:rPr>
        <w:t>A</w:t>
      </w:r>
      <w:r w:rsidR="00B43B8B">
        <w:rPr>
          <w:rFonts w:ascii="Palatino Linotype" w:eastAsia="Palatino Linotype" w:hAnsi="Palatino Linotype" w:cs="Palatino Linotype"/>
          <w:b/>
          <w:color w:val="000000" w:themeColor="text1"/>
          <w:sz w:val="24"/>
          <w:szCs w:val="24"/>
        </w:rPr>
        <w:t xml:space="preserve"> </w:t>
      </w:r>
      <w:r w:rsidRPr="00BE3318">
        <w:rPr>
          <w:rFonts w:ascii="Palatino Linotype" w:eastAsia="Palatino Linotype" w:hAnsi="Palatino Linotype" w:cs="Palatino Linotype"/>
          <w:b/>
          <w:color w:val="000000" w:themeColor="text1"/>
          <w:sz w:val="24"/>
          <w:szCs w:val="24"/>
        </w:rPr>
        <w:t>N</w:t>
      </w:r>
      <w:r w:rsidR="00B43B8B">
        <w:rPr>
          <w:rFonts w:ascii="Palatino Linotype" w:eastAsia="Palatino Linotype" w:hAnsi="Palatino Linotype" w:cs="Palatino Linotype"/>
          <w:b/>
          <w:color w:val="000000" w:themeColor="text1"/>
          <w:sz w:val="24"/>
          <w:szCs w:val="24"/>
        </w:rPr>
        <w:t xml:space="preserve"> </w:t>
      </w:r>
      <w:r w:rsidRPr="00BE3318">
        <w:rPr>
          <w:rFonts w:ascii="Palatino Linotype" w:eastAsia="Palatino Linotype" w:hAnsi="Palatino Linotype" w:cs="Palatino Linotype"/>
          <w:b/>
          <w:color w:val="000000" w:themeColor="text1"/>
          <w:sz w:val="24"/>
          <w:szCs w:val="24"/>
        </w:rPr>
        <w:t>T</w:t>
      </w:r>
      <w:r w:rsidR="00B43B8B">
        <w:rPr>
          <w:rFonts w:ascii="Palatino Linotype" w:eastAsia="Palatino Linotype" w:hAnsi="Palatino Linotype" w:cs="Palatino Linotype"/>
          <w:b/>
          <w:color w:val="000000" w:themeColor="text1"/>
          <w:sz w:val="24"/>
          <w:szCs w:val="24"/>
        </w:rPr>
        <w:t xml:space="preserve"> </w:t>
      </w:r>
      <w:r w:rsidRPr="00BE3318">
        <w:rPr>
          <w:rFonts w:ascii="Palatino Linotype" w:eastAsia="Palatino Linotype" w:hAnsi="Palatino Linotype" w:cs="Palatino Linotype"/>
          <w:b/>
          <w:color w:val="000000" w:themeColor="text1"/>
          <w:sz w:val="24"/>
          <w:szCs w:val="24"/>
        </w:rPr>
        <w:t>E</w:t>
      </w:r>
      <w:r w:rsidR="00B43B8B">
        <w:rPr>
          <w:rFonts w:ascii="Palatino Linotype" w:eastAsia="Palatino Linotype" w:hAnsi="Palatino Linotype" w:cs="Palatino Linotype"/>
          <w:b/>
          <w:color w:val="000000" w:themeColor="text1"/>
          <w:sz w:val="24"/>
          <w:szCs w:val="24"/>
        </w:rPr>
        <w:t xml:space="preserve"> </w:t>
      </w:r>
      <w:r w:rsidRPr="00BE3318">
        <w:rPr>
          <w:rFonts w:ascii="Palatino Linotype" w:eastAsia="Palatino Linotype" w:hAnsi="Palatino Linotype" w:cs="Palatino Linotype"/>
          <w:b/>
          <w:color w:val="000000" w:themeColor="text1"/>
          <w:sz w:val="24"/>
          <w:szCs w:val="24"/>
        </w:rPr>
        <w:t>C</w:t>
      </w:r>
      <w:r w:rsidR="00B43B8B">
        <w:rPr>
          <w:rFonts w:ascii="Palatino Linotype" w:eastAsia="Palatino Linotype" w:hAnsi="Palatino Linotype" w:cs="Palatino Linotype"/>
          <w:b/>
          <w:color w:val="000000" w:themeColor="text1"/>
          <w:sz w:val="24"/>
          <w:szCs w:val="24"/>
        </w:rPr>
        <w:t xml:space="preserve"> </w:t>
      </w:r>
      <w:r w:rsidRPr="00BE3318">
        <w:rPr>
          <w:rFonts w:ascii="Palatino Linotype" w:eastAsia="Palatino Linotype" w:hAnsi="Palatino Linotype" w:cs="Palatino Linotype"/>
          <w:b/>
          <w:color w:val="000000" w:themeColor="text1"/>
          <w:sz w:val="24"/>
          <w:szCs w:val="24"/>
        </w:rPr>
        <w:t>E</w:t>
      </w:r>
      <w:r w:rsidR="00B43B8B">
        <w:rPr>
          <w:rFonts w:ascii="Palatino Linotype" w:eastAsia="Palatino Linotype" w:hAnsi="Palatino Linotype" w:cs="Palatino Linotype"/>
          <w:b/>
          <w:color w:val="000000" w:themeColor="text1"/>
          <w:sz w:val="24"/>
          <w:szCs w:val="24"/>
        </w:rPr>
        <w:t xml:space="preserve"> </w:t>
      </w:r>
      <w:r w:rsidRPr="00BE3318">
        <w:rPr>
          <w:rFonts w:ascii="Palatino Linotype" w:eastAsia="Palatino Linotype" w:hAnsi="Palatino Linotype" w:cs="Palatino Linotype"/>
          <w:b/>
          <w:color w:val="000000" w:themeColor="text1"/>
          <w:sz w:val="24"/>
          <w:szCs w:val="24"/>
        </w:rPr>
        <w:t>D</w:t>
      </w:r>
      <w:r w:rsidR="00B43B8B">
        <w:rPr>
          <w:rFonts w:ascii="Palatino Linotype" w:eastAsia="Palatino Linotype" w:hAnsi="Palatino Linotype" w:cs="Palatino Linotype"/>
          <w:b/>
          <w:color w:val="000000" w:themeColor="text1"/>
          <w:sz w:val="24"/>
          <w:szCs w:val="24"/>
        </w:rPr>
        <w:t xml:space="preserve"> </w:t>
      </w:r>
      <w:r w:rsidRPr="00BE3318">
        <w:rPr>
          <w:rFonts w:ascii="Palatino Linotype" w:eastAsia="Palatino Linotype" w:hAnsi="Palatino Linotype" w:cs="Palatino Linotype"/>
          <w:b/>
          <w:color w:val="000000" w:themeColor="text1"/>
          <w:sz w:val="24"/>
          <w:szCs w:val="24"/>
        </w:rPr>
        <w:t>E</w:t>
      </w:r>
      <w:r w:rsidR="00B43B8B">
        <w:rPr>
          <w:rFonts w:ascii="Palatino Linotype" w:eastAsia="Palatino Linotype" w:hAnsi="Palatino Linotype" w:cs="Palatino Linotype"/>
          <w:b/>
          <w:color w:val="000000" w:themeColor="text1"/>
          <w:sz w:val="24"/>
          <w:szCs w:val="24"/>
        </w:rPr>
        <w:t xml:space="preserve"> </w:t>
      </w:r>
      <w:r w:rsidRPr="00BE3318">
        <w:rPr>
          <w:rFonts w:ascii="Palatino Linotype" w:eastAsia="Palatino Linotype" w:hAnsi="Palatino Linotype" w:cs="Palatino Linotype"/>
          <w:b/>
          <w:color w:val="000000" w:themeColor="text1"/>
          <w:sz w:val="24"/>
          <w:szCs w:val="24"/>
        </w:rPr>
        <w:t>N</w:t>
      </w:r>
      <w:r w:rsidR="00B43B8B">
        <w:rPr>
          <w:rFonts w:ascii="Palatino Linotype" w:eastAsia="Palatino Linotype" w:hAnsi="Palatino Linotype" w:cs="Palatino Linotype"/>
          <w:b/>
          <w:color w:val="000000" w:themeColor="text1"/>
          <w:sz w:val="24"/>
          <w:szCs w:val="24"/>
        </w:rPr>
        <w:t xml:space="preserve"> </w:t>
      </w:r>
      <w:r w:rsidRPr="00BE3318">
        <w:rPr>
          <w:rFonts w:ascii="Palatino Linotype" w:eastAsia="Palatino Linotype" w:hAnsi="Palatino Linotype" w:cs="Palatino Linotype"/>
          <w:b/>
          <w:color w:val="000000" w:themeColor="text1"/>
          <w:sz w:val="24"/>
          <w:szCs w:val="24"/>
        </w:rPr>
        <w:t>T</w:t>
      </w:r>
      <w:r w:rsidR="00B43B8B">
        <w:rPr>
          <w:rFonts w:ascii="Palatino Linotype" w:eastAsia="Palatino Linotype" w:hAnsi="Palatino Linotype" w:cs="Palatino Linotype"/>
          <w:b/>
          <w:color w:val="000000" w:themeColor="text1"/>
          <w:sz w:val="24"/>
          <w:szCs w:val="24"/>
        </w:rPr>
        <w:t xml:space="preserve"> </w:t>
      </w:r>
      <w:r w:rsidRPr="00BE3318">
        <w:rPr>
          <w:rFonts w:ascii="Palatino Linotype" w:eastAsia="Palatino Linotype" w:hAnsi="Palatino Linotype" w:cs="Palatino Linotype"/>
          <w:b/>
          <w:color w:val="000000" w:themeColor="text1"/>
          <w:sz w:val="24"/>
          <w:szCs w:val="24"/>
        </w:rPr>
        <w:t>E</w:t>
      </w:r>
      <w:r w:rsidR="00B43B8B">
        <w:rPr>
          <w:rFonts w:ascii="Palatino Linotype" w:eastAsia="Palatino Linotype" w:hAnsi="Palatino Linotype" w:cs="Palatino Linotype"/>
          <w:b/>
          <w:color w:val="000000" w:themeColor="text1"/>
          <w:sz w:val="24"/>
          <w:szCs w:val="24"/>
        </w:rPr>
        <w:t xml:space="preserve"> </w:t>
      </w:r>
      <w:r w:rsidRPr="00BE3318">
        <w:rPr>
          <w:rFonts w:ascii="Palatino Linotype" w:eastAsia="Palatino Linotype" w:hAnsi="Palatino Linotype" w:cs="Palatino Linotype"/>
          <w:b/>
          <w:color w:val="000000" w:themeColor="text1"/>
          <w:sz w:val="24"/>
          <w:szCs w:val="24"/>
        </w:rPr>
        <w:t>S</w:t>
      </w:r>
    </w:p>
    <w:p w14:paraId="3C512F4C" w14:textId="77777777" w:rsidR="00B43B8B" w:rsidRPr="00BE3318" w:rsidRDefault="00B43B8B" w:rsidP="00A96522">
      <w:pPr>
        <w:keepNext/>
        <w:keepLines/>
        <w:spacing w:line="360" w:lineRule="auto"/>
        <w:jc w:val="center"/>
        <w:rPr>
          <w:rFonts w:ascii="Palatino Linotype" w:eastAsia="Palatino Linotype" w:hAnsi="Palatino Linotype" w:cs="Palatino Linotype"/>
          <w:b/>
          <w:color w:val="000000" w:themeColor="text1"/>
          <w:sz w:val="24"/>
          <w:szCs w:val="24"/>
        </w:rPr>
      </w:pPr>
    </w:p>
    <w:p w14:paraId="0174204F" w14:textId="09B7A8E4"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El </w:t>
      </w:r>
      <w:r w:rsidRPr="00BE3318">
        <w:rPr>
          <w:rFonts w:ascii="Palatino Linotype" w:eastAsia="Palatino Linotype" w:hAnsi="Palatino Linotype" w:cs="Palatino Linotype"/>
          <w:b/>
          <w:color w:val="000000" w:themeColor="text1"/>
          <w:sz w:val="24"/>
          <w:szCs w:val="24"/>
        </w:rPr>
        <w:t>veintiuno de febrero de dos mil veinticinco</w:t>
      </w:r>
      <w:r w:rsidRPr="00BE3318">
        <w:rPr>
          <w:rFonts w:ascii="Palatino Linotype" w:eastAsia="Palatino Linotype" w:hAnsi="Palatino Linotype" w:cs="Palatino Linotype"/>
          <w:color w:val="000000" w:themeColor="text1"/>
          <w:sz w:val="24"/>
          <w:szCs w:val="24"/>
        </w:rPr>
        <w:t xml:space="preserve">, </w:t>
      </w:r>
      <w:r w:rsidRPr="00BE3318">
        <w:rPr>
          <w:rFonts w:ascii="Palatino Linotype" w:eastAsia="Palatino Linotype" w:hAnsi="Palatino Linotype" w:cs="Palatino Linotype"/>
          <w:b/>
          <w:color w:val="000000" w:themeColor="text1"/>
          <w:sz w:val="24"/>
          <w:szCs w:val="24"/>
        </w:rPr>
        <w:t>EL RECURRENTE,</w:t>
      </w:r>
      <w:r w:rsidRPr="00BE3318">
        <w:rPr>
          <w:rFonts w:ascii="Palatino Linotype" w:eastAsia="Palatino Linotype" w:hAnsi="Palatino Linotype" w:cs="Palatino Linotype"/>
          <w:color w:val="000000" w:themeColor="text1"/>
          <w:sz w:val="24"/>
          <w:szCs w:val="24"/>
        </w:rPr>
        <w:t xml:space="preserve"> ante el </w:t>
      </w:r>
      <w:r w:rsidRPr="00BE3318">
        <w:rPr>
          <w:rFonts w:ascii="Palatino Linotype" w:eastAsia="Palatino Linotype" w:hAnsi="Palatino Linotype" w:cs="Palatino Linotype"/>
          <w:b/>
          <w:color w:val="000000" w:themeColor="text1"/>
          <w:sz w:val="24"/>
          <w:szCs w:val="24"/>
        </w:rPr>
        <w:t>SUJETO OBLIGADO</w:t>
      </w:r>
      <w:r w:rsidRPr="00BE3318">
        <w:rPr>
          <w:rFonts w:ascii="Palatino Linotype" w:eastAsia="Palatino Linotype" w:hAnsi="Palatino Linotype" w:cs="Palatino Linotype"/>
          <w:color w:val="000000" w:themeColor="text1"/>
          <w:sz w:val="24"/>
          <w:szCs w:val="24"/>
        </w:rPr>
        <w:t xml:space="preserve"> vía Sistema de Acceso a la Información Mexiquense (</w:t>
      </w:r>
      <w:r w:rsidRPr="00BE3318">
        <w:rPr>
          <w:rFonts w:ascii="Palatino Linotype" w:eastAsia="Palatino Linotype" w:hAnsi="Palatino Linotype" w:cs="Palatino Linotype"/>
          <w:b/>
          <w:color w:val="000000" w:themeColor="text1"/>
          <w:sz w:val="24"/>
          <w:szCs w:val="24"/>
        </w:rPr>
        <w:t>SAIMEX)</w:t>
      </w:r>
      <w:r w:rsidRPr="00BE3318">
        <w:rPr>
          <w:rFonts w:ascii="Palatino Linotype" w:eastAsia="Palatino Linotype" w:hAnsi="Palatino Linotype" w:cs="Palatino Linotype"/>
          <w:color w:val="000000" w:themeColor="text1"/>
          <w:sz w:val="24"/>
          <w:szCs w:val="24"/>
        </w:rPr>
        <w:t>,presentó la solicitud de información registrada con el número</w:t>
      </w:r>
      <w:r w:rsidRPr="00BE3318">
        <w:rPr>
          <w:rFonts w:ascii="Palatino Linotype" w:eastAsia="Palatino Linotype" w:hAnsi="Palatino Linotype" w:cs="Palatino Linotype"/>
          <w:b/>
          <w:color w:val="000000" w:themeColor="text1"/>
          <w:sz w:val="24"/>
          <w:szCs w:val="24"/>
        </w:rPr>
        <w:t xml:space="preserve"> 01076/TOLUCA/IP/2025, </w:t>
      </w:r>
      <w:r w:rsidR="00285CEB">
        <w:rPr>
          <w:rFonts w:ascii="Palatino Linotype" w:eastAsia="Palatino Linotype" w:hAnsi="Palatino Linotype" w:cs="Palatino Linotype"/>
          <w:color w:val="000000" w:themeColor="text1"/>
          <w:sz w:val="24"/>
          <w:szCs w:val="24"/>
        </w:rPr>
        <w:t>en la que se</w:t>
      </w:r>
      <w:r w:rsidRPr="00BE3318">
        <w:rPr>
          <w:rFonts w:ascii="Palatino Linotype" w:eastAsia="Palatino Linotype" w:hAnsi="Palatino Linotype" w:cs="Palatino Linotype"/>
          <w:color w:val="000000" w:themeColor="text1"/>
          <w:sz w:val="24"/>
          <w:szCs w:val="24"/>
        </w:rPr>
        <w:t xml:space="preserve"> solicitó lo siguiente:</w:t>
      </w:r>
    </w:p>
    <w:p w14:paraId="5F082933" w14:textId="77777777" w:rsidR="00ED077A" w:rsidRPr="00BE3318" w:rsidRDefault="00ED077A" w:rsidP="00A96522">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sz w:val="24"/>
          <w:szCs w:val="24"/>
        </w:rPr>
      </w:pPr>
    </w:p>
    <w:p w14:paraId="572173B3" w14:textId="77777777" w:rsidR="00ED077A" w:rsidRPr="00BE3318" w:rsidRDefault="004629A8" w:rsidP="00A96522">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w:t>
      </w:r>
      <w:r w:rsidRPr="00BE3318">
        <w:rPr>
          <w:rFonts w:ascii="Palatino Linotype" w:eastAsia="Palatino Linotype" w:hAnsi="Palatino Linotype" w:cs="Palatino Linotype"/>
          <w:i/>
          <w:color w:val="000000" w:themeColor="text1"/>
          <w:sz w:val="24"/>
          <w:szCs w:val="24"/>
        </w:rPr>
        <w:tab/>
        <w:t xml:space="preserve">Todas las convocatoria publicadas en su ayuntamiento durante 2025 los expedientes de los postulantes y los ganadores” (Sic) </w:t>
      </w:r>
    </w:p>
    <w:p w14:paraId="39608E18" w14:textId="77777777" w:rsidR="00ED077A" w:rsidRPr="00BE3318" w:rsidRDefault="00ED077A" w:rsidP="00A96522">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p>
    <w:p w14:paraId="4837F00E" w14:textId="77777777" w:rsidR="00ED077A" w:rsidRPr="00BE3318" w:rsidRDefault="004629A8" w:rsidP="00A96522">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Modalidad de entrega: </w:t>
      </w:r>
      <w:r w:rsidRPr="00BE3318">
        <w:rPr>
          <w:rFonts w:ascii="Palatino Linotype" w:eastAsia="Palatino Linotype" w:hAnsi="Palatino Linotype" w:cs="Palatino Linotype"/>
          <w:b/>
          <w:color w:val="000000" w:themeColor="text1"/>
          <w:sz w:val="24"/>
          <w:szCs w:val="24"/>
        </w:rPr>
        <w:t>Vía SAIMEX.</w:t>
      </w:r>
    </w:p>
    <w:p w14:paraId="250131EA" w14:textId="77777777" w:rsidR="00ED077A" w:rsidRPr="00BE3318" w:rsidRDefault="00ED077A" w:rsidP="00A96522">
      <w:pPr>
        <w:spacing w:line="360" w:lineRule="auto"/>
        <w:jc w:val="both"/>
        <w:rPr>
          <w:rFonts w:ascii="Palatino Linotype" w:eastAsia="Palatino Linotype" w:hAnsi="Palatino Linotype" w:cs="Palatino Linotype"/>
          <w:color w:val="000000" w:themeColor="text1"/>
          <w:sz w:val="24"/>
          <w:szCs w:val="24"/>
        </w:rPr>
      </w:pPr>
    </w:p>
    <w:p w14:paraId="1157AC17" w14:textId="77777777"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El </w:t>
      </w:r>
      <w:r w:rsidRPr="00BE3318">
        <w:rPr>
          <w:rFonts w:ascii="Palatino Linotype" w:eastAsia="Palatino Linotype" w:hAnsi="Palatino Linotype" w:cs="Palatino Linotype"/>
          <w:b/>
          <w:color w:val="000000" w:themeColor="text1"/>
          <w:sz w:val="24"/>
          <w:szCs w:val="24"/>
        </w:rPr>
        <w:t xml:space="preserve">dieciocho de marzo de dos mil veinticinco, </w:t>
      </w:r>
      <w:r w:rsidRPr="00BE3318">
        <w:rPr>
          <w:rFonts w:ascii="Palatino Linotype" w:eastAsia="Palatino Linotype" w:hAnsi="Palatino Linotype" w:cs="Palatino Linotype"/>
          <w:color w:val="000000" w:themeColor="text1"/>
          <w:sz w:val="24"/>
          <w:szCs w:val="24"/>
        </w:rPr>
        <w:t xml:space="preserve">el </w:t>
      </w:r>
      <w:r w:rsidRPr="00BE3318">
        <w:rPr>
          <w:rFonts w:ascii="Palatino Linotype" w:eastAsia="Palatino Linotype" w:hAnsi="Palatino Linotype" w:cs="Palatino Linotype"/>
          <w:b/>
          <w:color w:val="000000" w:themeColor="text1"/>
          <w:sz w:val="24"/>
          <w:szCs w:val="24"/>
        </w:rPr>
        <w:t>SUJETO O</w:t>
      </w:r>
      <w:r w:rsidRPr="00BE3318">
        <w:rPr>
          <w:rFonts w:ascii="Palatino Linotype" w:eastAsia="Palatino Linotype" w:hAnsi="Palatino Linotype" w:cs="Palatino Linotype"/>
          <w:color w:val="000000" w:themeColor="text1"/>
          <w:sz w:val="24"/>
          <w:szCs w:val="24"/>
        </w:rPr>
        <w:t>B</w:t>
      </w:r>
      <w:r w:rsidRPr="00BE3318">
        <w:rPr>
          <w:rFonts w:ascii="Palatino Linotype" w:eastAsia="Palatino Linotype" w:hAnsi="Palatino Linotype" w:cs="Palatino Linotype"/>
          <w:b/>
          <w:color w:val="000000" w:themeColor="text1"/>
          <w:sz w:val="24"/>
          <w:szCs w:val="24"/>
        </w:rPr>
        <w:t xml:space="preserve">LIGADO </w:t>
      </w:r>
      <w:r w:rsidRPr="00BE3318">
        <w:rPr>
          <w:rFonts w:ascii="Palatino Linotype" w:eastAsia="Palatino Linotype" w:hAnsi="Palatino Linotype" w:cs="Palatino Linotype"/>
          <w:color w:val="000000" w:themeColor="text1"/>
          <w:sz w:val="24"/>
          <w:szCs w:val="24"/>
        </w:rPr>
        <w:t xml:space="preserve">dio </w:t>
      </w:r>
      <w:r w:rsidRPr="00BE3318">
        <w:rPr>
          <w:rFonts w:ascii="Palatino Linotype" w:eastAsia="Palatino Linotype" w:hAnsi="Palatino Linotype" w:cs="Palatino Linotype"/>
          <w:b/>
          <w:color w:val="000000" w:themeColor="text1"/>
          <w:sz w:val="24"/>
          <w:szCs w:val="24"/>
        </w:rPr>
        <w:t>RESPUESTA</w:t>
      </w:r>
      <w:r w:rsidRPr="00BE3318">
        <w:rPr>
          <w:rFonts w:ascii="Palatino Linotype" w:eastAsia="Palatino Linotype" w:hAnsi="Palatino Linotype" w:cs="Palatino Linotype"/>
          <w:color w:val="000000" w:themeColor="text1"/>
          <w:sz w:val="24"/>
          <w:szCs w:val="24"/>
        </w:rPr>
        <w:t xml:space="preserve"> a través de los archivos siguientes:</w:t>
      </w:r>
    </w:p>
    <w:p w14:paraId="6B71BAC8" w14:textId="77777777" w:rsidR="00ED077A" w:rsidRPr="00BE3318" w:rsidRDefault="00ED077A" w:rsidP="00A96522">
      <w:pPr>
        <w:spacing w:line="360" w:lineRule="auto"/>
        <w:rPr>
          <w:rFonts w:ascii="Palatino Linotype" w:eastAsia="Palatino Linotype" w:hAnsi="Palatino Linotype" w:cs="Palatino Linotype"/>
          <w:b/>
          <w:i/>
          <w:color w:val="000000" w:themeColor="text1"/>
          <w:sz w:val="24"/>
          <w:szCs w:val="24"/>
        </w:rPr>
      </w:pPr>
    </w:p>
    <w:p w14:paraId="05176EFD" w14:textId="77777777" w:rsidR="00ED077A" w:rsidRPr="00BE3318" w:rsidRDefault="004629A8" w:rsidP="00A965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color w:val="000000" w:themeColor="text1"/>
          <w:sz w:val="24"/>
          <w:szCs w:val="24"/>
        </w:rPr>
      </w:pPr>
      <w:r w:rsidRPr="00BE3318">
        <w:rPr>
          <w:rFonts w:ascii="Palatino Linotype" w:eastAsia="Palatino Linotype" w:hAnsi="Palatino Linotype" w:cs="Palatino Linotype"/>
          <w:b/>
          <w:i/>
          <w:color w:val="000000" w:themeColor="text1"/>
          <w:sz w:val="24"/>
          <w:szCs w:val="24"/>
        </w:rPr>
        <w:lastRenderedPageBreak/>
        <w:t>SA anexo SAIMEX 01076.pdf</w:t>
      </w:r>
    </w:p>
    <w:p w14:paraId="6F099BC6" w14:textId="77777777" w:rsidR="00ED077A" w:rsidRPr="00BE3318" w:rsidRDefault="004629A8" w:rsidP="00A96522">
      <w:pPr>
        <w:spacing w:line="276"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-Convocatoria para Participación en el Proceso de Selección y Designación de la Persona Titular del órgano Interno de Control.</w:t>
      </w:r>
    </w:p>
    <w:p w14:paraId="5EAA0027" w14:textId="77777777" w:rsidR="00ED077A" w:rsidRPr="00BE3318" w:rsidRDefault="00ED077A" w:rsidP="00A96522">
      <w:pPr>
        <w:spacing w:line="276" w:lineRule="auto"/>
        <w:jc w:val="both"/>
        <w:rPr>
          <w:rFonts w:ascii="Palatino Linotype" w:eastAsia="Palatino Linotype" w:hAnsi="Palatino Linotype" w:cs="Palatino Linotype"/>
          <w:color w:val="000000" w:themeColor="text1"/>
          <w:sz w:val="24"/>
          <w:szCs w:val="24"/>
        </w:rPr>
      </w:pPr>
    </w:p>
    <w:p w14:paraId="3AD4B082" w14:textId="77777777" w:rsidR="00ED077A" w:rsidRPr="00BE3318" w:rsidRDefault="004629A8" w:rsidP="00A96522">
      <w:pPr>
        <w:spacing w:line="276"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-Convocatoria a la Primera Sesión de Cabildo Abierto. </w:t>
      </w:r>
    </w:p>
    <w:p w14:paraId="0C844AFD" w14:textId="77777777" w:rsidR="00ED077A" w:rsidRPr="00BE3318" w:rsidRDefault="00ED077A" w:rsidP="00A96522">
      <w:pPr>
        <w:spacing w:line="276" w:lineRule="auto"/>
        <w:jc w:val="both"/>
        <w:rPr>
          <w:rFonts w:ascii="Palatino Linotype" w:eastAsia="Palatino Linotype" w:hAnsi="Palatino Linotype" w:cs="Palatino Linotype"/>
          <w:color w:val="000000" w:themeColor="text1"/>
          <w:sz w:val="24"/>
          <w:szCs w:val="24"/>
        </w:rPr>
      </w:pPr>
    </w:p>
    <w:p w14:paraId="4A3D84A1" w14:textId="77777777" w:rsidR="00ED077A" w:rsidRPr="00BE3318" w:rsidRDefault="004629A8" w:rsidP="00A96522">
      <w:pPr>
        <w:spacing w:line="276"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w:t>
      </w:r>
      <w:r w:rsidRPr="00BE3318">
        <w:rPr>
          <w:rFonts w:ascii="Palatino Linotype" w:hAnsi="Palatino Linotype"/>
          <w:color w:val="000000" w:themeColor="text1"/>
          <w:sz w:val="24"/>
          <w:szCs w:val="24"/>
        </w:rPr>
        <w:t xml:space="preserve"> </w:t>
      </w:r>
      <w:r w:rsidRPr="00BE3318">
        <w:rPr>
          <w:rFonts w:ascii="Palatino Linotype" w:eastAsia="Palatino Linotype" w:hAnsi="Palatino Linotype" w:cs="Palatino Linotype"/>
          <w:color w:val="000000" w:themeColor="text1"/>
          <w:sz w:val="24"/>
          <w:szCs w:val="24"/>
        </w:rPr>
        <w:t>Convocatoria para la elección de Delegados y Subdelegados del Municipio de Toluca 2025-2027.</w:t>
      </w:r>
    </w:p>
    <w:p w14:paraId="35160196" w14:textId="77777777" w:rsidR="00ED077A" w:rsidRPr="00BE3318" w:rsidRDefault="00ED077A" w:rsidP="00A96522">
      <w:pPr>
        <w:spacing w:line="276" w:lineRule="auto"/>
        <w:jc w:val="both"/>
        <w:rPr>
          <w:rFonts w:ascii="Palatino Linotype" w:eastAsia="Palatino Linotype" w:hAnsi="Palatino Linotype" w:cs="Palatino Linotype"/>
          <w:color w:val="000000" w:themeColor="text1"/>
          <w:sz w:val="24"/>
          <w:szCs w:val="24"/>
        </w:rPr>
      </w:pPr>
    </w:p>
    <w:p w14:paraId="28479CF4" w14:textId="77777777" w:rsidR="00ED077A" w:rsidRPr="00BE3318" w:rsidRDefault="004629A8" w:rsidP="00A96522">
      <w:pPr>
        <w:spacing w:line="276"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w:t>
      </w:r>
      <w:r w:rsidRPr="00BE3318">
        <w:rPr>
          <w:rFonts w:ascii="Palatino Linotype" w:hAnsi="Palatino Linotype"/>
          <w:color w:val="000000" w:themeColor="text1"/>
          <w:sz w:val="24"/>
          <w:szCs w:val="24"/>
        </w:rPr>
        <w:t xml:space="preserve"> </w:t>
      </w:r>
      <w:r w:rsidRPr="00BE3318">
        <w:rPr>
          <w:rFonts w:ascii="Palatino Linotype" w:eastAsia="Palatino Linotype" w:hAnsi="Palatino Linotype" w:cs="Palatino Linotype"/>
          <w:color w:val="000000" w:themeColor="text1"/>
          <w:sz w:val="24"/>
          <w:szCs w:val="24"/>
        </w:rPr>
        <w:t>Convocatoria para la elección de Consejos de Participación Ciudadana del Municipio de Toluca.</w:t>
      </w:r>
    </w:p>
    <w:p w14:paraId="5E5CFEBA" w14:textId="77777777" w:rsidR="00ED077A" w:rsidRPr="00BE3318" w:rsidRDefault="00ED077A" w:rsidP="00A96522">
      <w:pPr>
        <w:spacing w:line="276" w:lineRule="auto"/>
        <w:jc w:val="both"/>
        <w:rPr>
          <w:rFonts w:ascii="Palatino Linotype" w:eastAsia="Palatino Linotype" w:hAnsi="Palatino Linotype" w:cs="Palatino Linotype"/>
          <w:color w:val="000000" w:themeColor="text1"/>
          <w:sz w:val="24"/>
          <w:szCs w:val="24"/>
        </w:rPr>
      </w:pPr>
    </w:p>
    <w:p w14:paraId="30A5075A" w14:textId="77777777" w:rsidR="00ED077A" w:rsidRPr="00BE3318" w:rsidRDefault="004629A8" w:rsidP="00A96522">
      <w:pPr>
        <w:spacing w:line="276"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w:t>
      </w:r>
      <w:r w:rsidRPr="00BE3318">
        <w:rPr>
          <w:rFonts w:ascii="Palatino Linotype" w:hAnsi="Palatino Linotype"/>
          <w:color w:val="000000" w:themeColor="text1"/>
          <w:sz w:val="24"/>
          <w:szCs w:val="24"/>
        </w:rPr>
        <w:t xml:space="preserve"> </w:t>
      </w:r>
      <w:r w:rsidRPr="00BE3318">
        <w:rPr>
          <w:rFonts w:ascii="Palatino Linotype" w:eastAsia="Palatino Linotype" w:hAnsi="Palatino Linotype" w:cs="Palatino Linotype"/>
          <w:color w:val="000000" w:themeColor="text1"/>
          <w:sz w:val="24"/>
          <w:szCs w:val="24"/>
        </w:rPr>
        <w:t>Consulta previa a la Convocatoria para Designar a la o el Representante Indígena ante el Ayuntamiento de Toluca 2025-2027.</w:t>
      </w:r>
    </w:p>
    <w:p w14:paraId="4617E31C" w14:textId="77777777" w:rsidR="00ED077A" w:rsidRPr="00BE3318" w:rsidRDefault="00ED077A" w:rsidP="00A96522">
      <w:pPr>
        <w:spacing w:line="360" w:lineRule="auto"/>
        <w:jc w:val="both"/>
        <w:rPr>
          <w:rFonts w:ascii="Palatino Linotype" w:eastAsia="Palatino Linotype" w:hAnsi="Palatino Linotype" w:cs="Palatino Linotype"/>
          <w:color w:val="000000" w:themeColor="text1"/>
          <w:sz w:val="24"/>
          <w:szCs w:val="24"/>
        </w:rPr>
      </w:pPr>
    </w:p>
    <w:p w14:paraId="1D7073BA" w14:textId="77777777" w:rsidR="00ED077A" w:rsidRPr="00BE3318" w:rsidRDefault="004629A8" w:rsidP="00A965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color w:val="000000" w:themeColor="text1"/>
          <w:sz w:val="24"/>
          <w:szCs w:val="24"/>
        </w:rPr>
      </w:pPr>
      <w:r w:rsidRPr="00BE3318">
        <w:rPr>
          <w:rFonts w:ascii="Palatino Linotype" w:eastAsia="Palatino Linotype" w:hAnsi="Palatino Linotype" w:cs="Palatino Linotype"/>
          <w:b/>
          <w:i/>
          <w:color w:val="000000" w:themeColor="text1"/>
          <w:sz w:val="24"/>
          <w:szCs w:val="24"/>
        </w:rPr>
        <w:t>R. 01076. 2025.pdf</w:t>
      </w:r>
    </w:p>
    <w:p w14:paraId="7E147624" w14:textId="77777777" w:rsidR="00ED077A" w:rsidRPr="00BE3318" w:rsidRDefault="004629A8" w:rsidP="00A96522">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Oficio de dieciocho de marzo de dos mil veinticinco, firmado por el Titular de la Unidad de Transparencia, por el que informó lo siguiente:</w:t>
      </w:r>
    </w:p>
    <w:p w14:paraId="72053F88" w14:textId="77777777" w:rsidR="00ED077A" w:rsidRPr="00BE3318" w:rsidRDefault="00ED077A" w:rsidP="00A96522">
      <w:pPr>
        <w:spacing w:line="360" w:lineRule="auto"/>
        <w:jc w:val="both"/>
        <w:rPr>
          <w:rFonts w:ascii="Palatino Linotype" w:eastAsia="Palatino Linotype" w:hAnsi="Palatino Linotype" w:cs="Palatino Linotype"/>
          <w:color w:val="000000" w:themeColor="text1"/>
          <w:sz w:val="24"/>
          <w:szCs w:val="24"/>
        </w:rPr>
      </w:pPr>
    </w:p>
    <w:p w14:paraId="4E63395E"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“…hago de su conocimiento que la Secretaría del Ayuntamiento y Servidor Público Habilitado, informó que se procedió a realizar la búsqueda exhaustiva y razonable en los archivos que obran en la Coordinación de Apoyo a Cabildo de la Secretaría del Ayuntamiento, en este sentido y de acuerdo a las facultades, competencias y funciones, se hace del conocimiento que se cuenta con la expresión documental que se adjunta al presente, misma que da por atendida la pretensión del C. Solicitante.”</w:t>
      </w:r>
    </w:p>
    <w:p w14:paraId="4F9CB9D1" w14:textId="77777777" w:rsidR="00ED077A" w:rsidRPr="00BE3318" w:rsidRDefault="00ED077A" w:rsidP="00A96522">
      <w:pPr>
        <w:spacing w:line="360" w:lineRule="auto"/>
        <w:jc w:val="both"/>
        <w:rPr>
          <w:rFonts w:ascii="Palatino Linotype" w:eastAsia="Palatino Linotype" w:hAnsi="Palatino Linotype" w:cs="Palatino Linotype"/>
          <w:color w:val="000000" w:themeColor="text1"/>
          <w:sz w:val="24"/>
          <w:szCs w:val="24"/>
        </w:rPr>
      </w:pPr>
    </w:p>
    <w:p w14:paraId="47DADE1F" w14:textId="77777777" w:rsidR="00ED077A" w:rsidRDefault="00ED077A" w:rsidP="00A96522">
      <w:pPr>
        <w:spacing w:line="360" w:lineRule="auto"/>
        <w:jc w:val="both"/>
        <w:rPr>
          <w:rFonts w:ascii="Palatino Linotype" w:eastAsia="Palatino Linotype" w:hAnsi="Palatino Linotype" w:cs="Palatino Linotype"/>
          <w:color w:val="000000" w:themeColor="text1"/>
          <w:sz w:val="24"/>
          <w:szCs w:val="24"/>
        </w:rPr>
      </w:pPr>
    </w:p>
    <w:p w14:paraId="4AC9CB69" w14:textId="77777777" w:rsidR="00B43B8B" w:rsidRPr="00BE3318" w:rsidRDefault="00B43B8B" w:rsidP="00A96522">
      <w:pPr>
        <w:spacing w:line="360" w:lineRule="auto"/>
        <w:jc w:val="both"/>
        <w:rPr>
          <w:rFonts w:ascii="Palatino Linotype" w:eastAsia="Palatino Linotype" w:hAnsi="Palatino Linotype" w:cs="Palatino Linotype"/>
          <w:color w:val="000000" w:themeColor="text1"/>
          <w:sz w:val="24"/>
          <w:szCs w:val="24"/>
        </w:rPr>
      </w:pPr>
    </w:p>
    <w:p w14:paraId="328834E9" w14:textId="77777777"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lastRenderedPageBreak/>
        <w:t xml:space="preserve">Inconforme con lo anterior, el </w:t>
      </w:r>
      <w:r w:rsidRPr="00BE3318">
        <w:rPr>
          <w:rFonts w:ascii="Palatino Linotype" w:eastAsia="Palatino Linotype" w:hAnsi="Palatino Linotype" w:cs="Palatino Linotype"/>
          <w:b/>
          <w:color w:val="000000" w:themeColor="text1"/>
          <w:sz w:val="24"/>
          <w:szCs w:val="24"/>
        </w:rPr>
        <w:t>diecinueve de marzo de dos mil veinticinco</w:t>
      </w:r>
      <w:r w:rsidRPr="00BE3318">
        <w:rPr>
          <w:rFonts w:ascii="Palatino Linotype" w:eastAsia="Palatino Linotype" w:hAnsi="Palatino Linotype" w:cs="Palatino Linotype"/>
          <w:color w:val="000000" w:themeColor="text1"/>
          <w:sz w:val="24"/>
          <w:szCs w:val="24"/>
        </w:rPr>
        <w:t xml:space="preserve">,  el </w:t>
      </w:r>
      <w:r w:rsidRPr="00BE3318">
        <w:rPr>
          <w:rFonts w:ascii="Palatino Linotype" w:eastAsia="Palatino Linotype" w:hAnsi="Palatino Linotype" w:cs="Palatino Linotype"/>
          <w:b/>
          <w:color w:val="000000" w:themeColor="text1"/>
          <w:sz w:val="24"/>
          <w:szCs w:val="24"/>
        </w:rPr>
        <w:t xml:space="preserve">SUJETO OBLIGADO </w:t>
      </w:r>
      <w:r w:rsidRPr="00BE3318">
        <w:rPr>
          <w:rFonts w:ascii="Palatino Linotype" w:eastAsia="Palatino Linotype" w:hAnsi="Palatino Linotype" w:cs="Palatino Linotype"/>
          <w:color w:val="000000" w:themeColor="text1"/>
          <w:sz w:val="24"/>
          <w:szCs w:val="24"/>
        </w:rPr>
        <w:t xml:space="preserve">interpuso recurso de revisión, arguyendo como </w:t>
      </w:r>
    </w:p>
    <w:p w14:paraId="2E62ACD5" w14:textId="77777777" w:rsidR="00ED077A" w:rsidRPr="00BE3318" w:rsidRDefault="00ED077A" w:rsidP="00A96522">
      <w:pPr>
        <w:spacing w:line="360" w:lineRule="auto"/>
        <w:jc w:val="both"/>
        <w:rPr>
          <w:rFonts w:ascii="Palatino Linotype" w:eastAsia="Palatino Linotype" w:hAnsi="Palatino Linotype" w:cs="Palatino Linotype"/>
          <w:color w:val="000000" w:themeColor="text1"/>
          <w:sz w:val="24"/>
          <w:szCs w:val="24"/>
        </w:rPr>
      </w:pPr>
    </w:p>
    <w:p w14:paraId="1A8D2738" w14:textId="77777777" w:rsidR="00ED077A" w:rsidRPr="008C5AC7" w:rsidRDefault="004629A8" w:rsidP="008C5AC7">
      <w:pPr>
        <w:pStyle w:val="Prrafodelista"/>
        <w:numPr>
          <w:ilvl w:val="0"/>
          <w:numId w:val="23"/>
        </w:numPr>
        <w:pBdr>
          <w:top w:val="nil"/>
          <w:left w:val="nil"/>
          <w:bottom w:val="nil"/>
          <w:right w:val="nil"/>
          <w:between w:val="nil"/>
        </w:pBdr>
        <w:jc w:val="both"/>
        <w:rPr>
          <w:rFonts w:ascii="Palatino Linotype" w:eastAsia="Palatino Linotype" w:hAnsi="Palatino Linotype" w:cs="Palatino Linotype"/>
          <w:i/>
          <w:color w:val="000000" w:themeColor="text1"/>
          <w:sz w:val="24"/>
        </w:rPr>
      </w:pPr>
      <w:r w:rsidRPr="008C5AC7">
        <w:rPr>
          <w:rFonts w:ascii="Palatino Linotype" w:eastAsia="Palatino Linotype" w:hAnsi="Palatino Linotype" w:cs="Palatino Linotype"/>
          <w:b/>
          <w:color w:val="000000" w:themeColor="text1"/>
          <w:sz w:val="24"/>
        </w:rPr>
        <w:t>Acto impugnado</w:t>
      </w:r>
      <w:r w:rsidRPr="008C5AC7">
        <w:rPr>
          <w:rFonts w:ascii="Palatino Linotype" w:eastAsia="Palatino Linotype" w:hAnsi="Palatino Linotype" w:cs="Palatino Linotype"/>
          <w:b/>
          <w:i/>
          <w:color w:val="000000" w:themeColor="text1"/>
          <w:sz w:val="24"/>
        </w:rPr>
        <w:t>:</w:t>
      </w:r>
      <w:r w:rsidRPr="008C5AC7">
        <w:rPr>
          <w:rFonts w:ascii="Palatino Linotype" w:eastAsia="Palatino Linotype" w:hAnsi="Palatino Linotype" w:cs="Palatino Linotype"/>
          <w:color w:val="000000" w:themeColor="text1"/>
          <w:sz w:val="24"/>
        </w:rPr>
        <w:t xml:space="preserve"> </w:t>
      </w:r>
      <w:r w:rsidRPr="008C5AC7">
        <w:rPr>
          <w:rFonts w:ascii="Palatino Linotype" w:eastAsia="Palatino Linotype" w:hAnsi="Palatino Linotype" w:cs="Palatino Linotype"/>
          <w:i/>
          <w:color w:val="000000" w:themeColor="text1"/>
          <w:sz w:val="24"/>
        </w:rPr>
        <w:t>“La respuesta” (sic)</w:t>
      </w:r>
    </w:p>
    <w:p w14:paraId="34265FE5" w14:textId="77777777" w:rsidR="00ED077A" w:rsidRPr="00BE3318" w:rsidRDefault="00ED077A" w:rsidP="00A96522">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14:paraId="3F3991C8" w14:textId="77777777" w:rsidR="00ED077A" w:rsidRPr="008C5AC7" w:rsidRDefault="004629A8" w:rsidP="008C5AC7">
      <w:pPr>
        <w:pStyle w:val="Prrafodelista"/>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rPr>
      </w:pPr>
      <w:r w:rsidRPr="008C5AC7">
        <w:rPr>
          <w:rFonts w:ascii="Palatino Linotype" w:eastAsia="Palatino Linotype" w:hAnsi="Palatino Linotype" w:cs="Palatino Linotype"/>
          <w:b/>
          <w:color w:val="000000" w:themeColor="text1"/>
          <w:sz w:val="24"/>
        </w:rPr>
        <w:t>Razones o Motivos de inconformidad: “</w:t>
      </w:r>
      <w:r w:rsidRPr="008C5AC7">
        <w:rPr>
          <w:rFonts w:ascii="Palatino Linotype" w:eastAsia="Palatino Linotype" w:hAnsi="Palatino Linotype" w:cs="Palatino Linotype"/>
          <w:i/>
          <w:color w:val="000000" w:themeColor="text1"/>
          <w:sz w:val="24"/>
        </w:rPr>
        <w:t>La entrega de la información incompleta” (sic)</w:t>
      </w:r>
    </w:p>
    <w:p w14:paraId="1E9A8B56" w14:textId="77777777" w:rsidR="00ED077A" w:rsidRPr="00BE3318" w:rsidRDefault="00ED077A" w:rsidP="00A96522">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14:paraId="29E02860" w14:textId="37378C0B"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Se registró el recurso de revisión bajo el número de expediente al rubro indicado, asimismo con fundamento en lo dispuesto por el artículo 185 fracción I de la </w:t>
      </w:r>
      <w:r w:rsidRPr="00BE3318">
        <w:rPr>
          <w:rFonts w:ascii="Palatino Linotype" w:eastAsia="Palatino Linotype" w:hAnsi="Palatino Linotype" w:cs="Palatino Linotype"/>
          <w:b/>
          <w:color w:val="000000" w:themeColor="text1"/>
          <w:sz w:val="24"/>
          <w:szCs w:val="24"/>
        </w:rPr>
        <w:t xml:space="preserve">Ley de Transparencia y Acceso a la Información Pública del Estado de México y Municipios </w:t>
      </w:r>
      <w:r w:rsidRPr="00BE3318">
        <w:rPr>
          <w:rFonts w:ascii="Palatino Linotype" w:eastAsia="Palatino Linotype" w:hAnsi="Palatino Linotype" w:cs="Palatino Linotype"/>
          <w:color w:val="000000" w:themeColor="text1"/>
          <w:sz w:val="24"/>
          <w:szCs w:val="24"/>
        </w:rPr>
        <w:t xml:space="preserve">se turnó a la </w:t>
      </w:r>
      <w:r w:rsidRPr="00BE3318">
        <w:rPr>
          <w:rFonts w:ascii="Palatino Linotype" w:eastAsia="Palatino Linotype" w:hAnsi="Palatino Linotype" w:cs="Palatino Linotype"/>
          <w:b/>
          <w:color w:val="000000" w:themeColor="text1"/>
          <w:sz w:val="24"/>
          <w:szCs w:val="24"/>
        </w:rPr>
        <w:t xml:space="preserve">Comisionada María del Rosario Mejía Ayala, </w:t>
      </w:r>
      <w:r w:rsidR="008C5AC7">
        <w:rPr>
          <w:rFonts w:ascii="Palatino Linotype" w:eastAsia="Palatino Linotype" w:hAnsi="Palatino Linotype" w:cs="Palatino Linotype"/>
          <w:color w:val="000000" w:themeColor="text1"/>
          <w:sz w:val="24"/>
          <w:szCs w:val="24"/>
        </w:rPr>
        <w:t>para</w:t>
      </w:r>
      <w:r w:rsidRPr="00BE3318">
        <w:rPr>
          <w:rFonts w:ascii="Palatino Linotype" w:eastAsia="Palatino Linotype" w:hAnsi="Palatino Linotype" w:cs="Palatino Linotype"/>
          <w:color w:val="000000" w:themeColor="text1"/>
          <w:sz w:val="24"/>
          <w:szCs w:val="24"/>
        </w:rPr>
        <w:t xml:space="preserve"> su análisis. </w:t>
      </w:r>
    </w:p>
    <w:p w14:paraId="1779C551" w14:textId="77777777" w:rsidR="00ED077A" w:rsidRPr="00BE3318" w:rsidRDefault="00ED077A" w:rsidP="00A96522">
      <w:pPr>
        <w:spacing w:line="360" w:lineRule="auto"/>
        <w:jc w:val="both"/>
        <w:rPr>
          <w:rFonts w:ascii="Palatino Linotype" w:eastAsia="Palatino Linotype" w:hAnsi="Palatino Linotype" w:cs="Palatino Linotype"/>
          <w:color w:val="000000" w:themeColor="text1"/>
          <w:sz w:val="24"/>
          <w:szCs w:val="24"/>
        </w:rPr>
      </w:pPr>
    </w:p>
    <w:p w14:paraId="3593711E" w14:textId="77777777"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La Comisionada Ponente con fundamento en lo dispuesto por el artículo 18 fracción II de la ley de la materia, a través del acuerdo de admisión notificado el </w:t>
      </w:r>
      <w:r w:rsidRPr="00BE3318">
        <w:rPr>
          <w:rFonts w:ascii="Palatino Linotype" w:eastAsia="Palatino Linotype" w:hAnsi="Palatino Linotype" w:cs="Palatino Linotype"/>
          <w:b/>
          <w:color w:val="000000" w:themeColor="text1"/>
          <w:sz w:val="24"/>
          <w:szCs w:val="24"/>
        </w:rPr>
        <w:t>veinte de marzo de dos mil veinticinco,</w:t>
      </w:r>
      <w:r w:rsidRPr="00BE3318">
        <w:rPr>
          <w:rFonts w:ascii="Palatino Linotype" w:eastAsia="Palatino Linotype" w:hAnsi="Palatino Linotype" w:cs="Palatino Linotype"/>
          <w:color w:val="000000" w:themeColor="text1"/>
          <w:sz w:val="24"/>
          <w:szCs w:val="24"/>
        </w:rPr>
        <w:t xml:space="preserve"> se puso a disposición de las partes el expediente electrónico vía </w:t>
      </w:r>
      <w:r w:rsidRPr="00BE3318">
        <w:rPr>
          <w:rFonts w:ascii="Palatino Linotype" w:eastAsia="Palatino Linotype" w:hAnsi="Palatino Linotype" w:cs="Palatino Linotype"/>
          <w:b/>
          <w:color w:val="000000" w:themeColor="text1"/>
          <w:sz w:val="24"/>
          <w:szCs w:val="24"/>
        </w:rPr>
        <w:t xml:space="preserve">SAIMEX </w:t>
      </w:r>
      <w:r w:rsidRPr="00BE3318">
        <w:rPr>
          <w:rFonts w:ascii="Palatino Linotype" w:eastAsia="Palatino Linotype" w:hAnsi="Palatino Linotype" w:cs="Palatino Linotype"/>
          <w:color w:val="000000" w:themeColor="text1"/>
          <w:sz w:val="24"/>
          <w:szCs w:val="24"/>
        </w:rPr>
        <w:t xml:space="preserve">a efecto de que en un plazo máximo de siete días manifestaran lo que a derecho convinieran, ofrecieran pruebas y alegatos según corresponda al caso concreto, de esta forma para que el </w:t>
      </w:r>
      <w:r w:rsidRPr="00BE3318">
        <w:rPr>
          <w:rFonts w:ascii="Palatino Linotype" w:eastAsia="Palatino Linotype" w:hAnsi="Palatino Linotype" w:cs="Palatino Linotype"/>
          <w:b/>
          <w:color w:val="000000" w:themeColor="text1"/>
          <w:sz w:val="24"/>
          <w:szCs w:val="24"/>
        </w:rPr>
        <w:t>SUJETO OBLIGADO</w:t>
      </w:r>
      <w:r w:rsidRPr="00BE3318">
        <w:rPr>
          <w:rFonts w:ascii="Palatino Linotype" w:eastAsia="Palatino Linotype" w:hAnsi="Palatino Linotype" w:cs="Palatino Linotype"/>
          <w:color w:val="000000" w:themeColor="text1"/>
          <w:sz w:val="24"/>
          <w:szCs w:val="24"/>
        </w:rPr>
        <w:t xml:space="preserve"> presentara el informe justificado procedente. </w:t>
      </w:r>
    </w:p>
    <w:p w14:paraId="74676AAE" w14:textId="77777777" w:rsidR="00ED077A" w:rsidRPr="00BE3318" w:rsidRDefault="00ED077A" w:rsidP="00A96522">
      <w:pPr>
        <w:pBdr>
          <w:top w:val="nil"/>
          <w:left w:val="nil"/>
          <w:bottom w:val="nil"/>
          <w:right w:val="nil"/>
          <w:between w:val="nil"/>
        </w:pBdr>
        <w:rPr>
          <w:rFonts w:ascii="Palatino Linotype" w:eastAsia="Palatino Linotype" w:hAnsi="Palatino Linotype" w:cs="Palatino Linotype"/>
          <w:i/>
          <w:color w:val="000000" w:themeColor="text1"/>
          <w:sz w:val="24"/>
          <w:szCs w:val="24"/>
        </w:rPr>
      </w:pPr>
    </w:p>
    <w:p w14:paraId="4644EF5A" w14:textId="77777777"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De las constancias que obran en el expediente electrónico SAIMEX, se advierte que el </w:t>
      </w:r>
      <w:r w:rsidRPr="00BE3318">
        <w:rPr>
          <w:rFonts w:ascii="Palatino Linotype" w:eastAsia="Palatino Linotype" w:hAnsi="Palatino Linotype" w:cs="Palatino Linotype"/>
          <w:b/>
          <w:color w:val="000000" w:themeColor="text1"/>
          <w:sz w:val="24"/>
          <w:szCs w:val="24"/>
        </w:rPr>
        <w:t>PARTICULAR,</w:t>
      </w:r>
      <w:r w:rsidRPr="00BE3318">
        <w:rPr>
          <w:rFonts w:ascii="Palatino Linotype" w:eastAsia="Palatino Linotype" w:hAnsi="Palatino Linotype" w:cs="Palatino Linotype"/>
          <w:color w:val="000000" w:themeColor="text1"/>
          <w:sz w:val="24"/>
          <w:szCs w:val="24"/>
        </w:rPr>
        <w:t xml:space="preserve"> no realizó manifestación alguna.</w:t>
      </w:r>
    </w:p>
    <w:p w14:paraId="5D9F30E0" w14:textId="77777777" w:rsidR="00ED077A" w:rsidRPr="00BE3318" w:rsidRDefault="00ED077A" w:rsidP="00A96522">
      <w:pPr>
        <w:spacing w:line="360" w:lineRule="auto"/>
        <w:jc w:val="both"/>
        <w:rPr>
          <w:rFonts w:ascii="Palatino Linotype" w:eastAsia="Palatino Linotype" w:hAnsi="Palatino Linotype" w:cs="Palatino Linotype"/>
          <w:i/>
          <w:color w:val="000000" w:themeColor="text1"/>
          <w:sz w:val="24"/>
          <w:szCs w:val="24"/>
        </w:rPr>
      </w:pPr>
    </w:p>
    <w:p w14:paraId="3F22F1C5" w14:textId="77777777"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El </w:t>
      </w:r>
      <w:r w:rsidRPr="00BE3318">
        <w:rPr>
          <w:rFonts w:ascii="Palatino Linotype" w:eastAsia="Palatino Linotype" w:hAnsi="Palatino Linotype" w:cs="Palatino Linotype"/>
          <w:b/>
          <w:color w:val="000000" w:themeColor="text1"/>
          <w:sz w:val="24"/>
          <w:szCs w:val="24"/>
        </w:rPr>
        <w:t xml:space="preserve">SUJETO OBLIGADO, </w:t>
      </w:r>
      <w:r w:rsidRPr="00BE3318">
        <w:rPr>
          <w:rFonts w:ascii="Palatino Linotype" w:eastAsia="Palatino Linotype" w:hAnsi="Palatino Linotype" w:cs="Palatino Linotype"/>
          <w:color w:val="000000" w:themeColor="text1"/>
          <w:sz w:val="24"/>
          <w:szCs w:val="24"/>
        </w:rPr>
        <w:t xml:space="preserve">el </w:t>
      </w:r>
      <w:r w:rsidRPr="00BE3318">
        <w:rPr>
          <w:rFonts w:ascii="Palatino Linotype" w:eastAsia="Palatino Linotype" w:hAnsi="Palatino Linotype" w:cs="Palatino Linotype"/>
          <w:b/>
          <w:color w:val="000000" w:themeColor="text1"/>
          <w:sz w:val="24"/>
          <w:szCs w:val="24"/>
        </w:rPr>
        <w:t xml:space="preserve">treinta y uno de marzo de dos mil veinticinco, </w:t>
      </w:r>
      <w:r w:rsidRPr="00BE3318">
        <w:rPr>
          <w:rFonts w:ascii="Palatino Linotype" w:eastAsia="Palatino Linotype" w:hAnsi="Palatino Linotype" w:cs="Palatino Linotype"/>
          <w:color w:val="000000" w:themeColor="text1"/>
          <w:sz w:val="24"/>
          <w:szCs w:val="24"/>
        </w:rPr>
        <w:t xml:space="preserve">rindió el informe justificado correspondiente en el tenor siguiente: </w:t>
      </w:r>
    </w:p>
    <w:p w14:paraId="6DDDC725" w14:textId="77777777" w:rsidR="00ED077A" w:rsidRPr="00BE3318" w:rsidRDefault="004629A8" w:rsidP="00A9652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color w:val="000000" w:themeColor="text1"/>
          <w:sz w:val="24"/>
          <w:szCs w:val="24"/>
        </w:rPr>
      </w:pPr>
      <w:r w:rsidRPr="00BE3318">
        <w:rPr>
          <w:rFonts w:ascii="Palatino Linotype" w:eastAsia="Palatino Linotype" w:hAnsi="Palatino Linotype" w:cs="Palatino Linotype"/>
          <w:b/>
          <w:i/>
          <w:color w:val="000000" w:themeColor="text1"/>
          <w:sz w:val="24"/>
          <w:szCs w:val="24"/>
        </w:rPr>
        <w:lastRenderedPageBreak/>
        <w:t>2. Ratificación 3273.pdf</w:t>
      </w:r>
    </w:p>
    <w:p w14:paraId="702DC8B4" w14:textId="77777777" w:rsidR="00ED077A" w:rsidRPr="00BE3318" w:rsidRDefault="004629A8" w:rsidP="00A96522">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Oficio de treinta y uno de marzo de dos mil veinticinco, firmado por el Titular de la Unidad de Transparencia por el que ratifica su respuesta primigenia.</w:t>
      </w:r>
    </w:p>
    <w:p w14:paraId="2779A1BF" w14:textId="77777777" w:rsidR="00ED077A" w:rsidRPr="00BE3318" w:rsidRDefault="00ED077A" w:rsidP="00A96522">
      <w:pPr>
        <w:spacing w:line="360" w:lineRule="auto"/>
        <w:jc w:val="both"/>
        <w:rPr>
          <w:rFonts w:ascii="Palatino Linotype" w:eastAsia="Palatino Linotype" w:hAnsi="Palatino Linotype" w:cs="Palatino Linotype"/>
          <w:color w:val="000000" w:themeColor="text1"/>
          <w:sz w:val="24"/>
          <w:szCs w:val="24"/>
        </w:rPr>
      </w:pPr>
    </w:p>
    <w:p w14:paraId="003ED5B6" w14:textId="77777777"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El </w:t>
      </w:r>
      <w:r w:rsidRPr="00BE3318">
        <w:rPr>
          <w:rFonts w:ascii="Palatino Linotype" w:eastAsia="Palatino Linotype" w:hAnsi="Palatino Linotype" w:cs="Palatino Linotype"/>
          <w:b/>
          <w:color w:val="000000" w:themeColor="text1"/>
          <w:sz w:val="24"/>
          <w:szCs w:val="24"/>
        </w:rPr>
        <w:t xml:space="preserve">dos de septiembre de dos mil veinticinco, </w:t>
      </w:r>
      <w:r w:rsidRPr="00BE3318">
        <w:rPr>
          <w:rFonts w:ascii="Palatino Linotype" w:eastAsia="Palatino Linotype" w:hAnsi="Palatino Linotype" w:cs="Palatino Linotype"/>
          <w:color w:val="000000" w:themeColor="text1"/>
          <w:sz w:val="24"/>
          <w:szCs w:val="24"/>
        </w:rPr>
        <w:t>se notificó el acuerdo por el que se amplió el término para resolver el recurso de revisión que nos ocupa.</w:t>
      </w:r>
    </w:p>
    <w:p w14:paraId="059958E0" w14:textId="77777777" w:rsidR="00ED077A" w:rsidRPr="00BE3318" w:rsidRDefault="00ED077A" w:rsidP="00A96522">
      <w:pPr>
        <w:spacing w:line="360" w:lineRule="auto"/>
        <w:jc w:val="both"/>
        <w:rPr>
          <w:rFonts w:ascii="Palatino Linotype" w:eastAsia="Palatino Linotype" w:hAnsi="Palatino Linotype" w:cs="Palatino Linotype"/>
          <w:color w:val="000000" w:themeColor="text1"/>
          <w:sz w:val="24"/>
          <w:szCs w:val="24"/>
        </w:rPr>
      </w:pPr>
    </w:p>
    <w:p w14:paraId="66F32DDD" w14:textId="65D6F477" w:rsidR="00ED077A" w:rsidRPr="00BE3318" w:rsidRDefault="004629A8" w:rsidP="00A96522">
      <w:pPr>
        <w:numPr>
          <w:ilvl w:val="0"/>
          <w:numId w:val="2"/>
        </w:numPr>
        <w:tabs>
          <w:tab w:val="left" w:pos="426"/>
        </w:tabs>
        <w:spacing w:line="360" w:lineRule="auto"/>
        <w:ind w:left="0" w:firstLine="0"/>
        <w:jc w:val="both"/>
        <w:rPr>
          <w:rFonts w:ascii="Palatino Linotype" w:eastAsia="Palatino Linotype" w:hAnsi="Palatino Linotype" w:cs="Palatino Linotype"/>
          <w:b/>
          <w:color w:val="000000" w:themeColor="text1"/>
          <w:sz w:val="24"/>
          <w:szCs w:val="24"/>
          <w:u w:val="single"/>
        </w:rPr>
      </w:pPr>
      <w:r w:rsidRPr="00BE3318">
        <w:rPr>
          <w:rFonts w:ascii="Palatino Linotype" w:eastAsia="Palatino Linotype" w:hAnsi="Palatino Linotype" w:cs="Palatino Linotype"/>
          <w:color w:val="000000" w:themeColor="text1"/>
          <w:sz w:val="24"/>
          <w:szCs w:val="24"/>
        </w:rPr>
        <w:t xml:space="preserve">El </w:t>
      </w:r>
      <w:r w:rsidRPr="00BE3318">
        <w:rPr>
          <w:rFonts w:ascii="Palatino Linotype" w:eastAsia="Palatino Linotype" w:hAnsi="Palatino Linotype" w:cs="Palatino Linotype"/>
          <w:b/>
          <w:color w:val="000000" w:themeColor="text1"/>
          <w:sz w:val="24"/>
          <w:szCs w:val="24"/>
        </w:rPr>
        <w:t>nueve de septiembre  de dos mil veinticinco</w:t>
      </w:r>
      <w:r w:rsidRPr="00BE3318">
        <w:rPr>
          <w:rFonts w:ascii="Palatino Linotype" w:eastAsia="Palatino Linotype" w:hAnsi="Palatino Linotype" w:cs="Palatino Linotype"/>
          <w:color w:val="000000" w:themeColor="text1"/>
          <w:sz w:val="24"/>
          <w:szCs w:val="24"/>
        </w:rPr>
        <w:t>, la Comisionada Ponente decretó el cierre de instrucción y al no existir diligencias por realizar y se turnó el expediente a resolución correspondiente, por lo que no habiendo más que hacer constar, y</w:t>
      </w:r>
    </w:p>
    <w:p w14:paraId="1A33711B" w14:textId="77777777" w:rsidR="00ED077A" w:rsidRPr="00BE3318" w:rsidRDefault="00ED077A" w:rsidP="00A96522">
      <w:pPr>
        <w:tabs>
          <w:tab w:val="left" w:pos="426"/>
        </w:tabs>
        <w:spacing w:line="360" w:lineRule="auto"/>
        <w:jc w:val="both"/>
        <w:rPr>
          <w:rFonts w:ascii="Palatino Linotype" w:eastAsia="Palatino Linotype" w:hAnsi="Palatino Linotype" w:cs="Palatino Linotype"/>
          <w:b/>
          <w:color w:val="000000" w:themeColor="text1"/>
          <w:sz w:val="24"/>
          <w:szCs w:val="24"/>
          <w:u w:val="single"/>
        </w:rPr>
      </w:pPr>
    </w:p>
    <w:p w14:paraId="4286E922" w14:textId="6C0A2CB6" w:rsidR="00ED077A" w:rsidRPr="00BE3318" w:rsidRDefault="004629A8" w:rsidP="00A96522">
      <w:pPr>
        <w:keepNext/>
        <w:keepLines/>
        <w:spacing w:line="360" w:lineRule="auto"/>
        <w:jc w:val="center"/>
        <w:rPr>
          <w:rFonts w:ascii="Palatino Linotype" w:eastAsia="Palatino Linotype" w:hAnsi="Palatino Linotype" w:cs="Palatino Linotype"/>
          <w:b/>
          <w:color w:val="000000" w:themeColor="text1"/>
          <w:sz w:val="24"/>
          <w:szCs w:val="24"/>
        </w:rPr>
      </w:pPr>
      <w:bookmarkStart w:id="3" w:name="_heading=h.30j0zll" w:colFirst="0" w:colLast="0"/>
      <w:bookmarkEnd w:id="3"/>
      <w:r w:rsidRPr="00BE3318">
        <w:rPr>
          <w:rFonts w:ascii="Palatino Linotype" w:eastAsia="Palatino Linotype" w:hAnsi="Palatino Linotype" w:cs="Palatino Linotype"/>
          <w:b/>
          <w:color w:val="000000" w:themeColor="text1"/>
          <w:sz w:val="24"/>
          <w:szCs w:val="24"/>
        </w:rPr>
        <w:t>C</w:t>
      </w:r>
      <w:r w:rsidR="008C5AC7">
        <w:rPr>
          <w:rFonts w:ascii="Palatino Linotype" w:eastAsia="Palatino Linotype" w:hAnsi="Palatino Linotype" w:cs="Palatino Linotype"/>
          <w:b/>
          <w:color w:val="000000" w:themeColor="text1"/>
          <w:sz w:val="24"/>
          <w:szCs w:val="24"/>
        </w:rPr>
        <w:t xml:space="preserve"> </w:t>
      </w:r>
      <w:r w:rsidRPr="00BE3318">
        <w:rPr>
          <w:rFonts w:ascii="Palatino Linotype" w:eastAsia="Palatino Linotype" w:hAnsi="Palatino Linotype" w:cs="Palatino Linotype"/>
          <w:b/>
          <w:color w:val="000000" w:themeColor="text1"/>
          <w:sz w:val="24"/>
          <w:szCs w:val="24"/>
        </w:rPr>
        <w:t>O</w:t>
      </w:r>
      <w:r w:rsidR="008C5AC7">
        <w:rPr>
          <w:rFonts w:ascii="Palatino Linotype" w:eastAsia="Palatino Linotype" w:hAnsi="Palatino Linotype" w:cs="Palatino Linotype"/>
          <w:b/>
          <w:color w:val="000000" w:themeColor="text1"/>
          <w:sz w:val="24"/>
          <w:szCs w:val="24"/>
        </w:rPr>
        <w:t xml:space="preserve"> </w:t>
      </w:r>
      <w:r w:rsidRPr="00BE3318">
        <w:rPr>
          <w:rFonts w:ascii="Palatino Linotype" w:eastAsia="Palatino Linotype" w:hAnsi="Palatino Linotype" w:cs="Palatino Linotype"/>
          <w:b/>
          <w:color w:val="000000" w:themeColor="text1"/>
          <w:sz w:val="24"/>
          <w:szCs w:val="24"/>
        </w:rPr>
        <w:t>N</w:t>
      </w:r>
      <w:r w:rsidR="008C5AC7">
        <w:rPr>
          <w:rFonts w:ascii="Palatino Linotype" w:eastAsia="Palatino Linotype" w:hAnsi="Palatino Linotype" w:cs="Palatino Linotype"/>
          <w:b/>
          <w:color w:val="000000" w:themeColor="text1"/>
          <w:sz w:val="24"/>
          <w:szCs w:val="24"/>
        </w:rPr>
        <w:t xml:space="preserve"> </w:t>
      </w:r>
      <w:r w:rsidRPr="00BE3318">
        <w:rPr>
          <w:rFonts w:ascii="Palatino Linotype" w:eastAsia="Palatino Linotype" w:hAnsi="Palatino Linotype" w:cs="Palatino Linotype"/>
          <w:b/>
          <w:color w:val="000000" w:themeColor="text1"/>
          <w:sz w:val="24"/>
          <w:szCs w:val="24"/>
        </w:rPr>
        <w:t>S</w:t>
      </w:r>
      <w:r w:rsidR="008C5AC7">
        <w:rPr>
          <w:rFonts w:ascii="Palatino Linotype" w:eastAsia="Palatino Linotype" w:hAnsi="Palatino Linotype" w:cs="Palatino Linotype"/>
          <w:b/>
          <w:color w:val="000000" w:themeColor="text1"/>
          <w:sz w:val="24"/>
          <w:szCs w:val="24"/>
        </w:rPr>
        <w:t xml:space="preserve"> </w:t>
      </w:r>
      <w:r w:rsidRPr="00BE3318">
        <w:rPr>
          <w:rFonts w:ascii="Palatino Linotype" w:eastAsia="Palatino Linotype" w:hAnsi="Palatino Linotype" w:cs="Palatino Linotype"/>
          <w:b/>
          <w:color w:val="000000" w:themeColor="text1"/>
          <w:sz w:val="24"/>
          <w:szCs w:val="24"/>
        </w:rPr>
        <w:t>I</w:t>
      </w:r>
      <w:r w:rsidR="008C5AC7">
        <w:rPr>
          <w:rFonts w:ascii="Palatino Linotype" w:eastAsia="Palatino Linotype" w:hAnsi="Palatino Linotype" w:cs="Palatino Linotype"/>
          <w:b/>
          <w:color w:val="000000" w:themeColor="text1"/>
          <w:sz w:val="24"/>
          <w:szCs w:val="24"/>
        </w:rPr>
        <w:t xml:space="preserve"> </w:t>
      </w:r>
      <w:r w:rsidRPr="00BE3318">
        <w:rPr>
          <w:rFonts w:ascii="Palatino Linotype" w:eastAsia="Palatino Linotype" w:hAnsi="Palatino Linotype" w:cs="Palatino Linotype"/>
          <w:b/>
          <w:color w:val="000000" w:themeColor="text1"/>
          <w:sz w:val="24"/>
          <w:szCs w:val="24"/>
        </w:rPr>
        <w:t>D</w:t>
      </w:r>
      <w:r w:rsidR="008C5AC7">
        <w:rPr>
          <w:rFonts w:ascii="Palatino Linotype" w:eastAsia="Palatino Linotype" w:hAnsi="Palatino Linotype" w:cs="Palatino Linotype"/>
          <w:b/>
          <w:color w:val="000000" w:themeColor="text1"/>
          <w:sz w:val="24"/>
          <w:szCs w:val="24"/>
        </w:rPr>
        <w:t xml:space="preserve"> </w:t>
      </w:r>
      <w:r w:rsidRPr="00BE3318">
        <w:rPr>
          <w:rFonts w:ascii="Palatino Linotype" w:eastAsia="Palatino Linotype" w:hAnsi="Palatino Linotype" w:cs="Palatino Linotype"/>
          <w:b/>
          <w:color w:val="000000" w:themeColor="text1"/>
          <w:sz w:val="24"/>
          <w:szCs w:val="24"/>
        </w:rPr>
        <w:t>E</w:t>
      </w:r>
      <w:r w:rsidR="008C5AC7">
        <w:rPr>
          <w:rFonts w:ascii="Palatino Linotype" w:eastAsia="Palatino Linotype" w:hAnsi="Palatino Linotype" w:cs="Palatino Linotype"/>
          <w:b/>
          <w:color w:val="000000" w:themeColor="text1"/>
          <w:sz w:val="24"/>
          <w:szCs w:val="24"/>
        </w:rPr>
        <w:t xml:space="preserve"> </w:t>
      </w:r>
      <w:r w:rsidRPr="00BE3318">
        <w:rPr>
          <w:rFonts w:ascii="Palatino Linotype" w:eastAsia="Palatino Linotype" w:hAnsi="Palatino Linotype" w:cs="Palatino Linotype"/>
          <w:b/>
          <w:color w:val="000000" w:themeColor="text1"/>
          <w:sz w:val="24"/>
          <w:szCs w:val="24"/>
        </w:rPr>
        <w:t>R</w:t>
      </w:r>
      <w:r w:rsidR="008C5AC7">
        <w:rPr>
          <w:rFonts w:ascii="Palatino Linotype" w:eastAsia="Palatino Linotype" w:hAnsi="Palatino Linotype" w:cs="Palatino Linotype"/>
          <w:b/>
          <w:color w:val="000000" w:themeColor="text1"/>
          <w:sz w:val="24"/>
          <w:szCs w:val="24"/>
        </w:rPr>
        <w:t xml:space="preserve"> </w:t>
      </w:r>
      <w:r w:rsidRPr="00BE3318">
        <w:rPr>
          <w:rFonts w:ascii="Palatino Linotype" w:eastAsia="Palatino Linotype" w:hAnsi="Palatino Linotype" w:cs="Palatino Linotype"/>
          <w:b/>
          <w:color w:val="000000" w:themeColor="text1"/>
          <w:sz w:val="24"/>
          <w:szCs w:val="24"/>
        </w:rPr>
        <w:t>A</w:t>
      </w:r>
      <w:r w:rsidR="008C5AC7">
        <w:rPr>
          <w:rFonts w:ascii="Palatino Linotype" w:eastAsia="Palatino Linotype" w:hAnsi="Palatino Linotype" w:cs="Palatino Linotype"/>
          <w:b/>
          <w:color w:val="000000" w:themeColor="text1"/>
          <w:sz w:val="24"/>
          <w:szCs w:val="24"/>
        </w:rPr>
        <w:t xml:space="preserve"> </w:t>
      </w:r>
      <w:r w:rsidRPr="00BE3318">
        <w:rPr>
          <w:rFonts w:ascii="Palatino Linotype" w:eastAsia="Palatino Linotype" w:hAnsi="Palatino Linotype" w:cs="Palatino Linotype"/>
          <w:b/>
          <w:color w:val="000000" w:themeColor="text1"/>
          <w:sz w:val="24"/>
          <w:szCs w:val="24"/>
        </w:rPr>
        <w:t>N</w:t>
      </w:r>
      <w:r w:rsidR="008C5AC7">
        <w:rPr>
          <w:rFonts w:ascii="Palatino Linotype" w:eastAsia="Palatino Linotype" w:hAnsi="Palatino Linotype" w:cs="Palatino Linotype"/>
          <w:b/>
          <w:color w:val="000000" w:themeColor="text1"/>
          <w:sz w:val="24"/>
          <w:szCs w:val="24"/>
        </w:rPr>
        <w:t xml:space="preserve"> </w:t>
      </w:r>
      <w:r w:rsidRPr="00BE3318">
        <w:rPr>
          <w:rFonts w:ascii="Palatino Linotype" w:eastAsia="Palatino Linotype" w:hAnsi="Palatino Linotype" w:cs="Palatino Linotype"/>
          <w:b/>
          <w:color w:val="000000" w:themeColor="text1"/>
          <w:sz w:val="24"/>
          <w:szCs w:val="24"/>
        </w:rPr>
        <w:t>D</w:t>
      </w:r>
      <w:r w:rsidR="008C5AC7">
        <w:rPr>
          <w:rFonts w:ascii="Palatino Linotype" w:eastAsia="Palatino Linotype" w:hAnsi="Palatino Linotype" w:cs="Palatino Linotype"/>
          <w:b/>
          <w:color w:val="000000" w:themeColor="text1"/>
          <w:sz w:val="24"/>
          <w:szCs w:val="24"/>
        </w:rPr>
        <w:t xml:space="preserve"> </w:t>
      </w:r>
      <w:r w:rsidRPr="00BE3318">
        <w:rPr>
          <w:rFonts w:ascii="Palatino Linotype" w:eastAsia="Palatino Linotype" w:hAnsi="Palatino Linotype" w:cs="Palatino Linotype"/>
          <w:b/>
          <w:color w:val="000000" w:themeColor="text1"/>
          <w:sz w:val="24"/>
          <w:szCs w:val="24"/>
        </w:rPr>
        <w:t xml:space="preserve">O </w:t>
      </w:r>
    </w:p>
    <w:p w14:paraId="4CAA8C67" w14:textId="77777777" w:rsidR="00ED077A" w:rsidRPr="00BE3318" w:rsidRDefault="00ED077A" w:rsidP="00A96522">
      <w:pPr>
        <w:keepNext/>
        <w:keepLines/>
        <w:spacing w:line="360" w:lineRule="auto"/>
        <w:jc w:val="center"/>
        <w:rPr>
          <w:rFonts w:ascii="Palatino Linotype" w:eastAsia="Palatino Linotype" w:hAnsi="Palatino Linotype" w:cs="Palatino Linotype"/>
          <w:color w:val="000000" w:themeColor="text1"/>
          <w:sz w:val="24"/>
          <w:szCs w:val="24"/>
        </w:rPr>
      </w:pPr>
    </w:p>
    <w:p w14:paraId="3457DF18" w14:textId="77777777" w:rsidR="00ED077A" w:rsidRPr="00BE3318" w:rsidRDefault="004629A8" w:rsidP="00A96522">
      <w:pPr>
        <w:keepNext/>
        <w:keepLines/>
        <w:spacing w:line="360" w:lineRule="auto"/>
        <w:rPr>
          <w:rFonts w:ascii="Palatino Linotype" w:eastAsia="Palatino Linotype" w:hAnsi="Palatino Linotype" w:cs="Palatino Linotype"/>
          <w:b/>
          <w:color w:val="000000" w:themeColor="text1"/>
          <w:sz w:val="24"/>
          <w:szCs w:val="24"/>
        </w:rPr>
      </w:pPr>
      <w:bookmarkStart w:id="4" w:name="_heading=h.1fob9te" w:colFirst="0" w:colLast="0"/>
      <w:bookmarkEnd w:id="4"/>
      <w:r w:rsidRPr="00BE3318">
        <w:rPr>
          <w:rFonts w:ascii="Palatino Linotype" w:eastAsia="Palatino Linotype" w:hAnsi="Palatino Linotype" w:cs="Palatino Linotype"/>
          <w:b/>
          <w:color w:val="000000" w:themeColor="text1"/>
          <w:sz w:val="24"/>
          <w:szCs w:val="24"/>
        </w:rPr>
        <w:t>PRIMERO. De la competencia</w:t>
      </w:r>
    </w:p>
    <w:p w14:paraId="36954F91" w14:textId="77777777" w:rsidR="00ED077A" w:rsidRPr="00BE3318" w:rsidRDefault="004629A8" w:rsidP="00A96522">
      <w:pPr>
        <w:numPr>
          <w:ilvl w:val="0"/>
          <w:numId w:val="2"/>
        </w:numPr>
        <w:tabs>
          <w:tab w:val="left" w:pos="426"/>
        </w:tabs>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w:t>
      </w:r>
      <w:r w:rsidRPr="00BE3318">
        <w:rPr>
          <w:rFonts w:ascii="Palatino Linotype" w:eastAsia="Palatino Linotype" w:hAnsi="Palatino Linotype" w:cs="Palatino Linotype"/>
          <w:color w:val="000000" w:themeColor="text1"/>
          <w:sz w:val="24"/>
          <w:szCs w:val="24"/>
        </w:rPr>
        <w:lastRenderedPageBreak/>
        <w:t>Reglamento Interior del Instituto de Transparencia, Acceso a la Información Pública y Protección de Datos Personales del Estado de México y Municipios.</w:t>
      </w:r>
    </w:p>
    <w:p w14:paraId="191A46D8" w14:textId="77777777" w:rsidR="00ED077A" w:rsidRPr="00BE3318" w:rsidRDefault="00ED077A" w:rsidP="00A96522">
      <w:pPr>
        <w:tabs>
          <w:tab w:val="left" w:pos="426"/>
        </w:tabs>
        <w:spacing w:line="360" w:lineRule="auto"/>
        <w:jc w:val="both"/>
        <w:rPr>
          <w:rFonts w:ascii="Palatino Linotype" w:eastAsia="Palatino Linotype" w:hAnsi="Palatino Linotype" w:cs="Palatino Linotype"/>
          <w:color w:val="000000" w:themeColor="text1"/>
          <w:sz w:val="24"/>
          <w:szCs w:val="24"/>
        </w:rPr>
      </w:pPr>
    </w:p>
    <w:p w14:paraId="201C85CB" w14:textId="77777777" w:rsidR="00ED077A" w:rsidRPr="00BE3318" w:rsidRDefault="004629A8" w:rsidP="00A96522">
      <w:pPr>
        <w:keepNext/>
        <w:keepLines/>
        <w:spacing w:line="360" w:lineRule="auto"/>
        <w:rPr>
          <w:rFonts w:ascii="Palatino Linotype" w:eastAsia="Palatino Linotype" w:hAnsi="Palatino Linotype" w:cs="Palatino Linotype"/>
          <w:b/>
          <w:color w:val="000000" w:themeColor="text1"/>
          <w:sz w:val="24"/>
          <w:szCs w:val="24"/>
        </w:rPr>
      </w:pPr>
      <w:bookmarkStart w:id="5" w:name="_heading=h.3znysh7" w:colFirst="0" w:colLast="0"/>
      <w:bookmarkEnd w:id="5"/>
      <w:r w:rsidRPr="00BE3318">
        <w:rPr>
          <w:rFonts w:ascii="Palatino Linotype" w:eastAsia="Palatino Linotype" w:hAnsi="Palatino Linotype" w:cs="Palatino Linotype"/>
          <w:b/>
          <w:color w:val="000000" w:themeColor="text1"/>
          <w:sz w:val="24"/>
          <w:szCs w:val="24"/>
        </w:rPr>
        <w:t>SEGUNDO. De la oportunidad y procedencia.</w:t>
      </w:r>
    </w:p>
    <w:p w14:paraId="5FACEF5A" w14:textId="77777777"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El medio de impugnación fue presentado a través del </w:t>
      </w:r>
      <w:r w:rsidRPr="00BE3318">
        <w:rPr>
          <w:rFonts w:ascii="Palatino Linotype" w:eastAsia="Palatino Linotype" w:hAnsi="Palatino Linotype" w:cs="Palatino Linotype"/>
          <w:b/>
          <w:color w:val="000000" w:themeColor="text1"/>
          <w:sz w:val="24"/>
          <w:szCs w:val="24"/>
        </w:rPr>
        <w:t>SAIMEX,</w:t>
      </w:r>
      <w:r w:rsidRPr="00BE3318">
        <w:rPr>
          <w:rFonts w:ascii="Palatino Linotype" w:eastAsia="Palatino Linotype" w:hAnsi="Palatino Linotype" w:cs="Palatino Linotype"/>
          <w:color w:val="000000" w:themeColor="text1"/>
          <w:sz w:val="24"/>
          <w:szCs w:val="24"/>
        </w:rPr>
        <w:t xml:space="preserve"> en el formato previamente aprobado para tal efecto y dentro del plazo legal de quince días hábiles otorgados; para el caso en particular es de señalar que el </w:t>
      </w:r>
      <w:r w:rsidRPr="00BE3318">
        <w:rPr>
          <w:rFonts w:ascii="Palatino Linotype" w:eastAsia="Palatino Linotype" w:hAnsi="Palatino Linotype" w:cs="Palatino Linotype"/>
          <w:b/>
          <w:color w:val="000000" w:themeColor="text1"/>
          <w:sz w:val="24"/>
          <w:szCs w:val="24"/>
        </w:rPr>
        <w:t>SUJETO OBLIGADO</w:t>
      </w:r>
      <w:r w:rsidRPr="00BE3318">
        <w:rPr>
          <w:rFonts w:ascii="Palatino Linotype" w:eastAsia="Palatino Linotype" w:hAnsi="Palatino Linotype" w:cs="Palatino Linotype"/>
          <w:color w:val="000000" w:themeColor="text1"/>
          <w:sz w:val="24"/>
          <w:szCs w:val="24"/>
        </w:rPr>
        <w:t xml:space="preserve"> entregó respuesta el </w:t>
      </w:r>
      <w:r w:rsidRPr="00BE3318">
        <w:rPr>
          <w:rFonts w:ascii="Palatino Linotype" w:eastAsia="Palatino Linotype" w:hAnsi="Palatino Linotype" w:cs="Palatino Linotype"/>
          <w:b/>
          <w:color w:val="000000" w:themeColor="text1"/>
          <w:sz w:val="24"/>
          <w:szCs w:val="24"/>
        </w:rPr>
        <w:t>dieciocho de marzo de dos mil veinticinco</w:t>
      </w:r>
      <w:r w:rsidRPr="00BE3318">
        <w:rPr>
          <w:rFonts w:ascii="Palatino Linotype" w:eastAsia="Palatino Linotype" w:hAnsi="Palatino Linotype" w:cs="Palatino Linotype"/>
          <w:color w:val="000000" w:themeColor="text1"/>
          <w:sz w:val="24"/>
          <w:szCs w:val="24"/>
        </w:rPr>
        <w:t xml:space="preserve">, de tal forma que el plazo para interponer el recurso transcurrió del </w:t>
      </w:r>
      <w:r w:rsidRPr="00BE3318">
        <w:rPr>
          <w:rFonts w:ascii="Palatino Linotype" w:eastAsia="Palatino Linotype" w:hAnsi="Palatino Linotype" w:cs="Palatino Linotype"/>
          <w:b/>
          <w:color w:val="000000" w:themeColor="text1"/>
          <w:sz w:val="24"/>
          <w:szCs w:val="24"/>
        </w:rPr>
        <w:t xml:space="preserve">diecinueve de marzo al ocho de abril dos mil veinticinco, </w:t>
      </w:r>
      <w:r w:rsidRPr="00BE3318">
        <w:rPr>
          <w:rFonts w:ascii="Palatino Linotype" w:eastAsia="Palatino Linotype" w:hAnsi="Palatino Linotype" w:cs="Palatino Linotype"/>
          <w:color w:val="000000" w:themeColor="text1"/>
          <w:sz w:val="24"/>
          <w:szCs w:val="24"/>
        </w:rPr>
        <w:t xml:space="preserve">en consecuencia, si el </w:t>
      </w:r>
      <w:r w:rsidRPr="00BE3318">
        <w:rPr>
          <w:rFonts w:ascii="Palatino Linotype" w:eastAsia="Palatino Linotype" w:hAnsi="Palatino Linotype" w:cs="Palatino Linotype"/>
          <w:b/>
          <w:color w:val="000000" w:themeColor="text1"/>
          <w:sz w:val="24"/>
          <w:szCs w:val="24"/>
        </w:rPr>
        <w:t>PARTICULAR</w:t>
      </w:r>
      <w:r w:rsidRPr="00BE3318">
        <w:rPr>
          <w:rFonts w:ascii="Palatino Linotype" w:eastAsia="Palatino Linotype" w:hAnsi="Palatino Linotype" w:cs="Palatino Linotype"/>
          <w:color w:val="000000" w:themeColor="text1"/>
          <w:sz w:val="24"/>
          <w:szCs w:val="24"/>
        </w:rPr>
        <w:t xml:space="preserve"> presentó su inconformidad el </w:t>
      </w:r>
      <w:r w:rsidRPr="00BE3318">
        <w:rPr>
          <w:rFonts w:ascii="Palatino Linotype" w:eastAsia="Palatino Linotype" w:hAnsi="Palatino Linotype" w:cs="Palatino Linotype"/>
          <w:b/>
          <w:color w:val="000000" w:themeColor="text1"/>
          <w:sz w:val="24"/>
          <w:szCs w:val="24"/>
        </w:rPr>
        <w:t>diecinueve de marzo de dos mil veinticinco</w:t>
      </w:r>
      <w:r w:rsidRPr="00BE3318">
        <w:rPr>
          <w:rFonts w:ascii="Palatino Linotype" w:eastAsia="Palatino Linotype" w:hAnsi="Palatino Linotype" w:cs="Palatino Linotype"/>
          <w:color w:val="000000" w:themeColor="text1"/>
          <w:sz w:val="24"/>
          <w:szCs w:val="24"/>
        </w:rPr>
        <w:t xml:space="preserve">, este  se encuentra dentro de los márgenes temporales previstos en el artículo 178 de la </w:t>
      </w:r>
      <w:r w:rsidRPr="00BE3318">
        <w:rPr>
          <w:rFonts w:ascii="Palatino Linotype" w:eastAsia="Palatino Linotype" w:hAnsi="Palatino Linotype" w:cs="Palatino Linotype"/>
          <w:b/>
          <w:color w:val="000000" w:themeColor="text1"/>
          <w:sz w:val="24"/>
          <w:szCs w:val="24"/>
        </w:rPr>
        <w:t xml:space="preserve">Ley de Transparencia y Acceso a la Información Pública del Estado de México y Municipios </w:t>
      </w:r>
      <w:r w:rsidRPr="00BE3318">
        <w:rPr>
          <w:rFonts w:ascii="Palatino Linotype" w:eastAsia="Palatino Linotype" w:hAnsi="Palatino Linotype" w:cs="Palatino Linotype"/>
          <w:color w:val="000000" w:themeColor="text1"/>
          <w:sz w:val="24"/>
          <w:szCs w:val="24"/>
        </w:rPr>
        <w:t xml:space="preserve">vigente. </w:t>
      </w:r>
    </w:p>
    <w:p w14:paraId="08673B26" w14:textId="77777777" w:rsidR="00ED077A" w:rsidRPr="00BE3318" w:rsidRDefault="00ED077A" w:rsidP="00A96522">
      <w:pPr>
        <w:spacing w:line="360" w:lineRule="auto"/>
        <w:jc w:val="both"/>
        <w:rPr>
          <w:rFonts w:ascii="Palatino Linotype" w:eastAsia="Palatino Linotype" w:hAnsi="Palatino Linotype" w:cs="Palatino Linotype"/>
          <w:color w:val="000000" w:themeColor="text1"/>
          <w:sz w:val="24"/>
          <w:szCs w:val="24"/>
        </w:rPr>
      </w:pPr>
      <w:bookmarkStart w:id="6" w:name="_heading=h.2et92p0" w:colFirst="0" w:colLast="0"/>
      <w:bookmarkEnd w:id="6"/>
    </w:p>
    <w:p w14:paraId="7B54CB83" w14:textId="77777777" w:rsidR="00ED077A" w:rsidRPr="00BE3318" w:rsidRDefault="004629A8" w:rsidP="00A96522">
      <w:pPr>
        <w:pStyle w:val="Ttulo2"/>
        <w:rPr>
          <w:rFonts w:ascii="Palatino Linotype" w:eastAsia="Palatino Linotype" w:hAnsi="Palatino Linotype" w:cs="Palatino Linotype"/>
          <w:b/>
          <w:i/>
          <w:color w:val="000000" w:themeColor="text1"/>
          <w:sz w:val="24"/>
          <w:szCs w:val="24"/>
        </w:rPr>
      </w:pPr>
      <w:r w:rsidRPr="00BE3318">
        <w:rPr>
          <w:rFonts w:ascii="Palatino Linotype" w:eastAsia="Palatino Linotype" w:hAnsi="Palatino Linotype" w:cs="Palatino Linotype"/>
          <w:b/>
          <w:color w:val="000000" w:themeColor="text1"/>
          <w:sz w:val="24"/>
          <w:szCs w:val="24"/>
        </w:rPr>
        <w:t xml:space="preserve">TERCERO. Del planteamiento de la </w:t>
      </w:r>
      <w:r w:rsidRPr="00BE3318">
        <w:rPr>
          <w:rFonts w:ascii="Palatino Linotype" w:eastAsia="Palatino Linotype" w:hAnsi="Palatino Linotype" w:cs="Palatino Linotype"/>
          <w:b/>
          <w:i/>
          <w:color w:val="000000" w:themeColor="text1"/>
          <w:sz w:val="24"/>
          <w:szCs w:val="24"/>
        </w:rPr>
        <w:t>Litis.</w:t>
      </w:r>
    </w:p>
    <w:p w14:paraId="2FB1FC46" w14:textId="77777777"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Se solicitó la información que a continuación se desagrega:</w:t>
      </w:r>
    </w:p>
    <w:p w14:paraId="45C57111" w14:textId="77777777" w:rsidR="00ED077A" w:rsidRPr="00BE3318" w:rsidRDefault="004629A8" w:rsidP="00A96522">
      <w:pPr>
        <w:numPr>
          <w:ilvl w:val="0"/>
          <w:numId w:val="1"/>
        </w:numPr>
        <w:pBdr>
          <w:top w:val="nil"/>
          <w:left w:val="nil"/>
          <w:bottom w:val="nil"/>
          <w:right w:val="nil"/>
          <w:between w:val="nil"/>
        </w:pBdr>
        <w:spacing w:line="276"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Todas las convocatoria publicadas en su ayuntamiento durante 2025 los expedientes de los postulantes y los ganadores</w:t>
      </w:r>
    </w:p>
    <w:p w14:paraId="428F81B3" w14:textId="77777777" w:rsidR="00ED077A" w:rsidRDefault="00ED077A" w:rsidP="00A96522">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sz w:val="24"/>
          <w:szCs w:val="24"/>
        </w:rPr>
      </w:pPr>
    </w:p>
    <w:p w14:paraId="5D62240C" w14:textId="77777777" w:rsidR="008C5AC7" w:rsidRPr="00BE3318" w:rsidRDefault="008C5AC7" w:rsidP="00A96522">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sz w:val="24"/>
          <w:szCs w:val="24"/>
        </w:rPr>
      </w:pPr>
    </w:p>
    <w:p w14:paraId="166F98C8" w14:textId="77777777"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El </w:t>
      </w:r>
      <w:r w:rsidRPr="00BE3318">
        <w:rPr>
          <w:rFonts w:ascii="Palatino Linotype" w:eastAsia="Palatino Linotype" w:hAnsi="Palatino Linotype" w:cs="Palatino Linotype"/>
          <w:b/>
          <w:color w:val="000000" w:themeColor="text1"/>
          <w:sz w:val="24"/>
          <w:szCs w:val="24"/>
        </w:rPr>
        <w:t xml:space="preserve">SUJETO OBLIGADO, </w:t>
      </w:r>
      <w:r w:rsidRPr="00BE3318">
        <w:rPr>
          <w:rFonts w:ascii="Palatino Linotype" w:eastAsia="Palatino Linotype" w:hAnsi="Palatino Linotype" w:cs="Palatino Linotype"/>
          <w:color w:val="000000" w:themeColor="text1"/>
          <w:sz w:val="24"/>
          <w:szCs w:val="24"/>
        </w:rPr>
        <w:t xml:space="preserve">en respuesta se pronunció como quedó referido en el numeral 2 del presente proyecto. </w:t>
      </w:r>
    </w:p>
    <w:p w14:paraId="5244E195" w14:textId="77777777" w:rsidR="00ED077A" w:rsidRPr="00BE3318" w:rsidRDefault="00ED077A" w:rsidP="00A96522">
      <w:pPr>
        <w:spacing w:line="360" w:lineRule="auto"/>
        <w:jc w:val="both"/>
        <w:rPr>
          <w:rFonts w:ascii="Palatino Linotype" w:eastAsia="Palatino Linotype" w:hAnsi="Palatino Linotype" w:cs="Palatino Linotype"/>
          <w:color w:val="000000" w:themeColor="text1"/>
          <w:sz w:val="24"/>
          <w:szCs w:val="24"/>
        </w:rPr>
      </w:pPr>
    </w:p>
    <w:p w14:paraId="378F026C" w14:textId="77777777"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color w:val="000000" w:themeColor="text1"/>
          <w:sz w:val="24"/>
          <w:szCs w:val="24"/>
        </w:rPr>
        <w:lastRenderedPageBreak/>
        <w:t xml:space="preserve">Inconforme con lo anterior, el ahora </w:t>
      </w:r>
      <w:r w:rsidRPr="00BE3318">
        <w:rPr>
          <w:rFonts w:ascii="Palatino Linotype" w:eastAsia="Palatino Linotype" w:hAnsi="Palatino Linotype" w:cs="Palatino Linotype"/>
          <w:b/>
          <w:color w:val="000000" w:themeColor="text1"/>
          <w:sz w:val="24"/>
          <w:szCs w:val="24"/>
        </w:rPr>
        <w:t xml:space="preserve">RECURRENTE </w:t>
      </w:r>
      <w:r w:rsidRPr="00BE3318">
        <w:rPr>
          <w:rFonts w:ascii="Palatino Linotype" w:eastAsia="Palatino Linotype" w:hAnsi="Palatino Linotype" w:cs="Palatino Linotype"/>
          <w:color w:val="000000" w:themeColor="text1"/>
          <w:sz w:val="24"/>
          <w:szCs w:val="24"/>
        </w:rPr>
        <w:t>interpuso Recurso de Revisión arguyendo medularmente que no se le entregó lo solicitado de manera completa.</w:t>
      </w:r>
    </w:p>
    <w:p w14:paraId="045CB54A" w14:textId="77777777" w:rsidR="00ED077A" w:rsidRPr="00BE3318" w:rsidRDefault="00ED077A" w:rsidP="00A96522">
      <w:pPr>
        <w:spacing w:line="360" w:lineRule="auto"/>
        <w:jc w:val="both"/>
        <w:rPr>
          <w:rFonts w:ascii="Palatino Linotype" w:eastAsia="Palatino Linotype" w:hAnsi="Palatino Linotype" w:cs="Palatino Linotype"/>
          <w:i/>
          <w:color w:val="000000" w:themeColor="text1"/>
          <w:sz w:val="24"/>
          <w:szCs w:val="24"/>
        </w:rPr>
      </w:pPr>
    </w:p>
    <w:p w14:paraId="73A3995E" w14:textId="77777777"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En dichas condiciones, la </w:t>
      </w:r>
      <w:r w:rsidRPr="00BE3318">
        <w:rPr>
          <w:rFonts w:ascii="Palatino Linotype" w:eastAsia="Palatino Linotype" w:hAnsi="Palatino Linotype" w:cs="Palatino Linotype"/>
          <w:i/>
          <w:color w:val="000000" w:themeColor="text1"/>
          <w:sz w:val="24"/>
          <w:szCs w:val="24"/>
        </w:rPr>
        <w:t>Litis</w:t>
      </w:r>
      <w:r w:rsidRPr="00BE3318">
        <w:rPr>
          <w:rFonts w:ascii="Palatino Linotype" w:eastAsia="Palatino Linotype" w:hAnsi="Palatino Linotype" w:cs="Palatino Linotype"/>
          <w:color w:val="000000" w:themeColor="text1"/>
          <w:sz w:val="24"/>
          <w:szCs w:val="24"/>
        </w:rPr>
        <w:t xml:space="preserve"> a resolver en este recurso se circunscribe a determinar si se actualiza la causal de procedencia prevista en el artículo 179, fracción</w:t>
      </w:r>
      <w:r w:rsidRPr="00BE3318">
        <w:rPr>
          <w:rFonts w:ascii="Palatino Linotype" w:eastAsia="Palatino Linotype" w:hAnsi="Palatino Linotype" w:cs="Palatino Linotype"/>
          <w:b/>
          <w:color w:val="000000" w:themeColor="text1"/>
          <w:sz w:val="24"/>
          <w:szCs w:val="24"/>
        </w:rPr>
        <w:t xml:space="preserve"> V </w:t>
      </w:r>
      <w:r w:rsidRPr="00BE3318">
        <w:rPr>
          <w:rFonts w:ascii="Palatino Linotype" w:eastAsia="Palatino Linotype" w:hAnsi="Palatino Linotype" w:cs="Palatino Linotype"/>
          <w:color w:val="000000" w:themeColor="text1"/>
          <w:sz w:val="24"/>
          <w:szCs w:val="24"/>
        </w:rPr>
        <w:t xml:space="preserve">de la </w:t>
      </w:r>
      <w:r w:rsidRPr="00BE3318">
        <w:rPr>
          <w:rFonts w:ascii="Palatino Linotype" w:eastAsia="Palatino Linotype" w:hAnsi="Palatino Linotype" w:cs="Palatino Linotype"/>
          <w:b/>
          <w:color w:val="000000" w:themeColor="text1"/>
          <w:sz w:val="24"/>
          <w:szCs w:val="24"/>
        </w:rPr>
        <w:t>Ley de Transparencia y Acceso a la Información Pública del Estado de México y Municipios</w:t>
      </w:r>
      <w:r w:rsidRPr="00BE3318">
        <w:rPr>
          <w:rFonts w:ascii="Palatino Linotype" w:eastAsia="Palatino Linotype" w:hAnsi="Palatino Linotype" w:cs="Palatino Linotype"/>
          <w:color w:val="000000" w:themeColor="text1"/>
          <w:sz w:val="24"/>
          <w:szCs w:val="24"/>
        </w:rPr>
        <w:t xml:space="preserve">; fracción que determina las hipótesis jurídica relativa a la entrega de información incompleta; contexto del cual se dolió </w:t>
      </w:r>
      <w:r w:rsidRPr="00BE3318">
        <w:rPr>
          <w:rFonts w:ascii="Palatino Linotype" w:eastAsia="Palatino Linotype" w:hAnsi="Palatino Linotype" w:cs="Palatino Linotype"/>
          <w:b/>
          <w:color w:val="000000" w:themeColor="text1"/>
          <w:sz w:val="24"/>
          <w:szCs w:val="24"/>
        </w:rPr>
        <w:t xml:space="preserve">EL RECURRENTE </w:t>
      </w:r>
      <w:r w:rsidRPr="00BE3318">
        <w:rPr>
          <w:rFonts w:ascii="Palatino Linotype" w:eastAsia="Palatino Linotype" w:hAnsi="Palatino Linotype" w:cs="Palatino Linotype"/>
          <w:color w:val="000000" w:themeColor="text1"/>
          <w:sz w:val="24"/>
          <w:szCs w:val="24"/>
        </w:rPr>
        <w:t xml:space="preserve">al momento de interponer su inconformidad. De modo tal que, el presente recurso de revisión se abocara en determinar si el </w:t>
      </w:r>
      <w:r w:rsidRPr="00BE3318">
        <w:rPr>
          <w:rFonts w:ascii="Palatino Linotype" w:eastAsia="Palatino Linotype" w:hAnsi="Palatino Linotype" w:cs="Palatino Linotype"/>
          <w:b/>
          <w:color w:val="000000" w:themeColor="text1"/>
          <w:sz w:val="24"/>
          <w:szCs w:val="24"/>
        </w:rPr>
        <w:t>SUJETO</w:t>
      </w:r>
      <w:r w:rsidRPr="00BE3318">
        <w:rPr>
          <w:rFonts w:ascii="Palatino Linotype" w:eastAsia="Palatino Linotype" w:hAnsi="Palatino Linotype" w:cs="Palatino Linotype"/>
          <w:color w:val="000000" w:themeColor="text1"/>
          <w:sz w:val="24"/>
          <w:szCs w:val="24"/>
        </w:rPr>
        <w:t xml:space="preserve"> </w:t>
      </w:r>
      <w:r w:rsidRPr="00BE3318">
        <w:rPr>
          <w:rFonts w:ascii="Palatino Linotype" w:eastAsia="Palatino Linotype" w:hAnsi="Palatino Linotype" w:cs="Palatino Linotype"/>
          <w:b/>
          <w:color w:val="000000" w:themeColor="text1"/>
          <w:sz w:val="24"/>
          <w:szCs w:val="24"/>
        </w:rPr>
        <w:t>OBLIGADO</w:t>
      </w:r>
      <w:r w:rsidRPr="00BE3318">
        <w:rPr>
          <w:rFonts w:ascii="Palatino Linotype" w:eastAsia="Palatino Linotype" w:hAnsi="Palatino Linotype" w:cs="Palatino Linotype"/>
          <w:color w:val="000000" w:themeColor="text1"/>
          <w:sz w:val="24"/>
          <w:szCs w:val="24"/>
        </w:rPr>
        <w:t xml:space="preserve"> con su respuesta ciertamente actualiza la causal de procedencia</w:t>
      </w:r>
      <w:r w:rsidRPr="00BE3318">
        <w:rPr>
          <w:rFonts w:ascii="Palatino Linotype" w:eastAsia="Palatino Linotype" w:hAnsi="Palatino Linotype" w:cs="Palatino Linotype"/>
          <w:b/>
          <w:color w:val="000000" w:themeColor="text1"/>
          <w:sz w:val="24"/>
          <w:szCs w:val="24"/>
        </w:rPr>
        <w:t xml:space="preserve"> </w:t>
      </w:r>
      <w:r w:rsidRPr="00BE3318">
        <w:rPr>
          <w:rFonts w:ascii="Palatino Linotype" w:eastAsia="Palatino Linotype" w:hAnsi="Palatino Linotype" w:cs="Palatino Linotype"/>
          <w:color w:val="000000" w:themeColor="text1"/>
          <w:sz w:val="24"/>
          <w:szCs w:val="24"/>
        </w:rPr>
        <w:t>antes señalada. Así como comprobar si la respuesta emitida resulta congruente e integral en términos del artículo 11 de la ley de la materia.</w:t>
      </w:r>
    </w:p>
    <w:p w14:paraId="663FA1E8" w14:textId="77777777" w:rsidR="00ED077A" w:rsidRPr="00BE3318" w:rsidRDefault="00ED077A" w:rsidP="00A96522">
      <w:pPr>
        <w:pBdr>
          <w:top w:val="nil"/>
          <w:left w:val="nil"/>
          <w:bottom w:val="nil"/>
          <w:right w:val="nil"/>
          <w:between w:val="nil"/>
        </w:pBdr>
        <w:rPr>
          <w:rFonts w:ascii="Palatino Linotype" w:eastAsia="Palatino Linotype" w:hAnsi="Palatino Linotype" w:cs="Palatino Linotype"/>
          <w:color w:val="000000" w:themeColor="text1"/>
          <w:sz w:val="24"/>
          <w:szCs w:val="24"/>
        </w:rPr>
      </w:pPr>
    </w:p>
    <w:p w14:paraId="32333DBD" w14:textId="77777777" w:rsidR="00ED077A" w:rsidRPr="00BE3318" w:rsidRDefault="004629A8" w:rsidP="00A96522">
      <w:pPr>
        <w:pStyle w:val="Ttulo2"/>
        <w:rPr>
          <w:rFonts w:ascii="Palatino Linotype" w:eastAsia="Palatino Linotype" w:hAnsi="Palatino Linotype" w:cs="Palatino Linotype"/>
          <w:b/>
          <w:color w:val="000000" w:themeColor="text1"/>
          <w:sz w:val="24"/>
          <w:szCs w:val="24"/>
        </w:rPr>
      </w:pPr>
      <w:bookmarkStart w:id="7" w:name="_heading=h.3dy6vkm" w:colFirst="0" w:colLast="0"/>
      <w:bookmarkEnd w:id="7"/>
      <w:r w:rsidRPr="00BE3318">
        <w:rPr>
          <w:rFonts w:ascii="Palatino Linotype" w:eastAsia="Palatino Linotype" w:hAnsi="Palatino Linotype" w:cs="Palatino Linotype"/>
          <w:b/>
          <w:color w:val="000000" w:themeColor="text1"/>
          <w:sz w:val="24"/>
          <w:szCs w:val="24"/>
        </w:rPr>
        <w:t>CUARTO. Del estudio y resolución del asunto.</w:t>
      </w:r>
    </w:p>
    <w:p w14:paraId="552ED4B3" w14:textId="77777777"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bookmarkStart w:id="8" w:name="_heading=h.bmqnep3dxv96" w:colFirst="0" w:colLast="0"/>
      <w:bookmarkEnd w:id="8"/>
      <w:r w:rsidRPr="00BE3318">
        <w:rPr>
          <w:rFonts w:ascii="Palatino Linotype" w:eastAsia="Palatino Linotype" w:hAnsi="Palatino Linotype" w:cs="Palatino Linotype"/>
          <w:color w:val="000000" w:themeColor="text1"/>
          <w:sz w:val="24"/>
          <w:szCs w:val="24"/>
        </w:rPr>
        <w:t xml:space="preserve">Dicho lo anterior, este Órgano Resolutor se </w:t>
      </w:r>
      <w:r w:rsidR="001B5700" w:rsidRPr="00BE3318">
        <w:rPr>
          <w:rFonts w:ascii="Palatino Linotype" w:eastAsia="Palatino Linotype" w:hAnsi="Palatino Linotype" w:cs="Palatino Linotype"/>
          <w:color w:val="000000" w:themeColor="text1"/>
          <w:sz w:val="24"/>
          <w:szCs w:val="24"/>
        </w:rPr>
        <w:t>abocará</w:t>
      </w:r>
      <w:r w:rsidRPr="00BE3318">
        <w:rPr>
          <w:rFonts w:ascii="Palatino Linotype" w:eastAsia="Palatino Linotype" w:hAnsi="Palatino Linotype" w:cs="Palatino Linotype"/>
          <w:color w:val="000000" w:themeColor="text1"/>
          <w:sz w:val="24"/>
          <w:szCs w:val="24"/>
        </w:rPr>
        <w:t xml:space="preserve"> a realizar el estudio en conjunto de todas las constancias que obran en el SAIMEX, con la finalidad de poder determinar si los motivos de inconformidad hechos valer por el ahora </w:t>
      </w:r>
      <w:r w:rsidRPr="00BE3318">
        <w:rPr>
          <w:rFonts w:ascii="Palatino Linotype" w:eastAsia="Palatino Linotype" w:hAnsi="Palatino Linotype" w:cs="Palatino Linotype"/>
          <w:b/>
          <w:color w:val="000000" w:themeColor="text1"/>
          <w:sz w:val="24"/>
          <w:szCs w:val="24"/>
        </w:rPr>
        <w:t xml:space="preserve">RECURRENTE, </w:t>
      </w:r>
      <w:r w:rsidRPr="00BE3318">
        <w:rPr>
          <w:rFonts w:ascii="Palatino Linotype" w:eastAsia="Palatino Linotype" w:hAnsi="Palatino Linotype" w:cs="Palatino Linotype"/>
          <w:color w:val="000000" w:themeColor="text1"/>
          <w:sz w:val="24"/>
          <w:szCs w:val="24"/>
        </w:rPr>
        <w:t xml:space="preserve">resultan fundados. </w:t>
      </w:r>
    </w:p>
    <w:p w14:paraId="00A2B8F6" w14:textId="77777777" w:rsidR="00ED077A" w:rsidRPr="00BE3318" w:rsidRDefault="00ED077A" w:rsidP="00A96522">
      <w:pPr>
        <w:spacing w:line="360" w:lineRule="auto"/>
        <w:jc w:val="both"/>
        <w:rPr>
          <w:rFonts w:ascii="Palatino Linotype" w:eastAsia="Palatino Linotype" w:hAnsi="Palatino Linotype" w:cs="Palatino Linotype"/>
          <w:color w:val="000000" w:themeColor="text1"/>
          <w:sz w:val="24"/>
          <w:szCs w:val="24"/>
        </w:rPr>
      </w:pPr>
    </w:p>
    <w:p w14:paraId="7D9E785A" w14:textId="77777777"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Respecto a la fuente obligacional, se advierte que el </w:t>
      </w:r>
      <w:r w:rsidRPr="00BE3318">
        <w:rPr>
          <w:rFonts w:ascii="Palatino Linotype" w:eastAsia="Palatino Linotype" w:hAnsi="Palatino Linotype" w:cs="Palatino Linotype"/>
          <w:b/>
          <w:color w:val="000000" w:themeColor="text1"/>
          <w:sz w:val="24"/>
          <w:szCs w:val="24"/>
        </w:rPr>
        <w:t xml:space="preserve">SUJETO OBLIGADO, </w:t>
      </w:r>
      <w:r w:rsidRPr="00BE3318">
        <w:rPr>
          <w:rFonts w:ascii="Palatino Linotype" w:eastAsia="Palatino Linotype" w:hAnsi="Palatino Linotype" w:cs="Palatino Linotype"/>
          <w:color w:val="000000" w:themeColor="text1"/>
          <w:sz w:val="24"/>
          <w:szCs w:val="24"/>
        </w:rPr>
        <w:t xml:space="preserve">acepta que genera, posee y/o administra la información solicitada, tan es así que la pone a disposición del ahora </w:t>
      </w:r>
      <w:r w:rsidRPr="00BE3318">
        <w:rPr>
          <w:rFonts w:ascii="Palatino Linotype" w:eastAsia="Palatino Linotype" w:hAnsi="Palatino Linotype" w:cs="Palatino Linotype"/>
          <w:b/>
          <w:color w:val="000000" w:themeColor="text1"/>
          <w:sz w:val="24"/>
          <w:szCs w:val="24"/>
        </w:rPr>
        <w:t xml:space="preserve">RECURRENTE, </w:t>
      </w:r>
      <w:r w:rsidRPr="00BE3318">
        <w:rPr>
          <w:rFonts w:ascii="Palatino Linotype" w:eastAsia="Palatino Linotype" w:hAnsi="Palatino Linotype" w:cs="Palatino Linotype"/>
          <w:color w:val="000000" w:themeColor="text1"/>
          <w:sz w:val="24"/>
          <w:szCs w:val="24"/>
        </w:rPr>
        <w:t xml:space="preserve">por lo que se considera innecesario realizar el estudio correspondiente, pues –se insiste- este asume contar con la información.  </w:t>
      </w:r>
    </w:p>
    <w:p w14:paraId="437BFD5F" w14:textId="77777777" w:rsidR="00ED077A" w:rsidRPr="00BE3318" w:rsidRDefault="00ED077A" w:rsidP="00A96522">
      <w:pPr>
        <w:spacing w:line="360" w:lineRule="auto"/>
        <w:jc w:val="both"/>
        <w:rPr>
          <w:rFonts w:ascii="Palatino Linotype" w:eastAsia="Palatino Linotype" w:hAnsi="Palatino Linotype" w:cs="Palatino Linotype"/>
          <w:color w:val="000000" w:themeColor="text1"/>
          <w:sz w:val="24"/>
          <w:szCs w:val="24"/>
        </w:rPr>
      </w:pPr>
    </w:p>
    <w:p w14:paraId="06B40174" w14:textId="77777777"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lastRenderedPageBreak/>
        <w:t xml:space="preserve">Ahora bien, respecto de la información solicitada y la información proporcionada por el </w:t>
      </w:r>
      <w:r w:rsidRPr="00BE3318">
        <w:rPr>
          <w:rFonts w:ascii="Palatino Linotype" w:eastAsia="Palatino Linotype" w:hAnsi="Palatino Linotype" w:cs="Palatino Linotype"/>
          <w:b/>
          <w:color w:val="000000" w:themeColor="text1"/>
          <w:sz w:val="24"/>
          <w:szCs w:val="24"/>
        </w:rPr>
        <w:t xml:space="preserve">SUJETO OBLIGADO, </w:t>
      </w:r>
      <w:r w:rsidRPr="00BE3318">
        <w:rPr>
          <w:rFonts w:ascii="Palatino Linotype" w:eastAsia="Palatino Linotype" w:hAnsi="Palatino Linotype" w:cs="Palatino Linotype"/>
          <w:color w:val="000000" w:themeColor="text1"/>
          <w:sz w:val="24"/>
          <w:szCs w:val="24"/>
        </w:rPr>
        <w:t>se advierte lo siguiente:</w:t>
      </w:r>
    </w:p>
    <w:p w14:paraId="42A86DBF" w14:textId="77777777" w:rsidR="00ED077A" w:rsidRPr="00BE3318" w:rsidRDefault="00ED077A" w:rsidP="00A96522">
      <w:pPr>
        <w:spacing w:line="360" w:lineRule="auto"/>
        <w:jc w:val="both"/>
        <w:rPr>
          <w:rFonts w:ascii="Palatino Linotype" w:eastAsia="Palatino Linotype" w:hAnsi="Palatino Linotype" w:cs="Palatino Linotype"/>
          <w:color w:val="000000" w:themeColor="text1"/>
          <w:sz w:val="24"/>
          <w:szCs w:val="24"/>
        </w:rPr>
      </w:pPr>
    </w:p>
    <w:tbl>
      <w:tblPr>
        <w:tblStyle w:val="a"/>
        <w:tblW w:w="97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402"/>
        <w:gridCol w:w="3261"/>
      </w:tblGrid>
      <w:tr w:rsidR="00A96522" w:rsidRPr="00BE3318" w14:paraId="3F37CFA3" w14:textId="77777777" w:rsidTr="008C5AC7">
        <w:trPr>
          <w:jc w:val="center"/>
        </w:trPr>
        <w:tc>
          <w:tcPr>
            <w:tcW w:w="3119" w:type="dxa"/>
            <w:shd w:val="clear" w:color="auto" w:fill="F2F2F2"/>
            <w:vAlign w:val="center"/>
          </w:tcPr>
          <w:p w14:paraId="5287117A" w14:textId="77777777" w:rsidR="00ED077A" w:rsidRPr="00BE3318" w:rsidRDefault="004629A8" w:rsidP="00A96522">
            <w:pPr>
              <w:jc w:val="center"/>
              <w:rPr>
                <w:rFonts w:ascii="Palatino Linotype" w:eastAsia="Palatino Linotype" w:hAnsi="Palatino Linotype" w:cs="Palatino Linotype"/>
                <w:b/>
                <w:color w:val="000000" w:themeColor="text1"/>
                <w:sz w:val="24"/>
                <w:szCs w:val="24"/>
              </w:rPr>
            </w:pPr>
            <w:r w:rsidRPr="00BE3318">
              <w:rPr>
                <w:rFonts w:ascii="Palatino Linotype" w:eastAsia="Palatino Linotype" w:hAnsi="Palatino Linotype" w:cs="Palatino Linotype"/>
                <w:b/>
                <w:color w:val="000000" w:themeColor="text1"/>
                <w:sz w:val="24"/>
                <w:szCs w:val="24"/>
              </w:rPr>
              <w:t>Solicitud</w:t>
            </w:r>
          </w:p>
        </w:tc>
        <w:tc>
          <w:tcPr>
            <w:tcW w:w="3402" w:type="dxa"/>
            <w:shd w:val="clear" w:color="auto" w:fill="F2F2F2"/>
            <w:vAlign w:val="center"/>
          </w:tcPr>
          <w:p w14:paraId="22B64E0A" w14:textId="77777777" w:rsidR="00ED077A" w:rsidRPr="00BE3318" w:rsidRDefault="004629A8" w:rsidP="00A96522">
            <w:pPr>
              <w:jc w:val="center"/>
              <w:rPr>
                <w:rFonts w:ascii="Palatino Linotype" w:eastAsia="Palatino Linotype" w:hAnsi="Palatino Linotype" w:cs="Palatino Linotype"/>
                <w:b/>
                <w:color w:val="000000" w:themeColor="text1"/>
                <w:sz w:val="24"/>
                <w:szCs w:val="24"/>
              </w:rPr>
            </w:pPr>
            <w:r w:rsidRPr="00BE3318">
              <w:rPr>
                <w:rFonts w:ascii="Palatino Linotype" w:eastAsia="Palatino Linotype" w:hAnsi="Palatino Linotype" w:cs="Palatino Linotype"/>
                <w:b/>
                <w:color w:val="000000" w:themeColor="text1"/>
                <w:sz w:val="24"/>
                <w:szCs w:val="24"/>
              </w:rPr>
              <w:t>Respuesta</w:t>
            </w:r>
          </w:p>
        </w:tc>
        <w:tc>
          <w:tcPr>
            <w:tcW w:w="3261" w:type="dxa"/>
            <w:shd w:val="clear" w:color="auto" w:fill="F2F2F2"/>
            <w:vAlign w:val="center"/>
          </w:tcPr>
          <w:p w14:paraId="46DC8B82" w14:textId="77777777" w:rsidR="00ED077A" w:rsidRPr="00BE3318" w:rsidRDefault="00ED077A" w:rsidP="00A96522">
            <w:pPr>
              <w:jc w:val="center"/>
              <w:rPr>
                <w:rFonts w:ascii="Palatino Linotype" w:eastAsia="Palatino Linotype" w:hAnsi="Palatino Linotype" w:cs="Palatino Linotype"/>
                <w:b/>
                <w:color w:val="000000" w:themeColor="text1"/>
                <w:sz w:val="24"/>
                <w:szCs w:val="24"/>
              </w:rPr>
            </w:pPr>
          </w:p>
          <w:p w14:paraId="15E0C4B5" w14:textId="77777777" w:rsidR="00ED077A" w:rsidRPr="00BE3318" w:rsidRDefault="004629A8" w:rsidP="00A96522">
            <w:pPr>
              <w:jc w:val="center"/>
              <w:rPr>
                <w:rFonts w:ascii="Palatino Linotype" w:eastAsia="Palatino Linotype" w:hAnsi="Palatino Linotype" w:cs="Palatino Linotype"/>
                <w:b/>
                <w:color w:val="000000" w:themeColor="text1"/>
                <w:sz w:val="24"/>
                <w:szCs w:val="24"/>
              </w:rPr>
            </w:pPr>
            <w:r w:rsidRPr="00BE3318">
              <w:rPr>
                <w:rFonts w:ascii="Palatino Linotype" w:eastAsia="Palatino Linotype" w:hAnsi="Palatino Linotype" w:cs="Palatino Linotype"/>
                <w:b/>
                <w:color w:val="000000" w:themeColor="text1"/>
                <w:sz w:val="24"/>
                <w:szCs w:val="24"/>
              </w:rPr>
              <w:t>¿Colma?</w:t>
            </w:r>
          </w:p>
          <w:p w14:paraId="6AE71C5B" w14:textId="77777777" w:rsidR="00ED077A" w:rsidRPr="00BE3318" w:rsidRDefault="00ED077A" w:rsidP="00A96522">
            <w:pPr>
              <w:jc w:val="center"/>
              <w:rPr>
                <w:rFonts w:ascii="Palatino Linotype" w:eastAsia="Palatino Linotype" w:hAnsi="Palatino Linotype" w:cs="Palatino Linotype"/>
                <w:b/>
                <w:color w:val="000000" w:themeColor="text1"/>
                <w:sz w:val="24"/>
                <w:szCs w:val="24"/>
              </w:rPr>
            </w:pPr>
          </w:p>
        </w:tc>
      </w:tr>
      <w:tr w:rsidR="00A96522" w:rsidRPr="00BE3318" w14:paraId="1B742BD4" w14:textId="77777777" w:rsidTr="008C5AC7">
        <w:trPr>
          <w:jc w:val="center"/>
        </w:trPr>
        <w:tc>
          <w:tcPr>
            <w:tcW w:w="3119" w:type="dxa"/>
            <w:vAlign w:val="center"/>
          </w:tcPr>
          <w:p w14:paraId="5B256E5D" w14:textId="77777777" w:rsidR="00ED077A" w:rsidRPr="00BE3318" w:rsidRDefault="004629A8" w:rsidP="00A96522">
            <w:pPr>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Todas las convocatorias publicadas del uno de enero al veintiuno de febrero de dos mil veinticinco. </w:t>
            </w:r>
          </w:p>
        </w:tc>
        <w:tc>
          <w:tcPr>
            <w:tcW w:w="3402" w:type="dxa"/>
            <w:vAlign w:val="center"/>
          </w:tcPr>
          <w:p w14:paraId="4607D0EF" w14:textId="77777777" w:rsidR="00ED077A" w:rsidRPr="00BE3318" w:rsidRDefault="00ED077A" w:rsidP="00A96522">
            <w:pPr>
              <w:jc w:val="both"/>
              <w:rPr>
                <w:rFonts w:ascii="Palatino Linotype" w:eastAsia="Palatino Linotype" w:hAnsi="Palatino Linotype" w:cs="Palatino Linotype"/>
                <w:color w:val="000000" w:themeColor="text1"/>
                <w:sz w:val="24"/>
                <w:szCs w:val="24"/>
              </w:rPr>
            </w:pPr>
          </w:p>
          <w:p w14:paraId="34E730EC" w14:textId="77777777" w:rsidR="00ED077A" w:rsidRPr="00BE3318" w:rsidRDefault="004629A8" w:rsidP="00A96522">
            <w:pPr>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-Convocatoria para Participación en el Proceso de Selección y Designación de la Persona Titular del órgano Interno de Control.</w:t>
            </w:r>
          </w:p>
          <w:p w14:paraId="244CAE3E" w14:textId="77777777" w:rsidR="00ED077A" w:rsidRPr="00BE3318" w:rsidRDefault="00ED077A" w:rsidP="00A96522">
            <w:pPr>
              <w:jc w:val="both"/>
              <w:rPr>
                <w:rFonts w:ascii="Palatino Linotype" w:eastAsia="Palatino Linotype" w:hAnsi="Palatino Linotype" w:cs="Palatino Linotype"/>
                <w:color w:val="000000" w:themeColor="text1"/>
                <w:sz w:val="24"/>
                <w:szCs w:val="24"/>
              </w:rPr>
            </w:pPr>
          </w:p>
          <w:p w14:paraId="2CC55891" w14:textId="77777777" w:rsidR="00ED077A" w:rsidRPr="00BE3318" w:rsidRDefault="004629A8" w:rsidP="00A96522">
            <w:pPr>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-Convocatoria a la Primera Sesión de Cabildo Abierto. </w:t>
            </w:r>
          </w:p>
          <w:p w14:paraId="29E37690" w14:textId="77777777" w:rsidR="00ED077A" w:rsidRPr="00BE3318" w:rsidRDefault="00ED077A" w:rsidP="00A96522">
            <w:pPr>
              <w:jc w:val="both"/>
              <w:rPr>
                <w:rFonts w:ascii="Palatino Linotype" w:eastAsia="Palatino Linotype" w:hAnsi="Palatino Linotype" w:cs="Palatino Linotype"/>
                <w:color w:val="000000" w:themeColor="text1"/>
                <w:sz w:val="24"/>
                <w:szCs w:val="24"/>
              </w:rPr>
            </w:pPr>
          </w:p>
          <w:p w14:paraId="16483B85" w14:textId="77777777" w:rsidR="00ED077A" w:rsidRPr="00BE3318" w:rsidRDefault="004629A8" w:rsidP="00A96522">
            <w:pPr>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Convocatoria para la elección de Delegados y Subdelegados del Municipio de Toluca 2025-2027.</w:t>
            </w:r>
          </w:p>
          <w:p w14:paraId="6C20228C" w14:textId="77777777" w:rsidR="00ED077A" w:rsidRPr="00BE3318" w:rsidRDefault="00ED077A" w:rsidP="00A96522">
            <w:pPr>
              <w:jc w:val="both"/>
              <w:rPr>
                <w:rFonts w:ascii="Palatino Linotype" w:eastAsia="Palatino Linotype" w:hAnsi="Palatino Linotype" w:cs="Palatino Linotype"/>
                <w:color w:val="000000" w:themeColor="text1"/>
                <w:sz w:val="24"/>
                <w:szCs w:val="24"/>
              </w:rPr>
            </w:pPr>
          </w:p>
          <w:p w14:paraId="27DA4EC5" w14:textId="77777777" w:rsidR="00ED077A" w:rsidRPr="00BE3318" w:rsidRDefault="004629A8" w:rsidP="00A96522">
            <w:pPr>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Convocatoria para la elección de Consejos de Participación Ciudadana del Municipio de Toluca.</w:t>
            </w:r>
          </w:p>
          <w:p w14:paraId="7D0CA36B" w14:textId="77777777" w:rsidR="00ED077A" w:rsidRPr="00BE3318" w:rsidRDefault="00ED077A" w:rsidP="00A96522">
            <w:pPr>
              <w:jc w:val="both"/>
              <w:rPr>
                <w:rFonts w:ascii="Palatino Linotype" w:eastAsia="Palatino Linotype" w:hAnsi="Palatino Linotype" w:cs="Palatino Linotype"/>
                <w:color w:val="000000" w:themeColor="text1"/>
                <w:sz w:val="24"/>
                <w:szCs w:val="24"/>
              </w:rPr>
            </w:pPr>
          </w:p>
          <w:p w14:paraId="68E6477D" w14:textId="77777777" w:rsidR="00ED077A" w:rsidRPr="00BE3318" w:rsidRDefault="004629A8" w:rsidP="00A96522">
            <w:pPr>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Consulta previa a la Convocatoria para Designar a la o el Representante Indígena ante el Ayuntamiento de Toluca 2025-2027.</w:t>
            </w:r>
          </w:p>
          <w:p w14:paraId="65517DEB" w14:textId="77777777" w:rsidR="00ED077A" w:rsidRPr="00BE3318" w:rsidRDefault="00ED077A" w:rsidP="00A96522">
            <w:pPr>
              <w:jc w:val="both"/>
              <w:rPr>
                <w:rFonts w:ascii="Palatino Linotype" w:eastAsia="Palatino Linotype" w:hAnsi="Palatino Linotype" w:cs="Palatino Linotype"/>
                <w:color w:val="000000" w:themeColor="text1"/>
                <w:sz w:val="24"/>
                <w:szCs w:val="24"/>
              </w:rPr>
            </w:pPr>
          </w:p>
        </w:tc>
        <w:tc>
          <w:tcPr>
            <w:tcW w:w="3261" w:type="dxa"/>
            <w:vAlign w:val="center"/>
          </w:tcPr>
          <w:p w14:paraId="025895B6" w14:textId="77777777" w:rsidR="00ED077A" w:rsidRPr="00BE3318" w:rsidRDefault="004629A8" w:rsidP="00A96522">
            <w:pPr>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b/>
                <w:color w:val="000000" w:themeColor="text1"/>
                <w:sz w:val="24"/>
                <w:szCs w:val="24"/>
              </w:rPr>
              <w:t xml:space="preserve">SI, </w:t>
            </w:r>
            <w:r w:rsidRPr="00BE3318">
              <w:rPr>
                <w:rFonts w:ascii="Palatino Linotype" w:eastAsia="Palatino Linotype" w:hAnsi="Palatino Linotype" w:cs="Palatino Linotype"/>
                <w:color w:val="000000" w:themeColor="text1"/>
                <w:sz w:val="24"/>
                <w:szCs w:val="24"/>
              </w:rPr>
              <w:t>el Sujeto Obligado, refirió que hizo entrega de toda la información que obra en sus archivos, haciendo alusión al artículo 12 de la Ley Adjetiva en la materia.</w:t>
            </w:r>
          </w:p>
        </w:tc>
      </w:tr>
      <w:tr w:rsidR="00ED077A" w:rsidRPr="00BE3318" w14:paraId="168A74CA" w14:textId="77777777" w:rsidTr="008C5AC7">
        <w:trPr>
          <w:jc w:val="center"/>
        </w:trPr>
        <w:tc>
          <w:tcPr>
            <w:tcW w:w="3119" w:type="dxa"/>
            <w:vAlign w:val="center"/>
          </w:tcPr>
          <w:p w14:paraId="52C22D26" w14:textId="77777777" w:rsidR="00ED077A" w:rsidRPr="00BE3318" w:rsidRDefault="004629A8" w:rsidP="00A96522">
            <w:pPr>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lastRenderedPageBreak/>
              <w:t>Expedientes de los postulantes y los ganadores.</w:t>
            </w:r>
          </w:p>
        </w:tc>
        <w:tc>
          <w:tcPr>
            <w:tcW w:w="3402" w:type="dxa"/>
            <w:vAlign w:val="center"/>
          </w:tcPr>
          <w:p w14:paraId="7E4AE012" w14:textId="77777777" w:rsidR="00ED077A" w:rsidRPr="00BE3318" w:rsidRDefault="00ED077A" w:rsidP="00A96522">
            <w:pPr>
              <w:jc w:val="both"/>
              <w:rPr>
                <w:rFonts w:ascii="Palatino Linotype" w:eastAsia="Palatino Linotype" w:hAnsi="Palatino Linotype" w:cs="Palatino Linotype"/>
                <w:color w:val="000000" w:themeColor="text1"/>
                <w:sz w:val="24"/>
                <w:szCs w:val="24"/>
              </w:rPr>
            </w:pPr>
          </w:p>
          <w:p w14:paraId="19830781" w14:textId="77777777" w:rsidR="00ED077A" w:rsidRPr="00BE3318" w:rsidRDefault="004629A8" w:rsidP="00A96522">
            <w:pPr>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No se advierte que se el </w:t>
            </w:r>
            <w:r w:rsidRPr="00BE3318">
              <w:rPr>
                <w:rFonts w:ascii="Palatino Linotype" w:eastAsia="Palatino Linotype" w:hAnsi="Palatino Linotype" w:cs="Palatino Linotype"/>
                <w:b/>
                <w:color w:val="000000" w:themeColor="text1"/>
                <w:sz w:val="24"/>
                <w:szCs w:val="24"/>
              </w:rPr>
              <w:t xml:space="preserve">SUJETO OBLIGADO, </w:t>
            </w:r>
            <w:r w:rsidRPr="00BE3318">
              <w:rPr>
                <w:rFonts w:ascii="Palatino Linotype" w:eastAsia="Palatino Linotype" w:hAnsi="Palatino Linotype" w:cs="Palatino Linotype"/>
                <w:color w:val="000000" w:themeColor="text1"/>
                <w:sz w:val="24"/>
                <w:szCs w:val="24"/>
              </w:rPr>
              <w:t xml:space="preserve">se haya pronunciado expresamente. </w:t>
            </w:r>
          </w:p>
          <w:p w14:paraId="52C3A82B" w14:textId="77777777" w:rsidR="00ED077A" w:rsidRPr="00BE3318" w:rsidRDefault="00ED077A" w:rsidP="00A96522">
            <w:pPr>
              <w:jc w:val="both"/>
              <w:rPr>
                <w:rFonts w:ascii="Palatino Linotype" w:eastAsia="Palatino Linotype" w:hAnsi="Palatino Linotype" w:cs="Palatino Linotype"/>
                <w:color w:val="000000" w:themeColor="text1"/>
                <w:sz w:val="24"/>
                <w:szCs w:val="24"/>
              </w:rPr>
            </w:pPr>
          </w:p>
        </w:tc>
        <w:tc>
          <w:tcPr>
            <w:tcW w:w="3261" w:type="dxa"/>
            <w:vAlign w:val="center"/>
          </w:tcPr>
          <w:p w14:paraId="37175E53" w14:textId="77777777" w:rsidR="00ED077A" w:rsidRPr="00BE3318" w:rsidRDefault="001B5700" w:rsidP="00A96522">
            <w:pPr>
              <w:jc w:val="center"/>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b/>
                <w:color w:val="000000" w:themeColor="text1"/>
                <w:sz w:val="24"/>
                <w:szCs w:val="24"/>
              </w:rPr>
              <w:t>NO</w:t>
            </w:r>
            <w:r w:rsidR="004629A8" w:rsidRPr="00BE3318">
              <w:rPr>
                <w:rFonts w:ascii="Palatino Linotype" w:eastAsia="Palatino Linotype" w:hAnsi="Palatino Linotype" w:cs="Palatino Linotype"/>
                <w:b/>
                <w:color w:val="000000" w:themeColor="text1"/>
                <w:sz w:val="24"/>
                <w:szCs w:val="24"/>
              </w:rPr>
              <w:t xml:space="preserve">, </w:t>
            </w:r>
            <w:r w:rsidR="004629A8" w:rsidRPr="00BE3318">
              <w:rPr>
                <w:rFonts w:ascii="Palatino Linotype" w:eastAsia="Palatino Linotype" w:hAnsi="Palatino Linotype" w:cs="Palatino Linotype"/>
                <w:color w:val="000000" w:themeColor="text1"/>
                <w:sz w:val="24"/>
                <w:szCs w:val="24"/>
              </w:rPr>
              <w:t>por las razones que se exponen a continuación.</w:t>
            </w:r>
          </w:p>
        </w:tc>
      </w:tr>
    </w:tbl>
    <w:p w14:paraId="58AF2CAB" w14:textId="77777777" w:rsidR="00ED077A" w:rsidRPr="00BE3318" w:rsidRDefault="00ED077A" w:rsidP="00A96522">
      <w:pPr>
        <w:spacing w:line="360" w:lineRule="auto"/>
        <w:jc w:val="both"/>
        <w:rPr>
          <w:rFonts w:ascii="Palatino Linotype" w:eastAsia="Palatino Linotype" w:hAnsi="Palatino Linotype" w:cs="Palatino Linotype"/>
          <w:color w:val="000000" w:themeColor="text1"/>
          <w:sz w:val="24"/>
          <w:szCs w:val="24"/>
        </w:rPr>
      </w:pPr>
    </w:p>
    <w:p w14:paraId="77CDE889" w14:textId="77777777"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Ahora bien, previo a entrar al fondo del asunto, resulta necesario precisar que dada la naturaleza de la información solicitada, </w:t>
      </w:r>
      <w:r w:rsidRPr="00BE3318">
        <w:rPr>
          <w:rFonts w:ascii="Palatino Linotype" w:eastAsia="Palatino Linotype" w:hAnsi="Palatino Linotype" w:cs="Palatino Linotype"/>
          <w:color w:val="000000" w:themeColor="text1"/>
          <w:sz w:val="24"/>
          <w:szCs w:val="24"/>
          <w:u w:val="single"/>
        </w:rPr>
        <w:t>únicamente se hará entrega de la información que integra los expedientes de las personas ganadoras</w:t>
      </w:r>
      <w:r w:rsidRPr="00BE3318">
        <w:rPr>
          <w:rFonts w:ascii="Palatino Linotype" w:eastAsia="Palatino Linotype" w:hAnsi="Palatino Linotype" w:cs="Palatino Linotype"/>
          <w:color w:val="000000" w:themeColor="text1"/>
          <w:sz w:val="24"/>
          <w:szCs w:val="24"/>
        </w:rPr>
        <w:t>, ello en atención a que pues las personas aspirantes aún no ocupan un cargo público el cual permita que dicha información sea considerada pública en atención a sus funciones y atribuciones, pues aún no forman parte del servicio público y consecuencia resulta improcedente hacer entrega de los expedientes de las personas que no fueron seleccionadas para ocupar los cargos en comento,</w:t>
      </w:r>
      <w:r w:rsidR="001B5700" w:rsidRPr="00BE3318">
        <w:rPr>
          <w:rFonts w:ascii="Palatino Linotype" w:eastAsia="Palatino Linotype" w:hAnsi="Palatino Linotype" w:cs="Palatino Linotype"/>
          <w:color w:val="000000" w:themeColor="text1"/>
          <w:sz w:val="24"/>
          <w:szCs w:val="24"/>
        </w:rPr>
        <w:t xml:space="preserve"> por lo que al tratarse de un proceso deliberativo, se trata de información reservada,</w:t>
      </w:r>
      <w:r w:rsidRPr="00BE3318">
        <w:rPr>
          <w:rFonts w:ascii="Palatino Linotype" w:eastAsia="Palatino Linotype" w:hAnsi="Palatino Linotype" w:cs="Palatino Linotype"/>
          <w:color w:val="000000" w:themeColor="text1"/>
          <w:sz w:val="24"/>
          <w:szCs w:val="24"/>
        </w:rPr>
        <w:t xml:space="preserve"> incluido el nombre, de acuerdo a lo siguiente:</w:t>
      </w:r>
    </w:p>
    <w:p w14:paraId="1BF8E53E" w14:textId="77777777" w:rsidR="00ED077A" w:rsidRPr="00BE3318" w:rsidRDefault="004629A8" w:rsidP="00A96522">
      <w:pPr>
        <w:jc w:val="center"/>
        <w:rPr>
          <w:rFonts w:ascii="Palatino Linotype" w:eastAsia="Palatino Linotype" w:hAnsi="Palatino Linotype" w:cs="Palatino Linotype"/>
          <w:b/>
          <w:i/>
          <w:color w:val="000000" w:themeColor="text1"/>
          <w:sz w:val="24"/>
          <w:szCs w:val="24"/>
        </w:rPr>
      </w:pPr>
      <w:r w:rsidRPr="00BE3318">
        <w:rPr>
          <w:rFonts w:ascii="Palatino Linotype" w:eastAsia="Palatino Linotype" w:hAnsi="Palatino Linotype" w:cs="Palatino Linotype"/>
          <w:b/>
          <w:i/>
          <w:color w:val="000000" w:themeColor="text1"/>
          <w:sz w:val="24"/>
          <w:szCs w:val="24"/>
        </w:rPr>
        <w:t>Código Civil del Estado de México:</w:t>
      </w:r>
    </w:p>
    <w:p w14:paraId="367F41CF" w14:textId="77777777" w:rsidR="00ED077A" w:rsidRPr="00BE3318" w:rsidRDefault="004629A8" w:rsidP="00A96522">
      <w:pPr>
        <w:jc w:val="center"/>
        <w:rPr>
          <w:rFonts w:ascii="Palatino Linotype" w:eastAsia="Palatino Linotype" w:hAnsi="Palatino Linotype" w:cs="Palatino Linotype"/>
          <w:b/>
          <w:i/>
          <w:color w:val="000000" w:themeColor="text1"/>
          <w:sz w:val="24"/>
          <w:szCs w:val="24"/>
        </w:rPr>
      </w:pPr>
      <w:r w:rsidRPr="00BE3318">
        <w:rPr>
          <w:rFonts w:ascii="Palatino Linotype" w:eastAsia="Palatino Linotype" w:hAnsi="Palatino Linotype" w:cs="Palatino Linotype"/>
          <w:b/>
          <w:i/>
          <w:color w:val="000000" w:themeColor="text1"/>
          <w:sz w:val="24"/>
          <w:szCs w:val="24"/>
        </w:rPr>
        <w:t>"TITULO CUARTO</w:t>
      </w:r>
    </w:p>
    <w:p w14:paraId="4B0C6436" w14:textId="77777777" w:rsidR="00ED077A" w:rsidRPr="00BE3318" w:rsidRDefault="004629A8" w:rsidP="00A96522">
      <w:pPr>
        <w:jc w:val="center"/>
        <w:rPr>
          <w:rFonts w:ascii="Palatino Linotype" w:eastAsia="Palatino Linotype" w:hAnsi="Palatino Linotype" w:cs="Palatino Linotype"/>
          <w:b/>
          <w:i/>
          <w:color w:val="000000" w:themeColor="text1"/>
          <w:sz w:val="24"/>
          <w:szCs w:val="24"/>
        </w:rPr>
      </w:pPr>
      <w:r w:rsidRPr="00BE3318">
        <w:rPr>
          <w:rFonts w:ascii="Palatino Linotype" w:eastAsia="Palatino Linotype" w:hAnsi="Palatino Linotype" w:cs="Palatino Linotype"/>
          <w:b/>
          <w:i/>
          <w:color w:val="000000" w:themeColor="text1"/>
          <w:sz w:val="24"/>
          <w:szCs w:val="24"/>
        </w:rPr>
        <w:t>Del Nombre de las Personas</w:t>
      </w:r>
    </w:p>
    <w:p w14:paraId="356D466E" w14:textId="77777777" w:rsidR="00ED077A" w:rsidRPr="00BE3318" w:rsidRDefault="004629A8" w:rsidP="00A96522">
      <w:pPr>
        <w:jc w:val="center"/>
        <w:rPr>
          <w:rFonts w:ascii="Palatino Linotype" w:eastAsia="Palatino Linotype" w:hAnsi="Palatino Linotype" w:cs="Palatino Linotype"/>
          <w:b/>
          <w:i/>
          <w:color w:val="000000" w:themeColor="text1"/>
          <w:sz w:val="24"/>
          <w:szCs w:val="24"/>
        </w:rPr>
      </w:pPr>
      <w:r w:rsidRPr="00BE3318">
        <w:rPr>
          <w:rFonts w:ascii="Palatino Linotype" w:eastAsia="Palatino Linotype" w:hAnsi="Palatino Linotype" w:cs="Palatino Linotype"/>
          <w:b/>
          <w:i/>
          <w:color w:val="000000" w:themeColor="text1"/>
          <w:sz w:val="24"/>
          <w:szCs w:val="24"/>
        </w:rPr>
        <w:t>Concepto del nombre de las personas</w:t>
      </w:r>
    </w:p>
    <w:p w14:paraId="3C33C97F" w14:textId="77777777" w:rsidR="00ED077A" w:rsidRPr="00BE3318" w:rsidRDefault="00ED077A" w:rsidP="00A96522">
      <w:pPr>
        <w:jc w:val="center"/>
        <w:rPr>
          <w:rFonts w:ascii="Palatino Linotype" w:eastAsia="Palatino Linotype" w:hAnsi="Palatino Linotype" w:cs="Palatino Linotype"/>
          <w:b/>
          <w:i/>
          <w:color w:val="000000" w:themeColor="text1"/>
          <w:sz w:val="24"/>
          <w:szCs w:val="24"/>
        </w:rPr>
      </w:pPr>
    </w:p>
    <w:p w14:paraId="29C5D751" w14:textId="77777777" w:rsidR="00ED077A" w:rsidRPr="00BE3318" w:rsidRDefault="004629A8" w:rsidP="00A96522">
      <w:pPr>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b/>
          <w:i/>
          <w:color w:val="000000" w:themeColor="text1"/>
          <w:sz w:val="24"/>
          <w:szCs w:val="24"/>
        </w:rPr>
        <w:t>Artículo 2.13.-</w:t>
      </w:r>
      <w:r w:rsidRPr="00BE3318">
        <w:rPr>
          <w:rFonts w:ascii="Palatino Linotype" w:eastAsia="Palatino Linotype" w:hAnsi="Palatino Linotype" w:cs="Palatino Linotype"/>
          <w:i/>
          <w:color w:val="000000" w:themeColor="text1"/>
          <w:sz w:val="24"/>
          <w:szCs w:val="24"/>
        </w:rPr>
        <w:t xml:space="preserve"> El nombre designa e individualiza a una persona.</w:t>
      </w:r>
    </w:p>
    <w:p w14:paraId="25E21186" w14:textId="77777777" w:rsidR="00ED077A" w:rsidRPr="00BE3318" w:rsidRDefault="00ED077A" w:rsidP="00A96522">
      <w:pPr>
        <w:jc w:val="both"/>
        <w:rPr>
          <w:rFonts w:ascii="Palatino Linotype" w:eastAsia="Palatino Linotype" w:hAnsi="Palatino Linotype" w:cs="Palatino Linotype"/>
          <w:i/>
          <w:color w:val="000000" w:themeColor="text1"/>
          <w:sz w:val="24"/>
          <w:szCs w:val="24"/>
        </w:rPr>
      </w:pPr>
    </w:p>
    <w:p w14:paraId="6CC70603" w14:textId="77777777" w:rsidR="00ED077A" w:rsidRPr="00BE3318" w:rsidRDefault="004629A8" w:rsidP="00A96522">
      <w:pPr>
        <w:jc w:val="both"/>
        <w:rPr>
          <w:rFonts w:ascii="Palatino Linotype" w:eastAsia="Palatino Linotype" w:hAnsi="Palatino Linotype" w:cs="Palatino Linotype"/>
          <w:b/>
          <w:i/>
          <w:color w:val="000000" w:themeColor="text1"/>
          <w:sz w:val="24"/>
          <w:szCs w:val="24"/>
        </w:rPr>
      </w:pPr>
      <w:r w:rsidRPr="00BE3318">
        <w:rPr>
          <w:rFonts w:ascii="Palatino Linotype" w:eastAsia="Palatino Linotype" w:hAnsi="Palatino Linotype" w:cs="Palatino Linotype"/>
          <w:b/>
          <w:i/>
          <w:color w:val="000000" w:themeColor="text1"/>
          <w:sz w:val="24"/>
          <w:szCs w:val="24"/>
        </w:rPr>
        <w:t>Composición del nombre de las personas físicas</w:t>
      </w:r>
    </w:p>
    <w:p w14:paraId="2A3E941B" w14:textId="77777777" w:rsidR="00ED077A" w:rsidRPr="00BE3318" w:rsidRDefault="004629A8" w:rsidP="00A96522">
      <w:pPr>
        <w:jc w:val="both"/>
        <w:rPr>
          <w:rFonts w:ascii="Palatino Linotype" w:eastAsia="Palatino Linotype" w:hAnsi="Palatino Linotype" w:cs="Palatino Linotype"/>
          <w:i/>
          <w:color w:val="000000" w:themeColor="text1"/>
          <w:sz w:val="24"/>
          <w:szCs w:val="24"/>
        </w:rPr>
      </w:pPr>
      <w:bookmarkStart w:id="9" w:name="_heading=h.mg8tj5n62adb" w:colFirst="0" w:colLast="0"/>
      <w:bookmarkEnd w:id="9"/>
      <w:r w:rsidRPr="00BE3318">
        <w:rPr>
          <w:rFonts w:ascii="Palatino Linotype" w:eastAsia="Palatino Linotype" w:hAnsi="Palatino Linotype" w:cs="Palatino Linotype"/>
          <w:i/>
          <w:color w:val="000000" w:themeColor="text1"/>
          <w:sz w:val="24"/>
          <w:szCs w:val="24"/>
        </w:rPr>
        <w:t xml:space="preserve">Artículo 2.14.- El nombre de las personas físicas se forma con el sustantivo propio y los apellidos paternos del padre y la madre. Cuando </w:t>
      </w:r>
      <w:r w:rsidRPr="00BE3318">
        <w:rPr>
          <w:rFonts w:ascii="Palatino Linotype" w:eastAsia="Palatino Linotype" w:hAnsi="Palatino Linotype" w:cs="Palatino Linotype"/>
          <w:b/>
          <w:i/>
          <w:color w:val="000000" w:themeColor="text1"/>
          <w:sz w:val="24"/>
          <w:szCs w:val="24"/>
        </w:rPr>
        <w:t xml:space="preserve">sólo lo reconozca uno de ellos, se formará con los apellidos de éste, con </w:t>
      </w:r>
      <w:r w:rsidRPr="00BE3318">
        <w:rPr>
          <w:rFonts w:ascii="Palatino Linotype" w:eastAsia="Palatino Linotype" w:hAnsi="Palatino Linotype" w:cs="Palatino Linotype"/>
          <w:i/>
          <w:color w:val="000000" w:themeColor="text1"/>
          <w:sz w:val="24"/>
          <w:szCs w:val="24"/>
        </w:rPr>
        <w:t>las salvedades que establece el Libro Tercero de este Código."</w:t>
      </w:r>
    </w:p>
    <w:p w14:paraId="3DC4A2C1" w14:textId="77777777" w:rsidR="00ED077A" w:rsidRPr="00BE3318" w:rsidRDefault="00ED077A" w:rsidP="00A96522">
      <w:pPr>
        <w:jc w:val="both"/>
        <w:rPr>
          <w:rFonts w:ascii="Palatino Linotype" w:eastAsia="Palatino Linotype" w:hAnsi="Palatino Linotype" w:cs="Palatino Linotype"/>
          <w:i/>
          <w:color w:val="000000" w:themeColor="text1"/>
          <w:sz w:val="24"/>
          <w:szCs w:val="24"/>
        </w:rPr>
      </w:pPr>
    </w:p>
    <w:p w14:paraId="3BA4A2E0" w14:textId="77777777" w:rsidR="00ED077A" w:rsidRPr="00BE3318" w:rsidRDefault="004629A8" w:rsidP="00A96522">
      <w:pPr>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lastRenderedPageBreak/>
        <w:t xml:space="preserve">Por lo anterior, la información relacionada con el nombre de una persona física es considerada como </w:t>
      </w:r>
      <w:r w:rsidRPr="00BE3318">
        <w:rPr>
          <w:rFonts w:ascii="Palatino Linotype" w:eastAsia="Palatino Linotype" w:hAnsi="Palatino Linotype" w:cs="Palatino Linotype"/>
          <w:b/>
          <w:i/>
          <w:color w:val="000000" w:themeColor="text1"/>
          <w:sz w:val="24"/>
          <w:szCs w:val="24"/>
        </w:rPr>
        <w:t>un dato personal.</w:t>
      </w:r>
    </w:p>
    <w:p w14:paraId="36094045" w14:textId="77777777" w:rsidR="00ED077A" w:rsidRPr="00BE3318" w:rsidRDefault="00ED077A" w:rsidP="00A96522">
      <w:pPr>
        <w:jc w:val="both"/>
        <w:rPr>
          <w:rFonts w:ascii="Palatino Linotype" w:eastAsia="Palatino Linotype" w:hAnsi="Palatino Linotype" w:cs="Palatino Linotype"/>
          <w:color w:val="000000" w:themeColor="text1"/>
          <w:sz w:val="24"/>
          <w:szCs w:val="24"/>
        </w:rPr>
      </w:pPr>
    </w:p>
    <w:p w14:paraId="1BF36931" w14:textId="77777777"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Es así como en un ejercicio de máxima protección y no vulneración de los derechos personales de las personas aspirantes, no es procedente hacer entrega de los expedientes solicitados,</w:t>
      </w:r>
      <w:r w:rsidR="001B5700" w:rsidRPr="00BE3318">
        <w:rPr>
          <w:rFonts w:ascii="Palatino Linotype" w:eastAsia="Palatino Linotype" w:hAnsi="Palatino Linotype" w:cs="Palatino Linotype"/>
          <w:color w:val="000000" w:themeColor="text1"/>
          <w:sz w:val="24"/>
          <w:szCs w:val="24"/>
        </w:rPr>
        <w:t xml:space="preserve"> pues –se insiste- la información es de naturaleza reservada,</w:t>
      </w:r>
      <w:r w:rsidRPr="00BE3318">
        <w:rPr>
          <w:rFonts w:ascii="Palatino Linotype" w:eastAsia="Palatino Linotype" w:hAnsi="Palatino Linotype" w:cs="Palatino Linotype"/>
          <w:color w:val="000000" w:themeColor="text1"/>
          <w:sz w:val="24"/>
          <w:szCs w:val="24"/>
        </w:rPr>
        <w:t xml:space="preserve"> a excepción de la o las personas ganadoras, pues a partir de ello ejercerán un cargo público y en consecuencia la entrega de su expediente abonaría a la transparencia y rendición de cuentas.</w:t>
      </w:r>
    </w:p>
    <w:p w14:paraId="64173346" w14:textId="77777777" w:rsidR="00ED077A" w:rsidRPr="00BE3318" w:rsidRDefault="00ED077A" w:rsidP="00A96522">
      <w:pPr>
        <w:spacing w:line="360" w:lineRule="auto"/>
        <w:jc w:val="both"/>
        <w:rPr>
          <w:rFonts w:ascii="Palatino Linotype" w:eastAsia="Palatino Linotype" w:hAnsi="Palatino Linotype" w:cs="Palatino Linotype"/>
          <w:color w:val="000000" w:themeColor="text1"/>
          <w:sz w:val="24"/>
          <w:szCs w:val="24"/>
        </w:rPr>
      </w:pPr>
    </w:p>
    <w:p w14:paraId="6916E04A" w14:textId="77777777"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 Precisado lo anterior y a efecto de poder determinar lo conducente, se realiza el estudio de manera desglosada respecto los expedientes de los postulantes y ganadores de las convocatorias referidas en respuesta. </w:t>
      </w:r>
    </w:p>
    <w:p w14:paraId="2DA76B3F" w14:textId="77777777" w:rsidR="00ED077A" w:rsidRPr="00BE3318" w:rsidRDefault="00ED077A" w:rsidP="00A96522">
      <w:pPr>
        <w:spacing w:line="360" w:lineRule="auto"/>
        <w:jc w:val="both"/>
        <w:rPr>
          <w:rFonts w:ascii="Palatino Linotype" w:eastAsia="Palatino Linotype" w:hAnsi="Palatino Linotype" w:cs="Palatino Linotype"/>
          <w:color w:val="000000" w:themeColor="text1"/>
          <w:sz w:val="24"/>
          <w:szCs w:val="24"/>
        </w:rPr>
      </w:pPr>
    </w:p>
    <w:p w14:paraId="0ACA2D1A" w14:textId="77777777" w:rsidR="00ED077A" w:rsidRPr="00BE3318" w:rsidRDefault="004629A8" w:rsidP="00A96522">
      <w:pPr>
        <w:numPr>
          <w:ilvl w:val="0"/>
          <w:numId w:val="1"/>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BE3318">
        <w:rPr>
          <w:rFonts w:ascii="Palatino Linotype" w:eastAsia="Palatino Linotype" w:hAnsi="Palatino Linotype" w:cs="Palatino Linotype"/>
          <w:b/>
          <w:color w:val="000000" w:themeColor="text1"/>
          <w:sz w:val="24"/>
          <w:szCs w:val="24"/>
          <w:u w:val="single"/>
        </w:rPr>
        <w:t>Convocatoria para Participación en el Proceso de Selección y Designación de la Persona Titular del órgano Interno de Control.</w:t>
      </w:r>
    </w:p>
    <w:p w14:paraId="0930F06D" w14:textId="77777777" w:rsidR="00ED077A" w:rsidRPr="00BE3318" w:rsidRDefault="00ED077A" w:rsidP="00A96522">
      <w:pPr>
        <w:pBdr>
          <w:top w:val="nil"/>
          <w:left w:val="nil"/>
          <w:bottom w:val="nil"/>
          <w:right w:val="nil"/>
          <w:between w:val="nil"/>
        </w:pBdr>
        <w:spacing w:line="276" w:lineRule="auto"/>
        <w:jc w:val="both"/>
        <w:rPr>
          <w:rFonts w:ascii="Palatino Linotype" w:eastAsia="Palatino Linotype" w:hAnsi="Palatino Linotype" w:cs="Palatino Linotype"/>
          <w:b/>
          <w:color w:val="000000" w:themeColor="text1"/>
          <w:sz w:val="24"/>
          <w:szCs w:val="24"/>
          <w:u w:val="single"/>
        </w:rPr>
      </w:pPr>
    </w:p>
    <w:p w14:paraId="35843EFE" w14:textId="77777777" w:rsidR="00ED077A" w:rsidRPr="00BE3318" w:rsidRDefault="00ED077A" w:rsidP="00A96522">
      <w:pPr>
        <w:pBdr>
          <w:top w:val="nil"/>
          <w:left w:val="nil"/>
          <w:bottom w:val="nil"/>
          <w:right w:val="nil"/>
          <w:between w:val="nil"/>
        </w:pBdr>
        <w:spacing w:line="276" w:lineRule="auto"/>
        <w:jc w:val="both"/>
        <w:rPr>
          <w:rFonts w:ascii="Palatino Linotype" w:eastAsia="Palatino Linotype" w:hAnsi="Palatino Linotype" w:cs="Palatino Linotype"/>
          <w:b/>
          <w:color w:val="000000" w:themeColor="text1"/>
          <w:sz w:val="24"/>
          <w:szCs w:val="24"/>
        </w:rPr>
      </w:pPr>
    </w:p>
    <w:p w14:paraId="2D71755C" w14:textId="77777777"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De tal Convocatoria,  se advierte que las bases son las siguientes:</w:t>
      </w:r>
    </w:p>
    <w:p w14:paraId="218EF0FE" w14:textId="77777777" w:rsidR="00ED077A" w:rsidRPr="00BE3318" w:rsidRDefault="004629A8" w:rsidP="00A96522">
      <w:pPr>
        <w:spacing w:line="276" w:lineRule="auto"/>
        <w:jc w:val="both"/>
        <w:rPr>
          <w:rFonts w:ascii="Palatino Linotype" w:eastAsia="Palatino Linotype" w:hAnsi="Palatino Linotype" w:cs="Palatino Linotype"/>
          <w:b/>
          <w:i/>
          <w:color w:val="000000" w:themeColor="text1"/>
          <w:sz w:val="24"/>
          <w:szCs w:val="24"/>
        </w:rPr>
      </w:pPr>
      <w:r w:rsidRPr="00BE3318">
        <w:rPr>
          <w:rFonts w:ascii="Palatino Linotype" w:eastAsia="Palatino Linotype" w:hAnsi="Palatino Linotype" w:cs="Palatino Linotype"/>
          <w:b/>
          <w:i/>
          <w:color w:val="000000" w:themeColor="text1"/>
          <w:sz w:val="24"/>
          <w:szCs w:val="24"/>
        </w:rPr>
        <w:t>PRIMERA</w:t>
      </w:r>
    </w:p>
    <w:p w14:paraId="03C00270" w14:textId="77777777" w:rsidR="00ED077A" w:rsidRPr="00BE3318" w:rsidRDefault="00ED077A" w:rsidP="00A96522">
      <w:pPr>
        <w:spacing w:line="276" w:lineRule="auto"/>
        <w:jc w:val="both"/>
        <w:rPr>
          <w:rFonts w:ascii="Palatino Linotype" w:eastAsia="Palatino Linotype" w:hAnsi="Palatino Linotype" w:cs="Palatino Linotype"/>
          <w:b/>
          <w:i/>
          <w:color w:val="000000" w:themeColor="text1"/>
          <w:sz w:val="24"/>
          <w:szCs w:val="24"/>
        </w:rPr>
      </w:pPr>
    </w:p>
    <w:p w14:paraId="782A4512"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De los requisitos: las y los aspirantes deberán cumplir y acreditar de manera debida, fehaciente y oportuna ante la Secretaría del Ayuntamiento de Toluca, los requisitos establecidos en el artículo 96 y 113 de la Ley Orgánica Municipal del Estado de México, siguientes:</w:t>
      </w:r>
    </w:p>
    <w:p w14:paraId="08A8C133"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I. Ser persona ciudadana del Estado, en pleno uso de sus derechos;</w:t>
      </w:r>
    </w:p>
    <w:p w14:paraId="4D08662B"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II. No estar inhabilitada o inhabilitado para desempeñar cargo, empleo, o comisión pública;</w:t>
      </w:r>
    </w:p>
    <w:p w14:paraId="564452A4"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III. Contar con título profesional o acreditar experiencia mínima de un año en la materia, ante la o el Presidente o el Ayuntamiento, cuando sea el caso, para el desempeño de los cargos que así lo requieran;</w:t>
      </w:r>
    </w:p>
    <w:p w14:paraId="16234150"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lastRenderedPageBreak/>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14:paraId="618D4478"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V. No estar condenada o condenado por sentencia ejecutoriada por delito de violencia política contra las mujeres en razón de género;</w:t>
      </w:r>
    </w:p>
    <w:p w14:paraId="0388A875"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VI. No estar inscrito en el Registro de Deudores Alimentarios Morosos en el Estado, ni en otra entidad federativa; y</w:t>
      </w:r>
    </w:p>
    <w:p w14:paraId="2CB34375"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VII. No estar condenada o condenado por sentencia ejecutoriada por delitos de violencia familiar, contra la libertad sexual o la violencia de género.</w:t>
      </w:r>
    </w:p>
    <w:p w14:paraId="742FA6C2" w14:textId="77777777" w:rsidR="00ED077A" w:rsidRPr="00BE3318" w:rsidRDefault="00ED077A" w:rsidP="00A96522">
      <w:pPr>
        <w:spacing w:line="276" w:lineRule="auto"/>
        <w:jc w:val="both"/>
        <w:rPr>
          <w:rFonts w:ascii="Palatino Linotype" w:eastAsia="Palatino Linotype" w:hAnsi="Palatino Linotype" w:cs="Palatino Linotype"/>
          <w:i/>
          <w:color w:val="000000" w:themeColor="text1"/>
          <w:sz w:val="24"/>
          <w:szCs w:val="24"/>
        </w:rPr>
      </w:pPr>
    </w:p>
    <w:p w14:paraId="631D56B6" w14:textId="77777777" w:rsidR="00ED077A" w:rsidRPr="00BE3318" w:rsidRDefault="004629A8" w:rsidP="00A96522">
      <w:pPr>
        <w:spacing w:line="276" w:lineRule="auto"/>
        <w:jc w:val="both"/>
        <w:rPr>
          <w:rFonts w:ascii="Palatino Linotype" w:eastAsia="Palatino Linotype" w:hAnsi="Palatino Linotype" w:cs="Palatino Linotype"/>
          <w:b/>
          <w:i/>
          <w:color w:val="000000" w:themeColor="text1"/>
          <w:sz w:val="24"/>
          <w:szCs w:val="24"/>
        </w:rPr>
      </w:pPr>
      <w:r w:rsidRPr="00BE3318">
        <w:rPr>
          <w:rFonts w:ascii="Palatino Linotype" w:eastAsia="Palatino Linotype" w:hAnsi="Palatino Linotype" w:cs="Palatino Linotype"/>
          <w:b/>
          <w:i/>
          <w:color w:val="000000" w:themeColor="text1"/>
          <w:sz w:val="24"/>
          <w:szCs w:val="24"/>
        </w:rPr>
        <w:t>SEGUNDA</w:t>
      </w:r>
    </w:p>
    <w:p w14:paraId="7794763B" w14:textId="77777777" w:rsidR="00ED077A" w:rsidRPr="00BE3318" w:rsidRDefault="00ED077A" w:rsidP="00A96522">
      <w:pPr>
        <w:spacing w:line="276" w:lineRule="auto"/>
        <w:jc w:val="both"/>
        <w:rPr>
          <w:rFonts w:ascii="Palatino Linotype" w:eastAsia="Palatino Linotype" w:hAnsi="Palatino Linotype" w:cs="Palatino Linotype"/>
          <w:b/>
          <w:i/>
          <w:color w:val="000000" w:themeColor="text1"/>
          <w:sz w:val="24"/>
          <w:szCs w:val="24"/>
        </w:rPr>
      </w:pPr>
    </w:p>
    <w:p w14:paraId="1588A7C7"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b/>
          <w:i/>
          <w:color w:val="000000" w:themeColor="text1"/>
          <w:sz w:val="24"/>
          <w:szCs w:val="24"/>
        </w:rPr>
        <w:t xml:space="preserve"> </w:t>
      </w:r>
      <w:r w:rsidRPr="00BE3318">
        <w:rPr>
          <w:rFonts w:ascii="Palatino Linotype" w:eastAsia="Palatino Linotype" w:hAnsi="Palatino Linotype" w:cs="Palatino Linotype"/>
          <w:i/>
          <w:color w:val="000000" w:themeColor="text1"/>
          <w:sz w:val="24"/>
          <w:szCs w:val="24"/>
        </w:rPr>
        <w:t>De la documentación probatoria: deberán ser entregados en original o copia para acreditar el cumplimiento de los requisitos:</w:t>
      </w:r>
    </w:p>
    <w:p w14:paraId="369937F6" w14:textId="77777777" w:rsidR="00ED077A" w:rsidRPr="00BE3318" w:rsidRDefault="00ED077A" w:rsidP="00A96522">
      <w:pPr>
        <w:spacing w:line="276" w:lineRule="auto"/>
        <w:jc w:val="both"/>
        <w:rPr>
          <w:rFonts w:ascii="Palatino Linotype" w:eastAsia="Palatino Linotype" w:hAnsi="Palatino Linotype" w:cs="Palatino Linotype"/>
          <w:i/>
          <w:color w:val="000000" w:themeColor="text1"/>
          <w:sz w:val="24"/>
          <w:szCs w:val="24"/>
        </w:rPr>
      </w:pPr>
    </w:p>
    <w:p w14:paraId="2F04BAD3"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 xml:space="preserve"> I. Acta de nacimiento; </w:t>
      </w:r>
    </w:p>
    <w:p w14:paraId="637FFE0D"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II. Identificación con fotografía;</w:t>
      </w:r>
    </w:p>
    <w:p w14:paraId="40422AEA"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 xml:space="preserve"> III. Constancia de vecindad expedida por la autoridad competente; </w:t>
      </w:r>
    </w:p>
    <w:p w14:paraId="457525F4"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 xml:space="preserve">IV. Curriculum vitae con fotografía, debidamente soportado, con documentación original para su cotejo, señalando nombre completo, fecha de nacimiento, correo electrónico y teléfono de contacto. Se deberán señalar y destacar los años de experiencia en materia de fiscalización, control y manejo de recursos con los que cuente la o el aspirante, así como las actividades y funciones que ha realizado en las materias señaladas. </w:t>
      </w:r>
    </w:p>
    <w:p w14:paraId="3A3DDE67"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 xml:space="preserve">V. Título profesional legalmente expedido en las áreas jurídicas, económicas o contables administrativas, con experiencia mínima de un año; </w:t>
      </w:r>
    </w:p>
    <w:p w14:paraId="7289EA4F"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 xml:space="preserve">VI. Carta bajo protesta de decir verdad, en la que la o el aspirante manifieste que, no ha sido condenado (a) por delito intencional que amerite pena privativa de la libertad; y que no ha sido condenado (a) por delito que se tratare de robo, fraude, falsificación, abuso de confianza o enriquecimiento ilícito cometido contra la administración pública; que no ha sido condenado (a) por sentencia ejecutoriada por delito de violencia política contra las mujeres en razón de género; y además, que no ha sido condenado (a) por </w:t>
      </w:r>
      <w:r w:rsidRPr="00BE3318">
        <w:rPr>
          <w:rFonts w:ascii="Palatino Linotype" w:eastAsia="Palatino Linotype" w:hAnsi="Palatino Linotype" w:cs="Palatino Linotype"/>
          <w:i/>
          <w:color w:val="000000" w:themeColor="text1"/>
          <w:sz w:val="24"/>
          <w:szCs w:val="24"/>
        </w:rPr>
        <w:lastRenderedPageBreak/>
        <w:t>sentencia ejecutoriada por delitos de violencia familiar, contra la libertad sexual o la violencia de género.</w:t>
      </w:r>
    </w:p>
    <w:p w14:paraId="2FEED12F"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VII. Carta con firma autógrafa de aceptación de las bases, procedimientos, deliberaciones y resoluciones de la presente convocatoria;</w:t>
      </w:r>
    </w:p>
    <w:p w14:paraId="77DBD4E8"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VIII. Constancia de no deudor alimentario;</w:t>
      </w:r>
    </w:p>
    <w:p w14:paraId="4783CA82"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IX. Constancia de no inhabilitación para desempeñar el cargo, empleo o comisión pública; e</w:t>
      </w:r>
      <w:r w:rsidRPr="00BE3318">
        <w:rPr>
          <w:rFonts w:ascii="Palatino Linotype" w:eastAsia="Palatino Linotype" w:hAnsi="Palatino Linotype" w:cs="Palatino Linotype"/>
          <w:i/>
          <w:color w:val="000000" w:themeColor="text1"/>
          <w:sz w:val="24"/>
          <w:szCs w:val="24"/>
        </w:rPr>
        <w:br/>
        <w:t>X. Informe de antecedentes no penales, emitido por autoridad competente para tal efecto.</w:t>
      </w:r>
    </w:p>
    <w:p w14:paraId="25FCAB61" w14:textId="77777777" w:rsidR="00ED077A" w:rsidRPr="00BE3318" w:rsidRDefault="00ED077A" w:rsidP="00A96522">
      <w:pPr>
        <w:spacing w:line="276" w:lineRule="auto"/>
        <w:jc w:val="both"/>
        <w:rPr>
          <w:rFonts w:ascii="Palatino Linotype" w:eastAsia="Palatino Linotype" w:hAnsi="Palatino Linotype" w:cs="Palatino Linotype"/>
          <w:i/>
          <w:color w:val="000000" w:themeColor="text1"/>
          <w:sz w:val="24"/>
          <w:szCs w:val="24"/>
        </w:rPr>
      </w:pPr>
    </w:p>
    <w:p w14:paraId="69476D05" w14:textId="652543AA"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color w:val="000000" w:themeColor="text1"/>
          <w:sz w:val="24"/>
          <w:szCs w:val="24"/>
        </w:rPr>
        <w:t>Ahora bien, respecto de  dicha convocatoria no se advierte la fecha de publicación de los resultados, sin embargo este Órgano Resolutor localizó lo siguiente:</w:t>
      </w:r>
      <w:r w:rsidR="008C5AC7">
        <w:rPr>
          <w:rFonts w:ascii="Palatino Linotype" w:eastAsia="Palatino Linotype" w:hAnsi="Palatino Linotype" w:cs="Palatino Linotype"/>
          <w:color w:val="000000" w:themeColor="text1"/>
          <w:sz w:val="24"/>
          <w:szCs w:val="24"/>
        </w:rPr>
        <w:t xml:space="preserve"> ---------------------------</w:t>
      </w:r>
    </w:p>
    <w:p w14:paraId="742E4F46" w14:textId="77777777" w:rsidR="001B5700" w:rsidRPr="00BE3318" w:rsidRDefault="001B5700" w:rsidP="00A96522">
      <w:pPr>
        <w:spacing w:line="360" w:lineRule="auto"/>
        <w:jc w:val="center"/>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noProof/>
          <w:color w:val="000000" w:themeColor="text1"/>
          <w:sz w:val="24"/>
          <w:szCs w:val="24"/>
        </w:rPr>
        <w:lastRenderedPageBreak/>
        <w:drawing>
          <wp:inline distT="0" distB="0" distL="0" distR="0" wp14:anchorId="3B68A693" wp14:editId="38CB2BF2">
            <wp:extent cx="4101147" cy="4896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01147" cy="4896000"/>
                    </a:xfrm>
                    <a:prstGeom prst="rect">
                      <a:avLst/>
                    </a:prstGeom>
                  </pic:spPr>
                </pic:pic>
              </a:graphicData>
            </a:graphic>
          </wp:inline>
        </w:drawing>
      </w:r>
    </w:p>
    <w:p w14:paraId="2FA4374D" w14:textId="77777777" w:rsidR="001B5700" w:rsidRPr="00BE3318" w:rsidRDefault="001B5700" w:rsidP="00A96522">
      <w:pPr>
        <w:spacing w:line="360" w:lineRule="auto"/>
        <w:jc w:val="center"/>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noProof/>
          <w:color w:val="000000" w:themeColor="text1"/>
          <w:sz w:val="24"/>
          <w:szCs w:val="24"/>
        </w:rPr>
        <w:lastRenderedPageBreak/>
        <w:drawing>
          <wp:inline distT="0" distB="0" distL="0" distR="0" wp14:anchorId="6561B4E2" wp14:editId="7065375D">
            <wp:extent cx="3258005" cy="4124901"/>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58005" cy="4124901"/>
                    </a:xfrm>
                    <a:prstGeom prst="rect">
                      <a:avLst/>
                    </a:prstGeom>
                  </pic:spPr>
                </pic:pic>
              </a:graphicData>
            </a:graphic>
          </wp:inline>
        </w:drawing>
      </w:r>
    </w:p>
    <w:p w14:paraId="49EA5D03" w14:textId="77777777" w:rsidR="00950214" w:rsidRPr="00BE3318" w:rsidRDefault="00950214" w:rsidP="00A96522">
      <w:pPr>
        <w:spacing w:line="360" w:lineRule="auto"/>
        <w:jc w:val="center"/>
        <w:rPr>
          <w:rFonts w:ascii="Palatino Linotype" w:eastAsia="Palatino Linotype" w:hAnsi="Palatino Linotype" w:cs="Palatino Linotype"/>
          <w:i/>
          <w:color w:val="000000" w:themeColor="text1"/>
          <w:sz w:val="24"/>
          <w:szCs w:val="24"/>
        </w:rPr>
      </w:pPr>
    </w:p>
    <w:p w14:paraId="3EFF2657" w14:textId="77777777" w:rsidR="001B5700" w:rsidRPr="00BE3318" w:rsidRDefault="001B5700" w:rsidP="00A96522">
      <w:pPr>
        <w:spacing w:line="360" w:lineRule="auto"/>
        <w:jc w:val="center"/>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noProof/>
          <w:color w:val="000000" w:themeColor="text1"/>
          <w:sz w:val="24"/>
          <w:szCs w:val="24"/>
        </w:rPr>
        <w:drawing>
          <wp:inline distT="0" distB="0" distL="0" distR="0" wp14:anchorId="7609CEE3" wp14:editId="7152CE14">
            <wp:extent cx="2966085" cy="1952625"/>
            <wp:effectExtent l="0" t="0" r="571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5537"/>
                    <a:stretch/>
                  </pic:blipFill>
                  <pic:spPr bwMode="auto">
                    <a:xfrm>
                      <a:off x="0" y="0"/>
                      <a:ext cx="2966369" cy="1952812"/>
                    </a:xfrm>
                    <a:prstGeom prst="rect">
                      <a:avLst/>
                    </a:prstGeom>
                    <a:ln>
                      <a:noFill/>
                    </a:ln>
                    <a:extLst>
                      <a:ext uri="{53640926-AAD7-44D8-BBD7-CCE9431645EC}">
                        <a14:shadowObscured xmlns:a14="http://schemas.microsoft.com/office/drawing/2010/main"/>
                      </a:ext>
                    </a:extLst>
                  </pic:spPr>
                </pic:pic>
              </a:graphicData>
            </a:graphic>
          </wp:inline>
        </w:drawing>
      </w:r>
    </w:p>
    <w:p w14:paraId="5D6EA0CF" w14:textId="77777777" w:rsidR="00ED077A" w:rsidRPr="00BE3318" w:rsidRDefault="00ED077A" w:rsidP="00A96522">
      <w:pPr>
        <w:spacing w:line="276" w:lineRule="auto"/>
        <w:jc w:val="both"/>
        <w:rPr>
          <w:rFonts w:ascii="Palatino Linotype" w:eastAsia="Palatino Linotype" w:hAnsi="Palatino Linotype" w:cs="Palatino Linotype"/>
          <w:b/>
          <w:color w:val="000000" w:themeColor="text1"/>
          <w:sz w:val="24"/>
          <w:szCs w:val="24"/>
          <w:u w:val="single"/>
        </w:rPr>
      </w:pPr>
    </w:p>
    <w:p w14:paraId="781C10CB" w14:textId="77777777" w:rsidR="00ED077A" w:rsidRPr="00BE3318" w:rsidRDefault="0029673D" w:rsidP="00A96522">
      <w:pPr>
        <w:numPr>
          <w:ilvl w:val="0"/>
          <w:numId w:val="2"/>
        </w:numPr>
        <w:spacing w:line="276" w:lineRule="auto"/>
        <w:ind w:left="0" w:firstLine="0"/>
        <w:jc w:val="both"/>
        <w:rPr>
          <w:rFonts w:ascii="Palatino Linotype" w:eastAsia="Palatino Linotype" w:hAnsi="Palatino Linotype" w:cs="Palatino Linotype"/>
          <w:b/>
          <w:color w:val="000000" w:themeColor="text1"/>
          <w:sz w:val="24"/>
          <w:szCs w:val="24"/>
          <w:u w:val="single"/>
        </w:rPr>
      </w:pPr>
      <w:r w:rsidRPr="00BE3318">
        <w:rPr>
          <w:rFonts w:ascii="Palatino Linotype" w:eastAsia="Palatino Linotype" w:hAnsi="Palatino Linotype" w:cs="Palatino Linotype"/>
          <w:color w:val="000000" w:themeColor="text1"/>
          <w:sz w:val="24"/>
          <w:szCs w:val="24"/>
        </w:rPr>
        <w:lastRenderedPageBreak/>
        <w:t>Atento a lo anterior</w:t>
      </w:r>
      <w:r w:rsidR="004629A8" w:rsidRPr="00BE3318">
        <w:rPr>
          <w:rFonts w:ascii="Palatino Linotype" w:eastAsia="Palatino Linotype" w:hAnsi="Palatino Linotype" w:cs="Palatino Linotype"/>
          <w:color w:val="000000" w:themeColor="text1"/>
          <w:sz w:val="24"/>
          <w:szCs w:val="24"/>
        </w:rPr>
        <w:t xml:space="preserve"> y tomando en consideración que la solicitud que nos ocupa </w:t>
      </w:r>
      <w:r w:rsidRPr="00BE3318">
        <w:rPr>
          <w:rFonts w:ascii="Palatino Linotype" w:eastAsia="Palatino Linotype" w:hAnsi="Palatino Linotype" w:cs="Palatino Linotype"/>
          <w:color w:val="000000" w:themeColor="text1"/>
          <w:sz w:val="24"/>
          <w:szCs w:val="24"/>
        </w:rPr>
        <w:t>se presentó el</w:t>
      </w:r>
      <w:r w:rsidR="004629A8" w:rsidRPr="00BE3318">
        <w:rPr>
          <w:rFonts w:ascii="Palatino Linotype" w:eastAsia="Palatino Linotype" w:hAnsi="Palatino Linotype" w:cs="Palatino Linotype"/>
          <w:color w:val="000000" w:themeColor="text1"/>
          <w:sz w:val="24"/>
          <w:szCs w:val="24"/>
        </w:rPr>
        <w:t xml:space="preserve"> veintiuno de </w:t>
      </w:r>
      <w:r w:rsidRPr="00BE3318">
        <w:rPr>
          <w:rFonts w:ascii="Palatino Linotype" w:eastAsia="Palatino Linotype" w:hAnsi="Palatino Linotype" w:cs="Palatino Linotype"/>
          <w:color w:val="000000" w:themeColor="text1"/>
          <w:sz w:val="24"/>
          <w:szCs w:val="24"/>
        </w:rPr>
        <w:t>febrero de dos mil veinticinco</w:t>
      </w:r>
      <w:r w:rsidR="00950214" w:rsidRPr="00BE3318">
        <w:rPr>
          <w:rFonts w:ascii="Palatino Linotype" w:eastAsia="Palatino Linotype" w:hAnsi="Palatino Linotype" w:cs="Palatino Linotype"/>
          <w:color w:val="000000" w:themeColor="text1"/>
          <w:sz w:val="24"/>
          <w:szCs w:val="24"/>
        </w:rPr>
        <w:t xml:space="preserve">, </w:t>
      </w:r>
      <w:r w:rsidRPr="00BE3318">
        <w:rPr>
          <w:rFonts w:ascii="Palatino Linotype" w:eastAsia="Palatino Linotype" w:hAnsi="Palatino Linotype" w:cs="Palatino Linotype"/>
          <w:color w:val="000000" w:themeColor="text1"/>
          <w:sz w:val="24"/>
          <w:szCs w:val="24"/>
        </w:rPr>
        <w:t>se concluye que a dicha fecha,</w:t>
      </w:r>
      <w:r w:rsidR="00950214" w:rsidRPr="00BE3318">
        <w:rPr>
          <w:rFonts w:ascii="Palatino Linotype" w:eastAsia="Palatino Linotype" w:hAnsi="Palatino Linotype" w:cs="Palatino Linotype"/>
          <w:color w:val="000000" w:themeColor="text1"/>
          <w:sz w:val="24"/>
          <w:szCs w:val="24"/>
        </w:rPr>
        <w:t xml:space="preserve"> ya</w:t>
      </w:r>
      <w:r w:rsidRPr="00BE3318">
        <w:rPr>
          <w:rFonts w:ascii="Palatino Linotype" w:eastAsia="Palatino Linotype" w:hAnsi="Palatino Linotype" w:cs="Palatino Linotype"/>
          <w:color w:val="000000" w:themeColor="text1"/>
          <w:sz w:val="24"/>
          <w:szCs w:val="24"/>
        </w:rPr>
        <w:t xml:space="preserve"> </w:t>
      </w:r>
      <w:r w:rsidR="004629A8" w:rsidRPr="00BE3318">
        <w:rPr>
          <w:rFonts w:ascii="Palatino Linotype" w:eastAsia="Palatino Linotype" w:hAnsi="Palatino Linotype" w:cs="Palatino Linotype"/>
          <w:color w:val="000000" w:themeColor="text1"/>
          <w:sz w:val="24"/>
          <w:szCs w:val="24"/>
        </w:rPr>
        <w:t xml:space="preserve">se conocía el ganador de la convocatoria en comento, </w:t>
      </w:r>
      <w:r w:rsidRPr="00BE3318">
        <w:rPr>
          <w:rFonts w:ascii="Palatino Linotype" w:eastAsia="Palatino Linotype" w:hAnsi="Palatino Linotype" w:cs="Palatino Linotype"/>
          <w:color w:val="000000" w:themeColor="text1"/>
          <w:sz w:val="24"/>
          <w:szCs w:val="24"/>
        </w:rPr>
        <w:t xml:space="preserve">tal y como se puede apreciar en las imágenes previamente insertadas, </w:t>
      </w:r>
      <w:r w:rsidR="004629A8" w:rsidRPr="00BE3318">
        <w:rPr>
          <w:rFonts w:ascii="Palatino Linotype" w:eastAsia="Palatino Linotype" w:hAnsi="Palatino Linotype" w:cs="Palatino Linotype"/>
          <w:color w:val="000000" w:themeColor="text1"/>
          <w:sz w:val="24"/>
          <w:szCs w:val="24"/>
        </w:rPr>
        <w:t xml:space="preserve">razón </w:t>
      </w:r>
      <w:r w:rsidR="00950214" w:rsidRPr="00BE3318">
        <w:rPr>
          <w:rFonts w:ascii="Palatino Linotype" w:eastAsia="Palatino Linotype" w:hAnsi="Palatino Linotype" w:cs="Palatino Linotype"/>
          <w:color w:val="000000" w:themeColor="text1"/>
          <w:sz w:val="24"/>
          <w:szCs w:val="24"/>
        </w:rPr>
        <w:t>por la cual,</w:t>
      </w:r>
      <w:r w:rsidR="004629A8" w:rsidRPr="00BE3318">
        <w:rPr>
          <w:rFonts w:ascii="Palatino Linotype" w:eastAsia="Palatino Linotype" w:hAnsi="Palatino Linotype" w:cs="Palatino Linotype"/>
          <w:color w:val="000000" w:themeColor="text1"/>
          <w:sz w:val="24"/>
          <w:szCs w:val="24"/>
        </w:rPr>
        <w:t xml:space="preserve"> resulta factible ord</w:t>
      </w:r>
      <w:r w:rsidR="00950214" w:rsidRPr="00BE3318">
        <w:rPr>
          <w:rFonts w:ascii="Palatino Linotype" w:eastAsia="Palatino Linotype" w:hAnsi="Palatino Linotype" w:cs="Palatino Linotype"/>
          <w:color w:val="000000" w:themeColor="text1"/>
          <w:sz w:val="24"/>
          <w:szCs w:val="24"/>
        </w:rPr>
        <w:t>enar la entrega del expediente de la Titular del Órgano Interno de Control, en versión pública.</w:t>
      </w:r>
    </w:p>
    <w:p w14:paraId="67BD35A7" w14:textId="77777777" w:rsidR="00ED077A" w:rsidRPr="00BE3318" w:rsidRDefault="00ED077A" w:rsidP="00A96522">
      <w:pPr>
        <w:pBdr>
          <w:top w:val="nil"/>
          <w:left w:val="nil"/>
          <w:bottom w:val="nil"/>
          <w:right w:val="nil"/>
          <w:between w:val="nil"/>
        </w:pBdr>
        <w:spacing w:line="276" w:lineRule="auto"/>
        <w:jc w:val="center"/>
        <w:rPr>
          <w:rFonts w:ascii="Palatino Linotype" w:eastAsia="Palatino Linotype" w:hAnsi="Palatino Linotype" w:cs="Palatino Linotype"/>
          <w:b/>
          <w:color w:val="000000" w:themeColor="text1"/>
          <w:sz w:val="24"/>
          <w:szCs w:val="24"/>
          <w:u w:val="single"/>
        </w:rPr>
      </w:pPr>
    </w:p>
    <w:p w14:paraId="60C035E3" w14:textId="77777777" w:rsidR="00ED077A" w:rsidRPr="00BE3318" w:rsidRDefault="004629A8" w:rsidP="00A96522">
      <w:pPr>
        <w:numPr>
          <w:ilvl w:val="0"/>
          <w:numId w:val="1"/>
        </w:numPr>
        <w:pBdr>
          <w:top w:val="nil"/>
          <w:left w:val="nil"/>
          <w:bottom w:val="nil"/>
          <w:right w:val="nil"/>
          <w:between w:val="nil"/>
        </w:pBdr>
        <w:spacing w:line="276" w:lineRule="auto"/>
        <w:ind w:left="0" w:firstLine="0"/>
        <w:jc w:val="center"/>
        <w:rPr>
          <w:rFonts w:ascii="Palatino Linotype" w:eastAsia="Palatino Linotype" w:hAnsi="Palatino Linotype" w:cs="Palatino Linotype"/>
          <w:b/>
          <w:color w:val="000000" w:themeColor="text1"/>
          <w:sz w:val="24"/>
          <w:szCs w:val="24"/>
          <w:u w:val="single"/>
        </w:rPr>
      </w:pPr>
      <w:r w:rsidRPr="00BE3318">
        <w:rPr>
          <w:rFonts w:ascii="Palatino Linotype" w:eastAsia="Palatino Linotype" w:hAnsi="Palatino Linotype" w:cs="Palatino Linotype"/>
          <w:b/>
          <w:color w:val="000000" w:themeColor="text1"/>
          <w:sz w:val="24"/>
          <w:szCs w:val="24"/>
          <w:u w:val="single"/>
        </w:rPr>
        <w:t>Convocatoria a la Primera Sesión de Cabildo Abierto.</w:t>
      </w:r>
    </w:p>
    <w:p w14:paraId="48E026B9" w14:textId="77777777" w:rsidR="00ED077A" w:rsidRPr="00BE3318" w:rsidRDefault="00ED077A" w:rsidP="00A96522">
      <w:pPr>
        <w:pBdr>
          <w:top w:val="nil"/>
          <w:left w:val="nil"/>
          <w:bottom w:val="nil"/>
          <w:right w:val="nil"/>
          <w:between w:val="nil"/>
        </w:pBdr>
        <w:spacing w:line="276" w:lineRule="auto"/>
        <w:jc w:val="both"/>
        <w:rPr>
          <w:rFonts w:ascii="Palatino Linotype" w:eastAsia="Palatino Linotype" w:hAnsi="Palatino Linotype" w:cs="Palatino Linotype"/>
          <w:b/>
          <w:color w:val="000000" w:themeColor="text1"/>
          <w:sz w:val="24"/>
          <w:szCs w:val="24"/>
          <w:u w:val="single"/>
        </w:rPr>
      </w:pPr>
    </w:p>
    <w:p w14:paraId="5A3A5834" w14:textId="77777777" w:rsidR="00ED077A" w:rsidRPr="00BE3318" w:rsidRDefault="00ED077A" w:rsidP="00A96522">
      <w:pPr>
        <w:pBdr>
          <w:top w:val="nil"/>
          <w:left w:val="nil"/>
          <w:bottom w:val="nil"/>
          <w:right w:val="nil"/>
          <w:between w:val="nil"/>
        </w:pBdr>
        <w:spacing w:line="276" w:lineRule="auto"/>
        <w:jc w:val="both"/>
        <w:rPr>
          <w:rFonts w:ascii="Palatino Linotype" w:eastAsia="Palatino Linotype" w:hAnsi="Palatino Linotype" w:cs="Palatino Linotype"/>
          <w:b/>
          <w:color w:val="000000" w:themeColor="text1"/>
          <w:sz w:val="24"/>
          <w:szCs w:val="24"/>
        </w:rPr>
      </w:pPr>
    </w:p>
    <w:p w14:paraId="0B56AA4C" w14:textId="77777777"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De tal Convocatoria, en su Base Segunda se establece lo siguiente:</w:t>
      </w:r>
    </w:p>
    <w:p w14:paraId="3CD988E9" w14:textId="77777777" w:rsidR="00ED077A" w:rsidRPr="00BE3318" w:rsidRDefault="004629A8" w:rsidP="00A96522">
      <w:pPr>
        <w:spacing w:line="276" w:lineRule="auto"/>
        <w:jc w:val="both"/>
        <w:rPr>
          <w:rFonts w:ascii="Palatino Linotype" w:eastAsia="Palatino Linotype" w:hAnsi="Palatino Linotype" w:cs="Palatino Linotype"/>
          <w:b/>
          <w:i/>
          <w:color w:val="000000" w:themeColor="text1"/>
          <w:sz w:val="24"/>
          <w:szCs w:val="24"/>
        </w:rPr>
      </w:pPr>
      <w:r w:rsidRPr="00BE3318">
        <w:rPr>
          <w:rFonts w:ascii="Palatino Linotype" w:eastAsia="Palatino Linotype" w:hAnsi="Palatino Linotype" w:cs="Palatino Linotype"/>
          <w:b/>
          <w:i/>
          <w:color w:val="000000" w:themeColor="text1"/>
          <w:sz w:val="24"/>
          <w:szCs w:val="24"/>
        </w:rPr>
        <w:t>SEGUNDA. - REQUISITOS PARA PARTICIPAR EN LA SESION DE</w:t>
      </w:r>
    </w:p>
    <w:p w14:paraId="006617F5" w14:textId="77777777" w:rsidR="00ED077A" w:rsidRPr="00BE3318" w:rsidRDefault="004629A8" w:rsidP="00A96522">
      <w:pPr>
        <w:spacing w:line="276" w:lineRule="auto"/>
        <w:jc w:val="both"/>
        <w:rPr>
          <w:rFonts w:ascii="Palatino Linotype" w:eastAsia="Palatino Linotype" w:hAnsi="Palatino Linotype" w:cs="Palatino Linotype"/>
          <w:b/>
          <w:i/>
          <w:color w:val="000000" w:themeColor="text1"/>
          <w:sz w:val="24"/>
          <w:szCs w:val="24"/>
        </w:rPr>
      </w:pPr>
      <w:r w:rsidRPr="00BE3318">
        <w:rPr>
          <w:rFonts w:ascii="Palatino Linotype" w:eastAsia="Palatino Linotype" w:hAnsi="Palatino Linotype" w:cs="Palatino Linotype"/>
          <w:b/>
          <w:i/>
          <w:color w:val="000000" w:themeColor="text1"/>
          <w:sz w:val="24"/>
          <w:szCs w:val="24"/>
        </w:rPr>
        <w:t>CABILDO ABIERTO.</w:t>
      </w:r>
    </w:p>
    <w:p w14:paraId="67B1C627"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1. Ser habitante del Municipio de Toluca, presentar documento legal que así lo acredite.</w:t>
      </w:r>
    </w:p>
    <w:p w14:paraId="2A0BB032"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2. Los interesados deberán inscribir su participación en la Secretaría de Ayuntamiento, debiéndolo realizar por escrito, independientemente de la exposición oral que, del mismo, deberá hacerse durante Cabildo.</w:t>
      </w:r>
    </w:p>
    <w:p w14:paraId="1D7330DA"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3. Podrán participar con derecho a voz, los ciudadanos que tengan algún asunto inscrito en el orden del día, así como los servidores públicos federales, estatales, municipales que deseen hacerlo, hasta por un lapso de 5 minutos.</w:t>
      </w:r>
    </w:p>
    <w:p w14:paraId="6725E7FF"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4. El ciudadano participará directamente con derecho a voz pero sin voto, a fin de proponer y opinar sobre asuntos municipales.</w:t>
      </w:r>
    </w:p>
    <w:p w14:paraId="34420272"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5. El periodo de registro de participaciones se llevará a cabo a partir de la publicación de la presente convocatoria y se cerrará a las 18:00 horas del día viernes 14 de febrero del 2025.</w:t>
      </w:r>
    </w:p>
    <w:p w14:paraId="63649CF7"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6. Para esta Sesión de Cabildo Abierto, se recibirán para su trámite o desahogo, la participación de hasta diez participaciones.</w:t>
      </w:r>
    </w:p>
    <w:p w14:paraId="25E6897F" w14:textId="77777777" w:rsidR="00ED077A" w:rsidRPr="00BE3318" w:rsidRDefault="00ED077A" w:rsidP="00A96522">
      <w:pPr>
        <w:spacing w:line="276" w:lineRule="auto"/>
        <w:jc w:val="both"/>
        <w:rPr>
          <w:rFonts w:ascii="Palatino Linotype" w:eastAsia="Palatino Linotype" w:hAnsi="Palatino Linotype" w:cs="Palatino Linotype"/>
          <w:i/>
          <w:color w:val="000000" w:themeColor="text1"/>
          <w:sz w:val="24"/>
          <w:szCs w:val="24"/>
        </w:rPr>
      </w:pPr>
    </w:p>
    <w:p w14:paraId="183597D8" w14:textId="77777777" w:rsidR="00ED077A" w:rsidRPr="00BE3318" w:rsidRDefault="004629A8" w:rsidP="00A96522">
      <w:pPr>
        <w:spacing w:line="276" w:lineRule="auto"/>
        <w:jc w:val="both"/>
        <w:rPr>
          <w:rFonts w:ascii="Palatino Linotype" w:eastAsia="Palatino Linotype" w:hAnsi="Palatino Linotype" w:cs="Palatino Linotype"/>
          <w:b/>
          <w:i/>
          <w:color w:val="000000" w:themeColor="text1"/>
          <w:sz w:val="24"/>
          <w:szCs w:val="24"/>
        </w:rPr>
      </w:pPr>
      <w:r w:rsidRPr="00BE3318">
        <w:rPr>
          <w:rFonts w:ascii="Palatino Linotype" w:eastAsia="Palatino Linotype" w:hAnsi="Palatino Linotype" w:cs="Palatino Linotype"/>
          <w:b/>
          <w:i/>
          <w:color w:val="000000" w:themeColor="text1"/>
          <w:sz w:val="24"/>
          <w:szCs w:val="24"/>
        </w:rPr>
        <w:t>CUARTA. - REQUISITOS PARA PARTICIPAR COMO ORADOR EN</w:t>
      </w:r>
    </w:p>
    <w:p w14:paraId="5B0EF09D" w14:textId="77777777" w:rsidR="00ED077A" w:rsidRPr="00BE3318" w:rsidRDefault="004629A8" w:rsidP="00A96522">
      <w:pPr>
        <w:spacing w:line="276" w:lineRule="auto"/>
        <w:jc w:val="both"/>
        <w:rPr>
          <w:rFonts w:ascii="Palatino Linotype" w:eastAsia="Palatino Linotype" w:hAnsi="Palatino Linotype" w:cs="Palatino Linotype"/>
          <w:b/>
          <w:i/>
          <w:color w:val="000000" w:themeColor="text1"/>
          <w:sz w:val="24"/>
          <w:szCs w:val="24"/>
        </w:rPr>
      </w:pPr>
      <w:r w:rsidRPr="00BE3318">
        <w:rPr>
          <w:rFonts w:ascii="Palatino Linotype" w:eastAsia="Palatino Linotype" w:hAnsi="Palatino Linotype" w:cs="Palatino Linotype"/>
          <w:b/>
          <w:i/>
          <w:color w:val="000000" w:themeColor="text1"/>
          <w:sz w:val="24"/>
          <w:szCs w:val="24"/>
        </w:rPr>
        <w:t>LA SESIÓN DE CABILDO ABIERTO</w:t>
      </w:r>
    </w:p>
    <w:p w14:paraId="6731AB3F" w14:textId="77777777" w:rsidR="00ED077A" w:rsidRPr="00BE3318" w:rsidRDefault="004629A8" w:rsidP="00A96522">
      <w:pPr>
        <w:spacing w:line="276"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Cumplir con los requisitos de la base segunda y haber sido notificado de su orden de participación en la Sesión de Cabildo Abierto</w:t>
      </w:r>
    </w:p>
    <w:p w14:paraId="0BA64644" w14:textId="77777777"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lastRenderedPageBreak/>
        <w:t>De lo anterior se observa que el registro de participantes se llevará a cabos hasta las 18:00 horas del viernes catorce de febrero de dos mil veinticinco, en las cuales se recibirán para su trámite o desahogo, la participación de hasta diez participaciones; asimismo respecto los resultado se informa lo siguiente:</w:t>
      </w:r>
    </w:p>
    <w:p w14:paraId="7A40B754" w14:textId="77777777" w:rsidR="00ED077A" w:rsidRPr="00BE3318" w:rsidRDefault="004629A8" w:rsidP="00A96522">
      <w:pPr>
        <w:spacing w:line="276" w:lineRule="auto"/>
        <w:jc w:val="both"/>
        <w:rPr>
          <w:rFonts w:ascii="Palatino Linotype" w:eastAsia="Palatino Linotype" w:hAnsi="Palatino Linotype" w:cs="Palatino Linotype"/>
          <w:b/>
          <w:i/>
          <w:color w:val="000000" w:themeColor="text1"/>
          <w:sz w:val="24"/>
          <w:szCs w:val="24"/>
        </w:rPr>
      </w:pPr>
      <w:r w:rsidRPr="00BE3318">
        <w:rPr>
          <w:rFonts w:ascii="Palatino Linotype" w:eastAsia="Palatino Linotype" w:hAnsi="Palatino Linotype" w:cs="Palatino Linotype"/>
          <w:b/>
          <w:i/>
          <w:color w:val="000000" w:themeColor="text1"/>
          <w:sz w:val="24"/>
          <w:szCs w:val="24"/>
        </w:rPr>
        <w:t>SEXTA. - DE LA RESPUESTA Y SEGUIMIENTO DE LAS</w:t>
      </w:r>
    </w:p>
    <w:p w14:paraId="1FC5FD57" w14:textId="77777777" w:rsidR="00ED077A" w:rsidRPr="00BE3318" w:rsidRDefault="004629A8" w:rsidP="00A96522">
      <w:pPr>
        <w:spacing w:line="276" w:lineRule="auto"/>
        <w:jc w:val="both"/>
        <w:rPr>
          <w:rFonts w:ascii="Palatino Linotype" w:eastAsia="Palatino Linotype" w:hAnsi="Palatino Linotype" w:cs="Palatino Linotype"/>
          <w:b/>
          <w:i/>
          <w:color w:val="000000" w:themeColor="text1"/>
          <w:sz w:val="24"/>
          <w:szCs w:val="24"/>
        </w:rPr>
      </w:pPr>
      <w:r w:rsidRPr="00BE3318">
        <w:rPr>
          <w:rFonts w:ascii="Palatino Linotype" w:eastAsia="Palatino Linotype" w:hAnsi="Palatino Linotype" w:cs="Palatino Linotype"/>
          <w:b/>
          <w:i/>
          <w:color w:val="000000" w:themeColor="text1"/>
          <w:sz w:val="24"/>
          <w:szCs w:val="24"/>
        </w:rPr>
        <w:t>PARTICIPACIONES.</w:t>
      </w:r>
    </w:p>
    <w:p w14:paraId="0994B4C5" w14:textId="77777777" w:rsidR="00ED077A" w:rsidRPr="00BE3318" w:rsidRDefault="004629A8" w:rsidP="00A96522">
      <w:pPr>
        <w:spacing w:line="276" w:lineRule="auto"/>
        <w:jc w:val="both"/>
        <w:rPr>
          <w:rFonts w:ascii="Palatino Linotype" w:eastAsia="Palatino Linotype" w:hAnsi="Palatino Linotype" w:cs="Palatino Linotype"/>
          <w:b/>
          <w:i/>
          <w:color w:val="000000" w:themeColor="text1"/>
          <w:sz w:val="24"/>
          <w:szCs w:val="24"/>
        </w:rPr>
      </w:pPr>
      <w:r w:rsidRPr="00BE3318">
        <w:rPr>
          <w:rFonts w:ascii="Palatino Linotype" w:eastAsia="Palatino Linotype" w:hAnsi="Palatino Linotype" w:cs="Palatino Linotype"/>
          <w:i/>
          <w:color w:val="000000" w:themeColor="text1"/>
          <w:sz w:val="24"/>
          <w:szCs w:val="24"/>
        </w:rPr>
        <w:t xml:space="preserve">Las áreas que sean instruidas por quien presida la Sesión, deberán dar respuesta por escrito a los participantes dentro de </w:t>
      </w:r>
      <w:r w:rsidRPr="00BE3318">
        <w:rPr>
          <w:rFonts w:ascii="Palatino Linotype" w:eastAsia="Palatino Linotype" w:hAnsi="Palatino Linotype" w:cs="Palatino Linotype"/>
          <w:b/>
          <w:i/>
          <w:color w:val="000000" w:themeColor="text1"/>
          <w:sz w:val="24"/>
          <w:szCs w:val="24"/>
        </w:rPr>
        <w:t>10 días hábiles después de la celebración de la Sesión de Cabildo Abierto.</w:t>
      </w:r>
    </w:p>
    <w:p w14:paraId="28E7ABF4" w14:textId="77777777" w:rsidR="00ED077A" w:rsidRPr="00BE3318" w:rsidRDefault="00ED077A" w:rsidP="00A96522">
      <w:pPr>
        <w:spacing w:line="360" w:lineRule="auto"/>
        <w:jc w:val="both"/>
        <w:rPr>
          <w:rFonts w:ascii="Palatino Linotype" w:eastAsia="Palatino Linotype" w:hAnsi="Palatino Linotype" w:cs="Palatino Linotype"/>
          <w:color w:val="000000" w:themeColor="text1"/>
          <w:sz w:val="24"/>
          <w:szCs w:val="24"/>
        </w:rPr>
      </w:pPr>
    </w:p>
    <w:p w14:paraId="5ABC86EE" w14:textId="77777777"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Luego entonces, si la respuesta se debe dar diez días hábiles después de la celebración de la Sesión de Cabildo Abierto el veintiocho de febrero de dos mil veinticinco, a la fecha de la solicitud (veintiuno de febrero de dos mil veinticinco) todavía no se contaba con los nombres de las personas ganadoras,</w:t>
      </w:r>
      <w:r w:rsidR="00950214" w:rsidRPr="00BE3318">
        <w:rPr>
          <w:rFonts w:ascii="Palatino Linotype" w:eastAsia="Palatino Linotype" w:hAnsi="Palatino Linotype" w:cs="Palatino Linotype"/>
          <w:color w:val="000000" w:themeColor="text1"/>
          <w:sz w:val="24"/>
          <w:szCs w:val="24"/>
        </w:rPr>
        <w:t xml:space="preserve"> sin embargo ya se contaba con el registro concluido de las personas aspirantes y por consiguiente con los expedientes, por lo que se ordena se haga entrega del acuerdo por el que de manera fundada y motivada, se clasifique como reservada la información contenida en los mismos.</w:t>
      </w:r>
    </w:p>
    <w:p w14:paraId="0D9149C2" w14:textId="77777777" w:rsidR="00ED077A" w:rsidRPr="00BE3318" w:rsidRDefault="00ED077A" w:rsidP="00A96522">
      <w:pPr>
        <w:spacing w:line="360" w:lineRule="auto"/>
        <w:jc w:val="both"/>
        <w:rPr>
          <w:rFonts w:ascii="Palatino Linotype" w:eastAsia="Palatino Linotype" w:hAnsi="Palatino Linotype" w:cs="Palatino Linotype"/>
          <w:color w:val="000000" w:themeColor="text1"/>
          <w:sz w:val="24"/>
          <w:szCs w:val="24"/>
        </w:rPr>
      </w:pPr>
    </w:p>
    <w:p w14:paraId="19C73D2B" w14:textId="77777777" w:rsidR="00ED077A" w:rsidRPr="00BE3318" w:rsidRDefault="00ED077A" w:rsidP="00A96522">
      <w:pPr>
        <w:spacing w:line="360" w:lineRule="auto"/>
        <w:jc w:val="both"/>
        <w:rPr>
          <w:rFonts w:ascii="Palatino Linotype" w:eastAsia="Palatino Linotype" w:hAnsi="Palatino Linotype" w:cs="Palatino Linotype"/>
          <w:color w:val="000000" w:themeColor="text1"/>
          <w:sz w:val="24"/>
          <w:szCs w:val="24"/>
        </w:rPr>
      </w:pPr>
    </w:p>
    <w:p w14:paraId="0B825C1D" w14:textId="77777777" w:rsidR="00ED077A" w:rsidRPr="00BE3318" w:rsidRDefault="004629A8" w:rsidP="00A96522">
      <w:pPr>
        <w:numPr>
          <w:ilvl w:val="0"/>
          <w:numId w:val="1"/>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BE3318">
        <w:rPr>
          <w:rFonts w:ascii="Palatino Linotype" w:eastAsia="Palatino Linotype" w:hAnsi="Palatino Linotype" w:cs="Palatino Linotype"/>
          <w:b/>
          <w:color w:val="000000" w:themeColor="text1"/>
          <w:sz w:val="24"/>
          <w:szCs w:val="24"/>
          <w:u w:val="single"/>
        </w:rPr>
        <w:t>Convocatoria para la elección de Delegados y Subdelegados del Municipio de Toluca 2025-2027.</w:t>
      </w:r>
    </w:p>
    <w:p w14:paraId="23146E92" w14:textId="77777777" w:rsidR="00ED077A" w:rsidRPr="00BE3318" w:rsidRDefault="00ED077A" w:rsidP="00A96522">
      <w:pPr>
        <w:spacing w:line="276" w:lineRule="auto"/>
        <w:jc w:val="both"/>
        <w:rPr>
          <w:rFonts w:ascii="Palatino Linotype" w:eastAsia="Palatino Linotype" w:hAnsi="Palatino Linotype" w:cs="Palatino Linotype"/>
          <w:b/>
          <w:color w:val="000000" w:themeColor="text1"/>
          <w:sz w:val="24"/>
          <w:szCs w:val="24"/>
          <w:u w:val="single"/>
        </w:rPr>
      </w:pPr>
    </w:p>
    <w:p w14:paraId="5015E001" w14:textId="44F9DDFB"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De dicha convocatoria, respecto los ganadores se advierte lo siguiente:</w:t>
      </w:r>
      <w:r w:rsidR="008C5AC7">
        <w:rPr>
          <w:rFonts w:ascii="Palatino Linotype" w:eastAsia="Palatino Linotype" w:hAnsi="Palatino Linotype" w:cs="Palatino Linotype"/>
          <w:color w:val="000000" w:themeColor="text1"/>
          <w:sz w:val="24"/>
          <w:szCs w:val="24"/>
        </w:rPr>
        <w:t xml:space="preserve"> -------------------</w:t>
      </w:r>
    </w:p>
    <w:p w14:paraId="723F721C" w14:textId="77777777" w:rsidR="00AE2DAA" w:rsidRPr="00BE3318" w:rsidRDefault="00AE2DAA" w:rsidP="00A96522">
      <w:pPr>
        <w:spacing w:line="360" w:lineRule="auto"/>
        <w:jc w:val="center"/>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noProof/>
          <w:color w:val="000000" w:themeColor="text1"/>
          <w:sz w:val="24"/>
          <w:szCs w:val="24"/>
        </w:rPr>
        <w:lastRenderedPageBreak/>
        <mc:AlternateContent>
          <mc:Choice Requires="wps">
            <w:drawing>
              <wp:anchor distT="0" distB="0" distL="114300" distR="114300" simplePos="0" relativeHeight="251665408" behindDoc="0" locked="0" layoutInCell="1" allowOverlap="1" wp14:anchorId="10B8B999" wp14:editId="19B4DE74">
                <wp:simplePos x="0" y="0"/>
                <wp:positionH relativeFrom="column">
                  <wp:posOffset>1924685</wp:posOffset>
                </wp:positionH>
                <wp:positionV relativeFrom="paragraph">
                  <wp:posOffset>784860</wp:posOffset>
                </wp:positionV>
                <wp:extent cx="1933575" cy="47625"/>
                <wp:effectExtent l="19050" t="19050" r="28575" b="28575"/>
                <wp:wrapNone/>
                <wp:docPr id="6" name="Conector recto 6"/>
                <wp:cNvGraphicFramePr/>
                <a:graphic xmlns:a="http://schemas.openxmlformats.org/drawingml/2006/main">
                  <a:graphicData uri="http://schemas.microsoft.com/office/word/2010/wordprocessingShape">
                    <wps:wsp>
                      <wps:cNvCnPr/>
                      <wps:spPr>
                        <a:xfrm>
                          <a:off x="0" y="0"/>
                          <a:ext cx="1933575" cy="47625"/>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C8DB94" id="Conector recto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1.55pt,61.8pt" to="303.8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" strokecolor="#ed7d31 [3205]" strokeweight="2.25pt">
                <v:stroke joinstyle="miter"/>
              </v:line>
            </w:pict>
          </mc:Fallback>
        </mc:AlternateContent>
      </w:r>
      <w:r w:rsidRPr="00BE3318">
        <w:rPr>
          <w:rFonts w:ascii="Palatino Linotype" w:eastAsia="Palatino Linotype" w:hAnsi="Palatino Linotype" w:cs="Palatino Linotype"/>
          <w:noProof/>
          <w:color w:val="000000" w:themeColor="text1"/>
          <w:sz w:val="24"/>
          <w:szCs w:val="24"/>
        </w:rPr>
        <w:drawing>
          <wp:inline distT="0" distB="0" distL="0" distR="0" wp14:anchorId="4AC6C0A3" wp14:editId="45D90568">
            <wp:extent cx="4932000" cy="1558573"/>
            <wp:effectExtent l="0" t="0" r="254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32000" cy="1558573"/>
                    </a:xfrm>
                    <a:prstGeom prst="rect">
                      <a:avLst/>
                    </a:prstGeom>
                  </pic:spPr>
                </pic:pic>
              </a:graphicData>
            </a:graphic>
          </wp:inline>
        </w:drawing>
      </w:r>
    </w:p>
    <w:p w14:paraId="07097DA8" w14:textId="77777777" w:rsidR="00ED077A" w:rsidRPr="00BE3318" w:rsidRDefault="004629A8" w:rsidP="00A96522">
      <w:pPr>
        <w:spacing w:line="360" w:lineRule="auto"/>
        <w:jc w:val="center"/>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noProof/>
          <w:color w:val="000000" w:themeColor="text1"/>
          <w:sz w:val="24"/>
          <w:szCs w:val="24"/>
        </w:rPr>
        <w:drawing>
          <wp:inline distT="0" distB="0" distL="0" distR="0" wp14:anchorId="31B1389B" wp14:editId="76D55345">
            <wp:extent cx="4708858" cy="1260000"/>
            <wp:effectExtent l="0" t="0" r="0" b="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708858" cy="1260000"/>
                    </a:xfrm>
                    <a:prstGeom prst="rect">
                      <a:avLst/>
                    </a:prstGeom>
                    <a:ln/>
                  </pic:spPr>
                </pic:pic>
              </a:graphicData>
            </a:graphic>
          </wp:inline>
        </w:drawing>
      </w:r>
      <w:r w:rsidRPr="00BE3318">
        <w:rPr>
          <w:rFonts w:ascii="Palatino Linotype" w:hAnsi="Palatino Linotype"/>
          <w:noProof/>
          <w:color w:val="000000" w:themeColor="text1"/>
          <w:sz w:val="24"/>
          <w:szCs w:val="24"/>
        </w:rPr>
        <mc:AlternateContent>
          <mc:Choice Requires="wps">
            <w:drawing>
              <wp:anchor distT="0" distB="0" distL="114300" distR="114300" simplePos="0" relativeHeight="251659264" behindDoc="0" locked="0" layoutInCell="1" hidden="0" allowOverlap="1" wp14:anchorId="70E86A69" wp14:editId="1F473129">
                <wp:simplePos x="0" y="0"/>
                <wp:positionH relativeFrom="column">
                  <wp:posOffset>4071620</wp:posOffset>
                </wp:positionH>
                <wp:positionV relativeFrom="paragraph">
                  <wp:posOffset>258445</wp:posOffset>
                </wp:positionV>
                <wp:extent cx="9525" cy="19050"/>
                <wp:effectExtent l="0" t="0" r="0" b="0"/>
                <wp:wrapNone/>
                <wp:docPr id="25" name="Conector recto de flecha 25"/>
                <wp:cNvGraphicFramePr/>
                <a:graphic xmlns:a="http://schemas.openxmlformats.org/drawingml/2006/main">
                  <a:graphicData uri="http://schemas.microsoft.com/office/word/2010/wordprocessingShape">
                    <wps:wsp>
                      <wps:cNvCnPr/>
                      <wps:spPr>
                        <a:xfrm>
                          <a:off x="4774500" y="3775238"/>
                          <a:ext cx="1143000" cy="9525"/>
                        </a:xfrm>
                        <a:prstGeom prst="straightConnector1">
                          <a:avLst/>
                        </a:prstGeom>
                        <a:noFill/>
                        <a:ln w="19050" cap="flat" cmpd="sng">
                          <a:solidFill>
                            <a:srgbClr val="FF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4071620</wp:posOffset>
                </wp:positionH>
                <wp:positionV relativeFrom="paragraph">
                  <wp:posOffset>258445</wp:posOffset>
                </wp:positionV>
                <wp:extent cx="9525" cy="19050"/>
                <wp:effectExtent b="0" l="0" r="0" t="0"/>
                <wp:wrapNone/>
                <wp:docPr id="25"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9525" cy="19050"/>
                        </a:xfrm>
                        <a:prstGeom prst="rect"/>
                        <a:ln/>
                      </pic:spPr>
                    </pic:pic>
                  </a:graphicData>
                </a:graphic>
              </wp:anchor>
            </w:drawing>
          </mc:Fallback>
        </mc:AlternateContent>
      </w:r>
      <w:r w:rsidRPr="00BE3318">
        <w:rPr>
          <w:rFonts w:ascii="Palatino Linotype" w:hAnsi="Palatino Linotype"/>
          <w:noProof/>
          <w:color w:val="000000" w:themeColor="text1"/>
          <w:sz w:val="24"/>
          <w:szCs w:val="24"/>
        </w:rPr>
        <mc:AlternateContent>
          <mc:Choice Requires="wps">
            <w:drawing>
              <wp:anchor distT="0" distB="0" distL="114300" distR="114300" simplePos="0" relativeHeight="251660288" behindDoc="0" locked="0" layoutInCell="1" hidden="0" allowOverlap="1" wp14:anchorId="0935C4D8" wp14:editId="6ECD48DD">
                <wp:simplePos x="0" y="0"/>
                <wp:positionH relativeFrom="column">
                  <wp:posOffset>629920</wp:posOffset>
                </wp:positionH>
                <wp:positionV relativeFrom="paragraph">
                  <wp:posOffset>334645</wp:posOffset>
                </wp:positionV>
                <wp:extent cx="9525" cy="19050"/>
                <wp:effectExtent l="0" t="0" r="0" b="0"/>
                <wp:wrapNone/>
                <wp:docPr id="28" name="Conector recto de flecha 28"/>
                <wp:cNvGraphicFramePr/>
                <a:graphic xmlns:a="http://schemas.openxmlformats.org/drawingml/2006/main">
                  <a:graphicData uri="http://schemas.microsoft.com/office/word/2010/wordprocessingShape">
                    <wps:wsp>
                      <wps:cNvCnPr/>
                      <wps:spPr>
                        <a:xfrm>
                          <a:off x="4774500" y="3775238"/>
                          <a:ext cx="1143000" cy="9525"/>
                        </a:xfrm>
                        <a:prstGeom prst="straightConnector1">
                          <a:avLst/>
                        </a:prstGeom>
                        <a:noFill/>
                        <a:ln w="19050" cap="flat" cmpd="sng">
                          <a:solidFill>
                            <a:srgbClr val="FF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629920</wp:posOffset>
                </wp:positionH>
                <wp:positionV relativeFrom="paragraph">
                  <wp:posOffset>334645</wp:posOffset>
                </wp:positionV>
                <wp:extent cx="9525" cy="19050"/>
                <wp:effectExtent b="0" l="0" r="0" t="0"/>
                <wp:wrapNone/>
                <wp:docPr id="28"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9525" cy="19050"/>
                        </a:xfrm>
                        <a:prstGeom prst="rect"/>
                        <a:ln/>
                      </pic:spPr>
                    </pic:pic>
                  </a:graphicData>
                </a:graphic>
              </wp:anchor>
            </w:drawing>
          </mc:Fallback>
        </mc:AlternateContent>
      </w:r>
    </w:p>
    <w:p w14:paraId="122655A6" w14:textId="77777777" w:rsidR="00ED077A" w:rsidRPr="00BE3318" w:rsidRDefault="00ED077A" w:rsidP="00A96522">
      <w:pPr>
        <w:spacing w:line="360" w:lineRule="auto"/>
        <w:jc w:val="both"/>
        <w:rPr>
          <w:rFonts w:ascii="Palatino Linotype" w:eastAsia="Palatino Linotype" w:hAnsi="Palatino Linotype" w:cs="Palatino Linotype"/>
          <w:color w:val="000000" w:themeColor="text1"/>
          <w:sz w:val="24"/>
          <w:szCs w:val="24"/>
        </w:rPr>
      </w:pPr>
    </w:p>
    <w:p w14:paraId="63B07CF2" w14:textId="77777777"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b/>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De lo anterior, se observa </w:t>
      </w:r>
      <w:r w:rsidR="00AE2DAA" w:rsidRPr="00BE3318">
        <w:rPr>
          <w:rFonts w:ascii="Palatino Linotype" w:eastAsia="Palatino Linotype" w:hAnsi="Palatino Linotype" w:cs="Palatino Linotype"/>
          <w:color w:val="000000" w:themeColor="text1"/>
          <w:sz w:val="24"/>
          <w:szCs w:val="24"/>
        </w:rPr>
        <w:t xml:space="preserve">que le proceso inicia el veintiséis de febrero del año en curso, luego entonces, a la fecha de la solicitud no se contaba aún con registro de algún aspirante y </w:t>
      </w:r>
      <w:r w:rsidRPr="00BE3318">
        <w:rPr>
          <w:rFonts w:ascii="Palatino Linotype" w:eastAsia="Palatino Linotype" w:hAnsi="Palatino Linotype" w:cs="Palatino Linotype"/>
          <w:color w:val="000000" w:themeColor="text1"/>
          <w:sz w:val="24"/>
          <w:szCs w:val="24"/>
        </w:rPr>
        <w:t xml:space="preserve">consecuencia el </w:t>
      </w:r>
      <w:r w:rsidRPr="00BE3318">
        <w:rPr>
          <w:rFonts w:ascii="Palatino Linotype" w:eastAsia="Palatino Linotype" w:hAnsi="Palatino Linotype" w:cs="Palatino Linotype"/>
          <w:b/>
          <w:color w:val="000000" w:themeColor="text1"/>
          <w:sz w:val="24"/>
          <w:szCs w:val="24"/>
        </w:rPr>
        <w:t xml:space="preserve">SUJETO OBLIGADO, </w:t>
      </w:r>
      <w:r w:rsidRPr="00BE3318">
        <w:rPr>
          <w:rFonts w:ascii="Palatino Linotype" w:eastAsia="Palatino Linotype" w:hAnsi="Palatino Linotype" w:cs="Palatino Linotype"/>
          <w:color w:val="000000" w:themeColor="text1"/>
          <w:sz w:val="24"/>
          <w:szCs w:val="24"/>
        </w:rPr>
        <w:t>se encuentra imposibilitado para remitir la información solicitada.</w:t>
      </w:r>
    </w:p>
    <w:p w14:paraId="04B6403C" w14:textId="77777777" w:rsidR="00ED077A" w:rsidRPr="00BE3318" w:rsidRDefault="00ED077A" w:rsidP="00A96522">
      <w:pPr>
        <w:spacing w:line="360" w:lineRule="auto"/>
        <w:jc w:val="both"/>
        <w:rPr>
          <w:rFonts w:ascii="Palatino Linotype" w:eastAsia="Palatino Linotype" w:hAnsi="Palatino Linotype" w:cs="Palatino Linotype"/>
          <w:b/>
          <w:color w:val="000000" w:themeColor="text1"/>
          <w:sz w:val="24"/>
          <w:szCs w:val="24"/>
        </w:rPr>
      </w:pPr>
    </w:p>
    <w:p w14:paraId="5ECAFBFC" w14:textId="77777777" w:rsidR="00ED077A" w:rsidRPr="00BE3318" w:rsidRDefault="004629A8" w:rsidP="00A96522">
      <w:pPr>
        <w:numPr>
          <w:ilvl w:val="0"/>
          <w:numId w:val="1"/>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BE3318">
        <w:rPr>
          <w:rFonts w:ascii="Palatino Linotype" w:eastAsia="Palatino Linotype" w:hAnsi="Palatino Linotype" w:cs="Palatino Linotype"/>
          <w:b/>
          <w:color w:val="000000" w:themeColor="text1"/>
          <w:sz w:val="24"/>
          <w:szCs w:val="24"/>
        </w:rPr>
        <w:t xml:space="preserve">Convocatoria para la elección de Consejos de Participación </w:t>
      </w:r>
      <w:r w:rsidRPr="00BE3318">
        <w:rPr>
          <w:rFonts w:ascii="Palatino Linotype" w:eastAsia="Palatino Linotype" w:hAnsi="Palatino Linotype" w:cs="Palatino Linotype"/>
          <w:b/>
          <w:color w:val="000000" w:themeColor="text1"/>
          <w:sz w:val="24"/>
          <w:szCs w:val="24"/>
          <w:u w:val="single"/>
        </w:rPr>
        <w:t>Ciudadana del Municipio de Toluca.</w:t>
      </w:r>
    </w:p>
    <w:p w14:paraId="2C31E99C" w14:textId="77777777" w:rsidR="00ED077A" w:rsidRPr="00BE3318" w:rsidRDefault="00ED077A" w:rsidP="00A96522">
      <w:pPr>
        <w:spacing w:line="276" w:lineRule="auto"/>
        <w:jc w:val="both"/>
        <w:rPr>
          <w:rFonts w:ascii="Palatino Linotype" w:eastAsia="Palatino Linotype" w:hAnsi="Palatino Linotype" w:cs="Palatino Linotype"/>
          <w:b/>
          <w:color w:val="000000" w:themeColor="text1"/>
          <w:sz w:val="24"/>
          <w:szCs w:val="24"/>
          <w:u w:val="single"/>
        </w:rPr>
      </w:pPr>
    </w:p>
    <w:p w14:paraId="38F56EF7" w14:textId="1DCA1A5F"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b/>
          <w:color w:val="000000" w:themeColor="text1"/>
          <w:sz w:val="24"/>
          <w:szCs w:val="24"/>
          <w:u w:val="single"/>
        </w:rPr>
      </w:pPr>
      <w:r w:rsidRPr="00BE3318">
        <w:rPr>
          <w:rFonts w:ascii="Palatino Linotype" w:eastAsia="Palatino Linotype" w:hAnsi="Palatino Linotype" w:cs="Palatino Linotype"/>
          <w:color w:val="000000" w:themeColor="text1"/>
          <w:sz w:val="24"/>
          <w:szCs w:val="24"/>
        </w:rPr>
        <w:t>Respecto de la convocatoria en comento, en relación a la relación de asignación se refiere lo siguiente:</w:t>
      </w:r>
      <w:r w:rsidR="008C5AC7">
        <w:rPr>
          <w:rFonts w:ascii="Palatino Linotype" w:eastAsia="Palatino Linotype" w:hAnsi="Palatino Linotype" w:cs="Palatino Linotype"/>
          <w:color w:val="000000" w:themeColor="text1"/>
          <w:sz w:val="24"/>
          <w:szCs w:val="24"/>
        </w:rPr>
        <w:t xml:space="preserve"> ------------------------------------------------------------------------------------------------</w:t>
      </w:r>
    </w:p>
    <w:p w14:paraId="3AAEC09D" w14:textId="77777777" w:rsidR="00ED077A" w:rsidRPr="00BE3318" w:rsidRDefault="00AE2DAA" w:rsidP="00A96522">
      <w:pPr>
        <w:spacing w:line="360" w:lineRule="auto"/>
        <w:rPr>
          <w:rFonts w:ascii="Palatino Linotype" w:eastAsia="Palatino Linotype" w:hAnsi="Palatino Linotype" w:cs="Palatino Linotype"/>
          <w:b/>
          <w:color w:val="000000" w:themeColor="text1"/>
          <w:sz w:val="24"/>
          <w:szCs w:val="24"/>
          <w:u w:val="single"/>
        </w:rPr>
      </w:pPr>
      <w:r w:rsidRPr="00BE3318">
        <w:rPr>
          <w:rFonts w:ascii="Palatino Linotype" w:eastAsia="Palatino Linotype" w:hAnsi="Palatino Linotype"/>
          <w:noProof/>
          <w:color w:val="000000" w:themeColor="text1"/>
          <w:sz w:val="24"/>
          <w:szCs w:val="24"/>
        </w:rPr>
        <w:lastRenderedPageBreak/>
        <mc:AlternateContent>
          <mc:Choice Requires="wps">
            <w:drawing>
              <wp:anchor distT="0" distB="0" distL="114300" distR="114300" simplePos="0" relativeHeight="251666432" behindDoc="0" locked="0" layoutInCell="1" allowOverlap="1" wp14:anchorId="5471418B" wp14:editId="17EC43B2">
                <wp:simplePos x="0" y="0"/>
                <wp:positionH relativeFrom="column">
                  <wp:posOffset>2411095</wp:posOffset>
                </wp:positionH>
                <wp:positionV relativeFrom="paragraph">
                  <wp:posOffset>1080135</wp:posOffset>
                </wp:positionV>
                <wp:extent cx="2628900" cy="28575"/>
                <wp:effectExtent l="0" t="0" r="19050" b="28575"/>
                <wp:wrapNone/>
                <wp:docPr id="8" name="Conector recto 8"/>
                <wp:cNvGraphicFramePr/>
                <a:graphic xmlns:a="http://schemas.openxmlformats.org/drawingml/2006/main">
                  <a:graphicData uri="http://schemas.microsoft.com/office/word/2010/wordprocessingShape">
                    <wps:wsp>
                      <wps:cNvCnPr/>
                      <wps:spPr>
                        <a:xfrm>
                          <a:off x="0" y="0"/>
                          <a:ext cx="2628900" cy="28575"/>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BEC32A" id="Conector recto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89.85pt,85.05pt" to="396.8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" strokecolor="red" strokeweight=".5pt">
                <v:stroke joinstyle="miter"/>
              </v:line>
            </w:pict>
          </mc:Fallback>
        </mc:AlternateContent>
      </w:r>
      <w:r w:rsidRPr="00BE3318">
        <w:rPr>
          <w:rFonts w:ascii="Palatino Linotype" w:eastAsia="Palatino Linotype" w:hAnsi="Palatino Linotype"/>
          <w:noProof/>
          <w:color w:val="000000" w:themeColor="text1"/>
          <w:sz w:val="24"/>
          <w:szCs w:val="24"/>
        </w:rPr>
        <w:drawing>
          <wp:inline distT="0" distB="0" distL="0" distR="0" wp14:anchorId="5DEDC11B" wp14:editId="0516008E">
            <wp:extent cx="5742940" cy="26727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2672715"/>
                    </a:xfrm>
                    <a:prstGeom prst="rect">
                      <a:avLst/>
                    </a:prstGeom>
                  </pic:spPr>
                </pic:pic>
              </a:graphicData>
            </a:graphic>
          </wp:inline>
        </w:drawing>
      </w:r>
      <w:r w:rsidR="004629A8" w:rsidRPr="00BE3318">
        <w:rPr>
          <w:rFonts w:ascii="Palatino Linotype" w:hAnsi="Palatino Linotype"/>
          <w:noProof/>
          <w:color w:val="000000" w:themeColor="text1"/>
          <w:sz w:val="24"/>
          <w:szCs w:val="24"/>
        </w:rPr>
        <mc:AlternateContent>
          <mc:Choice Requires="wps">
            <w:drawing>
              <wp:anchor distT="0" distB="0" distL="114300" distR="114300" simplePos="0" relativeHeight="251661312" behindDoc="0" locked="0" layoutInCell="1" hidden="0" allowOverlap="1" wp14:anchorId="381FEF99" wp14:editId="3C379A46">
                <wp:simplePos x="0" y="0"/>
                <wp:positionH relativeFrom="column">
                  <wp:posOffset>4411345</wp:posOffset>
                </wp:positionH>
                <wp:positionV relativeFrom="paragraph">
                  <wp:posOffset>128588</wp:posOffset>
                </wp:positionV>
                <wp:extent cx="9525" cy="28575"/>
                <wp:effectExtent l="0" t="0" r="0" b="0"/>
                <wp:wrapNone/>
                <wp:docPr id="29" name="Conector recto de flecha 29"/>
                <wp:cNvGraphicFramePr/>
                <a:graphic xmlns:a="http://schemas.openxmlformats.org/drawingml/2006/main">
                  <a:graphicData uri="http://schemas.microsoft.com/office/word/2010/wordprocessingShape">
                    <wps:wsp>
                      <wps:cNvCnPr/>
                      <wps:spPr>
                        <a:xfrm>
                          <a:off x="4841175" y="3775238"/>
                          <a:ext cx="1009650" cy="9525"/>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B60560" id="_x0000_t32" coordsize="21600,21600" o:spt="32" o:oned="t" path="m,l21600,21600e" filled="f">
                <v:path arrowok="t" fillok="f" o:connecttype="none"/>
                <o:lock v:ext="edit" shapetype="t"/>
              </v:shapetype>
              <v:shape id="Conector recto de flecha 29" o:spid="_x0000_s1026" type="#_x0000_t32" style="position:absolute;margin-left:347.35pt;margin-top:10.15pt;width:.75pt;height:2.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" strokecolor="red" strokeweight="2.25pt">
                <v:stroke startarrowwidth="narrow" startarrowlength="short" endarrowwidth="narrow" endarrowlength="short" joinstyle="miter"/>
              </v:shape>
            </w:pict>
          </mc:Fallback>
        </mc:AlternateContent>
      </w:r>
      <w:r w:rsidR="004629A8" w:rsidRPr="00BE3318">
        <w:rPr>
          <w:rFonts w:ascii="Palatino Linotype" w:hAnsi="Palatino Linotype"/>
          <w:noProof/>
          <w:color w:val="000000" w:themeColor="text1"/>
          <w:sz w:val="24"/>
          <w:szCs w:val="24"/>
        </w:rPr>
        <mc:AlternateContent>
          <mc:Choice Requires="wps">
            <w:drawing>
              <wp:anchor distT="0" distB="0" distL="114300" distR="114300" simplePos="0" relativeHeight="251662336" behindDoc="0" locked="0" layoutInCell="1" hidden="0" allowOverlap="1" wp14:anchorId="3C26332A" wp14:editId="2085B3E4">
                <wp:simplePos x="0" y="0"/>
                <wp:positionH relativeFrom="column">
                  <wp:posOffset>258443</wp:posOffset>
                </wp:positionH>
                <wp:positionV relativeFrom="paragraph">
                  <wp:posOffset>309563</wp:posOffset>
                </wp:positionV>
                <wp:extent cx="9525" cy="28575"/>
                <wp:effectExtent l="0" t="0" r="0" b="0"/>
                <wp:wrapNone/>
                <wp:docPr id="27" name="Conector recto de flecha 27"/>
                <wp:cNvGraphicFramePr/>
                <a:graphic xmlns:a="http://schemas.openxmlformats.org/drawingml/2006/main">
                  <a:graphicData uri="http://schemas.microsoft.com/office/word/2010/wordprocessingShape">
                    <wps:wsp>
                      <wps:cNvCnPr/>
                      <wps:spPr>
                        <a:xfrm>
                          <a:off x="4579238" y="3775238"/>
                          <a:ext cx="1533525" cy="9525"/>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258443</wp:posOffset>
                </wp:positionH>
                <wp:positionV relativeFrom="paragraph">
                  <wp:posOffset>309563</wp:posOffset>
                </wp:positionV>
                <wp:extent cx="9525" cy="28575"/>
                <wp:effectExtent b="0" l="0" r="0" t="0"/>
                <wp:wrapNone/>
                <wp:docPr id="27"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9525" cy="28575"/>
                        </a:xfrm>
                        <a:prstGeom prst="rect"/>
                        <a:ln/>
                      </pic:spPr>
                    </pic:pic>
                  </a:graphicData>
                </a:graphic>
              </wp:anchor>
            </w:drawing>
          </mc:Fallback>
        </mc:AlternateContent>
      </w:r>
    </w:p>
    <w:p w14:paraId="5D201A6E" w14:textId="77777777" w:rsidR="00ED077A" w:rsidRPr="00BE3318" w:rsidRDefault="00ED077A" w:rsidP="00A96522">
      <w:pPr>
        <w:spacing w:line="360" w:lineRule="auto"/>
        <w:rPr>
          <w:rFonts w:ascii="Palatino Linotype" w:eastAsia="Palatino Linotype" w:hAnsi="Palatino Linotype" w:cs="Palatino Linotype"/>
          <w:b/>
          <w:color w:val="000000" w:themeColor="text1"/>
          <w:sz w:val="24"/>
          <w:szCs w:val="24"/>
          <w:u w:val="single"/>
        </w:rPr>
      </w:pPr>
    </w:p>
    <w:p w14:paraId="33A2CE2C" w14:textId="77777777" w:rsidR="00ED077A" w:rsidRPr="00BE3318" w:rsidRDefault="00AE2DAA" w:rsidP="00A96522">
      <w:pPr>
        <w:numPr>
          <w:ilvl w:val="0"/>
          <w:numId w:val="2"/>
        </w:numPr>
        <w:spacing w:line="360" w:lineRule="auto"/>
        <w:ind w:left="0" w:firstLine="0"/>
        <w:jc w:val="both"/>
        <w:rPr>
          <w:rFonts w:ascii="Palatino Linotype" w:eastAsia="Palatino Linotype" w:hAnsi="Palatino Linotype" w:cs="Palatino Linotype"/>
          <w:b/>
          <w:color w:val="000000" w:themeColor="text1"/>
          <w:sz w:val="24"/>
          <w:szCs w:val="24"/>
          <w:u w:val="single"/>
        </w:rPr>
      </w:pPr>
      <w:r w:rsidRPr="00BE3318">
        <w:rPr>
          <w:rFonts w:ascii="Palatino Linotype" w:eastAsia="Palatino Linotype" w:hAnsi="Palatino Linotype" w:cs="Palatino Linotype"/>
          <w:color w:val="000000" w:themeColor="text1"/>
          <w:sz w:val="24"/>
          <w:szCs w:val="24"/>
        </w:rPr>
        <w:t>En consecuencia de lo anterior, a la fecha de la solicitud no se contaba aún con registro de algún aspira</w:t>
      </w:r>
      <w:r w:rsidR="007A1948" w:rsidRPr="00BE3318">
        <w:rPr>
          <w:rFonts w:ascii="Palatino Linotype" w:eastAsia="Palatino Linotype" w:hAnsi="Palatino Linotype" w:cs="Palatino Linotype"/>
          <w:color w:val="000000" w:themeColor="text1"/>
          <w:sz w:val="24"/>
          <w:szCs w:val="24"/>
        </w:rPr>
        <w:t xml:space="preserve">nte, pues la convocatoria se publicó el veintiséis de febrero de dos mil veinticinco, es decir, cinco días posteriores a la fecha del ingreso de la solicitud y en </w:t>
      </w:r>
      <w:r w:rsidRPr="00BE3318">
        <w:rPr>
          <w:rFonts w:ascii="Palatino Linotype" w:eastAsia="Palatino Linotype" w:hAnsi="Palatino Linotype" w:cs="Palatino Linotype"/>
          <w:color w:val="000000" w:themeColor="text1"/>
          <w:sz w:val="24"/>
          <w:szCs w:val="24"/>
        </w:rPr>
        <w:t xml:space="preserve">consecuencia el </w:t>
      </w:r>
      <w:r w:rsidRPr="00BE3318">
        <w:rPr>
          <w:rFonts w:ascii="Palatino Linotype" w:eastAsia="Palatino Linotype" w:hAnsi="Palatino Linotype" w:cs="Palatino Linotype"/>
          <w:b/>
          <w:color w:val="000000" w:themeColor="text1"/>
          <w:sz w:val="24"/>
          <w:szCs w:val="24"/>
        </w:rPr>
        <w:t xml:space="preserve">SUJETO OBLIGADO, </w:t>
      </w:r>
      <w:r w:rsidRPr="00BE3318">
        <w:rPr>
          <w:rFonts w:ascii="Palatino Linotype" w:eastAsia="Palatino Linotype" w:hAnsi="Palatino Linotype" w:cs="Palatino Linotype"/>
          <w:color w:val="000000" w:themeColor="text1"/>
          <w:sz w:val="24"/>
          <w:szCs w:val="24"/>
        </w:rPr>
        <w:t>se encuentra imposibilitado para remitir la información solicitada.</w:t>
      </w:r>
    </w:p>
    <w:p w14:paraId="07CC2A28" w14:textId="77777777" w:rsidR="00ED077A" w:rsidRPr="00BE3318" w:rsidRDefault="00ED077A" w:rsidP="00A96522">
      <w:pPr>
        <w:spacing w:line="360" w:lineRule="auto"/>
        <w:jc w:val="both"/>
        <w:rPr>
          <w:rFonts w:ascii="Palatino Linotype" w:eastAsia="Palatino Linotype" w:hAnsi="Palatino Linotype" w:cs="Palatino Linotype"/>
          <w:b/>
          <w:color w:val="000000" w:themeColor="text1"/>
          <w:sz w:val="24"/>
          <w:szCs w:val="24"/>
          <w:u w:val="single"/>
        </w:rPr>
      </w:pPr>
    </w:p>
    <w:p w14:paraId="3E79EE8A" w14:textId="77777777" w:rsidR="00ED077A" w:rsidRPr="00BE3318" w:rsidRDefault="004629A8" w:rsidP="00A96522">
      <w:pPr>
        <w:numPr>
          <w:ilvl w:val="0"/>
          <w:numId w:val="1"/>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BE3318">
        <w:rPr>
          <w:rFonts w:ascii="Palatino Linotype" w:eastAsia="Palatino Linotype" w:hAnsi="Palatino Linotype" w:cs="Palatino Linotype"/>
          <w:b/>
          <w:color w:val="000000" w:themeColor="text1"/>
          <w:sz w:val="24"/>
          <w:szCs w:val="24"/>
          <w:u w:val="single"/>
        </w:rPr>
        <w:t>Consulta previa a la Convocatoria para Designar a la o el Representante Indígena ante el Ayuntamiento de Toluca 2025-2027.</w:t>
      </w:r>
    </w:p>
    <w:p w14:paraId="66C0EBD6" w14:textId="0455FC36"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b/>
          <w:color w:val="000000" w:themeColor="text1"/>
          <w:sz w:val="24"/>
          <w:szCs w:val="24"/>
          <w:u w:val="single"/>
        </w:rPr>
      </w:pPr>
      <w:r w:rsidRPr="00BE3318">
        <w:rPr>
          <w:rFonts w:ascii="Palatino Linotype" w:eastAsia="Palatino Linotype" w:hAnsi="Palatino Linotype" w:cs="Palatino Linotype"/>
          <w:color w:val="000000" w:themeColor="text1"/>
          <w:sz w:val="24"/>
          <w:szCs w:val="24"/>
        </w:rPr>
        <w:t>Para tal convocatoria, se refiere lo siguiente:</w:t>
      </w:r>
      <w:r w:rsidR="008C5AC7">
        <w:rPr>
          <w:rFonts w:ascii="Palatino Linotype" w:eastAsia="Palatino Linotype" w:hAnsi="Palatino Linotype" w:cs="Palatino Linotype"/>
          <w:color w:val="000000" w:themeColor="text1"/>
          <w:sz w:val="24"/>
          <w:szCs w:val="24"/>
        </w:rPr>
        <w:t xml:space="preserve"> ------------------------------------------------------</w:t>
      </w:r>
    </w:p>
    <w:p w14:paraId="12246A6E" w14:textId="77777777" w:rsidR="00ED077A" w:rsidRPr="00BE3318" w:rsidRDefault="00ED077A" w:rsidP="00A96522">
      <w:pPr>
        <w:spacing w:line="360" w:lineRule="auto"/>
        <w:jc w:val="both"/>
        <w:rPr>
          <w:rFonts w:ascii="Palatino Linotype" w:eastAsia="Palatino Linotype" w:hAnsi="Palatino Linotype" w:cs="Palatino Linotype"/>
          <w:color w:val="000000" w:themeColor="text1"/>
          <w:sz w:val="24"/>
          <w:szCs w:val="24"/>
        </w:rPr>
      </w:pPr>
    </w:p>
    <w:p w14:paraId="1A13B0D7" w14:textId="77777777" w:rsidR="00ED077A" w:rsidRPr="00BE3318" w:rsidRDefault="007A1948" w:rsidP="00A96522">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noProof/>
          <w:color w:val="000000" w:themeColor="text1"/>
          <w:sz w:val="24"/>
          <w:szCs w:val="24"/>
        </w:rPr>
        <w:lastRenderedPageBreak/>
        <mc:AlternateContent>
          <mc:Choice Requires="wps">
            <w:drawing>
              <wp:anchor distT="0" distB="0" distL="114300" distR="114300" simplePos="0" relativeHeight="251667456" behindDoc="0" locked="0" layoutInCell="1" allowOverlap="1" wp14:anchorId="4452FF4E" wp14:editId="3F192622">
                <wp:simplePos x="0" y="0"/>
                <wp:positionH relativeFrom="column">
                  <wp:posOffset>1649094</wp:posOffset>
                </wp:positionH>
                <wp:positionV relativeFrom="paragraph">
                  <wp:posOffset>686435</wp:posOffset>
                </wp:positionV>
                <wp:extent cx="1514475" cy="9525"/>
                <wp:effectExtent l="0" t="0" r="28575" b="28575"/>
                <wp:wrapNone/>
                <wp:docPr id="10" name="Conector recto 10"/>
                <wp:cNvGraphicFramePr/>
                <a:graphic xmlns:a="http://schemas.openxmlformats.org/drawingml/2006/main">
                  <a:graphicData uri="http://schemas.microsoft.com/office/word/2010/wordprocessingShape">
                    <wps:wsp>
                      <wps:cNvCnPr/>
                      <wps:spPr>
                        <a:xfrm flipV="1">
                          <a:off x="0" y="0"/>
                          <a:ext cx="1514475"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8F7FC9" id="Conector recto 10"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29.85pt,54.05pt" to="249.1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" strokecolor="red" strokeweight="1.5pt">
                <v:stroke joinstyle="miter"/>
              </v:line>
            </w:pict>
          </mc:Fallback>
        </mc:AlternateContent>
      </w:r>
      <w:r w:rsidRPr="00BE3318">
        <w:rPr>
          <w:rFonts w:ascii="Palatino Linotype" w:eastAsia="Palatino Linotype" w:hAnsi="Palatino Linotype" w:cs="Palatino Linotype"/>
          <w:noProof/>
          <w:color w:val="000000" w:themeColor="text1"/>
          <w:sz w:val="24"/>
          <w:szCs w:val="24"/>
        </w:rPr>
        <w:drawing>
          <wp:inline distT="0" distB="0" distL="0" distR="0" wp14:anchorId="42D8B52D" wp14:editId="0EAB5C7D">
            <wp:extent cx="5742940" cy="307276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3072765"/>
                    </a:xfrm>
                    <a:prstGeom prst="rect">
                      <a:avLst/>
                    </a:prstGeom>
                  </pic:spPr>
                </pic:pic>
              </a:graphicData>
            </a:graphic>
          </wp:inline>
        </w:drawing>
      </w:r>
      <w:r w:rsidR="004629A8" w:rsidRPr="00BE3318">
        <w:rPr>
          <w:rFonts w:ascii="Palatino Linotype" w:hAnsi="Palatino Linotype"/>
          <w:noProof/>
          <w:color w:val="000000" w:themeColor="text1"/>
          <w:sz w:val="24"/>
          <w:szCs w:val="24"/>
        </w:rPr>
        <mc:AlternateContent>
          <mc:Choice Requires="wps">
            <w:drawing>
              <wp:anchor distT="0" distB="0" distL="114300" distR="114300" simplePos="0" relativeHeight="251663360" behindDoc="0" locked="0" layoutInCell="1" hidden="0" allowOverlap="1" wp14:anchorId="5F07D26B" wp14:editId="4A2036C0">
                <wp:simplePos x="0" y="0"/>
                <wp:positionH relativeFrom="column">
                  <wp:posOffset>4411345</wp:posOffset>
                </wp:positionH>
                <wp:positionV relativeFrom="paragraph">
                  <wp:posOffset>1058228</wp:posOffset>
                </wp:positionV>
                <wp:extent cx="0" cy="28575"/>
                <wp:effectExtent l="0" t="0" r="0" b="0"/>
                <wp:wrapNone/>
                <wp:docPr id="30" name="Conector recto de flecha 30"/>
                <wp:cNvGraphicFramePr/>
                <a:graphic xmlns:a="http://schemas.openxmlformats.org/drawingml/2006/main">
                  <a:graphicData uri="http://schemas.microsoft.com/office/word/2010/wordprocessingShape">
                    <wps:wsp>
                      <wps:cNvCnPr/>
                      <wps:spPr>
                        <a:xfrm>
                          <a:off x="4717350" y="3780000"/>
                          <a:ext cx="1257300" cy="0"/>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392B29" id="Conector recto de flecha 30" o:spid="_x0000_s1026" type="#_x0000_t32" style="position:absolute;margin-left:347.35pt;margin-top:83.35pt;width:0;height:2.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" strokecolor="red" strokeweight="2.25pt">
                <v:stroke startarrowwidth="narrow" startarrowlength="short" endarrowwidth="narrow" endarrowlength="short" joinstyle="miter"/>
              </v:shape>
            </w:pict>
          </mc:Fallback>
        </mc:AlternateContent>
      </w:r>
    </w:p>
    <w:p w14:paraId="0073E866" w14:textId="77777777" w:rsidR="00ED077A" w:rsidRPr="00BE3318" w:rsidRDefault="00ED077A" w:rsidP="00A96522">
      <w:pPr>
        <w:spacing w:line="360" w:lineRule="auto"/>
        <w:jc w:val="both"/>
        <w:rPr>
          <w:rFonts w:ascii="Palatino Linotype" w:eastAsia="Palatino Linotype" w:hAnsi="Palatino Linotype" w:cs="Palatino Linotype"/>
          <w:color w:val="000000" w:themeColor="text1"/>
          <w:sz w:val="24"/>
          <w:szCs w:val="24"/>
        </w:rPr>
      </w:pPr>
    </w:p>
    <w:p w14:paraId="79A73EAF" w14:textId="77777777" w:rsidR="007A1948" w:rsidRPr="00BE3318" w:rsidRDefault="007A1948"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En consecuencia de lo anterior, a la fecha de la solicitud no se contaba aún con registro de algún aspirante, pues la convocatoria se publicó el veintiséis de febrero de dos mil veinticinco, es decir, cinco días posteriores a la fecha del ingreso de la solicitud y en consecuencia el </w:t>
      </w:r>
      <w:r w:rsidRPr="00BE3318">
        <w:rPr>
          <w:rFonts w:ascii="Palatino Linotype" w:eastAsia="Palatino Linotype" w:hAnsi="Palatino Linotype" w:cs="Palatino Linotype"/>
          <w:b/>
          <w:color w:val="000000" w:themeColor="text1"/>
          <w:sz w:val="24"/>
          <w:szCs w:val="24"/>
        </w:rPr>
        <w:t xml:space="preserve">SUJETO OBLIGADO, </w:t>
      </w:r>
      <w:r w:rsidRPr="00BE3318">
        <w:rPr>
          <w:rFonts w:ascii="Palatino Linotype" w:eastAsia="Palatino Linotype" w:hAnsi="Palatino Linotype" w:cs="Palatino Linotype"/>
          <w:color w:val="000000" w:themeColor="text1"/>
          <w:sz w:val="24"/>
          <w:szCs w:val="24"/>
        </w:rPr>
        <w:t>se encuentra imposibilitado para remitir la información solicitada</w:t>
      </w:r>
    </w:p>
    <w:p w14:paraId="201CB12B" w14:textId="77777777" w:rsidR="0029673D" w:rsidRPr="00BE3318" w:rsidRDefault="0029673D" w:rsidP="00A96522">
      <w:pPr>
        <w:spacing w:line="360" w:lineRule="auto"/>
        <w:jc w:val="both"/>
        <w:rPr>
          <w:rFonts w:ascii="Palatino Linotype" w:eastAsia="Palatino Linotype" w:hAnsi="Palatino Linotype" w:cs="Palatino Linotype"/>
          <w:color w:val="000000" w:themeColor="text1"/>
          <w:sz w:val="24"/>
          <w:szCs w:val="24"/>
        </w:rPr>
      </w:pPr>
    </w:p>
    <w:p w14:paraId="07C58BBA" w14:textId="77777777" w:rsidR="00ED077A" w:rsidRPr="00BE3318" w:rsidRDefault="004629A8"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Es así que amén de que el </w:t>
      </w:r>
      <w:r w:rsidRPr="00BE3318">
        <w:rPr>
          <w:rFonts w:ascii="Palatino Linotype" w:eastAsia="Palatino Linotype" w:hAnsi="Palatino Linotype" w:cs="Palatino Linotype"/>
          <w:b/>
          <w:color w:val="000000" w:themeColor="text1"/>
          <w:sz w:val="24"/>
          <w:szCs w:val="24"/>
        </w:rPr>
        <w:t xml:space="preserve">SUJETO OBLIGADO, </w:t>
      </w:r>
      <w:r w:rsidRPr="00BE3318">
        <w:rPr>
          <w:rFonts w:ascii="Palatino Linotype" w:eastAsia="Palatino Linotype" w:hAnsi="Palatino Linotype" w:cs="Palatino Linotype"/>
          <w:color w:val="000000" w:themeColor="text1"/>
          <w:sz w:val="24"/>
          <w:szCs w:val="24"/>
        </w:rPr>
        <w:t>no se pronunció expresamente respecto los expedientes solicitados, también cierto es que, con la información remitida se infiere que</w:t>
      </w:r>
      <w:r w:rsidR="00A60718" w:rsidRPr="00BE3318">
        <w:rPr>
          <w:rFonts w:ascii="Palatino Linotype" w:eastAsia="Palatino Linotype" w:hAnsi="Palatino Linotype" w:cs="Palatino Linotype"/>
          <w:color w:val="000000" w:themeColor="text1"/>
          <w:sz w:val="24"/>
          <w:szCs w:val="24"/>
        </w:rPr>
        <w:t xml:space="preserve"> únicamente cuneta con los expedientes de las personas aspirantes en la </w:t>
      </w:r>
      <w:r w:rsidR="00A60718" w:rsidRPr="00BE3318">
        <w:rPr>
          <w:rFonts w:ascii="Palatino Linotype" w:eastAsia="Palatino Linotype" w:hAnsi="Palatino Linotype" w:cs="Palatino Linotype"/>
          <w:b/>
          <w:color w:val="000000" w:themeColor="text1"/>
          <w:sz w:val="24"/>
          <w:szCs w:val="24"/>
        </w:rPr>
        <w:t xml:space="preserve">Convocatoria a la Primera Sesión de Cabildo Abierto </w:t>
      </w:r>
      <w:r w:rsidR="00A60718" w:rsidRPr="00BE3318">
        <w:rPr>
          <w:rFonts w:ascii="Palatino Linotype" w:eastAsia="Palatino Linotype" w:hAnsi="Palatino Linotype" w:cs="Palatino Linotype"/>
          <w:color w:val="000000" w:themeColor="text1"/>
          <w:sz w:val="24"/>
          <w:szCs w:val="24"/>
        </w:rPr>
        <w:t xml:space="preserve">y los expedientes de los participantes y persona seleccionada en </w:t>
      </w:r>
      <w:r w:rsidR="00A60718" w:rsidRPr="00BE3318">
        <w:rPr>
          <w:rFonts w:ascii="Palatino Linotype" w:eastAsia="Palatino Linotype" w:hAnsi="Palatino Linotype" w:cs="Palatino Linotype"/>
          <w:b/>
          <w:color w:val="000000" w:themeColor="text1"/>
          <w:sz w:val="24"/>
          <w:szCs w:val="24"/>
        </w:rPr>
        <w:t>Convocatoria para Participación en el Proceso de Selección y Designación de la Persona Titular del órgano Interno de Control</w:t>
      </w:r>
      <w:r w:rsidRPr="00BE3318">
        <w:rPr>
          <w:rFonts w:ascii="Palatino Linotype" w:eastAsia="Palatino Linotype" w:hAnsi="Palatino Linotype" w:cs="Palatino Linotype"/>
          <w:color w:val="000000" w:themeColor="text1"/>
          <w:sz w:val="24"/>
          <w:szCs w:val="24"/>
        </w:rPr>
        <w:t xml:space="preserve">, </w:t>
      </w:r>
      <w:r w:rsidR="00A60718" w:rsidRPr="00BE3318">
        <w:rPr>
          <w:rFonts w:ascii="Palatino Linotype" w:eastAsia="Palatino Linotype" w:hAnsi="Palatino Linotype" w:cs="Palatino Linotype"/>
          <w:color w:val="000000" w:themeColor="text1"/>
          <w:sz w:val="24"/>
          <w:szCs w:val="24"/>
        </w:rPr>
        <w:t xml:space="preserve">por lo que hace al resto </w:t>
      </w:r>
      <w:r w:rsidR="00A60718" w:rsidRPr="00BE3318">
        <w:rPr>
          <w:rFonts w:ascii="Palatino Linotype" w:eastAsia="Palatino Linotype" w:hAnsi="Palatino Linotype" w:cs="Palatino Linotype"/>
          <w:color w:val="000000" w:themeColor="text1"/>
          <w:sz w:val="24"/>
          <w:szCs w:val="24"/>
        </w:rPr>
        <w:lastRenderedPageBreak/>
        <w:t xml:space="preserve">de las convocatorias no procede ordenar la entrega de la información, </w:t>
      </w:r>
      <w:r w:rsidRPr="00BE3318">
        <w:rPr>
          <w:rFonts w:ascii="Palatino Linotype" w:eastAsia="Palatino Linotype" w:hAnsi="Palatino Linotype" w:cs="Palatino Linotype"/>
          <w:color w:val="000000" w:themeColor="text1"/>
          <w:sz w:val="24"/>
          <w:szCs w:val="24"/>
        </w:rPr>
        <w:t xml:space="preserve">pues </w:t>
      </w:r>
      <w:r w:rsidR="00A60718" w:rsidRPr="00BE3318">
        <w:rPr>
          <w:rFonts w:ascii="Palatino Linotype" w:eastAsia="Palatino Linotype" w:hAnsi="Palatino Linotype" w:cs="Palatino Linotype"/>
          <w:color w:val="000000" w:themeColor="text1"/>
          <w:sz w:val="24"/>
          <w:szCs w:val="24"/>
        </w:rPr>
        <w:t>-</w:t>
      </w:r>
      <w:r w:rsidRPr="00BE3318">
        <w:rPr>
          <w:rFonts w:ascii="Palatino Linotype" w:eastAsia="Palatino Linotype" w:hAnsi="Palatino Linotype" w:cs="Palatino Linotype"/>
          <w:color w:val="000000" w:themeColor="text1"/>
          <w:sz w:val="24"/>
          <w:szCs w:val="24"/>
        </w:rPr>
        <w:t>se insiste</w:t>
      </w:r>
      <w:r w:rsidR="00A60718" w:rsidRPr="00BE3318">
        <w:rPr>
          <w:rFonts w:ascii="Palatino Linotype" w:eastAsia="Palatino Linotype" w:hAnsi="Palatino Linotype" w:cs="Palatino Linotype"/>
          <w:color w:val="000000" w:themeColor="text1"/>
          <w:sz w:val="24"/>
          <w:szCs w:val="24"/>
        </w:rPr>
        <w:t>-</w:t>
      </w:r>
      <w:r w:rsidRPr="00BE3318">
        <w:rPr>
          <w:rFonts w:ascii="Palatino Linotype" w:eastAsia="Palatino Linotype" w:hAnsi="Palatino Linotype" w:cs="Palatino Linotype"/>
          <w:color w:val="000000" w:themeColor="text1"/>
          <w:sz w:val="24"/>
          <w:szCs w:val="24"/>
        </w:rPr>
        <w:t xml:space="preserve">, sólo puede hacerse entrega de la información </w:t>
      </w:r>
      <w:r w:rsidR="00A60718" w:rsidRPr="00BE3318">
        <w:rPr>
          <w:rFonts w:ascii="Palatino Linotype" w:eastAsia="Palatino Linotype" w:hAnsi="Palatino Linotype" w:cs="Palatino Linotype"/>
          <w:color w:val="000000" w:themeColor="text1"/>
          <w:sz w:val="24"/>
          <w:szCs w:val="24"/>
        </w:rPr>
        <w:t xml:space="preserve">que obra en poder del </w:t>
      </w:r>
      <w:r w:rsidR="00A60718" w:rsidRPr="00BE3318">
        <w:rPr>
          <w:rFonts w:ascii="Palatino Linotype" w:eastAsia="Palatino Linotype" w:hAnsi="Palatino Linotype" w:cs="Palatino Linotype"/>
          <w:b/>
          <w:color w:val="000000" w:themeColor="text1"/>
          <w:sz w:val="24"/>
          <w:szCs w:val="24"/>
        </w:rPr>
        <w:t xml:space="preserve">SUJETO OBLIGADO, </w:t>
      </w:r>
      <w:r w:rsidR="00A60718" w:rsidRPr="00BE3318">
        <w:rPr>
          <w:rFonts w:ascii="Palatino Linotype" w:eastAsia="Palatino Linotype" w:hAnsi="Palatino Linotype" w:cs="Palatino Linotype"/>
          <w:color w:val="000000" w:themeColor="text1"/>
          <w:sz w:val="24"/>
          <w:szCs w:val="24"/>
        </w:rPr>
        <w:t xml:space="preserve">hasta el momento del ingreso de la solicitud de información </w:t>
      </w:r>
      <w:r w:rsidR="00901B25" w:rsidRPr="00BE3318">
        <w:rPr>
          <w:rFonts w:ascii="Palatino Linotype" w:eastAsia="Palatino Linotype" w:hAnsi="Palatino Linotype" w:cs="Palatino Linotype"/>
          <w:color w:val="000000" w:themeColor="text1"/>
          <w:sz w:val="24"/>
          <w:szCs w:val="24"/>
        </w:rPr>
        <w:t>que nos ocupa.</w:t>
      </w:r>
    </w:p>
    <w:p w14:paraId="408E0E86" w14:textId="77777777" w:rsidR="00901B25" w:rsidRPr="00BE3318" w:rsidRDefault="00901B25" w:rsidP="00A96522">
      <w:pPr>
        <w:spacing w:line="360" w:lineRule="auto"/>
        <w:jc w:val="both"/>
        <w:rPr>
          <w:rFonts w:ascii="Palatino Linotype" w:eastAsia="Palatino Linotype" w:hAnsi="Palatino Linotype" w:cs="Palatino Linotype"/>
          <w:color w:val="000000" w:themeColor="text1"/>
          <w:sz w:val="24"/>
          <w:szCs w:val="24"/>
        </w:rPr>
      </w:pPr>
    </w:p>
    <w:p w14:paraId="24D00E1D" w14:textId="77777777" w:rsidR="004629A8" w:rsidRPr="00BE3318" w:rsidRDefault="004629A8" w:rsidP="00A96522">
      <w:pPr>
        <w:numPr>
          <w:ilvl w:val="0"/>
          <w:numId w:val="2"/>
        </w:numPr>
        <w:spacing w:line="360" w:lineRule="auto"/>
        <w:ind w:left="0" w:firstLine="0"/>
        <w:jc w:val="both"/>
        <w:rPr>
          <w:rFonts w:ascii="Palatino Linotype" w:eastAsia="MS Mincho" w:hAnsi="Palatino Linotype" w:cs="Arial"/>
          <w:b/>
          <w:color w:val="000000" w:themeColor="text1"/>
          <w:sz w:val="24"/>
          <w:szCs w:val="24"/>
        </w:rPr>
      </w:pPr>
      <w:r w:rsidRPr="00BE3318">
        <w:rPr>
          <w:rFonts w:ascii="Palatino Linotype" w:eastAsia="MS Mincho" w:hAnsi="Palatino Linotype" w:cs="Arial"/>
          <w:color w:val="000000" w:themeColor="text1"/>
          <w:sz w:val="24"/>
          <w:szCs w:val="24"/>
        </w:rPr>
        <w:t>De lo anterior, re</w:t>
      </w:r>
      <w:r w:rsidR="0029673D" w:rsidRPr="00BE3318">
        <w:rPr>
          <w:rFonts w:ascii="Palatino Linotype" w:eastAsia="MS Mincho" w:hAnsi="Palatino Linotype" w:cs="Arial"/>
          <w:color w:val="000000" w:themeColor="text1"/>
          <w:sz w:val="24"/>
          <w:szCs w:val="24"/>
        </w:rPr>
        <w:t xml:space="preserve">sulta dable ordenar </w:t>
      </w:r>
      <w:r w:rsidR="00E157D9" w:rsidRPr="00BE3318">
        <w:rPr>
          <w:rFonts w:ascii="Palatino Linotype" w:eastAsia="MS Mincho" w:hAnsi="Palatino Linotype" w:cs="Arial"/>
          <w:color w:val="000000" w:themeColor="text1"/>
          <w:sz w:val="24"/>
          <w:szCs w:val="24"/>
        </w:rPr>
        <w:t>el expediente de la</w:t>
      </w:r>
      <w:r w:rsidRPr="00BE3318">
        <w:rPr>
          <w:rFonts w:ascii="Palatino Linotype" w:eastAsia="MS Mincho" w:hAnsi="Palatino Linotype" w:cs="Arial"/>
          <w:color w:val="000000" w:themeColor="text1"/>
          <w:sz w:val="24"/>
          <w:szCs w:val="24"/>
        </w:rPr>
        <w:t xml:space="preserve"> Titular del Órgano Interno de Control, en versión pública, al veintiuno de febrero de dos mil veinticinco, en versión p</w:t>
      </w:r>
      <w:r w:rsidR="0029673D" w:rsidRPr="00BE3318">
        <w:rPr>
          <w:rFonts w:ascii="Palatino Linotype" w:eastAsia="MS Mincho" w:hAnsi="Palatino Linotype" w:cs="Arial"/>
          <w:color w:val="000000" w:themeColor="text1"/>
          <w:sz w:val="24"/>
          <w:szCs w:val="24"/>
        </w:rPr>
        <w:t>ública, así como</w:t>
      </w:r>
      <w:r w:rsidRPr="00BE3318">
        <w:rPr>
          <w:rFonts w:ascii="Palatino Linotype" w:eastAsia="MS Mincho" w:hAnsi="Palatino Linotype" w:cs="Arial"/>
          <w:color w:val="000000" w:themeColor="text1"/>
          <w:sz w:val="24"/>
          <w:szCs w:val="24"/>
        </w:rPr>
        <w:t xml:space="preserve"> el acuerdo de clasificación emitido por el Comité de Transparencia, en donde de manera fundada y motivada, a través de una prueba de daño, confirme la clasificación como reservada, los expedientes de las personas participantes en la Convocatoria a la Primera Sesión de Cabildo Abierto y Convocatoria para Participación en el Proceso de Selección y Designación de la Persona Titular del órgano Interno de Control en términos del artículo 140, fracción VIII, de la Ley de Transparencia y Acceso a la Información Pública del Estado de México y Municipios.</w:t>
      </w:r>
      <w:r w:rsidRPr="00BE3318">
        <w:rPr>
          <w:rFonts w:ascii="Palatino Linotype" w:eastAsia="MS Mincho" w:hAnsi="Palatino Linotype" w:cs="Arial"/>
          <w:b/>
          <w:color w:val="000000" w:themeColor="text1"/>
          <w:sz w:val="24"/>
          <w:szCs w:val="24"/>
        </w:rPr>
        <w:t xml:space="preserve"> </w:t>
      </w:r>
    </w:p>
    <w:p w14:paraId="5CBA236F" w14:textId="77777777" w:rsidR="004629A8" w:rsidRPr="00BE3318" w:rsidRDefault="004629A8" w:rsidP="00A96522">
      <w:pPr>
        <w:pStyle w:val="Prrafodelista"/>
        <w:ind w:left="0"/>
        <w:rPr>
          <w:rFonts w:ascii="Palatino Linotype" w:eastAsia="MS Mincho" w:hAnsi="Palatino Linotype" w:cs="Arial"/>
          <w:b/>
          <w:color w:val="000000" w:themeColor="text1"/>
          <w:sz w:val="24"/>
        </w:rPr>
      </w:pPr>
    </w:p>
    <w:p w14:paraId="6BEE3C4D" w14:textId="77777777" w:rsidR="004629A8" w:rsidRPr="008C5AC7" w:rsidRDefault="004629A8" w:rsidP="00A96522">
      <w:pPr>
        <w:numPr>
          <w:ilvl w:val="0"/>
          <w:numId w:val="2"/>
        </w:numPr>
        <w:spacing w:line="360" w:lineRule="auto"/>
        <w:ind w:left="0" w:firstLine="0"/>
        <w:jc w:val="both"/>
        <w:rPr>
          <w:rFonts w:ascii="Palatino Linotype" w:eastAsia="MS Mincho" w:hAnsi="Palatino Linotype" w:cs="Arial"/>
          <w:b/>
          <w:color w:val="000000" w:themeColor="text1"/>
          <w:sz w:val="24"/>
          <w:szCs w:val="24"/>
        </w:rPr>
      </w:pPr>
      <w:r w:rsidRPr="00BE3318">
        <w:rPr>
          <w:rFonts w:ascii="Palatino Linotype" w:eastAsia="MS Mincho" w:hAnsi="Palatino Linotype" w:cs="Arial"/>
          <w:color w:val="000000" w:themeColor="text1"/>
          <w:sz w:val="24"/>
          <w:szCs w:val="24"/>
        </w:rPr>
        <w:t>A efecto del expediente de la</w:t>
      </w:r>
      <w:r w:rsidRPr="00BE3318">
        <w:rPr>
          <w:rFonts w:ascii="Palatino Linotype" w:eastAsia="MS Mincho" w:hAnsi="Palatino Linotype" w:cs="Arial"/>
          <w:b/>
          <w:color w:val="000000" w:themeColor="text1"/>
          <w:sz w:val="24"/>
          <w:szCs w:val="24"/>
        </w:rPr>
        <w:t xml:space="preserve"> Titular del Órgano Interno de Control, </w:t>
      </w:r>
      <w:r w:rsidRPr="00BE3318">
        <w:rPr>
          <w:rFonts w:ascii="Palatino Linotype" w:eastAsia="MS Mincho" w:hAnsi="Palatino Linotype" w:cs="Arial"/>
          <w:color w:val="000000" w:themeColor="text1"/>
          <w:sz w:val="24"/>
          <w:szCs w:val="24"/>
        </w:rPr>
        <w:t xml:space="preserve">en atención  las bases en la convocatoria correspondiente, se advierte que obra información susceptible de ser clasificada, por lo que a efecto de precisión, </w:t>
      </w:r>
      <w:r w:rsidR="00EC538E" w:rsidRPr="00BE3318">
        <w:rPr>
          <w:rFonts w:ascii="Palatino Linotype" w:eastAsia="MS Mincho" w:hAnsi="Palatino Linotype" w:cs="Arial"/>
          <w:color w:val="000000" w:themeColor="text1"/>
          <w:sz w:val="24"/>
          <w:szCs w:val="24"/>
        </w:rPr>
        <w:t>de manera enunciativa, más no limitativa, entre los documentos que integran el expediente se encuentran los siguientes:</w:t>
      </w:r>
    </w:p>
    <w:p w14:paraId="71B9446F" w14:textId="77777777" w:rsidR="008C5AC7" w:rsidRPr="00BE3318" w:rsidRDefault="008C5AC7" w:rsidP="008C5AC7">
      <w:pPr>
        <w:spacing w:line="360" w:lineRule="auto"/>
        <w:jc w:val="both"/>
        <w:rPr>
          <w:rFonts w:ascii="Palatino Linotype" w:eastAsia="MS Mincho" w:hAnsi="Palatino Linotype" w:cs="Arial"/>
          <w:b/>
          <w:color w:val="000000" w:themeColor="text1"/>
          <w:sz w:val="24"/>
          <w:szCs w:val="24"/>
        </w:rPr>
      </w:pPr>
    </w:p>
    <w:p w14:paraId="7B853182" w14:textId="77777777" w:rsidR="004629A8" w:rsidRPr="00BE3318" w:rsidRDefault="004629A8" w:rsidP="00A96522">
      <w:pPr>
        <w:numPr>
          <w:ilvl w:val="0"/>
          <w:numId w:val="15"/>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szCs w:val="24"/>
        </w:rPr>
      </w:pPr>
      <w:r w:rsidRPr="00BE3318">
        <w:rPr>
          <w:rFonts w:ascii="Palatino Linotype" w:eastAsia="Palatino Linotype" w:hAnsi="Palatino Linotype" w:cs="Palatino Linotype"/>
          <w:b/>
          <w:color w:val="000000" w:themeColor="text1"/>
          <w:sz w:val="24"/>
          <w:szCs w:val="24"/>
        </w:rPr>
        <w:t>Acta de nacimiento.</w:t>
      </w:r>
    </w:p>
    <w:p w14:paraId="3FC94429" w14:textId="0FE64AB4" w:rsidR="004629A8" w:rsidRPr="008C5AC7" w:rsidRDefault="004629A8" w:rsidP="008C5AC7">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8C5AC7">
        <w:rPr>
          <w:rFonts w:ascii="Palatino Linotype" w:eastAsia="Palatino Linotype" w:hAnsi="Palatino Linotype" w:cs="Palatino Linotype"/>
          <w:color w:val="000000" w:themeColor="text1"/>
          <w:sz w:val="24"/>
        </w:rPr>
        <w:t xml:space="preserve">Dentro de la fracción II del artículo 47 de la Ley del Trabajo de los Servidores Públicos del Estado de México, el requisito consiste en ser de nacionalidad mexicana, por lo que el documento que colmaría este punto de la solicitud de manera enunciativa más no limitativa </w:t>
      </w:r>
      <w:r w:rsidRPr="008C5AC7">
        <w:rPr>
          <w:rFonts w:ascii="Palatino Linotype" w:eastAsia="Palatino Linotype" w:hAnsi="Palatino Linotype" w:cs="Palatino Linotype"/>
          <w:color w:val="000000" w:themeColor="text1"/>
          <w:sz w:val="24"/>
        </w:rPr>
        <w:lastRenderedPageBreak/>
        <w:t xml:space="preserve">sería el acta de nacimiento, la cual es emitida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14:paraId="27489D28" w14:textId="77777777" w:rsidR="004629A8" w:rsidRPr="00BE3318" w:rsidRDefault="004629A8" w:rsidP="00A96522">
      <w:pPr>
        <w:tabs>
          <w:tab w:val="left" w:pos="4962"/>
        </w:tabs>
        <w:spacing w:line="360" w:lineRule="auto"/>
        <w:jc w:val="both"/>
        <w:rPr>
          <w:rFonts w:ascii="Palatino Linotype" w:eastAsia="Palatino Linotype" w:hAnsi="Palatino Linotype" w:cs="Palatino Linotype"/>
          <w:color w:val="000000" w:themeColor="text1"/>
          <w:sz w:val="24"/>
          <w:szCs w:val="24"/>
        </w:rPr>
      </w:pPr>
    </w:p>
    <w:p w14:paraId="27C1CD37" w14:textId="03160D51" w:rsidR="004629A8" w:rsidRPr="008C5AC7" w:rsidRDefault="004629A8" w:rsidP="008C5AC7">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8C5AC7">
        <w:rPr>
          <w:rFonts w:ascii="Palatino Linotype" w:eastAsia="Palatino Linotype" w:hAnsi="Palatino Linotype" w:cs="Palatino Linotype"/>
          <w:color w:val="000000" w:themeColor="text1"/>
          <w:sz w:val="24"/>
        </w:rPr>
        <w:t xml:space="preserve">Ahora bien, de acuerdo con el Formato Único del Acta de Nacimiento publicado por la Secretaría de Gobernación en el enlace </w:t>
      </w:r>
      <w:hyperlink r:id="rId16">
        <w:r w:rsidRPr="008C5AC7">
          <w:rPr>
            <w:rFonts w:ascii="Palatino Linotype" w:eastAsia="Palatino Linotype" w:hAnsi="Palatino Linotype" w:cs="Palatino Linotype"/>
            <w:color w:val="000000" w:themeColor="text1"/>
            <w:sz w:val="24"/>
          </w:rPr>
          <w:t>http://www.diputados.gob.mx/documentos/N_Acta_Nacimiento.pdf</w:t>
        </w:r>
      </w:hyperlink>
      <w:r w:rsidRPr="008C5AC7">
        <w:rPr>
          <w:rFonts w:ascii="Palatino Linotype" w:eastAsia="Palatino Linotype" w:hAnsi="Palatino Linotype" w:cs="Palatino Linotype"/>
          <w:color w:val="000000" w:themeColor="text1"/>
          <w:sz w:val="24"/>
        </w:rPr>
        <w:t xml:space="preserve">, se advierte que el Acta de Nacimiento se componte de quince elementos siendo los siguientes: </w:t>
      </w:r>
    </w:p>
    <w:p w14:paraId="51555EE0" w14:textId="77777777" w:rsidR="004629A8" w:rsidRPr="00BE3318" w:rsidRDefault="004629A8" w:rsidP="00A96522">
      <w:pPr>
        <w:numPr>
          <w:ilvl w:val="0"/>
          <w:numId w:val="16"/>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Folio de Impresión.</w:t>
      </w:r>
    </w:p>
    <w:p w14:paraId="532593E9" w14:textId="77777777" w:rsidR="004629A8" w:rsidRPr="00BE3318" w:rsidRDefault="004629A8" w:rsidP="00A96522">
      <w:pPr>
        <w:numPr>
          <w:ilvl w:val="0"/>
          <w:numId w:val="16"/>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Denominación del Documento.</w:t>
      </w:r>
    </w:p>
    <w:p w14:paraId="63A837FF" w14:textId="77777777" w:rsidR="004629A8" w:rsidRPr="00BE3318" w:rsidRDefault="004629A8" w:rsidP="00A96522">
      <w:pPr>
        <w:numPr>
          <w:ilvl w:val="0"/>
          <w:numId w:val="16"/>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Identificador Electrónico. </w:t>
      </w:r>
    </w:p>
    <w:p w14:paraId="4779101F" w14:textId="77777777" w:rsidR="004629A8" w:rsidRPr="00BE3318" w:rsidRDefault="004629A8" w:rsidP="00A96522">
      <w:pPr>
        <w:numPr>
          <w:ilvl w:val="0"/>
          <w:numId w:val="16"/>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Elementos del Registro. </w:t>
      </w:r>
    </w:p>
    <w:p w14:paraId="0A6C50FA" w14:textId="77777777" w:rsidR="004629A8" w:rsidRPr="00BE3318" w:rsidRDefault="004629A8" w:rsidP="00A96522">
      <w:pPr>
        <w:numPr>
          <w:ilvl w:val="0"/>
          <w:numId w:val="16"/>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Datos de la Persona Registrada. </w:t>
      </w:r>
    </w:p>
    <w:p w14:paraId="786B46E2" w14:textId="77777777" w:rsidR="004629A8" w:rsidRPr="00BE3318" w:rsidRDefault="004629A8" w:rsidP="00A96522">
      <w:pPr>
        <w:numPr>
          <w:ilvl w:val="0"/>
          <w:numId w:val="16"/>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Datos de Filiación de la Persona Registrada. </w:t>
      </w:r>
    </w:p>
    <w:p w14:paraId="468B318E" w14:textId="77777777" w:rsidR="004629A8" w:rsidRPr="00BE3318" w:rsidRDefault="004629A8" w:rsidP="00A96522">
      <w:pPr>
        <w:numPr>
          <w:ilvl w:val="0"/>
          <w:numId w:val="16"/>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Anotaciones Marginales. </w:t>
      </w:r>
    </w:p>
    <w:p w14:paraId="64F8EC53" w14:textId="77777777" w:rsidR="004629A8" w:rsidRPr="00BE3318" w:rsidRDefault="004629A8" w:rsidP="00A96522">
      <w:pPr>
        <w:numPr>
          <w:ilvl w:val="0"/>
          <w:numId w:val="16"/>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Certificación. </w:t>
      </w:r>
    </w:p>
    <w:p w14:paraId="3C8F20E4" w14:textId="77777777" w:rsidR="004629A8" w:rsidRPr="00BE3318" w:rsidRDefault="004629A8" w:rsidP="00A96522">
      <w:pPr>
        <w:numPr>
          <w:ilvl w:val="0"/>
          <w:numId w:val="16"/>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Código Bidimensional QR que contiene información encriptada del acta. </w:t>
      </w:r>
    </w:p>
    <w:p w14:paraId="59EDA484" w14:textId="77777777" w:rsidR="004629A8" w:rsidRPr="00BE3318" w:rsidRDefault="004629A8" w:rsidP="00A96522">
      <w:pPr>
        <w:numPr>
          <w:ilvl w:val="0"/>
          <w:numId w:val="16"/>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Leyenda “Soy México” </w:t>
      </w:r>
    </w:p>
    <w:p w14:paraId="0CCD460E" w14:textId="77777777" w:rsidR="004629A8" w:rsidRPr="00BE3318" w:rsidRDefault="004629A8" w:rsidP="00A96522">
      <w:pPr>
        <w:numPr>
          <w:ilvl w:val="0"/>
          <w:numId w:val="16"/>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Firma Electrónica Avanzada. </w:t>
      </w:r>
    </w:p>
    <w:p w14:paraId="3A05425B" w14:textId="77777777" w:rsidR="004629A8" w:rsidRPr="00BE3318" w:rsidRDefault="004629A8" w:rsidP="00A96522">
      <w:pPr>
        <w:numPr>
          <w:ilvl w:val="0"/>
          <w:numId w:val="16"/>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Firma y datos de la autoridad emisora. </w:t>
      </w:r>
    </w:p>
    <w:p w14:paraId="76CF6A88" w14:textId="77777777" w:rsidR="004629A8" w:rsidRPr="00BE3318" w:rsidRDefault="004629A8" w:rsidP="00A96522">
      <w:pPr>
        <w:numPr>
          <w:ilvl w:val="0"/>
          <w:numId w:val="16"/>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Código QR. </w:t>
      </w:r>
    </w:p>
    <w:p w14:paraId="0E36DC92" w14:textId="77777777" w:rsidR="004629A8" w:rsidRPr="00BE3318" w:rsidRDefault="004629A8" w:rsidP="00A96522">
      <w:pPr>
        <w:numPr>
          <w:ilvl w:val="0"/>
          <w:numId w:val="16"/>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lastRenderedPageBreak/>
        <w:t>Código de Verificación.</w:t>
      </w:r>
    </w:p>
    <w:p w14:paraId="69B87593" w14:textId="77777777" w:rsidR="004629A8" w:rsidRPr="00BE3318" w:rsidRDefault="004629A8" w:rsidP="00A96522">
      <w:pPr>
        <w:numPr>
          <w:ilvl w:val="0"/>
          <w:numId w:val="16"/>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Leyenda de instrucciones para la verificación del documento. </w:t>
      </w:r>
    </w:p>
    <w:p w14:paraId="64836C81" w14:textId="77777777" w:rsidR="004629A8" w:rsidRPr="00BE3318" w:rsidRDefault="004629A8" w:rsidP="00A96522">
      <w:pPr>
        <w:spacing w:line="360" w:lineRule="auto"/>
        <w:jc w:val="both"/>
        <w:rPr>
          <w:rFonts w:ascii="Palatino Linotype" w:eastAsia="Palatino Linotype" w:hAnsi="Palatino Linotype" w:cs="Palatino Linotype"/>
          <w:color w:val="000000" w:themeColor="text1"/>
          <w:sz w:val="24"/>
          <w:szCs w:val="24"/>
        </w:rPr>
      </w:pPr>
    </w:p>
    <w:p w14:paraId="20E6847B" w14:textId="1D54B892" w:rsidR="004629A8" w:rsidRPr="008C5AC7" w:rsidRDefault="004629A8" w:rsidP="008C5AC7">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8C5AC7">
        <w:rPr>
          <w:rFonts w:ascii="Palatino Linotype" w:eastAsia="Palatino Linotype" w:hAnsi="Palatino Linotype" w:cs="Palatino Linotype"/>
          <w:color w:val="000000" w:themeColor="text1"/>
          <w:sz w:val="24"/>
        </w:rPr>
        <w:t>Siendo de suma importancia mencionar que la información relativa a los incisos d) elementos de registro, e) datos de la persona registrada, f) datos de filiación de la persona registrada, g), anotaciones marginales y m) Código QR, se encuentra intrínsecamente relacionada con la esfera privada de una persona haciéndole identificada o identificable</w:t>
      </w:r>
    </w:p>
    <w:p w14:paraId="46752093" w14:textId="77777777" w:rsidR="004629A8" w:rsidRPr="00BE3318" w:rsidRDefault="004629A8" w:rsidP="00A96522">
      <w:pPr>
        <w:tabs>
          <w:tab w:val="left" w:pos="4962"/>
        </w:tabs>
        <w:spacing w:line="360" w:lineRule="auto"/>
        <w:jc w:val="both"/>
        <w:rPr>
          <w:rFonts w:ascii="Palatino Linotype" w:eastAsia="Palatino Linotype" w:hAnsi="Palatino Linotype" w:cs="Palatino Linotype"/>
          <w:color w:val="000000" w:themeColor="text1"/>
          <w:sz w:val="24"/>
          <w:szCs w:val="24"/>
        </w:rPr>
      </w:pPr>
    </w:p>
    <w:p w14:paraId="166F8298" w14:textId="3330CC52" w:rsidR="004629A8" w:rsidRPr="008C5AC7" w:rsidRDefault="004629A8" w:rsidP="008C5AC7">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8C5AC7">
        <w:rPr>
          <w:rFonts w:ascii="Palatino Linotype" w:eastAsia="Palatino Linotype" w:hAnsi="Palatino Linotype" w:cs="Palatino Linotype"/>
          <w:color w:val="000000" w:themeColor="text1"/>
          <w:sz w:val="24"/>
        </w:rPr>
        <w:t>Dada esta relevancia y que no guarda relación directa con el ejercicio de atribuciones de servidores públicos es que su contenido del Acta de Nacimiento debe ser analizado en su totalidad, además que parte los datos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14:paraId="4EF1B6DE" w14:textId="77777777" w:rsidR="004629A8" w:rsidRPr="00BE3318" w:rsidRDefault="004629A8" w:rsidP="00A96522">
      <w:pPr>
        <w:spacing w:line="360" w:lineRule="auto"/>
        <w:jc w:val="both"/>
        <w:rPr>
          <w:rFonts w:ascii="Palatino Linotype" w:eastAsia="Palatino Linotype" w:hAnsi="Palatino Linotype" w:cs="Palatino Linotype"/>
          <w:color w:val="000000" w:themeColor="text1"/>
          <w:sz w:val="24"/>
          <w:szCs w:val="24"/>
        </w:rPr>
      </w:pPr>
    </w:p>
    <w:p w14:paraId="2A013E96" w14:textId="71D23527" w:rsidR="0081579E" w:rsidRPr="008C5AC7" w:rsidRDefault="004629A8" w:rsidP="008C5AC7">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8C5AC7">
        <w:rPr>
          <w:rFonts w:ascii="Palatino Linotype" w:eastAsia="Palatino Linotype" w:hAnsi="Palatino Linotype" w:cs="Palatino Linotype"/>
          <w:color w:val="000000" w:themeColor="text1"/>
          <w:sz w:val="24"/>
        </w:rPr>
        <w:t xml:space="preserve">De esta manera, se trata de un documento de </w:t>
      </w:r>
      <w:r w:rsidRPr="008C5AC7">
        <w:rPr>
          <w:rFonts w:ascii="Palatino Linotype" w:eastAsia="Palatino Linotype" w:hAnsi="Palatino Linotype" w:cs="Palatino Linotype"/>
          <w:b/>
          <w:color w:val="000000" w:themeColor="text1"/>
          <w:sz w:val="24"/>
        </w:rPr>
        <w:t>naturaleza confidencial</w:t>
      </w:r>
      <w:r w:rsidRPr="008C5AC7">
        <w:rPr>
          <w:rFonts w:ascii="Palatino Linotype" w:eastAsia="Palatino Linotype" w:hAnsi="Palatino Linotype" w:cs="Palatino Linotype"/>
          <w:color w:val="000000" w:themeColor="text1"/>
          <w:sz w:val="24"/>
        </w:rPr>
        <w:t xml:space="preserve">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0CCAD577" w14:textId="77777777" w:rsidR="0081579E" w:rsidRPr="00BE3318" w:rsidRDefault="0081579E" w:rsidP="00A96522">
      <w:pPr>
        <w:spacing w:line="360" w:lineRule="auto"/>
        <w:jc w:val="both"/>
        <w:rPr>
          <w:rFonts w:ascii="Palatino Linotype" w:eastAsia="Palatino Linotype" w:hAnsi="Palatino Linotype" w:cs="Palatino Linotype"/>
          <w:color w:val="000000" w:themeColor="text1"/>
          <w:sz w:val="24"/>
          <w:szCs w:val="24"/>
        </w:rPr>
      </w:pPr>
    </w:p>
    <w:p w14:paraId="5C6BE8F5" w14:textId="33342B70" w:rsidR="00EC538E" w:rsidRPr="008C5AC7" w:rsidRDefault="00EC538E" w:rsidP="008C5AC7">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8C5AC7">
        <w:rPr>
          <w:rFonts w:ascii="Palatino Linotype" w:eastAsia="Palatino Linotype" w:hAnsi="Palatino Linotype" w:cs="Palatino Linotype"/>
          <w:color w:val="000000" w:themeColor="text1"/>
          <w:sz w:val="24"/>
        </w:rPr>
        <w:t xml:space="preserve">De esta manera, se trata de un documento de </w:t>
      </w:r>
      <w:r w:rsidRPr="008C5AC7">
        <w:rPr>
          <w:rFonts w:ascii="Palatino Linotype" w:eastAsia="Palatino Linotype" w:hAnsi="Palatino Linotype" w:cs="Palatino Linotype"/>
          <w:b/>
          <w:color w:val="000000" w:themeColor="text1"/>
          <w:sz w:val="24"/>
        </w:rPr>
        <w:t>naturaleza confidencial</w:t>
      </w:r>
      <w:r w:rsidRPr="008C5AC7">
        <w:rPr>
          <w:rFonts w:ascii="Palatino Linotype" w:eastAsia="Palatino Linotype" w:hAnsi="Palatino Linotype" w:cs="Palatino Linotype"/>
          <w:color w:val="000000" w:themeColor="text1"/>
          <w:sz w:val="24"/>
        </w:rPr>
        <w:t xml:space="preserve"> que tiene que ver únicamente con la vida privada de las personas, motivo por el cual se considera que </w:t>
      </w:r>
      <w:r w:rsidRPr="008C5AC7">
        <w:rPr>
          <w:rFonts w:ascii="Palatino Linotype" w:eastAsia="Palatino Linotype" w:hAnsi="Palatino Linotype" w:cs="Palatino Linotype"/>
          <w:color w:val="000000" w:themeColor="text1"/>
          <w:sz w:val="24"/>
        </w:rPr>
        <w:lastRenderedPageBreak/>
        <w:t>actualiza la causal de clasificación establecida en el artículo 143, fracción I, de la Ley de Transparencia y Acceso a la Información Pública del Estado de México y Municipios.</w:t>
      </w:r>
    </w:p>
    <w:p w14:paraId="32D4D7B8"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2A648A15" w14:textId="77777777" w:rsidR="00EC538E" w:rsidRPr="00BE3318" w:rsidRDefault="00EC538E" w:rsidP="00A96522">
      <w:pPr>
        <w:numPr>
          <w:ilvl w:val="0"/>
          <w:numId w:val="15"/>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szCs w:val="24"/>
        </w:rPr>
      </w:pPr>
      <w:r w:rsidRPr="00BE3318">
        <w:rPr>
          <w:rFonts w:ascii="Palatino Linotype" w:eastAsia="Palatino Linotype" w:hAnsi="Palatino Linotype" w:cs="Palatino Linotype"/>
          <w:b/>
          <w:color w:val="000000" w:themeColor="text1"/>
          <w:sz w:val="24"/>
          <w:szCs w:val="24"/>
        </w:rPr>
        <w:t>Certificado del grado máximo de estudios o Documento oficial que lo acredite.</w:t>
      </w:r>
    </w:p>
    <w:p w14:paraId="6E12121B" w14:textId="7DEB6B30" w:rsidR="00EC538E" w:rsidRPr="008C5AC7" w:rsidRDefault="00EC538E" w:rsidP="008C5AC7">
      <w:pPr>
        <w:pStyle w:val="Prrafodelista"/>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sz w:val="24"/>
        </w:rPr>
      </w:pPr>
      <w:r w:rsidRPr="008C5AC7">
        <w:rPr>
          <w:rFonts w:ascii="Palatino Linotype" w:eastAsia="Palatino Linotype" w:hAnsi="Palatino Linotype" w:cs="Palatino Linotype"/>
          <w:color w:val="000000" w:themeColor="text1"/>
          <w:sz w:val="24"/>
        </w:rPr>
        <w:t>De acuerdo con el artículo 172 de la Ley de Educación del Estado de México, el certificado de estudios es:</w:t>
      </w:r>
    </w:p>
    <w:p w14:paraId="464D84C7" w14:textId="77777777" w:rsidR="00EC538E" w:rsidRPr="00BE3318" w:rsidRDefault="00EC538E" w:rsidP="00A96522">
      <w:pPr>
        <w:spacing w:before="240" w:after="240" w:line="360"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b/>
          <w:i/>
          <w:color w:val="000000" w:themeColor="text1"/>
          <w:sz w:val="24"/>
          <w:szCs w:val="24"/>
        </w:rPr>
        <w:t>Artículo 172.- El certificado de estudios es el documento oficial mediante el cual la Autoridad Educativa Estatal reconoce que los educandos han concluido un nivel educativo determinado</w:t>
      </w:r>
      <w:r w:rsidRPr="00BE3318">
        <w:rPr>
          <w:rFonts w:ascii="Palatino Linotype" w:eastAsia="Palatino Linotype" w:hAnsi="Palatino Linotype" w:cs="Palatino Linotype"/>
          <w:i/>
          <w:color w:val="000000" w:themeColor="text1"/>
          <w:sz w:val="24"/>
          <w:szCs w:val="24"/>
        </w:rPr>
        <w:t>, en los tipos de educación básica, media superior y superior.” (Sic)</w:t>
      </w:r>
    </w:p>
    <w:p w14:paraId="26EBA095"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Bajo ese contexto, el certificado de estudios es un documento expedido por instituciones del Estado o descentralizadas, y por instituciones particulares que tenga reconocimiento de validez oficial de estudios, a favor de la persona que haya concluido los estudios correspondientes.</w:t>
      </w:r>
    </w:p>
    <w:p w14:paraId="387C4940"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1312DCEB" w14:textId="5B88EE93" w:rsidR="00EC538E" w:rsidRPr="008C5AC7" w:rsidRDefault="00EC538E" w:rsidP="008C5AC7">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8C5AC7">
        <w:rPr>
          <w:rFonts w:ascii="Palatino Linotype" w:eastAsia="Palatino Linotype" w:hAnsi="Palatino Linotype" w:cs="Palatino Linotype"/>
          <w:color w:val="000000" w:themeColor="text1"/>
          <w:sz w:val="24"/>
        </w:rPr>
        <w:t>De acuerdo con la guía de trámites 2024</w:t>
      </w:r>
      <w:r w:rsidRPr="00BE3318">
        <w:rPr>
          <w:rFonts w:eastAsia="Palatino Linotype"/>
          <w:vertAlign w:val="superscript"/>
        </w:rPr>
        <w:footnoteReference w:id="1"/>
      </w:r>
      <w:r w:rsidRPr="008C5AC7">
        <w:rPr>
          <w:rFonts w:ascii="Palatino Linotype" w:eastAsia="Palatino Linotype" w:hAnsi="Palatino Linotype" w:cs="Palatino Linotype"/>
          <w:color w:val="000000" w:themeColor="text1"/>
          <w:sz w:val="24"/>
        </w:rPr>
        <w:t xml:space="preserve"> de la propia Universidad Autónoma del Estado de México y Municipios, se observa:</w:t>
      </w:r>
    </w:p>
    <w:p w14:paraId="55B1CD7B" w14:textId="77777777" w:rsidR="00EC538E" w:rsidRPr="00BE3318" w:rsidRDefault="00EC538E" w:rsidP="00A96522">
      <w:pPr>
        <w:spacing w:line="360" w:lineRule="auto"/>
        <w:jc w:val="both"/>
        <w:rPr>
          <w:rFonts w:ascii="Palatino Linotype" w:eastAsia="Palatino Linotype" w:hAnsi="Palatino Linotype" w:cs="Palatino Linotype"/>
          <w:b/>
          <w:i/>
          <w:color w:val="000000" w:themeColor="text1"/>
          <w:sz w:val="24"/>
          <w:szCs w:val="24"/>
        </w:rPr>
      </w:pPr>
      <w:r w:rsidRPr="00BE3318">
        <w:rPr>
          <w:rFonts w:ascii="Palatino Linotype" w:eastAsia="Palatino Linotype" w:hAnsi="Palatino Linotype" w:cs="Palatino Linotype"/>
          <w:b/>
          <w:i/>
          <w:color w:val="000000" w:themeColor="text1"/>
          <w:sz w:val="24"/>
          <w:szCs w:val="24"/>
        </w:rPr>
        <w:t xml:space="preserve">EGRESO </w:t>
      </w:r>
    </w:p>
    <w:p w14:paraId="2124C4AC" w14:textId="77777777" w:rsidR="00EC538E" w:rsidRPr="00BE3318" w:rsidRDefault="00EC538E" w:rsidP="00A96522">
      <w:pPr>
        <w:spacing w:line="360" w:lineRule="auto"/>
        <w:jc w:val="both"/>
        <w:rPr>
          <w:rFonts w:ascii="Palatino Linotype" w:eastAsia="Palatino Linotype" w:hAnsi="Palatino Linotype" w:cs="Palatino Linotype"/>
          <w:b/>
          <w:i/>
          <w:color w:val="000000" w:themeColor="text1"/>
          <w:sz w:val="24"/>
          <w:szCs w:val="24"/>
        </w:rPr>
      </w:pPr>
      <w:r w:rsidRPr="00BE3318">
        <w:rPr>
          <w:rFonts w:ascii="Palatino Linotype" w:eastAsia="Palatino Linotype" w:hAnsi="Palatino Linotype" w:cs="Palatino Linotype"/>
          <w:b/>
          <w:i/>
          <w:color w:val="000000" w:themeColor="text1"/>
          <w:sz w:val="24"/>
          <w:szCs w:val="24"/>
        </w:rPr>
        <w:t xml:space="preserve">CERTIFICACIÓN DE LOS ESTUDIOS DE PREPARATORIA, LICENCIATURA, POSGRADO Y DIPLOMADO SUPERIOR </w:t>
      </w:r>
    </w:p>
    <w:p w14:paraId="1A99BDEC" w14:textId="77777777" w:rsidR="00EC538E" w:rsidRPr="00BE3318" w:rsidRDefault="00EC538E" w:rsidP="00A96522">
      <w:pPr>
        <w:spacing w:line="360"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lastRenderedPageBreak/>
        <w:t xml:space="preserve">El certificado digital es un documento administrativo en formato PDF que consta los estudios realizados en un plan de estudio y cubre los créditos señalados, mismos que ha sido firmado electrónicamente. </w:t>
      </w:r>
    </w:p>
    <w:p w14:paraId="1717CC7F" w14:textId="77777777" w:rsidR="00EC538E" w:rsidRPr="00BE3318" w:rsidRDefault="00EC538E" w:rsidP="00A96522">
      <w:pPr>
        <w:spacing w:line="360"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 xml:space="preserve">El certificado oficial, es un documento impreso en formato oficial (original) </w:t>
      </w:r>
      <w:r w:rsidRPr="00BE3318">
        <w:rPr>
          <w:rFonts w:ascii="Palatino Linotype" w:eastAsia="Palatino Linotype" w:hAnsi="Palatino Linotype" w:cs="Palatino Linotype"/>
          <w:b/>
          <w:i/>
          <w:color w:val="000000" w:themeColor="text1"/>
          <w:sz w:val="24"/>
          <w:szCs w:val="24"/>
        </w:rPr>
        <w:t>con fotografía mica, calificaciones y los datos académicos del alumno y que avala los estudios cursados</w:t>
      </w:r>
      <w:r w:rsidRPr="00BE3318">
        <w:rPr>
          <w:rFonts w:ascii="Palatino Linotype" w:eastAsia="Palatino Linotype" w:hAnsi="Palatino Linotype" w:cs="Palatino Linotype"/>
          <w:i/>
          <w:color w:val="000000" w:themeColor="text1"/>
          <w:sz w:val="24"/>
          <w:szCs w:val="24"/>
        </w:rPr>
        <w:t xml:space="preserve"> en la Universidad Autónoma del Estado de México (UEAMéx).</w:t>
      </w:r>
    </w:p>
    <w:p w14:paraId="070CDBBD"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13568C99" w14:textId="3D9D1EA8" w:rsidR="00EC538E" w:rsidRPr="008C5AC7" w:rsidRDefault="00EC538E" w:rsidP="008C5AC7">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8C5AC7">
        <w:rPr>
          <w:rFonts w:ascii="Palatino Linotype" w:eastAsia="Palatino Linotype" w:hAnsi="Palatino Linotype" w:cs="Palatino Linotype"/>
          <w:color w:val="000000" w:themeColor="text1"/>
          <w:sz w:val="24"/>
        </w:rPr>
        <w:t xml:space="preserve">En ese sentido, el </w:t>
      </w:r>
      <w:r w:rsidRPr="008C5AC7">
        <w:rPr>
          <w:rFonts w:ascii="Palatino Linotype" w:eastAsia="Palatino Linotype" w:hAnsi="Palatino Linotype" w:cs="Palatino Linotype"/>
          <w:b/>
          <w:color w:val="000000" w:themeColor="text1"/>
          <w:sz w:val="24"/>
        </w:rPr>
        <w:t>SUJETO OBLIGADO</w:t>
      </w:r>
      <w:r w:rsidRPr="008C5AC7">
        <w:rPr>
          <w:rFonts w:ascii="Palatino Linotype" w:eastAsia="Palatino Linotype" w:hAnsi="Palatino Linotype" w:cs="Palatino Linotype"/>
          <w:color w:val="000000" w:themeColor="text1"/>
          <w:sz w:val="24"/>
        </w:rPr>
        <w:t xml:space="preserve"> debe contar con dicho documento en el cual, atendiendo a su naturaleza podría contener como datos que deben testarse: CURP, RFC, Firma del titular, promedio, calificaciones y créditos, tipo de exámenes, en ese sentido deberá elaborarse la correspondiente versión pública.</w:t>
      </w:r>
    </w:p>
    <w:p w14:paraId="7A5C8020"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49AC54D2" w14:textId="77777777" w:rsidR="00EC538E" w:rsidRPr="00BE3318" w:rsidRDefault="00EC538E" w:rsidP="00A96522">
      <w:pPr>
        <w:numPr>
          <w:ilvl w:val="0"/>
          <w:numId w:val="15"/>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szCs w:val="24"/>
        </w:rPr>
      </w:pPr>
      <w:r w:rsidRPr="00BE3318">
        <w:rPr>
          <w:rFonts w:ascii="Palatino Linotype" w:eastAsia="Palatino Linotype" w:hAnsi="Palatino Linotype" w:cs="Palatino Linotype"/>
          <w:b/>
          <w:color w:val="000000" w:themeColor="text1"/>
          <w:sz w:val="24"/>
          <w:szCs w:val="24"/>
        </w:rPr>
        <w:t>Título profesional o acta de evaluación profesional del grado máximo de estudios.</w:t>
      </w:r>
    </w:p>
    <w:p w14:paraId="733EC63E" w14:textId="3E9B2276" w:rsidR="00EC538E" w:rsidRPr="008C5AC7" w:rsidRDefault="00EC538E" w:rsidP="008C5AC7">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8C5AC7">
        <w:rPr>
          <w:rFonts w:ascii="Palatino Linotype" w:eastAsia="Palatino Linotype" w:hAnsi="Palatino Linotype" w:cs="Palatino Linotype"/>
          <w:color w:val="000000" w:themeColor="text1"/>
          <w:sz w:val="24"/>
        </w:rPr>
        <w:t>Estos documentos dan cuenta del grado académico, especialización y experiencia sobre la materia, además de servir como medio de identificación para relacionar a su titular con un nivel de estudios.</w:t>
      </w:r>
    </w:p>
    <w:p w14:paraId="4A481D14"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4B90591D" w14:textId="776968BE" w:rsidR="00EC538E" w:rsidRPr="00C7156A" w:rsidRDefault="00EC538E"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De acuerdo con las propias disposiciones de la UAEMEX</w:t>
      </w:r>
      <w:r w:rsidRPr="00BE3318">
        <w:rPr>
          <w:rFonts w:eastAsia="Palatino Linotype"/>
          <w:vertAlign w:val="superscript"/>
        </w:rPr>
        <w:footnoteReference w:id="2"/>
      </w:r>
      <w:r w:rsidRPr="00C7156A">
        <w:rPr>
          <w:rFonts w:ascii="Palatino Linotype" w:eastAsia="Palatino Linotype" w:hAnsi="Palatino Linotype" w:cs="Palatino Linotype"/>
          <w:color w:val="000000" w:themeColor="text1"/>
          <w:sz w:val="24"/>
        </w:rPr>
        <w:t>:</w:t>
      </w:r>
    </w:p>
    <w:p w14:paraId="7BB786FF" w14:textId="77777777" w:rsidR="00EC538E" w:rsidRPr="00BE3318" w:rsidRDefault="00EC538E" w:rsidP="00A96522">
      <w:pPr>
        <w:spacing w:line="360"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 xml:space="preserve">La titulación es la expedición de un documento oficial que se le otorga al alumno por haber cumplido satisfactoriamente con su examen de evaluación profesional, el cual se registra ante la Dirección General de Profesiones de la Secretaría de Educación Pública para que el titulado pueda obtener la </w:t>
      </w:r>
      <w:r w:rsidRPr="00BE3318">
        <w:rPr>
          <w:rFonts w:ascii="Palatino Linotype" w:eastAsia="Palatino Linotype" w:hAnsi="Palatino Linotype" w:cs="Palatino Linotype"/>
          <w:i/>
          <w:color w:val="000000" w:themeColor="text1"/>
          <w:sz w:val="24"/>
          <w:szCs w:val="24"/>
        </w:rPr>
        <w:lastRenderedPageBreak/>
        <w:t>cédula profesional a través de la Dirección General de Profesiones de la Secretaría de Educación Pública.</w:t>
      </w:r>
    </w:p>
    <w:p w14:paraId="4AC2E031"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311FA5DF" w14:textId="306594CE" w:rsidR="00EC538E" w:rsidRPr="00C7156A" w:rsidRDefault="00EC538E"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 xml:space="preserve">Por su parte la </w:t>
      </w:r>
      <w:r w:rsidRPr="00C7156A">
        <w:rPr>
          <w:rFonts w:ascii="Palatino Linotype" w:eastAsia="Palatino Linotype" w:hAnsi="Palatino Linotype" w:cs="Palatino Linotype"/>
          <w:b/>
          <w:color w:val="000000" w:themeColor="text1"/>
          <w:sz w:val="24"/>
        </w:rPr>
        <w:t>Certificación de acta de evaluación profesional.</w:t>
      </w:r>
      <w:r w:rsidRPr="00C7156A">
        <w:rPr>
          <w:rFonts w:ascii="Palatino Linotype" w:eastAsia="Palatino Linotype" w:hAnsi="Palatino Linotype" w:cs="Palatino Linotype"/>
          <w:color w:val="000000" w:themeColor="text1"/>
          <w:sz w:val="24"/>
        </w:rPr>
        <w:t xml:space="preserve"> </w:t>
      </w:r>
    </w:p>
    <w:p w14:paraId="262B2F55" w14:textId="77777777" w:rsidR="00EC538E" w:rsidRPr="00BE3318" w:rsidRDefault="00EC538E" w:rsidP="00A96522">
      <w:pPr>
        <w:spacing w:line="360"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 xml:space="preserve">CERTIFICACIÓN DE ACTA DE EVALUACIÓN PROFESIONAL O DE GRADO </w:t>
      </w:r>
    </w:p>
    <w:p w14:paraId="61C3A91E" w14:textId="77777777" w:rsidR="00EC538E" w:rsidRPr="00BE3318" w:rsidRDefault="00EC538E" w:rsidP="00A96522">
      <w:pPr>
        <w:spacing w:line="360"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Es un documento oficial para casos de extravío o deterioro del acta de evaluación, para que los egresados de licenciatura y posgrado cuenten con un documento que avale la presentación del examen profesional o de grado, dicho formato se encuentra registrado en la Dirección General de Profesiones.</w:t>
      </w:r>
    </w:p>
    <w:p w14:paraId="2A3BCA8D"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52D65737" w14:textId="36D0DEE2" w:rsidR="00EC538E" w:rsidRPr="00C7156A" w:rsidRDefault="00EC538E"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Como en el caso del certificado de estudios, atendiendo a su naturaleza podría contener como datos que deben testarse: CURP, RFC, Firma del titular, promedio, calificaciones y créditos, tipo de exámenes, en ese sentido deberá elaborarse la correspondiente versión pública.</w:t>
      </w:r>
    </w:p>
    <w:p w14:paraId="03DCCA93"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48542AF7" w14:textId="77777777" w:rsidR="00EC538E" w:rsidRPr="00BE3318" w:rsidRDefault="00EC538E" w:rsidP="00A96522">
      <w:pPr>
        <w:numPr>
          <w:ilvl w:val="0"/>
          <w:numId w:val="15"/>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szCs w:val="24"/>
        </w:rPr>
      </w:pPr>
      <w:r w:rsidRPr="00BE3318">
        <w:rPr>
          <w:rFonts w:ascii="Palatino Linotype" w:eastAsia="Palatino Linotype" w:hAnsi="Palatino Linotype" w:cs="Palatino Linotype"/>
          <w:b/>
          <w:color w:val="000000" w:themeColor="text1"/>
          <w:sz w:val="24"/>
          <w:szCs w:val="24"/>
        </w:rPr>
        <w:t xml:space="preserve">Cédula profesional </w:t>
      </w:r>
    </w:p>
    <w:p w14:paraId="60011D18" w14:textId="7E92F2D9" w:rsidR="00EC538E" w:rsidRPr="00C7156A" w:rsidRDefault="00EC538E"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 xml:space="preserve">De acuerdo con la página institucional </w:t>
      </w:r>
      <w:hyperlink r:id="rId17">
        <w:r w:rsidRPr="00C7156A">
          <w:rPr>
            <w:rFonts w:ascii="Palatino Linotype" w:eastAsia="Palatino Linotype" w:hAnsi="Palatino Linotype" w:cs="Palatino Linotype"/>
            <w:color w:val="000000" w:themeColor="text1"/>
            <w:sz w:val="24"/>
            <w:u w:val="single"/>
          </w:rPr>
          <w:t>https://www.gob.mx/cedulaprofesional</w:t>
        </w:r>
      </w:hyperlink>
      <w:r w:rsidRPr="00C7156A">
        <w:rPr>
          <w:rFonts w:ascii="Palatino Linotype" w:eastAsia="Palatino Linotype" w:hAnsi="Palatino Linotype" w:cs="Palatino Linotype"/>
          <w:color w:val="000000" w:themeColor="text1"/>
          <w:sz w:val="24"/>
        </w:rPr>
        <w:t xml:space="preserve"> se observa que la cédula profesional se compone con diversos elementos entre ellos, CURP, Códigos de barra y QR de verificación del documento, fotografía y firma.</w:t>
      </w:r>
    </w:p>
    <w:p w14:paraId="25C619FB"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3BDF7A1E" w14:textId="4BA73697" w:rsidR="00EC538E" w:rsidRPr="00C7156A" w:rsidRDefault="00EC538E"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Al respecto, es importante considerar lo siguiente de los datos contenidos.</w:t>
      </w:r>
    </w:p>
    <w:p w14:paraId="075C92C4" w14:textId="77777777" w:rsidR="00EC538E" w:rsidRPr="00BE3318" w:rsidRDefault="00EC538E" w:rsidP="00A96522">
      <w:pPr>
        <w:numPr>
          <w:ilvl w:val="0"/>
          <w:numId w:val="15"/>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szCs w:val="24"/>
        </w:rPr>
      </w:pPr>
      <w:r w:rsidRPr="00BE3318">
        <w:rPr>
          <w:rFonts w:ascii="Palatino Linotype" w:eastAsia="Palatino Linotype" w:hAnsi="Palatino Linotype" w:cs="Palatino Linotype"/>
          <w:b/>
          <w:color w:val="000000" w:themeColor="text1"/>
          <w:sz w:val="24"/>
          <w:szCs w:val="24"/>
        </w:rPr>
        <w:t xml:space="preserve">Códigos de Barras de verificación contenidos en el documento. </w:t>
      </w:r>
    </w:p>
    <w:p w14:paraId="05770FB8" w14:textId="77777777" w:rsidR="00EC538E" w:rsidRPr="00BE3318" w:rsidRDefault="00EC538E" w:rsidP="00A96522">
      <w:pPr>
        <w:spacing w:line="360" w:lineRule="auto"/>
        <w:jc w:val="both"/>
        <w:rPr>
          <w:rFonts w:ascii="Palatino Linotype" w:eastAsia="Palatino Linotype" w:hAnsi="Palatino Linotype" w:cs="Palatino Linotype"/>
          <w:b/>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El Código de Barras contenido en ambos formatos, corresponden al identificador electrónico de verificación de la cédula profesional, que de su acceso, no arroja algún tipo de dato </w:t>
      </w:r>
      <w:r w:rsidRPr="00BE3318">
        <w:rPr>
          <w:rFonts w:ascii="Palatino Linotype" w:eastAsia="Palatino Linotype" w:hAnsi="Palatino Linotype" w:cs="Palatino Linotype"/>
          <w:color w:val="000000" w:themeColor="text1"/>
          <w:sz w:val="24"/>
          <w:szCs w:val="24"/>
        </w:rPr>
        <w:lastRenderedPageBreak/>
        <w:t xml:space="preserve">personal, por lo que, al no desprenderse información de la vida privada del titular, no se actualiza algún supuesto previsto en el artículo 143 de la Ley en la materia, por lo que, </w:t>
      </w:r>
      <w:r w:rsidRPr="00BE3318">
        <w:rPr>
          <w:rFonts w:ascii="Palatino Linotype" w:eastAsia="Palatino Linotype" w:hAnsi="Palatino Linotype" w:cs="Palatino Linotype"/>
          <w:b/>
          <w:color w:val="000000" w:themeColor="text1"/>
          <w:sz w:val="24"/>
          <w:szCs w:val="24"/>
        </w:rPr>
        <w:t xml:space="preserve">no resulta procedente su clasificación. </w:t>
      </w:r>
    </w:p>
    <w:p w14:paraId="43A2C742"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               </w:t>
      </w:r>
    </w:p>
    <w:p w14:paraId="56C2F868" w14:textId="77777777" w:rsidR="00EC538E" w:rsidRPr="00BE3318" w:rsidRDefault="00EC538E" w:rsidP="00A96522">
      <w:pPr>
        <w:numPr>
          <w:ilvl w:val="0"/>
          <w:numId w:val="18"/>
        </w:numPr>
        <w:spacing w:line="360" w:lineRule="auto"/>
        <w:ind w:left="0" w:firstLine="0"/>
        <w:jc w:val="both"/>
        <w:rPr>
          <w:rFonts w:ascii="Palatino Linotype" w:eastAsia="Palatino Linotype" w:hAnsi="Palatino Linotype" w:cs="Palatino Linotype"/>
          <w:b/>
          <w:color w:val="000000" w:themeColor="text1"/>
          <w:sz w:val="24"/>
          <w:szCs w:val="24"/>
        </w:rPr>
      </w:pPr>
      <w:r w:rsidRPr="00BE3318">
        <w:rPr>
          <w:rFonts w:ascii="Palatino Linotype" w:eastAsia="Palatino Linotype" w:hAnsi="Palatino Linotype" w:cs="Palatino Linotype"/>
          <w:b/>
          <w:color w:val="000000" w:themeColor="text1"/>
          <w:sz w:val="24"/>
          <w:szCs w:val="24"/>
        </w:rPr>
        <w:t xml:space="preserve">Código QR de verificación del documento. </w:t>
      </w:r>
    </w:p>
    <w:p w14:paraId="10C087EC"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Respecto al Código Bidimensional ubicado en la parte inferior derecha del documento, se advierte que de su acceso se remite al Registro Nacional de Profesionistas</w:t>
      </w:r>
    </w:p>
    <w:p w14:paraId="452B2FEB" w14:textId="77777777" w:rsidR="00EC538E" w:rsidRPr="00BE3318" w:rsidRDefault="00EC538E" w:rsidP="00A96522">
      <w:pPr>
        <w:spacing w:line="360" w:lineRule="auto"/>
        <w:jc w:val="center"/>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noProof/>
          <w:color w:val="000000" w:themeColor="text1"/>
          <w:sz w:val="24"/>
          <w:szCs w:val="24"/>
        </w:rPr>
        <w:drawing>
          <wp:inline distT="0" distB="0" distL="0" distR="0" wp14:anchorId="50E14275" wp14:editId="6CBF731E">
            <wp:extent cx="3130023" cy="1561364"/>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t="-2" b="47020"/>
                    <a:stretch>
                      <a:fillRect/>
                    </a:stretch>
                  </pic:blipFill>
                  <pic:spPr>
                    <a:xfrm>
                      <a:off x="0" y="0"/>
                      <a:ext cx="3130023" cy="1561364"/>
                    </a:xfrm>
                    <a:prstGeom prst="rect">
                      <a:avLst/>
                    </a:prstGeom>
                    <a:ln/>
                  </pic:spPr>
                </pic:pic>
              </a:graphicData>
            </a:graphic>
          </wp:inline>
        </w:drawing>
      </w:r>
      <w:r w:rsidRPr="00BE3318">
        <w:rPr>
          <w:rFonts w:ascii="Palatino Linotype" w:eastAsia="Palatino Linotype" w:hAnsi="Palatino Linotype" w:cs="Palatino Linotype"/>
          <w:noProof/>
          <w:color w:val="000000" w:themeColor="text1"/>
          <w:sz w:val="24"/>
          <w:szCs w:val="24"/>
        </w:rPr>
        <w:drawing>
          <wp:inline distT="0" distB="0" distL="0" distR="0" wp14:anchorId="07B04654" wp14:editId="1086C4E2">
            <wp:extent cx="2765164" cy="1497797"/>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r="517" b="610"/>
                    <a:stretch>
                      <a:fillRect/>
                    </a:stretch>
                  </pic:blipFill>
                  <pic:spPr>
                    <a:xfrm>
                      <a:off x="0" y="0"/>
                      <a:ext cx="2765164" cy="1497797"/>
                    </a:xfrm>
                    <a:prstGeom prst="rect">
                      <a:avLst/>
                    </a:prstGeom>
                    <a:ln/>
                  </pic:spPr>
                </pic:pic>
              </a:graphicData>
            </a:graphic>
          </wp:inline>
        </w:drawing>
      </w:r>
    </w:p>
    <w:p w14:paraId="24DA1347"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5FED1F7D" w14:textId="77777777" w:rsidR="00C7156A" w:rsidRDefault="00EC538E"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 xml:space="preserve">Asimismo, cabe mencionar que en el supuesto de que el Particular introdujera el número de alguna cédula profesional en el apartado de búsqueda, lo conduciría a que al corresponder únicamente al número de cédula profesional, al nombre del servidor público y al tipo de cédula que se expide,  es información de naturaleza pública, por lo que, no resulta procedente su clasificación, al no actualizar la fracción I del artículo 143 de la Ley de Transparencia y Acceso a la Información Pública del Estado de México y Municipios. </w:t>
      </w:r>
    </w:p>
    <w:p w14:paraId="5D225A84" w14:textId="26DDED4E" w:rsidR="00EC538E" w:rsidRPr="00C7156A" w:rsidRDefault="00EC538E" w:rsidP="00C7156A">
      <w:pPr>
        <w:pStyle w:val="Prrafodelista"/>
        <w:spacing w:line="360" w:lineRule="auto"/>
        <w:ind w:left="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 xml:space="preserve"> </w:t>
      </w:r>
    </w:p>
    <w:p w14:paraId="09F75DFC" w14:textId="77777777" w:rsidR="00EC538E" w:rsidRPr="00BE3318" w:rsidRDefault="00EC538E" w:rsidP="00A96522">
      <w:pPr>
        <w:spacing w:line="360" w:lineRule="auto"/>
        <w:jc w:val="center"/>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noProof/>
          <w:color w:val="000000" w:themeColor="text1"/>
          <w:sz w:val="24"/>
          <w:szCs w:val="24"/>
        </w:rPr>
        <w:drawing>
          <wp:inline distT="0" distB="0" distL="0" distR="0" wp14:anchorId="1D3BC6B4" wp14:editId="1942AE80">
            <wp:extent cx="2879725" cy="508635"/>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b="41089"/>
                    <a:stretch>
                      <a:fillRect/>
                    </a:stretch>
                  </pic:blipFill>
                  <pic:spPr>
                    <a:xfrm>
                      <a:off x="0" y="0"/>
                      <a:ext cx="2879725" cy="508635"/>
                    </a:xfrm>
                    <a:prstGeom prst="rect">
                      <a:avLst/>
                    </a:prstGeom>
                    <a:ln/>
                  </pic:spPr>
                </pic:pic>
              </a:graphicData>
            </a:graphic>
          </wp:inline>
        </w:drawing>
      </w:r>
    </w:p>
    <w:p w14:paraId="71DD52D4"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52BF7764" w14:textId="77777777" w:rsidR="00EC538E" w:rsidRPr="00BE3318" w:rsidRDefault="00EC538E" w:rsidP="00A96522">
      <w:pPr>
        <w:numPr>
          <w:ilvl w:val="0"/>
          <w:numId w:val="17"/>
        </w:numPr>
        <w:spacing w:line="360" w:lineRule="auto"/>
        <w:ind w:left="0" w:firstLine="0"/>
        <w:jc w:val="both"/>
        <w:rPr>
          <w:rFonts w:ascii="Palatino Linotype" w:eastAsia="Palatino Linotype" w:hAnsi="Palatino Linotype" w:cs="Palatino Linotype"/>
          <w:b/>
          <w:color w:val="000000" w:themeColor="text1"/>
          <w:sz w:val="24"/>
          <w:szCs w:val="24"/>
        </w:rPr>
      </w:pPr>
      <w:r w:rsidRPr="00BE3318">
        <w:rPr>
          <w:rFonts w:ascii="Palatino Linotype" w:eastAsia="Palatino Linotype" w:hAnsi="Palatino Linotype" w:cs="Palatino Linotype"/>
          <w:b/>
          <w:color w:val="000000" w:themeColor="text1"/>
          <w:sz w:val="24"/>
          <w:szCs w:val="24"/>
        </w:rPr>
        <w:lastRenderedPageBreak/>
        <w:t>Cadena original de cédula.</w:t>
      </w:r>
    </w:p>
    <w:p w14:paraId="16541238" w14:textId="774B98F6" w:rsidR="00EC538E" w:rsidRPr="00C7156A" w:rsidRDefault="00EC538E"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Por último, es necesario precisar que la cadena original contenida en el documento, se integra por diversos datos, entre ellos la Clave Única de Registro de Población (CURP), el nombre del titular de la cédula, datos de la Institución Educativa y la profesión realizada.</w:t>
      </w:r>
    </w:p>
    <w:p w14:paraId="324BAE7C"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1C71911B" w14:textId="03333766" w:rsidR="00EC538E" w:rsidRPr="00C7156A" w:rsidRDefault="00EC538E"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En ese contexto, dado que el dato en cuestión revela datos de naturaleza confidencial, a saber, la Clave Única de Registro de Población, misma que como se analizó en párrafos anteriores, es clasificado, se considera que este actualiza la causal de clasificación prevista en el artículo 143, fracción I, de la Ley de la materia.</w:t>
      </w:r>
    </w:p>
    <w:p w14:paraId="4BD88C47"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4D8A66F8" w14:textId="77777777" w:rsidR="00EC538E" w:rsidRPr="00BE3318" w:rsidRDefault="00EC538E" w:rsidP="00A96522">
      <w:pPr>
        <w:numPr>
          <w:ilvl w:val="0"/>
          <w:numId w:val="17"/>
        </w:numPr>
        <w:spacing w:line="360" w:lineRule="auto"/>
        <w:ind w:left="0" w:firstLine="0"/>
        <w:jc w:val="both"/>
        <w:rPr>
          <w:rFonts w:ascii="Palatino Linotype" w:eastAsia="Palatino Linotype" w:hAnsi="Palatino Linotype" w:cs="Palatino Linotype"/>
          <w:b/>
          <w:color w:val="000000" w:themeColor="text1"/>
          <w:sz w:val="24"/>
          <w:szCs w:val="24"/>
        </w:rPr>
      </w:pPr>
      <w:r w:rsidRPr="00BE3318">
        <w:rPr>
          <w:rFonts w:ascii="Palatino Linotype" w:eastAsia="Palatino Linotype" w:hAnsi="Palatino Linotype" w:cs="Palatino Linotype"/>
          <w:b/>
          <w:color w:val="000000" w:themeColor="text1"/>
          <w:sz w:val="24"/>
          <w:szCs w:val="24"/>
        </w:rPr>
        <w:t>Firma electrónica avanzada del Servidor Público facultado para la expedición y sello digital de tiempo SEP.</w:t>
      </w:r>
    </w:p>
    <w:p w14:paraId="519D1681" w14:textId="7C06A489" w:rsidR="00EC538E" w:rsidRPr="00C7156A" w:rsidRDefault="00EC538E"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Se trata de una serie de dígitos, que de manera alguna revela datos personales del titular de la cédula profesional, y, al contrario, da validez al documento en cuestión.</w:t>
      </w:r>
    </w:p>
    <w:p w14:paraId="1275279C"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 Por tales circunstancias, al no revelar datos personales confidenciales de las personas contratadas que prestan un servicio, se considera que el código de barras, zona de lectura mecánica, código bidimensional o QR, firma electrónica avanzada del Servidor Público facultado y sello digital de tiempo SEP, no actualizan la causal de clasificación prevista en el artículo 143, fracción I, de la Ley de Transparencia y Acceso a la Información Pública del Estado de México y Municipios.</w:t>
      </w:r>
    </w:p>
    <w:p w14:paraId="337D4FDC" w14:textId="77777777" w:rsidR="00EC538E"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4126ADB4" w14:textId="77777777" w:rsidR="00C7156A" w:rsidRDefault="00C7156A" w:rsidP="00A96522">
      <w:pPr>
        <w:spacing w:line="360" w:lineRule="auto"/>
        <w:jc w:val="both"/>
        <w:rPr>
          <w:rFonts w:ascii="Palatino Linotype" w:eastAsia="Palatino Linotype" w:hAnsi="Palatino Linotype" w:cs="Palatino Linotype"/>
          <w:color w:val="000000" w:themeColor="text1"/>
          <w:sz w:val="24"/>
          <w:szCs w:val="24"/>
        </w:rPr>
      </w:pPr>
    </w:p>
    <w:p w14:paraId="03E2A56A" w14:textId="77777777" w:rsidR="00C7156A" w:rsidRPr="00BE3318" w:rsidRDefault="00C7156A" w:rsidP="00A96522">
      <w:pPr>
        <w:spacing w:line="360" w:lineRule="auto"/>
        <w:jc w:val="both"/>
        <w:rPr>
          <w:rFonts w:ascii="Palatino Linotype" w:eastAsia="Palatino Linotype" w:hAnsi="Palatino Linotype" w:cs="Palatino Linotype"/>
          <w:color w:val="000000" w:themeColor="text1"/>
          <w:sz w:val="24"/>
          <w:szCs w:val="24"/>
        </w:rPr>
      </w:pPr>
    </w:p>
    <w:p w14:paraId="696D69A2" w14:textId="77777777" w:rsidR="00EC538E" w:rsidRPr="00BE3318" w:rsidRDefault="00EC538E" w:rsidP="00A96522">
      <w:pPr>
        <w:numPr>
          <w:ilvl w:val="0"/>
          <w:numId w:val="17"/>
        </w:numPr>
        <w:spacing w:line="360" w:lineRule="auto"/>
        <w:ind w:left="0" w:firstLine="0"/>
        <w:jc w:val="both"/>
        <w:rPr>
          <w:rFonts w:ascii="Palatino Linotype" w:eastAsia="Palatino Linotype" w:hAnsi="Palatino Linotype" w:cs="Palatino Linotype"/>
          <w:b/>
          <w:color w:val="000000" w:themeColor="text1"/>
          <w:sz w:val="24"/>
          <w:szCs w:val="24"/>
        </w:rPr>
      </w:pPr>
      <w:r w:rsidRPr="00BE3318">
        <w:rPr>
          <w:rFonts w:ascii="Palatino Linotype" w:eastAsia="Palatino Linotype" w:hAnsi="Palatino Linotype" w:cs="Palatino Linotype"/>
          <w:b/>
          <w:color w:val="000000" w:themeColor="text1"/>
          <w:sz w:val="24"/>
          <w:szCs w:val="24"/>
        </w:rPr>
        <w:lastRenderedPageBreak/>
        <w:t>Fotografía y firma en cédula profesional.</w:t>
      </w:r>
    </w:p>
    <w:p w14:paraId="257A6D54" w14:textId="3B70F324" w:rsidR="00EC538E" w:rsidRPr="00C7156A" w:rsidRDefault="00EC538E"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 xml:space="preserve">Al respecto, es necesario precisar que la cédula y el título profesional, son los documentos que toda persona </w:t>
      </w:r>
      <w:r w:rsidRPr="00C7156A">
        <w:rPr>
          <w:rFonts w:ascii="Palatino Linotype" w:eastAsia="Palatino Linotype" w:hAnsi="Palatino Linotype" w:cs="Palatino Linotype"/>
          <w:i/>
          <w:color w:val="000000" w:themeColor="text1"/>
          <w:sz w:val="24"/>
        </w:rPr>
        <w:t>a quien legalmente se le haya expedido título profesional o grado académico equivalente, podrá obtener</w:t>
      </w:r>
      <w:r w:rsidRPr="00C7156A">
        <w:rPr>
          <w:rFonts w:ascii="Palatino Linotype" w:eastAsia="Palatino Linotype" w:hAnsi="Palatino Linotype" w:cs="Palatino Linotype"/>
          <w:color w:val="000000" w:themeColor="text1"/>
          <w:sz w:val="24"/>
        </w:rPr>
        <w:t xml:space="preserve"> (…) </w:t>
      </w:r>
      <w:r w:rsidRPr="00C7156A">
        <w:rPr>
          <w:rFonts w:ascii="Palatino Linotype" w:eastAsia="Palatino Linotype" w:hAnsi="Palatino Linotype" w:cs="Palatino Linotype"/>
          <w:b/>
          <w:i/>
          <w:color w:val="000000" w:themeColor="text1"/>
          <w:sz w:val="24"/>
        </w:rPr>
        <w:t xml:space="preserve">con efectos de patente, </w:t>
      </w:r>
      <w:r w:rsidRPr="00C7156A">
        <w:rPr>
          <w:rFonts w:ascii="Palatino Linotype" w:eastAsia="Palatino Linotype" w:hAnsi="Palatino Linotype" w:cs="Palatino Linotype"/>
          <w:color w:val="000000" w:themeColor="text1"/>
          <w:sz w:val="24"/>
        </w:rPr>
        <w:t xml:space="preserve">es otorgada por la Dirección General de Profesiones o por la Institución respectiva, para identidad en todas las actividades profesionales, de conformidad con los artículos 3° y 23, fracción IV de la Ley Reglamentaria del Artículo 5° Constitucional, Relativo al Ejercicio de las Profesiones en la Ciudad de México. </w:t>
      </w:r>
    </w:p>
    <w:p w14:paraId="64C1048F"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5BD8C202" w14:textId="77777777" w:rsidR="00EC538E" w:rsidRPr="00C7156A" w:rsidRDefault="00EC538E" w:rsidP="00C7156A">
      <w:pPr>
        <w:pStyle w:val="Prrafodelista"/>
        <w:numPr>
          <w:ilvl w:val="0"/>
          <w:numId w:val="24"/>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b/>
          <w:color w:val="000000" w:themeColor="text1"/>
          <w:sz w:val="24"/>
        </w:rPr>
        <w:t>Firma de servidores públicos en comprobantes de estudio</w:t>
      </w:r>
    </w:p>
    <w:p w14:paraId="442E7567" w14:textId="22096676" w:rsidR="00EC538E" w:rsidRPr="00C7156A" w:rsidRDefault="00EC538E"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455AB760" w14:textId="77777777" w:rsidR="00EC538E" w:rsidRPr="00BE3318" w:rsidRDefault="00EC538E" w:rsidP="00A96522">
      <w:pPr>
        <w:tabs>
          <w:tab w:val="left" w:pos="4962"/>
        </w:tabs>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w:t>
      </w:r>
    </w:p>
    <w:p w14:paraId="4439B83D" w14:textId="2D7CE7CC" w:rsidR="00EC538E" w:rsidRPr="00C7156A" w:rsidRDefault="00EC538E"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755DD83E" w14:textId="77777777" w:rsidR="00EC538E" w:rsidRPr="00BE3318" w:rsidRDefault="00EC538E" w:rsidP="00A96522">
      <w:pPr>
        <w:tabs>
          <w:tab w:val="left" w:pos="4962"/>
        </w:tabs>
        <w:spacing w:line="360" w:lineRule="auto"/>
        <w:jc w:val="both"/>
        <w:rPr>
          <w:rFonts w:ascii="Palatino Linotype" w:eastAsia="Palatino Linotype" w:hAnsi="Palatino Linotype" w:cs="Palatino Linotype"/>
          <w:color w:val="000000" w:themeColor="text1"/>
          <w:sz w:val="24"/>
          <w:szCs w:val="24"/>
        </w:rPr>
      </w:pPr>
    </w:p>
    <w:p w14:paraId="2C3DCBCB" w14:textId="510C5D8C" w:rsidR="00EC538E" w:rsidRPr="00C7156A" w:rsidRDefault="00EC538E"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3523CFAF" w14:textId="7807AD51" w:rsidR="00EC538E" w:rsidRPr="00BE3318" w:rsidRDefault="00EC538E" w:rsidP="00C7156A">
      <w:pPr>
        <w:shd w:val="clear" w:color="auto" w:fill="FFFFFF"/>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lastRenderedPageBreak/>
        <w:t> </w:t>
      </w:r>
      <w:r w:rsidRPr="00BE3318">
        <w:rPr>
          <w:rFonts w:ascii="Palatino Linotype" w:eastAsia="Palatino Linotype" w:hAnsi="Palatino Linotype" w:cs="Palatino Linotype"/>
          <w:b/>
          <w:i/>
          <w:color w:val="000000" w:themeColor="text1"/>
          <w:sz w:val="24"/>
          <w:szCs w:val="24"/>
        </w:rPr>
        <w:t>“Firma y rúbrica de servidores públicos.</w:t>
      </w:r>
      <w:r w:rsidRPr="00BE3318">
        <w:rPr>
          <w:rFonts w:ascii="Palatino Linotype" w:eastAsia="Palatino Linotype" w:hAnsi="Palatino Linotype" w:cs="Palatino Linotype"/>
          <w:i/>
          <w:color w:val="000000" w:themeColor="text1"/>
          <w:sz w:val="24"/>
          <w:szCs w:val="24"/>
        </w:rPr>
        <w:t> Si bien la firma y la rúbrica son datos personales confidenciales, cuando un servidor público emite un acto como autoridad, en ejercicio de las funciones que tiene conferidas, la firma o rúbrica mediante la cual se valida dicho acto es pública.”</w:t>
      </w:r>
    </w:p>
    <w:p w14:paraId="39E341C5"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w:t>
      </w:r>
    </w:p>
    <w:p w14:paraId="5E5EEA32" w14:textId="59781E00" w:rsidR="00EC538E" w:rsidRPr="00C7156A" w:rsidRDefault="00EC538E"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 </w:t>
      </w:r>
    </w:p>
    <w:p w14:paraId="7A4B72E0" w14:textId="77777777" w:rsidR="00EC538E" w:rsidRPr="00BE3318" w:rsidRDefault="00EC538E" w:rsidP="00A96522">
      <w:pPr>
        <w:widowControl w:val="0"/>
        <w:tabs>
          <w:tab w:val="center" w:pos="4522"/>
        </w:tabs>
        <w:spacing w:line="360" w:lineRule="auto"/>
        <w:jc w:val="both"/>
        <w:rPr>
          <w:rFonts w:ascii="Palatino Linotype" w:eastAsia="Palatino Linotype" w:hAnsi="Palatino Linotype" w:cs="Palatino Linotype"/>
          <w:color w:val="000000" w:themeColor="text1"/>
          <w:sz w:val="24"/>
          <w:szCs w:val="24"/>
        </w:rPr>
      </w:pPr>
    </w:p>
    <w:p w14:paraId="3B82FF19" w14:textId="77777777" w:rsidR="00EC538E" w:rsidRPr="00BE3318" w:rsidRDefault="00EC538E" w:rsidP="00A96522">
      <w:pPr>
        <w:numPr>
          <w:ilvl w:val="0"/>
          <w:numId w:val="19"/>
        </w:numPr>
        <w:spacing w:line="360" w:lineRule="auto"/>
        <w:ind w:left="0" w:firstLine="0"/>
        <w:jc w:val="both"/>
        <w:rPr>
          <w:rFonts w:ascii="Palatino Linotype" w:eastAsia="Palatino Linotype" w:hAnsi="Palatino Linotype" w:cs="Palatino Linotype"/>
          <w:b/>
          <w:color w:val="000000" w:themeColor="text1"/>
          <w:sz w:val="24"/>
          <w:szCs w:val="24"/>
        </w:rPr>
      </w:pPr>
      <w:r w:rsidRPr="00BE3318">
        <w:rPr>
          <w:rFonts w:ascii="Palatino Linotype" w:eastAsia="Palatino Linotype" w:hAnsi="Palatino Linotype" w:cs="Palatino Linotype"/>
          <w:b/>
          <w:color w:val="000000" w:themeColor="text1"/>
          <w:sz w:val="24"/>
          <w:szCs w:val="24"/>
        </w:rPr>
        <w:t xml:space="preserve">Fotografías de los servidores públicos. </w:t>
      </w:r>
    </w:p>
    <w:p w14:paraId="19C788AF" w14:textId="4920F8EF" w:rsidR="00EC538E" w:rsidRPr="00C7156A" w:rsidRDefault="00EC538E"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16D352CE"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441C6946" w14:textId="6DD4F667" w:rsidR="00EC538E" w:rsidRPr="00C7156A" w:rsidRDefault="00EC538E"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w:t>
      </w:r>
      <w:r w:rsidRPr="00C7156A">
        <w:rPr>
          <w:rFonts w:ascii="Palatino Linotype" w:eastAsia="Palatino Linotype" w:hAnsi="Palatino Linotype" w:cs="Palatino Linotype"/>
          <w:color w:val="000000" w:themeColor="text1"/>
          <w:sz w:val="24"/>
        </w:rPr>
        <w:lastRenderedPageBreak/>
        <w:t>la fotografía obra en documentos de servidores públicos vinculados con el cumplimiento de disposiciones legales.</w:t>
      </w:r>
    </w:p>
    <w:p w14:paraId="10FF845D"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3585A6C6" w14:textId="0A4C2B2E" w:rsidR="00EC538E" w:rsidRPr="00C7156A" w:rsidRDefault="00EC538E"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635BBC3D"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515166D9" w14:textId="01F3CA45" w:rsidR="00EC538E" w:rsidRPr="00C7156A" w:rsidRDefault="00EC538E"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3AE361E2"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402EE6C8" w14:textId="5B5B32DC" w:rsidR="00EC538E" w:rsidRPr="00C7156A" w:rsidRDefault="00EC538E"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w:t>
      </w:r>
      <w:r w:rsidRPr="00C7156A">
        <w:rPr>
          <w:rFonts w:ascii="Palatino Linotype" w:eastAsia="Palatino Linotype" w:hAnsi="Palatino Linotype" w:cs="Palatino Linotype"/>
          <w:color w:val="000000" w:themeColor="text1"/>
          <w:sz w:val="24"/>
        </w:rPr>
        <w:lastRenderedPageBreak/>
        <w:t xml:space="preserve">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62584BAA"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705B9DC2" w14:textId="751E9A10" w:rsidR="00EC538E" w:rsidRPr="00C7156A" w:rsidRDefault="00EC538E"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05C015FD"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35183DCA" w14:textId="38D9AA33" w:rsidR="00EC538E" w:rsidRPr="00C7156A" w:rsidRDefault="00EC538E"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7E072EAB"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7496507A" w14:textId="674DB334" w:rsidR="00EC538E" w:rsidRPr="00C7156A" w:rsidRDefault="00EC538E"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 xml:space="preserve">Conforme a lo anterior, las fotografías de servidores públicos sin importar el nivel o rango guardan la naturaleza de públicas y no procede su clasificación, en términos del artículo 143, fracción I, de la Ley de Transparencia y Acceso a la Información Pública del </w:t>
      </w:r>
      <w:r w:rsidRPr="00C7156A">
        <w:rPr>
          <w:rFonts w:ascii="Palatino Linotype" w:eastAsia="Palatino Linotype" w:hAnsi="Palatino Linotype" w:cs="Palatino Linotype"/>
          <w:color w:val="000000" w:themeColor="text1"/>
          <w:sz w:val="24"/>
        </w:rPr>
        <w:lastRenderedPageBreak/>
        <w:t xml:space="preserve">Estado de México y Municipios, por lo que en las versiones públicas que se ordenen, no podrá clasificarse esa información. </w:t>
      </w:r>
    </w:p>
    <w:p w14:paraId="459A49FD"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4B153784" w14:textId="6A8717C9" w:rsidR="00EC538E" w:rsidRPr="00C7156A" w:rsidRDefault="00EC538E"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Así, el Sujeto Obligado debe proporcionar los documento en donde se clasifique la información confidencial, por lo que, deberá elaborar la versión pública respectiva; lo anterior, pues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07FF9D2C"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743D48C5" w14:textId="652D8D00" w:rsidR="00EC538E" w:rsidRPr="00C7156A" w:rsidRDefault="00EC538E"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6E1D98B6" w14:textId="77777777" w:rsidR="00EC538E" w:rsidRPr="00BE3318" w:rsidRDefault="00EC538E" w:rsidP="00A96522">
      <w:pPr>
        <w:spacing w:line="360" w:lineRule="auto"/>
        <w:jc w:val="both"/>
        <w:rPr>
          <w:rFonts w:ascii="Palatino Linotype" w:eastAsia="Palatino Linotype" w:hAnsi="Palatino Linotype" w:cs="Palatino Linotype"/>
          <w:color w:val="000000" w:themeColor="text1"/>
          <w:sz w:val="24"/>
          <w:szCs w:val="24"/>
        </w:rPr>
      </w:pPr>
    </w:p>
    <w:p w14:paraId="007874BC" w14:textId="7CCDFACB" w:rsidR="00B32BAC" w:rsidRPr="00C7156A" w:rsidRDefault="00B32BAC"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 xml:space="preserve">De esta manera, se trata de un documento de </w:t>
      </w:r>
      <w:r w:rsidRPr="00C7156A">
        <w:rPr>
          <w:rFonts w:ascii="Palatino Linotype" w:eastAsia="Palatino Linotype" w:hAnsi="Palatino Linotype" w:cs="Palatino Linotype"/>
          <w:b/>
          <w:color w:val="000000" w:themeColor="text1"/>
          <w:sz w:val="24"/>
        </w:rPr>
        <w:t>naturaleza confidencial</w:t>
      </w:r>
      <w:r w:rsidRPr="00C7156A">
        <w:rPr>
          <w:rFonts w:ascii="Palatino Linotype" w:eastAsia="Palatino Linotype" w:hAnsi="Palatino Linotype" w:cs="Palatino Linotype"/>
          <w:color w:val="000000" w:themeColor="text1"/>
          <w:sz w:val="24"/>
        </w:rPr>
        <w:t xml:space="preserve">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2822F217" w14:textId="77777777" w:rsidR="00B32BAC" w:rsidRDefault="00B32BAC" w:rsidP="00A96522">
      <w:pPr>
        <w:spacing w:line="360" w:lineRule="auto"/>
        <w:jc w:val="both"/>
        <w:rPr>
          <w:rFonts w:ascii="Palatino Linotype" w:eastAsia="Palatino Linotype" w:hAnsi="Palatino Linotype" w:cs="Palatino Linotype"/>
          <w:color w:val="000000" w:themeColor="text1"/>
          <w:sz w:val="24"/>
          <w:szCs w:val="24"/>
        </w:rPr>
      </w:pPr>
    </w:p>
    <w:p w14:paraId="03393A8C" w14:textId="77777777" w:rsidR="00C7156A" w:rsidRPr="00BE3318" w:rsidRDefault="00C7156A" w:rsidP="00A96522">
      <w:pPr>
        <w:spacing w:line="360" w:lineRule="auto"/>
        <w:jc w:val="both"/>
        <w:rPr>
          <w:rFonts w:ascii="Palatino Linotype" w:eastAsia="Palatino Linotype" w:hAnsi="Palatino Linotype" w:cs="Palatino Linotype"/>
          <w:color w:val="000000" w:themeColor="text1"/>
          <w:sz w:val="24"/>
          <w:szCs w:val="24"/>
        </w:rPr>
      </w:pPr>
    </w:p>
    <w:p w14:paraId="5FAE331F" w14:textId="77777777" w:rsidR="00B32BAC" w:rsidRPr="00BE3318" w:rsidRDefault="00B32BAC" w:rsidP="00A96522">
      <w:pPr>
        <w:numPr>
          <w:ilvl w:val="0"/>
          <w:numId w:val="15"/>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szCs w:val="24"/>
        </w:rPr>
      </w:pPr>
      <w:r w:rsidRPr="00BE3318">
        <w:rPr>
          <w:rFonts w:ascii="Palatino Linotype" w:eastAsia="Palatino Linotype" w:hAnsi="Palatino Linotype" w:cs="Palatino Linotype"/>
          <w:b/>
          <w:color w:val="000000" w:themeColor="text1"/>
          <w:sz w:val="24"/>
          <w:szCs w:val="24"/>
        </w:rPr>
        <w:lastRenderedPageBreak/>
        <w:t>Certificado del grado máximo de estudios o Documento oficial que lo acredite.</w:t>
      </w:r>
    </w:p>
    <w:p w14:paraId="38EC1EA4" w14:textId="5798660D" w:rsidR="00B32BAC" w:rsidRPr="00C7156A" w:rsidRDefault="00B32BAC" w:rsidP="00C7156A">
      <w:pPr>
        <w:pStyle w:val="Prrafodelista"/>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De acuerdo con el artículo 172 de la Ley de Educación del Estado de México, el certificado de estudios es:</w:t>
      </w:r>
    </w:p>
    <w:p w14:paraId="55604ACD" w14:textId="77777777" w:rsidR="00B32BAC" w:rsidRPr="00BE3318" w:rsidRDefault="00B32BAC" w:rsidP="00A96522">
      <w:pPr>
        <w:spacing w:before="240" w:after="240" w:line="360"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b/>
          <w:i/>
          <w:color w:val="000000" w:themeColor="text1"/>
          <w:sz w:val="24"/>
          <w:szCs w:val="24"/>
        </w:rPr>
        <w:t>Artículo 172.- El certificado de estudios es el documento oficial mediante el cual la Autoridad Educativa Estatal reconoce que los educandos han concluido un nivel educativo determinado</w:t>
      </w:r>
      <w:r w:rsidRPr="00BE3318">
        <w:rPr>
          <w:rFonts w:ascii="Palatino Linotype" w:eastAsia="Palatino Linotype" w:hAnsi="Palatino Linotype" w:cs="Palatino Linotype"/>
          <w:i/>
          <w:color w:val="000000" w:themeColor="text1"/>
          <w:sz w:val="24"/>
          <w:szCs w:val="24"/>
        </w:rPr>
        <w:t>, en los tipos de educación básica, media superior y superior.” (Sic)</w:t>
      </w:r>
    </w:p>
    <w:p w14:paraId="6A22706A" w14:textId="77777777" w:rsidR="00B32BAC" w:rsidRPr="00BE3318" w:rsidRDefault="00B32BAC" w:rsidP="00A96522">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Bajo ese contexto, el certificado de estudios es un documento expedido por instituciones del Estado o descentralizadas, y por instituciones particulares que tenga reconocimiento de validez oficial de estudios, a favor de la persona que haya concluido los estudios correspondientes.</w:t>
      </w:r>
    </w:p>
    <w:p w14:paraId="463F7976" w14:textId="77777777" w:rsidR="00B32BAC" w:rsidRPr="00BE3318" w:rsidRDefault="00B32BAC" w:rsidP="00A96522">
      <w:pPr>
        <w:spacing w:line="360" w:lineRule="auto"/>
        <w:jc w:val="both"/>
        <w:rPr>
          <w:rFonts w:ascii="Palatino Linotype" w:eastAsia="Palatino Linotype" w:hAnsi="Palatino Linotype" w:cs="Palatino Linotype"/>
          <w:color w:val="000000" w:themeColor="text1"/>
          <w:sz w:val="24"/>
          <w:szCs w:val="24"/>
        </w:rPr>
      </w:pPr>
    </w:p>
    <w:p w14:paraId="0C236D60" w14:textId="15E10367" w:rsidR="00B32BAC" w:rsidRPr="00C7156A" w:rsidRDefault="00B32BAC"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De acuerdo con la guía de trámites 2024</w:t>
      </w:r>
      <w:r w:rsidRPr="00BE3318">
        <w:rPr>
          <w:rFonts w:eastAsia="Palatino Linotype"/>
          <w:vertAlign w:val="superscript"/>
        </w:rPr>
        <w:footnoteReference w:id="3"/>
      </w:r>
      <w:r w:rsidRPr="00C7156A">
        <w:rPr>
          <w:rFonts w:ascii="Palatino Linotype" w:eastAsia="Palatino Linotype" w:hAnsi="Palatino Linotype" w:cs="Palatino Linotype"/>
          <w:color w:val="000000" w:themeColor="text1"/>
          <w:sz w:val="24"/>
        </w:rPr>
        <w:t xml:space="preserve"> de la propia Universidad Autónoma del Estado de México y Municipios, se observa:</w:t>
      </w:r>
    </w:p>
    <w:p w14:paraId="4627B69E" w14:textId="77777777" w:rsidR="00B32BAC" w:rsidRPr="00BE3318" w:rsidRDefault="00B32BAC" w:rsidP="00A96522">
      <w:pPr>
        <w:spacing w:line="360" w:lineRule="auto"/>
        <w:jc w:val="both"/>
        <w:rPr>
          <w:rFonts w:ascii="Palatino Linotype" w:eastAsia="Palatino Linotype" w:hAnsi="Palatino Linotype" w:cs="Palatino Linotype"/>
          <w:b/>
          <w:i/>
          <w:color w:val="000000" w:themeColor="text1"/>
          <w:sz w:val="24"/>
          <w:szCs w:val="24"/>
        </w:rPr>
      </w:pPr>
      <w:r w:rsidRPr="00BE3318">
        <w:rPr>
          <w:rFonts w:ascii="Palatino Linotype" w:eastAsia="Palatino Linotype" w:hAnsi="Palatino Linotype" w:cs="Palatino Linotype"/>
          <w:b/>
          <w:i/>
          <w:color w:val="000000" w:themeColor="text1"/>
          <w:sz w:val="24"/>
          <w:szCs w:val="24"/>
        </w:rPr>
        <w:t xml:space="preserve">EGRESO </w:t>
      </w:r>
    </w:p>
    <w:p w14:paraId="7C95B4D2" w14:textId="77777777" w:rsidR="00B32BAC" w:rsidRPr="00BE3318" w:rsidRDefault="00B32BAC" w:rsidP="00A96522">
      <w:pPr>
        <w:spacing w:line="360" w:lineRule="auto"/>
        <w:jc w:val="both"/>
        <w:rPr>
          <w:rFonts w:ascii="Palatino Linotype" w:eastAsia="Palatino Linotype" w:hAnsi="Palatino Linotype" w:cs="Palatino Linotype"/>
          <w:b/>
          <w:i/>
          <w:color w:val="000000" w:themeColor="text1"/>
          <w:sz w:val="24"/>
          <w:szCs w:val="24"/>
        </w:rPr>
      </w:pPr>
      <w:r w:rsidRPr="00BE3318">
        <w:rPr>
          <w:rFonts w:ascii="Palatino Linotype" w:eastAsia="Palatino Linotype" w:hAnsi="Palatino Linotype" w:cs="Palatino Linotype"/>
          <w:b/>
          <w:i/>
          <w:color w:val="000000" w:themeColor="text1"/>
          <w:sz w:val="24"/>
          <w:szCs w:val="24"/>
        </w:rPr>
        <w:t xml:space="preserve">CERTIFICACIÓN DE LOS ESTUDIOS DE PREPARATORIA, LICENCIATURA, POSGRADO Y DIPLOMADO SUPERIOR </w:t>
      </w:r>
    </w:p>
    <w:p w14:paraId="1646CBEF" w14:textId="77777777" w:rsidR="00B32BAC" w:rsidRPr="00BE3318" w:rsidRDefault="00B32BAC" w:rsidP="00A96522">
      <w:pPr>
        <w:spacing w:line="360"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t xml:space="preserve">El certificado digital es un documento administrativo en formato PDF que consta los estudios realizados en un plan de estudio y cubre los créditos señalados, mismos que ha sido firmado electrónicamente. </w:t>
      </w:r>
    </w:p>
    <w:p w14:paraId="350A5C2D" w14:textId="77777777" w:rsidR="00B32BAC" w:rsidRPr="00BE3318" w:rsidRDefault="00B32BAC" w:rsidP="00A96522">
      <w:pPr>
        <w:spacing w:line="360" w:lineRule="auto"/>
        <w:jc w:val="both"/>
        <w:rPr>
          <w:rFonts w:ascii="Palatino Linotype" w:eastAsia="Palatino Linotype" w:hAnsi="Palatino Linotype" w:cs="Palatino Linotype"/>
          <w:i/>
          <w:color w:val="000000" w:themeColor="text1"/>
          <w:sz w:val="24"/>
          <w:szCs w:val="24"/>
        </w:rPr>
      </w:pPr>
      <w:r w:rsidRPr="00BE3318">
        <w:rPr>
          <w:rFonts w:ascii="Palatino Linotype" w:eastAsia="Palatino Linotype" w:hAnsi="Palatino Linotype" w:cs="Palatino Linotype"/>
          <w:i/>
          <w:color w:val="000000" w:themeColor="text1"/>
          <w:sz w:val="24"/>
          <w:szCs w:val="24"/>
        </w:rPr>
        <w:lastRenderedPageBreak/>
        <w:t xml:space="preserve">El certificado oficial, es un documento impreso en formato oficial (original) </w:t>
      </w:r>
      <w:r w:rsidRPr="00BE3318">
        <w:rPr>
          <w:rFonts w:ascii="Palatino Linotype" w:eastAsia="Palatino Linotype" w:hAnsi="Palatino Linotype" w:cs="Palatino Linotype"/>
          <w:b/>
          <w:i/>
          <w:color w:val="000000" w:themeColor="text1"/>
          <w:sz w:val="24"/>
          <w:szCs w:val="24"/>
        </w:rPr>
        <w:t>con fotografía mica, calificaciones y los datos académicos del alumno y que avala los estudios cursados</w:t>
      </w:r>
      <w:r w:rsidRPr="00BE3318">
        <w:rPr>
          <w:rFonts w:ascii="Palatino Linotype" w:eastAsia="Palatino Linotype" w:hAnsi="Palatino Linotype" w:cs="Palatino Linotype"/>
          <w:i/>
          <w:color w:val="000000" w:themeColor="text1"/>
          <w:sz w:val="24"/>
          <w:szCs w:val="24"/>
        </w:rPr>
        <w:t xml:space="preserve"> en la Universidad Autónoma del Estado de México (UEAMéx)</w:t>
      </w:r>
    </w:p>
    <w:p w14:paraId="697F07B5" w14:textId="77777777" w:rsidR="00B32BAC" w:rsidRPr="00BE3318" w:rsidRDefault="00B32BAC" w:rsidP="00A96522">
      <w:pPr>
        <w:spacing w:line="360" w:lineRule="auto"/>
        <w:jc w:val="both"/>
        <w:rPr>
          <w:rFonts w:ascii="Palatino Linotype" w:eastAsia="Palatino Linotype" w:hAnsi="Palatino Linotype" w:cs="Palatino Linotype"/>
          <w:color w:val="000000" w:themeColor="text1"/>
          <w:sz w:val="24"/>
          <w:szCs w:val="24"/>
        </w:rPr>
      </w:pPr>
    </w:p>
    <w:p w14:paraId="49579108" w14:textId="44A32EEC" w:rsidR="00B32BAC" w:rsidRPr="00C7156A" w:rsidRDefault="00B32BAC" w:rsidP="00C7156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rPr>
      </w:pPr>
      <w:r w:rsidRPr="00C7156A">
        <w:rPr>
          <w:rFonts w:ascii="Palatino Linotype" w:eastAsia="Palatino Linotype" w:hAnsi="Palatino Linotype" w:cs="Palatino Linotype"/>
          <w:color w:val="000000" w:themeColor="text1"/>
          <w:sz w:val="24"/>
        </w:rPr>
        <w:t xml:space="preserve">En ese sentido, el </w:t>
      </w:r>
      <w:r w:rsidRPr="00C7156A">
        <w:rPr>
          <w:rFonts w:ascii="Palatino Linotype" w:eastAsia="Palatino Linotype" w:hAnsi="Palatino Linotype" w:cs="Palatino Linotype"/>
          <w:b/>
          <w:color w:val="000000" w:themeColor="text1"/>
          <w:sz w:val="24"/>
        </w:rPr>
        <w:t>SUJETO OBLIGADO</w:t>
      </w:r>
      <w:r w:rsidRPr="00C7156A">
        <w:rPr>
          <w:rFonts w:ascii="Palatino Linotype" w:eastAsia="Palatino Linotype" w:hAnsi="Palatino Linotype" w:cs="Palatino Linotype"/>
          <w:color w:val="000000" w:themeColor="text1"/>
          <w:sz w:val="24"/>
        </w:rPr>
        <w:t xml:space="preserve"> debe contar con dicho documento en el cual, atendiendo a su naturaleza podría contener como datos que deben testarse: CURP, RFC, Firma del titular, promedio, calificaciones y créditos, tipo de exámenes, en ese sentido deberá elaborarse la correspondiente versión pública.</w:t>
      </w:r>
    </w:p>
    <w:p w14:paraId="3F63B76C" w14:textId="77777777" w:rsidR="00B32BAC" w:rsidRPr="00BE3318" w:rsidRDefault="00B32BAC" w:rsidP="00A96522">
      <w:pPr>
        <w:spacing w:line="360" w:lineRule="auto"/>
        <w:jc w:val="both"/>
        <w:rPr>
          <w:rFonts w:ascii="Palatino Linotype" w:eastAsia="Palatino Linotype" w:hAnsi="Palatino Linotype" w:cs="Palatino Linotype"/>
          <w:color w:val="000000" w:themeColor="text1"/>
          <w:sz w:val="24"/>
          <w:szCs w:val="24"/>
        </w:rPr>
      </w:pPr>
    </w:p>
    <w:p w14:paraId="313D943B" w14:textId="2BCDE71A" w:rsidR="00B32BAC" w:rsidRPr="00C7156A" w:rsidRDefault="00B32BAC" w:rsidP="00C7156A">
      <w:pPr>
        <w:pStyle w:val="Prrafodelista"/>
        <w:numPr>
          <w:ilvl w:val="0"/>
          <w:numId w:val="2"/>
        </w:numPr>
        <w:spacing w:line="360" w:lineRule="auto"/>
        <w:ind w:left="0" w:firstLine="0"/>
        <w:jc w:val="both"/>
        <w:rPr>
          <w:rFonts w:ascii="Palatino Linotype" w:eastAsia="MS Mincho" w:hAnsi="Palatino Linotype" w:cs="Arial"/>
          <w:color w:val="000000" w:themeColor="text1"/>
          <w:sz w:val="24"/>
          <w:lang w:val="es-ES_tradnl"/>
        </w:rPr>
      </w:pPr>
      <w:r w:rsidRPr="00C7156A">
        <w:rPr>
          <w:rFonts w:ascii="Palatino Linotype" w:eastAsia="MS Mincho" w:hAnsi="Palatino Linotype" w:cs="Arial"/>
          <w:color w:val="000000" w:themeColor="text1"/>
          <w:sz w:val="24"/>
          <w:lang w:val="es-ES_tradnl"/>
        </w:rPr>
        <w:t xml:space="preserve">Respecto del </w:t>
      </w:r>
      <w:r w:rsidRPr="00C7156A">
        <w:rPr>
          <w:rFonts w:ascii="Palatino Linotype" w:eastAsia="MS Mincho" w:hAnsi="Palatino Linotype" w:cs="Arial"/>
          <w:b/>
          <w:color w:val="000000" w:themeColor="text1"/>
          <w:sz w:val="24"/>
          <w:lang w:val="es-ES_tradnl"/>
        </w:rPr>
        <w:t>Registro Federal de Contribuyentes (RFC)</w:t>
      </w:r>
      <w:r w:rsidRPr="00C7156A">
        <w:rPr>
          <w:rFonts w:ascii="Palatino Linotype" w:eastAsia="MS Mincho" w:hAnsi="Palatino Linotype" w:cs="Arial"/>
          <w:color w:val="000000" w:themeColor="text1"/>
          <w:sz w:val="24"/>
          <w:lang w:val="es-ES_tradnl"/>
        </w:rPr>
        <w:t xml:space="preserve">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226C5E32" w14:textId="77777777" w:rsidR="00B32BAC" w:rsidRPr="00BE3318" w:rsidRDefault="00B32BAC" w:rsidP="00A96522">
      <w:pPr>
        <w:spacing w:line="360" w:lineRule="auto"/>
        <w:jc w:val="both"/>
        <w:rPr>
          <w:rFonts w:ascii="Palatino Linotype" w:eastAsia="MS Mincho" w:hAnsi="Palatino Linotype" w:cs="Arial"/>
          <w:color w:val="000000" w:themeColor="text1"/>
          <w:sz w:val="24"/>
          <w:szCs w:val="24"/>
          <w:lang w:val="es-ES_tradnl"/>
        </w:rPr>
      </w:pPr>
    </w:p>
    <w:p w14:paraId="326677EF" w14:textId="7B1A4754" w:rsidR="00B32BAC" w:rsidRPr="00C7156A" w:rsidRDefault="00B32BAC" w:rsidP="00C7156A">
      <w:pPr>
        <w:pStyle w:val="Prrafodelista"/>
        <w:numPr>
          <w:ilvl w:val="0"/>
          <w:numId w:val="2"/>
        </w:numPr>
        <w:spacing w:line="360" w:lineRule="auto"/>
        <w:ind w:left="0" w:firstLine="0"/>
        <w:jc w:val="both"/>
        <w:rPr>
          <w:rFonts w:ascii="Palatino Linotype" w:eastAsia="MS Mincho" w:hAnsi="Palatino Linotype" w:cs="Arial"/>
          <w:color w:val="000000" w:themeColor="text1"/>
          <w:sz w:val="24"/>
          <w:lang w:val="es-ES_tradnl"/>
        </w:rPr>
      </w:pPr>
      <w:r w:rsidRPr="00C7156A">
        <w:rPr>
          <w:rFonts w:ascii="Palatino Linotype" w:eastAsia="MS Mincho" w:hAnsi="Palatino Linotype" w:cs="Arial"/>
          <w:color w:val="000000" w:themeColor="text1"/>
          <w:sz w:val="24"/>
          <w:lang w:val="es-ES_tradnl"/>
        </w:rPr>
        <w:t>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2013E883" w14:textId="77777777" w:rsidR="00B32BAC" w:rsidRPr="00BE3318" w:rsidRDefault="00B32BAC" w:rsidP="00A96522">
      <w:pPr>
        <w:spacing w:line="360" w:lineRule="auto"/>
        <w:jc w:val="both"/>
        <w:rPr>
          <w:rFonts w:ascii="Palatino Linotype" w:eastAsia="MS Mincho" w:hAnsi="Palatino Linotype" w:cs="Arial"/>
          <w:color w:val="000000" w:themeColor="text1"/>
          <w:sz w:val="24"/>
          <w:szCs w:val="24"/>
          <w:lang w:val="es-ES_tradnl"/>
        </w:rPr>
      </w:pPr>
    </w:p>
    <w:p w14:paraId="36CBB784" w14:textId="1BE6DC5D" w:rsidR="00B32BAC" w:rsidRPr="00C7156A" w:rsidRDefault="00B32BAC" w:rsidP="00C7156A">
      <w:pPr>
        <w:pStyle w:val="Prrafodelista"/>
        <w:numPr>
          <w:ilvl w:val="0"/>
          <w:numId w:val="2"/>
        </w:numPr>
        <w:spacing w:line="360" w:lineRule="auto"/>
        <w:ind w:left="0" w:firstLine="0"/>
        <w:jc w:val="both"/>
        <w:rPr>
          <w:rFonts w:ascii="Palatino Linotype" w:eastAsia="MS Mincho" w:hAnsi="Palatino Linotype" w:cs="Arial"/>
          <w:color w:val="000000" w:themeColor="text1"/>
          <w:sz w:val="24"/>
          <w:lang w:val="es-ES_tradnl"/>
        </w:rPr>
      </w:pPr>
      <w:r w:rsidRPr="00C7156A">
        <w:rPr>
          <w:rFonts w:ascii="Palatino Linotype" w:eastAsia="MS Mincho" w:hAnsi="Palatino Linotype" w:cs="Arial"/>
          <w:color w:val="000000" w:themeColor="text1"/>
          <w:sz w:val="24"/>
          <w:lang w:val="es-ES_tradnl"/>
        </w:rPr>
        <w:lastRenderedPageBreak/>
        <w:t>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404C1932" w14:textId="77777777" w:rsidR="00B32BAC" w:rsidRPr="00BE3318" w:rsidRDefault="00B32BAC" w:rsidP="00A96522">
      <w:pPr>
        <w:spacing w:line="360" w:lineRule="auto"/>
        <w:jc w:val="both"/>
        <w:rPr>
          <w:rFonts w:ascii="Palatino Linotype" w:eastAsia="MS Mincho" w:hAnsi="Palatino Linotype" w:cs="Arial"/>
          <w:color w:val="000000" w:themeColor="text1"/>
          <w:sz w:val="24"/>
          <w:szCs w:val="24"/>
          <w:lang w:val="es-ES_tradnl"/>
        </w:rPr>
      </w:pPr>
    </w:p>
    <w:p w14:paraId="426F6FA0" w14:textId="26C213D8" w:rsidR="00B32BAC" w:rsidRPr="00C7156A" w:rsidRDefault="00B32BAC" w:rsidP="00C7156A">
      <w:pPr>
        <w:pStyle w:val="Prrafodelista"/>
        <w:numPr>
          <w:ilvl w:val="0"/>
          <w:numId w:val="2"/>
        </w:numPr>
        <w:spacing w:line="360" w:lineRule="auto"/>
        <w:ind w:left="0" w:firstLine="0"/>
        <w:jc w:val="both"/>
        <w:rPr>
          <w:rFonts w:ascii="Palatino Linotype" w:eastAsia="MS Mincho" w:hAnsi="Palatino Linotype" w:cs="Arial"/>
          <w:color w:val="000000" w:themeColor="text1"/>
          <w:sz w:val="24"/>
          <w:lang w:val="es-ES_tradnl"/>
        </w:rPr>
      </w:pPr>
      <w:r w:rsidRPr="00C7156A">
        <w:rPr>
          <w:rFonts w:ascii="Palatino Linotype" w:eastAsia="MS Mincho" w:hAnsi="Palatino Linotype" w:cs="Arial"/>
          <w:color w:val="000000" w:themeColor="text1"/>
          <w:sz w:val="24"/>
          <w:lang w:val="es-ES_tradnl"/>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481A2C82" w14:textId="77777777" w:rsidR="00B32BAC" w:rsidRPr="00BE3318" w:rsidRDefault="00B32BAC" w:rsidP="00A96522">
      <w:pPr>
        <w:spacing w:line="360" w:lineRule="auto"/>
        <w:jc w:val="both"/>
        <w:rPr>
          <w:rFonts w:ascii="Palatino Linotype" w:eastAsia="MS Mincho" w:hAnsi="Palatino Linotype" w:cs="Arial"/>
          <w:color w:val="000000" w:themeColor="text1"/>
          <w:sz w:val="24"/>
          <w:szCs w:val="24"/>
          <w:lang w:val="es-ES_tradnl"/>
        </w:rPr>
      </w:pPr>
    </w:p>
    <w:p w14:paraId="2F2A59D5" w14:textId="36A56FFA" w:rsidR="00B32BAC" w:rsidRPr="00C7156A" w:rsidRDefault="00B32BAC" w:rsidP="00C7156A">
      <w:pPr>
        <w:pStyle w:val="Prrafodelista"/>
        <w:numPr>
          <w:ilvl w:val="0"/>
          <w:numId w:val="2"/>
        </w:numPr>
        <w:spacing w:line="360" w:lineRule="auto"/>
        <w:ind w:left="0" w:firstLine="0"/>
        <w:jc w:val="both"/>
        <w:rPr>
          <w:rFonts w:ascii="Palatino Linotype" w:eastAsia="MS Mincho" w:hAnsi="Palatino Linotype" w:cs="Arial"/>
          <w:color w:val="000000" w:themeColor="text1"/>
          <w:sz w:val="24"/>
          <w:lang w:val="es-ES_tradnl"/>
        </w:rPr>
      </w:pPr>
      <w:r w:rsidRPr="00C7156A">
        <w:rPr>
          <w:rFonts w:ascii="Palatino Linotype" w:eastAsia="MS Mincho" w:hAnsi="Palatino Linotype" w:cs="Arial"/>
          <w:color w:val="000000" w:themeColor="text1"/>
          <w:sz w:val="24"/>
          <w:lang w:val="es-ES_tradnl"/>
        </w:rPr>
        <w:t>En el mismo sentido, resulta aplicable el Criterio 19/17 emitido por el Instituto Nacional de Transparencia, Acceso a la Información, y Protección de Datos Personales, en el cual se señala lo siguiente:</w:t>
      </w:r>
    </w:p>
    <w:p w14:paraId="06C51BB8" w14:textId="77777777" w:rsidR="00B32BAC" w:rsidRPr="00BE3318" w:rsidRDefault="00B32BAC" w:rsidP="00A96522">
      <w:pPr>
        <w:spacing w:line="360" w:lineRule="auto"/>
        <w:jc w:val="both"/>
        <w:rPr>
          <w:rFonts w:ascii="Palatino Linotype" w:eastAsia="MS Mincho" w:hAnsi="Palatino Linotype" w:cs="Arial"/>
          <w:color w:val="000000" w:themeColor="text1"/>
          <w:sz w:val="24"/>
          <w:szCs w:val="24"/>
          <w:lang w:val="es-ES_tradnl"/>
        </w:rPr>
      </w:pPr>
    </w:p>
    <w:p w14:paraId="52C5256E" w14:textId="61B400D7" w:rsidR="00B32BAC" w:rsidRPr="00C7156A" w:rsidRDefault="00B32BAC" w:rsidP="00C7156A">
      <w:pPr>
        <w:pStyle w:val="Prrafodelista"/>
        <w:numPr>
          <w:ilvl w:val="0"/>
          <w:numId w:val="2"/>
        </w:numPr>
        <w:spacing w:line="360" w:lineRule="auto"/>
        <w:ind w:left="0" w:firstLine="0"/>
        <w:jc w:val="both"/>
        <w:rPr>
          <w:rFonts w:ascii="Palatino Linotype" w:eastAsia="MS Mincho" w:hAnsi="Palatino Linotype" w:cs="Arial"/>
          <w:i/>
          <w:color w:val="000000" w:themeColor="text1"/>
          <w:sz w:val="24"/>
          <w:lang w:val="es-ES_tradnl"/>
        </w:rPr>
      </w:pPr>
      <w:r w:rsidRPr="00C7156A">
        <w:rPr>
          <w:rFonts w:ascii="Palatino Linotype" w:eastAsia="MS Mincho" w:hAnsi="Palatino Linotype" w:cs="Arial"/>
          <w:b/>
          <w:i/>
          <w:color w:val="000000" w:themeColor="text1"/>
          <w:sz w:val="24"/>
          <w:lang w:val="es-ES_tradnl"/>
        </w:rPr>
        <w:t>REGISTRO FEDERAL DE CONTRIBUYENTES (RFC) DE PERSONAS FÍSICAS.</w:t>
      </w:r>
      <w:r w:rsidRPr="00C7156A">
        <w:rPr>
          <w:rFonts w:ascii="Palatino Linotype" w:eastAsia="MS Mincho" w:hAnsi="Palatino Linotype" w:cs="Arial"/>
          <w:i/>
          <w:color w:val="000000" w:themeColor="text1"/>
          <w:sz w:val="24"/>
          <w:lang w:val="es-ES_tradnl"/>
        </w:rPr>
        <w:t xml:space="preserve"> “El RFC es una clave de carácter fiscal, única e irrepetible, que permite identificar al titular, su edad y fecha de nacimiento, por lo que es un dato personal de carácter confidencial.”</w:t>
      </w:r>
    </w:p>
    <w:p w14:paraId="7039C0A7" w14:textId="77777777" w:rsidR="00B32BAC" w:rsidRPr="00BE3318" w:rsidRDefault="00B32BAC" w:rsidP="00A96522">
      <w:pPr>
        <w:spacing w:line="360" w:lineRule="auto"/>
        <w:jc w:val="both"/>
        <w:rPr>
          <w:rFonts w:ascii="Palatino Linotype" w:eastAsia="MS Mincho" w:hAnsi="Palatino Linotype" w:cs="Arial"/>
          <w:color w:val="000000" w:themeColor="text1"/>
          <w:sz w:val="24"/>
          <w:szCs w:val="24"/>
          <w:lang w:val="es-ES_tradnl"/>
        </w:rPr>
      </w:pPr>
    </w:p>
    <w:p w14:paraId="72A0C2BF" w14:textId="1584D9BE" w:rsidR="00B32BAC" w:rsidRPr="00C7156A" w:rsidRDefault="00B32BAC" w:rsidP="00C7156A">
      <w:pPr>
        <w:pStyle w:val="Prrafodelista"/>
        <w:numPr>
          <w:ilvl w:val="0"/>
          <w:numId w:val="2"/>
        </w:numPr>
        <w:spacing w:line="360" w:lineRule="auto"/>
        <w:ind w:left="0" w:firstLine="0"/>
        <w:jc w:val="both"/>
        <w:rPr>
          <w:rFonts w:ascii="Palatino Linotype" w:eastAsia="MS Mincho" w:hAnsi="Palatino Linotype" w:cs="Arial"/>
          <w:color w:val="000000" w:themeColor="text1"/>
          <w:sz w:val="24"/>
          <w:lang w:val="es-ES_tradnl"/>
        </w:rPr>
      </w:pPr>
      <w:r w:rsidRPr="00C7156A">
        <w:rPr>
          <w:rFonts w:ascii="Palatino Linotype" w:eastAsia="MS Mincho" w:hAnsi="Palatino Linotype" w:cs="Arial"/>
          <w:color w:val="000000" w:themeColor="text1"/>
          <w:sz w:val="24"/>
          <w:lang w:val="es-ES_tradnl"/>
        </w:rPr>
        <w:t>En consecuencia, debe considerarse que tiene carácter de confidencial.</w:t>
      </w:r>
    </w:p>
    <w:p w14:paraId="1C5C11CD" w14:textId="77777777" w:rsidR="00B32BAC" w:rsidRPr="00BE3318" w:rsidRDefault="00B32BAC" w:rsidP="00A96522">
      <w:pPr>
        <w:spacing w:line="360" w:lineRule="auto"/>
        <w:jc w:val="both"/>
        <w:rPr>
          <w:rFonts w:ascii="Palatino Linotype" w:eastAsia="MS Mincho" w:hAnsi="Palatino Linotype" w:cs="Arial"/>
          <w:color w:val="000000" w:themeColor="text1"/>
          <w:sz w:val="24"/>
          <w:szCs w:val="24"/>
          <w:lang w:val="es-ES_tradnl"/>
        </w:rPr>
      </w:pPr>
    </w:p>
    <w:p w14:paraId="1323950E" w14:textId="77777777" w:rsidR="00B32BAC" w:rsidRPr="00BE3318" w:rsidRDefault="00B32BAC" w:rsidP="00A96522">
      <w:pPr>
        <w:spacing w:line="360" w:lineRule="auto"/>
        <w:jc w:val="both"/>
        <w:rPr>
          <w:rFonts w:ascii="Palatino Linotype" w:hAnsi="Palatino Linotype"/>
          <w:b/>
          <w:color w:val="000000" w:themeColor="text1"/>
          <w:sz w:val="24"/>
          <w:szCs w:val="24"/>
        </w:rPr>
      </w:pPr>
      <w:r w:rsidRPr="00BE3318">
        <w:rPr>
          <w:rFonts w:ascii="Palatino Linotype" w:hAnsi="Palatino Linotype"/>
          <w:b/>
          <w:color w:val="000000" w:themeColor="text1"/>
          <w:sz w:val="24"/>
          <w:szCs w:val="24"/>
        </w:rPr>
        <w:t>CURP</w:t>
      </w:r>
    </w:p>
    <w:p w14:paraId="5719FAAC" w14:textId="281FAC23" w:rsidR="00B32BAC" w:rsidRPr="00C7156A" w:rsidRDefault="00B32BAC" w:rsidP="00C7156A">
      <w:pPr>
        <w:pStyle w:val="Prrafodelista"/>
        <w:numPr>
          <w:ilvl w:val="0"/>
          <w:numId w:val="2"/>
        </w:numPr>
        <w:spacing w:line="360" w:lineRule="auto"/>
        <w:ind w:left="0" w:firstLine="0"/>
        <w:jc w:val="both"/>
        <w:rPr>
          <w:rFonts w:ascii="Palatino Linotype" w:eastAsia="Calibri" w:hAnsi="Palatino Linotype"/>
          <w:color w:val="000000" w:themeColor="text1"/>
          <w:sz w:val="24"/>
          <w:lang w:eastAsia="en-US"/>
        </w:rPr>
      </w:pPr>
      <w:r w:rsidRPr="00C7156A">
        <w:rPr>
          <w:rFonts w:ascii="Palatino Linotype" w:eastAsia="Calibri" w:hAnsi="Palatino Linotype"/>
          <w:color w:val="000000" w:themeColor="text1"/>
          <w:sz w:val="24"/>
          <w:lang w:eastAsia="en-US"/>
        </w:rPr>
        <w:t xml:space="preserve">El artículo 36 de la Constitución Política de los Estados Unidos Mexicanos, dispone la obligación de los ciudadanos de inscribirse en el Registro Nacional de Ciudadanos; además, </w:t>
      </w:r>
      <w:r w:rsidRPr="00C7156A">
        <w:rPr>
          <w:rFonts w:ascii="Palatino Linotype" w:eastAsia="Calibri" w:hAnsi="Palatino Linotype"/>
          <w:color w:val="000000" w:themeColor="text1"/>
          <w:sz w:val="24"/>
          <w:lang w:eastAsia="en-US"/>
        </w:rPr>
        <w:lastRenderedPageBreak/>
        <w:t>el diverso 85 de la Ley General de Población, prevé que corresponde a la Secretaría de Gobernación el registro y acreditación de la identidad de todas las personas residentes en el país y de los nacionales que residan en el extranjero.</w:t>
      </w:r>
    </w:p>
    <w:p w14:paraId="1AB2885B" w14:textId="77777777" w:rsidR="00B32BAC" w:rsidRPr="00BE3318" w:rsidRDefault="00B32BAC" w:rsidP="00A96522">
      <w:pPr>
        <w:spacing w:line="360" w:lineRule="auto"/>
        <w:jc w:val="both"/>
        <w:rPr>
          <w:rFonts w:ascii="Palatino Linotype" w:eastAsia="Calibri" w:hAnsi="Palatino Linotype"/>
          <w:color w:val="000000" w:themeColor="text1"/>
          <w:sz w:val="24"/>
          <w:szCs w:val="24"/>
          <w:lang w:eastAsia="en-US"/>
        </w:rPr>
      </w:pPr>
    </w:p>
    <w:p w14:paraId="4E25C5CD" w14:textId="782353A5" w:rsidR="00B32BAC" w:rsidRPr="00C7156A" w:rsidRDefault="00B32BAC" w:rsidP="00C7156A">
      <w:pPr>
        <w:pStyle w:val="Prrafodelista"/>
        <w:numPr>
          <w:ilvl w:val="0"/>
          <w:numId w:val="2"/>
        </w:numPr>
        <w:spacing w:line="360" w:lineRule="auto"/>
        <w:ind w:left="0" w:firstLine="0"/>
        <w:jc w:val="both"/>
        <w:rPr>
          <w:rFonts w:ascii="Palatino Linotype" w:eastAsia="Calibri" w:hAnsi="Palatino Linotype"/>
          <w:color w:val="000000" w:themeColor="text1"/>
          <w:sz w:val="24"/>
          <w:lang w:eastAsia="en-US"/>
        </w:rPr>
      </w:pPr>
      <w:r w:rsidRPr="00C7156A">
        <w:rPr>
          <w:rFonts w:ascii="Palatino Linotype" w:eastAsia="Calibri" w:hAnsi="Palatino Linotype"/>
          <w:color w:val="000000" w:themeColor="text1"/>
          <w:sz w:val="24"/>
          <w:lang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A2232E6" w14:textId="77777777" w:rsidR="00B32BAC" w:rsidRPr="00BE3318" w:rsidRDefault="00B32BAC" w:rsidP="00A96522">
      <w:pPr>
        <w:spacing w:line="360" w:lineRule="auto"/>
        <w:jc w:val="both"/>
        <w:rPr>
          <w:rFonts w:ascii="Palatino Linotype" w:eastAsia="Calibri" w:hAnsi="Palatino Linotype"/>
          <w:iCs/>
          <w:color w:val="000000" w:themeColor="text1"/>
          <w:sz w:val="24"/>
          <w:szCs w:val="24"/>
          <w:lang w:eastAsia="en-US"/>
        </w:rPr>
      </w:pPr>
    </w:p>
    <w:p w14:paraId="2D076AD6" w14:textId="0E54DFC9" w:rsidR="00B32BAC" w:rsidRPr="00C7156A" w:rsidRDefault="00B32BAC" w:rsidP="00C7156A">
      <w:pPr>
        <w:pStyle w:val="Prrafodelista"/>
        <w:numPr>
          <w:ilvl w:val="0"/>
          <w:numId w:val="2"/>
        </w:numPr>
        <w:spacing w:line="360" w:lineRule="auto"/>
        <w:ind w:left="0" w:firstLine="0"/>
        <w:jc w:val="both"/>
        <w:rPr>
          <w:rFonts w:ascii="Palatino Linotype" w:eastAsia="Calibri" w:hAnsi="Palatino Linotype"/>
          <w:color w:val="000000" w:themeColor="text1"/>
          <w:sz w:val="24"/>
          <w:lang w:eastAsia="en-US"/>
        </w:rPr>
      </w:pPr>
      <w:r w:rsidRPr="00C7156A">
        <w:rPr>
          <w:rFonts w:ascii="Palatino Linotype" w:eastAsia="Calibri" w:hAnsi="Palatino Linotype"/>
          <w:color w:val="000000" w:themeColor="text1"/>
          <w:sz w:val="24"/>
          <w:lang w:eastAsia="en-US"/>
        </w:rPr>
        <w:t>En ese orden de ideas, la Secretaría de Gobernación</w:t>
      </w:r>
      <w:r w:rsidRPr="00BE3318">
        <w:rPr>
          <w:rFonts w:eastAsia="Calibri"/>
          <w:vertAlign w:val="superscript"/>
          <w:lang w:eastAsia="en-US"/>
        </w:rPr>
        <w:footnoteReference w:id="4"/>
      </w:r>
      <w:r w:rsidRPr="00C7156A">
        <w:rPr>
          <w:rFonts w:ascii="Palatino Linotype" w:eastAsia="Calibri" w:hAnsi="Palatino Linotype"/>
          <w:color w:val="000000" w:themeColor="text1"/>
          <w:sz w:val="24"/>
          <w:lang w:eastAsia="en-US"/>
        </w:rPr>
        <w:t>,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0D5F9657" w14:textId="77777777" w:rsidR="00B32BAC" w:rsidRPr="00BE3318" w:rsidRDefault="00B32BAC" w:rsidP="00A96522">
      <w:pPr>
        <w:numPr>
          <w:ilvl w:val="0"/>
          <w:numId w:val="21"/>
        </w:numPr>
        <w:spacing w:line="360" w:lineRule="auto"/>
        <w:ind w:left="0" w:firstLine="0"/>
        <w:contextualSpacing/>
        <w:jc w:val="both"/>
        <w:rPr>
          <w:rFonts w:ascii="Palatino Linotype" w:eastAsia="Calibri" w:hAnsi="Palatino Linotype"/>
          <w:color w:val="000000" w:themeColor="text1"/>
          <w:sz w:val="24"/>
          <w:szCs w:val="24"/>
          <w:lang w:eastAsia="en-US"/>
        </w:rPr>
      </w:pPr>
      <w:r w:rsidRPr="00BE3318">
        <w:rPr>
          <w:rFonts w:ascii="Palatino Linotype" w:eastAsia="Calibri" w:hAnsi="Palatino Linotype"/>
          <w:color w:val="000000" w:themeColor="text1"/>
          <w:sz w:val="24"/>
          <w:szCs w:val="24"/>
          <w:lang w:eastAsia="en-US"/>
        </w:rPr>
        <w:t>El primero y segundo apellidos, así como al nombre de pila;</w:t>
      </w:r>
    </w:p>
    <w:p w14:paraId="27174FC3" w14:textId="77777777" w:rsidR="00B32BAC" w:rsidRPr="00BE3318" w:rsidRDefault="00B32BAC" w:rsidP="00A96522">
      <w:pPr>
        <w:numPr>
          <w:ilvl w:val="0"/>
          <w:numId w:val="21"/>
        </w:numPr>
        <w:spacing w:line="360" w:lineRule="auto"/>
        <w:ind w:left="0" w:firstLine="0"/>
        <w:contextualSpacing/>
        <w:jc w:val="both"/>
        <w:rPr>
          <w:rFonts w:ascii="Palatino Linotype" w:eastAsia="Calibri" w:hAnsi="Palatino Linotype"/>
          <w:color w:val="000000" w:themeColor="text1"/>
          <w:sz w:val="24"/>
          <w:szCs w:val="24"/>
          <w:lang w:eastAsia="en-US"/>
        </w:rPr>
      </w:pPr>
      <w:r w:rsidRPr="00BE3318">
        <w:rPr>
          <w:rFonts w:ascii="Palatino Linotype" w:eastAsia="Calibri" w:hAnsi="Palatino Linotype"/>
          <w:color w:val="000000" w:themeColor="text1"/>
          <w:sz w:val="24"/>
          <w:szCs w:val="24"/>
          <w:lang w:eastAsia="en-US"/>
        </w:rPr>
        <w:t>La fecha de nacimiento;</w:t>
      </w:r>
    </w:p>
    <w:p w14:paraId="445BC29B" w14:textId="77777777" w:rsidR="00B32BAC" w:rsidRPr="00BE3318" w:rsidRDefault="00B32BAC" w:rsidP="00A96522">
      <w:pPr>
        <w:numPr>
          <w:ilvl w:val="0"/>
          <w:numId w:val="21"/>
        </w:numPr>
        <w:spacing w:line="360" w:lineRule="auto"/>
        <w:ind w:left="0" w:firstLine="0"/>
        <w:contextualSpacing/>
        <w:jc w:val="both"/>
        <w:rPr>
          <w:rFonts w:ascii="Palatino Linotype" w:eastAsia="Calibri" w:hAnsi="Palatino Linotype"/>
          <w:color w:val="000000" w:themeColor="text1"/>
          <w:sz w:val="24"/>
          <w:szCs w:val="24"/>
          <w:lang w:eastAsia="en-US"/>
        </w:rPr>
      </w:pPr>
      <w:r w:rsidRPr="00BE3318">
        <w:rPr>
          <w:rFonts w:ascii="Palatino Linotype" w:eastAsia="Calibri" w:hAnsi="Palatino Linotype"/>
          <w:color w:val="000000" w:themeColor="text1"/>
          <w:sz w:val="24"/>
          <w:szCs w:val="24"/>
          <w:lang w:eastAsia="en-US"/>
        </w:rPr>
        <w:t>El sexo, y</w:t>
      </w:r>
    </w:p>
    <w:p w14:paraId="0F459B30" w14:textId="77777777" w:rsidR="00B32BAC" w:rsidRPr="00BE3318" w:rsidRDefault="00B32BAC" w:rsidP="00A96522">
      <w:pPr>
        <w:numPr>
          <w:ilvl w:val="0"/>
          <w:numId w:val="21"/>
        </w:numPr>
        <w:spacing w:line="360" w:lineRule="auto"/>
        <w:ind w:left="0" w:firstLine="0"/>
        <w:contextualSpacing/>
        <w:jc w:val="both"/>
        <w:rPr>
          <w:rFonts w:ascii="Palatino Linotype" w:eastAsia="Calibri" w:hAnsi="Palatino Linotype"/>
          <w:color w:val="000000" w:themeColor="text1"/>
          <w:sz w:val="24"/>
          <w:szCs w:val="24"/>
          <w:lang w:eastAsia="en-US"/>
        </w:rPr>
      </w:pPr>
      <w:r w:rsidRPr="00BE3318">
        <w:rPr>
          <w:rFonts w:ascii="Palatino Linotype" w:eastAsia="Calibri" w:hAnsi="Palatino Linotype"/>
          <w:color w:val="000000" w:themeColor="text1"/>
          <w:sz w:val="24"/>
          <w:szCs w:val="24"/>
          <w:lang w:eastAsia="en-US"/>
        </w:rPr>
        <w:t>La entidad federativa de nacimiento.</w:t>
      </w:r>
    </w:p>
    <w:p w14:paraId="7C5F42F8" w14:textId="77777777" w:rsidR="00B32BAC" w:rsidRPr="00BE3318" w:rsidRDefault="00B32BAC" w:rsidP="00A96522">
      <w:pPr>
        <w:spacing w:line="360" w:lineRule="auto"/>
        <w:jc w:val="both"/>
        <w:rPr>
          <w:rFonts w:ascii="Palatino Linotype" w:eastAsia="Calibri" w:hAnsi="Palatino Linotype" w:cs="Tahoma"/>
          <w:bCs/>
          <w:color w:val="000000" w:themeColor="text1"/>
          <w:sz w:val="24"/>
          <w:szCs w:val="24"/>
          <w:lang w:eastAsia="en-US"/>
        </w:rPr>
      </w:pPr>
    </w:p>
    <w:p w14:paraId="6D992FAF" w14:textId="5BDEBC85" w:rsidR="00B32BAC" w:rsidRPr="00C7156A" w:rsidRDefault="00B32BAC" w:rsidP="00C7156A">
      <w:pPr>
        <w:pStyle w:val="Prrafodelista"/>
        <w:numPr>
          <w:ilvl w:val="0"/>
          <w:numId w:val="2"/>
        </w:numPr>
        <w:spacing w:line="360" w:lineRule="auto"/>
        <w:ind w:left="0" w:firstLine="0"/>
        <w:jc w:val="both"/>
        <w:rPr>
          <w:rFonts w:ascii="Palatino Linotype" w:eastAsia="Calibri" w:hAnsi="Palatino Linotype"/>
          <w:color w:val="000000" w:themeColor="text1"/>
          <w:sz w:val="24"/>
          <w:lang w:eastAsia="en-US"/>
        </w:rPr>
      </w:pPr>
      <w:r w:rsidRPr="00C7156A">
        <w:rPr>
          <w:rFonts w:ascii="Palatino Linotype" w:eastAsia="Calibri" w:hAnsi="Palatino Linotype"/>
          <w:color w:val="000000" w:themeColor="text1"/>
          <w:sz w:val="24"/>
          <w:lang w:eastAsia="en-US"/>
        </w:rPr>
        <w:lastRenderedPageBreak/>
        <w:t>Los dos últimos elementos de la Clave Única de Registro de Población evitan la duplicidad de la Clave y garantizan su correcta integración.</w:t>
      </w:r>
    </w:p>
    <w:p w14:paraId="28C735B3" w14:textId="77777777" w:rsidR="00B32BAC" w:rsidRPr="00BE3318" w:rsidRDefault="00B32BAC" w:rsidP="00A96522">
      <w:pPr>
        <w:spacing w:line="360" w:lineRule="auto"/>
        <w:jc w:val="both"/>
        <w:rPr>
          <w:rFonts w:ascii="Palatino Linotype" w:eastAsia="Calibri" w:hAnsi="Palatino Linotype" w:cs="Tahoma"/>
          <w:bCs/>
          <w:color w:val="000000" w:themeColor="text1"/>
          <w:sz w:val="24"/>
          <w:szCs w:val="24"/>
          <w:lang w:eastAsia="en-US"/>
        </w:rPr>
      </w:pPr>
    </w:p>
    <w:p w14:paraId="7D63E7DE" w14:textId="7D2E090B" w:rsidR="00B32BAC" w:rsidRPr="00C7156A" w:rsidRDefault="00B32BAC" w:rsidP="00C7156A">
      <w:pPr>
        <w:pStyle w:val="Prrafodelista"/>
        <w:numPr>
          <w:ilvl w:val="0"/>
          <w:numId w:val="2"/>
        </w:numPr>
        <w:spacing w:line="360" w:lineRule="auto"/>
        <w:ind w:left="0" w:firstLine="0"/>
        <w:jc w:val="both"/>
        <w:rPr>
          <w:rFonts w:ascii="Palatino Linotype" w:eastAsia="Calibri" w:hAnsi="Palatino Linotype"/>
          <w:color w:val="000000" w:themeColor="text1"/>
          <w:sz w:val="24"/>
          <w:lang w:eastAsia="en-US"/>
        </w:rPr>
      </w:pPr>
      <w:r w:rsidRPr="00C7156A">
        <w:rPr>
          <w:rFonts w:ascii="Palatino Linotype" w:eastAsia="Calibri" w:hAnsi="Palatino Linotype"/>
          <w:color w:val="000000" w:themeColor="text1"/>
          <w:sz w:val="24"/>
          <w:lang w:eastAsia="en-U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7CC339AA" w14:textId="77777777" w:rsidR="00B32BAC" w:rsidRPr="00BE3318" w:rsidRDefault="00B32BAC" w:rsidP="00A96522">
      <w:pPr>
        <w:spacing w:line="360" w:lineRule="auto"/>
        <w:jc w:val="both"/>
        <w:rPr>
          <w:rFonts w:ascii="Palatino Linotype" w:eastAsia="Calibri" w:hAnsi="Palatino Linotype" w:cs="Tahoma"/>
          <w:bCs/>
          <w:color w:val="000000" w:themeColor="text1"/>
          <w:sz w:val="24"/>
          <w:szCs w:val="24"/>
          <w:lang w:eastAsia="en-US"/>
        </w:rPr>
      </w:pPr>
    </w:p>
    <w:p w14:paraId="68881F13" w14:textId="64108C3F" w:rsidR="00B32BAC" w:rsidRPr="00C7156A" w:rsidRDefault="00B32BAC" w:rsidP="00C7156A">
      <w:pPr>
        <w:pStyle w:val="Prrafodelista"/>
        <w:numPr>
          <w:ilvl w:val="0"/>
          <w:numId w:val="2"/>
        </w:numPr>
        <w:spacing w:line="360" w:lineRule="auto"/>
        <w:ind w:left="0" w:firstLine="0"/>
        <w:jc w:val="both"/>
        <w:rPr>
          <w:rFonts w:ascii="Palatino Linotype" w:eastAsia="Calibri" w:hAnsi="Palatino Linotype"/>
          <w:color w:val="000000" w:themeColor="text1"/>
          <w:sz w:val="24"/>
          <w:lang w:eastAsia="en-US"/>
        </w:rPr>
      </w:pPr>
      <w:r w:rsidRPr="00C7156A">
        <w:rPr>
          <w:rFonts w:ascii="Palatino Linotype" w:eastAsia="Calibri" w:hAnsi="Palatino Linotype"/>
          <w:color w:val="000000" w:themeColor="text1"/>
          <w:sz w:val="24"/>
          <w:lang w:eastAsia="en-US"/>
        </w:rPr>
        <w:t>Situación que se robustece, con el Criterio 18/17, emitido por el Instituto Nacional de Transparencia, Acceso a la Información y Protección de Datos Personales, que establece lo siguiente:</w:t>
      </w:r>
    </w:p>
    <w:p w14:paraId="78AA3912" w14:textId="77777777" w:rsidR="00B32BAC" w:rsidRPr="00BE3318" w:rsidRDefault="00B32BAC" w:rsidP="00D22B19">
      <w:pPr>
        <w:spacing w:line="360" w:lineRule="auto"/>
        <w:ind w:left="426"/>
        <w:jc w:val="both"/>
        <w:rPr>
          <w:rFonts w:ascii="Palatino Linotype" w:eastAsia="Calibri" w:hAnsi="Palatino Linotype" w:cs="Tahoma"/>
          <w:bCs/>
          <w:i/>
          <w:iCs/>
          <w:color w:val="000000" w:themeColor="text1"/>
          <w:sz w:val="24"/>
          <w:szCs w:val="24"/>
          <w:lang w:eastAsia="en-US"/>
        </w:rPr>
      </w:pPr>
      <w:r w:rsidRPr="00BE3318">
        <w:rPr>
          <w:rFonts w:ascii="Palatino Linotype" w:eastAsia="Calibri" w:hAnsi="Palatino Linotype" w:cs="Tahoma"/>
          <w:b/>
          <w:bCs/>
          <w:i/>
          <w:iCs/>
          <w:color w:val="000000" w:themeColor="text1"/>
          <w:sz w:val="24"/>
          <w:szCs w:val="24"/>
          <w:lang w:eastAsia="en-US"/>
        </w:rPr>
        <w:t xml:space="preserve">“Clave Única de Registro de Población (CURP). </w:t>
      </w:r>
      <w:r w:rsidRPr="00BE3318">
        <w:rPr>
          <w:rFonts w:ascii="Palatino Linotype" w:eastAsia="Calibri" w:hAnsi="Palatino Linotype" w:cs="Tahoma"/>
          <w:bCs/>
          <w:i/>
          <w:iCs/>
          <w:color w:val="000000" w:themeColor="text1"/>
          <w:sz w:val="24"/>
          <w:szCs w:val="24"/>
          <w:lang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55C554F" w14:textId="77777777" w:rsidR="00B32BAC" w:rsidRPr="00BE3318" w:rsidRDefault="00B32BAC" w:rsidP="00A96522">
      <w:pPr>
        <w:spacing w:line="360" w:lineRule="auto"/>
        <w:jc w:val="both"/>
        <w:rPr>
          <w:rFonts w:ascii="Palatino Linotype" w:eastAsia="Calibri" w:hAnsi="Palatino Linotype" w:cs="Tahoma"/>
          <w:bCs/>
          <w:color w:val="000000" w:themeColor="text1"/>
          <w:sz w:val="24"/>
          <w:szCs w:val="24"/>
          <w:lang w:eastAsia="en-US"/>
        </w:rPr>
      </w:pPr>
    </w:p>
    <w:p w14:paraId="32419596" w14:textId="12E3A756" w:rsidR="00B32BAC" w:rsidRPr="00D22B19" w:rsidRDefault="00B32BAC" w:rsidP="00D22B19">
      <w:pPr>
        <w:pStyle w:val="Prrafodelista"/>
        <w:numPr>
          <w:ilvl w:val="0"/>
          <w:numId w:val="2"/>
        </w:numPr>
        <w:spacing w:line="360" w:lineRule="auto"/>
        <w:ind w:left="0" w:firstLine="0"/>
        <w:jc w:val="both"/>
        <w:rPr>
          <w:rFonts w:ascii="Palatino Linotype" w:eastAsia="Calibri" w:hAnsi="Palatino Linotype"/>
          <w:color w:val="000000" w:themeColor="text1"/>
          <w:sz w:val="24"/>
          <w:lang w:eastAsia="en-US"/>
        </w:rPr>
      </w:pPr>
      <w:r w:rsidRPr="00D22B19">
        <w:rPr>
          <w:rFonts w:ascii="Palatino Linotype" w:eastAsia="Calibri" w:hAnsi="Palatino Linotype"/>
          <w:color w:val="000000" w:themeColor="text1"/>
          <w:sz w:val="24"/>
          <w:lang w:eastAsia="en-US"/>
        </w:rPr>
        <w:t xml:space="preserve">De acuerdo con lo anterior, resulta procedente la clasificación de la Clave Única de Registro de Población; por lo que, la constancia de dicho dato corre la misma suerte, pues únicamente contiene datos que hacen identificables a los titulares, que en nada abonan a la transparencia y no rinden cuantas de la forma de actuar, por lo que, es un documento </w:t>
      </w:r>
      <w:r w:rsidRPr="00D22B19">
        <w:rPr>
          <w:rFonts w:ascii="Palatino Linotype" w:eastAsia="Calibri" w:hAnsi="Palatino Linotype"/>
          <w:color w:val="000000" w:themeColor="text1"/>
          <w:sz w:val="24"/>
          <w:lang w:eastAsia="en-US"/>
        </w:rPr>
        <w:lastRenderedPageBreak/>
        <w:t xml:space="preserve">privado, en términos del artículo 143, fracción I, de la Ley de Transparencia y Acceso a la Información Pública del Estado de México y Municipios. </w:t>
      </w:r>
    </w:p>
    <w:p w14:paraId="191465D3" w14:textId="77777777" w:rsidR="004629A8" w:rsidRPr="00BE3318" w:rsidRDefault="004629A8" w:rsidP="00A96522">
      <w:pPr>
        <w:spacing w:line="360" w:lineRule="auto"/>
        <w:jc w:val="both"/>
        <w:rPr>
          <w:rFonts w:ascii="Palatino Linotype" w:eastAsia="MS Mincho" w:hAnsi="Palatino Linotype" w:cs="Arial"/>
          <w:color w:val="000000" w:themeColor="text1"/>
          <w:sz w:val="24"/>
          <w:szCs w:val="24"/>
        </w:rPr>
      </w:pPr>
    </w:p>
    <w:p w14:paraId="29FFCE3F" w14:textId="77777777" w:rsidR="00901B25" w:rsidRPr="00BE3318" w:rsidRDefault="00901B25" w:rsidP="00A96522">
      <w:pPr>
        <w:numPr>
          <w:ilvl w:val="0"/>
          <w:numId w:val="2"/>
        </w:numPr>
        <w:spacing w:line="360" w:lineRule="auto"/>
        <w:ind w:left="0" w:firstLine="0"/>
        <w:jc w:val="both"/>
        <w:rPr>
          <w:rFonts w:ascii="Palatino Linotype" w:eastAsia="MS Mincho" w:hAnsi="Palatino Linotype" w:cs="Arial"/>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Ahora bien, respecto la reserva de la información relativa a los expedientes de los participantes con los que se contaba al momento del ingreso de la solicitud al tratarse de un proceso deliberativo, </w:t>
      </w:r>
      <w:r w:rsidRPr="00BE3318">
        <w:rPr>
          <w:rFonts w:ascii="Palatino Linotype" w:eastAsia="MS Mincho" w:hAnsi="Palatino Linotype" w:cs="Arial"/>
          <w:color w:val="000000" w:themeColor="text1"/>
          <w:sz w:val="24"/>
          <w:szCs w:val="24"/>
        </w:rPr>
        <w:t xml:space="preserve">el artículo 140 de la Ley de Transparencia y Acceso a la Información Pública del Estado de México y Municipios, la información debe de ser reserva bajo los siguientes criterios. </w:t>
      </w:r>
    </w:p>
    <w:p w14:paraId="55981449" w14:textId="77777777" w:rsidR="00901B25" w:rsidRPr="00BE3318" w:rsidRDefault="00901B25" w:rsidP="00A96522">
      <w:pPr>
        <w:spacing w:line="360" w:lineRule="auto"/>
        <w:jc w:val="both"/>
        <w:rPr>
          <w:rFonts w:ascii="Palatino Linotype" w:eastAsia="MS Mincho" w:hAnsi="Palatino Linotype" w:cs="Arial"/>
          <w:color w:val="000000" w:themeColor="text1"/>
          <w:sz w:val="24"/>
          <w:szCs w:val="24"/>
        </w:rPr>
      </w:pPr>
    </w:p>
    <w:p w14:paraId="464F26B6" w14:textId="77777777" w:rsidR="00901B25" w:rsidRPr="00BE3318" w:rsidRDefault="00901B25"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b/>
          <w:i/>
          <w:color w:val="000000" w:themeColor="text1"/>
          <w:sz w:val="24"/>
        </w:rPr>
        <w:t>Artículo 140.</w:t>
      </w:r>
      <w:r w:rsidRPr="00BE3318">
        <w:rPr>
          <w:rFonts w:ascii="Palatino Linotype" w:eastAsia="MS Mincho" w:hAnsi="Palatino Linotype" w:cs="Arial"/>
          <w:i/>
          <w:color w:val="000000" w:themeColor="text1"/>
          <w:sz w:val="24"/>
        </w:rPr>
        <w:t xml:space="preserve"> El acceso a la información pública será restringido excepcionalmente, cuando por razones de interés público, ésta sea clasificada como reservada, conforme a los criterios siguientes: </w:t>
      </w:r>
    </w:p>
    <w:p w14:paraId="658CE710"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p>
    <w:p w14:paraId="69892D92" w14:textId="77777777" w:rsidR="00901B25" w:rsidRPr="00BE3318" w:rsidRDefault="00901B25" w:rsidP="00A96522">
      <w:pPr>
        <w:pStyle w:val="Prrafodelista"/>
        <w:numPr>
          <w:ilvl w:val="0"/>
          <w:numId w:val="7"/>
        </w:numPr>
        <w:ind w:left="0" w:firstLine="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 xml:space="preserve">Comprometa la seguridad pública y cuente con un propósito genuino y un efecto demostrable; </w:t>
      </w:r>
    </w:p>
    <w:p w14:paraId="4EA6354C" w14:textId="77777777" w:rsidR="00901B25" w:rsidRPr="00BE3318" w:rsidRDefault="00901B25"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 xml:space="preserve">II. Pueda menoscabar la conducción de las negociaciones y relaciones internacionales; </w:t>
      </w:r>
    </w:p>
    <w:p w14:paraId="595776BB" w14:textId="77777777" w:rsidR="00901B25" w:rsidRPr="00BE3318" w:rsidRDefault="00901B25"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0B72C0C6" w14:textId="77777777" w:rsidR="00901B25" w:rsidRPr="00BE3318" w:rsidRDefault="00901B25"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 xml:space="preserve">IV. Ponga en riesgo la vida, la seguridad o la salud de una persona física; </w:t>
      </w:r>
    </w:p>
    <w:p w14:paraId="4C5A216E" w14:textId="77777777" w:rsidR="00901B25" w:rsidRPr="00BE3318" w:rsidRDefault="00901B25" w:rsidP="00A96522">
      <w:pPr>
        <w:pStyle w:val="Prrafodelista"/>
        <w:ind w:left="0"/>
        <w:jc w:val="both"/>
        <w:rPr>
          <w:rFonts w:ascii="Palatino Linotype" w:eastAsia="MS Mincho" w:hAnsi="Palatino Linotype" w:cs="Arial"/>
          <w:b/>
          <w:i/>
          <w:color w:val="000000" w:themeColor="text1"/>
          <w:sz w:val="24"/>
        </w:rPr>
      </w:pPr>
      <w:r w:rsidRPr="00BE3318">
        <w:rPr>
          <w:rFonts w:ascii="Palatino Linotype" w:eastAsia="MS Mincho" w:hAnsi="Palatino Linotype" w:cs="Arial"/>
          <w:b/>
          <w:i/>
          <w:color w:val="000000" w:themeColor="text1"/>
          <w:sz w:val="24"/>
        </w:rPr>
        <w:t>V. Aquella cuya divulgación obstruya o pueda causar un serio perjuicio a:</w:t>
      </w:r>
      <w:r w:rsidRPr="00BE3318">
        <w:rPr>
          <w:rFonts w:ascii="Palatino Linotype" w:hAnsi="Palatino Linotype"/>
          <w:b/>
          <w:i/>
          <w:color w:val="000000" w:themeColor="text1"/>
          <w:sz w:val="24"/>
        </w:rPr>
        <w:t xml:space="preserve"> </w:t>
      </w:r>
    </w:p>
    <w:p w14:paraId="38C146F6" w14:textId="77777777" w:rsidR="00901B25" w:rsidRPr="00BE3318" w:rsidRDefault="00901B25"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 xml:space="preserve">1. Las actividades de fiscalización, verificación, inspección, comprobación y auditoría sobre el cumplimiento de las Leyes; o </w:t>
      </w:r>
    </w:p>
    <w:p w14:paraId="69CC2893" w14:textId="77777777" w:rsidR="00901B25" w:rsidRPr="00BE3318" w:rsidRDefault="00901B25"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 xml:space="preserve">2. La recaudación de las contribuciones. </w:t>
      </w:r>
    </w:p>
    <w:p w14:paraId="583D8E1B" w14:textId="77777777" w:rsidR="00901B25" w:rsidRPr="00BE3318" w:rsidRDefault="00901B25"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4C818191" w14:textId="77777777" w:rsidR="00901B25" w:rsidRPr="00BE3318" w:rsidRDefault="00901B25" w:rsidP="00A96522">
      <w:pPr>
        <w:pStyle w:val="Prrafodelista"/>
        <w:ind w:left="0"/>
        <w:jc w:val="both"/>
        <w:rPr>
          <w:rFonts w:ascii="Palatino Linotype" w:eastAsia="MS Mincho" w:hAnsi="Palatino Linotype" w:cs="Arial"/>
          <w:b/>
          <w:i/>
          <w:color w:val="000000" w:themeColor="text1"/>
          <w:sz w:val="24"/>
        </w:rPr>
      </w:pPr>
      <w:r w:rsidRPr="00BE3318">
        <w:rPr>
          <w:rFonts w:ascii="Palatino Linotype" w:eastAsia="MS Mincho" w:hAnsi="Palatino Linotype" w:cs="Arial"/>
          <w:b/>
          <w:i/>
          <w:color w:val="000000" w:themeColor="text1"/>
          <w:sz w:val="24"/>
        </w:rPr>
        <w:lastRenderedPageBreak/>
        <w:t xml:space="preserve">VII. La que contengan las opiniones, recomendaciones o puntos de vista que formen parte del proceso deliberativo de los servidores públicos, hasta en tanto sea adoptada la decisión definitiva, la cual deberá estar documentada; </w:t>
      </w:r>
    </w:p>
    <w:p w14:paraId="1F5476C3" w14:textId="77777777" w:rsidR="00901B25" w:rsidRPr="00BE3318" w:rsidRDefault="00901B25"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 xml:space="preserve">VIII. Vulnere la conducción de los expedientes judiciales o de los procedimientos administrativos seguidos en forma de juicio, en tanto no hayan quedado firmes; </w:t>
      </w:r>
    </w:p>
    <w:p w14:paraId="065CDD93" w14:textId="77777777" w:rsidR="00901B25" w:rsidRPr="00BE3318" w:rsidRDefault="00901B25"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 xml:space="preserve">IX. Se encuentre contenida dentro de las investigaciones de hechos que la Ley señale como delitos y se tramiten ante el Ministerio Público; </w:t>
      </w:r>
    </w:p>
    <w:p w14:paraId="33AD15DD" w14:textId="77777777" w:rsidR="00901B25" w:rsidRPr="00BE3318" w:rsidRDefault="00901B25"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r w:rsidRPr="00BE3318">
        <w:rPr>
          <w:rFonts w:ascii="Palatino Linotype" w:hAnsi="Palatino Linotype"/>
          <w:i/>
          <w:color w:val="000000" w:themeColor="text1"/>
          <w:sz w:val="24"/>
        </w:rPr>
        <w:t xml:space="preserve"> </w:t>
      </w:r>
      <w:r w:rsidRPr="00BE3318">
        <w:rPr>
          <w:rFonts w:ascii="Palatino Linotype" w:eastAsia="MS Mincho" w:hAnsi="Palatino Linotype" w:cs="Arial"/>
          <w:i/>
          <w:color w:val="000000" w:themeColor="text1"/>
          <w:sz w:val="24"/>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122C8160" w14:textId="77777777" w:rsidR="00901B25" w:rsidRPr="00BE3318" w:rsidRDefault="00901B25"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XI. Las que por disposición expresa de una ley tengan tal carácter, siempre que sean acordes con las bases, principios y disposiciones establecidos en esta Ley y no la contravengan; así como las previstas en tratados internacionales.</w:t>
      </w:r>
    </w:p>
    <w:p w14:paraId="599447A8" w14:textId="77777777" w:rsidR="00901B25" w:rsidRPr="00BE3318" w:rsidRDefault="00901B25" w:rsidP="00A96522">
      <w:pPr>
        <w:pBdr>
          <w:top w:val="nil"/>
          <w:left w:val="nil"/>
          <w:bottom w:val="nil"/>
          <w:right w:val="nil"/>
          <w:between w:val="nil"/>
        </w:pBdr>
        <w:tabs>
          <w:tab w:val="left" w:pos="0"/>
        </w:tabs>
        <w:spacing w:line="360" w:lineRule="auto"/>
        <w:jc w:val="both"/>
        <w:rPr>
          <w:rFonts w:ascii="Palatino Linotype" w:eastAsia="MS Mincho" w:hAnsi="Palatino Linotype" w:cs="Arial"/>
          <w:color w:val="000000" w:themeColor="text1"/>
          <w:sz w:val="24"/>
          <w:szCs w:val="24"/>
        </w:rPr>
      </w:pPr>
    </w:p>
    <w:p w14:paraId="288DE8F3" w14:textId="77777777" w:rsidR="00901B25" w:rsidRPr="00BE3318" w:rsidRDefault="00901B25" w:rsidP="00A96522">
      <w:pPr>
        <w:numPr>
          <w:ilvl w:val="0"/>
          <w:numId w:val="2"/>
        </w:numPr>
        <w:spacing w:line="360" w:lineRule="auto"/>
        <w:ind w:left="0" w:firstLine="0"/>
        <w:jc w:val="both"/>
        <w:rPr>
          <w:rFonts w:ascii="Palatino Linotype" w:eastAsia="MS Mincho" w:hAnsi="Palatino Linotype" w:cs="Arial"/>
          <w:b/>
          <w:i/>
          <w:color w:val="000000" w:themeColor="text1"/>
          <w:sz w:val="24"/>
          <w:szCs w:val="24"/>
        </w:rPr>
      </w:pPr>
      <w:r w:rsidRPr="00BE3318">
        <w:rPr>
          <w:rFonts w:ascii="Palatino Linotype" w:eastAsia="MS Mincho" w:hAnsi="Palatino Linotype" w:cs="Arial"/>
          <w:color w:val="000000" w:themeColor="text1"/>
          <w:sz w:val="24"/>
          <w:szCs w:val="24"/>
        </w:rPr>
        <w:t>De lo anterior, se observa que la información que sea considera como reservada en el caso en particular se configura en la fracción siguiente:</w:t>
      </w:r>
    </w:p>
    <w:p w14:paraId="7E385E49" w14:textId="77777777" w:rsidR="00901B25" w:rsidRPr="00BE3318" w:rsidRDefault="00901B25" w:rsidP="00A96522">
      <w:pPr>
        <w:spacing w:line="276" w:lineRule="auto"/>
        <w:jc w:val="both"/>
        <w:rPr>
          <w:rFonts w:ascii="Palatino Linotype" w:eastAsia="MS Mincho" w:hAnsi="Palatino Linotype" w:cs="Arial"/>
          <w:b/>
          <w:i/>
          <w:color w:val="000000" w:themeColor="text1"/>
          <w:sz w:val="24"/>
          <w:szCs w:val="24"/>
        </w:rPr>
      </w:pPr>
      <w:r w:rsidRPr="00BE3318">
        <w:rPr>
          <w:rFonts w:ascii="Palatino Linotype" w:eastAsia="MS Mincho" w:hAnsi="Palatino Linotype" w:cs="Arial"/>
          <w:color w:val="000000" w:themeColor="text1"/>
          <w:sz w:val="24"/>
          <w:szCs w:val="24"/>
        </w:rPr>
        <w:t xml:space="preserve"> </w:t>
      </w:r>
      <w:r w:rsidRPr="00BE3318">
        <w:rPr>
          <w:rFonts w:ascii="Palatino Linotype" w:eastAsia="MS Mincho" w:hAnsi="Palatino Linotype" w:cs="Arial"/>
          <w:b/>
          <w:i/>
          <w:color w:val="000000" w:themeColor="text1"/>
          <w:sz w:val="24"/>
          <w:szCs w:val="24"/>
        </w:rPr>
        <w:t xml:space="preserve">VII. La que contengan las opiniones, recomendaciones o puntos de vista que formen parte del proceso deliberativo de los servidores públicos, hasta en tanto sea adoptada la decisión definitiva, la cual deberá estar documentada; </w:t>
      </w:r>
    </w:p>
    <w:p w14:paraId="53860B68" w14:textId="77777777" w:rsidR="00901B25" w:rsidRPr="00BE3318" w:rsidRDefault="00901B25" w:rsidP="00A96522">
      <w:pPr>
        <w:spacing w:line="360" w:lineRule="auto"/>
        <w:jc w:val="both"/>
        <w:rPr>
          <w:rFonts w:ascii="Palatino Linotype" w:eastAsia="MS Mincho" w:hAnsi="Palatino Linotype" w:cs="Arial"/>
          <w:color w:val="000000" w:themeColor="text1"/>
          <w:sz w:val="24"/>
          <w:szCs w:val="24"/>
        </w:rPr>
      </w:pPr>
    </w:p>
    <w:p w14:paraId="58707C68" w14:textId="77777777" w:rsidR="003E7D39" w:rsidRPr="00BE3318" w:rsidRDefault="00901B25" w:rsidP="00A96522">
      <w:pPr>
        <w:numPr>
          <w:ilvl w:val="0"/>
          <w:numId w:val="2"/>
        </w:numPr>
        <w:spacing w:line="360" w:lineRule="auto"/>
        <w:ind w:left="0" w:firstLine="0"/>
        <w:jc w:val="both"/>
        <w:rPr>
          <w:rFonts w:ascii="Palatino Linotype" w:eastAsia="Palatino Linotype" w:hAnsi="Palatino Linotype" w:cs="Palatino Linotype"/>
          <w:b/>
          <w:color w:val="000000" w:themeColor="text1"/>
          <w:sz w:val="24"/>
          <w:szCs w:val="24"/>
        </w:rPr>
      </w:pPr>
      <w:r w:rsidRPr="00BE3318">
        <w:rPr>
          <w:rFonts w:ascii="Palatino Linotype" w:eastAsia="MS Mincho" w:hAnsi="Palatino Linotype" w:cs="Arial"/>
          <w:color w:val="000000" w:themeColor="text1"/>
          <w:sz w:val="24"/>
          <w:szCs w:val="24"/>
        </w:rPr>
        <w:t xml:space="preserve"> </w:t>
      </w:r>
      <w:r w:rsidR="003E7D39" w:rsidRPr="00BE3318">
        <w:rPr>
          <w:rFonts w:ascii="Palatino Linotype" w:eastAsia="MS Mincho" w:hAnsi="Palatino Linotype" w:cs="Arial"/>
          <w:color w:val="000000" w:themeColor="text1"/>
          <w:sz w:val="24"/>
          <w:szCs w:val="24"/>
        </w:rPr>
        <w:t xml:space="preserve">Es así que al tratarse de un proceso deliberativo, los expedientes de las personas participantes, es clasificada como reservada, por lo que se deberá emitir  </w:t>
      </w:r>
      <w:r w:rsidR="003E7D39" w:rsidRPr="00BE3318">
        <w:rPr>
          <w:rFonts w:ascii="Palatino Linotype" w:eastAsia="Palatino Linotype" w:hAnsi="Palatino Linotype" w:cs="Palatino Linotype"/>
          <w:color w:val="000000" w:themeColor="text1"/>
          <w:sz w:val="24"/>
          <w:szCs w:val="24"/>
          <w:lang w:val="es-ES"/>
        </w:rPr>
        <w:t xml:space="preserve">el </w:t>
      </w:r>
      <w:r w:rsidR="003E7D39" w:rsidRPr="00BE3318">
        <w:rPr>
          <w:rFonts w:ascii="Palatino Linotype" w:eastAsia="Palatino Linotype" w:hAnsi="Palatino Linotype" w:cs="Palatino Linotype"/>
          <w:color w:val="000000" w:themeColor="text1"/>
          <w:sz w:val="24"/>
          <w:szCs w:val="24"/>
        </w:rPr>
        <w:t>acuerdo de clasificación emitido por el Comité de Transparencia, en donde de manera fundada y motivada, a través de una prueba de daño, confirme la clasificación como reservada, en términos del artículo 140, fracción VIII, de la Ley de Transparencia y Acceso a la Información Pública del Estado de México y Municipios</w:t>
      </w:r>
      <w:r w:rsidR="003E7D39" w:rsidRPr="00BE3318">
        <w:rPr>
          <w:rFonts w:ascii="Palatino Linotype" w:eastAsia="Palatino Linotype" w:hAnsi="Palatino Linotype" w:cs="Palatino Linotype"/>
          <w:b/>
          <w:color w:val="000000" w:themeColor="text1"/>
          <w:sz w:val="24"/>
          <w:szCs w:val="24"/>
        </w:rPr>
        <w:t xml:space="preserve">. </w:t>
      </w:r>
    </w:p>
    <w:p w14:paraId="2E03E699" w14:textId="77777777" w:rsidR="003E7D39" w:rsidRPr="00BE3318" w:rsidRDefault="003E7D39" w:rsidP="00A96522">
      <w:pPr>
        <w:numPr>
          <w:ilvl w:val="0"/>
          <w:numId w:val="2"/>
        </w:numPr>
        <w:spacing w:line="360" w:lineRule="auto"/>
        <w:ind w:left="0" w:firstLine="0"/>
        <w:jc w:val="both"/>
        <w:rPr>
          <w:rFonts w:ascii="Palatino Linotype" w:eastAsia="MS Mincho" w:hAnsi="Palatino Linotype" w:cs="Arial"/>
          <w:color w:val="000000" w:themeColor="text1"/>
          <w:sz w:val="24"/>
          <w:szCs w:val="24"/>
        </w:rPr>
      </w:pPr>
      <w:r w:rsidRPr="00BE3318">
        <w:rPr>
          <w:rFonts w:ascii="Palatino Linotype" w:eastAsia="MS Mincho" w:hAnsi="Palatino Linotype" w:cs="Arial"/>
          <w:color w:val="000000" w:themeColor="text1"/>
          <w:sz w:val="24"/>
          <w:szCs w:val="24"/>
        </w:rPr>
        <w:lastRenderedPageBreak/>
        <w:t xml:space="preserve">En ese sentido y atento a lo anterior, el artículo 46 de la Ley de Transparencia y de Acceso a la </w:t>
      </w:r>
      <w:r w:rsidRPr="00BE3318">
        <w:rPr>
          <w:rFonts w:ascii="Palatino Linotype" w:eastAsia="Palatino Linotype" w:hAnsi="Palatino Linotype" w:cs="Palatino Linotype"/>
          <w:color w:val="000000" w:themeColor="text1"/>
          <w:sz w:val="24"/>
          <w:szCs w:val="24"/>
        </w:rPr>
        <w:t>Información</w:t>
      </w:r>
      <w:r w:rsidRPr="00BE3318">
        <w:rPr>
          <w:rFonts w:ascii="Palatino Linotype" w:eastAsia="MS Mincho" w:hAnsi="Palatino Linotype" w:cs="Arial"/>
          <w:color w:val="000000" w:themeColor="text1"/>
          <w:sz w:val="24"/>
          <w:szCs w:val="24"/>
        </w:rPr>
        <w:t xml:space="preserve"> Pública del Estado de México y Municipios, es quien regula como debe de estar integrado el Comité de Transparencia de los sujetos obligados. </w:t>
      </w:r>
    </w:p>
    <w:p w14:paraId="5587A2E1" w14:textId="794D6EE2" w:rsidR="003E7D39" w:rsidRPr="00BE3318" w:rsidRDefault="003E7D39" w:rsidP="00A96522">
      <w:pPr>
        <w:pStyle w:val="Prrafodelista"/>
        <w:ind w:left="0"/>
        <w:jc w:val="both"/>
        <w:rPr>
          <w:rFonts w:ascii="Palatino Linotype" w:eastAsia="MS Mincho" w:hAnsi="Palatino Linotype" w:cs="Arial"/>
          <w:b/>
          <w:i/>
          <w:color w:val="000000" w:themeColor="text1"/>
          <w:sz w:val="24"/>
        </w:rPr>
      </w:pPr>
      <w:r w:rsidRPr="00BE3318">
        <w:rPr>
          <w:rFonts w:ascii="Palatino Linotype" w:eastAsia="MS Mincho" w:hAnsi="Palatino Linotype" w:cs="Arial"/>
          <w:b/>
          <w:i/>
          <w:color w:val="000000" w:themeColor="text1"/>
          <w:sz w:val="24"/>
        </w:rPr>
        <w:t xml:space="preserve">Artículo 46. Los sujetos obligados integrarán sus Comités de Transparencia de la siguiente forma: </w:t>
      </w:r>
    </w:p>
    <w:p w14:paraId="4F807265" w14:textId="77777777" w:rsidR="003E7D39" w:rsidRPr="00BE3318" w:rsidRDefault="003E7D39" w:rsidP="00A96522">
      <w:pPr>
        <w:pStyle w:val="Prrafodelista"/>
        <w:numPr>
          <w:ilvl w:val="0"/>
          <w:numId w:val="8"/>
        </w:numPr>
        <w:ind w:left="0" w:firstLine="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 xml:space="preserve">El titular de la unidad de transparencia; </w:t>
      </w:r>
    </w:p>
    <w:p w14:paraId="0DB172AC"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 xml:space="preserve">II. El responsable del área coordinadora de archivos o equivalente; y </w:t>
      </w:r>
    </w:p>
    <w:p w14:paraId="6B88EC20"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III. El titular del órgano de control interno o equivalente.</w:t>
      </w:r>
    </w:p>
    <w:p w14:paraId="7ED777F0"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hAnsi="Palatino Linotype"/>
          <w:i/>
          <w:color w:val="000000" w:themeColor="text1"/>
          <w:sz w:val="24"/>
        </w:rPr>
        <w:t>También</w:t>
      </w:r>
      <w:r w:rsidRPr="00BE3318">
        <w:rPr>
          <w:rFonts w:ascii="Palatino Linotype" w:eastAsia="MS Mincho" w:hAnsi="Palatino Linotype" w:cs="Arial"/>
          <w:i/>
          <w:color w:val="000000" w:themeColor="text1"/>
          <w:sz w:val="24"/>
        </w:rPr>
        <w:t xml:space="preserve"> estará integrado por el servidor público encargado de la protección de los datos personales cuando sesione para cuestiones relacionadas con esta materia. </w:t>
      </w:r>
    </w:p>
    <w:p w14:paraId="2B213D2E"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Todos los Comités de Transparencia deberán registrarse ante el Instituto</w:t>
      </w:r>
    </w:p>
    <w:p w14:paraId="3534E574"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p>
    <w:p w14:paraId="49536184"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p>
    <w:p w14:paraId="1ED0DEA5" w14:textId="77777777" w:rsidR="003E7D39" w:rsidRPr="00BE3318" w:rsidRDefault="003E7D39" w:rsidP="00A96522">
      <w:pPr>
        <w:numPr>
          <w:ilvl w:val="0"/>
          <w:numId w:val="2"/>
        </w:numPr>
        <w:spacing w:line="360" w:lineRule="auto"/>
        <w:ind w:left="0" w:firstLine="0"/>
        <w:jc w:val="both"/>
        <w:rPr>
          <w:rFonts w:ascii="Palatino Linotype" w:eastAsia="MS Mincho" w:hAnsi="Palatino Linotype" w:cs="Arial"/>
          <w:color w:val="000000" w:themeColor="text1"/>
          <w:sz w:val="24"/>
          <w:szCs w:val="24"/>
        </w:rPr>
      </w:pPr>
      <w:r w:rsidRPr="00BE3318">
        <w:rPr>
          <w:rFonts w:ascii="Palatino Linotype" w:eastAsia="MS Mincho" w:hAnsi="Palatino Linotype" w:cs="Arial"/>
          <w:color w:val="000000" w:themeColor="text1"/>
          <w:sz w:val="24"/>
          <w:szCs w:val="24"/>
        </w:rPr>
        <w:t xml:space="preserve">En ese tenor, el artículo 47 de la Ley de Transparencia y Acceso a la Información del Estado de México y Municipios, establece que el Comité de Transparencia de los sujetos obligados es la autoridad máxima al interior de cada sujeto obligado. </w:t>
      </w:r>
    </w:p>
    <w:p w14:paraId="4DFA23AD"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b/>
          <w:i/>
          <w:color w:val="000000" w:themeColor="text1"/>
          <w:sz w:val="24"/>
        </w:rPr>
        <w:t>Artículo 47.</w:t>
      </w:r>
      <w:r w:rsidRPr="00BE3318">
        <w:rPr>
          <w:rFonts w:ascii="Palatino Linotype" w:eastAsia="MS Mincho" w:hAnsi="Palatino Linotype" w:cs="Arial"/>
          <w:i/>
          <w:color w:val="000000" w:themeColor="text1"/>
          <w:sz w:val="24"/>
        </w:rPr>
        <w:t xml:space="preserve"> El Comité de Transparencia será la autoridad máxima al interior del sujeto obligado en materia del derecho de acceso a la información. </w:t>
      </w:r>
    </w:p>
    <w:p w14:paraId="1037857C"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 xml:space="preserve">El Comité de Transparencia adoptará sus resoluciones por mayoría de votos. En caso de empate, la o el Presidente tendrá voto de calidad. A sus sesiones podrán asistir como invitados aquellos que sus integrantes consideren necesarios, quienes tendrán voz pero no voto. </w:t>
      </w:r>
    </w:p>
    <w:p w14:paraId="3D088D29"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 xml:space="preserve">El Comité se reunirá en sesión ordinaria o extraordinaria las veces que estime necesario. El tipo de sesión se precisará en la convocatoria emitida. </w:t>
      </w:r>
    </w:p>
    <w:p w14:paraId="0C1C30B2"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 xml:space="preserve">Los integrantes del Comité de Transparencia tendrán acceso a la información para determinar su clasificación, conforme a la normatividad aplicable previamente establecida por los sujetos obligados para el resguardo o salvaguarda de la información. </w:t>
      </w:r>
    </w:p>
    <w:p w14:paraId="3084C520"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 xml:space="preserve">En las sesiones y trabajos del Comité, podrán participar como invitados permanentes, los representantes de las áreas que decida el Comité, y contará con derecho de voz, pero no voto. </w:t>
      </w:r>
    </w:p>
    <w:p w14:paraId="708B39C2" w14:textId="77777777" w:rsidR="003E7D39" w:rsidRPr="00BE3318" w:rsidRDefault="003E7D39" w:rsidP="00A96522">
      <w:pPr>
        <w:pStyle w:val="Prrafodelista"/>
        <w:ind w:left="0"/>
        <w:jc w:val="both"/>
        <w:rPr>
          <w:rFonts w:ascii="Palatino Linotype" w:eastAsia="MS Mincho" w:hAnsi="Palatino Linotype" w:cs="Arial"/>
          <w:b/>
          <w:i/>
          <w:color w:val="000000" w:themeColor="text1"/>
          <w:sz w:val="24"/>
        </w:rPr>
      </w:pPr>
      <w:r w:rsidRPr="00BE3318">
        <w:rPr>
          <w:rFonts w:ascii="Palatino Linotype" w:eastAsia="MS Mincho" w:hAnsi="Palatino Linotype" w:cs="Arial"/>
          <w:b/>
          <w:i/>
          <w:color w:val="000000" w:themeColor="text1"/>
          <w:sz w:val="24"/>
        </w:rPr>
        <w:t>Los titulares de las unidades administrativas que propongan la reserva, confidencialidad o declaren la inexistencia de información, acudirán a las sesiones de dicho Comité donde se discuta la propuesta correspondiente.</w:t>
      </w:r>
    </w:p>
    <w:p w14:paraId="643B5EA5" w14:textId="77777777" w:rsidR="003E7D39" w:rsidRPr="00BE3318" w:rsidRDefault="003E7D39" w:rsidP="00A96522">
      <w:pPr>
        <w:numPr>
          <w:ilvl w:val="0"/>
          <w:numId w:val="2"/>
        </w:numPr>
        <w:spacing w:line="360" w:lineRule="auto"/>
        <w:ind w:left="0" w:firstLine="0"/>
        <w:jc w:val="both"/>
        <w:rPr>
          <w:rFonts w:ascii="Palatino Linotype" w:eastAsia="MS Mincho" w:hAnsi="Palatino Linotype" w:cs="Arial"/>
          <w:color w:val="000000" w:themeColor="text1"/>
          <w:sz w:val="24"/>
          <w:szCs w:val="24"/>
        </w:rPr>
      </w:pPr>
      <w:r w:rsidRPr="00BE3318">
        <w:rPr>
          <w:rFonts w:ascii="Palatino Linotype" w:eastAsia="MS Mincho" w:hAnsi="Palatino Linotype" w:cs="Arial"/>
          <w:color w:val="000000" w:themeColor="text1"/>
          <w:sz w:val="24"/>
          <w:szCs w:val="24"/>
        </w:rPr>
        <w:lastRenderedPageBreak/>
        <w:t xml:space="preserve">En esa línea, de conformidad con la Ley de Transparencia y Acceso a la Información </w:t>
      </w:r>
      <w:r w:rsidRPr="00BE3318">
        <w:rPr>
          <w:rFonts w:ascii="Palatino Linotype" w:eastAsia="Palatino Linotype" w:hAnsi="Palatino Linotype" w:cs="Palatino Linotype"/>
          <w:color w:val="000000" w:themeColor="text1"/>
          <w:sz w:val="24"/>
          <w:szCs w:val="24"/>
        </w:rPr>
        <w:t>Pública</w:t>
      </w:r>
      <w:r w:rsidRPr="00BE3318">
        <w:rPr>
          <w:rFonts w:ascii="Palatino Linotype" w:eastAsia="MS Mincho" w:hAnsi="Palatino Linotype" w:cs="Arial"/>
          <w:color w:val="000000" w:themeColor="text1"/>
          <w:sz w:val="24"/>
          <w:szCs w:val="24"/>
        </w:rPr>
        <w:t xml:space="preserve"> del Estado de México y Municipios, regula lo referente a la prueba del daño que el </w:t>
      </w:r>
      <w:r w:rsidRPr="00BE3318">
        <w:rPr>
          <w:rFonts w:ascii="Palatino Linotype" w:eastAsia="MS Mincho" w:hAnsi="Palatino Linotype" w:cs="Arial"/>
          <w:b/>
          <w:color w:val="000000" w:themeColor="text1"/>
          <w:sz w:val="24"/>
          <w:szCs w:val="24"/>
        </w:rPr>
        <w:t xml:space="preserve">SUJETO OBLIGADO </w:t>
      </w:r>
      <w:r w:rsidRPr="00BE3318">
        <w:rPr>
          <w:rFonts w:ascii="Palatino Linotype" w:eastAsia="MS Mincho" w:hAnsi="Palatino Linotype" w:cs="Arial"/>
          <w:color w:val="000000" w:themeColor="text1"/>
          <w:sz w:val="24"/>
          <w:szCs w:val="24"/>
        </w:rPr>
        <w:t>deberá de entregar</w:t>
      </w:r>
      <w:r w:rsidRPr="00BE3318">
        <w:rPr>
          <w:rFonts w:ascii="Palatino Linotype" w:eastAsia="MS Mincho" w:hAnsi="Palatino Linotype" w:cs="Arial"/>
          <w:b/>
          <w:color w:val="000000" w:themeColor="text1"/>
          <w:sz w:val="24"/>
          <w:szCs w:val="24"/>
        </w:rPr>
        <w:t xml:space="preserve"> </w:t>
      </w:r>
      <w:r w:rsidRPr="00BE3318">
        <w:rPr>
          <w:rFonts w:ascii="Palatino Linotype" w:eastAsia="MS Mincho" w:hAnsi="Palatino Linotype" w:cs="Arial"/>
          <w:color w:val="000000" w:themeColor="text1"/>
          <w:sz w:val="24"/>
          <w:szCs w:val="24"/>
        </w:rPr>
        <w:t xml:space="preserve">bajo las siguientes consideraciones. </w:t>
      </w:r>
    </w:p>
    <w:p w14:paraId="37777EDE" w14:textId="436F2615" w:rsidR="003E7D39" w:rsidRPr="00BE3318" w:rsidRDefault="009353EA" w:rsidP="00D22B19">
      <w:pPr>
        <w:spacing w:line="360" w:lineRule="auto"/>
        <w:jc w:val="both"/>
        <w:rPr>
          <w:rFonts w:ascii="Palatino Linotype" w:hAnsi="Palatino Linotype"/>
          <w:i/>
          <w:color w:val="000000" w:themeColor="text1"/>
          <w:sz w:val="24"/>
        </w:rPr>
      </w:pPr>
      <w:r w:rsidRPr="00BE3318">
        <w:rPr>
          <w:rFonts w:ascii="Palatino Linotype" w:eastAsia="MS Mincho" w:hAnsi="Palatino Linotype" w:cs="Arial"/>
          <w:color w:val="000000" w:themeColor="text1"/>
          <w:sz w:val="24"/>
          <w:szCs w:val="24"/>
        </w:rPr>
        <w:t xml:space="preserve"> </w:t>
      </w:r>
      <w:r w:rsidR="003E7D39" w:rsidRPr="00BE3318">
        <w:rPr>
          <w:rFonts w:ascii="Palatino Linotype" w:eastAsia="MS Mincho" w:hAnsi="Palatino Linotype" w:cs="Arial"/>
          <w:b/>
          <w:i/>
          <w:color w:val="000000" w:themeColor="text1"/>
          <w:sz w:val="24"/>
        </w:rPr>
        <w:t>Artículo 129.</w:t>
      </w:r>
      <w:r w:rsidR="003E7D39" w:rsidRPr="00BE3318">
        <w:rPr>
          <w:rFonts w:ascii="Palatino Linotype" w:eastAsia="MS Mincho" w:hAnsi="Palatino Linotype" w:cs="Arial"/>
          <w:i/>
          <w:color w:val="000000" w:themeColor="text1"/>
          <w:sz w:val="24"/>
        </w:rPr>
        <w:t xml:space="preserve"> En la aplicación </w:t>
      </w:r>
      <w:r w:rsidR="003E7D39" w:rsidRPr="00BE3318">
        <w:rPr>
          <w:rFonts w:ascii="Palatino Linotype" w:eastAsia="MS Mincho" w:hAnsi="Palatino Linotype" w:cs="Arial"/>
          <w:b/>
          <w:i/>
          <w:color w:val="000000" w:themeColor="text1"/>
          <w:sz w:val="24"/>
        </w:rPr>
        <w:t>de la prueba de daño</w:t>
      </w:r>
      <w:r w:rsidR="003E7D39" w:rsidRPr="00BE3318">
        <w:rPr>
          <w:rFonts w:ascii="Palatino Linotype" w:eastAsia="MS Mincho" w:hAnsi="Palatino Linotype" w:cs="Arial"/>
          <w:i/>
          <w:color w:val="000000" w:themeColor="text1"/>
          <w:sz w:val="24"/>
        </w:rPr>
        <w:t>, el sujeto obligado deberá precisar las razones objetivas por las que la apertura de la información generaría una afectación, justificando que:</w:t>
      </w:r>
      <w:r w:rsidR="003E7D39" w:rsidRPr="00BE3318">
        <w:rPr>
          <w:rFonts w:ascii="Palatino Linotype" w:hAnsi="Palatino Linotype"/>
          <w:i/>
          <w:color w:val="000000" w:themeColor="text1"/>
          <w:sz w:val="24"/>
        </w:rPr>
        <w:t xml:space="preserve"> </w:t>
      </w:r>
    </w:p>
    <w:p w14:paraId="7E4AE575" w14:textId="77777777" w:rsidR="003E7D39" w:rsidRPr="00BE3318" w:rsidRDefault="003E7D39" w:rsidP="00A96522">
      <w:pPr>
        <w:pStyle w:val="Prrafodelista"/>
        <w:numPr>
          <w:ilvl w:val="0"/>
          <w:numId w:val="9"/>
        </w:numPr>
        <w:ind w:left="0" w:firstLine="0"/>
        <w:jc w:val="both"/>
        <w:rPr>
          <w:rFonts w:ascii="Palatino Linotype" w:eastAsia="MS Mincho" w:hAnsi="Palatino Linotype" w:cs="Arial"/>
          <w:b/>
          <w:i/>
          <w:color w:val="000000" w:themeColor="text1"/>
          <w:sz w:val="24"/>
        </w:rPr>
      </w:pPr>
      <w:r w:rsidRPr="00BE3318">
        <w:rPr>
          <w:rFonts w:ascii="Palatino Linotype" w:eastAsia="MS Mincho" w:hAnsi="Palatino Linotype" w:cs="Arial"/>
          <w:i/>
          <w:color w:val="000000" w:themeColor="text1"/>
          <w:sz w:val="24"/>
        </w:rPr>
        <w:t xml:space="preserve">La divulgación de la información representa </w:t>
      </w:r>
      <w:r w:rsidRPr="00BE3318">
        <w:rPr>
          <w:rFonts w:ascii="Palatino Linotype" w:eastAsia="MS Mincho" w:hAnsi="Palatino Linotype" w:cs="Arial"/>
          <w:b/>
          <w:i/>
          <w:color w:val="000000" w:themeColor="text1"/>
          <w:sz w:val="24"/>
        </w:rPr>
        <w:t xml:space="preserve">un riesgo real, demostrable e identificable del perjuicio significativo al interés público o a la seguridad pública; </w:t>
      </w:r>
    </w:p>
    <w:p w14:paraId="1A51BF67"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 xml:space="preserve">II. El riesgo de perjuicio que supondría la divulgación supera el interés público general de que se difunda; y </w:t>
      </w:r>
    </w:p>
    <w:p w14:paraId="4D289CAC"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 xml:space="preserve">III. La limitación se adecua al principio de proporcionalidad y representa el medio menos restrictivo disponible representa el medio menos restrictivo disponible para evitar el perjuicio. </w:t>
      </w:r>
    </w:p>
    <w:p w14:paraId="2A0F4C8D"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b/>
          <w:i/>
          <w:color w:val="000000" w:themeColor="text1"/>
          <w:sz w:val="24"/>
        </w:rPr>
        <w:t>Artículo 130.</w:t>
      </w:r>
      <w:r w:rsidRPr="00BE3318">
        <w:rPr>
          <w:rFonts w:ascii="Palatino Linotype" w:eastAsia="MS Mincho" w:hAnsi="Palatino Linotype" w:cs="Arial"/>
          <w:i/>
          <w:color w:val="000000" w:themeColor="text1"/>
          <w:sz w:val="24"/>
        </w:rPr>
        <w:t xml:space="preserve">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 </w:t>
      </w:r>
    </w:p>
    <w:p w14:paraId="27F87D70"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b/>
          <w:i/>
          <w:color w:val="000000" w:themeColor="text1"/>
          <w:sz w:val="24"/>
        </w:rPr>
        <w:t xml:space="preserve">Artículo 131. </w:t>
      </w:r>
      <w:r w:rsidRPr="00BE3318">
        <w:rPr>
          <w:rFonts w:ascii="Palatino Linotype" w:eastAsia="MS Mincho" w:hAnsi="Palatino Linotype" w:cs="Arial"/>
          <w:i/>
          <w:color w:val="000000" w:themeColor="text1"/>
          <w:sz w:val="24"/>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14:paraId="02F0FEB8"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p>
    <w:p w14:paraId="726881D4" w14:textId="77777777" w:rsidR="003E7D39" w:rsidRPr="00BE3318" w:rsidRDefault="003E7D39" w:rsidP="00A96522">
      <w:pPr>
        <w:numPr>
          <w:ilvl w:val="0"/>
          <w:numId w:val="2"/>
        </w:numPr>
        <w:spacing w:line="360" w:lineRule="auto"/>
        <w:ind w:left="0" w:firstLine="0"/>
        <w:jc w:val="both"/>
        <w:rPr>
          <w:rFonts w:ascii="Palatino Linotype" w:eastAsia="MS Mincho" w:hAnsi="Palatino Linotype" w:cs="Arial"/>
          <w:i/>
          <w:color w:val="000000" w:themeColor="text1"/>
          <w:sz w:val="24"/>
          <w:szCs w:val="24"/>
        </w:rPr>
      </w:pPr>
      <w:r w:rsidRPr="00BE3318">
        <w:rPr>
          <w:rFonts w:ascii="Palatino Linotype" w:eastAsia="MS Mincho" w:hAnsi="Palatino Linotype" w:cs="Arial"/>
          <w:color w:val="000000" w:themeColor="text1"/>
          <w:sz w:val="24"/>
          <w:szCs w:val="24"/>
        </w:rPr>
        <w:t xml:space="preserve">Por su parte, los Lineamientos Generales en Materia de la Clasificación y Desclasificación </w:t>
      </w:r>
      <w:r w:rsidRPr="00BE3318">
        <w:rPr>
          <w:rFonts w:ascii="Palatino Linotype" w:eastAsia="Palatino Linotype" w:hAnsi="Palatino Linotype" w:cs="Palatino Linotype"/>
          <w:color w:val="000000" w:themeColor="text1"/>
          <w:sz w:val="24"/>
          <w:szCs w:val="24"/>
        </w:rPr>
        <w:t>de</w:t>
      </w:r>
      <w:r w:rsidRPr="00BE3318">
        <w:rPr>
          <w:rFonts w:ascii="Palatino Linotype" w:eastAsia="MS Mincho" w:hAnsi="Palatino Linotype" w:cs="Arial"/>
          <w:color w:val="000000" w:themeColor="text1"/>
          <w:sz w:val="24"/>
          <w:szCs w:val="24"/>
        </w:rPr>
        <w:t xml:space="preserve"> la Información, así como para la elaboración de Versiones Públicas, considera lo siguiente en cuanto a la prueba de daño y la clasificación de la información como reservada.</w:t>
      </w:r>
      <w:r w:rsidRPr="00BE3318">
        <w:rPr>
          <w:rFonts w:ascii="Palatino Linotype" w:eastAsia="MS Mincho" w:hAnsi="Palatino Linotype" w:cs="Arial"/>
          <w:i/>
          <w:color w:val="000000" w:themeColor="text1"/>
          <w:sz w:val="24"/>
          <w:szCs w:val="24"/>
        </w:rPr>
        <w:t xml:space="preserve"> </w:t>
      </w:r>
    </w:p>
    <w:p w14:paraId="562F71A4"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b/>
          <w:bCs/>
          <w:i/>
          <w:color w:val="000000" w:themeColor="text1"/>
          <w:sz w:val="24"/>
        </w:rPr>
        <w:t>Vigésimo noveno.</w:t>
      </w:r>
      <w:r w:rsidRPr="00BE3318">
        <w:rPr>
          <w:rFonts w:ascii="Palatino Linotype" w:eastAsia="MS Mincho" w:hAnsi="Palatino Linotype" w:cs="Arial"/>
          <w:i/>
          <w:color w:val="000000" w:themeColor="text1"/>
          <w:sz w:val="24"/>
        </w:rPr>
        <w:t> De conformidad con el artículo 113, fracción X de la Ley General, podrá considerarse como información reservada, aquella que de divulgarse afecte el debido proceso al actualizarse los siguientes elementos:</w:t>
      </w:r>
    </w:p>
    <w:p w14:paraId="752784FB"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b/>
          <w:bCs/>
          <w:i/>
          <w:color w:val="000000" w:themeColor="text1"/>
          <w:sz w:val="24"/>
        </w:rPr>
        <w:t>I.</w:t>
      </w:r>
      <w:r w:rsidRPr="00BE3318">
        <w:rPr>
          <w:rFonts w:ascii="Palatino Linotype" w:eastAsia="MS Mincho" w:hAnsi="Palatino Linotype" w:cs="Arial"/>
          <w:i/>
          <w:color w:val="000000" w:themeColor="text1"/>
          <w:sz w:val="24"/>
        </w:rPr>
        <w:t>        La existencia de un procedimiento judicial, administrativo o arbitral en trámite;</w:t>
      </w:r>
    </w:p>
    <w:p w14:paraId="08257A50"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b/>
          <w:bCs/>
          <w:i/>
          <w:color w:val="000000" w:themeColor="text1"/>
          <w:sz w:val="24"/>
        </w:rPr>
        <w:t>II.</w:t>
      </w:r>
      <w:r w:rsidRPr="00BE3318">
        <w:rPr>
          <w:rFonts w:ascii="Palatino Linotype" w:eastAsia="MS Mincho" w:hAnsi="Palatino Linotype" w:cs="Arial"/>
          <w:i/>
          <w:color w:val="000000" w:themeColor="text1"/>
          <w:sz w:val="24"/>
        </w:rPr>
        <w:t>       Que el sujeto obligado sea parte en ese procedimiento;</w:t>
      </w:r>
    </w:p>
    <w:p w14:paraId="20D1FC8C"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b/>
          <w:bCs/>
          <w:i/>
          <w:color w:val="000000" w:themeColor="text1"/>
          <w:sz w:val="24"/>
        </w:rPr>
        <w:lastRenderedPageBreak/>
        <w:t>III.</w:t>
      </w:r>
      <w:r w:rsidRPr="00BE3318">
        <w:rPr>
          <w:rFonts w:ascii="Palatino Linotype" w:eastAsia="MS Mincho" w:hAnsi="Palatino Linotype" w:cs="Arial"/>
          <w:i/>
          <w:color w:val="000000" w:themeColor="text1"/>
          <w:sz w:val="24"/>
        </w:rPr>
        <w:t>      Que la información no sea conocida por la contraparte antes de la presentación de la misma en el proceso, y</w:t>
      </w:r>
    </w:p>
    <w:p w14:paraId="32D24427"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b/>
          <w:bCs/>
          <w:i/>
          <w:color w:val="000000" w:themeColor="text1"/>
          <w:sz w:val="24"/>
        </w:rPr>
        <w:t>IV.</w:t>
      </w:r>
      <w:r w:rsidRPr="00BE3318">
        <w:rPr>
          <w:rFonts w:ascii="Palatino Linotype" w:eastAsia="MS Mincho" w:hAnsi="Palatino Linotype" w:cs="Arial"/>
          <w:i/>
          <w:color w:val="000000" w:themeColor="text1"/>
          <w:sz w:val="24"/>
        </w:rPr>
        <w:t>      Que con su divulgación se afecte la oportunidad de llevar a cabo alguna de las garantías del debido proceso.</w:t>
      </w:r>
    </w:p>
    <w:p w14:paraId="478D55F9"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b/>
          <w:bCs/>
          <w:i/>
          <w:color w:val="000000" w:themeColor="text1"/>
          <w:sz w:val="24"/>
        </w:rPr>
        <w:t>Trigésimo.</w:t>
      </w:r>
      <w:r w:rsidRPr="00BE3318">
        <w:rPr>
          <w:rFonts w:ascii="Palatino Linotype" w:eastAsia="MS Mincho" w:hAnsi="Palatino Linotype" w:cs="Arial"/>
          <w:i/>
          <w:color w:val="000000" w:themeColor="text1"/>
          <w:sz w:val="24"/>
        </w:rPr>
        <w:t>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w:t>
      </w:r>
    </w:p>
    <w:p w14:paraId="14280814"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b/>
          <w:bCs/>
          <w:i/>
          <w:color w:val="000000" w:themeColor="text1"/>
          <w:sz w:val="24"/>
        </w:rPr>
        <w:t>I.</w:t>
      </w:r>
      <w:r w:rsidRPr="00BE3318">
        <w:rPr>
          <w:rFonts w:ascii="Palatino Linotype" w:eastAsia="MS Mincho" w:hAnsi="Palatino Linotype" w:cs="Arial"/>
          <w:i/>
          <w:color w:val="000000" w:themeColor="text1"/>
          <w:sz w:val="24"/>
        </w:rPr>
        <w:t>        La existencia de un juicio o procedimiento administrativo materialmente jurisdiccional, que se encuentre en trámite, y</w:t>
      </w:r>
    </w:p>
    <w:p w14:paraId="5ECA99D7"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b/>
          <w:bCs/>
          <w:i/>
          <w:color w:val="000000" w:themeColor="text1"/>
          <w:sz w:val="24"/>
        </w:rPr>
        <w:t>II.</w:t>
      </w:r>
      <w:r w:rsidRPr="00BE3318">
        <w:rPr>
          <w:rFonts w:ascii="Palatino Linotype" w:eastAsia="MS Mincho" w:hAnsi="Palatino Linotype" w:cs="Arial"/>
          <w:i/>
          <w:color w:val="000000" w:themeColor="text1"/>
          <w:sz w:val="24"/>
        </w:rPr>
        <w:t>       Que la información solicitada se refiera a actuaciones, diligencias o constancias propias del procedimiento.</w:t>
      </w:r>
    </w:p>
    <w:p w14:paraId="1D7CBE40"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Para los efectos del primer párrafo de este numeral, se considera procedimiento seguido en forma de juicio a aquel formalmente administrativo, pero materialmente jurisdiccional; esto es, en el que concurran los siguientes elementos:</w:t>
      </w:r>
    </w:p>
    <w:p w14:paraId="559B5B5D"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b/>
          <w:bCs/>
          <w:i/>
          <w:color w:val="000000" w:themeColor="text1"/>
          <w:sz w:val="24"/>
        </w:rPr>
        <w:t>1.</w:t>
      </w:r>
      <w:r w:rsidRPr="00BE3318">
        <w:rPr>
          <w:rFonts w:ascii="Palatino Linotype" w:eastAsia="MS Mincho" w:hAnsi="Palatino Linotype" w:cs="Arial"/>
          <w:i/>
          <w:color w:val="000000" w:themeColor="text1"/>
          <w:sz w:val="24"/>
        </w:rPr>
        <w:t>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14:paraId="440CEEE1"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b/>
          <w:bCs/>
          <w:i/>
          <w:color w:val="000000" w:themeColor="text1"/>
          <w:sz w:val="24"/>
        </w:rPr>
        <w:t>2.</w:t>
      </w:r>
      <w:r w:rsidRPr="00BE3318">
        <w:rPr>
          <w:rFonts w:ascii="Palatino Linotype" w:eastAsia="MS Mincho" w:hAnsi="Palatino Linotype" w:cs="Arial"/>
          <w:i/>
          <w:color w:val="000000" w:themeColor="text1"/>
          <w:sz w:val="24"/>
        </w:rPr>
        <w:t> Que se cumplan las formalidades esenciales del procedimiento.</w:t>
      </w:r>
    </w:p>
    <w:p w14:paraId="3F34FD63"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6EE99C06"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p>
    <w:p w14:paraId="131382F3" w14:textId="77777777" w:rsidR="003E7D39" w:rsidRPr="00BE3318" w:rsidRDefault="009353EA" w:rsidP="00A96522">
      <w:pPr>
        <w:numPr>
          <w:ilvl w:val="0"/>
          <w:numId w:val="2"/>
        </w:numPr>
        <w:spacing w:line="360" w:lineRule="auto"/>
        <w:ind w:left="0" w:firstLine="0"/>
        <w:jc w:val="both"/>
        <w:rPr>
          <w:rFonts w:ascii="Palatino Linotype" w:eastAsia="MS Mincho" w:hAnsi="Palatino Linotype" w:cs="Arial"/>
          <w:color w:val="000000" w:themeColor="text1"/>
          <w:sz w:val="24"/>
          <w:szCs w:val="24"/>
        </w:rPr>
      </w:pPr>
      <w:r w:rsidRPr="00BE3318">
        <w:rPr>
          <w:rFonts w:ascii="Palatino Linotype" w:eastAsia="MS Mincho" w:hAnsi="Palatino Linotype" w:cs="Arial"/>
          <w:color w:val="000000" w:themeColor="text1"/>
          <w:sz w:val="24"/>
          <w:szCs w:val="24"/>
        </w:rPr>
        <w:t>Asimismo</w:t>
      </w:r>
      <w:r w:rsidR="003E7D39" w:rsidRPr="00BE3318">
        <w:rPr>
          <w:rFonts w:ascii="Palatino Linotype" w:eastAsia="MS Mincho" w:hAnsi="Palatino Linotype" w:cs="Arial"/>
          <w:color w:val="000000" w:themeColor="text1"/>
          <w:sz w:val="24"/>
          <w:szCs w:val="24"/>
        </w:rPr>
        <w:t xml:space="preserve">, para la prueba de daño los </w:t>
      </w:r>
      <w:r w:rsidR="003E7D39" w:rsidRPr="00BE3318">
        <w:rPr>
          <w:rFonts w:ascii="Palatino Linotype" w:eastAsia="MS Mincho" w:hAnsi="Palatino Linotype" w:cs="Arial"/>
          <w:iCs/>
          <w:color w:val="000000" w:themeColor="text1"/>
          <w:sz w:val="24"/>
          <w:szCs w:val="24"/>
        </w:rPr>
        <w:t xml:space="preserve">Lineamientos Generales en Materia de </w:t>
      </w:r>
      <w:r w:rsidR="003E7D39" w:rsidRPr="00BE3318">
        <w:rPr>
          <w:rFonts w:ascii="Palatino Linotype" w:eastAsia="Palatino Linotype" w:hAnsi="Palatino Linotype" w:cs="Palatino Linotype"/>
          <w:color w:val="000000" w:themeColor="text1"/>
          <w:sz w:val="24"/>
          <w:szCs w:val="24"/>
        </w:rPr>
        <w:t>Clasificación</w:t>
      </w:r>
      <w:r w:rsidR="003E7D39" w:rsidRPr="00BE3318">
        <w:rPr>
          <w:rFonts w:ascii="Palatino Linotype" w:eastAsia="MS Mincho" w:hAnsi="Palatino Linotype" w:cs="Arial"/>
          <w:iCs/>
          <w:color w:val="000000" w:themeColor="text1"/>
          <w:sz w:val="24"/>
          <w:szCs w:val="24"/>
        </w:rPr>
        <w:t xml:space="preserve"> y Desclasificación de la Información, así como para la elaboración de Versiones Públicas, consideran lo siguiente.</w:t>
      </w:r>
    </w:p>
    <w:p w14:paraId="6E9365FD"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b/>
          <w:i/>
          <w:color w:val="000000" w:themeColor="text1"/>
          <w:sz w:val="24"/>
        </w:rPr>
        <w:t>Trigésimo tercero.</w:t>
      </w:r>
      <w:r w:rsidRPr="00BE3318">
        <w:rPr>
          <w:rFonts w:ascii="Palatino Linotype" w:eastAsia="MS Mincho" w:hAnsi="Palatino Linotype" w:cs="Arial"/>
          <w:i/>
          <w:color w:val="000000" w:themeColor="text1"/>
          <w:sz w:val="24"/>
        </w:rPr>
        <w:t xml:space="preserve"> Para la aplicación de la prueba de daño a la que hace referencia el artículo 104 de la Ley General, los sujetos obligados atenderán lo siguiente:</w:t>
      </w:r>
    </w:p>
    <w:p w14:paraId="27BC8037"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058F87A4"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lastRenderedPageBreak/>
        <w:t xml:space="preserve">II.       Mediante la ponderación de los intereses en conflicto, los sujetos obligados deberán demostrar que la publicidad de la información solicitada generaría un </w:t>
      </w:r>
      <w:r w:rsidRPr="00BE3318">
        <w:rPr>
          <w:rFonts w:ascii="Palatino Linotype" w:eastAsia="MS Mincho" w:hAnsi="Palatino Linotype" w:cs="Arial"/>
          <w:b/>
          <w:i/>
          <w:color w:val="000000" w:themeColor="text1"/>
          <w:sz w:val="24"/>
        </w:rPr>
        <w:t>riesgo de perjuicio y por lo tanto, tendrán que acreditar que este último rebasa el interés público protegido por la reserva;</w:t>
      </w:r>
    </w:p>
    <w:p w14:paraId="6E5340E5"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III.      Se debe de acreditar el vínculo entre la difusión de la información y la afectación del interés jurídico tutelado de que se trate;</w:t>
      </w:r>
    </w:p>
    <w:p w14:paraId="0AED7261"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IV.      Precisar las razones objetivas por las que la apertura de la información generaría una afectación, a través de los elementos de un riesgo real, demostrable e identificable;</w:t>
      </w:r>
    </w:p>
    <w:p w14:paraId="524996FA"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 xml:space="preserve">V.       </w:t>
      </w:r>
      <w:r w:rsidRPr="00BE3318">
        <w:rPr>
          <w:rFonts w:ascii="Palatino Linotype" w:eastAsia="MS Mincho" w:hAnsi="Palatino Linotype" w:cs="Arial"/>
          <w:b/>
          <w:i/>
          <w:color w:val="000000" w:themeColor="text1"/>
          <w:sz w:val="24"/>
        </w:rPr>
        <w:t>En la motivación de la clasificación, el sujeto obligado deberá acreditar las circunstancias de modo, tiempo y lugar del daño</w:t>
      </w:r>
      <w:r w:rsidRPr="00BE3318">
        <w:rPr>
          <w:rFonts w:ascii="Palatino Linotype" w:eastAsia="MS Mincho" w:hAnsi="Palatino Linotype" w:cs="Arial"/>
          <w:i/>
          <w:color w:val="000000" w:themeColor="text1"/>
          <w:sz w:val="24"/>
        </w:rPr>
        <w:t>, y</w:t>
      </w:r>
    </w:p>
    <w:p w14:paraId="6C31E74F"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VI.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5183B084"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b/>
          <w:i/>
          <w:color w:val="000000" w:themeColor="text1"/>
          <w:sz w:val="24"/>
        </w:rPr>
        <w:t>Trigésimo cuarto.</w:t>
      </w:r>
      <w:r w:rsidRPr="00BE3318">
        <w:rPr>
          <w:rFonts w:ascii="Palatino Linotype" w:eastAsia="MS Mincho" w:hAnsi="Palatino Linotype" w:cs="Arial"/>
          <w:i/>
          <w:color w:val="000000" w:themeColor="text1"/>
          <w:sz w:val="24"/>
        </w:rPr>
        <w:t xml:space="preserve"> El periodo máximo por el que podría reservarse la información será de cinco años. El periodo de reserva correrá a partir de la fecha en que el Comité de Transparencia confirme la clasificación del expediente o documento.</w:t>
      </w:r>
    </w:p>
    <w:p w14:paraId="4417AAAB"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Asimismo, deberán señalar las razones por las cuales se estableció el plazo de reserva determinado.</w:t>
      </w:r>
    </w:p>
    <w:p w14:paraId="5AFB3F7B" w14:textId="77777777" w:rsidR="003E7D39" w:rsidRPr="00BE3318" w:rsidRDefault="003E7D39" w:rsidP="00A96522">
      <w:pPr>
        <w:pStyle w:val="Prrafodelista"/>
        <w:ind w:left="0"/>
        <w:jc w:val="both"/>
        <w:rPr>
          <w:rFonts w:ascii="Palatino Linotype" w:eastAsia="MS Mincho" w:hAnsi="Palatino Linotype" w:cs="Arial"/>
          <w:i/>
          <w:color w:val="000000" w:themeColor="text1"/>
          <w:sz w:val="24"/>
        </w:rPr>
      </w:pPr>
      <w:r w:rsidRPr="00BE3318">
        <w:rPr>
          <w:rFonts w:ascii="Palatino Linotype" w:eastAsia="MS Mincho" w:hAnsi="Palatino Linotype" w:cs="Arial"/>
          <w:i/>
          <w:color w:val="000000" w:themeColor="text1"/>
          <w:sz w:val="24"/>
        </w:rPr>
        <w:t>Excepcionalmente, los sujetos obligados, con la aprobación de su Comité de Transparencia, podrán ampliar el plazo de reserva hasta por un periodo de cinco años adicionales, siempre y cuando se justifique que subsisten las causas que dieron origen a su clasificación.</w:t>
      </w:r>
    </w:p>
    <w:p w14:paraId="73BF37F5" w14:textId="77777777" w:rsidR="00354573" w:rsidRPr="00BE3318" w:rsidRDefault="00354573" w:rsidP="00A96522">
      <w:pPr>
        <w:jc w:val="both"/>
        <w:rPr>
          <w:rFonts w:ascii="Palatino Linotype" w:eastAsia="MS Mincho" w:hAnsi="Palatino Linotype" w:cs="Arial"/>
          <w:i/>
          <w:color w:val="000000" w:themeColor="text1"/>
          <w:sz w:val="24"/>
          <w:szCs w:val="24"/>
        </w:rPr>
      </w:pPr>
    </w:p>
    <w:p w14:paraId="09D2AFE3" w14:textId="77777777" w:rsidR="00354573" w:rsidRPr="00BE3318" w:rsidRDefault="00354573" w:rsidP="00A96522">
      <w:pPr>
        <w:jc w:val="both"/>
        <w:rPr>
          <w:rFonts w:ascii="Palatino Linotype" w:eastAsia="MS Mincho" w:hAnsi="Palatino Linotype" w:cs="Arial"/>
          <w:i/>
          <w:color w:val="000000" w:themeColor="text1"/>
          <w:sz w:val="24"/>
          <w:szCs w:val="24"/>
        </w:rPr>
      </w:pPr>
    </w:p>
    <w:p w14:paraId="72B250EF" w14:textId="77777777" w:rsidR="00354573" w:rsidRPr="00BE3318" w:rsidRDefault="00354573" w:rsidP="00A96522">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b/>
          <w:color w:val="000000" w:themeColor="text1"/>
          <w:sz w:val="24"/>
          <w:szCs w:val="24"/>
        </w:rPr>
        <w:t>QUINTO. De la versión pública.</w:t>
      </w:r>
    </w:p>
    <w:p w14:paraId="19F56881" w14:textId="77777777" w:rsidR="00354573" w:rsidRPr="00BE3318" w:rsidRDefault="00354573" w:rsidP="00A96522">
      <w:pPr>
        <w:pStyle w:val="Ttulo1"/>
        <w:numPr>
          <w:ilvl w:val="0"/>
          <w:numId w:val="14"/>
        </w:numPr>
        <w:tabs>
          <w:tab w:val="left" w:pos="284"/>
        </w:tabs>
        <w:spacing w:before="0" w:line="360" w:lineRule="auto"/>
        <w:ind w:left="0" w:firstLine="0"/>
        <w:rPr>
          <w:rFonts w:ascii="Palatino Linotype" w:eastAsia="Palatino Linotype" w:hAnsi="Palatino Linotype" w:cs="Palatino Linotype"/>
          <w:b/>
          <w:color w:val="000000" w:themeColor="text1"/>
          <w:sz w:val="24"/>
          <w:szCs w:val="24"/>
        </w:rPr>
      </w:pPr>
      <w:bookmarkStart w:id="10" w:name="_heading=h.4hm3vlrjjcw2" w:colFirst="0" w:colLast="0"/>
      <w:bookmarkEnd w:id="10"/>
      <w:r w:rsidRPr="00BE3318">
        <w:rPr>
          <w:rFonts w:ascii="Palatino Linotype" w:eastAsia="Palatino Linotype" w:hAnsi="Palatino Linotype" w:cs="Palatino Linotype"/>
          <w:b/>
          <w:color w:val="000000" w:themeColor="text1"/>
          <w:sz w:val="24"/>
          <w:szCs w:val="24"/>
        </w:rPr>
        <w:t xml:space="preserve">Nociones generales. </w:t>
      </w:r>
    </w:p>
    <w:p w14:paraId="5D7A95C0" w14:textId="77777777" w:rsidR="00354573" w:rsidRPr="00BE3318" w:rsidRDefault="00354573"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Debe destacarse que, debido a la naturaleza de la información solicitada,</w:t>
      </w:r>
      <w:r w:rsidRPr="00BE3318">
        <w:rPr>
          <w:rFonts w:ascii="Palatino Linotype" w:eastAsia="Palatino Linotype" w:hAnsi="Palatino Linotype" w:cs="Palatino Linotype"/>
          <w:b/>
          <w:color w:val="000000" w:themeColor="text1"/>
          <w:sz w:val="24"/>
          <w:szCs w:val="24"/>
        </w:rPr>
        <w:t xml:space="preserve"> </w:t>
      </w:r>
      <w:r w:rsidRPr="00BE3318">
        <w:rPr>
          <w:rFonts w:ascii="Palatino Linotype" w:eastAsia="Palatino Linotype" w:hAnsi="Palatino Linotype" w:cs="Palatino Linotype"/>
          <w:color w:val="000000" w:themeColor="text1"/>
          <w:sz w:val="24"/>
          <w:szCs w:val="24"/>
        </w:rPr>
        <w:t xml:space="preserve">eventualmente pudiera obrar datos personales susceptibles de protegerse, así como información susceptible de clasificarse como reservada, el </w:t>
      </w:r>
      <w:r w:rsidRPr="00BE3318">
        <w:rPr>
          <w:rFonts w:ascii="Palatino Linotype" w:eastAsia="Palatino Linotype" w:hAnsi="Palatino Linotype" w:cs="Palatino Linotype"/>
          <w:b/>
          <w:color w:val="000000" w:themeColor="text1"/>
          <w:sz w:val="24"/>
          <w:szCs w:val="24"/>
        </w:rPr>
        <w:t xml:space="preserve">Sujeto Obligado </w:t>
      </w:r>
      <w:r w:rsidRPr="00BE3318">
        <w:rPr>
          <w:rFonts w:ascii="Palatino Linotype" w:eastAsia="Palatino Linotype" w:hAnsi="Palatino Linotype" w:cs="Palatino Linotype"/>
          <w:color w:val="000000" w:themeColor="text1"/>
          <w:sz w:val="24"/>
          <w:szCs w:val="24"/>
        </w:rPr>
        <w:t xml:space="preserve">deberá de hacer </w:t>
      </w:r>
      <w:r w:rsidRPr="00BE3318">
        <w:rPr>
          <w:rFonts w:ascii="Palatino Linotype" w:eastAsia="Palatino Linotype" w:hAnsi="Palatino Linotype" w:cs="Palatino Linotype"/>
          <w:color w:val="000000" w:themeColor="text1"/>
          <w:sz w:val="24"/>
          <w:szCs w:val="24"/>
        </w:rPr>
        <w:lastRenderedPageBreak/>
        <w:t xml:space="preserve">la adecuada versión pública, protegiendo los datos que no son susceptibles de ser proporcionados. </w:t>
      </w:r>
    </w:p>
    <w:p w14:paraId="42CFDB1D" w14:textId="77777777" w:rsidR="00354573" w:rsidRPr="00BE3318" w:rsidRDefault="00354573" w:rsidP="00A96522">
      <w:pPr>
        <w:pBdr>
          <w:top w:val="nil"/>
          <w:left w:val="nil"/>
          <w:bottom w:val="nil"/>
          <w:right w:val="nil"/>
          <w:between w:val="nil"/>
        </w:pBdr>
        <w:tabs>
          <w:tab w:val="left" w:pos="0"/>
          <w:tab w:val="left" w:pos="284"/>
        </w:tabs>
        <w:spacing w:line="360" w:lineRule="auto"/>
        <w:jc w:val="both"/>
        <w:rPr>
          <w:rFonts w:ascii="Palatino Linotype" w:eastAsia="Palatino Linotype" w:hAnsi="Palatino Linotype" w:cs="Palatino Linotype"/>
          <w:color w:val="000000" w:themeColor="text1"/>
          <w:sz w:val="24"/>
          <w:szCs w:val="24"/>
        </w:rPr>
      </w:pPr>
    </w:p>
    <w:p w14:paraId="3B15C4BF" w14:textId="77777777" w:rsidR="00354573" w:rsidRPr="00BE3318" w:rsidRDefault="00354573"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No pasa desapercibido para este Órgano Garante que los </w:t>
      </w:r>
      <w:r w:rsidRPr="00BE3318">
        <w:rPr>
          <w:rFonts w:ascii="Palatino Linotype" w:eastAsia="Palatino Linotype" w:hAnsi="Palatino Linotype" w:cs="Palatino Linotype"/>
          <w:b/>
          <w:color w:val="000000" w:themeColor="text1"/>
          <w:sz w:val="24"/>
          <w:szCs w:val="24"/>
        </w:rPr>
        <w:t xml:space="preserve">Sujetos Obligados </w:t>
      </w:r>
      <w:r w:rsidRPr="00BE3318">
        <w:rPr>
          <w:rFonts w:ascii="Palatino Linotype" w:eastAsia="Palatino Linotype" w:hAnsi="Palatino Linotype" w:cs="Palatino Linotype"/>
          <w:color w:val="000000" w:themeColor="text1"/>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4D29ABBA" w14:textId="77777777" w:rsidR="00354573" w:rsidRPr="00BE3318" w:rsidRDefault="00354573" w:rsidP="00A96522">
      <w:pPr>
        <w:tabs>
          <w:tab w:val="left" w:pos="284"/>
        </w:tabs>
        <w:spacing w:line="360" w:lineRule="auto"/>
        <w:jc w:val="both"/>
        <w:rPr>
          <w:rFonts w:ascii="Palatino Linotype" w:eastAsia="Palatino Linotype" w:hAnsi="Palatino Linotype" w:cs="Palatino Linotype"/>
          <w:color w:val="000000" w:themeColor="text1"/>
          <w:sz w:val="24"/>
          <w:szCs w:val="24"/>
        </w:rPr>
      </w:pPr>
    </w:p>
    <w:tbl>
      <w:tblPr>
        <w:tblW w:w="9497" w:type="dxa"/>
        <w:tblInd w:w="1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93"/>
        <w:gridCol w:w="6804"/>
      </w:tblGrid>
      <w:tr w:rsidR="00A96522" w:rsidRPr="00BE3318" w14:paraId="2B270FD2" w14:textId="77777777" w:rsidTr="00D22B19">
        <w:tc>
          <w:tcPr>
            <w:tcW w:w="2693" w:type="dxa"/>
            <w:tcBorders>
              <w:top w:val="single" w:sz="4" w:space="0" w:color="BFBFBF"/>
              <w:left w:val="single" w:sz="4" w:space="0" w:color="BFBFBF"/>
              <w:bottom w:val="single" w:sz="4" w:space="0" w:color="BFBFBF"/>
              <w:right w:val="single" w:sz="4" w:space="0" w:color="BFBFBF"/>
            </w:tcBorders>
          </w:tcPr>
          <w:p w14:paraId="52ADDE54" w14:textId="77777777" w:rsidR="00354573" w:rsidRPr="00BE3318" w:rsidRDefault="00354573" w:rsidP="00D22B19">
            <w:pPr>
              <w:spacing w:line="360" w:lineRule="auto"/>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a) Requisitos previos.</w:t>
            </w:r>
          </w:p>
        </w:tc>
        <w:tc>
          <w:tcPr>
            <w:tcW w:w="6804" w:type="dxa"/>
            <w:tcBorders>
              <w:top w:val="single" w:sz="4" w:space="0" w:color="BFBFBF"/>
              <w:left w:val="single" w:sz="4" w:space="0" w:color="BFBFBF"/>
              <w:bottom w:val="single" w:sz="4" w:space="0" w:color="BFBFBF"/>
              <w:right w:val="single" w:sz="4" w:space="0" w:color="BFBFBF"/>
            </w:tcBorders>
          </w:tcPr>
          <w:p w14:paraId="73371B99" w14:textId="77777777" w:rsidR="00354573" w:rsidRPr="00BE3318" w:rsidRDefault="00354573" w:rsidP="00D22B19">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242AA9AE" w14:textId="77777777" w:rsidR="00354573" w:rsidRPr="00BE3318" w:rsidRDefault="00354573" w:rsidP="00D22B19">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Al hacerlo tienen que precisar de qué información se trata, señalando el supuesto de clasificación (confidencialidad o reserva).</w:t>
            </w:r>
          </w:p>
          <w:p w14:paraId="13BC3DAC" w14:textId="77777777" w:rsidR="00354573" w:rsidRPr="00BE3318" w:rsidRDefault="00354573" w:rsidP="00D22B19">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Además, se debe señalar el procedimiento, de los tres que establecen los artículos 132 y 106 de la Ley Estatal y General, respectivamente.</w:t>
            </w:r>
          </w:p>
          <w:p w14:paraId="3796B192" w14:textId="77777777" w:rsidR="00354573" w:rsidRPr="00BE3318" w:rsidRDefault="00354573" w:rsidP="00D22B19">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El último de estos requisitos previos consiste en que no se pueden emitir acuerdos de carácter general ni particular, esto es, </w:t>
            </w:r>
            <w:r w:rsidRPr="00BE3318">
              <w:rPr>
                <w:rFonts w:ascii="Palatino Linotype" w:eastAsia="Palatino Linotype" w:hAnsi="Palatino Linotype" w:cs="Palatino Linotype"/>
                <w:color w:val="000000" w:themeColor="text1"/>
                <w:sz w:val="24"/>
                <w:szCs w:val="24"/>
                <w:u w:val="single"/>
              </w:rPr>
              <w:t xml:space="preserve">no se puede hacer un acuerdo para clasificar de manera </w:t>
            </w:r>
            <w:r w:rsidRPr="00BE3318">
              <w:rPr>
                <w:rFonts w:ascii="Palatino Linotype" w:eastAsia="Palatino Linotype" w:hAnsi="Palatino Linotype" w:cs="Palatino Linotype"/>
                <w:color w:val="000000" w:themeColor="text1"/>
                <w:sz w:val="24"/>
                <w:szCs w:val="24"/>
                <w:u w:val="single"/>
              </w:rPr>
              <w:lastRenderedPageBreak/>
              <w:t>general todos los documentos de un expediente o área, sin</w:t>
            </w:r>
            <w:r w:rsidRPr="00BE3318">
              <w:rPr>
                <w:rFonts w:ascii="Palatino Linotype" w:eastAsia="Palatino Linotype" w:hAnsi="Palatino Linotype" w:cs="Palatino Linotype"/>
                <w:color w:val="000000" w:themeColor="text1"/>
                <w:sz w:val="24"/>
                <w:szCs w:val="24"/>
              </w:rPr>
              <w:t xml:space="preserve"> individualizar su análisis y tampoco se puede hacer un acuerdo por cada dato que se vaya a clasificar dentro de un documento con diez datos, por ejemplo, susceptibles de ser clasificados.</w:t>
            </w:r>
          </w:p>
        </w:tc>
      </w:tr>
      <w:tr w:rsidR="00A96522" w:rsidRPr="00BE3318" w14:paraId="7092F020" w14:textId="77777777" w:rsidTr="00D22B19">
        <w:tc>
          <w:tcPr>
            <w:tcW w:w="2693" w:type="dxa"/>
            <w:tcBorders>
              <w:top w:val="single" w:sz="4" w:space="0" w:color="BFBFBF"/>
              <w:left w:val="single" w:sz="4" w:space="0" w:color="BFBFBF"/>
              <w:bottom w:val="single" w:sz="4" w:space="0" w:color="BFBFBF"/>
              <w:right w:val="single" w:sz="4" w:space="0" w:color="BFBFBF"/>
            </w:tcBorders>
          </w:tcPr>
          <w:p w14:paraId="1496C6B4" w14:textId="77777777" w:rsidR="00354573" w:rsidRPr="00BE3318" w:rsidRDefault="00354573" w:rsidP="00D22B19">
            <w:pPr>
              <w:spacing w:line="360" w:lineRule="auto"/>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lastRenderedPageBreak/>
              <w:t>b) Supuestos de clasificación.</w:t>
            </w:r>
          </w:p>
        </w:tc>
        <w:tc>
          <w:tcPr>
            <w:tcW w:w="6804" w:type="dxa"/>
            <w:tcBorders>
              <w:top w:val="single" w:sz="4" w:space="0" w:color="BFBFBF"/>
              <w:left w:val="single" w:sz="4" w:space="0" w:color="BFBFBF"/>
              <w:bottom w:val="single" w:sz="4" w:space="0" w:color="BFBFBF"/>
              <w:right w:val="single" w:sz="4" w:space="0" w:color="BFBFBF"/>
            </w:tcBorders>
          </w:tcPr>
          <w:p w14:paraId="7751B1F1" w14:textId="77777777" w:rsidR="00354573" w:rsidRPr="00BE3318" w:rsidRDefault="00354573" w:rsidP="00D22B19">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Las disposiciones constitucionales y legales en la materia establecen los dos supuestos generales para clasificar la información: por reserva y por confidencialidad.</w:t>
            </w:r>
          </w:p>
          <w:p w14:paraId="1424607E" w14:textId="77777777" w:rsidR="00354573" w:rsidRPr="00BE3318" w:rsidRDefault="00354573" w:rsidP="00D22B19">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29671A7" w14:textId="77777777" w:rsidR="00354573" w:rsidRPr="00BE3318" w:rsidRDefault="00354573" w:rsidP="00D22B19">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El </w:t>
            </w:r>
            <w:r w:rsidRPr="00BE3318">
              <w:rPr>
                <w:rFonts w:ascii="Palatino Linotype" w:eastAsia="Palatino Linotype" w:hAnsi="Palatino Linotype" w:cs="Palatino Linotype"/>
                <w:b/>
                <w:color w:val="000000" w:themeColor="text1"/>
                <w:sz w:val="24"/>
                <w:szCs w:val="24"/>
              </w:rPr>
              <w:t>Sujeto Obligado</w:t>
            </w:r>
            <w:r w:rsidRPr="00BE3318">
              <w:rPr>
                <w:rFonts w:ascii="Palatino Linotype" w:eastAsia="Palatino Linotype" w:hAnsi="Palatino Linotype" w:cs="Palatino Linotype"/>
                <w:color w:val="000000" w:themeColor="text1"/>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96522" w:rsidRPr="00BE3318" w14:paraId="5570C449" w14:textId="77777777" w:rsidTr="00D22B19">
        <w:tc>
          <w:tcPr>
            <w:tcW w:w="2693" w:type="dxa"/>
            <w:tcBorders>
              <w:top w:val="single" w:sz="4" w:space="0" w:color="BFBFBF"/>
              <w:left w:val="single" w:sz="4" w:space="0" w:color="BFBFBF"/>
              <w:bottom w:val="single" w:sz="4" w:space="0" w:color="BFBFBF"/>
              <w:right w:val="single" w:sz="4" w:space="0" w:color="BFBFBF"/>
            </w:tcBorders>
          </w:tcPr>
          <w:p w14:paraId="5013015F" w14:textId="77777777" w:rsidR="00354573" w:rsidRPr="00BE3318" w:rsidRDefault="00354573" w:rsidP="00D22B19">
            <w:pPr>
              <w:spacing w:line="360" w:lineRule="auto"/>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lastRenderedPageBreak/>
              <w:t>c) Formalidades para emitir el acuerdo de clasificación.</w:t>
            </w:r>
          </w:p>
        </w:tc>
        <w:tc>
          <w:tcPr>
            <w:tcW w:w="6804" w:type="dxa"/>
            <w:tcBorders>
              <w:top w:val="single" w:sz="4" w:space="0" w:color="BFBFBF"/>
              <w:left w:val="single" w:sz="4" w:space="0" w:color="BFBFBF"/>
              <w:bottom w:val="single" w:sz="4" w:space="0" w:color="BFBFBF"/>
              <w:right w:val="single" w:sz="4" w:space="0" w:color="BFBFBF"/>
            </w:tcBorders>
          </w:tcPr>
          <w:p w14:paraId="04287C32" w14:textId="77777777" w:rsidR="00354573" w:rsidRPr="00BE3318" w:rsidRDefault="00354573" w:rsidP="00D22B19">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El Comité de Transparencia, según lo dispuesto en los artículos cuenta con las facultades para aprobar, modificar o revocar la clasificación de la información que haya propuesto. </w:t>
            </w:r>
          </w:p>
          <w:p w14:paraId="2031461C" w14:textId="77777777" w:rsidR="00354573" w:rsidRPr="00BE3318" w:rsidRDefault="00354573" w:rsidP="00D22B19">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Es necesario que </w:t>
            </w:r>
            <w:r w:rsidRPr="00BE3318">
              <w:rPr>
                <w:rFonts w:ascii="Palatino Linotype" w:eastAsia="Palatino Linotype" w:hAnsi="Palatino Linotype" w:cs="Palatino Linotype"/>
                <w:b/>
                <w:color w:val="000000" w:themeColor="text1"/>
                <w:sz w:val="24"/>
                <w:szCs w:val="24"/>
                <w:u w:val="single"/>
              </w:rPr>
              <w:t>el acto reúna con los requisitos elementales</w:t>
            </w:r>
            <w:r w:rsidRPr="00BE3318">
              <w:rPr>
                <w:rFonts w:ascii="Palatino Linotype" w:eastAsia="Palatino Linotype" w:hAnsi="Palatino Linotype" w:cs="Palatino Linotype"/>
                <w:color w:val="000000" w:themeColor="text1"/>
                <w:sz w:val="24"/>
                <w:szCs w:val="24"/>
              </w:rPr>
              <w:t>, entre ellos, que la autoridad que va a emitir el acto de autoridad sea la legalmente facultada para ello.</w:t>
            </w:r>
          </w:p>
          <w:p w14:paraId="1D5B5FA3" w14:textId="77777777" w:rsidR="00354573" w:rsidRPr="00BE3318" w:rsidRDefault="00354573" w:rsidP="00D22B19">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A96522" w:rsidRPr="00BE3318" w14:paraId="716288CB" w14:textId="77777777" w:rsidTr="00D22B19">
        <w:tc>
          <w:tcPr>
            <w:tcW w:w="2693" w:type="dxa"/>
            <w:tcBorders>
              <w:top w:val="single" w:sz="4" w:space="0" w:color="BFBFBF"/>
              <w:left w:val="single" w:sz="4" w:space="0" w:color="BFBFBF"/>
              <w:bottom w:val="single" w:sz="4" w:space="0" w:color="BFBFBF"/>
              <w:right w:val="single" w:sz="4" w:space="0" w:color="BFBFBF"/>
            </w:tcBorders>
          </w:tcPr>
          <w:p w14:paraId="6226F6B7" w14:textId="77777777" w:rsidR="00354573" w:rsidRPr="00BE3318" w:rsidRDefault="00354573" w:rsidP="00D22B19">
            <w:pPr>
              <w:spacing w:line="360" w:lineRule="auto"/>
              <w:rPr>
                <w:rFonts w:ascii="Palatino Linotype" w:eastAsia="Palatino Linotype" w:hAnsi="Palatino Linotype" w:cs="Palatino Linotype"/>
                <w:color w:val="000000" w:themeColor="text1"/>
                <w:sz w:val="24"/>
                <w:szCs w:val="24"/>
              </w:rPr>
            </w:pPr>
          </w:p>
          <w:p w14:paraId="0BD3AE4A" w14:textId="77777777" w:rsidR="00354573" w:rsidRPr="00BE3318" w:rsidRDefault="00354573" w:rsidP="00D22B19">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d) Requisitos de fondo del acuerdo de clasificación. </w:t>
            </w:r>
          </w:p>
        </w:tc>
        <w:tc>
          <w:tcPr>
            <w:tcW w:w="6804" w:type="dxa"/>
            <w:tcBorders>
              <w:top w:val="single" w:sz="4" w:space="0" w:color="BFBFBF"/>
              <w:left w:val="single" w:sz="4" w:space="0" w:color="BFBFBF"/>
              <w:bottom w:val="single" w:sz="4" w:space="0" w:color="BFBFBF"/>
              <w:right w:val="single" w:sz="4" w:space="0" w:color="BFBFBF"/>
            </w:tcBorders>
          </w:tcPr>
          <w:p w14:paraId="52D1FE42" w14:textId="77777777" w:rsidR="00354573" w:rsidRPr="00BE3318" w:rsidRDefault="00354573" w:rsidP="00D22B19">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BE3318">
              <w:rPr>
                <w:rFonts w:ascii="Palatino Linotype" w:eastAsia="Palatino Linotype" w:hAnsi="Palatino Linotype" w:cs="Palatino Linotype"/>
                <w:b/>
                <w:color w:val="000000" w:themeColor="text1"/>
                <w:sz w:val="24"/>
                <w:szCs w:val="24"/>
              </w:rPr>
              <w:t>Sujetos Obligados</w:t>
            </w:r>
            <w:r w:rsidRPr="00BE3318">
              <w:rPr>
                <w:rFonts w:ascii="Palatino Linotype" w:eastAsia="Palatino Linotype" w:hAnsi="Palatino Linotype" w:cs="Palatino Linotype"/>
                <w:color w:val="000000" w:themeColor="text1"/>
                <w:sz w:val="24"/>
                <w:szCs w:val="24"/>
              </w:rPr>
              <w:t xml:space="preserve">, por lo que deberán fundar y motivar debidamente la clasificación. </w:t>
            </w:r>
          </w:p>
          <w:p w14:paraId="5D141EB7" w14:textId="77777777" w:rsidR="00354573" w:rsidRPr="00BE3318" w:rsidRDefault="00354573" w:rsidP="00D22B19">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lastRenderedPageBreak/>
              <w:t xml:space="preserve">De lo anterior, se desprende que para una correcta </w:t>
            </w:r>
            <w:r w:rsidRPr="00BE3318">
              <w:rPr>
                <w:rFonts w:ascii="Palatino Linotype" w:eastAsia="Palatino Linotype" w:hAnsi="Palatino Linotype" w:cs="Palatino Linotype"/>
                <w:b/>
                <w:color w:val="000000" w:themeColor="text1"/>
                <w:sz w:val="24"/>
                <w:szCs w:val="24"/>
              </w:rPr>
              <w:t>clasificación total o parcial</w:t>
            </w:r>
            <w:r w:rsidRPr="00BE3318">
              <w:rPr>
                <w:rFonts w:ascii="Palatino Linotype" w:eastAsia="Palatino Linotype" w:hAnsi="Palatino Linotype" w:cs="Palatino Linotype"/>
                <w:color w:val="000000" w:themeColor="text1"/>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7EB2C2B" w14:textId="77777777" w:rsidR="00354573" w:rsidRPr="00BE3318" w:rsidRDefault="00354573" w:rsidP="00D22B19">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40A57B8" w14:textId="77777777" w:rsidR="00354573" w:rsidRPr="00BE3318" w:rsidRDefault="00354573" w:rsidP="00D22B19">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En ese mismo sentido, el numeral trigésimo tercero fracción V de los Lineamientos Generales, precisa que para motivar la clasificación se deben acreditar las circunstancias de tiempo, modo y lugar.</w:t>
            </w:r>
          </w:p>
          <w:p w14:paraId="5BD40F79" w14:textId="77777777" w:rsidR="00354573" w:rsidRPr="00BE3318" w:rsidRDefault="00354573" w:rsidP="00D22B19">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Ahora bien, </w:t>
            </w:r>
            <w:r w:rsidRPr="00BE3318">
              <w:rPr>
                <w:rFonts w:ascii="Palatino Linotype" w:eastAsia="Palatino Linotype" w:hAnsi="Palatino Linotype" w:cs="Palatino Linotype"/>
                <w:b/>
                <w:color w:val="000000" w:themeColor="text1"/>
                <w:sz w:val="24"/>
                <w:szCs w:val="24"/>
                <w:u w:val="single"/>
              </w:rPr>
              <w:t>para cada caso además de fundar y motivar</w:t>
            </w:r>
            <w:r w:rsidRPr="00BE3318">
              <w:rPr>
                <w:rFonts w:ascii="Palatino Linotype" w:eastAsia="Palatino Linotype" w:hAnsi="Palatino Linotype" w:cs="Palatino Linotype"/>
                <w:color w:val="000000" w:themeColor="text1"/>
                <w:sz w:val="24"/>
                <w:szCs w:val="24"/>
              </w:rPr>
              <w:t xml:space="preserve">, se debe identificar con claridad que datos contenidos en las documentales que son susceptibles de suprimirse, por ejemplo; </w:t>
            </w:r>
            <w:r w:rsidRPr="00BE3318">
              <w:rPr>
                <w:rFonts w:ascii="Palatino Linotype" w:eastAsia="Palatino Linotype" w:hAnsi="Palatino Linotype" w:cs="Palatino Linotype"/>
                <w:color w:val="000000" w:themeColor="text1"/>
                <w:sz w:val="24"/>
                <w:szCs w:val="24"/>
              </w:rPr>
              <w:lastRenderedPageBreak/>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54573" w:rsidRPr="00BE3318" w14:paraId="4DB1C27E" w14:textId="77777777" w:rsidTr="00D22B19">
        <w:tc>
          <w:tcPr>
            <w:tcW w:w="2693" w:type="dxa"/>
            <w:tcBorders>
              <w:top w:val="single" w:sz="4" w:space="0" w:color="BFBFBF"/>
              <w:left w:val="single" w:sz="4" w:space="0" w:color="BFBFBF"/>
              <w:bottom w:val="single" w:sz="4" w:space="0" w:color="BFBFBF"/>
              <w:right w:val="single" w:sz="4" w:space="0" w:color="BFBFBF"/>
            </w:tcBorders>
          </w:tcPr>
          <w:p w14:paraId="6C26CCE7" w14:textId="77777777" w:rsidR="00354573" w:rsidRPr="00BE3318" w:rsidRDefault="00354573" w:rsidP="00D22B19">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lastRenderedPageBreak/>
              <w:t xml:space="preserve">e) Condiciones especiales de la clasificación de la información como confidencial. </w:t>
            </w:r>
          </w:p>
        </w:tc>
        <w:tc>
          <w:tcPr>
            <w:tcW w:w="6804" w:type="dxa"/>
            <w:tcBorders>
              <w:top w:val="single" w:sz="4" w:space="0" w:color="BFBFBF"/>
              <w:left w:val="single" w:sz="4" w:space="0" w:color="BFBFBF"/>
              <w:bottom w:val="single" w:sz="4" w:space="0" w:color="BFBFBF"/>
              <w:right w:val="single" w:sz="4" w:space="0" w:color="BFBFBF"/>
            </w:tcBorders>
          </w:tcPr>
          <w:p w14:paraId="278FAF2F" w14:textId="77777777" w:rsidR="00354573" w:rsidRPr="00BE3318" w:rsidRDefault="00354573" w:rsidP="00D22B19">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w:t>
            </w:r>
          </w:p>
          <w:p w14:paraId="4E405BE4" w14:textId="77777777" w:rsidR="00354573" w:rsidRPr="00BE3318" w:rsidRDefault="00354573" w:rsidP="00D22B19">
            <w:pPr>
              <w:spacing w:line="360" w:lineRule="auto"/>
              <w:jc w:val="both"/>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6120E0D" w14:textId="77777777" w:rsidR="00354573" w:rsidRPr="00BE3318" w:rsidRDefault="00354573" w:rsidP="00D22B19">
            <w:pPr>
              <w:spacing w:line="360" w:lineRule="auto"/>
              <w:rPr>
                <w:rFonts w:ascii="Palatino Linotype" w:eastAsia="Palatino Linotype" w:hAnsi="Palatino Linotype" w:cs="Palatino Linotype"/>
                <w:color w:val="000000" w:themeColor="text1"/>
                <w:sz w:val="24"/>
                <w:szCs w:val="24"/>
              </w:rPr>
            </w:pPr>
            <w:r w:rsidRPr="00BE3318">
              <w:rPr>
                <w:rFonts w:ascii="Palatino Linotype" w:eastAsia="Palatino Linotype" w:hAnsi="Palatino Linotype" w:cs="Palatino Linotype"/>
                <w:color w:val="000000" w:themeColor="text1"/>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77F3756" w14:textId="77777777" w:rsidR="00354573" w:rsidRPr="00BE3318" w:rsidRDefault="00354573" w:rsidP="00A96522">
      <w:pPr>
        <w:pBdr>
          <w:top w:val="nil"/>
          <w:left w:val="nil"/>
          <w:bottom w:val="nil"/>
          <w:right w:val="nil"/>
          <w:between w:val="nil"/>
        </w:pBdr>
        <w:tabs>
          <w:tab w:val="left" w:pos="284"/>
        </w:tabs>
        <w:rPr>
          <w:rFonts w:ascii="Palatino Linotype" w:eastAsia="Palatino Linotype" w:hAnsi="Palatino Linotype" w:cs="Palatino Linotype"/>
          <w:color w:val="000000" w:themeColor="text1"/>
          <w:sz w:val="24"/>
          <w:szCs w:val="24"/>
        </w:rPr>
      </w:pPr>
    </w:p>
    <w:p w14:paraId="267AB6BC" w14:textId="77777777" w:rsidR="00354573" w:rsidRPr="00BE3318" w:rsidRDefault="00354573" w:rsidP="00A96522">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BE3318">
        <w:rPr>
          <w:rFonts w:ascii="Palatino Linotype" w:eastAsia="MS Mincho" w:hAnsi="Palatino Linotype" w:cstheme="majorBidi"/>
          <w:color w:val="000000" w:themeColor="text1"/>
          <w:sz w:val="24"/>
          <w:szCs w:val="24"/>
        </w:rPr>
        <w:t>Si</w:t>
      </w:r>
      <w:r w:rsidRPr="00BE3318">
        <w:rPr>
          <w:rFonts w:ascii="Palatino Linotype" w:eastAsia="Palatino Linotype" w:hAnsi="Palatino Linotype" w:cs="Palatino Linotype"/>
          <w:color w:val="000000" w:themeColor="text1"/>
          <w:sz w:val="24"/>
          <w:szCs w:val="24"/>
        </w:rPr>
        <w:t xml:space="preserve"> el servidor público incumple con estas formalidades y entrega la información sin proteger los datos personales incumple con lo que estipula las disposiciones legales </w:t>
      </w:r>
      <w:r w:rsidRPr="00BE3318">
        <w:rPr>
          <w:rFonts w:ascii="Palatino Linotype" w:eastAsia="Palatino Linotype" w:hAnsi="Palatino Linotype" w:cs="Palatino Linotype"/>
          <w:color w:val="000000" w:themeColor="text1"/>
          <w:sz w:val="24"/>
          <w:szCs w:val="24"/>
        </w:rPr>
        <w:lastRenderedPageBreak/>
        <w:t>establecidas, asimismo que si entrega un documento testado sin el debido acuerdo de clasificación.</w:t>
      </w:r>
    </w:p>
    <w:p w14:paraId="4CC111A1" w14:textId="77777777" w:rsidR="00354573" w:rsidRPr="00BE3318" w:rsidRDefault="00354573" w:rsidP="00A96522">
      <w:pPr>
        <w:jc w:val="both"/>
        <w:rPr>
          <w:rFonts w:ascii="Palatino Linotype" w:eastAsia="MS Mincho" w:hAnsi="Palatino Linotype" w:cs="Arial"/>
          <w:i/>
          <w:color w:val="000000" w:themeColor="text1"/>
          <w:sz w:val="24"/>
          <w:szCs w:val="24"/>
        </w:rPr>
      </w:pPr>
    </w:p>
    <w:p w14:paraId="25CE2455" w14:textId="77777777" w:rsidR="009353EA" w:rsidRPr="00BE3318" w:rsidRDefault="009353EA" w:rsidP="00A96522">
      <w:pPr>
        <w:numPr>
          <w:ilvl w:val="0"/>
          <w:numId w:val="2"/>
        </w:numPr>
        <w:spacing w:line="360" w:lineRule="auto"/>
        <w:ind w:left="0" w:firstLine="0"/>
        <w:jc w:val="both"/>
        <w:rPr>
          <w:rFonts w:ascii="Palatino Linotype" w:hAnsi="Palatino Linotype"/>
          <w:color w:val="000000" w:themeColor="text1"/>
          <w:sz w:val="24"/>
          <w:szCs w:val="24"/>
        </w:rPr>
      </w:pPr>
      <w:r w:rsidRPr="00BE3318">
        <w:rPr>
          <w:rFonts w:ascii="Palatino Linotype" w:eastAsia="MS Mincho" w:hAnsi="Palatino Linotype" w:cstheme="majorBidi"/>
          <w:color w:val="000000" w:themeColor="text1"/>
          <w:sz w:val="24"/>
          <w:szCs w:val="24"/>
        </w:rPr>
        <w:t xml:space="preserve">Por lo tanto, en consecuencia y en mérito de lo expuesto en líneas anteriores, resultan fundadas las razones o motivos de inconformidad hechos valer por la </w:t>
      </w:r>
      <w:r w:rsidRPr="00BE3318">
        <w:rPr>
          <w:rFonts w:ascii="Palatino Linotype" w:eastAsia="MS Mincho" w:hAnsi="Palatino Linotype" w:cstheme="majorBidi"/>
          <w:b/>
          <w:color w:val="000000" w:themeColor="text1"/>
          <w:sz w:val="24"/>
          <w:szCs w:val="24"/>
        </w:rPr>
        <w:t>RECURRENTE</w:t>
      </w:r>
      <w:r w:rsidRPr="00BE3318">
        <w:rPr>
          <w:rFonts w:ascii="Palatino Linotype" w:eastAsia="MS Mincho" w:hAnsi="Palatino Linotype" w:cstheme="majorBidi"/>
          <w:color w:val="000000" w:themeColor="text1"/>
          <w:sz w:val="24"/>
          <w:szCs w:val="24"/>
        </w:rPr>
        <w:t xml:space="preserve"> dentro del recurso de revisión </w:t>
      </w:r>
      <w:r w:rsidRPr="00BE3318">
        <w:rPr>
          <w:rFonts w:ascii="Palatino Linotype" w:eastAsia="MS Mincho" w:hAnsi="Palatino Linotype" w:cstheme="majorBidi"/>
          <w:b/>
          <w:bCs/>
          <w:color w:val="000000" w:themeColor="text1"/>
          <w:sz w:val="24"/>
          <w:szCs w:val="24"/>
        </w:rPr>
        <w:t>03273/INFOEM/IP/RR/2025</w:t>
      </w:r>
      <w:r w:rsidRPr="00BE3318">
        <w:rPr>
          <w:rFonts w:ascii="Palatino Linotype" w:eastAsia="MS Mincho" w:hAnsi="Palatino Linotype" w:cstheme="majorBidi"/>
          <w:color w:val="000000" w:themeColor="text1"/>
          <w:sz w:val="24"/>
          <w:szCs w:val="24"/>
        </w:rPr>
        <w:t xml:space="preserve">; por ello, y con fundamento en la fracción III del numeral 186 de la Ley de Transparencia y Acceso a la Información Pública del Estado de México y Municipios, se </w:t>
      </w:r>
      <w:r w:rsidRPr="00BE3318">
        <w:rPr>
          <w:rFonts w:ascii="Palatino Linotype" w:eastAsia="MS Mincho" w:hAnsi="Palatino Linotype" w:cstheme="majorBidi"/>
          <w:b/>
          <w:color w:val="000000" w:themeColor="text1"/>
          <w:sz w:val="24"/>
          <w:szCs w:val="24"/>
        </w:rPr>
        <w:t>MODIFICA</w:t>
      </w:r>
      <w:r w:rsidRPr="00BE3318">
        <w:rPr>
          <w:rFonts w:ascii="Palatino Linotype" w:eastAsia="MS Mincho" w:hAnsi="Palatino Linotype" w:cstheme="majorBidi"/>
          <w:color w:val="000000" w:themeColor="text1"/>
          <w:sz w:val="24"/>
          <w:szCs w:val="24"/>
        </w:rPr>
        <w:t xml:space="preserve"> la respuesta a la solicitud de información número </w:t>
      </w:r>
      <w:r w:rsidRPr="00BE3318">
        <w:rPr>
          <w:rFonts w:ascii="Palatino Linotype" w:eastAsia="MS Mincho" w:hAnsi="Palatino Linotype" w:cstheme="majorBidi"/>
          <w:b/>
          <w:bCs/>
          <w:color w:val="000000" w:themeColor="text1"/>
          <w:sz w:val="24"/>
          <w:szCs w:val="24"/>
        </w:rPr>
        <w:t>01076/TOLUCA/IP/2025</w:t>
      </w:r>
      <w:r w:rsidRPr="00BE3318">
        <w:rPr>
          <w:rFonts w:ascii="Palatino Linotype" w:eastAsia="MS Mincho" w:hAnsi="Palatino Linotype" w:cstheme="majorBidi"/>
          <w:color w:val="000000" w:themeColor="text1"/>
          <w:sz w:val="24"/>
          <w:szCs w:val="24"/>
        </w:rPr>
        <w:t>.</w:t>
      </w:r>
    </w:p>
    <w:p w14:paraId="7054985C" w14:textId="77777777" w:rsidR="009353EA" w:rsidRPr="00BE3318" w:rsidRDefault="009353EA" w:rsidP="00A96522">
      <w:pPr>
        <w:spacing w:line="360" w:lineRule="auto"/>
        <w:jc w:val="both"/>
        <w:rPr>
          <w:rFonts w:ascii="Palatino Linotype" w:hAnsi="Palatino Linotype"/>
          <w:color w:val="000000" w:themeColor="text1"/>
          <w:sz w:val="24"/>
          <w:szCs w:val="24"/>
        </w:rPr>
      </w:pPr>
    </w:p>
    <w:p w14:paraId="7865E633" w14:textId="5B1C85C3" w:rsidR="009353EA" w:rsidRPr="00BE3318" w:rsidRDefault="009353EA" w:rsidP="00A96522">
      <w:pPr>
        <w:numPr>
          <w:ilvl w:val="0"/>
          <w:numId w:val="2"/>
        </w:numPr>
        <w:spacing w:line="360" w:lineRule="auto"/>
        <w:ind w:left="0" w:firstLine="0"/>
        <w:jc w:val="both"/>
        <w:rPr>
          <w:rFonts w:ascii="Palatino Linotype" w:hAnsi="Palatino Linotype"/>
          <w:color w:val="000000" w:themeColor="text1"/>
          <w:sz w:val="24"/>
          <w:szCs w:val="24"/>
        </w:rPr>
      </w:pPr>
      <w:r w:rsidRPr="00BE3318">
        <w:rPr>
          <w:rFonts w:ascii="Palatino Linotype" w:hAnsi="Palatino Linotype"/>
          <w:color w:val="000000" w:themeColor="text1"/>
          <w:sz w:val="24"/>
          <w:szCs w:val="24"/>
        </w:rPr>
        <w:t xml:space="preserve">Por lo anteriormente expuesto y fundado, este </w:t>
      </w:r>
      <w:r w:rsidRPr="00BE3318">
        <w:rPr>
          <w:rFonts w:ascii="Palatino Linotype" w:hAnsi="Palatino Linotype"/>
          <w:b/>
          <w:color w:val="000000" w:themeColor="text1"/>
          <w:sz w:val="24"/>
          <w:szCs w:val="24"/>
        </w:rPr>
        <w:t>ÓRGANO GARANTE</w:t>
      </w:r>
      <w:r w:rsidRPr="00BE3318">
        <w:rPr>
          <w:rFonts w:ascii="Palatino Linotype" w:hAnsi="Palatino Linotype"/>
          <w:color w:val="000000" w:themeColor="text1"/>
          <w:sz w:val="24"/>
          <w:szCs w:val="24"/>
        </w:rPr>
        <w:t xml:space="preserve"> emite los siguientes: </w:t>
      </w:r>
      <w:r w:rsidR="00D22B19">
        <w:rPr>
          <w:rFonts w:ascii="Palatino Linotype" w:hAnsi="Palatino Linotype"/>
          <w:color w:val="000000" w:themeColor="text1"/>
          <w:sz w:val="24"/>
          <w:szCs w:val="24"/>
        </w:rPr>
        <w:t>-----------------------------------------------------------------------------------------------------------</w:t>
      </w:r>
    </w:p>
    <w:p w14:paraId="783D1834" w14:textId="77777777" w:rsidR="009353EA" w:rsidRPr="00BE3318" w:rsidRDefault="009353EA" w:rsidP="00A96522">
      <w:pPr>
        <w:rPr>
          <w:rFonts w:ascii="Palatino Linotype" w:hAnsi="Palatino Linotype"/>
          <w:color w:val="000000" w:themeColor="text1"/>
          <w:sz w:val="24"/>
          <w:szCs w:val="24"/>
        </w:rPr>
      </w:pPr>
    </w:p>
    <w:p w14:paraId="5AD66F76" w14:textId="77777777" w:rsidR="009353EA" w:rsidRPr="00BE3318" w:rsidRDefault="009353EA" w:rsidP="00A96522">
      <w:pPr>
        <w:pStyle w:val="Ttulo1"/>
        <w:spacing w:line="360" w:lineRule="auto"/>
        <w:jc w:val="center"/>
        <w:rPr>
          <w:rFonts w:ascii="Palatino Linotype" w:hAnsi="Palatino Linotype"/>
          <w:b/>
          <w:color w:val="000000" w:themeColor="text1"/>
          <w:sz w:val="24"/>
          <w:szCs w:val="24"/>
        </w:rPr>
      </w:pPr>
      <w:bookmarkStart w:id="11" w:name="_Toc495427547"/>
      <w:bookmarkStart w:id="12" w:name="_Toc497905366"/>
      <w:bookmarkStart w:id="13" w:name="_Toc88071791"/>
      <w:r w:rsidRPr="00BE3318">
        <w:rPr>
          <w:rFonts w:ascii="Palatino Linotype" w:hAnsi="Palatino Linotype"/>
          <w:b/>
          <w:color w:val="000000" w:themeColor="text1"/>
          <w:sz w:val="24"/>
          <w:szCs w:val="24"/>
        </w:rPr>
        <w:t>R E S O L U T I V O S</w:t>
      </w:r>
      <w:bookmarkEnd w:id="11"/>
      <w:bookmarkEnd w:id="12"/>
      <w:bookmarkEnd w:id="13"/>
    </w:p>
    <w:p w14:paraId="6F7EE359" w14:textId="77777777" w:rsidR="009353EA" w:rsidRPr="00BE3318" w:rsidRDefault="009353EA" w:rsidP="00A96522">
      <w:pPr>
        <w:spacing w:line="360" w:lineRule="auto"/>
        <w:jc w:val="both"/>
        <w:rPr>
          <w:rFonts w:ascii="Palatino Linotype" w:hAnsi="Palatino Linotype" w:cs="Arial"/>
          <w:b/>
          <w:color w:val="000000" w:themeColor="text1"/>
          <w:sz w:val="24"/>
          <w:szCs w:val="24"/>
        </w:rPr>
      </w:pPr>
    </w:p>
    <w:p w14:paraId="71E4B33B" w14:textId="77777777" w:rsidR="009353EA" w:rsidRPr="00BE3318" w:rsidRDefault="009353EA" w:rsidP="00A96522">
      <w:pPr>
        <w:spacing w:line="360" w:lineRule="auto"/>
        <w:jc w:val="both"/>
        <w:rPr>
          <w:rFonts w:ascii="Palatino Linotype" w:hAnsi="Palatino Linotype"/>
          <w:color w:val="000000" w:themeColor="text1"/>
          <w:sz w:val="24"/>
          <w:szCs w:val="24"/>
        </w:rPr>
      </w:pPr>
      <w:r w:rsidRPr="00BE3318">
        <w:rPr>
          <w:rFonts w:ascii="Palatino Linotype" w:hAnsi="Palatino Linotype" w:cs="Arial"/>
          <w:b/>
          <w:color w:val="000000" w:themeColor="text1"/>
          <w:sz w:val="24"/>
          <w:szCs w:val="24"/>
        </w:rPr>
        <w:t xml:space="preserve">PRIMERO. </w:t>
      </w:r>
      <w:r w:rsidRPr="00BE3318">
        <w:rPr>
          <w:rFonts w:ascii="Palatino Linotype" w:hAnsi="Palatino Linotype" w:cs="Arial"/>
          <w:color w:val="000000" w:themeColor="text1"/>
          <w:sz w:val="24"/>
          <w:szCs w:val="24"/>
        </w:rPr>
        <w:t>Resultan fundadas las</w:t>
      </w:r>
      <w:r w:rsidRPr="00BE3318">
        <w:rPr>
          <w:rFonts w:ascii="Palatino Linotype" w:hAnsi="Palatino Linotype" w:cs="Arial"/>
          <w:b/>
          <w:color w:val="000000" w:themeColor="text1"/>
          <w:sz w:val="24"/>
          <w:szCs w:val="24"/>
        </w:rPr>
        <w:t xml:space="preserve"> </w:t>
      </w:r>
      <w:r w:rsidRPr="00BE3318">
        <w:rPr>
          <w:rFonts w:ascii="Palatino Linotype" w:hAnsi="Palatino Linotype" w:cs="Arial"/>
          <w:color w:val="000000" w:themeColor="text1"/>
          <w:sz w:val="24"/>
          <w:szCs w:val="24"/>
        </w:rPr>
        <w:t xml:space="preserve">razones o motivos de inconformidad hechos valer </w:t>
      </w:r>
      <w:r w:rsidRPr="00BE3318">
        <w:rPr>
          <w:rFonts w:ascii="Palatino Linotype" w:eastAsia="Calibri" w:hAnsi="Palatino Linotype" w:cs="Arial"/>
          <w:color w:val="000000" w:themeColor="text1"/>
          <w:sz w:val="24"/>
          <w:szCs w:val="24"/>
        </w:rPr>
        <w:t xml:space="preserve">en el recurso de revisión </w:t>
      </w:r>
      <w:r w:rsidRPr="00BE3318">
        <w:rPr>
          <w:rFonts w:ascii="Palatino Linotype" w:hAnsi="Palatino Linotype"/>
          <w:b/>
          <w:bCs/>
          <w:color w:val="000000" w:themeColor="text1"/>
          <w:sz w:val="24"/>
          <w:szCs w:val="24"/>
        </w:rPr>
        <w:t xml:space="preserve"> 03273/INFOEM/IP/RR/2025 </w:t>
      </w:r>
      <w:r w:rsidRPr="00BE3318">
        <w:rPr>
          <w:rFonts w:ascii="Palatino Linotype" w:hAnsi="Palatino Linotype"/>
          <w:color w:val="000000" w:themeColor="text1"/>
          <w:sz w:val="24"/>
          <w:szCs w:val="24"/>
        </w:rPr>
        <w:t>en términos de los</w:t>
      </w:r>
      <w:r w:rsidRPr="00BE3318">
        <w:rPr>
          <w:rFonts w:ascii="Palatino Linotype" w:hAnsi="Palatino Linotype"/>
          <w:b/>
          <w:bCs/>
          <w:color w:val="000000" w:themeColor="text1"/>
          <w:sz w:val="24"/>
          <w:szCs w:val="24"/>
        </w:rPr>
        <w:t xml:space="preserve"> Considerandos</w:t>
      </w:r>
      <w:r w:rsidRPr="00BE3318">
        <w:rPr>
          <w:rFonts w:ascii="Palatino Linotype" w:hAnsi="Palatino Linotype"/>
          <w:color w:val="000000" w:themeColor="text1"/>
          <w:sz w:val="24"/>
          <w:szCs w:val="24"/>
        </w:rPr>
        <w:t xml:space="preserve"> </w:t>
      </w:r>
      <w:r w:rsidRPr="00BE3318">
        <w:rPr>
          <w:rFonts w:ascii="Palatino Linotype" w:hAnsi="Palatino Linotype"/>
          <w:b/>
          <w:color w:val="000000" w:themeColor="text1"/>
          <w:sz w:val="24"/>
          <w:szCs w:val="24"/>
        </w:rPr>
        <w:t>CUARTO</w:t>
      </w:r>
      <w:r w:rsidRPr="00BE3318">
        <w:rPr>
          <w:rFonts w:ascii="Palatino Linotype" w:hAnsi="Palatino Linotype"/>
          <w:color w:val="000000" w:themeColor="text1"/>
          <w:sz w:val="24"/>
          <w:szCs w:val="24"/>
        </w:rPr>
        <w:t xml:space="preserve"> y </w:t>
      </w:r>
      <w:r w:rsidRPr="00BE3318">
        <w:rPr>
          <w:rFonts w:ascii="Palatino Linotype" w:hAnsi="Palatino Linotype"/>
          <w:b/>
          <w:color w:val="000000" w:themeColor="text1"/>
          <w:sz w:val="24"/>
          <w:szCs w:val="24"/>
        </w:rPr>
        <w:t>QUINTO</w:t>
      </w:r>
      <w:r w:rsidRPr="00BE3318">
        <w:rPr>
          <w:rFonts w:ascii="Palatino Linotype" w:hAnsi="Palatino Linotype"/>
          <w:color w:val="000000" w:themeColor="text1"/>
          <w:sz w:val="24"/>
          <w:szCs w:val="24"/>
        </w:rPr>
        <w:t xml:space="preserve"> de la presente resolución.</w:t>
      </w:r>
    </w:p>
    <w:p w14:paraId="6DBCDFD5" w14:textId="77777777" w:rsidR="009353EA" w:rsidRPr="00BE3318" w:rsidRDefault="009353EA" w:rsidP="00A96522">
      <w:pPr>
        <w:spacing w:line="360" w:lineRule="auto"/>
        <w:contextualSpacing/>
        <w:jc w:val="both"/>
        <w:rPr>
          <w:rFonts w:ascii="Palatino Linotype" w:eastAsia="Calibri" w:hAnsi="Palatino Linotype" w:cs="Arial"/>
          <w:b/>
          <w:bCs/>
          <w:color w:val="000000" w:themeColor="text1"/>
          <w:sz w:val="24"/>
          <w:szCs w:val="24"/>
        </w:rPr>
      </w:pPr>
    </w:p>
    <w:p w14:paraId="01E3E2E6" w14:textId="77777777" w:rsidR="009353EA" w:rsidRPr="00BE3318" w:rsidRDefault="009353EA" w:rsidP="00A96522">
      <w:pPr>
        <w:spacing w:line="360" w:lineRule="auto"/>
        <w:contextualSpacing/>
        <w:jc w:val="both"/>
        <w:rPr>
          <w:rFonts w:ascii="Palatino Linotype" w:hAnsi="Palatino Linotype" w:cs="Arial"/>
          <w:color w:val="000000" w:themeColor="text1"/>
          <w:sz w:val="24"/>
          <w:szCs w:val="24"/>
        </w:rPr>
      </w:pPr>
      <w:r w:rsidRPr="00BE3318">
        <w:rPr>
          <w:rFonts w:ascii="Palatino Linotype" w:eastAsia="Calibri" w:hAnsi="Palatino Linotype" w:cs="Arial"/>
          <w:b/>
          <w:bCs/>
          <w:color w:val="000000" w:themeColor="text1"/>
          <w:sz w:val="24"/>
          <w:szCs w:val="24"/>
        </w:rPr>
        <w:t xml:space="preserve">SEGUNDO. </w:t>
      </w:r>
      <w:r w:rsidRPr="00BE3318">
        <w:rPr>
          <w:rFonts w:ascii="Palatino Linotype" w:eastAsia="Calibri" w:hAnsi="Palatino Linotype" w:cs="Arial"/>
          <w:color w:val="000000" w:themeColor="text1"/>
          <w:sz w:val="24"/>
          <w:szCs w:val="24"/>
        </w:rPr>
        <w:t xml:space="preserve">Se </w:t>
      </w:r>
      <w:r w:rsidRPr="00BE3318">
        <w:rPr>
          <w:rFonts w:ascii="Palatino Linotype" w:eastAsia="Calibri" w:hAnsi="Palatino Linotype" w:cs="Arial"/>
          <w:b/>
          <w:color w:val="000000" w:themeColor="text1"/>
          <w:sz w:val="24"/>
          <w:szCs w:val="24"/>
        </w:rPr>
        <w:t>MODIFICA</w:t>
      </w:r>
      <w:r w:rsidRPr="00BE3318">
        <w:rPr>
          <w:rFonts w:ascii="Palatino Linotype" w:eastAsia="Calibri" w:hAnsi="Palatino Linotype" w:cs="Arial"/>
          <w:color w:val="000000" w:themeColor="text1"/>
          <w:sz w:val="24"/>
          <w:szCs w:val="24"/>
        </w:rPr>
        <w:t xml:space="preserve"> la respuesta emitida por el </w:t>
      </w:r>
      <w:r w:rsidRPr="00BE3318">
        <w:rPr>
          <w:rFonts w:ascii="Palatino Linotype" w:eastAsia="Calibri" w:hAnsi="Palatino Linotype" w:cs="Arial"/>
          <w:b/>
          <w:color w:val="000000" w:themeColor="text1"/>
          <w:sz w:val="24"/>
          <w:szCs w:val="24"/>
        </w:rPr>
        <w:t>Ayuntamiento de Toluca</w:t>
      </w:r>
      <w:r w:rsidRPr="00BE3318">
        <w:rPr>
          <w:rFonts w:ascii="Palatino Linotype" w:eastAsia="Calibri" w:hAnsi="Palatino Linotype" w:cs="Arial"/>
          <w:bCs/>
          <w:color w:val="000000" w:themeColor="text1"/>
          <w:sz w:val="24"/>
          <w:szCs w:val="24"/>
        </w:rPr>
        <w:t xml:space="preserve"> a la solicitud </w:t>
      </w:r>
      <w:r w:rsidRPr="00BE3318">
        <w:rPr>
          <w:rFonts w:ascii="Palatino Linotype" w:eastAsia="MS Mincho" w:hAnsi="Palatino Linotype" w:cstheme="majorBidi"/>
          <w:b/>
          <w:bCs/>
          <w:color w:val="000000" w:themeColor="text1"/>
          <w:sz w:val="24"/>
          <w:szCs w:val="24"/>
        </w:rPr>
        <w:t xml:space="preserve">01076/TOLUCA/IP/2025 </w:t>
      </w:r>
      <w:r w:rsidRPr="00BE3318">
        <w:rPr>
          <w:rFonts w:ascii="Palatino Linotype" w:eastAsia="Calibri" w:hAnsi="Palatino Linotype" w:cs="Arial"/>
          <w:color w:val="000000" w:themeColor="text1"/>
          <w:sz w:val="24"/>
          <w:szCs w:val="24"/>
        </w:rPr>
        <w:t xml:space="preserve">y se </w:t>
      </w:r>
      <w:r w:rsidRPr="00BE3318">
        <w:rPr>
          <w:rFonts w:ascii="Palatino Linotype" w:eastAsia="Calibri" w:hAnsi="Palatino Linotype" w:cs="Arial"/>
          <w:b/>
          <w:color w:val="000000" w:themeColor="text1"/>
          <w:sz w:val="24"/>
          <w:szCs w:val="24"/>
        </w:rPr>
        <w:t xml:space="preserve">ORDENA </w:t>
      </w:r>
      <w:r w:rsidRPr="00BE3318">
        <w:rPr>
          <w:rFonts w:ascii="Palatino Linotype" w:eastAsia="Calibri" w:hAnsi="Palatino Linotype" w:cs="Arial"/>
          <w:color w:val="000000" w:themeColor="text1"/>
          <w:sz w:val="24"/>
          <w:szCs w:val="24"/>
        </w:rPr>
        <w:t xml:space="preserve">entregar, </w:t>
      </w:r>
      <w:bookmarkStart w:id="14" w:name="_Toc460947013"/>
      <w:r w:rsidRPr="00BE3318">
        <w:rPr>
          <w:rFonts w:ascii="Palatino Linotype" w:eastAsia="Calibri" w:hAnsi="Palatino Linotype" w:cs="Arial"/>
          <w:color w:val="000000" w:themeColor="text1"/>
          <w:sz w:val="24"/>
          <w:szCs w:val="24"/>
        </w:rPr>
        <w:t>vía Sistema de Acceso a la Información Pública Mexiquense (SAIMEX)</w:t>
      </w:r>
      <w:r w:rsidRPr="00BE3318">
        <w:rPr>
          <w:rFonts w:ascii="Palatino Linotype" w:hAnsi="Palatino Linotype" w:cs="Arial"/>
          <w:color w:val="000000" w:themeColor="text1"/>
          <w:sz w:val="24"/>
          <w:szCs w:val="24"/>
        </w:rPr>
        <w:t xml:space="preserve">, en versión pública de ser procedente, la siguiente información: </w:t>
      </w:r>
    </w:p>
    <w:p w14:paraId="1E84300E" w14:textId="77777777" w:rsidR="00354573" w:rsidRPr="00BE3318" w:rsidRDefault="00E157D9" w:rsidP="00A96522">
      <w:pPr>
        <w:pStyle w:val="Prrafodelista"/>
        <w:numPr>
          <w:ilvl w:val="0"/>
          <w:numId w:val="22"/>
        </w:numPr>
        <w:tabs>
          <w:tab w:val="left" w:pos="426"/>
        </w:tabs>
        <w:spacing w:before="240" w:after="240" w:line="276" w:lineRule="auto"/>
        <w:ind w:left="0" w:firstLine="0"/>
        <w:jc w:val="both"/>
        <w:rPr>
          <w:rFonts w:ascii="Palatino Linotype" w:hAnsi="Palatino Linotype"/>
          <w:b/>
          <w:color w:val="000000" w:themeColor="text1"/>
          <w:sz w:val="24"/>
        </w:rPr>
      </w:pPr>
      <w:r w:rsidRPr="00BE3318">
        <w:rPr>
          <w:rFonts w:ascii="Palatino Linotype" w:hAnsi="Palatino Linotype"/>
          <w:b/>
          <w:color w:val="000000" w:themeColor="text1"/>
          <w:sz w:val="24"/>
        </w:rPr>
        <w:lastRenderedPageBreak/>
        <w:t xml:space="preserve">Expediente </w:t>
      </w:r>
      <w:r w:rsidR="00354573" w:rsidRPr="00BE3318">
        <w:rPr>
          <w:rFonts w:ascii="Palatino Linotype" w:hAnsi="Palatino Linotype"/>
          <w:b/>
          <w:color w:val="000000" w:themeColor="text1"/>
          <w:sz w:val="24"/>
        </w:rPr>
        <w:t>de la Titula</w:t>
      </w:r>
      <w:r w:rsidR="0081579E" w:rsidRPr="00BE3318">
        <w:rPr>
          <w:rFonts w:ascii="Palatino Linotype" w:hAnsi="Palatino Linotype"/>
          <w:b/>
          <w:color w:val="000000" w:themeColor="text1"/>
          <w:sz w:val="24"/>
        </w:rPr>
        <w:t>r del Órgano Interno de Control,</w:t>
      </w:r>
      <w:r w:rsidR="00354573" w:rsidRPr="00BE3318">
        <w:rPr>
          <w:rFonts w:ascii="Palatino Linotype" w:hAnsi="Palatino Linotype"/>
          <w:b/>
          <w:color w:val="000000" w:themeColor="text1"/>
          <w:sz w:val="24"/>
        </w:rPr>
        <w:t xml:space="preserve"> al veintiuno de febrero de dos mil veinticinco, en versión pública.</w:t>
      </w:r>
    </w:p>
    <w:p w14:paraId="503439CA" w14:textId="77777777" w:rsidR="0081579E" w:rsidRPr="00BE3318" w:rsidRDefault="0081579E" w:rsidP="00A96522">
      <w:pPr>
        <w:pStyle w:val="Prrafodelista"/>
        <w:tabs>
          <w:tab w:val="left" w:pos="426"/>
        </w:tabs>
        <w:spacing w:before="240" w:after="240" w:line="276" w:lineRule="auto"/>
        <w:ind w:left="0"/>
        <w:jc w:val="both"/>
        <w:rPr>
          <w:rFonts w:ascii="Palatino Linotype" w:hAnsi="Palatino Linotype"/>
          <w:b/>
          <w:color w:val="000000" w:themeColor="text1"/>
          <w:sz w:val="24"/>
        </w:rPr>
      </w:pPr>
    </w:p>
    <w:p w14:paraId="7E99EDC5" w14:textId="57CD1248" w:rsidR="00354573" w:rsidRPr="00BE3318" w:rsidRDefault="00354573" w:rsidP="00A96522">
      <w:pPr>
        <w:pStyle w:val="Prrafodelista"/>
        <w:numPr>
          <w:ilvl w:val="0"/>
          <w:numId w:val="22"/>
        </w:numPr>
        <w:tabs>
          <w:tab w:val="left" w:pos="426"/>
        </w:tabs>
        <w:spacing w:before="240" w:after="240" w:line="276" w:lineRule="auto"/>
        <w:ind w:left="0" w:firstLine="0"/>
        <w:jc w:val="both"/>
        <w:rPr>
          <w:rFonts w:ascii="Palatino Linotype" w:hAnsi="Palatino Linotype"/>
          <w:b/>
          <w:color w:val="000000" w:themeColor="text1"/>
          <w:sz w:val="24"/>
        </w:rPr>
      </w:pPr>
      <w:r w:rsidRPr="00BE3318">
        <w:rPr>
          <w:rFonts w:ascii="Palatino Linotype" w:hAnsi="Palatino Linotype"/>
          <w:b/>
          <w:color w:val="000000" w:themeColor="text1"/>
          <w:sz w:val="24"/>
          <w:lang w:val="es-ES"/>
        </w:rPr>
        <w:t xml:space="preserve">El </w:t>
      </w:r>
      <w:r w:rsidRPr="00BE3318">
        <w:rPr>
          <w:rFonts w:ascii="Palatino Linotype" w:hAnsi="Palatino Linotype"/>
          <w:b/>
          <w:color w:val="000000" w:themeColor="text1"/>
          <w:sz w:val="24"/>
        </w:rPr>
        <w:t>acuerdo de clasificación emitido por el Comité de Transparencia, en donde de manera fundada y motivada, a través de una prueba de daño, confirme la clasificación como reservada, los expedientes de las personas participantes en</w:t>
      </w:r>
      <w:r w:rsidRPr="00BE3318">
        <w:rPr>
          <w:rFonts w:ascii="Palatino Linotype" w:eastAsia="Palatino Linotype" w:hAnsi="Palatino Linotype" w:cs="Palatino Linotype"/>
          <w:b/>
          <w:color w:val="000000" w:themeColor="text1"/>
          <w:sz w:val="24"/>
        </w:rPr>
        <w:t xml:space="preserve"> la </w:t>
      </w:r>
      <w:r w:rsidRPr="00BE3318">
        <w:rPr>
          <w:rFonts w:ascii="Palatino Linotype" w:hAnsi="Palatino Linotype"/>
          <w:b/>
          <w:color w:val="000000" w:themeColor="text1"/>
          <w:sz w:val="24"/>
        </w:rPr>
        <w:t xml:space="preserve">Convocatoria a la Primera Sesión de Cabildo Abierto y </w:t>
      </w:r>
      <w:r w:rsidRPr="00BE3318">
        <w:rPr>
          <w:rFonts w:ascii="Palatino Linotype" w:eastAsia="Palatino Linotype" w:hAnsi="Palatino Linotype" w:cs="Palatino Linotype"/>
          <w:b/>
          <w:color w:val="000000" w:themeColor="text1"/>
          <w:sz w:val="24"/>
        </w:rPr>
        <w:t>Convocatoria para Participación en el Proceso de Selección y Designación de la Persona Titular del órgano Interno de Control</w:t>
      </w:r>
      <w:r w:rsidRPr="00BE3318">
        <w:rPr>
          <w:rFonts w:ascii="Palatino Linotype" w:hAnsi="Palatino Linotype"/>
          <w:b/>
          <w:color w:val="000000" w:themeColor="text1"/>
          <w:sz w:val="24"/>
        </w:rPr>
        <w:t xml:space="preserve"> en términos del artículo 140, fracción VII, de la Ley de Transparencia y Acceso a la Información Pública del Estado de México y Municipios. </w:t>
      </w:r>
    </w:p>
    <w:p w14:paraId="72439447" w14:textId="77777777" w:rsidR="0081579E" w:rsidRPr="00BE3318" w:rsidRDefault="0081579E" w:rsidP="00A96522">
      <w:pPr>
        <w:spacing w:line="360" w:lineRule="auto"/>
        <w:jc w:val="both"/>
        <w:rPr>
          <w:rFonts w:ascii="Palatino Linotype" w:eastAsia="Calibri" w:hAnsi="Palatino Linotype" w:cs="Arial"/>
          <w:color w:val="000000" w:themeColor="text1"/>
          <w:sz w:val="24"/>
          <w:szCs w:val="24"/>
        </w:rPr>
      </w:pPr>
      <w:r w:rsidRPr="00BE3318">
        <w:rPr>
          <w:rFonts w:ascii="Palatino Linotype" w:eastAsia="Calibri" w:hAnsi="Palatino Linotype" w:cs="Arial"/>
          <w:color w:val="000000" w:themeColor="text1"/>
          <w:sz w:val="24"/>
          <w:szCs w:val="24"/>
        </w:rPr>
        <w:t xml:space="preserve">Para efectos del inciso a) se deberá emitir el Acuerdo del Comité de Transparencia en términos de los artículos 49, fracción VIII y 132, fracción II de la Ley de Transparencia y Acceso a la Información Pública del Estado de México y Municipios, en el que funde y motive las razones sobre los datos y documentos  que se supriman o eliminen dentro del soporte documental respectivo objeto de las versiones públicas que se formulen y se pongan a disposición de </w:t>
      </w:r>
      <w:r w:rsidRPr="00BE3318">
        <w:rPr>
          <w:rFonts w:ascii="Palatino Linotype" w:eastAsia="Calibri" w:hAnsi="Palatino Linotype" w:cs="Arial"/>
          <w:b/>
          <w:color w:val="000000" w:themeColor="text1"/>
          <w:sz w:val="24"/>
          <w:szCs w:val="24"/>
        </w:rPr>
        <w:t>EL RECURRENTE</w:t>
      </w:r>
      <w:r w:rsidRPr="00BE3318">
        <w:rPr>
          <w:rFonts w:ascii="Palatino Linotype" w:eastAsia="Calibri" w:hAnsi="Palatino Linotype" w:cs="Arial"/>
          <w:color w:val="000000" w:themeColor="text1"/>
          <w:sz w:val="24"/>
          <w:szCs w:val="24"/>
        </w:rPr>
        <w:t>.</w:t>
      </w:r>
    </w:p>
    <w:p w14:paraId="259C4F6C" w14:textId="77777777" w:rsidR="009353EA" w:rsidRPr="00BE3318" w:rsidRDefault="009353EA" w:rsidP="00A96522">
      <w:pPr>
        <w:tabs>
          <w:tab w:val="left" w:pos="993"/>
        </w:tabs>
        <w:spacing w:line="360" w:lineRule="auto"/>
        <w:jc w:val="both"/>
        <w:rPr>
          <w:rFonts w:ascii="Palatino Linotype" w:eastAsia="Calibri" w:hAnsi="Palatino Linotype" w:cs="Arial"/>
          <w:color w:val="000000" w:themeColor="text1"/>
          <w:sz w:val="24"/>
          <w:szCs w:val="24"/>
        </w:rPr>
      </w:pPr>
    </w:p>
    <w:p w14:paraId="789F9DCD" w14:textId="77777777" w:rsidR="009353EA" w:rsidRPr="00BE3318" w:rsidRDefault="009353EA" w:rsidP="00A96522">
      <w:pPr>
        <w:spacing w:line="360" w:lineRule="auto"/>
        <w:jc w:val="both"/>
        <w:rPr>
          <w:rFonts w:ascii="Palatino Linotype" w:eastAsia="MS Mincho" w:hAnsi="Palatino Linotype"/>
          <w:color w:val="000000" w:themeColor="text1"/>
          <w:sz w:val="24"/>
          <w:szCs w:val="24"/>
        </w:rPr>
      </w:pPr>
      <w:r w:rsidRPr="00BE3318">
        <w:rPr>
          <w:rFonts w:ascii="Palatino Linotype" w:eastAsia="MS Mincho" w:hAnsi="Palatino Linotype"/>
          <w:b/>
          <w:color w:val="000000" w:themeColor="text1"/>
          <w:sz w:val="24"/>
          <w:szCs w:val="24"/>
        </w:rPr>
        <w:t>TERCERO.</w:t>
      </w:r>
      <w:r w:rsidRPr="00BE3318">
        <w:rPr>
          <w:rFonts w:ascii="Palatino Linotype" w:eastAsia="MS Mincho" w:hAnsi="Palatino Linotype"/>
          <w:color w:val="000000" w:themeColor="text1"/>
          <w:sz w:val="24"/>
          <w:szCs w:val="24"/>
        </w:rPr>
        <w:t xml:space="preserve"> Notifíquese a la </w:t>
      </w:r>
      <w:r w:rsidRPr="00BE3318">
        <w:rPr>
          <w:rFonts w:ascii="Palatino Linotype" w:hAnsi="Palatino Linotype" w:cs="Arial"/>
          <w:color w:val="000000" w:themeColor="text1"/>
          <w:sz w:val="24"/>
          <w:szCs w:val="24"/>
        </w:rPr>
        <w:t xml:space="preserve">Titular de la Unidad de Transparencia del </w:t>
      </w:r>
      <w:r w:rsidRPr="00BE3318">
        <w:rPr>
          <w:rFonts w:ascii="Palatino Linotype" w:hAnsi="Palatino Linotype" w:cs="Arial"/>
          <w:b/>
          <w:bCs/>
          <w:color w:val="000000" w:themeColor="text1"/>
          <w:sz w:val="24"/>
          <w:szCs w:val="24"/>
        </w:rPr>
        <w:t>SUJETO OBLIGADO</w:t>
      </w:r>
      <w:r w:rsidRPr="00BE3318">
        <w:rPr>
          <w:rFonts w:ascii="Palatino Linotype" w:hAnsi="Palatino Linotype" w:cs="Arial"/>
          <w:color w:val="000000" w:themeColor="text1"/>
          <w:sz w:val="24"/>
          <w:szCs w:val="24"/>
        </w:rPr>
        <w:t xml:space="preserve">, vía SAIMEX, la presente resolución, para que conforme al artículo 186 último párrafo, 189 segundo párrafo y 194 de la Ley de Transparencia y Acceso a la Información Pública del Estado de México y Municipios </w:t>
      </w:r>
      <w:r w:rsidRPr="00BE3318">
        <w:rPr>
          <w:rFonts w:ascii="Palatino Linotype" w:hAnsi="Palatino Linotype" w:cs="Arial"/>
          <w:b/>
          <w:color w:val="000000" w:themeColor="text1"/>
          <w:sz w:val="24"/>
          <w:szCs w:val="24"/>
        </w:rPr>
        <w:t>dé cumplimiento a lo ordenado dentro del plazo de diez días hábiles</w:t>
      </w:r>
      <w:r w:rsidRPr="00BE3318">
        <w:rPr>
          <w:rFonts w:ascii="Palatino Linotype" w:hAnsi="Palatino Linotype" w:cs="Arial"/>
          <w:color w:val="000000" w:themeColor="text1"/>
          <w:sz w:val="24"/>
          <w:szCs w:val="24"/>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w:t>
      </w:r>
      <w:r w:rsidRPr="00BE3318">
        <w:rPr>
          <w:rFonts w:ascii="Palatino Linotype" w:hAnsi="Palatino Linotype" w:cs="Arial"/>
          <w:color w:val="000000" w:themeColor="text1"/>
          <w:sz w:val="24"/>
          <w:szCs w:val="24"/>
        </w:rPr>
        <w:lastRenderedPageBreak/>
        <w:t>de conformidad con lo previsto en los artículos 198, 200, fracción III; 214, 215 y 216 de la Ley de Transparencia y Acceso a la Información Pública del Estado de México y Municipios</w:t>
      </w:r>
      <w:r w:rsidRPr="00BE3318">
        <w:rPr>
          <w:rFonts w:ascii="Palatino Linotype" w:eastAsia="MS Mincho" w:hAnsi="Palatino Linotype"/>
          <w:color w:val="000000" w:themeColor="text1"/>
          <w:sz w:val="24"/>
          <w:szCs w:val="24"/>
        </w:rPr>
        <w:t>.</w:t>
      </w:r>
    </w:p>
    <w:p w14:paraId="1E75AAD3" w14:textId="77777777" w:rsidR="009353EA" w:rsidRPr="00BE3318" w:rsidRDefault="009353EA" w:rsidP="00A96522">
      <w:pPr>
        <w:spacing w:line="360" w:lineRule="auto"/>
        <w:jc w:val="both"/>
        <w:rPr>
          <w:rFonts w:ascii="Palatino Linotype" w:eastAsia="MS Mincho" w:hAnsi="Palatino Linotype"/>
          <w:color w:val="000000" w:themeColor="text1"/>
          <w:sz w:val="24"/>
          <w:szCs w:val="24"/>
        </w:rPr>
      </w:pPr>
    </w:p>
    <w:p w14:paraId="2327231E" w14:textId="77777777" w:rsidR="009353EA" w:rsidRPr="00BE3318" w:rsidRDefault="009353EA" w:rsidP="00A96522">
      <w:pPr>
        <w:spacing w:line="360" w:lineRule="auto"/>
        <w:jc w:val="both"/>
        <w:rPr>
          <w:rFonts w:ascii="Palatino Linotype" w:eastAsia="MS Mincho" w:hAnsi="Palatino Linotype"/>
          <w:color w:val="000000" w:themeColor="text1"/>
          <w:sz w:val="24"/>
          <w:szCs w:val="24"/>
        </w:rPr>
      </w:pPr>
      <w:r w:rsidRPr="00BE3318">
        <w:rPr>
          <w:rFonts w:ascii="Palatino Linotype" w:eastAsia="MS Mincho" w:hAnsi="Palatino Linotype"/>
          <w:b/>
          <w:bCs/>
          <w:color w:val="000000" w:themeColor="text1"/>
          <w:sz w:val="24"/>
          <w:szCs w:val="24"/>
        </w:rPr>
        <w:t>CUARTO.</w:t>
      </w:r>
      <w:r w:rsidRPr="00BE3318">
        <w:rPr>
          <w:rFonts w:ascii="Palatino Linotype" w:eastAsia="MS Mincho" w:hAnsi="Palatino Linotype"/>
          <w:color w:val="000000" w:themeColor="text1"/>
          <w:sz w:val="24"/>
          <w:szCs w:val="24"/>
        </w:rPr>
        <w:t xml:space="preserve"> De </w:t>
      </w:r>
      <w:r w:rsidRPr="00BE3318">
        <w:rPr>
          <w:rFonts w:ascii="Palatino Linotype" w:eastAsia="MS Mincho" w:hAnsi="Palatino Linotype"/>
          <w:bCs/>
          <w:color w:val="000000" w:themeColor="text1"/>
          <w:sz w:val="24"/>
          <w:szCs w:val="24"/>
        </w:rPr>
        <w:t xml:space="preserve">conformidad con el artículo 198 de la Ley de Transparencia y Acceso a la Información Pública del Estado de México y Municipios, de considerarlo procedente, el </w:t>
      </w:r>
      <w:r w:rsidRPr="00BE3318">
        <w:rPr>
          <w:rFonts w:ascii="Palatino Linotype" w:eastAsia="MS Mincho" w:hAnsi="Palatino Linotype"/>
          <w:b/>
          <w:color w:val="000000" w:themeColor="text1"/>
          <w:sz w:val="24"/>
          <w:szCs w:val="24"/>
        </w:rPr>
        <w:t>SUJETO OBLIGADO,</w:t>
      </w:r>
      <w:r w:rsidRPr="00BE3318">
        <w:rPr>
          <w:rFonts w:ascii="Palatino Linotype" w:eastAsia="MS Mincho" w:hAnsi="Palatino Linotype"/>
          <w:bCs/>
          <w:color w:val="000000" w:themeColor="text1"/>
          <w:sz w:val="24"/>
          <w:szCs w:val="24"/>
        </w:rPr>
        <w:t xml:space="preserve"> de manera fundada y motivada, podrá solicitar una ampliación de plazo para el cumplimiento de la presente resolución.</w:t>
      </w:r>
    </w:p>
    <w:p w14:paraId="2F7AEDCC" w14:textId="77777777" w:rsidR="009353EA" w:rsidRPr="00BE3318" w:rsidRDefault="009353EA" w:rsidP="00A96522">
      <w:pPr>
        <w:spacing w:line="360" w:lineRule="auto"/>
        <w:jc w:val="both"/>
        <w:rPr>
          <w:rFonts w:ascii="Palatino Linotype" w:eastAsia="MS Mincho" w:hAnsi="Palatino Linotype"/>
          <w:color w:val="000000" w:themeColor="text1"/>
          <w:sz w:val="24"/>
          <w:szCs w:val="24"/>
        </w:rPr>
      </w:pPr>
    </w:p>
    <w:p w14:paraId="1A0171EB" w14:textId="7BFB2AE8" w:rsidR="009353EA" w:rsidRPr="00BE3318" w:rsidRDefault="009353EA" w:rsidP="00A96522">
      <w:pPr>
        <w:spacing w:line="360" w:lineRule="auto"/>
        <w:jc w:val="both"/>
        <w:rPr>
          <w:rFonts w:ascii="Palatino Linotype" w:eastAsia="MS Mincho" w:hAnsi="Palatino Linotype"/>
          <w:color w:val="000000" w:themeColor="text1"/>
          <w:sz w:val="24"/>
          <w:szCs w:val="24"/>
        </w:rPr>
      </w:pPr>
      <w:r w:rsidRPr="00BE3318">
        <w:rPr>
          <w:rFonts w:ascii="Palatino Linotype" w:eastAsia="MS Mincho" w:hAnsi="Palatino Linotype"/>
          <w:b/>
          <w:color w:val="000000" w:themeColor="text1"/>
          <w:sz w:val="24"/>
          <w:szCs w:val="24"/>
        </w:rPr>
        <w:t xml:space="preserve">QUINTO. </w:t>
      </w:r>
      <w:r w:rsidRPr="00BE3318">
        <w:rPr>
          <w:rFonts w:ascii="Palatino Linotype" w:eastAsia="MS Mincho" w:hAnsi="Palatino Linotype"/>
          <w:color w:val="000000" w:themeColor="text1"/>
          <w:sz w:val="24"/>
          <w:szCs w:val="24"/>
        </w:rPr>
        <w:t xml:space="preserve">Notifíquese al </w:t>
      </w:r>
      <w:r w:rsidRPr="00BE3318">
        <w:rPr>
          <w:rFonts w:ascii="Palatino Linotype" w:eastAsia="MS Mincho" w:hAnsi="Palatino Linotype"/>
          <w:b/>
          <w:bCs/>
          <w:color w:val="000000" w:themeColor="text1"/>
          <w:sz w:val="24"/>
          <w:szCs w:val="24"/>
        </w:rPr>
        <w:t>RECURRENTE</w:t>
      </w:r>
      <w:r w:rsidRPr="00BE3318">
        <w:rPr>
          <w:rFonts w:ascii="Palatino Linotype" w:eastAsia="MS Mincho" w:hAnsi="Palatino Linotype"/>
          <w:color w:val="000000" w:themeColor="text1"/>
          <w:sz w:val="24"/>
          <w:szCs w:val="24"/>
        </w:rPr>
        <w:t xml:space="preserve"> la presente resolución vía Sistema de Acceso a la Información Mexiquense (SAIMEX).</w:t>
      </w:r>
    </w:p>
    <w:p w14:paraId="447C10CC" w14:textId="77777777" w:rsidR="009353EA" w:rsidRPr="00BE3318" w:rsidRDefault="009353EA" w:rsidP="00A96522">
      <w:pPr>
        <w:spacing w:line="360" w:lineRule="auto"/>
        <w:jc w:val="both"/>
        <w:rPr>
          <w:rFonts w:ascii="Palatino Linotype" w:hAnsi="Palatino Linotype"/>
          <w:b/>
          <w:color w:val="000000" w:themeColor="text1"/>
          <w:sz w:val="24"/>
          <w:szCs w:val="24"/>
        </w:rPr>
      </w:pPr>
    </w:p>
    <w:p w14:paraId="669D4670" w14:textId="308AE06A" w:rsidR="009353EA" w:rsidRPr="00BE3318" w:rsidRDefault="009353EA" w:rsidP="00A96522">
      <w:pPr>
        <w:spacing w:line="360" w:lineRule="auto"/>
        <w:jc w:val="both"/>
        <w:rPr>
          <w:rFonts w:ascii="Palatino Linotype" w:eastAsia="MS Mincho" w:hAnsi="Palatino Linotype"/>
          <w:color w:val="000000" w:themeColor="text1"/>
          <w:sz w:val="24"/>
          <w:szCs w:val="24"/>
        </w:rPr>
      </w:pPr>
      <w:r w:rsidRPr="00BE3318">
        <w:rPr>
          <w:rFonts w:ascii="Palatino Linotype" w:eastAsia="MS Mincho" w:hAnsi="Palatino Linotype"/>
          <w:b/>
          <w:color w:val="000000" w:themeColor="text1"/>
          <w:sz w:val="24"/>
          <w:szCs w:val="24"/>
        </w:rPr>
        <w:t xml:space="preserve">SEXTO. </w:t>
      </w:r>
      <w:r w:rsidRPr="00BE3318">
        <w:rPr>
          <w:rFonts w:ascii="Palatino Linotype" w:eastAsia="MS Mincho" w:hAnsi="Palatino Linotype"/>
          <w:color w:val="000000" w:themeColor="text1"/>
          <w:sz w:val="24"/>
          <w:szCs w:val="24"/>
        </w:rPr>
        <w:t xml:space="preserve">Se </w:t>
      </w:r>
      <w:bookmarkEnd w:id="14"/>
      <w:r w:rsidRPr="00BE3318">
        <w:rPr>
          <w:rFonts w:ascii="Palatino Linotype" w:eastAsia="MS Mincho" w:hAnsi="Palatino Linotype"/>
          <w:color w:val="000000" w:themeColor="text1"/>
          <w:sz w:val="24"/>
          <w:szCs w:val="24"/>
        </w:rPr>
        <w:t>hace del conocimiento del</w:t>
      </w:r>
      <w:r w:rsidRPr="00BE3318">
        <w:rPr>
          <w:rFonts w:ascii="Palatino Linotype" w:eastAsia="MS Mincho" w:hAnsi="Palatino Linotype"/>
          <w:b/>
          <w:color w:val="000000" w:themeColor="text1"/>
          <w:sz w:val="24"/>
          <w:szCs w:val="24"/>
        </w:rPr>
        <w:t xml:space="preserve"> RECURRENTE </w:t>
      </w:r>
      <w:r w:rsidRPr="00BE3318">
        <w:rPr>
          <w:rFonts w:ascii="Palatino Linotype" w:eastAsia="MS Mincho" w:hAnsi="Palatino Linotype"/>
          <w:color w:val="000000" w:themeColor="text1"/>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BE3318">
        <w:rPr>
          <w:rFonts w:ascii="Palatino Linotype" w:eastAsia="MS Mincho" w:hAnsi="Palatino Linotype"/>
          <w:bCs/>
          <w:color w:val="000000" w:themeColor="text1"/>
          <w:sz w:val="24"/>
          <w:szCs w:val="24"/>
        </w:rPr>
        <w:t>vía juicio de amparo</w:t>
      </w:r>
      <w:r w:rsidRPr="00BE3318">
        <w:rPr>
          <w:rFonts w:ascii="Palatino Linotype" w:eastAsia="MS Mincho" w:hAnsi="Palatino Linotype"/>
          <w:color w:val="000000" w:themeColor="text1"/>
          <w:sz w:val="24"/>
          <w:szCs w:val="24"/>
        </w:rPr>
        <w:t xml:space="preserve"> en los términos de las leyes aplicables.</w:t>
      </w:r>
    </w:p>
    <w:p w14:paraId="377BF9D8" w14:textId="77777777" w:rsidR="00A96522" w:rsidRPr="00BE3318" w:rsidRDefault="00A96522" w:rsidP="00A96522">
      <w:pPr>
        <w:spacing w:line="360" w:lineRule="auto"/>
        <w:jc w:val="both"/>
        <w:rPr>
          <w:rFonts w:ascii="Palatino Linotype" w:eastAsia="MS Mincho" w:hAnsi="Palatino Linotype"/>
          <w:color w:val="000000" w:themeColor="text1"/>
          <w:sz w:val="24"/>
          <w:szCs w:val="24"/>
        </w:rPr>
      </w:pPr>
    </w:p>
    <w:p w14:paraId="7D944BB9" w14:textId="764BEE5C" w:rsidR="00A96522" w:rsidRDefault="00A96522" w:rsidP="00A96522">
      <w:pPr>
        <w:spacing w:line="360" w:lineRule="auto"/>
        <w:ind w:right="49"/>
        <w:jc w:val="both"/>
        <w:rPr>
          <w:rFonts w:ascii="Palatino Linotype" w:eastAsia="Palatino Linotype" w:hAnsi="Palatino Linotype" w:cs="Palatino Linotype"/>
          <w:sz w:val="24"/>
          <w:szCs w:val="24"/>
        </w:rPr>
      </w:pPr>
      <w:r w:rsidRPr="00BE3318">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146B45" w:rsidRPr="00BE3318">
        <w:rPr>
          <w:rFonts w:ascii="Palatino Linotype" w:eastAsia="Palatino Linotype" w:hAnsi="Palatino Linotype" w:cs="Palatino Linotype"/>
          <w:sz w:val="24"/>
          <w:szCs w:val="24"/>
        </w:rPr>
        <w:t xml:space="preserve">EMITIENDO VOTO PARTICULAR </w:t>
      </w:r>
      <w:r w:rsidRPr="00BE3318">
        <w:rPr>
          <w:rFonts w:ascii="Palatino Linotype" w:eastAsia="Palatino Linotype" w:hAnsi="Palatino Linotype" w:cs="Palatino Linotype"/>
          <w:sz w:val="24"/>
          <w:szCs w:val="24"/>
        </w:rPr>
        <w:t>Y GUADALUPE RAMÍREZ PEÑA</w:t>
      </w:r>
      <w:r w:rsidR="00146B45" w:rsidRPr="00BE3318">
        <w:rPr>
          <w:rFonts w:ascii="Palatino Linotype" w:eastAsia="Palatino Linotype" w:hAnsi="Palatino Linotype" w:cs="Palatino Linotype"/>
          <w:sz w:val="24"/>
          <w:szCs w:val="24"/>
        </w:rPr>
        <w:t xml:space="preserve"> EMITIENDO VOTO PARTICULAR</w:t>
      </w:r>
      <w:r w:rsidRPr="00BE3318">
        <w:rPr>
          <w:rFonts w:ascii="Palatino Linotype" w:eastAsia="Palatino Linotype" w:hAnsi="Palatino Linotype" w:cs="Palatino Linotype"/>
          <w:sz w:val="24"/>
          <w:szCs w:val="24"/>
        </w:rPr>
        <w:t xml:space="preserve">; EN LA TRIGÉSIMA SEGUNDA SESIÓN ORDINARIA, </w:t>
      </w:r>
      <w:r w:rsidRPr="00BE3318">
        <w:rPr>
          <w:rFonts w:ascii="Palatino Linotype" w:eastAsia="Palatino Linotype" w:hAnsi="Palatino Linotype" w:cs="Palatino Linotype"/>
          <w:sz w:val="24"/>
          <w:szCs w:val="24"/>
        </w:rPr>
        <w:lastRenderedPageBreak/>
        <w:t>CELEBRADA EL DIEZ (10) DE SEPTIEMBRE DE DOS MIL VEINTICINCO, ANTE EL SECRETARIO TÉCNICO DEL PLENO ALEXIS TAPIA RAMÍREZ.</w:t>
      </w:r>
    </w:p>
    <w:p w14:paraId="70446D58" w14:textId="77777777" w:rsidR="00D22B19" w:rsidRDefault="00D22B19" w:rsidP="00A96522">
      <w:pPr>
        <w:spacing w:line="360" w:lineRule="auto"/>
        <w:ind w:right="49"/>
        <w:jc w:val="both"/>
        <w:rPr>
          <w:rFonts w:ascii="Palatino Linotype" w:eastAsia="Palatino Linotype" w:hAnsi="Palatino Linotype" w:cs="Palatino Linotype"/>
          <w:sz w:val="24"/>
          <w:szCs w:val="24"/>
        </w:rPr>
      </w:pPr>
    </w:p>
    <w:p w14:paraId="0C23AB34" w14:textId="77777777" w:rsidR="00D22B19" w:rsidRDefault="00D22B19" w:rsidP="00A96522">
      <w:pPr>
        <w:spacing w:line="360" w:lineRule="auto"/>
        <w:ind w:right="49"/>
        <w:jc w:val="both"/>
        <w:rPr>
          <w:rFonts w:ascii="Palatino Linotype" w:eastAsia="Palatino Linotype" w:hAnsi="Palatino Linotype" w:cs="Palatino Linotype"/>
          <w:sz w:val="24"/>
          <w:szCs w:val="24"/>
        </w:rPr>
      </w:pPr>
    </w:p>
    <w:p w14:paraId="4F6BA276" w14:textId="77777777" w:rsidR="00D22B19" w:rsidRDefault="00D22B19" w:rsidP="00A96522">
      <w:pPr>
        <w:spacing w:line="360" w:lineRule="auto"/>
        <w:ind w:right="49"/>
        <w:jc w:val="both"/>
        <w:rPr>
          <w:rFonts w:ascii="Palatino Linotype" w:eastAsia="Palatino Linotype" w:hAnsi="Palatino Linotype" w:cs="Palatino Linotype"/>
          <w:sz w:val="24"/>
          <w:szCs w:val="24"/>
        </w:rPr>
      </w:pPr>
    </w:p>
    <w:p w14:paraId="6F446806" w14:textId="77777777" w:rsidR="00D22B19" w:rsidRDefault="00D22B19" w:rsidP="00A96522">
      <w:pPr>
        <w:spacing w:line="360" w:lineRule="auto"/>
        <w:ind w:right="49"/>
        <w:jc w:val="both"/>
        <w:rPr>
          <w:rFonts w:ascii="Palatino Linotype" w:eastAsia="Palatino Linotype" w:hAnsi="Palatino Linotype" w:cs="Palatino Linotype"/>
          <w:sz w:val="24"/>
          <w:szCs w:val="24"/>
        </w:rPr>
      </w:pPr>
    </w:p>
    <w:p w14:paraId="2E57A23F" w14:textId="77777777" w:rsidR="00D22B19" w:rsidRDefault="00D22B19" w:rsidP="00A96522">
      <w:pPr>
        <w:spacing w:line="360" w:lineRule="auto"/>
        <w:ind w:right="49"/>
        <w:jc w:val="both"/>
        <w:rPr>
          <w:rFonts w:ascii="Palatino Linotype" w:eastAsia="Palatino Linotype" w:hAnsi="Palatino Linotype" w:cs="Palatino Linotype"/>
          <w:sz w:val="24"/>
          <w:szCs w:val="24"/>
        </w:rPr>
      </w:pPr>
    </w:p>
    <w:p w14:paraId="72F80C4C" w14:textId="77777777" w:rsidR="00D22B19" w:rsidRDefault="00D22B19" w:rsidP="00A96522">
      <w:pPr>
        <w:spacing w:line="360" w:lineRule="auto"/>
        <w:ind w:right="49"/>
        <w:jc w:val="both"/>
        <w:rPr>
          <w:rFonts w:ascii="Palatino Linotype" w:eastAsia="Palatino Linotype" w:hAnsi="Palatino Linotype" w:cs="Palatino Linotype"/>
          <w:sz w:val="24"/>
          <w:szCs w:val="24"/>
        </w:rPr>
      </w:pPr>
    </w:p>
    <w:p w14:paraId="30FCAF67" w14:textId="77777777" w:rsidR="00D22B19" w:rsidRDefault="00D22B19" w:rsidP="00A96522">
      <w:pPr>
        <w:spacing w:line="360" w:lineRule="auto"/>
        <w:ind w:right="49"/>
        <w:jc w:val="both"/>
        <w:rPr>
          <w:rFonts w:ascii="Palatino Linotype" w:eastAsia="Palatino Linotype" w:hAnsi="Palatino Linotype" w:cs="Palatino Linotype"/>
          <w:sz w:val="24"/>
          <w:szCs w:val="24"/>
        </w:rPr>
      </w:pPr>
    </w:p>
    <w:p w14:paraId="68E1DC8E" w14:textId="77777777" w:rsidR="00D22B19" w:rsidRDefault="00D22B19" w:rsidP="00A96522">
      <w:pPr>
        <w:spacing w:line="360" w:lineRule="auto"/>
        <w:ind w:right="49"/>
        <w:jc w:val="both"/>
        <w:rPr>
          <w:rFonts w:ascii="Palatino Linotype" w:eastAsia="Palatino Linotype" w:hAnsi="Palatino Linotype" w:cs="Palatino Linotype"/>
          <w:sz w:val="24"/>
          <w:szCs w:val="24"/>
        </w:rPr>
      </w:pPr>
    </w:p>
    <w:p w14:paraId="3BD72122" w14:textId="77777777" w:rsidR="00D22B19" w:rsidRDefault="00D22B19" w:rsidP="00A96522">
      <w:pPr>
        <w:spacing w:line="360" w:lineRule="auto"/>
        <w:ind w:right="49"/>
        <w:jc w:val="both"/>
        <w:rPr>
          <w:rFonts w:ascii="Palatino Linotype" w:eastAsia="Palatino Linotype" w:hAnsi="Palatino Linotype" w:cs="Palatino Linotype"/>
          <w:sz w:val="24"/>
          <w:szCs w:val="24"/>
        </w:rPr>
      </w:pPr>
    </w:p>
    <w:p w14:paraId="471EDE42" w14:textId="77777777" w:rsidR="00D22B19" w:rsidRDefault="00D22B19" w:rsidP="00A96522">
      <w:pPr>
        <w:spacing w:line="360" w:lineRule="auto"/>
        <w:ind w:right="49"/>
        <w:jc w:val="both"/>
        <w:rPr>
          <w:rFonts w:ascii="Palatino Linotype" w:eastAsia="Palatino Linotype" w:hAnsi="Palatino Linotype" w:cs="Palatino Linotype"/>
          <w:sz w:val="24"/>
          <w:szCs w:val="24"/>
        </w:rPr>
      </w:pPr>
    </w:p>
    <w:p w14:paraId="064159B4" w14:textId="77777777" w:rsidR="00D22B19" w:rsidRDefault="00D22B19" w:rsidP="00A96522">
      <w:pPr>
        <w:spacing w:line="360" w:lineRule="auto"/>
        <w:ind w:right="49"/>
        <w:jc w:val="both"/>
        <w:rPr>
          <w:rFonts w:ascii="Palatino Linotype" w:eastAsia="Palatino Linotype" w:hAnsi="Palatino Linotype" w:cs="Palatino Linotype"/>
          <w:sz w:val="24"/>
          <w:szCs w:val="24"/>
        </w:rPr>
      </w:pPr>
    </w:p>
    <w:p w14:paraId="141B0C0F" w14:textId="77777777" w:rsidR="00D22B19" w:rsidRDefault="00D22B19" w:rsidP="00A96522">
      <w:pPr>
        <w:spacing w:line="360" w:lineRule="auto"/>
        <w:ind w:right="49"/>
        <w:jc w:val="both"/>
        <w:rPr>
          <w:rFonts w:ascii="Palatino Linotype" w:eastAsia="Palatino Linotype" w:hAnsi="Palatino Linotype" w:cs="Palatino Linotype"/>
          <w:sz w:val="24"/>
          <w:szCs w:val="24"/>
        </w:rPr>
      </w:pPr>
    </w:p>
    <w:p w14:paraId="6CAA61BB" w14:textId="77777777" w:rsidR="00D22B19" w:rsidRDefault="00D22B19" w:rsidP="00A96522">
      <w:pPr>
        <w:spacing w:line="360" w:lineRule="auto"/>
        <w:ind w:right="49"/>
        <w:jc w:val="both"/>
        <w:rPr>
          <w:rFonts w:ascii="Palatino Linotype" w:eastAsia="Palatino Linotype" w:hAnsi="Palatino Linotype" w:cs="Palatino Linotype"/>
          <w:sz w:val="24"/>
          <w:szCs w:val="24"/>
        </w:rPr>
      </w:pPr>
    </w:p>
    <w:p w14:paraId="5F742B4F" w14:textId="77777777" w:rsidR="00D22B19" w:rsidRDefault="00D22B19" w:rsidP="00A96522">
      <w:pPr>
        <w:spacing w:line="360" w:lineRule="auto"/>
        <w:ind w:right="49"/>
        <w:jc w:val="both"/>
        <w:rPr>
          <w:rFonts w:ascii="Palatino Linotype" w:eastAsia="Palatino Linotype" w:hAnsi="Palatino Linotype" w:cs="Palatino Linotype"/>
          <w:sz w:val="24"/>
          <w:szCs w:val="24"/>
        </w:rPr>
      </w:pPr>
    </w:p>
    <w:p w14:paraId="06AE5097" w14:textId="77777777" w:rsidR="00D22B19" w:rsidRDefault="00D22B19" w:rsidP="00A96522">
      <w:pPr>
        <w:spacing w:line="360" w:lineRule="auto"/>
        <w:ind w:right="49"/>
        <w:jc w:val="both"/>
        <w:rPr>
          <w:rFonts w:ascii="Palatino Linotype" w:eastAsia="Palatino Linotype" w:hAnsi="Palatino Linotype" w:cs="Palatino Linotype"/>
          <w:sz w:val="24"/>
          <w:szCs w:val="24"/>
        </w:rPr>
      </w:pPr>
    </w:p>
    <w:p w14:paraId="685670FE" w14:textId="77777777" w:rsidR="00D22B19" w:rsidRDefault="00D22B19" w:rsidP="00A96522">
      <w:pPr>
        <w:spacing w:line="360" w:lineRule="auto"/>
        <w:ind w:right="49"/>
        <w:jc w:val="both"/>
        <w:rPr>
          <w:rFonts w:ascii="Palatino Linotype" w:eastAsia="Palatino Linotype" w:hAnsi="Palatino Linotype" w:cs="Palatino Linotype"/>
          <w:sz w:val="24"/>
          <w:szCs w:val="24"/>
        </w:rPr>
      </w:pPr>
    </w:p>
    <w:p w14:paraId="5739ACB2" w14:textId="77777777" w:rsidR="00D22B19" w:rsidRDefault="00D22B19" w:rsidP="00A96522">
      <w:pPr>
        <w:spacing w:line="360" w:lineRule="auto"/>
        <w:ind w:right="49"/>
        <w:jc w:val="both"/>
        <w:rPr>
          <w:rFonts w:ascii="Palatino Linotype" w:eastAsia="Palatino Linotype" w:hAnsi="Palatino Linotype" w:cs="Palatino Linotype"/>
          <w:sz w:val="24"/>
          <w:szCs w:val="24"/>
        </w:rPr>
      </w:pPr>
    </w:p>
    <w:p w14:paraId="5AA2FC22" w14:textId="77777777" w:rsidR="00D22B19" w:rsidRDefault="00D22B19" w:rsidP="00A96522">
      <w:pPr>
        <w:spacing w:line="360" w:lineRule="auto"/>
        <w:ind w:right="49"/>
        <w:jc w:val="both"/>
        <w:rPr>
          <w:rFonts w:ascii="Palatino Linotype" w:eastAsia="Palatino Linotype" w:hAnsi="Palatino Linotype" w:cs="Palatino Linotype"/>
          <w:sz w:val="24"/>
          <w:szCs w:val="24"/>
        </w:rPr>
      </w:pPr>
    </w:p>
    <w:p w14:paraId="39AF8B87" w14:textId="77777777" w:rsidR="00D22B19" w:rsidRDefault="00D22B19" w:rsidP="00A96522">
      <w:pPr>
        <w:spacing w:line="360" w:lineRule="auto"/>
        <w:ind w:right="49"/>
        <w:jc w:val="both"/>
        <w:rPr>
          <w:rFonts w:ascii="Palatino Linotype" w:eastAsia="Palatino Linotype" w:hAnsi="Palatino Linotype" w:cs="Palatino Linotype"/>
          <w:sz w:val="24"/>
          <w:szCs w:val="24"/>
        </w:rPr>
      </w:pPr>
    </w:p>
    <w:p w14:paraId="1E889874" w14:textId="77777777" w:rsidR="00D22B19" w:rsidRPr="00444783" w:rsidRDefault="00D22B19" w:rsidP="00A96522">
      <w:pPr>
        <w:spacing w:line="360" w:lineRule="auto"/>
        <w:ind w:right="49"/>
        <w:jc w:val="both"/>
        <w:rPr>
          <w:rFonts w:ascii="Palatino Linotype" w:eastAsia="Palatino Linotype" w:hAnsi="Palatino Linotype" w:cs="Palatino Linotype"/>
          <w:sz w:val="24"/>
          <w:szCs w:val="24"/>
        </w:rPr>
      </w:pPr>
    </w:p>
    <w:p w14:paraId="491A1BBC" w14:textId="77777777" w:rsidR="003E7D39" w:rsidRPr="00A96522" w:rsidRDefault="003E7D39" w:rsidP="00A96522">
      <w:pPr>
        <w:spacing w:line="360" w:lineRule="auto"/>
        <w:jc w:val="both"/>
        <w:rPr>
          <w:rFonts w:ascii="Palatino Linotype" w:eastAsia="MS Mincho" w:hAnsi="Palatino Linotype" w:cs="Arial"/>
          <w:color w:val="000000" w:themeColor="text1"/>
          <w:sz w:val="24"/>
          <w:szCs w:val="24"/>
        </w:rPr>
      </w:pPr>
    </w:p>
    <w:p w14:paraId="09A6CCBF" w14:textId="77777777" w:rsidR="00901B25" w:rsidRPr="00A96522" w:rsidRDefault="00901B25" w:rsidP="00A96522">
      <w:pPr>
        <w:spacing w:line="360" w:lineRule="auto"/>
        <w:jc w:val="both"/>
        <w:rPr>
          <w:rFonts w:ascii="Palatino Linotype" w:eastAsia="Palatino Linotype" w:hAnsi="Palatino Linotype" w:cs="Palatino Linotype"/>
          <w:color w:val="000000" w:themeColor="text1"/>
          <w:sz w:val="24"/>
          <w:szCs w:val="24"/>
        </w:rPr>
      </w:pPr>
    </w:p>
    <w:p w14:paraId="5F097FDF" w14:textId="77777777" w:rsidR="00901B25" w:rsidRPr="00A96522" w:rsidRDefault="00901B25" w:rsidP="00A96522">
      <w:pPr>
        <w:spacing w:line="360" w:lineRule="auto"/>
        <w:jc w:val="both"/>
        <w:rPr>
          <w:rFonts w:ascii="Palatino Linotype" w:eastAsia="Palatino Linotype" w:hAnsi="Palatino Linotype" w:cs="Palatino Linotype"/>
          <w:color w:val="000000" w:themeColor="text1"/>
          <w:sz w:val="24"/>
          <w:szCs w:val="24"/>
        </w:rPr>
      </w:pPr>
    </w:p>
    <w:p w14:paraId="0A7B689B" w14:textId="77777777" w:rsidR="00ED077A" w:rsidRPr="00A96522" w:rsidRDefault="00ED077A" w:rsidP="00A96522">
      <w:pPr>
        <w:spacing w:line="360" w:lineRule="auto"/>
        <w:jc w:val="both"/>
        <w:rPr>
          <w:rFonts w:ascii="Palatino Linotype" w:eastAsia="Palatino Linotype" w:hAnsi="Palatino Linotype" w:cs="Palatino Linotype"/>
          <w:color w:val="000000" w:themeColor="text1"/>
          <w:sz w:val="24"/>
          <w:szCs w:val="24"/>
        </w:rPr>
      </w:pPr>
    </w:p>
    <w:sectPr w:rsidR="00ED077A" w:rsidRPr="00A96522" w:rsidSect="00B43B8B">
      <w:headerReference w:type="even" r:id="rId21"/>
      <w:headerReference w:type="default" r:id="rId22"/>
      <w:footerReference w:type="default" r:id="rId23"/>
      <w:headerReference w:type="first" r:id="rId24"/>
      <w:footerReference w:type="first" r:id="rId25"/>
      <w:pgSz w:w="12240" w:h="15840"/>
      <w:pgMar w:top="80" w:right="900" w:bottom="1418" w:left="1588" w:header="709"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D9AEFC" w14:textId="77777777" w:rsidR="00652437" w:rsidRDefault="00652437">
      <w:r>
        <w:separator/>
      </w:r>
    </w:p>
  </w:endnote>
  <w:endnote w:type="continuationSeparator" w:id="0">
    <w:p w14:paraId="198F0F4D" w14:textId="77777777" w:rsidR="00652437" w:rsidRDefault="00652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EDCC1" w14:textId="77777777" w:rsidR="00B43B8B" w:rsidRDefault="00B43B8B">
    <w:pPr>
      <w:pBdr>
        <w:top w:val="nil"/>
        <w:left w:val="nil"/>
        <w:bottom w:val="nil"/>
        <w:right w:val="nil"/>
        <w:between w:val="nil"/>
      </w:pBdr>
      <w:tabs>
        <w:tab w:val="center" w:pos="4419"/>
        <w:tab w:val="right" w:pos="8838"/>
      </w:tabs>
      <w:jc w:val="right"/>
      <w:rPr>
        <w:color w:val="000000"/>
      </w:rPr>
    </w:pPr>
  </w:p>
  <w:p w14:paraId="4987B21A" w14:textId="77777777" w:rsidR="00B43B8B" w:rsidRDefault="00B43B8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85CEB">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85CEB">
      <w:rPr>
        <w:b/>
        <w:noProof/>
        <w:color w:val="000000"/>
        <w:sz w:val="24"/>
        <w:szCs w:val="24"/>
      </w:rPr>
      <w:t>52</w:t>
    </w:r>
    <w:r>
      <w:rPr>
        <w:b/>
        <w:color w:val="000000"/>
        <w:sz w:val="24"/>
        <w:szCs w:val="24"/>
      </w:rPr>
      <w:fldChar w:fldCharType="end"/>
    </w:r>
  </w:p>
  <w:p w14:paraId="75C86F0D" w14:textId="77777777" w:rsidR="00B43B8B" w:rsidRDefault="00B43B8B">
    <w:pPr>
      <w:pBdr>
        <w:top w:val="nil"/>
        <w:left w:val="nil"/>
        <w:bottom w:val="nil"/>
        <w:right w:val="nil"/>
        <w:between w:val="nil"/>
      </w:pBdr>
      <w:tabs>
        <w:tab w:val="center" w:pos="4419"/>
        <w:tab w:val="right" w:pos="8838"/>
      </w:tabs>
      <w:rPr>
        <w:color w:val="000000"/>
      </w:rPr>
    </w:pPr>
  </w:p>
  <w:p w14:paraId="25593D3C" w14:textId="77777777" w:rsidR="00B43B8B" w:rsidRDefault="00B43B8B"/>
  <w:p w14:paraId="6B8EF5D8" w14:textId="77777777" w:rsidR="00B43B8B" w:rsidRDefault="00B43B8B"/>
  <w:p w14:paraId="667A5182" w14:textId="77777777" w:rsidR="00B43B8B" w:rsidRDefault="00B43B8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61695" w14:textId="77777777" w:rsidR="00B43B8B" w:rsidRDefault="00B43B8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85CEB">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85CEB">
      <w:rPr>
        <w:b/>
        <w:noProof/>
        <w:color w:val="000000"/>
        <w:sz w:val="24"/>
        <w:szCs w:val="24"/>
      </w:rPr>
      <w:t>52</w:t>
    </w:r>
    <w:r>
      <w:rPr>
        <w:b/>
        <w:color w:val="000000"/>
        <w:sz w:val="24"/>
        <w:szCs w:val="24"/>
      </w:rPr>
      <w:fldChar w:fldCharType="end"/>
    </w:r>
  </w:p>
  <w:p w14:paraId="34AD3DA7" w14:textId="77777777" w:rsidR="00B43B8B" w:rsidRDefault="00B43B8B">
    <w:pPr>
      <w:pBdr>
        <w:top w:val="nil"/>
        <w:left w:val="nil"/>
        <w:bottom w:val="nil"/>
        <w:right w:val="nil"/>
        <w:between w:val="nil"/>
      </w:pBdr>
      <w:tabs>
        <w:tab w:val="center" w:pos="4419"/>
        <w:tab w:val="right" w:pos="8838"/>
      </w:tabs>
      <w:rPr>
        <w:color w:val="000000"/>
      </w:rPr>
    </w:pPr>
  </w:p>
  <w:p w14:paraId="7522FC3E" w14:textId="77777777" w:rsidR="00B43B8B" w:rsidRDefault="00B43B8B"/>
  <w:p w14:paraId="5A33C8CA" w14:textId="77777777" w:rsidR="00B43B8B" w:rsidRDefault="00B43B8B"/>
  <w:p w14:paraId="0FAAC760" w14:textId="77777777" w:rsidR="00B43B8B" w:rsidRDefault="00B43B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B9FC86" w14:textId="77777777" w:rsidR="00652437" w:rsidRDefault="00652437">
      <w:r>
        <w:separator/>
      </w:r>
    </w:p>
  </w:footnote>
  <w:footnote w:type="continuationSeparator" w:id="0">
    <w:p w14:paraId="4A8D4AE4" w14:textId="77777777" w:rsidR="00652437" w:rsidRDefault="00652437">
      <w:r>
        <w:continuationSeparator/>
      </w:r>
    </w:p>
  </w:footnote>
  <w:footnote w:id="1">
    <w:p w14:paraId="58282CFE" w14:textId="77777777" w:rsidR="00B43B8B" w:rsidRDefault="00B43B8B" w:rsidP="00EC538E">
      <w:pPr>
        <w:pBdr>
          <w:top w:val="nil"/>
          <w:left w:val="nil"/>
          <w:bottom w:val="nil"/>
          <w:right w:val="nil"/>
          <w:between w:val="nil"/>
        </w:pBdr>
        <w:rPr>
          <w:color w:val="000000"/>
        </w:rPr>
      </w:pPr>
      <w:r>
        <w:rPr>
          <w:vertAlign w:val="superscript"/>
        </w:rPr>
        <w:footnoteRef/>
      </w:r>
      <w:r>
        <w:rPr>
          <w:rFonts w:ascii="Calibri" w:eastAsia="Calibri" w:hAnsi="Calibri" w:cs="Calibri"/>
          <w:color w:val="000000"/>
        </w:rPr>
        <w:t xml:space="preserve"> http://transparencia.uaemex.mx/pdf/01.infPubOfi/18.traSer/02.secDoc/06.dirConEsc_secr/Guia_Tramites.pdf</w:t>
      </w:r>
    </w:p>
  </w:footnote>
  <w:footnote w:id="2">
    <w:p w14:paraId="1852DFD2" w14:textId="77777777" w:rsidR="00B43B8B" w:rsidRDefault="00B43B8B" w:rsidP="00EC538E">
      <w:pPr>
        <w:pBdr>
          <w:top w:val="nil"/>
          <w:left w:val="nil"/>
          <w:bottom w:val="nil"/>
          <w:right w:val="nil"/>
          <w:between w:val="nil"/>
        </w:pBdr>
        <w:rPr>
          <w:color w:val="000000"/>
        </w:rPr>
      </w:pPr>
      <w:r>
        <w:rPr>
          <w:vertAlign w:val="superscript"/>
        </w:rPr>
        <w:footnoteRef/>
      </w:r>
      <w:r>
        <w:rPr>
          <w:rFonts w:ascii="Calibri" w:eastAsia="Calibri" w:hAnsi="Calibri" w:cs="Calibri"/>
          <w:color w:val="000000"/>
        </w:rPr>
        <w:t xml:space="preserve"> Tomado de: </w:t>
      </w:r>
    </w:p>
    <w:p w14:paraId="3E614312" w14:textId="77777777" w:rsidR="00B43B8B" w:rsidRDefault="00B43B8B" w:rsidP="00EC538E">
      <w:pPr>
        <w:pBdr>
          <w:top w:val="nil"/>
          <w:left w:val="nil"/>
          <w:bottom w:val="nil"/>
          <w:right w:val="nil"/>
          <w:between w:val="nil"/>
        </w:pBdr>
        <w:rPr>
          <w:color w:val="000000"/>
        </w:rPr>
      </w:pPr>
      <w:r>
        <w:rPr>
          <w:rFonts w:ascii="Calibri" w:eastAsia="Calibri" w:hAnsi="Calibri" w:cs="Calibri"/>
          <w:color w:val="000000"/>
        </w:rPr>
        <w:t>http://transparencia.uaemex.mx/pdf/01.infPubOfi/18.traSer/02.secDoc/06.dirConEsc_secr/Guia_Tramites.pdf</w:t>
      </w:r>
    </w:p>
  </w:footnote>
  <w:footnote w:id="3">
    <w:p w14:paraId="3456E3D4" w14:textId="77777777" w:rsidR="00B43B8B" w:rsidRDefault="00B43B8B" w:rsidP="00B32BAC">
      <w:pPr>
        <w:pBdr>
          <w:top w:val="nil"/>
          <w:left w:val="nil"/>
          <w:bottom w:val="nil"/>
          <w:right w:val="nil"/>
          <w:between w:val="nil"/>
        </w:pBdr>
        <w:rPr>
          <w:color w:val="000000"/>
        </w:rPr>
      </w:pPr>
      <w:r>
        <w:rPr>
          <w:vertAlign w:val="superscript"/>
        </w:rPr>
        <w:footnoteRef/>
      </w:r>
      <w:r>
        <w:rPr>
          <w:rFonts w:ascii="Calibri" w:eastAsia="Calibri" w:hAnsi="Calibri" w:cs="Calibri"/>
          <w:color w:val="000000"/>
        </w:rPr>
        <w:t xml:space="preserve"> http://transparencia.uaemex.mx/pdf/01.infPubOfi/18.traSer/02.secDoc/06.dirConEsc_secr/Guia_Tramites.pdf</w:t>
      </w:r>
    </w:p>
  </w:footnote>
  <w:footnote w:id="4">
    <w:p w14:paraId="046F1123" w14:textId="77777777" w:rsidR="00B43B8B" w:rsidRDefault="00B43B8B" w:rsidP="00B32BAC">
      <w:pPr>
        <w:pStyle w:val="Textonotapie"/>
      </w:pPr>
      <w:r w:rsidRPr="00DA740F">
        <w:rPr>
          <w:rStyle w:val="Refdenotaalpie"/>
        </w:rPr>
        <w:footnoteRef/>
      </w:r>
      <w:r>
        <w:t xml:space="preserve"> </w:t>
      </w:r>
      <w:r w:rsidRPr="00DA740F">
        <w:rPr>
          <w:rFonts w:cs="Calibri Light"/>
          <w:sz w:val="16"/>
          <w:szCs w:val="16"/>
        </w:rPr>
        <w:t>En las direcciones https://consultas.curp.gob.mx/CurpSP/html/informacionecurpPS.html y https://www.gob.mx/segob/renapo/acciones-y-programas/clave-unica-de-registro-de-poblacion-curp-142226 (consultadas el nueve de abril de la presente anualidad, a las 10:45 horas).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2A180" w14:textId="77777777" w:rsidR="00B43B8B" w:rsidRDefault="00652437">
    <w:pPr>
      <w:pBdr>
        <w:top w:val="nil"/>
        <w:left w:val="nil"/>
        <w:bottom w:val="nil"/>
        <w:right w:val="nil"/>
        <w:between w:val="nil"/>
      </w:pBdr>
      <w:tabs>
        <w:tab w:val="center" w:pos="4419"/>
        <w:tab w:val="right" w:pos="8838"/>
      </w:tabs>
      <w:rPr>
        <w:color w:val="000000"/>
      </w:rPr>
    </w:pPr>
    <w:r>
      <w:rPr>
        <w:color w:val="000000"/>
      </w:rPr>
      <w:pict w14:anchorId="76BB4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63.5pt;height:12in;z-index:-251657728;mso-position-horizontal:center;mso-position-horizontal-relative:margin;mso-position-vertical:center;mso-position-vertical-relative:margin">
          <v:imagedata r:id="rId1" o:title="image2"/>
          <w10:wrap anchorx="margin" anchory="margin"/>
        </v:shape>
      </w:pict>
    </w:r>
  </w:p>
  <w:p w14:paraId="1B0A88A3" w14:textId="77777777" w:rsidR="00B43B8B" w:rsidRDefault="00B43B8B"/>
  <w:p w14:paraId="7E28A695" w14:textId="77777777" w:rsidR="00B43B8B" w:rsidRDefault="00B43B8B"/>
  <w:p w14:paraId="788BAC5E" w14:textId="77777777" w:rsidR="00B43B8B" w:rsidRDefault="00B43B8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10206" w:type="dxa"/>
      <w:tblInd w:w="0" w:type="dxa"/>
      <w:tblLayout w:type="fixed"/>
      <w:tblLook w:val="0400" w:firstRow="0" w:lastRow="0" w:firstColumn="0" w:lastColumn="0" w:noHBand="0" w:noVBand="1"/>
    </w:tblPr>
    <w:tblGrid>
      <w:gridCol w:w="1843"/>
      <w:gridCol w:w="8363"/>
    </w:tblGrid>
    <w:tr w:rsidR="00B43B8B" w14:paraId="0053DE21" w14:textId="77777777" w:rsidTr="00A96522">
      <w:trPr>
        <w:trHeight w:val="1435"/>
      </w:trPr>
      <w:tc>
        <w:tcPr>
          <w:tcW w:w="1843" w:type="dxa"/>
          <w:shd w:val="clear" w:color="auto" w:fill="auto"/>
        </w:tcPr>
        <w:p w14:paraId="38041431" w14:textId="1155F506" w:rsidR="00B43B8B" w:rsidRDefault="00B43B8B">
          <w:pPr>
            <w:tabs>
              <w:tab w:val="right" w:pos="4273"/>
            </w:tabs>
            <w:rPr>
              <w:rFonts w:ascii="Garamond" w:eastAsia="Garamond" w:hAnsi="Garamond" w:cs="Garamond"/>
              <w:sz w:val="16"/>
              <w:szCs w:val="16"/>
            </w:rPr>
          </w:pPr>
        </w:p>
      </w:tc>
      <w:tc>
        <w:tcPr>
          <w:tcW w:w="8363" w:type="dxa"/>
          <w:shd w:val="clear" w:color="auto" w:fill="auto"/>
        </w:tcPr>
        <w:tbl>
          <w:tblPr>
            <w:tblStyle w:val="a1"/>
            <w:tblW w:w="7221" w:type="dxa"/>
            <w:tblInd w:w="1594" w:type="dxa"/>
            <w:tblBorders>
              <w:top w:val="nil"/>
              <w:left w:val="nil"/>
              <w:bottom w:val="nil"/>
              <w:right w:val="nil"/>
              <w:insideH w:val="nil"/>
              <w:insideV w:val="nil"/>
            </w:tblBorders>
            <w:tblLayout w:type="fixed"/>
            <w:tblLook w:val="0400" w:firstRow="0" w:lastRow="0" w:firstColumn="0" w:lastColumn="0" w:noHBand="0" w:noVBand="1"/>
          </w:tblPr>
          <w:tblGrid>
            <w:gridCol w:w="2969"/>
            <w:gridCol w:w="4252"/>
          </w:tblGrid>
          <w:tr w:rsidR="00B43B8B" w14:paraId="29AC4023" w14:textId="77777777" w:rsidTr="00A96522">
            <w:trPr>
              <w:trHeight w:val="338"/>
            </w:trPr>
            <w:tc>
              <w:tcPr>
                <w:tcW w:w="2969" w:type="dxa"/>
              </w:tcPr>
              <w:p w14:paraId="5C11D6BB" w14:textId="77777777" w:rsidR="00B43B8B" w:rsidRPr="00A96522" w:rsidRDefault="00B43B8B" w:rsidP="00A96522">
                <w:pPr>
                  <w:tabs>
                    <w:tab w:val="right" w:pos="8838"/>
                  </w:tabs>
                  <w:ind w:right="-105"/>
                  <w:rPr>
                    <w:rFonts w:ascii="Palatino Linotype" w:eastAsia="Palatino Linotype" w:hAnsi="Palatino Linotype" w:cs="Palatino Linotype"/>
                    <w:b/>
                    <w:color w:val="000000" w:themeColor="text1"/>
                    <w:sz w:val="24"/>
                    <w:szCs w:val="24"/>
                  </w:rPr>
                </w:pPr>
                <w:r w:rsidRPr="00A96522">
                  <w:rPr>
                    <w:rFonts w:ascii="Palatino Linotype" w:eastAsia="Palatino Linotype" w:hAnsi="Palatino Linotype" w:cs="Palatino Linotype"/>
                    <w:b/>
                    <w:color w:val="000000" w:themeColor="text1"/>
                    <w:sz w:val="24"/>
                    <w:szCs w:val="24"/>
                  </w:rPr>
                  <w:t>Recurso de Revisión:</w:t>
                </w:r>
              </w:p>
            </w:tc>
            <w:tc>
              <w:tcPr>
                <w:tcW w:w="4252" w:type="dxa"/>
              </w:tcPr>
              <w:p w14:paraId="3367A185" w14:textId="77777777" w:rsidR="00B43B8B" w:rsidRPr="00A96522" w:rsidRDefault="00B43B8B" w:rsidP="00A96522">
                <w:pPr>
                  <w:tabs>
                    <w:tab w:val="right" w:pos="8838"/>
                  </w:tabs>
                  <w:ind w:left="-108" w:right="-105"/>
                  <w:jc w:val="both"/>
                  <w:rPr>
                    <w:rFonts w:ascii="Palatino Linotype" w:eastAsia="Palatino Linotype" w:hAnsi="Palatino Linotype" w:cs="Palatino Linotype"/>
                    <w:color w:val="000000" w:themeColor="text1"/>
                    <w:sz w:val="24"/>
                    <w:szCs w:val="24"/>
                  </w:rPr>
                </w:pPr>
                <w:r w:rsidRPr="00A96522">
                  <w:rPr>
                    <w:rFonts w:ascii="Palatino Linotype" w:eastAsia="Palatino Linotype" w:hAnsi="Palatino Linotype" w:cs="Palatino Linotype"/>
                    <w:color w:val="000000" w:themeColor="text1"/>
                    <w:sz w:val="24"/>
                    <w:szCs w:val="24"/>
                  </w:rPr>
                  <w:t>03273/INFOEM/IP/RR/2025</w:t>
                </w:r>
              </w:p>
            </w:tc>
          </w:tr>
          <w:tr w:rsidR="00B43B8B" w14:paraId="3F90D7CC" w14:textId="77777777" w:rsidTr="00A96522">
            <w:trPr>
              <w:trHeight w:val="283"/>
            </w:trPr>
            <w:tc>
              <w:tcPr>
                <w:tcW w:w="2969" w:type="dxa"/>
              </w:tcPr>
              <w:p w14:paraId="502549DE" w14:textId="77777777" w:rsidR="00B43B8B" w:rsidRPr="00A96522" w:rsidRDefault="00B43B8B" w:rsidP="00A96522">
                <w:pPr>
                  <w:tabs>
                    <w:tab w:val="right" w:pos="8838"/>
                  </w:tabs>
                  <w:ind w:right="-105"/>
                  <w:rPr>
                    <w:rFonts w:ascii="Palatino Linotype" w:eastAsia="Palatino Linotype" w:hAnsi="Palatino Linotype" w:cs="Palatino Linotype"/>
                    <w:b/>
                    <w:color w:val="000000" w:themeColor="text1"/>
                    <w:sz w:val="24"/>
                    <w:szCs w:val="24"/>
                  </w:rPr>
                </w:pPr>
                <w:bookmarkStart w:id="15" w:name="_heading=h.y6t3zuj858kt" w:colFirst="0" w:colLast="0"/>
                <w:bookmarkEnd w:id="15"/>
                <w:r w:rsidRPr="00A96522">
                  <w:rPr>
                    <w:rFonts w:ascii="Palatino Linotype" w:eastAsia="Palatino Linotype" w:hAnsi="Palatino Linotype" w:cs="Palatino Linotype"/>
                    <w:b/>
                    <w:color w:val="000000" w:themeColor="text1"/>
                    <w:sz w:val="24"/>
                    <w:szCs w:val="24"/>
                  </w:rPr>
                  <w:t>Sujeto Obligado:</w:t>
                </w:r>
              </w:p>
            </w:tc>
            <w:tc>
              <w:tcPr>
                <w:tcW w:w="4252" w:type="dxa"/>
              </w:tcPr>
              <w:p w14:paraId="418FAA9B" w14:textId="77777777" w:rsidR="00B43B8B" w:rsidRPr="00A96522" w:rsidRDefault="00B43B8B" w:rsidP="00A96522">
                <w:pPr>
                  <w:tabs>
                    <w:tab w:val="left" w:pos="2834"/>
                    <w:tab w:val="right" w:pos="8838"/>
                  </w:tabs>
                  <w:ind w:left="-108" w:right="-107"/>
                  <w:jc w:val="both"/>
                  <w:rPr>
                    <w:rFonts w:ascii="Palatino Linotype" w:eastAsia="Palatino Linotype" w:hAnsi="Palatino Linotype" w:cs="Palatino Linotype"/>
                    <w:color w:val="000000" w:themeColor="text1"/>
                    <w:sz w:val="24"/>
                    <w:szCs w:val="24"/>
                  </w:rPr>
                </w:pPr>
                <w:r w:rsidRPr="00A96522">
                  <w:rPr>
                    <w:rFonts w:ascii="Palatino Linotype" w:eastAsia="Palatino Linotype" w:hAnsi="Palatino Linotype" w:cs="Palatino Linotype"/>
                    <w:color w:val="000000" w:themeColor="text1"/>
                    <w:sz w:val="24"/>
                    <w:szCs w:val="24"/>
                  </w:rPr>
                  <w:t>Ayuntamiento de Toluca</w:t>
                </w:r>
              </w:p>
            </w:tc>
          </w:tr>
          <w:tr w:rsidR="00B43B8B" w14:paraId="4D2FFECD" w14:textId="77777777" w:rsidTr="00A96522">
            <w:trPr>
              <w:trHeight w:val="283"/>
            </w:trPr>
            <w:tc>
              <w:tcPr>
                <w:tcW w:w="2969" w:type="dxa"/>
              </w:tcPr>
              <w:p w14:paraId="32B37EA2" w14:textId="77777777" w:rsidR="00B43B8B" w:rsidRPr="00A96522" w:rsidRDefault="00B43B8B" w:rsidP="00A96522">
                <w:pPr>
                  <w:tabs>
                    <w:tab w:val="right" w:pos="8838"/>
                  </w:tabs>
                  <w:ind w:right="-105"/>
                  <w:rPr>
                    <w:rFonts w:ascii="Palatino Linotype" w:eastAsia="Palatino Linotype" w:hAnsi="Palatino Linotype" w:cs="Palatino Linotype"/>
                    <w:b/>
                    <w:color w:val="000000" w:themeColor="text1"/>
                    <w:sz w:val="24"/>
                    <w:szCs w:val="24"/>
                  </w:rPr>
                </w:pPr>
                <w:r w:rsidRPr="00A96522">
                  <w:rPr>
                    <w:rFonts w:ascii="Palatino Linotype" w:eastAsia="Palatino Linotype" w:hAnsi="Palatino Linotype" w:cs="Palatino Linotype"/>
                    <w:b/>
                    <w:color w:val="000000" w:themeColor="text1"/>
                    <w:sz w:val="24"/>
                    <w:szCs w:val="24"/>
                  </w:rPr>
                  <w:t>Comisionada Ponente:</w:t>
                </w:r>
              </w:p>
            </w:tc>
            <w:tc>
              <w:tcPr>
                <w:tcW w:w="4252" w:type="dxa"/>
              </w:tcPr>
              <w:p w14:paraId="2B0DD84E" w14:textId="77777777" w:rsidR="00B43B8B" w:rsidRPr="00A96522" w:rsidRDefault="00B43B8B" w:rsidP="00A96522">
                <w:pPr>
                  <w:tabs>
                    <w:tab w:val="right" w:pos="8838"/>
                  </w:tabs>
                  <w:ind w:left="-108" w:right="-105"/>
                  <w:jc w:val="both"/>
                  <w:rPr>
                    <w:rFonts w:ascii="Palatino Linotype" w:eastAsia="Palatino Linotype" w:hAnsi="Palatino Linotype" w:cs="Palatino Linotype"/>
                    <w:color w:val="000000" w:themeColor="text1"/>
                    <w:sz w:val="24"/>
                    <w:szCs w:val="24"/>
                  </w:rPr>
                </w:pPr>
                <w:r w:rsidRPr="00A96522">
                  <w:rPr>
                    <w:rFonts w:ascii="Palatino Linotype" w:eastAsia="Palatino Linotype" w:hAnsi="Palatino Linotype" w:cs="Palatino Linotype"/>
                    <w:color w:val="000000" w:themeColor="text1"/>
                    <w:sz w:val="24"/>
                    <w:szCs w:val="24"/>
                  </w:rPr>
                  <w:t>María del Rosario Mejía Ayala</w:t>
                </w:r>
              </w:p>
            </w:tc>
          </w:tr>
        </w:tbl>
        <w:p w14:paraId="454EEFD7" w14:textId="77777777" w:rsidR="00B43B8B" w:rsidRDefault="00B43B8B">
          <w:pPr>
            <w:tabs>
              <w:tab w:val="right" w:pos="8838"/>
            </w:tabs>
            <w:ind w:left="-28"/>
            <w:jc w:val="both"/>
            <w:rPr>
              <w:rFonts w:ascii="Arial" w:eastAsia="Arial" w:hAnsi="Arial" w:cs="Arial"/>
              <w:b/>
              <w:sz w:val="22"/>
              <w:szCs w:val="22"/>
            </w:rPr>
          </w:pPr>
        </w:p>
      </w:tc>
    </w:tr>
  </w:tbl>
  <w:p w14:paraId="142AEEDD" w14:textId="0D077E21" w:rsidR="00B43B8B" w:rsidRDefault="00652437" w:rsidP="00B43B8B">
    <w:pPr>
      <w:pBdr>
        <w:top w:val="nil"/>
        <w:left w:val="nil"/>
        <w:bottom w:val="nil"/>
        <w:right w:val="nil"/>
        <w:between w:val="nil"/>
      </w:pBdr>
      <w:tabs>
        <w:tab w:val="center" w:pos="4419"/>
        <w:tab w:val="right" w:pos="8838"/>
      </w:tabs>
    </w:pPr>
    <w:r>
      <w:rPr>
        <w:color w:val="000000"/>
        <w:sz w:val="14"/>
        <w:szCs w:val="14"/>
      </w:rPr>
      <w:pict w14:anchorId="09CA91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4.2pt;margin-top:-139.2pt;width:663.5pt;height:12in;z-index:-251659776;mso-position-horizontal-relative:margin;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10206" w:type="dxa"/>
      <w:tblInd w:w="0" w:type="dxa"/>
      <w:tblLayout w:type="fixed"/>
      <w:tblLook w:val="0400" w:firstRow="0" w:lastRow="0" w:firstColumn="0" w:lastColumn="0" w:noHBand="0" w:noVBand="1"/>
    </w:tblPr>
    <w:tblGrid>
      <w:gridCol w:w="1560"/>
      <w:gridCol w:w="8646"/>
    </w:tblGrid>
    <w:tr w:rsidR="00B43B8B" w14:paraId="47879CA3" w14:textId="77777777" w:rsidTr="00A96522">
      <w:trPr>
        <w:trHeight w:val="1435"/>
      </w:trPr>
      <w:tc>
        <w:tcPr>
          <w:tcW w:w="1560" w:type="dxa"/>
          <w:shd w:val="clear" w:color="auto" w:fill="auto"/>
        </w:tcPr>
        <w:p w14:paraId="49491791" w14:textId="77777777" w:rsidR="00B43B8B" w:rsidRDefault="00B43B8B">
          <w:pPr>
            <w:tabs>
              <w:tab w:val="right" w:pos="4273"/>
            </w:tabs>
            <w:rPr>
              <w:rFonts w:ascii="Garamond" w:eastAsia="Garamond" w:hAnsi="Garamond" w:cs="Garamond"/>
              <w:sz w:val="22"/>
              <w:szCs w:val="22"/>
            </w:rPr>
          </w:pPr>
        </w:p>
      </w:tc>
      <w:tc>
        <w:tcPr>
          <w:tcW w:w="8646" w:type="dxa"/>
          <w:shd w:val="clear" w:color="auto" w:fill="auto"/>
        </w:tcPr>
        <w:tbl>
          <w:tblPr>
            <w:tblStyle w:val="a3"/>
            <w:tblW w:w="10057" w:type="dxa"/>
            <w:tblInd w:w="2011" w:type="dxa"/>
            <w:tblBorders>
              <w:top w:val="nil"/>
              <w:left w:val="nil"/>
              <w:bottom w:val="nil"/>
              <w:right w:val="nil"/>
              <w:insideH w:val="nil"/>
              <w:insideV w:val="nil"/>
            </w:tblBorders>
            <w:tblLayout w:type="fixed"/>
            <w:tblLook w:val="0400" w:firstRow="0" w:lastRow="0" w:firstColumn="0" w:lastColumn="0" w:noHBand="0" w:noVBand="1"/>
          </w:tblPr>
          <w:tblGrid>
            <w:gridCol w:w="2683"/>
            <w:gridCol w:w="4395"/>
            <w:gridCol w:w="2979"/>
          </w:tblGrid>
          <w:tr w:rsidR="00B43B8B" w14:paraId="697D1ED5" w14:textId="77777777" w:rsidTr="00B43B8B">
            <w:trPr>
              <w:trHeight w:val="144"/>
            </w:trPr>
            <w:tc>
              <w:tcPr>
                <w:tcW w:w="2683" w:type="dxa"/>
              </w:tcPr>
              <w:p w14:paraId="4422D450" w14:textId="77777777" w:rsidR="00B43B8B" w:rsidRPr="00A96522" w:rsidRDefault="00B43B8B" w:rsidP="00A96522">
                <w:pPr>
                  <w:tabs>
                    <w:tab w:val="right" w:pos="8838"/>
                  </w:tabs>
                  <w:ind w:left="-74"/>
                  <w:rPr>
                    <w:rFonts w:ascii="Palatino Linotype" w:eastAsia="Palatino Linotype" w:hAnsi="Palatino Linotype" w:cs="Palatino Linotype"/>
                    <w:b/>
                    <w:color w:val="000000" w:themeColor="text1"/>
                    <w:sz w:val="24"/>
                    <w:szCs w:val="24"/>
                  </w:rPr>
                </w:pPr>
                <w:bookmarkStart w:id="16" w:name="_heading=h.aysowlx4y8dr" w:colFirst="0" w:colLast="0"/>
                <w:bookmarkEnd w:id="16"/>
                <w:r w:rsidRPr="00A96522">
                  <w:rPr>
                    <w:rFonts w:ascii="Palatino Linotype" w:eastAsia="Palatino Linotype" w:hAnsi="Palatino Linotype" w:cs="Palatino Linotype"/>
                    <w:b/>
                    <w:color w:val="000000" w:themeColor="text1"/>
                    <w:sz w:val="24"/>
                    <w:szCs w:val="24"/>
                  </w:rPr>
                  <w:t>Recurso de Revisión:</w:t>
                </w:r>
              </w:p>
            </w:tc>
            <w:tc>
              <w:tcPr>
                <w:tcW w:w="4395" w:type="dxa"/>
              </w:tcPr>
              <w:p w14:paraId="0737D2F7" w14:textId="77777777" w:rsidR="00B43B8B" w:rsidRPr="00A96522" w:rsidRDefault="00B43B8B" w:rsidP="00A96522">
                <w:pPr>
                  <w:tabs>
                    <w:tab w:val="right" w:pos="8838"/>
                  </w:tabs>
                  <w:ind w:right="-105"/>
                  <w:jc w:val="both"/>
                  <w:rPr>
                    <w:rFonts w:ascii="Palatino Linotype" w:eastAsia="Palatino Linotype" w:hAnsi="Palatino Linotype" w:cs="Palatino Linotype"/>
                    <w:color w:val="000000" w:themeColor="text1"/>
                    <w:sz w:val="24"/>
                    <w:szCs w:val="24"/>
                  </w:rPr>
                </w:pPr>
                <w:r w:rsidRPr="00A96522">
                  <w:rPr>
                    <w:rFonts w:ascii="Palatino Linotype" w:eastAsia="Palatino Linotype" w:hAnsi="Palatino Linotype" w:cs="Palatino Linotype"/>
                    <w:color w:val="000000" w:themeColor="text1"/>
                    <w:sz w:val="24"/>
                    <w:szCs w:val="24"/>
                  </w:rPr>
                  <w:t>03273/INFOEM/IP/RR/2025</w:t>
                </w:r>
              </w:p>
            </w:tc>
            <w:tc>
              <w:tcPr>
                <w:tcW w:w="2979" w:type="dxa"/>
              </w:tcPr>
              <w:p w14:paraId="03A4EF4D" w14:textId="77777777" w:rsidR="00B43B8B" w:rsidRDefault="00B43B8B">
                <w:pPr>
                  <w:tabs>
                    <w:tab w:val="right" w:pos="8838"/>
                  </w:tabs>
                  <w:ind w:left="-74" w:right="-105"/>
                  <w:jc w:val="both"/>
                  <w:rPr>
                    <w:rFonts w:ascii="Palatino Linotype" w:eastAsia="Palatino Linotype" w:hAnsi="Palatino Linotype" w:cs="Palatino Linotype"/>
                    <w:sz w:val="22"/>
                    <w:szCs w:val="22"/>
                  </w:rPr>
                </w:pPr>
              </w:p>
            </w:tc>
          </w:tr>
          <w:tr w:rsidR="00B43B8B" w14:paraId="198E9612" w14:textId="77777777" w:rsidTr="00B43B8B">
            <w:trPr>
              <w:trHeight w:val="144"/>
            </w:trPr>
            <w:tc>
              <w:tcPr>
                <w:tcW w:w="2683" w:type="dxa"/>
              </w:tcPr>
              <w:p w14:paraId="0014C49F" w14:textId="77777777" w:rsidR="00B43B8B" w:rsidRPr="00A96522" w:rsidRDefault="00B43B8B" w:rsidP="00A96522">
                <w:pPr>
                  <w:tabs>
                    <w:tab w:val="right" w:pos="8838"/>
                  </w:tabs>
                  <w:ind w:left="-74"/>
                  <w:rPr>
                    <w:rFonts w:ascii="Palatino Linotype" w:eastAsia="Palatino Linotype" w:hAnsi="Palatino Linotype" w:cs="Palatino Linotype"/>
                    <w:b/>
                    <w:color w:val="000000" w:themeColor="text1"/>
                    <w:sz w:val="24"/>
                    <w:szCs w:val="24"/>
                  </w:rPr>
                </w:pPr>
                <w:bookmarkStart w:id="17" w:name="_heading=h.5123y2wsm5ff" w:colFirst="0" w:colLast="0"/>
                <w:bookmarkEnd w:id="17"/>
                <w:r w:rsidRPr="00A96522">
                  <w:rPr>
                    <w:rFonts w:ascii="Palatino Linotype" w:eastAsia="Palatino Linotype" w:hAnsi="Palatino Linotype" w:cs="Palatino Linotype"/>
                    <w:b/>
                    <w:color w:val="000000" w:themeColor="text1"/>
                    <w:sz w:val="24"/>
                    <w:szCs w:val="24"/>
                  </w:rPr>
                  <w:t>Recurrente:</w:t>
                </w:r>
              </w:p>
            </w:tc>
            <w:tc>
              <w:tcPr>
                <w:tcW w:w="4395" w:type="dxa"/>
              </w:tcPr>
              <w:p w14:paraId="37C7C92D" w14:textId="77F1A924" w:rsidR="00B43B8B" w:rsidRPr="00A96522" w:rsidRDefault="00B43B8B" w:rsidP="00A96522">
                <w:pPr>
                  <w:tabs>
                    <w:tab w:val="left" w:pos="3122"/>
                    <w:tab w:val="right" w:pos="8838"/>
                  </w:tabs>
                  <w:ind w:right="1457"/>
                  <w:jc w:val="both"/>
                  <w:rPr>
                    <w:rFonts w:ascii="Palatino Linotype" w:eastAsia="Palatino Linotype" w:hAnsi="Palatino Linotype" w:cs="Palatino Linotype"/>
                    <w:color w:val="000000" w:themeColor="text1"/>
                    <w:sz w:val="24"/>
                    <w:szCs w:val="24"/>
                  </w:rPr>
                </w:pPr>
              </w:p>
            </w:tc>
            <w:tc>
              <w:tcPr>
                <w:tcW w:w="2979" w:type="dxa"/>
              </w:tcPr>
              <w:p w14:paraId="067D8CC8" w14:textId="77777777" w:rsidR="00B43B8B" w:rsidRDefault="00B43B8B">
                <w:pPr>
                  <w:tabs>
                    <w:tab w:val="left" w:pos="3122"/>
                    <w:tab w:val="right" w:pos="8838"/>
                  </w:tabs>
                  <w:ind w:right="-105"/>
                  <w:jc w:val="both"/>
                  <w:rPr>
                    <w:rFonts w:ascii="Palatino Linotype" w:eastAsia="Palatino Linotype" w:hAnsi="Palatino Linotype" w:cs="Palatino Linotype"/>
                    <w:sz w:val="22"/>
                    <w:szCs w:val="22"/>
                  </w:rPr>
                </w:pPr>
              </w:p>
            </w:tc>
          </w:tr>
          <w:tr w:rsidR="00B43B8B" w14:paraId="6C939B3C" w14:textId="77777777" w:rsidTr="00B43B8B">
            <w:trPr>
              <w:trHeight w:val="283"/>
            </w:trPr>
            <w:tc>
              <w:tcPr>
                <w:tcW w:w="2683" w:type="dxa"/>
              </w:tcPr>
              <w:p w14:paraId="0E1FF9F9" w14:textId="77777777" w:rsidR="00B43B8B" w:rsidRPr="00A96522" w:rsidRDefault="00B43B8B" w:rsidP="00A96522">
                <w:pPr>
                  <w:tabs>
                    <w:tab w:val="right" w:pos="8838"/>
                  </w:tabs>
                  <w:ind w:left="-74"/>
                  <w:rPr>
                    <w:rFonts w:ascii="Palatino Linotype" w:eastAsia="Palatino Linotype" w:hAnsi="Palatino Linotype" w:cs="Palatino Linotype"/>
                    <w:b/>
                    <w:color w:val="000000" w:themeColor="text1"/>
                    <w:sz w:val="24"/>
                    <w:szCs w:val="24"/>
                  </w:rPr>
                </w:pPr>
                <w:r w:rsidRPr="00A96522">
                  <w:rPr>
                    <w:rFonts w:ascii="Palatino Linotype" w:eastAsia="Palatino Linotype" w:hAnsi="Palatino Linotype" w:cs="Palatino Linotype"/>
                    <w:b/>
                    <w:color w:val="000000" w:themeColor="text1"/>
                    <w:sz w:val="24"/>
                    <w:szCs w:val="24"/>
                  </w:rPr>
                  <w:t>Sujeto Obligado:</w:t>
                </w:r>
              </w:p>
            </w:tc>
            <w:tc>
              <w:tcPr>
                <w:tcW w:w="4395" w:type="dxa"/>
              </w:tcPr>
              <w:p w14:paraId="7BC5793B" w14:textId="77777777" w:rsidR="00B43B8B" w:rsidRPr="00A96522" w:rsidRDefault="00B43B8B" w:rsidP="00A96522">
                <w:pPr>
                  <w:tabs>
                    <w:tab w:val="left" w:pos="2834"/>
                    <w:tab w:val="right" w:pos="8838"/>
                  </w:tabs>
                  <w:ind w:left="-3" w:right="-105"/>
                  <w:jc w:val="both"/>
                  <w:rPr>
                    <w:rFonts w:ascii="Palatino Linotype" w:eastAsia="Palatino Linotype" w:hAnsi="Palatino Linotype" w:cs="Palatino Linotype"/>
                    <w:color w:val="000000" w:themeColor="text1"/>
                    <w:sz w:val="24"/>
                    <w:szCs w:val="24"/>
                  </w:rPr>
                </w:pPr>
                <w:r w:rsidRPr="00A96522">
                  <w:rPr>
                    <w:rFonts w:ascii="Palatino Linotype" w:eastAsia="Palatino Linotype" w:hAnsi="Palatino Linotype" w:cs="Palatino Linotype"/>
                    <w:color w:val="000000" w:themeColor="text1"/>
                    <w:sz w:val="24"/>
                    <w:szCs w:val="24"/>
                  </w:rPr>
                  <w:t>Ayuntamiento de Toluca</w:t>
                </w:r>
              </w:p>
            </w:tc>
            <w:tc>
              <w:tcPr>
                <w:tcW w:w="2979" w:type="dxa"/>
              </w:tcPr>
              <w:p w14:paraId="61C8B9FA" w14:textId="77777777" w:rsidR="00B43B8B" w:rsidRDefault="00B43B8B">
                <w:pPr>
                  <w:tabs>
                    <w:tab w:val="left" w:pos="2834"/>
                    <w:tab w:val="right" w:pos="8838"/>
                  </w:tabs>
                  <w:ind w:left="-74" w:right="-105"/>
                  <w:jc w:val="both"/>
                  <w:rPr>
                    <w:rFonts w:ascii="Palatino Linotype" w:eastAsia="Palatino Linotype" w:hAnsi="Palatino Linotype" w:cs="Palatino Linotype"/>
                    <w:b/>
                  </w:rPr>
                </w:pPr>
              </w:p>
            </w:tc>
          </w:tr>
          <w:tr w:rsidR="00B43B8B" w14:paraId="52AD6A98" w14:textId="77777777" w:rsidTr="00B43B8B">
            <w:trPr>
              <w:trHeight w:val="283"/>
            </w:trPr>
            <w:tc>
              <w:tcPr>
                <w:tcW w:w="2683" w:type="dxa"/>
              </w:tcPr>
              <w:p w14:paraId="75B750D1" w14:textId="77777777" w:rsidR="00B43B8B" w:rsidRPr="00A96522" w:rsidRDefault="00B43B8B" w:rsidP="00A96522">
                <w:pPr>
                  <w:tabs>
                    <w:tab w:val="right" w:pos="8838"/>
                  </w:tabs>
                  <w:ind w:left="-74"/>
                  <w:rPr>
                    <w:rFonts w:ascii="Palatino Linotype" w:eastAsia="Palatino Linotype" w:hAnsi="Palatino Linotype" w:cs="Palatino Linotype"/>
                    <w:b/>
                    <w:color w:val="000000" w:themeColor="text1"/>
                    <w:sz w:val="24"/>
                    <w:szCs w:val="24"/>
                  </w:rPr>
                </w:pPr>
                <w:r w:rsidRPr="00A96522">
                  <w:rPr>
                    <w:rFonts w:ascii="Palatino Linotype" w:eastAsia="Palatino Linotype" w:hAnsi="Palatino Linotype" w:cs="Palatino Linotype"/>
                    <w:b/>
                    <w:color w:val="000000" w:themeColor="text1"/>
                    <w:sz w:val="24"/>
                    <w:szCs w:val="24"/>
                  </w:rPr>
                  <w:t>Comisionada Ponente:</w:t>
                </w:r>
              </w:p>
            </w:tc>
            <w:tc>
              <w:tcPr>
                <w:tcW w:w="4395" w:type="dxa"/>
              </w:tcPr>
              <w:p w14:paraId="14A4643B" w14:textId="77777777" w:rsidR="00B43B8B" w:rsidRPr="00A96522" w:rsidRDefault="00B43B8B" w:rsidP="00A96522">
                <w:pPr>
                  <w:tabs>
                    <w:tab w:val="right" w:pos="8838"/>
                  </w:tabs>
                  <w:ind w:left="-3" w:right="-105"/>
                  <w:jc w:val="both"/>
                  <w:rPr>
                    <w:rFonts w:ascii="Palatino Linotype" w:eastAsia="Palatino Linotype" w:hAnsi="Palatino Linotype" w:cs="Palatino Linotype"/>
                    <w:color w:val="000000" w:themeColor="text1"/>
                    <w:sz w:val="24"/>
                    <w:szCs w:val="24"/>
                  </w:rPr>
                </w:pPr>
                <w:r w:rsidRPr="00A96522">
                  <w:rPr>
                    <w:rFonts w:ascii="Palatino Linotype" w:eastAsia="Palatino Linotype" w:hAnsi="Palatino Linotype" w:cs="Palatino Linotype"/>
                    <w:color w:val="000000" w:themeColor="text1"/>
                    <w:sz w:val="24"/>
                    <w:szCs w:val="24"/>
                  </w:rPr>
                  <w:t>María del Rosario Mejía Ayala</w:t>
                </w:r>
              </w:p>
            </w:tc>
            <w:tc>
              <w:tcPr>
                <w:tcW w:w="2979" w:type="dxa"/>
              </w:tcPr>
              <w:p w14:paraId="01A5DA1E" w14:textId="77777777" w:rsidR="00B43B8B" w:rsidRDefault="00B43B8B">
                <w:pPr>
                  <w:tabs>
                    <w:tab w:val="right" w:pos="8838"/>
                  </w:tabs>
                  <w:ind w:left="-74" w:right="-105"/>
                  <w:jc w:val="both"/>
                  <w:rPr>
                    <w:rFonts w:ascii="Palatino Linotype" w:eastAsia="Palatino Linotype" w:hAnsi="Palatino Linotype" w:cs="Palatino Linotype"/>
                    <w:b/>
                  </w:rPr>
                </w:pPr>
              </w:p>
            </w:tc>
          </w:tr>
        </w:tbl>
        <w:p w14:paraId="61DF1DD0" w14:textId="77777777" w:rsidR="00B43B8B" w:rsidRDefault="00B43B8B">
          <w:pPr>
            <w:tabs>
              <w:tab w:val="right" w:pos="8838"/>
            </w:tabs>
            <w:ind w:left="-28"/>
            <w:jc w:val="both"/>
            <w:rPr>
              <w:rFonts w:ascii="Arial" w:eastAsia="Arial" w:hAnsi="Arial" w:cs="Arial"/>
              <w:b/>
              <w:sz w:val="22"/>
              <w:szCs w:val="22"/>
            </w:rPr>
          </w:pPr>
        </w:p>
      </w:tc>
    </w:tr>
  </w:tbl>
  <w:p w14:paraId="489C0223" w14:textId="69B2F460" w:rsidR="00B43B8B" w:rsidRDefault="00652437" w:rsidP="00B43B8B">
    <w:pPr>
      <w:pBdr>
        <w:top w:val="nil"/>
        <w:left w:val="nil"/>
        <w:bottom w:val="nil"/>
        <w:right w:val="nil"/>
        <w:between w:val="nil"/>
      </w:pBdr>
      <w:tabs>
        <w:tab w:val="center" w:pos="4419"/>
        <w:tab w:val="right" w:pos="8838"/>
        <w:tab w:val="center" w:pos="4522"/>
      </w:tabs>
    </w:pPr>
    <w:r>
      <w:rPr>
        <w:color w:val="000000"/>
        <w:sz w:val="14"/>
        <w:szCs w:val="14"/>
      </w:rPr>
      <w:pict w14:anchorId="3B4EC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69pt;margin-top:-134.35pt;width:663.5pt;height:12in;z-index:-251658752;mso-position-horizontal-relative:margin;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F6C71"/>
    <w:multiLevelType w:val="hybridMultilevel"/>
    <w:tmpl w:val="8A345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FE4249"/>
    <w:multiLevelType w:val="multilevel"/>
    <w:tmpl w:val="45C4E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0B6924"/>
    <w:multiLevelType w:val="hybridMultilevel"/>
    <w:tmpl w:val="A9743768"/>
    <w:lvl w:ilvl="0" w:tplc="629EAEB2">
      <w:start w:val="1"/>
      <w:numFmt w:val="upperRoman"/>
      <w:lvlText w:val="%1."/>
      <w:lvlJc w:val="right"/>
      <w:pPr>
        <w:ind w:left="144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F1550D"/>
    <w:multiLevelType w:val="multilevel"/>
    <w:tmpl w:val="2FAAFBF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4" w15:restartNumberingAfterBreak="0">
    <w:nsid w:val="171815C6"/>
    <w:multiLevelType w:val="hybridMultilevel"/>
    <w:tmpl w:val="FF005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767ED8"/>
    <w:multiLevelType w:val="multilevel"/>
    <w:tmpl w:val="0CDA6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A36E60"/>
    <w:multiLevelType w:val="multilevel"/>
    <w:tmpl w:val="629A4B74"/>
    <w:lvl w:ilvl="0">
      <w:start w:val="1"/>
      <w:numFmt w:val="lowerLetter"/>
      <w:lvlText w:val="%1."/>
      <w:lvlJc w:val="left"/>
      <w:pPr>
        <w:ind w:left="786" w:hanging="360"/>
      </w:pPr>
      <w:rPr>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 w15:restartNumberingAfterBreak="0">
    <w:nsid w:val="25A138A9"/>
    <w:multiLevelType w:val="hybridMultilevel"/>
    <w:tmpl w:val="D55CCA5C"/>
    <w:lvl w:ilvl="0" w:tplc="CE145DB8">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 w15:restartNumberingAfterBreak="0">
    <w:nsid w:val="296A7D2F"/>
    <w:multiLevelType w:val="hybridMultilevel"/>
    <w:tmpl w:val="7F0A4444"/>
    <w:lvl w:ilvl="0" w:tplc="6C2C2EE6">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9" w15:restartNumberingAfterBreak="0">
    <w:nsid w:val="29D45A4A"/>
    <w:multiLevelType w:val="multilevel"/>
    <w:tmpl w:val="23480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3B4BA8"/>
    <w:multiLevelType w:val="hybridMultilevel"/>
    <w:tmpl w:val="47AAA9A0"/>
    <w:lvl w:ilvl="0" w:tplc="AE28BCF2">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1" w15:restartNumberingAfterBreak="0">
    <w:nsid w:val="34317490"/>
    <w:multiLevelType w:val="hybridMultilevel"/>
    <w:tmpl w:val="E2E86218"/>
    <w:lvl w:ilvl="0" w:tplc="7EE0C6EC">
      <w:start w:val="1"/>
      <w:numFmt w:val="decimal"/>
      <w:lvlText w:val="%1."/>
      <w:lvlJc w:val="left"/>
      <w:pPr>
        <w:ind w:left="0" w:firstLine="0"/>
      </w:pPr>
      <w:rPr>
        <w:rFonts w:ascii="Palatino Linotype" w:hAnsi="Palatino Linotype" w:hint="default"/>
        <w:b/>
        <w:i w:val="0"/>
        <w:sz w:val="24"/>
      </w:rPr>
    </w:lvl>
    <w:lvl w:ilvl="1" w:tplc="979228B6">
      <w:start w:val="1"/>
      <w:numFmt w:val="upperRoman"/>
      <w:lvlText w:val="%2."/>
      <w:lvlJc w:val="righ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D50BF8"/>
    <w:multiLevelType w:val="multilevel"/>
    <w:tmpl w:val="D3724AD8"/>
    <w:lvl w:ilvl="0">
      <w:start w:val="1"/>
      <w:numFmt w:val="bullet"/>
      <w:pStyle w:val="Listaconvietas2"/>
      <w:lvlText w:val="●"/>
      <w:lvlJc w:val="left"/>
      <w:pPr>
        <w:ind w:left="1440" w:hanging="360"/>
      </w:pPr>
      <w:rPr>
        <w:rFonts w:ascii="Noto Sans Symbols" w:eastAsia="Noto Sans Symbols" w:hAnsi="Noto Sans Symbols" w:cs="Noto Sans Symbols"/>
      </w:rPr>
    </w:lvl>
    <w:lvl w:ilvl="1">
      <w:numFmt w:val="bullet"/>
      <w:lvlText w:val="-"/>
      <w:lvlJc w:val="left"/>
      <w:pPr>
        <w:ind w:left="2160" w:hanging="360"/>
      </w:pPr>
      <w:rPr>
        <w:rFonts w:ascii="Palatino Linotype" w:eastAsia="Palatino Linotype" w:hAnsi="Palatino Linotype" w:cs="Palatino Linotype"/>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426C6F37"/>
    <w:multiLevelType w:val="hybridMultilevel"/>
    <w:tmpl w:val="A9B4F1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712B4C"/>
    <w:multiLevelType w:val="multilevel"/>
    <w:tmpl w:val="9EBE56D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D35C15"/>
    <w:multiLevelType w:val="multilevel"/>
    <w:tmpl w:val="B2D04D34"/>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B356630"/>
    <w:multiLevelType w:val="multilevel"/>
    <w:tmpl w:val="0AF6E5B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7D31223"/>
    <w:multiLevelType w:val="multilevel"/>
    <w:tmpl w:val="0E005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97360D8"/>
    <w:multiLevelType w:val="hybridMultilevel"/>
    <w:tmpl w:val="F18047DA"/>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D0D7F11"/>
    <w:multiLevelType w:val="hybridMultilevel"/>
    <w:tmpl w:val="07AEE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592686"/>
    <w:multiLevelType w:val="multilevel"/>
    <w:tmpl w:val="588C634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C165093"/>
    <w:multiLevelType w:val="multilevel"/>
    <w:tmpl w:val="C37C0E4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E947B8B"/>
    <w:multiLevelType w:val="multilevel"/>
    <w:tmpl w:val="B3E02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F51516E"/>
    <w:multiLevelType w:val="multilevel"/>
    <w:tmpl w:val="82CEA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15"/>
  </w:num>
  <w:num w:numId="3">
    <w:abstractNumId w:val="5"/>
  </w:num>
  <w:num w:numId="4">
    <w:abstractNumId w:val="3"/>
  </w:num>
  <w:num w:numId="5">
    <w:abstractNumId w:val="22"/>
  </w:num>
  <w:num w:numId="6">
    <w:abstractNumId w:val="21"/>
  </w:num>
  <w:num w:numId="7">
    <w:abstractNumId w:val="8"/>
  </w:num>
  <w:num w:numId="8">
    <w:abstractNumId w:val="7"/>
  </w:num>
  <w:num w:numId="9">
    <w:abstractNumId w:val="10"/>
  </w:num>
  <w:num w:numId="10">
    <w:abstractNumId w:val="0"/>
  </w:num>
  <w:num w:numId="11">
    <w:abstractNumId w:val="11"/>
  </w:num>
  <w:num w:numId="12">
    <w:abstractNumId w:val="2"/>
  </w:num>
  <w:num w:numId="13">
    <w:abstractNumId w:val="14"/>
  </w:num>
  <w:num w:numId="14">
    <w:abstractNumId w:val="16"/>
  </w:num>
  <w:num w:numId="15">
    <w:abstractNumId w:val="1"/>
  </w:num>
  <w:num w:numId="16">
    <w:abstractNumId w:val="6"/>
  </w:num>
  <w:num w:numId="17">
    <w:abstractNumId w:val="9"/>
  </w:num>
  <w:num w:numId="18">
    <w:abstractNumId w:val="23"/>
  </w:num>
  <w:num w:numId="19">
    <w:abstractNumId w:val="20"/>
  </w:num>
  <w:num w:numId="20">
    <w:abstractNumId w:val="17"/>
  </w:num>
  <w:num w:numId="21">
    <w:abstractNumId w:val="4"/>
  </w:num>
  <w:num w:numId="22">
    <w:abstractNumId w:val="18"/>
  </w:num>
  <w:num w:numId="23">
    <w:abstractNumId w:val="19"/>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77A"/>
    <w:rsid w:val="000603DC"/>
    <w:rsid w:val="000C758F"/>
    <w:rsid w:val="00146B45"/>
    <w:rsid w:val="001952E2"/>
    <w:rsid w:val="001B5700"/>
    <w:rsid w:val="00285CEB"/>
    <w:rsid w:val="0029673D"/>
    <w:rsid w:val="002B32A4"/>
    <w:rsid w:val="00354573"/>
    <w:rsid w:val="00383301"/>
    <w:rsid w:val="003E7D39"/>
    <w:rsid w:val="004413C4"/>
    <w:rsid w:val="004629A8"/>
    <w:rsid w:val="00652437"/>
    <w:rsid w:val="00655B12"/>
    <w:rsid w:val="00666DA1"/>
    <w:rsid w:val="006B1480"/>
    <w:rsid w:val="007A151F"/>
    <w:rsid w:val="007A1948"/>
    <w:rsid w:val="007C2CFC"/>
    <w:rsid w:val="0081579E"/>
    <w:rsid w:val="008C5AC7"/>
    <w:rsid w:val="00901B25"/>
    <w:rsid w:val="009353EA"/>
    <w:rsid w:val="00950214"/>
    <w:rsid w:val="00A60718"/>
    <w:rsid w:val="00A96522"/>
    <w:rsid w:val="00AE2DAA"/>
    <w:rsid w:val="00B32BAC"/>
    <w:rsid w:val="00B43B8B"/>
    <w:rsid w:val="00BE3318"/>
    <w:rsid w:val="00C7156A"/>
    <w:rsid w:val="00D10CD8"/>
    <w:rsid w:val="00D22B19"/>
    <w:rsid w:val="00E157D9"/>
    <w:rsid w:val="00EC538E"/>
    <w:rsid w:val="00ED077A"/>
    <w:rsid w:val="00F46759"/>
    <w:rsid w:val="00FF2C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25041B"/>
  <w15:docId w15:val="{7554FC06-73BE-47C3-9C69-24311AA91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pPr>
      <w:keepNext/>
      <w:keepLines/>
      <w:spacing w:before="40"/>
      <w:outlineLvl w:val="2"/>
    </w:pPr>
    <w:rPr>
      <w:rFonts w:ascii="Calibri" w:eastAsia="Calibri" w:hAnsi="Calibri" w:cs="Calibri"/>
      <w:color w:val="1F3863"/>
      <w:sz w:val="24"/>
      <w:szCs w:val="24"/>
    </w:rPr>
  </w:style>
  <w:style w:type="paragraph" w:styleId="Ttulo4">
    <w:name w:val="heading 4"/>
    <w:basedOn w:val="Normal"/>
    <w:next w:val="Normal"/>
    <w:pPr>
      <w:keepNext/>
      <w:keepLines/>
      <w:spacing w:before="40"/>
      <w:outlineLvl w:val="3"/>
    </w:pPr>
    <w:rPr>
      <w:rFonts w:ascii="Calibri" w:eastAsia="Calibri" w:hAnsi="Calibri" w:cs="Calibri"/>
      <w:i/>
      <w:color w:val="2F5496"/>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rPr>
      <w:rFonts w:ascii="Calibri" w:eastAsia="Calibri" w:hAnsi="Calibri" w:cs="Calibri"/>
      <w:sz w:val="56"/>
      <w:szCs w:val="56"/>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next w:val="Normal"/>
    <w:uiPriority w:val="39"/>
    <w:unhideWhenUsed/>
    <w:qFormat/>
    <w:rsid w:val="008E6432"/>
    <w:pPr>
      <w:spacing w:line="259" w:lineRule="auto"/>
    </w:pPr>
    <w:rPr>
      <w:rFonts w:ascii="Palatino Linotype" w:hAnsi="Palatino Linotype"/>
      <w:b/>
      <w:sz w:val="24"/>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8E6432"/>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rPr>
  </w:style>
  <w:style w:type="table" w:styleId="Tabladecuadrcula6concolores">
    <w:name w:val="Grid Table 6 Colorful"/>
    <w:basedOn w:val="Tablanormal"/>
    <w:uiPriority w:val="51"/>
    <w:rsid w:val="008E6432"/>
    <w:rPr>
      <w:rFonts w:asciiTheme="minorHAnsi" w:eastAsiaTheme="minorEastAsia" w:hAnsiTheme="minorHAnsi" w:cstheme="minorBidi"/>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rPr>
      <w:rFonts w:asciiTheme="minorHAnsi"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 w:type="paragraph" w:customStyle="1" w:styleId="p">
    <w:name w:val="p"/>
    <w:basedOn w:val="Normal"/>
    <w:rsid w:val="00E82D63"/>
    <w:pPr>
      <w:spacing w:before="100" w:beforeAutospacing="1" w:after="100" w:afterAutospacing="1"/>
    </w:pPr>
    <w:rPr>
      <w:sz w:val="24"/>
      <w:szCs w:val="24"/>
    </w:rPr>
  </w:style>
  <w:style w:type="paragraph" w:styleId="Continuarlista">
    <w:name w:val="List Continue"/>
    <w:basedOn w:val="Normal"/>
    <w:uiPriority w:val="99"/>
    <w:unhideWhenUsed/>
    <w:rsid w:val="006B2A7B"/>
    <w:pPr>
      <w:spacing w:after="120"/>
      <w:ind w:left="283"/>
      <w:contextualSpacing/>
    </w:pPr>
    <w:rPr>
      <w:sz w:val="24"/>
      <w:szCs w:val="24"/>
    </w:rPr>
  </w:style>
  <w:style w:type="character" w:customStyle="1" w:styleId="Hipervnculo151">
    <w:name w:val="Hipervínculo151"/>
    <w:basedOn w:val="Fuentedeprrafopredeter"/>
    <w:uiPriority w:val="99"/>
    <w:unhideWhenUsed/>
    <w:rsid w:val="00081064"/>
    <w:rPr>
      <w:color w:val="0000FF"/>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9.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gob.mx/cedulaprofesiona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diputados.gob.mx/documentos/N_Acta_Nacimiento.pdf"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AT2smYEkLCg8esCk+MbwcCXWpg==">CgMxLjAyDmgucWFwN3p2NGZod3Q3MghoLmdqZGd4czIJaC4zMGowemxsMgloLjFmb2I5dGUyCWguM3pueXNoNzIJaC4yZXQ5MnAwMgloLjNkeTZ2a20yDmguYm1xbmVwM2R4djk2Mg5oLm1nOHRqNW42MmFkYjIOaC42eG8zaXFoNjFwcWEyDmgueGw3enc1YXZlcW91Mg1oLjNmdHVpNHQwNnFmMg5oLnk2dDN6dWo4NThrdDIOaC5heXNvd2x4NHk4ZHIyDmguNTEyM3kyd3NtNWZmOAByITF4cVQxbFVPWDB6SUVOU1dMbzB4WXZwRnZPZUNNM21h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52</Pages>
  <Words>10744</Words>
  <Characters>59092</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Fernado Lobato Rodríguez</dc:creator>
  <cp:lastModifiedBy>Cuenta Microsoft</cp:lastModifiedBy>
  <cp:revision>7</cp:revision>
  <cp:lastPrinted>2025-09-11T15:44:00Z</cp:lastPrinted>
  <dcterms:created xsi:type="dcterms:W3CDTF">2025-09-09T19:17:00Z</dcterms:created>
  <dcterms:modified xsi:type="dcterms:W3CDTF">2025-09-23T18:02:00Z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