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67C660C2" w:rsidR="00C877F6" w:rsidRPr="00BB5AAC" w:rsidRDefault="00F36565">
      <w:pPr>
        <w:spacing w:line="360" w:lineRule="auto"/>
        <w:ind w:right="49" w:hanging="22"/>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1244B6" w:rsidRPr="00BB5AAC">
        <w:rPr>
          <w:rFonts w:ascii="Palatino Linotype" w:eastAsia="Palatino Linotype" w:hAnsi="Palatino Linotype" w:cs="Palatino Linotype"/>
          <w:b/>
          <w:sz w:val="22"/>
          <w:szCs w:val="22"/>
        </w:rPr>
        <w:t>tres</w:t>
      </w:r>
      <w:r w:rsidRPr="00BB5AAC">
        <w:rPr>
          <w:rFonts w:ascii="Palatino Linotype" w:eastAsia="Palatino Linotype" w:hAnsi="Palatino Linotype" w:cs="Palatino Linotype"/>
          <w:b/>
          <w:sz w:val="22"/>
          <w:szCs w:val="22"/>
        </w:rPr>
        <w:t xml:space="preserve"> de </w:t>
      </w:r>
      <w:r w:rsidR="00E173B7" w:rsidRPr="00BB5AAC">
        <w:rPr>
          <w:rFonts w:ascii="Palatino Linotype" w:eastAsia="Palatino Linotype" w:hAnsi="Palatino Linotype" w:cs="Palatino Linotype"/>
          <w:b/>
          <w:sz w:val="22"/>
          <w:szCs w:val="22"/>
        </w:rPr>
        <w:t>diciembre</w:t>
      </w:r>
      <w:r w:rsidRPr="00BB5AAC">
        <w:rPr>
          <w:rFonts w:ascii="Palatino Linotype" w:eastAsia="Palatino Linotype" w:hAnsi="Palatino Linotype" w:cs="Palatino Linotype"/>
          <w:sz w:val="22"/>
          <w:szCs w:val="22"/>
        </w:rPr>
        <w:t xml:space="preserve"> </w:t>
      </w:r>
      <w:r w:rsidRPr="00BB5AAC">
        <w:rPr>
          <w:rFonts w:ascii="Palatino Linotype" w:eastAsia="Palatino Linotype" w:hAnsi="Palatino Linotype" w:cs="Palatino Linotype"/>
          <w:b/>
          <w:sz w:val="22"/>
          <w:szCs w:val="22"/>
        </w:rPr>
        <w:t xml:space="preserve">de dos mil veinticinco. </w:t>
      </w:r>
    </w:p>
    <w:p w14:paraId="7F051BA5" w14:textId="77777777" w:rsidR="00C877F6" w:rsidRPr="00BB5AAC" w:rsidRDefault="00C877F6">
      <w:pPr>
        <w:spacing w:line="360" w:lineRule="auto"/>
        <w:ind w:right="49"/>
        <w:jc w:val="both"/>
        <w:rPr>
          <w:rFonts w:ascii="Palatino Linotype" w:eastAsia="Palatino Linotype" w:hAnsi="Palatino Linotype" w:cs="Palatino Linotype"/>
          <w:sz w:val="22"/>
          <w:szCs w:val="22"/>
        </w:rPr>
      </w:pPr>
    </w:p>
    <w:p w14:paraId="02027E82" w14:textId="18F57C85" w:rsidR="00C877F6" w:rsidRPr="00BB5AAC" w:rsidRDefault="00F36565">
      <w:pPr>
        <w:spacing w:line="360" w:lineRule="auto"/>
        <w:ind w:right="49"/>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 xml:space="preserve">VISTO </w:t>
      </w:r>
      <w:r w:rsidRPr="00BB5AAC">
        <w:rPr>
          <w:rFonts w:ascii="Palatino Linotype" w:eastAsia="Palatino Linotype" w:hAnsi="Palatino Linotype" w:cs="Palatino Linotype"/>
          <w:sz w:val="22"/>
          <w:szCs w:val="22"/>
        </w:rPr>
        <w:t xml:space="preserve">el expediente relativo al recurso de revisión </w:t>
      </w:r>
      <w:r w:rsidR="003376D2" w:rsidRPr="00BB5AAC">
        <w:rPr>
          <w:rFonts w:ascii="Palatino Linotype" w:eastAsia="Palatino Linotype" w:hAnsi="Palatino Linotype" w:cs="Palatino Linotype"/>
          <w:b/>
          <w:sz w:val="22"/>
          <w:szCs w:val="22"/>
        </w:rPr>
        <w:t>11744/INFOEM/IP/RR/2025</w:t>
      </w:r>
      <w:r w:rsidRPr="00BB5AAC">
        <w:rPr>
          <w:rFonts w:ascii="Palatino Linotype" w:eastAsia="Palatino Linotype" w:hAnsi="Palatino Linotype" w:cs="Palatino Linotype"/>
          <w:b/>
          <w:sz w:val="22"/>
          <w:szCs w:val="22"/>
        </w:rPr>
        <w:t xml:space="preserve">, </w:t>
      </w:r>
      <w:r w:rsidRPr="00BB5AAC">
        <w:rPr>
          <w:rFonts w:ascii="Palatino Linotype" w:eastAsia="Palatino Linotype" w:hAnsi="Palatino Linotype" w:cs="Palatino Linotype"/>
          <w:sz w:val="22"/>
          <w:szCs w:val="22"/>
        </w:rPr>
        <w:t xml:space="preserve">interpuesto por </w:t>
      </w:r>
      <w:r w:rsidR="00D96C37" w:rsidRPr="00D96C37">
        <w:rPr>
          <w:rFonts w:ascii="Palatino Linotype" w:eastAsia="Palatino Linotype" w:hAnsi="Palatino Linotype" w:cs="Palatino Linotype"/>
          <w:b/>
          <w:sz w:val="20"/>
          <w:szCs w:val="20"/>
        </w:rPr>
        <w:t>XXXXX XXXXXXX XXXXXX</w:t>
      </w:r>
      <w:r w:rsidRPr="00D96C37">
        <w:rPr>
          <w:rFonts w:ascii="Palatino Linotype" w:eastAsia="Palatino Linotype" w:hAnsi="Palatino Linotype" w:cs="Palatino Linotype"/>
          <w:b/>
          <w:sz w:val="20"/>
          <w:szCs w:val="20"/>
        </w:rPr>
        <w:t>,</w:t>
      </w:r>
      <w:r w:rsidRPr="00BB5AAC">
        <w:rPr>
          <w:rFonts w:ascii="Palatino Linotype" w:eastAsia="Palatino Linotype" w:hAnsi="Palatino Linotype" w:cs="Palatino Linotype"/>
          <w:sz w:val="22"/>
          <w:szCs w:val="22"/>
        </w:rPr>
        <w:t xml:space="preserve"> en lo sucesivo la parte </w:t>
      </w:r>
      <w:r w:rsidRPr="00BB5AAC">
        <w:rPr>
          <w:rFonts w:ascii="Palatino Linotype" w:eastAsia="Palatino Linotype" w:hAnsi="Palatino Linotype" w:cs="Palatino Linotype"/>
          <w:b/>
          <w:sz w:val="22"/>
          <w:szCs w:val="22"/>
        </w:rPr>
        <w:t>Recurrente</w:t>
      </w:r>
      <w:r w:rsidRPr="00BB5AAC">
        <w:rPr>
          <w:rFonts w:ascii="Palatino Linotype" w:eastAsia="Palatino Linotype" w:hAnsi="Palatino Linotype" w:cs="Palatino Linotype"/>
          <w:sz w:val="22"/>
          <w:szCs w:val="22"/>
        </w:rPr>
        <w:t xml:space="preserve">, en contra de la respuesta a la solicitud de información por parte del </w:t>
      </w:r>
      <w:r w:rsidR="003376D2" w:rsidRPr="00BB5AAC">
        <w:rPr>
          <w:rFonts w:ascii="Palatino Linotype" w:eastAsia="Palatino Linotype" w:hAnsi="Palatino Linotype" w:cs="Palatino Linotype"/>
          <w:b/>
          <w:sz w:val="22"/>
          <w:szCs w:val="22"/>
        </w:rPr>
        <w:t>Ayuntamiento de Calimaya</w:t>
      </w:r>
      <w:r w:rsidRPr="00BB5AAC">
        <w:rPr>
          <w:rFonts w:ascii="Palatino Linotype" w:eastAsia="Palatino Linotype" w:hAnsi="Palatino Linotype" w:cs="Palatino Linotype"/>
          <w:sz w:val="22"/>
          <w:szCs w:val="22"/>
        </w:rPr>
        <w:t xml:space="preserve">, en lo sucesivo el </w:t>
      </w:r>
      <w:r w:rsidRPr="00BB5AAC">
        <w:rPr>
          <w:rFonts w:ascii="Palatino Linotype" w:eastAsia="Palatino Linotype" w:hAnsi="Palatino Linotype" w:cs="Palatino Linotype"/>
          <w:b/>
          <w:sz w:val="22"/>
          <w:szCs w:val="22"/>
        </w:rPr>
        <w:t xml:space="preserve">Sujeto Obligado; </w:t>
      </w:r>
      <w:r w:rsidRPr="00BB5AAC">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BB5AAC" w:rsidRDefault="00C877F6">
      <w:pPr>
        <w:spacing w:line="360" w:lineRule="auto"/>
        <w:ind w:right="49"/>
        <w:jc w:val="both"/>
        <w:rPr>
          <w:rFonts w:ascii="Palatino Linotype" w:eastAsia="Palatino Linotype" w:hAnsi="Palatino Linotype" w:cs="Palatino Linotype"/>
          <w:sz w:val="22"/>
          <w:szCs w:val="22"/>
        </w:rPr>
      </w:pPr>
    </w:p>
    <w:p w14:paraId="29A1AF53" w14:textId="77777777" w:rsidR="00C877F6" w:rsidRPr="00BB5AAC" w:rsidRDefault="00F36565">
      <w:pPr>
        <w:spacing w:line="360" w:lineRule="auto"/>
        <w:ind w:right="49"/>
        <w:jc w:val="center"/>
        <w:rPr>
          <w:rFonts w:ascii="Palatino Linotype" w:eastAsia="Palatino Linotype" w:hAnsi="Palatino Linotype" w:cs="Palatino Linotype"/>
          <w:b/>
          <w:sz w:val="22"/>
          <w:szCs w:val="22"/>
        </w:rPr>
      </w:pPr>
      <w:r w:rsidRPr="00BB5AAC">
        <w:rPr>
          <w:rFonts w:ascii="Palatino Linotype" w:eastAsia="Palatino Linotype" w:hAnsi="Palatino Linotype" w:cs="Palatino Linotype"/>
          <w:b/>
          <w:sz w:val="22"/>
          <w:szCs w:val="22"/>
        </w:rPr>
        <w:t>I.</w:t>
      </w:r>
      <w:r w:rsidRPr="00BB5AAC">
        <w:rPr>
          <w:rFonts w:ascii="Palatino Linotype" w:eastAsia="Palatino Linotype" w:hAnsi="Palatino Linotype" w:cs="Palatino Linotype"/>
          <w:b/>
          <w:sz w:val="22"/>
          <w:szCs w:val="22"/>
        </w:rPr>
        <w:tab/>
        <w:t>A N T E C E D E N T E S</w:t>
      </w:r>
    </w:p>
    <w:p w14:paraId="3ACFD56D" w14:textId="77777777" w:rsidR="00C877F6" w:rsidRPr="00BB5AAC" w:rsidRDefault="00C877F6">
      <w:pPr>
        <w:spacing w:line="360" w:lineRule="auto"/>
        <w:ind w:right="49"/>
        <w:jc w:val="both"/>
        <w:rPr>
          <w:rFonts w:ascii="Palatino Linotype" w:eastAsia="Palatino Linotype" w:hAnsi="Palatino Linotype" w:cs="Palatino Linotype"/>
          <w:sz w:val="22"/>
          <w:szCs w:val="22"/>
        </w:rPr>
      </w:pPr>
    </w:p>
    <w:p w14:paraId="523B7B02" w14:textId="23FA5EF3"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1.</w:t>
      </w:r>
      <w:r w:rsidRPr="00BB5AAC">
        <w:rPr>
          <w:rFonts w:ascii="Palatino Linotype" w:eastAsia="Palatino Linotype" w:hAnsi="Palatino Linotype" w:cs="Palatino Linotype"/>
          <w:sz w:val="22"/>
          <w:szCs w:val="22"/>
        </w:rPr>
        <w:t xml:space="preserve"> </w:t>
      </w:r>
      <w:r w:rsidRPr="00BB5AAC">
        <w:rPr>
          <w:rFonts w:ascii="Palatino Linotype" w:eastAsia="Palatino Linotype" w:hAnsi="Palatino Linotype" w:cs="Palatino Linotype"/>
          <w:b/>
          <w:sz w:val="22"/>
          <w:szCs w:val="22"/>
        </w:rPr>
        <w:t xml:space="preserve">Solicitud </w:t>
      </w:r>
      <w:r w:rsidR="00D3382D" w:rsidRPr="00BB5AAC">
        <w:rPr>
          <w:rFonts w:ascii="Palatino Linotype" w:eastAsia="Palatino Linotype" w:hAnsi="Palatino Linotype" w:cs="Palatino Linotype"/>
          <w:b/>
          <w:sz w:val="22"/>
          <w:szCs w:val="22"/>
        </w:rPr>
        <w:t xml:space="preserve">de </w:t>
      </w:r>
      <w:r w:rsidR="009456FA" w:rsidRPr="00BB5AAC">
        <w:rPr>
          <w:rFonts w:ascii="Palatino Linotype" w:eastAsia="Palatino Linotype" w:hAnsi="Palatino Linotype" w:cs="Palatino Linotype"/>
          <w:b/>
          <w:sz w:val="22"/>
          <w:szCs w:val="22"/>
        </w:rPr>
        <w:t xml:space="preserve">Acceso a la Información. El </w:t>
      </w:r>
      <w:r w:rsidR="003376D2" w:rsidRPr="00BB5AAC">
        <w:rPr>
          <w:rFonts w:ascii="Palatino Linotype" w:eastAsia="Palatino Linotype" w:hAnsi="Palatino Linotype" w:cs="Palatino Linotype"/>
          <w:b/>
          <w:sz w:val="22"/>
          <w:szCs w:val="22"/>
        </w:rPr>
        <w:t>diecinueve</w:t>
      </w:r>
      <w:r w:rsidR="00D3382D" w:rsidRPr="00BB5AAC">
        <w:rPr>
          <w:rFonts w:ascii="Palatino Linotype" w:eastAsia="Palatino Linotype" w:hAnsi="Palatino Linotype" w:cs="Palatino Linotype"/>
          <w:b/>
          <w:sz w:val="22"/>
          <w:szCs w:val="22"/>
        </w:rPr>
        <w:t xml:space="preserve"> de </w:t>
      </w:r>
      <w:r w:rsidR="006C5268" w:rsidRPr="00BB5AAC">
        <w:rPr>
          <w:rFonts w:ascii="Palatino Linotype" w:eastAsia="Palatino Linotype" w:hAnsi="Palatino Linotype" w:cs="Palatino Linotype"/>
          <w:b/>
          <w:sz w:val="22"/>
          <w:szCs w:val="22"/>
        </w:rPr>
        <w:t>septiembre</w:t>
      </w:r>
      <w:r w:rsidRPr="00BB5AAC">
        <w:rPr>
          <w:rFonts w:ascii="Palatino Linotype" w:eastAsia="Palatino Linotype" w:hAnsi="Palatino Linotype" w:cs="Palatino Linotype"/>
          <w:b/>
          <w:sz w:val="22"/>
          <w:szCs w:val="22"/>
        </w:rPr>
        <w:t xml:space="preserve"> de dos mil veinticinco</w:t>
      </w:r>
      <w:r w:rsidRPr="00BB5AAC">
        <w:rPr>
          <w:rFonts w:ascii="Palatino Linotype" w:eastAsia="Palatino Linotype" w:hAnsi="Palatino Linotype" w:cs="Palatino Linotype"/>
          <w:sz w:val="22"/>
          <w:szCs w:val="22"/>
        </w:rPr>
        <w:t xml:space="preserve">, </w:t>
      </w:r>
      <w:r w:rsidRPr="00BB5AAC">
        <w:rPr>
          <w:rFonts w:ascii="Palatino Linotype" w:eastAsia="Palatino Linotype" w:hAnsi="Palatino Linotype" w:cs="Palatino Linotype"/>
          <w:b/>
          <w:sz w:val="22"/>
          <w:szCs w:val="22"/>
        </w:rPr>
        <w:t>LA PARTE</w:t>
      </w:r>
      <w:r w:rsidRPr="00BB5AAC">
        <w:rPr>
          <w:rFonts w:ascii="Palatino Linotype" w:eastAsia="Palatino Linotype" w:hAnsi="Palatino Linotype" w:cs="Palatino Linotype"/>
          <w:sz w:val="22"/>
          <w:szCs w:val="22"/>
        </w:rPr>
        <w:t xml:space="preserve"> </w:t>
      </w:r>
      <w:r w:rsidRPr="00BB5AAC">
        <w:rPr>
          <w:rFonts w:ascii="Palatino Linotype" w:eastAsia="Palatino Linotype" w:hAnsi="Palatino Linotype" w:cs="Palatino Linotype"/>
          <w:b/>
          <w:sz w:val="22"/>
          <w:szCs w:val="22"/>
        </w:rPr>
        <w:t>RECURRENTE</w:t>
      </w:r>
      <w:r w:rsidRPr="00BB5AAC">
        <w:rPr>
          <w:rFonts w:ascii="Palatino Linotype" w:eastAsia="Palatino Linotype" w:hAnsi="Palatino Linotype" w:cs="Palatino Linotype"/>
          <w:sz w:val="22"/>
          <w:szCs w:val="22"/>
        </w:rPr>
        <w:t xml:space="preserve"> formuló solicitud de acceso a información pública a través del </w:t>
      </w:r>
      <w:r w:rsidRPr="00BB5AAC">
        <w:rPr>
          <w:rFonts w:ascii="Palatino Linotype" w:eastAsia="Palatino Linotype" w:hAnsi="Palatino Linotype" w:cs="Palatino Linotype"/>
          <w:b/>
          <w:sz w:val="22"/>
          <w:szCs w:val="22"/>
        </w:rPr>
        <w:t>SAIMEX</w:t>
      </w:r>
      <w:r w:rsidRPr="00BB5AAC">
        <w:rPr>
          <w:rFonts w:ascii="Palatino Linotype" w:eastAsia="Palatino Linotype" w:hAnsi="Palatino Linotype" w:cs="Palatino Linotype"/>
          <w:sz w:val="22"/>
          <w:szCs w:val="22"/>
        </w:rPr>
        <w:t xml:space="preserve">, en la que requirió lo siguiente: </w:t>
      </w:r>
    </w:p>
    <w:p w14:paraId="4EEACF59" w14:textId="77777777" w:rsidR="00C877F6" w:rsidRPr="00BB5AAC" w:rsidRDefault="00C877F6">
      <w:pPr>
        <w:spacing w:line="360" w:lineRule="auto"/>
        <w:jc w:val="both"/>
        <w:rPr>
          <w:rFonts w:ascii="Palatino Linotype" w:eastAsia="Palatino Linotype" w:hAnsi="Palatino Linotype" w:cs="Palatino Linotype"/>
          <w:sz w:val="22"/>
          <w:szCs w:val="22"/>
        </w:rPr>
      </w:pPr>
    </w:p>
    <w:p w14:paraId="21215815" w14:textId="5A380FC4" w:rsidR="00C877F6" w:rsidRPr="00BB5AAC"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0" w:name="_heading=h.3znysh7" w:colFirst="0" w:colLast="0"/>
      <w:bookmarkEnd w:id="0"/>
      <w:r w:rsidRPr="00BB5AAC">
        <w:rPr>
          <w:rFonts w:ascii="Palatino Linotype" w:eastAsia="Palatino Linotype" w:hAnsi="Palatino Linotype" w:cs="Palatino Linotype"/>
          <w:b/>
          <w:sz w:val="22"/>
          <w:szCs w:val="22"/>
        </w:rPr>
        <w:t>0</w:t>
      </w:r>
      <w:r w:rsidR="003376D2" w:rsidRPr="00BB5AAC">
        <w:rPr>
          <w:rFonts w:ascii="Palatino Linotype" w:eastAsia="Palatino Linotype" w:hAnsi="Palatino Linotype" w:cs="Palatino Linotype"/>
          <w:b/>
          <w:sz w:val="22"/>
          <w:szCs w:val="22"/>
        </w:rPr>
        <w:t>0481</w:t>
      </w:r>
      <w:r w:rsidRPr="00BB5AAC">
        <w:rPr>
          <w:rFonts w:ascii="Palatino Linotype" w:eastAsia="Palatino Linotype" w:hAnsi="Palatino Linotype" w:cs="Palatino Linotype"/>
          <w:b/>
          <w:sz w:val="22"/>
          <w:szCs w:val="22"/>
        </w:rPr>
        <w:t>/</w:t>
      </w:r>
      <w:r w:rsidR="003376D2" w:rsidRPr="00BB5AAC">
        <w:rPr>
          <w:rFonts w:ascii="Palatino Linotype" w:eastAsia="Palatino Linotype" w:hAnsi="Palatino Linotype" w:cs="Palatino Linotype"/>
          <w:b/>
          <w:sz w:val="22"/>
          <w:szCs w:val="22"/>
        </w:rPr>
        <w:t>CALIMAYA</w:t>
      </w:r>
      <w:r w:rsidRPr="00BB5AAC">
        <w:rPr>
          <w:rFonts w:ascii="Palatino Linotype" w:eastAsia="Palatino Linotype" w:hAnsi="Palatino Linotype" w:cs="Palatino Linotype"/>
          <w:b/>
          <w:sz w:val="22"/>
          <w:szCs w:val="22"/>
        </w:rPr>
        <w:t>/IP/2025</w:t>
      </w:r>
    </w:p>
    <w:p w14:paraId="173CF3CD" w14:textId="7FA58390" w:rsidR="00C877F6" w:rsidRPr="00BB5AAC" w:rsidRDefault="00F36565" w:rsidP="003376D2">
      <w:pPr>
        <w:spacing w:line="276" w:lineRule="auto"/>
        <w:ind w:left="567" w:right="843"/>
        <w:jc w:val="both"/>
        <w:rPr>
          <w:rFonts w:ascii="Palatino Linotype" w:eastAsia="Palatino Linotype" w:hAnsi="Palatino Linotype" w:cs="Palatino Linotype"/>
          <w:b/>
          <w:i/>
          <w:sz w:val="22"/>
          <w:szCs w:val="22"/>
        </w:rPr>
      </w:pPr>
      <w:r w:rsidRPr="00BB5AAC">
        <w:rPr>
          <w:rFonts w:ascii="Palatino Linotype" w:eastAsia="Palatino Linotype" w:hAnsi="Palatino Linotype" w:cs="Palatino Linotype"/>
          <w:i/>
          <w:sz w:val="22"/>
          <w:szCs w:val="22"/>
        </w:rPr>
        <w:t>"</w:t>
      </w:r>
      <w:r w:rsidR="003376D2" w:rsidRPr="00BB5AAC">
        <w:t xml:space="preserve"> </w:t>
      </w:r>
      <w:r w:rsidR="003376D2" w:rsidRPr="00BB5AAC">
        <w:rPr>
          <w:rFonts w:ascii="Palatino Linotype" w:eastAsia="Palatino Linotype" w:hAnsi="Palatino Linotype" w:cs="Palatino Linotype"/>
          <w:i/>
          <w:sz w:val="22"/>
          <w:szCs w:val="22"/>
        </w:rPr>
        <w:t>¿Cuáles los movimientos de alta, baja, cambios de adscripción, permisos, licencias, vacaciones, etc., del personal asignado al H. Ayuntamiento de Calimaya (Direcciones y Sindicaturas)? del periodo comprendido de julio 2023 a agosto 2024</w:t>
      </w:r>
      <w:r w:rsidRPr="00BB5AAC">
        <w:rPr>
          <w:rFonts w:ascii="Palatino Linotype" w:eastAsia="Palatino Linotype" w:hAnsi="Palatino Linotype" w:cs="Palatino Linotype"/>
          <w:b/>
          <w:i/>
          <w:sz w:val="22"/>
          <w:szCs w:val="22"/>
        </w:rPr>
        <w:t>” (Sic.)</w:t>
      </w:r>
    </w:p>
    <w:p w14:paraId="1861AE9B" w14:textId="77777777" w:rsidR="00C877F6" w:rsidRPr="00BB5AAC"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BB5AAC" w:rsidRDefault="00F36565">
      <w:pPr>
        <w:spacing w:line="360" w:lineRule="auto"/>
        <w:ind w:right="49"/>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Modalidad elegida para la entrega de la información:</w:t>
      </w:r>
      <w:r w:rsidRPr="00BB5AAC">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BB5AAC" w:rsidRDefault="00C877F6">
      <w:pPr>
        <w:widowControl w:val="0"/>
        <w:spacing w:line="360" w:lineRule="auto"/>
        <w:jc w:val="both"/>
        <w:rPr>
          <w:rFonts w:ascii="Palatino Linotype" w:eastAsia="Palatino Linotype" w:hAnsi="Palatino Linotype" w:cs="Palatino Linotype"/>
          <w:b/>
          <w:sz w:val="22"/>
          <w:szCs w:val="22"/>
        </w:rPr>
      </w:pPr>
    </w:p>
    <w:p w14:paraId="46E266A9" w14:textId="4508F541" w:rsidR="00C877F6" w:rsidRPr="00BB5AAC" w:rsidRDefault="00F36565">
      <w:pPr>
        <w:widowControl w:val="0"/>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2. Respuesta.</w:t>
      </w:r>
      <w:r w:rsidRPr="00BB5AAC">
        <w:rPr>
          <w:rFonts w:ascii="Palatino Linotype" w:eastAsia="Palatino Linotype" w:hAnsi="Palatino Linotype" w:cs="Palatino Linotype"/>
          <w:sz w:val="22"/>
          <w:szCs w:val="22"/>
        </w:rPr>
        <w:t xml:space="preserve"> El </w:t>
      </w:r>
      <w:r w:rsidR="003376D2" w:rsidRPr="00BB5AAC">
        <w:rPr>
          <w:rFonts w:ascii="Palatino Linotype" w:eastAsia="Palatino Linotype" w:hAnsi="Palatino Linotype" w:cs="Palatino Linotype"/>
          <w:b/>
          <w:sz w:val="22"/>
          <w:szCs w:val="22"/>
        </w:rPr>
        <w:t>ocho</w:t>
      </w:r>
      <w:r w:rsidRPr="00BB5AAC">
        <w:rPr>
          <w:rFonts w:ascii="Palatino Linotype" w:eastAsia="Palatino Linotype" w:hAnsi="Palatino Linotype" w:cs="Palatino Linotype"/>
          <w:sz w:val="22"/>
          <w:szCs w:val="22"/>
        </w:rPr>
        <w:t xml:space="preserve"> </w:t>
      </w:r>
      <w:r w:rsidRPr="00BB5AAC">
        <w:rPr>
          <w:rFonts w:ascii="Palatino Linotype" w:eastAsia="Palatino Linotype" w:hAnsi="Palatino Linotype" w:cs="Palatino Linotype"/>
          <w:b/>
          <w:sz w:val="22"/>
          <w:szCs w:val="22"/>
        </w:rPr>
        <w:t xml:space="preserve">de </w:t>
      </w:r>
      <w:r w:rsidR="003376D2" w:rsidRPr="00BB5AAC">
        <w:rPr>
          <w:rFonts w:ascii="Palatino Linotype" w:eastAsia="Palatino Linotype" w:hAnsi="Palatino Linotype" w:cs="Palatino Linotype"/>
          <w:b/>
          <w:sz w:val="22"/>
          <w:szCs w:val="22"/>
        </w:rPr>
        <w:t>octubre</w:t>
      </w:r>
      <w:r w:rsidR="009456FA" w:rsidRPr="00BB5AAC">
        <w:rPr>
          <w:rFonts w:ascii="Palatino Linotype" w:eastAsia="Palatino Linotype" w:hAnsi="Palatino Linotype" w:cs="Palatino Linotype"/>
          <w:b/>
          <w:sz w:val="22"/>
          <w:szCs w:val="22"/>
        </w:rPr>
        <w:t xml:space="preserve"> </w:t>
      </w:r>
      <w:r w:rsidRPr="00BB5AAC">
        <w:rPr>
          <w:rFonts w:ascii="Palatino Linotype" w:eastAsia="Palatino Linotype" w:hAnsi="Palatino Linotype" w:cs="Palatino Linotype"/>
          <w:b/>
          <w:sz w:val="22"/>
          <w:szCs w:val="22"/>
        </w:rPr>
        <w:t>de dos mil veinticinco</w:t>
      </w:r>
      <w:r w:rsidRPr="00BB5AAC">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BB5AAC" w:rsidRDefault="00C877F6">
      <w:pPr>
        <w:widowControl w:val="0"/>
        <w:spacing w:line="360" w:lineRule="auto"/>
        <w:jc w:val="both"/>
        <w:rPr>
          <w:rFonts w:ascii="Palatino Linotype" w:eastAsia="Palatino Linotype" w:hAnsi="Palatino Linotype" w:cs="Palatino Linotype"/>
          <w:sz w:val="22"/>
          <w:szCs w:val="22"/>
        </w:rPr>
      </w:pPr>
    </w:p>
    <w:p w14:paraId="3695D102" w14:textId="77777777" w:rsidR="006B2D7C" w:rsidRPr="00BB5AAC" w:rsidRDefault="00F36565" w:rsidP="006B2D7C">
      <w:pPr>
        <w:widowControl w:val="0"/>
        <w:spacing w:line="360" w:lineRule="auto"/>
        <w:ind w:left="567" w:right="843"/>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r w:rsidR="006B2D7C" w:rsidRPr="00BB5AA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C801AAF" w14:textId="281051B7" w:rsidR="006B2D7C" w:rsidRPr="00BB5AAC" w:rsidRDefault="006B2D7C" w:rsidP="006B2D7C">
      <w:pPr>
        <w:widowControl w:val="0"/>
        <w:spacing w:line="360" w:lineRule="auto"/>
        <w:ind w:left="567" w:right="843"/>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ESTIMADO </w:t>
      </w:r>
      <w:r w:rsidR="00D96C37">
        <w:rPr>
          <w:rFonts w:ascii="Palatino Linotype" w:eastAsia="Palatino Linotype" w:hAnsi="Palatino Linotype" w:cs="Palatino Linotype"/>
          <w:i/>
          <w:sz w:val="22"/>
          <w:szCs w:val="22"/>
        </w:rPr>
        <w:t>XXXXXXXXXXX</w:t>
      </w:r>
      <w:bookmarkStart w:id="1" w:name="_GoBack"/>
      <w:bookmarkEnd w:id="1"/>
      <w:r w:rsidRPr="00BB5AAC">
        <w:rPr>
          <w:rFonts w:ascii="Palatino Linotype" w:eastAsia="Palatino Linotype" w:hAnsi="Palatino Linotype" w:cs="Palatino Linotype"/>
          <w:i/>
          <w:sz w:val="22"/>
          <w:szCs w:val="22"/>
        </w:rPr>
        <w:t>: EN ATENCIÓN A SU SOLICITUD DE INFORMACIÓN CON NÚMERO DE FOLIO 00481/CALIMAYA/IP/2025 POR ESTE MEDIO ME PERMITO HACER DE SU CONOCIMIENTO QUE SU SOLICITUD FUE TURNADA AL SERVIDOR PÚBLICO HABILITADO QUE A CONTINUACIÓN SE ENLISTAN, QUIEN EMITIÓ LA SIGUIENTE RESPUESTA Y DOCUMENTOS ADJUNTOS QUE SE ENTREGAN A TRAVÉS DEL SAIMEX, DE CONFORMIDAD A LO ESTABLECIDO EN LOS ARTÍCULOS 53 FRACCIÓN II Y IV, 59, 158, 159, 161, 162 Y 163 DE LA LEY DE TRANSPARENCIA Y ACCESO A LA INFORMACIÓN PÚBLICA DEL ESTADO DE MÉXICO Y MUNICIPIOS: “SE HACE DEL CONOCIMIENTO DEL SOLICITANTE QUE MEDIANTE EL OFICIO NÚMERO PMC/TM/0748/2025 (TESORERÍA MUNICIPAL), SE DIO RESPUESTA A LA SOLICITUD CON NÚMERO DE FOLIO 00481/CALIMAYA/IP/2025, SE ADJUNTA EL OFICIO DE RESPUESTA, PARA MAYOR REFERENCIA.” SIN OTRO ASUNTO, DEJANDO A SALVO SUS PRERROGATIVAS DE INCONFORMIDAD ESTABLECIDAS EN EL TÍTULO OCTAVO DE LA LEY DE TRANSPARENCIA Y ACCESO A LA INFORMACIÓN PÚBLICA DEL ESTADO DE MÉXICO Y MUNICIPIOS, INFORMANDO QUE CUENTA, EN SU CASO, CON 15 DÍAS PARA PROMOVERLA, QUEDO DE USTED.</w:t>
      </w:r>
    </w:p>
    <w:p w14:paraId="498C8710" w14:textId="77777777" w:rsidR="006B2D7C" w:rsidRPr="00BB5AAC" w:rsidRDefault="006B2D7C" w:rsidP="006B2D7C">
      <w:pPr>
        <w:widowControl w:val="0"/>
        <w:spacing w:line="360" w:lineRule="auto"/>
        <w:ind w:left="567" w:right="843"/>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ATENTAMENTE</w:t>
      </w:r>
    </w:p>
    <w:p w14:paraId="7858BA1C" w14:textId="2F264256" w:rsidR="00C877F6" w:rsidRPr="00BB5AAC" w:rsidRDefault="006B2D7C" w:rsidP="006B2D7C">
      <w:pPr>
        <w:widowControl w:val="0"/>
        <w:spacing w:line="360" w:lineRule="auto"/>
        <w:ind w:left="567" w:right="843"/>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Mtra. Mari Toña Olmedo Carmona</w:t>
      </w:r>
      <w:r w:rsidR="00D3382D" w:rsidRPr="00BB5AAC">
        <w:rPr>
          <w:rFonts w:ascii="Palatino Linotype" w:eastAsia="Palatino Linotype" w:hAnsi="Palatino Linotype" w:cs="Palatino Linotype"/>
          <w:i/>
          <w:sz w:val="22"/>
          <w:szCs w:val="22"/>
        </w:rPr>
        <w:t>”</w:t>
      </w:r>
    </w:p>
    <w:p w14:paraId="7C751FDF" w14:textId="77777777" w:rsidR="009456FA" w:rsidRPr="00BB5AAC"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389F096D" w14:textId="4FB51034" w:rsidR="006B2D7C" w:rsidRPr="00BB5AAC" w:rsidRDefault="00F36565">
      <w:pPr>
        <w:widowControl w:val="0"/>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El Sujeto Obligado adjuntó </w:t>
      </w:r>
      <w:r w:rsidR="006B2D7C" w:rsidRPr="00BB5AAC">
        <w:rPr>
          <w:rFonts w:ascii="Palatino Linotype" w:eastAsia="Palatino Linotype" w:hAnsi="Palatino Linotype" w:cs="Palatino Linotype"/>
          <w:sz w:val="22"/>
          <w:szCs w:val="22"/>
        </w:rPr>
        <w:t>el documento electrónico denominado 481.pdf que contiene un oficio suscrito por el Tesorero Municipal mediante el cual refiere que después de una revisión exhaustiva no se cuenta con registros de información relacionada con movimientos de personal como altas y bajas, cambios de los ejercicios del 2023 y 2024, toda vez que la información solicitada no fue proporcionada en la entrega de la administración saliente.</w:t>
      </w:r>
    </w:p>
    <w:p w14:paraId="5B85E8C7" w14:textId="77777777" w:rsidR="006B2D7C" w:rsidRPr="00BB5AAC" w:rsidRDefault="006B2D7C">
      <w:pPr>
        <w:widowControl w:val="0"/>
        <w:spacing w:line="360" w:lineRule="auto"/>
        <w:jc w:val="both"/>
        <w:rPr>
          <w:rFonts w:ascii="Palatino Linotype" w:eastAsia="Palatino Linotype" w:hAnsi="Palatino Linotype" w:cs="Palatino Linotype"/>
          <w:sz w:val="22"/>
          <w:szCs w:val="22"/>
        </w:rPr>
      </w:pPr>
    </w:p>
    <w:p w14:paraId="4DA0D391" w14:textId="2AD3C525"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 xml:space="preserve">3. Del Recurso de Revisión. </w:t>
      </w:r>
      <w:r w:rsidRPr="00BB5AAC">
        <w:rPr>
          <w:rFonts w:ascii="Palatino Linotype" w:eastAsia="Palatino Linotype" w:hAnsi="Palatino Linotype" w:cs="Palatino Linotype"/>
          <w:sz w:val="22"/>
          <w:szCs w:val="22"/>
        </w:rPr>
        <w:t>Inconforme con la respuesta del</w:t>
      </w:r>
      <w:r w:rsidRPr="00BB5AAC">
        <w:rPr>
          <w:rFonts w:ascii="Palatino Linotype" w:eastAsia="Palatino Linotype" w:hAnsi="Palatino Linotype" w:cs="Palatino Linotype"/>
          <w:b/>
          <w:sz w:val="22"/>
          <w:szCs w:val="22"/>
        </w:rPr>
        <w:t xml:space="preserve"> SUJETO OBLIGADO, </w:t>
      </w:r>
      <w:r w:rsidRPr="00BB5AAC">
        <w:rPr>
          <w:rFonts w:ascii="Palatino Linotype" w:eastAsia="Palatino Linotype" w:hAnsi="Palatino Linotype" w:cs="Palatino Linotype"/>
          <w:sz w:val="22"/>
          <w:szCs w:val="22"/>
        </w:rPr>
        <w:t xml:space="preserve">el </w:t>
      </w:r>
      <w:r w:rsidR="00614827" w:rsidRPr="00BB5AAC">
        <w:rPr>
          <w:rFonts w:ascii="Palatino Linotype" w:eastAsia="Palatino Linotype" w:hAnsi="Palatino Linotype" w:cs="Palatino Linotype"/>
          <w:b/>
          <w:sz w:val="22"/>
          <w:szCs w:val="22"/>
        </w:rPr>
        <w:t>diez</w:t>
      </w:r>
      <w:r w:rsidR="00507CDE" w:rsidRPr="00BB5AAC">
        <w:rPr>
          <w:rFonts w:ascii="Palatino Linotype" w:eastAsia="Palatino Linotype" w:hAnsi="Palatino Linotype" w:cs="Palatino Linotype"/>
          <w:sz w:val="22"/>
          <w:szCs w:val="22"/>
        </w:rPr>
        <w:t xml:space="preserve"> </w:t>
      </w:r>
      <w:r w:rsidRPr="00BB5AAC">
        <w:rPr>
          <w:rFonts w:ascii="Palatino Linotype" w:eastAsia="Palatino Linotype" w:hAnsi="Palatino Linotype" w:cs="Palatino Linotype"/>
          <w:sz w:val="22"/>
          <w:szCs w:val="22"/>
        </w:rPr>
        <w:t>d</w:t>
      </w:r>
      <w:r w:rsidRPr="00BB5AAC">
        <w:rPr>
          <w:rFonts w:ascii="Palatino Linotype" w:eastAsia="Palatino Linotype" w:hAnsi="Palatino Linotype" w:cs="Palatino Linotype"/>
          <w:b/>
          <w:sz w:val="22"/>
          <w:szCs w:val="22"/>
        </w:rPr>
        <w:t xml:space="preserve">e </w:t>
      </w:r>
      <w:r w:rsidR="00D36B02" w:rsidRPr="00BB5AAC">
        <w:rPr>
          <w:rFonts w:ascii="Palatino Linotype" w:eastAsia="Palatino Linotype" w:hAnsi="Palatino Linotype" w:cs="Palatino Linotype"/>
          <w:b/>
          <w:sz w:val="22"/>
          <w:szCs w:val="22"/>
        </w:rPr>
        <w:t>octubre</w:t>
      </w:r>
      <w:r w:rsidRPr="00BB5AAC">
        <w:rPr>
          <w:rFonts w:ascii="Palatino Linotype" w:eastAsia="Palatino Linotype" w:hAnsi="Palatino Linotype" w:cs="Palatino Linotype"/>
          <w:b/>
          <w:sz w:val="22"/>
          <w:szCs w:val="22"/>
        </w:rPr>
        <w:t xml:space="preserve"> de dos mil veinticinco, LA PARTE RECURRENTE </w:t>
      </w:r>
      <w:r w:rsidRPr="00BB5AAC">
        <w:rPr>
          <w:rFonts w:ascii="Palatino Linotype" w:eastAsia="Palatino Linotype" w:hAnsi="Palatino Linotype" w:cs="Palatino Linotype"/>
          <w:sz w:val="22"/>
          <w:szCs w:val="22"/>
        </w:rPr>
        <w:t xml:space="preserve">interpuso el recurso de revisión, mediante el cual y manifestó lo siguiente: </w:t>
      </w:r>
    </w:p>
    <w:p w14:paraId="36671519" w14:textId="7A0C6BEE" w:rsidR="00C877F6" w:rsidRPr="00BB5AAC" w:rsidRDefault="00F36565" w:rsidP="00D36B02">
      <w:pPr>
        <w:pStyle w:val="Listaconvietas3"/>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Acto Impugnado:</w:t>
      </w:r>
      <w:r w:rsidRPr="00BB5AAC">
        <w:rPr>
          <w:rFonts w:ascii="Palatino Linotype" w:eastAsia="Palatino Linotype" w:hAnsi="Palatino Linotype" w:cs="Palatino Linotype"/>
          <w:i/>
          <w:sz w:val="22"/>
          <w:szCs w:val="22"/>
        </w:rPr>
        <w:t xml:space="preserve"> “</w:t>
      </w:r>
      <w:r w:rsidR="00D36B02" w:rsidRPr="00BB5AAC">
        <w:rPr>
          <w:rFonts w:ascii="Palatino Linotype" w:eastAsia="Palatino Linotype" w:hAnsi="Palatino Linotype" w:cs="Palatino Linotype"/>
          <w:i/>
          <w:sz w:val="22"/>
          <w:szCs w:val="22"/>
        </w:rPr>
        <w:t>Con fundamento en el art. 169 de la LEY DE TRANSPARENCIA Y ACCESO A LA INFORMACIÓN PÚBLICA DEL ESTADO DE MÉXICO Y MUNICIPIOS, solicito el acta de sesión de comité en el cual se ratifica lo referido en su respuesta.</w:t>
      </w:r>
      <w:r w:rsidRPr="00BB5AAC">
        <w:rPr>
          <w:rFonts w:ascii="Palatino Linotype" w:eastAsia="Palatino Linotype" w:hAnsi="Palatino Linotype" w:cs="Palatino Linotype"/>
          <w:i/>
          <w:sz w:val="22"/>
          <w:szCs w:val="22"/>
        </w:rPr>
        <w:t>” (Sic.)</w:t>
      </w:r>
    </w:p>
    <w:p w14:paraId="2BA13102" w14:textId="77777777" w:rsidR="00C877F6" w:rsidRPr="00BB5AAC" w:rsidRDefault="00C877F6">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756C4C58" w:rsidR="00C877F6" w:rsidRPr="00BB5AAC" w:rsidRDefault="00F36565" w:rsidP="00D36B02">
      <w:pPr>
        <w:pStyle w:val="Listaconvietas3"/>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Motivo de inconformidad:</w:t>
      </w:r>
      <w:r w:rsidRPr="00BB5AAC">
        <w:rPr>
          <w:rFonts w:ascii="Palatino Linotype" w:eastAsia="Palatino Linotype" w:hAnsi="Palatino Linotype" w:cs="Palatino Linotype"/>
          <w:i/>
          <w:sz w:val="22"/>
          <w:szCs w:val="22"/>
        </w:rPr>
        <w:t xml:space="preserve"> “</w:t>
      </w:r>
      <w:r w:rsidR="00D36B02" w:rsidRPr="00BB5AAC">
        <w:rPr>
          <w:rFonts w:ascii="Palatino Linotype" w:eastAsia="Palatino Linotype" w:hAnsi="Palatino Linotype" w:cs="Palatino Linotype"/>
          <w:i/>
          <w:sz w:val="22"/>
          <w:szCs w:val="22"/>
        </w:rPr>
        <w:t>Con fundamento en el art. 169 de la LEY DE TRANSPARENCIA Y ACCESO A LA INFORMACIÓN PÚBLICA DEL ESTADO DE MÉXICO Y MUNICIPIOS, solicito el acta de sesión de comité en el cual se ratifica lo referido en su respuesta.</w:t>
      </w:r>
      <w:r w:rsidRPr="00BB5AAC">
        <w:rPr>
          <w:rFonts w:ascii="Palatino Linotype" w:eastAsia="Palatino Linotype" w:hAnsi="Palatino Linotype" w:cs="Palatino Linotype"/>
          <w:i/>
          <w:sz w:val="22"/>
          <w:szCs w:val="22"/>
        </w:rPr>
        <w:t>” (Sic.)</w:t>
      </w:r>
    </w:p>
    <w:p w14:paraId="2F870A2F" w14:textId="77777777" w:rsidR="00C877F6" w:rsidRPr="00BB5AAC" w:rsidRDefault="00C877F6">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4B1EC0B2"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 xml:space="preserve">4. Turno. </w:t>
      </w:r>
      <w:r w:rsidRPr="00BB5AA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3376D2" w:rsidRPr="00BB5AAC">
        <w:rPr>
          <w:rFonts w:ascii="Palatino Linotype" w:eastAsia="Palatino Linotype" w:hAnsi="Palatino Linotype" w:cs="Palatino Linotype"/>
          <w:b/>
          <w:sz w:val="22"/>
          <w:szCs w:val="22"/>
        </w:rPr>
        <w:t>11744/INFOEM/IP/RR/2025</w:t>
      </w:r>
      <w:r w:rsidRPr="00BB5AAC">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BB5AAC">
        <w:rPr>
          <w:rFonts w:ascii="Palatino Linotype" w:eastAsia="Palatino Linotype" w:hAnsi="Palatino Linotype" w:cs="Palatino Linotype"/>
          <w:b/>
          <w:sz w:val="22"/>
          <w:szCs w:val="22"/>
        </w:rPr>
        <w:t>Guadalupe Ramírez Peña</w:t>
      </w:r>
      <w:r w:rsidRPr="00BB5AAC">
        <w:rPr>
          <w:rFonts w:ascii="Palatino Linotype" w:eastAsia="Palatino Linotype" w:hAnsi="Palatino Linotype" w:cs="Palatino Linotype"/>
          <w:sz w:val="22"/>
          <w:szCs w:val="22"/>
        </w:rPr>
        <w:t>, para su análisis, estudio, elaboración del proyecto y presentación ante el Pleno de este Instituto.</w:t>
      </w:r>
      <w:r w:rsidR="006B2D7C" w:rsidRPr="00BB5AAC">
        <w:rPr>
          <w:rFonts w:ascii="Palatino Linotype" w:eastAsia="Palatino Linotype" w:hAnsi="Palatino Linotype" w:cs="Palatino Linotype"/>
          <w:sz w:val="22"/>
          <w:szCs w:val="22"/>
        </w:rPr>
        <w:t xml:space="preserve"> </w:t>
      </w:r>
    </w:p>
    <w:p w14:paraId="5BFE6F75" w14:textId="77777777" w:rsidR="00C877F6" w:rsidRPr="00BB5AAC" w:rsidRDefault="00C877F6">
      <w:pPr>
        <w:spacing w:line="360" w:lineRule="auto"/>
        <w:jc w:val="both"/>
        <w:rPr>
          <w:rFonts w:ascii="Palatino Linotype" w:eastAsia="Palatino Linotype" w:hAnsi="Palatino Linotype" w:cs="Palatino Linotype"/>
          <w:sz w:val="22"/>
          <w:szCs w:val="22"/>
        </w:rPr>
      </w:pPr>
    </w:p>
    <w:p w14:paraId="4B06CA9F" w14:textId="7F2CAC96" w:rsidR="00C877F6" w:rsidRPr="00BB5AAC" w:rsidRDefault="00F36565">
      <w:pPr>
        <w:spacing w:line="360" w:lineRule="auto"/>
        <w:jc w:val="both"/>
        <w:rPr>
          <w:rFonts w:ascii="Palatino Linotype" w:eastAsia="Palatino Linotype" w:hAnsi="Palatino Linotype" w:cs="Palatino Linotype"/>
          <w:b/>
          <w:sz w:val="22"/>
          <w:szCs w:val="22"/>
        </w:rPr>
      </w:pPr>
      <w:r w:rsidRPr="00BB5AAC">
        <w:rPr>
          <w:rFonts w:ascii="Palatino Linotype" w:eastAsia="Palatino Linotype" w:hAnsi="Palatino Linotype" w:cs="Palatino Linotype"/>
          <w:b/>
          <w:sz w:val="22"/>
          <w:szCs w:val="22"/>
        </w:rPr>
        <w:t xml:space="preserve">5. Admisión. </w:t>
      </w:r>
      <w:r w:rsidRPr="00BB5AAC">
        <w:rPr>
          <w:rFonts w:ascii="Palatino Linotype" w:eastAsia="Palatino Linotype" w:hAnsi="Palatino Linotype" w:cs="Palatino Linotype"/>
          <w:sz w:val="22"/>
          <w:szCs w:val="22"/>
        </w:rPr>
        <w:t xml:space="preserve">El </w:t>
      </w:r>
      <w:r w:rsidR="00D36B02" w:rsidRPr="00BB5AAC">
        <w:rPr>
          <w:rFonts w:ascii="Palatino Linotype" w:eastAsia="Palatino Linotype" w:hAnsi="Palatino Linotype" w:cs="Palatino Linotype"/>
          <w:b/>
          <w:sz w:val="22"/>
          <w:szCs w:val="22"/>
        </w:rPr>
        <w:t>quince</w:t>
      </w:r>
      <w:r w:rsidR="005A4875" w:rsidRPr="00BB5AAC">
        <w:rPr>
          <w:rFonts w:ascii="Palatino Linotype" w:eastAsia="Palatino Linotype" w:hAnsi="Palatino Linotype" w:cs="Palatino Linotype"/>
          <w:b/>
          <w:sz w:val="22"/>
          <w:szCs w:val="22"/>
        </w:rPr>
        <w:t xml:space="preserve"> de </w:t>
      </w:r>
      <w:r w:rsidR="00B46206" w:rsidRPr="00BB5AAC">
        <w:rPr>
          <w:rFonts w:ascii="Palatino Linotype" w:eastAsia="Palatino Linotype" w:hAnsi="Palatino Linotype" w:cs="Palatino Linotype"/>
          <w:b/>
          <w:sz w:val="22"/>
          <w:szCs w:val="22"/>
        </w:rPr>
        <w:t>octubre</w:t>
      </w:r>
      <w:r w:rsidRPr="00BB5AAC">
        <w:rPr>
          <w:rFonts w:ascii="Palatino Linotype" w:eastAsia="Palatino Linotype" w:hAnsi="Palatino Linotype" w:cs="Palatino Linotype"/>
          <w:b/>
          <w:sz w:val="22"/>
          <w:szCs w:val="22"/>
        </w:rPr>
        <w:t xml:space="preserve"> de dos mil veinticinco</w:t>
      </w:r>
      <w:r w:rsidRPr="00BB5AAC">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BB5AAC">
        <w:rPr>
          <w:rFonts w:ascii="Palatino Linotype" w:eastAsia="Palatino Linotype" w:hAnsi="Palatino Linotype" w:cs="Palatino Linotype"/>
          <w:b/>
          <w:sz w:val="22"/>
          <w:szCs w:val="22"/>
        </w:rPr>
        <w:t>.</w:t>
      </w:r>
      <w:r w:rsidR="005A668A" w:rsidRPr="00BB5AAC">
        <w:rPr>
          <w:rFonts w:ascii="Palatino Linotype" w:eastAsia="Palatino Linotype" w:hAnsi="Palatino Linotype" w:cs="Palatino Linotype"/>
          <w:b/>
          <w:sz w:val="22"/>
          <w:szCs w:val="22"/>
        </w:rPr>
        <w:t xml:space="preserve"> </w:t>
      </w:r>
    </w:p>
    <w:p w14:paraId="5E981DE9" w14:textId="77777777" w:rsidR="00C877F6" w:rsidRPr="00BB5AAC" w:rsidRDefault="00C877F6">
      <w:pPr>
        <w:spacing w:line="360" w:lineRule="auto"/>
        <w:jc w:val="both"/>
        <w:rPr>
          <w:rFonts w:ascii="Palatino Linotype" w:eastAsia="Palatino Linotype" w:hAnsi="Palatino Linotype" w:cs="Palatino Linotype"/>
          <w:b/>
          <w:sz w:val="22"/>
          <w:szCs w:val="22"/>
        </w:rPr>
      </w:pPr>
    </w:p>
    <w:p w14:paraId="7458E908" w14:textId="77777777" w:rsidR="00B4620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6. Manifestaciones.</w:t>
      </w:r>
      <w:r w:rsidRPr="00BB5AAC">
        <w:rPr>
          <w:rFonts w:ascii="Palatino Linotype" w:eastAsia="Palatino Linotype" w:hAnsi="Palatino Linotype" w:cs="Palatino Linotype"/>
          <w:sz w:val="22"/>
          <w:szCs w:val="22"/>
        </w:rPr>
        <w:t xml:space="preserve"> De las constancias que obran en el expediente electrónico del SAIMEX, se advierte que </w:t>
      </w:r>
      <w:r w:rsidR="00B46206" w:rsidRPr="00BB5AAC">
        <w:rPr>
          <w:rFonts w:ascii="Palatino Linotype" w:eastAsia="Palatino Linotype" w:hAnsi="Palatino Linotype" w:cs="Palatino Linotype"/>
          <w:sz w:val="22"/>
          <w:szCs w:val="22"/>
        </w:rPr>
        <w:t xml:space="preserve">tanto el </w:t>
      </w:r>
      <w:r w:rsidRPr="00BB5AAC">
        <w:rPr>
          <w:rFonts w:ascii="Palatino Linotype" w:eastAsia="Palatino Linotype" w:hAnsi="Palatino Linotype" w:cs="Palatino Linotype"/>
          <w:sz w:val="22"/>
          <w:szCs w:val="22"/>
        </w:rPr>
        <w:t xml:space="preserve">Sujeto Obligado </w:t>
      </w:r>
      <w:r w:rsidR="00B46206" w:rsidRPr="00BB5AAC">
        <w:rPr>
          <w:rFonts w:ascii="Palatino Linotype" w:eastAsia="Palatino Linotype" w:hAnsi="Palatino Linotype" w:cs="Palatino Linotype"/>
          <w:sz w:val="22"/>
          <w:szCs w:val="22"/>
        </w:rPr>
        <w:t>como el Recurrente fueron omisos en realizar manifestaciones; se inserta imagen de referencia:</w:t>
      </w:r>
    </w:p>
    <w:p w14:paraId="5EC505BF" w14:textId="19124C3A" w:rsidR="00B46206" w:rsidRPr="00BB5AAC" w:rsidRDefault="00B46206">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noProof/>
          <w:sz w:val="22"/>
          <w:szCs w:val="22"/>
        </w:rPr>
        <w:drawing>
          <wp:inline distT="0" distB="0" distL="0" distR="0" wp14:anchorId="6E02FF7F" wp14:editId="40B44DD4">
            <wp:extent cx="5756275" cy="1682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1682750"/>
                    </a:xfrm>
                    <a:prstGeom prst="rect">
                      <a:avLst/>
                    </a:prstGeom>
                  </pic:spPr>
                </pic:pic>
              </a:graphicData>
            </a:graphic>
          </wp:inline>
        </w:drawing>
      </w:r>
    </w:p>
    <w:p w14:paraId="21892F7B" w14:textId="77777777" w:rsidR="003F6A2A" w:rsidRPr="00BB5AAC" w:rsidRDefault="003F6A2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533B057" w14:textId="74415E1A" w:rsidR="00C877F6" w:rsidRPr="00BB5AAC" w:rsidRDefault="00F365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7</w:t>
      </w:r>
      <w:r w:rsidR="00816709" w:rsidRPr="00BB5AAC">
        <w:rPr>
          <w:rFonts w:ascii="Palatino Linotype" w:eastAsia="Palatino Linotype" w:hAnsi="Palatino Linotype" w:cs="Palatino Linotype"/>
          <w:b/>
          <w:sz w:val="22"/>
          <w:szCs w:val="22"/>
        </w:rPr>
        <w:t xml:space="preserve">. Ampliación de plazo. El </w:t>
      </w:r>
      <w:r w:rsidR="005A4875" w:rsidRPr="00BB5AAC">
        <w:rPr>
          <w:rFonts w:ascii="Palatino Linotype" w:eastAsia="Palatino Linotype" w:hAnsi="Palatino Linotype" w:cs="Palatino Linotype"/>
          <w:b/>
          <w:sz w:val="22"/>
          <w:szCs w:val="22"/>
        </w:rPr>
        <w:t>veint</w:t>
      </w:r>
      <w:r w:rsidR="00B46206" w:rsidRPr="00BB5AAC">
        <w:rPr>
          <w:rFonts w:ascii="Palatino Linotype" w:eastAsia="Palatino Linotype" w:hAnsi="Palatino Linotype" w:cs="Palatino Linotype"/>
          <w:b/>
          <w:sz w:val="22"/>
          <w:szCs w:val="22"/>
        </w:rPr>
        <w:t>iséis</w:t>
      </w:r>
      <w:r w:rsidRPr="00BB5AAC">
        <w:rPr>
          <w:rFonts w:ascii="Palatino Linotype" w:eastAsia="Palatino Linotype" w:hAnsi="Palatino Linotype" w:cs="Palatino Linotype"/>
          <w:b/>
          <w:sz w:val="22"/>
          <w:szCs w:val="22"/>
        </w:rPr>
        <w:t xml:space="preserve"> de noviembre de dos mil veinticinco</w:t>
      </w:r>
      <w:r w:rsidRPr="00BB5AAC">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0AC3F94B" w14:textId="77777777" w:rsidR="00B46206" w:rsidRPr="00BB5AAC" w:rsidRDefault="00B4620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46D2EDF" w14:textId="415E7B9F" w:rsidR="00C877F6" w:rsidRPr="00BB5AAC" w:rsidRDefault="00F365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8. Cierre de instrucción</w:t>
      </w:r>
      <w:r w:rsidRPr="00BB5AAC">
        <w:rPr>
          <w:rFonts w:ascii="Palatino Linotype" w:eastAsia="Palatino Linotype" w:hAnsi="Palatino Linotype" w:cs="Palatino Linotype"/>
          <w:sz w:val="22"/>
          <w:szCs w:val="22"/>
        </w:rPr>
        <w:t xml:space="preserve">. En fecha </w:t>
      </w:r>
      <w:r w:rsidR="00816709" w:rsidRPr="00BB5AAC">
        <w:rPr>
          <w:rFonts w:ascii="Palatino Linotype" w:eastAsia="Palatino Linotype" w:hAnsi="Palatino Linotype" w:cs="Palatino Linotype"/>
          <w:b/>
          <w:sz w:val="22"/>
          <w:szCs w:val="22"/>
        </w:rPr>
        <w:t>veint</w:t>
      </w:r>
      <w:r w:rsidR="001244B6" w:rsidRPr="00BB5AAC">
        <w:rPr>
          <w:rFonts w:ascii="Palatino Linotype" w:eastAsia="Palatino Linotype" w:hAnsi="Palatino Linotype" w:cs="Palatino Linotype"/>
          <w:b/>
          <w:sz w:val="22"/>
          <w:szCs w:val="22"/>
        </w:rPr>
        <w:t>iséis</w:t>
      </w:r>
      <w:r w:rsidRPr="00BB5AAC">
        <w:rPr>
          <w:rFonts w:ascii="Palatino Linotype" w:eastAsia="Palatino Linotype" w:hAnsi="Palatino Linotype" w:cs="Palatino Linotype"/>
          <w:sz w:val="22"/>
          <w:szCs w:val="22"/>
        </w:rPr>
        <w:t xml:space="preserve"> </w:t>
      </w:r>
      <w:r w:rsidRPr="00BB5AAC">
        <w:rPr>
          <w:rFonts w:ascii="Palatino Linotype" w:eastAsia="Palatino Linotype" w:hAnsi="Palatino Linotype" w:cs="Palatino Linotype"/>
          <w:b/>
          <w:sz w:val="22"/>
          <w:szCs w:val="22"/>
        </w:rPr>
        <w:t>de noviembre de dos mil veinticinco</w:t>
      </w:r>
      <w:r w:rsidRPr="00BB5AA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BB5AAC"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BB5AAC" w:rsidRDefault="00F36565">
      <w:pPr>
        <w:spacing w:line="360" w:lineRule="auto"/>
        <w:ind w:right="49"/>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Debido a que fue</w:t>
      </w:r>
      <w:r w:rsidR="008D5D61" w:rsidRPr="00BB5AAC">
        <w:rPr>
          <w:rFonts w:ascii="Palatino Linotype" w:eastAsia="Palatino Linotype" w:hAnsi="Palatino Linotype" w:cs="Palatino Linotype"/>
          <w:sz w:val="22"/>
          <w:szCs w:val="22"/>
        </w:rPr>
        <w:t xml:space="preserve"> debidamente sustanciado</w:t>
      </w:r>
      <w:r w:rsidRPr="00BB5AAC">
        <w:rPr>
          <w:rFonts w:ascii="Palatino Linotype" w:eastAsia="Palatino Linotype" w:hAnsi="Palatino Linotype" w:cs="Palatino Linotype"/>
          <w:sz w:val="22"/>
          <w:szCs w:val="22"/>
        </w:rPr>
        <w:t xml:space="preserve"> </w:t>
      </w:r>
      <w:r w:rsidR="008D5D61" w:rsidRPr="00BB5AAC">
        <w:rPr>
          <w:rFonts w:ascii="Palatino Linotype" w:eastAsia="Palatino Linotype" w:hAnsi="Palatino Linotype" w:cs="Palatino Linotype"/>
          <w:sz w:val="22"/>
          <w:szCs w:val="22"/>
        </w:rPr>
        <w:tab/>
        <w:t>el</w:t>
      </w:r>
      <w:r w:rsidRPr="00BB5AAC">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2E00694" w14:textId="77777777" w:rsidR="00C877F6" w:rsidRPr="00BB5AAC" w:rsidRDefault="00C877F6">
      <w:pPr>
        <w:spacing w:line="360" w:lineRule="auto"/>
        <w:ind w:right="49"/>
        <w:jc w:val="both"/>
        <w:rPr>
          <w:rFonts w:ascii="Palatino Linotype" w:eastAsia="Palatino Linotype" w:hAnsi="Palatino Linotype" w:cs="Palatino Linotype"/>
          <w:sz w:val="22"/>
          <w:szCs w:val="22"/>
        </w:rPr>
      </w:pPr>
    </w:p>
    <w:p w14:paraId="17694FE8" w14:textId="77777777" w:rsidR="00C877F6" w:rsidRPr="00BB5AAC" w:rsidRDefault="00F36565">
      <w:pPr>
        <w:spacing w:line="360" w:lineRule="auto"/>
        <w:ind w:right="49"/>
        <w:jc w:val="center"/>
        <w:rPr>
          <w:rFonts w:ascii="Palatino Linotype" w:eastAsia="Palatino Linotype" w:hAnsi="Palatino Linotype" w:cs="Palatino Linotype"/>
          <w:b/>
          <w:sz w:val="22"/>
          <w:szCs w:val="22"/>
        </w:rPr>
      </w:pPr>
      <w:r w:rsidRPr="00BB5AAC">
        <w:rPr>
          <w:rFonts w:ascii="Palatino Linotype" w:eastAsia="Palatino Linotype" w:hAnsi="Palatino Linotype" w:cs="Palatino Linotype"/>
          <w:b/>
          <w:sz w:val="22"/>
          <w:szCs w:val="22"/>
        </w:rPr>
        <w:t>II.</w:t>
      </w:r>
      <w:r w:rsidRPr="00BB5AAC">
        <w:rPr>
          <w:rFonts w:ascii="Palatino Linotype" w:eastAsia="Palatino Linotype" w:hAnsi="Palatino Linotype" w:cs="Palatino Linotype"/>
          <w:b/>
          <w:sz w:val="22"/>
          <w:szCs w:val="22"/>
        </w:rPr>
        <w:tab/>
        <w:t>C O N S I D E R A N D O:</w:t>
      </w:r>
    </w:p>
    <w:p w14:paraId="3E2B3FBD" w14:textId="77777777" w:rsidR="00C877F6" w:rsidRPr="00BB5AAC"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Primero. Competencia.</w:t>
      </w:r>
      <w:r w:rsidRPr="00BB5AA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BB5AAC" w:rsidRDefault="00F36565">
      <w:pPr>
        <w:spacing w:before="240"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 xml:space="preserve">Segundo. Oportunidad y Procedibilidad del Recurso de Revisión. </w:t>
      </w:r>
      <w:r w:rsidRPr="00BB5AAC">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BB5AAC" w:rsidRDefault="00F36565">
      <w:pPr>
        <w:spacing w:before="240"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BB5AAC" w:rsidRDefault="00F36565">
      <w:pPr>
        <w:spacing w:line="360" w:lineRule="auto"/>
        <w:ind w:left="851" w:right="900"/>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 xml:space="preserve">“Artículo 178. </w:t>
      </w:r>
      <w:r w:rsidRPr="00BB5AA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1B3E58F4" w:rsidR="00C877F6" w:rsidRPr="00BB5AAC" w:rsidRDefault="00F36565">
      <w:pPr>
        <w:spacing w:before="240" w:after="240" w:line="360" w:lineRule="auto"/>
        <w:ind w:right="49"/>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BB5AAC">
        <w:rPr>
          <w:rFonts w:ascii="Palatino Linotype" w:eastAsia="Palatino Linotype" w:hAnsi="Palatino Linotype" w:cs="Palatino Linotype"/>
          <w:b/>
          <w:sz w:val="22"/>
          <w:szCs w:val="22"/>
        </w:rPr>
        <w:t>SUJETO OBLIGADO</w:t>
      </w:r>
      <w:r w:rsidRPr="00BB5AAC">
        <w:rPr>
          <w:rFonts w:ascii="Palatino Linotype" w:eastAsia="Palatino Linotype" w:hAnsi="Palatino Linotype" w:cs="Palatino Linotype"/>
          <w:sz w:val="22"/>
          <w:szCs w:val="22"/>
        </w:rPr>
        <w:t xml:space="preserve"> remitió la respuesta a la solicitud de información el día </w:t>
      </w:r>
      <w:r w:rsidR="00B46206" w:rsidRPr="00BB5AAC">
        <w:rPr>
          <w:rFonts w:ascii="Palatino Linotype" w:eastAsia="Palatino Linotype" w:hAnsi="Palatino Linotype" w:cs="Palatino Linotype"/>
          <w:b/>
          <w:sz w:val="22"/>
          <w:szCs w:val="22"/>
        </w:rPr>
        <w:t>ocho</w:t>
      </w:r>
      <w:r w:rsidRPr="00BB5AAC">
        <w:rPr>
          <w:rFonts w:ascii="Palatino Linotype" w:eastAsia="Palatino Linotype" w:hAnsi="Palatino Linotype" w:cs="Palatino Linotype"/>
          <w:b/>
          <w:sz w:val="22"/>
          <w:szCs w:val="22"/>
        </w:rPr>
        <w:t xml:space="preserve"> de </w:t>
      </w:r>
      <w:r w:rsidR="00B46206" w:rsidRPr="00BB5AAC">
        <w:rPr>
          <w:rFonts w:ascii="Palatino Linotype" w:eastAsia="Palatino Linotype" w:hAnsi="Palatino Linotype" w:cs="Palatino Linotype"/>
          <w:b/>
          <w:sz w:val="22"/>
          <w:szCs w:val="22"/>
        </w:rPr>
        <w:t>octubre</w:t>
      </w:r>
      <w:r w:rsidR="008E4A90" w:rsidRPr="00BB5AAC">
        <w:rPr>
          <w:rFonts w:ascii="Palatino Linotype" w:eastAsia="Palatino Linotype" w:hAnsi="Palatino Linotype" w:cs="Palatino Linotype"/>
          <w:b/>
          <w:sz w:val="22"/>
          <w:szCs w:val="22"/>
        </w:rPr>
        <w:t xml:space="preserve"> </w:t>
      </w:r>
      <w:r w:rsidRPr="00BB5AAC">
        <w:rPr>
          <w:rFonts w:ascii="Palatino Linotype" w:eastAsia="Palatino Linotype" w:hAnsi="Palatino Linotype" w:cs="Palatino Linotype"/>
          <w:b/>
          <w:sz w:val="22"/>
          <w:szCs w:val="22"/>
        </w:rPr>
        <w:t xml:space="preserve">de dos mil veinticinco, </w:t>
      </w:r>
      <w:r w:rsidRPr="00BB5AAC">
        <w:rPr>
          <w:rFonts w:ascii="Palatino Linotype" w:eastAsia="Palatino Linotype" w:hAnsi="Palatino Linotype" w:cs="Palatino Linotype"/>
          <w:sz w:val="22"/>
          <w:szCs w:val="22"/>
        </w:rPr>
        <w:t xml:space="preserve">mientras que el recurso de revisión interpuesto por la parte </w:t>
      </w:r>
      <w:r w:rsidRPr="00BB5AAC">
        <w:rPr>
          <w:rFonts w:ascii="Palatino Linotype" w:eastAsia="Palatino Linotype" w:hAnsi="Palatino Linotype" w:cs="Palatino Linotype"/>
          <w:b/>
          <w:sz w:val="22"/>
          <w:szCs w:val="22"/>
        </w:rPr>
        <w:t>RECURRENTE</w:t>
      </w:r>
      <w:r w:rsidRPr="00BB5AAC">
        <w:rPr>
          <w:rFonts w:ascii="Palatino Linotype" w:eastAsia="Palatino Linotype" w:hAnsi="Palatino Linotype" w:cs="Palatino Linotype"/>
          <w:sz w:val="22"/>
          <w:szCs w:val="22"/>
        </w:rPr>
        <w:t xml:space="preserve">, se tuvo por presentado el </w:t>
      </w:r>
      <w:r w:rsidR="00B46206" w:rsidRPr="00BB5AAC">
        <w:rPr>
          <w:rFonts w:ascii="Palatino Linotype" w:eastAsia="Palatino Linotype" w:hAnsi="Palatino Linotype" w:cs="Palatino Linotype"/>
          <w:b/>
          <w:sz w:val="22"/>
          <w:szCs w:val="22"/>
        </w:rPr>
        <w:t>diez</w:t>
      </w:r>
      <w:r w:rsidRPr="00BB5AAC">
        <w:rPr>
          <w:rFonts w:ascii="Palatino Linotype" w:eastAsia="Palatino Linotype" w:hAnsi="Palatino Linotype" w:cs="Palatino Linotype"/>
          <w:b/>
          <w:sz w:val="22"/>
          <w:szCs w:val="22"/>
        </w:rPr>
        <w:t xml:space="preserve"> de </w:t>
      </w:r>
      <w:r w:rsidR="00B46206" w:rsidRPr="00BB5AAC">
        <w:rPr>
          <w:rFonts w:ascii="Palatino Linotype" w:eastAsia="Palatino Linotype" w:hAnsi="Palatino Linotype" w:cs="Palatino Linotype"/>
          <w:b/>
          <w:sz w:val="22"/>
          <w:szCs w:val="22"/>
        </w:rPr>
        <w:t>octubre</w:t>
      </w:r>
      <w:r w:rsidRPr="00BB5AAC">
        <w:rPr>
          <w:rFonts w:ascii="Palatino Linotype" w:eastAsia="Palatino Linotype" w:hAnsi="Palatino Linotype" w:cs="Palatino Linotype"/>
          <w:b/>
          <w:sz w:val="22"/>
          <w:szCs w:val="22"/>
        </w:rPr>
        <w:t xml:space="preserve"> del año dos mil veinticinco</w:t>
      </w:r>
      <w:r w:rsidRPr="00BB5AAC">
        <w:rPr>
          <w:rFonts w:ascii="Palatino Linotype" w:eastAsia="Palatino Linotype" w:hAnsi="Palatino Linotype" w:cs="Palatino Linotype"/>
          <w:sz w:val="22"/>
          <w:szCs w:val="22"/>
        </w:rPr>
        <w:t xml:space="preserve">; esto es, al </w:t>
      </w:r>
      <w:r w:rsidR="00B46206" w:rsidRPr="00BB5AAC">
        <w:rPr>
          <w:rFonts w:ascii="Palatino Linotype" w:eastAsia="Palatino Linotype" w:hAnsi="Palatino Linotype" w:cs="Palatino Linotype"/>
          <w:b/>
          <w:sz w:val="22"/>
          <w:szCs w:val="22"/>
        </w:rPr>
        <w:t>segundo</w:t>
      </w:r>
      <w:r w:rsidRPr="00BB5AAC">
        <w:rPr>
          <w:rFonts w:ascii="Palatino Linotype" w:eastAsia="Palatino Linotype" w:hAnsi="Palatino Linotype" w:cs="Palatino Linotype"/>
          <w:b/>
          <w:sz w:val="22"/>
          <w:szCs w:val="22"/>
        </w:rPr>
        <w:t xml:space="preserve"> día hábil </w:t>
      </w:r>
      <w:r w:rsidRPr="00BB5AAC">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BB5AAC" w:rsidRDefault="00F36565">
      <w:pPr>
        <w:spacing w:before="240" w:after="240" w:line="360" w:lineRule="auto"/>
        <w:ind w:right="49"/>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0A3DF9BE" w:rsidR="00C877F6" w:rsidRPr="00BB5AAC" w:rsidRDefault="00F36565">
      <w:pPr>
        <w:spacing w:before="240"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BB5AAC">
        <w:rPr>
          <w:rFonts w:ascii="Palatino Linotype" w:eastAsia="Palatino Linotype" w:hAnsi="Palatino Linotype" w:cs="Palatino Linotype"/>
          <w:sz w:val="22"/>
          <w:szCs w:val="22"/>
        </w:rPr>
        <w:t xml:space="preserve">s en el artículo 179, fracción </w:t>
      </w:r>
      <w:r w:rsidR="00EE7084" w:rsidRPr="00BB5AAC">
        <w:rPr>
          <w:rFonts w:ascii="Palatino Linotype" w:eastAsia="Palatino Linotype" w:hAnsi="Palatino Linotype" w:cs="Palatino Linotype"/>
          <w:sz w:val="22"/>
          <w:szCs w:val="22"/>
        </w:rPr>
        <w:t>II</w:t>
      </w:r>
      <w:r w:rsidR="00E97AD5" w:rsidRPr="00BB5AAC">
        <w:rPr>
          <w:rFonts w:ascii="Palatino Linotype" w:eastAsia="Palatino Linotype" w:hAnsi="Palatino Linotype" w:cs="Palatino Linotype"/>
          <w:sz w:val="22"/>
          <w:szCs w:val="22"/>
        </w:rPr>
        <w:t>I</w:t>
      </w:r>
      <w:r w:rsidRPr="00BB5AAC">
        <w:rPr>
          <w:rFonts w:ascii="Palatino Linotype" w:eastAsia="Palatino Linotype" w:hAnsi="Palatino Linotype" w:cs="Palatino Linotype"/>
          <w:sz w:val="22"/>
          <w:szCs w:val="22"/>
        </w:rPr>
        <w:t xml:space="preserve"> de la ley de la materia, que a la letra dice:</w:t>
      </w:r>
    </w:p>
    <w:p w14:paraId="47475447" w14:textId="77777777" w:rsidR="00C877F6" w:rsidRPr="00BB5AAC" w:rsidRDefault="00F36565">
      <w:pPr>
        <w:spacing w:line="360" w:lineRule="auto"/>
        <w:ind w:left="851" w:right="1041"/>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r w:rsidRPr="00BB5AAC">
        <w:rPr>
          <w:rFonts w:ascii="Palatino Linotype" w:eastAsia="Palatino Linotype" w:hAnsi="Palatino Linotype" w:cs="Palatino Linotype"/>
          <w:b/>
          <w:i/>
          <w:sz w:val="22"/>
          <w:szCs w:val="22"/>
        </w:rPr>
        <w:t xml:space="preserve">Artículo 179. </w:t>
      </w:r>
      <w:r w:rsidRPr="00BB5AA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7CF952C3" w:rsidR="00C877F6" w:rsidRPr="00BB5AAC" w:rsidRDefault="00F36565">
      <w:pPr>
        <w:spacing w:line="360" w:lineRule="auto"/>
        <w:ind w:left="851" w:right="1041"/>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p>
    <w:p w14:paraId="06A2A10E" w14:textId="65E90A37" w:rsidR="00EE7084" w:rsidRPr="00BB5AAC" w:rsidRDefault="00EE7084">
      <w:pPr>
        <w:spacing w:line="360" w:lineRule="auto"/>
        <w:ind w:left="851" w:right="1041"/>
        <w:jc w:val="both"/>
        <w:rPr>
          <w:i/>
        </w:rPr>
      </w:pPr>
      <w:r w:rsidRPr="00BB5AAC">
        <w:rPr>
          <w:i/>
        </w:rPr>
        <w:t>III. La declaración de inexistencia de la información;</w:t>
      </w:r>
    </w:p>
    <w:p w14:paraId="3839BD7E" w14:textId="4994E2B4" w:rsidR="00EE7084" w:rsidRPr="00BB5AAC" w:rsidRDefault="00EE7084">
      <w:pPr>
        <w:spacing w:line="360" w:lineRule="auto"/>
        <w:ind w:left="851" w:right="1041"/>
        <w:jc w:val="both"/>
        <w:rPr>
          <w:rFonts w:ascii="Palatino Linotype" w:eastAsia="Palatino Linotype" w:hAnsi="Palatino Linotype" w:cs="Palatino Linotype"/>
          <w:i/>
          <w:sz w:val="22"/>
          <w:szCs w:val="22"/>
        </w:rPr>
      </w:pPr>
      <w:r w:rsidRPr="00BB5AAC">
        <w:rPr>
          <w:i/>
        </w:rPr>
        <w:t>…</w:t>
      </w:r>
    </w:p>
    <w:p w14:paraId="1A2EB9D0" w14:textId="77777777" w:rsidR="00C877F6" w:rsidRPr="00BB5AAC" w:rsidRDefault="00F36565">
      <w:pPr>
        <w:spacing w:before="240"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 xml:space="preserve">Tercero. Materia de la revisión. </w:t>
      </w:r>
      <w:r w:rsidRPr="00BB5AA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B5AAC">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BB5AAC">
        <w:rPr>
          <w:rFonts w:ascii="Palatino Linotype" w:eastAsia="Palatino Linotype" w:hAnsi="Palatino Linotype" w:cs="Palatino Linotype"/>
          <w:sz w:val="22"/>
          <w:szCs w:val="22"/>
        </w:rPr>
        <w:t xml:space="preserve">de la parte </w:t>
      </w:r>
      <w:r w:rsidRPr="00BB5AAC">
        <w:rPr>
          <w:rFonts w:ascii="Palatino Linotype" w:eastAsia="Palatino Linotype" w:hAnsi="Palatino Linotype" w:cs="Palatino Linotype"/>
          <w:b/>
          <w:sz w:val="22"/>
          <w:szCs w:val="22"/>
        </w:rPr>
        <w:t>Recurrente</w:t>
      </w:r>
      <w:r w:rsidRPr="00BB5AAC">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 xml:space="preserve">Cuarto. Estudio del asunto. </w:t>
      </w:r>
      <w:r w:rsidRPr="00BB5AAC">
        <w:rPr>
          <w:rFonts w:ascii="Palatino Linotype" w:eastAsia="Palatino Linotype" w:hAnsi="Palatino Linotype" w:cs="Palatino Linotype"/>
          <w:sz w:val="22"/>
          <w:szCs w:val="22"/>
        </w:rPr>
        <w:t xml:space="preserve">En principio, es conveniente analizar si la respuesta del </w:t>
      </w:r>
      <w:r w:rsidRPr="00BB5AAC">
        <w:rPr>
          <w:rFonts w:ascii="Palatino Linotype" w:eastAsia="Palatino Linotype" w:hAnsi="Palatino Linotype" w:cs="Palatino Linotype"/>
          <w:b/>
          <w:sz w:val="22"/>
          <w:szCs w:val="22"/>
        </w:rPr>
        <w:t>SUJETO OBLIGADO</w:t>
      </w:r>
      <w:r w:rsidRPr="00BB5AAC">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BB5AAC"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BB5AAC" w:rsidRDefault="00F36565">
      <w:pPr>
        <w:spacing w:line="276" w:lineRule="auto"/>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r w:rsidRPr="00BB5AAC">
        <w:rPr>
          <w:rFonts w:ascii="Palatino Linotype" w:eastAsia="Palatino Linotype" w:hAnsi="Palatino Linotype" w:cs="Palatino Linotype"/>
          <w:b/>
          <w:i/>
          <w:sz w:val="22"/>
          <w:szCs w:val="22"/>
        </w:rPr>
        <w:t>Artículo 4</w:t>
      </w:r>
      <w:r w:rsidRPr="00BB5AA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BB5AAC" w:rsidRDefault="00F36565">
      <w:pPr>
        <w:spacing w:line="276" w:lineRule="auto"/>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B5AA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BB5AAC" w:rsidRDefault="00F36565">
      <w:pPr>
        <w:spacing w:line="276" w:lineRule="auto"/>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B5AAC">
        <w:rPr>
          <w:rFonts w:ascii="Palatino Linotype" w:eastAsia="Palatino Linotype" w:hAnsi="Palatino Linotype" w:cs="Palatino Linotype"/>
          <w:i/>
          <w:sz w:val="22"/>
          <w:szCs w:val="22"/>
        </w:rPr>
        <w:t>.”</w:t>
      </w:r>
    </w:p>
    <w:p w14:paraId="6FBC13EC" w14:textId="77777777" w:rsidR="00C877F6" w:rsidRPr="00BB5AAC"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BB5AAC"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BB5AAC" w:rsidRDefault="00F36565">
      <w:pPr>
        <w:spacing w:line="276" w:lineRule="auto"/>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“Artículo 12.-</w:t>
      </w:r>
      <w:r w:rsidRPr="00BB5AA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BB5AAC"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BB5AAC" w:rsidRDefault="00F36565">
      <w:pPr>
        <w:spacing w:line="276" w:lineRule="auto"/>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B5AAC">
        <w:rPr>
          <w:rFonts w:ascii="Palatino Linotype" w:eastAsia="Palatino Linotype" w:hAnsi="Palatino Linotype" w:cs="Palatino Linotype"/>
          <w:i/>
          <w:sz w:val="22"/>
          <w:szCs w:val="22"/>
        </w:rPr>
        <w:t xml:space="preserve">. </w:t>
      </w:r>
      <w:r w:rsidRPr="00BB5AAC">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BB5AAC"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BB5AAC" w:rsidRDefault="00F36565">
      <w:pPr>
        <w:spacing w:line="360" w:lineRule="auto"/>
        <w:ind w:right="-93"/>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BB5AAC"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BB5AAC" w:rsidRDefault="00F36565">
      <w:pPr>
        <w:spacing w:line="360" w:lineRule="auto"/>
        <w:ind w:right="-93"/>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B5AAC">
        <w:rPr>
          <w:rFonts w:ascii="Palatino Linotype" w:eastAsia="Palatino Linotype" w:hAnsi="Palatino Linotype" w:cs="Palatino Linotype"/>
          <w:b/>
          <w:sz w:val="22"/>
          <w:szCs w:val="22"/>
        </w:rPr>
        <w:t xml:space="preserve"> </w:t>
      </w:r>
    </w:p>
    <w:p w14:paraId="2E2DBFC3" w14:textId="77777777" w:rsidR="00C877F6" w:rsidRPr="00BB5AAC"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r w:rsidRPr="00BB5AAC">
        <w:rPr>
          <w:rFonts w:ascii="Palatino Linotype" w:eastAsia="Palatino Linotype" w:hAnsi="Palatino Linotype" w:cs="Palatino Linotype"/>
          <w:b/>
          <w:i/>
          <w:sz w:val="22"/>
          <w:szCs w:val="22"/>
        </w:rPr>
        <w:t>No existe obligación de elaborar documentos ad hoc para atender las solicitudes de acceso a la información.</w:t>
      </w:r>
      <w:r w:rsidRPr="00BB5AA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BB5AAC"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BB5AAC"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BB5AAC" w:rsidRDefault="00F36565">
      <w:pPr>
        <w:spacing w:line="360" w:lineRule="auto"/>
        <w:ind w:right="49"/>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BB5AAC"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BB5AAC"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r w:rsidRPr="00BB5AAC">
        <w:rPr>
          <w:rFonts w:ascii="Palatino Linotype" w:eastAsia="Palatino Linotype" w:hAnsi="Palatino Linotype" w:cs="Palatino Linotype"/>
          <w:b/>
          <w:i/>
          <w:sz w:val="22"/>
          <w:szCs w:val="22"/>
        </w:rPr>
        <w:t xml:space="preserve">Artículo 3. </w:t>
      </w:r>
      <w:r w:rsidRPr="00BB5AAC">
        <w:rPr>
          <w:rFonts w:ascii="Palatino Linotype" w:eastAsia="Palatino Linotype" w:hAnsi="Palatino Linotype" w:cs="Palatino Linotype"/>
          <w:i/>
          <w:sz w:val="22"/>
          <w:szCs w:val="22"/>
        </w:rPr>
        <w:t>Para los efectos de la presente Ley se entenderá por:</w:t>
      </w:r>
    </w:p>
    <w:p w14:paraId="505D52C6"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p>
    <w:p w14:paraId="273D4E7F"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XI. Documento:</w:t>
      </w:r>
      <w:r w:rsidRPr="00BB5AAC">
        <w:rPr>
          <w:rFonts w:ascii="Palatino Linotype" w:eastAsia="Palatino Linotype" w:hAnsi="Palatino Linotype" w:cs="Palatino Linotype"/>
          <w:i/>
          <w:sz w:val="22"/>
          <w:szCs w:val="22"/>
        </w:rPr>
        <w:t xml:space="preserve"> Los expedientes, reportes, estudios, actas</w:t>
      </w:r>
      <w:r w:rsidRPr="00BB5AAC">
        <w:rPr>
          <w:rFonts w:ascii="Palatino Linotype" w:eastAsia="Palatino Linotype" w:hAnsi="Palatino Linotype" w:cs="Palatino Linotype"/>
          <w:b/>
          <w:i/>
          <w:sz w:val="22"/>
          <w:szCs w:val="22"/>
        </w:rPr>
        <w:t>,</w:t>
      </w:r>
      <w:r w:rsidRPr="00BB5AA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BB5AAC"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BB5AAC"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BB5AAC" w:rsidRDefault="00F36565">
      <w:pPr>
        <w:ind w:left="567" w:right="616"/>
        <w:jc w:val="both"/>
        <w:rPr>
          <w:rFonts w:ascii="Palatino Linotype" w:eastAsia="Palatino Linotype" w:hAnsi="Palatino Linotype" w:cs="Palatino Linotype"/>
          <w:b/>
          <w:i/>
          <w:sz w:val="22"/>
          <w:szCs w:val="22"/>
        </w:rPr>
      </w:pPr>
      <w:r w:rsidRPr="00BB5AAC">
        <w:rPr>
          <w:rFonts w:ascii="Palatino Linotype" w:eastAsia="Palatino Linotype" w:hAnsi="Palatino Linotype" w:cs="Palatino Linotype"/>
          <w:b/>
          <w:sz w:val="22"/>
          <w:szCs w:val="22"/>
        </w:rPr>
        <w:t>“</w:t>
      </w:r>
      <w:r w:rsidRPr="00BB5AAC">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BB5AA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BB5AAC" w:rsidRDefault="00F36565">
      <w:pPr>
        <w:ind w:left="567" w:right="616"/>
        <w:jc w:val="both"/>
        <w:rPr>
          <w:rFonts w:ascii="Palatino Linotype" w:eastAsia="Palatino Linotype" w:hAnsi="Palatino Linotype" w:cs="Palatino Linotype"/>
          <w:b/>
          <w:i/>
          <w:sz w:val="22"/>
          <w:szCs w:val="22"/>
        </w:rPr>
      </w:pPr>
      <w:r w:rsidRPr="00BB5AAC">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BB5AAC" w:rsidRDefault="00F36565">
      <w:pPr>
        <w:ind w:left="567" w:right="616"/>
        <w:jc w:val="both"/>
        <w:rPr>
          <w:rFonts w:ascii="Palatino Linotype" w:eastAsia="Palatino Linotype" w:hAnsi="Palatino Linotype" w:cs="Palatino Linotype"/>
          <w:b/>
          <w:i/>
          <w:sz w:val="22"/>
          <w:szCs w:val="22"/>
        </w:rPr>
      </w:pPr>
      <w:r w:rsidRPr="00BB5AAC">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BB5AAC" w:rsidRDefault="00C877F6">
      <w:pPr>
        <w:tabs>
          <w:tab w:val="left" w:pos="8647"/>
        </w:tabs>
        <w:spacing w:line="360" w:lineRule="auto"/>
        <w:jc w:val="both"/>
        <w:rPr>
          <w:rFonts w:ascii="Palatino Linotype" w:eastAsia="Palatino Linotype" w:hAnsi="Palatino Linotype" w:cs="Palatino Linotype"/>
          <w:b/>
          <w:sz w:val="22"/>
          <w:szCs w:val="22"/>
        </w:rPr>
      </w:pPr>
    </w:p>
    <w:p w14:paraId="45427B9F" w14:textId="3A919FF7" w:rsidR="00E97AD5" w:rsidRPr="00BB5AAC" w:rsidRDefault="00F36565">
      <w:pPr>
        <w:spacing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BB5AAC">
        <w:rPr>
          <w:rFonts w:ascii="Palatino Linotype" w:eastAsia="Palatino Linotype" w:hAnsi="Palatino Linotype" w:cs="Palatino Linotype"/>
          <w:sz w:val="22"/>
          <w:szCs w:val="22"/>
        </w:rPr>
        <w:t xml:space="preserve">se tiene que el Recurrente solicitó al </w:t>
      </w:r>
      <w:r w:rsidR="003376D2" w:rsidRPr="00BB5AAC">
        <w:rPr>
          <w:rFonts w:ascii="Palatino Linotype" w:eastAsia="Palatino Linotype" w:hAnsi="Palatino Linotype" w:cs="Palatino Linotype"/>
          <w:b/>
          <w:sz w:val="22"/>
          <w:szCs w:val="22"/>
        </w:rPr>
        <w:t>Ayuntamiento de Calimaya</w:t>
      </w:r>
      <w:r w:rsidR="00E97AD5" w:rsidRPr="00BB5AAC">
        <w:rPr>
          <w:rFonts w:ascii="Palatino Linotype" w:eastAsia="Palatino Linotype" w:hAnsi="Palatino Linotype" w:cs="Palatino Linotype"/>
          <w:sz w:val="22"/>
          <w:szCs w:val="22"/>
        </w:rPr>
        <w:t>,</w:t>
      </w:r>
      <w:r w:rsidR="00FD0CB0" w:rsidRPr="00BB5AAC">
        <w:rPr>
          <w:rFonts w:ascii="Palatino Linotype" w:eastAsia="Palatino Linotype" w:hAnsi="Palatino Linotype" w:cs="Palatino Linotype"/>
          <w:sz w:val="22"/>
          <w:szCs w:val="22"/>
        </w:rPr>
        <w:t xml:space="preserve"> del periodo comprendido del 1 de julio de dos mil veintitrés al treinta y uno de agosto de dos mil veinticuatro, del personal Adscrito a las Direcciones y sindicaturas, lo </w:t>
      </w:r>
      <w:r w:rsidR="00E97AD5" w:rsidRPr="00BB5AAC">
        <w:rPr>
          <w:rFonts w:ascii="Palatino Linotype" w:eastAsia="Palatino Linotype" w:hAnsi="Palatino Linotype" w:cs="Palatino Linotype"/>
          <w:sz w:val="22"/>
          <w:szCs w:val="22"/>
        </w:rPr>
        <w:t>siguiente:</w:t>
      </w:r>
    </w:p>
    <w:p w14:paraId="3EB5DDE3" w14:textId="77777777" w:rsidR="00FD0CB0" w:rsidRPr="00BB5AAC" w:rsidRDefault="00FD0CB0" w:rsidP="00E97AD5">
      <w:pPr>
        <w:pStyle w:val="Prrafodelista"/>
        <w:numPr>
          <w:ilvl w:val="0"/>
          <w:numId w:val="24"/>
        </w:numPr>
        <w:spacing w:line="360" w:lineRule="auto"/>
        <w:ind w:left="567"/>
        <w:jc w:val="both"/>
        <w:rPr>
          <w:rFonts w:ascii="Palatino Linotype" w:hAnsi="Palatino Linotype"/>
          <w:b/>
          <w:sz w:val="22"/>
          <w:szCs w:val="22"/>
        </w:rPr>
      </w:pPr>
      <w:r w:rsidRPr="00BB5AAC">
        <w:rPr>
          <w:rFonts w:ascii="Palatino Linotype" w:hAnsi="Palatino Linotype"/>
          <w:b/>
          <w:sz w:val="22"/>
          <w:szCs w:val="22"/>
        </w:rPr>
        <w:t>Movimientos de alta, baja, cambios de adscripción</w:t>
      </w:r>
    </w:p>
    <w:p w14:paraId="0B74A6DD" w14:textId="77777777" w:rsidR="00FD0CB0" w:rsidRPr="00BB5AAC" w:rsidRDefault="00FD0CB0" w:rsidP="00E97AD5">
      <w:pPr>
        <w:pStyle w:val="Prrafodelista"/>
        <w:numPr>
          <w:ilvl w:val="0"/>
          <w:numId w:val="24"/>
        </w:numPr>
        <w:spacing w:line="360" w:lineRule="auto"/>
        <w:ind w:left="567"/>
        <w:jc w:val="both"/>
        <w:rPr>
          <w:rFonts w:ascii="Palatino Linotype" w:hAnsi="Palatino Linotype"/>
          <w:b/>
          <w:sz w:val="22"/>
          <w:szCs w:val="22"/>
        </w:rPr>
      </w:pPr>
      <w:r w:rsidRPr="00BB5AAC">
        <w:rPr>
          <w:rFonts w:ascii="Palatino Linotype" w:hAnsi="Palatino Linotype"/>
          <w:b/>
          <w:sz w:val="22"/>
          <w:szCs w:val="22"/>
        </w:rPr>
        <w:t>Permisos; licencias, vacaciones</w:t>
      </w:r>
    </w:p>
    <w:p w14:paraId="6014D997" w14:textId="77777777" w:rsidR="00E97AD5" w:rsidRPr="00BB5AAC" w:rsidRDefault="00E97AD5" w:rsidP="00E97AD5">
      <w:pPr>
        <w:jc w:val="both"/>
        <w:rPr>
          <w:rFonts w:ascii="Palatino Linotype" w:hAnsi="Palatino Linotype"/>
          <w:sz w:val="22"/>
          <w:szCs w:val="22"/>
        </w:rPr>
      </w:pPr>
    </w:p>
    <w:p w14:paraId="6FC9FF36" w14:textId="51682F02" w:rsidR="00EE7084" w:rsidRPr="00BB5AAC" w:rsidRDefault="00EE7084" w:rsidP="00AA5D5B">
      <w:pPr>
        <w:spacing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Por su parte, el Sujeto Obligado </w:t>
      </w:r>
      <w:r w:rsidR="003E7E9B" w:rsidRPr="00BB5AAC">
        <w:rPr>
          <w:rFonts w:ascii="Palatino Linotype" w:eastAsia="Palatino Linotype" w:hAnsi="Palatino Linotype" w:cs="Palatino Linotype"/>
          <w:sz w:val="22"/>
          <w:szCs w:val="22"/>
        </w:rPr>
        <w:t>refirió, a través de la Tesorería Municipal que después de una revisión exhaustiva no se cuenta con registros de información relacionada con movimientos de personal como altas y bajas, cambios de los ejercicios del 2023 y 2024, toda vez que la información solicitada no fue proporcionada en la entrega de la administración saliente.</w:t>
      </w:r>
    </w:p>
    <w:p w14:paraId="476C741A" w14:textId="7BD1E3EF" w:rsidR="003E7E9B" w:rsidRPr="00BB5AAC" w:rsidRDefault="003E7E9B" w:rsidP="00AA5D5B">
      <w:pPr>
        <w:spacing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El Recurrente se inconformó</w:t>
      </w:r>
      <w:r w:rsidR="00EE5DD9" w:rsidRPr="00BB5AAC">
        <w:rPr>
          <w:rFonts w:ascii="Palatino Linotype" w:eastAsia="Palatino Linotype" w:hAnsi="Palatino Linotype" w:cs="Palatino Linotype"/>
          <w:sz w:val="22"/>
          <w:szCs w:val="22"/>
        </w:rPr>
        <w:t xml:space="preserve">, solicitando el acta de sesión del Comité en el que se ratifique lo referido en la respuesta. </w:t>
      </w:r>
    </w:p>
    <w:p w14:paraId="55768023" w14:textId="5DF0E248" w:rsidR="000757AA" w:rsidRPr="00BB5AAC" w:rsidRDefault="000757AA" w:rsidP="000757AA">
      <w:pPr>
        <w:spacing w:line="360" w:lineRule="auto"/>
        <w:ind w:right="49"/>
        <w:jc w:val="both"/>
        <w:rPr>
          <w:rFonts w:ascii="Palatino Linotype" w:eastAsia="Palatino Linotype" w:hAnsi="Palatino Linotype" w:cs="Palatino Linotype"/>
        </w:rPr>
      </w:pPr>
      <w:r w:rsidRPr="00BB5AAC">
        <w:rPr>
          <w:rFonts w:ascii="Palatino Linotype" w:eastAsia="Palatino Linotype" w:hAnsi="Palatino Linotype" w:cs="Palatino Linotype"/>
        </w:rPr>
        <w:t xml:space="preserve">De lo anterior, no pasa inadvertido para este Organismo Garante que, toda vez que los motivos de inconformidad aducidos en el recurso de revisión, no versan sobre la totalidad de la información proporcionada por el Sujeto Obligado, pues la parte Recurrente se inconformó de manera expresa </w:t>
      </w:r>
      <w:r w:rsidRPr="00BB5AAC">
        <w:rPr>
          <w:rFonts w:ascii="Palatino Linotype" w:eastAsia="Palatino Linotype" w:hAnsi="Palatino Linotype" w:cs="Palatino Linotype"/>
          <w:b/>
          <w:u w:val="single"/>
        </w:rPr>
        <w:t xml:space="preserve">por la </w:t>
      </w:r>
      <w:r w:rsidR="00B86569" w:rsidRPr="00BB5AAC">
        <w:rPr>
          <w:rFonts w:ascii="Palatino Linotype" w:eastAsia="Palatino Linotype" w:hAnsi="Palatino Linotype" w:cs="Palatino Linotype"/>
          <w:b/>
          <w:u w:val="single"/>
        </w:rPr>
        <w:t>falta del acuerdo del comité de transparencia en el que se declare la inexistencia</w:t>
      </w:r>
      <w:r w:rsidRPr="00BB5AAC">
        <w:rPr>
          <w:rFonts w:ascii="Palatino Linotype" w:eastAsia="Palatino Linotype" w:hAnsi="Palatino Linotype" w:cs="Palatino Linotype"/>
          <w:b/>
          <w:u w:val="single"/>
        </w:rPr>
        <w:t>,</w:t>
      </w:r>
      <w:r w:rsidRPr="00BB5AAC">
        <w:rPr>
          <w:rFonts w:ascii="Palatino Linotype" w:eastAsia="Palatino Linotype" w:hAnsi="Palatino Linotype" w:cs="Palatino Linotype"/>
        </w:rPr>
        <w:t xml:space="preserve"> se colige que, la parte de la respuesta que no fue impugnada debe declararse consentida, toda vez que, al no haber realizado manifestaciones de inconformidad al respecto, no pueden producirse efectos jurídicos tendentes a revocar, confirmar o modificar el acto reclamado, en sentido de</w:t>
      </w:r>
      <w:r w:rsidR="00B86569" w:rsidRPr="00BB5AAC">
        <w:rPr>
          <w:rFonts w:ascii="Palatino Linotype" w:eastAsia="Palatino Linotype" w:hAnsi="Palatino Linotype" w:cs="Palatino Linotype"/>
        </w:rPr>
        <w:t xml:space="preserve"> los permisos, licencias y vacaciones de los servidores públicos</w:t>
      </w:r>
      <w:r w:rsidRPr="00BB5AAC">
        <w:rPr>
          <w:rFonts w:ascii="Palatino Linotype" w:eastAsia="Palatino Linotype" w:hAnsi="Palatino Linotype" w:cs="Palatino Linotype"/>
        </w:rPr>
        <w:t>, ya que, en el caso concreto se infiere que la información proporcionada por el Sujeto Obligado, satisface la solicitud presentada.</w:t>
      </w:r>
    </w:p>
    <w:p w14:paraId="3E1EA4EB" w14:textId="77777777" w:rsidR="000757AA" w:rsidRPr="00BB5AAC" w:rsidRDefault="000757AA" w:rsidP="000757AA">
      <w:pPr>
        <w:spacing w:line="360" w:lineRule="auto"/>
        <w:jc w:val="both"/>
        <w:rPr>
          <w:rFonts w:ascii="Palatino Linotype" w:eastAsia="Palatino Linotype" w:hAnsi="Palatino Linotype" w:cs="Palatino Linotype"/>
        </w:rPr>
      </w:pPr>
    </w:p>
    <w:p w14:paraId="38A99BEB" w14:textId="77777777" w:rsidR="000757AA" w:rsidRPr="00BB5AAC" w:rsidRDefault="000757AA" w:rsidP="000757AA">
      <w:pPr>
        <w:spacing w:line="360" w:lineRule="auto"/>
        <w:jc w:val="both"/>
        <w:rPr>
          <w:rFonts w:ascii="Palatino Linotype" w:eastAsia="Palatino Linotype" w:hAnsi="Palatino Linotype" w:cs="Palatino Linotype"/>
        </w:rPr>
      </w:pPr>
      <w:r w:rsidRPr="00BB5AAC">
        <w:rPr>
          <w:rFonts w:ascii="Palatino Linotype" w:eastAsia="Palatino Linotype" w:hAnsi="Palatino Linotype" w:cs="Palatino Linotype"/>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DCF6A53" w14:textId="77777777" w:rsidR="000757AA" w:rsidRPr="00BB5AAC" w:rsidRDefault="000757AA" w:rsidP="000757AA">
      <w:pPr>
        <w:spacing w:line="360" w:lineRule="auto"/>
        <w:jc w:val="both"/>
        <w:rPr>
          <w:rFonts w:ascii="Palatino Linotype" w:eastAsia="Palatino Linotype" w:hAnsi="Palatino Linotype" w:cs="Palatino Linotype"/>
        </w:rPr>
      </w:pPr>
    </w:p>
    <w:p w14:paraId="792ED7D4" w14:textId="77777777" w:rsidR="000757AA" w:rsidRPr="00BB5AAC" w:rsidRDefault="000757AA" w:rsidP="000757AA">
      <w:pPr>
        <w:ind w:left="567" w:right="616"/>
        <w:jc w:val="both"/>
        <w:rPr>
          <w:rFonts w:ascii="Palatino Linotype" w:eastAsia="Palatino Linotype" w:hAnsi="Palatino Linotype" w:cs="Palatino Linotype"/>
          <w:i/>
        </w:rPr>
      </w:pPr>
      <w:r w:rsidRPr="00BB5AAC">
        <w:rPr>
          <w:rFonts w:ascii="Palatino Linotype" w:eastAsia="Palatino Linotype" w:hAnsi="Palatino Linotype" w:cs="Palatino Linotype"/>
          <w:b/>
          <w:i/>
        </w:rPr>
        <w:t xml:space="preserve">“REVISIÓN EN AMPARO. LOS RESOLUTIVOS NO COMBATIDOS DEBEN DECLARARSE FIRMES. </w:t>
      </w:r>
      <w:r w:rsidRPr="00BB5AAC">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51ACC84" w14:textId="77777777" w:rsidR="000757AA" w:rsidRPr="00BB5AAC" w:rsidRDefault="000757AA" w:rsidP="000757AA">
      <w:pPr>
        <w:spacing w:line="360" w:lineRule="auto"/>
        <w:jc w:val="both"/>
        <w:rPr>
          <w:rFonts w:ascii="Palatino Linotype" w:eastAsia="Palatino Linotype" w:hAnsi="Palatino Linotype" w:cs="Palatino Linotype"/>
        </w:rPr>
      </w:pPr>
    </w:p>
    <w:p w14:paraId="40249807" w14:textId="77777777" w:rsidR="000757AA" w:rsidRPr="00BB5AAC" w:rsidRDefault="000757AA" w:rsidP="000757AA">
      <w:pPr>
        <w:spacing w:line="360" w:lineRule="auto"/>
        <w:jc w:val="both"/>
        <w:rPr>
          <w:rFonts w:ascii="Palatino Linotype" w:eastAsia="Palatino Linotype" w:hAnsi="Palatino Linotype" w:cs="Palatino Linotype"/>
        </w:rPr>
      </w:pPr>
      <w:r w:rsidRPr="00BB5AAC">
        <w:rPr>
          <w:rFonts w:ascii="Palatino Linotype" w:eastAsia="Palatino Linotype" w:hAnsi="Palatino Linotype" w:cs="Palatino Linotype"/>
        </w:rPr>
        <w:t>Consecuentemente, se insiste, ante la falta de impugnación eficaz, la respuesta entregada debe declararse consentida por persona solicitante.</w:t>
      </w:r>
    </w:p>
    <w:p w14:paraId="56E92799" w14:textId="77777777" w:rsidR="000757AA" w:rsidRPr="00BB5AAC" w:rsidRDefault="000757AA" w:rsidP="000757AA">
      <w:pPr>
        <w:spacing w:line="360" w:lineRule="auto"/>
        <w:jc w:val="both"/>
        <w:rPr>
          <w:rFonts w:ascii="Palatino Linotype" w:eastAsia="Palatino Linotype" w:hAnsi="Palatino Linotype" w:cs="Palatino Linotype"/>
        </w:rPr>
      </w:pPr>
    </w:p>
    <w:p w14:paraId="49A0F75E" w14:textId="77777777" w:rsidR="000757AA" w:rsidRPr="00BB5AAC" w:rsidRDefault="000757AA" w:rsidP="000757AA">
      <w:pPr>
        <w:spacing w:line="360" w:lineRule="auto"/>
        <w:jc w:val="both"/>
        <w:rPr>
          <w:rFonts w:ascii="Palatino Linotype" w:hAnsi="Palatino Linotype"/>
        </w:rPr>
      </w:pPr>
      <w:r w:rsidRPr="00BB5AAC">
        <w:rPr>
          <w:rFonts w:ascii="Palatino Linotype" w:hAnsi="Palatino Linotype" w:cs="Arial"/>
        </w:rPr>
        <w:t>Lo anterior se sustenta con lo plasmado en el criterio</w:t>
      </w:r>
      <w:r w:rsidRPr="00BB5AAC">
        <w:rPr>
          <w:rFonts w:ascii="Palatino Linotype" w:hAnsi="Palatino Linotype"/>
        </w:rPr>
        <w:t xml:space="preserve"> orientador 01/20 emitido por el entonces Instituto Nacional de Transparencia, Acceso a la Información, y Protección de Datos Personales, INAI, que lleva por rubro y texto los siguientes: </w:t>
      </w:r>
    </w:p>
    <w:p w14:paraId="3F3EA25F" w14:textId="77777777" w:rsidR="000757AA" w:rsidRPr="00BB5AAC" w:rsidRDefault="000757AA" w:rsidP="000757AA">
      <w:pPr>
        <w:spacing w:line="360" w:lineRule="auto"/>
        <w:jc w:val="both"/>
        <w:rPr>
          <w:rFonts w:ascii="Palatino Linotype" w:hAnsi="Palatino Linotype"/>
        </w:rPr>
      </w:pPr>
    </w:p>
    <w:p w14:paraId="60E7EC74" w14:textId="77777777" w:rsidR="000757AA" w:rsidRPr="00BB5AAC" w:rsidRDefault="000757AA" w:rsidP="000757AA">
      <w:pPr>
        <w:pStyle w:val="Sinespaciado"/>
        <w:spacing w:line="276" w:lineRule="auto"/>
        <w:ind w:left="567" w:right="902"/>
        <w:jc w:val="both"/>
        <w:rPr>
          <w:rFonts w:ascii="Palatino Linotype" w:hAnsi="Palatino Linotype"/>
          <w:i/>
          <w:iCs/>
          <w:sz w:val="22"/>
          <w:szCs w:val="22"/>
        </w:rPr>
      </w:pPr>
      <w:r w:rsidRPr="00BB5AAC">
        <w:rPr>
          <w:rFonts w:ascii="Palatino Linotype" w:hAnsi="Palatino Linotype"/>
          <w:i/>
          <w:iCs/>
          <w:sz w:val="22"/>
          <w:szCs w:val="22"/>
        </w:rPr>
        <w:t>“</w:t>
      </w:r>
      <w:r w:rsidRPr="00BB5AAC">
        <w:rPr>
          <w:rFonts w:ascii="Palatino Linotype" w:hAnsi="Palatino Linotype" w:cs="Arial"/>
          <w:b/>
          <w:i/>
          <w:iCs/>
          <w:sz w:val="22"/>
          <w:szCs w:val="22"/>
        </w:rPr>
        <w:t xml:space="preserve">Actos consentidos tácitamente. Improcedencia de su análisis. </w:t>
      </w:r>
      <w:r w:rsidRPr="00BB5AAC">
        <w:rPr>
          <w:rFonts w:ascii="Palatino Linotype" w:hAnsi="Palatino Linotype" w:cs="Arial"/>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BB5AAC">
        <w:rPr>
          <w:rFonts w:ascii="Palatino Linotype" w:hAnsi="Palatino Linotype"/>
          <w:i/>
          <w:iCs/>
          <w:sz w:val="22"/>
          <w:szCs w:val="22"/>
        </w:rPr>
        <w:t>”</w:t>
      </w:r>
    </w:p>
    <w:p w14:paraId="3C670518" w14:textId="77777777" w:rsidR="000757AA" w:rsidRPr="00BB5AAC" w:rsidRDefault="000757AA" w:rsidP="000757AA">
      <w:pPr>
        <w:pStyle w:val="Sinespaciado"/>
        <w:spacing w:line="360" w:lineRule="auto"/>
        <w:ind w:left="567" w:right="902"/>
        <w:jc w:val="both"/>
        <w:rPr>
          <w:rFonts w:ascii="Palatino Linotype" w:hAnsi="Palatino Linotype"/>
          <w:i/>
          <w:iCs/>
          <w:sz w:val="22"/>
          <w:szCs w:val="22"/>
        </w:rPr>
      </w:pPr>
    </w:p>
    <w:p w14:paraId="573B3339" w14:textId="77777777" w:rsidR="000757AA" w:rsidRPr="00BB5AAC" w:rsidRDefault="000757AA" w:rsidP="000757AA">
      <w:pPr>
        <w:spacing w:line="360" w:lineRule="auto"/>
        <w:jc w:val="both"/>
        <w:rPr>
          <w:rFonts w:ascii="Palatino Linotype" w:eastAsia="Palatino Linotype" w:hAnsi="Palatino Linotype" w:cs="Palatino Linotype"/>
        </w:rPr>
      </w:pPr>
      <w:r w:rsidRPr="00BB5AAC">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1528F2D1" w14:textId="77777777" w:rsidR="000757AA" w:rsidRPr="00BB5AAC" w:rsidRDefault="000757AA" w:rsidP="000757AA">
      <w:pPr>
        <w:spacing w:line="360" w:lineRule="auto"/>
        <w:ind w:left="851" w:right="900"/>
        <w:jc w:val="both"/>
        <w:rPr>
          <w:rFonts w:ascii="Palatino Linotype" w:eastAsia="Palatino Linotype" w:hAnsi="Palatino Linotype" w:cs="Palatino Linotype"/>
          <w:b/>
          <w:i/>
          <w:smallCaps/>
        </w:rPr>
      </w:pPr>
    </w:p>
    <w:p w14:paraId="5EF7FEFC" w14:textId="77777777" w:rsidR="000757AA" w:rsidRPr="00BB5AAC" w:rsidRDefault="000757AA" w:rsidP="000757AA">
      <w:pPr>
        <w:tabs>
          <w:tab w:val="left" w:pos="851"/>
          <w:tab w:val="left" w:pos="1276"/>
        </w:tabs>
        <w:ind w:left="567" w:right="709"/>
        <w:jc w:val="both"/>
        <w:rPr>
          <w:rFonts w:ascii="Palatino Linotype" w:eastAsia="Palatino Linotype" w:hAnsi="Palatino Linotype" w:cs="Palatino Linotype"/>
        </w:rPr>
      </w:pPr>
      <w:r w:rsidRPr="00BB5AAC">
        <w:rPr>
          <w:rFonts w:ascii="Palatino Linotype" w:eastAsia="Palatino Linotype" w:hAnsi="Palatino Linotype" w:cs="Palatino Linotype"/>
          <w:b/>
          <w:i/>
          <w:smallCaps/>
        </w:rPr>
        <w:t xml:space="preserve">“ACTOS CONSENTIDOS. SON LOS QUE NO SE IMPUGNAN MEDIANTE EL RECURSO IDÓNEO. </w:t>
      </w:r>
      <w:r w:rsidRPr="00BB5AAC">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AFDF930" w14:textId="77777777" w:rsidR="000757AA" w:rsidRPr="00BB5AAC" w:rsidRDefault="000757AA" w:rsidP="000757A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2C4D9901" w14:textId="62F015FB" w:rsidR="000757AA" w:rsidRPr="00BB5AAC" w:rsidRDefault="000757AA" w:rsidP="000757A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rPr>
        <w:t>Dicho lo anterior, la información de la que resulta procedente pronunciarse es respecto de la declaración de inexistencia.</w:t>
      </w:r>
    </w:p>
    <w:p w14:paraId="382D1D7F" w14:textId="77777777" w:rsidR="00B86569" w:rsidRPr="00BB5AAC" w:rsidRDefault="00B86569" w:rsidP="00AA5D5B">
      <w:pPr>
        <w:spacing w:after="240" w:line="360" w:lineRule="auto"/>
        <w:jc w:val="both"/>
        <w:rPr>
          <w:rFonts w:ascii="Palatino Linotype" w:eastAsia="Palatino Linotype" w:hAnsi="Palatino Linotype" w:cs="Palatino Linotype"/>
          <w:sz w:val="22"/>
          <w:szCs w:val="22"/>
        </w:rPr>
      </w:pPr>
    </w:p>
    <w:p w14:paraId="6B5AE3C3" w14:textId="3529BF26" w:rsidR="00FD0CB0" w:rsidRPr="00BB5AAC" w:rsidRDefault="00AA5D5B" w:rsidP="00AA5D5B">
      <w:pPr>
        <w:spacing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De las constancias que obran en el expediente electrónico del SAIMEX, se advierte que, quien dio respuesta a la solicitud es la </w:t>
      </w:r>
      <w:r w:rsidR="00FD0CB0" w:rsidRPr="00BB5AAC">
        <w:rPr>
          <w:rFonts w:ascii="Palatino Linotype" w:eastAsia="Palatino Linotype" w:hAnsi="Palatino Linotype" w:cs="Palatino Linotype"/>
          <w:sz w:val="22"/>
          <w:szCs w:val="22"/>
        </w:rPr>
        <w:t>Tesorería Municipal, la cual de acuerdo al Bando Municipal tiene las siguientes atribuciones:</w:t>
      </w:r>
    </w:p>
    <w:p w14:paraId="22CF739F" w14:textId="77777777" w:rsidR="00FD0CB0" w:rsidRPr="00BB5AAC" w:rsidRDefault="00FD0CB0" w:rsidP="00FD0CB0">
      <w:pPr>
        <w:spacing w:after="240" w:line="360" w:lineRule="auto"/>
        <w:ind w:left="709" w:right="843"/>
        <w:jc w:val="both"/>
        <w:rPr>
          <w:rFonts w:ascii="Palatino Linotype" w:hAnsi="Palatino Linotype"/>
          <w:b/>
          <w:i/>
          <w:sz w:val="22"/>
        </w:rPr>
      </w:pPr>
      <w:r w:rsidRPr="00BB5AAC">
        <w:rPr>
          <w:rFonts w:ascii="Palatino Linotype" w:hAnsi="Palatino Linotype"/>
          <w:b/>
          <w:i/>
          <w:sz w:val="22"/>
        </w:rPr>
        <w:t xml:space="preserve">DE LA TESORERÍA MUNICIPAL </w:t>
      </w:r>
    </w:p>
    <w:p w14:paraId="1D96DA31" w14:textId="0B9356B5" w:rsidR="00FD0CB0" w:rsidRPr="00BB5AAC" w:rsidRDefault="00FD0CB0" w:rsidP="00FD0CB0">
      <w:pPr>
        <w:spacing w:after="240" w:line="360" w:lineRule="auto"/>
        <w:ind w:left="709" w:right="843"/>
        <w:jc w:val="both"/>
        <w:rPr>
          <w:rFonts w:ascii="Palatino Linotype" w:eastAsia="Palatino Linotype" w:hAnsi="Palatino Linotype" w:cs="Palatino Linotype"/>
          <w:i/>
          <w:sz w:val="20"/>
          <w:szCs w:val="22"/>
        </w:rPr>
      </w:pPr>
      <w:r w:rsidRPr="00BB5AAC">
        <w:rPr>
          <w:rFonts w:ascii="Palatino Linotype" w:hAnsi="Palatino Linotype"/>
          <w:i/>
          <w:sz w:val="22"/>
        </w:rPr>
        <w:t>Artículo 63. La Tesorería Municipal es el órgano encargado de la recaudación de los ingresos municipales y responsable de realizar las erogaciones que haga el Ayuntamiento; estará a cargo de un Tesorero Municipal, el cual al tomar posesión de su cargo, recibirá la Hacienda Pública de acuerdo con las previsiones a que se refiere el artículo 19 de la Ley Orgánica Municipal y remitirá un ejemplar de dicha documentación al Ayuntamiento, al Órgano Superior de Fiscalización del Estado de México y al Archivo de la Tesorería. El Tesorero Municipal tendrá las atribuciones que le confiere la Ley Orgánica Municipal, en su artículo 95 y demás disposiciones aplicables.</w:t>
      </w:r>
    </w:p>
    <w:p w14:paraId="4746E7BC" w14:textId="613C4DB8" w:rsidR="00AA5D5B" w:rsidRPr="00BB5AAC" w:rsidRDefault="00AA5D5B" w:rsidP="00AA5D5B">
      <w:pPr>
        <w:spacing w:line="360" w:lineRule="auto"/>
        <w:ind w:right="-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Entonces, al haber dado respuesta la </w:t>
      </w:r>
      <w:r w:rsidR="005918F5" w:rsidRPr="00BB5AAC">
        <w:rPr>
          <w:rFonts w:ascii="Palatino Linotype" w:eastAsia="Palatino Linotype" w:hAnsi="Palatino Linotype" w:cs="Palatino Linotype"/>
          <w:sz w:val="22"/>
          <w:szCs w:val="22"/>
        </w:rPr>
        <w:t xml:space="preserve">Tesorería Municipal se tiene que no </w:t>
      </w:r>
      <w:r w:rsidRPr="00BB5AAC">
        <w:rPr>
          <w:rFonts w:ascii="Palatino Linotype" w:eastAsia="Palatino Linotype" w:hAnsi="Palatino Linotype" w:cs="Palatino Linotype"/>
          <w:sz w:val="22"/>
          <w:szCs w:val="22"/>
        </w:rPr>
        <w:t xml:space="preserve">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0634EBF8" w14:textId="77777777" w:rsidR="00AA5D5B" w:rsidRPr="00BB5AAC" w:rsidRDefault="00AA5D5B" w:rsidP="00AA5D5B">
      <w:pPr>
        <w:spacing w:line="360" w:lineRule="auto"/>
        <w:ind w:right="-7"/>
        <w:jc w:val="both"/>
        <w:rPr>
          <w:rFonts w:ascii="Palatino Linotype" w:eastAsia="Palatino Linotype" w:hAnsi="Palatino Linotype" w:cs="Palatino Linotype"/>
          <w:sz w:val="22"/>
          <w:szCs w:val="22"/>
        </w:rPr>
      </w:pPr>
    </w:p>
    <w:p w14:paraId="374D4650" w14:textId="77777777" w:rsidR="00AA5D5B" w:rsidRPr="00BB5AAC" w:rsidRDefault="00AA5D5B" w:rsidP="00AA5D5B">
      <w:pPr>
        <w:spacing w:after="240" w:line="360" w:lineRule="auto"/>
        <w:ind w:left="284"/>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A8F2DE6" w14:textId="77777777" w:rsidR="00AA5D5B" w:rsidRPr="00BB5AAC" w:rsidRDefault="00AA5D5B" w:rsidP="00AA5D5B">
      <w:pPr>
        <w:spacing w:after="240" w:line="360" w:lineRule="auto"/>
        <w:ind w:left="284"/>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51E0AB4B" w14:textId="77777777" w:rsidR="00AA5D5B" w:rsidRPr="00BB5AAC" w:rsidRDefault="00AA5D5B" w:rsidP="00AA5D5B">
      <w:pPr>
        <w:spacing w:after="240" w:line="360" w:lineRule="auto"/>
        <w:ind w:left="284"/>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31834D0" w14:textId="77777777" w:rsidR="00AA5D5B" w:rsidRPr="00BB5AAC" w:rsidRDefault="00AA5D5B" w:rsidP="00AA5D5B">
      <w:pPr>
        <w:spacing w:after="240" w:line="360" w:lineRule="auto"/>
        <w:ind w:left="284"/>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2AEDDDD" w14:textId="77777777" w:rsidR="00AA5D5B" w:rsidRPr="00BB5AAC" w:rsidRDefault="00AA5D5B" w:rsidP="00AA5D5B">
      <w:pPr>
        <w:spacing w:after="240" w:line="360" w:lineRule="auto"/>
        <w:ind w:left="284"/>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9823A01" w14:textId="77777777" w:rsidR="00AA5D5B" w:rsidRPr="00BB5AAC" w:rsidRDefault="00AA5D5B" w:rsidP="00AA5D5B">
      <w:pPr>
        <w:spacing w:after="240" w:line="360" w:lineRule="auto"/>
        <w:ind w:left="284"/>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23F82696" w14:textId="78E22EF1" w:rsidR="00AA5D5B" w:rsidRPr="00BB5AAC" w:rsidRDefault="00AA5D5B" w:rsidP="00AA5D5B">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En este orden de ideas, se reitera que la </w:t>
      </w:r>
      <w:r w:rsidR="005918F5" w:rsidRPr="00BB5AAC">
        <w:rPr>
          <w:rFonts w:ascii="Palatino Linotype" w:eastAsia="Palatino Linotype" w:hAnsi="Palatino Linotype" w:cs="Palatino Linotype"/>
          <w:sz w:val="22"/>
          <w:szCs w:val="22"/>
        </w:rPr>
        <w:t>Tesorería Municipal cuenta parcialmente con atribuciones para generar la información de interés para el particular; sin embargo, no cuenta con atribuciones para conocer respecto a permisos,</w:t>
      </w:r>
      <w:r w:rsidR="00566C95" w:rsidRPr="00BB5AAC">
        <w:rPr>
          <w:rFonts w:ascii="Palatino Linotype" w:eastAsia="Palatino Linotype" w:hAnsi="Palatino Linotype" w:cs="Palatino Linotype"/>
          <w:sz w:val="22"/>
          <w:szCs w:val="22"/>
        </w:rPr>
        <w:t xml:space="preserve"> licencias y</w:t>
      </w:r>
      <w:r w:rsidR="005918F5" w:rsidRPr="00BB5AAC">
        <w:rPr>
          <w:rFonts w:ascii="Palatino Linotype" w:eastAsia="Palatino Linotype" w:hAnsi="Palatino Linotype" w:cs="Palatino Linotype"/>
          <w:sz w:val="22"/>
          <w:szCs w:val="22"/>
        </w:rPr>
        <w:t xml:space="preserve"> vacaciones</w:t>
      </w:r>
      <w:r w:rsidR="00566C95" w:rsidRPr="00BB5AAC">
        <w:rPr>
          <w:rFonts w:ascii="Palatino Linotype" w:eastAsia="Palatino Linotype" w:hAnsi="Palatino Linotype" w:cs="Palatino Linotype"/>
          <w:sz w:val="22"/>
          <w:szCs w:val="22"/>
        </w:rPr>
        <w:t xml:space="preserve">, con lo que no se </w:t>
      </w:r>
      <w:r w:rsidRPr="00BB5AAC">
        <w:rPr>
          <w:rFonts w:ascii="Palatino Linotype" w:eastAsia="Palatino Linotype" w:hAnsi="Palatino Linotype" w:cs="Palatino Linotype"/>
          <w:sz w:val="22"/>
          <w:szCs w:val="22"/>
        </w:rPr>
        <w:t xml:space="preserve"> acreditó que se realizó una correcta búsqueda exhaustiva y razonable de la información.</w:t>
      </w:r>
    </w:p>
    <w:p w14:paraId="182FCEF6" w14:textId="77777777" w:rsidR="00566C95" w:rsidRPr="00BB5AAC" w:rsidRDefault="00566C95">
      <w:pPr>
        <w:spacing w:after="240" w:line="360" w:lineRule="auto"/>
        <w:jc w:val="both"/>
        <w:rPr>
          <w:rFonts w:ascii="Palatino Linotype" w:eastAsia="Palatino Linotype" w:hAnsi="Palatino Linotype" w:cs="Palatino Linotype"/>
          <w:sz w:val="22"/>
          <w:szCs w:val="22"/>
        </w:rPr>
      </w:pPr>
    </w:p>
    <w:p w14:paraId="2D33A038" w14:textId="31E18B45" w:rsidR="00566C95" w:rsidRPr="00BB5AAC" w:rsidRDefault="00566C95">
      <w:pPr>
        <w:spacing w:after="240" w:line="360" w:lineRule="auto"/>
        <w:jc w:val="both"/>
        <w:rPr>
          <w:rFonts w:ascii="Palatino Linotype" w:eastAsia="Palatino Linotype" w:hAnsi="Palatino Linotype" w:cs="Palatino Linotype"/>
          <w:b/>
          <w:sz w:val="22"/>
          <w:szCs w:val="22"/>
        </w:rPr>
      </w:pPr>
      <w:r w:rsidRPr="00BB5AAC">
        <w:rPr>
          <w:rFonts w:ascii="Palatino Linotype" w:eastAsia="Palatino Linotype" w:hAnsi="Palatino Linotype" w:cs="Palatino Linotype"/>
          <w:b/>
          <w:sz w:val="22"/>
          <w:szCs w:val="22"/>
        </w:rPr>
        <w:t>Altas, bajas y cambio de adscripción.</w:t>
      </w:r>
    </w:p>
    <w:p w14:paraId="7EA6C6C7" w14:textId="7BB02CEC" w:rsidR="00566C95" w:rsidRPr="00BB5AAC" w:rsidRDefault="000D351D" w:rsidP="00566C9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L</w:t>
      </w:r>
      <w:r w:rsidR="00566C95" w:rsidRPr="00BB5AAC">
        <w:rPr>
          <w:rFonts w:ascii="Palatino Linotype" w:eastAsia="Palatino Linotype" w:hAnsi="Palatino Linotype" w:cs="Palatino Linotype"/>
          <w:sz w:val="22"/>
          <w:szCs w:val="22"/>
        </w:rPr>
        <w:t>a Ley del Trabajo de los Servidores Públicos del Estado y Municipios, establece en su artículo 5 que la relación de trabajo entre las instituciones públicas y sus servidores públicos se entiende establecida mediante</w:t>
      </w:r>
      <w:r w:rsidR="00566C95" w:rsidRPr="00BB5AAC">
        <w:rPr>
          <w:rFonts w:ascii="Palatino Linotype" w:eastAsia="Palatino Linotype" w:hAnsi="Palatino Linotype" w:cs="Palatino Linotype"/>
          <w:b/>
          <w:sz w:val="22"/>
          <w:szCs w:val="22"/>
          <w:u w:val="single"/>
        </w:rPr>
        <w:t xml:space="preserve"> nombramiento, formato único de movimiento de personal, contrato o por cualquier otro acto que tenga como consecuencia la prestación personal subordinada del servicio y la percepción de un sueldo. </w:t>
      </w:r>
    </w:p>
    <w:p w14:paraId="5F24B867" w14:textId="77777777" w:rsidR="00566C95" w:rsidRPr="00BB5AAC" w:rsidRDefault="00566C95" w:rsidP="00566C95">
      <w:pPr>
        <w:spacing w:line="360" w:lineRule="auto"/>
        <w:jc w:val="both"/>
        <w:rPr>
          <w:rFonts w:ascii="Palatino Linotype" w:eastAsia="Palatino Linotype" w:hAnsi="Palatino Linotype" w:cs="Palatino Linotype"/>
          <w:sz w:val="22"/>
          <w:szCs w:val="22"/>
        </w:rPr>
      </w:pPr>
    </w:p>
    <w:p w14:paraId="1EC327DA" w14:textId="77777777" w:rsidR="00566C95" w:rsidRPr="00BB5AAC" w:rsidRDefault="00566C95" w:rsidP="00566C9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Del mismo modo, el artículo 45 de ley en comento, establece que los servidores públicos prestarán sus servicios mediante nombramiento, contrato o formato único de Movimientos de Personal expedidos por quien estuviere facultado legalmente para extenderlo.</w:t>
      </w:r>
    </w:p>
    <w:p w14:paraId="3FDCA745" w14:textId="77777777" w:rsidR="00566C95" w:rsidRPr="00BB5AAC" w:rsidRDefault="00566C95" w:rsidP="00566C95">
      <w:pPr>
        <w:spacing w:line="360" w:lineRule="auto"/>
        <w:ind w:right="49"/>
        <w:jc w:val="both"/>
        <w:rPr>
          <w:rFonts w:ascii="Palatino Linotype" w:eastAsia="Palatino Linotype" w:hAnsi="Palatino Linotype" w:cs="Palatino Linotype"/>
          <w:sz w:val="22"/>
          <w:szCs w:val="22"/>
        </w:rPr>
      </w:pPr>
    </w:p>
    <w:p w14:paraId="0F09CA13" w14:textId="77777777" w:rsidR="00566C95" w:rsidRPr="00BB5AAC" w:rsidRDefault="00566C95" w:rsidP="00566C9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Por otro lado, la Ley de Seguridad Social para los Servidores Públicos del Estado de México y Municipios, establece que:</w:t>
      </w:r>
    </w:p>
    <w:p w14:paraId="059A03BD" w14:textId="77777777" w:rsidR="00566C95" w:rsidRPr="00BB5AAC" w:rsidRDefault="00566C95" w:rsidP="00566C95">
      <w:pPr>
        <w:spacing w:line="360" w:lineRule="auto"/>
        <w:jc w:val="both"/>
        <w:rPr>
          <w:rFonts w:ascii="Palatino Linotype" w:eastAsia="Palatino Linotype" w:hAnsi="Palatino Linotype" w:cs="Palatino Linotype"/>
          <w:sz w:val="22"/>
          <w:szCs w:val="22"/>
        </w:rPr>
      </w:pPr>
    </w:p>
    <w:p w14:paraId="008E0C0E" w14:textId="77777777" w:rsidR="00566C95" w:rsidRPr="00BB5AAC" w:rsidRDefault="00566C95" w:rsidP="00566C95">
      <w:pPr>
        <w:spacing w:line="276" w:lineRule="auto"/>
        <w:ind w:left="851"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r w:rsidRPr="00BB5AAC">
        <w:rPr>
          <w:rFonts w:ascii="Palatino Linotype" w:eastAsia="Palatino Linotype" w:hAnsi="Palatino Linotype" w:cs="Palatino Linotype"/>
          <w:b/>
          <w:i/>
          <w:sz w:val="22"/>
          <w:szCs w:val="22"/>
        </w:rPr>
        <w:t>ARTÍCULO 6.-</w:t>
      </w:r>
      <w:r w:rsidRPr="00BB5AAC">
        <w:rPr>
          <w:rFonts w:ascii="Palatino Linotype" w:eastAsia="Palatino Linotype" w:hAnsi="Palatino Linotype" w:cs="Palatino Linotype"/>
          <w:i/>
          <w:sz w:val="22"/>
          <w:szCs w:val="22"/>
        </w:rPr>
        <w:t xml:space="preserve"> </w:t>
      </w:r>
      <w:r w:rsidRPr="00BB5AAC">
        <w:rPr>
          <w:rFonts w:ascii="Palatino Linotype" w:eastAsia="Palatino Linotype" w:hAnsi="Palatino Linotype" w:cs="Palatino Linotype"/>
          <w:i/>
          <w:sz w:val="22"/>
          <w:szCs w:val="22"/>
          <w:u w:val="single"/>
        </w:rPr>
        <w:t xml:space="preserve">Los derechos que otorga la presente ley a los servidores públicos se </w:t>
      </w:r>
      <w:r w:rsidRPr="00BB5AAC">
        <w:rPr>
          <w:rFonts w:ascii="Palatino Linotype" w:eastAsia="Palatino Linotype" w:hAnsi="Palatino Linotype" w:cs="Palatino Linotype"/>
          <w:b/>
          <w:i/>
          <w:sz w:val="22"/>
          <w:szCs w:val="22"/>
          <w:u w:val="single"/>
        </w:rPr>
        <w:t>generan a partir de su ingreso al servicio independientemente de la fecha en que el Instituto reciba las cuotas y aportaciones establecidas.</w:t>
      </w:r>
      <w:r w:rsidRPr="00BB5AAC">
        <w:rPr>
          <w:rFonts w:ascii="Palatino Linotype" w:eastAsia="Palatino Linotype" w:hAnsi="Palatino Linotype" w:cs="Palatino Linotype"/>
          <w:i/>
          <w:sz w:val="22"/>
          <w:szCs w:val="22"/>
        </w:rPr>
        <w:t xml:space="preserve"> Las instituciones públicas deberán remitir al Instituto, en un plazo no mayor de 10 días hábiles a partir del ingreso al servicio del servidor público, los datos necesarios para su registro y control.”</w:t>
      </w:r>
    </w:p>
    <w:p w14:paraId="647136DF" w14:textId="77777777" w:rsidR="00566C95" w:rsidRPr="00BB5AAC" w:rsidRDefault="00566C95" w:rsidP="00566C95">
      <w:pPr>
        <w:spacing w:line="360" w:lineRule="auto"/>
        <w:ind w:right="49"/>
        <w:jc w:val="both"/>
        <w:rPr>
          <w:rFonts w:ascii="Palatino Linotype" w:eastAsia="Palatino Linotype" w:hAnsi="Palatino Linotype" w:cs="Palatino Linotype"/>
          <w:sz w:val="22"/>
          <w:szCs w:val="22"/>
        </w:rPr>
      </w:pPr>
    </w:p>
    <w:p w14:paraId="6652F548" w14:textId="77777777" w:rsidR="00566C95" w:rsidRPr="00BB5AAC" w:rsidRDefault="00566C95" w:rsidP="00566C9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Ahora bien, el artículo 49 de la Ley del Trabajo de los Servidores Públicos del Estado de México y Municipios determina los requisitos para tener por formalizada una relación de trabajo entre el servidor y las entidades públicas, los cuales se enlistan a continuación: </w:t>
      </w:r>
    </w:p>
    <w:p w14:paraId="1798C285" w14:textId="77777777" w:rsidR="00566C95" w:rsidRPr="00BB5AAC" w:rsidRDefault="00566C95" w:rsidP="00566C95">
      <w:pPr>
        <w:spacing w:line="276" w:lineRule="auto"/>
        <w:ind w:left="567" w:right="567"/>
        <w:jc w:val="both"/>
        <w:rPr>
          <w:rFonts w:ascii="Palatino Linotype" w:eastAsia="Palatino Linotype" w:hAnsi="Palatino Linotype" w:cs="Palatino Linotype"/>
          <w:i/>
          <w:sz w:val="22"/>
          <w:szCs w:val="22"/>
        </w:rPr>
      </w:pPr>
    </w:p>
    <w:p w14:paraId="5A6B295A" w14:textId="77777777" w:rsidR="00566C95" w:rsidRPr="00BB5AAC" w:rsidRDefault="00566C95" w:rsidP="00566C95">
      <w:pPr>
        <w:spacing w:line="276" w:lineRule="auto"/>
        <w:ind w:left="851" w:right="567"/>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r w:rsidRPr="00BB5AAC">
        <w:rPr>
          <w:rFonts w:ascii="Palatino Linotype" w:eastAsia="Palatino Linotype" w:hAnsi="Palatino Linotype" w:cs="Palatino Linotype"/>
          <w:b/>
          <w:i/>
          <w:sz w:val="22"/>
          <w:szCs w:val="22"/>
        </w:rPr>
        <w:t>ARTÍCULO 49.-</w:t>
      </w:r>
      <w:r w:rsidRPr="00BB5AAC">
        <w:rPr>
          <w:rFonts w:ascii="Palatino Linotype" w:eastAsia="Palatino Linotype" w:hAnsi="Palatino Linotype" w:cs="Palatino Linotype"/>
          <w:i/>
          <w:sz w:val="22"/>
          <w:szCs w:val="22"/>
        </w:rPr>
        <w:t xml:space="preserve"> Los nombramientos, contratos o formato único de Movimientos de Personal de los servidores públicos deberán contener:</w:t>
      </w:r>
    </w:p>
    <w:p w14:paraId="5C1E5502" w14:textId="77777777" w:rsidR="00566C95" w:rsidRPr="00BB5AAC" w:rsidRDefault="00566C95" w:rsidP="00566C95">
      <w:pPr>
        <w:spacing w:line="276" w:lineRule="auto"/>
        <w:ind w:left="851" w:right="567"/>
        <w:jc w:val="both"/>
        <w:rPr>
          <w:rFonts w:ascii="Palatino Linotype" w:eastAsia="Palatino Linotype" w:hAnsi="Palatino Linotype" w:cs="Palatino Linotype"/>
          <w:i/>
          <w:sz w:val="22"/>
          <w:szCs w:val="22"/>
        </w:rPr>
      </w:pPr>
    </w:p>
    <w:p w14:paraId="12B01C79" w14:textId="77777777" w:rsidR="00566C95" w:rsidRPr="00BB5AAC" w:rsidRDefault="00566C95" w:rsidP="00566C95">
      <w:pPr>
        <w:spacing w:line="276" w:lineRule="auto"/>
        <w:ind w:left="851" w:right="567"/>
        <w:jc w:val="both"/>
        <w:rPr>
          <w:rFonts w:ascii="Palatino Linotype" w:eastAsia="Palatino Linotype" w:hAnsi="Palatino Linotype" w:cs="Palatino Linotype"/>
          <w:b/>
          <w:i/>
          <w:sz w:val="22"/>
          <w:szCs w:val="22"/>
        </w:rPr>
      </w:pPr>
      <w:r w:rsidRPr="00BB5AAC">
        <w:rPr>
          <w:rFonts w:ascii="Palatino Linotype" w:eastAsia="Palatino Linotype" w:hAnsi="Palatino Linotype" w:cs="Palatino Linotype"/>
          <w:b/>
          <w:i/>
          <w:sz w:val="22"/>
          <w:szCs w:val="22"/>
        </w:rPr>
        <w:t xml:space="preserve">I. Nombre completo del servidor público; </w:t>
      </w:r>
    </w:p>
    <w:p w14:paraId="09411345" w14:textId="77777777" w:rsidR="00566C95" w:rsidRPr="00BB5AAC" w:rsidRDefault="00566C95" w:rsidP="00566C95">
      <w:pPr>
        <w:spacing w:line="276" w:lineRule="auto"/>
        <w:ind w:left="851" w:right="567"/>
        <w:jc w:val="both"/>
        <w:rPr>
          <w:rFonts w:ascii="Palatino Linotype" w:eastAsia="Palatino Linotype" w:hAnsi="Palatino Linotype" w:cs="Palatino Linotype"/>
          <w:b/>
          <w:bCs/>
          <w:i/>
          <w:sz w:val="22"/>
          <w:szCs w:val="22"/>
        </w:rPr>
      </w:pPr>
      <w:r w:rsidRPr="00BB5AAC">
        <w:rPr>
          <w:rFonts w:ascii="Palatino Linotype" w:eastAsia="Palatino Linotype" w:hAnsi="Palatino Linotype" w:cs="Palatino Linotype"/>
          <w:b/>
          <w:i/>
          <w:sz w:val="22"/>
          <w:szCs w:val="22"/>
        </w:rPr>
        <w:t>II. Cargo para el que es designado</w:t>
      </w:r>
      <w:r w:rsidRPr="00BB5AAC">
        <w:rPr>
          <w:rFonts w:ascii="Palatino Linotype" w:eastAsia="Palatino Linotype" w:hAnsi="Palatino Linotype" w:cs="Palatino Linotype"/>
          <w:i/>
          <w:sz w:val="22"/>
          <w:szCs w:val="22"/>
        </w:rPr>
        <w:t xml:space="preserve">, </w:t>
      </w:r>
      <w:r w:rsidRPr="00BB5AAC">
        <w:rPr>
          <w:rFonts w:ascii="Palatino Linotype" w:eastAsia="Palatino Linotype" w:hAnsi="Palatino Linotype" w:cs="Palatino Linotype"/>
          <w:b/>
          <w:bCs/>
          <w:i/>
          <w:sz w:val="22"/>
          <w:szCs w:val="22"/>
        </w:rPr>
        <w:t xml:space="preserve">fecha de inicio de sus servicios y lugar de adscripción; </w:t>
      </w:r>
    </w:p>
    <w:p w14:paraId="208CF238" w14:textId="77777777" w:rsidR="00566C95" w:rsidRPr="00BB5AAC" w:rsidRDefault="00566C95" w:rsidP="00566C95">
      <w:pPr>
        <w:spacing w:line="276" w:lineRule="auto"/>
        <w:ind w:left="851" w:right="567"/>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III. </w:t>
      </w:r>
      <w:r w:rsidRPr="00BB5AAC">
        <w:rPr>
          <w:rFonts w:ascii="Palatino Linotype" w:eastAsia="Palatino Linotype" w:hAnsi="Palatino Linotype" w:cs="Palatino Linotype"/>
          <w:b/>
          <w:bCs/>
          <w:i/>
          <w:sz w:val="22"/>
          <w:szCs w:val="22"/>
        </w:rPr>
        <w:t>Carácter del nombramiento, ya sea de servidores públicos generales o de confianza</w:t>
      </w:r>
      <w:r w:rsidRPr="00BB5AAC">
        <w:rPr>
          <w:rFonts w:ascii="Palatino Linotype" w:eastAsia="Palatino Linotype" w:hAnsi="Palatino Linotype" w:cs="Palatino Linotype"/>
          <w:i/>
          <w:sz w:val="22"/>
          <w:szCs w:val="22"/>
        </w:rPr>
        <w:t xml:space="preserve">, así como la temporalidad del mismo; </w:t>
      </w:r>
    </w:p>
    <w:p w14:paraId="5A351201" w14:textId="77777777" w:rsidR="00566C95" w:rsidRPr="00BB5AAC" w:rsidRDefault="00566C95" w:rsidP="00566C95">
      <w:pPr>
        <w:spacing w:line="276" w:lineRule="auto"/>
        <w:ind w:left="851" w:right="567"/>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IV.</w:t>
      </w:r>
      <w:r w:rsidRPr="00BB5AAC">
        <w:rPr>
          <w:rFonts w:ascii="Palatino Linotype" w:eastAsia="Palatino Linotype" w:hAnsi="Palatino Linotype" w:cs="Palatino Linotype"/>
          <w:i/>
          <w:sz w:val="22"/>
          <w:szCs w:val="22"/>
        </w:rPr>
        <w:t xml:space="preserve"> </w:t>
      </w:r>
      <w:r w:rsidRPr="00BB5AAC">
        <w:rPr>
          <w:rFonts w:ascii="Palatino Linotype" w:eastAsia="Palatino Linotype" w:hAnsi="Palatino Linotype" w:cs="Palatino Linotype"/>
          <w:b/>
          <w:i/>
          <w:sz w:val="22"/>
          <w:szCs w:val="22"/>
        </w:rPr>
        <w:t>Remuneración correspondiente al puesto</w:t>
      </w:r>
      <w:r w:rsidRPr="00BB5AAC">
        <w:rPr>
          <w:rFonts w:ascii="Palatino Linotype" w:eastAsia="Palatino Linotype" w:hAnsi="Palatino Linotype" w:cs="Palatino Linotype"/>
          <w:i/>
          <w:sz w:val="22"/>
          <w:szCs w:val="22"/>
        </w:rPr>
        <w:t xml:space="preserve">; </w:t>
      </w:r>
    </w:p>
    <w:p w14:paraId="41008B07" w14:textId="77777777" w:rsidR="00566C95" w:rsidRPr="00BB5AAC" w:rsidRDefault="00566C95" w:rsidP="00566C95">
      <w:pPr>
        <w:spacing w:line="276" w:lineRule="auto"/>
        <w:ind w:left="851" w:right="567"/>
        <w:jc w:val="both"/>
        <w:rPr>
          <w:rFonts w:ascii="Palatino Linotype" w:eastAsia="Palatino Linotype" w:hAnsi="Palatino Linotype" w:cs="Palatino Linotype"/>
          <w:b/>
          <w:i/>
          <w:sz w:val="22"/>
          <w:szCs w:val="22"/>
        </w:rPr>
      </w:pPr>
      <w:r w:rsidRPr="00BB5AAC">
        <w:rPr>
          <w:rFonts w:ascii="Palatino Linotype" w:eastAsia="Palatino Linotype" w:hAnsi="Palatino Linotype" w:cs="Palatino Linotype"/>
          <w:b/>
          <w:i/>
          <w:sz w:val="22"/>
          <w:szCs w:val="22"/>
        </w:rPr>
        <w:t xml:space="preserve">V. Jornada de trabajo; </w:t>
      </w:r>
    </w:p>
    <w:p w14:paraId="4CE25D24" w14:textId="77777777" w:rsidR="00566C95" w:rsidRPr="00BB5AAC" w:rsidRDefault="00566C95" w:rsidP="00566C95">
      <w:pPr>
        <w:spacing w:line="276" w:lineRule="auto"/>
        <w:ind w:left="851" w:right="567"/>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VI. Derogada; </w:t>
      </w:r>
    </w:p>
    <w:p w14:paraId="231C0080" w14:textId="77777777" w:rsidR="00566C95" w:rsidRPr="00BB5AAC" w:rsidRDefault="00566C95" w:rsidP="00566C95">
      <w:pPr>
        <w:spacing w:line="276" w:lineRule="auto"/>
        <w:ind w:left="851" w:right="567"/>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14:paraId="044C00DA" w14:textId="77777777" w:rsidR="00566C95" w:rsidRPr="00BB5AAC" w:rsidRDefault="00566C95" w:rsidP="00566C95">
      <w:pPr>
        <w:spacing w:line="276" w:lineRule="auto"/>
        <w:ind w:left="851" w:right="567"/>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(Énfasis Añadido)</w:t>
      </w:r>
    </w:p>
    <w:p w14:paraId="72C95035" w14:textId="77777777" w:rsidR="00566C95" w:rsidRPr="00BB5AAC" w:rsidRDefault="00566C95" w:rsidP="00566C95">
      <w:pPr>
        <w:spacing w:line="360" w:lineRule="auto"/>
        <w:jc w:val="both"/>
        <w:rPr>
          <w:rFonts w:ascii="Palatino Linotype" w:eastAsia="Palatino Linotype" w:hAnsi="Palatino Linotype" w:cs="Palatino Linotype"/>
          <w:sz w:val="22"/>
          <w:szCs w:val="22"/>
        </w:rPr>
      </w:pPr>
    </w:p>
    <w:p w14:paraId="3016F71E" w14:textId="77777777" w:rsidR="00566C95" w:rsidRPr="00BB5AAC" w:rsidRDefault="00566C95" w:rsidP="00566C9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Como anteriormente se señaló, las relaciones laborales, se tendrán establecidas ya sea por nombramiento, formato único de movimiento de personal, contrato o por cualquier otro acto que tenga como consecuencia la prestación personal subordinada del servicio y la percepción de un sueldo, en el cual se deberá establecer como requisitos mínimos </w:t>
      </w:r>
      <w:r w:rsidRPr="00BB5AAC">
        <w:rPr>
          <w:rFonts w:ascii="Palatino Linotype" w:eastAsia="Palatino Linotype" w:hAnsi="Palatino Linotype" w:cs="Palatino Linotype"/>
          <w:b/>
          <w:sz w:val="22"/>
          <w:szCs w:val="22"/>
        </w:rPr>
        <w:t>el nombre, cargo, fecha inicio, lugar de adscripción, carácter del nombramiento, remuneración correspondiente al puesto y jornada de trabajo</w:t>
      </w:r>
      <w:r w:rsidRPr="00BB5AAC">
        <w:rPr>
          <w:rFonts w:ascii="Palatino Linotype" w:eastAsia="Palatino Linotype" w:hAnsi="Palatino Linotype" w:cs="Palatino Linotype"/>
          <w:sz w:val="22"/>
          <w:szCs w:val="22"/>
        </w:rPr>
        <w:t xml:space="preserve">, información que permite dar cuenta en efecto, del alta del servidor público dentro de la institución pública con motivo de la prestación de sus servicios. </w:t>
      </w:r>
    </w:p>
    <w:p w14:paraId="7C130918" w14:textId="77777777" w:rsidR="00566C95" w:rsidRPr="00BB5AAC" w:rsidRDefault="00566C95" w:rsidP="00566C95">
      <w:pPr>
        <w:spacing w:line="360" w:lineRule="auto"/>
        <w:jc w:val="both"/>
        <w:rPr>
          <w:rFonts w:ascii="Palatino Linotype" w:eastAsia="Palatino Linotype" w:hAnsi="Palatino Linotype" w:cs="Palatino Linotype"/>
          <w:sz w:val="22"/>
          <w:szCs w:val="22"/>
        </w:rPr>
      </w:pPr>
    </w:p>
    <w:p w14:paraId="0150DDB3" w14:textId="77777777" w:rsidR="00566C95" w:rsidRPr="00BB5AAC" w:rsidRDefault="00566C95" w:rsidP="00566C9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Por el contrario, cuando se actualiza algún supuesto previsto en los artículos 88 y 92 de la Ley de Trabajo que causen la terminación o rescisión de la relación laboral con las instituciones públicas, como: </w:t>
      </w:r>
    </w:p>
    <w:p w14:paraId="1655D8CC" w14:textId="77777777" w:rsidR="00566C95" w:rsidRPr="00BB5AAC" w:rsidRDefault="00566C95" w:rsidP="00566C95">
      <w:pPr>
        <w:spacing w:line="360" w:lineRule="auto"/>
        <w:jc w:val="both"/>
        <w:rPr>
          <w:rFonts w:ascii="Palatino Linotype" w:eastAsia="Palatino Linotype" w:hAnsi="Palatino Linotype" w:cs="Palatino Linotype"/>
          <w:sz w:val="22"/>
          <w:szCs w:val="22"/>
        </w:rPr>
      </w:pPr>
    </w:p>
    <w:p w14:paraId="766AC97F" w14:textId="77777777" w:rsidR="00566C95" w:rsidRPr="00BB5AAC" w:rsidRDefault="00566C95" w:rsidP="00566C95">
      <w:pPr>
        <w:spacing w:line="276" w:lineRule="auto"/>
        <w:ind w:left="851" w:right="901"/>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r w:rsidRPr="00BB5AAC">
        <w:rPr>
          <w:rFonts w:ascii="Palatino Linotype" w:eastAsia="Palatino Linotype" w:hAnsi="Palatino Linotype" w:cs="Palatino Linotype"/>
          <w:b/>
          <w:i/>
          <w:sz w:val="22"/>
          <w:szCs w:val="22"/>
        </w:rPr>
        <w:t>ARTÍCULO 89.</w:t>
      </w:r>
      <w:r w:rsidRPr="00BB5AAC">
        <w:rPr>
          <w:rFonts w:ascii="Palatino Linotype" w:eastAsia="Palatino Linotype" w:hAnsi="Palatino Linotype" w:cs="Palatino Linotype"/>
          <w:i/>
          <w:sz w:val="22"/>
          <w:szCs w:val="22"/>
        </w:rPr>
        <w:t xml:space="preserve"> Son </w:t>
      </w:r>
      <w:r w:rsidRPr="00BB5AAC">
        <w:rPr>
          <w:rFonts w:ascii="Palatino Linotype" w:eastAsia="Palatino Linotype" w:hAnsi="Palatino Linotype" w:cs="Palatino Linotype"/>
          <w:b/>
          <w:i/>
          <w:sz w:val="22"/>
          <w:szCs w:val="22"/>
        </w:rPr>
        <w:t>causas de terminación de la relación laboral</w:t>
      </w:r>
      <w:r w:rsidRPr="00BB5AAC">
        <w:rPr>
          <w:rFonts w:ascii="Palatino Linotype" w:eastAsia="Palatino Linotype" w:hAnsi="Palatino Linotype" w:cs="Palatino Linotype"/>
          <w:i/>
          <w:sz w:val="22"/>
          <w:szCs w:val="22"/>
        </w:rPr>
        <w:t xml:space="preserve"> sin responsabilidad para las instituciones públicas: </w:t>
      </w:r>
    </w:p>
    <w:p w14:paraId="79C10C19" w14:textId="77777777" w:rsidR="00566C95" w:rsidRPr="00BB5AAC" w:rsidRDefault="00566C95" w:rsidP="00566C95">
      <w:pPr>
        <w:spacing w:line="276" w:lineRule="auto"/>
        <w:ind w:left="851" w:right="901"/>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 La renuncia del servidor público; </w:t>
      </w:r>
    </w:p>
    <w:p w14:paraId="7DFA2685" w14:textId="77777777" w:rsidR="00566C95" w:rsidRPr="00BB5AAC" w:rsidRDefault="00566C95" w:rsidP="00566C95">
      <w:pPr>
        <w:spacing w:line="276" w:lineRule="auto"/>
        <w:ind w:left="851" w:right="901"/>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II. El mutuo consentimiento de las partes; </w:t>
      </w:r>
    </w:p>
    <w:p w14:paraId="00A4BDDF" w14:textId="77777777" w:rsidR="00566C95" w:rsidRPr="00BB5AAC" w:rsidRDefault="00566C95" w:rsidP="00566C95">
      <w:pPr>
        <w:spacing w:line="276" w:lineRule="auto"/>
        <w:ind w:left="851" w:right="901"/>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III. El vencimiento del término o conclusión de la obra determinantes de la contratación; </w:t>
      </w:r>
    </w:p>
    <w:p w14:paraId="4B14C9BC" w14:textId="77777777" w:rsidR="00566C95" w:rsidRPr="00BB5AAC" w:rsidRDefault="00566C95" w:rsidP="00566C95">
      <w:pPr>
        <w:spacing w:line="276" w:lineRule="auto"/>
        <w:ind w:left="851" w:right="901"/>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IV. El término o conclusión de la administración en la cual fue contratado el servidor público a que se refiere el artículo 8 de ésta Ley; </w:t>
      </w:r>
    </w:p>
    <w:p w14:paraId="778C1433" w14:textId="77777777" w:rsidR="00566C95" w:rsidRPr="00BB5AAC" w:rsidRDefault="00566C95" w:rsidP="00566C95">
      <w:pPr>
        <w:spacing w:line="276" w:lineRule="auto"/>
        <w:ind w:left="851" w:right="901"/>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V. La muerte del servidor público; y</w:t>
      </w:r>
    </w:p>
    <w:p w14:paraId="53EFEB34" w14:textId="77777777" w:rsidR="00566C95" w:rsidRPr="00BB5AAC" w:rsidRDefault="00566C95" w:rsidP="00566C95">
      <w:pPr>
        <w:spacing w:line="276" w:lineRule="auto"/>
        <w:ind w:left="851" w:right="901"/>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VI. La incapacidad permanente del servidor público que le impida el desempeño de sus labores.</w:t>
      </w:r>
    </w:p>
    <w:p w14:paraId="361EFB57" w14:textId="77777777" w:rsidR="00566C95" w:rsidRPr="00BB5AAC" w:rsidRDefault="00566C95" w:rsidP="00566C95">
      <w:pPr>
        <w:spacing w:line="276" w:lineRule="auto"/>
        <w:ind w:left="851" w:right="901"/>
        <w:jc w:val="both"/>
        <w:rPr>
          <w:rFonts w:ascii="Palatino Linotype" w:eastAsia="Palatino Linotype" w:hAnsi="Palatino Linotype" w:cs="Palatino Linotype"/>
          <w:i/>
          <w:sz w:val="22"/>
          <w:szCs w:val="22"/>
        </w:rPr>
      </w:pPr>
    </w:p>
    <w:p w14:paraId="5D9CFD17" w14:textId="77777777" w:rsidR="00566C95" w:rsidRPr="00BB5AAC" w:rsidRDefault="00566C95" w:rsidP="00566C95">
      <w:pPr>
        <w:spacing w:line="276" w:lineRule="auto"/>
        <w:ind w:left="851" w:right="901"/>
        <w:jc w:val="center"/>
        <w:rPr>
          <w:rFonts w:ascii="Palatino Linotype" w:eastAsia="Palatino Linotype" w:hAnsi="Palatino Linotype" w:cs="Palatino Linotype"/>
          <w:b/>
          <w:i/>
          <w:sz w:val="22"/>
          <w:szCs w:val="22"/>
        </w:rPr>
      </w:pPr>
      <w:r w:rsidRPr="00BB5AAC">
        <w:rPr>
          <w:rFonts w:ascii="Palatino Linotype" w:eastAsia="Palatino Linotype" w:hAnsi="Palatino Linotype" w:cs="Palatino Linotype"/>
          <w:b/>
          <w:i/>
          <w:sz w:val="22"/>
          <w:szCs w:val="22"/>
        </w:rPr>
        <w:t>CAPITULO IX</w:t>
      </w:r>
    </w:p>
    <w:p w14:paraId="6AA635F1" w14:textId="77777777" w:rsidR="00566C95" w:rsidRPr="00BB5AAC" w:rsidRDefault="00566C95" w:rsidP="00566C95">
      <w:pPr>
        <w:spacing w:line="276" w:lineRule="auto"/>
        <w:ind w:left="851" w:right="901"/>
        <w:jc w:val="center"/>
        <w:rPr>
          <w:rFonts w:ascii="Palatino Linotype" w:eastAsia="Palatino Linotype" w:hAnsi="Palatino Linotype" w:cs="Palatino Linotype"/>
          <w:b/>
          <w:i/>
          <w:sz w:val="22"/>
          <w:szCs w:val="22"/>
        </w:rPr>
      </w:pPr>
      <w:r w:rsidRPr="00BB5AAC">
        <w:rPr>
          <w:rFonts w:ascii="Palatino Linotype" w:eastAsia="Palatino Linotype" w:hAnsi="Palatino Linotype" w:cs="Palatino Linotype"/>
          <w:b/>
          <w:i/>
          <w:sz w:val="22"/>
          <w:szCs w:val="22"/>
        </w:rPr>
        <w:t>De la Rescisión de la Relación Laboral</w:t>
      </w:r>
    </w:p>
    <w:p w14:paraId="05704F8C" w14:textId="77777777" w:rsidR="00566C95" w:rsidRPr="00BB5AAC" w:rsidRDefault="00566C95" w:rsidP="00566C95">
      <w:pPr>
        <w:spacing w:line="276" w:lineRule="auto"/>
        <w:ind w:left="851" w:right="901"/>
        <w:jc w:val="both"/>
        <w:rPr>
          <w:rFonts w:ascii="Palatino Linotype" w:eastAsia="Palatino Linotype" w:hAnsi="Palatino Linotype" w:cs="Palatino Linotype"/>
          <w:b/>
          <w:i/>
          <w:sz w:val="22"/>
          <w:szCs w:val="22"/>
        </w:rPr>
      </w:pPr>
      <w:r w:rsidRPr="00BB5AAC">
        <w:rPr>
          <w:rFonts w:ascii="Palatino Linotype" w:eastAsia="Palatino Linotype" w:hAnsi="Palatino Linotype" w:cs="Palatino Linotype"/>
          <w:b/>
          <w:i/>
          <w:sz w:val="22"/>
          <w:szCs w:val="22"/>
        </w:rPr>
        <w:t xml:space="preserve">ARTÍCULO 92. </w:t>
      </w:r>
      <w:r w:rsidRPr="00BB5AAC">
        <w:rPr>
          <w:rFonts w:ascii="Palatino Linotype" w:eastAsia="Palatino Linotype" w:hAnsi="Palatino Linotype" w:cs="Palatino Linotype"/>
          <w:i/>
          <w:sz w:val="22"/>
          <w:szCs w:val="22"/>
        </w:rPr>
        <w:t xml:space="preserve">El servidor público o la institución pública podrán rescindir en cualquier tiempo, </w:t>
      </w:r>
      <w:r w:rsidRPr="00BB5AAC">
        <w:rPr>
          <w:rFonts w:ascii="Palatino Linotype" w:eastAsia="Palatino Linotype" w:hAnsi="Palatino Linotype" w:cs="Palatino Linotype"/>
          <w:b/>
          <w:i/>
          <w:sz w:val="22"/>
          <w:szCs w:val="22"/>
        </w:rPr>
        <w:t>por causa justificada, la relación laboral.</w:t>
      </w:r>
      <w:r w:rsidRPr="00BB5AAC">
        <w:rPr>
          <w:rFonts w:ascii="Palatino Linotype" w:eastAsia="Palatino Linotype" w:hAnsi="Palatino Linotype" w:cs="Palatino Linotype"/>
          <w:i/>
          <w:sz w:val="22"/>
          <w:szCs w:val="22"/>
        </w:rPr>
        <w:t>”</w:t>
      </w:r>
    </w:p>
    <w:p w14:paraId="40A85E0A" w14:textId="77777777" w:rsidR="00566C95" w:rsidRPr="00BB5AAC" w:rsidRDefault="00566C95" w:rsidP="00566C95">
      <w:pPr>
        <w:spacing w:line="360" w:lineRule="auto"/>
        <w:jc w:val="both"/>
        <w:rPr>
          <w:rFonts w:ascii="Palatino Linotype" w:eastAsia="Palatino Linotype" w:hAnsi="Palatino Linotype" w:cs="Palatino Linotype"/>
          <w:sz w:val="22"/>
          <w:szCs w:val="22"/>
        </w:rPr>
      </w:pPr>
    </w:p>
    <w:p w14:paraId="162C779B" w14:textId="77777777" w:rsidR="00566C95" w:rsidRPr="00BB5AAC" w:rsidRDefault="00566C95" w:rsidP="00566C9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La institución pública debe dar aviso por escrito al servidor público las causas de la rescisión de la relación laboral, tal como lo refiere el artículo 94 de la multicitada Ley de Trabajo Local, el cual se inserta a continuación: </w:t>
      </w:r>
    </w:p>
    <w:p w14:paraId="42F54435" w14:textId="77777777" w:rsidR="00566C95" w:rsidRPr="00BB5AAC" w:rsidRDefault="00566C95" w:rsidP="00566C95">
      <w:pPr>
        <w:spacing w:line="360" w:lineRule="auto"/>
        <w:ind w:right="901"/>
        <w:jc w:val="both"/>
        <w:rPr>
          <w:rFonts w:ascii="Palatino Linotype" w:eastAsia="Palatino Linotype" w:hAnsi="Palatino Linotype" w:cs="Palatino Linotype"/>
          <w:b/>
          <w:i/>
          <w:sz w:val="22"/>
          <w:szCs w:val="22"/>
        </w:rPr>
      </w:pPr>
    </w:p>
    <w:p w14:paraId="5646895B" w14:textId="77777777" w:rsidR="00566C95" w:rsidRPr="00BB5AAC" w:rsidRDefault="00566C95" w:rsidP="00566C95">
      <w:pPr>
        <w:spacing w:line="276" w:lineRule="auto"/>
        <w:ind w:left="851" w:right="901"/>
        <w:jc w:val="both"/>
        <w:rPr>
          <w:rFonts w:ascii="Palatino Linotype" w:eastAsia="Palatino Linotype" w:hAnsi="Palatino Linotype" w:cs="Palatino Linotype"/>
          <w:b/>
          <w:i/>
          <w:sz w:val="22"/>
          <w:szCs w:val="22"/>
        </w:rPr>
      </w:pPr>
      <w:r w:rsidRPr="00BB5AAC">
        <w:rPr>
          <w:rFonts w:ascii="Palatino Linotype" w:eastAsia="Palatino Linotype" w:hAnsi="Palatino Linotype" w:cs="Palatino Linotype"/>
          <w:i/>
          <w:sz w:val="22"/>
          <w:szCs w:val="22"/>
        </w:rPr>
        <w:t>“</w:t>
      </w:r>
      <w:r w:rsidRPr="00BB5AAC">
        <w:rPr>
          <w:rFonts w:ascii="Palatino Linotype" w:eastAsia="Palatino Linotype" w:hAnsi="Palatino Linotype" w:cs="Palatino Linotype"/>
          <w:b/>
          <w:i/>
          <w:sz w:val="22"/>
          <w:szCs w:val="22"/>
        </w:rPr>
        <w:t>ARTÍCULO 94.</w:t>
      </w:r>
      <w:r w:rsidRPr="00BB5AAC">
        <w:rPr>
          <w:rFonts w:ascii="Palatino Linotype" w:eastAsia="Palatino Linotype" w:hAnsi="Palatino Linotype" w:cs="Palatino Linotype"/>
          <w:i/>
          <w:sz w:val="22"/>
          <w:szCs w:val="22"/>
        </w:rPr>
        <w:t xml:space="preserve"> La institución pública deberá dar aviso por escrito al servidor público de manera personal, de la fecha y causa o causas de la rescisión de la relación laboral.” (Sic)</w:t>
      </w:r>
    </w:p>
    <w:p w14:paraId="6B105BAC" w14:textId="77777777" w:rsidR="00566C95" w:rsidRPr="00BB5AAC" w:rsidRDefault="00566C95" w:rsidP="00566C95">
      <w:pPr>
        <w:spacing w:line="360" w:lineRule="auto"/>
        <w:jc w:val="both"/>
        <w:rPr>
          <w:rFonts w:ascii="Palatino Linotype" w:eastAsia="Palatino Linotype" w:hAnsi="Palatino Linotype" w:cs="Palatino Linotype"/>
          <w:sz w:val="22"/>
          <w:szCs w:val="22"/>
        </w:rPr>
      </w:pPr>
    </w:p>
    <w:p w14:paraId="6D99B9BC" w14:textId="77777777" w:rsidR="00566C95" w:rsidRPr="00BB5AAC" w:rsidRDefault="00566C95" w:rsidP="00566C95">
      <w:pPr>
        <w:tabs>
          <w:tab w:val="left" w:pos="3390"/>
        </w:tabs>
        <w:spacing w:line="360" w:lineRule="auto"/>
        <w:jc w:val="both"/>
        <w:rPr>
          <w:rFonts w:ascii="Palatino Linotype" w:eastAsia="Palatino Linotype" w:hAnsi="Palatino Linotype" w:cs="Palatino Linotype"/>
          <w:b/>
          <w:sz w:val="22"/>
          <w:szCs w:val="22"/>
          <w:u w:val="single"/>
        </w:rPr>
      </w:pPr>
      <w:r w:rsidRPr="00BB5AAC">
        <w:rPr>
          <w:rFonts w:ascii="Palatino Linotype" w:eastAsia="Palatino Linotype" w:hAnsi="Palatino Linotype" w:cs="Palatino Linotype"/>
          <w:sz w:val="22"/>
          <w:szCs w:val="22"/>
        </w:rPr>
        <w:t xml:space="preserve">En ese sentido, se desprende que la relación de trabajo entre las instituciones públicas y sus servidores públicos se establece ya sea por nombramiento, contrato o formato único de movimientos de personal, y esta termina cuando se actualice alguna causal establecida en el ordenamiento en cita, es decir, en el caso que ahora nos ocupa, se </w:t>
      </w:r>
      <w:r w:rsidRPr="00BB5AAC">
        <w:rPr>
          <w:rFonts w:ascii="Palatino Linotype" w:eastAsia="Palatino Linotype" w:hAnsi="Palatino Linotype" w:cs="Palatino Linotype"/>
          <w:b/>
          <w:sz w:val="22"/>
          <w:szCs w:val="22"/>
          <w:u w:val="single"/>
        </w:rPr>
        <w:t xml:space="preserve">entiende como alta en el servicio público, a aquel acto administrativo que supone el inicio de una relación jurídica de trabajo, y por el contrario, se entiende como baja a aquel acto que da por terminada dicha relación. </w:t>
      </w:r>
    </w:p>
    <w:p w14:paraId="531EB347" w14:textId="77777777" w:rsidR="00566C95" w:rsidRPr="00BB5AAC" w:rsidRDefault="00566C95">
      <w:pPr>
        <w:spacing w:after="240" w:line="360" w:lineRule="auto"/>
        <w:jc w:val="both"/>
        <w:rPr>
          <w:rFonts w:ascii="Palatino Linotype" w:eastAsia="Palatino Linotype" w:hAnsi="Palatino Linotype" w:cs="Palatino Linotype"/>
          <w:sz w:val="22"/>
          <w:szCs w:val="22"/>
        </w:rPr>
      </w:pPr>
    </w:p>
    <w:p w14:paraId="111F897D" w14:textId="555C34F1" w:rsidR="00727D25" w:rsidRPr="00BB5AAC" w:rsidRDefault="00566C95" w:rsidP="00727D25">
      <w:pPr>
        <w:spacing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Asimismo, la información requerida por el particular, de manera enunciativa más no limitativa pudiera obrar en la conciliación de nómina</w:t>
      </w:r>
      <w:r w:rsidR="00727D25" w:rsidRPr="00BB5AAC">
        <w:rPr>
          <w:rFonts w:ascii="Palatino Linotype" w:eastAsia="Palatino Linotype" w:hAnsi="Palatino Linotype" w:cs="Palatino Linotype"/>
          <w:sz w:val="22"/>
          <w:szCs w:val="22"/>
        </w:rPr>
        <w:t>, pues de los Lineamientos para la integración y presentación de los Informes Trimestrales Estatales y Municipales, los cuales establecen el formato mediante el cual debe presentarse la información que integra dichos informes y los instructivos de llenado correspondientes</w:t>
      </w:r>
    </w:p>
    <w:p w14:paraId="01EA414D" w14:textId="4D67DE16" w:rsidR="00727D25" w:rsidRPr="00BB5AAC" w:rsidRDefault="00727D25" w:rsidP="00727D25">
      <w:pPr>
        <w:spacing w:before="240"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De conformidad con los Lineamientos, la información que generan los entes fiscalizables de carácter municipal con motivo de la nómina, se encuentra en el Módulo 4 Información Administrativa, Submódulo Nómina (Plataforma Digital), como se muestra a continuación:</w:t>
      </w:r>
    </w:p>
    <w:p w14:paraId="12D7E5FE" w14:textId="77777777" w:rsidR="00727D25" w:rsidRPr="00BB5AAC" w:rsidRDefault="00727D25" w:rsidP="00727D25">
      <w:pPr>
        <w:spacing w:before="240" w:after="240" w:line="360" w:lineRule="auto"/>
        <w:jc w:val="center"/>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 </w:t>
      </w:r>
      <w:r w:rsidRPr="00BB5AAC">
        <w:rPr>
          <w:rFonts w:ascii="Palatino Linotype" w:eastAsia="Palatino Linotype" w:hAnsi="Palatino Linotype" w:cs="Palatino Linotype"/>
          <w:noProof/>
          <w:sz w:val="22"/>
          <w:szCs w:val="22"/>
        </w:rPr>
        <w:drawing>
          <wp:inline distT="0" distB="0" distL="0" distR="0" wp14:anchorId="19A860D9" wp14:editId="2C20DE43">
            <wp:extent cx="3400425" cy="3562350"/>
            <wp:effectExtent l="0" t="0" r="9525" b="0"/>
            <wp:docPr id="21401318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408779" cy="3571102"/>
                    </a:xfrm>
                    <a:prstGeom prst="rect">
                      <a:avLst/>
                    </a:prstGeom>
                    <a:ln/>
                  </pic:spPr>
                </pic:pic>
              </a:graphicData>
            </a:graphic>
          </wp:inline>
        </w:drawing>
      </w:r>
    </w:p>
    <w:p w14:paraId="7F9EEB88" w14:textId="77777777" w:rsidR="00727D25" w:rsidRPr="00BB5AAC" w:rsidRDefault="00727D25" w:rsidP="00727D25">
      <w:pPr>
        <w:spacing w:before="240"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 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0EBEC256" w14:textId="77777777" w:rsidR="00727D25" w:rsidRPr="00BB5AAC" w:rsidRDefault="00727D25" w:rsidP="00727D25">
      <w:pPr>
        <w:spacing w:before="240" w:after="240" w:line="360" w:lineRule="auto"/>
        <w:ind w:right="49"/>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Y, debe presentarse a través de los formatos XLSX y TXT, siendo el primero el siguiente:</w:t>
      </w:r>
    </w:p>
    <w:p w14:paraId="47320F85" w14:textId="77777777" w:rsidR="00727D25" w:rsidRPr="00BB5AAC" w:rsidRDefault="00727D25" w:rsidP="00727D25">
      <w:pPr>
        <w:ind w:right="51"/>
        <w:jc w:val="center"/>
        <w:rPr>
          <w:rFonts w:ascii="Palatino Linotype" w:eastAsia="Palatino Linotype" w:hAnsi="Palatino Linotype" w:cs="Palatino Linotype"/>
          <w:sz w:val="22"/>
          <w:szCs w:val="22"/>
        </w:rPr>
      </w:pPr>
      <w:r w:rsidRPr="00BB5AAC">
        <w:rPr>
          <w:rFonts w:ascii="Palatino Linotype" w:eastAsia="Palatino Linotype" w:hAnsi="Palatino Linotype" w:cs="Palatino Linotype"/>
          <w:noProof/>
          <w:sz w:val="22"/>
          <w:szCs w:val="22"/>
        </w:rPr>
        <w:drawing>
          <wp:inline distT="0" distB="0" distL="0" distR="0" wp14:anchorId="473985BB" wp14:editId="04CC2B62">
            <wp:extent cx="4124519" cy="5419980"/>
            <wp:effectExtent l="0" t="0" r="0" b="0"/>
            <wp:docPr id="21401318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1" b="-191"/>
                    <a:stretch>
                      <a:fillRect/>
                    </a:stretch>
                  </pic:blipFill>
                  <pic:spPr>
                    <a:xfrm>
                      <a:off x="0" y="0"/>
                      <a:ext cx="4124519" cy="5419980"/>
                    </a:xfrm>
                    <a:prstGeom prst="rect">
                      <a:avLst/>
                    </a:prstGeom>
                    <a:ln/>
                  </pic:spPr>
                </pic:pic>
              </a:graphicData>
            </a:graphic>
          </wp:inline>
        </w:drawing>
      </w:r>
    </w:p>
    <w:p w14:paraId="668A3695" w14:textId="77777777" w:rsidR="00727D25" w:rsidRPr="00BB5AAC" w:rsidRDefault="00727D25" w:rsidP="00727D25">
      <w:pPr>
        <w:ind w:right="51"/>
        <w:jc w:val="center"/>
        <w:rPr>
          <w:rFonts w:ascii="Palatino Linotype" w:eastAsia="Palatino Linotype" w:hAnsi="Palatino Linotype" w:cs="Palatino Linotype"/>
          <w:sz w:val="22"/>
          <w:szCs w:val="22"/>
        </w:rPr>
      </w:pPr>
    </w:p>
    <w:p w14:paraId="5F5CE717" w14:textId="77777777" w:rsidR="00727D25" w:rsidRPr="00BB5AAC" w:rsidRDefault="00727D25" w:rsidP="00727D25">
      <w:pPr>
        <w:spacing w:before="240" w:line="360" w:lineRule="auto"/>
        <w:ind w:right="49"/>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Además, para el llenado de dicho formato se deben observar las siguientes consideraciones:</w:t>
      </w:r>
    </w:p>
    <w:p w14:paraId="0A1A4BF4" w14:textId="1AD7939A" w:rsidR="00727D25" w:rsidRPr="00BB5AAC" w:rsidRDefault="00727D25" w:rsidP="00727D25">
      <w:pPr>
        <w:spacing w:before="240" w:line="360" w:lineRule="auto"/>
        <w:ind w:right="49"/>
        <w:jc w:val="center"/>
        <w:rPr>
          <w:rFonts w:ascii="Palatino Linotype" w:eastAsia="Palatino Linotype" w:hAnsi="Palatino Linotype" w:cs="Palatino Linotype"/>
          <w:sz w:val="22"/>
          <w:szCs w:val="22"/>
        </w:rPr>
      </w:pPr>
      <w:r w:rsidRPr="00BB5AAC">
        <w:rPr>
          <w:rFonts w:ascii="Palatino Linotype" w:eastAsia="Palatino Linotype" w:hAnsi="Palatino Linotype" w:cs="Palatino Linotype"/>
          <w:noProof/>
          <w:sz w:val="22"/>
          <w:szCs w:val="22"/>
        </w:rPr>
        <w:drawing>
          <wp:inline distT="0" distB="0" distL="0" distR="0" wp14:anchorId="5B4630F8" wp14:editId="2ED17283">
            <wp:extent cx="5334744" cy="6354062"/>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4744" cy="6354062"/>
                    </a:xfrm>
                    <a:prstGeom prst="rect">
                      <a:avLst/>
                    </a:prstGeom>
                  </pic:spPr>
                </pic:pic>
              </a:graphicData>
            </a:graphic>
          </wp:inline>
        </w:drawing>
      </w:r>
    </w:p>
    <w:p w14:paraId="2DE08704" w14:textId="77777777" w:rsidR="00727D25" w:rsidRPr="00BB5AAC" w:rsidRDefault="00727D25" w:rsidP="00727D2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Como se logra vislumbrar, el formato de conciliación de nómina que es remitido por los entes fiscalizables municipales al Órgano Superior de Fiscalización del Estado de México, como parte de los informes trimestrales para dar cumplimiento a sus obligaciones fiscales, contiene los rubros: Número Progresivo, Número de quincena, Número de empleado, R.F.C, CURP, Número de seguridad social (ISSEMYM), </w:t>
      </w:r>
      <w:r w:rsidRPr="00BB5AAC">
        <w:rPr>
          <w:rFonts w:ascii="Palatino Linotype" w:eastAsia="Palatino Linotype" w:hAnsi="Palatino Linotype" w:cs="Palatino Linotype"/>
          <w:b/>
          <w:sz w:val="22"/>
          <w:szCs w:val="22"/>
        </w:rPr>
        <w:t>Nombre completo</w:t>
      </w:r>
      <w:r w:rsidRPr="00BB5AAC">
        <w:rPr>
          <w:rFonts w:ascii="Palatino Linotype" w:eastAsia="Palatino Linotype" w:hAnsi="Palatino Linotype" w:cs="Palatino Linotype"/>
          <w:sz w:val="22"/>
          <w:szCs w:val="22"/>
        </w:rPr>
        <w:t xml:space="preserve">: Apellido Paterno, Apellido Materno, Nombre (s), </w:t>
      </w:r>
      <w:r w:rsidRPr="00BB5AAC">
        <w:rPr>
          <w:rFonts w:ascii="Palatino Linotype" w:eastAsia="Palatino Linotype" w:hAnsi="Palatino Linotype" w:cs="Palatino Linotype"/>
          <w:b/>
          <w:sz w:val="22"/>
          <w:szCs w:val="22"/>
          <w:u w:val="single"/>
        </w:rPr>
        <w:t>Fecha de alta, Fecha de baja, Puesto funcional, Nivel y/o rango</w:t>
      </w:r>
      <w:r w:rsidRPr="00BB5AAC">
        <w:rPr>
          <w:rFonts w:ascii="Palatino Linotype" w:eastAsia="Palatino Linotype" w:hAnsi="Palatino Linotype" w:cs="Palatino Linotype"/>
          <w:sz w:val="22"/>
          <w:szCs w:val="22"/>
        </w:rPr>
        <w:t xml:space="preserve">, No. de horas laboradas, </w:t>
      </w:r>
      <w:r w:rsidRPr="00BB5AAC">
        <w:rPr>
          <w:rFonts w:ascii="Palatino Linotype" w:eastAsia="Palatino Linotype" w:hAnsi="Palatino Linotype" w:cs="Palatino Linotype"/>
          <w:b/>
          <w:sz w:val="22"/>
          <w:szCs w:val="22"/>
        </w:rPr>
        <w:t>Adscripción,</w:t>
      </w:r>
      <w:r w:rsidRPr="00BB5AAC">
        <w:rPr>
          <w:rFonts w:ascii="Palatino Linotype" w:eastAsia="Palatino Linotype" w:hAnsi="Palatino Linotype" w:cs="Palatino Linotype"/>
          <w:sz w:val="22"/>
          <w:szCs w:val="22"/>
        </w:rPr>
        <w:t xml:space="preserve"> </w:t>
      </w:r>
      <w:r w:rsidRPr="00BB5AAC">
        <w:rPr>
          <w:rFonts w:ascii="Palatino Linotype" w:eastAsia="Palatino Linotype" w:hAnsi="Palatino Linotype" w:cs="Palatino Linotype"/>
          <w:b/>
          <w:sz w:val="22"/>
          <w:szCs w:val="22"/>
        </w:rPr>
        <w:t xml:space="preserve">Categoría: </w:t>
      </w:r>
      <w:r w:rsidRPr="00BB5AAC">
        <w:rPr>
          <w:rFonts w:ascii="Palatino Linotype" w:eastAsia="Palatino Linotype" w:hAnsi="Palatino Linotype" w:cs="Palatino Linotype"/>
          <w:sz w:val="22"/>
          <w:szCs w:val="22"/>
        </w:rPr>
        <w:t xml:space="preserve">Confianza, Sindicalizado o Eventual; Percepciones ordinarias (de acuerdo al tabulador), Percepciones extraordinarias, Total de percepciones brutas; Deducciones; Total de deducciones, Total neto, Días pagados, Nombre de la fuente de financiamiento, Póliza, y Medio de pago. </w:t>
      </w:r>
    </w:p>
    <w:p w14:paraId="0EEDB7D4" w14:textId="77777777" w:rsidR="00474E88" w:rsidRPr="00BB5AAC" w:rsidRDefault="00474E88">
      <w:pPr>
        <w:spacing w:after="240" w:line="360" w:lineRule="auto"/>
        <w:jc w:val="both"/>
        <w:rPr>
          <w:rFonts w:ascii="Palatino Linotype" w:eastAsia="Palatino Linotype" w:hAnsi="Palatino Linotype" w:cs="Palatino Linotype"/>
          <w:sz w:val="22"/>
          <w:szCs w:val="22"/>
        </w:rPr>
      </w:pPr>
    </w:p>
    <w:p w14:paraId="5C38E7E0" w14:textId="4D878E5F" w:rsidR="00D261C4" w:rsidRPr="00BB5AAC" w:rsidRDefault="00D261C4">
      <w:pPr>
        <w:spacing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Por lo que, de manera enunciativa más no limitativa, el documento que pudiera dar cuenta de las altas, bajas y cambios de adscripción es la conciliación de nómina, por lo que se ORDENA al Sujeto Obligado realizar una búsqueda exhaustiva y razonable en todas las áreas que pudieran generar, administrar y poseer la información, para localizar y poner a disposición del Recurrente la información solicitada.</w:t>
      </w:r>
    </w:p>
    <w:p w14:paraId="38821EC3" w14:textId="3225281F" w:rsidR="003B746B" w:rsidRPr="00BB5AAC" w:rsidRDefault="003B746B" w:rsidP="003B746B">
      <w:pPr>
        <w:pStyle w:val="NormalWeb"/>
        <w:spacing w:before="240" w:beforeAutospacing="0" w:after="240" w:afterAutospacing="0" w:line="360" w:lineRule="auto"/>
        <w:jc w:val="both"/>
        <w:rPr>
          <w:rFonts w:ascii="Palatino Linotype" w:hAnsi="Palatino Linotype"/>
          <w:sz w:val="22"/>
          <w:szCs w:val="22"/>
        </w:rPr>
      </w:pPr>
      <w:r w:rsidRPr="00BB5AAC">
        <w:rPr>
          <w:rFonts w:ascii="Palatino Linotype" w:hAnsi="Palatino Linotype"/>
          <w:sz w:val="22"/>
          <w:szCs w:val="22"/>
        </w:rPr>
        <w:t xml:space="preserve">Por lo que, para el caso de que derivado de la búsqueda exhaustiva y razonable, no se localice </w:t>
      </w:r>
      <w:r w:rsidR="00D261C4" w:rsidRPr="00BB5AAC">
        <w:rPr>
          <w:rFonts w:ascii="Palatino Linotype" w:hAnsi="Palatino Linotype"/>
          <w:sz w:val="22"/>
          <w:szCs w:val="22"/>
        </w:rPr>
        <w:t>la información relacionada con altas, bajas y cambios de adscripción</w:t>
      </w:r>
      <w:r w:rsidRPr="00BB5AAC">
        <w:rPr>
          <w:rFonts w:ascii="Palatino Linotype" w:hAnsi="Palatino Linotype"/>
          <w:sz w:val="22"/>
          <w:szCs w:val="22"/>
        </w:rPr>
        <w:t>,</w:t>
      </w:r>
      <w:r w:rsidR="00D261C4" w:rsidRPr="00BB5AAC">
        <w:rPr>
          <w:rFonts w:ascii="Palatino Linotype" w:hAnsi="Palatino Linotype"/>
          <w:sz w:val="22"/>
          <w:szCs w:val="22"/>
        </w:rPr>
        <w:t xml:space="preserve"> el Sujeto Obligado</w:t>
      </w:r>
      <w:r w:rsidRPr="00BB5AAC">
        <w:rPr>
          <w:rFonts w:ascii="Palatino Linotype" w:hAnsi="Palatino Linotype"/>
          <w:sz w:val="22"/>
          <w:szCs w:val="22"/>
        </w:rPr>
        <w:t xml:space="preserve"> deberá emitir el Acuerdo de Inexistencia en términos de los artículos 19, párrafo tercero, 49, fracciones II y XIII, 169 y 170 de la Ley de Transparencia y Acceso a la Información Pública del Estado de México y Municipios, debiendo notificarlo a la parte </w:t>
      </w:r>
      <w:r w:rsidRPr="00BB5AAC">
        <w:rPr>
          <w:rFonts w:ascii="Palatino Linotype" w:hAnsi="Palatino Linotype"/>
          <w:b/>
          <w:bCs/>
          <w:sz w:val="22"/>
          <w:szCs w:val="22"/>
        </w:rPr>
        <w:t>Recurrente</w:t>
      </w:r>
      <w:r w:rsidRPr="00BB5AAC">
        <w:rPr>
          <w:rFonts w:ascii="Palatino Linotype" w:hAnsi="Palatino Linotype"/>
          <w:sz w:val="22"/>
          <w:szCs w:val="22"/>
        </w:rPr>
        <w:t xml:space="preserve"> al momento de dar cumplimiento a la presente resolución.</w:t>
      </w:r>
    </w:p>
    <w:p w14:paraId="28CBFF81" w14:textId="77777777" w:rsidR="00381615" w:rsidRPr="00BB5AAC" w:rsidRDefault="00381615" w:rsidP="00381615">
      <w:pPr>
        <w:pBdr>
          <w:top w:val="nil"/>
          <w:left w:val="nil"/>
          <w:bottom w:val="nil"/>
          <w:right w:val="nil"/>
          <w:between w:val="nil"/>
        </w:pBdr>
        <w:spacing w:line="360" w:lineRule="auto"/>
        <w:ind w:right="141"/>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En ese orden de ideas, es de destacar que las actas que sustenten la inexistencia de la información, deberán observar ciertas formalidades exigidas por la Ley de Transparencia y Acceso a la Información Pública del Estado de México y Municipios</w:t>
      </w:r>
      <w:r w:rsidRPr="00BB5AAC">
        <w:rPr>
          <w:rFonts w:ascii="Palatino Linotype" w:eastAsia="Palatino Linotype" w:hAnsi="Palatino Linotype" w:cs="Palatino Linotype"/>
          <w:i/>
          <w:sz w:val="22"/>
          <w:szCs w:val="22"/>
        </w:rPr>
        <w:t xml:space="preserve">, </w:t>
      </w:r>
      <w:r w:rsidRPr="00BB5AAC">
        <w:rPr>
          <w:rFonts w:ascii="Palatino Linotype" w:eastAsia="Palatino Linotype" w:hAnsi="Palatino Linotype" w:cs="Palatino Linotype"/>
          <w:sz w:val="22"/>
          <w:szCs w:val="22"/>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3515C82E" w14:textId="77777777" w:rsidR="00381615" w:rsidRPr="00BB5AAC" w:rsidRDefault="00381615" w:rsidP="00381615">
      <w:pPr>
        <w:spacing w:line="360" w:lineRule="auto"/>
        <w:rPr>
          <w:rFonts w:ascii="Palatino Linotype" w:eastAsia="Palatino Linotype" w:hAnsi="Palatino Linotype" w:cs="Palatino Linotype"/>
          <w:sz w:val="22"/>
          <w:szCs w:val="22"/>
        </w:rPr>
      </w:pPr>
    </w:p>
    <w:p w14:paraId="1FAD4C84" w14:textId="77777777" w:rsidR="00381615" w:rsidRPr="00BB5AAC" w:rsidRDefault="00381615" w:rsidP="00381615">
      <w:pPr>
        <w:pBdr>
          <w:top w:val="nil"/>
          <w:left w:val="nil"/>
          <w:bottom w:val="nil"/>
          <w:right w:val="nil"/>
          <w:between w:val="nil"/>
        </w:pBdr>
        <w:ind w:left="567" w:right="709"/>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i/>
          <w:sz w:val="22"/>
          <w:szCs w:val="22"/>
        </w:rPr>
        <w:t>INEXISTENCIA, CONCEPTO DE, EN MATERIA DE TRANSPARENCIA</w:t>
      </w:r>
      <w:r w:rsidRPr="00BB5AAC">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565D1DD6" w14:textId="77777777" w:rsidR="00381615" w:rsidRPr="00BB5AAC" w:rsidRDefault="00381615" w:rsidP="00381615">
      <w:pPr>
        <w:rPr>
          <w:rFonts w:ascii="Palatino Linotype" w:eastAsia="Palatino Linotype" w:hAnsi="Palatino Linotype" w:cs="Palatino Linotype"/>
          <w:sz w:val="22"/>
          <w:szCs w:val="22"/>
        </w:rPr>
      </w:pPr>
    </w:p>
    <w:p w14:paraId="4D4E6D93"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4CE85DB"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11F1FA27" w14:textId="77777777" w:rsidR="00381615" w:rsidRPr="00BB5AAC" w:rsidRDefault="00381615" w:rsidP="00381615">
      <w:pPr>
        <w:rPr>
          <w:rFonts w:ascii="Palatino Linotype" w:eastAsia="Palatino Linotype" w:hAnsi="Palatino Linotype" w:cs="Palatino Linotype"/>
          <w:sz w:val="22"/>
          <w:szCs w:val="22"/>
        </w:rPr>
      </w:pPr>
    </w:p>
    <w:p w14:paraId="0B166A9C"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6049E3D" w14:textId="77777777" w:rsidR="00381615" w:rsidRPr="00BB5AAC" w:rsidRDefault="00381615" w:rsidP="00381615">
      <w:pPr>
        <w:rPr>
          <w:rFonts w:ascii="Palatino Linotype" w:eastAsia="Palatino Linotype" w:hAnsi="Palatino Linotype" w:cs="Palatino Linotype"/>
          <w:sz w:val="22"/>
          <w:szCs w:val="22"/>
        </w:rPr>
      </w:pPr>
    </w:p>
    <w:p w14:paraId="2A377383" w14:textId="77777777" w:rsidR="00381615" w:rsidRPr="00BB5AAC" w:rsidRDefault="00381615" w:rsidP="00381615">
      <w:pPr>
        <w:pBdr>
          <w:top w:val="nil"/>
          <w:left w:val="nil"/>
          <w:bottom w:val="nil"/>
          <w:right w:val="nil"/>
          <w:between w:val="nil"/>
        </w:pBdr>
        <w:ind w:left="567" w:right="567"/>
        <w:jc w:val="center"/>
        <w:rPr>
          <w:rFonts w:ascii="Palatino Linotype" w:eastAsia="Palatino Linotype" w:hAnsi="Palatino Linotype" w:cs="Palatino Linotype"/>
          <w:sz w:val="22"/>
          <w:szCs w:val="22"/>
        </w:rPr>
      </w:pPr>
      <w:r w:rsidRPr="00BB5AAC">
        <w:rPr>
          <w:rFonts w:ascii="Palatino Linotype" w:eastAsia="Palatino Linotype" w:hAnsi="Palatino Linotype" w:cs="Palatino Linotype"/>
          <w:b/>
          <w:i/>
          <w:sz w:val="22"/>
          <w:szCs w:val="22"/>
        </w:rPr>
        <w:t>CRITERIO 0004-11</w:t>
      </w:r>
    </w:p>
    <w:p w14:paraId="2C572B0E" w14:textId="77777777" w:rsidR="00381615" w:rsidRPr="00BB5AAC" w:rsidRDefault="00381615" w:rsidP="00381615">
      <w:pPr>
        <w:rPr>
          <w:rFonts w:ascii="Palatino Linotype" w:eastAsia="Palatino Linotype" w:hAnsi="Palatino Linotype" w:cs="Palatino Linotype"/>
          <w:sz w:val="22"/>
          <w:szCs w:val="22"/>
        </w:rPr>
      </w:pPr>
    </w:p>
    <w:p w14:paraId="271B6FFC"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i/>
          <w:sz w:val="22"/>
          <w:szCs w:val="22"/>
        </w:rPr>
        <w:t>INEXISTENCIA. DECLARATORIA DE LA. ALCANCES Y PROCEDIMIENTOS</w:t>
      </w:r>
      <w:r w:rsidRPr="00BB5AAC">
        <w:rPr>
          <w:rFonts w:ascii="Palatino Linotype" w:eastAsia="Palatino Linotype" w:hAnsi="Palatino Linotype" w:cs="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2A3DD5A" w14:textId="77777777" w:rsidR="00381615" w:rsidRPr="00BB5AAC" w:rsidRDefault="00381615" w:rsidP="00381615">
      <w:pPr>
        <w:rPr>
          <w:rFonts w:ascii="Palatino Linotype" w:eastAsia="Palatino Linotype" w:hAnsi="Palatino Linotype" w:cs="Palatino Linotype"/>
          <w:sz w:val="22"/>
          <w:szCs w:val="22"/>
        </w:rPr>
      </w:pPr>
    </w:p>
    <w:p w14:paraId="436FB87C"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Bajo el entendido de que dicha búsqueda exhaustiva permitirá dos determinaciones:</w:t>
      </w:r>
    </w:p>
    <w:p w14:paraId="30055161" w14:textId="77777777" w:rsidR="00381615" w:rsidRPr="00BB5AAC" w:rsidRDefault="00381615" w:rsidP="00381615">
      <w:pPr>
        <w:rPr>
          <w:rFonts w:ascii="Palatino Linotype" w:eastAsia="Palatino Linotype" w:hAnsi="Palatino Linotype" w:cs="Palatino Linotype"/>
          <w:sz w:val="22"/>
          <w:szCs w:val="22"/>
        </w:rPr>
      </w:pPr>
    </w:p>
    <w:p w14:paraId="570FB208"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102DB4CD"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447DD26C"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29FE4AAF" w14:textId="77777777" w:rsidR="00381615" w:rsidRPr="00BB5AAC" w:rsidRDefault="00381615" w:rsidP="00381615">
      <w:pPr>
        <w:spacing w:line="360" w:lineRule="auto"/>
        <w:rPr>
          <w:rFonts w:ascii="Palatino Linotype" w:eastAsia="Palatino Linotype" w:hAnsi="Palatino Linotype" w:cs="Palatino Linotype"/>
          <w:sz w:val="22"/>
          <w:szCs w:val="22"/>
        </w:rPr>
      </w:pPr>
    </w:p>
    <w:p w14:paraId="1B83E010" w14:textId="77777777" w:rsidR="00381615" w:rsidRPr="00BB5AAC" w:rsidRDefault="00381615" w:rsidP="003816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De lo que, se colige que, el Comité de Transparencia deberá emitir el correspondiente Acuerdo de Inexistencia de la Información y notificarlo al </w:t>
      </w:r>
      <w:r w:rsidRPr="00BB5AAC">
        <w:rPr>
          <w:rFonts w:ascii="Palatino Linotype" w:eastAsia="Palatino Linotype" w:hAnsi="Palatino Linotype" w:cs="Palatino Linotype"/>
          <w:b/>
          <w:sz w:val="22"/>
          <w:szCs w:val="22"/>
        </w:rPr>
        <w:t>Recurrente</w:t>
      </w:r>
      <w:r w:rsidRPr="00BB5AAC">
        <w:rPr>
          <w:rFonts w:ascii="Palatino Linotype" w:eastAsia="Palatino Linotype" w:hAnsi="Palatino Linotype" w:cs="Palatino Linotype"/>
          <w:sz w:val="22"/>
          <w:szCs w:val="22"/>
        </w:rPr>
        <w:t>. </w:t>
      </w:r>
    </w:p>
    <w:p w14:paraId="2D377A0A" w14:textId="77777777" w:rsidR="00381615" w:rsidRPr="00BB5AAC" w:rsidRDefault="00381615" w:rsidP="00381615">
      <w:pPr>
        <w:spacing w:line="360" w:lineRule="auto"/>
        <w:rPr>
          <w:rFonts w:ascii="Palatino Linotype" w:eastAsia="Palatino Linotype" w:hAnsi="Palatino Linotype" w:cs="Palatino Linotype"/>
          <w:sz w:val="22"/>
          <w:szCs w:val="22"/>
        </w:rPr>
      </w:pPr>
    </w:p>
    <w:p w14:paraId="44519C43" w14:textId="77777777" w:rsidR="00381615" w:rsidRPr="00BB5AAC" w:rsidRDefault="00381615" w:rsidP="003816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09E48CE3" w14:textId="77777777" w:rsidR="00381615" w:rsidRPr="00BB5AAC" w:rsidRDefault="00381615" w:rsidP="00381615">
      <w:pPr>
        <w:spacing w:line="360" w:lineRule="auto"/>
        <w:rPr>
          <w:rFonts w:ascii="Palatino Linotype" w:eastAsia="Palatino Linotype" w:hAnsi="Palatino Linotype" w:cs="Palatino Linotype"/>
          <w:sz w:val="22"/>
          <w:szCs w:val="22"/>
        </w:rPr>
      </w:pPr>
    </w:p>
    <w:p w14:paraId="1FFD8C13" w14:textId="77777777" w:rsidR="00381615" w:rsidRPr="00BB5AAC" w:rsidRDefault="00381615" w:rsidP="003816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14:paraId="5CF383CD" w14:textId="77777777" w:rsidR="00381615" w:rsidRPr="00BB5AAC" w:rsidRDefault="00381615" w:rsidP="00381615">
      <w:pPr>
        <w:spacing w:line="360" w:lineRule="auto"/>
        <w:rPr>
          <w:rFonts w:ascii="Palatino Linotype" w:eastAsia="Palatino Linotype" w:hAnsi="Palatino Linotype" w:cs="Palatino Linotype"/>
          <w:sz w:val="22"/>
          <w:szCs w:val="22"/>
        </w:rPr>
      </w:pPr>
    </w:p>
    <w:p w14:paraId="05143395"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i/>
          <w:sz w:val="22"/>
          <w:szCs w:val="22"/>
        </w:rPr>
        <w:t>Artículo 47.</w:t>
      </w:r>
      <w:r w:rsidRPr="00BB5AAC">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730B8204" w14:textId="77777777" w:rsidR="00381615" w:rsidRPr="00BB5AAC" w:rsidRDefault="00381615" w:rsidP="00381615">
      <w:pPr>
        <w:rPr>
          <w:rFonts w:ascii="Palatino Linotype" w:eastAsia="Palatino Linotype" w:hAnsi="Palatino Linotype" w:cs="Palatino Linotype"/>
          <w:sz w:val="22"/>
          <w:szCs w:val="22"/>
        </w:rPr>
      </w:pPr>
    </w:p>
    <w:p w14:paraId="1B87B7B6"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409F7617"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40823A4E" w14:textId="77777777" w:rsidR="00381615" w:rsidRPr="00BB5AAC" w:rsidRDefault="00381615" w:rsidP="00381615">
      <w:pPr>
        <w:rPr>
          <w:rFonts w:ascii="Palatino Linotype" w:eastAsia="Palatino Linotype" w:hAnsi="Palatino Linotype" w:cs="Palatino Linotype"/>
          <w:sz w:val="22"/>
          <w:szCs w:val="22"/>
        </w:rPr>
      </w:pPr>
    </w:p>
    <w:p w14:paraId="5F039607"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279F86A0" w14:textId="77777777" w:rsidR="00381615" w:rsidRPr="00BB5AAC" w:rsidRDefault="00381615" w:rsidP="00381615">
      <w:pPr>
        <w:rPr>
          <w:rFonts w:ascii="Palatino Linotype" w:eastAsia="Palatino Linotype" w:hAnsi="Palatino Linotype" w:cs="Palatino Linotype"/>
          <w:sz w:val="22"/>
          <w:szCs w:val="22"/>
        </w:rPr>
      </w:pPr>
    </w:p>
    <w:p w14:paraId="2DFC7A2C"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49E7BFDA" w14:textId="77777777" w:rsidR="00381615" w:rsidRPr="00BB5AAC" w:rsidRDefault="00381615" w:rsidP="00381615">
      <w:pPr>
        <w:rPr>
          <w:rFonts w:ascii="Palatino Linotype" w:eastAsia="Palatino Linotype" w:hAnsi="Palatino Linotype" w:cs="Palatino Linotype"/>
          <w:sz w:val="22"/>
          <w:szCs w:val="22"/>
        </w:rPr>
      </w:pPr>
    </w:p>
    <w:p w14:paraId="5AB7EE2D"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BB5AAC">
        <w:rPr>
          <w:rFonts w:ascii="Palatino Linotype" w:eastAsia="Palatino Linotype" w:hAnsi="Palatino Linotype" w:cs="Palatino Linotype"/>
          <w:i/>
          <w:sz w:val="22"/>
          <w:szCs w:val="22"/>
          <w:u w:val="single"/>
        </w:rPr>
        <w:t>inexistencia</w:t>
      </w:r>
      <w:r w:rsidRPr="00BB5AAC">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5D392856" w14:textId="77777777" w:rsidR="00381615" w:rsidRPr="00BB5AAC" w:rsidRDefault="00381615" w:rsidP="00381615">
      <w:pPr>
        <w:rPr>
          <w:rFonts w:ascii="Palatino Linotype" w:eastAsia="Palatino Linotype" w:hAnsi="Palatino Linotype" w:cs="Palatino Linotype"/>
          <w:sz w:val="22"/>
          <w:szCs w:val="22"/>
        </w:rPr>
      </w:pPr>
    </w:p>
    <w:p w14:paraId="74CD4BF9"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w:t>
      </w:r>
      <w:r w:rsidRPr="00BB5AAC">
        <w:rPr>
          <w:rFonts w:ascii="Palatino Linotype" w:eastAsia="Palatino Linotype" w:hAnsi="Palatino Linotype" w:cs="Palatino Linotype"/>
          <w:b/>
          <w:i/>
          <w:sz w:val="22"/>
          <w:szCs w:val="22"/>
        </w:rPr>
        <w:t>Artículo 49.</w:t>
      </w:r>
      <w:r w:rsidRPr="00BB5AAC">
        <w:rPr>
          <w:rFonts w:ascii="Palatino Linotype" w:eastAsia="Palatino Linotype" w:hAnsi="Palatino Linotype" w:cs="Palatino Linotype"/>
          <w:i/>
          <w:sz w:val="22"/>
          <w:szCs w:val="22"/>
        </w:rPr>
        <w:t xml:space="preserve"> Los Comités de Transparencia tendrán las siguientes atribuciones:</w:t>
      </w:r>
    </w:p>
    <w:p w14:paraId="02E87C68"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w:t>
      </w:r>
    </w:p>
    <w:p w14:paraId="2BF95974"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BB5AAC">
        <w:rPr>
          <w:rFonts w:ascii="Palatino Linotype" w:eastAsia="Palatino Linotype" w:hAnsi="Palatino Linotype" w:cs="Palatino Linotype"/>
          <w:i/>
          <w:sz w:val="22"/>
          <w:szCs w:val="22"/>
          <w:u w:val="single"/>
        </w:rPr>
        <w:t xml:space="preserve">declaración de inexistencia </w:t>
      </w:r>
      <w:r w:rsidRPr="00BB5AAC">
        <w:rPr>
          <w:rFonts w:ascii="Palatino Linotype" w:eastAsia="Palatino Linotype" w:hAnsi="Palatino Linotype" w:cs="Palatino Linotype"/>
          <w:i/>
          <w:sz w:val="22"/>
          <w:szCs w:val="22"/>
        </w:rPr>
        <w:t>o de incompetencia realicen los titulares de las áreas de los sujetos obligados;</w:t>
      </w:r>
    </w:p>
    <w:p w14:paraId="17E98F69"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w:t>
      </w:r>
    </w:p>
    <w:p w14:paraId="762F7892"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1631798B" w14:textId="77777777" w:rsidR="00381615" w:rsidRPr="00BB5AAC" w:rsidRDefault="00381615" w:rsidP="00381615">
      <w:pPr>
        <w:spacing w:line="360" w:lineRule="auto"/>
        <w:rPr>
          <w:rFonts w:ascii="Palatino Linotype" w:eastAsia="Palatino Linotype" w:hAnsi="Palatino Linotype" w:cs="Palatino Linotype"/>
          <w:sz w:val="22"/>
          <w:szCs w:val="22"/>
        </w:rPr>
      </w:pPr>
    </w:p>
    <w:p w14:paraId="031090C2" w14:textId="77777777" w:rsidR="00381615" w:rsidRPr="00BB5AAC" w:rsidRDefault="00381615" w:rsidP="003816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Asimismo, el acuerdo de inexistencia deberá apegarse a lo dispuesto por los artículos 169 y 170, de la Ley de la materia que ordenan: </w:t>
      </w:r>
    </w:p>
    <w:p w14:paraId="2D8E0BFD" w14:textId="77777777" w:rsidR="00381615" w:rsidRPr="00BB5AAC" w:rsidRDefault="00381615" w:rsidP="00381615">
      <w:pPr>
        <w:spacing w:line="360" w:lineRule="auto"/>
        <w:rPr>
          <w:rFonts w:ascii="Palatino Linotype" w:eastAsia="Palatino Linotype" w:hAnsi="Palatino Linotype" w:cs="Palatino Linotype"/>
          <w:sz w:val="22"/>
          <w:szCs w:val="22"/>
        </w:rPr>
      </w:pPr>
    </w:p>
    <w:p w14:paraId="3D6EB484"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i/>
          <w:sz w:val="22"/>
          <w:szCs w:val="22"/>
        </w:rPr>
        <w:t>Artículo 169.</w:t>
      </w:r>
      <w:r w:rsidRPr="00BB5AAC">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5B1000FF" w14:textId="77777777" w:rsidR="00381615" w:rsidRPr="00BB5AAC" w:rsidRDefault="00381615" w:rsidP="00381615">
      <w:pPr>
        <w:rPr>
          <w:rFonts w:ascii="Palatino Linotype" w:eastAsia="Palatino Linotype" w:hAnsi="Palatino Linotype" w:cs="Palatino Linotype"/>
          <w:sz w:val="22"/>
          <w:szCs w:val="22"/>
        </w:rPr>
      </w:pPr>
    </w:p>
    <w:p w14:paraId="100316B3"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I. Analizará el caso y tomará las medidas necesarias para localizar la información;</w:t>
      </w:r>
    </w:p>
    <w:p w14:paraId="618A7F42" w14:textId="77777777" w:rsidR="00381615" w:rsidRPr="00BB5AAC" w:rsidRDefault="00381615" w:rsidP="00381615">
      <w:pPr>
        <w:rPr>
          <w:rFonts w:ascii="Palatino Linotype" w:eastAsia="Palatino Linotype" w:hAnsi="Palatino Linotype" w:cs="Palatino Linotype"/>
          <w:sz w:val="22"/>
          <w:szCs w:val="22"/>
        </w:rPr>
      </w:pPr>
    </w:p>
    <w:p w14:paraId="1940E397"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II. Expedirá una resolución que confirme la inexistencia del documento;</w:t>
      </w:r>
    </w:p>
    <w:p w14:paraId="6967DECF"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0DBABED" w14:textId="77777777" w:rsidR="00381615" w:rsidRPr="00BB5AAC" w:rsidRDefault="00381615" w:rsidP="00381615">
      <w:pPr>
        <w:rPr>
          <w:rFonts w:ascii="Palatino Linotype" w:eastAsia="Palatino Linotype" w:hAnsi="Palatino Linotype" w:cs="Palatino Linotype"/>
          <w:sz w:val="22"/>
          <w:szCs w:val="22"/>
        </w:rPr>
      </w:pPr>
    </w:p>
    <w:p w14:paraId="165F7F30"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BB5AAC">
        <w:rPr>
          <w:rFonts w:ascii="Palatino Linotype" w:eastAsia="Palatino Linotype" w:hAnsi="Palatino Linotype" w:cs="Palatino Linotype"/>
          <w:i/>
          <w:sz w:val="22"/>
          <w:szCs w:val="22"/>
        </w:rPr>
        <w:t>.</w:t>
      </w:r>
    </w:p>
    <w:p w14:paraId="689F10FA" w14:textId="77777777" w:rsidR="00381615" w:rsidRPr="00BB5AAC" w:rsidRDefault="00381615" w:rsidP="00381615">
      <w:pPr>
        <w:rPr>
          <w:rFonts w:ascii="Palatino Linotype" w:eastAsia="Palatino Linotype" w:hAnsi="Palatino Linotype" w:cs="Palatino Linotype"/>
          <w:sz w:val="22"/>
          <w:szCs w:val="22"/>
        </w:rPr>
      </w:pPr>
    </w:p>
    <w:p w14:paraId="395B3E08"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7C67925E" w14:textId="77777777" w:rsidR="00381615" w:rsidRPr="00BB5AAC" w:rsidRDefault="00381615" w:rsidP="00381615">
      <w:pPr>
        <w:rPr>
          <w:rFonts w:ascii="Palatino Linotype" w:eastAsia="Palatino Linotype" w:hAnsi="Palatino Linotype" w:cs="Palatino Linotype"/>
          <w:sz w:val="22"/>
          <w:szCs w:val="22"/>
        </w:rPr>
      </w:pPr>
    </w:p>
    <w:p w14:paraId="2C671BB5"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0A9EB677" w14:textId="77777777" w:rsidR="00381615" w:rsidRPr="00BB5AAC" w:rsidRDefault="00381615" w:rsidP="00381615">
      <w:pPr>
        <w:rPr>
          <w:rFonts w:ascii="Palatino Linotype" w:eastAsia="Palatino Linotype" w:hAnsi="Palatino Linotype" w:cs="Palatino Linotype"/>
          <w:sz w:val="22"/>
          <w:szCs w:val="22"/>
        </w:rPr>
      </w:pPr>
    </w:p>
    <w:p w14:paraId="05CAA031" w14:textId="77777777" w:rsidR="00381615" w:rsidRPr="00BB5AAC" w:rsidRDefault="00381615" w:rsidP="003816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i/>
          <w:sz w:val="22"/>
          <w:szCs w:val="22"/>
        </w:rPr>
        <w:t>Artículo 170.</w:t>
      </w:r>
      <w:r w:rsidRPr="00BB5AAC">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49702AAD" w14:textId="77777777" w:rsidR="00381615" w:rsidRPr="00BB5AAC" w:rsidRDefault="00381615" w:rsidP="00381615">
      <w:pPr>
        <w:spacing w:line="360" w:lineRule="auto"/>
        <w:rPr>
          <w:rFonts w:ascii="Palatino Linotype" w:eastAsia="Palatino Linotype" w:hAnsi="Palatino Linotype" w:cs="Palatino Linotype"/>
          <w:sz w:val="22"/>
          <w:szCs w:val="22"/>
        </w:rPr>
      </w:pPr>
    </w:p>
    <w:p w14:paraId="6F22157F" w14:textId="77777777" w:rsidR="00381615" w:rsidRPr="00BB5AAC" w:rsidRDefault="00381615" w:rsidP="0038161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099FA380" w14:textId="77777777" w:rsidR="00381615" w:rsidRPr="00BB5AAC" w:rsidRDefault="00381615" w:rsidP="00381615">
      <w:pPr>
        <w:spacing w:line="360" w:lineRule="auto"/>
        <w:rPr>
          <w:rFonts w:ascii="Palatino Linotype" w:eastAsia="Palatino Linotype" w:hAnsi="Palatino Linotype" w:cs="Palatino Linotype"/>
          <w:sz w:val="22"/>
          <w:szCs w:val="22"/>
        </w:rPr>
      </w:pPr>
    </w:p>
    <w:p w14:paraId="4C500A70" w14:textId="77777777" w:rsidR="00381615" w:rsidRPr="00BB5AAC" w:rsidRDefault="00381615" w:rsidP="003816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En ese contexto, de conformidad con los </w:t>
      </w:r>
      <w:r w:rsidRPr="00BB5AAC">
        <w:rPr>
          <w:rFonts w:ascii="Palatino Linotype" w:eastAsia="Palatino Linotype" w:hAnsi="Palatino Linotype" w:cs="Palatino Linotype"/>
          <w:b/>
          <w:sz w:val="22"/>
          <w:szCs w:val="22"/>
        </w:rPr>
        <w:t>criterios orientadores 12/10 y 04/19</w:t>
      </w:r>
      <w:r w:rsidRPr="00BB5AAC">
        <w:rPr>
          <w:rFonts w:ascii="Palatino Linotype" w:eastAsia="Palatino Linotype" w:hAnsi="Palatino Linotype" w:cs="Palatino Linotype"/>
          <w:sz w:val="22"/>
          <w:szCs w:val="22"/>
        </w:rPr>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35AD5995" w14:textId="77777777" w:rsidR="00381615" w:rsidRPr="00BB5AAC" w:rsidRDefault="00381615" w:rsidP="00381615">
      <w:pPr>
        <w:spacing w:line="360" w:lineRule="auto"/>
        <w:rPr>
          <w:rFonts w:ascii="Palatino Linotype" w:eastAsia="Palatino Linotype" w:hAnsi="Palatino Linotype" w:cs="Palatino Linotype"/>
          <w:sz w:val="22"/>
          <w:szCs w:val="22"/>
        </w:rPr>
      </w:pPr>
    </w:p>
    <w:p w14:paraId="56527C60" w14:textId="77777777" w:rsidR="00381615" w:rsidRPr="00BB5AAC" w:rsidRDefault="00381615" w:rsidP="00381615">
      <w:pPr>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Motivación por las que se buscó la información, en determinadas unidades administrativas;</w:t>
      </w:r>
    </w:p>
    <w:p w14:paraId="357A4126" w14:textId="77777777" w:rsidR="00381615" w:rsidRPr="00BB5AAC" w:rsidRDefault="00381615" w:rsidP="00381615">
      <w:pPr>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Los criterios de búsqueda utilizados, y</w:t>
      </w:r>
    </w:p>
    <w:p w14:paraId="2E221337" w14:textId="77777777" w:rsidR="00381615" w:rsidRPr="00BB5AAC" w:rsidRDefault="00381615" w:rsidP="00381615">
      <w:pPr>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Las circunstancias que fueron tomadas en cuenta.</w:t>
      </w:r>
    </w:p>
    <w:p w14:paraId="6C47F899" w14:textId="77777777" w:rsidR="00381615" w:rsidRPr="00BB5AAC" w:rsidRDefault="00381615" w:rsidP="00381615">
      <w:pPr>
        <w:spacing w:line="360" w:lineRule="auto"/>
        <w:rPr>
          <w:rFonts w:ascii="Palatino Linotype" w:eastAsia="Palatino Linotype" w:hAnsi="Palatino Linotype" w:cs="Palatino Linotype"/>
          <w:sz w:val="22"/>
          <w:szCs w:val="22"/>
        </w:rPr>
      </w:pPr>
    </w:p>
    <w:p w14:paraId="2018FAB2" w14:textId="77777777" w:rsidR="00381615" w:rsidRPr="00BB5AAC" w:rsidRDefault="00381615" w:rsidP="003816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De tales circunstancias, se considera que para que los Sujetos Obligados justifiquen que realizaron una búsqueda exhaustiva y razonable, deben indicar de manera clara, lo siguiente:</w:t>
      </w:r>
    </w:p>
    <w:p w14:paraId="795654E7" w14:textId="77777777" w:rsidR="00381615" w:rsidRPr="00BB5AAC" w:rsidRDefault="00381615" w:rsidP="00381615">
      <w:pPr>
        <w:spacing w:line="360" w:lineRule="auto"/>
        <w:rPr>
          <w:rFonts w:ascii="Palatino Linotype" w:eastAsia="Palatino Linotype" w:hAnsi="Palatino Linotype" w:cs="Palatino Linotype"/>
          <w:sz w:val="22"/>
          <w:szCs w:val="22"/>
        </w:rPr>
      </w:pPr>
    </w:p>
    <w:p w14:paraId="000424BF" w14:textId="77777777" w:rsidR="00381615" w:rsidRPr="00BB5AAC" w:rsidRDefault="00381615" w:rsidP="00381615">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B5AAC">
        <w:rPr>
          <w:rFonts w:ascii="Palatino Linotype" w:eastAsia="Palatino Linotype" w:hAnsi="Palatino Linotype" w:cs="Palatino Linotype"/>
          <w:sz w:val="22"/>
          <w:szCs w:val="22"/>
        </w:rPr>
        <w:t>Las áreas donde se buscó la información;</w:t>
      </w:r>
    </w:p>
    <w:p w14:paraId="3A026C8F" w14:textId="77777777" w:rsidR="00381615" w:rsidRPr="00BB5AAC" w:rsidRDefault="00381615" w:rsidP="00381615">
      <w:pPr>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B5AAC">
        <w:rPr>
          <w:rFonts w:ascii="Palatino Linotype" w:eastAsia="Palatino Linotype" w:hAnsi="Palatino Linotype" w:cs="Palatino Linotype"/>
          <w:sz w:val="22"/>
          <w:szCs w:val="22"/>
        </w:rPr>
        <w:t>Tipo de archivos buscados (físicos o electrónicos);</w:t>
      </w:r>
    </w:p>
    <w:p w14:paraId="0A0B7422" w14:textId="77777777" w:rsidR="00381615" w:rsidRPr="00BB5AAC" w:rsidRDefault="00381615" w:rsidP="00381615">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B5AAC">
        <w:rPr>
          <w:rFonts w:ascii="Palatino Linotype" w:eastAsia="Palatino Linotype" w:hAnsi="Palatino Linotype" w:cs="Palatino Linotype"/>
          <w:sz w:val="22"/>
          <w:szCs w:val="22"/>
        </w:rPr>
        <w:t>Los criterios de búsqueda utilizados, y </w:t>
      </w:r>
    </w:p>
    <w:p w14:paraId="7472F6F1" w14:textId="77777777" w:rsidR="00381615" w:rsidRPr="00BB5AAC" w:rsidRDefault="00381615" w:rsidP="00381615">
      <w:pPr>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B5AAC">
        <w:rPr>
          <w:rFonts w:ascii="Palatino Linotype" w:eastAsia="Palatino Linotype" w:hAnsi="Palatino Linotype" w:cs="Palatino Linotype"/>
          <w:sz w:val="22"/>
          <w:szCs w:val="22"/>
        </w:rPr>
        <w:t>Las circunstancias que fueron tomadas en cuenta.</w:t>
      </w:r>
    </w:p>
    <w:p w14:paraId="79787D66" w14:textId="77777777" w:rsidR="00381615" w:rsidRPr="00BB5AAC" w:rsidRDefault="00381615" w:rsidP="00381615">
      <w:pPr>
        <w:spacing w:line="360" w:lineRule="auto"/>
        <w:rPr>
          <w:rFonts w:ascii="Palatino Linotype" w:eastAsia="Palatino Linotype" w:hAnsi="Palatino Linotype" w:cs="Palatino Linotype"/>
          <w:sz w:val="22"/>
          <w:szCs w:val="22"/>
        </w:rPr>
      </w:pPr>
    </w:p>
    <w:p w14:paraId="0B7529A9" w14:textId="19219C98" w:rsidR="00381615" w:rsidRPr="00BB5AAC" w:rsidRDefault="00381615" w:rsidP="003B746B">
      <w:pPr>
        <w:pStyle w:val="NormalWeb"/>
        <w:spacing w:before="240" w:beforeAutospacing="0" w:after="240" w:afterAutospacing="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Los elementos antes mencionados son los que debe acreditar el Sujeto Obligado mediante el acuerdo del Comité de Transparencia, a efecto de brindar total certeza al Recurrente, en el que deberá declarar formalmente la inexistencia de la información requerida a través de su Comité de Transparencia en términos de los artículos 19, 49, fracciones II y XIII, 169 y 170 de la Ley de Transparencia y Acceso a la Información Pública del Estado de México y Municipios.</w:t>
      </w:r>
    </w:p>
    <w:p w14:paraId="2246F67C" w14:textId="77777777"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 xml:space="preserve">Quinto. Versión Pública. </w:t>
      </w:r>
      <w:r w:rsidRPr="00BB5AAC">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BB5AAC"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BB5AAC"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BB5AAC" w:rsidRDefault="00F36565">
      <w:pPr>
        <w:spacing w:line="360" w:lineRule="auto"/>
        <w:ind w:right="50"/>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BB5AAC"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r w:rsidRPr="00BB5AAC">
        <w:rPr>
          <w:rFonts w:ascii="Palatino Linotype" w:eastAsia="Palatino Linotype" w:hAnsi="Palatino Linotype" w:cs="Palatino Linotype"/>
          <w:b/>
          <w:i/>
          <w:sz w:val="22"/>
          <w:szCs w:val="22"/>
        </w:rPr>
        <w:t>Artículo 3.</w:t>
      </w:r>
      <w:r w:rsidRPr="00BB5AAC">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p>
    <w:p w14:paraId="07C497C9"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p>
    <w:p w14:paraId="7BE5EF39"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Artículo 91.</w:t>
      </w:r>
      <w:r w:rsidRPr="00BB5AA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Artículo 132.</w:t>
      </w:r>
      <w:r w:rsidRPr="00BB5AAC">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BB5AAC" w:rsidRDefault="00F36565">
      <w:pPr>
        <w:tabs>
          <w:tab w:val="left" w:pos="1134"/>
        </w:tabs>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I. Se reciba una solicitud de acceso a la información;</w:t>
      </w:r>
    </w:p>
    <w:p w14:paraId="45CEA9D2" w14:textId="77777777" w:rsidR="00C877F6" w:rsidRPr="00BB5AAC" w:rsidRDefault="00F36565">
      <w:pPr>
        <w:tabs>
          <w:tab w:val="left" w:pos="1134"/>
        </w:tabs>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II. Se determine mediante resolución de autoridad competente; o</w:t>
      </w:r>
    </w:p>
    <w:p w14:paraId="2455AA3E" w14:textId="77777777" w:rsidR="00C877F6" w:rsidRPr="00BB5AAC" w:rsidRDefault="00F36565">
      <w:pPr>
        <w:tabs>
          <w:tab w:val="left" w:pos="1134"/>
        </w:tabs>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p>
    <w:p w14:paraId="54A48D97"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Artículo 143</w:t>
      </w:r>
      <w:r w:rsidRPr="00BB5AA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BB5AAC" w:rsidRDefault="00C877F6">
      <w:pPr>
        <w:ind w:left="567" w:right="616"/>
        <w:jc w:val="both"/>
        <w:rPr>
          <w:rFonts w:ascii="Palatino Linotype" w:eastAsia="Palatino Linotype" w:hAnsi="Palatino Linotype" w:cs="Palatino Linotype"/>
          <w:i/>
          <w:sz w:val="22"/>
          <w:szCs w:val="22"/>
        </w:rPr>
      </w:pPr>
    </w:p>
    <w:p w14:paraId="4931F605" w14:textId="12F467C1"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BB5AAC">
        <w:rPr>
          <w:rFonts w:ascii="Palatino Linotype" w:eastAsia="Palatino Linotype" w:hAnsi="Palatino Linotype" w:cs="Palatino Linotype"/>
          <w:sz w:val="22"/>
          <w:szCs w:val="22"/>
        </w:rPr>
        <w:t xml:space="preserve"> </w:t>
      </w:r>
    </w:p>
    <w:p w14:paraId="6BDDFA4A" w14:textId="77777777" w:rsidR="0083209D" w:rsidRPr="00BB5AAC" w:rsidRDefault="0083209D">
      <w:pPr>
        <w:spacing w:line="360" w:lineRule="auto"/>
        <w:jc w:val="both"/>
        <w:rPr>
          <w:rFonts w:ascii="Palatino Linotype" w:eastAsia="Palatino Linotype" w:hAnsi="Palatino Linotype" w:cs="Palatino Linotype"/>
          <w:sz w:val="22"/>
          <w:szCs w:val="22"/>
        </w:rPr>
      </w:pPr>
    </w:p>
    <w:p w14:paraId="34C531F9" w14:textId="77777777" w:rsidR="00C975DF" w:rsidRPr="00BB5AAC" w:rsidRDefault="00C975DF" w:rsidP="00C975DF">
      <w:pPr>
        <w:spacing w:after="240" w:line="360" w:lineRule="auto"/>
        <w:jc w:val="both"/>
        <w:rPr>
          <w:rFonts w:ascii="Palatino Linotype" w:hAnsi="Palatino Linotype"/>
          <w:b/>
          <w:sz w:val="22"/>
          <w:szCs w:val="22"/>
        </w:rPr>
      </w:pPr>
      <w:bookmarkStart w:id="2" w:name="_Toc86917945"/>
      <w:r w:rsidRPr="00BB5AAC">
        <w:rPr>
          <w:rFonts w:ascii="Palatino Linotype" w:hAnsi="Palatino Linotype"/>
          <w:b/>
          <w:sz w:val="22"/>
          <w:szCs w:val="22"/>
        </w:rPr>
        <w:t>I. Registro Federal de Contribuyentes (RFC)</w:t>
      </w:r>
      <w:bookmarkEnd w:id="2"/>
      <w:r w:rsidRPr="00BB5AAC">
        <w:rPr>
          <w:rFonts w:ascii="Palatino Linotype" w:hAnsi="Palatino Linotype"/>
          <w:b/>
          <w:sz w:val="22"/>
          <w:szCs w:val="22"/>
        </w:rPr>
        <w:t xml:space="preserve"> </w:t>
      </w:r>
    </w:p>
    <w:p w14:paraId="024E879F" w14:textId="77777777" w:rsidR="00C975DF" w:rsidRPr="00BB5AAC" w:rsidRDefault="00C975DF" w:rsidP="00C975DF">
      <w:pPr>
        <w:pStyle w:val="Prrafodelista"/>
        <w:spacing w:line="360" w:lineRule="auto"/>
        <w:ind w:left="0"/>
        <w:jc w:val="both"/>
        <w:rPr>
          <w:rFonts w:ascii="Palatino Linotype" w:hAnsi="Palatino Linotype" w:cs="Tahoma"/>
          <w:sz w:val="22"/>
          <w:szCs w:val="22"/>
        </w:rPr>
      </w:pPr>
      <w:r w:rsidRPr="00BB5AAC">
        <w:rPr>
          <w:rFonts w:ascii="Palatino Linotype" w:hAnsi="Palatino Linotype" w:cs="Tahoma"/>
          <w:sz w:val="22"/>
          <w:szCs w:val="22"/>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9B58A39" w14:textId="77777777" w:rsidR="00C975DF" w:rsidRPr="00BB5AAC" w:rsidRDefault="00C975DF" w:rsidP="00C975DF">
      <w:pPr>
        <w:pStyle w:val="Prrafodelista"/>
        <w:spacing w:line="360" w:lineRule="auto"/>
        <w:ind w:left="0"/>
        <w:jc w:val="both"/>
        <w:rPr>
          <w:rFonts w:ascii="Palatino Linotype" w:hAnsi="Palatino Linotype" w:cs="Tahoma"/>
          <w:sz w:val="22"/>
          <w:szCs w:val="22"/>
        </w:rPr>
      </w:pPr>
    </w:p>
    <w:p w14:paraId="64846DAC" w14:textId="77777777" w:rsidR="00C975DF" w:rsidRPr="00BB5AAC" w:rsidRDefault="00C975DF" w:rsidP="00C975DF">
      <w:pPr>
        <w:pStyle w:val="Prrafodelista"/>
        <w:spacing w:line="360" w:lineRule="auto"/>
        <w:ind w:left="0"/>
        <w:jc w:val="both"/>
        <w:rPr>
          <w:rFonts w:ascii="Palatino Linotype" w:hAnsi="Palatino Linotype" w:cs="Tahoma"/>
          <w:sz w:val="22"/>
          <w:szCs w:val="22"/>
        </w:rPr>
      </w:pPr>
      <w:r w:rsidRPr="00BB5AAC">
        <w:rPr>
          <w:rFonts w:ascii="Palatino Linotype" w:hAnsi="Palatino Linotype" w:cs="Tahoma"/>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7703C78" w14:textId="77777777" w:rsidR="00C975DF" w:rsidRPr="00BB5AAC" w:rsidRDefault="00C975DF" w:rsidP="00C975DF">
      <w:pPr>
        <w:pStyle w:val="Prrafodelista"/>
        <w:spacing w:line="360" w:lineRule="auto"/>
        <w:rPr>
          <w:rFonts w:ascii="Palatino Linotype" w:hAnsi="Palatino Linotype" w:cs="Tahoma"/>
          <w:sz w:val="22"/>
          <w:szCs w:val="22"/>
        </w:rPr>
      </w:pPr>
    </w:p>
    <w:p w14:paraId="37CCB165" w14:textId="77777777" w:rsidR="00C975DF" w:rsidRPr="00BB5AAC" w:rsidRDefault="00C975DF" w:rsidP="00C975DF">
      <w:pPr>
        <w:pStyle w:val="Prrafodelista"/>
        <w:spacing w:line="360" w:lineRule="auto"/>
        <w:ind w:left="0"/>
        <w:jc w:val="both"/>
        <w:rPr>
          <w:rFonts w:ascii="Palatino Linotype" w:hAnsi="Palatino Linotype" w:cs="Tahoma"/>
          <w:sz w:val="22"/>
          <w:szCs w:val="22"/>
        </w:rPr>
      </w:pPr>
      <w:r w:rsidRPr="00BB5AAC">
        <w:rPr>
          <w:rFonts w:ascii="Palatino Linotype" w:hAnsi="Palatino Linotype" w:cs="Tahoma"/>
          <w:sz w:val="22"/>
          <w:szCs w:val="22"/>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2BE3573" w14:textId="77777777" w:rsidR="00C975DF" w:rsidRPr="00BB5AAC" w:rsidRDefault="00C975DF" w:rsidP="00C975DF">
      <w:pPr>
        <w:pStyle w:val="Prrafodelista"/>
        <w:spacing w:line="360" w:lineRule="auto"/>
        <w:rPr>
          <w:rFonts w:ascii="Palatino Linotype" w:hAnsi="Palatino Linotype" w:cs="Tahoma"/>
          <w:sz w:val="22"/>
          <w:szCs w:val="22"/>
        </w:rPr>
      </w:pPr>
    </w:p>
    <w:p w14:paraId="16155ABE" w14:textId="77777777" w:rsidR="00C975DF" w:rsidRPr="00BB5AAC" w:rsidRDefault="00C975DF" w:rsidP="00C975DF">
      <w:pPr>
        <w:pStyle w:val="Prrafodelista"/>
        <w:spacing w:line="360" w:lineRule="auto"/>
        <w:ind w:left="0"/>
        <w:jc w:val="both"/>
        <w:rPr>
          <w:rFonts w:ascii="Palatino Linotype" w:hAnsi="Palatino Linotype" w:cs="Tahoma"/>
          <w:sz w:val="22"/>
          <w:szCs w:val="22"/>
        </w:rPr>
      </w:pPr>
      <w:r w:rsidRPr="00BB5AAC">
        <w:rPr>
          <w:rFonts w:ascii="Palatino Linotype" w:hAnsi="Palatino Linotype" w:cs="Tahoma"/>
          <w:sz w:val="22"/>
          <w:szCs w:val="22"/>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4C46D5F5" w14:textId="77777777" w:rsidR="00C975DF" w:rsidRPr="00BB5AAC" w:rsidRDefault="00C975DF" w:rsidP="00C975DF">
      <w:pPr>
        <w:pStyle w:val="Prrafodelista"/>
        <w:spacing w:line="360" w:lineRule="auto"/>
        <w:rPr>
          <w:rFonts w:ascii="Palatino Linotype" w:hAnsi="Palatino Linotype" w:cs="Tahoma"/>
          <w:sz w:val="22"/>
          <w:szCs w:val="22"/>
        </w:rPr>
      </w:pPr>
    </w:p>
    <w:p w14:paraId="548AF4EA" w14:textId="77777777" w:rsidR="00C975DF" w:rsidRPr="00BB5AAC" w:rsidRDefault="00C975DF" w:rsidP="00C975DF">
      <w:pPr>
        <w:pStyle w:val="Prrafodelista"/>
        <w:spacing w:line="360" w:lineRule="auto"/>
        <w:ind w:left="0"/>
        <w:jc w:val="both"/>
        <w:rPr>
          <w:rFonts w:ascii="Palatino Linotype" w:hAnsi="Palatino Linotype" w:cs="Tahoma"/>
          <w:sz w:val="22"/>
          <w:szCs w:val="22"/>
        </w:rPr>
      </w:pPr>
      <w:r w:rsidRPr="00BB5AAC">
        <w:rPr>
          <w:rFonts w:ascii="Palatino Linotype" w:eastAsiaTheme="minorHAnsi" w:hAnsi="Palatino Linotype" w:cs="Tahoma"/>
          <w:bCs/>
          <w:sz w:val="22"/>
          <w:szCs w:val="22"/>
        </w:rPr>
        <w:t>Lo anterior, resulta congruente con el Criterio 19/17 emitido por el Instituto Nacional de Transparencia, Acceso a la Información y Protección de Datos Personales, en el cual se señala lo siguiente:</w:t>
      </w:r>
    </w:p>
    <w:p w14:paraId="71E297D6" w14:textId="77777777" w:rsidR="00C975DF" w:rsidRPr="00BB5AAC" w:rsidRDefault="00C975DF" w:rsidP="00C975DF">
      <w:pPr>
        <w:spacing w:line="360" w:lineRule="auto"/>
        <w:contextualSpacing/>
        <w:jc w:val="both"/>
        <w:rPr>
          <w:rFonts w:ascii="Palatino Linotype" w:hAnsi="Palatino Linotype" w:cs="Tahoma"/>
          <w:sz w:val="22"/>
          <w:szCs w:val="22"/>
        </w:rPr>
      </w:pPr>
    </w:p>
    <w:p w14:paraId="1CE7DCFD" w14:textId="77777777" w:rsidR="00C975DF" w:rsidRPr="00BB5AAC" w:rsidRDefault="00C975DF" w:rsidP="00C975DF">
      <w:pPr>
        <w:spacing w:line="360" w:lineRule="auto"/>
        <w:ind w:left="567"/>
        <w:jc w:val="both"/>
        <w:rPr>
          <w:rFonts w:ascii="Palatino Linotype" w:hAnsi="Palatino Linotype" w:cs="Tahoma"/>
          <w:b/>
          <w:i/>
          <w:sz w:val="22"/>
          <w:szCs w:val="22"/>
        </w:rPr>
      </w:pPr>
      <w:r w:rsidRPr="00BB5AAC">
        <w:rPr>
          <w:rFonts w:ascii="Palatino Linotype" w:hAnsi="Palatino Linotype"/>
          <w:b/>
          <w:i/>
          <w:sz w:val="22"/>
          <w:szCs w:val="22"/>
        </w:rPr>
        <w:t xml:space="preserve">Registro Federal de Contribuyentes (RFC) de personas físicas. </w:t>
      </w:r>
    </w:p>
    <w:p w14:paraId="06158D49" w14:textId="77777777" w:rsidR="00C975DF" w:rsidRPr="00BB5AAC" w:rsidRDefault="00C975DF" w:rsidP="00C975DF">
      <w:pPr>
        <w:pStyle w:val="Prrafodelista"/>
        <w:spacing w:line="360" w:lineRule="auto"/>
        <w:ind w:left="567" w:right="567"/>
        <w:jc w:val="both"/>
        <w:rPr>
          <w:rFonts w:ascii="Palatino Linotype" w:hAnsi="Palatino Linotype" w:cs="Tahoma"/>
          <w:i/>
          <w:sz w:val="22"/>
          <w:szCs w:val="22"/>
        </w:rPr>
      </w:pPr>
      <w:r w:rsidRPr="00BB5AAC">
        <w:rPr>
          <w:rFonts w:ascii="Palatino Linotype" w:hAnsi="Palatino Linotype" w:cs="Tahoma"/>
          <w:i/>
          <w:sz w:val="22"/>
          <w:szCs w:val="22"/>
        </w:rPr>
        <w:t>El RFC es una clave de carácter fiscal, única e irrepetible, que permite identificar al titular, su edad y fecha de nacimiento, por lo que es un dato personal de carácter confidencial.</w:t>
      </w:r>
    </w:p>
    <w:p w14:paraId="03D9E5EA" w14:textId="77777777" w:rsidR="00C975DF" w:rsidRPr="00BB5AAC" w:rsidRDefault="00C975DF" w:rsidP="00C975DF">
      <w:pPr>
        <w:pStyle w:val="Prrafodelista"/>
        <w:spacing w:line="360" w:lineRule="auto"/>
        <w:ind w:left="567" w:right="567"/>
        <w:jc w:val="both"/>
        <w:rPr>
          <w:rFonts w:ascii="Palatino Linotype" w:hAnsi="Palatino Linotype" w:cs="Tahoma"/>
          <w:i/>
          <w:sz w:val="22"/>
          <w:szCs w:val="22"/>
        </w:rPr>
      </w:pPr>
    </w:p>
    <w:p w14:paraId="595604EB" w14:textId="77777777" w:rsidR="00C975DF" w:rsidRPr="00BB5AAC" w:rsidRDefault="00C975DF" w:rsidP="00C975DF">
      <w:pPr>
        <w:pStyle w:val="Prrafodelista"/>
        <w:spacing w:line="360" w:lineRule="auto"/>
        <w:ind w:left="0"/>
        <w:jc w:val="both"/>
        <w:rPr>
          <w:rFonts w:ascii="Palatino Linotype" w:hAnsi="Palatino Linotype" w:cs="Tahoma"/>
          <w:sz w:val="22"/>
          <w:szCs w:val="22"/>
        </w:rPr>
      </w:pPr>
      <w:r w:rsidRPr="00BB5AAC">
        <w:rPr>
          <w:rFonts w:ascii="Palatino Linotype" w:hAnsi="Palatino Linotype" w:cs="Tahoma"/>
          <w:b/>
          <w:sz w:val="22"/>
          <w:szCs w:val="22"/>
        </w:rPr>
        <w:t>De tal suerte, el Registro Federal de Contribuyentes de las personas físicas no guarda relación con la transparencia de los recursos públicos</w:t>
      </w:r>
      <w:r w:rsidRPr="00BB5AAC">
        <w:rPr>
          <w:rFonts w:ascii="Palatino Linotype" w:hAnsi="Palatino Linotype" w:cs="Tahoma"/>
          <w:sz w:val="22"/>
          <w:szCs w:val="22"/>
        </w:rPr>
        <w:t>, así como tampoco con el desempeño laboral que pueda tener una persona, por lo que debe ser clasificado como confidencial. En términos del artículo 143, fracción I de la Ley de Transparencia y Acceso a la Información Pública del Estado de México y Municipios.</w:t>
      </w:r>
    </w:p>
    <w:p w14:paraId="54078D14" w14:textId="77777777" w:rsidR="00C975DF" w:rsidRPr="00BB5AAC" w:rsidRDefault="00C975DF" w:rsidP="00C975DF">
      <w:pPr>
        <w:pStyle w:val="Prrafodelista"/>
        <w:numPr>
          <w:ilvl w:val="0"/>
          <w:numId w:val="26"/>
        </w:numPr>
        <w:spacing w:line="360" w:lineRule="auto"/>
        <w:ind w:left="709" w:hanging="371"/>
        <w:jc w:val="both"/>
        <w:rPr>
          <w:rFonts w:ascii="Palatino Linotype" w:eastAsia="Palatino Linotype" w:hAnsi="Palatino Linotype" w:cs="Palatino Linotype"/>
          <w:b/>
          <w:sz w:val="22"/>
          <w:szCs w:val="22"/>
        </w:rPr>
      </w:pPr>
      <w:r w:rsidRPr="00BB5AAC">
        <w:rPr>
          <w:rFonts w:ascii="Palatino Linotype" w:eastAsia="Palatino Linotype" w:hAnsi="Palatino Linotype" w:cs="Palatino Linotype"/>
          <w:b/>
          <w:sz w:val="22"/>
          <w:szCs w:val="22"/>
        </w:rPr>
        <w:t>Clave Única de Registro de Población (CURP)</w:t>
      </w:r>
    </w:p>
    <w:p w14:paraId="094070CC"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0833EAF3"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p>
    <w:p w14:paraId="4AC91F87"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0CB612D"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p>
    <w:p w14:paraId="355BBABD"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En ese orden de ideas, la Secretaría de Gobernación en las direcciones </w:t>
      </w:r>
      <w:hyperlink r:id="rId12">
        <w:r w:rsidRPr="00BB5AAC">
          <w:rPr>
            <w:rFonts w:ascii="Palatino Linotype" w:eastAsia="Palatino Linotype" w:hAnsi="Palatino Linotype" w:cs="Palatino Linotype"/>
            <w:sz w:val="22"/>
            <w:szCs w:val="22"/>
            <w:u w:val="single"/>
          </w:rPr>
          <w:t>https://consultas.curp.gob.mx/CurpSP/html/informacionecurpPS.html</w:t>
        </w:r>
      </w:hyperlink>
      <w:r w:rsidRPr="00BB5AAC">
        <w:rPr>
          <w:rFonts w:ascii="Palatino Linotype" w:eastAsia="Palatino Linotype" w:hAnsi="Palatino Linotype" w:cs="Palatino Linotype"/>
          <w:sz w:val="22"/>
          <w:szCs w:val="22"/>
        </w:rPr>
        <w:t xml:space="preserve"> y </w:t>
      </w:r>
      <w:hyperlink r:id="rId13">
        <w:r w:rsidRPr="00BB5AAC">
          <w:rPr>
            <w:rFonts w:ascii="Palatino Linotype" w:eastAsia="Palatino Linotype" w:hAnsi="Palatino Linotype" w:cs="Palatino Linotype"/>
            <w:sz w:val="22"/>
            <w:szCs w:val="22"/>
            <w:u w:val="single"/>
          </w:rPr>
          <w:t>https://www.gob.mx/segob/renapo/acciones-y-programas/clave-unica-de-registro-de-poblacion-curp-142226</w:t>
        </w:r>
      </w:hyperlink>
      <w:r w:rsidRPr="00BB5AAC">
        <w:rPr>
          <w:rFonts w:ascii="Palatino Linotype" w:eastAsia="Palatino Linotype" w:hAnsi="Palatino Linotype" w:cs="Palatino Linotype"/>
          <w:sz w:val="22"/>
          <w:szCs w:val="22"/>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BB5AAC">
        <w:rPr>
          <w:rFonts w:ascii="Palatino Linotype" w:eastAsia="Palatino Linotype" w:hAnsi="Palatino Linotype" w:cs="Palatino Linotype"/>
          <w:b/>
          <w:sz w:val="22"/>
          <w:szCs w:val="22"/>
        </w:rPr>
        <w:t>se generan a partir de los datos contenidos en el documento probatorio de la identidad</w:t>
      </w:r>
      <w:r w:rsidRPr="00BB5AAC">
        <w:rPr>
          <w:rFonts w:ascii="Palatino Linotype" w:eastAsia="Palatino Linotype" w:hAnsi="Palatino Linotype" w:cs="Palatino Linotype"/>
          <w:sz w:val="22"/>
          <w:szCs w:val="22"/>
        </w:rPr>
        <w:t xml:space="preserve"> </w:t>
      </w:r>
      <w:r w:rsidRPr="00BB5AAC">
        <w:rPr>
          <w:rFonts w:ascii="Palatino Linotype" w:eastAsia="Palatino Linotype" w:hAnsi="Palatino Linotype" w:cs="Palatino Linotype"/>
          <w:b/>
          <w:sz w:val="22"/>
          <w:szCs w:val="22"/>
        </w:rPr>
        <w:t xml:space="preserve">del interesado </w:t>
      </w:r>
      <w:r w:rsidRPr="00BB5AAC">
        <w:rPr>
          <w:rFonts w:ascii="Palatino Linotype" w:eastAsia="Palatino Linotype" w:hAnsi="Palatino Linotype" w:cs="Palatino Linotype"/>
          <w:sz w:val="22"/>
          <w:szCs w:val="22"/>
        </w:rPr>
        <w:t>(acta de nacimiento, carta de naturalización o documento migratorio) de la siguiente forma:</w:t>
      </w:r>
    </w:p>
    <w:p w14:paraId="1B17B1C4" w14:textId="77777777" w:rsidR="00C975DF" w:rsidRPr="00BB5AAC" w:rsidRDefault="00C975DF" w:rsidP="00C975DF">
      <w:pPr>
        <w:spacing w:line="360" w:lineRule="auto"/>
        <w:ind w:left="567"/>
        <w:jc w:val="both"/>
        <w:rPr>
          <w:rFonts w:ascii="Palatino Linotype" w:eastAsia="Palatino Linotype" w:hAnsi="Palatino Linotype" w:cs="Palatino Linotype"/>
          <w:sz w:val="22"/>
          <w:szCs w:val="22"/>
        </w:rPr>
      </w:pPr>
    </w:p>
    <w:p w14:paraId="770B5C27" w14:textId="77777777" w:rsidR="00C975DF" w:rsidRPr="00BB5AAC" w:rsidRDefault="00C975DF" w:rsidP="00C975DF">
      <w:pPr>
        <w:numPr>
          <w:ilvl w:val="0"/>
          <w:numId w:val="25"/>
        </w:numPr>
        <w:spacing w:line="360" w:lineRule="auto"/>
        <w:ind w:lef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El primero y segundo apellidos, así como al nombre de pila;</w:t>
      </w:r>
    </w:p>
    <w:p w14:paraId="09DB4DF7" w14:textId="77777777" w:rsidR="00C975DF" w:rsidRPr="00BB5AAC" w:rsidRDefault="00C975DF" w:rsidP="00C975DF">
      <w:pPr>
        <w:numPr>
          <w:ilvl w:val="0"/>
          <w:numId w:val="25"/>
        </w:numPr>
        <w:spacing w:line="360" w:lineRule="auto"/>
        <w:ind w:lef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La fecha de nacimiento;</w:t>
      </w:r>
    </w:p>
    <w:p w14:paraId="3D4AB1B5" w14:textId="77777777" w:rsidR="00C975DF" w:rsidRPr="00BB5AAC" w:rsidRDefault="00C975DF" w:rsidP="00C975DF">
      <w:pPr>
        <w:numPr>
          <w:ilvl w:val="0"/>
          <w:numId w:val="25"/>
        </w:numPr>
        <w:spacing w:line="360" w:lineRule="auto"/>
        <w:ind w:lef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El sexo, y</w:t>
      </w:r>
    </w:p>
    <w:p w14:paraId="75903056" w14:textId="77777777" w:rsidR="00C975DF" w:rsidRPr="00BB5AAC" w:rsidRDefault="00C975DF" w:rsidP="00C975DF">
      <w:pPr>
        <w:numPr>
          <w:ilvl w:val="0"/>
          <w:numId w:val="25"/>
        </w:numPr>
        <w:spacing w:line="360" w:lineRule="auto"/>
        <w:ind w:left="567"/>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La entidad federativa de nacimiento.</w:t>
      </w:r>
    </w:p>
    <w:p w14:paraId="379B4D4D" w14:textId="77777777" w:rsidR="00C975DF" w:rsidRPr="00BB5AAC" w:rsidRDefault="00C975DF" w:rsidP="00C975DF">
      <w:pPr>
        <w:spacing w:line="360" w:lineRule="auto"/>
        <w:ind w:left="567"/>
        <w:jc w:val="both"/>
        <w:rPr>
          <w:rFonts w:ascii="Palatino Linotype" w:eastAsia="Palatino Linotype" w:hAnsi="Palatino Linotype" w:cs="Palatino Linotype"/>
          <w:sz w:val="22"/>
          <w:szCs w:val="22"/>
        </w:rPr>
      </w:pPr>
    </w:p>
    <w:p w14:paraId="5BF158C4"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Los dos últimos elementos de la Clave Única de Registro de Población evitan la duplicidad de la Clave y garantizan su correcta integración.</w:t>
      </w:r>
    </w:p>
    <w:p w14:paraId="54E73038"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p>
    <w:p w14:paraId="4431A617"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FBDA0B7"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p>
    <w:p w14:paraId="68CB5695"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5BC5849E" w14:textId="77777777" w:rsidR="00C975DF" w:rsidRPr="00BB5AAC" w:rsidRDefault="00C975DF" w:rsidP="00C975DF">
      <w:pPr>
        <w:spacing w:line="360" w:lineRule="auto"/>
        <w:ind w:left="567"/>
        <w:jc w:val="both"/>
        <w:rPr>
          <w:rFonts w:ascii="Palatino Linotype" w:eastAsia="Palatino Linotype" w:hAnsi="Palatino Linotype" w:cs="Palatino Linotype"/>
          <w:sz w:val="22"/>
          <w:szCs w:val="22"/>
        </w:rPr>
      </w:pPr>
    </w:p>
    <w:p w14:paraId="437D9038" w14:textId="77777777" w:rsidR="00C975DF" w:rsidRPr="00BB5AAC" w:rsidRDefault="00C975DF" w:rsidP="00C975DF">
      <w:pPr>
        <w:ind w:left="851" w:right="567"/>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 xml:space="preserve">“Clave Única de Registro de Población (CURP). </w:t>
      </w:r>
      <w:r w:rsidRPr="00BB5AAC">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312809F" w14:textId="77777777" w:rsidR="00C975DF" w:rsidRPr="00BB5AAC" w:rsidRDefault="00C975DF" w:rsidP="00C975DF">
      <w:pPr>
        <w:spacing w:line="360" w:lineRule="auto"/>
        <w:ind w:left="567"/>
        <w:jc w:val="both"/>
        <w:rPr>
          <w:rFonts w:ascii="Palatino Linotype" w:eastAsia="Palatino Linotype" w:hAnsi="Palatino Linotype" w:cs="Palatino Linotype"/>
          <w:sz w:val="22"/>
          <w:szCs w:val="22"/>
        </w:rPr>
      </w:pPr>
    </w:p>
    <w:p w14:paraId="37DD2A28"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346705D2" w14:textId="77777777" w:rsidR="00C975DF" w:rsidRPr="00BB5AAC" w:rsidRDefault="00C975DF" w:rsidP="00C975DF">
      <w:pPr>
        <w:pStyle w:val="Ttulo3"/>
        <w:rPr>
          <w:rFonts w:ascii="Palatino Linotype" w:hAnsi="Palatino Linotype"/>
          <w:sz w:val="22"/>
          <w:szCs w:val="22"/>
        </w:rPr>
      </w:pPr>
      <w:r w:rsidRPr="00BB5AAC">
        <w:rPr>
          <w:rFonts w:ascii="Palatino Linotype" w:hAnsi="Palatino Linotype"/>
          <w:sz w:val="22"/>
          <w:szCs w:val="22"/>
        </w:rPr>
        <w:t xml:space="preserve">III. </w:t>
      </w:r>
      <w:bookmarkStart w:id="3" w:name="_Toc86917946"/>
      <w:r w:rsidRPr="00BB5AAC">
        <w:rPr>
          <w:rFonts w:ascii="Palatino Linotype" w:hAnsi="Palatino Linotype"/>
          <w:sz w:val="22"/>
          <w:szCs w:val="22"/>
        </w:rPr>
        <w:t>Deducciones</w:t>
      </w:r>
      <w:bookmarkEnd w:id="3"/>
      <w:r w:rsidRPr="00BB5AAC">
        <w:rPr>
          <w:rFonts w:ascii="Palatino Linotype" w:hAnsi="Palatino Linotype"/>
          <w:sz w:val="22"/>
          <w:szCs w:val="22"/>
        </w:rPr>
        <w:t>.</w:t>
      </w:r>
    </w:p>
    <w:p w14:paraId="55EAB5F5" w14:textId="77777777" w:rsidR="00C975DF" w:rsidRPr="00BB5AAC" w:rsidRDefault="00C975DF" w:rsidP="00C975DF">
      <w:pPr>
        <w:rPr>
          <w:rFonts w:ascii="Palatino Linotype" w:hAnsi="Palatino Linotype"/>
          <w:sz w:val="22"/>
          <w:szCs w:val="22"/>
        </w:rPr>
      </w:pPr>
    </w:p>
    <w:p w14:paraId="6F570647" w14:textId="77777777" w:rsidR="00C975DF" w:rsidRPr="00BB5AAC" w:rsidRDefault="00C975DF" w:rsidP="00C975DF">
      <w:pPr>
        <w:pStyle w:val="Prrafodelista"/>
        <w:spacing w:line="360" w:lineRule="auto"/>
        <w:ind w:left="0"/>
        <w:jc w:val="both"/>
        <w:rPr>
          <w:rFonts w:ascii="Palatino Linotype" w:hAnsi="Palatino Linotype" w:cs="Tahoma"/>
          <w:bCs/>
          <w:sz w:val="22"/>
          <w:szCs w:val="22"/>
        </w:rPr>
      </w:pPr>
      <w:r w:rsidRPr="00BB5AAC">
        <w:rPr>
          <w:rFonts w:ascii="Palatino Linotype" w:hAnsi="Palatino Linotype" w:cs="Tahoma"/>
          <w:bCs/>
          <w:sz w:val="22"/>
          <w:szCs w:val="22"/>
        </w:rPr>
        <w:t xml:space="preserve">Es necesario precisar que existen deducciones que se generan con motivo de una decisión libre y voluntaria de los servidores públicos, como son: </w:t>
      </w:r>
      <w:r w:rsidRPr="00BB5AAC">
        <w:rPr>
          <w:rFonts w:ascii="Palatino Linotype" w:hAnsi="Palatino Linotype" w:cs="Tahoma"/>
          <w:b/>
          <w:bCs/>
          <w:sz w:val="22"/>
          <w:szCs w:val="22"/>
        </w:rPr>
        <w:t xml:space="preserve">créditos personales, pensiones alimenticias, </w:t>
      </w:r>
      <w:r w:rsidRPr="00BB5AAC">
        <w:rPr>
          <w:rFonts w:ascii="Palatino Linotype" w:hAnsi="Palatino Linotype" w:cs="Tahoma"/>
          <w:b/>
          <w:bCs/>
          <w:sz w:val="22"/>
          <w:szCs w:val="22"/>
          <w:u w:val="single"/>
        </w:rPr>
        <w:t>cuotas sindicales y fondo de resistencia del Sindicato Único de Trabajadores de los Poderes, Municipios e Institución Descentralizadas del Estado de México, seguro de vida, accidentes y enfermedades.</w:t>
      </w:r>
    </w:p>
    <w:p w14:paraId="7898CC73" w14:textId="77777777" w:rsidR="00C975DF" w:rsidRPr="00BB5AAC" w:rsidRDefault="00C975DF" w:rsidP="00C975DF">
      <w:pPr>
        <w:pStyle w:val="Prrafodelista"/>
        <w:spacing w:line="360" w:lineRule="auto"/>
        <w:ind w:left="0"/>
        <w:jc w:val="both"/>
        <w:rPr>
          <w:rFonts w:ascii="Palatino Linotype" w:hAnsi="Palatino Linotype" w:cs="Tahoma"/>
          <w:bCs/>
          <w:sz w:val="22"/>
          <w:szCs w:val="22"/>
        </w:rPr>
      </w:pPr>
    </w:p>
    <w:p w14:paraId="18E83EF5" w14:textId="77777777" w:rsidR="00C975DF" w:rsidRPr="00BB5AAC" w:rsidRDefault="00C975DF" w:rsidP="00C975DF">
      <w:pPr>
        <w:pStyle w:val="Prrafodelista"/>
        <w:spacing w:line="360" w:lineRule="auto"/>
        <w:ind w:left="0"/>
        <w:jc w:val="both"/>
        <w:rPr>
          <w:rFonts w:ascii="Palatino Linotype" w:hAnsi="Palatino Linotype" w:cs="Tahoma"/>
          <w:bCs/>
          <w:sz w:val="22"/>
          <w:szCs w:val="22"/>
        </w:rPr>
      </w:pPr>
      <w:r w:rsidRPr="00BB5AAC">
        <w:rPr>
          <w:rFonts w:ascii="Palatino Linotype" w:hAnsi="Palatino Linotype" w:cs="Tahoma"/>
          <w:bCs/>
          <w:sz w:val="22"/>
          <w:szCs w:val="22"/>
        </w:rPr>
        <w:t xml:space="preserve">Asimismo, hay otras que se generan con motivo de una sentencia judicial, como es la pensión alimenticia que periódicamente se retira de la cuenta de un empleado, a efecto de que sea entregado a un tercero.  </w:t>
      </w:r>
    </w:p>
    <w:p w14:paraId="20C3F521" w14:textId="77777777" w:rsidR="00C975DF" w:rsidRPr="00BB5AAC" w:rsidRDefault="00C975DF" w:rsidP="00C975DF">
      <w:pPr>
        <w:pStyle w:val="Prrafodelista"/>
        <w:rPr>
          <w:rFonts w:ascii="Palatino Linotype" w:hAnsi="Palatino Linotype" w:cs="Tahoma"/>
          <w:bCs/>
          <w:sz w:val="22"/>
          <w:szCs w:val="22"/>
        </w:rPr>
      </w:pPr>
    </w:p>
    <w:p w14:paraId="189FA857" w14:textId="77777777" w:rsidR="00C975DF" w:rsidRPr="00BB5AAC" w:rsidRDefault="00C975DF" w:rsidP="00C975DF">
      <w:pPr>
        <w:pStyle w:val="Prrafodelista"/>
        <w:spacing w:line="360" w:lineRule="auto"/>
        <w:ind w:left="0"/>
        <w:jc w:val="both"/>
        <w:rPr>
          <w:rFonts w:ascii="Palatino Linotype" w:hAnsi="Palatino Linotype" w:cs="Tahoma"/>
          <w:bCs/>
          <w:sz w:val="22"/>
          <w:szCs w:val="22"/>
        </w:rPr>
      </w:pPr>
      <w:r w:rsidRPr="00BB5AAC">
        <w:rPr>
          <w:rFonts w:ascii="Palatino Linotype" w:hAnsi="Palatino Linotype" w:cs="Tahoma"/>
          <w:bCs/>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4009D1AB" w14:textId="77777777" w:rsidR="00C975DF" w:rsidRPr="00BB5AAC" w:rsidRDefault="00C975DF" w:rsidP="00C975DF">
      <w:pPr>
        <w:pStyle w:val="Prrafodelista"/>
        <w:rPr>
          <w:rFonts w:ascii="Palatino Linotype" w:hAnsi="Palatino Linotype" w:cs="Tahoma"/>
          <w:bCs/>
          <w:sz w:val="22"/>
          <w:szCs w:val="22"/>
        </w:rPr>
      </w:pPr>
    </w:p>
    <w:p w14:paraId="53BD7293" w14:textId="6A32A8D5" w:rsidR="00C975DF" w:rsidRPr="00BB5AAC" w:rsidRDefault="00C975DF" w:rsidP="00C975DF">
      <w:pPr>
        <w:pStyle w:val="Prrafodelista"/>
        <w:spacing w:line="360" w:lineRule="auto"/>
        <w:ind w:left="0"/>
        <w:jc w:val="both"/>
        <w:rPr>
          <w:rFonts w:ascii="Palatino Linotype" w:hAnsi="Palatino Linotype" w:cs="Tahoma"/>
          <w:bCs/>
          <w:sz w:val="22"/>
          <w:szCs w:val="22"/>
        </w:rPr>
      </w:pPr>
      <w:r w:rsidRPr="00BB5AAC">
        <w:rPr>
          <w:rFonts w:ascii="Palatino Linotype" w:hAnsi="Palatino Linotype" w:cs="Tahoma"/>
          <w:bCs/>
          <w:sz w:val="22"/>
          <w:szCs w:val="22"/>
        </w:rPr>
        <w:t>Así, dichas deducciones reflejan el destino que un servidor público da a su patrimonio, lo que se aleja de la transparencia y rendición de cuentas. Siendo información confidencial.</w:t>
      </w:r>
    </w:p>
    <w:p w14:paraId="3483DB3B" w14:textId="77777777" w:rsidR="00C975DF" w:rsidRPr="00BB5AAC" w:rsidRDefault="00C975DF" w:rsidP="00C975DF">
      <w:pPr>
        <w:pStyle w:val="Prrafodelista"/>
        <w:spacing w:line="360" w:lineRule="auto"/>
        <w:ind w:left="0"/>
        <w:jc w:val="both"/>
        <w:rPr>
          <w:rFonts w:ascii="Palatino Linotype" w:hAnsi="Palatino Linotype" w:cs="Tahoma"/>
          <w:bCs/>
          <w:sz w:val="22"/>
          <w:szCs w:val="22"/>
        </w:rPr>
      </w:pPr>
    </w:p>
    <w:p w14:paraId="54DAED45" w14:textId="4351C405" w:rsidR="00C975DF" w:rsidRPr="00BB5AAC" w:rsidRDefault="00D077B7" w:rsidP="00D077B7">
      <w:pPr>
        <w:spacing w:line="360" w:lineRule="auto"/>
        <w:jc w:val="both"/>
        <w:rPr>
          <w:rFonts w:ascii="Palatino Linotype" w:eastAsia="Palatino Linotype" w:hAnsi="Palatino Linotype" w:cs="Palatino Linotype"/>
          <w:b/>
          <w:sz w:val="22"/>
          <w:szCs w:val="22"/>
        </w:rPr>
      </w:pPr>
      <w:r w:rsidRPr="00BB5AAC">
        <w:rPr>
          <w:rFonts w:ascii="Palatino Linotype" w:eastAsia="Palatino Linotype" w:hAnsi="Palatino Linotype" w:cs="Palatino Linotype"/>
          <w:b/>
          <w:sz w:val="22"/>
          <w:szCs w:val="22"/>
        </w:rPr>
        <w:t xml:space="preserve">IV. </w:t>
      </w:r>
      <w:r w:rsidR="00C975DF" w:rsidRPr="00BB5AAC">
        <w:rPr>
          <w:rFonts w:ascii="Palatino Linotype" w:eastAsia="Palatino Linotype" w:hAnsi="Palatino Linotype" w:cs="Palatino Linotype"/>
          <w:b/>
          <w:sz w:val="22"/>
          <w:szCs w:val="22"/>
        </w:rPr>
        <w:t>Número de seguridad social del Instituto de Seguridad Social del Estado de México y Municipios</w:t>
      </w:r>
    </w:p>
    <w:p w14:paraId="6DCD542B" w14:textId="77777777" w:rsidR="00C975DF" w:rsidRPr="00BB5AAC" w:rsidRDefault="00C975DF" w:rsidP="00C975DF">
      <w:pPr>
        <w:spacing w:line="360" w:lineRule="auto"/>
        <w:ind w:left="567"/>
        <w:jc w:val="both"/>
        <w:rPr>
          <w:rFonts w:ascii="Palatino Linotype" w:eastAsia="Palatino Linotype" w:hAnsi="Palatino Linotype" w:cs="Palatino Linotype"/>
          <w:b/>
          <w:sz w:val="22"/>
          <w:szCs w:val="22"/>
        </w:rPr>
      </w:pPr>
    </w:p>
    <w:p w14:paraId="7922E93B"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B5A8720"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p>
    <w:p w14:paraId="6AFEB8DB"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4906886B"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p>
    <w:p w14:paraId="1AAC4937" w14:textId="77777777" w:rsidR="00C975DF" w:rsidRPr="00BB5AAC" w:rsidRDefault="00C975DF" w:rsidP="00C975DF">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88D4DF6" w14:textId="77777777" w:rsidR="00C975DF" w:rsidRPr="00BB5AAC" w:rsidRDefault="00C975DF" w:rsidP="00C975DF">
      <w:pPr>
        <w:spacing w:after="240" w:line="360" w:lineRule="auto"/>
        <w:jc w:val="both"/>
        <w:rPr>
          <w:rFonts w:ascii="Palatino Linotype" w:hAnsi="Palatino Linotype"/>
          <w:sz w:val="22"/>
          <w:szCs w:val="22"/>
        </w:rPr>
      </w:pPr>
      <w:r w:rsidRPr="00BB5AAC">
        <w:rPr>
          <w:rFonts w:ascii="Palatino Linotype" w:eastAsia="Palatino Linotype" w:hAnsi="Palatino Linotype" w:cs="Palatino Linotype"/>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28943DA6" w14:textId="77777777" w:rsidR="00C975DF" w:rsidRPr="00BB5AAC" w:rsidRDefault="00C975DF" w:rsidP="00C975DF">
      <w:pPr>
        <w:pStyle w:val="Prrafodelista"/>
        <w:widowControl w:val="0"/>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BB5AAC">
        <w:rPr>
          <w:rFonts w:ascii="Palatino Linotype" w:eastAsia="Palatino Linotype" w:hAnsi="Palatino Linotype" w:cs="Palatino Linotype"/>
          <w:b/>
          <w:sz w:val="22"/>
          <w:szCs w:val="22"/>
        </w:rPr>
        <w:t>Número del trabajador.</w:t>
      </w:r>
    </w:p>
    <w:p w14:paraId="5A0DC373" w14:textId="77777777" w:rsidR="00C975DF" w:rsidRPr="00BB5AAC" w:rsidRDefault="00C975DF" w:rsidP="00C975D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Con relación al </w:t>
      </w:r>
      <w:r w:rsidRPr="00BB5AAC">
        <w:rPr>
          <w:rFonts w:ascii="Palatino Linotype" w:eastAsia="Palatino Linotype" w:hAnsi="Palatino Linotype" w:cs="Palatino Linotype"/>
          <w:b/>
          <w:sz w:val="22"/>
          <w:szCs w:val="22"/>
        </w:rPr>
        <w:t>número de empleado</w:t>
      </w:r>
      <w:r w:rsidRPr="00BB5AAC">
        <w:rPr>
          <w:rFonts w:ascii="Palatino Linotype" w:eastAsia="Palatino Linotype" w:hAnsi="Palatino Linotype" w:cs="Palatino Linotype"/>
          <w:sz w:val="22"/>
          <w:szCs w:val="22"/>
        </w:rPr>
        <w:t xml:space="preserve"> </w:t>
      </w:r>
      <w:r w:rsidRPr="00BB5AAC">
        <w:rPr>
          <w:rFonts w:ascii="Palatino Linotype" w:eastAsia="Palatino Linotype" w:hAnsi="Palatino Linotype" w:cs="Palatino Linotype"/>
          <w:b/>
          <w:sz w:val="22"/>
          <w:szCs w:val="22"/>
        </w:rPr>
        <w:t>o trabajador</w:t>
      </w:r>
      <w:r w:rsidRPr="00BB5AAC">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5D0FEAD1" w14:textId="77777777" w:rsidR="00C975DF" w:rsidRPr="00BB5AAC" w:rsidRDefault="00C975DF" w:rsidP="00C975D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6B03E2D" w14:textId="77777777" w:rsidR="00C975DF" w:rsidRPr="00BB5AAC" w:rsidRDefault="00C975DF" w:rsidP="00C975D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06/19, que indica lo siguiente:</w:t>
      </w:r>
    </w:p>
    <w:p w14:paraId="724E0D8D" w14:textId="77777777" w:rsidR="00C975DF" w:rsidRPr="00BB5AAC" w:rsidRDefault="00C975DF" w:rsidP="00C975DF">
      <w:pPr>
        <w:pBdr>
          <w:top w:val="nil"/>
          <w:left w:val="nil"/>
          <w:bottom w:val="nil"/>
          <w:right w:val="nil"/>
          <w:between w:val="nil"/>
        </w:pBdr>
        <w:spacing w:line="276" w:lineRule="auto"/>
        <w:ind w:left="993" w:right="992"/>
        <w:jc w:val="both"/>
        <w:rPr>
          <w:rFonts w:ascii="Palatino Linotype" w:eastAsia="Palatino Linotype" w:hAnsi="Palatino Linotype" w:cs="Palatino Linotype"/>
          <w:b/>
          <w:i/>
          <w:sz w:val="22"/>
          <w:szCs w:val="22"/>
        </w:rPr>
      </w:pPr>
    </w:p>
    <w:p w14:paraId="376AC5D2" w14:textId="77777777" w:rsidR="00C975DF" w:rsidRPr="00BB5AAC" w:rsidRDefault="00C975DF" w:rsidP="00C975D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 xml:space="preserve">“Número de empleado. </w:t>
      </w:r>
      <w:r w:rsidRPr="00BB5AAC">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633DCD6" w14:textId="77777777" w:rsidR="00C975DF" w:rsidRPr="00BB5AAC" w:rsidRDefault="00C975DF" w:rsidP="00C975DF">
      <w:pPr>
        <w:pBdr>
          <w:top w:val="nil"/>
          <w:left w:val="nil"/>
          <w:bottom w:val="nil"/>
          <w:right w:val="nil"/>
          <w:between w:val="nil"/>
        </w:pBdr>
        <w:ind w:left="993" w:right="992"/>
        <w:jc w:val="both"/>
        <w:rPr>
          <w:rFonts w:ascii="Palatino Linotype" w:eastAsia="Palatino Linotype" w:hAnsi="Palatino Linotype" w:cs="Palatino Linotype"/>
          <w:sz w:val="22"/>
          <w:szCs w:val="22"/>
        </w:rPr>
      </w:pPr>
    </w:p>
    <w:p w14:paraId="5EABC586" w14:textId="77777777" w:rsidR="00C975DF" w:rsidRPr="00BB5AAC" w:rsidRDefault="00C975DF" w:rsidP="00C975D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w:t>
      </w:r>
    </w:p>
    <w:p w14:paraId="7EC57FF7" w14:textId="77777777" w:rsidR="00C975DF" w:rsidRPr="00BB5AAC" w:rsidRDefault="00C975DF" w:rsidP="00C975D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9CB2236" w14:textId="77777777" w:rsidR="00C975DF" w:rsidRPr="00BB5AAC" w:rsidRDefault="00C975DF" w:rsidP="00C975D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El Sujeto Obligado, sobre este punto refirió que de acuerdo al criterio 06/09 del entonces INAI, se procede a la clasificación del dato personal, ya que dicho criterio establece que, cuando los números de empleado o equivalente se integren de datos personales o funcionen como una clave de acceso que no requiere adicionalmente una contraseña para ingresar a sistemas o bases de datos, será considerada información confidencial. Por lo tanto se comparte que dicha información sea de carácter confidencial.</w:t>
      </w:r>
    </w:p>
    <w:p w14:paraId="68013FAB" w14:textId="77777777" w:rsidR="0083209D" w:rsidRPr="00BB5AAC" w:rsidRDefault="0083209D">
      <w:pPr>
        <w:spacing w:line="360" w:lineRule="auto"/>
        <w:jc w:val="both"/>
        <w:rPr>
          <w:rFonts w:ascii="Palatino Linotype" w:eastAsia="Palatino Linotype" w:hAnsi="Palatino Linotype" w:cs="Palatino Linotype"/>
          <w:sz w:val="22"/>
          <w:szCs w:val="22"/>
        </w:rPr>
      </w:pPr>
    </w:p>
    <w:p w14:paraId="57180B8D" w14:textId="77777777"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BB5AAC"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 “</w:t>
      </w:r>
      <w:r w:rsidRPr="00BB5AAC">
        <w:rPr>
          <w:rFonts w:ascii="Palatino Linotype" w:eastAsia="Palatino Linotype" w:hAnsi="Palatino Linotype" w:cs="Palatino Linotype"/>
          <w:b/>
          <w:i/>
          <w:sz w:val="22"/>
          <w:szCs w:val="22"/>
        </w:rPr>
        <w:t>Quincuagésimo</w:t>
      </w:r>
      <w:r w:rsidRPr="00BB5AAC">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Quincuagésimo primero.</w:t>
      </w:r>
      <w:r w:rsidRPr="00BB5AAC">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 El número de sesión y fecha; </w:t>
      </w:r>
    </w:p>
    <w:p w14:paraId="241B2257"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IV. La resolución o resoluciones aprobadas; y </w:t>
      </w:r>
    </w:p>
    <w:p w14:paraId="682C4065"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Quincuagésimo segundo.</w:t>
      </w:r>
      <w:r w:rsidRPr="00BB5AAC">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BB5AAC"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BB5AAC"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BB5AAC"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r w:rsidRPr="00BB5AAC">
        <w:rPr>
          <w:rFonts w:ascii="Palatino Linotype" w:eastAsia="Palatino Linotype" w:hAnsi="Palatino Linotype" w:cs="Palatino Linotype"/>
          <w:b/>
          <w:i/>
          <w:sz w:val="22"/>
          <w:szCs w:val="22"/>
        </w:rPr>
        <w:t>Quincuagésimo cuarto.</w:t>
      </w:r>
      <w:r w:rsidRPr="00BB5AAC">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Quincuagésimo quinto.</w:t>
      </w:r>
      <w:r w:rsidRPr="00BB5AAC">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w:t>
      </w:r>
    </w:p>
    <w:p w14:paraId="09D096A7"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b/>
          <w:i/>
          <w:sz w:val="22"/>
          <w:szCs w:val="22"/>
        </w:rPr>
        <w:t>Quincuagésimo séptimo.</w:t>
      </w:r>
      <w:r w:rsidRPr="00BB5AAC">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BB5AAC" w:rsidRDefault="00F36565">
      <w:pPr>
        <w:ind w:left="567" w:right="616"/>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BB5AAC" w:rsidRDefault="00C877F6" w:rsidP="00A21950">
      <w:pPr>
        <w:spacing w:line="360" w:lineRule="auto"/>
        <w:ind w:right="616"/>
        <w:jc w:val="both"/>
        <w:rPr>
          <w:rFonts w:ascii="Palatino Linotype" w:eastAsia="Palatino Linotype" w:hAnsi="Palatino Linotype" w:cs="Palatino Linotype"/>
          <w:i/>
          <w:sz w:val="22"/>
          <w:szCs w:val="22"/>
        </w:rPr>
      </w:pPr>
    </w:p>
    <w:p w14:paraId="5473265E" w14:textId="77777777" w:rsidR="00A21950" w:rsidRPr="00BB5AAC" w:rsidRDefault="00A21950" w:rsidP="00A21950">
      <w:pPr>
        <w:pStyle w:val="NormalWeb"/>
        <w:spacing w:before="0" w:beforeAutospacing="0" w:after="0" w:afterAutospacing="0" w:line="360" w:lineRule="auto"/>
        <w:jc w:val="both"/>
      </w:pPr>
      <w:r w:rsidRPr="00BB5AAC">
        <w:rPr>
          <w:rFonts w:ascii="Palatino Linotype" w:hAnsi="Palatino Linotype"/>
          <w:sz w:val="22"/>
          <w:szCs w:val="22"/>
        </w:rPr>
        <w:t xml:space="preserve">Por otro lado, derivado de la información que se ordena entregar pudiera existir información de la </w:t>
      </w:r>
      <w:r w:rsidRPr="00BB5AAC">
        <w:rPr>
          <w:rFonts w:ascii="Palatino Linotype" w:hAnsi="Palatino Linotype"/>
          <w:b/>
          <w:bCs/>
          <w:sz w:val="22"/>
          <w:szCs w:val="22"/>
        </w:rPr>
        <w:t>Dirección de Seguridad Pública del Ayuntamiento o su equivalente,</w:t>
      </w:r>
      <w:r w:rsidRPr="00BB5AAC">
        <w:rPr>
          <w:rFonts w:ascii="Palatino Linotype" w:hAnsi="Palatino Linotype"/>
          <w:sz w:val="22"/>
          <w:szCs w:val="22"/>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por lo que deberá testarse de igual manera sólo el nombre de los servidores públicos de la Policía Municipal </w:t>
      </w:r>
      <w:r w:rsidRPr="00BB5AAC">
        <w:rPr>
          <w:rFonts w:ascii="Palatino Linotype" w:hAnsi="Palatino Linotype"/>
          <w:b/>
          <w:bCs/>
          <w:sz w:val="22"/>
          <w:szCs w:val="22"/>
        </w:rPr>
        <w:t>que desempeñen funciones operativas</w:t>
      </w:r>
      <w:r w:rsidRPr="00BB5AAC">
        <w:rPr>
          <w:rFonts w:ascii="Palatino Linotype" w:hAnsi="Palatino Linotype"/>
          <w:sz w:val="22"/>
          <w:szCs w:val="22"/>
        </w:rPr>
        <w:t>.</w:t>
      </w:r>
    </w:p>
    <w:p w14:paraId="6093D823" w14:textId="77777777" w:rsidR="00A21950" w:rsidRPr="00BB5AAC" w:rsidRDefault="00A21950" w:rsidP="00A21950">
      <w:pPr>
        <w:spacing w:line="360" w:lineRule="auto"/>
      </w:pPr>
    </w:p>
    <w:p w14:paraId="22D79773" w14:textId="77777777" w:rsidR="00A21950" w:rsidRPr="00BB5AAC" w:rsidRDefault="00A21950" w:rsidP="00A21950">
      <w:pPr>
        <w:pStyle w:val="NormalWeb"/>
        <w:spacing w:before="0" w:beforeAutospacing="0" w:after="0" w:afterAutospacing="0" w:line="360" w:lineRule="auto"/>
        <w:jc w:val="both"/>
      </w:pPr>
      <w:r w:rsidRPr="00BB5AAC">
        <w:rPr>
          <w:rFonts w:ascii="Palatino Linotype" w:hAnsi="Palatino Linotype"/>
          <w:sz w:val="22"/>
          <w:szCs w:val="22"/>
        </w:rPr>
        <w:t xml:space="preserve">Al respecto, la información </w:t>
      </w:r>
      <w:r w:rsidRPr="00BB5AAC">
        <w:rPr>
          <w:rFonts w:ascii="Palatino Linotype" w:hAnsi="Palatino Linotype"/>
          <w:b/>
          <w:bCs/>
          <w:sz w:val="22"/>
          <w:szCs w:val="22"/>
        </w:rPr>
        <w:t>de los elementos que realizan funciones operativas, entre ellos su nombre debe ser protegido</w:t>
      </w:r>
      <w:r w:rsidRPr="00BB5AAC">
        <w:rPr>
          <w:rFonts w:ascii="Palatino Linotype" w:hAnsi="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43D9DD5C" w14:textId="77777777" w:rsidR="00A21950" w:rsidRPr="00BB5AAC" w:rsidRDefault="00A21950" w:rsidP="00A21950">
      <w:pPr>
        <w:spacing w:line="360" w:lineRule="auto"/>
      </w:pPr>
    </w:p>
    <w:p w14:paraId="180DF04F" w14:textId="77777777" w:rsidR="00A21950" w:rsidRPr="00BB5AAC" w:rsidRDefault="00A21950" w:rsidP="00A21950">
      <w:pPr>
        <w:pStyle w:val="NormalWeb"/>
        <w:spacing w:before="0" w:beforeAutospacing="0" w:after="0" w:afterAutospacing="0" w:line="360" w:lineRule="auto"/>
        <w:jc w:val="both"/>
      </w:pPr>
      <w:r w:rsidRPr="00BB5AAC">
        <w:rPr>
          <w:rFonts w:ascii="Palatino Linotype" w:hAnsi="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vigente a la fecha de la solicitud,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69C8D107" w14:textId="77777777" w:rsidR="00A21950" w:rsidRPr="00BB5AAC" w:rsidRDefault="00A21950" w:rsidP="00A21950">
      <w:pPr>
        <w:spacing w:line="360" w:lineRule="auto"/>
      </w:pPr>
    </w:p>
    <w:p w14:paraId="5807DA93" w14:textId="77777777" w:rsidR="00A21950" w:rsidRPr="00BB5AAC" w:rsidRDefault="00A21950" w:rsidP="00A21950">
      <w:pPr>
        <w:pStyle w:val="NormalWeb"/>
        <w:spacing w:before="0" w:beforeAutospacing="0" w:after="0" w:afterAutospacing="0" w:line="360" w:lineRule="auto"/>
        <w:jc w:val="both"/>
      </w:pPr>
      <w:r w:rsidRPr="00BB5AAC">
        <w:rPr>
          <w:rFonts w:ascii="Palatino Linotype" w:hAnsi="Palatino Linotype"/>
          <w:sz w:val="22"/>
          <w:szCs w:val="22"/>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40591BDC" w14:textId="77777777" w:rsidR="00A21950" w:rsidRPr="00BB5AAC" w:rsidRDefault="00A21950" w:rsidP="00A21950">
      <w:pPr>
        <w:spacing w:line="360" w:lineRule="auto"/>
      </w:pPr>
    </w:p>
    <w:p w14:paraId="358E9453" w14:textId="77777777" w:rsidR="00A21950" w:rsidRPr="00BB5AAC" w:rsidRDefault="00A21950" w:rsidP="00A21950">
      <w:pPr>
        <w:pStyle w:val="NormalWeb"/>
        <w:spacing w:before="0" w:beforeAutospacing="0" w:after="0" w:afterAutospacing="0" w:line="360" w:lineRule="auto"/>
        <w:jc w:val="both"/>
      </w:pPr>
      <w:r w:rsidRPr="00BB5AAC">
        <w:rPr>
          <w:rFonts w:ascii="Palatino Linotype" w:hAnsi="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39DCFFFB" w14:textId="77777777" w:rsidR="00A21950" w:rsidRPr="00BB5AAC" w:rsidRDefault="00A21950" w:rsidP="00A21950">
      <w:pPr>
        <w:spacing w:line="360" w:lineRule="auto"/>
      </w:pPr>
    </w:p>
    <w:p w14:paraId="6E551320" w14:textId="77777777" w:rsidR="00A21950" w:rsidRPr="00BB5AAC" w:rsidRDefault="00A21950" w:rsidP="00A21950">
      <w:pPr>
        <w:pStyle w:val="NormalWeb"/>
        <w:spacing w:before="0" w:beforeAutospacing="0" w:after="0" w:afterAutospacing="0" w:line="360" w:lineRule="auto"/>
        <w:jc w:val="both"/>
      </w:pPr>
      <w:r w:rsidRPr="00BB5AAC">
        <w:rPr>
          <w:rFonts w:ascii="Palatino Linotype" w:hAnsi="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que establece lo siguiente:</w:t>
      </w:r>
    </w:p>
    <w:p w14:paraId="50CBB5C0" w14:textId="77777777" w:rsidR="00A21950" w:rsidRPr="00BB5AAC" w:rsidRDefault="00A21950" w:rsidP="00A21950">
      <w:pPr>
        <w:pStyle w:val="NormalWeb"/>
        <w:spacing w:before="0" w:beforeAutospacing="0" w:after="0" w:afterAutospacing="0"/>
        <w:ind w:left="567" w:right="616"/>
        <w:jc w:val="both"/>
      </w:pPr>
      <w:r w:rsidRPr="00BB5AAC">
        <w:rPr>
          <w:rFonts w:ascii="Palatino Linotype" w:hAnsi="Palatino Linotype"/>
          <w:b/>
          <w:bCs/>
          <w:i/>
          <w:iCs/>
          <w:sz w:val="22"/>
          <w:szCs w:val="22"/>
        </w:rPr>
        <w:t>Nombres de servidores públicos dedicados a actividades en materia de seguridad, por excepción pueden considerarse información reservada.</w:t>
      </w:r>
      <w:r w:rsidRPr="00BB5AAC">
        <w:rPr>
          <w:rFonts w:ascii="Palatino Linotype" w:hAnsi="Palatino Linotype"/>
          <w:i/>
          <w:iCs/>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2085BCB" w14:textId="77777777" w:rsidR="00A21950" w:rsidRPr="00BB5AAC" w:rsidRDefault="00A21950" w:rsidP="00A21950">
      <w:pPr>
        <w:spacing w:line="360" w:lineRule="auto"/>
      </w:pPr>
    </w:p>
    <w:p w14:paraId="05B65ACF" w14:textId="77777777" w:rsidR="00A21950" w:rsidRPr="00BB5AAC" w:rsidRDefault="00A21950" w:rsidP="00A21950">
      <w:pPr>
        <w:pStyle w:val="NormalWeb"/>
        <w:spacing w:before="0" w:beforeAutospacing="0" w:after="0" w:afterAutospacing="0" w:line="360" w:lineRule="auto"/>
        <w:jc w:val="both"/>
      </w:pPr>
      <w:r w:rsidRPr="00BB5AAC">
        <w:rPr>
          <w:rFonts w:ascii="Palatino Linotype" w:hAnsi="Palatino Linotype"/>
          <w:sz w:val="22"/>
          <w:szCs w:val="22"/>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BB5AAC">
        <w:rPr>
          <w:rFonts w:ascii="Palatino Linotype" w:hAnsi="Palatino Linotype"/>
          <w:b/>
          <w:bCs/>
          <w:sz w:val="22"/>
          <w:szCs w:val="22"/>
        </w:rPr>
        <w:t>funciones de carácter operativo.</w:t>
      </w:r>
    </w:p>
    <w:p w14:paraId="3FC6656E" w14:textId="77777777" w:rsidR="00A21950" w:rsidRPr="00BB5AAC" w:rsidRDefault="00A21950" w:rsidP="00A21950">
      <w:pPr>
        <w:spacing w:line="360" w:lineRule="auto"/>
      </w:pPr>
    </w:p>
    <w:p w14:paraId="392E0993" w14:textId="77777777" w:rsidR="00A21950" w:rsidRPr="00BB5AAC" w:rsidRDefault="00A21950" w:rsidP="00A21950">
      <w:pPr>
        <w:pStyle w:val="NormalWeb"/>
        <w:spacing w:before="0" w:beforeAutospacing="0" w:after="0" w:afterAutospacing="0" w:line="360" w:lineRule="auto"/>
        <w:jc w:val="both"/>
      </w:pPr>
      <w:r w:rsidRPr="00BB5AAC">
        <w:rPr>
          <w:rFonts w:ascii="Palatino Linotype" w:hAnsi="Palatino Linotype"/>
          <w:sz w:val="22"/>
          <w:szCs w:val="22"/>
        </w:rPr>
        <w:t>Sirven de sustento a lo anterior las tesis jurisprudenciales emitidas por la Suprema corte de Justicia de la Nación, que son del literal siguiente:</w:t>
      </w:r>
    </w:p>
    <w:p w14:paraId="3632135C" w14:textId="77777777" w:rsidR="00A21950" w:rsidRPr="00BB5AAC" w:rsidRDefault="00A21950" w:rsidP="00A21950">
      <w:pPr>
        <w:spacing w:line="360" w:lineRule="auto"/>
      </w:pPr>
    </w:p>
    <w:p w14:paraId="3A1D8AC9" w14:textId="77777777" w:rsidR="00A21950" w:rsidRPr="00BB5AAC" w:rsidRDefault="00A21950" w:rsidP="00A21950">
      <w:pPr>
        <w:pStyle w:val="NormalWeb"/>
        <w:spacing w:before="0" w:beforeAutospacing="0" w:after="0" w:afterAutospacing="0"/>
        <w:ind w:left="567" w:right="616"/>
        <w:jc w:val="both"/>
      </w:pPr>
      <w:r w:rsidRPr="00BB5AAC">
        <w:rPr>
          <w:rFonts w:ascii="Palatino Linotype" w:hAnsi="Palatino Linotype"/>
          <w:b/>
          <w:bCs/>
          <w:i/>
          <w:iCs/>
          <w:sz w:val="22"/>
          <w:szCs w:val="22"/>
        </w:rPr>
        <w:t xml:space="preserve">DERECHO A LA INFORMACIÓN. SU EJERCICIO SE ENCUENTRA LIMITADO TANTO POR LOS INTERESES NACIONALES Y DE LA SOCIEDAD, COMO POR LOS DERECHOS DE TERCEROS. </w:t>
      </w:r>
      <w:r w:rsidRPr="00BB5AAC">
        <w:rPr>
          <w:rFonts w:ascii="Palatino Linotype" w:hAnsi="Palatino Linotype"/>
          <w:i/>
          <w:iCs/>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BB5AAC">
        <w:rPr>
          <w:rFonts w:ascii="Palatino Linotype" w:hAnsi="Palatino Linotype"/>
          <w:b/>
          <w:bCs/>
          <w:i/>
          <w:iCs/>
          <w:sz w:val="22"/>
          <w:szCs w:val="22"/>
        </w:rPr>
        <w:t>restringen el acceso a la información en esta materia, en razón de que su conocimiento público puede generar daños a los intereses nacionales y, por el otro, sancionan la inobservancia de esa reserva;</w:t>
      </w:r>
      <w:r w:rsidRPr="00BB5AAC">
        <w:rPr>
          <w:rFonts w:ascii="Palatino Linotype" w:hAnsi="Palatino Linotype"/>
          <w:i/>
          <w:iCs/>
          <w:sz w:val="22"/>
          <w:szCs w:val="22"/>
        </w:rPr>
        <w:t xml:space="preserve"> por lo que hace al interés social, se cuenta con normas que tienden a proteger la averiguación de los delitos, la salud y la moral públicas, </w:t>
      </w:r>
      <w:r w:rsidRPr="00BB5AAC">
        <w:rPr>
          <w:rFonts w:ascii="Palatino Linotype" w:hAnsi="Palatino Linotype"/>
          <w:b/>
          <w:bCs/>
          <w:i/>
          <w:iCs/>
          <w:sz w:val="22"/>
          <w:szCs w:val="22"/>
        </w:rPr>
        <w:t>mientras que por lo que respecta a la protección de la persona existen normas que protegen el derecho a la vida o a la privacidad de los gobernados.</w:t>
      </w:r>
    </w:p>
    <w:p w14:paraId="1A621D1C" w14:textId="77777777" w:rsidR="00A21950" w:rsidRPr="00BB5AAC" w:rsidRDefault="00A21950" w:rsidP="00A21950"/>
    <w:p w14:paraId="410377B7" w14:textId="77777777" w:rsidR="00A21950" w:rsidRPr="00BB5AAC" w:rsidRDefault="00A21950" w:rsidP="00A21950">
      <w:pPr>
        <w:pStyle w:val="NormalWeb"/>
        <w:spacing w:before="0" w:beforeAutospacing="0" w:after="0" w:afterAutospacing="0"/>
        <w:ind w:left="567" w:right="616"/>
        <w:jc w:val="both"/>
      </w:pPr>
      <w:r w:rsidRPr="00BB5AAC">
        <w:rPr>
          <w:rFonts w:ascii="Palatino Linotype" w:hAnsi="Palatino Linotype"/>
          <w:b/>
          <w:bCs/>
          <w:i/>
          <w:iCs/>
          <w:sz w:val="22"/>
          <w:szCs w:val="22"/>
        </w:rPr>
        <w:t>TRANSPARENCIA Y ACCESO A LA INFORMACIÓN PÚBLICA GUBERNAMENTAL. EL ARTÍCULO 14, FRACCIÓN I, DE LA LEY FEDERAL RELATIVA, NO VIOLA LA GARANTÍA DE ACCESO A LA INFORMACIÓN.</w:t>
      </w:r>
      <w:r w:rsidRPr="00BB5AAC">
        <w:rPr>
          <w:rFonts w:ascii="Palatino Linotype" w:hAnsi="Palatino Linotype"/>
          <w:i/>
          <w:iCs/>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BB5AAC">
        <w:rPr>
          <w:rFonts w:ascii="Palatino Linotype" w:hAnsi="Palatino Linotype"/>
          <w:b/>
          <w:bCs/>
          <w:i/>
          <w:iCs/>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BB5AAC">
        <w:rPr>
          <w:rFonts w:ascii="Palatino Linotype" w:hAnsi="Palatino Linotype"/>
          <w:i/>
          <w:iCs/>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2FA7D3C0" w14:textId="77777777" w:rsidR="00A21950" w:rsidRPr="00BB5AAC" w:rsidRDefault="00A21950" w:rsidP="00A21950">
      <w:pPr>
        <w:spacing w:line="360" w:lineRule="auto"/>
        <w:ind w:right="616"/>
        <w:jc w:val="both"/>
        <w:rPr>
          <w:rFonts w:ascii="Palatino Linotype" w:eastAsia="Palatino Linotype" w:hAnsi="Palatino Linotype" w:cs="Palatino Linotype"/>
          <w:i/>
          <w:sz w:val="22"/>
          <w:szCs w:val="22"/>
        </w:rPr>
      </w:pPr>
    </w:p>
    <w:p w14:paraId="130BAA1B" w14:textId="77777777" w:rsidR="00C877F6" w:rsidRPr="00BB5AAC" w:rsidRDefault="00F36565">
      <w:pPr>
        <w:spacing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BB5AAC" w:rsidRDefault="00F36565">
      <w:pPr>
        <w:spacing w:before="240"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BB5AAC"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BB5AAC">
        <w:rPr>
          <w:rFonts w:ascii="Palatino Linotype" w:eastAsia="Palatino Linotype" w:hAnsi="Palatino Linotype" w:cs="Palatino Linotype"/>
          <w:b/>
          <w:sz w:val="22"/>
          <w:szCs w:val="22"/>
        </w:rPr>
        <w:t>R E S U E L V E:</w:t>
      </w:r>
    </w:p>
    <w:p w14:paraId="6EF9BB33" w14:textId="36C4E459" w:rsidR="00C877F6" w:rsidRPr="00BB5AAC" w:rsidRDefault="00F36565">
      <w:pPr>
        <w:spacing w:before="240" w:after="240" w:line="360" w:lineRule="auto"/>
        <w:jc w:val="both"/>
        <w:rPr>
          <w:rFonts w:ascii="Palatino Linotype" w:eastAsia="Palatino Linotype" w:hAnsi="Palatino Linotype" w:cs="Palatino Linotype"/>
          <w:b/>
          <w:sz w:val="22"/>
          <w:szCs w:val="22"/>
        </w:rPr>
      </w:pPr>
      <w:r w:rsidRPr="00BB5AAC">
        <w:rPr>
          <w:rFonts w:ascii="Palatino Linotype" w:eastAsia="Palatino Linotype" w:hAnsi="Palatino Linotype" w:cs="Palatino Linotype"/>
          <w:b/>
          <w:sz w:val="22"/>
          <w:szCs w:val="22"/>
        </w:rPr>
        <w:t xml:space="preserve">Primero. </w:t>
      </w:r>
      <w:r w:rsidRPr="00BB5AAC">
        <w:rPr>
          <w:rFonts w:ascii="Palatino Linotype" w:eastAsia="Palatino Linotype" w:hAnsi="Palatino Linotype" w:cs="Palatino Linotype"/>
          <w:sz w:val="22"/>
          <w:szCs w:val="22"/>
        </w:rPr>
        <w:t>Resultan</w:t>
      </w:r>
      <w:r w:rsidRPr="00BB5AAC">
        <w:rPr>
          <w:rFonts w:ascii="Palatino Linotype" w:eastAsia="Palatino Linotype" w:hAnsi="Palatino Linotype" w:cs="Palatino Linotype"/>
          <w:b/>
          <w:sz w:val="22"/>
          <w:szCs w:val="22"/>
        </w:rPr>
        <w:t xml:space="preserve"> parcialmente fundados </w:t>
      </w:r>
      <w:r w:rsidRPr="00BB5AAC">
        <w:rPr>
          <w:rFonts w:ascii="Palatino Linotype" w:eastAsia="Palatino Linotype" w:hAnsi="Palatino Linotype" w:cs="Palatino Linotype"/>
          <w:sz w:val="22"/>
          <w:szCs w:val="22"/>
        </w:rPr>
        <w:t xml:space="preserve">los motivos de inconformidad hechos valer por </w:t>
      </w:r>
      <w:r w:rsidRPr="00BB5AAC">
        <w:rPr>
          <w:rFonts w:ascii="Palatino Linotype" w:eastAsia="Palatino Linotype" w:hAnsi="Palatino Linotype" w:cs="Palatino Linotype"/>
          <w:b/>
          <w:sz w:val="22"/>
          <w:szCs w:val="22"/>
        </w:rPr>
        <w:t>la parte Recurrente</w:t>
      </w:r>
      <w:r w:rsidRPr="00BB5AAC">
        <w:rPr>
          <w:rFonts w:ascii="Palatino Linotype" w:eastAsia="Palatino Linotype" w:hAnsi="Palatino Linotype" w:cs="Palatino Linotype"/>
          <w:sz w:val="22"/>
          <w:szCs w:val="22"/>
        </w:rPr>
        <w:t xml:space="preserve"> en el Recurso de Revisión</w:t>
      </w:r>
      <w:r w:rsidRPr="00BB5AAC">
        <w:rPr>
          <w:rFonts w:ascii="Palatino Linotype" w:eastAsia="Palatino Linotype" w:hAnsi="Palatino Linotype" w:cs="Palatino Linotype"/>
          <w:b/>
          <w:sz w:val="22"/>
          <w:szCs w:val="22"/>
        </w:rPr>
        <w:t xml:space="preserve"> </w:t>
      </w:r>
      <w:r w:rsidR="003376D2" w:rsidRPr="00BB5AAC">
        <w:rPr>
          <w:rFonts w:ascii="Palatino Linotype" w:eastAsia="Palatino Linotype" w:hAnsi="Palatino Linotype" w:cs="Palatino Linotype"/>
          <w:b/>
          <w:sz w:val="22"/>
          <w:szCs w:val="22"/>
        </w:rPr>
        <w:t>11744/INFOEM/IP/RR/2025</w:t>
      </w:r>
      <w:r w:rsidRPr="00BB5AAC">
        <w:rPr>
          <w:rFonts w:ascii="Palatino Linotype" w:eastAsia="Palatino Linotype" w:hAnsi="Palatino Linotype" w:cs="Palatino Linotype"/>
          <w:b/>
          <w:sz w:val="22"/>
          <w:szCs w:val="22"/>
        </w:rPr>
        <w:t xml:space="preserve">, </w:t>
      </w:r>
      <w:r w:rsidRPr="00BB5AAC">
        <w:rPr>
          <w:rFonts w:ascii="Palatino Linotype" w:eastAsia="Palatino Linotype" w:hAnsi="Palatino Linotype" w:cs="Palatino Linotype"/>
          <w:sz w:val="22"/>
          <w:szCs w:val="22"/>
        </w:rPr>
        <w:t>por lo que</w:t>
      </w:r>
      <w:r w:rsidRPr="00BB5AAC">
        <w:rPr>
          <w:rFonts w:ascii="Palatino Linotype" w:eastAsia="Palatino Linotype" w:hAnsi="Palatino Linotype" w:cs="Palatino Linotype"/>
          <w:b/>
          <w:sz w:val="22"/>
          <w:szCs w:val="22"/>
        </w:rPr>
        <w:t xml:space="preserve">, en términos del Considerando Cuarto </w:t>
      </w:r>
      <w:r w:rsidRPr="00BB5AAC">
        <w:rPr>
          <w:rFonts w:ascii="Palatino Linotype" w:eastAsia="Palatino Linotype" w:hAnsi="Palatino Linotype" w:cs="Palatino Linotype"/>
          <w:sz w:val="22"/>
          <w:szCs w:val="22"/>
        </w:rPr>
        <w:t>de la presente resolución</w:t>
      </w:r>
      <w:r w:rsidRPr="00BB5AAC">
        <w:rPr>
          <w:rFonts w:ascii="Palatino Linotype" w:eastAsia="Palatino Linotype" w:hAnsi="Palatino Linotype" w:cs="Palatino Linotype"/>
          <w:b/>
          <w:sz w:val="22"/>
          <w:szCs w:val="22"/>
        </w:rPr>
        <w:t xml:space="preserve">, se </w:t>
      </w:r>
      <w:r w:rsidR="00A21950" w:rsidRPr="00BB5AAC">
        <w:rPr>
          <w:rFonts w:ascii="Palatino Linotype" w:eastAsia="Palatino Linotype" w:hAnsi="Palatino Linotype" w:cs="Palatino Linotype"/>
          <w:b/>
          <w:sz w:val="22"/>
          <w:szCs w:val="22"/>
        </w:rPr>
        <w:t>REVOCA</w:t>
      </w:r>
      <w:r w:rsidRPr="00BB5AAC">
        <w:rPr>
          <w:rFonts w:ascii="Palatino Linotype" w:eastAsia="Palatino Linotype" w:hAnsi="Palatino Linotype" w:cs="Palatino Linotype"/>
          <w:b/>
          <w:sz w:val="22"/>
          <w:szCs w:val="22"/>
        </w:rPr>
        <w:t xml:space="preserve"> l</w:t>
      </w:r>
      <w:r w:rsidRPr="00BB5AAC">
        <w:rPr>
          <w:rFonts w:ascii="Palatino Linotype" w:eastAsia="Palatino Linotype" w:hAnsi="Palatino Linotype" w:cs="Palatino Linotype"/>
          <w:sz w:val="22"/>
          <w:szCs w:val="22"/>
        </w:rPr>
        <w:t>a respuesta del</w:t>
      </w:r>
      <w:r w:rsidRPr="00BB5AAC">
        <w:rPr>
          <w:rFonts w:ascii="Palatino Linotype" w:eastAsia="Palatino Linotype" w:hAnsi="Palatino Linotype" w:cs="Palatino Linotype"/>
          <w:b/>
          <w:sz w:val="22"/>
          <w:szCs w:val="22"/>
        </w:rPr>
        <w:t xml:space="preserve"> Sujeto Obligado.</w:t>
      </w:r>
    </w:p>
    <w:p w14:paraId="7D8F81E5" w14:textId="43CB9A9B" w:rsidR="00C877F6" w:rsidRPr="00BB5AAC" w:rsidRDefault="00F36565">
      <w:pPr>
        <w:spacing w:before="240" w:after="240" w:line="360" w:lineRule="auto"/>
        <w:jc w:val="both"/>
        <w:rPr>
          <w:rFonts w:ascii="Palatino Linotype" w:eastAsia="Palatino Linotype" w:hAnsi="Palatino Linotype" w:cs="Palatino Linotype"/>
          <w:b/>
          <w:sz w:val="22"/>
          <w:szCs w:val="22"/>
        </w:rPr>
      </w:pPr>
      <w:bookmarkStart w:id="4" w:name="_heading=h.j3ppyxwlb1s2" w:colFirst="0" w:colLast="0"/>
      <w:bookmarkEnd w:id="4"/>
      <w:r w:rsidRPr="00BB5AAC">
        <w:rPr>
          <w:rFonts w:ascii="Palatino Linotype" w:eastAsia="Palatino Linotype" w:hAnsi="Palatino Linotype" w:cs="Palatino Linotype"/>
          <w:b/>
          <w:sz w:val="22"/>
          <w:szCs w:val="22"/>
        </w:rPr>
        <w:t xml:space="preserve">Segundo. Se Ordena al Sujeto Obligado </w:t>
      </w:r>
      <w:r w:rsidRPr="00BB5AAC">
        <w:rPr>
          <w:rFonts w:ascii="Palatino Linotype" w:eastAsia="Palatino Linotype" w:hAnsi="Palatino Linotype" w:cs="Palatino Linotype"/>
          <w:sz w:val="22"/>
          <w:szCs w:val="22"/>
        </w:rPr>
        <w:t>que en términos de los</w:t>
      </w:r>
      <w:r w:rsidRPr="00BB5AAC">
        <w:rPr>
          <w:rFonts w:ascii="Palatino Linotype" w:eastAsia="Palatino Linotype" w:hAnsi="Palatino Linotype" w:cs="Palatino Linotype"/>
          <w:b/>
          <w:sz w:val="22"/>
          <w:szCs w:val="22"/>
        </w:rPr>
        <w:t xml:space="preserve"> Considerandos Cuarto y Quinto </w:t>
      </w:r>
      <w:r w:rsidRPr="00BB5AAC">
        <w:rPr>
          <w:rFonts w:ascii="Palatino Linotype" w:eastAsia="Palatino Linotype" w:hAnsi="Palatino Linotype" w:cs="Palatino Linotype"/>
          <w:sz w:val="22"/>
          <w:szCs w:val="22"/>
        </w:rPr>
        <w:t xml:space="preserve">de esta resolución, haga entrega a </w:t>
      </w:r>
      <w:r w:rsidRPr="00BB5AAC">
        <w:rPr>
          <w:rFonts w:ascii="Palatino Linotype" w:eastAsia="Palatino Linotype" w:hAnsi="Palatino Linotype" w:cs="Palatino Linotype"/>
          <w:b/>
          <w:sz w:val="22"/>
          <w:szCs w:val="22"/>
        </w:rPr>
        <w:t>la parte Recurrente a través del SAIMEX,</w:t>
      </w:r>
      <w:r w:rsidR="00467949" w:rsidRPr="00BB5AAC">
        <w:rPr>
          <w:rFonts w:ascii="Palatino Linotype" w:eastAsia="Palatino Linotype" w:hAnsi="Palatino Linotype" w:cs="Palatino Linotype"/>
          <w:b/>
          <w:sz w:val="22"/>
          <w:szCs w:val="22"/>
        </w:rPr>
        <w:t xml:space="preserve"> </w:t>
      </w:r>
      <w:r w:rsidR="00467949" w:rsidRPr="00BB5AAC">
        <w:rPr>
          <w:rFonts w:ascii="Palatino Linotype" w:eastAsia="Palatino Linotype" w:hAnsi="Palatino Linotype" w:cs="Palatino Linotype"/>
          <w:sz w:val="22"/>
          <w:szCs w:val="22"/>
        </w:rPr>
        <w:t>en versión pública,</w:t>
      </w:r>
      <w:r w:rsidRPr="00BB5AAC">
        <w:rPr>
          <w:rFonts w:ascii="Palatino Linotype" w:eastAsia="Palatino Linotype" w:hAnsi="Palatino Linotype" w:cs="Palatino Linotype"/>
          <w:b/>
          <w:sz w:val="22"/>
          <w:szCs w:val="22"/>
        </w:rPr>
        <w:t xml:space="preserve"> </w:t>
      </w:r>
      <w:r w:rsidRPr="00BB5AAC">
        <w:rPr>
          <w:rFonts w:ascii="Palatino Linotype" w:eastAsia="Palatino Linotype" w:hAnsi="Palatino Linotype" w:cs="Palatino Linotype"/>
          <w:sz w:val="22"/>
          <w:szCs w:val="22"/>
        </w:rPr>
        <w:t>la siguiente información:</w:t>
      </w:r>
    </w:p>
    <w:p w14:paraId="584D65B0" w14:textId="3298066B" w:rsidR="00D261C4" w:rsidRPr="00BB5AAC" w:rsidRDefault="00467949" w:rsidP="00A146E1">
      <w:pPr>
        <w:pStyle w:val="Prrafodelista"/>
        <w:numPr>
          <w:ilvl w:val="0"/>
          <w:numId w:val="28"/>
        </w:num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BB5AAC">
        <w:rPr>
          <w:rFonts w:ascii="Palatino Linotype" w:eastAsia="Palatino Linotype" w:hAnsi="Palatino Linotype" w:cs="Palatino Linotype"/>
          <w:b/>
          <w:sz w:val="22"/>
          <w:szCs w:val="22"/>
        </w:rPr>
        <w:t>Documento donde consten los m</w:t>
      </w:r>
      <w:r w:rsidR="00474E88" w:rsidRPr="00BB5AAC">
        <w:rPr>
          <w:rFonts w:ascii="Palatino Linotype" w:eastAsia="Palatino Linotype" w:hAnsi="Palatino Linotype" w:cs="Palatino Linotype"/>
          <w:b/>
          <w:sz w:val="22"/>
          <w:szCs w:val="22"/>
        </w:rPr>
        <w:t>ovimientos de alta, baja y cambios de adscripción d</w:t>
      </w:r>
      <w:r w:rsidR="007668BD" w:rsidRPr="00BB5AAC">
        <w:rPr>
          <w:rFonts w:ascii="Palatino Linotype" w:eastAsia="Palatino Linotype" w:hAnsi="Palatino Linotype" w:cs="Palatino Linotype"/>
          <w:b/>
          <w:sz w:val="22"/>
          <w:szCs w:val="22"/>
        </w:rPr>
        <w:t xml:space="preserve">e los Servidores Públicos </w:t>
      </w:r>
      <w:r w:rsidR="00D261C4" w:rsidRPr="00BB5AAC">
        <w:rPr>
          <w:rFonts w:ascii="Palatino Linotype" w:eastAsia="Palatino Linotype" w:hAnsi="Palatino Linotype" w:cs="Palatino Linotype"/>
          <w:b/>
          <w:sz w:val="22"/>
          <w:szCs w:val="22"/>
        </w:rPr>
        <w:t xml:space="preserve">adscritos a las Direcciones </w:t>
      </w:r>
      <w:r w:rsidR="00A146E1" w:rsidRPr="00BB5AAC">
        <w:rPr>
          <w:rFonts w:ascii="Palatino Linotype" w:eastAsia="Palatino Linotype" w:hAnsi="Palatino Linotype" w:cs="Palatino Linotype"/>
          <w:b/>
          <w:sz w:val="22"/>
          <w:szCs w:val="22"/>
        </w:rPr>
        <w:t xml:space="preserve">que integran la estructura orgánica </w:t>
      </w:r>
      <w:r w:rsidR="00D261C4" w:rsidRPr="00BB5AAC">
        <w:rPr>
          <w:rFonts w:ascii="Palatino Linotype" w:eastAsia="Palatino Linotype" w:hAnsi="Palatino Linotype" w:cs="Palatino Linotype"/>
          <w:b/>
          <w:sz w:val="22"/>
          <w:szCs w:val="22"/>
        </w:rPr>
        <w:t>y</w:t>
      </w:r>
      <w:r w:rsidR="00A146E1" w:rsidRPr="00BB5AAC">
        <w:rPr>
          <w:rFonts w:ascii="Palatino Linotype" w:eastAsia="Palatino Linotype" w:hAnsi="Palatino Linotype" w:cs="Palatino Linotype"/>
          <w:b/>
          <w:sz w:val="22"/>
          <w:szCs w:val="22"/>
        </w:rPr>
        <w:t xml:space="preserve"> la </w:t>
      </w:r>
      <w:r w:rsidR="00D261C4" w:rsidRPr="00BB5AAC">
        <w:rPr>
          <w:rFonts w:ascii="Palatino Linotype" w:eastAsia="Palatino Linotype" w:hAnsi="Palatino Linotype" w:cs="Palatino Linotype"/>
          <w:b/>
          <w:sz w:val="22"/>
          <w:szCs w:val="22"/>
        </w:rPr>
        <w:t>Sindicatura</w:t>
      </w:r>
      <w:r w:rsidR="00A146E1" w:rsidRPr="00BB5AAC">
        <w:rPr>
          <w:rFonts w:ascii="Palatino Linotype" w:eastAsia="Palatino Linotype" w:hAnsi="Palatino Linotype" w:cs="Palatino Linotype"/>
          <w:b/>
          <w:sz w:val="22"/>
          <w:szCs w:val="22"/>
        </w:rPr>
        <w:t>,</w:t>
      </w:r>
      <w:r w:rsidR="00D261C4" w:rsidRPr="00BB5AAC">
        <w:rPr>
          <w:rFonts w:ascii="Palatino Linotype" w:eastAsia="Palatino Linotype" w:hAnsi="Palatino Linotype" w:cs="Palatino Linotype"/>
          <w:b/>
          <w:sz w:val="22"/>
          <w:szCs w:val="22"/>
        </w:rPr>
        <w:t xml:space="preserve"> en el periodo comprendido del </w:t>
      </w:r>
      <w:r w:rsidR="00A146E1" w:rsidRPr="00BB5AAC">
        <w:rPr>
          <w:rFonts w:ascii="Palatino Linotype" w:eastAsia="Palatino Linotype" w:hAnsi="Palatino Linotype" w:cs="Palatino Linotype"/>
          <w:b/>
          <w:sz w:val="22"/>
          <w:szCs w:val="22"/>
        </w:rPr>
        <w:t>uno de julio de dos mil veintitrés al treinta y uno de</w:t>
      </w:r>
      <w:r w:rsidR="00474E88" w:rsidRPr="00BB5AAC">
        <w:rPr>
          <w:rFonts w:ascii="Palatino Linotype" w:eastAsia="Palatino Linotype" w:hAnsi="Palatino Linotype" w:cs="Palatino Linotype"/>
          <w:b/>
          <w:sz w:val="22"/>
          <w:szCs w:val="22"/>
        </w:rPr>
        <w:t xml:space="preserve"> agosto de dos mil veinticuatro.</w:t>
      </w:r>
    </w:p>
    <w:p w14:paraId="476E2F44" w14:textId="77777777" w:rsidR="00474E88" w:rsidRPr="00BB5AAC" w:rsidRDefault="00474E88" w:rsidP="00474E88">
      <w:pPr>
        <w:pStyle w:val="Prrafodelista"/>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p>
    <w:p w14:paraId="695350F0" w14:textId="77777777" w:rsidR="00D5108C" w:rsidRPr="00BB5AAC" w:rsidRDefault="00F36565" w:rsidP="001244B6">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BB5AAC">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22C59FB" w14:textId="77777777" w:rsidR="00D5108C" w:rsidRPr="00BB5AAC" w:rsidRDefault="00D5108C" w:rsidP="001244B6">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p>
    <w:p w14:paraId="11BD633D" w14:textId="6FEC93C0" w:rsidR="00541989" w:rsidRPr="00BB5AAC" w:rsidRDefault="00541989" w:rsidP="001244B6">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BB5AAC">
        <w:rPr>
          <w:rFonts w:ascii="Palatino Linotype" w:hAnsi="Palatino Linotype"/>
          <w:i/>
          <w:iCs/>
          <w:sz w:val="22"/>
          <w:szCs w:val="22"/>
        </w:rPr>
        <w:t>De no contar con</w:t>
      </w:r>
      <w:r w:rsidR="00474E88" w:rsidRPr="00BB5AAC">
        <w:rPr>
          <w:rFonts w:ascii="Palatino Linotype" w:hAnsi="Palatino Linotype"/>
          <w:i/>
          <w:iCs/>
          <w:sz w:val="22"/>
          <w:szCs w:val="22"/>
        </w:rPr>
        <w:t xml:space="preserve"> la información que se ordena, </w:t>
      </w:r>
      <w:r w:rsidRPr="00BB5AAC">
        <w:rPr>
          <w:rFonts w:ascii="Palatino Linotype" w:hAnsi="Palatino Linotype"/>
          <w:i/>
          <w:iCs/>
          <w:sz w:val="22"/>
          <w:szCs w:val="22"/>
        </w:rPr>
        <w:t>deberá proporcionar el Acuerdo del Comité de Transparencia donde conforme la inexistencia de la información conforme a lo establecido en el artículo 19, párrafo tercero, 169 y 170 de la Ley de Transparencia y Acceso a la Información Pública del Estado de México y Municipios</w:t>
      </w:r>
    </w:p>
    <w:p w14:paraId="2ABA00F7" w14:textId="77777777" w:rsidR="00C877F6" w:rsidRPr="00BB5AAC" w:rsidRDefault="00F36565">
      <w:pPr>
        <w:spacing w:before="240"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 xml:space="preserve">Tercero.  Notifíquese vía SAIMEX, </w:t>
      </w:r>
      <w:r w:rsidRPr="00BB5AAC">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BB5AAC" w:rsidRDefault="00F36565">
      <w:pPr>
        <w:spacing w:before="240" w:after="240" w:line="360" w:lineRule="auto"/>
        <w:jc w:val="both"/>
        <w:rPr>
          <w:rFonts w:ascii="Palatino Linotype" w:eastAsia="Palatino Linotype" w:hAnsi="Palatino Linotype" w:cs="Palatino Linotype"/>
          <w:sz w:val="22"/>
          <w:szCs w:val="22"/>
        </w:rPr>
      </w:pPr>
      <w:r w:rsidRPr="00BB5AAC">
        <w:rPr>
          <w:rFonts w:ascii="Palatino Linotype" w:eastAsia="Palatino Linotype" w:hAnsi="Palatino Linotype" w:cs="Palatino Linotype"/>
          <w:b/>
          <w:sz w:val="22"/>
          <w:szCs w:val="22"/>
        </w:rPr>
        <w:t xml:space="preserve">Cuarto. </w:t>
      </w:r>
      <w:r w:rsidRPr="00BB5AAC">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BB5AAC">
        <w:rPr>
          <w:rFonts w:ascii="Palatino Linotype" w:eastAsia="Palatino Linotype" w:hAnsi="Palatino Linotype" w:cs="Palatino Linotype"/>
          <w:b/>
          <w:sz w:val="22"/>
          <w:szCs w:val="22"/>
        </w:rPr>
        <w:t>Sujeto Obligado</w:t>
      </w:r>
      <w:r w:rsidRPr="00BB5AAC">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BB5AAC" w:rsidRDefault="00F36565">
      <w:pPr>
        <w:spacing w:line="360" w:lineRule="auto"/>
        <w:jc w:val="both"/>
        <w:rPr>
          <w:rFonts w:ascii="Palatino Linotype" w:eastAsia="Palatino Linotype" w:hAnsi="Palatino Linotype" w:cs="Palatino Linotype"/>
          <w:sz w:val="22"/>
          <w:szCs w:val="22"/>
        </w:rPr>
      </w:pPr>
      <w:bookmarkStart w:id="5" w:name="_heading=h.tyjcwt" w:colFirst="0" w:colLast="0"/>
      <w:bookmarkEnd w:id="5"/>
      <w:r w:rsidRPr="00BB5AAC">
        <w:rPr>
          <w:rFonts w:ascii="Palatino Linotype" w:eastAsia="Palatino Linotype" w:hAnsi="Palatino Linotype" w:cs="Palatino Linotype"/>
          <w:b/>
          <w:sz w:val="22"/>
          <w:szCs w:val="22"/>
        </w:rPr>
        <w:t xml:space="preserve">Quinto. Notifíquese vía SAIMEX, </w:t>
      </w:r>
      <w:r w:rsidRPr="00BB5AAC">
        <w:rPr>
          <w:rFonts w:ascii="Palatino Linotype" w:eastAsia="Palatino Linotype" w:hAnsi="Palatino Linotype" w:cs="Palatino Linotype"/>
          <w:sz w:val="22"/>
          <w:szCs w:val="22"/>
        </w:rPr>
        <w:t>a</w:t>
      </w:r>
      <w:r w:rsidRPr="00BB5AAC">
        <w:rPr>
          <w:rFonts w:ascii="Palatino Linotype" w:eastAsia="Palatino Linotype" w:hAnsi="Palatino Linotype" w:cs="Palatino Linotype"/>
          <w:b/>
          <w:sz w:val="22"/>
          <w:szCs w:val="22"/>
        </w:rPr>
        <w:t xml:space="preserve"> la parte Recurrente</w:t>
      </w:r>
      <w:r w:rsidRPr="00BB5AAC">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052EB796" w:rsidR="00C877F6" w:rsidRPr="00BB5AAC" w:rsidRDefault="00C877F6">
      <w:pPr>
        <w:spacing w:line="360" w:lineRule="auto"/>
        <w:jc w:val="both"/>
        <w:rPr>
          <w:rFonts w:ascii="Palatino Linotype" w:eastAsia="Palatino Linotype" w:hAnsi="Palatino Linotype" w:cs="Palatino Linotype"/>
          <w:b/>
          <w:sz w:val="22"/>
          <w:szCs w:val="22"/>
        </w:rPr>
      </w:pPr>
    </w:p>
    <w:p w14:paraId="6C459E53" w14:textId="77777777" w:rsidR="003741F3" w:rsidRPr="00BB5AAC" w:rsidRDefault="003741F3">
      <w:pPr>
        <w:spacing w:line="360" w:lineRule="auto"/>
        <w:jc w:val="both"/>
        <w:rPr>
          <w:rFonts w:ascii="Palatino Linotype" w:eastAsia="Palatino Linotype" w:hAnsi="Palatino Linotype" w:cs="Palatino Linotype"/>
          <w:b/>
          <w:sz w:val="22"/>
          <w:szCs w:val="22"/>
        </w:rPr>
      </w:pPr>
    </w:p>
    <w:p w14:paraId="124DF890" w14:textId="50928999" w:rsidR="00C877F6" w:rsidRPr="003741F3" w:rsidRDefault="00F36565">
      <w:pPr>
        <w:spacing w:line="360" w:lineRule="auto"/>
        <w:ind w:right="-93"/>
        <w:jc w:val="both"/>
        <w:rPr>
          <w:rFonts w:ascii="Palatino Linotype" w:eastAsia="Palatino Linotype" w:hAnsi="Palatino Linotype" w:cs="Palatino Linotype"/>
          <w:sz w:val="22"/>
          <w:szCs w:val="22"/>
        </w:rPr>
      </w:pPr>
      <w:bookmarkStart w:id="6" w:name="_heading=h.jl0dlasot4f" w:colFirst="0" w:colLast="0"/>
      <w:bookmarkEnd w:id="6"/>
      <w:r w:rsidRPr="00BB5AAC">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sidR="001244B6" w:rsidRPr="00BB5AAC">
        <w:rPr>
          <w:rFonts w:ascii="Palatino Linotype" w:eastAsia="Palatino Linotype" w:hAnsi="Palatino Linotype" w:cs="Palatino Linotype"/>
          <w:sz w:val="22"/>
          <w:szCs w:val="22"/>
        </w:rPr>
        <w:t xml:space="preserve"> TERCERA</w:t>
      </w:r>
      <w:r w:rsidRPr="00BB5AAC">
        <w:rPr>
          <w:rFonts w:ascii="Palatino Linotype" w:eastAsia="Palatino Linotype" w:hAnsi="Palatino Linotype" w:cs="Palatino Linotype"/>
          <w:sz w:val="22"/>
          <w:szCs w:val="22"/>
        </w:rPr>
        <w:t xml:space="preserve"> S</w:t>
      </w:r>
      <w:r w:rsidR="001244B6" w:rsidRPr="00BB5AAC">
        <w:rPr>
          <w:rFonts w:ascii="Palatino Linotype" w:eastAsia="Palatino Linotype" w:hAnsi="Palatino Linotype" w:cs="Palatino Linotype"/>
          <w:sz w:val="22"/>
          <w:szCs w:val="22"/>
        </w:rPr>
        <w:t>ESIÓN ORDINARIA CELEBRADA EL TRES</w:t>
      </w:r>
      <w:r w:rsidRPr="00BB5AAC">
        <w:rPr>
          <w:rFonts w:ascii="Palatino Linotype" w:eastAsia="Palatino Linotype" w:hAnsi="Palatino Linotype" w:cs="Palatino Linotype"/>
          <w:sz w:val="22"/>
          <w:szCs w:val="22"/>
        </w:rPr>
        <w:t xml:space="preserve"> DE </w:t>
      </w:r>
      <w:r w:rsidR="001244B6" w:rsidRPr="00BB5AAC">
        <w:rPr>
          <w:rFonts w:ascii="Palatino Linotype" w:eastAsia="Palatino Linotype" w:hAnsi="Palatino Linotype" w:cs="Palatino Linotype"/>
          <w:sz w:val="22"/>
          <w:szCs w:val="22"/>
        </w:rPr>
        <w:t>DICIEMBRE</w:t>
      </w:r>
      <w:r w:rsidRPr="00BB5AAC">
        <w:rPr>
          <w:rFonts w:ascii="Palatino Linotype" w:eastAsia="Palatino Linotype" w:hAnsi="Palatino Linotype" w:cs="Palatino Linotype"/>
          <w:sz w:val="22"/>
          <w:szCs w:val="22"/>
        </w:rPr>
        <w:t xml:space="preserve"> DE DOS MIL VEINTICINCO, ANTE EL SECRETARIO TÉCNICO DEL PLENO ALEXIS TAPIA RAMÍREZ.</w:t>
      </w:r>
    </w:p>
    <w:p w14:paraId="54455659" w14:textId="77777777" w:rsidR="00C877F6" w:rsidRPr="003741F3"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3741F3"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3741F3"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3741F3"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3741F3" w:rsidRDefault="00C877F6">
      <w:pPr>
        <w:spacing w:line="360" w:lineRule="auto"/>
        <w:ind w:right="-93"/>
        <w:jc w:val="both"/>
        <w:rPr>
          <w:rFonts w:ascii="Palatino Linotype" w:eastAsia="Palatino Linotype" w:hAnsi="Palatino Linotype" w:cs="Palatino Linotype"/>
          <w:sz w:val="22"/>
          <w:szCs w:val="22"/>
        </w:rPr>
      </w:pPr>
    </w:p>
    <w:p w14:paraId="1A57851A" w14:textId="45D7D621" w:rsidR="00C877F6" w:rsidRPr="003741F3" w:rsidRDefault="00C877F6">
      <w:pPr>
        <w:spacing w:line="360" w:lineRule="auto"/>
        <w:ind w:right="49"/>
        <w:jc w:val="both"/>
        <w:rPr>
          <w:rFonts w:ascii="Palatino Linotype" w:eastAsia="Palatino Linotype" w:hAnsi="Palatino Linotype" w:cs="Palatino Linotype"/>
          <w:sz w:val="22"/>
          <w:szCs w:val="22"/>
        </w:rPr>
      </w:pPr>
    </w:p>
    <w:p w14:paraId="043E931F" w14:textId="6F9ECBA6" w:rsidR="003741F3" w:rsidRPr="003741F3" w:rsidRDefault="003741F3">
      <w:pPr>
        <w:spacing w:line="360" w:lineRule="auto"/>
        <w:ind w:right="49"/>
        <w:jc w:val="both"/>
        <w:rPr>
          <w:rFonts w:ascii="Palatino Linotype" w:eastAsia="Palatino Linotype" w:hAnsi="Palatino Linotype" w:cs="Palatino Linotype"/>
          <w:sz w:val="22"/>
          <w:szCs w:val="22"/>
        </w:rPr>
      </w:pPr>
    </w:p>
    <w:p w14:paraId="39F792C5" w14:textId="69C665F5" w:rsidR="003741F3" w:rsidRPr="003741F3" w:rsidRDefault="003741F3">
      <w:pPr>
        <w:spacing w:line="360" w:lineRule="auto"/>
        <w:ind w:right="49"/>
        <w:jc w:val="both"/>
        <w:rPr>
          <w:rFonts w:ascii="Palatino Linotype" w:eastAsia="Palatino Linotype" w:hAnsi="Palatino Linotype" w:cs="Palatino Linotype"/>
          <w:sz w:val="22"/>
          <w:szCs w:val="22"/>
        </w:rPr>
      </w:pPr>
    </w:p>
    <w:p w14:paraId="7B425266" w14:textId="3A60108F" w:rsidR="003741F3" w:rsidRPr="003741F3" w:rsidRDefault="003741F3">
      <w:pPr>
        <w:spacing w:line="360" w:lineRule="auto"/>
        <w:ind w:right="49"/>
        <w:jc w:val="both"/>
        <w:rPr>
          <w:rFonts w:ascii="Palatino Linotype" w:eastAsia="Palatino Linotype" w:hAnsi="Palatino Linotype" w:cs="Palatino Linotype"/>
          <w:sz w:val="22"/>
          <w:szCs w:val="22"/>
        </w:rPr>
      </w:pPr>
    </w:p>
    <w:p w14:paraId="12682162" w14:textId="3FD56180" w:rsidR="003741F3" w:rsidRPr="003741F3" w:rsidRDefault="003741F3">
      <w:pPr>
        <w:spacing w:line="360" w:lineRule="auto"/>
        <w:ind w:right="49"/>
        <w:jc w:val="both"/>
        <w:rPr>
          <w:rFonts w:ascii="Palatino Linotype" w:eastAsia="Palatino Linotype" w:hAnsi="Palatino Linotype" w:cs="Palatino Linotype"/>
          <w:sz w:val="22"/>
          <w:szCs w:val="22"/>
        </w:rPr>
      </w:pPr>
    </w:p>
    <w:p w14:paraId="780A4E7A" w14:textId="3E719C80" w:rsidR="003741F3" w:rsidRPr="003741F3" w:rsidRDefault="003741F3">
      <w:pPr>
        <w:spacing w:line="360" w:lineRule="auto"/>
        <w:ind w:right="49"/>
        <w:jc w:val="both"/>
        <w:rPr>
          <w:rFonts w:ascii="Palatino Linotype" w:eastAsia="Palatino Linotype" w:hAnsi="Palatino Linotype" w:cs="Palatino Linotype"/>
          <w:sz w:val="22"/>
          <w:szCs w:val="22"/>
        </w:rPr>
      </w:pPr>
    </w:p>
    <w:p w14:paraId="278DAFD8" w14:textId="019FC70A" w:rsidR="003741F3" w:rsidRPr="003741F3" w:rsidRDefault="003741F3">
      <w:pPr>
        <w:spacing w:line="360" w:lineRule="auto"/>
        <w:ind w:right="49"/>
        <w:jc w:val="both"/>
        <w:rPr>
          <w:rFonts w:ascii="Palatino Linotype" w:eastAsia="Palatino Linotype" w:hAnsi="Palatino Linotype" w:cs="Palatino Linotype"/>
          <w:sz w:val="22"/>
          <w:szCs w:val="22"/>
        </w:rPr>
      </w:pPr>
    </w:p>
    <w:p w14:paraId="69A38EBE" w14:textId="42A7ED22" w:rsidR="003741F3" w:rsidRPr="003741F3" w:rsidRDefault="003741F3">
      <w:pPr>
        <w:spacing w:line="360" w:lineRule="auto"/>
        <w:ind w:right="49"/>
        <w:jc w:val="both"/>
        <w:rPr>
          <w:rFonts w:ascii="Palatino Linotype" w:eastAsia="Palatino Linotype" w:hAnsi="Palatino Linotype" w:cs="Palatino Linotype"/>
          <w:sz w:val="22"/>
          <w:szCs w:val="22"/>
        </w:rPr>
      </w:pPr>
    </w:p>
    <w:p w14:paraId="3F411C0D" w14:textId="3FDDEB60" w:rsidR="003741F3" w:rsidRPr="003741F3" w:rsidRDefault="003741F3">
      <w:pPr>
        <w:spacing w:line="360" w:lineRule="auto"/>
        <w:ind w:right="49"/>
        <w:jc w:val="both"/>
        <w:rPr>
          <w:rFonts w:ascii="Palatino Linotype" w:eastAsia="Palatino Linotype" w:hAnsi="Palatino Linotype" w:cs="Palatino Linotype"/>
          <w:sz w:val="22"/>
          <w:szCs w:val="22"/>
        </w:rPr>
      </w:pPr>
    </w:p>
    <w:p w14:paraId="3F9B94BF" w14:textId="4EA6392E" w:rsidR="003741F3" w:rsidRPr="003741F3" w:rsidRDefault="003741F3">
      <w:pPr>
        <w:spacing w:line="360" w:lineRule="auto"/>
        <w:ind w:right="49"/>
        <w:jc w:val="both"/>
        <w:rPr>
          <w:rFonts w:ascii="Palatino Linotype" w:eastAsia="Palatino Linotype" w:hAnsi="Palatino Linotype" w:cs="Palatino Linotype"/>
          <w:sz w:val="22"/>
          <w:szCs w:val="22"/>
        </w:rPr>
      </w:pPr>
    </w:p>
    <w:p w14:paraId="59EC72B9" w14:textId="5EFA1B51" w:rsidR="003741F3" w:rsidRPr="003741F3" w:rsidRDefault="003741F3">
      <w:pPr>
        <w:spacing w:line="360" w:lineRule="auto"/>
        <w:ind w:right="49"/>
        <w:jc w:val="both"/>
        <w:rPr>
          <w:rFonts w:ascii="Palatino Linotype" w:eastAsia="Palatino Linotype" w:hAnsi="Palatino Linotype" w:cs="Palatino Linotype"/>
          <w:sz w:val="22"/>
          <w:szCs w:val="22"/>
        </w:rPr>
      </w:pPr>
    </w:p>
    <w:p w14:paraId="3BF6D2C9" w14:textId="07013321" w:rsidR="003741F3" w:rsidRPr="003741F3" w:rsidRDefault="003741F3">
      <w:pPr>
        <w:spacing w:line="360" w:lineRule="auto"/>
        <w:ind w:right="49"/>
        <w:jc w:val="both"/>
        <w:rPr>
          <w:rFonts w:ascii="Palatino Linotype" w:eastAsia="Palatino Linotype" w:hAnsi="Palatino Linotype" w:cs="Palatino Linotype"/>
          <w:sz w:val="22"/>
          <w:szCs w:val="22"/>
        </w:rPr>
      </w:pPr>
    </w:p>
    <w:p w14:paraId="54131EC0" w14:textId="7C8F9A91" w:rsidR="003741F3" w:rsidRPr="003741F3" w:rsidRDefault="003741F3">
      <w:pPr>
        <w:spacing w:line="360" w:lineRule="auto"/>
        <w:ind w:right="49"/>
        <w:jc w:val="both"/>
        <w:rPr>
          <w:rFonts w:ascii="Palatino Linotype" w:eastAsia="Palatino Linotype" w:hAnsi="Palatino Linotype" w:cs="Palatino Linotype"/>
          <w:sz w:val="22"/>
          <w:szCs w:val="22"/>
        </w:rPr>
      </w:pPr>
    </w:p>
    <w:p w14:paraId="2C299F51" w14:textId="53D1BCF8" w:rsidR="003741F3" w:rsidRPr="003741F3" w:rsidRDefault="003741F3">
      <w:pPr>
        <w:spacing w:line="360" w:lineRule="auto"/>
        <w:ind w:right="49"/>
        <w:jc w:val="both"/>
        <w:rPr>
          <w:rFonts w:ascii="Palatino Linotype" w:eastAsia="Palatino Linotype" w:hAnsi="Palatino Linotype" w:cs="Palatino Linotype"/>
          <w:sz w:val="22"/>
          <w:szCs w:val="22"/>
        </w:rPr>
      </w:pPr>
    </w:p>
    <w:p w14:paraId="304B4811" w14:textId="53188313" w:rsidR="003741F3" w:rsidRPr="003741F3" w:rsidRDefault="003741F3">
      <w:pPr>
        <w:spacing w:line="360" w:lineRule="auto"/>
        <w:ind w:right="49"/>
        <w:jc w:val="both"/>
        <w:rPr>
          <w:rFonts w:ascii="Palatino Linotype" w:eastAsia="Palatino Linotype" w:hAnsi="Palatino Linotype" w:cs="Palatino Linotype"/>
          <w:sz w:val="22"/>
          <w:szCs w:val="22"/>
        </w:rPr>
      </w:pPr>
    </w:p>
    <w:p w14:paraId="6E695401" w14:textId="59C89DFA" w:rsidR="003741F3" w:rsidRPr="003741F3" w:rsidRDefault="003741F3">
      <w:pPr>
        <w:spacing w:line="360" w:lineRule="auto"/>
        <w:ind w:right="49"/>
        <w:jc w:val="both"/>
        <w:rPr>
          <w:rFonts w:ascii="Palatino Linotype" w:eastAsia="Palatino Linotype" w:hAnsi="Palatino Linotype" w:cs="Palatino Linotype"/>
          <w:sz w:val="22"/>
          <w:szCs w:val="22"/>
        </w:rPr>
      </w:pPr>
    </w:p>
    <w:p w14:paraId="00616427" w14:textId="334BE7F6" w:rsidR="003741F3" w:rsidRPr="003741F3" w:rsidRDefault="003741F3">
      <w:pPr>
        <w:spacing w:line="360" w:lineRule="auto"/>
        <w:ind w:right="49"/>
        <w:jc w:val="both"/>
        <w:rPr>
          <w:rFonts w:ascii="Palatino Linotype" w:eastAsia="Palatino Linotype" w:hAnsi="Palatino Linotype" w:cs="Palatino Linotype"/>
          <w:sz w:val="22"/>
          <w:szCs w:val="22"/>
        </w:rPr>
      </w:pPr>
    </w:p>
    <w:p w14:paraId="020EA043" w14:textId="0626EEAE" w:rsidR="003741F3" w:rsidRPr="003741F3" w:rsidRDefault="003741F3">
      <w:pPr>
        <w:spacing w:line="360" w:lineRule="auto"/>
        <w:ind w:right="49"/>
        <w:jc w:val="both"/>
        <w:rPr>
          <w:rFonts w:ascii="Palatino Linotype" w:eastAsia="Palatino Linotype" w:hAnsi="Palatino Linotype" w:cs="Palatino Linotype"/>
          <w:sz w:val="22"/>
          <w:szCs w:val="22"/>
        </w:rPr>
      </w:pPr>
    </w:p>
    <w:p w14:paraId="1E9F2F81" w14:textId="5BEE2B5D" w:rsidR="003741F3" w:rsidRPr="003741F3" w:rsidRDefault="003741F3">
      <w:pPr>
        <w:spacing w:line="360" w:lineRule="auto"/>
        <w:ind w:right="49"/>
        <w:jc w:val="both"/>
        <w:rPr>
          <w:rFonts w:ascii="Palatino Linotype" w:eastAsia="Palatino Linotype" w:hAnsi="Palatino Linotype" w:cs="Palatino Linotype"/>
          <w:sz w:val="22"/>
          <w:szCs w:val="22"/>
        </w:rPr>
      </w:pPr>
    </w:p>
    <w:p w14:paraId="5B0272A0" w14:textId="77777777" w:rsidR="003741F3" w:rsidRPr="003741F3" w:rsidRDefault="003741F3">
      <w:pPr>
        <w:spacing w:line="360" w:lineRule="auto"/>
        <w:ind w:right="49"/>
        <w:jc w:val="both"/>
        <w:rPr>
          <w:rFonts w:ascii="Palatino Linotype" w:eastAsia="Palatino Linotype" w:hAnsi="Palatino Linotype" w:cs="Palatino Linotype"/>
          <w:sz w:val="22"/>
          <w:szCs w:val="22"/>
        </w:rPr>
      </w:pPr>
    </w:p>
    <w:sectPr w:rsidR="003741F3" w:rsidRPr="003741F3">
      <w:headerReference w:type="default" r:id="rId14"/>
      <w:footerReference w:type="default" r:id="rId15"/>
      <w:headerReference w:type="first" r:id="rId16"/>
      <w:footerReference w:type="first" r:id="rId1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B91D0" w14:textId="77777777" w:rsidR="00640B43" w:rsidRDefault="00640B43">
      <w:r>
        <w:separator/>
      </w:r>
    </w:p>
  </w:endnote>
  <w:endnote w:type="continuationSeparator" w:id="0">
    <w:p w14:paraId="0D5DFB89" w14:textId="77777777" w:rsidR="00640B43" w:rsidRDefault="00640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D8E411A3-BFAB-4B33-BF9C-1EF8B638601F}"/>
    <w:embedBold r:id="rId2" w:fontKey="{4BD67CC9-675B-4A3F-AF80-A93A2742F6C5}"/>
    <w:embedItalic r:id="rId3" w:fontKey="{C812BF1F-1B5F-4FE8-AE4C-4866AC664AEA}"/>
    <w:embedBoldItalic r:id="rId4" w:fontKey="{BA3C8CBE-21D9-4117-A65C-92409FFC8CE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2DC038B0-49F1-4562-826D-6B6522C075FB}"/>
  </w:font>
  <w:font w:name="Tahoma">
    <w:panose1 w:val="020B0604030504040204"/>
    <w:charset w:val="00"/>
    <w:family w:val="swiss"/>
    <w:pitch w:val="variable"/>
    <w:sig w:usb0="E1002EFF" w:usb1="C000605B" w:usb2="00000029" w:usb3="00000000" w:csb0="000101FF" w:csb1="00000000"/>
    <w:embedRegular r:id="rId6" w:fontKey="{B588855A-CBA1-4FBD-8A0C-D47B8526ECBB}"/>
    <w:embedBold r:id="rId7" w:fontKey="{F8737AA3-9272-4254-BBB8-E505CFFC3D9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D7629880-BCC0-407A-9E91-C5C76579C5E1}"/>
    <w:embedBold r:id="rId9" w:fontKey="{B40CEB12-A1E3-4414-9007-AB40F2351A99}"/>
    <w:embedItalic r:id="rId10" w:fontKey="{7F46868B-64E6-462A-830E-017510D8D785}"/>
  </w:font>
  <w:font w:name="Georgia">
    <w:panose1 w:val="02040502050405020303"/>
    <w:charset w:val="00"/>
    <w:family w:val="roman"/>
    <w:pitch w:val="variable"/>
    <w:sig w:usb0="00000287" w:usb1="00000000" w:usb2="00000000" w:usb3="00000000" w:csb0="0000009F" w:csb1="00000000"/>
    <w:embedRegular r:id="rId11" w:fontKey="{FB1D5EF6-0E74-480A-A021-F09CB943EFBE}"/>
    <w:embedItalic r:id="rId12" w:fontKey="{F72610BA-5E8D-4831-9AAE-B0AA146AEA19}"/>
  </w:font>
  <w:font w:name="Calibri Light">
    <w:panose1 w:val="020F0302020204030204"/>
    <w:charset w:val="00"/>
    <w:family w:val="swiss"/>
    <w:pitch w:val="variable"/>
    <w:sig w:usb0="E4002EFF" w:usb1="C200247B" w:usb2="00000009" w:usb3="00000000" w:csb0="000001FF" w:csb1="00000000"/>
    <w:embedRegular r:id="rId13" w:fontKey="{4542309A-8D2B-4B88-8E03-D2B02EE9F75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2B1ED9A5" w:rsidR="008801C6" w:rsidRDefault="008801C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C0665">
      <w:rPr>
        <w:b/>
        <w:noProof/>
        <w:color w:val="000000"/>
      </w:rPr>
      <w:t>47</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C0665">
      <w:rPr>
        <w:b/>
        <w:noProof/>
        <w:color w:val="000000"/>
      </w:rPr>
      <w:t>48</w:t>
    </w:r>
    <w:r>
      <w:rPr>
        <w:b/>
        <w:color w:val="000000"/>
      </w:rPr>
      <w:fldChar w:fldCharType="end"/>
    </w:r>
  </w:p>
  <w:p w14:paraId="7AE4EEFD" w14:textId="77777777" w:rsidR="008801C6" w:rsidRDefault="008801C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20006106" w:rsidR="008801C6" w:rsidRDefault="008801C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96C37">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96C37">
      <w:rPr>
        <w:b/>
        <w:noProof/>
        <w:color w:val="000000"/>
      </w:rPr>
      <w:t>48</w:t>
    </w:r>
    <w:r>
      <w:rPr>
        <w:b/>
        <w:color w:val="000000"/>
      </w:rPr>
      <w:fldChar w:fldCharType="end"/>
    </w:r>
  </w:p>
  <w:p w14:paraId="6675DA9D" w14:textId="77777777" w:rsidR="008801C6" w:rsidRDefault="008801C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9B0C1" w14:textId="77777777" w:rsidR="00640B43" w:rsidRDefault="00640B43">
      <w:r>
        <w:separator/>
      </w:r>
    </w:p>
  </w:footnote>
  <w:footnote w:type="continuationSeparator" w:id="0">
    <w:p w14:paraId="50B386BF" w14:textId="77777777" w:rsidR="00640B43" w:rsidRDefault="00640B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8801C6" w:rsidRDefault="008801C6">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8801C6" w14:paraId="3DE1F927" w14:textId="77777777">
      <w:tc>
        <w:tcPr>
          <w:tcW w:w="2551" w:type="dxa"/>
          <w:vAlign w:val="center"/>
        </w:tcPr>
        <w:p w14:paraId="27218DF9" w14:textId="77777777" w:rsidR="008801C6" w:rsidRDefault="008801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8801C6" w:rsidRDefault="008801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0D0F51F0" w:rsidR="008801C6" w:rsidRDefault="008801C6" w:rsidP="003376D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11744/INFOEM/IP/RR/2025</w:t>
          </w:r>
        </w:p>
      </w:tc>
    </w:tr>
    <w:tr w:rsidR="008801C6" w14:paraId="6E2D1273" w14:textId="77777777">
      <w:trPr>
        <w:trHeight w:val="217"/>
      </w:trPr>
      <w:tc>
        <w:tcPr>
          <w:tcW w:w="2551" w:type="dxa"/>
          <w:vAlign w:val="center"/>
        </w:tcPr>
        <w:p w14:paraId="21203565" w14:textId="77777777" w:rsidR="008801C6" w:rsidRDefault="008801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4C5BFDA8" w:rsidR="008801C6" w:rsidRDefault="008801C6"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Calimaya</w:t>
          </w:r>
        </w:p>
      </w:tc>
    </w:tr>
    <w:tr w:rsidR="008801C6" w14:paraId="651D01A7" w14:textId="77777777">
      <w:tc>
        <w:tcPr>
          <w:tcW w:w="2551" w:type="dxa"/>
          <w:vAlign w:val="center"/>
        </w:tcPr>
        <w:p w14:paraId="5229B5A5" w14:textId="77777777" w:rsidR="008801C6" w:rsidRDefault="008801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8801C6" w:rsidRDefault="008801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8801C6" w:rsidRDefault="008801C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8801C6" w:rsidRDefault="008801C6">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8801C6" w14:paraId="1419E4B9" w14:textId="77777777">
      <w:tc>
        <w:tcPr>
          <w:tcW w:w="2343" w:type="dxa"/>
          <w:vAlign w:val="center"/>
        </w:tcPr>
        <w:p w14:paraId="0A4DAE44" w14:textId="77777777" w:rsidR="008801C6" w:rsidRDefault="008801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8801C6" w:rsidRDefault="008801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6D2FB02B" w:rsidR="008801C6" w:rsidRDefault="008801C6" w:rsidP="006C526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11744/INFOEM/IP/RR/2025</w:t>
          </w:r>
        </w:p>
      </w:tc>
    </w:tr>
    <w:tr w:rsidR="008801C6" w14:paraId="5406FED2" w14:textId="77777777">
      <w:tc>
        <w:tcPr>
          <w:tcW w:w="2343" w:type="dxa"/>
          <w:vAlign w:val="center"/>
        </w:tcPr>
        <w:p w14:paraId="40683B83" w14:textId="77777777" w:rsidR="008801C6" w:rsidRDefault="008801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36FA39E9" w:rsidR="008801C6" w:rsidRDefault="00D96C37" w:rsidP="00D96C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 XXXXXXX XXXXXX </w:t>
          </w:r>
        </w:p>
      </w:tc>
    </w:tr>
    <w:tr w:rsidR="008801C6" w14:paraId="0CE2BEAE" w14:textId="77777777">
      <w:trPr>
        <w:trHeight w:val="152"/>
      </w:trPr>
      <w:tc>
        <w:tcPr>
          <w:tcW w:w="2343" w:type="dxa"/>
          <w:vAlign w:val="center"/>
        </w:tcPr>
        <w:p w14:paraId="2B6A9907" w14:textId="77777777" w:rsidR="008801C6" w:rsidRDefault="008801C6">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8801C6" w:rsidRDefault="008801C6">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1CCFB301" w:rsidR="008801C6" w:rsidRDefault="008801C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Calimaya</w:t>
          </w:r>
        </w:p>
      </w:tc>
    </w:tr>
    <w:tr w:rsidR="008801C6" w14:paraId="1EF4B579" w14:textId="77777777">
      <w:tc>
        <w:tcPr>
          <w:tcW w:w="2343" w:type="dxa"/>
          <w:vAlign w:val="center"/>
        </w:tcPr>
        <w:p w14:paraId="71B9E111" w14:textId="77777777" w:rsidR="008801C6" w:rsidRDefault="008801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8801C6" w:rsidRDefault="008801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8801C6" w:rsidRDefault="008801C6">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24464E"/>
    <w:multiLevelType w:val="hybridMultilevel"/>
    <w:tmpl w:val="C74070C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057E5"/>
    <w:multiLevelType w:val="hybridMultilevel"/>
    <w:tmpl w:val="10782102"/>
    <w:lvl w:ilvl="0" w:tplc="E74A867E">
      <w:start w:val="7"/>
      <w:numFmt w:val="bullet"/>
      <w:lvlText w:val="-"/>
      <w:lvlJc w:val="left"/>
      <w:pPr>
        <w:ind w:left="1287" w:hanging="360"/>
      </w:pPr>
      <w:rPr>
        <w:rFonts w:ascii="Palatino Linotype" w:eastAsia="Palatino Linotype" w:hAnsi="Palatino Linotype" w:cs="Palatino Linotype"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0"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7"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4"/>
  </w:num>
  <w:num w:numId="3">
    <w:abstractNumId w:val="17"/>
  </w:num>
  <w:num w:numId="4">
    <w:abstractNumId w:val="26"/>
  </w:num>
  <w:num w:numId="5">
    <w:abstractNumId w:val="10"/>
  </w:num>
  <w:num w:numId="6">
    <w:abstractNumId w:val="22"/>
  </w:num>
  <w:num w:numId="7">
    <w:abstractNumId w:val="27"/>
  </w:num>
  <w:num w:numId="8">
    <w:abstractNumId w:val="5"/>
  </w:num>
  <w:num w:numId="9">
    <w:abstractNumId w:val="0"/>
  </w:num>
  <w:num w:numId="10">
    <w:abstractNumId w:val="3"/>
  </w:num>
  <w:num w:numId="11">
    <w:abstractNumId w:val="21"/>
  </w:num>
  <w:num w:numId="12">
    <w:abstractNumId w:val="15"/>
  </w:num>
  <w:num w:numId="13">
    <w:abstractNumId w:val="20"/>
  </w:num>
  <w:num w:numId="14">
    <w:abstractNumId w:val="19"/>
  </w:num>
  <w:num w:numId="15">
    <w:abstractNumId w:val="14"/>
  </w:num>
  <w:num w:numId="16">
    <w:abstractNumId w:val="12"/>
  </w:num>
  <w:num w:numId="17">
    <w:abstractNumId w:val="25"/>
  </w:num>
  <w:num w:numId="18">
    <w:abstractNumId w:val="24"/>
  </w:num>
  <w:num w:numId="19">
    <w:abstractNumId w:val="13"/>
  </w:num>
  <w:num w:numId="20">
    <w:abstractNumId w:val="23"/>
  </w:num>
  <w:num w:numId="21">
    <w:abstractNumId w:val="1"/>
  </w:num>
  <w:num w:numId="22">
    <w:abstractNumId w:val="9"/>
  </w:num>
  <w:num w:numId="23">
    <w:abstractNumId w:val="11"/>
  </w:num>
  <w:num w:numId="24">
    <w:abstractNumId w:val="2"/>
  </w:num>
  <w:num w:numId="25">
    <w:abstractNumId w:val="8"/>
  </w:num>
  <w:num w:numId="26">
    <w:abstractNumId w:val="16"/>
  </w:num>
  <w:num w:numId="27">
    <w:abstractNumId w:val="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11BB7"/>
    <w:rsid w:val="000140E9"/>
    <w:rsid w:val="000757AA"/>
    <w:rsid w:val="00085E1F"/>
    <w:rsid w:val="000B258A"/>
    <w:rsid w:val="000C2D35"/>
    <w:rsid w:val="000D351D"/>
    <w:rsid w:val="00102B00"/>
    <w:rsid w:val="0010766B"/>
    <w:rsid w:val="0012241A"/>
    <w:rsid w:val="001244B6"/>
    <w:rsid w:val="00137C81"/>
    <w:rsid w:val="00167CFB"/>
    <w:rsid w:val="001A1094"/>
    <w:rsid w:val="00215433"/>
    <w:rsid w:val="00220962"/>
    <w:rsid w:val="00251552"/>
    <w:rsid w:val="00261424"/>
    <w:rsid w:val="00294BBE"/>
    <w:rsid w:val="002A38A5"/>
    <w:rsid w:val="002A642E"/>
    <w:rsid w:val="002B7901"/>
    <w:rsid w:val="002C5F64"/>
    <w:rsid w:val="002C63CA"/>
    <w:rsid w:val="002E51A0"/>
    <w:rsid w:val="002F289C"/>
    <w:rsid w:val="003376D2"/>
    <w:rsid w:val="003412FF"/>
    <w:rsid w:val="00357E62"/>
    <w:rsid w:val="003741F3"/>
    <w:rsid w:val="00381615"/>
    <w:rsid w:val="00382B63"/>
    <w:rsid w:val="003B746B"/>
    <w:rsid w:val="003D17CE"/>
    <w:rsid w:val="003E7E9B"/>
    <w:rsid w:val="003F6A2A"/>
    <w:rsid w:val="00413D80"/>
    <w:rsid w:val="00421C3A"/>
    <w:rsid w:val="00467949"/>
    <w:rsid w:val="00474E88"/>
    <w:rsid w:val="00507CDE"/>
    <w:rsid w:val="005116B7"/>
    <w:rsid w:val="00541989"/>
    <w:rsid w:val="00566C95"/>
    <w:rsid w:val="00571BF7"/>
    <w:rsid w:val="005918F5"/>
    <w:rsid w:val="005A4875"/>
    <w:rsid w:val="005A668A"/>
    <w:rsid w:val="005B15F7"/>
    <w:rsid w:val="005B79A1"/>
    <w:rsid w:val="005C3FA2"/>
    <w:rsid w:val="00605693"/>
    <w:rsid w:val="00607DE9"/>
    <w:rsid w:val="00614827"/>
    <w:rsid w:val="00640B43"/>
    <w:rsid w:val="006B2D7C"/>
    <w:rsid w:val="006C5268"/>
    <w:rsid w:val="006D2F09"/>
    <w:rsid w:val="006D4A7D"/>
    <w:rsid w:val="00727D25"/>
    <w:rsid w:val="00730751"/>
    <w:rsid w:val="00740429"/>
    <w:rsid w:val="007425E8"/>
    <w:rsid w:val="007668BD"/>
    <w:rsid w:val="007671AC"/>
    <w:rsid w:val="007A250C"/>
    <w:rsid w:val="007C365E"/>
    <w:rsid w:val="00803F76"/>
    <w:rsid w:val="00816709"/>
    <w:rsid w:val="00821BC4"/>
    <w:rsid w:val="00822FC6"/>
    <w:rsid w:val="0083209D"/>
    <w:rsid w:val="00843597"/>
    <w:rsid w:val="0085476E"/>
    <w:rsid w:val="008801C6"/>
    <w:rsid w:val="00892F7E"/>
    <w:rsid w:val="0089595B"/>
    <w:rsid w:val="008A3B54"/>
    <w:rsid w:val="008D5D61"/>
    <w:rsid w:val="008E4A90"/>
    <w:rsid w:val="008E5996"/>
    <w:rsid w:val="00934317"/>
    <w:rsid w:val="009456FA"/>
    <w:rsid w:val="00992177"/>
    <w:rsid w:val="009C5423"/>
    <w:rsid w:val="009D0B8C"/>
    <w:rsid w:val="00A146E1"/>
    <w:rsid w:val="00A21950"/>
    <w:rsid w:val="00A57C77"/>
    <w:rsid w:val="00A91027"/>
    <w:rsid w:val="00AA08AE"/>
    <w:rsid w:val="00AA5D5B"/>
    <w:rsid w:val="00AE181D"/>
    <w:rsid w:val="00AE4C99"/>
    <w:rsid w:val="00AF388B"/>
    <w:rsid w:val="00B01F31"/>
    <w:rsid w:val="00B11D16"/>
    <w:rsid w:val="00B24D1E"/>
    <w:rsid w:val="00B46206"/>
    <w:rsid w:val="00B67B0F"/>
    <w:rsid w:val="00B8230E"/>
    <w:rsid w:val="00B86569"/>
    <w:rsid w:val="00BB5AAC"/>
    <w:rsid w:val="00BF7077"/>
    <w:rsid w:val="00C877F6"/>
    <w:rsid w:val="00C975DF"/>
    <w:rsid w:val="00CD4BE9"/>
    <w:rsid w:val="00D077B7"/>
    <w:rsid w:val="00D261B6"/>
    <w:rsid w:val="00D261C4"/>
    <w:rsid w:val="00D3382D"/>
    <w:rsid w:val="00D36B02"/>
    <w:rsid w:val="00D47A86"/>
    <w:rsid w:val="00D5108C"/>
    <w:rsid w:val="00D548D9"/>
    <w:rsid w:val="00D63364"/>
    <w:rsid w:val="00D96C37"/>
    <w:rsid w:val="00DA6825"/>
    <w:rsid w:val="00DC2CE2"/>
    <w:rsid w:val="00DC5898"/>
    <w:rsid w:val="00E173B7"/>
    <w:rsid w:val="00E21C9B"/>
    <w:rsid w:val="00E34B63"/>
    <w:rsid w:val="00E41166"/>
    <w:rsid w:val="00E542DD"/>
    <w:rsid w:val="00E90A7F"/>
    <w:rsid w:val="00E97AD5"/>
    <w:rsid w:val="00ED1F46"/>
    <w:rsid w:val="00EE30D8"/>
    <w:rsid w:val="00EE5DD9"/>
    <w:rsid w:val="00EE7084"/>
    <w:rsid w:val="00EF2E67"/>
    <w:rsid w:val="00F11903"/>
    <w:rsid w:val="00F36565"/>
    <w:rsid w:val="00F60B31"/>
    <w:rsid w:val="00F90408"/>
    <w:rsid w:val="00FA6C9F"/>
    <w:rsid w:val="00FB389B"/>
    <w:rsid w:val="00FC0665"/>
    <w:rsid w:val="00FD0CB0"/>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customStyle="1" w:styleId="apple-converted-space">
    <w:name w:val="apple-converted-space"/>
    <w:basedOn w:val="Fuentedeprrafopredeter"/>
    <w:rsid w:val="00EF2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67656937">
      <w:bodyDiv w:val="1"/>
      <w:marLeft w:val="0"/>
      <w:marRight w:val="0"/>
      <w:marTop w:val="0"/>
      <w:marBottom w:val="0"/>
      <w:divBdr>
        <w:top w:val="none" w:sz="0" w:space="0" w:color="auto"/>
        <w:left w:val="none" w:sz="0" w:space="0" w:color="auto"/>
        <w:bottom w:val="none" w:sz="0" w:space="0" w:color="auto"/>
        <w:right w:val="none" w:sz="0" w:space="0" w:color="auto"/>
      </w:divBdr>
    </w:div>
    <w:div w:id="116488976">
      <w:bodyDiv w:val="1"/>
      <w:marLeft w:val="0"/>
      <w:marRight w:val="0"/>
      <w:marTop w:val="0"/>
      <w:marBottom w:val="0"/>
      <w:divBdr>
        <w:top w:val="none" w:sz="0" w:space="0" w:color="auto"/>
        <w:left w:val="none" w:sz="0" w:space="0" w:color="auto"/>
        <w:bottom w:val="none" w:sz="0" w:space="0" w:color="auto"/>
        <w:right w:val="none" w:sz="0" w:space="0" w:color="auto"/>
      </w:divBdr>
    </w:div>
    <w:div w:id="149492971">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88972660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12383</Words>
  <Characters>68108</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2025-12-05T19:10:00Z</cp:lastPrinted>
  <dcterms:created xsi:type="dcterms:W3CDTF">2026-01-19T19:50:00Z</dcterms:created>
  <dcterms:modified xsi:type="dcterms:W3CDTF">2026-01-19T19:50:00Z</dcterms:modified>
</cp:coreProperties>
</file>