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744167972"/>
        <w:docPartObj>
          <w:docPartGallery w:val="Table of Contents"/>
          <w:docPartUnique/>
        </w:docPartObj>
      </w:sdtPr>
      <w:sdtEndPr>
        <w:rPr>
          <w:b/>
          <w:bCs/>
        </w:rPr>
      </w:sdtEndPr>
      <w:sdtContent>
        <w:p w14:paraId="4422A736" w14:textId="77777777" w:rsidR="00FA166A" w:rsidRPr="00850134" w:rsidRDefault="00FA166A" w:rsidP="00F51455">
          <w:pPr>
            <w:pStyle w:val="TtulodeTDC"/>
            <w:spacing w:line="360" w:lineRule="auto"/>
            <w:rPr>
              <w:rFonts w:ascii="Palatino Linotype" w:hAnsi="Palatino Linotype"/>
              <w:sz w:val="22"/>
              <w:szCs w:val="22"/>
            </w:rPr>
          </w:pPr>
          <w:r w:rsidRPr="00850134">
            <w:rPr>
              <w:rFonts w:ascii="Palatino Linotype" w:hAnsi="Palatino Linotype"/>
              <w:sz w:val="22"/>
              <w:szCs w:val="22"/>
              <w:lang w:val="es-ES"/>
            </w:rPr>
            <w:t>Contenido</w:t>
          </w:r>
        </w:p>
        <w:p w14:paraId="62549E7F" w14:textId="67C067E2" w:rsidR="00500168" w:rsidRPr="00850134" w:rsidRDefault="00FA166A">
          <w:pPr>
            <w:pStyle w:val="TDC1"/>
            <w:tabs>
              <w:tab w:val="right" w:leader="dot" w:pos="9034"/>
            </w:tabs>
            <w:rPr>
              <w:rFonts w:asciiTheme="minorHAnsi" w:eastAsiaTheme="minorEastAsia" w:hAnsiTheme="minorHAnsi" w:cstheme="minorBidi"/>
              <w:noProof/>
              <w:szCs w:val="22"/>
              <w:lang w:eastAsia="es-MX"/>
            </w:rPr>
          </w:pPr>
          <w:r w:rsidRPr="00850134">
            <w:rPr>
              <w:b/>
              <w:bCs/>
              <w:szCs w:val="22"/>
              <w:lang w:val="es-ES"/>
            </w:rPr>
            <w:fldChar w:fldCharType="begin"/>
          </w:r>
          <w:r w:rsidRPr="00850134">
            <w:rPr>
              <w:b/>
              <w:bCs/>
              <w:szCs w:val="22"/>
              <w:lang w:val="es-ES"/>
            </w:rPr>
            <w:instrText xml:space="preserve"> TOC \o "1-3" \h \z \u </w:instrText>
          </w:r>
          <w:r w:rsidRPr="00850134">
            <w:rPr>
              <w:b/>
              <w:bCs/>
              <w:szCs w:val="22"/>
              <w:lang w:val="es-ES"/>
            </w:rPr>
            <w:fldChar w:fldCharType="separate"/>
          </w:r>
          <w:hyperlink w:anchor="_Toc209630199" w:history="1">
            <w:r w:rsidR="00500168" w:rsidRPr="00850134">
              <w:rPr>
                <w:rStyle w:val="Hipervnculo"/>
                <w:rFonts w:eastAsiaTheme="majorEastAsia"/>
                <w:noProof/>
              </w:rPr>
              <w:t>ANTECEDENTES</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_Toc209630199 \h </w:instrText>
            </w:r>
            <w:r w:rsidR="00500168" w:rsidRPr="00850134">
              <w:rPr>
                <w:noProof/>
                <w:webHidden/>
              </w:rPr>
            </w:r>
            <w:r w:rsidR="00500168" w:rsidRPr="00850134">
              <w:rPr>
                <w:noProof/>
                <w:webHidden/>
              </w:rPr>
              <w:fldChar w:fldCharType="separate"/>
            </w:r>
            <w:r w:rsidR="00372473">
              <w:rPr>
                <w:noProof/>
                <w:webHidden/>
              </w:rPr>
              <w:t>1</w:t>
            </w:r>
            <w:r w:rsidR="00500168" w:rsidRPr="00850134">
              <w:rPr>
                <w:noProof/>
                <w:webHidden/>
              </w:rPr>
              <w:fldChar w:fldCharType="end"/>
            </w:r>
          </w:hyperlink>
        </w:p>
        <w:p w14:paraId="635149C6" w14:textId="50A8A450" w:rsidR="00500168" w:rsidRPr="00850134" w:rsidRDefault="003E7A29">
          <w:pPr>
            <w:pStyle w:val="TDC2"/>
            <w:rPr>
              <w:rFonts w:asciiTheme="minorHAnsi" w:eastAsiaTheme="minorEastAsia" w:hAnsiTheme="minorHAnsi" w:cstheme="minorBidi"/>
              <w:noProof/>
              <w:szCs w:val="22"/>
              <w:lang w:eastAsia="es-MX"/>
            </w:rPr>
          </w:pPr>
          <w:hyperlink w:anchor="_Toc209630200" w:history="1">
            <w:r w:rsidR="00500168" w:rsidRPr="00850134">
              <w:rPr>
                <w:rStyle w:val="Hipervnculo"/>
                <w:rFonts w:eastAsiaTheme="majorEastAsia"/>
                <w:noProof/>
              </w:rPr>
              <w:t>DE LAS SOLICITUDES DE INFORMACIÓN</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_Toc209630200 \h </w:instrText>
            </w:r>
            <w:r w:rsidR="00500168" w:rsidRPr="00850134">
              <w:rPr>
                <w:noProof/>
                <w:webHidden/>
              </w:rPr>
            </w:r>
            <w:r w:rsidR="00500168" w:rsidRPr="00850134">
              <w:rPr>
                <w:noProof/>
                <w:webHidden/>
              </w:rPr>
              <w:fldChar w:fldCharType="separate"/>
            </w:r>
            <w:r w:rsidR="00372473">
              <w:rPr>
                <w:noProof/>
                <w:webHidden/>
              </w:rPr>
              <w:t>1</w:t>
            </w:r>
            <w:r w:rsidR="00500168" w:rsidRPr="00850134">
              <w:rPr>
                <w:noProof/>
                <w:webHidden/>
              </w:rPr>
              <w:fldChar w:fldCharType="end"/>
            </w:r>
          </w:hyperlink>
        </w:p>
        <w:p w14:paraId="40881063" w14:textId="57F9ECBA" w:rsidR="00500168" w:rsidRPr="00850134" w:rsidRDefault="003E7A29">
          <w:pPr>
            <w:pStyle w:val="TDC3"/>
            <w:rPr>
              <w:rFonts w:asciiTheme="minorHAnsi" w:eastAsiaTheme="minorEastAsia" w:hAnsiTheme="minorHAnsi" w:cstheme="minorBidi"/>
              <w:noProof/>
              <w:szCs w:val="22"/>
              <w:lang w:eastAsia="es-MX"/>
            </w:rPr>
          </w:pPr>
          <w:hyperlink w:anchor="_Toc209630201" w:history="1">
            <w:r w:rsidR="00500168" w:rsidRPr="00850134">
              <w:rPr>
                <w:rStyle w:val="Hipervnculo"/>
                <w:rFonts w:eastAsiaTheme="majorEastAsia"/>
                <w:noProof/>
              </w:rPr>
              <w:t>a) Solicitudes de información.</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_Toc209630201 \h </w:instrText>
            </w:r>
            <w:r w:rsidR="00500168" w:rsidRPr="00850134">
              <w:rPr>
                <w:noProof/>
                <w:webHidden/>
              </w:rPr>
            </w:r>
            <w:r w:rsidR="00500168" w:rsidRPr="00850134">
              <w:rPr>
                <w:noProof/>
                <w:webHidden/>
              </w:rPr>
              <w:fldChar w:fldCharType="separate"/>
            </w:r>
            <w:r w:rsidR="00372473">
              <w:rPr>
                <w:noProof/>
                <w:webHidden/>
              </w:rPr>
              <w:t>1</w:t>
            </w:r>
            <w:r w:rsidR="00500168" w:rsidRPr="00850134">
              <w:rPr>
                <w:noProof/>
                <w:webHidden/>
              </w:rPr>
              <w:fldChar w:fldCharType="end"/>
            </w:r>
          </w:hyperlink>
        </w:p>
        <w:p w14:paraId="3EE98F8A" w14:textId="1308CF1C" w:rsidR="00500168" w:rsidRPr="00850134" w:rsidRDefault="003E7A29">
          <w:pPr>
            <w:pStyle w:val="TDC3"/>
            <w:rPr>
              <w:rFonts w:asciiTheme="minorHAnsi" w:eastAsiaTheme="minorEastAsia" w:hAnsiTheme="minorHAnsi" w:cstheme="minorBidi"/>
              <w:noProof/>
              <w:szCs w:val="22"/>
              <w:lang w:eastAsia="es-MX"/>
            </w:rPr>
          </w:pPr>
          <w:hyperlink w:anchor="_Toc209630202" w:history="1">
            <w:r w:rsidR="00500168" w:rsidRPr="00850134">
              <w:rPr>
                <w:rStyle w:val="Hipervnculo"/>
                <w:rFonts w:eastAsiaTheme="majorEastAsia"/>
                <w:noProof/>
              </w:rPr>
              <w:t>b) Respuestas del Sujeto Obligado.</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_Toc209630202 \h </w:instrText>
            </w:r>
            <w:r w:rsidR="00500168" w:rsidRPr="00850134">
              <w:rPr>
                <w:noProof/>
                <w:webHidden/>
              </w:rPr>
            </w:r>
            <w:r w:rsidR="00500168" w:rsidRPr="00850134">
              <w:rPr>
                <w:noProof/>
                <w:webHidden/>
              </w:rPr>
              <w:fldChar w:fldCharType="separate"/>
            </w:r>
            <w:r w:rsidR="00372473">
              <w:rPr>
                <w:noProof/>
                <w:webHidden/>
              </w:rPr>
              <w:t>2</w:t>
            </w:r>
            <w:r w:rsidR="00500168" w:rsidRPr="00850134">
              <w:rPr>
                <w:noProof/>
                <w:webHidden/>
              </w:rPr>
              <w:fldChar w:fldCharType="end"/>
            </w:r>
          </w:hyperlink>
        </w:p>
        <w:p w14:paraId="2134785A" w14:textId="53237289" w:rsidR="00500168" w:rsidRPr="00850134" w:rsidRDefault="003E7A29">
          <w:pPr>
            <w:pStyle w:val="TDC2"/>
            <w:rPr>
              <w:rFonts w:asciiTheme="minorHAnsi" w:eastAsiaTheme="minorEastAsia" w:hAnsiTheme="minorHAnsi" w:cstheme="minorBidi"/>
              <w:noProof/>
              <w:szCs w:val="22"/>
              <w:lang w:eastAsia="es-MX"/>
            </w:rPr>
          </w:pPr>
          <w:hyperlink w:anchor="_Toc209630203" w:history="1">
            <w:r w:rsidR="00500168" w:rsidRPr="00850134">
              <w:rPr>
                <w:rStyle w:val="Hipervnculo"/>
                <w:rFonts w:eastAsiaTheme="majorEastAsia"/>
                <w:noProof/>
              </w:rPr>
              <w:t>DEL RECURSO DE REVISIÓN</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_Toc209630203 \h </w:instrText>
            </w:r>
            <w:r w:rsidR="00500168" w:rsidRPr="00850134">
              <w:rPr>
                <w:noProof/>
                <w:webHidden/>
              </w:rPr>
            </w:r>
            <w:r w:rsidR="00500168" w:rsidRPr="00850134">
              <w:rPr>
                <w:noProof/>
                <w:webHidden/>
              </w:rPr>
              <w:fldChar w:fldCharType="separate"/>
            </w:r>
            <w:r w:rsidR="00372473">
              <w:rPr>
                <w:noProof/>
                <w:webHidden/>
              </w:rPr>
              <w:t>4</w:t>
            </w:r>
            <w:r w:rsidR="00500168" w:rsidRPr="00850134">
              <w:rPr>
                <w:noProof/>
                <w:webHidden/>
              </w:rPr>
              <w:fldChar w:fldCharType="end"/>
            </w:r>
          </w:hyperlink>
        </w:p>
        <w:p w14:paraId="74F9D8A7" w14:textId="0DFBAAC9" w:rsidR="00500168" w:rsidRPr="00850134" w:rsidRDefault="003E7A29">
          <w:pPr>
            <w:pStyle w:val="TDC3"/>
            <w:rPr>
              <w:rFonts w:asciiTheme="minorHAnsi" w:eastAsiaTheme="minorEastAsia" w:hAnsiTheme="minorHAnsi" w:cstheme="minorBidi"/>
              <w:noProof/>
              <w:szCs w:val="22"/>
              <w:lang w:eastAsia="es-MX"/>
            </w:rPr>
          </w:pPr>
          <w:hyperlink w:anchor="_Toc209630204" w:history="1">
            <w:r w:rsidR="00500168" w:rsidRPr="00850134">
              <w:rPr>
                <w:rStyle w:val="Hipervnculo"/>
                <w:rFonts w:eastAsiaTheme="majorEastAsia"/>
                <w:noProof/>
              </w:rPr>
              <w:t>a) Interposición de los Recursos de Revisión.</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_Toc209630204 \h </w:instrText>
            </w:r>
            <w:r w:rsidR="00500168" w:rsidRPr="00850134">
              <w:rPr>
                <w:noProof/>
                <w:webHidden/>
              </w:rPr>
            </w:r>
            <w:r w:rsidR="00500168" w:rsidRPr="00850134">
              <w:rPr>
                <w:noProof/>
                <w:webHidden/>
              </w:rPr>
              <w:fldChar w:fldCharType="separate"/>
            </w:r>
            <w:r w:rsidR="00372473">
              <w:rPr>
                <w:noProof/>
                <w:webHidden/>
              </w:rPr>
              <w:t>4</w:t>
            </w:r>
            <w:r w:rsidR="00500168" w:rsidRPr="00850134">
              <w:rPr>
                <w:noProof/>
                <w:webHidden/>
              </w:rPr>
              <w:fldChar w:fldCharType="end"/>
            </w:r>
          </w:hyperlink>
        </w:p>
        <w:p w14:paraId="2FF97535" w14:textId="409E7262" w:rsidR="00500168" w:rsidRPr="00850134" w:rsidRDefault="003E7A29">
          <w:pPr>
            <w:pStyle w:val="TDC3"/>
            <w:rPr>
              <w:rFonts w:asciiTheme="minorHAnsi" w:eastAsiaTheme="minorEastAsia" w:hAnsiTheme="minorHAnsi" w:cstheme="minorBidi"/>
              <w:noProof/>
              <w:szCs w:val="22"/>
              <w:lang w:eastAsia="es-MX"/>
            </w:rPr>
          </w:pPr>
          <w:hyperlink w:anchor="_Toc209630205" w:history="1">
            <w:r w:rsidR="00500168" w:rsidRPr="00850134">
              <w:rPr>
                <w:rStyle w:val="Hipervnculo"/>
                <w:rFonts w:eastAsiaTheme="majorEastAsia"/>
                <w:noProof/>
              </w:rPr>
              <w:t>b) Turno de los Recursos de Revisión.</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_Toc209630205 \h </w:instrText>
            </w:r>
            <w:r w:rsidR="00500168" w:rsidRPr="00850134">
              <w:rPr>
                <w:noProof/>
                <w:webHidden/>
              </w:rPr>
            </w:r>
            <w:r w:rsidR="00500168" w:rsidRPr="00850134">
              <w:rPr>
                <w:noProof/>
                <w:webHidden/>
              </w:rPr>
              <w:fldChar w:fldCharType="separate"/>
            </w:r>
            <w:r w:rsidR="00372473">
              <w:rPr>
                <w:noProof/>
                <w:webHidden/>
              </w:rPr>
              <w:t>4</w:t>
            </w:r>
            <w:r w:rsidR="00500168" w:rsidRPr="00850134">
              <w:rPr>
                <w:noProof/>
                <w:webHidden/>
              </w:rPr>
              <w:fldChar w:fldCharType="end"/>
            </w:r>
          </w:hyperlink>
        </w:p>
        <w:p w14:paraId="10123385" w14:textId="424D8598" w:rsidR="00500168" w:rsidRPr="00850134" w:rsidRDefault="003E7A29">
          <w:pPr>
            <w:pStyle w:val="TDC3"/>
            <w:rPr>
              <w:rFonts w:asciiTheme="minorHAnsi" w:eastAsiaTheme="minorEastAsia" w:hAnsiTheme="minorHAnsi" w:cstheme="minorBidi"/>
              <w:noProof/>
              <w:szCs w:val="22"/>
              <w:lang w:eastAsia="es-MX"/>
            </w:rPr>
          </w:pPr>
          <w:hyperlink w:anchor="_Toc209630206" w:history="1">
            <w:r w:rsidR="00500168" w:rsidRPr="00850134">
              <w:rPr>
                <w:rStyle w:val="Hipervnculo"/>
                <w:rFonts w:eastAsiaTheme="majorEastAsia"/>
                <w:noProof/>
              </w:rPr>
              <w:t>c) Admisiones de los Recursos de Revisión.</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_Toc209630206 \h </w:instrText>
            </w:r>
            <w:r w:rsidR="00500168" w:rsidRPr="00850134">
              <w:rPr>
                <w:noProof/>
                <w:webHidden/>
              </w:rPr>
            </w:r>
            <w:r w:rsidR="00500168" w:rsidRPr="00850134">
              <w:rPr>
                <w:noProof/>
                <w:webHidden/>
              </w:rPr>
              <w:fldChar w:fldCharType="separate"/>
            </w:r>
            <w:r w:rsidR="00372473">
              <w:rPr>
                <w:noProof/>
                <w:webHidden/>
              </w:rPr>
              <w:t>5</w:t>
            </w:r>
            <w:r w:rsidR="00500168" w:rsidRPr="00850134">
              <w:rPr>
                <w:noProof/>
                <w:webHidden/>
              </w:rPr>
              <w:fldChar w:fldCharType="end"/>
            </w:r>
          </w:hyperlink>
        </w:p>
        <w:p w14:paraId="254F30D0" w14:textId="37F47491" w:rsidR="00500168" w:rsidRPr="00850134" w:rsidRDefault="003E7A29">
          <w:pPr>
            <w:pStyle w:val="TDC3"/>
            <w:rPr>
              <w:rFonts w:asciiTheme="minorHAnsi" w:eastAsiaTheme="minorEastAsia" w:hAnsiTheme="minorHAnsi" w:cstheme="minorBidi"/>
              <w:noProof/>
              <w:szCs w:val="22"/>
              <w:lang w:eastAsia="es-MX"/>
            </w:rPr>
          </w:pPr>
          <w:hyperlink w:anchor="_Toc209630207" w:history="1">
            <w:r w:rsidR="00500168" w:rsidRPr="00850134">
              <w:rPr>
                <w:rStyle w:val="Hipervnculo"/>
                <w:rFonts w:eastAsiaTheme="majorEastAsia"/>
                <w:noProof/>
              </w:rPr>
              <w:t>d) Informe justificado del Sujeto Obligado.</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_Toc209630207 \h </w:instrText>
            </w:r>
            <w:r w:rsidR="00500168" w:rsidRPr="00850134">
              <w:rPr>
                <w:noProof/>
                <w:webHidden/>
              </w:rPr>
            </w:r>
            <w:r w:rsidR="00500168" w:rsidRPr="00850134">
              <w:rPr>
                <w:noProof/>
                <w:webHidden/>
              </w:rPr>
              <w:fldChar w:fldCharType="separate"/>
            </w:r>
            <w:r w:rsidR="00372473">
              <w:rPr>
                <w:noProof/>
                <w:webHidden/>
              </w:rPr>
              <w:t>5</w:t>
            </w:r>
            <w:r w:rsidR="00500168" w:rsidRPr="00850134">
              <w:rPr>
                <w:noProof/>
                <w:webHidden/>
              </w:rPr>
              <w:fldChar w:fldCharType="end"/>
            </w:r>
          </w:hyperlink>
        </w:p>
        <w:p w14:paraId="6A105794" w14:textId="4776D165" w:rsidR="00500168" w:rsidRPr="00850134" w:rsidRDefault="003E7A29">
          <w:pPr>
            <w:pStyle w:val="TDC3"/>
            <w:rPr>
              <w:rFonts w:asciiTheme="minorHAnsi" w:eastAsiaTheme="minorEastAsia" w:hAnsiTheme="minorHAnsi" w:cstheme="minorBidi"/>
              <w:noProof/>
              <w:szCs w:val="22"/>
              <w:lang w:eastAsia="es-MX"/>
            </w:rPr>
          </w:pPr>
          <w:hyperlink w:anchor="_Toc209630208" w:history="1">
            <w:r w:rsidR="00500168" w:rsidRPr="00850134">
              <w:rPr>
                <w:rStyle w:val="Hipervnculo"/>
                <w:rFonts w:eastAsiaTheme="majorEastAsia"/>
                <w:noProof/>
              </w:rPr>
              <w:t>e) Manifestaciones de la Parte Recurrente.</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_Toc209630208 \h </w:instrText>
            </w:r>
            <w:r w:rsidR="00500168" w:rsidRPr="00850134">
              <w:rPr>
                <w:noProof/>
                <w:webHidden/>
              </w:rPr>
            </w:r>
            <w:r w:rsidR="00500168" w:rsidRPr="00850134">
              <w:rPr>
                <w:noProof/>
                <w:webHidden/>
              </w:rPr>
              <w:fldChar w:fldCharType="separate"/>
            </w:r>
            <w:r w:rsidR="00372473">
              <w:rPr>
                <w:noProof/>
                <w:webHidden/>
              </w:rPr>
              <w:t>5</w:t>
            </w:r>
            <w:r w:rsidR="00500168" w:rsidRPr="00850134">
              <w:rPr>
                <w:noProof/>
                <w:webHidden/>
              </w:rPr>
              <w:fldChar w:fldCharType="end"/>
            </w:r>
          </w:hyperlink>
        </w:p>
        <w:p w14:paraId="0FFCB591" w14:textId="4878D6DE" w:rsidR="00500168" w:rsidRPr="00850134" w:rsidRDefault="003E7A29">
          <w:pPr>
            <w:pStyle w:val="TDC3"/>
            <w:rPr>
              <w:rFonts w:asciiTheme="minorHAnsi" w:eastAsiaTheme="minorEastAsia" w:hAnsiTheme="minorHAnsi" w:cstheme="minorBidi"/>
              <w:noProof/>
              <w:szCs w:val="22"/>
              <w:lang w:eastAsia="es-MX"/>
            </w:rPr>
          </w:pPr>
          <w:hyperlink w:anchor="_Toc209630209" w:history="1">
            <w:r w:rsidR="00500168" w:rsidRPr="00850134">
              <w:rPr>
                <w:rStyle w:val="Hipervnculo"/>
                <w:rFonts w:eastAsiaTheme="majorEastAsia"/>
                <w:noProof/>
              </w:rPr>
              <w:t>f) Acumulación de los Recursos de Revisión.</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_Toc209630209 \h </w:instrText>
            </w:r>
            <w:r w:rsidR="00500168" w:rsidRPr="00850134">
              <w:rPr>
                <w:noProof/>
                <w:webHidden/>
              </w:rPr>
            </w:r>
            <w:r w:rsidR="00500168" w:rsidRPr="00850134">
              <w:rPr>
                <w:noProof/>
                <w:webHidden/>
              </w:rPr>
              <w:fldChar w:fldCharType="separate"/>
            </w:r>
            <w:r w:rsidR="00372473">
              <w:rPr>
                <w:noProof/>
                <w:webHidden/>
              </w:rPr>
              <w:t>6</w:t>
            </w:r>
            <w:r w:rsidR="00500168" w:rsidRPr="00850134">
              <w:rPr>
                <w:noProof/>
                <w:webHidden/>
              </w:rPr>
              <w:fldChar w:fldCharType="end"/>
            </w:r>
          </w:hyperlink>
        </w:p>
        <w:p w14:paraId="6CCE2542" w14:textId="76A5ABB4" w:rsidR="00500168" w:rsidRPr="00850134" w:rsidRDefault="003E7A29">
          <w:pPr>
            <w:pStyle w:val="TDC3"/>
            <w:rPr>
              <w:rFonts w:asciiTheme="minorHAnsi" w:eastAsiaTheme="minorEastAsia" w:hAnsiTheme="minorHAnsi" w:cstheme="minorBidi"/>
              <w:noProof/>
              <w:szCs w:val="22"/>
              <w:lang w:eastAsia="es-MX"/>
            </w:rPr>
          </w:pPr>
          <w:hyperlink w:anchor="_Toc209630210" w:history="1">
            <w:r w:rsidR="00500168" w:rsidRPr="00850134">
              <w:rPr>
                <w:rStyle w:val="Hipervnculo"/>
                <w:rFonts w:eastAsiaTheme="majorEastAsia"/>
                <w:noProof/>
              </w:rPr>
              <w:t>g) Ampliación de Plazo para Resolver</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_Toc209630210 \h </w:instrText>
            </w:r>
            <w:r w:rsidR="00500168" w:rsidRPr="00850134">
              <w:rPr>
                <w:noProof/>
                <w:webHidden/>
              </w:rPr>
            </w:r>
            <w:r w:rsidR="00500168" w:rsidRPr="00850134">
              <w:rPr>
                <w:noProof/>
                <w:webHidden/>
              </w:rPr>
              <w:fldChar w:fldCharType="separate"/>
            </w:r>
            <w:r w:rsidR="00372473">
              <w:rPr>
                <w:noProof/>
                <w:webHidden/>
              </w:rPr>
              <w:t>6</w:t>
            </w:r>
            <w:r w:rsidR="00500168" w:rsidRPr="00850134">
              <w:rPr>
                <w:noProof/>
                <w:webHidden/>
              </w:rPr>
              <w:fldChar w:fldCharType="end"/>
            </w:r>
          </w:hyperlink>
        </w:p>
        <w:p w14:paraId="3B784DE9" w14:textId="394068E5" w:rsidR="00500168" w:rsidRPr="00850134" w:rsidRDefault="003E7A29">
          <w:pPr>
            <w:pStyle w:val="TDC3"/>
            <w:rPr>
              <w:rFonts w:asciiTheme="minorHAnsi" w:eastAsiaTheme="minorEastAsia" w:hAnsiTheme="minorHAnsi" w:cstheme="minorBidi"/>
              <w:noProof/>
              <w:szCs w:val="22"/>
              <w:lang w:eastAsia="es-MX"/>
            </w:rPr>
          </w:pPr>
          <w:hyperlink w:anchor="_Toc209630211" w:history="1">
            <w:r w:rsidR="00500168" w:rsidRPr="00850134">
              <w:rPr>
                <w:rStyle w:val="Hipervnculo"/>
                <w:rFonts w:eastAsiaTheme="majorEastAsia"/>
                <w:noProof/>
              </w:rPr>
              <w:t>h) Cierre de instrucción.</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_Toc209630211 \h </w:instrText>
            </w:r>
            <w:r w:rsidR="00500168" w:rsidRPr="00850134">
              <w:rPr>
                <w:noProof/>
                <w:webHidden/>
              </w:rPr>
            </w:r>
            <w:r w:rsidR="00500168" w:rsidRPr="00850134">
              <w:rPr>
                <w:noProof/>
                <w:webHidden/>
              </w:rPr>
              <w:fldChar w:fldCharType="separate"/>
            </w:r>
            <w:r w:rsidR="00372473">
              <w:rPr>
                <w:noProof/>
                <w:webHidden/>
              </w:rPr>
              <w:t>6</w:t>
            </w:r>
            <w:r w:rsidR="00500168" w:rsidRPr="00850134">
              <w:rPr>
                <w:noProof/>
                <w:webHidden/>
              </w:rPr>
              <w:fldChar w:fldCharType="end"/>
            </w:r>
          </w:hyperlink>
        </w:p>
        <w:p w14:paraId="1151C415" w14:textId="492F89CA" w:rsidR="00500168" w:rsidRPr="00850134" w:rsidRDefault="003E7A29">
          <w:pPr>
            <w:pStyle w:val="TDC1"/>
            <w:tabs>
              <w:tab w:val="right" w:leader="dot" w:pos="9034"/>
            </w:tabs>
            <w:rPr>
              <w:rFonts w:asciiTheme="minorHAnsi" w:eastAsiaTheme="minorEastAsia" w:hAnsiTheme="minorHAnsi" w:cstheme="minorBidi"/>
              <w:noProof/>
              <w:szCs w:val="22"/>
              <w:lang w:eastAsia="es-MX"/>
            </w:rPr>
          </w:pPr>
          <w:hyperlink w:anchor="_Toc209630212" w:history="1">
            <w:r w:rsidR="00500168" w:rsidRPr="00850134">
              <w:rPr>
                <w:rStyle w:val="Hipervnculo"/>
                <w:rFonts w:eastAsiaTheme="majorEastAsia"/>
                <w:noProof/>
              </w:rPr>
              <w:t>CONSIDERANDOS</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_Toc209630212 \h </w:instrText>
            </w:r>
            <w:r w:rsidR="00500168" w:rsidRPr="00850134">
              <w:rPr>
                <w:noProof/>
                <w:webHidden/>
              </w:rPr>
            </w:r>
            <w:r w:rsidR="00500168" w:rsidRPr="00850134">
              <w:rPr>
                <w:noProof/>
                <w:webHidden/>
              </w:rPr>
              <w:fldChar w:fldCharType="separate"/>
            </w:r>
            <w:r w:rsidR="00372473">
              <w:rPr>
                <w:noProof/>
                <w:webHidden/>
              </w:rPr>
              <w:t>6</w:t>
            </w:r>
            <w:r w:rsidR="00500168" w:rsidRPr="00850134">
              <w:rPr>
                <w:noProof/>
                <w:webHidden/>
              </w:rPr>
              <w:fldChar w:fldCharType="end"/>
            </w:r>
          </w:hyperlink>
        </w:p>
        <w:p w14:paraId="08DC0457" w14:textId="24E3E63A" w:rsidR="00500168" w:rsidRPr="00850134" w:rsidRDefault="003E7A29">
          <w:pPr>
            <w:pStyle w:val="TDC2"/>
            <w:rPr>
              <w:rFonts w:asciiTheme="minorHAnsi" w:eastAsiaTheme="minorEastAsia" w:hAnsiTheme="minorHAnsi" w:cstheme="minorBidi"/>
              <w:noProof/>
              <w:szCs w:val="22"/>
              <w:lang w:eastAsia="es-MX"/>
            </w:rPr>
          </w:pPr>
          <w:hyperlink w:anchor="_Toc209630213" w:history="1">
            <w:r w:rsidR="00500168" w:rsidRPr="00850134">
              <w:rPr>
                <w:rStyle w:val="Hipervnculo"/>
                <w:rFonts w:eastAsiaTheme="majorEastAsia"/>
                <w:noProof/>
              </w:rPr>
              <w:t>PRIMERO. Procedibilidad</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_Toc209630213 \h </w:instrText>
            </w:r>
            <w:r w:rsidR="00500168" w:rsidRPr="00850134">
              <w:rPr>
                <w:noProof/>
                <w:webHidden/>
              </w:rPr>
            </w:r>
            <w:r w:rsidR="00500168" w:rsidRPr="00850134">
              <w:rPr>
                <w:noProof/>
                <w:webHidden/>
              </w:rPr>
              <w:fldChar w:fldCharType="separate"/>
            </w:r>
            <w:r w:rsidR="00372473">
              <w:rPr>
                <w:noProof/>
                <w:webHidden/>
              </w:rPr>
              <w:t>7</w:t>
            </w:r>
            <w:r w:rsidR="00500168" w:rsidRPr="00850134">
              <w:rPr>
                <w:noProof/>
                <w:webHidden/>
              </w:rPr>
              <w:fldChar w:fldCharType="end"/>
            </w:r>
          </w:hyperlink>
        </w:p>
        <w:p w14:paraId="7B9F459C" w14:textId="03B1CC61" w:rsidR="00500168" w:rsidRPr="00850134" w:rsidRDefault="003E7A29">
          <w:pPr>
            <w:pStyle w:val="TDC3"/>
            <w:rPr>
              <w:rFonts w:asciiTheme="minorHAnsi" w:eastAsiaTheme="minorEastAsia" w:hAnsiTheme="minorHAnsi" w:cstheme="minorBidi"/>
              <w:noProof/>
              <w:szCs w:val="22"/>
              <w:lang w:eastAsia="es-MX"/>
            </w:rPr>
          </w:pPr>
          <w:hyperlink w:anchor="_Toc209630214" w:history="1">
            <w:r w:rsidR="00500168" w:rsidRPr="00850134">
              <w:rPr>
                <w:rStyle w:val="Hipervnculo"/>
                <w:rFonts w:eastAsiaTheme="majorEastAsia"/>
                <w:noProof/>
              </w:rPr>
              <w:t>a) Competencia del Instituto.</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_Toc209630214 \h </w:instrText>
            </w:r>
            <w:r w:rsidR="00500168" w:rsidRPr="00850134">
              <w:rPr>
                <w:noProof/>
                <w:webHidden/>
              </w:rPr>
            </w:r>
            <w:r w:rsidR="00500168" w:rsidRPr="00850134">
              <w:rPr>
                <w:noProof/>
                <w:webHidden/>
              </w:rPr>
              <w:fldChar w:fldCharType="separate"/>
            </w:r>
            <w:r w:rsidR="00372473">
              <w:rPr>
                <w:noProof/>
                <w:webHidden/>
              </w:rPr>
              <w:t>7</w:t>
            </w:r>
            <w:r w:rsidR="00500168" w:rsidRPr="00850134">
              <w:rPr>
                <w:noProof/>
                <w:webHidden/>
              </w:rPr>
              <w:fldChar w:fldCharType="end"/>
            </w:r>
          </w:hyperlink>
        </w:p>
        <w:p w14:paraId="283E60DE" w14:textId="05CD3973" w:rsidR="00500168" w:rsidRPr="00850134" w:rsidRDefault="003E7A29">
          <w:pPr>
            <w:pStyle w:val="TDC3"/>
            <w:rPr>
              <w:rFonts w:asciiTheme="minorHAnsi" w:eastAsiaTheme="minorEastAsia" w:hAnsiTheme="minorHAnsi" w:cstheme="minorBidi"/>
              <w:noProof/>
              <w:szCs w:val="22"/>
              <w:lang w:eastAsia="es-MX"/>
            </w:rPr>
          </w:pPr>
          <w:hyperlink w:anchor="_Toc209630215" w:history="1">
            <w:r w:rsidR="00500168" w:rsidRPr="00850134">
              <w:rPr>
                <w:rStyle w:val="Hipervnculo"/>
                <w:rFonts w:eastAsiaTheme="majorEastAsia"/>
                <w:noProof/>
              </w:rPr>
              <w:t>b) Legitimidad de la parte recurrente.</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_Toc209630215 \h </w:instrText>
            </w:r>
            <w:r w:rsidR="00500168" w:rsidRPr="00850134">
              <w:rPr>
                <w:noProof/>
                <w:webHidden/>
              </w:rPr>
            </w:r>
            <w:r w:rsidR="00500168" w:rsidRPr="00850134">
              <w:rPr>
                <w:noProof/>
                <w:webHidden/>
              </w:rPr>
              <w:fldChar w:fldCharType="separate"/>
            </w:r>
            <w:r w:rsidR="00372473">
              <w:rPr>
                <w:noProof/>
                <w:webHidden/>
              </w:rPr>
              <w:t>7</w:t>
            </w:r>
            <w:r w:rsidR="00500168" w:rsidRPr="00850134">
              <w:rPr>
                <w:noProof/>
                <w:webHidden/>
              </w:rPr>
              <w:fldChar w:fldCharType="end"/>
            </w:r>
          </w:hyperlink>
        </w:p>
        <w:p w14:paraId="7C16ED67" w14:textId="2A13F505" w:rsidR="00500168" w:rsidRPr="00850134" w:rsidRDefault="003E7A29">
          <w:pPr>
            <w:pStyle w:val="TDC3"/>
            <w:rPr>
              <w:rFonts w:asciiTheme="minorHAnsi" w:eastAsiaTheme="minorEastAsia" w:hAnsiTheme="minorHAnsi" w:cstheme="minorBidi"/>
              <w:noProof/>
              <w:szCs w:val="22"/>
              <w:lang w:eastAsia="es-MX"/>
            </w:rPr>
          </w:pPr>
          <w:hyperlink w:anchor="_Toc209630216" w:history="1">
            <w:r w:rsidR="00500168" w:rsidRPr="00850134">
              <w:rPr>
                <w:rStyle w:val="Hipervnculo"/>
                <w:rFonts w:eastAsiaTheme="majorEastAsia"/>
                <w:noProof/>
              </w:rPr>
              <w:t>c) Plazo para interponer el recurso.</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_Toc209630216 \h </w:instrText>
            </w:r>
            <w:r w:rsidR="00500168" w:rsidRPr="00850134">
              <w:rPr>
                <w:noProof/>
                <w:webHidden/>
              </w:rPr>
            </w:r>
            <w:r w:rsidR="00500168" w:rsidRPr="00850134">
              <w:rPr>
                <w:noProof/>
                <w:webHidden/>
              </w:rPr>
              <w:fldChar w:fldCharType="separate"/>
            </w:r>
            <w:r w:rsidR="00372473">
              <w:rPr>
                <w:noProof/>
                <w:webHidden/>
              </w:rPr>
              <w:t>7</w:t>
            </w:r>
            <w:r w:rsidR="00500168" w:rsidRPr="00850134">
              <w:rPr>
                <w:noProof/>
                <w:webHidden/>
              </w:rPr>
              <w:fldChar w:fldCharType="end"/>
            </w:r>
          </w:hyperlink>
        </w:p>
        <w:p w14:paraId="169E7092" w14:textId="270758CB" w:rsidR="00500168" w:rsidRPr="00850134" w:rsidRDefault="003E7A29">
          <w:pPr>
            <w:pStyle w:val="TDC3"/>
            <w:rPr>
              <w:rFonts w:asciiTheme="minorHAnsi" w:eastAsiaTheme="minorEastAsia" w:hAnsiTheme="minorHAnsi" w:cstheme="minorBidi"/>
              <w:noProof/>
              <w:szCs w:val="22"/>
              <w:lang w:eastAsia="es-MX"/>
            </w:rPr>
          </w:pPr>
          <w:hyperlink w:anchor="_Toc209630217" w:history="1">
            <w:r w:rsidR="00500168" w:rsidRPr="00850134">
              <w:rPr>
                <w:rStyle w:val="Hipervnculo"/>
                <w:rFonts w:eastAsiaTheme="majorEastAsia"/>
                <w:noProof/>
              </w:rPr>
              <w:t>d) Causales de procedencia.</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_Toc209630217 \h </w:instrText>
            </w:r>
            <w:r w:rsidR="00500168" w:rsidRPr="00850134">
              <w:rPr>
                <w:noProof/>
                <w:webHidden/>
              </w:rPr>
            </w:r>
            <w:r w:rsidR="00500168" w:rsidRPr="00850134">
              <w:rPr>
                <w:noProof/>
                <w:webHidden/>
              </w:rPr>
              <w:fldChar w:fldCharType="separate"/>
            </w:r>
            <w:r w:rsidR="00372473">
              <w:rPr>
                <w:noProof/>
                <w:webHidden/>
              </w:rPr>
              <w:t>8</w:t>
            </w:r>
            <w:r w:rsidR="00500168" w:rsidRPr="00850134">
              <w:rPr>
                <w:noProof/>
                <w:webHidden/>
              </w:rPr>
              <w:fldChar w:fldCharType="end"/>
            </w:r>
          </w:hyperlink>
        </w:p>
        <w:p w14:paraId="57515719" w14:textId="3DB5C6CA" w:rsidR="00500168" w:rsidRPr="00850134" w:rsidRDefault="003E7A29">
          <w:pPr>
            <w:pStyle w:val="TDC3"/>
            <w:rPr>
              <w:rFonts w:asciiTheme="minorHAnsi" w:eastAsiaTheme="minorEastAsia" w:hAnsiTheme="minorHAnsi" w:cstheme="minorBidi"/>
              <w:noProof/>
              <w:szCs w:val="22"/>
              <w:lang w:eastAsia="es-MX"/>
            </w:rPr>
          </w:pPr>
          <w:hyperlink w:anchor="_Toc209630218" w:history="1">
            <w:r w:rsidR="00500168" w:rsidRPr="00850134">
              <w:rPr>
                <w:rStyle w:val="Hipervnculo"/>
                <w:rFonts w:eastAsiaTheme="majorEastAsia"/>
                <w:noProof/>
              </w:rPr>
              <w:t>e) Requisitos formales para la interposición del recurso.</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_Toc209630218 \h </w:instrText>
            </w:r>
            <w:r w:rsidR="00500168" w:rsidRPr="00850134">
              <w:rPr>
                <w:noProof/>
                <w:webHidden/>
              </w:rPr>
            </w:r>
            <w:r w:rsidR="00500168" w:rsidRPr="00850134">
              <w:rPr>
                <w:noProof/>
                <w:webHidden/>
              </w:rPr>
              <w:fldChar w:fldCharType="separate"/>
            </w:r>
            <w:r w:rsidR="00372473">
              <w:rPr>
                <w:noProof/>
                <w:webHidden/>
              </w:rPr>
              <w:t>8</w:t>
            </w:r>
            <w:r w:rsidR="00500168" w:rsidRPr="00850134">
              <w:rPr>
                <w:noProof/>
                <w:webHidden/>
              </w:rPr>
              <w:fldChar w:fldCharType="end"/>
            </w:r>
          </w:hyperlink>
        </w:p>
        <w:p w14:paraId="66872D8D" w14:textId="113D600A" w:rsidR="00500168" w:rsidRPr="00850134" w:rsidRDefault="003E7A29">
          <w:pPr>
            <w:pStyle w:val="TDC3"/>
            <w:rPr>
              <w:rFonts w:asciiTheme="minorHAnsi" w:eastAsiaTheme="minorEastAsia" w:hAnsiTheme="minorHAnsi" w:cstheme="minorBidi"/>
              <w:noProof/>
              <w:szCs w:val="22"/>
              <w:lang w:eastAsia="es-MX"/>
            </w:rPr>
          </w:pPr>
          <w:hyperlink w:anchor="_Toc209630219" w:history="1">
            <w:r w:rsidR="00500168" w:rsidRPr="00850134">
              <w:rPr>
                <w:rStyle w:val="Hipervnculo"/>
                <w:rFonts w:eastAsiaTheme="majorEastAsia"/>
                <w:noProof/>
              </w:rPr>
              <w:t>f) Acumulación de los Recursos de Revisión.</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_Toc209630219 \h </w:instrText>
            </w:r>
            <w:r w:rsidR="00500168" w:rsidRPr="00850134">
              <w:rPr>
                <w:noProof/>
                <w:webHidden/>
              </w:rPr>
            </w:r>
            <w:r w:rsidR="00500168" w:rsidRPr="00850134">
              <w:rPr>
                <w:noProof/>
                <w:webHidden/>
              </w:rPr>
              <w:fldChar w:fldCharType="separate"/>
            </w:r>
            <w:r w:rsidR="00372473">
              <w:rPr>
                <w:noProof/>
                <w:webHidden/>
              </w:rPr>
              <w:t>9</w:t>
            </w:r>
            <w:r w:rsidR="00500168" w:rsidRPr="00850134">
              <w:rPr>
                <w:noProof/>
                <w:webHidden/>
              </w:rPr>
              <w:fldChar w:fldCharType="end"/>
            </w:r>
          </w:hyperlink>
        </w:p>
        <w:p w14:paraId="6AEB6166" w14:textId="6242556F" w:rsidR="00500168" w:rsidRPr="00850134" w:rsidRDefault="003E7A29">
          <w:pPr>
            <w:pStyle w:val="TDC2"/>
            <w:rPr>
              <w:rFonts w:asciiTheme="minorHAnsi" w:eastAsiaTheme="minorEastAsia" w:hAnsiTheme="minorHAnsi" w:cstheme="minorBidi"/>
              <w:noProof/>
              <w:szCs w:val="22"/>
              <w:lang w:eastAsia="es-MX"/>
            </w:rPr>
          </w:pPr>
          <w:hyperlink w:anchor="_Toc209630220" w:history="1">
            <w:r w:rsidR="00500168" w:rsidRPr="00850134">
              <w:rPr>
                <w:rStyle w:val="Hipervnculo"/>
                <w:rFonts w:eastAsiaTheme="majorEastAsia"/>
                <w:noProof/>
              </w:rPr>
              <w:t>SEGUNDO. Estudio de fondo.</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_Toc209630220 \h </w:instrText>
            </w:r>
            <w:r w:rsidR="00500168" w:rsidRPr="00850134">
              <w:rPr>
                <w:noProof/>
                <w:webHidden/>
              </w:rPr>
            </w:r>
            <w:r w:rsidR="00500168" w:rsidRPr="00850134">
              <w:rPr>
                <w:noProof/>
                <w:webHidden/>
              </w:rPr>
              <w:fldChar w:fldCharType="separate"/>
            </w:r>
            <w:r w:rsidR="00372473">
              <w:rPr>
                <w:noProof/>
                <w:webHidden/>
              </w:rPr>
              <w:t>9</w:t>
            </w:r>
            <w:r w:rsidR="00500168" w:rsidRPr="00850134">
              <w:rPr>
                <w:noProof/>
                <w:webHidden/>
              </w:rPr>
              <w:fldChar w:fldCharType="end"/>
            </w:r>
          </w:hyperlink>
        </w:p>
        <w:p w14:paraId="63046476" w14:textId="1FC2A632" w:rsidR="00500168" w:rsidRPr="00850134" w:rsidRDefault="003E7A29">
          <w:pPr>
            <w:pStyle w:val="TDC3"/>
            <w:rPr>
              <w:rFonts w:asciiTheme="minorHAnsi" w:eastAsiaTheme="minorEastAsia" w:hAnsiTheme="minorHAnsi" w:cstheme="minorBidi"/>
              <w:noProof/>
              <w:szCs w:val="22"/>
              <w:lang w:eastAsia="es-MX"/>
            </w:rPr>
          </w:pPr>
          <w:hyperlink w:anchor="_Toc209630221" w:history="1">
            <w:r w:rsidR="00500168" w:rsidRPr="00850134">
              <w:rPr>
                <w:rStyle w:val="Hipervnculo"/>
                <w:rFonts w:eastAsiaTheme="majorEastAsia"/>
                <w:noProof/>
              </w:rPr>
              <w:t>a) Mandato de transparencia y responsabilidad del Sujeto Obligado.</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_Toc209630221 \h </w:instrText>
            </w:r>
            <w:r w:rsidR="00500168" w:rsidRPr="00850134">
              <w:rPr>
                <w:noProof/>
                <w:webHidden/>
              </w:rPr>
            </w:r>
            <w:r w:rsidR="00500168" w:rsidRPr="00850134">
              <w:rPr>
                <w:noProof/>
                <w:webHidden/>
              </w:rPr>
              <w:fldChar w:fldCharType="separate"/>
            </w:r>
            <w:r w:rsidR="00372473">
              <w:rPr>
                <w:noProof/>
                <w:webHidden/>
              </w:rPr>
              <w:t>9</w:t>
            </w:r>
            <w:r w:rsidR="00500168" w:rsidRPr="00850134">
              <w:rPr>
                <w:noProof/>
                <w:webHidden/>
              </w:rPr>
              <w:fldChar w:fldCharType="end"/>
            </w:r>
          </w:hyperlink>
        </w:p>
        <w:p w14:paraId="3A8EFDFA" w14:textId="5E777425" w:rsidR="00500168" w:rsidRPr="00850134" w:rsidRDefault="003E7A29">
          <w:pPr>
            <w:pStyle w:val="TDC3"/>
            <w:rPr>
              <w:rFonts w:asciiTheme="minorHAnsi" w:eastAsiaTheme="minorEastAsia" w:hAnsiTheme="minorHAnsi" w:cstheme="minorBidi"/>
              <w:noProof/>
              <w:szCs w:val="22"/>
              <w:lang w:eastAsia="es-MX"/>
            </w:rPr>
          </w:pPr>
          <w:hyperlink w:anchor="_Toc209630222" w:history="1">
            <w:r w:rsidR="00500168" w:rsidRPr="00850134">
              <w:rPr>
                <w:rStyle w:val="Hipervnculo"/>
                <w:rFonts w:eastAsiaTheme="majorEastAsia"/>
                <w:noProof/>
              </w:rPr>
              <w:t>b) Controversia a resolver.</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_Toc209630222 \h </w:instrText>
            </w:r>
            <w:r w:rsidR="00500168" w:rsidRPr="00850134">
              <w:rPr>
                <w:noProof/>
                <w:webHidden/>
              </w:rPr>
            </w:r>
            <w:r w:rsidR="00500168" w:rsidRPr="00850134">
              <w:rPr>
                <w:noProof/>
                <w:webHidden/>
              </w:rPr>
              <w:fldChar w:fldCharType="separate"/>
            </w:r>
            <w:r w:rsidR="00372473">
              <w:rPr>
                <w:noProof/>
                <w:webHidden/>
              </w:rPr>
              <w:t>12</w:t>
            </w:r>
            <w:r w:rsidR="00500168" w:rsidRPr="00850134">
              <w:rPr>
                <w:noProof/>
                <w:webHidden/>
              </w:rPr>
              <w:fldChar w:fldCharType="end"/>
            </w:r>
          </w:hyperlink>
        </w:p>
        <w:p w14:paraId="1AB22402" w14:textId="52F38B56" w:rsidR="00500168" w:rsidRPr="00850134" w:rsidRDefault="003E7A29">
          <w:pPr>
            <w:pStyle w:val="TDC3"/>
            <w:rPr>
              <w:rFonts w:asciiTheme="minorHAnsi" w:eastAsiaTheme="minorEastAsia" w:hAnsiTheme="minorHAnsi" w:cstheme="minorBidi"/>
              <w:noProof/>
              <w:szCs w:val="22"/>
              <w:lang w:eastAsia="es-MX"/>
            </w:rPr>
          </w:pPr>
          <w:hyperlink w:anchor="_Toc209630223" w:history="1">
            <w:r w:rsidR="00500168" w:rsidRPr="00850134">
              <w:rPr>
                <w:rStyle w:val="Hipervnculo"/>
                <w:rFonts w:eastAsiaTheme="majorEastAsia"/>
                <w:noProof/>
              </w:rPr>
              <w:t>c) Estudio de la controversia.</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_Toc209630223 \h </w:instrText>
            </w:r>
            <w:r w:rsidR="00500168" w:rsidRPr="00850134">
              <w:rPr>
                <w:noProof/>
                <w:webHidden/>
              </w:rPr>
            </w:r>
            <w:r w:rsidR="00500168" w:rsidRPr="00850134">
              <w:rPr>
                <w:noProof/>
                <w:webHidden/>
              </w:rPr>
              <w:fldChar w:fldCharType="separate"/>
            </w:r>
            <w:r w:rsidR="00372473">
              <w:rPr>
                <w:noProof/>
                <w:webHidden/>
              </w:rPr>
              <w:t>13</w:t>
            </w:r>
            <w:r w:rsidR="00500168" w:rsidRPr="00850134">
              <w:rPr>
                <w:noProof/>
                <w:webHidden/>
              </w:rPr>
              <w:fldChar w:fldCharType="end"/>
            </w:r>
          </w:hyperlink>
        </w:p>
        <w:p w14:paraId="3F1C1F71" w14:textId="090A4852" w:rsidR="00500168" w:rsidRPr="00850134" w:rsidRDefault="003E7A29">
          <w:pPr>
            <w:pStyle w:val="TDC3"/>
            <w:rPr>
              <w:rFonts w:asciiTheme="minorHAnsi" w:eastAsiaTheme="minorEastAsia" w:hAnsiTheme="minorHAnsi" w:cstheme="minorBidi"/>
              <w:noProof/>
              <w:szCs w:val="22"/>
              <w:lang w:eastAsia="es-MX"/>
            </w:rPr>
          </w:pPr>
          <w:hyperlink w:anchor="_Toc209630224" w:history="1">
            <w:r w:rsidR="00500168" w:rsidRPr="00850134">
              <w:rPr>
                <w:rStyle w:val="Hipervnculo"/>
                <w:rFonts w:eastAsiaTheme="majorEastAsia"/>
                <w:noProof/>
              </w:rPr>
              <w:t>d) Conclusión</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_Toc209630224 \h </w:instrText>
            </w:r>
            <w:r w:rsidR="00500168" w:rsidRPr="00850134">
              <w:rPr>
                <w:noProof/>
                <w:webHidden/>
              </w:rPr>
            </w:r>
            <w:r w:rsidR="00500168" w:rsidRPr="00850134">
              <w:rPr>
                <w:noProof/>
                <w:webHidden/>
              </w:rPr>
              <w:fldChar w:fldCharType="separate"/>
            </w:r>
            <w:r w:rsidR="00372473">
              <w:rPr>
                <w:noProof/>
                <w:webHidden/>
              </w:rPr>
              <w:t>17</w:t>
            </w:r>
            <w:r w:rsidR="00500168" w:rsidRPr="00850134">
              <w:rPr>
                <w:noProof/>
                <w:webHidden/>
              </w:rPr>
              <w:fldChar w:fldCharType="end"/>
            </w:r>
          </w:hyperlink>
        </w:p>
        <w:p w14:paraId="34EF0D2A" w14:textId="40145C82" w:rsidR="00500168" w:rsidRPr="00850134" w:rsidRDefault="003E7A29">
          <w:pPr>
            <w:pStyle w:val="TDC1"/>
            <w:tabs>
              <w:tab w:val="right" w:leader="dot" w:pos="9034"/>
            </w:tabs>
            <w:rPr>
              <w:rFonts w:asciiTheme="minorHAnsi" w:eastAsiaTheme="minorEastAsia" w:hAnsiTheme="minorHAnsi" w:cstheme="minorBidi"/>
              <w:noProof/>
              <w:szCs w:val="22"/>
              <w:lang w:eastAsia="es-MX"/>
            </w:rPr>
          </w:pPr>
          <w:hyperlink w:anchor="_Toc209630225" w:history="1">
            <w:r w:rsidR="00500168" w:rsidRPr="00850134">
              <w:rPr>
                <w:rStyle w:val="Hipervnculo"/>
                <w:rFonts w:eastAsiaTheme="majorEastAsia"/>
                <w:noProof/>
              </w:rPr>
              <w:t>RESUELVE</w:t>
            </w:r>
            <w:r w:rsidR="00500168" w:rsidRPr="00850134">
              <w:rPr>
                <w:noProof/>
                <w:webHidden/>
              </w:rPr>
              <w:tab/>
            </w:r>
            <w:r w:rsidR="00500168" w:rsidRPr="00850134">
              <w:rPr>
                <w:noProof/>
                <w:webHidden/>
              </w:rPr>
              <w:fldChar w:fldCharType="begin"/>
            </w:r>
            <w:r w:rsidR="00500168" w:rsidRPr="00850134">
              <w:rPr>
                <w:noProof/>
                <w:webHidden/>
              </w:rPr>
              <w:instrText xml:space="preserve"> PAGEREF _Toc209630225 \h </w:instrText>
            </w:r>
            <w:r w:rsidR="00500168" w:rsidRPr="00850134">
              <w:rPr>
                <w:noProof/>
                <w:webHidden/>
              </w:rPr>
            </w:r>
            <w:r w:rsidR="00500168" w:rsidRPr="00850134">
              <w:rPr>
                <w:noProof/>
                <w:webHidden/>
              </w:rPr>
              <w:fldChar w:fldCharType="separate"/>
            </w:r>
            <w:r w:rsidR="00372473">
              <w:rPr>
                <w:noProof/>
                <w:webHidden/>
              </w:rPr>
              <w:t>18</w:t>
            </w:r>
            <w:r w:rsidR="00500168" w:rsidRPr="00850134">
              <w:rPr>
                <w:noProof/>
                <w:webHidden/>
              </w:rPr>
              <w:fldChar w:fldCharType="end"/>
            </w:r>
          </w:hyperlink>
        </w:p>
        <w:p w14:paraId="7A26C97C" w14:textId="40E668F0" w:rsidR="00FA166A" w:rsidRPr="00850134" w:rsidRDefault="00FA166A" w:rsidP="00F51455">
          <w:pPr>
            <w:rPr>
              <w:szCs w:val="22"/>
            </w:rPr>
          </w:pPr>
          <w:r w:rsidRPr="00850134">
            <w:rPr>
              <w:b/>
              <w:bCs/>
              <w:szCs w:val="22"/>
              <w:lang w:val="es-ES"/>
            </w:rPr>
            <w:fldChar w:fldCharType="end"/>
          </w:r>
        </w:p>
      </w:sdtContent>
    </w:sdt>
    <w:p w14:paraId="3D0C9561" w14:textId="77777777" w:rsidR="001910CD" w:rsidRPr="00850134" w:rsidRDefault="001910CD" w:rsidP="00F51455">
      <w:pPr>
        <w:widowControl w:val="0"/>
        <w:pBdr>
          <w:top w:val="nil"/>
          <w:left w:val="nil"/>
          <w:bottom w:val="nil"/>
          <w:right w:val="nil"/>
          <w:between w:val="nil"/>
        </w:pBdr>
        <w:jc w:val="left"/>
        <w:rPr>
          <w:szCs w:val="22"/>
        </w:rPr>
      </w:pPr>
    </w:p>
    <w:p w14:paraId="26CB837B" w14:textId="77777777" w:rsidR="001910CD" w:rsidRPr="00850134" w:rsidRDefault="001910CD" w:rsidP="00F51455">
      <w:pPr>
        <w:rPr>
          <w:b/>
          <w:szCs w:val="22"/>
        </w:rPr>
      </w:pPr>
    </w:p>
    <w:p w14:paraId="687FC5F8" w14:textId="77777777" w:rsidR="001910CD" w:rsidRPr="00850134" w:rsidRDefault="001910CD" w:rsidP="00F51455">
      <w:pPr>
        <w:rPr>
          <w:szCs w:val="22"/>
        </w:rPr>
        <w:sectPr w:rsidR="001910CD" w:rsidRPr="00850134">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08DAB575" w14:textId="4AFD907C" w:rsidR="001910CD" w:rsidRPr="00850134" w:rsidRDefault="00593577" w:rsidP="00F51455">
      <w:pPr>
        <w:rPr>
          <w:b/>
          <w:szCs w:val="22"/>
        </w:rPr>
      </w:pPr>
      <w:r w:rsidRPr="00850134">
        <w:rPr>
          <w:szCs w:val="22"/>
        </w:rPr>
        <w:lastRenderedPageBreak/>
        <w:t xml:space="preserve">Resolución del Pleno del Instituto de Transparencia, Acceso a la Información Pública y Protección de Datos Personales del Estado de México y Municipios, con domicilio en Metepec, Estado de México, </w:t>
      </w:r>
      <w:r w:rsidRPr="00850134">
        <w:rPr>
          <w:b/>
          <w:szCs w:val="22"/>
        </w:rPr>
        <w:t>de</w:t>
      </w:r>
      <w:r w:rsidR="00500168" w:rsidRPr="00850134">
        <w:rPr>
          <w:b/>
          <w:szCs w:val="22"/>
        </w:rPr>
        <w:t>l</w:t>
      </w:r>
      <w:r w:rsidRPr="00850134">
        <w:rPr>
          <w:b/>
          <w:szCs w:val="22"/>
        </w:rPr>
        <w:t xml:space="preserve"> </w:t>
      </w:r>
      <w:r w:rsidR="00245075" w:rsidRPr="00850134">
        <w:rPr>
          <w:b/>
          <w:szCs w:val="22"/>
        </w:rPr>
        <w:t>veinticuatro</w:t>
      </w:r>
      <w:r w:rsidR="008D39E3" w:rsidRPr="00850134">
        <w:rPr>
          <w:b/>
          <w:szCs w:val="22"/>
        </w:rPr>
        <w:t xml:space="preserve"> </w:t>
      </w:r>
      <w:r w:rsidRPr="00850134">
        <w:rPr>
          <w:b/>
          <w:szCs w:val="22"/>
        </w:rPr>
        <w:t xml:space="preserve">de </w:t>
      </w:r>
      <w:r w:rsidR="00245075" w:rsidRPr="00850134">
        <w:rPr>
          <w:b/>
          <w:szCs w:val="22"/>
        </w:rPr>
        <w:t>septiembre</w:t>
      </w:r>
      <w:r w:rsidRPr="00850134">
        <w:rPr>
          <w:b/>
          <w:szCs w:val="22"/>
        </w:rPr>
        <w:t xml:space="preserve"> de dos mil </w:t>
      </w:r>
      <w:r w:rsidR="008267E3" w:rsidRPr="00850134">
        <w:rPr>
          <w:b/>
          <w:szCs w:val="22"/>
        </w:rPr>
        <w:t>veinticinco</w:t>
      </w:r>
      <w:r w:rsidRPr="00850134">
        <w:rPr>
          <w:b/>
          <w:szCs w:val="22"/>
        </w:rPr>
        <w:t>.</w:t>
      </w:r>
    </w:p>
    <w:p w14:paraId="496FEE5E" w14:textId="77777777" w:rsidR="001910CD" w:rsidRPr="00850134" w:rsidRDefault="001910CD" w:rsidP="00F51455">
      <w:pPr>
        <w:rPr>
          <w:szCs w:val="22"/>
        </w:rPr>
      </w:pPr>
    </w:p>
    <w:p w14:paraId="66187412" w14:textId="1BDCB4A0" w:rsidR="001910CD" w:rsidRPr="00850134" w:rsidRDefault="00593577" w:rsidP="00F51455">
      <w:pPr>
        <w:rPr>
          <w:b/>
          <w:szCs w:val="22"/>
        </w:rPr>
      </w:pPr>
      <w:r w:rsidRPr="00850134">
        <w:rPr>
          <w:b/>
          <w:szCs w:val="22"/>
        </w:rPr>
        <w:t xml:space="preserve">VISTOS </w:t>
      </w:r>
      <w:r w:rsidRPr="00850134">
        <w:rPr>
          <w:szCs w:val="22"/>
        </w:rPr>
        <w:t xml:space="preserve">los expedientes formados con motivo de los Recursos de Revisión </w:t>
      </w:r>
      <w:r w:rsidR="008267E3" w:rsidRPr="00850134">
        <w:rPr>
          <w:b/>
          <w:szCs w:val="22"/>
        </w:rPr>
        <w:t>0</w:t>
      </w:r>
      <w:r w:rsidR="00245075" w:rsidRPr="00850134">
        <w:rPr>
          <w:b/>
          <w:szCs w:val="22"/>
        </w:rPr>
        <w:t>6707</w:t>
      </w:r>
      <w:r w:rsidR="009E0AD6" w:rsidRPr="00850134">
        <w:rPr>
          <w:b/>
          <w:szCs w:val="22"/>
        </w:rPr>
        <w:t>/INFOEM/IP/RR/2025</w:t>
      </w:r>
      <w:r w:rsidR="002831D5" w:rsidRPr="00850134">
        <w:rPr>
          <w:b/>
          <w:szCs w:val="22"/>
        </w:rPr>
        <w:t xml:space="preserve"> </w:t>
      </w:r>
      <w:r w:rsidR="008267E3" w:rsidRPr="00850134">
        <w:rPr>
          <w:b/>
          <w:szCs w:val="22"/>
        </w:rPr>
        <w:t xml:space="preserve">y </w:t>
      </w:r>
      <w:r w:rsidR="00524A20" w:rsidRPr="00850134">
        <w:rPr>
          <w:b/>
          <w:szCs w:val="22"/>
        </w:rPr>
        <w:t>0</w:t>
      </w:r>
      <w:r w:rsidR="00245075" w:rsidRPr="00850134">
        <w:rPr>
          <w:b/>
          <w:szCs w:val="22"/>
        </w:rPr>
        <w:t>6708</w:t>
      </w:r>
      <w:r w:rsidR="008267E3" w:rsidRPr="00850134">
        <w:rPr>
          <w:b/>
          <w:szCs w:val="22"/>
        </w:rPr>
        <w:t>/INFOEM/IP/RR/2025</w:t>
      </w:r>
      <w:r w:rsidRPr="00850134">
        <w:rPr>
          <w:b/>
          <w:szCs w:val="22"/>
        </w:rPr>
        <w:t xml:space="preserve"> </w:t>
      </w:r>
      <w:r w:rsidRPr="00850134">
        <w:rPr>
          <w:szCs w:val="22"/>
        </w:rPr>
        <w:t xml:space="preserve">interpuestos por </w:t>
      </w:r>
      <w:r w:rsidR="00245075" w:rsidRPr="00850134">
        <w:rPr>
          <w:b/>
          <w:szCs w:val="22"/>
        </w:rPr>
        <w:t>una persona de manera anónima</w:t>
      </w:r>
      <w:r w:rsidRPr="00850134">
        <w:rPr>
          <w:b/>
          <w:szCs w:val="22"/>
        </w:rPr>
        <w:t xml:space="preserve"> </w:t>
      </w:r>
      <w:r w:rsidRPr="00850134">
        <w:rPr>
          <w:szCs w:val="22"/>
        </w:rPr>
        <w:t xml:space="preserve">a quien en lo subsecuente se le denominará </w:t>
      </w:r>
      <w:r w:rsidRPr="00850134">
        <w:rPr>
          <w:b/>
          <w:szCs w:val="22"/>
        </w:rPr>
        <w:t>LA PARTE RECURRENTE</w:t>
      </w:r>
      <w:r w:rsidRPr="00850134">
        <w:rPr>
          <w:szCs w:val="22"/>
        </w:rPr>
        <w:t xml:space="preserve">, en contra de las respuestas emitidas por </w:t>
      </w:r>
      <w:r w:rsidR="009E0AD6" w:rsidRPr="00850134">
        <w:rPr>
          <w:szCs w:val="22"/>
        </w:rPr>
        <w:t>el</w:t>
      </w:r>
      <w:r w:rsidRPr="00850134">
        <w:rPr>
          <w:szCs w:val="22"/>
        </w:rPr>
        <w:t xml:space="preserve"> </w:t>
      </w:r>
      <w:r w:rsidR="00245075" w:rsidRPr="00850134">
        <w:rPr>
          <w:b/>
          <w:szCs w:val="22"/>
        </w:rPr>
        <w:t>Ayuntamiento de Acambay de Ruíz Castañeda</w:t>
      </w:r>
      <w:r w:rsidRPr="00850134">
        <w:rPr>
          <w:b/>
          <w:szCs w:val="22"/>
        </w:rPr>
        <w:t xml:space="preserve">, </w:t>
      </w:r>
      <w:r w:rsidRPr="00850134">
        <w:rPr>
          <w:szCs w:val="22"/>
        </w:rPr>
        <w:t xml:space="preserve">en adelante </w:t>
      </w:r>
      <w:r w:rsidRPr="00850134">
        <w:rPr>
          <w:b/>
          <w:szCs w:val="22"/>
        </w:rPr>
        <w:t>EL SUJETO OBLIGADO</w:t>
      </w:r>
      <w:r w:rsidRPr="00850134">
        <w:rPr>
          <w:szCs w:val="22"/>
        </w:rPr>
        <w:t>, se emite la presente Resolución con base en los Antecedentes y Considerandos que se exponen a continuación:</w:t>
      </w:r>
    </w:p>
    <w:p w14:paraId="5329D445" w14:textId="77777777" w:rsidR="001910CD" w:rsidRPr="00850134" w:rsidRDefault="001910CD" w:rsidP="00F51455">
      <w:pPr>
        <w:rPr>
          <w:szCs w:val="22"/>
        </w:rPr>
      </w:pPr>
    </w:p>
    <w:p w14:paraId="06C12CF8" w14:textId="77777777" w:rsidR="001910CD" w:rsidRPr="00850134" w:rsidRDefault="00593577" w:rsidP="00F51455">
      <w:pPr>
        <w:pStyle w:val="Ttulo1"/>
        <w:rPr>
          <w:szCs w:val="22"/>
        </w:rPr>
      </w:pPr>
      <w:bookmarkStart w:id="2" w:name="_Toc209630199"/>
      <w:r w:rsidRPr="00850134">
        <w:rPr>
          <w:szCs w:val="22"/>
        </w:rPr>
        <w:t>ANTECEDENTES</w:t>
      </w:r>
      <w:bookmarkEnd w:id="2"/>
    </w:p>
    <w:p w14:paraId="3BE6C7AA" w14:textId="77777777" w:rsidR="001910CD" w:rsidRPr="00850134" w:rsidRDefault="001910CD" w:rsidP="00F51455">
      <w:pPr>
        <w:rPr>
          <w:szCs w:val="22"/>
        </w:rPr>
      </w:pPr>
    </w:p>
    <w:p w14:paraId="1F86869F" w14:textId="77777777" w:rsidR="001910CD" w:rsidRPr="00850134" w:rsidRDefault="00593577" w:rsidP="00F51455">
      <w:pPr>
        <w:pStyle w:val="Ttulo2"/>
        <w:rPr>
          <w:szCs w:val="22"/>
        </w:rPr>
      </w:pPr>
      <w:bookmarkStart w:id="3" w:name="_Toc209630200"/>
      <w:r w:rsidRPr="00850134">
        <w:rPr>
          <w:szCs w:val="22"/>
        </w:rPr>
        <w:t>DE LAS SOLICITUDES DE INFORMACIÓN</w:t>
      </w:r>
      <w:bookmarkEnd w:id="3"/>
    </w:p>
    <w:p w14:paraId="06E74EA4" w14:textId="77777777" w:rsidR="001910CD" w:rsidRPr="00850134" w:rsidRDefault="00593577" w:rsidP="00F51455">
      <w:pPr>
        <w:pStyle w:val="Ttulo3"/>
        <w:spacing w:line="360" w:lineRule="auto"/>
        <w:rPr>
          <w:szCs w:val="22"/>
        </w:rPr>
      </w:pPr>
      <w:bookmarkStart w:id="4" w:name="_Toc209630201"/>
      <w:r w:rsidRPr="00850134">
        <w:rPr>
          <w:szCs w:val="22"/>
        </w:rPr>
        <w:t>a) Solicitudes de información.</w:t>
      </w:r>
      <w:bookmarkEnd w:id="4"/>
    </w:p>
    <w:p w14:paraId="725B6DBB" w14:textId="23C6DE5B" w:rsidR="003F1BAA" w:rsidRPr="00850134" w:rsidRDefault="00593577" w:rsidP="00F51455">
      <w:pPr>
        <w:tabs>
          <w:tab w:val="left" w:pos="0"/>
        </w:tabs>
        <w:rPr>
          <w:b/>
          <w:szCs w:val="22"/>
        </w:rPr>
      </w:pPr>
      <w:r w:rsidRPr="00850134">
        <w:rPr>
          <w:szCs w:val="22"/>
        </w:rPr>
        <w:t xml:space="preserve">El </w:t>
      </w:r>
      <w:r w:rsidR="00C93DCC" w:rsidRPr="00850134">
        <w:rPr>
          <w:b/>
          <w:szCs w:val="22"/>
        </w:rPr>
        <w:t xml:space="preserve">veinte de mayo </w:t>
      </w:r>
      <w:r w:rsidRPr="00850134">
        <w:rPr>
          <w:b/>
          <w:szCs w:val="22"/>
        </w:rPr>
        <w:t xml:space="preserve">de dos mil </w:t>
      </w:r>
      <w:r w:rsidR="00B0775F" w:rsidRPr="00850134">
        <w:rPr>
          <w:b/>
          <w:szCs w:val="22"/>
        </w:rPr>
        <w:t>veinticinco</w:t>
      </w:r>
      <w:r w:rsidRPr="00850134">
        <w:rPr>
          <w:szCs w:val="22"/>
        </w:rPr>
        <w:t xml:space="preserve"> </w:t>
      </w:r>
      <w:r w:rsidRPr="00850134">
        <w:rPr>
          <w:b/>
          <w:szCs w:val="22"/>
        </w:rPr>
        <w:t>LA PARTE RECURRENTE</w:t>
      </w:r>
      <w:r w:rsidRPr="00850134">
        <w:rPr>
          <w:szCs w:val="22"/>
        </w:rPr>
        <w:t xml:space="preserve"> presentó dos solicitudes de acceso a la información pública ante el </w:t>
      </w:r>
      <w:r w:rsidRPr="00850134">
        <w:rPr>
          <w:b/>
          <w:szCs w:val="22"/>
        </w:rPr>
        <w:t>SUJETO OBLIGADO</w:t>
      </w:r>
      <w:r w:rsidRPr="00850134">
        <w:rPr>
          <w:szCs w:val="22"/>
        </w:rPr>
        <w:t>, a través del Sistema de Acceso a la Información Mexiquense (SAIMEX). Dichas solicitudes quedaron registradas con los números de folio</w:t>
      </w:r>
      <w:r w:rsidRPr="00850134">
        <w:rPr>
          <w:b/>
          <w:szCs w:val="22"/>
        </w:rPr>
        <w:t xml:space="preserve"> </w:t>
      </w:r>
      <w:r w:rsidR="004F4233" w:rsidRPr="00850134">
        <w:rPr>
          <w:b/>
          <w:szCs w:val="22"/>
        </w:rPr>
        <w:t xml:space="preserve">00245/ACAMBAY/IP/2025 </w:t>
      </w:r>
      <w:r w:rsidR="00524A20" w:rsidRPr="00850134">
        <w:rPr>
          <w:b/>
          <w:szCs w:val="22"/>
        </w:rPr>
        <w:t xml:space="preserve">y </w:t>
      </w:r>
      <w:r w:rsidR="004F4233" w:rsidRPr="00850134">
        <w:rPr>
          <w:b/>
          <w:szCs w:val="22"/>
        </w:rPr>
        <w:t>00246/ACAMBAY/IP/2025</w:t>
      </w:r>
      <w:r w:rsidR="00FA166A" w:rsidRPr="00850134">
        <w:rPr>
          <w:b/>
          <w:szCs w:val="22"/>
        </w:rPr>
        <w:t>,</w:t>
      </w:r>
      <w:r w:rsidRPr="00850134">
        <w:rPr>
          <w:szCs w:val="22"/>
        </w:rPr>
        <w:t xml:space="preserve"> en ellas se requirió la siguiente información:</w:t>
      </w:r>
    </w:p>
    <w:p w14:paraId="290856F4" w14:textId="77777777" w:rsidR="003F1BAA" w:rsidRPr="00850134" w:rsidRDefault="003F1BAA" w:rsidP="00F51455">
      <w:pPr>
        <w:tabs>
          <w:tab w:val="left" w:pos="4667"/>
        </w:tabs>
        <w:ind w:right="567"/>
        <w:rPr>
          <w:b/>
          <w:szCs w:val="22"/>
        </w:rPr>
      </w:pPr>
    </w:p>
    <w:p w14:paraId="63582616" w14:textId="35157538" w:rsidR="004F4233" w:rsidRPr="00850134" w:rsidRDefault="004F4233" w:rsidP="00C93DCC">
      <w:pPr>
        <w:pStyle w:val="Puesto"/>
      </w:pPr>
      <w:r w:rsidRPr="00850134">
        <w:t xml:space="preserve">“solicito la convocatoria para la elección del titular del órgano interno de control 2025 así como la designación del encargado de despacho o titular del </w:t>
      </w:r>
      <w:proofErr w:type="spellStart"/>
      <w:r w:rsidRPr="00850134">
        <w:t>organo</w:t>
      </w:r>
      <w:proofErr w:type="spellEnd"/>
      <w:r w:rsidRPr="00850134">
        <w:t xml:space="preserve"> interno de control , nombramiento , acta de cabildo donde fue designado 2025 </w:t>
      </w:r>
      <w:proofErr w:type="spellStart"/>
      <w:r w:rsidRPr="00850134">
        <w:t>certificacion</w:t>
      </w:r>
      <w:proofErr w:type="spellEnd"/>
      <w:r w:rsidRPr="00850134">
        <w:t xml:space="preserve"> del servidor que ocupa el cargo de titular o encargado de despacho del </w:t>
      </w:r>
      <w:proofErr w:type="spellStart"/>
      <w:r w:rsidRPr="00850134">
        <w:t>organo</w:t>
      </w:r>
      <w:proofErr w:type="spellEnd"/>
      <w:r w:rsidRPr="00850134">
        <w:t xml:space="preserve"> interno de control 2025”</w:t>
      </w:r>
    </w:p>
    <w:p w14:paraId="6AF5453C" w14:textId="77777777" w:rsidR="00245075" w:rsidRPr="00850134" w:rsidRDefault="00245075" w:rsidP="00F51455">
      <w:pPr>
        <w:tabs>
          <w:tab w:val="left" w:pos="4667"/>
        </w:tabs>
        <w:ind w:right="567"/>
        <w:rPr>
          <w:b/>
          <w:szCs w:val="22"/>
        </w:rPr>
      </w:pPr>
    </w:p>
    <w:p w14:paraId="68DC356A" w14:textId="62FA0403" w:rsidR="003F1BAA" w:rsidRPr="00850134" w:rsidRDefault="00593577" w:rsidP="00F51455">
      <w:pPr>
        <w:tabs>
          <w:tab w:val="left" w:pos="4667"/>
        </w:tabs>
        <w:ind w:right="567"/>
        <w:rPr>
          <w:szCs w:val="22"/>
        </w:rPr>
      </w:pPr>
      <w:r w:rsidRPr="00850134">
        <w:rPr>
          <w:b/>
          <w:szCs w:val="22"/>
        </w:rPr>
        <w:lastRenderedPageBreak/>
        <w:t>Modalidad de entrega</w:t>
      </w:r>
      <w:r w:rsidRPr="00850134">
        <w:rPr>
          <w:szCs w:val="22"/>
        </w:rPr>
        <w:t xml:space="preserve">: a través del </w:t>
      </w:r>
      <w:r w:rsidRPr="00850134">
        <w:rPr>
          <w:b/>
          <w:szCs w:val="22"/>
        </w:rPr>
        <w:t>SAIMEX</w:t>
      </w:r>
      <w:r w:rsidRPr="00850134">
        <w:rPr>
          <w:szCs w:val="22"/>
        </w:rPr>
        <w:t>.</w:t>
      </w:r>
      <w:bookmarkStart w:id="5" w:name="_Toc184287666"/>
      <w:bookmarkStart w:id="6" w:name="_Toc190333697"/>
      <w:bookmarkStart w:id="7" w:name="_Toc191386324"/>
    </w:p>
    <w:bookmarkEnd w:id="5"/>
    <w:bookmarkEnd w:id="6"/>
    <w:bookmarkEnd w:id="7"/>
    <w:p w14:paraId="2C60751B" w14:textId="77777777" w:rsidR="00FE2E30" w:rsidRPr="00850134" w:rsidRDefault="00FE2E30" w:rsidP="00F51455">
      <w:pPr>
        <w:tabs>
          <w:tab w:val="left" w:pos="4667"/>
        </w:tabs>
        <w:ind w:right="567"/>
        <w:rPr>
          <w:szCs w:val="22"/>
        </w:rPr>
      </w:pPr>
    </w:p>
    <w:p w14:paraId="5705D62B" w14:textId="4E004791" w:rsidR="001910CD" w:rsidRPr="00850134" w:rsidRDefault="00245075" w:rsidP="00F51455">
      <w:pPr>
        <w:pStyle w:val="Ttulo3"/>
        <w:spacing w:line="360" w:lineRule="auto"/>
        <w:rPr>
          <w:szCs w:val="22"/>
        </w:rPr>
      </w:pPr>
      <w:bookmarkStart w:id="8" w:name="_Toc209630202"/>
      <w:r w:rsidRPr="00850134">
        <w:rPr>
          <w:szCs w:val="22"/>
        </w:rPr>
        <w:t>b</w:t>
      </w:r>
      <w:r w:rsidR="00593577" w:rsidRPr="00850134">
        <w:rPr>
          <w:szCs w:val="22"/>
        </w:rPr>
        <w:t>) Respuestas del Sujeto Obligado.</w:t>
      </w:r>
      <w:bookmarkEnd w:id="8"/>
    </w:p>
    <w:p w14:paraId="15F62244" w14:textId="52BFC506" w:rsidR="001910CD" w:rsidRPr="00850134" w:rsidRDefault="00593577" w:rsidP="00F51455">
      <w:pPr>
        <w:pBdr>
          <w:top w:val="nil"/>
          <w:left w:val="nil"/>
          <w:bottom w:val="nil"/>
          <w:right w:val="nil"/>
          <w:between w:val="nil"/>
        </w:pBdr>
        <w:rPr>
          <w:color w:val="000000"/>
          <w:szCs w:val="22"/>
        </w:rPr>
      </w:pPr>
      <w:r w:rsidRPr="00850134">
        <w:rPr>
          <w:color w:val="000000"/>
          <w:szCs w:val="22"/>
        </w:rPr>
        <w:t xml:space="preserve">El </w:t>
      </w:r>
      <w:r w:rsidR="00245075" w:rsidRPr="00850134">
        <w:rPr>
          <w:b/>
          <w:color w:val="000000"/>
          <w:szCs w:val="22"/>
        </w:rPr>
        <w:t>dos</w:t>
      </w:r>
      <w:r w:rsidR="00FA166A" w:rsidRPr="00850134">
        <w:rPr>
          <w:b/>
          <w:color w:val="000000"/>
          <w:szCs w:val="22"/>
        </w:rPr>
        <w:t xml:space="preserve"> de </w:t>
      </w:r>
      <w:r w:rsidR="00245075" w:rsidRPr="00850134">
        <w:rPr>
          <w:b/>
          <w:color w:val="000000"/>
          <w:szCs w:val="22"/>
        </w:rPr>
        <w:t>junio</w:t>
      </w:r>
      <w:r w:rsidR="00FA166A" w:rsidRPr="00850134">
        <w:rPr>
          <w:b/>
          <w:color w:val="000000"/>
          <w:szCs w:val="22"/>
        </w:rPr>
        <w:t xml:space="preserve"> </w:t>
      </w:r>
      <w:r w:rsidRPr="00850134">
        <w:rPr>
          <w:b/>
          <w:color w:val="000000"/>
          <w:szCs w:val="22"/>
        </w:rPr>
        <w:t>de dos mil veintic</w:t>
      </w:r>
      <w:r w:rsidR="00FA166A" w:rsidRPr="00850134">
        <w:rPr>
          <w:b/>
          <w:color w:val="000000"/>
          <w:szCs w:val="22"/>
        </w:rPr>
        <w:t>inco</w:t>
      </w:r>
      <w:r w:rsidRPr="00850134">
        <w:rPr>
          <w:b/>
          <w:color w:val="000000"/>
          <w:szCs w:val="22"/>
        </w:rPr>
        <w:t>,</w:t>
      </w:r>
      <w:r w:rsidRPr="00850134">
        <w:rPr>
          <w:color w:val="000000"/>
          <w:szCs w:val="22"/>
        </w:rPr>
        <w:t xml:space="preserve"> el Titular de la Unidad de Transparencia del </w:t>
      </w:r>
      <w:r w:rsidRPr="00850134">
        <w:rPr>
          <w:b/>
          <w:color w:val="000000"/>
          <w:szCs w:val="22"/>
        </w:rPr>
        <w:t>SUJETO OBLIGADO</w:t>
      </w:r>
      <w:r w:rsidRPr="00850134">
        <w:rPr>
          <w:color w:val="000000"/>
          <w:szCs w:val="22"/>
        </w:rPr>
        <w:t xml:space="preserve"> notificó las siguientes respuestas de manera homologada a través del </w:t>
      </w:r>
      <w:r w:rsidRPr="00850134">
        <w:rPr>
          <w:b/>
          <w:color w:val="000000"/>
          <w:szCs w:val="22"/>
        </w:rPr>
        <w:t>SAIMEX</w:t>
      </w:r>
      <w:r w:rsidRPr="00850134">
        <w:rPr>
          <w:color w:val="000000"/>
          <w:szCs w:val="22"/>
        </w:rPr>
        <w:t>, en los siguientes términos:</w:t>
      </w:r>
    </w:p>
    <w:p w14:paraId="6ADF3EA4" w14:textId="77777777" w:rsidR="00C93DCC" w:rsidRPr="00850134" w:rsidRDefault="00C93DCC" w:rsidP="00C93DCC">
      <w:pPr>
        <w:pStyle w:val="Puesto"/>
        <w:spacing w:line="360" w:lineRule="auto"/>
        <w:ind w:left="851" w:right="822"/>
        <w:jc w:val="right"/>
        <w:rPr>
          <w:szCs w:val="22"/>
        </w:rPr>
      </w:pPr>
    </w:p>
    <w:p w14:paraId="69A0A188" w14:textId="6651802A" w:rsidR="004F4233" w:rsidRPr="00850134" w:rsidRDefault="00C93DCC" w:rsidP="00C93DCC">
      <w:pPr>
        <w:pStyle w:val="Puesto"/>
      </w:pPr>
      <w:r w:rsidRPr="00850134">
        <w:t xml:space="preserve">“… </w:t>
      </w:r>
      <w:r w:rsidR="004F4233" w:rsidRPr="00850134">
        <w:t xml:space="preserve">En atención a su solicitud de Acceso a la información recibida por la plataforma SAIMEX al Ayuntamiento de Acambay de Ruiz Castañeda Estado de México, como Sujeto Obligado, se entrega la presente respuesta a su petición, manifestando que la información es la única que obra en los archivos municipales de conformidad con lo establecido en el segundo párrafo del </w:t>
      </w:r>
      <w:proofErr w:type="spellStart"/>
      <w:r w:rsidR="004F4233" w:rsidRPr="00850134">
        <w:t>articulo</w:t>
      </w:r>
      <w:proofErr w:type="spellEnd"/>
      <w:r w:rsidR="004F4233" w:rsidRPr="00850134">
        <w:t xml:space="preserve"> 12 de la Ley de Transparencia y Acceso a la Información Pública del Estado de México y </w:t>
      </w:r>
      <w:proofErr w:type="gramStart"/>
      <w:r w:rsidR="004F4233" w:rsidRPr="00850134">
        <w:t>Municipios .</w:t>
      </w:r>
      <w:proofErr w:type="gramEnd"/>
    </w:p>
    <w:p w14:paraId="6B342D4D" w14:textId="77777777" w:rsidR="004F4233" w:rsidRPr="00850134" w:rsidRDefault="004F4233" w:rsidP="00C93DCC">
      <w:pPr>
        <w:pStyle w:val="Puesto"/>
      </w:pPr>
    </w:p>
    <w:p w14:paraId="5261CCA1" w14:textId="77777777" w:rsidR="004F4233" w:rsidRPr="00850134" w:rsidRDefault="004F4233" w:rsidP="00C93DCC">
      <w:pPr>
        <w:pStyle w:val="Puesto"/>
      </w:pPr>
      <w:r w:rsidRPr="00850134">
        <w:t>ATENTAMENTE</w:t>
      </w:r>
    </w:p>
    <w:p w14:paraId="4BBADE01" w14:textId="77777777" w:rsidR="004F4233" w:rsidRPr="00850134" w:rsidRDefault="004F4233" w:rsidP="00C93DCC">
      <w:pPr>
        <w:pStyle w:val="Puesto"/>
      </w:pPr>
    </w:p>
    <w:p w14:paraId="0CF40E63" w14:textId="25D9CD22" w:rsidR="004F4233" w:rsidRPr="00850134" w:rsidRDefault="004F4233" w:rsidP="00C93DCC">
      <w:pPr>
        <w:pStyle w:val="Puesto"/>
      </w:pPr>
      <w:r w:rsidRPr="00850134">
        <w:t>LIC. BERENICE CISNEROS RUIZ” (Sic).</w:t>
      </w:r>
    </w:p>
    <w:p w14:paraId="09D8B3E6" w14:textId="77777777" w:rsidR="004F4233" w:rsidRPr="00850134" w:rsidRDefault="004F4233" w:rsidP="00F51455">
      <w:pPr>
        <w:pStyle w:val="Puesto"/>
        <w:spacing w:line="360" w:lineRule="auto"/>
        <w:rPr>
          <w:szCs w:val="22"/>
        </w:rPr>
      </w:pPr>
    </w:p>
    <w:p w14:paraId="597A406A" w14:textId="77777777" w:rsidR="004F4233" w:rsidRPr="00850134" w:rsidRDefault="004F4233" w:rsidP="00F51455">
      <w:pPr>
        <w:pBdr>
          <w:top w:val="nil"/>
          <w:left w:val="nil"/>
          <w:bottom w:val="nil"/>
          <w:right w:val="nil"/>
          <w:between w:val="nil"/>
        </w:pBdr>
        <w:rPr>
          <w:szCs w:val="22"/>
        </w:rPr>
      </w:pPr>
      <w:r w:rsidRPr="00850134">
        <w:rPr>
          <w:szCs w:val="22"/>
        </w:rPr>
        <w:t xml:space="preserve">A la </w:t>
      </w:r>
      <w:r w:rsidRPr="00850134">
        <w:rPr>
          <w:color w:val="000000"/>
          <w:szCs w:val="22"/>
        </w:rPr>
        <w:t>respuesta</w:t>
      </w:r>
      <w:r w:rsidRPr="00850134">
        <w:rPr>
          <w:szCs w:val="22"/>
        </w:rPr>
        <w:t xml:space="preserve"> se anexaron los archivos que a continuación se describen: </w:t>
      </w:r>
    </w:p>
    <w:p w14:paraId="420615BF" w14:textId="77777777" w:rsidR="004F4233" w:rsidRPr="00850134" w:rsidRDefault="004F4233" w:rsidP="00F51455">
      <w:pPr>
        <w:pStyle w:val="Puesto"/>
        <w:spacing w:line="360" w:lineRule="auto"/>
        <w:rPr>
          <w:szCs w:val="22"/>
        </w:rPr>
      </w:pPr>
    </w:p>
    <w:p w14:paraId="7E28714B" w14:textId="7CD820DF" w:rsidR="004F4233" w:rsidRPr="00850134" w:rsidRDefault="004F4233" w:rsidP="00C93DCC">
      <w:pPr>
        <w:pStyle w:val="Prrafodelista"/>
        <w:numPr>
          <w:ilvl w:val="0"/>
          <w:numId w:val="29"/>
        </w:numPr>
        <w:pBdr>
          <w:top w:val="nil"/>
          <w:left w:val="nil"/>
          <w:bottom w:val="nil"/>
          <w:right w:val="nil"/>
          <w:between w:val="nil"/>
        </w:pBdr>
        <w:rPr>
          <w:color w:val="000000"/>
          <w:szCs w:val="22"/>
        </w:rPr>
      </w:pPr>
      <w:r w:rsidRPr="00850134">
        <w:rPr>
          <w:b/>
          <w:i/>
          <w:color w:val="000000"/>
          <w:szCs w:val="22"/>
        </w:rPr>
        <w:t>“1.- ACTA PRIMERA ORDINARIA 01-01-25.pdf”:</w:t>
      </w:r>
      <w:r w:rsidRPr="00850134">
        <w:rPr>
          <w:color w:val="000000"/>
          <w:szCs w:val="22"/>
        </w:rPr>
        <w:t xml:space="preserve"> documento que contiene el acta de la primera sesión ordinaria de cabildo  registrada con el número PMA/AC/OR/001/2025, en la cual se advierte en el punto 8 de acuerdo, lo relativo al nombramiento del encargado del despacho del Órgano Interno de Control Municipal, así como la aprobación de la convocatoria para la designación de la persona Titular de del Órgano Interno de Control Municipal de Acambay de Ruíz Castañeda, Estado de México.</w:t>
      </w:r>
    </w:p>
    <w:p w14:paraId="708F54A3" w14:textId="77777777" w:rsidR="004F4233" w:rsidRPr="00850134" w:rsidRDefault="004F4233" w:rsidP="00F51455">
      <w:pPr>
        <w:pBdr>
          <w:top w:val="nil"/>
          <w:left w:val="nil"/>
          <w:bottom w:val="nil"/>
          <w:right w:val="nil"/>
          <w:between w:val="nil"/>
        </w:pBdr>
        <w:rPr>
          <w:color w:val="000000"/>
          <w:szCs w:val="22"/>
        </w:rPr>
      </w:pPr>
    </w:p>
    <w:p w14:paraId="45AEDDF0" w14:textId="5A018970" w:rsidR="004F4233" w:rsidRPr="00850134" w:rsidRDefault="004F4233" w:rsidP="00C93DCC">
      <w:pPr>
        <w:pStyle w:val="Prrafodelista"/>
        <w:numPr>
          <w:ilvl w:val="0"/>
          <w:numId w:val="29"/>
        </w:numPr>
        <w:pBdr>
          <w:top w:val="nil"/>
          <w:left w:val="nil"/>
          <w:bottom w:val="nil"/>
          <w:right w:val="nil"/>
          <w:between w:val="nil"/>
        </w:pBdr>
        <w:rPr>
          <w:color w:val="000000"/>
          <w:szCs w:val="22"/>
        </w:rPr>
      </w:pPr>
      <w:r w:rsidRPr="00850134">
        <w:rPr>
          <w:b/>
          <w:i/>
          <w:color w:val="000000"/>
          <w:szCs w:val="22"/>
        </w:rPr>
        <w:lastRenderedPageBreak/>
        <w:t>“DCTOS. OMAR LOPEZ GERVACIO (1).</w:t>
      </w:r>
      <w:proofErr w:type="spellStart"/>
      <w:r w:rsidRPr="00850134">
        <w:rPr>
          <w:b/>
          <w:i/>
          <w:color w:val="000000"/>
          <w:szCs w:val="22"/>
        </w:rPr>
        <w:t>pdf</w:t>
      </w:r>
      <w:proofErr w:type="spellEnd"/>
      <w:r w:rsidRPr="00850134">
        <w:rPr>
          <w:b/>
          <w:i/>
          <w:color w:val="000000"/>
          <w:szCs w:val="22"/>
        </w:rPr>
        <w:t>”</w:t>
      </w:r>
      <w:r w:rsidRPr="00850134">
        <w:rPr>
          <w:color w:val="000000"/>
          <w:szCs w:val="22"/>
        </w:rPr>
        <w:t xml:space="preserve">: documento que contiene el nombramiento expedido por la Presidente Municipal de Acambay, a nombre del C. Omar López </w:t>
      </w:r>
      <w:proofErr w:type="spellStart"/>
      <w:r w:rsidRPr="00850134">
        <w:rPr>
          <w:color w:val="000000"/>
          <w:szCs w:val="22"/>
        </w:rPr>
        <w:t>Gervacio</w:t>
      </w:r>
      <w:proofErr w:type="spellEnd"/>
      <w:r w:rsidRPr="00850134">
        <w:rPr>
          <w:color w:val="000000"/>
          <w:szCs w:val="22"/>
        </w:rPr>
        <w:t>, en el cual se le designa como Contralor Interno Municipal.</w:t>
      </w:r>
    </w:p>
    <w:p w14:paraId="6085093E" w14:textId="6097E8B6" w:rsidR="004F4233" w:rsidRPr="00850134" w:rsidRDefault="004F4233" w:rsidP="00C93DCC">
      <w:pPr>
        <w:pStyle w:val="Prrafodelista"/>
        <w:pBdr>
          <w:top w:val="nil"/>
          <w:left w:val="nil"/>
          <w:bottom w:val="nil"/>
          <w:right w:val="nil"/>
          <w:between w:val="nil"/>
        </w:pBdr>
        <w:ind w:left="644"/>
        <w:rPr>
          <w:color w:val="000000"/>
          <w:szCs w:val="22"/>
        </w:rPr>
      </w:pPr>
      <w:r w:rsidRPr="00850134">
        <w:rPr>
          <w:color w:val="000000"/>
          <w:szCs w:val="22"/>
        </w:rPr>
        <w:t xml:space="preserve">Asimismo, se remite un escrito firmado por el Director del Grupo CAROM, por el cual se hace del conocimiento que el C. Omar López </w:t>
      </w:r>
      <w:proofErr w:type="spellStart"/>
      <w:r w:rsidRPr="00850134">
        <w:rPr>
          <w:color w:val="000000"/>
          <w:szCs w:val="22"/>
        </w:rPr>
        <w:t>Gervacio</w:t>
      </w:r>
      <w:proofErr w:type="spellEnd"/>
      <w:r w:rsidRPr="00850134">
        <w:rPr>
          <w:color w:val="000000"/>
          <w:szCs w:val="22"/>
        </w:rPr>
        <w:t>, resultó competente en el proceso de evaluación base en el estándar "EC0777 Ejecución de las atribuciones de la Contraloría Municipal", y que actualmente se encuentra en proceso de dictaminaron para su posterior emisión del certificado por parte del Consejo Nacional de Normalización y Certificación de Competencias Laborales (CONOCER).</w:t>
      </w:r>
    </w:p>
    <w:p w14:paraId="6AC06D2E" w14:textId="77777777" w:rsidR="004F4233" w:rsidRPr="00850134" w:rsidRDefault="004F4233" w:rsidP="00F51455">
      <w:pPr>
        <w:pBdr>
          <w:top w:val="nil"/>
          <w:left w:val="nil"/>
          <w:bottom w:val="nil"/>
          <w:right w:val="nil"/>
          <w:between w:val="nil"/>
        </w:pBdr>
        <w:rPr>
          <w:color w:val="000000"/>
          <w:szCs w:val="22"/>
        </w:rPr>
      </w:pPr>
    </w:p>
    <w:p w14:paraId="73297FDC" w14:textId="25B56F61" w:rsidR="004F4233" w:rsidRPr="00850134" w:rsidRDefault="004F4233" w:rsidP="00C93DCC">
      <w:pPr>
        <w:pStyle w:val="Prrafodelista"/>
        <w:numPr>
          <w:ilvl w:val="0"/>
          <w:numId w:val="29"/>
        </w:numPr>
        <w:pBdr>
          <w:top w:val="nil"/>
          <w:left w:val="nil"/>
          <w:bottom w:val="nil"/>
          <w:right w:val="nil"/>
          <w:between w:val="nil"/>
        </w:pBdr>
        <w:rPr>
          <w:color w:val="000000"/>
          <w:szCs w:val="22"/>
        </w:rPr>
      </w:pPr>
      <w:r w:rsidRPr="00850134">
        <w:rPr>
          <w:b/>
          <w:i/>
          <w:color w:val="000000"/>
          <w:szCs w:val="22"/>
        </w:rPr>
        <w:t>“SOL 245.pdf”:</w:t>
      </w:r>
      <w:r w:rsidRPr="00850134">
        <w:rPr>
          <w:color w:val="000000"/>
          <w:szCs w:val="22"/>
        </w:rPr>
        <w:t xml:space="preserve"> documento que contiene los siguientes oficios: </w:t>
      </w:r>
    </w:p>
    <w:p w14:paraId="1A1AECC3" w14:textId="57D96C89" w:rsidR="004F4233" w:rsidRPr="00850134" w:rsidRDefault="004F4233" w:rsidP="00C93DCC">
      <w:pPr>
        <w:pStyle w:val="Prrafodelista"/>
        <w:numPr>
          <w:ilvl w:val="0"/>
          <w:numId w:val="30"/>
        </w:numPr>
        <w:pBdr>
          <w:top w:val="nil"/>
          <w:left w:val="nil"/>
          <w:bottom w:val="nil"/>
          <w:right w:val="nil"/>
          <w:between w:val="nil"/>
        </w:pBdr>
        <w:rPr>
          <w:color w:val="000000"/>
          <w:szCs w:val="22"/>
        </w:rPr>
      </w:pPr>
      <w:r w:rsidRPr="00850134">
        <w:rPr>
          <w:color w:val="000000"/>
          <w:szCs w:val="22"/>
          <w:u w:val="single"/>
        </w:rPr>
        <w:t>UTAIPEM/420/2025</w:t>
      </w:r>
      <w:r w:rsidRPr="00850134">
        <w:rPr>
          <w:color w:val="000000"/>
          <w:szCs w:val="22"/>
        </w:rPr>
        <w:t xml:space="preserve">, suscrito por la </w:t>
      </w:r>
      <w:r w:rsidR="00D66287" w:rsidRPr="00850134">
        <w:rPr>
          <w:color w:val="000000"/>
          <w:szCs w:val="22"/>
        </w:rPr>
        <w:t>Titular</w:t>
      </w:r>
      <w:r w:rsidRPr="00850134">
        <w:rPr>
          <w:color w:val="000000"/>
          <w:szCs w:val="22"/>
        </w:rPr>
        <w:t xml:space="preserve"> de la Unidad de Transparencia, por medio del cual turna el requerimiento para dar atención a la solicitud del particular a la Directora de Administración.</w:t>
      </w:r>
    </w:p>
    <w:p w14:paraId="5828866B" w14:textId="4A1037D4" w:rsidR="004F4233" w:rsidRPr="00850134" w:rsidRDefault="004F4233" w:rsidP="00C93DCC">
      <w:pPr>
        <w:pStyle w:val="Prrafodelista"/>
        <w:numPr>
          <w:ilvl w:val="0"/>
          <w:numId w:val="30"/>
        </w:numPr>
        <w:pBdr>
          <w:top w:val="nil"/>
          <w:left w:val="nil"/>
          <w:bottom w:val="nil"/>
          <w:right w:val="nil"/>
          <w:between w:val="nil"/>
        </w:pBdr>
        <w:rPr>
          <w:color w:val="000000"/>
          <w:szCs w:val="22"/>
        </w:rPr>
      </w:pPr>
      <w:r w:rsidRPr="00850134">
        <w:rPr>
          <w:color w:val="000000"/>
          <w:szCs w:val="22"/>
          <w:u w:val="single"/>
        </w:rPr>
        <w:t>DA/01324/2025</w:t>
      </w:r>
      <w:r w:rsidRPr="00850134">
        <w:rPr>
          <w:color w:val="000000"/>
          <w:szCs w:val="22"/>
        </w:rPr>
        <w:t>, suscrito por la Directora de Administración, en el que apunta que,  se remite de manera digitalizada, copia simple del nombramiento del Servidor Público que ocupa la Contraloría Interna Municipal del Ayuntamiento de Acambay de Ruíz Castañeda 2025-2027; respecto a la certificación correspondiente, informa que, con fundamento en el Título Segundo, Capítulo Tercero, Artículo 32, Fracción IV de la Ley Orgánica Municipal del  Estado de México, se establece que tal requisito deberá acreditarse dentro de los seis meses siguientes a la fecha en que inicien sus funciones, por lo que su proceso se encuentra en trámite.</w:t>
      </w:r>
    </w:p>
    <w:p w14:paraId="5DE845A5" w14:textId="3C0E87B3" w:rsidR="004F4233" w:rsidRPr="00850134" w:rsidRDefault="004F4233" w:rsidP="00C93DCC">
      <w:pPr>
        <w:pStyle w:val="Prrafodelista"/>
        <w:numPr>
          <w:ilvl w:val="0"/>
          <w:numId w:val="30"/>
        </w:numPr>
        <w:pBdr>
          <w:top w:val="nil"/>
          <w:left w:val="nil"/>
          <w:bottom w:val="nil"/>
          <w:right w:val="nil"/>
          <w:between w:val="nil"/>
        </w:pBdr>
        <w:rPr>
          <w:color w:val="000000"/>
          <w:szCs w:val="22"/>
        </w:rPr>
      </w:pPr>
      <w:r w:rsidRPr="00850134">
        <w:rPr>
          <w:color w:val="000000"/>
          <w:szCs w:val="22"/>
          <w:u w:val="single"/>
        </w:rPr>
        <w:lastRenderedPageBreak/>
        <w:t>UTAIPEM/419/2025</w:t>
      </w:r>
      <w:r w:rsidRPr="00850134">
        <w:rPr>
          <w:color w:val="000000"/>
          <w:szCs w:val="22"/>
        </w:rPr>
        <w:t>, suscrito por la Titular de la Unidad de Transparencia, por medio del cual turna el requerimiento para dar atención a la solicitud del particular al Secretario del Ayuntamiento.</w:t>
      </w:r>
    </w:p>
    <w:p w14:paraId="424EF3A2" w14:textId="1478C0F0" w:rsidR="003326FC" w:rsidRPr="00850134" w:rsidRDefault="004F4233" w:rsidP="00C93DCC">
      <w:pPr>
        <w:pStyle w:val="Prrafodelista"/>
        <w:numPr>
          <w:ilvl w:val="0"/>
          <w:numId w:val="30"/>
        </w:numPr>
        <w:pBdr>
          <w:top w:val="nil"/>
          <w:left w:val="nil"/>
          <w:bottom w:val="nil"/>
          <w:right w:val="nil"/>
          <w:between w:val="nil"/>
        </w:pBdr>
        <w:rPr>
          <w:color w:val="000000"/>
          <w:szCs w:val="22"/>
        </w:rPr>
      </w:pPr>
      <w:r w:rsidRPr="00850134">
        <w:rPr>
          <w:color w:val="000000"/>
          <w:szCs w:val="22"/>
        </w:rPr>
        <w:t>ACA/SA/0432/2025: suscrito por el Secretario del Ayuntamiento, a través del cual indica que, se anexa a la presente copia simple de la Convocatoria para la elección del Titular del Órgano Interno de Control 2025, así como copia simple del Acta de cabildo donde fue designado.</w:t>
      </w:r>
    </w:p>
    <w:p w14:paraId="38AD776C" w14:textId="77777777" w:rsidR="00062EAA" w:rsidRPr="00850134" w:rsidRDefault="00062EAA" w:rsidP="00F51455">
      <w:pPr>
        <w:ind w:right="-28"/>
        <w:rPr>
          <w:szCs w:val="22"/>
        </w:rPr>
      </w:pPr>
    </w:p>
    <w:p w14:paraId="71CB3D67" w14:textId="77777777" w:rsidR="001910CD" w:rsidRPr="00850134" w:rsidRDefault="00593577" w:rsidP="00F51455">
      <w:pPr>
        <w:pStyle w:val="Ttulo2"/>
        <w:jc w:val="left"/>
        <w:rPr>
          <w:szCs w:val="22"/>
        </w:rPr>
      </w:pPr>
      <w:bookmarkStart w:id="9" w:name="_Toc209630203"/>
      <w:r w:rsidRPr="00850134">
        <w:rPr>
          <w:szCs w:val="22"/>
        </w:rPr>
        <w:t>DEL RECURSO DE REVISIÓN</w:t>
      </w:r>
      <w:bookmarkEnd w:id="9"/>
    </w:p>
    <w:p w14:paraId="1CFF8A16" w14:textId="77777777" w:rsidR="001910CD" w:rsidRPr="00850134" w:rsidRDefault="00593577" w:rsidP="00F51455">
      <w:pPr>
        <w:pStyle w:val="Ttulo3"/>
        <w:spacing w:line="360" w:lineRule="auto"/>
        <w:rPr>
          <w:szCs w:val="22"/>
        </w:rPr>
      </w:pPr>
      <w:bookmarkStart w:id="10" w:name="_Toc209630204"/>
      <w:r w:rsidRPr="00850134">
        <w:rPr>
          <w:szCs w:val="22"/>
        </w:rPr>
        <w:t>a) Interposición de los Recursos de Revisión.</w:t>
      </w:r>
      <w:bookmarkEnd w:id="10"/>
    </w:p>
    <w:p w14:paraId="1261369A" w14:textId="0524DE87" w:rsidR="001910CD" w:rsidRPr="00850134" w:rsidRDefault="00593577" w:rsidP="00F51455">
      <w:pPr>
        <w:ind w:right="-28"/>
        <w:rPr>
          <w:szCs w:val="22"/>
        </w:rPr>
      </w:pPr>
      <w:r w:rsidRPr="00850134">
        <w:rPr>
          <w:szCs w:val="22"/>
        </w:rPr>
        <w:t xml:space="preserve">El </w:t>
      </w:r>
      <w:r w:rsidR="004F4233" w:rsidRPr="00850134">
        <w:rPr>
          <w:b/>
          <w:szCs w:val="22"/>
        </w:rPr>
        <w:t>nueve</w:t>
      </w:r>
      <w:r w:rsidR="00821667" w:rsidRPr="00850134">
        <w:rPr>
          <w:b/>
          <w:szCs w:val="22"/>
        </w:rPr>
        <w:t xml:space="preserve"> </w:t>
      </w:r>
      <w:r w:rsidRPr="00850134">
        <w:rPr>
          <w:b/>
          <w:szCs w:val="22"/>
        </w:rPr>
        <w:t xml:space="preserve">de </w:t>
      </w:r>
      <w:r w:rsidR="004F4233" w:rsidRPr="00850134">
        <w:rPr>
          <w:b/>
          <w:szCs w:val="22"/>
        </w:rPr>
        <w:t>junio</w:t>
      </w:r>
      <w:r w:rsidRPr="00850134">
        <w:rPr>
          <w:b/>
          <w:szCs w:val="22"/>
        </w:rPr>
        <w:t xml:space="preserve"> de dos mil </w:t>
      </w:r>
      <w:r w:rsidR="004156C5" w:rsidRPr="00850134">
        <w:rPr>
          <w:b/>
          <w:szCs w:val="22"/>
        </w:rPr>
        <w:t>veinticinco</w:t>
      </w:r>
      <w:r w:rsidRPr="00850134">
        <w:rPr>
          <w:b/>
          <w:szCs w:val="22"/>
        </w:rPr>
        <w:t>,</w:t>
      </w:r>
      <w:r w:rsidRPr="00850134">
        <w:rPr>
          <w:szCs w:val="22"/>
        </w:rPr>
        <w:t xml:space="preserve"> </w:t>
      </w:r>
      <w:r w:rsidRPr="00850134">
        <w:rPr>
          <w:b/>
          <w:szCs w:val="22"/>
        </w:rPr>
        <w:t>LA PARTE RECURRENTE</w:t>
      </w:r>
      <w:r w:rsidRPr="00850134">
        <w:rPr>
          <w:szCs w:val="22"/>
        </w:rPr>
        <w:t xml:space="preserve"> interpuso los recursos de revisión en contra de las respuestas emitidas por el </w:t>
      </w:r>
      <w:r w:rsidRPr="00850134">
        <w:rPr>
          <w:b/>
          <w:szCs w:val="22"/>
        </w:rPr>
        <w:t>SUJETO OBLIGADO</w:t>
      </w:r>
      <w:r w:rsidRPr="00850134">
        <w:rPr>
          <w:szCs w:val="22"/>
        </w:rPr>
        <w:t>, mismos que fueron registrados en el SAIMEX con los números de expedientes</w:t>
      </w:r>
      <w:r w:rsidR="00821667" w:rsidRPr="00850134">
        <w:rPr>
          <w:szCs w:val="22"/>
        </w:rPr>
        <w:t xml:space="preserve"> </w:t>
      </w:r>
      <w:r w:rsidR="003326FC" w:rsidRPr="00850134">
        <w:rPr>
          <w:b/>
          <w:szCs w:val="22"/>
        </w:rPr>
        <w:t>0</w:t>
      </w:r>
      <w:r w:rsidR="00C878A7" w:rsidRPr="00850134">
        <w:rPr>
          <w:b/>
          <w:szCs w:val="22"/>
        </w:rPr>
        <w:t>6707/INFOEM/IP/RR/2025 y 06708</w:t>
      </w:r>
      <w:r w:rsidR="00821667" w:rsidRPr="00850134">
        <w:rPr>
          <w:b/>
          <w:szCs w:val="22"/>
        </w:rPr>
        <w:t>/INFOEM/IP/RR/2025</w:t>
      </w:r>
      <w:r w:rsidRPr="00850134">
        <w:rPr>
          <w:szCs w:val="22"/>
        </w:rPr>
        <w:t xml:space="preserve"> en los cuales se manifestó lo siguiente:</w:t>
      </w:r>
    </w:p>
    <w:p w14:paraId="6C30FC1F" w14:textId="77777777" w:rsidR="003326FC" w:rsidRPr="00850134" w:rsidRDefault="003326FC" w:rsidP="00F51455">
      <w:pPr>
        <w:ind w:right="-28"/>
        <w:rPr>
          <w:szCs w:val="22"/>
        </w:rPr>
      </w:pPr>
    </w:p>
    <w:p w14:paraId="76281B1E" w14:textId="11053DEF" w:rsidR="00F51455" w:rsidRPr="00850134" w:rsidRDefault="00F51455" w:rsidP="00F51455">
      <w:pPr>
        <w:tabs>
          <w:tab w:val="left" w:pos="0"/>
        </w:tabs>
        <w:rPr>
          <w:b/>
          <w:szCs w:val="22"/>
        </w:rPr>
      </w:pPr>
      <w:r w:rsidRPr="00850134">
        <w:rPr>
          <w:b/>
          <w:szCs w:val="22"/>
        </w:rPr>
        <w:t>ACTO IMPUGNADO Y RAZONES Y MOTIVOS DE LA INCONFORMIDAD:</w:t>
      </w:r>
    </w:p>
    <w:p w14:paraId="2E11C4CB" w14:textId="77777777" w:rsidR="00821667" w:rsidRPr="00850134" w:rsidRDefault="00821667" w:rsidP="00F51455">
      <w:pPr>
        <w:tabs>
          <w:tab w:val="left" w:pos="0"/>
        </w:tabs>
        <w:rPr>
          <w:b/>
          <w:szCs w:val="22"/>
        </w:rPr>
      </w:pPr>
    </w:p>
    <w:p w14:paraId="7AB75863" w14:textId="4C796913" w:rsidR="00821667" w:rsidRPr="00850134" w:rsidRDefault="00821667" w:rsidP="00627B71">
      <w:pPr>
        <w:pStyle w:val="Puesto"/>
      </w:pPr>
      <w:r w:rsidRPr="00850134">
        <w:t>“</w:t>
      </w:r>
      <w:r w:rsidR="00C878A7" w:rsidRPr="00850134">
        <w:t xml:space="preserve">no entrega la </w:t>
      </w:r>
      <w:proofErr w:type="spellStart"/>
      <w:r w:rsidR="00C878A7" w:rsidRPr="00850134">
        <w:t>informacion</w:t>
      </w:r>
      <w:proofErr w:type="spellEnd"/>
      <w:r w:rsidR="00C878A7" w:rsidRPr="00850134">
        <w:t xml:space="preserve"> </w:t>
      </w:r>
      <w:proofErr w:type="spellStart"/>
      <w:r w:rsidR="00C878A7" w:rsidRPr="00850134">
        <w:t>complea</w:t>
      </w:r>
      <w:proofErr w:type="spellEnd"/>
      <w:r w:rsidR="00C878A7" w:rsidRPr="00850134">
        <w:t xml:space="preserve"> no adjuntan la convocatoria que </w:t>
      </w:r>
      <w:proofErr w:type="spellStart"/>
      <w:r w:rsidR="00C878A7" w:rsidRPr="00850134">
        <w:t>debio</w:t>
      </w:r>
      <w:proofErr w:type="spellEnd"/>
      <w:r w:rsidR="00C878A7" w:rsidRPr="00850134">
        <w:t xml:space="preserve"> emitirse para ocupar el cargo del </w:t>
      </w:r>
      <w:proofErr w:type="spellStart"/>
      <w:r w:rsidR="00C878A7" w:rsidRPr="00850134">
        <w:t>organo</w:t>
      </w:r>
      <w:proofErr w:type="spellEnd"/>
      <w:r w:rsidR="00C878A7" w:rsidRPr="00850134">
        <w:t xml:space="preserve"> interno </w:t>
      </w:r>
      <w:proofErr w:type="spellStart"/>
      <w:r w:rsidR="00C878A7" w:rsidRPr="00850134">
        <w:t>e</w:t>
      </w:r>
      <w:proofErr w:type="spellEnd"/>
      <w:r w:rsidR="00C878A7" w:rsidRPr="00850134">
        <w:t xml:space="preserve"> control</w:t>
      </w:r>
      <w:r w:rsidRPr="00850134">
        <w:t>”</w:t>
      </w:r>
      <w:r w:rsidR="00C878A7" w:rsidRPr="00850134">
        <w:t xml:space="preserve"> (sic).</w:t>
      </w:r>
    </w:p>
    <w:p w14:paraId="04AAD0E3" w14:textId="77777777" w:rsidR="003326FC" w:rsidRPr="00850134" w:rsidRDefault="003326FC" w:rsidP="00F51455">
      <w:pPr>
        <w:ind w:right="822"/>
        <w:rPr>
          <w:b/>
          <w:szCs w:val="22"/>
        </w:rPr>
      </w:pPr>
    </w:p>
    <w:p w14:paraId="281C3E6D" w14:textId="77777777" w:rsidR="001910CD" w:rsidRPr="00850134" w:rsidRDefault="00593577" w:rsidP="00F51455">
      <w:pPr>
        <w:pStyle w:val="Ttulo3"/>
        <w:spacing w:line="360" w:lineRule="auto"/>
        <w:rPr>
          <w:szCs w:val="22"/>
        </w:rPr>
      </w:pPr>
      <w:bookmarkStart w:id="11" w:name="_Toc209630205"/>
      <w:r w:rsidRPr="00850134">
        <w:rPr>
          <w:szCs w:val="22"/>
        </w:rPr>
        <w:t>b) Turno de los Recursos de Revisión.</w:t>
      </w:r>
      <w:bookmarkEnd w:id="11"/>
    </w:p>
    <w:p w14:paraId="5E93AAA5" w14:textId="66C5EE42" w:rsidR="00D96DD6" w:rsidRPr="00850134" w:rsidRDefault="007B1BAC" w:rsidP="00F51455">
      <w:pPr>
        <w:rPr>
          <w:szCs w:val="22"/>
        </w:rPr>
      </w:pPr>
      <w:r w:rsidRPr="00850134">
        <w:rPr>
          <w:szCs w:val="22"/>
        </w:rPr>
        <w:t>Con fundamento en el artículo 185, fracción I de la Ley de Transparencia y Acceso a la Información Pública del Estado de México y Municipios, el</w:t>
      </w:r>
      <w:r w:rsidRPr="00850134">
        <w:rPr>
          <w:b/>
          <w:bCs/>
          <w:szCs w:val="22"/>
        </w:rPr>
        <w:t xml:space="preserve"> </w:t>
      </w:r>
      <w:r w:rsidR="00C878A7" w:rsidRPr="00850134">
        <w:rPr>
          <w:rFonts w:eastAsia="Palatino Linotype" w:cs="Palatino Linotype"/>
          <w:b/>
          <w:szCs w:val="22"/>
        </w:rPr>
        <w:t>nueve</w:t>
      </w:r>
      <w:r w:rsidRPr="00850134">
        <w:rPr>
          <w:rFonts w:eastAsia="Palatino Linotype" w:cs="Palatino Linotype"/>
          <w:b/>
          <w:szCs w:val="22"/>
        </w:rPr>
        <w:t xml:space="preserve"> de </w:t>
      </w:r>
      <w:r w:rsidR="00C878A7" w:rsidRPr="00850134">
        <w:rPr>
          <w:rFonts w:eastAsia="Palatino Linotype" w:cs="Palatino Linotype"/>
          <w:b/>
          <w:szCs w:val="22"/>
        </w:rPr>
        <w:t>junio</w:t>
      </w:r>
      <w:r w:rsidRPr="00850134">
        <w:rPr>
          <w:rFonts w:eastAsia="Palatino Linotype" w:cs="Palatino Linotype"/>
          <w:b/>
          <w:szCs w:val="22"/>
        </w:rPr>
        <w:t xml:space="preserve"> de dos mil veinticinco </w:t>
      </w:r>
      <w:r w:rsidRPr="00850134">
        <w:rPr>
          <w:szCs w:val="22"/>
        </w:rPr>
        <w:t>se tunaron a través del</w:t>
      </w:r>
      <w:r w:rsidRPr="00850134">
        <w:rPr>
          <w:rFonts w:eastAsia="Arial Unicode MS"/>
          <w:szCs w:val="22"/>
        </w:rPr>
        <w:t xml:space="preserve"> </w:t>
      </w:r>
      <w:r w:rsidRPr="00850134">
        <w:rPr>
          <w:rFonts w:eastAsia="Arial Unicode MS"/>
          <w:b/>
          <w:bCs/>
          <w:szCs w:val="22"/>
        </w:rPr>
        <w:t>SAIMEX</w:t>
      </w:r>
      <w:r w:rsidRPr="00850134">
        <w:rPr>
          <w:szCs w:val="22"/>
        </w:rPr>
        <w:t xml:space="preserve"> los Recursos de Revisión </w:t>
      </w:r>
      <w:r w:rsidR="00D96DD6" w:rsidRPr="00850134">
        <w:rPr>
          <w:szCs w:val="22"/>
        </w:rPr>
        <w:t>a efecto de decretar su admisión o desechamiento de la siguiente manera:</w:t>
      </w:r>
    </w:p>
    <w:p w14:paraId="52523D41" w14:textId="77777777" w:rsidR="00C878A7" w:rsidRPr="00850134" w:rsidRDefault="00C878A7" w:rsidP="00F51455">
      <w:pPr>
        <w:rPr>
          <w:szCs w:val="22"/>
        </w:rPr>
      </w:pPr>
    </w:p>
    <w:p w14:paraId="05322998" w14:textId="5CE657B4" w:rsidR="00D96DD6" w:rsidRPr="00850134" w:rsidRDefault="00D96DD6" w:rsidP="00F51455">
      <w:pPr>
        <w:pStyle w:val="Prrafodelista"/>
        <w:numPr>
          <w:ilvl w:val="0"/>
          <w:numId w:val="1"/>
        </w:numPr>
        <w:rPr>
          <w:b/>
          <w:szCs w:val="22"/>
        </w:rPr>
      </w:pPr>
      <w:r w:rsidRPr="00850134">
        <w:rPr>
          <w:szCs w:val="22"/>
        </w:rPr>
        <w:t xml:space="preserve">Recursos de revisión: </w:t>
      </w:r>
      <w:r w:rsidR="00CE1D51" w:rsidRPr="00850134">
        <w:rPr>
          <w:b/>
          <w:szCs w:val="22"/>
        </w:rPr>
        <w:t>0</w:t>
      </w:r>
      <w:r w:rsidR="00C878A7" w:rsidRPr="00850134">
        <w:rPr>
          <w:b/>
          <w:szCs w:val="22"/>
        </w:rPr>
        <w:t>6707</w:t>
      </w:r>
      <w:r w:rsidR="00821667" w:rsidRPr="00850134">
        <w:rPr>
          <w:b/>
          <w:szCs w:val="22"/>
        </w:rPr>
        <w:t>/INFOEM/IP/RR/2025</w:t>
      </w:r>
      <w:r w:rsidRPr="00850134">
        <w:rPr>
          <w:b/>
          <w:szCs w:val="22"/>
        </w:rPr>
        <w:t xml:space="preserve"> </w:t>
      </w:r>
      <w:r w:rsidR="007B1BAC" w:rsidRPr="00850134">
        <w:rPr>
          <w:szCs w:val="22"/>
        </w:rPr>
        <w:t xml:space="preserve">a la </w:t>
      </w:r>
      <w:r w:rsidRPr="00850134">
        <w:rPr>
          <w:szCs w:val="22"/>
        </w:rPr>
        <w:t>C</w:t>
      </w:r>
      <w:r w:rsidR="007B1BAC" w:rsidRPr="00850134">
        <w:rPr>
          <w:szCs w:val="22"/>
        </w:rPr>
        <w:t>omisionada</w:t>
      </w:r>
      <w:r w:rsidR="007B1BAC" w:rsidRPr="00850134">
        <w:rPr>
          <w:b/>
          <w:szCs w:val="22"/>
        </w:rPr>
        <w:t xml:space="preserve"> Sharon Cristina Morales Martínez</w:t>
      </w:r>
    </w:p>
    <w:p w14:paraId="707259FF" w14:textId="1DE7BD56" w:rsidR="00821667" w:rsidRPr="00850134" w:rsidRDefault="00821667" w:rsidP="00F51455">
      <w:pPr>
        <w:pStyle w:val="Prrafodelista"/>
        <w:numPr>
          <w:ilvl w:val="0"/>
          <w:numId w:val="1"/>
        </w:numPr>
        <w:rPr>
          <w:b/>
          <w:szCs w:val="22"/>
        </w:rPr>
      </w:pPr>
      <w:r w:rsidRPr="00850134">
        <w:rPr>
          <w:szCs w:val="22"/>
        </w:rPr>
        <w:t>Recursos de revisión</w:t>
      </w:r>
      <w:r w:rsidRPr="00850134">
        <w:rPr>
          <w:b/>
          <w:szCs w:val="22"/>
        </w:rPr>
        <w:t xml:space="preserve"> 0</w:t>
      </w:r>
      <w:r w:rsidR="00C878A7" w:rsidRPr="00850134">
        <w:rPr>
          <w:b/>
          <w:szCs w:val="22"/>
        </w:rPr>
        <w:t>6708</w:t>
      </w:r>
      <w:r w:rsidRPr="00850134">
        <w:rPr>
          <w:b/>
          <w:szCs w:val="22"/>
        </w:rPr>
        <w:t xml:space="preserve">/INFOEM/IP/RR/2025 </w:t>
      </w:r>
      <w:r w:rsidRPr="00850134">
        <w:rPr>
          <w:szCs w:val="22"/>
        </w:rPr>
        <w:t xml:space="preserve">a la Comisionada </w:t>
      </w:r>
      <w:r w:rsidRPr="00850134">
        <w:rPr>
          <w:b/>
          <w:szCs w:val="22"/>
        </w:rPr>
        <w:t>María del Rosario Mejía Ayala.</w:t>
      </w:r>
    </w:p>
    <w:p w14:paraId="6DF38B2A" w14:textId="77777777" w:rsidR="007B1BAC" w:rsidRPr="00850134" w:rsidRDefault="007B1BAC" w:rsidP="00F51455">
      <w:pPr>
        <w:rPr>
          <w:rFonts w:eastAsia="Batang" w:cs="Tahoma"/>
          <w:bCs/>
          <w:szCs w:val="22"/>
        </w:rPr>
      </w:pPr>
    </w:p>
    <w:p w14:paraId="332EAA18" w14:textId="77777777" w:rsidR="001910CD" w:rsidRPr="00850134" w:rsidRDefault="00593577" w:rsidP="00F51455">
      <w:pPr>
        <w:pStyle w:val="Ttulo3"/>
        <w:spacing w:line="360" w:lineRule="auto"/>
        <w:rPr>
          <w:szCs w:val="22"/>
        </w:rPr>
      </w:pPr>
      <w:bookmarkStart w:id="12" w:name="_Toc209630206"/>
      <w:r w:rsidRPr="00850134">
        <w:rPr>
          <w:szCs w:val="22"/>
        </w:rPr>
        <w:t>c) Admisiones de los Recursos de Revisión.</w:t>
      </w:r>
      <w:bookmarkEnd w:id="12"/>
    </w:p>
    <w:p w14:paraId="20401A7C" w14:textId="255B6C25" w:rsidR="001910CD" w:rsidRPr="00850134" w:rsidRDefault="00593577" w:rsidP="00F51455">
      <w:pPr>
        <w:rPr>
          <w:color w:val="000000"/>
          <w:szCs w:val="22"/>
        </w:rPr>
      </w:pPr>
      <w:r w:rsidRPr="00850134">
        <w:rPr>
          <w:color w:val="000000"/>
          <w:szCs w:val="22"/>
        </w:rPr>
        <w:t xml:space="preserve">El </w:t>
      </w:r>
      <w:r w:rsidR="00C878A7" w:rsidRPr="00850134">
        <w:rPr>
          <w:b/>
          <w:color w:val="000000"/>
          <w:szCs w:val="22"/>
        </w:rPr>
        <w:t>diez</w:t>
      </w:r>
      <w:r w:rsidR="00CE1D51" w:rsidRPr="00850134">
        <w:rPr>
          <w:b/>
          <w:color w:val="000000"/>
          <w:szCs w:val="22"/>
        </w:rPr>
        <w:t xml:space="preserve"> y </w:t>
      </w:r>
      <w:r w:rsidR="00C878A7" w:rsidRPr="00850134">
        <w:rPr>
          <w:b/>
          <w:color w:val="000000"/>
          <w:szCs w:val="22"/>
        </w:rPr>
        <w:t>doce</w:t>
      </w:r>
      <w:r w:rsidR="00CE1D51" w:rsidRPr="00850134">
        <w:rPr>
          <w:b/>
          <w:color w:val="000000"/>
          <w:szCs w:val="22"/>
        </w:rPr>
        <w:t xml:space="preserve"> </w:t>
      </w:r>
      <w:r w:rsidRPr="00850134">
        <w:rPr>
          <w:b/>
          <w:color w:val="000000"/>
          <w:szCs w:val="22"/>
        </w:rPr>
        <w:t xml:space="preserve">de </w:t>
      </w:r>
      <w:r w:rsidR="00C878A7" w:rsidRPr="00850134">
        <w:rPr>
          <w:b/>
          <w:color w:val="000000"/>
          <w:szCs w:val="22"/>
        </w:rPr>
        <w:t>junio</w:t>
      </w:r>
      <w:r w:rsidRPr="00850134">
        <w:rPr>
          <w:b/>
          <w:color w:val="000000"/>
          <w:szCs w:val="22"/>
        </w:rPr>
        <w:t xml:space="preserve"> </w:t>
      </w:r>
      <w:r w:rsidRPr="00850134">
        <w:rPr>
          <w:b/>
          <w:szCs w:val="22"/>
        </w:rPr>
        <w:t xml:space="preserve">de dos mil </w:t>
      </w:r>
      <w:r w:rsidR="00954A96" w:rsidRPr="00850134">
        <w:rPr>
          <w:b/>
          <w:szCs w:val="22"/>
        </w:rPr>
        <w:t>veinticinco</w:t>
      </w:r>
      <w:r w:rsidRPr="00850134">
        <w:rPr>
          <w:color w:val="000000"/>
          <w:szCs w:val="22"/>
        </w:rPr>
        <w:t xml:space="preserve"> se acordó la admisión a trámite de los Recursos de Revisión 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644D0A0" w14:textId="77777777" w:rsidR="001910CD" w:rsidRPr="00850134" w:rsidRDefault="001910CD" w:rsidP="00F51455">
      <w:pPr>
        <w:rPr>
          <w:b/>
          <w:szCs w:val="22"/>
        </w:rPr>
      </w:pPr>
    </w:p>
    <w:p w14:paraId="29047234" w14:textId="77777777" w:rsidR="001910CD" w:rsidRPr="00850134" w:rsidRDefault="00593577" w:rsidP="00F51455">
      <w:pPr>
        <w:pStyle w:val="Ttulo3"/>
        <w:spacing w:line="360" w:lineRule="auto"/>
        <w:rPr>
          <w:szCs w:val="22"/>
        </w:rPr>
      </w:pPr>
      <w:bookmarkStart w:id="13" w:name="_Toc209630207"/>
      <w:r w:rsidRPr="00850134">
        <w:rPr>
          <w:szCs w:val="22"/>
        </w:rPr>
        <w:t xml:space="preserve">d) </w:t>
      </w:r>
      <w:r w:rsidR="00CE1D51" w:rsidRPr="00850134">
        <w:rPr>
          <w:szCs w:val="22"/>
        </w:rPr>
        <w:t>Informe justificado</w:t>
      </w:r>
      <w:r w:rsidRPr="00850134">
        <w:rPr>
          <w:szCs w:val="22"/>
        </w:rPr>
        <w:t xml:space="preserve"> del Sujeto Obligado.</w:t>
      </w:r>
      <w:bookmarkEnd w:id="13"/>
    </w:p>
    <w:p w14:paraId="442B3AD2" w14:textId="5939789E" w:rsidR="00C878A7" w:rsidRPr="00850134" w:rsidRDefault="00C878A7" w:rsidP="00F51455">
      <w:pPr>
        <w:rPr>
          <w:szCs w:val="22"/>
        </w:rPr>
      </w:pPr>
      <w:r w:rsidRPr="00850134">
        <w:rPr>
          <w:szCs w:val="22"/>
        </w:rPr>
        <w:t xml:space="preserve">De las constancias que obran en el expediente electrónico del </w:t>
      </w:r>
      <w:r w:rsidRPr="00850134">
        <w:rPr>
          <w:b/>
          <w:szCs w:val="22"/>
        </w:rPr>
        <w:t>SAIMEX</w:t>
      </w:r>
      <w:r w:rsidRPr="00850134">
        <w:rPr>
          <w:szCs w:val="22"/>
        </w:rPr>
        <w:t xml:space="preserve">, se advierte que </w:t>
      </w:r>
      <w:r w:rsidRPr="00850134">
        <w:rPr>
          <w:b/>
          <w:szCs w:val="22"/>
        </w:rPr>
        <w:t>EL SUJETO OBLIGADO</w:t>
      </w:r>
      <w:r w:rsidRPr="00850134">
        <w:rPr>
          <w:szCs w:val="22"/>
        </w:rPr>
        <w:t xml:space="preserve"> omitió remitir sus informes justificados dentro del plazo legalmente concedido.</w:t>
      </w:r>
    </w:p>
    <w:p w14:paraId="306B39CB" w14:textId="77777777" w:rsidR="00274C5A" w:rsidRPr="00850134" w:rsidRDefault="00274C5A" w:rsidP="00F51455">
      <w:pPr>
        <w:rPr>
          <w:rFonts w:cs="Tahoma"/>
          <w:bCs/>
          <w:szCs w:val="22"/>
        </w:rPr>
      </w:pPr>
    </w:p>
    <w:p w14:paraId="1C94DFC3" w14:textId="77777777" w:rsidR="001910CD" w:rsidRPr="00850134" w:rsidRDefault="00593577" w:rsidP="00F51455">
      <w:pPr>
        <w:pStyle w:val="Ttulo3"/>
        <w:spacing w:line="360" w:lineRule="auto"/>
        <w:rPr>
          <w:szCs w:val="22"/>
        </w:rPr>
      </w:pPr>
      <w:bookmarkStart w:id="14" w:name="_Toc209630208"/>
      <w:r w:rsidRPr="00850134">
        <w:rPr>
          <w:szCs w:val="22"/>
        </w:rPr>
        <w:t>e) Manifestaciones de la Parte Recurrente.</w:t>
      </w:r>
      <w:bookmarkEnd w:id="14"/>
    </w:p>
    <w:p w14:paraId="16590C77" w14:textId="77777777" w:rsidR="001910CD" w:rsidRPr="00850134" w:rsidRDefault="00593577" w:rsidP="00F51455">
      <w:pPr>
        <w:rPr>
          <w:color w:val="000000"/>
          <w:szCs w:val="22"/>
        </w:rPr>
      </w:pPr>
      <w:r w:rsidRPr="00850134">
        <w:rPr>
          <w:b/>
          <w:szCs w:val="22"/>
        </w:rPr>
        <w:t xml:space="preserve">LA PARTE RECURRENTE </w:t>
      </w:r>
      <w:r w:rsidRPr="00850134">
        <w:rPr>
          <w:color w:val="000000"/>
          <w:szCs w:val="22"/>
        </w:rPr>
        <w:t>no realizó manifestaciones dentro del término legalmente concedido para tal efecto, ni presentó pruebas o alegatos.</w:t>
      </w:r>
    </w:p>
    <w:p w14:paraId="713FF5CA" w14:textId="77777777" w:rsidR="001910CD" w:rsidRPr="00850134" w:rsidRDefault="001910CD" w:rsidP="00F51455">
      <w:pPr>
        <w:rPr>
          <w:szCs w:val="22"/>
        </w:rPr>
      </w:pPr>
    </w:p>
    <w:p w14:paraId="3DC527F1" w14:textId="77777777" w:rsidR="001910CD" w:rsidRPr="00850134" w:rsidRDefault="00593577" w:rsidP="00F51455">
      <w:pPr>
        <w:pStyle w:val="Ttulo3"/>
        <w:spacing w:line="360" w:lineRule="auto"/>
        <w:rPr>
          <w:szCs w:val="22"/>
        </w:rPr>
      </w:pPr>
      <w:bookmarkStart w:id="15" w:name="_Toc209630209"/>
      <w:r w:rsidRPr="00850134">
        <w:rPr>
          <w:szCs w:val="22"/>
        </w:rPr>
        <w:lastRenderedPageBreak/>
        <w:t>f) Acumulación de los Recursos de Revisión.</w:t>
      </w:r>
      <w:bookmarkEnd w:id="15"/>
    </w:p>
    <w:p w14:paraId="4F9A0F35" w14:textId="740CB3BD" w:rsidR="001910CD" w:rsidRPr="00850134" w:rsidRDefault="00593577" w:rsidP="00F51455">
      <w:pPr>
        <w:rPr>
          <w:b/>
          <w:szCs w:val="22"/>
        </w:rPr>
      </w:pPr>
      <w:bookmarkStart w:id="16" w:name="_heading=h.26in1rg" w:colFirst="0" w:colLast="0"/>
      <w:bookmarkEnd w:id="16"/>
      <w:r w:rsidRPr="00850134">
        <w:rPr>
          <w:szCs w:val="22"/>
        </w:rPr>
        <w:t>Por economía procesal y con la finalidad de evitar resolución contradictoria, en</w:t>
      </w:r>
      <w:r w:rsidR="002743B7" w:rsidRPr="00850134">
        <w:rPr>
          <w:szCs w:val="22"/>
        </w:rPr>
        <w:t xml:space="preserve"> </w:t>
      </w:r>
      <w:r w:rsidR="00C878A7" w:rsidRPr="00850134">
        <w:rPr>
          <w:szCs w:val="22"/>
        </w:rPr>
        <w:t xml:space="preserve">mediante acuerdo emitido el </w:t>
      </w:r>
      <w:r w:rsidR="00C878A7" w:rsidRPr="00850134">
        <w:rPr>
          <w:b/>
          <w:szCs w:val="22"/>
        </w:rPr>
        <w:t>dieciocho de junio de dos mil veinticinco</w:t>
      </w:r>
      <w:r w:rsidR="00C878A7" w:rsidRPr="00850134">
        <w:rPr>
          <w:szCs w:val="22"/>
        </w:rPr>
        <w:t xml:space="preserve"> por el</w:t>
      </w:r>
      <w:r w:rsidRPr="00850134">
        <w:rPr>
          <w:szCs w:val="22"/>
        </w:rPr>
        <w:t xml:space="preserve"> Pleno de este Instituto, </w:t>
      </w:r>
      <w:r w:rsidR="00C878A7" w:rsidRPr="00850134">
        <w:rPr>
          <w:szCs w:val="22"/>
        </w:rPr>
        <w:t xml:space="preserve">se </w:t>
      </w:r>
      <w:r w:rsidRPr="00850134">
        <w:rPr>
          <w:szCs w:val="22"/>
        </w:rPr>
        <w:t>determinó acumular los Recursos de Revisión</w:t>
      </w:r>
      <w:r w:rsidRPr="00850134">
        <w:rPr>
          <w:b/>
          <w:szCs w:val="22"/>
        </w:rPr>
        <w:t xml:space="preserve"> </w:t>
      </w:r>
      <w:r w:rsidR="003C61CD" w:rsidRPr="00850134">
        <w:rPr>
          <w:b/>
          <w:szCs w:val="22"/>
        </w:rPr>
        <w:t>0</w:t>
      </w:r>
      <w:r w:rsidR="00C878A7" w:rsidRPr="00850134">
        <w:rPr>
          <w:b/>
          <w:szCs w:val="22"/>
        </w:rPr>
        <w:t>6707</w:t>
      </w:r>
      <w:r w:rsidR="003C61CD" w:rsidRPr="00850134">
        <w:rPr>
          <w:b/>
          <w:szCs w:val="22"/>
        </w:rPr>
        <w:t>/INFOEM/IP/RR/2025 y 0</w:t>
      </w:r>
      <w:r w:rsidR="00C878A7" w:rsidRPr="00850134">
        <w:rPr>
          <w:b/>
          <w:szCs w:val="22"/>
        </w:rPr>
        <w:t>6708</w:t>
      </w:r>
      <w:r w:rsidR="004352E9" w:rsidRPr="00850134">
        <w:rPr>
          <w:b/>
          <w:szCs w:val="22"/>
        </w:rPr>
        <w:t>/INFOEM/IP/RR/2025</w:t>
      </w:r>
      <w:r w:rsidR="00886F53" w:rsidRPr="00850134">
        <w:rPr>
          <w:b/>
          <w:szCs w:val="22"/>
        </w:rPr>
        <w:t>.</w:t>
      </w:r>
    </w:p>
    <w:p w14:paraId="6446491B" w14:textId="77777777" w:rsidR="002743B7" w:rsidRPr="00850134" w:rsidRDefault="002743B7" w:rsidP="00F51455">
      <w:pPr>
        <w:rPr>
          <w:b/>
          <w:szCs w:val="22"/>
        </w:rPr>
      </w:pPr>
    </w:p>
    <w:p w14:paraId="776F7D60" w14:textId="77777777" w:rsidR="003202ED" w:rsidRPr="00850134" w:rsidRDefault="003202ED" w:rsidP="00F51455">
      <w:pPr>
        <w:pStyle w:val="Ttulo3"/>
        <w:spacing w:line="360" w:lineRule="auto"/>
        <w:rPr>
          <w:szCs w:val="22"/>
        </w:rPr>
      </w:pPr>
      <w:bookmarkStart w:id="17" w:name="_Toc194926695"/>
      <w:bookmarkStart w:id="18" w:name="_Toc209630210"/>
      <w:r w:rsidRPr="00850134">
        <w:rPr>
          <w:color w:val="000000"/>
          <w:szCs w:val="22"/>
        </w:rPr>
        <w:t>g) Ampliación de Plazo para Resolver</w:t>
      </w:r>
      <w:bookmarkEnd w:id="17"/>
      <w:bookmarkEnd w:id="18"/>
      <w:r w:rsidRPr="00850134">
        <w:rPr>
          <w:color w:val="000000"/>
          <w:szCs w:val="22"/>
        </w:rPr>
        <w:t> </w:t>
      </w:r>
    </w:p>
    <w:p w14:paraId="0B29D3A6" w14:textId="4380FCF8" w:rsidR="003202ED" w:rsidRPr="00850134" w:rsidRDefault="003202ED" w:rsidP="00F51455">
      <w:pPr>
        <w:rPr>
          <w:szCs w:val="22"/>
        </w:rPr>
      </w:pPr>
      <w:r w:rsidRPr="00850134">
        <w:rPr>
          <w:color w:val="000000"/>
          <w:szCs w:val="22"/>
        </w:rPr>
        <w:t xml:space="preserve">El </w:t>
      </w:r>
      <w:r w:rsidR="00C878A7" w:rsidRPr="00850134">
        <w:rPr>
          <w:b/>
          <w:bCs/>
          <w:color w:val="000000"/>
          <w:szCs w:val="22"/>
        </w:rPr>
        <w:t>ocho</w:t>
      </w:r>
      <w:r w:rsidRPr="00850134">
        <w:rPr>
          <w:b/>
          <w:bCs/>
          <w:color w:val="000000"/>
          <w:szCs w:val="22"/>
        </w:rPr>
        <w:t xml:space="preserve"> de </w:t>
      </w:r>
      <w:r w:rsidR="00C878A7" w:rsidRPr="00850134">
        <w:rPr>
          <w:b/>
          <w:bCs/>
          <w:color w:val="000000"/>
          <w:szCs w:val="22"/>
        </w:rPr>
        <w:t>septiembre</w:t>
      </w:r>
      <w:r w:rsidRPr="00850134">
        <w:rPr>
          <w:b/>
          <w:bCs/>
          <w:color w:val="000000"/>
          <w:szCs w:val="22"/>
        </w:rPr>
        <w:t xml:space="preserve"> de dos mil veinti</w:t>
      </w:r>
      <w:r w:rsidR="00D66287" w:rsidRPr="00850134">
        <w:rPr>
          <w:b/>
          <w:bCs/>
          <w:color w:val="000000"/>
          <w:szCs w:val="22"/>
        </w:rPr>
        <w:t>cinco</w:t>
      </w:r>
      <w:r w:rsidRPr="00850134">
        <w:rPr>
          <w:color w:val="000000"/>
          <w:szCs w:val="22"/>
        </w:rPr>
        <w:t>, se notificó el acuerdo de ampliación de plazo para resolver el presente Recurso de Revisión, previsto en el artículo 181, tercer párrafo de la Ley de Transparencia y Acceso a la Información Pública del Estado de México y Municipios.</w:t>
      </w:r>
    </w:p>
    <w:p w14:paraId="5EA93FE0" w14:textId="77777777" w:rsidR="003202ED" w:rsidRPr="00850134" w:rsidRDefault="003202ED" w:rsidP="00F51455">
      <w:pPr>
        <w:rPr>
          <w:b/>
          <w:szCs w:val="22"/>
        </w:rPr>
      </w:pPr>
    </w:p>
    <w:p w14:paraId="1E045389" w14:textId="77777777" w:rsidR="001910CD" w:rsidRPr="00850134" w:rsidRDefault="003202ED" w:rsidP="00F51455">
      <w:pPr>
        <w:pStyle w:val="Ttulo3"/>
        <w:spacing w:line="360" w:lineRule="auto"/>
        <w:rPr>
          <w:szCs w:val="22"/>
        </w:rPr>
      </w:pPr>
      <w:bookmarkStart w:id="19" w:name="_Toc209630211"/>
      <w:r w:rsidRPr="00850134">
        <w:rPr>
          <w:szCs w:val="22"/>
        </w:rPr>
        <w:t>h</w:t>
      </w:r>
      <w:r w:rsidR="00593577" w:rsidRPr="00850134">
        <w:rPr>
          <w:szCs w:val="22"/>
        </w:rPr>
        <w:t>) Cierre de instrucción.</w:t>
      </w:r>
      <w:bookmarkEnd w:id="19"/>
    </w:p>
    <w:p w14:paraId="27057C79" w14:textId="3D9ED402" w:rsidR="001910CD" w:rsidRPr="00850134" w:rsidRDefault="00593577" w:rsidP="00F51455">
      <w:pPr>
        <w:rPr>
          <w:color w:val="000000"/>
          <w:szCs w:val="22"/>
        </w:rPr>
      </w:pPr>
      <w:bookmarkStart w:id="20" w:name="_heading=h.35nkun2" w:colFirst="0" w:colLast="0"/>
      <w:bookmarkEnd w:id="20"/>
      <w:r w:rsidRPr="00850134">
        <w:rPr>
          <w:szCs w:val="22"/>
        </w:rPr>
        <w:t>Al no existir diligencias pendientes por desahogar</w:t>
      </w:r>
      <w:r w:rsidRPr="00850134">
        <w:rPr>
          <w:color w:val="000000"/>
          <w:szCs w:val="22"/>
        </w:rPr>
        <w:t xml:space="preserve">, el </w:t>
      </w:r>
      <w:r w:rsidR="00C878A7" w:rsidRPr="00850134">
        <w:rPr>
          <w:b/>
          <w:color w:val="000000"/>
          <w:szCs w:val="22"/>
        </w:rPr>
        <w:t>dieciocho</w:t>
      </w:r>
      <w:r w:rsidRPr="00850134">
        <w:rPr>
          <w:b/>
          <w:color w:val="000000"/>
          <w:szCs w:val="22"/>
        </w:rPr>
        <w:t xml:space="preserve"> de </w:t>
      </w:r>
      <w:r w:rsidR="00C878A7" w:rsidRPr="00850134">
        <w:rPr>
          <w:b/>
          <w:color w:val="000000"/>
          <w:szCs w:val="22"/>
        </w:rPr>
        <w:t>septiembre</w:t>
      </w:r>
      <w:r w:rsidRPr="00850134">
        <w:rPr>
          <w:b/>
          <w:color w:val="000000"/>
          <w:szCs w:val="22"/>
        </w:rPr>
        <w:t xml:space="preserve"> de dos mil </w:t>
      </w:r>
      <w:r w:rsidR="00954A96" w:rsidRPr="00850134">
        <w:rPr>
          <w:b/>
          <w:color w:val="000000"/>
          <w:szCs w:val="22"/>
        </w:rPr>
        <w:t>veinticinco</w:t>
      </w:r>
      <w:r w:rsidRPr="00850134">
        <w:rPr>
          <w:color w:val="000000"/>
          <w:szCs w:val="22"/>
        </w:rPr>
        <w:t xml:space="preserve"> la </w:t>
      </w:r>
      <w:r w:rsidRPr="00850134">
        <w:rPr>
          <w:b/>
          <w:color w:val="000000"/>
          <w:szCs w:val="22"/>
        </w:rPr>
        <w:t xml:space="preserve">Comisionada Sharon Cristina Morales Martínez </w:t>
      </w:r>
      <w:r w:rsidRPr="00850134">
        <w:rPr>
          <w:color w:val="000000"/>
          <w:szCs w:val="22"/>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w:t>
      </w:r>
      <w:r w:rsidRPr="00850134">
        <w:rPr>
          <w:szCs w:val="22"/>
        </w:rPr>
        <w:t xml:space="preserve">fue notificado a las partes el mismo día a través del </w:t>
      </w:r>
      <w:r w:rsidRPr="00850134">
        <w:rPr>
          <w:b/>
          <w:szCs w:val="22"/>
        </w:rPr>
        <w:t>SAIMEX</w:t>
      </w:r>
      <w:r w:rsidRPr="00850134">
        <w:rPr>
          <w:szCs w:val="22"/>
        </w:rPr>
        <w:t>.</w:t>
      </w:r>
    </w:p>
    <w:p w14:paraId="1884EF4C" w14:textId="77777777" w:rsidR="001910CD" w:rsidRPr="00850134" w:rsidRDefault="001910CD" w:rsidP="00F51455">
      <w:pPr>
        <w:rPr>
          <w:color w:val="000000"/>
          <w:szCs w:val="22"/>
        </w:rPr>
      </w:pPr>
    </w:p>
    <w:p w14:paraId="3EDCF912" w14:textId="77777777" w:rsidR="001910CD" w:rsidRPr="00850134" w:rsidRDefault="00593577" w:rsidP="00F51455">
      <w:pPr>
        <w:pStyle w:val="Ttulo1"/>
        <w:rPr>
          <w:szCs w:val="22"/>
        </w:rPr>
      </w:pPr>
      <w:bookmarkStart w:id="21" w:name="_Toc209630212"/>
      <w:r w:rsidRPr="00850134">
        <w:rPr>
          <w:szCs w:val="22"/>
        </w:rPr>
        <w:t>CONSIDERANDOS</w:t>
      </w:r>
      <w:bookmarkEnd w:id="21"/>
    </w:p>
    <w:p w14:paraId="3E4C05CD" w14:textId="77777777" w:rsidR="001910CD" w:rsidRPr="00850134" w:rsidRDefault="001910CD" w:rsidP="00F51455">
      <w:pPr>
        <w:jc w:val="center"/>
        <w:rPr>
          <w:b/>
          <w:color w:val="000000"/>
          <w:szCs w:val="22"/>
        </w:rPr>
      </w:pPr>
    </w:p>
    <w:p w14:paraId="05875049" w14:textId="77777777" w:rsidR="001910CD" w:rsidRPr="00850134" w:rsidRDefault="00593577" w:rsidP="00F51455">
      <w:pPr>
        <w:pStyle w:val="Ttulo2"/>
        <w:rPr>
          <w:szCs w:val="22"/>
        </w:rPr>
      </w:pPr>
      <w:bookmarkStart w:id="22" w:name="_Toc209630213"/>
      <w:r w:rsidRPr="00850134">
        <w:rPr>
          <w:szCs w:val="22"/>
        </w:rPr>
        <w:lastRenderedPageBreak/>
        <w:t>PRIMERO. Procedibilidad</w:t>
      </w:r>
      <w:bookmarkEnd w:id="22"/>
    </w:p>
    <w:p w14:paraId="331FA696" w14:textId="77777777" w:rsidR="001910CD" w:rsidRPr="00850134" w:rsidRDefault="00593577" w:rsidP="00F51455">
      <w:pPr>
        <w:pStyle w:val="Ttulo3"/>
        <w:spacing w:line="360" w:lineRule="auto"/>
        <w:rPr>
          <w:szCs w:val="22"/>
        </w:rPr>
      </w:pPr>
      <w:bookmarkStart w:id="23" w:name="_Toc209630214"/>
      <w:r w:rsidRPr="00850134">
        <w:rPr>
          <w:szCs w:val="22"/>
        </w:rPr>
        <w:t>a) Competencia del Instituto.</w:t>
      </w:r>
      <w:bookmarkEnd w:id="23"/>
    </w:p>
    <w:p w14:paraId="60468675" w14:textId="77777777" w:rsidR="004352E9" w:rsidRPr="00850134" w:rsidRDefault="004352E9" w:rsidP="00F51455">
      <w:pPr>
        <w:rPr>
          <w:color w:val="000000"/>
          <w:szCs w:val="22"/>
        </w:rPr>
      </w:pPr>
      <w:r w:rsidRPr="00850134">
        <w:rPr>
          <w:color w:val="000000"/>
          <w:szCs w:val="22"/>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CA118AA" w14:textId="77777777" w:rsidR="001910CD" w:rsidRPr="00850134" w:rsidRDefault="001910CD" w:rsidP="00F51455">
      <w:pPr>
        <w:rPr>
          <w:color w:val="000000"/>
          <w:szCs w:val="22"/>
        </w:rPr>
      </w:pPr>
    </w:p>
    <w:p w14:paraId="1B3BE34A" w14:textId="77777777" w:rsidR="001910CD" w:rsidRPr="00850134" w:rsidRDefault="00593577" w:rsidP="00F51455">
      <w:pPr>
        <w:pStyle w:val="Ttulo3"/>
        <w:spacing w:line="360" w:lineRule="auto"/>
        <w:rPr>
          <w:szCs w:val="22"/>
        </w:rPr>
      </w:pPr>
      <w:bookmarkStart w:id="24" w:name="_Toc209630215"/>
      <w:r w:rsidRPr="00850134">
        <w:rPr>
          <w:szCs w:val="22"/>
        </w:rPr>
        <w:t>b) Legitimidad de la parte recurrente.</w:t>
      </w:r>
      <w:bookmarkEnd w:id="24"/>
    </w:p>
    <w:p w14:paraId="638B43D4" w14:textId="77777777" w:rsidR="004352E9" w:rsidRPr="00850134" w:rsidRDefault="004352E9" w:rsidP="00F51455">
      <w:pPr>
        <w:rPr>
          <w:color w:val="000000"/>
          <w:szCs w:val="22"/>
        </w:rPr>
      </w:pPr>
      <w:r w:rsidRPr="00850134">
        <w:rPr>
          <w:color w:val="000000"/>
          <w:szCs w:val="22"/>
        </w:rPr>
        <w:t>El recurso de revisión fue interpuesto por parte legítima, ya que se presentó por la misma persona que formuló la solicitud de acceso a la Información Pública,</w:t>
      </w:r>
      <w:r w:rsidRPr="00850134">
        <w:rPr>
          <w:b/>
          <w:color w:val="000000"/>
          <w:szCs w:val="22"/>
        </w:rPr>
        <w:t xml:space="preserve"> </w:t>
      </w:r>
      <w:r w:rsidRPr="00850134">
        <w:rPr>
          <w:color w:val="000000"/>
          <w:szCs w:val="22"/>
        </w:rPr>
        <w:t>debido a que los datos de acceso</w:t>
      </w:r>
      <w:r w:rsidRPr="00850134">
        <w:rPr>
          <w:b/>
          <w:color w:val="000000"/>
          <w:szCs w:val="22"/>
        </w:rPr>
        <w:t xml:space="preserve"> </w:t>
      </w:r>
      <w:r w:rsidRPr="00850134">
        <w:rPr>
          <w:color w:val="000000"/>
          <w:szCs w:val="22"/>
        </w:rPr>
        <w:t>SAIMEX son personales e irrepetibles.</w:t>
      </w:r>
    </w:p>
    <w:p w14:paraId="70B613D3" w14:textId="77777777" w:rsidR="001910CD" w:rsidRPr="00850134" w:rsidRDefault="001910CD" w:rsidP="00F51455">
      <w:pPr>
        <w:rPr>
          <w:szCs w:val="22"/>
        </w:rPr>
      </w:pPr>
    </w:p>
    <w:p w14:paraId="14237081" w14:textId="77777777" w:rsidR="001910CD" w:rsidRPr="00850134" w:rsidRDefault="00593577" w:rsidP="00F51455">
      <w:pPr>
        <w:pStyle w:val="Ttulo3"/>
        <w:spacing w:line="360" w:lineRule="auto"/>
        <w:rPr>
          <w:szCs w:val="22"/>
        </w:rPr>
      </w:pPr>
      <w:bookmarkStart w:id="25" w:name="_Toc209630216"/>
      <w:r w:rsidRPr="00850134">
        <w:rPr>
          <w:szCs w:val="22"/>
        </w:rPr>
        <w:t>c) Plazo para interponer el recurso.</w:t>
      </w:r>
      <w:bookmarkEnd w:id="25"/>
    </w:p>
    <w:p w14:paraId="32D3B6A7" w14:textId="047C874C" w:rsidR="00C878A7" w:rsidRPr="00850134" w:rsidRDefault="00C878A7" w:rsidP="00F51455">
      <w:pPr>
        <w:rPr>
          <w:szCs w:val="22"/>
        </w:rPr>
      </w:pPr>
      <w:bookmarkStart w:id="26" w:name="_heading=h.1y810tw" w:colFirst="0" w:colLast="0"/>
      <w:bookmarkEnd w:id="26"/>
      <w:r w:rsidRPr="00850134">
        <w:rPr>
          <w:b/>
          <w:color w:val="000000"/>
          <w:szCs w:val="22"/>
        </w:rPr>
        <w:t>EL SUJETO OBLIGADO</w:t>
      </w:r>
      <w:r w:rsidRPr="00850134">
        <w:rPr>
          <w:color w:val="000000"/>
          <w:szCs w:val="22"/>
        </w:rPr>
        <w:t xml:space="preserve"> notificó las respuestas a las solicitudes de acceso a la Información Pública el </w:t>
      </w:r>
      <w:r w:rsidRPr="00850134">
        <w:rPr>
          <w:b/>
          <w:szCs w:val="22"/>
        </w:rPr>
        <w:t>dos de junio de dos mil veinticinco</w:t>
      </w:r>
      <w:r w:rsidRPr="00850134">
        <w:rPr>
          <w:color w:val="000000"/>
          <w:szCs w:val="22"/>
        </w:rPr>
        <w:t xml:space="preserve"> y el recurso que nos ocupa se interpuso el </w:t>
      </w:r>
      <w:r w:rsidRPr="00850134">
        <w:rPr>
          <w:b/>
          <w:color w:val="000000"/>
          <w:szCs w:val="22"/>
        </w:rPr>
        <w:t>nueve de junio de dos mil veinticinco</w:t>
      </w:r>
      <w:r w:rsidRPr="00850134">
        <w:rPr>
          <w:color w:val="000000"/>
          <w:szCs w:val="22"/>
        </w:rPr>
        <w:t xml:space="preserve"> por lo tanto, éste se encuentra dentro del margen temporal previsto en el artículo 178 de la Ley de Transparencia y Acceso a la Información Pública del Estado de México y Municipios.</w:t>
      </w:r>
    </w:p>
    <w:p w14:paraId="409231BA" w14:textId="77777777" w:rsidR="001910CD" w:rsidRPr="00850134" w:rsidRDefault="001910CD" w:rsidP="00F51455">
      <w:pPr>
        <w:rPr>
          <w:color w:val="000000"/>
          <w:szCs w:val="22"/>
        </w:rPr>
      </w:pPr>
    </w:p>
    <w:p w14:paraId="438A7ADF" w14:textId="77777777" w:rsidR="001910CD" w:rsidRPr="00850134" w:rsidRDefault="00593577" w:rsidP="00F51455">
      <w:pPr>
        <w:pStyle w:val="Ttulo3"/>
        <w:spacing w:line="360" w:lineRule="auto"/>
        <w:rPr>
          <w:szCs w:val="22"/>
        </w:rPr>
      </w:pPr>
      <w:bookmarkStart w:id="27" w:name="_Toc209630217"/>
      <w:r w:rsidRPr="00850134">
        <w:rPr>
          <w:szCs w:val="22"/>
        </w:rPr>
        <w:t>d) Causales de procedencia.</w:t>
      </w:r>
      <w:bookmarkEnd w:id="27"/>
    </w:p>
    <w:p w14:paraId="32988FBC" w14:textId="77777777" w:rsidR="001910CD" w:rsidRPr="00850134" w:rsidRDefault="00593577" w:rsidP="00F51455">
      <w:pPr>
        <w:rPr>
          <w:szCs w:val="22"/>
        </w:rPr>
      </w:pPr>
      <w:r w:rsidRPr="00850134">
        <w:rPr>
          <w:szCs w:val="22"/>
        </w:rPr>
        <w:t xml:space="preserve">Resulta procedente la interposición de los recursos de revisión, ya que </w:t>
      </w:r>
      <w:r w:rsidRPr="00850134">
        <w:rPr>
          <w:color w:val="000000"/>
          <w:szCs w:val="22"/>
        </w:rPr>
        <w:t>se actualiza las causales de procedencia señaladas e</w:t>
      </w:r>
      <w:r w:rsidR="00136895" w:rsidRPr="00850134">
        <w:rPr>
          <w:color w:val="000000"/>
          <w:szCs w:val="22"/>
        </w:rPr>
        <w:t>n el art</w:t>
      </w:r>
      <w:r w:rsidR="00AC4B94" w:rsidRPr="00850134">
        <w:rPr>
          <w:color w:val="000000"/>
          <w:szCs w:val="22"/>
        </w:rPr>
        <w:t>ículo 179, fracción</w:t>
      </w:r>
      <w:r w:rsidR="002743B7" w:rsidRPr="00850134">
        <w:rPr>
          <w:color w:val="000000"/>
          <w:szCs w:val="22"/>
        </w:rPr>
        <w:t xml:space="preserve"> </w:t>
      </w:r>
      <w:r w:rsidR="00B16AE6" w:rsidRPr="00850134">
        <w:rPr>
          <w:color w:val="000000"/>
          <w:szCs w:val="22"/>
        </w:rPr>
        <w:t>V</w:t>
      </w:r>
      <w:r w:rsidR="00AC4B94" w:rsidRPr="00850134">
        <w:rPr>
          <w:color w:val="000000"/>
          <w:szCs w:val="22"/>
        </w:rPr>
        <w:t xml:space="preserve"> </w:t>
      </w:r>
      <w:r w:rsidRPr="00850134">
        <w:rPr>
          <w:szCs w:val="22"/>
        </w:rPr>
        <w:t>de la Ley de Transparencia y Acceso a la Información Pública del Estado de México y Municipios.</w:t>
      </w:r>
    </w:p>
    <w:p w14:paraId="21CEE728" w14:textId="77777777" w:rsidR="001910CD" w:rsidRPr="00850134" w:rsidRDefault="001910CD" w:rsidP="00F51455">
      <w:pPr>
        <w:rPr>
          <w:szCs w:val="22"/>
        </w:rPr>
      </w:pPr>
    </w:p>
    <w:p w14:paraId="1986A46D" w14:textId="77777777" w:rsidR="001910CD" w:rsidRPr="00850134" w:rsidRDefault="00593577" w:rsidP="00F51455">
      <w:pPr>
        <w:pStyle w:val="Ttulo3"/>
        <w:spacing w:line="360" w:lineRule="auto"/>
        <w:rPr>
          <w:szCs w:val="22"/>
        </w:rPr>
      </w:pPr>
      <w:bookmarkStart w:id="28" w:name="_Toc209630218"/>
      <w:r w:rsidRPr="00850134">
        <w:rPr>
          <w:szCs w:val="22"/>
        </w:rPr>
        <w:t>e) Requisitos formales para la interposición del recurso.</w:t>
      </w:r>
      <w:bookmarkEnd w:id="28"/>
    </w:p>
    <w:p w14:paraId="7B22B743" w14:textId="77777777" w:rsidR="00C878A7" w:rsidRPr="00850134" w:rsidRDefault="00C878A7" w:rsidP="00F51455">
      <w:pPr>
        <w:rPr>
          <w:color w:val="000000"/>
          <w:szCs w:val="22"/>
        </w:rPr>
      </w:pPr>
      <w:bookmarkStart w:id="29" w:name="_heading=h.1ci93xb" w:colFirst="0" w:colLast="0"/>
      <w:bookmarkEnd w:id="29"/>
      <w:r w:rsidRPr="00850134">
        <w:rPr>
          <w:szCs w:val="22"/>
        </w:rPr>
        <w:t xml:space="preserve">Es importante mencionar que, de la revisión de los expedientes electrónicos del </w:t>
      </w:r>
      <w:r w:rsidRPr="00850134">
        <w:rPr>
          <w:b/>
          <w:szCs w:val="22"/>
        </w:rPr>
        <w:t>SAIMEX</w:t>
      </w:r>
      <w:r w:rsidRPr="00850134">
        <w:rPr>
          <w:szCs w:val="22"/>
        </w:rPr>
        <w:t xml:space="preserve">, se observa que </w:t>
      </w:r>
      <w:r w:rsidRPr="00850134">
        <w:rPr>
          <w:b/>
          <w:szCs w:val="22"/>
        </w:rPr>
        <w:t>LA PARTE RECURRENTE</w:t>
      </w:r>
      <w:r w:rsidRPr="00850134">
        <w:rPr>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w:t>
      </w:r>
      <w:r w:rsidRPr="00850134">
        <w:rPr>
          <w:color w:val="000000"/>
          <w:szCs w:val="22"/>
        </w:rPr>
        <w:t xml:space="preserve">sin necesidad de acreditar interés alguno o justificar su utilización, de lo que se infiere que </w:t>
      </w:r>
      <w:r w:rsidRPr="00850134">
        <w:rPr>
          <w:b/>
          <w:color w:val="000000"/>
          <w:szCs w:val="22"/>
          <w:u w:val="single"/>
        </w:rPr>
        <w:t>el nombre no es un requisito indispensable</w:t>
      </w:r>
      <w:r w:rsidRPr="00850134">
        <w:rPr>
          <w:color w:val="000000"/>
          <w:szCs w:val="22"/>
        </w:rPr>
        <w:t xml:space="preserve"> para que las y los ciudadanos ejerzan el derecho de acceso a la información pública. </w:t>
      </w:r>
    </w:p>
    <w:p w14:paraId="7DDD7F05" w14:textId="77777777" w:rsidR="00C878A7" w:rsidRPr="00850134" w:rsidRDefault="00C878A7" w:rsidP="00F51455">
      <w:pPr>
        <w:rPr>
          <w:color w:val="000000"/>
          <w:szCs w:val="22"/>
        </w:rPr>
      </w:pPr>
    </w:p>
    <w:p w14:paraId="355EE26C" w14:textId="77777777" w:rsidR="00C878A7" w:rsidRPr="00850134" w:rsidRDefault="00C878A7" w:rsidP="00F51455">
      <w:pPr>
        <w:rPr>
          <w:szCs w:val="22"/>
        </w:rPr>
      </w:pPr>
      <w:r w:rsidRPr="00850134">
        <w:rPr>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850134">
        <w:rPr>
          <w:b/>
          <w:szCs w:val="22"/>
        </w:rPr>
        <w:t>LA PARTE RECURRENTE;</w:t>
      </w:r>
      <w:r w:rsidRPr="00850134">
        <w:rPr>
          <w:szCs w:val="22"/>
        </w:rPr>
        <w:t xml:space="preserve"> por lo que, en el presente caso, al haber sido presentado el recurso de revisión vía </w:t>
      </w:r>
      <w:r w:rsidRPr="00850134">
        <w:rPr>
          <w:b/>
          <w:szCs w:val="22"/>
        </w:rPr>
        <w:t>SAIMEX</w:t>
      </w:r>
      <w:r w:rsidRPr="00850134">
        <w:rPr>
          <w:szCs w:val="22"/>
        </w:rPr>
        <w:t>, dicho requisito resulta innecesario.</w:t>
      </w:r>
    </w:p>
    <w:p w14:paraId="1629409F" w14:textId="77777777" w:rsidR="001910CD" w:rsidRPr="00850134" w:rsidRDefault="001910CD" w:rsidP="00F51455">
      <w:pPr>
        <w:rPr>
          <w:szCs w:val="22"/>
        </w:rPr>
      </w:pPr>
    </w:p>
    <w:p w14:paraId="47A0E0B7" w14:textId="77777777" w:rsidR="001910CD" w:rsidRPr="00850134" w:rsidRDefault="00593577" w:rsidP="00F51455">
      <w:pPr>
        <w:pStyle w:val="Ttulo3"/>
        <w:spacing w:line="360" w:lineRule="auto"/>
        <w:rPr>
          <w:szCs w:val="22"/>
        </w:rPr>
      </w:pPr>
      <w:bookmarkStart w:id="30" w:name="_Toc209630219"/>
      <w:r w:rsidRPr="00850134">
        <w:rPr>
          <w:szCs w:val="22"/>
        </w:rPr>
        <w:lastRenderedPageBreak/>
        <w:t>f) Acumulación de los Recursos de Revisión.</w:t>
      </w:r>
      <w:bookmarkEnd w:id="30"/>
    </w:p>
    <w:p w14:paraId="01D994DE" w14:textId="1A452B51" w:rsidR="001910CD" w:rsidRPr="00850134" w:rsidRDefault="00593577" w:rsidP="00F51455">
      <w:pPr>
        <w:rPr>
          <w:b/>
          <w:szCs w:val="22"/>
        </w:rPr>
      </w:pPr>
      <w:r w:rsidRPr="00850134">
        <w:rPr>
          <w:szCs w:val="22"/>
        </w:rPr>
        <w:t xml:space="preserve">De las constancias que obran en los expedientes acumulados, se advierte que los recursos de revisión </w:t>
      </w:r>
      <w:r w:rsidR="00B16AE6" w:rsidRPr="00850134">
        <w:rPr>
          <w:b/>
          <w:szCs w:val="22"/>
        </w:rPr>
        <w:t>0</w:t>
      </w:r>
      <w:r w:rsidR="00C878A7" w:rsidRPr="00850134">
        <w:rPr>
          <w:b/>
          <w:szCs w:val="22"/>
        </w:rPr>
        <w:t>6707</w:t>
      </w:r>
      <w:r w:rsidR="00B16AE6" w:rsidRPr="00850134">
        <w:rPr>
          <w:b/>
          <w:szCs w:val="22"/>
        </w:rPr>
        <w:t xml:space="preserve">/INFOEM/IP/RR/2025 </w:t>
      </w:r>
      <w:r w:rsidR="004352E9" w:rsidRPr="00850134">
        <w:rPr>
          <w:b/>
          <w:szCs w:val="22"/>
        </w:rPr>
        <w:t>y 0</w:t>
      </w:r>
      <w:r w:rsidR="00C878A7" w:rsidRPr="00850134">
        <w:rPr>
          <w:b/>
          <w:szCs w:val="22"/>
        </w:rPr>
        <w:t>6708</w:t>
      </w:r>
      <w:r w:rsidR="004352E9" w:rsidRPr="00850134">
        <w:rPr>
          <w:b/>
          <w:szCs w:val="22"/>
        </w:rPr>
        <w:t>/INFOEM/IP/RR/2025</w:t>
      </w:r>
      <w:r w:rsidR="005D0437" w:rsidRPr="00850134">
        <w:rPr>
          <w:b/>
          <w:szCs w:val="22"/>
        </w:rPr>
        <w:t xml:space="preserve"> </w:t>
      </w:r>
      <w:r w:rsidRPr="00850134">
        <w:rPr>
          <w:szCs w:val="22"/>
        </w:rPr>
        <w:t xml:space="preserve">fueron presentados por la misma </w:t>
      </w:r>
      <w:r w:rsidRPr="00850134">
        <w:rPr>
          <w:b/>
          <w:szCs w:val="22"/>
        </w:rPr>
        <w:t>PARTE RECURRENTE</w:t>
      </w:r>
      <w:r w:rsidRPr="00850134">
        <w:rPr>
          <w:szCs w:val="22"/>
        </w:rPr>
        <w:t xml:space="preserve"> respecto de actos u omisiones similares, realizados por el mismo </w:t>
      </w:r>
      <w:r w:rsidRPr="00850134">
        <w:rPr>
          <w:b/>
          <w:szCs w:val="22"/>
        </w:rPr>
        <w:t>SUJETO OBLIGADO</w:t>
      </w:r>
      <w:r w:rsidRPr="00850134">
        <w:rPr>
          <w:szCs w:val="22"/>
        </w:rPr>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1330A799" w14:textId="77777777" w:rsidR="001910CD" w:rsidRPr="00850134" w:rsidRDefault="001910CD" w:rsidP="00F51455">
      <w:pPr>
        <w:rPr>
          <w:szCs w:val="22"/>
        </w:rPr>
      </w:pPr>
    </w:p>
    <w:p w14:paraId="4C9A4CBC" w14:textId="77777777" w:rsidR="001910CD" w:rsidRPr="00850134" w:rsidRDefault="00593577" w:rsidP="00F51455">
      <w:pPr>
        <w:pStyle w:val="Ttulo2"/>
        <w:rPr>
          <w:szCs w:val="22"/>
        </w:rPr>
      </w:pPr>
      <w:bookmarkStart w:id="31" w:name="_Toc209630220"/>
      <w:r w:rsidRPr="00850134">
        <w:rPr>
          <w:szCs w:val="22"/>
        </w:rPr>
        <w:t>SEGUNDO. Estudio de fondo.</w:t>
      </w:r>
      <w:bookmarkEnd w:id="31"/>
    </w:p>
    <w:p w14:paraId="567EA2F6" w14:textId="77777777" w:rsidR="001910CD" w:rsidRPr="00850134" w:rsidRDefault="00593577" w:rsidP="00F51455">
      <w:pPr>
        <w:pStyle w:val="Ttulo3"/>
        <w:spacing w:line="360" w:lineRule="auto"/>
        <w:rPr>
          <w:szCs w:val="22"/>
        </w:rPr>
      </w:pPr>
      <w:bookmarkStart w:id="32" w:name="_Toc209630221"/>
      <w:r w:rsidRPr="00850134">
        <w:rPr>
          <w:szCs w:val="22"/>
        </w:rPr>
        <w:t>a) Mandato de transparencia y responsabilidad del Sujeto Obligado.</w:t>
      </w:r>
      <w:bookmarkEnd w:id="32"/>
    </w:p>
    <w:p w14:paraId="533E88F7" w14:textId="77777777" w:rsidR="001910CD" w:rsidRPr="00850134" w:rsidRDefault="00593577" w:rsidP="00F51455">
      <w:pPr>
        <w:rPr>
          <w:szCs w:val="22"/>
        </w:rPr>
      </w:pPr>
      <w:r w:rsidRPr="00850134">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93E27" w14:textId="77777777" w:rsidR="001910CD" w:rsidRPr="00850134" w:rsidRDefault="001910CD" w:rsidP="00F51455">
      <w:pPr>
        <w:rPr>
          <w:szCs w:val="22"/>
        </w:rPr>
      </w:pPr>
    </w:p>
    <w:p w14:paraId="60723083" w14:textId="77777777" w:rsidR="001910CD" w:rsidRPr="00850134" w:rsidRDefault="00593577" w:rsidP="00627B71">
      <w:pPr>
        <w:spacing w:line="240" w:lineRule="auto"/>
        <w:ind w:left="851" w:right="822"/>
        <w:rPr>
          <w:b/>
          <w:i/>
          <w:szCs w:val="22"/>
        </w:rPr>
      </w:pPr>
      <w:r w:rsidRPr="00850134">
        <w:rPr>
          <w:b/>
          <w:i/>
          <w:szCs w:val="22"/>
        </w:rPr>
        <w:t>Constitución Política de los Estados Unidos Mexicanos</w:t>
      </w:r>
    </w:p>
    <w:p w14:paraId="17BC0355" w14:textId="77777777" w:rsidR="001910CD" w:rsidRPr="00850134" w:rsidRDefault="00593577" w:rsidP="00627B71">
      <w:pPr>
        <w:spacing w:line="240" w:lineRule="auto"/>
        <w:ind w:left="851" w:right="822"/>
        <w:rPr>
          <w:b/>
          <w:i/>
          <w:szCs w:val="22"/>
        </w:rPr>
      </w:pPr>
      <w:r w:rsidRPr="00850134">
        <w:rPr>
          <w:b/>
          <w:i/>
          <w:szCs w:val="22"/>
        </w:rPr>
        <w:t>“Artículo 6.</w:t>
      </w:r>
    </w:p>
    <w:p w14:paraId="22D8A361" w14:textId="77777777" w:rsidR="001910CD" w:rsidRPr="00850134" w:rsidRDefault="00593577" w:rsidP="00627B71">
      <w:pPr>
        <w:spacing w:line="240" w:lineRule="auto"/>
        <w:ind w:left="851" w:right="822"/>
        <w:rPr>
          <w:i/>
          <w:szCs w:val="22"/>
        </w:rPr>
      </w:pPr>
      <w:r w:rsidRPr="00850134">
        <w:rPr>
          <w:i/>
          <w:szCs w:val="22"/>
        </w:rPr>
        <w:t>(…)</w:t>
      </w:r>
    </w:p>
    <w:p w14:paraId="6C008F5C" w14:textId="77777777" w:rsidR="001910CD" w:rsidRPr="00850134" w:rsidRDefault="00593577" w:rsidP="00627B71">
      <w:pPr>
        <w:spacing w:line="240" w:lineRule="auto"/>
        <w:ind w:left="851" w:right="822"/>
        <w:rPr>
          <w:i/>
          <w:szCs w:val="22"/>
        </w:rPr>
      </w:pPr>
      <w:r w:rsidRPr="00850134">
        <w:rPr>
          <w:i/>
          <w:szCs w:val="22"/>
        </w:rPr>
        <w:t>Para efectos de lo dispuesto en el presente artículo se observará lo siguiente:</w:t>
      </w:r>
    </w:p>
    <w:p w14:paraId="6C88B56E" w14:textId="77777777" w:rsidR="001910CD" w:rsidRPr="00850134" w:rsidRDefault="00593577" w:rsidP="00627B71">
      <w:pPr>
        <w:spacing w:line="240" w:lineRule="auto"/>
        <w:ind w:left="851" w:right="822"/>
        <w:rPr>
          <w:b/>
          <w:i/>
          <w:szCs w:val="22"/>
        </w:rPr>
      </w:pPr>
      <w:r w:rsidRPr="00850134">
        <w:rPr>
          <w:b/>
          <w:i/>
          <w:szCs w:val="22"/>
        </w:rPr>
        <w:t>A</w:t>
      </w:r>
      <w:r w:rsidRPr="00850134">
        <w:rPr>
          <w:i/>
          <w:szCs w:val="22"/>
        </w:rPr>
        <w:t xml:space="preserve">. </w:t>
      </w:r>
      <w:r w:rsidRPr="00850134">
        <w:rPr>
          <w:b/>
          <w:i/>
          <w:szCs w:val="22"/>
        </w:rPr>
        <w:t>Para el ejercicio del derecho de acceso a la información</w:t>
      </w:r>
      <w:r w:rsidRPr="00850134">
        <w:rPr>
          <w:i/>
          <w:szCs w:val="22"/>
        </w:rPr>
        <w:t xml:space="preserve">, la Federación y </w:t>
      </w:r>
      <w:r w:rsidRPr="00850134">
        <w:rPr>
          <w:b/>
          <w:i/>
          <w:szCs w:val="22"/>
        </w:rPr>
        <w:t>las entidades federativas, en el ámbito de sus respectivas competencias, se regirán por los siguientes principios y bases:</w:t>
      </w:r>
    </w:p>
    <w:p w14:paraId="53A52449" w14:textId="77777777" w:rsidR="001910CD" w:rsidRPr="00850134" w:rsidRDefault="00593577" w:rsidP="00627B71">
      <w:pPr>
        <w:spacing w:line="240" w:lineRule="auto"/>
        <w:ind w:left="851" w:right="822"/>
        <w:rPr>
          <w:i/>
          <w:szCs w:val="22"/>
        </w:rPr>
      </w:pPr>
      <w:r w:rsidRPr="00850134">
        <w:rPr>
          <w:b/>
          <w:i/>
          <w:szCs w:val="22"/>
        </w:rPr>
        <w:t xml:space="preserve">I. </w:t>
      </w:r>
      <w:r w:rsidRPr="00850134">
        <w:rPr>
          <w:b/>
          <w:i/>
          <w:szCs w:val="22"/>
        </w:rPr>
        <w:tab/>
        <w:t>Toda la información en posesión de cualquier</w:t>
      </w:r>
      <w:r w:rsidRPr="00850134">
        <w:rPr>
          <w:i/>
          <w:szCs w:val="22"/>
        </w:rPr>
        <w:t xml:space="preserve"> </w:t>
      </w:r>
      <w:r w:rsidRPr="00850134">
        <w:rPr>
          <w:b/>
          <w:i/>
          <w:szCs w:val="22"/>
        </w:rPr>
        <w:t>autoridad</w:t>
      </w:r>
      <w:r w:rsidRPr="00850134">
        <w:rPr>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50134">
        <w:rPr>
          <w:b/>
          <w:i/>
          <w:szCs w:val="22"/>
        </w:rPr>
        <w:t>municipal</w:t>
      </w:r>
      <w:r w:rsidRPr="00850134">
        <w:rPr>
          <w:i/>
          <w:szCs w:val="22"/>
        </w:rPr>
        <w:t xml:space="preserve">, </w:t>
      </w:r>
      <w:r w:rsidRPr="00850134">
        <w:rPr>
          <w:b/>
          <w:i/>
          <w:szCs w:val="22"/>
        </w:rPr>
        <w:t>es pública</w:t>
      </w:r>
      <w:r w:rsidRPr="00850134">
        <w:rPr>
          <w:i/>
          <w:szCs w:val="22"/>
        </w:rPr>
        <w:t xml:space="preserve"> y sólo podrá ser </w:t>
      </w:r>
      <w:r w:rsidRPr="00850134">
        <w:rPr>
          <w:i/>
          <w:szCs w:val="22"/>
        </w:rPr>
        <w:lastRenderedPageBreak/>
        <w:t xml:space="preserve">reservada temporalmente por razones de interés público y seguridad nacional, en los términos que fijen las leyes. </w:t>
      </w:r>
      <w:r w:rsidRPr="00850134">
        <w:rPr>
          <w:b/>
          <w:i/>
          <w:szCs w:val="22"/>
        </w:rPr>
        <w:t>En la interpretación de este derecho deberá prevalecer el principio de máxima publicidad. Los sujetos obligados deberán documentar todo acto que derive del ejercicio de sus facultades, competencias o funciones</w:t>
      </w:r>
      <w:r w:rsidRPr="00850134">
        <w:rPr>
          <w:i/>
          <w:szCs w:val="22"/>
        </w:rPr>
        <w:t>, la ley determinará los supuestos específicos bajo los cuales procederá la declaración de inexistencia de la información.”</w:t>
      </w:r>
    </w:p>
    <w:p w14:paraId="016DF0F2" w14:textId="77777777" w:rsidR="001910CD" w:rsidRPr="00850134" w:rsidRDefault="001910CD" w:rsidP="00627B71">
      <w:pPr>
        <w:spacing w:line="240" w:lineRule="auto"/>
        <w:ind w:left="851" w:right="822"/>
        <w:rPr>
          <w:b/>
          <w:i/>
          <w:szCs w:val="22"/>
        </w:rPr>
      </w:pPr>
    </w:p>
    <w:p w14:paraId="0FB0D2F4" w14:textId="77777777" w:rsidR="003F1BAA" w:rsidRPr="00850134" w:rsidRDefault="003F1BAA" w:rsidP="00627B71">
      <w:pPr>
        <w:spacing w:line="240" w:lineRule="auto"/>
        <w:ind w:left="851" w:right="822"/>
        <w:rPr>
          <w:b/>
          <w:i/>
          <w:szCs w:val="22"/>
        </w:rPr>
      </w:pPr>
    </w:p>
    <w:p w14:paraId="57D3DC39" w14:textId="77777777" w:rsidR="003F1BAA" w:rsidRPr="00850134" w:rsidRDefault="003F1BAA" w:rsidP="00627B71">
      <w:pPr>
        <w:spacing w:line="240" w:lineRule="auto"/>
        <w:ind w:left="851" w:right="822"/>
        <w:rPr>
          <w:b/>
          <w:i/>
          <w:szCs w:val="22"/>
        </w:rPr>
      </w:pPr>
    </w:p>
    <w:p w14:paraId="71C12105" w14:textId="77777777" w:rsidR="001910CD" w:rsidRPr="00850134" w:rsidRDefault="00593577" w:rsidP="00627B71">
      <w:pPr>
        <w:spacing w:line="240" w:lineRule="auto"/>
        <w:ind w:left="851" w:right="822"/>
        <w:rPr>
          <w:b/>
          <w:i/>
          <w:szCs w:val="22"/>
        </w:rPr>
      </w:pPr>
      <w:r w:rsidRPr="00850134">
        <w:rPr>
          <w:b/>
          <w:i/>
          <w:szCs w:val="22"/>
        </w:rPr>
        <w:t>Constitución Política del Estado Libre y Soberano de México</w:t>
      </w:r>
    </w:p>
    <w:p w14:paraId="191CA3FF" w14:textId="77777777" w:rsidR="001910CD" w:rsidRPr="00850134" w:rsidRDefault="00593577" w:rsidP="00627B71">
      <w:pPr>
        <w:spacing w:line="240" w:lineRule="auto"/>
        <w:ind w:left="851" w:right="822"/>
        <w:rPr>
          <w:i/>
          <w:szCs w:val="22"/>
        </w:rPr>
      </w:pPr>
      <w:r w:rsidRPr="00850134">
        <w:rPr>
          <w:b/>
          <w:i/>
          <w:szCs w:val="22"/>
        </w:rPr>
        <w:t>“Artículo 5</w:t>
      </w:r>
      <w:r w:rsidRPr="00850134">
        <w:rPr>
          <w:i/>
          <w:szCs w:val="22"/>
        </w:rPr>
        <w:t xml:space="preserve">.- </w:t>
      </w:r>
    </w:p>
    <w:p w14:paraId="7ACC314B" w14:textId="77777777" w:rsidR="001910CD" w:rsidRPr="00850134" w:rsidRDefault="00593577" w:rsidP="00627B71">
      <w:pPr>
        <w:spacing w:line="240" w:lineRule="auto"/>
        <w:ind w:left="851" w:right="822"/>
        <w:rPr>
          <w:i/>
          <w:szCs w:val="22"/>
        </w:rPr>
      </w:pPr>
      <w:r w:rsidRPr="00850134">
        <w:rPr>
          <w:i/>
          <w:szCs w:val="22"/>
        </w:rPr>
        <w:t>(…)</w:t>
      </w:r>
    </w:p>
    <w:p w14:paraId="068C0B47" w14:textId="77777777" w:rsidR="001910CD" w:rsidRPr="00850134" w:rsidRDefault="00593577" w:rsidP="00627B71">
      <w:pPr>
        <w:spacing w:line="240" w:lineRule="auto"/>
        <w:ind w:left="851" w:right="822"/>
        <w:rPr>
          <w:i/>
          <w:szCs w:val="22"/>
        </w:rPr>
      </w:pPr>
      <w:r w:rsidRPr="00850134">
        <w:rPr>
          <w:b/>
          <w:i/>
          <w:szCs w:val="22"/>
        </w:rPr>
        <w:t>El derecho a la información será garantizado por el Estado. La ley establecerá las previsiones que permitan asegurar la protección, el respeto y la difusión de este derecho</w:t>
      </w:r>
      <w:r w:rsidRPr="00850134">
        <w:rPr>
          <w:i/>
          <w:szCs w:val="22"/>
        </w:rPr>
        <w:t>.</w:t>
      </w:r>
    </w:p>
    <w:p w14:paraId="45994E2D" w14:textId="77777777" w:rsidR="001910CD" w:rsidRPr="00850134" w:rsidRDefault="00593577" w:rsidP="00627B71">
      <w:pPr>
        <w:spacing w:line="240" w:lineRule="auto"/>
        <w:ind w:left="851" w:right="822"/>
        <w:rPr>
          <w:i/>
          <w:szCs w:val="22"/>
        </w:rPr>
      </w:pPr>
      <w:r w:rsidRPr="00850134">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58F4B5" w14:textId="77777777" w:rsidR="001910CD" w:rsidRPr="00850134" w:rsidRDefault="00593577" w:rsidP="00627B71">
      <w:pPr>
        <w:spacing w:line="240" w:lineRule="auto"/>
        <w:ind w:left="851" w:right="822"/>
        <w:rPr>
          <w:i/>
          <w:szCs w:val="22"/>
        </w:rPr>
      </w:pPr>
      <w:r w:rsidRPr="00850134">
        <w:rPr>
          <w:b/>
          <w:i/>
          <w:szCs w:val="22"/>
        </w:rPr>
        <w:t>Este derecho se regirá por los principios y bases siguientes</w:t>
      </w:r>
      <w:r w:rsidRPr="00850134">
        <w:rPr>
          <w:i/>
          <w:szCs w:val="22"/>
        </w:rPr>
        <w:t>:</w:t>
      </w:r>
    </w:p>
    <w:p w14:paraId="60B08DDB" w14:textId="77777777" w:rsidR="001910CD" w:rsidRPr="00850134" w:rsidRDefault="00593577" w:rsidP="00627B71">
      <w:pPr>
        <w:spacing w:line="240" w:lineRule="auto"/>
        <w:ind w:left="851" w:right="822"/>
        <w:rPr>
          <w:i/>
          <w:szCs w:val="22"/>
        </w:rPr>
      </w:pPr>
      <w:r w:rsidRPr="00850134">
        <w:rPr>
          <w:b/>
          <w:i/>
          <w:szCs w:val="22"/>
        </w:rPr>
        <w:t>I. Toda la información en posesión de cualquier autoridad, entidad, órgano y organismos de los</w:t>
      </w:r>
      <w:r w:rsidRPr="00850134">
        <w:rPr>
          <w:i/>
          <w:szCs w:val="22"/>
        </w:rPr>
        <w:t xml:space="preserve"> Poderes Ejecutivo, Legislativo y Judicial, órganos autónomos, partidos políticos, fideicomisos y fondos públicos estatales y </w:t>
      </w:r>
      <w:r w:rsidRPr="00850134">
        <w:rPr>
          <w:b/>
          <w:i/>
          <w:szCs w:val="22"/>
        </w:rPr>
        <w:t>municipales</w:t>
      </w:r>
      <w:r w:rsidRPr="00850134">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50134">
        <w:rPr>
          <w:b/>
          <w:i/>
          <w:szCs w:val="22"/>
        </w:rPr>
        <w:t>es pública</w:t>
      </w:r>
      <w:r w:rsidRPr="00850134">
        <w:rPr>
          <w:i/>
          <w:szCs w:val="22"/>
        </w:rPr>
        <w:t xml:space="preserve"> y sólo podrá ser reservada temporalmente por razones previstas en la Constitución Política de los Estados Unidos Mexicanos de interés público y seguridad, en los términos que fijen las leyes. </w:t>
      </w:r>
      <w:r w:rsidRPr="00850134">
        <w:rPr>
          <w:b/>
          <w:i/>
          <w:szCs w:val="22"/>
        </w:rPr>
        <w:t>En la interpretación de este derecho deberá prevalecer el principio de máxima publicidad</w:t>
      </w:r>
      <w:r w:rsidRPr="00850134">
        <w:rPr>
          <w:i/>
          <w:szCs w:val="22"/>
        </w:rPr>
        <w:t xml:space="preserve">. </w:t>
      </w:r>
      <w:r w:rsidRPr="00850134">
        <w:rPr>
          <w:b/>
          <w:i/>
          <w:szCs w:val="22"/>
        </w:rPr>
        <w:t>Los sujetos obligados deberán documentar todo acto que derive del ejercicio de sus facultades, competencias o funciones</w:t>
      </w:r>
      <w:r w:rsidRPr="00850134">
        <w:rPr>
          <w:i/>
          <w:szCs w:val="22"/>
        </w:rPr>
        <w:t>, la ley determinará los supuestos específicos bajo los cuales procederá la declaración de inexistencia de la información.”</w:t>
      </w:r>
    </w:p>
    <w:p w14:paraId="703EFD0C" w14:textId="77777777" w:rsidR="001910CD" w:rsidRPr="00850134" w:rsidRDefault="001910CD" w:rsidP="00F51455">
      <w:pPr>
        <w:rPr>
          <w:b/>
          <w:i/>
          <w:szCs w:val="22"/>
        </w:rPr>
      </w:pPr>
    </w:p>
    <w:p w14:paraId="3B7EA42E" w14:textId="77777777" w:rsidR="001910CD" w:rsidRPr="00850134" w:rsidRDefault="00593577" w:rsidP="00F51455">
      <w:pPr>
        <w:rPr>
          <w:i/>
          <w:szCs w:val="22"/>
        </w:rPr>
      </w:pPr>
      <w:r w:rsidRPr="00850134">
        <w:rPr>
          <w:szCs w:val="22"/>
        </w:rPr>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850134">
        <w:rPr>
          <w:i/>
          <w:szCs w:val="22"/>
        </w:rPr>
        <w:t>por los principios de simplicidad, rapidez, gratuidad del procedimiento, auxilio y orientación a los particulares.</w:t>
      </w:r>
    </w:p>
    <w:p w14:paraId="046D4511" w14:textId="77777777" w:rsidR="001910CD" w:rsidRPr="00850134" w:rsidRDefault="001910CD" w:rsidP="00F51455">
      <w:pPr>
        <w:rPr>
          <w:i/>
          <w:szCs w:val="22"/>
        </w:rPr>
      </w:pPr>
    </w:p>
    <w:p w14:paraId="6EFF542C" w14:textId="77777777" w:rsidR="001910CD" w:rsidRPr="00850134" w:rsidRDefault="00593577" w:rsidP="00F51455">
      <w:pPr>
        <w:rPr>
          <w:i/>
          <w:szCs w:val="22"/>
        </w:rPr>
      </w:pPr>
      <w:r w:rsidRPr="00850134">
        <w:rPr>
          <w:szCs w:val="22"/>
        </w:rPr>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44D0243" w14:textId="77777777" w:rsidR="001910CD" w:rsidRPr="00850134" w:rsidRDefault="001910CD" w:rsidP="00F51455">
      <w:pPr>
        <w:rPr>
          <w:szCs w:val="22"/>
        </w:rPr>
      </w:pPr>
    </w:p>
    <w:p w14:paraId="295C9BEF" w14:textId="77777777" w:rsidR="001910CD" w:rsidRPr="00850134" w:rsidRDefault="00593577" w:rsidP="00F51455">
      <w:pPr>
        <w:rPr>
          <w:szCs w:val="22"/>
        </w:rPr>
      </w:pPr>
      <w:r w:rsidRPr="00850134">
        <w:rPr>
          <w:szCs w:val="22"/>
        </w:rPr>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0D6E043" w14:textId="77777777" w:rsidR="001910CD" w:rsidRPr="00850134" w:rsidRDefault="001910CD" w:rsidP="00F51455">
      <w:pPr>
        <w:rPr>
          <w:szCs w:val="22"/>
        </w:rPr>
      </w:pPr>
    </w:p>
    <w:p w14:paraId="2E664C46" w14:textId="77777777" w:rsidR="001910CD" w:rsidRPr="00850134" w:rsidRDefault="00593577" w:rsidP="00F51455">
      <w:pPr>
        <w:rPr>
          <w:szCs w:val="22"/>
        </w:rPr>
      </w:pPr>
      <w:r w:rsidRPr="00850134">
        <w:rPr>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588DC6B" w14:textId="77777777" w:rsidR="001910CD" w:rsidRPr="00850134" w:rsidRDefault="001910CD" w:rsidP="00F51455">
      <w:pPr>
        <w:rPr>
          <w:szCs w:val="22"/>
        </w:rPr>
      </w:pPr>
    </w:p>
    <w:p w14:paraId="0E7CB730" w14:textId="77777777" w:rsidR="001910CD" w:rsidRPr="00850134" w:rsidRDefault="00593577" w:rsidP="00F51455">
      <w:pPr>
        <w:rPr>
          <w:szCs w:val="22"/>
        </w:rPr>
      </w:pPr>
      <w:r w:rsidRPr="00850134">
        <w:rPr>
          <w:szCs w:val="22"/>
        </w:rP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618C5665" w14:textId="77777777" w:rsidR="001910CD" w:rsidRPr="00850134" w:rsidRDefault="001910CD" w:rsidP="00F51455">
      <w:pPr>
        <w:rPr>
          <w:szCs w:val="22"/>
        </w:rPr>
      </w:pPr>
      <w:bookmarkStart w:id="33" w:name="_heading=h.3as4poj" w:colFirst="0" w:colLast="0"/>
      <w:bookmarkEnd w:id="33"/>
    </w:p>
    <w:p w14:paraId="5FDB561A" w14:textId="77777777" w:rsidR="001910CD" w:rsidRPr="00850134" w:rsidRDefault="00593577" w:rsidP="00F51455">
      <w:pPr>
        <w:pStyle w:val="Ttulo3"/>
        <w:spacing w:line="360" w:lineRule="auto"/>
        <w:rPr>
          <w:szCs w:val="22"/>
        </w:rPr>
      </w:pPr>
      <w:bookmarkStart w:id="34" w:name="_Toc209630222"/>
      <w:r w:rsidRPr="00850134">
        <w:rPr>
          <w:szCs w:val="22"/>
        </w:rPr>
        <w:t>b) Controversia a resolver.</w:t>
      </w:r>
      <w:bookmarkEnd w:id="34"/>
    </w:p>
    <w:p w14:paraId="5BDFA584" w14:textId="07EF583D" w:rsidR="00C878A7" w:rsidRPr="00850134" w:rsidRDefault="00C878A7" w:rsidP="00F51455">
      <w:pPr>
        <w:rPr>
          <w:szCs w:val="22"/>
        </w:rPr>
      </w:pPr>
      <w:r w:rsidRPr="00850134">
        <w:rPr>
          <w:szCs w:val="22"/>
        </w:rPr>
        <w:t xml:space="preserve">Con el objeto de ilustrar la controversia planteada, resulta conveniente precisar que, una vez realizado el estudio de las constancias que integran </w:t>
      </w:r>
      <w:r w:rsidR="0086105F" w:rsidRPr="00850134">
        <w:rPr>
          <w:szCs w:val="22"/>
        </w:rPr>
        <w:t>los</w:t>
      </w:r>
      <w:r w:rsidRPr="00850134">
        <w:rPr>
          <w:szCs w:val="22"/>
        </w:rPr>
        <w:t xml:space="preserve"> expediente</w:t>
      </w:r>
      <w:r w:rsidR="0086105F" w:rsidRPr="00850134">
        <w:rPr>
          <w:szCs w:val="22"/>
        </w:rPr>
        <w:t>s</w:t>
      </w:r>
      <w:r w:rsidRPr="00850134">
        <w:rPr>
          <w:szCs w:val="22"/>
        </w:rPr>
        <w:t xml:space="preserve"> en que se actúa, se desprende que </w:t>
      </w:r>
      <w:r w:rsidRPr="00850134">
        <w:rPr>
          <w:b/>
          <w:szCs w:val="22"/>
        </w:rPr>
        <w:t>LA PARTE RECURRENTE</w:t>
      </w:r>
      <w:r w:rsidRPr="00850134">
        <w:rPr>
          <w:szCs w:val="22"/>
        </w:rPr>
        <w:t xml:space="preserve"> solicitó </w:t>
      </w:r>
      <w:r w:rsidR="0086105F" w:rsidRPr="00850134">
        <w:rPr>
          <w:szCs w:val="22"/>
        </w:rPr>
        <w:t>de manera homologada, del Encargado de Despacho o Titular del Órgano Interno de Control</w:t>
      </w:r>
      <w:r w:rsidR="0086105F" w:rsidRPr="00850134">
        <w:rPr>
          <w:rFonts w:eastAsia="Palatino Linotype" w:cs="Palatino Linotype"/>
          <w:color w:val="000000"/>
          <w:szCs w:val="22"/>
        </w:rPr>
        <w:t xml:space="preserve"> del año 2025, </w:t>
      </w:r>
      <w:r w:rsidRPr="00850134">
        <w:rPr>
          <w:rFonts w:eastAsia="Palatino Linotype" w:cs="Palatino Linotype"/>
          <w:color w:val="000000"/>
          <w:szCs w:val="22"/>
        </w:rPr>
        <w:t>los documentos donde conste lo siguiente:</w:t>
      </w:r>
    </w:p>
    <w:p w14:paraId="755766B7" w14:textId="77777777" w:rsidR="00C878A7" w:rsidRPr="00850134" w:rsidRDefault="00C878A7" w:rsidP="00F51455">
      <w:pPr>
        <w:rPr>
          <w:szCs w:val="22"/>
        </w:rPr>
      </w:pPr>
    </w:p>
    <w:p w14:paraId="561FE3AD" w14:textId="047ED69B" w:rsidR="00C878A7" w:rsidRPr="00850134" w:rsidRDefault="00C878A7" w:rsidP="00F51455">
      <w:pPr>
        <w:pStyle w:val="Prrafodelista"/>
        <w:numPr>
          <w:ilvl w:val="0"/>
          <w:numId w:val="28"/>
        </w:numPr>
        <w:tabs>
          <w:tab w:val="left" w:pos="4667"/>
        </w:tabs>
        <w:ind w:right="822"/>
        <w:rPr>
          <w:szCs w:val="22"/>
        </w:rPr>
      </w:pPr>
      <w:r w:rsidRPr="00850134">
        <w:rPr>
          <w:szCs w:val="22"/>
        </w:rPr>
        <w:t xml:space="preserve">La convocatoria para </w:t>
      </w:r>
      <w:r w:rsidR="0086105F" w:rsidRPr="00850134">
        <w:rPr>
          <w:szCs w:val="22"/>
        </w:rPr>
        <w:t>su elección;</w:t>
      </w:r>
    </w:p>
    <w:p w14:paraId="2AF49F68" w14:textId="24F99DA4" w:rsidR="00C878A7" w:rsidRPr="00850134" w:rsidRDefault="00C878A7" w:rsidP="00F51455">
      <w:pPr>
        <w:pStyle w:val="Prrafodelista"/>
        <w:numPr>
          <w:ilvl w:val="0"/>
          <w:numId w:val="28"/>
        </w:numPr>
        <w:tabs>
          <w:tab w:val="left" w:pos="4667"/>
        </w:tabs>
        <w:ind w:right="822"/>
        <w:rPr>
          <w:szCs w:val="22"/>
        </w:rPr>
      </w:pPr>
      <w:r w:rsidRPr="00850134">
        <w:rPr>
          <w:szCs w:val="22"/>
        </w:rPr>
        <w:t>Nombramiento</w:t>
      </w:r>
      <w:r w:rsidR="0086105F" w:rsidRPr="00850134">
        <w:rPr>
          <w:szCs w:val="22"/>
        </w:rPr>
        <w:t>;</w:t>
      </w:r>
    </w:p>
    <w:p w14:paraId="2B7A9101" w14:textId="459755D8" w:rsidR="00C878A7" w:rsidRPr="00850134" w:rsidRDefault="00C878A7" w:rsidP="00F51455">
      <w:pPr>
        <w:pStyle w:val="Prrafodelista"/>
        <w:numPr>
          <w:ilvl w:val="0"/>
          <w:numId w:val="28"/>
        </w:numPr>
        <w:tabs>
          <w:tab w:val="left" w:pos="4667"/>
        </w:tabs>
        <w:ind w:right="822"/>
        <w:rPr>
          <w:szCs w:val="22"/>
        </w:rPr>
      </w:pPr>
      <w:r w:rsidRPr="00850134">
        <w:rPr>
          <w:szCs w:val="22"/>
        </w:rPr>
        <w:t>Acta de c</w:t>
      </w:r>
      <w:r w:rsidR="0086105F" w:rsidRPr="00850134">
        <w:rPr>
          <w:szCs w:val="22"/>
        </w:rPr>
        <w:t>abildo donde fue designado; y</w:t>
      </w:r>
    </w:p>
    <w:p w14:paraId="39948E44" w14:textId="1AF51252" w:rsidR="00AB6E15" w:rsidRPr="00850134" w:rsidRDefault="00C878A7" w:rsidP="00F51455">
      <w:pPr>
        <w:pStyle w:val="Prrafodelista"/>
        <w:numPr>
          <w:ilvl w:val="0"/>
          <w:numId w:val="28"/>
        </w:numPr>
        <w:tabs>
          <w:tab w:val="left" w:pos="4667"/>
        </w:tabs>
        <w:ind w:right="822"/>
        <w:rPr>
          <w:szCs w:val="22"/>
        </w:rPr>
      </w:pPr>
      <w:r w:rsidRPr="00850134">
        <w:rPr>
          <w:szCs w:val="22"/>
        </w:rPr>
        <w:t>Certificación del servidor que ocupa</w:t>
      </w:r>
      <w:r w:rsidR="0086105F" w:rsidRPr="00850134">
        <w:rPr>
          <w:szCs w:val="22"/>
        </w:rPr>
        <w:t xml:space="preserve"> el cargo.</w:t>
      </w:r>
    </w:p>
    <w:p w14:paraId="5830425A" w14:textId="77777777" w:rsidR="00D970DA" w:rsidRPr="00850134" w:rsidRDefault="00D970DA" w:rsidP="00F51455">
      <w:pPr>
        <w:rPr>
          <w:szCs w:val="22"/>
        </w:rPr>
      </w:pPr>
    </w:p>
    <w:p w14:paraId="56084142" w14:textId="2DF5F7D4" w:rsidR="0086105F" w:rsidRPr="00850134" w:rsidRDefault="00593577" w:rsidP="00F51455">
      <w:pPr>
        <w:pBdr>
          <w:top w:val="nil"/>
          <w:left w:val="nil"/>
          <w:bottom w:val="nil"/>
          <w:right w:val="nil"/>
          <w:between w:val="nil"/>
        </w:pBdr>
        <w:rPr>
          <w:color w:val="000000"/>
          <w:szCs w:val="22"/>
        </w:rPr>
      </w:pPr>
      <w:r w:rsidRPr="00850134">
        <w:rPr>
          <w:color w:val="000000"/>
          <w:szCs w:val="22"/>
        </w:rPr>
        <w:t xml:space="preserve">En </w:t>
      </w:r>
      <w:r w:rsidR="0086105F" w:rsidRPr="00850134">
        <w:rPr>
          <w:color w:val="000000"/>
          <w:szCs w:val="22"/>
        </w:rPr>
        <w:t xml:space="preserve">las </w:t>
      </w:r>
      <w:r w:rsidRPr="00850134">
        <w:rPr>
          <w:color w:val="000000"/>
          <w:szCs w:val="22"/>
        </w:rPr>
        <w:t>respuesta</w:t>
      </w:r>
      <w:r w:rsidR="0086105F" w:rsidRPr="00850134">
        <w:rPr>
          <w:color w:val="000000"/>
          <w:szCs w:val="22"/>
        </w:rPr>
        <w:t>s</w:t>
      </w:r>
      <w:r w:rsidRPr="00850134">
        <w:rPr>
          <w:color w:val="000000"/>
          <w:szCs w:val="22"/>
        </w:rPr>
        <w:t xml:space="preserve">, </w:t>
      </w:r>
      <w:r w:rsidRPr="00850134">
        <w:rPr>
          <w:b/>
          <w:color w:val="000000"/>
          <w:szCs w:val="22"/>
        </w:rPr>
        <w:t xml:space="preserve">EL SUJTEO OBLIGADO </w:t>
      </w:r>
      <w:r w:rsidR="0086105F" w:rsidRPr="00850134">
        <w:rPr>
          <w:color w:val="000000"/>
          <w:szCs w:val="22"/>
        </w:rPr>
        <w:t>se pronunció por conducto</w:t>
      </w:r>
      <w:r w:rsidR="0086105F" w:rsidRPr="00850134">
        <w:rPr>
          <w:b/>
          <w:color w:val="000000"/>
          <w:szCs w:val="22"/>
        </w:rPr>
        <w:t xml:space="preserve"> </w:t>
      </w:r>
      <w:r w:rsidR="0086105F" w:rsidRPr="00850134">
        <w:rPr>
          <w:color w:val="000000"/>
          <w:szCs w:val="22"/>
        </w:rPr>
        <w:t>de la Directora de Administración, quien señaló remitir de manera digitalizada, copia simple del nombramiento del Servidor Público que ocupa la Contraloría Interna Municipal del Ayuntamiento de Acambay de Ruíz Castañeda 2025-2027; y que respecto a la certificación correspondiente, in</w:t>
      </w:r>
      <w:r w:rsidR="00E43F7B" w:rsidRPr="00850134">
        <w:rPr>
          <w:color w:val="000000"/>
          <w:szCs w:val="22"/>
        </w:rPr>
        <w:t>formó</w:t>
      </w:r>
      <w:r w:rsidR="0086105F" w:rsidRPr="00850134">
        <w:rPr>
          <w:color w:val="000000"/>
          <w:szCs w:val="22"/>
        </w:rPr>
        <w:t xml:space="preserve"> que, con fundamento en el Título Segundo, Capítulo Tercero, Artículo 32, Fracción </w:t>
      </w:r>
      <w:r w:rsidR="0086105F" w:rsidRPr="00850134">
        <w:rPr>
          <w:color w:val="000000"/>
          <w:szCs w:val="22"/>
        </w:rPr>
        <w:lastRenderedPageBreak/>
        <w:t>IV d</w:t>
      </w:r>
      <w:r w:rsidR="00E43F7B" w:rsidRPr="00850134">
        <w:rPr>
          <w:color w:val="000000"/>
          <w:szCs w:val="22"/>
        </w:rPr>
        <w:t>e la Ley Orgánica Municipal del</w:t>
      </w:r>
      <w:r w:rsidR="0086105F" w:rsidRPr="00850134">
        <w:rPr>
          <w:color w:val="000000"/>
          <w:szCs w:val="22"/>
        </w:rPr>
        <w:t xml:space="preserve"> Estado de México, tal requisito deberá acreditarse dentro de los seis meses siguientes a la fecha en que inicien sus funciones, por lo que</w:t>
      </w:r>
      <w:r w:rsidR="00E43F7B" w:rsidRPr="00850134">
        <w:rPr>
          <w:color w:val="000000"/>
          <w:szCs w:val="22"/>
        </w:rPr>
        <w:t xml:space="preserve"> a la fecha de las solicitudes del particular,</w:t>
      </w:r>
      <w:r w:rsidR="0086105F" w:rsidRPr="00850134">
        <w:rPr>
          <w:color w:val="000000"/>
          <w:szCs w:val="22"/>
        </w:rPr>
        <w:t xml:space="preserve"> su proceso se encuentra en trámite.</w:t>
      </w:r>
    </w:p>
    <w:p w14:paraId="7D52F88E" w14:textId="17CAB180" w:rsidR="001910CD" w:rsidRPr="00850134" w:rsidRDefault="001910CD" w:rsidP="00F51455">
      <w:pPr>
        <w:rPr>
          <w:color w:val="000000"/>
          <w:szCs w:val="22"/>
        </w:rPr>
      </w:pPr>
    </w:p>
    <w:p w14:paraId="2FC8A8FB" w14:textId="595D3919" w:rsidR="0086105F" w:rsidRPr="00850134" w:rsidRDefault="00E43F7B" w:rsidP="00F51455">
      <w:pPr>
        <w:rPr>
          <w:color w:val="000000"/>
          <w:szCs w:val="22"/>
        </w:rPr>
      </w:pPr>
      <w:r w:rsidRPr="00850134">
        <w:rPr>
          <w:color w:val="000000"/>
          <w:szCs w:val="22"/>
        </w:rPr>
        <w:t xml:space="preserve">Por otra parte, </w:t>
      </w:r>
      <w:r w:rsidR="0086105F" w:rsidRPr="00850134">
        <w:rPr>
          <w:color w:val="000000"/>
          <w:szCs w:val="22"/>
        </w:rPr>
        <w:t>el Secretario del Ayuntamiento</w:t>
      </w:r>
      <w:r w:rsidRPr="00850134">
        <w:rPr>
          <w:color w:val="000000"/>
          <w:szCs w:val="22"/>
        </w:rPr>
        <w:t xml:space="preserve">, indicó </w:t>
      </w:r>
      <w:r w:rsidR="0086105F" w:rsidRPr="00850134">
        <w:rPr>
          <w:color w:val="000000"/>
          <w:szCs w:val="22"/>
        </w:rPr>
        <w:t>anexa</w:t>
      </w:r>
      <w:r w:rsidRPr="00850134">
        <w:rPr>
          <w:color w:val="000000"/>
          <w:szCs w:val="22"/>
        </w:rPr>
        <w:t xml:space="preserve">r </w:t>
      </w:r>
      <w:r w:rsidR="0086105F" w:rsidRPr="00850134">
        <w:rPr>
          <w:color w:val="000000"/>
          <w:szCs w:val="22"/>
        </w:rPr>
        <w:t>copia simple de la Convocatoria para la elección del Titular del Órgano Interno de Control 2025,</w:t>
      </w:r>
      <w:r w:rsidRPr="00850134">
        <w:rPr>
          <w:color w:val="000000"/>
          <w:szCs w:val="22"/>
        </w:rPr>
        <w:t xml:space="preserve"> así como </w:t>
      </w:r>
      <w:r w:rsidR="0086105F" w:rsidRPr="00850134">
        <w:rPr>
          <w:color w:val="000000"/>
          <w:szCs w:val="22"/>
        </w:rPr>
        <w:t xml:space="preserve">del Acta de </w:t>
      </w:r>
      <w:r w:rsidRPr="00850134">
        <w:rPr>
          <w:color w:val="000000"/>
          <w:szCs w:val="22"/>
        </w:rPr>
        <w:t xml:space="preserve">Cabildo </w:t>
      </w:r>
      <w:r w:rsidR="0086105F" w:rsidRPr="00850134">
        <w:rPr>
          <w:color w:val="000000"/>
          <w:szCs w:val="22"/>
        </w:rPr>
        <w:t>donde fue designado.</w:t>
      </w:r>
    </w:p>
    <w:p w14:paraId="213B70B6" w14:textId="77777777" w:rsidR="0086105F" w:rsidRPr="00850134" w:rsidRDefault="0086105F" w:rsidP="00F51455">
      <w:pPr>
        <w:rPr>
          <w:szCs w:val="22"/>
        </w:rPr>
      </w:pPr>
    </w:p>
    <w:p w14:paraId="38D942FF" w14:textId="5780D4CD" w:rsidR="00D327D0" w:rsidRPr="00850134" w:rsidRDefault="00593577" w:rsidP="00F51455">
      <w:pPr>
        <w:tabs>
          <w:tab w:val="left" w:pos="4962"/>
        </w:tabs>
        <w:rPr>
          <w:color w:val="000000"/>
          <w:szCs w:val="22"/>
        </w:rPr>
      </w:pPr>
      <w:r w:rsidRPr="00850134">
        <w:rPr>
          <w:color w:val="000000"/>
          <w:szCs w:val="22"/>
        </w:rPr>
        <w:t xml:space="preserve">Ahora bien, en la interposición de los recursos de revisión </w:t>
      </w:r>
      <w:r w:rsidRPr="00850134">
        <w:rPr>
          <w:b/>
          <w:color w:val="000000"/>
          <w:szCs w:val="22"/>
        </w:rPr>
        <w:t>LA PARTE RECURRENTE</w:t>
      </w:r>
      <w:r w:rsidR="00D327D0" w:rsidRPr="00850134">
        <w:rPr>
          <w:color w:val="000000"/>
          <w:szCs w:val="22"/>
        </w:rPr>
        <w:t xml:space="preserve"> se inconformó </w:t>
      </w:r>
      <w:r w:rsidR="00BB1979" w:rsidRPr="00850134">
        <w:rPr>
          <w:szCs w:val="22"/>
        </w:rPr>
        <w:t>sobre</w:t>
      </w:r>
      <w:r w:rsidR="003E3808" w:rsidRPr="00850134">
        <w:rPr>
          <w:szCs w:val="22"/>
        </w:rPr>
        <w:t xml:space="preserve"> la </w:t>
      </w:r>
      <w:r w:rsidR="00337763" w:rsidRPr="00850134">
        <w:rPr>
          <w:szCs w:val="22"/>
        </w:rPr>
        <w:t>entrega de información incompleta por parte del</w:t>
      </w:r>
      <w:r w:rsidR="00350F59" w:rsidRPr="00850134">
        <w:rPr>
          <w:color w:val="000000"/>
          <w:szCs w:val="22"/>
        </w:rPr>
        <w:t xml:space="preserve"> </w:t>
      </w:r>
      <w:r w:rsidR="00350F59" w:rsidRPr="00850134">
        <w:rPr>
          <w:b/>
          <w:color w:val="000000"/>
          <w:szCs w:val="22"/>
        </w:rPr>
        <w:t>SUJETO OBLIGADO</w:t>
      </w:r>
      <w:r w:rsidR="00E43F7B" w:rsidRPr="00850134">
        <w:rPr>
          <w:b/>
          <w:color w:val="000000"/>
          <w:szCs w:val="22"/>
        </w:rPr>
        <w:t xml:space="preserve">, </w:t>
      </w:r>
      <w:r w:rsidR="00E43F7B" w:rsidRPr="00850134">
        <w:rPr>
          <w:color w:val="000000"/>
          <w:szCs w:val="22"/>
        </w:rPr>
        <w:t xml:space="preserve">precisando que no fue proporcionada la convocatoria </w:t>
      </w:r>
      <w:r w:rsidR="00E43F7B" w:rsidRPr="00850134">
        <w:rPr>
          <w:szCs w:val="22"/>
        </w:rPr>
        <w:t xml:space="preserve">para ocupar el cargo como </w:t>
      </w:r>
      <w:r w:rsidR="00E43F7B" w:rsidRPr="00850134">
        <w:rPr>
          <w:color w:val="000000"/>
          <w:szCs w:val="22"/>
        </w:rPr>
        <w:t>Titular del Órgano Interno de Control.</w:t>
      </w:r>
    </w:p>
    <w:p w14:paraId="10B665A2" w14:textId="77777777" w:rsidR="00E43F7B" w:rsidRPr="00850134" w:rsidRDefault="00E43F7B" w:rsidP="00F51455">
      <w:pPr>
        <w:tabs>
          <w:tab w:val="left" w:pos="4962"/>
        </w:tabs>
        <w:rPr>
          <w:color w:val="000000"/>
          <w:szCs w:val="22"/>
        </w:rPr>
      </w:pPr>
    </w:p>
    <w:p w14:paraId="3C2CC5B6" w14:textId="5184459B" w:rsidR="00E43F7B" w:rsidRPr="00850134" w:rsidRDefault="00E43F7B" w:rsidP="00F51455">
      <w:pPr>
        <w:rPr>
          <w:szCs w:val="22"/>
        </w:rPr>
      </w:pPr>
      <w:r w:rsidRPr="00850134">
        <w:rPr>
          <w:color w:val="000000"/>
          <w:szCs w:val="22"/>
        </w:rPr>
        <w:t xml:space="preserve">Por otra parte, en el apartado de manifestaciones </w:t>
      </w:r>
      <w:r w:rsidRPr="00850134">
        <w:rPr>
          <w:b/>
          <w:color w:val="000000"/>
          <w:szCs w:val="22"/>
        </w:rPr>
        <w:t xml:space="preserve">EL SUJETO OBLIGADO </w:t>
      </w:r>
      <w:r w:rsidRPr="00850134">
        <w:rPr>
          <w:szCs w:val="22"/>
        </w:rPr>
        <w:t>omitió remitir los informes justificados correspondientes; y por su parte, el solicitante no proporcionó pruebas o alegatos.</w:t>
      </w:r>
    </w:p>
    <w:p w14:paraId="6869A326" w14:textId="77777777" w:rsidR="00D327D0" w:rsidRPr="00850134" w:rsidRDefault="00D327D0" w:rsidP="00F51455">
      <w:pPr>
        <w:tabs>
          <w:tab w:val="left" w:pos="4962"/>
        </w:tabs>
        <w:rPr>
          <w:color w:val="000000"/>
          <w:szCs w:val="22"/>
        </w:rPr>
      </w:pPr>
    </w:p>
    <w:p w14:paraId="37A4E4BD" w14:textId="77777777" w:rsidR="001910CD" w:rsidRPr="00850134" w:rsidRDefault="00D327D0" w:rsidP="00F51455">
      <w:pPr>
        <w:tabs>
          <w:tab w:val="left" w:pos="4962"/>
        </w:tabs>
        <w:rPr>
          <w:szCs w:val="22"/>
        </w:rPr>
      </w:pPr>
      <w:r w:rsidRPr="00850134">
        <w:rPr>
          <w:szCs w:val="22"/>
        </w:rPr>
        <w:t xml:space="preserve">En virtud de lo anterior, el estudio se centrará en determinar </w:t>
      </w:r>
      <w:r w:rsidR="00C649DC" w:rsidRPr="00850134">
        <w:rPr>
          <w:szCs w:val="22"/>
        </w:rPr>
        <w:t xml:space="preserve">si </w:t>
      </w:r>
      <w:r w:rsidR="003B6AC5" w:rsidRPr="00850134">
        <w:rPr>
          <w:b/>
          <w:szCs w:val="22"/>
        </w:rPr>
        <w:t>EL SUJETO OBLIGADO</w:t>
      </w:r>
      <w:r w:rsidR="00C649DC" w:rsidRPr="00850134">
        <w:rPr>
          <w:szCs w:val="22"/>
        </w:rPr>
        <w:t xml:space="preserve"> proporcionó de manera completa la información requerida por el particular.</w:t>
      </w:r>
    </w:p>
    <w:p w14:paraId="4BE7EAC5" w14:textId="77777777" w:rsidR="00C649DC" w:rsidRPr="00850134" w:rsidRDefault="00C649DC" w:rsidP="00F51455">
      <w:pPr>
        <w:tabs>
          <w:tab w:val="left" w:pos="4962"/>
        </w:tabs>
        <w:rPr>
          <w:color w:val="000000"/>
          <w:szCs w:val="22"/>
        </w:rPr>
      </w:pPr>
    </w:p>
    <w:p w14:paraId="1B2665AE" w14:textId="77777777" w:rsidR="001910CD" w:rsidRPr="00850134" w:rsidRDefault="00593577" w:rsidP="00F51455">
      <w:pPr>
        <w:pStyle w:val="Ttulo3"/>
        <w:spacing w:line="360" w:lineRule="auto"/>
        <w:rPr>
          <w:szCs w:val="22"/>
        </w:rPr>
      </w:pPr>
      <w:bookmarkStart w:id="35" w:name="_Toc209630223"/>
      <w:r w:rsidRPr="00850134">
        <w:rPr>
          <w:szCs w:val="22"/>
        </w:rPr>
        <w:t>c) Estudio de la controversia.</w:t>
      </w:r>
      <w:bookmarkEnd w:id="35"/>
    </w:p>
    <w:p w14:paraId="6573F3FE" w14:textId="4B85BF93" w:rsidR="00004514" w:rsidRPr="00850134" w:rsidRDefault="00004514" w:rsidP="00F51455">
      <w:pPr>
        <w:rPr>
          <w:szCs w:val="22"/>
        </w:rPr>
      </w:pPr>
      <w:r w:rsidRPr="00850134">
        <w:rPr>
          <w:szCs w:val="22"/>
        </w:rPr>
        <w:t xml:space="preserve">Previo al estudio de fondo del presente asunto, es necesario precisar que, del análisis de las constancias que obran en el expediente electrónico, se advierte que </w:t>
      </w:r>
      <w:r w:rsidRPr="00850134">
        <w:rPr>
          <w:b/>
          <w:szCs w:val="22"/>
        </w:rPr>
        <w:t>LA PARTE RECURRENTE</w:t>
      </w:r>
      <w:r w:rsidRPr="00850134">
        <w:rPr>
          <w:szCs w:val="22"/>
        </w:rPr>
        <w:t xml:space="preserve"> únicamente se inconformó sobre la omisión por parte del </w:t>
      </w:r>
      <w:r w:rsidRPr="00850134">
        <w:rPr>
          <w:b/>
          <w:szCs w:val="22"/>
        </w:rPr>
        <w:t xml:space="preserve">SUJETO </w:t>
      </w:r>
      <w:r w:rsidRPr="00850134">
        <w:rPr>
          <w:b/>
          <w:szCs w:val="22"/>
        </w:rPr>
        <w:lastRenderedPageBreak/>
        <w:t xml:space="preserve">OBLIGADO </w:t>
      </w:r>
      <w:r w:rsidRPr="00850134">
        <w:rPr>
          <w:szCs w:val="22"/>
        </w:rPr>
        <w:t>de proporcionar la Convocatoria para la elección del Contralor Interno Municipal, por lo que el resto de los puntos del requerimiento, relativos al nombramiento, certificación y acta de cabildo en que fue designado tal servidor público, se tienen como actos consentidos por el propio solicitante.</w:t>
      </w:r>
    </w:p>
    <w:p w14:paraId="2C6434A3" w14:textId="77777777" w:rsidR="00004514" w:rsidRPr="00850134" w:rsidRDefault="00004514" w:rsidP="00F51455">
      <w:pPr>
        <w:rPr>
          <w:szCs w:val="22"/>
        </w:rPr>
      </w:pPr>
    </w:p>
    <w:p w14:paraId="1B441122" w14:textId="77777777" w:rsidR="00004514" w:rsidRPr="00850134" w:rsidRDefault="00004514" w:rsidP="009C7210">
      <w:pPr>
        <w:pStyle w:val="Puesto"/>
      </w:pPr>
      <w:r w:rsidRPr="00850134">
        <w:t>“</w:t>
      </w:r>
      <w:r w:rsidRPr="00850134">
        <w:rPr>
          <w:b/>
        </w:rPr>
        <w:t>ACTOS CONSENTIDOS TÁCITAMENTE</w:t>
      </w:r>
      <w:r w:rsidRPr="00850134">
        <w:t>. Se presumen así, para los efectos del amparo, los actos del orden civil y administrativo, que no hubieren sido reclamados en esa vía dentro de los plazos que la ley señala.”</w:t>
      </w:r>
    </w:p>
    <w:p w14:paraId="6C6A92B2" w14:textId="77777777" w:rsidR="00004514" w:rsidRPr="00850134" w:rsidRDefault="00004514" w:rsidP="00F51455">
      <w:pPr>
        <w:ind w:right="-93"/>
        <w:rPr>
          <w:szCs w:val="22"/>
        </w:rPr>
      </w:pPr>
    </w:p>
    <w:p w14:paraId="2B177D15" w14:textId="77777777" w:rsidR="003B6AC5" w:rsidRPr="00850134" w:rsidRDefault="003B6AC5" w:rsidP="00F51455">
      <w:pPr>
        <w:ind w:right="-93"/>
        <w:rPr>
          <w:szCs w:val="22"/>
        </w:rPr>
      </w:pPr>
      <w:r w:rsidRPr="00850134">
        <w:rPr>
          <w:szCs w:val="22"/>
        </w:rPr>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F26634C" w14:textId="77777777" w:rsidR="003B6AC5" w:rsidRPr="00850134" w:rsidRDefault="003B6AC5" w:rsidP="00F51455">
      <w:pPr>
        <w:ind w:right="-93"/>
        <w:rPr>
          <w:szCs w:val="22"/>
        </w:rPr>
      </w:pPr>
    </w:p>
    <w:p w14:paraId="3EBC3E31" w14:textId="77777777" w:rsidR="003B6AC5" w:rsidRPr="00850134" w:rsidRDefault="003B6AC5" w:rsidP="009C7210">
      <w:pPr>
        <w:pStyle w:val="Puesto"/>
        <w:rPr>
          <w:szCs w:val="22"/>
        </w:rPr>
      </w:pPr>
      <w:r w:rsidRPr="00850134">
        <w:rPr>
          <w:b/>
          <w:szCs w:val="22"/>
        </w:rPr>
        <w:t>Artículo 18</w:t>
      </w:r>
      <w:r w:rsidRPr="00850134">
        <w:rPr>
          <w:szCs w:val="22"/>
        </w:rPr>
        <w:t>. Los sujetos obligados deberán documentar todo acto que derive del ejercicio de sus facultades, competencias o funciones, considerando desde su origen la eventual publicidad y reutilización de la información que generen</w:t>
      </w:r>
    </w:p>
    <w:p w14:paraId="56AAA0A3" w14:textId="77777777" w:rsidR="003B6AC5" w:rsidRPr="00850134" w:rsidRDefault="003B6AC5" w:rsidP="00F51455">
      <w:pPr>
        <w:ind w:right="-93"/>
        <w:rPr>
          <w:szCs w:val="22"/>
        </w:rPr>
      </w:pPr>
    </w:p>
    <w:p w14:paraId="6AE167F3" w14:textId="77777777" w:rsidR="003B6AC5" w:rsidRPr="00850134" w:rsidRDefault="003B6AC5" w:rsidP="00F51455">
      <w:pPr>
        <w:ind w:right="-93"/>
        <w:rPr>
          <w:szCs w:val="22"/>
        </w:rPr>
      </w:pPr>
      <w:r w:rsidRPr="00850134">
        <w:rPr>
          <w:szCs w:val="22"/>
        </w:rPr>
        <w:t xml:space="preserve">Lo anterior toma relevancia, pues según Jarquín, Soledad (2019), en el “Diccionario de Transparencia y Acceso a la Información Pública” (p. 126 y 127), todos los </w:t>
      </w:r>
      <w:r w:rsidRPr="00850134">
        <w:rPr>
          <w:b/>
          <w:szCs w:val="22"/>
        </w:rPr>
        <w:t>SUJETOS OBLIGADOS</w:t>
      </w:r>
      <w:r w:rsidRPr="00850134">
        <w:rPr>
          <w:szCs w:val="22"/>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A6F1DBA" w14:textId="77777777" w:rsidR="00E43F7B" w:rsidRPr="00850134" w:rsidRDefault="00E43F7B" w:rsidP="00F51455">
      <w:pPr>
        <w:ind w:right="-93"/>
        <w:rPr>
          <w:szCs w:val="22"/>
        </w:rPr>
      </w:pPr>
    </w:p>
    <w:p w14:paraId="7EA2C3B3" w14:textId="77777777" w:rsidR="003B6AC5" w:rsidRPr="00850134" w:rsidRDefault="003B6AC5" w:rsidP="00F51455">
      <w:pPr>
        <w:ind w:right="-93"/>
        <w:rPr>
          <w:szCs w:val="22"/>
        </w:rPr>
      </w:pPr>
      <w:r w:rsidRPr="00850134">
        <w:rPr>
          <w:szCs w:val="22"/>
        </w:rPr>
        <w:lastRenderedPageBreak/>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453AB10C" w14:textId="77777777" w:rsidR="004F0EC1" w:rsidRPr="00850134" w:rsidRDefault="004F0EC1" w:rsidP="00F51455">
      <w:pPr>
        <w:ind w:right="-93"/>
        <w:rPr>
          <w:szCs w:val="22"/>
        </w:rPr>
      </w:pPr>
    </w:p>
    <w:p w14:paraId="6FB1E3EF" w14:textId="77777777" w:rsidR="00164CF4" w:rsidRPr="00850134" w:rsidRDefault="00164CF4" w:rsidP="00F51455">
      <w:pPr>
        <w:rPr>
          <w:szCs w:val="22"/>
        </w:rPr>
      </w:pPr>
      <w:r w:rsidRPr="00850134">
        <w:rPr>
          <w:szCs w:val="22"/>
        </w:rPr>
        <w:t xml:space="preserve">Ahora bien, para dar atención a los requerimientos planteados en el presente asunto acumulado, se advierte que los servidores públicos habilitados para la sustanciación del procedimiento se pronunciaron en ejercicio de atribuciones que se estiman competentes, dada la propia y especial naturaleza de la materia. </w:t>
      </w:r>
    </w:p>
    <w:p w14:paraId="1FE0FCFB" w14:textId="77777777" w:rsidR="00164CF4" w:rsidRPr="00850134" w:rsidRDefault="00164CF4" w:rsidP="00F51455">
      <w:pPr>
        <w:rPr>
          <w:szCs w:val="22"/>
        </w:rPr>
      </w:pPr>
    </w:p>
    <w:p w14:paraId="4C5A14C1" w14:textId="0A87B033" w:rsidR="00164CF4" w:rsidRPr="00850134" w:rsidRDefault="00164CF4" w:rsidP="00F51455">
      <w:pPr>
        <w:rPr>
          <w:szCs w:val="22"/>
        </w:rPr>
      </w:pPr>
      <w:r w:rsidRPr="00850134">
        <w:rPr>
          <w:szCs w:val="22"/>
        </w:rPr>
        <w:t>Lo anterior, en virtud de que, conforme al artículo 91 de la Ley Orgánica Municipal del Estado de México, corresponde al Secretario del Ayuntamiento asistir a las sesiones de cabildo y levantar las actas respectivas, atribución que lo faculta para certificar la existencia de los documentos generados por dicho órgano colegiado, como lo es el acta en que se designó al Titular del Órgano Interno de Control.</w:t>
      </w:r>
    </w:p>
    <w:p w14:paraId="36DB07EE" w14:textId="77777777" w:rsidR="00164CF4" w:rsidRPr="00850134" w:rsidRDefault="00164CF4" w:rsidP="00F51455">
      <w:pPr>
        <w:rPr>
          <w:szCs w:val="22"/>
        </w:rPr>
      </w:pPr>
    </w:p>
    <w:p w14:paraId="0BCC0ACF" w14:textId="77777777" w:rsidR="00164CF4" w:rsidRPr="00850134" w:rsidRDefault="00164CF4" w:rsidP="00F51455">
      <w:pPr>
        <w:rPr>
          <w:szCs w:val="22"/>
        </w:rPr>
      </w:pPr>
      <w:r w:rsidRPr="00850134">
        <w:rPr>
          <w:szCs w:val="22"/>
        </w:rPr>
        <w:t>A su vez, el artículo 119, fracción III, del Bando Municipal de Acambay de Ruíz Castañeda 2025, reconoce a la Dirección de Administración la atribución de dirigir, dar seguimiento y supervisar la integración y actualización de los expedientes laborales de los servidores públicos, lo que comprende la conservación y disponibilidad de documentos relativos a los nombramientos de quienes integran la administración municipal.</w:t>
      </w:r>
    </w:p>
    <w:p w14:paraId="2DC75668" w14:textId="77777777" w:rsidR="00164CF4" w:rsidRPr="00850134" w:rsidRDefault="00164CF4" w:rsidP="00F51455">
      <w:pPr>
        <w:rPr>
          <w:szCs w:val="22"/>
        </w:rPr>
      </w:pPr>
    </w:p>
    <w:p w14:paraId="23D861AB" w14:textId="534A97E4" w:rsidR="00E43F7B" w:rsidRPr="00850134" w:rsidRDefault="00164CF4" w:rsidP="00F51455">
      <w:pPr>
        <w:rPr>
          <w:szCs w:val="22"/>
        </w:rPr>
      </w:pPr>
      <w:r w:rsidRPr="00850134">
        <w:rPr>
          <w:szCs w:val="22"/>
        </w:rPr>
        <w:lastRenderedPageBreak/>
        <w:t>En este contexto, puede concluirse que tanto el Secretario del Ayuntamiento como la Directora de Administración se encontraban plenamente facultados para pronunciarse respecto de la información solicitada por la parte recurrente.</w:t>
      </w:r>
    </w:p>
    <w:p w14:paraId="127F5A24" w14:textId="77777777" w:rsidR="00164CF4" w:rsidRPr="00850134" w:rsidRDefault="00164CF4" w:rsidP="00F51455">
      <w:pPr>
        <w:rPr>
          <w:szCs w:val="22"/>
        </w:rPr>
      </w:pPr>
    </w:p>
    <w:p w14:paraId="19EC5159" w14:textId="14CDCDEB" w:rsidR="00164CF4" w:rsidRPr="00850134" w:rsidRDefault="00164CF4" w:rsidP="00F51455">
      <w:pPr>
        <w:rPr>
          <w:rFonts w:eastAsia="Calibri" w:cs="Tahoma"/>
          <w:color w:val="000000" w:themeColor="text1"/>
          <w:szCs w:val="22"/>
          <w:lang w:eastAsia="es-ES_tradnl"/>
        </w:rPr>
      </w:pPr>
      <w:r w:rsidRPr="00850134">
        <w:rPr>
          <w:rFonts w:eastAsia="Calibri" w:cs="Tahoma"/>
          <w:color w:val="000000" w:themeColor="text1"/>
          <w:szCs w:val="22"/>
          <w:lang w:eastAsia="es-ES_tradnl"/>
        </w:rPr>
        <w:t xml:space="preserve">Así, del análisis de las constancias que obran dentro del expediente electrónico del Sistema de Acceso a la Información Mexiquense (SAIMEX), se advierte que la convocatoria para la elección del Titular del Órgano Interno de Control 2025 sí fue incorporada y remitida por el </w:t>
      </w:r>
      <w:r w:rsidRPr="00850134">
        <w:rPr>
          <w:rFonts w:eastAsia="Calibri" w:cs="Tahoma"/>
          <w:b/>
          <w:color w:val="000000" w:themeColor="text1"/>
          <w:szCs w:val="22"/>
          <w:lang w:eastAsia="es-ES_tradnl"/>
        </w:rPr>
        <w:t>SUJETO OBLIGADO</w:t>
      </w:r>
      <w:r w:rsidRPr="00850134">
        <w:rPr>
          <w:rFonts w:eastAsia="Calibri" w:cs="Tahoma"/>
          <w:color w:val="000000" w:themeColor="text1"/>
          <w:szCs w:val="22"/>
          <w:lang w:eastAsia="es-ES_tradnl"/>
        </w:rPr>
        <w:t xml:space="preserve"> como parte de sus respuestas; es decir, la documentación cuya omisión se reclama se encuentra visible y disponible en el expediente electrónico, lo cual permite concluir que el requerimiento se colmó de manera total.</w:t>
      </w:r>
    </w:p>
    <w:p w14:paraId="19F9875F" w14:textId="77777777" w:rsidR="00164CF4" w:rsidRPr="00850134" w:rsidRDefault="00164CF4" w:rsidP="00F51455">
      <w:pPr>
        <w:rPr>
          <w:rFonts w:eastAsia="Calibri" w:cs="Tahoma"/>
          <w:color w:val="000000" w:themeColor="text1"/>
          <w:szCs w:val="22"/>
          <w:lang w:eastAsia="es-ES_tradnl"/>
        </w:rPr>
      </w:pPr>
    </w:p>
    <w:p w14:paraId="14CAF84B" w14:textId="77777777" w:rsidR="00164CF4" w:rsidRPr="00850134" w:rsidRDefault="00164CF4" w:rsidP="00F51455">
      <w:pPr>
        <w:rPr>
          <w:rFonts w:eastAsia="Calibri" w:cs="Tahoma"/>
          <w:color w:val="000000" w:themeColor="text1"/>
          <w:szCs w:val="22"/>
          <w:lang w:eastAsia="es-ES_tradnl"/>
        </w:rPr>
      </w:pPr>
      <w:r w:rsidRPr="00850134">
        <w:rPr>
          <w:rFonts w:eastAsia="Calibri" w:cs="Tahoma"/>
          <w:color w:val="000000" w:themeColor="text1"/>
          <w:szCs w:val="22"/>
          <w:lang w:eastAsia="es-ES_tradnl"/>
        </w:rPr>
        <w:t>Con la finalidad de otorgar certeza a lo anterior, a continuación se inserta una imagen de la constancia que acredita la entrega de la convocatoria reclamada:</w:t>
      </w:r>
    </w:p>
    <w:p w14:paraId="49A4123D" w14:textId="77777777" w:rsidR="00164CF4" w:rsidRPr="00850134" w:rsidRDefault="00164CF4" w:rsidP="00F51455">
      <w:pPr>
        <w:rPr>
          <w:rFonts w:eastAsia="Calibri" w:cs="Tahoma"/>
          <w:color w:val="000000" w:themeColor="text1"/>
          <w:szCs w:val="22"/>
          <w:lang w:eastAsia="es-ES_tradnl"/>
        </w:rPr>
      </w:pPr>
    </w:p>
    <w:p w14:paraId="1605833F" w14:textId="0BA4EA2A" w:rsidR="00164CF4" w:rsidRPr="00850134" w:rsidRDefault="00164CF4" w:rsidP="00F51455">
      <w:pPr>
        <w:rPr>
          <w:rFonts w:eastAsia="Calibri" w:cs="Tahoma"/>
          <w:color w:val="000000" w:themeColor="text1"/>
          <w:szCs w:val="22"/>
          <w:lang w:eastAsia="es-ES_tradnl"/>
        </w:rPr>
      </w:pPr>
      <w:r w:rsidRPr="00850134">
        <w:rPr>
          <w:rFonts w:eastAsia="Calibri" w:cs="Tahoma"/>
          <w:noProof/>
          <w:color w:val="000000" w:themeColor="text1"/>
          <w:szCs w:val="22"/>
          <w:lang w:eastAsia="es-MX"/>
        </w:rPr>
        <w:drawing>
          <wp:inline distT="0" distB="0" distL="0" distR="0" wp14:anchorId="50B80DFF" wp14:editId="1C41A6F6">
            <wp:extent cx="5741173" cy="261061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6689" cy="2640403"/>
                    </a:xfrm>
                    <a:prstGeom prst="rect">
                      <a:avLst/>
                    </a:prstGeom>
                  </pic:spPr>
                </pic:pic>
              </a:graphicData>
            </a:graphic>
          </wp:inline>
        </w:drawing>
      </w:r>
    </w:p>
    <w:p w14:paraId="7DDB9834" w14:textId="77777777" w:rsidR="00F51455" w:rsidRPr="00850134" w:rsidRDefault="00F51455" w:rsidP="00F51455">
      <w:pPr>
        <w:rPr>
          <w:rFonts w:eastAsia="Calibri" w:cs="Tahoma"/>
          <w:color w:val="000000" w:themeColor="text1"/>
          <w:szCs w:val="22"/>
          <w:lang w:eastAsia="es-ES_tradnl"/>
        </w:rPr>
      </w:pPr>
    </w:p>
    <w:p w14:paraId="15A3729F" w14:textId="77777777" w:rsidR="00164CF4" w:rsidRPr="00850134" w:rsidRDefault="00164CF4" w:rsidP="00F51455">
      <w:pPr>
        <w:rPr>
          <w:rFonts w:eastAsia="Calibri" w:cs="Tahoma"/>
          <w:color w:val="000000" w:themeColor="text1"/>
          <w:szCs w:val="22"/>
          <w:lang w:eastAsia="es-ES_tradnl"/>
        </w:rPr>
      </w:pPr>
      <w:r w:rsidRPr="00850134">
        <w:rPr>
          <w:rFonts w:eastAsia="Calibri" w:cs="Tahoma"/>
          <w:color w:val="000000" w:themeColor="text1"/>
          <w:szCs w:val="22"/>
          <w:lang w:eastAsia="es-ES_tradnl"/>
        </w:rPr>
        <w:lastRenderedPageBreak/>
        <w:t xml:space="preserve">En consecuencia, contrario a lo manifestado en la inconformidad del particular, la respuesta del </w:t>
      </w:r>
      <w:r w:rsidRPr="00850134">
        <w:rPr>
          <w:rFonts w:eastAsia="Calibri" w:cs="Tahoma"/>
          <w:b/>
          <w:color w:val="000000" w:themeColor="text1"/>
          <w:szCs w:val="22"/>
          <w:lang w:eastAsia="es-ES_tradnl"/>
        </w:rPr>
        <w:t xml:space="preserve">SUJETO OBLIGADO </w:t>
      </w:r>
      <w:r w:rsidRPr="00850134">
        <w:rPr>
          <w:rFonts w:eastAsia="Calibri" w:cs="Tahoma"/>
          <w:color w:val="000000" w:themeColor="text1"/>
          <w:szCs w:val="22"/>
          <w:lang w:eastAsia="es-ES_tradnl"/>
        </w:rPr>
        <w:t xml:space="preserve">resultó completa y adecuada, al haber proporcionado en tiempo y forma la información solicitada. </w:t>
      </w:r>
    </w:p>
    <w:p w14:paraId="1884D29D" w14:textId="77777777" w:rsidR="00164CF4" w:rsidRPr="00850134" w:rsidRDefault="00164CF4" w:rsidP="00F51455">
      <w:pPr>
        <w:rPr>
          <w:rFonts w:eastAsia="Calibri" w:cs="Tahoma"/>
          <w:color w:val="000000" w:themeColor="text1"/>
          <w:szCs w:val="22"/>
          <w:lang w:eastAsia="es-ES_tradnl"/>
        </w:rPr>
      </w:pPr>
    </w:p>
    <w:p w14:paraId="3AB1C0BD" w14:textId="274A1064" w:rsidR="00164CF4" w:rsidRPr="00850134" w:rsidRDefault="00164CF4" w:rsidP="00F51455">
      <w:pPr>
        <w:rPr>
          <w:rFonts w:eastAsia="Calibri" w:cs="Tahoma"/>
          <w:color w:val="000000" w:themeColor="text1"/>
          <w:szCs w:val="22"/>
          <w:lang w:eastAsia="es-ES_tradnl"/>
        </w:rPr>
      </w:pPr>
      <w:r w:rsidRPr="00850134">
        <w:rPr>
          <w:rFonts w:eastAsia="Calibri" w:cs="Tahoma"/>
          <w:color w:val="000000" w:themeColor="text1"/>
          <w:szCs w:val="22"/>
          <w:lang w:eastAsia="es-ES_tradnl"/>
        </w:rPr>
        <w:t xml:space="preserve">Por tanto, la inconformidad de la </w:t>
      </w:r>
      <w:r w:rsidRPr="00850134">
        <w:rPr>
          <w:rFonts w:eastAsia="Calibri" w:cs="Tahoma"/>
          <w:b/>
          <w:color w:val="000000" w:themeColor="text1"/>
          <w:szCs w:val="22"/>
          <w:lang w:eastAsia="es-ES_tradnl"/>
        </w:rPr>
        <w:t>PARTE RECURRENTE</w:t>
      </w:r>
      <w:r w:rsidRPr="00850134">
        <w:rPr>
          <w:rFonts w:eastAsia="Calibri" w:cs="Tahoma"/>
          <w:color w:val="000000" w:themeColor="text1"/>
          <w:szCs w:val="22"/>
          <w:lang w:eastAsia="es-ES_tradnl"/>
        </w:rPr>
        <w:t xml:space="preserve"> deviene infundada, pues se acredita que el documento requerido sí obra dentro del expediente electrónico del SAIMEX y fue puesto a su disposición.</w:t>
      </w:r>
    </w:p>
    <w:p w14:paraId="6C1D8DF4" w14:textId="77777777" w:rsidR="00164CF4" w:rsidRPr="00850134" w:rsidRDefault="00164CF4" w:rsidP="00F51455">
      <w:pPr>
        <w:rPr>
          <w:rFonts w:eastAsia="Calibri" w:cs="Tahoma"/>
          <w:color w:val="000000" w:themeColor="text1"/>
          <w:szCs w:val="22"/>
          <w:lang w:eastAsia="es-ES_tradnl"/>
        </w:rPr>
      </w:pPr>
    </w:p>
    <w:p w14:paraId="3F27A667" w14:textId="77777777" w:rsidR="00E43F7B" w:rsidRPr="00850134" w:rsidRDefault="00E43F7B" w:rsidP="00F51455">
      <w:pPr>
        <w:pStyle w:val="Ttulo3"/>
        <w:spacing w:line="360" w:lineRule="auto"/>
        <w:rPr>
          <w:szCs w:val="22"/>
        </w:rPr>
      </w:pPr>
      <w:bookmarkStart w:id="36" w:name="_Toc200532138"/>
      <w:bookmarkStart w:id="37" w:name="_Toc200617037"/>
      <w:bookmarkStart w:id="38" w:name="_Toc203559870"/>
      <w:bookmarkStart w:id="39" w:name="_Toc209630224"/>
      <w:r w:rsidRPr="00850134">
        <w:rPr>
          <w:szCs w:val="22"/>
        </w:rPr>
        <w:t>d) Conclusión</w:t>
      </w:r>
      <w:bookmarkEnd w:id="36"/>
      <w:bookmarkEnd w:id="37"/>
      <w:bookmarkEnd w:id="38"/>
      <w:bookmarkEnd w:id="39"/>
    </w:p>
    <w:p w14:paraId="6F27899E" w14:textId="38A8CB8D" w:rsidR="00E43F7B" w:rsidRPr="00850134" w:rsidRDefault="00E43F7B" w:rsidP="00F51455">
      <w:pPr>
        <w:widowControl w:val="0"/>
        <w:tabs>
          <w:tab w:val="left" w:pos="1701"/>
          <w:tab w:val="left" w:pos="1843"/>
        </w:tabs>
        <w:autoSpaceDE w:val="0"/>
        <w:autoSpaceDN w:val="0"/>
        <w:adjustRightInd w:val="0"/>
        <w:rPr>
          <w:rFonts w:cs="Arial"/>
          <w:color w:val="000000" w:themeColor="text1"/>
          <w:szCs w:val="22"/>
        </w:rPr>
      </w:pPr>
      <w:r w:rsidRPr="00850134">
        <w:rPr>
          <w:rFonts w:cs="Arial"/>
          <w:color w:val="000000" w:themeColor="text1"/>
          <w:szCs w:val="22"/>
        </w:rPr>
        <w:t xml:space="preserve">En razón de lo anteriormente expuesto, éste Instituto estima que las razones o motivos de inconformidad hechos valer por </w:t>
      </w:r>
      <w:r w:rsidRPr="00850134">
        <w:rPr>
          <w:rFonts w:cs="Arial"/>
          <w:b/>
          <w:color w:val="000000" w:themeColor="text1"/>
          <w:szCs w:val="22"/>
        </w:rPr>
        <w:t>EL RECURRENTE</w:t>
      </w:r>
      <w:r w:rsidRPr="00850134">
        <w:rPr>
          <w:rFonts w:cs="Arial"/>
          <w:color w:val="000000" w:themeColor="text1"/>
          <w:szCs w:val="22"/>
        </w:rPr>
        <w:t xml:space="preserve"> devienen </w:t>
      </w:r>
      <w:r w:rsidRPr="00850134">
        <w:rPr>
          <w:rFonts w:cs="Arial"/>
          <w:b/>
          <w:color w:val="000000" w:themeColor="text1"/>
          <w:szCs w:val="22"/>
        </w:rPr>
        <w:t>infundadas</w:t>
      </w:r>
      <w:r w:rsidRPr="00850134">
        <w:rPr>
          <w:rFonts w:cs="Arial"/>
          <w:color w:val="000000" w:themeColor="text1"/>
          <w:szCs w:val="22"/>
        </w:rPr>
        <w:t xml:space="preserve">; motivo por el cual, este Órgano Garante determina </w:t>
      </w:r>
      <w:r w:rsidRPr="00850134">
        <w:rPr>
          <w:rFonts w:cs="Arial"/>
          <w:b/>
          <w:color w:val="000000" w:themeColor="text1"/>
          <w:szCs w:val="22"/>
        </w:rPr>
        <w:t xml:space="preserve">CONFIRMAR </w:t>
      </w:r>
      <w:r w:rsidRPr="00850134">
        <w:rPr>
          <w:rFonts w:cs="Arial"/>
          <w:color w:val="000000" w:themeColor="text1"/>
          <w:szCs w:val="22"/>
        </w:rPr>
        <w:t xml:space="preserve">las respuestas otorgadas por </w:t>
      </w:r>
      <w:r w:rsidRPr="00850134">
        <w:rPr>
          <w:rFonts w:cs="Arial"/>
          <w:b/>
          <w:color w:val="000000" w:themeColor="text1"/>
          <w:szCs w:val="22"/>
        </w:rPr>
        <w:t>EL SUJETO OBLIGADO</w:t>
      </w:r>
      <w:r w:rsidRPr="00850134">
        <w:rPr>
          <w:rFonts w:cs="Arial"/>
          <w:b/>
          <w:szCs w:val="22"/>
        </w:rPr>
        <w:t xml:space="preserve">, </w:t>
      </w:r>
      <w:r w:rsidRPr="00850134">
        <w:rPr>
          <w:rFonts w:cs="Arial"/>
          <w:color w:val="000000" w:themeColor="text1"/>
          <w:szCs w:val="22"/>
        </w:rPr>
        <w:t>en términos del artículo 186, fracción II de la Ley de Transparencia y Acceso a la Información Pública del Estado de México y Municipios por las razones expuestas en el presente considerando.</w:t>
      </w:r>
    </w:p>
    <w:p w14:paraId="5AD7682F" w14:textId="77777777" w:rsidR="00E43F7B" w:rsidRPr="00850134" w:rsidRDefault="00E43F7B" w:rsidP="00F51455">
      <w:pPr>
        <w:rPr>
          <w:szCs w:val="22"/>
        </w:rPr>
      </w:pPr>
    </w:p>
    <w:p w14:paraId="58CA4764" w14:textId="3CBA9F36" w:rsidR="00164CF4" w:rsidRPr="00850134" w:rsidRDefault="00164CF4" w:rsidP="00F51455">
      <w:pPr>
        <w:ind w:right="-93"/>
        <w:rPr>
          <w:szCs w:val="22"/>
        </w:rPr>
      </w:pPr>
      <w:r w:rsidRPr="00850134">
        <w:rPr>
          <w:szCs w:val="22"/>
        </w:rPr>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E7AA53F" w14:textId="77777777" w:rsidR="00500168" w:rsidRPr="00850134" w:rsidRDefault="00500168" w:rsidP="00F51455">
      <w:pPr>
        <w:ind w:right="-93"/>
        <w:rPr>
          <w:szCs w:val="22"/>
        </w:rPr>
      </w:pPr>
    </w:p>
    <w:p w14:paraId="5B43BAFC" w14:textId="77777777" w:rsidR="00E43F7B" w:rsidRPr="00850134" w:rsidRDefault="00E43F7B" w:rsidP="00F51455">
      <w:pPr>
        <w:rPr>
          <w:szCs w:val="22"/>
        </w:rPr>
      </w:pPr>
    </w:p>
    <w:p w14:paraId="50693C6C" w14:textId="77777777" w:rsidR="00E43F7B" w:rsidRPr="00850134" w:rsidRDefault="00E43F7B" w:rsidP="00F51455">
      <w:pPr>
        <w:pStyle w:val="Ttulo1"/>
        <w:rPr>
          <w:szCs w:val="22"/>
        </w:rPr>
      </w:pPr>
      <w:bookmarkStart w:id="40" w:name="_Toc200532139"/>
      <w:bookmarkStart w:id="41" w:name="_Toc200617038"/>
      <w:bookmarkStart w:id="42" w:name="_Toc203559871"/>
      <w:bookmarkStart w:id="43" w:name="_Toc209630225"/>
      <w:r w:rsidRPr="00850134">
        <w:rPr>
          <w:szCs w:val="22"/>
        </w:rPr>
        <w:lastRenderedPageBreak/>
        <w:t>RESUELVE</w:t>
      </w:r>
      <w:bookmarkEnd w:id="40"/>
      <w:bookmarkEnd w:id="41"/>
      <w:bookmarkEnd w:id="42"/>
      <w:bookmarkEnd w:id="43"/>
    </w:p>
    <w:p w14:paraId="703FE422" w14:textId="77777777" w:rsidR="00E43F7B" w:rsidRPr="00850134" w:rsidRDefault="00E43F7B" w:rsidP="00F51455">
      <w:pPr>
        <w:ind w:right="113"/>
        <w:rPr>
          <w:b/>
          <w:szCs w:val="22"/>
        </w:rPr>
      </w:pPr>
    </w:p>
    <w:p w14:paraId="5E1FD194" w14:textId="7FDA852C" w:rsidR="00E43F7B" w:rsidRPr="00850134" w:rsidRDefault="00E43F7B" w:rsidP="00F51455">
      <w:pPr>
        <w:widowControl w:val="0"/>
        <w:rPr>
          <w:szCs w:val="22"/>
        </w:rPr>
      </w:pPr>
      <w:bookmarkStart w:id="44" w:name="_heading=h.6x8p7j4ybxcx" w:colFirst="0" w:colLast="0"/>
      <w:bookmarkEnd w:id="44"/>
      <w:r w:rsidRPr="00850134">
        <w:rPr>
          <w:b/>
          <w:szCs w:val="22"/>
        </w:rPr>
        <w:t>PRIMERO.</w:t>
      </w:r>
      <w:r w:rsidRPr="00850134">
        <w:rPr>
          <w:szCs w:val="22"/>
        </w:rPr>
        <w:t xml:space="preserve"> Se </w:t>
      </w:r>
      <w:r w:rsidRPr="00850134">
        <w:rPr>
          <w:b/>
          <w:szCs w:val="22"/>
        </w:rPr>
        <w:t>CONFIRMAN</w:t>
      </w:r>
      <w:r w:rsidRPr="00850134">
        <w:rPr>
          <w:szCs w:val="22"/>
        </w:rPr>
        <w:t xml:space="preserve"> la</w:t>
      </w:r>
      <w:r w:rsidR="00164CF4" w:rsidRPr="00850134">
        <w:rPr>
          <w:szCs w:val="22"/>
        </w:rPr>
        <w:t>s</w:t>
      </w:r>
      <w:r w:rsidRPr="00850134">
        <w:rPr>
          <w:szCs w:val="22"/>
        </w:rPr>
        <w:t xml:space="preserve"> respuesta</w:t>
      </w:r>
      <w:r w:rsidR="00164CF4" w:rsidRPr="00850134">
        <w:rPr>
          <w:szCs w:val="22"/>
        </w:rPr>
        <w:t>s</w:t>
      </w:r>
      <w:r w:rsidRPr="00850134">
        <w:rPr>
          <w:szCs w:val="22"/>
        </w:rPr>
        <w:t xml:space="preserve"> entregada</w:t>
      </w:r>
      <w:r w:rsidR="00164CF4" w:rsidRPr="00850134">
        <w:rPr>
          <w:szCs w:val="22"/>
        </w:rPr>
        <w:t>s</w:t>
      </w:r>
      <w:r w:rsidRPr="00850134">
        <w:rPr>
          <w:szCs w:val="22"/>
        </w:rPr>
        <w:t xml:space="preserve"> por el </w:t>
      </w:r>
      <w:r w:rsidRPr="00850134">
        <w:rPr>
          <w:b/>
          <w:szCs w:val="22"/>
        </w:rPr>
        <w:t>SUJETO OBLIGADO</w:t>
      </w:r>
      <w:r w:rsidRPr="00850134">
        <w:rPr>
          <w:szCs w:val="22"/>
        </w:rPr>
        <w:t xml:space="preserve"> en la</w:t>
      </w:r>
      <w:r w:rsidR="00500168" w:rsidRPr="00850134">
        <w:rPr>
          <w:szCs w:val="22"/>
        </w:rPr>
        <w:t>s</w:t>
      </w:r>
      <w:r w:rsidRPr="00850134">
        <w:rPr>
          <w:szCs w:val="22"/>
        </w:rPr>
        <w:t xml:space="preserve"> solicitud</w:t>
      </w:r>
      <w:r w:rsidR="00164CF4" w:rsidRPr="00850134">
        <w:rPr>
          <w:szCs w:val="22"/>
        </w:rPr>
        <w:t>es</w:t>
      </w:r>
      <w:r w:rsidRPr="00850134">
        <w:rPr>
          <w:szCs w:val="22"/>
        </w:rPr>
        <w:t xml:space="preserve"> de información </w:t>
      </w:r>
      <w:r w:rsidR="00F51455" w:rsidRPr="00850134">
        <w:rPr>
          <w:b/>
          <w:szCs w:val="22"/>
        </w:rPr>
        <w:t xml:space="preserve">00245/ACAMBAY/IP/2025 </w:t>
      </w:r>
      <w:r w:rsidR="00F51455" w:rsidRPr="00850134">
        <w:rPr>
          <w:szCs w:val="22"/>
        </w:rPr>
        <w:t>y</w:t>
      </w:r>
      <w:r w:rsidR="00F51455" w:rsidRPr="00850134">
        <w:rPr>
          <w:b/>
          <w:szCs w:val="22"/>
        </w:rPr>
        <w:t xml:space="preserve"> 00246/ACAMBAY/IP/2025</w:t>
      </w:r>
      <w:r w:rsidRPr="00850134">
        <w:rPr>
          <w:szCs w:val="22"/>
        </w:rPr>
        <w:t xml:space="preserve">, por resultar </w:t>
      </w:r>
      <w:r w:rsidRPr="00850134">
        <w:rPr>
          <w:b/>
          <w:szCs w:val="22"/>
        </w:rPr>
        <w:t>INFUNDADAS</w:t>
      </w:r>
      <w:r w:rsidRPr="00850134">
        <w:rPr>
          <w:szCs w:val="22"/>
        </w:rPr>
        <w:t xml:space="preserve"> las razones o motivos de inconformidad hechos valer por </w:t>
      </w:r>
      <w:r w:rsidRPr="00850134">
        <w:rPr>
          <w:b/>
          <w:szCs w:val="22"/>
        </w:rPr>
        <w:t>LA PARTE RECURRENTE</w:t>
      </w:r>
      <w:r w:rsidRPr="00850134">
        <w:rPr>
          <w:szCs w:val="22"/>
        </w:rPr>
        <w:t xml:space="preserve"> en el Recurso de Revisión </w:t>
      </w:r>
      <w:r w:rsidRPr="00850134">
        <w:rPr>
          <w:b/>
          <w:color w:val="000000"/>
          <w:szCs w:val="22"/>
        </w:rPr>
        <w:t>0</w:t>
      </w:r>
      <w:r w:rsidR="00F51455" w:rsidRPr="00850134">
        <w:rPr>
          <w:b/>
          <w:color w:val="000000"/>
          <w:szCs w:val="22"/>
        </w:rPr>
        <w:t>6707</w:t>
      </w:r>
      <w:r w:rsidRPr="00850134">
        <w:rPr>
          <w:b/>
          <w:color w:val="000000"/>
          <w:szCs w:val="22"/>
        </w:rPr>
        <w:t>/INFOEM/IP/RR/2025</w:t>
      </w:r>
      <w:r w:rsidR="00F51455" w:rsidRPr="00850134">
        <w:rPr>
          <w:b/>
          <w:color w:val="000000"/>
          <w:szCs w:val="22"/>
        </w:rPr>
        <w:t xml:space="preserve"> y 0670</w:t>
      </w:r>
      <w:r w:rsidR="009C7210" w:rsidRPr="00850134">
        <w:rPr>
          <w:b/>
          <w:color w:val="000000"/>
          <w:szCs w:val="22"/>
        </w:rPr>
        <w:t>8</w:t>
      </w:r>
      <w:r w:rsidR="00F51455" w:rsidRPr="00850134">
        <w:rPr>
          <w:b/>
          <w:color w:val="000000"/>
          <w:szCs w:val="22"/>
        </w:rPr>
        <w:t>/INFOEM/IP/RR/2025</w:t>
      </w:r>
      <w:r w:rsidRPr="00850134">
        <w:rPr>
          <w:b/>
          <w:color w:val="0D0D0D"/>
          <w:szCs w:val="22"/>
        </w:rPr>
        <w:t xml:space="preserve"> </w:t>
      </w:r>
      <w:r w:rsidRPr="00850134">
        <w:rPr>
          <w:szCs w:val="22"/>
        </w:rPr>
        <w:t xml:space="preserve">en términos del considerando </w:t>
      </w:r>
      <w:r w:rsidRPr="00850134">
        <w:rPr>
          <w:b/>
          <w:szCs w:val="22"/>
        </w:rPr>
        <w:t>SEGUNDO</w:t>
      </w:r>
      <w:r w:rsidRPr="00850134">
        <w:rPr>
          <w:szCs w:val="22"/>
        </w:rPr>
        <w:t xml:space="preserve"> de la presente Resolución.</w:t>
      </w:r>
    </w:p>
    <w:p w14:paraId="05B803E5" w14:textId="77777777" w:rsidR="00E43F7B" w:rsidRPr="00850134" w:rsidRDefault="00E43F7B" w:rsidP="00F51455">
      <w:pPr>
        <w:widowControl w:val="0"/>
        <w:rPr>
          <w:szCs w:val="22"/>
        </w:rPr>
      </w:pPr>
    </w:p>
    <w:p w14:paraId="7F7A1598" w14:textId="77777777" w:rsidR="00E43F7B" w:rsidRPr="00850134" w:rsidRDefault="00E43F7B" w:rsidP="00F51455">
      <w:pPr>
        <w:ind w:right="-93"/>
        <w:rPr>
          <w:szCs w:val="22"/>
        </w:rPr>
      </w:pPr>
      <w:r w:rsidRPr="00850134">
        <w:rPr>
          <w:b/>
          <w:szCs w:val="22"/>
        </w:rPr>
        <w:t>SEGUNDO.</w:t>
      </w:r>
      <w:r w:rsidRPr="00850134">
        <w:rPr>
          <w:szCs w:val="22"/>
        </w:rPr>
        <w:t xml:space="preserve"> Notifíquese la presente resolución mediante Sistema de Acceso a la Información Mexiquense al Titular de la Unidad de Transparencia del </w:t>
      </w:r>
      <w:r w:rsidRPr="00850134">
        <w:rPr>
          <w:b/>
          <w:szCs w:val="22"/>
        </w:rPr>
        <w:t>SUJETO OBLIGADO</w:t>
      </w:r>
      <w:r w:rsidRPr="00850134">
        <w:rPr>
          <w:szCs w:val="22"/>
        </w:rPr>
        <w:t>, para su conocimiento.</w:t>
      </w:r>
    </w:p>
    <w:p w14:paraId="099B6B46" w14:textId="77777777" w:rsidR="00E43F7B" w:rsidRPr="00850134" w:rsidRDefault="00E43F7B" w:rsidP="00F51455">
      <w:pPr>
        <w:ind w:right="-93"/>
        <w:rPr>
          <w:szCs w:val="22"/>
        </w:rPr>
      </w:pPr>
    </w:p>
    <w:p w14:paraId="2A6F0412" w14:textId="77777777" w:rsidR="00E43F7B" w:rsidRPr="00850134" w:rsidRDefault="00E43F7B" w:rsidP="00F51455">
      <w:pPr>
        <w:rPr>
          <w:szCs w:val="22"/>
        </w:rPr>
      </w:pPr>
      <w:r w:rsidRPr="00850134">
        <w:rPr>
          <w:b/>
          <w:szCs w:val="22"/>
        </w:rPr>
        <w:t>TERCERO.</w:t>
      </w:r>
      <w:r w:rsidRPr="00850134">
        <w:rPr>
          <w:szCs w:val="22"/>
        </w:rPr>
        <w:t xml:space="preserve"> Notifíquese a </w:t>
      </w:r>
      <w:r w:rsidRPr="00850134">
        <w:rPr>
          <w:b/>
          <w:szCs w:val="22"/>
        </w:rPr>
        <w:t>LA PARTE RECURRENTE</w:t>
      </w:r>
      <w:r w:rsidRPr="00850134">
        <w:rPr>
          <w:szCs w:val="22"/>
        </w:rPr>
        <w:t xml:space="preserve"> la presente resolución vía Sistema de Acceso a la Información Mexiquense (</w:t>
      </w:r>
      <w:r w:rsidRPr="00850134">
        <w:rPr>
          <w:b/>
          <w:szCs w:val="22"/>
        </w:rPr>
        <w:t>SAIMEX</w:t>
      </w:r>
      <w:r w:rsidRPr="00850134">
        <w:rPr>
          <w:szCs w:val="22"/>
        </w:rPr>
        <w:t>).</w:t>
      </w:r>
    </w:p>
    <w:p w14:paraId="7FFBDD62" w14:textId="77777777" w:rsidR="00E43F7B" w:rsidRPr="00850134" w:rsidRDefault="00E43F7B" w:rsidP="00F51455">
      <w:pPr>
        <w:rPr>
          <w:szCs w:val="22"/>
        </w:rPr>
      </w:pPr>
    </w:p>
    <w:p w14:paraId="7C68F74D" w14:textId="77777777" w:rsidR="00E43F7B" w:rsidRPr="00850134" w:rsidRDefault="00E43F7B" w:rsidP="00F51455">
      <w:pPr>
        <w:rPr>
          <w:szCs w:val="22"/>
        </w:rPr>
      </w:pPr>
      <w:r w:rsidRPr="00850134">
        <w:rPr>
          <w:b/>
          <w:szCs w:val="22"/>
        </w:rPr>
        <w:t>CUARTO</w:t>
      </w:r>
      <w:r w:rsidRPr="00850134">
        <w:rPr>
          <w:szCs w:val="22"/>
        </w:rPr>
        <w:t xml:space="preserve">. Hágase del conocimiento a </w:t>
      </w:r>
      <w:r w:rsidRPr="00850134">
        <w:rPr>
          <w:b/>
          <w:szCs w:val="22"/>
        </w:rPr>
        <w:t>LA PARTE RECURRENTE</w:t>
      </w:r>
      <w:r w:rsidRPr="00850134">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E121965" w14:textId="77777777" w:rsidR="00500168" w:rsidRPr="00850134" w:rsidRDefault="00500168" w:rsidP="00F51455">
      <w:pPr>
        <w:rPr>
          <w:szCs w:val="22"/>
        </w:rPr>
      </w:pPr>
    </w:p>
    <w:p w14:paraId="5EB960CE" w14:textId="748B3E92" w:rsidR="00CB1E0D" w:rsidRPr="00850134" w:rsidRDefault="00CB1E0D" w:rsidP="00F51455">
      <w:pPr>
        <w:rPr>
          <w:color w:val="000000"/>
          <w:szCs w:val="22"/>
        </w:rPr>
      </w:pPr>
      <w:r w:rsidRPr="00850134">
        <w:rPr>
          <w:color w:val="000000"/>
          <w:szCs w:val="22"/>
        </w:rPr>
        <w:t xml:space="preserve">ASÍ LO RESUELVE, POR UNANIMIDAD DE VOTOS EL PLENO DEL INSTITUTO DE TRANSPARENCIA, ACCESO A LA INFORMACIÓN PÚBLICA Y PROTECCIÓN DE DATOS PERSONALES DEL ESTADO DE MÉXICO Y MUNICIPIOS, CONFORMADO POR </w:t>
      </w:r>
      <w:r w:rsidRPr="00850134">
        <w:rPr>
          <w:color w:val="000000"/>
          <w:szCs w:val="22"/>
        </w:rPr>
        <w:lastRenderedPageBreak/>
        <w:t xml:space="preserve">LOS COMISIONADOS JOSÉ MARTÍNEZ VILCHIS, MARÍA DEL ROSARIO MEJÍA AYALA, SHARON CRISTINA MORALES MARTÍNEZ, LUIS GUSTAVO PARRA NORIEGA Y GUADALUPE RAMÍREZ PEÑA, EN LA </w:t>
      </w:r>
      <w:r w:rsidR="00F51455" w:rsidRPr="00850134">
        <w:rPr>
          <w:szCs w:val="22"/>
        </w:rPr>
        <w:t>TRIGÉSIMA CUARTA</w:t>
      </w:r>
      <w:r w:rsidR="003202ED" w:rsidRPr="00850134">
        <w:rPr>
          <w:szCs w:val="22"/>
        </w:rPr>
        <w:t xml:space="preserve"> </w:t>
      </w:r>
      <w:r w:rsidRPr="00850134">
        <w:rPr>
          <w:color w:val="000000"/>
          <w:szCs w:val="22"/>
        </w:rPr>
        <w:t xml:space="preserve">SESIÓN ORDINARIA, CELEBRADA EL </w:t>
      </w:r>
      <w:r w:rsidR="00F51455" w:rsidRPr="00850134">
        <w:rPr>
          <w:szCs w:val="22"/>
        </w:rPr>
        <w:t>VEINTICUATRO</w:t>
      </w:r>
      <w:r w:rsidRPr="00850134">
        <w:rPr>
          <w:szCs w:val="22"/>
        </w:rPr>
        <w:t xml:space="preserve"> DE </w:t>
      </w:r>
      <w:r w:rsidR="00F51455" w:rsidRPr="00850134">
        <w:rPr>
          <w:szCs w:val="22"/>
        </w:rPr>
        <w:t>SEPTIEMBRE</w:t>
      </w:r>
      <w:r w:rsidRPr="00850134">
        <w:rPr>
          <w:szCs w:val="22"/>
        </w:rPr>
        <w:t xml:space="preserve"> </w:t>
      </w:r>
      <w:r w:rsidRPr="00850134">
        <w:rPr>
          <w:color w:val="000000"/>
          <w:szCs w:val="22"/>
        </w:rPr>
        <w:t>DE DOS MIL</w:t>
      </w:r>
      <w:r w:rsidRPr="00850134">
        <w:rPr>
          <w:szCs w:val="22"/>
        </w:rPr>
        <w:t xml:space="preserve"> VEINTICINCO</w:t>
      </w:r>
      <w:r w:rsidRPr="00850134">
        <w:rPr>
          <w:color w:val="000000"/>
          <w:szCs w:val="22"/>
        </w:rPr>
        <w:t>, ANTE EL SECRETARIO TÉCNICO DEL PLENO, ALEXIS TAPIA RAMÍREZ.</w:t>
      </w:r>
      <w:r w:rsidR="00850134">
        <w:rPr>
          <w:color w:val="000000"/>
          <w:szCs w:val="22"/>
        </w:rPr>
        <w:t>----------------------------</w:t>
      </w:r>
    </w:p>
    <w:p w14:paraId="08C3B1C8" w14:textId="77777777" w:rsidR="001910CD" w:rsidRPr="00500168" w:rsidRDefault="00593577" w:rsidP="00F51455">
      <w:pPr>
        <w:tabs>
          <w:tab w:val="left" w:pos="2325"/>
        </w:tabs>
        <w:rPr>
          <w:sz w:val="16"/>
          <w:szCs w:val="22"/>
        </w:rPr>
      </w:pPr>
      <w:r w:rsidRPr="00850134">
        <w:rPr>
          <w:sz w:val="16"/>
          <w:szCs w:val="22"/>
        </w:rPr>
        <w:t>SCMM/AGZ/DEMF/DLM</w:t>
      </w:r>
    </w:p>
    <w:p w14:paraId="5687EB32" w14:textId="77777777" w:rsidR="001910CD" w:rsidRPr="00D66287" w:rsidRDefault="001910CD" w:rsidP="00F51455">
      <w:pPr>
        <w:tabs>
          <w:tab w:val="left" w:pos="2325"/>
        </w:tabs>
        <w:rPr>
          <w:szCs w:val="22"/>
        </w:rPr>
      </w:pPr>
    </w:p>
    <w:p w14:paraId="3756B714" w14:textId="77777777" w:rsidR="001910CD" w:rsidRPr="00D66287" w:rsidRDefault="001910CD" w:rsidP="00F51455">
      <w:pPr>
        <w:tabs>
          <w:tab w:val="left" w:pos="2325"/>
        </w:tabs>
        <w:rPr>
          <w:szCs w:val="22"/>
        </w:rPr>
      </w:pPr>
    </w:p>
    <w:p w14:paraId="14BA52E9" w14:textId="77777777" w:rsidR="001910CD" w:rsidRPr="00D66287" w:rsidRDefault="001910CD" w:rsidP="00F51455">
      <w:pPr>
        <w:tabs>
          <w:tab w:val="left" w:pos="2325"/>
        </w:tabs>
        <w:rPr>
          <w:szCs w:val="22"/>
        </w:rPr>
      </w:pPr>
    </w:p>
    <w:p w14:paraId="4B0B638D" w14:textId="77777777" w:rsidR="001910CD" w:rsidRPr="00D66287" w:rsidRDefault="001910CD" w:rsidP="00F51455">
      <w:pPr>
        <w:tabs>
          <w:tab w:val="left" w:pos="2325"/>
        </w:tabs>
        <w:rPr>
          <w:szCs w:val="22"/>
        </w:rPr>
      </w:pPr>
    </w:p>
    <w:p w14:paraId="0EF6E6D3" w14:textId="77777777" w:rsidR="001910CD" w:rsidRPr="00D66287" w:rsidRDefault="001910CD" w:rsidP="00F51455">
      <w:pPr>
        <w:tabs>
          <w:tab w:val="left" w:pos="2325"/>
        </w:tabs>
        <w:rPr>
          <w:szCs w:val="22"/>
        </w:rPr>
      </w:pPr>
    </w:p>
    <w:p w14:paraId="3101F4E2" w14:textId="77777777" w:rsidR="001910CD" w:rsidRDefault="001910CD" w:rsidP="00F51455">
      <w:pPr>
        <w:tabs>
          <w:tab w:val="left" w:pos="2325"/>
        </w:tabs>
        <w:rPr>
          <w:szCs w:val="22"/>
        </w:rPr>
      </w:pPr>
    </w:p>
    <w:p w14:paraId="1CEC6080" w14:textId="77777777" w:rsidR="00850134" w:rsidRDefault="00850134" w:rsidP="00F51455">
      <w:pPr>
        <w:tabs>
          <w:tab w:val="left" w:pos="2325"/>
        </w:tabs>
        <w:rPr>
          <w:szCs w:val="22"/>
        </w:rPr>
      </w:pPr>
    </w:p>
    <w:p w14:paraId="333ED2E9" w14:textId="77777777" w:rsidR="00850134" w:rsidRDefault="00850134" w:rsidP="00F51455">
      <w:pPr>
        <w:tabs>
          <w:tab w:val="left" w:pos="2325"/>
        </w:tabs>
        <w:rPr>
          <w:szCs w:val="22"/>
        </w:rPr>
      </w:pPr>
    </w:p>
    <w:p w14:paraId="0C2E0845" w14:textId="77777777" w:rsidR="00850134" w:rsidRDefault="00850134" w:rsidP="00F51455">
      <w:pPr>
        <w:tabs>
          <w:tab w:val="left" w:pos="2325"/>
        </w:tabs>
        <w:rPr>
          <w:szCs w:val="22"/>
        </w:rPr>
      </w:pPr>
    </w:p>
    <w:p w14:paraId="5CFFE774" w14:textId="77777777" w:rsidR="00850134" w:rsidRDefault="00850134" w:rsidP="00F51455">
      <w:pPr>
        <w:tabs>
          <w:tab w:val="left" w:pos="2325"/>
        </w:tabs>
        <w:rPr>
          <w:szCs w:val="22"/>
        </w:rPr>
      </w:pPr>
    </w:p>
    <w:p w14:paraId="605F234E" w14:textId="77777777" w:rsidR="00850134" w:rsidRDefault="00850134" w:rsidP="00F51455">
      <w:pPr>
        <w:tabs>
          <w:tab w:val="left" w:pos="2325"/>
        </w:tabs>
        <w:rPr>
          <w:szCs w:val="22"/>
        </w:rPr>
      </w:pPr>
    </w:p>
    <w:p w14:paraId="3CDA6331" w14:textId="77777777" w:rsidR="00850134" w:rsidRDefault="00850134" w:rsidP="00F51455">
      <w:pPr>
        <w:tabs>
          <w:tab w:val="left" w:pos="2325"/>
        </w:tabs>
        <w:rPr>
          <w:szCs w:val="22"/>
        </w:rPr>
      </w:pPr>
    </w:p>
    <w:p w14:paraId="211C324F" w14:textId="77777777" w:rsidR="00850134" w:rsidRDefault="00850134" w:rsidP="00F51455">
      <w:pPr>
        <w:tabs>
          <w:tab w:val="left" w:pos="2325"/>
        </w:tabs>
        <w:rPr>
          <w:szCs w:val="22"/>
        </w:rPr>
      </w:pPr>
    </w:p>
    <w:p w14:paraId="51C2BC91" w14:textId="77777777" w:rsidR="00850134" w:rsidRDefault="00850134" w:rsidP="00F51455">
      <w:pPr>
        <w:tabs>
          <w:tab w:val="left" w:pos="2325"/>
        </w:tabs>
        <w:rPr>
          <w:szCs w:val="22"/>
        </w:rPr>
      </w:pPr>
    </w:p>
    <w:p w14:paraId="36C8E589" w14:textId="77777777" w:rsidR="00850134" w:rsidRDefault="00850134" w:rsidP="00F51455">
      <w:pPr>
        <w:tabs>
          <w:tab w:val="left" w:pos="2325"/>
        </w:tabs>
        <w:rPr>
          <w:szCs w:val="22"/>
        </w:rPr>
      </w:pPr>
    </w:p>
    <w:p w14:paraId="541A90F6" w14:textId="77777777" w:rsidR="00850134" w:rsidRDefault="00850134" w:rsidP="00F51455">
      <w:pPr>
        <w:tabs>
          <w:tab w:val="left" w:pos="2325"/>
        </w:tabs>
        <w:rPr>
          <w:szCs w:val="22"/>
        </w:rPr>
      </w:pPr>
    </w:p>
    <w:p w14:paraId="1A37FF31" w14:textId="77777777" w:rsidR="00850134" w:rsidRDefault="00850134" w:rsidP="00F51455">
      <w:pPr>
        <w:tabs>
          <w:tab w:val="left" w:pos="2325"/>
        </w:tabs>
        <w:rPr>
          <w:szCs w:val="22"/>
        </w:rPr>
      </w:pPr>
    </w:p>
    <w:p w14:paraId="7145BBC3" w14:textId="77777777" w:rsidR="00850134" w:rsidRDefault="00850134" w:rsidP="00F51455">
      <w:pPr>
        <w:tabs>
          <w:tab w:val="left" w:pos="2325"/>
        </w:tabs>
        <w:rPr>
          <w:szCs w:val="22"/>
        </w:rPr>
      </w:pPr>
    </w:p>
    <w:p w14:paraId="1B411430" w14:textId="77777777" w:rsidR="00850134" w:rsidRDefault="00850134" w:rsidP="00F51455">
      <w:pPr>
        <w:tabs>
          <w:tab w:val="left" w:pos="2325"/>
        </w:tabs>
        <w:rPr>
          <w:szCs w:val="22"/>
        </w:rPr>
      </w:pPr>
    </w:p>
    <w:p w14:paraId="2AB04217" w14:textId="77777777" w:rsidR="00850134" w:rsidRDefault="00850134" w:rsidP="00F51455">
      <w:pPr>
        <w:tabs>
          <w:tab w:val="left" w:pos="2325"/>
        </w:tabs>
        <w:rPr>
          <w:szCs w:val="22"/>
        </w:rPr>
      </w:pPr>
    </w:p>
    <w:p w14:paraId="46E43F3A" w14:textId="77777777" w:rsidR="00850134" w:rsidRDefault="00850134" w:rsidP="00F51455">
      <w:pPr>
        <w:tabs>
          <w:tab w:val="left" w:pos="2325"/>
        </w:tabs>
        <w:rPr>
          <w:szCs w:val="22"/>
        </w:rPr>
      </w:pPr>
    </w:p>
    <w:p w14:paraId="3D5A69DD" w14:textId="77777777" w:rsidR="00850134" w:rsidRDefault="00850134" w:rsidP="00F51455">
      <w:pPr>
        <w:tabs>
          <w:tab w:val="left" w:pos="2325"/>
        </w:tabs>
        <w:rPr>
          <w:szCs w:val="22"/>
        </w:rPr>
      </w:pPr>
    </w:p>
    <w:p w14:paraId="509C1C4D" w14:textId="77777777" w:rsidR="00850134" w:rsidRDefault="00850134" w:rsidP="00F51455">
      <w:pPr>
        <w:tabs>
          <w:tab w:val="left" w:pos="2325"/>
        </w:tabs>
        <w:rPr>
          <w:szCs w:val="22"/>
        </w:rPr>
      </w:pPr>
    </w:p>
    <w:p w14:paraId="0FF687B9" w14:textId="77777777" w:rsidR="00850134" w:rsidRPr="00D66287" w:rsidRDefault="00850134" w:rsidP="00F51455">
      <w:pPr>
        <w:tabs>
          <w:tab w:val="left" w:pos="2325"/>
        </w:tabs>
        <w:rPr>
          <w:szCs w:val="22"/>
        </w:rPr>
      </w:pPr>
      <w:bookmarkStart w:id="45" w:name="_GoBack"/>
      <w:bookmarkEnd w:id="45"/>
    </w:p>
    <w:p w14:paraId="331C5FD7" w14:textId="77777777" w:rsidR="001910CD" w:rsidRPr="00D66287" w:rsidRDefault="001910CD" w:rsidP="00F51455">
      <w:pPr>
        <w:ind w:right="680"/>
        <w:rPr>
          <w:szCs w:val="22"/>
        </w:rPr>
      </w:pPr>
    </w:p>
    <w:p w14:paraId="6295777F" w14:textId="77777777" w:rsidR="001910CD" w:rsidRPr="00D66287" w:rsidRDefault="001910CD" w:rsidP="00F51455">
      <w:pPr>
        <w:ind w:right="680"/>
        <w:rPr>
          <w:szCs w:val="22"/>
        </w:rPr>
      </w:pPr>
    </w:p>
    <w:p w14:paraId="1B162C6A" w14:textId="77777777" w:rsidR="001910CD" w:rsidRPr="00D66287" w:rsidRDefault="001910CD" w:rsidP="00F51455">
      <w:pPr>
        <w:ind w:right="680"/>
        <w:rPr>
          <w:szCs w:val="22"/>
        </w:rPr>
      </w:pPr>
    </w:p>
    <w:p w14:paraId="3CB299DA" w14:textId="77777777" w:rsidR="001910CD" w:rsidRPr="00D66287" w:rsidRDefault="001910CD" w:rsidP="00F51455">
      <w:pPr>
        <w:ind w:right="680"/>
        <w:rPr>
          <w:szCs w:val="22"/>
        </w:rPr>
      </w:pPr>
    </w:p>
    <w:p w14:paraId="2AC514A4" w14:textId="77777777" w:rsidR="001910CD" w:rsidRPr="00D66287" w:rsidRDefault="001910CD" w:rsidP="00F51455">
      <w:pPr>
        <w:ind w:right="680"/>
        <w:rPr>
          <w:szCs w:val="22"/>
        </w:rPr>
      </w:pPr>
    </w:p>
    <w:p w14:paraId="65B5A640" w14:textId="77777777" w:rsidR="001910CD" w:rsidRPr="00D66287" w:rsidRDefault="001910CD" w:rsidP="00F51455">
      <w:pPr>
        <w:ind w:right="680"/>
        <w:rPr>
          <w:szCs w:val="22"/>
        </w:rPr>
      </w:pPr>
    </w:p>
    <w:p w14:paraId="04B7DAD1" w14:textId="77777777" w:rsidR="001910CD" w:rsidRPr="00D66287" w:rsidRDefault="001910CD" w:rsidP="00F51455">
      <w:pPr>
        <w:ind w:right="680"/>
        <w:rPr>
          <w:szCs w:val="22"/>
        </w:rPr>
      </w:pPr>
    </w:p>
    <w:p w14:paraId="1C52372E" w14:textId="77777777" w:rsidR="001910CD" w:rsidRPr="00D66287" w:rsidRDefault="001910CD" w:rsidP="00F51455">
      <w:pPr>
        <w:ind w:right="680"/>
        <w:rPr>
          <w:szCs w:val="22"/>
        </w:rPr>
      </w:pPr>
    </w:p>
    <w:sectPr w:rsidR="001910CD" w:rsidRPr="00D66287">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F24DC" w14:textId="77777777" w:rsidR="003E7A29" w:rsidRDefault="003E7A29">
      <w:pPr>
        <w:spacing w:line="240" w:lineRule="auto"/>
      </w:pPr>
      <w:r>
        <w:separator/>
      </w:r>
    </w:p>
  </w:endnote>
  <w:endnote w:type="continuationSeparator" w:id="0">
    <w:p w14:paraId="1C162AE7" w14:textId="77777777" w:rsidR="003E7A29" w:rsidRDefault="003E7A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4E5AC" w14:textId="77777777" w:rsidR="00E43F7B" w:rsidRDefault="00E43F7B">
    <w:pPr>
      <w:tabs>
        <w:tab w:val="center" w:pos="4550"/>
        <w:tab w:val="left" w:pos="5818"/>
      </w:tabs>
      <w:ind w:right="260"/>
      <w:jc w:val="right"/>
      <w:rPr>
        <w:color w:val="071320"/>
        <w:sz w:val="24"/>
        <w:szCs w:val="24"/>
      </w:rPr>
    </w:pPr>
  </w:p>
  <w:p w14:paraId="7F9BD79D" w14:textId="77777777" w:rsidR="00E43F7B" w:rsidRDefault="00E43F7B">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0E0A2" w14:textId="3E339129" w:rsidR="00E43F7B" w:rsidRDefault="00E43F7B">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372473">
      <w:rPr>
        <w:noProof/>
        <w:color w:val="0A1D30"/>
        <w:sz w:val="24"/>
        <w:szCs w:val="24"/>
      </w:rPr>
      <w:t>18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372473">
      <w:rPr>
        <w:noProof/>
        <w:color w:val="0A1D30"/>
        <w:sz w:val="24"/>
        <w:szCs w:val="24"/>
      </w:rPr>
      <w:t>22</w:t>
    </w:r>
    <w:r>
      <w:rPr>
        <w:color w:val="0A1D30"/>
        <w:sz w:val="24"/>
        <w:szCs w:val="24"/>
      </w:rPr>
      <w:fldChar w:fldCharType="end"/>
    </w:r>
  </w:p>
  <w:p w14:paraId="5A36717B" w14:textId="77777777" w:rsidR="00E43F7B" w:rsidRDefault="00E43F7B">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4436D" w14:textId="77777777" w:rsidR="003E7A29" w:rsidRDefault="003E7A29">
      <w:pPr>
        <w:spacing w:line="240" w:lineRule="auto"/>
      </w:pPr>
      <w:r>
        <w:separator/>
      </w:r>
    </w:p>
  </w:footnote>
  <w:footnote w:type="continuationSeparator" w:id="0">
    <w:p w14:paraId="7E5C19CC" w14:textId="77777777" w:rsidR="003E7A29" w:rsidRDefault="003E7A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95E79" w14:textId="77777777" w:rsidR="00E43F7B" w:rsidRDefault="00E43F7B">
    <w:pPr>
      <w:widowControl w:val="0"/>
      <w:pBdr>
        <w:top w:val="nil"/>
        <w:left w:val="nil"/>
        <w:bottom w:val="nil"/>
        <w:right w:val="nil"/>
        <w:between w:val="nil"/>
      </w:pBdr>
      <w:spacing w:line="276" w:lineRule="auto"/>
      <w:jc w:val="left"/>
      <w:rPr>
        <w:rFonts w:eastAsia="Palatino Linotype" w:cs="Palatino Linotype"/>
        <w:color w:val="000000"/>
        <w:sz w:val="20"/>
      </w:rPr>
    </w:pPr>
  </w:p>
  <w:tbl>
    <w:tblPr>
      <w:tblStyle w:val="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E43F7B" w14:paraId="4891DC08" w14:textId="77777777">
      <w:trPr>
        <w:trHeight w:val="144"/>
        <w:jc w:val="right"/>
      </w:trPr>
      <w:tc>
        <w:tcPr>
          <w:tcW w:w="2727" w:type="dxa"/>
        </w:tcPr>
        <w:p w14:paraId="144A0507" w14:textId="77777777" w:rsidR="00E43F7B" w:rsidRDefault="00E43F7B" w:rsidP="00C93DCC">
          <w:pPr>
            <w:tabs>
              <w:tab w:val="right" w:pos="8838"/>
            </w:tabs>
            <w:ind w:left="-74" w:right="-105"/>
            <w:rPr>
              <w:b/>
            </w:rPr>
          </w:pPr>
          <w:r>
            <w:rPr>
              <w:b/>
            </w:rPr>
            <w:t>Recurso de Revisión:</w:t>
          </w:r>
        </w:p>
      </w:tc>
      <w:tc>
        <w:tcPr>
          <w:tcW w:w="3402" w:type="dxa"/>
        </w:tcPr>
        <w:p w14:paraId="76AF9270" w14:textId="03731FE6" w:rsidR="00E43F7B" w:rsidRPr="008267E3" w:rsidRDefault="00E43F7B" w:rsidP="00C93DCC">
          <w:pPr>
            <w:tabs>
              <w:tab w:val="right" w:pos="8838"/>
            </w:tabs>
            <w:ind w:left="-74" w:right="-105"/>
            <w:rPr>
              <w:sz w:val="22"/>
            </w:rPr>
          </w:pPr>
          <w:r>
            <w:t>06707</w:t>
          </w:r>
          <w:r w:rsidRPr="008267E3">
            <w:t>/INFOEM/IP/RR/2025</w:t>
          </w:r>
          <w:r>
            <w:t xml:space="preserve"> y acumulado</w:t>
          </w:r>
        </w:p>
      </w:tc>
    </w:tr>
    <w:tr w:rsidR="00E43F7B" w14:paraId="30591CAF" w14:textId="77777777">
      <w:trPr>
        <w:trHeight w:val="283"/>
        <w:jc w:val="right"/>
      </w:trPr>
      <w:tc>
        <w:tcPr>
          <w:tcW w:w="2727" w:type="dxa"/>
        </w:tcPr>
        <w:p w14:paraId="1EB2F6CD" w14:textId="77777777" w:rsidR="00E43F7B" w:rsidRDefault="00E43F7B" w:rsidP="00C93DCC">
          <w:pPr>
            <w:tabs>
              <w:tab w:val="right" w:pos="8838"/>
            </w:tabs>
            <w:ind w:left="-74" w:right="-105"/>
            <w:rPr>
              <w:b/>
            </w:rPr>
          </w:pPr>
          <w:r>
            <w:rPr>
              <w:b/>
            </w:rPr>
            <w:t>Sujeto Obligado:</w:t>
          </w:r>
        </w:p>
      </w:tc>
      <w:tc>
        <w:tcPr>
          <w:tcW w:w="3402" w:type="dxa"/>
        </w:tcPr>
        <w:p w14:paraId="52B2CC6C" w14:textId="629CF82C" w:rsidR="00E43F7B" w:rsidRDefault="00E43F7B" w:rsidP="00C93DCC">
          <w:pPr>
            <w:tabs>
              <w:tab w:val="left" w:pos="2834"/>
              <w:tab w:val="right" w:pos="8838"/>
            </w:tabs>
            <w:ind w:left="-108" w:right="-105"/>
          </w:pPr>
          <w:r w:rsidRPr="00245075">
            <w:t>Ayuntamiento de Acambay de Ruíz Castañeda</w:t>
          </w:r>
        </w:p>
      </w:tc>
    </w:tr>
    <w:tr w:rsidR="00E43F7B" w14:paraId="6E27B642" w14:textId="77777777">
      <w:trPr>
        <w:trHeight w:val="283"/>
        <w:jc w:val="right"/>
      </w:trPr>
      <w:tc>
        <w:tcPr>
          <w:tcW w:w="2727" w:type="dxa"/>
        </w:tcPr>
        <w:p w14:paraId="65AE2A0F" w14:textId="77777777" w:rsidR="00E43F7B" w:rsidRDefault="00E43F7B" w:rsidP="00C93DCC">
          <w:pPr>
            <w:tabs>
              <w:tab w:val="right" w:pos="8838"/>
            </w:tabs>
            <w:ind w:left="-74" w:right="-105"/>
            <w:rPr>
              <w:b/>
            </w:rPr>
          </w:pPr>
          <w:r>
            <w:rPr>
              <w:b/>
            </w:rPr>
            <w:t>Comisionada Ponente:</w:t>
          </w:r>
        </w:p>
      </w:tc>
      <w:tc>
        <w:tcPr>
          <w:tcW w:w="3402" w:type="dxa"/>
        </w:tcPr>
        <w:p w14:paraId="65905C09" w14:textId="77777777" w:rsidR="00E43F7B" w:rsidRDefault="00E43F7B" w:rsidP="00C93DCC">
          <w:pPr>
            <w:tabs>
              <w:tab w:val="right" w:pos="8838"/>
            </w:tabs>
            <w:ind w:left="-108" w:right="-105"/>
          </w:pPr>
          <w:r>
            <w:t>Sharon Cristina Morales Martínez</w:t>
          </w:r>
        </w:p>
      </w:tc>
    </w:tr>
  </w:tbl>
  <w:p w14:paraId="0487FEE3" w14:textId="77777777" w:rsidR="00E43F7B" w:rsidRDefault="00E43F7B">
    <w:pPr>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6E276E0B" wp14:editId="79B58E1C">
          <wp:simplePos x="0" y="0"/>
          <wp:positionH relativeFrom="margin">
            <wp:posOffset>-995043</wp:posOffset>
          </wp:positionH>
          <wp:positionV relativeFrom="margin">
            <wp:posOffset>-1782444</wp:posOffset>
          </wp:positionV>
          <wp:extent cx="8426450" cy="1097280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DED03" w14:textId="7080C452" w:rsidR="00E43F7B" w:rsidRDefault="003E7A29">
    <w:pPr>
      <w:widowControl w:val="0"/>
      <w:pBdr>
        <w:top w:val="nil"/>
        <w:left w:val="nil"/>
        <w:bottom w:val="nil"/>
        <w:right w:val="nil"/>
        <w:between w:val="nil"/>
      </w:pBdr>
      <w:spacing w:line="276" w:lineRule="auto"/>
      <w:jc w:val="left"/>
      <w:rPr>
        <w:rFonts w:eastAsia="Palatino Linotype" w:cs="Palatino Linotype"/>
        <w:color w:val="000000"/>
        <w:sz w:val="14"/>
        <w:szCs w:val="14"/>
      </w:rPr>
    </w:pPr>
    <w:r>
      <w:rPr>
        <w:rFonts w:eastAsia="Palatino Linotype" w:cs="Palatino Linotype"/>
        <w:color w:val="000000"/>
        <w:sz w:val="36"/>
        <w:szCs w:val="36"/>
      </w:rPr>
      <w:pict w14:anchorId="4519B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5.75pt;margin-top:-166.2pt;width:663.5pt;height:12in;z-index:-251658240;mso-position-horizontal-relative:margin;mso-position-vertical-relative:margin">
          <v:imagedata r:id="rId1" o:title="image1"/>
          <w10:wrap anchorx="margin" anchory="margin"/>
        </v:shape>
      </w:pict>
    </w:r>
  </w:p>
  <w:tbl>
    <w:tblPr>
      <w:tblStyle w:val="2"/>
      <w:tblW w:w="6661" w:type="dxa"/>
      <w:tblInd w:w="2552" w:type="dxa"/>
      <w:tblLayout w:type="fixed"/>
      <w:tblLook w:val="0400" w:firstRow="0" w:lastRow="0" w:firstColumn="0" w:lastColumn="0" w:noHBand="0" w:noVBand="1"/>
    </w:tblPr>
    <w:tblGrid>
      <w:gridCol w:w="283"/>
      <w:gridCol w:w="6378"/>
    </w:tblGrid>
    <w:tr w:rsidR="00E43F7B" w14:paraId="14695A25" w14:textId="77777777">
      <w:trPr>
        <w:trHeight w:val="1435"/>
      </w:trPr>
      <w:tc>
        <w:tcPr>
          <w:tcW w:w="283" w:type="dxa"/>
          <w:shd w:val="clear" w:color="auto" w:fill="auto"/>
        </w:tcPr>
        <w:p w14:paraId="103A3B00" w14:textId="77777777" w:rsidR="00E43F7B" w:rsidRDefault="00E43F7B">
          <w:pPr>
            <w:tabs>
              <w:tab w:val="right" w:pos="4273"/>
            </w:tabs>
            <w:rPr>
              <w:rFonts w:ascii="Garamond" w:eastAsia="Garamond" w:hAnsi="Garamond" w:cs="Garamond"/>
            </w:rPr>
          </w:pPr>
        </w:p>
      </w:tc>
      <w:tc>
        <w:tcPr>
          <w:tcW w:w="6379" w:type="dxa"/>
          <w:shd w:val="clear" w:color="auto" w:fill="auto"/>
        </w:tcPr>
        <w:p w14:paraId="24F6173D" w14:textId="77777777" w:rsidR="00E43F7B" w:rsidRDefault="00E43F7B">
          <w:pPr>
            <w:widowControl w:val="0"/>
            <w:pBdr>
              <w:top w:val="nil"/>
              <w:left w:val="nil"/>
              <w:bottom w:val="nil"/>
              <w:right w:val="nil"/>
              <w:between w:val="nil"/>
            </w:pBdr>
            <w:spacing w:line="276" w:lineRule="auto"/>
            <w:jc w:val="left"/>
            <w:rPr>
              <w:rFonts w:ascii="Garamond" w:eastAsia="Garamond" w:hAnsi="Garamond" w:cs="Garamond"/>
            </w:rPr>
          </w:pPr>
        </w:p>
        <w:tbl>
          <w:tblPr>
            <w:tblStyle w:val="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E43F7B" w14:paraId="6F2758F3" w14:textId="77777777">
            <w:trPr>
              <w:trHeight w:val="144"/>
            </w:trPr>
            <w:tc>
              <w:tcPr>
                <w:tcW w:w="2727" w:type="dxa"/>
              </w:tcPr>
              <w:p w14:paraId="0FE64765" w14:textId="77777777" w:rsidR="00E43F7B" w:rsidRDefault="00E43F7B" w:rsidP="00C93DCC">
                <w:pPr>
                  <w:tabs>
                    <w:tab w:val="right" w:pos="8838"/>
                  </w:tabs>
                  <w:ind w:left="-74" w:right="-105"/>
                  <w:rPr>
                    <w:b/>
                  </w:rPr>
                </w:pPr>
                <w:bookmarkStart w:id="0" w:name="_heading=h.ihv636" w:colFirst="0" w:colLast="0"/>
                <w:bookmarkEnd w:id="0"/>
                <w:r>
                  <w:rPr>
                    <w:b/>
                  </w:rPr>
                  <w:t>Recurso de Revisión:</w:t>
                </w:r>
              </w:p>
            </w:tc>
            <w:tc>
              <w:tcPr>
                <w:tcW w:w="3402" w:type="dxa"/>
              </w:tcPr>
              <w:p w14:paraId="104DA511" w14:textId="3D7A9173" w:rsidR="00E43F7B" w:rsidRDefault="00E43F7B" w:rsidP="00C93DCC">
                <w:pPr>
                  <w:tabs>
                    <w:tab w:val="right" w:pos="8838"/>
                  </w:tabs>
                  <w:ind w:left="-74" w:right="-105"/>
                </w:pPr>
                <w:r>
                  <w:t>06707</w:t>
                </w:r>
                <w:r w:rsidRPr="008267E3">
                  <w:t>/INFOEM/IP/RR/2025</w:t>
                </w:r>
                <w:r>
                  <w:t xml:space="preserve"> y acumulado</w:t>
                </w:r>
              </w:p>
            </w:tc>
            <w:tc>
              <w:tcPr>
                <w:tcW w:w="3402" w:type="dxa"/>
              </w:tcPr>
              <w:p w14:paraId="0DC23992" w14:textId="77777777" w:rsidR="00E43F7B" w:rsidRDefault="00E43F7B" w:rsidP="00C93DCC">
                <w:pPr>
                  <w:tabs>
                    <w:tab w:val="right" w:pos="8838"/>
                  </w:tabs>
                  <w:ind w:left="-74" w:right="-105"/>
                </w:pPr>
              </w:p>
            </w:tc>
          </w:tr>
          <w:tr w:rsidR="00E43F7B" w14:paraId="55E8BD7A" w14:textId="77777777">
            <w:trPr>
              <w:trHeight w:val="144"/>
            </w:trPr>
            <w:tc>
              <w:tcPr>
                <w:tcW w:w="2727" w:type="dxa"/>
              </w:tcPr>
              <w:p w14:paraId="538C43FC" w14:textId="77777777" w:rsidR="00E43F7B" w:rsidRDefault="00E43F7B" w:rsidP="00C93DCC">
                <w:pPr>
                  <w:tabs>
                    <w:tab w:val="right" w:pos="8838"/>
                  </w:tabs>
                  <w:ind w:left="-74" w:right="-105"/>
                  <w:rPr>
                    <w:b/>
                  </w:rPr>
                </w:pPr>
                <w:bookmarkStart w:id="1" w:name="_heading=h.32hioqz" w:colFirst="0" w:colLast="0"/>
                <w:bookmarkEnd w:id="1"/>
                <w:r>
                  <w:rPr>
                    <w:b/>
                  </w:rPr>
                  <w:t>Recurrente:</w:t>
                </w:r>
              </w:p>
            </w:tc>
            <w:tc>
              <w:tcPr>
                <w:tcW w:w="3402" w:type="dxa"/>
              </w:tcPr>
              <w:p w14:paraId="4718EEFE" w14:textId="7D4694DD" w:rsidR="00E43F7B" w:rsidRDefault="00E43F7B" w:rsidP="00C93DCC">
                <w:pPr>
                  <w:tabs>
                    <w:tab w:val="right" w:pos="8838"/>
                  </w:tabs>
                  <w:ind w:left="-74" w:right="-105"/>
                </w:pPr>
              </w:p>
            </w:tc>
            <w:tc>
              <w:tcPr>
                <w:tcW w:w="3402" w:type="dxa"/>
              </w:tcPr>
              <w:p w14:paraId="229554F3" w14:textId="77777777" w:rsidR="00E43F7B" w:rsidRDefault="00E43F7B" w:rsidP="00C93DCC">
                <w:pPr>
                  <w:tabs>
                    <w:tab w:val="left" w:pos="3122"/>
                    <w:tab w:val="right" w:pos="8838"/>
                  </w:tabs>
                  <w:ind w:left="-105" w:right="-105"/>
                </w:pPr>
              </w:p>
            </w:tc>
          </w:tr>
          <w:tr w:rsidR="00E43F7B" w14:paraId="216C4ACB" w14:textId="77777777">
            <w:trPr>
              <w:trHeight w:val="283"/>
            </w:trPr>
            <w:tc>
              <w:tcPr>
                <w:tcW w:w="2727" w:type="dxa"/>
              </w:tcPr>
              <w:p w14:paraId="5CB9CAEF" w14:textId="77777777" w:rsidR="00E43F7B" w:rsidRDefault="00E43F7B" w:rsidP="00C93DCC">
                <w:pPr>
                  <w:tabs>
                    <w:tab w:val="right" w:pos="8838"/>
                  </w:tabs>
                  <w:ind w:left="-74" w:right="-105"/>
                  <w:rPr>
                    <w:b/>
                  </w:rPr>
                </w:pPr>
                <w:r>
                  <w:rPr>
                    <w:b/>
                  </w:rPr>
                  <w:t>Sujeto Obligado:</w:t>
                </w:r>
              </w:p>
            </w:tc>
            <w:tc>
              <w:tcPr>
                <w:tcW w:w="3402" w:type="dxa"/>
              </w:tcPr>
              <w:p w14:paraId="5EAB15F4" w14:textId="7FE5FFB7" w:rsidR="00E43F7B" w:rsidRDefault="00E43F7B" w:rsidP="00C93DCC">
                <w:pPr>
                  <w:tabs>
                    <w:tab w:val="left" w:pos="2834"/>
                    <w:tab w:val="right" w:pos="8838"/>
                  </w:tabs>
                  <w:ind w:left="-108" w:right="-105"/>
                </w:pPr>
                <w:r w:rsidRPr="00245075">
                  <w:t>Ayuntamiento de Acambay de Ruíz Castañeda</w:t>
                </w:r>
              </w:p>
            </w:tc>
            <w:tc>
              <w:tcPr>
                <w:tcW w:w="3402" w:type="dxa"/>
              </w:tcPr>
              <w:p w14:paraId="64761764" w14:textId="77777777" w:rsidR="00E43F7B" w:rsidRDefault="00E43F7B" w:rsidP="00C93DCC">
                <w:pPr>
                  <w:tabs>
                    <w:tab w:val="left" w:pos="2834"/>
                    <w:tab w:val="right" w:pos="8838"/>
                  </w:tabs>
                  <w:ind w:left="-108" w:right="-105"/>
                </w:pPr>
              </w:p>
            </w:tc>
          </w:tr>
          <w:tr w:rsidR="00E43F7B" w14:paraId="0F307801" w14:textId="77777777">
            <w:trPr>
              <w:trHeight w:val="283"/>
            </w:trPr>
            <w:tc>
              <w:tcPr>
                <w:tcW w:w="2727" w:type="dxa"/>
              </w:tcPr>
              <w:p w14:paraId="527E2410" w14:textId="77777777" w:rsidR="00E43F7B" w:rsidRDefault="00E43F7B" w:rsidP="00C93DCC">
                <w:pPr>
                  <w:tabs>
                    <w:tab w:val="right" w:pos="8838"/>
                  </w:tabs>
                  <w:ind w:left="-74" w:right="-105"/>
                  <w:rPr>
                    <w:b/>
                  </w:rPr>
                </w:pPr>
                <w:r>
                  <w:rPr>
                    <w:b/>
                  </w:rPr>
                  <w:t>Comisionada Ponente:</w:t>
                </w:r>
              </w:p>
            </w:tc>
            <w:tc>
              <w:tcPr>
                <w:tcW w:w="3402" w:type="dxa"/>
              </w:tcPr>
              <w:p w14:paraId="4C3A5D3E" w14:textId="77777777" w:rsidR="00E43F7B" w:rsidRDefault="00E43F7B" w:rsidP="00C93DCC">
                <w:pPr>
                  <w:tabs>
                    <w:tab w:val="right" w:pos="8838"/>
                  </w:tabs>
                  <w:ind w:left="-108" w:right="-105"/>
                </w:pPr>
                <w:r>
                  <w:t>Sharon Cristina Morales Martínez</w:t>
                </w:r>
              </w:p>
            </w:tc>
            <w:tc>
              <w:tcPr>
                <w:tcW w:w="3402" w:type="dxa"/>
              </w:tcPr>
              <w:p w14:paraId="7617EEC8" w14:textId="77777777" w:rsidR="00E43F7B" w:rsidRDefault="00E43F7B" w:rsidP="00C93DCC">
                <w:pPr>
                  <w:tabs>
                    <w:tab w:val="right" w:pos="8838"/>
                  </w:tabs>
                  <w:ind w:left="-108" w:right="-105"/>
                </w:pPr>
              </w:p>
            </w:tc>
          </w:tr>
        </w:tbl>
        <w:p w14:paraId="51786FE4" w14:textId="77777777" w:rsidR="00E43F7B" w:rsidRDefault="00E43F7B">
          <w:pPr>
            <w:tabs>
              <w:tab w:val="right" w:pos="8838"/>
            </w:tabs>
            <w:ind w:left="-28"/>
            <w:rPr>
              <w:rFonts w:ascii="Arial" w:eastAsia="Arial" w:hAnsi="Arial" w:cs="Arial"/>
              <w:b/>
            </w:rPr>
          </w:pPr>
        </w:p>
      </w:tc>
    </w:tr>
  </w:tbl>
  <w:p w14:paraId="28B3E887" w14:textId="1655B155" w:rsidR="00E43F7B" w:rsidRDefault="00E43F7B">
    <w:pPr>
      <w:rPr>
        <w:rFonts w:eastAsia="Palatino Linotype" w:cs="Palatino Linotype"/>
        <w:color w:val="00000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3DA3"/>
    <w:multiLevelType w:val="hybridMultilevel"/>
    <w:tmpl w:val="A1441BD4"/>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46B3ED8"/>
    <w:multiLevelType w:val="multilevel"/>
    <w:tmpl w:val="24B48596"/>
    <w:lvl w:ilvl="0">
      <w:start w:val="1"/>
      <w:numFmt w:val="decimal"/>
      <w:lvlText w:val="%1."/>
      <w:lvlJc w:val="left"/>
      <w:pPr>
        <w:ind w:left="720" w:hanging="360"/>
      </w:pPr>
      <w:rPr>
        <w:rFonts w:ascii="Palatino Linotype" w:eastAsia="Times New Roman"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2D23EB"/>
    <w:multiLevelType w:val="hybridMultilevel"/>
    <w:tmpl w:val="31643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3243C4"/>
    <w:multiLevelType w:val="hybridMultilevel"/>
    <w:tmpl w:val="09C40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B074E1"/>
    <w:multiLevelType w:val="hybridMultilevel"/>
    <w:tmpl w:val="63BA6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C439C8"/>
    <w:multiLevelType w:val="hybridMultilevel"/>
    <w:tmpl w:val="93E09ED6"/>
    <w:lvl w:ilvl="0" w:tplc="E8B869C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35562DE"/>
    <w:multiLevelType w:val="hybridMultilevel"/>
    <w:tmpl w:val="B12EBE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511EE1"/>
    <w:multiLevelType w:val="multilevel"/>
    <w:tmpl w:val="CBD090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DC54B4D"/>
    <w:multiLevelType w:val="hybridMultilevel"/>
    <w:tmpl w:val="FFA27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2B715495"/>
    <w:multiLevelType w:val="hybridMultilevel"/>
    <w:tmpl w:val="A40CF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31F8411F"/>
    <w:multiLevelType w:val="multilevel"/>
    <w:tmpl w:val="ACA6C8C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Palatino Linotype" w:eastAsia="Times New Roman" w:hAnsi="Palatino Linotype" w:cs="Times New Roman"/>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4" w15:restartNumberingAfterBreak="0">
    <w:nsid w:val="3C7E6046"/>
    <w:multiLevelType w:val="hybridMultilevel"/>
    <w:tmpl w:val="084EE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9F62EE"/>
    <w:multiLevelType w:val="hybridMultilevel"/>
    <w:tmpl w:val="5ED81048"/>
    <w:lvl w:ilvl="0" w:tplc="080A0013">
      <w:start w:val="1"/>
      <w:numFmt w:val="upperRoman"/>
      <w:lvlText w:val="%1."/>
      <w:lvlJc w:val="right"/>
      <w:pPr>
        <w:ind w:left="1637" w:hanging="360"/>
      </w:pPr>
    </w:lvl>
    <w:lvl w:ilvl="1" w:tplc="1EF8854C">
      <w:start w:val="1"/>
      <w:numFmt w:val="lowerLetter"/>
      <w:lvlText w:val="%2)"/>
      <w:lvlJc w:val="left"/>
      <w:pPr>
        <w:ind w:left="2357" w:hanging="360"/>
      </w:pPr>
      <w:rPr>
        <w:rFonts w:hint="default"/>
      </w:r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6" w15:restartNumberingAfterBreak="0">
    <w:nsid w:val="3CA53D99"/>
    <w:multiLevelType w:val="hybridMultilevel"/>
    <w:tmpl w:val="C1161520"/>
    <w:lvl w:ilvl="0" w:tplc="080A0003">
      <w:start w:val="1"/>
      <w:numFmt w:val="bullet"/>
      <w:lvlText w:val="o"/>
      <w:lvlJc w:val="left"/>
      <w:pPr>
        <w:ind w:left="1004" w:hanging="360"/>
      </w:pPr>
      <w:rPr>
        <w:rFonts w:ascii="Courier New" w:hAnsi="Courier New" w:cs="Courier New"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3E980DB0"/>
    <w:multiLevelType w:val="hybridMultilevel"/>
    <w:tmpl w:val="92DC8B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3B6FCB"/>
    <w:multiLevelType w:val="hybridMultilevel"/>
    <w:tmpl w:val="1B2E0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0F628DA"/>
    <w:multiLevelType w:val="hybridMultilevel"/>
    <w:tmpl w:val="DA20A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B42F2F"/>
    <w:multiLevelType w:val="multilevel"/>
    <w:tmpl w:val="ACA6C8C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Palatino Linotype" w:eastAsia="Times New Roman" w:hAnsi="Palatino Linotype" w:cs="Times New Roman"/>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3" w15:restartNumberingAfterBreak="0">
    <w:nsid w:val="5DF53EFD"/>
    <w:multiLevelType w:val="hybridMultilevel"/>
    <w:tmpl w:val="03460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3719EA"/>
    <w:multiLevelType w:val="hybridMultilevel"/>
    <w:tmpl w:val="4B8C9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CD1529"/>
    <w:multiLevelType w:val="hybridMultilevel"/>
    <w:tmpl w:val="EF7C3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F82021"/>
    <w:multiLevelType w:val="multilevel"/>
    <w:tmpl w:val="B36C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7F5D5AFD"/>
    <w:multiLevelType w:val="multilevel"/>
    <w:tmpl w:val="E774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6"/>
  </w:num>
  <w:num w:numId="3">
    <w:abstractNumId w:val="29"/>
  </w:num>
  <w:num w:numId="4">
    <w:abstractNumId w:val="18"/>
  </w:num>
  <w:num w:numId="5">
    <w:abstractNumId w:val="3"/>
  </w:num>
  <w:num w:numId="6">
    <w:abstractNumId w:val="25"/>
  </w:num>
  <w:num w:numId="7">
    <w:abstractNumId w:val="4"/>
  </w:num>
  <w:num w:numId="8">
    <w:abstractNumId w:val="7"/>
  </w:num>
  <w:num w:numId="9">
    <w:abstractNumId w:val="19"/>
  </w:num>
  <w:num w:numId="10">
    <w:abstractNumId w:val="6"/>
  </w:num>
  <w:num w:numId="11">
    <w:abstractNumId w:val="20"/>
  </w:num>
  <w:num w:numId="12">
    <w:abstractNumId w:val="24"/>
  </w:num>
  <w:num w:numId="13">
    <w:abstractNumId w:val="21"/>
  </w:num>
  <w:num w:numId="14">
    <w:abstractNumId w:val="8"/>
  </w:num>
  <w:num w:numId="15">
    <w:abstractNumId w:val="17"/>
  </w:num>
  <w:num w:numId="16">
    <w:abstractNumId w:val="22"/>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 w:numId="20">
    <w:abstractNumId w:val="5"/>
  </w:num>
  <w:num w:numId="21">
    <w:abstractNumId w:val="1"/>
  </w:num>
  <w:num w:numId="22">
    <w:abstractNumId w:val="15"/>
  </w:num>
  <w:num w:numId="23">
    <w:abstractNumId w:val="28"/>
  </w:num>
  <w:num w:numId="24">
    <w:abstractNumId w:val="12"/>
  </w:num>
  <w:num w:numId="25">
    <w:abstractNumId w:val="10"/>
  </w:num>
  <w:num w:numId="26">
    <w:abstractNumId w:val="14"/>
  </w:num>
  <w:num w:numId="27">
    <w:abstractNumId w:val="2"/>
  </w:num>
  <w:num w:numId="28">
    <w:abstractNumId w:val="23"/>
  </w:num>
  <w:num w:numId="29">
    <w:abstractNumId w:val="0"/>
  </w:num>
  <w:num w:numId="3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CD"/>
    <w:rsid w:val="00004514"/>
    <w:rsid w:val="00006DD8"/>
    <w:rsid w:val="0002553E"/>
    <w:rsid w:val="000329B1"/>
    <w:rsid w:val="00050C55"/>
    <w:rsid w:val="00062EAA"/>
    <w:rsid w:val="000667F9"/>
    <w:rsid w:val="000900CD"/>
    <w:rsid w:val="0009143B"/>
    <w:rsid w:val="000A16C8"/>
    <w:rsid w:val="000B6068"/>
    <w:rsid w:val="000D6871"/>
    <w:rsid w:val="000F2966"/>
    <w:rsid w:val="00120504"/>
    <w:rsid w:val="00133640"/>
    <w:rsid w:val="00136895"/>
    <w:rsid w:val="00146EA6"/>
    <w:rsid w:val="00153F50"/>
    <w:rsid w:val="0016411B"/>
    <w:rsid w:val="00164CF4"/>
    <w:rsid w:val="00165E3E"/>
    <w:rsid w:val="001910CD"/>
    <w:rsid w:val="001D2B9E"/>
    <w:rsid w:val="001D7007"/>
    <w:rsid w:val="00224E5C"/>
    <w:rsid w:val="00231775"/>
    <w:rsid w:val="00245075"/>
    <w:rsid w:val="00256E72"/>
    <w:rsid w:val="00260F7A"/>
    <w:rsid w:val="00262850"/>
    <w:rsid w:val="00263867"/>
    <w:rsid w:val="00273A17"/>
    <w:rsid w:val="002743B7"/>
    <w:rsid w:val="00274C5A"/>
    <w:rsid w:val="002831D5"/>
    <w:rsid w:val="002A5E9C"/>
    <w:rsid w:val="002B35B5"/>
    <w:rsid w:val="002C21C3"/>
    <w:rsid w:val="002C66D0"/>
    <w:rsid w:val="002D78F7"/>
    <w:rsid w:val="00300002"/>
    <w:rsid w:val="00317ABD"/>
    <w:rsid w:val="003202ED"/>
    <w:rsid w:val="003326FC"/>
    <w:rsid w:val="00337763"/>
    <w:rsid w:val="0034347E"/>
    <w:rsid w:val="00350F59"/>
    <w:rsid w:val="0035479A"/>
    <w:rsid w:val="00365B4F"/>
    <w:rsid w:val="00372473"/>
    <w:rsid w:val="00375D11"/>
    <w:rsid w:val="00380E5E"/>
    <w:rsid w:val="0038259A"/>
    <w:rsid w:val="00385362"/>
    <w:rsid w:val="003B6AC5"/>
    <w:rsid w:val="003C61CD"/>
    <w:rsid w:val="003E3808"/>
    <w:rsid w:val="003E7A29"/>
    <w:rsid w:val="003F16CE"/>
    <w:rsid w:val="003F1BAA"/>
    <w:rsid w:val="00411BE0"/>
    <w:rsid w:val="004156C5"/>
    <w:rsid w:val="004352E9"/>
    <w:rsid w:val="00462E38"/>
    <w:rsid w:val="00486011"/>
    <w:rsid w:val="00493144"/>
    <w:rsid w:val="004F0EC1"/>
    <w:rsid w:val="004F4233"/>
    <w:rsid w:val="00500168"/>
    <w:rsid w:val="0050475F"/>
    <w:rsid w:val="005136B7"/>
    <w:rsid w:val="00524A20"/>
    <w:rsid w:val="00591245"/>
    <w:rsid w:val="00591ED7"/>
    <w:rsid w:val="00593577"/>
    <w:rsid w:val="005B7E46"/>
    <w:rsid w:val="005C36F7"/>
    <w:rsid w:val="005D0437"/>
    <w:rsid w:val="005D709F"/>
    <w:rsid w:val="00605093"/>
    <w:rsid w:val="006078D8"/>
    <w:rsid w:val="00615648"/>
    <w:rsid w:val="0062397A"/>
    <w:rsid w:val="00627B71"/>
    <w:rsid w:val="0065188B"/>
    <w:rsid w:val="00654C70"/>
    <w:rsid w:val="00663A9C"/>
    <w:rsid w:val="006670CE"/>
    <w:rsid w:val="00672BF0"/>
    <w:rsid w:val="0067674B"/>
    <w:rsid w:val="00684A98"/>
    <w:rsid w:val="006E3191"/>
    <w:rsid w:val="006F18DB"/>
    <w:rsid w:val="0070513F"/>
    <w:rsid w:val="00736938"/>
    <w:rsid w:val="007515F9"/>
    <w:rsid w:val="00755821"/>
    <w:rsid w:val="0075645F"/>
    <w:rsid w:val="007640B3"/>
    <w:rsid w:val="0079349A"/>
    <w:rsid w:val="007A1E37"/>
    <w:rsid w:val="007B0CC9"/>
    <w:rsid w:val="007B1BAC"/>
    <w:rsid w:val="007B69E9"/>
    <w:rsid w:val="00821667"/>
    <w:rsid w:val="00821A0F"/>
    <w:rsid w:val="008267E3"/>
    <w:rsid w:val="00840D6B"/>
    <w:rsid w:val="00845B0E"/>
    <w:rsid w:val="00850134"/>
    <w:rsid w:val="0086105F"/>
    <w:rsid w:val="00866200"/>
    <w:rsid w:val="00882757"/>
    <w:rsid w:val="00886F53"/>
    <w:rsid w:val="008D39E3"/>
    <w:rsid w:val="00925EC7"/>
    <w:rsid w:val="00954A96"/>
    <w:rsid w:val="00962200"/>
    <w:rsid w:val="0097243D"/>
    <w:rsid w:val="009978C4"/>
    <w:rsid w:val="009B4A9B"/>
    <w:rsid w:val="009C7210"/>
    <w:rsid w:val="009E0AD6"/>
    <w:rsid w:val="009E3696"/>
    <w:rsid w:val="00A22A21"/>
    <w:rsid w:val="00A234F9"/>
    <w:rsid w:val="00A54A43"/>
    <w:rsid w:val="00AB53C8"/>
    <w:rsid w:val="00AB6ADF"/>
    <w:rsid w:val="00AB6E15"/>
    <w:rsid w:val="00AC4B94"/>
    <w:rsid w:val="00AD45EC"/>
    <w:rsid w:val="00B0462F"/>
    <w:rsid w:val="00B0775F"/>
    <w:rsid w:val="00B10297"/>
    <w:rsid w:val="00B10979"/>
    <w:rsid w:val="00B16AE6"/>
    <w:rsid w:val="00B35C52"/>
    <w:rsid w:val="00B43BFF"/>
    <w:rsid w:val="00B61788"/>
    <w:rsid w:val="00B6540B"/>
    <w:rsid w:val="00B706DA"/>
    <w:rsid w:val="00B746EB"/>
    <w:rsid w:val="00B8274F"/>
    <w:rsid w:val="00B82E17"/>
    <w:rsid w:val="00BB1979"/>
    <w:rsid w:val="00BD6BE2"/>
    <w:rsid w:val="00BE4786"/>
    <w:rsid w:val="00C56FE3"/>
    <w:rsid w:val="00C57CE9"/>
    <w:rsid w:val="00C649DC"/>
    <w:rsid w:val="00C77480"/>
    <w:rsid w:val="00C878A7"/>
    <w:rsid w:val="00C93DCC"/>
    <w:rsid w:val="00CB1E0D"/>
    <w:rsid w:val="00CB2715"/>
    <w:rsid w:val="00CB7550"/>
    <w:rsid w:val="00CC649A"/>
    <w:rsid w:val="00CD7995"/>
    <w:rsid w:val="00CE1D51"/>
    <w:rsid w:val="00CF35C5"/>
    <w:rsid w:val="00D170D6"/>
    <w:rsid w:val="00D327D0"/>
    <w:rsid w:val="00D6107D"/>
    <w:rsid w:val="00D66287"/>
    <w:rsid w:val="00D77513"/>
    <w:rsid w:val="00D80E4F"/>
    <w:rsid w:val="00D82D2B"/>
    <w:rsid w:val="00D941BC"/>
    <w:rsid w:val="00D96DD6"/>
    <w:rsid w:val="00D970DA"/>
    <w:rsid w:val="00DA6808"/>
    <w:rsid w:val="00DC764F"/>
    <w:rsid w:val="00E1342F"/>
    <w:rsid w:val="00E2158F"/>
    <w:rsid w:val="00E307E9"/>
    <w:rsid w:val="00E43F7B"/>
    <w:rsid w:val="00E6231F"/>
    <w:rsid w:val="00EC54C4"/>
    <w:rsid w:val="00ED1466"/>
    <w:rsid w:val="00ED79B4"/>
    <w:rsid w:val="00F01ED2"/>
    <w:rsid w:val="00F0768F"/>
    <w:rsid w:val="00F20695"/>
    <w:rsid w:val="00F35B3E"/>
    <w:rsid w:val="00F51455"/>
    <w:rsid w:val="00F71D43"/>
    <w:rsid w:val="00FA166A"/>
    <w:rsid w:val="00FE2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08843D"/>
  <w15:docId w15:val="{C408347B-7AD5-49D3-861B-AC6D98C0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197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197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61197D"/>
    <w:rPr>
      <w:vertAlign w:val="superscript"/>
    </w:rPr>
  </w:style>
  <w:style w:type="character" w:styleId="Hipervnculovisitado">
    <w:name w:val="FollowedHyperlink"/>
    <w:basedOn w:val="Fuentedeprrafopredeter"/>
    <w:uiPriority w:val="99"/>
    <w:semiHidden/>
    <w:unhideWhenUsed/>
    <w:rsid w:val="00977152"/>
    <w:rPr>
      <w:color w:val="96607D" w:themeColor="followedHyperlink"/>
      <w:u w:val="single"/>
    </w:rPr>
  </w:style>
  <w:style w:type="character" w:customStyle="1" w:styleId="SinespaciadoCar">
    <w:name w:val="Sin espaciado Car"/>
    <w:aliases w:val="Francesa Car,INAI Car"/>
    <w:link w:val="Sinespaciado"/>
    <w:uiPriority w:val="1"/>
    <w:locked/>
    <w:rsid w:val="00B813E4"/>
    <w:rPr>
      <w:rFonts w:ascii="Palatino Linotype" w:eastAsia="Times New Roman" w:hAnsi="Palatino Linotype" w:cs="Times New Roman"/>
      <w:kern w:val="0"/>
      <w:szCs w:val="20"/>
      <w:lang w:eastAsia="es-ES"/>
    </w:rPr>
  </w:style>
  <w:style w:type="table" w:customStyle="1" w:styleId="Tablaconcuadrcula30">
    <w:name w:val="Tabla con cuadrícula30"/>
    <w:basedOn w:val="Tablanormal"/>
    <w:next w:val="Tablaconcuadrcula"/>
    <w:uiPriority w:val="39"/>
    <w:qFormat/>
    <w:rsid w:val="000F6F5E"/>
    <w:pPr>
      <w:spacing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spacing w:line="240" w:lineRule="auto"/>
    </w:pPr>
    <w:rPr>
      <w:sz w:val="24"/>
      <w:szCs w:val="24"/>
    </w:rPr>
    <w:tblPr>
      <w:tblStyleRowBandSize w:val="1"/>
      <w:tblStyleColBandSize w:val="1"/>
      <w:tblCellMar>
        <w:left w:w="108" w:type="dxa"/>
        <w:right w:w="108" w:type="dxa"/>
      </w:tblCellMar>
    </w:tblPr>
  </w:style>
  <w:style w:type="table" w:customStyle="1" w:styleId="3">
    <w:name w:val="3"/>
    <w:basedOn w:val="TableNormal"/>
    <w:pPr>
      <w:spacing w:line="240" w:lineRule="auto"/>
    </w:pPr>
    <w:rPr>
      <w:sz w:val="24"/>
      <w:szCs w:val="24"/>
    </w:r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line="240" w:lineRule="auto"/>
    </w:pPr>
    <w:rPr>
      <w:sz w:val="24"/>
      <w:szCs w:val="24"/>
    </w:rPr>
    <w:tblPr>
      <w:tblStyleRowBandSize w:val="1"/>
      <w:tblStyleColBandSize w:val="1"/>
      <w:tblCellMar>
        <w:left w:w="108" w:type="dxa"/>
        <w:right w:w="108" w:type="dxa"/>
      </w:tblCellMar>
    </w:tblPr>
  </w:style>
  <w:style w:type="character" w:styleId="Textoennegrita">
    <w:name w:val="Strong"/>
    <w:basedOn w:val="Fuentedeprrafopredeter"/>
    <w:uiPriority w:val="22"/>
    <w:qFormat/>
    <w:rsid w:val="00E6231F"/>
    <w:rPr>
      <w:b/>
      <w:bCs/>
    </w:rPr>
  </w:style>
  <w:style w:type="paragraph" w:customStyle="1" w:styleId="INFOEM">
    <w:name w:val="INFOEM"/>
    <w:basedOn w:val="Normal"/>
    <w:qFormat/>
    <w:rsid w:val="00962200"/>
    <w:pPr>
      <w:spacing w:before="240" w:after="160"/>
      <w:ind w:left="851" w:right="851"/>
    </w:pPr>
    <w:rPr>
      <w:rFonts w:eastAsiaTheme="minorHAnsi" w:cstheme="minorBidi"/>
      <w:i/>
      <w:szCs w:val="14"/>
      <w:lang w:eastAsia="en-US"/>
    </w:rPr>
  </w:style>
  <w:style w:type="paragraph" w:customStyle="1" w:styleId="Citas">
    <w:name w:val="Citas"/>
    <w:basedOn w:val="Normal"/>
    <w:qFormat/>
    <w:rsid w:val="00962200"/>
    <w:pPr>
      <w:spacing w:before="240" w:after="160"/>
      <w:ind w:left="851" w:right="851"/>
    </w:pPr>
    <w:rPr>
      <w:rFonts w:eastAsiaTheme="minorHAnsi" w:cs="Arial"/>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4377">
      <w:bodyDiv w:val="1"/>
      <w:marLeft w:val="0"/>
      <w:marRight w:val="0"/>
      <w:marTop w:val="0"/>
      <w:marBottom w:val="0"/>
      <w:divBdr>
        <w:top w:val="none" w:sz="0" w:space="0" w:color="auto"/>
        <w:left w:val="none" w:sz="0" w:space="0" w:color="auto"/>
        <w:bottom w:val="none" w:sz="0" w:space="0" w:color="auto"/>
        <w:right w:val="none" w:sz="0" w:space="0" w:color="auto"/>
      </w:divBdr>
    </w:div>
    <w:div w:id="86922836">
      <w:bodyDiv w:val="1"/>
      <w:marLeft w:val="0"/>
      <w:marRight w:val="0"/>
      <w:marTop w:val="0"/>
      <w:marBottom w:val="0"/>
      <w:divBdr>
        <w:top w:val="none" w:sz="0" w:space="0" w:color="auto"/>
        <w:left w:val="none" w:sz="0" w:space="0" w:color="auto"/>
        <w:bottom w:val="none" w:sz="0" w:space="0" w:color="auto"/>
        <w:right w:val="none" w:sz="0" w:space="0" w:color="auto"/>
      </w:divBdr>
    </w:div>
    <w:div w:id="454061568">
      <w:bodyDiv w:val="1"/>
      <w:marLeft w:val="0"/>
      <w:marRight w:val="0"/>
      <w:marTop w:val="0"/>
      <w:marBottom w:val="0"/>
      <w:divBdr>
        <w:top w:val="none" w:sz="0" w:space="0" w:color="auto"/>
        <w:left w:val="none" w:sz="0" w:space="0" w:color="auto"/>
        <w:bottom w:val="none" w:sz="0" w:space="0" w:color="auto"/>
        <w:right w:val="none" w:sz="0" w:space="0" w:color="auto"/>
      </w:divBdr>
    </w:div>
    <w:div w:id="472599782">
      <w:bodyDiv w:val="1"/>
      <w:marLeft w:val="0"/>
      <w:marRight w:val="0"/>
      <w:marTop w:val="0"/>
      <w:marBottom w:val="0"/>
      <w:divBdr>
        <w:top w:val="none" w:sz="0" w:space="0" w:color="auto"/>
        <w:left w:val="none" w:sz="0" w:space="0" w:color="auto"/>
        <w:bottom w:val="none" w:sz="0" w:space="0" w:color="auto"/>
        <w:right w:val="none" w:sz="0" w:space="0" w:color="auto"/>
      </w:divBdr>
    </w:div>
    <w:div w:id="525413351">
      <w:bodyDiv w:val="1"/>
      <w:marLeft w:val="0"/>
      <w:marRight w:val="0"/>
      <w:marTop w:val="0"/>
      <w:marBottom w:val="0"/>
      <w:divBdr>
        <w:top w:val="none" w:sz="0" w:space="0" w:color="auto"/>
        <w:left w:val="none" w:sz="0" w:space="0" w:color="auto"/>
        <w:bottom w:val="none" w:sz="0" w:space="0" w:color="auto"/>
        <w:right w:val="none" w:sz="0" w:space="0" w:color="auto"/>
      </w:divBdr>
    </w:div>
    <w:div w:id="712466420">
      <w:bodyDiv w:val="1"/>
      <w:marLeft w:val="0"/>
      <w:marRight w:val="0"/>
      <w:marTop w:val="0"/>
      <w:marBottom w:val="0"/>
      <w:divBdr>
        <w:top w:val="none" w:sz="0" w:space="0" w:color="auto"/>
        <w:left w:val="none" w:sz="0" w:space="0" w:color="auto"/>
        <w:bottom w:val="none" w:sz="0" w:space="0" w:color="auto"/>
        <w:right w:val="none" w:sz="0" w:space="0" w:color="auto"/>
      </w:divBdr>
    </w:div>
    <w:div w:id="953751636">
      <w:bodyDiv w:val="1"/>
      <w:marLeft w:val="0"/>
      <w:marRight w:val="0"/>
      <w:marTop w:val="0"/>
      <w:marBottom w:val="0"/>
      <w:divBdr>
        <w:top w:val="none" w:sz="0" w:space="0" w:color="auto"/>
        <w:left w:val="none" w:sz="0" w:space="0" w:color="auto"/>
        <w:bottom w:val="none" w:sz="0" w:space="0" w:color="auto"/>
        <w:right w:val="none" w:sz="0" w:space="0" w:color="auto"/>
      </w:divBdr>
    </w:div>
    <w:div w:id="1069421126">
      <w:bodyDiv w:val="1"/>
      <w:marLeft w:val="0"/>
      <w:marRight w:val="0"/>
      <w:marTop w:val="0"/>
      <w:marBottom w:val="0"/>
      <w:divBdr>
        <w:top w:val="none" w:sz="0" w:space="0" w:color="auto"/>
        <w:left w:val="none" w:sz="0" w:space="0" w:color="auto"/>
        <w:bottom w:val="none" w:sz="0" w:space="0" w:color="auto"/>
        <w:right w:val="none" w:sz="0" w:space="0" w:color="auto"/>
      </w:divBdr>
    </w:div>
    <w:div w:id="1270771922">
      <w:bodyDiv w:val="1"/>
      <w:marLeft w:val="0"/>
      <w:marRight w:val="0"/>
      <w:marTop w:val="0"/>
      <w:marBottom w:val="0"/>
      <w:divBdr>
        <w:top w:val="none" w:sz="0" w:space="0" w:color="auto"/>
        <w:left w:val="none" w:sz="0" w:space="0" w:color="auto"/>
        <w:bottom w:val="none" w:sz="0" w:space="0" w:color="auto"/>
        <w:right w:val="none" w:sz="0" w:space="0" w:color="auto"/>
      </w:divBdr>
    </w:div>
    <w:div w:id="1333531956">
      <w:bodyDiv w:val="1"/>
      <w:marLeft w:val="0"/>
      <w:marRight w:val="0"/>
      <w:marTop w:val="0"/>
      <w:marBottom w:val="0"/>
      <w:divBdr>
        <w:top w:val="none" w:sz="0" w:space="0" w:color="auto"/>
        <w:left w:val="none" w:sz="0" w:space="0" w:color="auto"/>
        <w:bottom w:val="none" w:sz="0" w:space="0" w:color="auto"/>
        <w:right w:val="none" w:sz="0" w:space="0" w:color="auto"/>
      </w:divBdr>
    </w:div>
    <w:div w:id="1433088837">
      <w:bodyDiv w:val="1"/>
      <w:marLeft w:val="0"/>
      <w:marRight w:val="0"/>
      <w:marTop w:val="0"/>
      <w:marBottom w:val="0"/>
      <w:divBdr>
        <w:top w:val="none" w:sz="0" w:space="0" w:color="auto"/>
        <w:left w:val="none" w:sz="0" w:space="0" w:color="auto"/>
        <w:bottom w:val="none" w:sz="0" w:space="0" w:color="auto"/>
        <w:right w:val="none" w:sz="0" w:space="0" w:color="auto"/>
      </w:divBdr>
    </w:div>
    <w:div w:id="1659187340">
      <w:bodyDiv w:val="1"/>
      <w:marLeft w:val="0"/>
      <w:marRight w:val="0"/>
      <w:marTop w:val="0"/>
      <w:marBottom w:val="0"/>
      <w:divBdr>
        <w:top w:val="none" w:sz="0" w:space="0" w:color="auto"/>
        <w:left w:val="none" w:sz="0" w:space="0" w:color="auto"/>
        <w:bottom w:val="none" w:sz="0" w:space="0" w:color="auto"/>
        <w:right w:val="none" w:sz="0" w:space="0" w:color="auto"/>
      </w:divBdr>
    </w:div>
    <w:div w:id="1927496683">
      <w:bodyDiv w:val="1"/>
      <w:marLeft w:val="0"/>
      <w:marRight w:val="0"/>
      <w:marTop w:val="0"/>
      <w:marBottom w:val="0"/>
      <w:divBdr>
        <w:top w:val="none" w:sz="0" w:space="0" w:color="auto"/>
        <w:left w:val="none" w:sz="0" w:space="0" w:color="auto"/>
        <w:bottom w:val="none" w:sz="0" w:space="0" w:color="auto"/>
        <w:right w:val="none" w:sz="0" w:space="0" w:color="auto"/>
      </w:divBdr>
    </w:div>
    <w:div w:id="1982071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rPsfmFcMb8tHgfTNZMahgEpZT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4AHIhMW54Z3ZhNkFmZ0V1YzNtaGprY2lxdlVSMWZtVjBKNVd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BDA9CA-24D0-42AB-8A74-2A596D72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4564</Words>
  <Characters>25108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2025-09-25T23:47:00Z</cp:lastPrinted>
  <dcterms:created xsi:type="dcterms:W3CDTF">2025-09-18T18:17:00Z</dcterms:created>
  <dcterms:modified xsi:type="dcterms:W3CDTF">2025-09-25T23:47:00Z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