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0C3F0A43" w:rsidR="004C465F" w:rsidRPr="007955FF" w:rsidRDefault="00EC7CBF" w:rsidP="00877B34">
      <w:pPr>
        <w:tabs>
          <w:tab w:val="left" w:pos="8931"/>
        </w:tabs>
        <w:spacing w:after="0" w:line="360" w:lineRule="auto"/>
        <w:rPr>
          <w:color w:val="FF0000"/>
        </w:rPr>
      </w:pPr>
      <w:bookmarkStart w:id="0" w:name="_GoBack"/>
      <w:bookmarkEnd w:id="0"/>
      <w:r w:rsidRPr="007955FF">
        <w:rPr>
          <w:color w:val="FF0000"/>
        </w:rPr>
        <w:t xml:space="preserve"> </w:t>
      </w: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6E557CFB" w:rsidR="00C4052B" w:rsidRPr="00BF4E0E" w:rsidRDefault="00C4052B" w:rsidP="00877B34">
          <w:pPr>
            <w:pStyle w:val="TtulodeTDC"/>
            <w:spacing w:before="0" w:line="360" w:lineRule="auto"/>
            <w:jc w:val="center"/>
            <w:rPr>
              <w:rFonts w:ascii="Palatino Linotype" w:hAnsi="Palatino Linotype"/>
              <w:color w:val="auto"/>
              <w:sz w:val="22"/>
              <w:szCs w:val="22"/>
            </w:rPr>
          </w:pPr>
          <w:r w:rsidRPr="00BF4E0E">
            <w:rPr>
              <w:rFonts w:ascii="Palatino Linotype" w:hAnsi="Palatino Linotype"/>
              <w:color w:val="auto"/>
              <w:sz w:val="22"/>
              <w:szCs w:val="22"/>
              <w:lang w:val="es-ES"/>
            </w:rPr>
            <w:t xml:space="preserve">RESOLUCIÓN DEL RECURSO DE REVISIÓN </w:t>
          </w:r>
          <w:r w:rsidR="006C1E67" w:rsidRPr="00BF4E0E">
            <w:rPr>
              <w:rFonts w:ascii="Palatino Linotype" w:hAnsi="Palatino Linotype"/>
              <w:color w:val="auto"/>
              <w:sz w:val="22"/>
              <w:szCs w:val="22"/>
            </w:rPr>
            <w:t>0</w:t>
          </w:r>
          <w:r w:rsidR="00664A72" w:rsidRPr="00BF4E0E">
            <w:rPr>
              <w:rFonts w:ascii="Palatino Linotype" w:hAnsi="Palatino Linotype"/>
              <w:color w:val="auto"/>
              <w:sz w:val="22"/>
              <w:szCs w:val="22"/>
            </w:rPr>
            <w:t>8</w:t>
          </w:r>
          <w:r w:rsidR="007955FF" w:rsidRPr="00BF4E0E">
            <w:rPr>
              <w:rFonts w:ascii="Palatino Linotype" w:hAnsi="Palatino Linotype"/>
              <w:color w:val="auto"/>
              <w:sz w:val="22"/>
              <w:szCs w:val="22"/>
            </w:rPr>
            <w:t>93</w:t>
          </w:r>
          <w:r w:rsidR="00664A72" w:rsidRPr="00BF4E0E">
            <w:rPr>
              <w:rFonts w:ascii="Palatino Linotype" w:hAnsi="Palatino Linotype"/>
              <w:color w:val="auto"/>
              <w:sz w:val="22"/>
              <w:szCs w:val="22"/>
            </w:rPr>
            <w:t>6</w:t>
          </w:r>
          <w:r w:rsidR="000D392E" w:rsidRPr="00BF4E0E">
            <w:rPr>
              <w:rFonts w:ascii="Palatino Linotype" w:hAnsi="Palatino Linotype"/>
              <w:color w:val="auto"/>
              <w:sz w:val="22"/>
              <w:szCs w:val="22"/>
            </w:rPr>
            <w:t>/INFOEM/IP/RR/2025</w:t>
          </w:r>
        </w:p>
        <w:p w14:paraId="73933EFA" w14:textId="77777777" w:rsidR="00C4052B" w:rsidRPr="00BF4E0E" w:rsidRDefault="00C4052B" w:rsidP="00877B34">
          <w:pPr>
            <w:spacing w:after="0" w:line="360" w:lineRule="auto"/>
            <w:rPr>
              <w:color w:val="FF0000"/>
            </w:rPr>
          </w:pPr>
        </w:p>
        <w:p w14:paraId="30185DD6" w14:textId="7826EC35" w:rsidR="00D51567" w:rsidRPr="00BF4E0E"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BF4E0E">
            <w:rPr>
              <w:color w:val="FF0000"/>
            </w:rPr>
            <w:fldChar w:fldCharType="begin"/>
          </w:r>
          <w:r w:rsidRPr="00BF4E0E">
            <w:rPr>
              <w:color w:val="FF0000"/>
            </w:rPr>
            <w:instrText xml:space="preserve"> TOC \o "1-3" \h \z \u </w:instrText>
          </w:r>
          <w:r w:rsidRPr="00BF4E0E">
            <w:rPr>
              <w:color w:val="FF0000"/>
            </w:rPr>
            <w:fldChar w:fldCharType="separate"/>
          </w:r>
          <w:hyperlink w:anchor="_Toc213165594" w:history="1">
            <w:r w:rsidR="00D51567" w:rsidRPr="00BF4E0E">
              <w:rPr>
                <w:rStyle w:val="Hipervnculo"/>
                <w:noProof/>
              </w:rPr>
              <w:t>A N T E C E D E N T E S</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_Toc213165594 \h </w:instrText>
            </w:r>
            <w:r w:rsidR="00D51567" w:rsidRPr="00BF4E0E">
              <w:rPr>
                <w:noProof/>
                <w:webHidden/>
              </w:rPr>
            </w:r>
            <w:r w:rsidR="00D51567" w:rsidRPr="00BF4E0E">
              <w:rPr>
                <w:noProof/>
                <w:webHidden/>
              </w:rPr>
              <w:fldChar w:fldCharType="separate"/>
            </w:r>
            <w:r w:rsidR="000E1A9A">
              <w:rPr>
                <w:noProof/>
                <w:webHidden/>
              </w:rPr>
              <w:t>2</w:t>
            </w:r>
            <w:r w:rsidR="00D51567" w:rsidRPr="00BF4E0E">
              <w:rPr>
                <w:noProof/>
                <w:webHidden/>
              </w:rPr>
              <w:fldChar w:fldCharType="end"/>
            </w:r>
          </w:hyperlink>
        </w:p>
        <w:p w14:paraId="31D4A898" w14:textId="6373B661" w:rsidR="00D51567" w:rsidRPr="00BF4E0E" w:rsidRDefault="004F37F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165595" w:history="1">
            <w:r w:rsidR="00D51567" w:rsidRPr="00BF4E0E">
              <w:rPr>
                <w:rStyle w:val="Hipervnculo"/>
                <w:noProof/>
                <w:lang w:eastAsia="es-ES"/>
              </w:rPr>
              <w:t>I. Presentación de la solicitud de información</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_Toc213165595 \h </w:instrText>
            </w:r>
            <w:r w:rsidR="00D51567" w:rsidRPr="00BF4E0E">
              <w:rPr>
                <w:noProof/>
                <w:webHidden/>
              </w:rPr>
            </w:r>
            <w:r w:rsidR="00D51567" w:rsidRPr="00BF4E0E">
              <w:rPr>
                <w:noProof/>
                <w:webHidden/>
              </w:rPr>
              <w:fldChar w:fldCharType="separate"/>
            </w:r>
            <w:r w:rsidR="000E1A9A">
              <w:rPr>
                <w:noProof/>
                <w:webHidden/>
              </w:rPr>
              <w:t>2</w:t>
            </w:r>
            <w:r w:rsidR="00D51567" w:rsidRPr="00BF4E0E">
              <w:rPr>
                <w:noProof/>
                <w:webHidden/>
              </w:rPr>
              <w:fldChar w:fldCharType="end"/>
            </w:r>
          </w:hyperlink>
        </w:p>
        <w:p w14:paraId="46549E7E" w14:textId="571CB230" w:rsidR="00D51567" w:rsidRPr="00BF4E0E" w:rsidRDefault="004F37F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165596" w:history="1">
            <w:r w:rsidR="00D51567" w:rsidRPr="00BF4E0E">
              <w:rPr>
                <w:rStyle w:val="Hipervnculo"/>
                <w:rFonts w:cs="Tahoma"/>
                <w:noProof/>
              </w:rPr>
              <w:t>II.</w:t>
            </w:r>
            <w:r w:rsidR="00D51567" w:rsidRPr="00BF4E0E">
              <w:rPr>
                <w:rStyle w:val="Hipervnculo"/>
                <w:noProof/>
              </w:rPr>
              <w:t xml:space="preserve"> Respuesta del Sujeto Obligado</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_Toc213165596 \h </w:instrText>
            </w:r>
            <w:r w:rsidR="00D51567" w:rsidRPr="00BF4E0E">
              <w:rPr>
                <w:noProof/>
                <w:webHidden/>
              </w:rPr>
            </w:r>
            <w:r w:rsidR="00D51567" w:rsidRPr="00BF4E0E">
              <w:rPr>
                <w:noProof/>
                <w:webHidden/>
              </w:rPr>
              <w:fldChar w:fldCharType="separate"/>
            </w:r>
            <w:r w:rsidR="000E1A9A">
              <w:rPr>
                <w:noProof/>
                <w:webHidden/>
              </w:rPr>
              <w:t>3</w:t>
            </w:r>
            <w:r w:rsidR="00D51567" w:rsidRPr="00BF4E0E">
              <w:rPr>
                <w:noProof/>
                <w:webHidden/>
              </w:rPr>
              <w:fldChar w:fldCharType="end"/>
            </w:r>
          </w:hyperlink>
        </w:p>
        <w:p w14:paraId="3751285B" w14:textId="50041EAB" w:rsidR="00D51567" w:rsidRPr="00BF4E0E" w:rsidRDefault="004F37F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165597" w:history="1">
            <w:r w:rsidR="00D51567" w:rsidRPr="00BF4E0E">
              <w:rPr>
                <w:rStyle w:val="Hipervnculo"/>
                <w:noProof/>
              </w:rPr>
              <w:t>III. Interposición del Recurso de Revisión</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_Toc213165597 \h </w:instrText>
            </w:r>
            <w:r w:rsidR="00D51567" w:rsidRPr="00BF4E0E">
              <w:rPr>
                <w:noProof/>
                <w:webHidden/>
              </w:rPr>
            </w:r>
            <w:r w:rsidR="00D51567" w:rsidRPr="00BF4E0E">
              <w:rPr>
                <w:noProof/>
                <w:webHidden/>
              </w:rPr>
              <w:fldChar w:fldCharType="separate"/>
            </w:r>
            <w:r w:rsidR="000E1A9A">
              <w:rPr>
                <w:noProof/>
                <w:webHidden/>
              </w:rPr>
              <w:t>6</w:t>
            </w:r>
            <w:r w:rsidR="00D51567" w:rsidRPr="00BF4E0E">
              <w:rPr>
                <w:noProof/>
                <w:webHidden/>
              </w:rPr>
              <w:fldChar w:fldCharType="end"/>
            </w:r>
          </w:hyperlink>
        </w:p>
        <w:p w14:paraId="3F860A11" w14:textId="6ECAFA4C" w:rsidR="00D51567" w:rsidRPr="00BF4E0E" w:rsidRDefault="004F37F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165598" w:history="1">
            <w:r w:rsidR="00D51567" w:rsidRPr="00BF4E0E">
              <w:rPr>
                <w:rStyle w:val="Hipervnculo"/>
                <w:noProof/>
              </w:rPr>
              <w:t>IV. Trámite del Recurso de Revisión ante este Instituto</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_Toc213165598 \h </w:instrText>
            </w:r>
            <w:r w:rsidR="00D51567" w:rsidRPr="00BF4E0E">
              <w:rPr>
                <w:noProof/>
                <w:webHidden/>
              </w:rPr>
            </w:r>
            <w:r w:rsidR="00D51567" w:rsidRPr="00BF4E0E">
              <w:rPr>
                <w:noProof/>
                <w:webHidden/>
              </w:rPr>
              <w:fldChar w:fldCharType="separate"/>
            </w:r>
            <w:r w:rsidR="000E1A9A">
              <w:rPr>
                <w:noProof/>
                <w:webHidden/>
              </w:rPr>
              <w:t>7</w:t>
            </w:r>
            <w:r w:rsidR="00D51567" w:rsidRPr="00BF4E0E">
              <w:rPr>
                <w:noProof/>
                <w:webHidden/>
              </w:rPr>
              <w:fldChar w:fldCharType="end"/>
            </w:r>
          </w:hyperlink>
        </w:p>
        <w:p w14:paraId="143D144E" w14:textId="6CD2FF1A" w:rsidR="00D51567" w:rsidRPr="00BF4E0E" w:rsidRDefault="004F37F3">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3165599" w:history="1">
            <w:r w:rsidR="00D51567" w:rsidRPr="00BF4E0E">
              <w:rPr>
                <w:rStyle w:val="Hipervnculo"/>
                <w:noProof/>
              </w:rPr>
              <w:t>C O N S I D E R A N D O S</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_Toc213165599 \h </w:instrText>
            </w:r>
            <w:r w:rsidR="00D51567" w:rsidRPr="00BF4E0E">
              <w:rPr>
                <w:noProof/>
                <w:webHidden/>
              </w:rPr>
            </w:r>
            <w:r w:rsidR="00D51567" w:rsidRPr="00BF4E0E">
              <w:rPr>
                <w:noProof/>
                <w:webHidden/>
              </w:rPr>
              <w:fldChar w:fldCharType="separate"/>
            </w:r>
            <w:r w:rsidR="000E1A9A">
              <w:rPr>
                <w:noProof/>
                <w:webHidden/>
              </w:rPr>
              <w:t>13</w:t>
            </w:r>
            <w:r w:rsidR="00D51567" w:rsidRPr="00BF4E0E">
              <w:rPr>
                <w:noProof/>
                <w:webHidden/>
              </w:rPr>
              <w:fldChar w:fldCharType="end"/>
            </w:r>
          </w:hyperlink>
        </w:p>
        <w:p w14:paraId="0640BDEB" w14:textId="68823916" w:rsidR="00D51567" w:rsidRPr="00BF4E0E" w:rsidRDefault="004F37F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165600" w:history="1">
            <w:r w:rsidR="00D51567" w:rsidRPr="00BF4E0E">
              <w:rPr>
                <w:rStyle w:val="Hipervnculo"/>
                <w:noProof/>
              </w:rPr>
              <w:t>PRIMERO. Competencia</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_Toc213165600 \h </w:instrText>
            </w:r>
            <w:r w:rsidR="00D51567" w:rsidRPr="00BF4E0E">
              <w:rPr>
                <w:noProof/>
                <w:webHidden/>
              </w:rPr>
            </w:r>
            <w:r w:rsidR="00D51567" w:rsidRPr="00BF4E0E">
              <w:rPr>
                <w:noProof/>
                <w:webHidden/>
              </w:rPr>
              <w:fldChar w:fldCharType="separate"/>
            </w:r>
            <w:r w:rsidR="000E1A9A">
              <w:rPr>
                <w:noProof/>
                <w:webHidden/>
              </w:rPr>
              <w:t>13</w:t>
            </w:r>
            <w:r w:rsidR="00D51567" w:rsidRPr="00BF4E0E">
              <w:rPr>
                <w:noProof/>
                <w:webHidden/>
              </w:rPr>
              <w:fldChar w:fldCharType="end"/>
            </w:r>
          </w:hyperlink>
        </w:p>
        <w:p w14:paraId="7CC2A214" w14:textId="1456AFF1" w:rsidR="00D51567" w:rsidRPr="00BF4E0E" w:rsidRDefault="004F37F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165601" w:history="1">
            <w:r w:rsidR="00D51567" w:rsidRPr="00BF4E0E">
              <w:rPr>
                <w:rStyle w:val="Hipervnculo"/>
                <w:noProof/>
              </w:rPr>
              <w:t>SEGUNDO. Causales de improcedencia y sobreseimiento</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_Toc213165601 \h </w:instrText>
            </w:r>
            <w:r w:rsidR="00D51567" w:rsidRPr="00BF4E0E">
              <w:rPr>
                <w:noProof/>
                <w:webHidden/>
              </w:rPr>
            </w:r>
            <w:r w:rsidR="00D51567" w:rsidRPr="00BF4E0E">
              <w:rPr>
                <w:noProof/>
                <w:webHidden/>
              </w:rPr>
              <w:fldChar w:fldCharType="separate"/>
            </w:r>
            <w:r w:rsidR="000E1A9A">
              <w:rPr>
                <w:noProof/>
                <w:webHidden/>
              </w:rPr>
              <w:t>14</w:t>
            </w:r>
            <w:r w:rsidR="00D51567" w:rsidRPr="00BF4E0E">
              <w:rPr>
                <w:noProof/>
                <w:webHidden/>
              </w:rPr>
              <w:fldChar w:fldCharType="end"/>
            </w:r>
          </w:hyperlink>
        </w:p>
        <w:p w14:paraId="51D0E4EE" w14:textId="4653CCB6" w:rsidR="00D51567" w:rsidRPr="00BF4E0E" w:rsidRDefault="004F37F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165602" w:history="1">
            <w:r w:rsidR="00D51567" w:rsidRPr="00BF4E0E">
              <w:rPr>
                <w:rStyle w:val="Hipervnculo"/>
                <w:noProof/>
              </w:rPr>
              <w:t>TERCERO. Determinación de la Controversia</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_Toc213165602 \h </w:instrText>
            </w:r>
            <w:r w:rsidR="00D51567" w:rsidRPr="00BF4E0E">
              <w:rPr>
                <w:noProof/>
                <w:webHidden/>
              </w:rPr>
            </w:r>
            <w:r w:rsidR="00D51567" w:rsidRPr="00BF4E0E">
              <w:rPr>
                <w:noProof/>
                <w:webHidden/>
              </w:rPr>
              <w:fldChar w:fldCharType="separate"/>
            </w:r>
            <w:r w:rsidR="000E1A9A">
              <w:rPr>
                <w:noProof/>
                <w:webHidden/>
              </w:rPr>
              <w:t>15</w:t>
            </w:r>
            <w:r w:rsidR="00D51567" w:rsidRPr="00BF4E0E">
              <w:rPr>
                <w:noProof/>
                <w:webHidden/>
              </w:rPr>
              <w:fldChar w:fldCharType="end"/>
            </w:r>
          </w:hyperlink>
        </w:p>
        <w:p w14:paraId="55EB6E7A" w14:textId="35D4828A" w:rsidR="00D51567" w:rsidRPr="00BF4E0E" w:rsidRDefault="004F37F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165603" w:history="1">
            <w:r w:rsidR="00D51567" w:rsidRPr="00BF4E0E">
              <w:rPr>
                <w:rStyle w:val="Hipervnculo"/>
                <w:noProof/>
              </w:rPr>
              <w:t>CUARTO. Marco normativo aplicable en materia de transparencia y acceso a la información pública</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_Toc213165603 \h </w:instrText>
            </w:r>
            <w:r w:rsidR="00D51567" w:rsidRPr="00BF4E0E">
              <w:rPr>
                <w:noProof/>
                <w:webHidden/>
              </w:rPr>
            </w:r>
            <w:r w:rsidR="00D51567" w:rsidRPr="00BF4E0E">
              <w:rPr>
                <w:noProof/>
                <w:webHidden/>
              </w:rPr>
              <w:fldChar w:fldCharType="separate"/>
            </w:r>
            <w:r w:rsidR="000E1A9A">
              <w:rPr>
                <w:noProof/>
                <w:webHidden/>
              </w:rPr>
              <w:t>17</w:t>
            </w:r>
            <w:r w:rsidR="00D51567" w:rsidRPr="00BF4E0E">
              <w:rPr>
                <w:noProof/>
                <w:webHidden/>
              </w:rPr>
              <w:fldChar w:fldCharType="end"/>
            </w:r>
          </w:hyperlink>
        </w:p>
        <w:p w14:paraId="43FA2D5D" w14:textId="164F7E5B" w:rsidR="00D51567" w:rsidRPr="00BF4E0E" w:rsidRDefault="004F37F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165604" w:history="1">
            <w:r w:rsidR="00D51567" w:rsidRPr="00BF4E0E">
              <w:rPr>
                <w:rStyle w:val="Hipervnculo"/>
                <w:noProof/>
              </w:rPr>
              <w:t>QUINTO. Estudio de Fondo</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_Toc213165604 \h </w:instrText>
            </w:r>
            <w:r w:rsidR="00D51567" w:rsidRPr="00BF4E0E">
              <w:rPr>
                <w:noProof/>
                <w:webHidden/>
              </w:rPr>
            </w:r>
            <w:r w:rsidR="00D51567" w:rsidRPr="00BF4E0E">
              <w:rPr>
                <w:noProof/>
                <w:webHidden/>
              </w:rPr>
              <w:fldChar w:fldCharType="separate"/>
            </w:r>
            <w:r w:rsidR="000E1A9A">
              <w:rPr>
                <w:noProof/>
                <w:webHidden/>
              </w:rPr>
              <w:t>18</w:t>
            </w:r>
            <w:r w:rsidR="00D51567" w:rsidRPr="00BF4E0E">
              <w:rPr>
                <w:noProof/>
                <w:webHidden/>
              </w:rPr>
              <w:fldChar w:fldCharType="end"/>
            </w:r>
          </w:hyperlink>
        </w:p>
        <w:p w14:paraId="6FAB29F7" w14:textId="14E06EAF" w:rsidR="00D51567" w:rsidRPr="00BF4E0E" w:rsidRDefault="004F37F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165605" w:history="1">
            <w:r w:rsidR="00D51567" w:rsidRPr="00BF4E0E">
              <w:rPr>
                <w:rStyle w:val="Hipervnculo"/>
                <w:noProof/>
              </w:rPr>
              <w:t>SEXTO. Decisión</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_Toc213165605 \h </w:instrText>
            </w:r>
            <w:r w:rsidR="00D51567" w:rsidRPr="00BF4E0E">
              <w:rPr>
                <w:noProof/>
                <w:webHidden/>
              </w:rPr>
            </w:r>
            <w:r w:rsidR="00D51567" w:rsidRPr="00BF4E0E">
              <w:rPr>
                <w:noProof/>
                <w:webHidden/>
              </w:rPr>
              <w:fldChar w:fldCharType="separate"/>
            </w:r>
            <w:r w:rsidR="000E1A9A">
              <w:rPr>
                <w:noProof/>
                <w:webHidden/>
              </w:rPr>
              <w:t>52</w:t>
            </w:r>
            <w:r w:rsidR="00D51567" w:rsidRPr="00BF4E0E">
              <w:rPr>
                <w:noProof/>
                <w:webHidden/>
              </w:rPr>
              <w:fldChar w:fldCharType="end"/>
            </w:r>
          </w:hyperlink>
        </w:p>
        <w:p w14:paraId="1475D920" w14:textId="67460CF7" w:rsidR="00D51567" w:rsidRPr="00BF4E0E" w:rsidRDefault="004F37F3">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3165606" w:history="1">
            <w:r w:rsidR="00D51567" w:rsidRPr="00BF4E0E">
              <w:rPr>
                <w:rStyle w:val="Hipervnculo"/>
                <w:noProof/>
              </w:rPr>
              <w:t>R E S U E L V E</w:t>
            </w:r>
            <w:r w:rsidR="00D51567" w:rsidRPr="00BF4E0E">
              <w:rPr>
                <w:noProof/>
                <w:webHidden/>
              </w:rPr>
              <w:tab/>
            </w:r>
            <w:r w:rsidR="00D51567" w:rsidRPr="00BF4E0E">
              <w:rPr>
                <w:noProof/>
                <w:webHidden/>
              </w:rPr>
              <w:fldChar w:fldCharType="begin"/>
            </w:r>
            <w:r w:rsidR="00D51567" w:rsidRPr="00BF4E0E">
              <w:rPr>
                <w:noProof/>
                <w:webHidden/>
              </w:rPr>
              <w:instrText xml:space="preserve"> PAGEREF _Toc213165606 \h </w:instrText>
            </w:r>
            <w:r w:rsidR="00D51567" w:rsidRPr="00BF4E0E">
              <w:rPr>
                <w:noProof/>
                <w:webHidden/>
              </w:rPr>
            </w:r>
            <w:r w:rsidR="00D51567" w:rsidRPr="00BF4E0E">
              <w:rPr>
                <w:noProof/>
                <w:webHidden/>
              </w:rPr>
              <w:fldChar w:fldCharType="separate"/>
            </w:r>
            <w:r w:rsidR="000E1A9A">
              <w:rPr>
                <w:noProof/>
                <w:webHidden/>
              </w:rPr>
              <w:t>52</w:t>
            </w:r>
            <w:r w:rsidR="00D51567" w:rsidRPr="00BF4E0E">
              <w:rPr>
                <w:noProof/>
                <w:webHidden/>
              </w:rPr>
              <w:fldChar w:fldCharType="end"/>
            </w:r>
          </w:hyperlink>
        </w:p>
        <w:p w14:paraId="5B9D6C11" w14:textId="081765CA" w:rsidR="00C4052B" w:rsidRPr="00BF4E0E" w:rsidRDefault="00C4052B" w:rsidP="00877B34">
          <w:pPr>
            <w:spacing w:after="0" w:line="360" w:lineRule="auto"/>
            <w:rPr>
              <w:color w:val="FF0000"/>
            </w:rPr>
          </w:pPr>
          <w:r w:rsidRPr="00BF4E0E">
            <w:rPr>
              <w:b/>
              <w:bCs/>
              <w:color w:val="FF0000"/>
              <w:lang w:val="es-ES"/>
            </w:rPr>
            <w:fldChar w:fldCharType="end"/>
          </w:r>
        </w:p>
      </w:sdtContent>
    </w:sdt>
    <w:p w14:paraId="57481942" w14:textId="77777777" w:rsidR="00C4052B" w:rsidRPr="00BF4E0E" w:rsidRDefault="00C4052B" w:rsidP="00877B34">
      <w:pPr>
        <w:tabs>
          <w:tab w:val="left" w:pos="8931"/>
        </w:tabs>
        <w:spacing w:after="0" w:line="360" w:lineRule="auto"/>
        <w:rPr>
          <w:color w:val="FF0000"/>
        </w:rPr>
      </w:pPr>
    </w:p>
    <w:p w14:paraId="411B5995" w14:textId="77777777" w:rsidR="00C4052B" w:rsidRPr="00BF4E0E" w:rsidRDefault="00C4052B" w:rsidP="00877B34">
      <w:pPr>
        <w:tabs>
          <w:tab w:val="left" w:pos="8931"/>
        </w:tabs>
        <w:spacing w:after="0" w:line="360" w:lineRule="auto"/>
        <w:rPr>
          <w:color w:val="FF0000"/>
        </w:rPr>
      </w:pPr>
    </w:p>
    <w:p w14:paraId="6784625D" w14:textId="77777777" w:rsidR="00C4052B" w:rsidRPr="00BF4E0E" w:rsidRDefault="00C4052B" w:rsidP="00877B34">
      <w:pPr>
        <w:tabs>
          <w:tab w:val="left" w:pos="8931"/>
        </w:tabs>
        <w:spacing w:after="0" w:line="360" w:lineRule="auto"/>
        <w:rPr>
          <w:color w:val="FF0000"/>
        </w:rPr>
      </w:pPr>
    </w:p>
    <w:p w14:paraId="140888DD" w14:textId="77777777" w:rsidR="00C4052B" w:rsidRPr="00BF4E0E" w:rsidRDefault="00C4052B" w:rsidP="00877B34">
      <w:pPr>
        <w:tabs>
          <w:tab w:val="left" w:pos="8931"/>
        </w:tabs>
        <w:spacing w:after="0" w:line="360" w:lineRule="auto"/>
        <w:rPr>
          <w:color w:val="FF0000"/>
        </w:rPr>
      </w:pPr>
    </w:p>
    <w:p w14:paraId="46268890" w14:textId="77777777" w:rsidR="00C4052B" w:rsidRPr="00BF4E0E" w:rsidRDefault="00C4052B" w:rsidP="00877B34">
      <w:pPr>
        <w:tabs>
          <w:tab w:val="left" w:pos="8931"/>
        </w:tabs>
        <w:spacing w:after="0" w:line="360" w:lineRule="auto"/>
        <w:rPr>
          <w:color w:val="FF0000"/>
        </w:rPr>
      </w:pPr>
    </w:p>
    <w:p w14:paraId="147CC638" w14:textId="77777777" w:rsidR="00C4052B" w:rsidRPr="00BF4E0E" w:rsidRDefault="00C4052B" w:rsidP="00877B34">
      <w:pPr>
        <w:tabs>
          <w:tab w:val="left" w:pos="8931"/>
        </w:tabs>
        <w:spacing w:after="0" w:line="360" w:lineRule="auto"/>
        <w:rPr>
          <w:color w:val="FF0000"/>
        </w:rPr>
      </w:pPr>
    </w:p>
    <w:p w14:paraId="01BB5716" w14:textId="77777777" w:rsidR="00C4052B" w:rsidRPr="00BF4E0E" w:rsidRDefault="00C4052B" w:rsidP="00877B34">
      <w:pPr>
        <w:tabs>
          <w:tab w:val="left" w:pos="8931"/>
        </w:tabs>
        <w:spacing w:after="0" w:line="360" w:lineRule="auto"/>
        <w:rPr>
          <w:color w:val="FF0000"/>
        </w:rPr>
      </w:pPr>
    </w:p>
    <w:p w14:paraId="62C1CEC9" w14:textId="77777777" w:rsidR="00C4052B" w:rsidRPr="00BF4E0E" w:rsidRDefault="00C4052B" w:rsidP="00877B34">
      <w:pPr>
        <w:tabs>
          <w:tab w:val="left" w:pos="8931"/>
        </w:tabs>
        <w:spacing w:after="0" w:line="360" w:lineRule="auto"/>
        <w:rPr>
          <w:color w:val="FF0000"/>
        </w:rPr>
      </w:pPr>
    </w:p>
    <w:p w14:paraId="7F38981D" w14:textId="77777777" w:rsidR="00A55E82" w:rsidRPr="00BF4E0E" w:rsidRDefault="00A55E82" w:rsidP="00877B34">
      <w:pPr>
        <w:tabs>
          <w:tab w:val="left" w:pos="8931"/>
        </w:tabs>
        <w:spacing w:after="0" w:line="360" w:lineRule="auto"/>
        <w:rPr>
          <w:color w:val="FF0000"/>
        </w:rPr>
      </w:pPr>
    </w:p>
    <w:p w14:paraId="6E6C2561" w14:textId="77777777" w:rsidR="00D61CB8" w:rsidRPr="00BF4E0E" w:rsidRDefault="00D61CB8" w:rsidP="00877B34">
      <w:pPr>
        <w:tabs>
          <w:tab w:val="left" w:pos="8931"/>
        </w:tabs>
        <w:spacing w:after="0" w:line="360" w:lineRule="auto"/>
        <w:rPr>
          <w:color w:val="FF0000"/>
        </w:rPr>
      </w:pPr>
    </w:p>
    <w:p w14:paraId="3FB7EB5E" w14:textId="29C7DA5C" w:rsidR="005C690F" w:rsidRPr="00BF4E0E" w:rsidRDefault="007D6307" w:rsidP="00877B34">
      <w:pPr>
        <w:tabs>
          <w:tab w:val="left" w:pos="8931"/>
        </w:tabs>
        <w:spacing w:after="0" w:line="360" w:lineRule="auto"/>
        <w:rPr>
          <w:color w:val="auto"/>
        </w:rPr>
      </w:pPr>
      <w:r w:rsidRPr="00BF4E0E">
        <w:rPr>
          <w:color w:val="auto"/>
        </w:rPr>
        <w:lastRenderedPageBreak/>
        <w:t xml:space="preserve">Resolución del Pleno del Instituto de Transparencia, Acceso a la Información Pública y Protección de Datos Personales del Estado de México y Municipios, con domicilio en Metepec, Estado de México, </w:t>
      </w:r>
      <w:r w:rsidR="00BC4A68" w:rsidRPr="00BF4E0E">
        <w:rPr>
          <w:color w:val="auto"/>
        </w:rPr>
        <w:t xml:space="preserve">de fecha </w:t>
      </w:r>
      <w:r w:rsidR="007955FF" w:rsidRPr="00BF4E0E">
        <w:rPr>
          <w:color w:val="auto"/>
        </w:rPr>
        <w:t>doce</w:t>
      </w:r>
      <w:r w:rsidR="00E67577" w:rsidRPr="00BF4E0E">
        <w:rPr>
          <w:color w:val="auto"/>
        </w:rPr>
        <w:t xml:space="preserve"> de noviembre de dos mil veinticinco.</w:t>
      </w:r>
      <w:r w:rsidRPr="00BF4E0E">
        <w:rPr>
          <w:color w:val="auto"/>
        </w:rPr>
        <w:t xml:space="preserve"> </w:t>
      </w:r>
    </w:p>
    <w:p w14:paraId="0DCD3B82" w14:textId="77777777" w:rsidR="005C690F" w:rsidRPr="00BF4E0E" w:rsidRDefault="005C690F" w:rsidP="00877B34">
      <w:pPr>
        <w:spacing w:after="0" w:line="360" w:lineRule="auto"/>
        <w:rPr>
          <w:b/>
          <w:color w:val="FF0000"/>
        </w:rPr>
      </w:pPr>
    </w:p>
    <w:p w14:paraId="1570B336" w14:textId="1FA13844" w:rsidR="005C690F" w:rsidRPr="00BF4E0E" w:rsidRDefault="007D6307" w:rsidP="00877B34">
      <w:pPr>
        <w:spacing w:after="0" w:line="360" w:lineRule="auto"/>
        <w:rPr>
          <w:color w:val="auto"/>
        </w:rPr>
      </w:pPr>
      <w:r w:rsidRPr="00BF4E0E">
        <w:rPr>
          <w:b/>
          <w:color w:val="auto"/>
        </w:rPr>
        <w:t xml:space="preserve">VISTO </w:t>
      </w:r>
      <w:r w:rsidRPr="00BF4E0E">
        <w:rPr>
          <w:color w:val="auto"/>
        </w:rPr>
        <w:t xml:space="preserve">el expediente electrónico conformado con motivo del Recurso de Revisión </w:t>
      </w:r>
      <w:r w:rsidR="00EE1006" w:rsidRPr="008413EB">
        <w:rPr>
          <w:b/>
          <w:color w:val="auto"/>
        </w:rPr>
        <w:t>0</w:t>
      </w:r>
      <w:r w:rsidR="00304EA3" w:rsidRPr="008413EB">
        <w:rPr>
          <w:b/>
          <w:color w:val="auto"/>
        </w:rPr>
        <w:t>8</w:t>
      </w:r>
      <w:r w:rsidR="007955FF" w:rsidRPr="008413EB">
        <w:rPr>
          <w:b/>
          <w:color w:val="auto"/>
        </w:rPr>
        <w:t>936</w:t>
      </w:r>
      <w:r w:rsidR="000D392E" w:rsidRPr="008413EB">
        <w:rPr>
          <w:b/>
          <w:color w:val="auto"/>
        </w:rPr>
        <w:t>/INFOEM/IP/RR/2025</w:t>
      </w:r>
      <w:r w:rsidRPr="00BF4E0E">
        <w:rPr>
          <w:bCs/>
          <w:color w:val="auto"/>
        </w:rPr>
        <w:t xml:space="preserve">, interpuesto </w:t>
      </w:r>
      <w:r w:rsidR="008415EA" w:rsidRPr="00BF4E0E">
        <w:rPr>
          <w:bCs/>
          <w:color w:val="auto"/>
        </w:rPr>
        <w:t>por</w:t>
      </w:r>
      <w:r w:rsidR="00EE1006" w:rsidRPr="00BF4E0E">
        <w:rPr>
          <w:bCs/>
          <w:color w:val="auto"/>
        </w:rPr>
        <w:t xml:space="preserve"> </w:t>
      </w:r>
      <w:r w:rsidR="00D906B2" w:rsidRPr="00BF4E0E">
        <w:rPr>
          <w:bCs/>
          <w:color w:val="auto"/>
        </w:rPr>
        <w:t>la persona</w:t>
      </w:r>
      <w:r w:rsidRPr="00BF4E0E">
        <w:rPr>
          <w:bCs/>
          <w:color w:val="auto"/>
        </w:rPr>
        <w:t xml:space="preserve"> Recurrente o Particular, en contra de la respuesta del Sujeto Obligado</w:t>
      </w:r>
      <w:r w:rsidR="00705FBB" w:rsidRPr="00BF4E0E">
        <w:rPr>
          <w:bCs/>
          <w:color w:val="auto"/>
        </w:rPr>
        <w:t xml:space="preserve">, </w:t>
      </w:r>
      <w:r w:rsidR="008246F7" w:rsidRPr="008413EB">
        <w:rPr>
          <w:b/>
          <w:bCs/>
          <w:color w:val="auto"/>
        </w:rPr>
        <w:t>Ayuntamiento d</w:t>
      </w:r>
      <w:r w:rsidR="00EC7CBF" w:rsidRPr="008413EB">
        <w:rPr>
          <w:b/>
          <w:bCs/>
          <w:color w:val="auto"/>
        </w:rPr>
        <w:t>e</w:t>
      </w:r>
      <w:r w:rsidR="00664A72" w:rsidRPr="008413EB">
        <w:rPr>
          <w:b/>
          <w:bCs/>
          <w:color w:val="auto"/>
        </w:rPr>
        <w:t xml:space="preserve"> </w:t>
      </w:r>
      <w:r w:rsidR="007955FF" w:rsidRPr="008413EB">
        <w:rPr>
          <w:b/>
          <w:bCs/>
          <w:color w:val="auto"/>
        </w:rPr>
        <w:t>Toluca</w:t>
      </w:r>
      <w:r w:rsidR="00EF0C39" w:rsidRPr="00BF4E0E">
        <w:rPr>
          <w:bCs/>
          <w:color w:val="auto"/>
        </w:rPr>
        <w:t>,</w:t>
      </w:r>
      <w:r w:rsidRPr="00BF4E0E">
        <w:rPr>
          <w:bCs/>
          <w:color w:val="auto"/>
        </w:rPr>
        <w:t xml:space="preserve"> </w:t>
      </w:r>
      <w:r w:rsidRPr="00BF4E0E">
        <w:rPr>
          <w:color w:val="auto"/>
        </w:rPr>
        <w:t xml:space="preserve">a la solicitud de acceso a la información </w:t>
      </w:r>
      <w:r w:rsidR="00BC4A68" w:rsidRPr="00BF4E0E">
        <w:rPr>
          <w:color w:val="auto"/>
        </w:rPr>
        <w:t xml:space="preserve">pública </w:t>
      </w:r>
      <w:r w:rsidR="007955FF" w:rsidRPr="00BF4E0E">
        <w:rPr>
          <w:color w:val="auto"/>
        </w:rPr>
        <w:t>03727/TOLUCA/IP/2025</w:t>
      </w:r>
      <w:r w:rsidRPr="00BF4E0E">
        <w:rPr>
          <w:color w:val="auto"/>
        </w:rPr>
        <w:t>, se emite la presente Resolución, con base en los Antecedentes y Considerandos que se exponen a continuación:</w:t>
      </w:r>
    </w:p>
    <w:p w14:paraId="1F97CEF3" w14:textId="77777777" w:rsidR="005C690F" w:rsidRPr="00BF4E0E" w:rsidRDefault="005C690F" w:rsidP="00877B34">
      <w:pPr>
        <w:spacing w:after="0" w:line="360" w:lineRule="auto"/>
        <w:rPr>
          <w:b/>
          <w:color w:val="auto"/>
        </w:rPr>
      </w:pPr>
    </w:p>
    <w:p w14:paraId="1DEAF9D3" w14:textId="24D35555" w:rsidR="005C690F" w:rsidRPr="00BF4E0E" w:rsidRDefault="00CD6238" w:rsidP="00877B34">
      <w:pPr>
        <w:pStyle w:val="Ttulo1"/>
        <w:spacing w:before="0" w:after="0" w:line="360" w:lineRule="auto"/>
        <w:jc w:val="center"/>
        <w:rPr>
          <w:color w:val="auto"/>
          <w:sz w:val="22"/>
          <w:szCs w:val="22"/>
        </w:rPr>
      </w:pPr>
      <w:bookmarkStart w:id="1" w:name="_Toc213165594"/>
      <w:r w:rsidRPr="00BF4E0E">
        <w:rPr>
          <w:color w:val="auto"/>
          <w:sz w:val="22"/>
          <w:szCs w:val="22"/>
        </w:rPr>
        <w:t>A N T E C E D E N T E S</w:t>
      </w:r>
      <w:bookmarkEnd w:id="1"/>
    </w:p>
    <w:p w14:paraId="5A7EDA4F" w14:textId="77777777" w:rsidR="005C690F" w:rsidRPr="00BF4E0E" w:rsidRDefault="005C690F" w:rsidP="00877B34">
      <w:pPr>
        <w:spacing w:after="0" w:line="360" w:lineRule="auto"/>
        <w:jc w:val="center"/>
        <w:rPr>
          <w:b/>
          <w:color w:val="FF0000"/>
        </w:rPr>
      </w:pPr>
    </w:p>
    <w:p w14:paraId="4930DAB9" w14:textId="701611A7" w:rsidR="00E22EA8" w:rsidRPr="00BF4E0E" w:rsidRDefault="009215C2" w:rsidP="00877B34">
      <w:pPr>
        <w:pStyle w:val="Ttulo2"/>
        <w:spacing w:before="0" w:after="0" w:line="360" w:lineRule="auto"/>
        <w:rPr>
          <w:color w:val="auto"/>
          <w:sz w:val="22"/>
          <w:szCs w:val="22"/>
          <w:lang w:eastAsia="es-ES"/>
        </w:rPr>
      </w:pPr>
      <w:bookmarkStart w:id="2" w:name="_Toc213165595"/>
      <w:r w:rsidRPr="00BF4E0E">
        <w:rPr>
          <w:color w:val="auto"/>
          <w:sz w:val="22"/>
          <w:szCs w:val="22"/>
          <w:lang w:eastAsia="es-ES"/>
        </w:rPr>
        <w:t xml:space="preserve">I. </w:t>
      </w:r>
      <w:r w:rsidR="00E22EA8" w:rsidRPr="00BF4E0E">
        <w:rPr>
          <w:color w:val="auto"/>
          <w:sz w:val="22"/>
          <w:szCs w:val="22"/>
          <w:lang w:eastAsia="es-ES"/>
        </w:rPr>
        <w:t>Presentación de la solicitud de información</w:t>
      </w:r>
      <w:bookmarkEnd w:id="2"/>
    </w:p>
    <w:p w14:paraId="63A20E25" w14:textId="77777777" w:rsidR="009215C2" w:rsidRPr="00BF4E0E" w:rsidRDefault="009215C2" w:rsidP="00877B34">
      <w:pPr>
        <w:tabs>
          <w:tab w:val="left" w:pos="567"/>
        </w:tabs>
        <w:spacing w:after="0" w:line="360" w:lineRule="auto"/>
        <w:rPr>
          <w:rFonts w:eastAsia="Times New Roman" w:cs="Tahoma"/>
          <w:color w:val="FF0000"/>
          <w:lang w:eastAsia="es-ES"/>
        </w:rPr>
      </w:pPr>
    </w:p>
    <w:p w14:paraId="301B8A4E" w14:textId="539F7E9A" w:rsidR="00E22EA8" w:rsidRPr="00BF4E0E" w:rsidRDefault="00D906B2" w:rsidP="00877B34">
      <w:pPr>
        <w:spacing w:after="0" w:line="360" w:lineRule="auto"/>
        <w:rPr>
          <w:rFonts w:eastAsia="Times New Roman" w:cs="Tahoma"/>
          <w:color w:val="auto"/>
          <w:lang w:eastAsia="es-ES"/>
        </w:rPr>
      </w:pPr>
      <w:r w:rsidRPr="00BF4E0E">
        <w:rPr>
          <w:rFonts w:eastAsia="Times New Roman" w:cs="Tahoma"/>
          <w:color w:val="auto"/>
          <w:lang w:eastAsia="es-ES"/>
        </w:rPr>
        <w:t>El</w:t>
      </w:r>
      <w:r w:rsidR="00D52EC1" w:rsidRPr="00BF4E0E">
        <w:rPr>
          <w:rFonts w:eastAsia="Times New Roman" w:cs="Tahoma"/>
          <w:color w:val="auto"/>
          <w:lang w:eastAsia="es-ES"/>
        </w:rPr>
        <w:t xml:space="preserve"> </w:t>
      </w:r>
      <w:r w:rsidR="007955FF" w:rsidRPr="00BF4E0E">
        <w:rPr>
          <w:rFonts w:eastAsia="Times New Roman" w:cs="Tahoma"/>
          <w:color w:val="auto"/>
          <w:lang w:eastAsia="es-ES"/>
        </w:rPr>
        <w:t xml:space="preserve">veintisiete de junio de </w:t>
      </w:r>
      <w:r w:rsidR="008E0DC4" w:rsidRPr="00BF4E0E">
        <w:rPr>
          <w:rFonts w:eastAsia="Times New Roman" w:cs="Tahoma"/>
          <w:color w:val="auto"/>
          <w:lang w:eastAsia="es-ES"/>
        </w:rPr>
        <w:t>dos mil veinticinco</w:t>
      </w:r>
      <w:r w:rsidR="00BF362A" w:rsidRPr="00BF4E0E">
        <w:rPr>
          <w:rFonts w:eastAsia="Times New Roman" w:cs="Tahoma"/>
          <w:color w:val="auto"/>
          <w:lang w:eastAsia="es-ES"/>
        </w:rPr>
        <w:t xml:space="preserve">, </w:t>
      </w:r>
      <w:r w:rsidR="00E22EA8" w:rsidRPr="00BF4E0E">
        <w:rPr>
          <w:rFonts w:eastAsia="Times New Roman" w:cs="Tahoma"/>
          <w:color w:val="auto"/>
          <w:lang w:eastAsia="es-ES"/>
        </w:rPr>
        <w:t>el Particular presentó una solicitud de acceso a la información pública, a través del Sistema de Acceso a la Información Mexiquense (SAIMEX), ante</w:t>
      </w:r>
      <w:r w:rsidR="000B3C56" w:rsidRPr="00BF4E0E">
        <w:rPr>
          <w:rFonts w:eastAsia="Times New Roman" w:cs="Tahoma"/>
          <w:color w:val="auto"/>
          <w:lang w:eastAsia="es-ES"/>
        </w:rPr>
        <w:t xml:space="preserve"> </w:t>
      </w:r>
      <w:r w:rsidR="00DC175C" w:rsidRPr="00BF4E0E">
        <w:rPr>
          <w:rFonts w:eastAsia="Times New Roman" w:cs="Tahoma"/>
          <w:color w:val="auto"/>
          <w:lang w:eastAsia="es-ES"/>
        </w:rPr>
        <w:t>el</w:t>
      </w:r>
      <w:r w:rsidR="008246F7" w:rsidRPr="00BF4E0E">
        <w:rPr>
          <w:color w:val="auto"/>
        </w:rPr>
        <w:t xml:space="preserve"> Ayuntamiento de</w:t>
      </w:r>
      <w:r w:rsidR="00664A72" w:rsidRPr="00BF4E0E">
        <w:rPr>
          <w:color w:val="auto"/>
        </w:rPr>
        <w:t xml:space="preserve"> </w:t>
      </w:r>
      <w:r w:rsidR="007955FF" w:rsidRPr="00BF4E0E">
        <w:rPr>
          <w:color w:val="auto"/>
        </w:rPr>
        <w:t>Toluca</w:t>
      </w:r>
      <w:r w:rsidR="008E0DC4" w:rsidRPr="00BF4E0E">
        <w:rPr>
          <w:rFonts w:eastAsia="Calibri" w:cs="Times New Roman"/>
          <w:color w:val="auto"/>
        </w:rPr>
        <w:t>,</w:t>
      </w:r>
      <w:r w:rsidR="00DC175C" w:rsidRPr="00BF4E0E">
        <w:rPr>
          <w:rFonts w:eastAsia="Calibri" w:cs="Tahoma"/>
          <w:color w:val="auto"/>
        </w:rPr>
        <w:t xml:space="preserve"> </w:t>
      </w:r>
      <w:r w:rsidR="00E22EA8" w:rsidRPr="00BF4E0E">
        <w:rPr>
          <w:rFonts w:eastAsia="Calibri" w:cs="Tahoma"/>
          <w:color w:val="auto"/>
        </w:rPr>
        <w:t xml:space="preserve">en los siguientes términos: </w:t>
      </w:r>
    </w:p>
    <w:p w14:paraId="2B959865" w14:textId="77777777" w:rsidR="00E22EA8" w:rsidRPr="00BF4E0E" w:rsidRDefault="00E22EA8" w:rsidP="00877B34">
      <w:pPr>
        <w:spacing w:after="0" w:line="360" w:lineRule="auto"/>
        <w:rPr>
          <w:rFonts w:eastAsia="Calibri" w:cs="Tahoma"/>
          <w:color w:val="FF0000"/>
        </w:rPr>
      </w:pPr>
    </w:p>
    <w:p w14:paraId="3FBC9D66" w14:textId="0F26255C" w:rsidR="00A41789" w:rsidRPr="00BF4E0E" w:rsidRDefault="00125F26" w:rsidP="00877B34">
      <w:pPr>
        <w:tabs>
          <w:tab w:val="left" w:pos="4667"/>
        </w:tabs>
        <w:spacing w:after="0" w:line="360" w:lineRule="auto"/>
        <w:ind w:left="567" w:right="567"/>
        <w:rPr>
          <w:rFonts w:eastAsia="Times New Roman" w:cs="Tahoma"/>
          <w:b/>
          <w:i/>
          <w:iCs/>
          <w:color w:val="auto"/>
          <w:sz w:val="20"/>
          <w:szCs w:val="20"/>
          <w:lang w:eastAsia="es-ES"/>
        </w:rPr>
      </w:pPr>
      <w:r w:rsidRPr="00BF4E0E">
        <w:rPr>
          <w:rFonts w:eastAsia="Times New Roman" w:cs="Tahoma"/>
          <w:b/>
          <w:i/>
          <w:iCs/>
          <w:color w:val="auto"/>
          <w:sz w:val="20"/>
          <w:szCs w:val="20"/>
          <w:lang w:eastAsia="es-ES"/>
        </w:rPr>
        <w:t>“</w:t>
      </w:r>
      <w:r w:rsidR="00E22EA8" w:rsidRPr="00BF4E0E">
        <w:rPr>
          <w:rFonts w:eastAsia="Times New Roman" w:cs="Tahoma"/>
          <w:b/>
          <w:i/>
          <w:iCs/>
          <w:color w:val="auto"/>
          <w:sz w:val="20"/>
          <w:szCs w:val="20"/>
          <w:lang w:eastAsia="es-ES"/>
        </w:rPr>
        <w:t>DESCRIPCIÓN CLARA Y PRECI</w:t>
      </w:r>
      <w:r w:rsidR="0084143D" w:rsidRPr="00BF4E0E">
        <w:rPr>
          <w:rFonts w:eastAsia="Times New Roman" w:cs="Tahoma"/>
          <w:b/>
          <w:i/>
          <w:iCs/>
          <w:color w:val="auto"/>
          <w:sz w:val="20"/>
          <w:szCs w:val="20"/>
          <w:lang w:eastAsia="es-ES"/>
        </w:rPr>
        <w:t xml:space="preserve">SA DE LA </w:t>
      </w:r>
      <w:r w:rsidR="00A41789" w:rsidRPr="00BF4E0E">
        <w:rPr>
          <w:rFonts w:eastAsia="Times New Roman" w:cs="Tahoma"/>
          <w:b/>
          <w:i/>
          <w:iCs/>
          <w:color w:val="auto"/>
          <w:sz w:val="20"/>
          <w:szCs w:val="20"/>
          <w:lang w:eastAsia="es-ES"/>
        </w:rPr>
        <w:t>INFORMACIÓN SOLICITADA</w:t>
      </w:r>
    </w:p>
    <w:p w14:paraId="2C6BC213" w14:textId="3433065C" w:rsidR="00E22EA8" w:rsidRPr="00BF4E0E" w:rsidRDefault="007955FF" w:rsidP="00877B34">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SOLICITO LOS COMPROBANTES BANCARIOS DE DISPERSION DE LA NOMINA DE LOS AÑOS 2022, 2023 Y DE ENERO A DICIEMBRE DE 2024 QUE FUERON REMITIDOS AL ÓRGANO SUPERIOR DE FISCALIZACION</w:t>
      </w:r>
      <w:r w:rsidR="009215C2" w:rsidRPr="00BF4E0E">
        <w:rPr>
          <w:rFonts w:eastAsia="Times New Roman" w:cs="Arial"/>
          <w:bCs/>
          <w:i/>
          <w:iCs/>
          <w:color w:val="auto"/>
          <w:sz w:val="20"/>
          <w:lang w:eastAsia="es-ES"/>
        </w:rPr>
        <w:t>”</w:t>
      </w:r>
    </w:p>
    <w:p w14:paraId="64AF510B" w14:textId="77777777" w:rsidR="005C2324" w:rsidRPr="00BF4E0E" w:rsidRDefault="005C2324" w:rsidP="00877B34">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BF4E0E" w:rsidRDefault="00125F26" w:rsidP="00877B34">
      <w:pPr>
        <w:tabs>
          <w:tab w:val="left" w:pos="4667"/>
        </w:tabs>
        <w:spacing w:after="0" w:line="360" w:lineRule="auto"/>
        <w:ind w:left="567" w:right="567"/>
        <w:rPr>
          <w:rFonts w:eastAsia="Times New Roman" w:cs="Tahoma"/>
          <w:b/>
          <w:bCs/>
          <w:i/>
          <w:iCs/>
          <w:color w:val="auto"/>
          <w:sz w:val="20"/>
          <w:lang w:eastAsia="es-ES"/>
        </w:rPr>
      </w:pPr>
      <w:r w:rsidRPr="00BF4E0E">
        <w:rPr>
          <w:rFonts w:eastAsia="Times New Roman" w:cs="Tahoma"/>
          <w:b/>
          <w:bCs/>
          <w:i/>
          <w:iCs/>
          <w:color w:val="auto"/>
          <w:sz w:val="20"/>
          <w:lang w:eastAsia="es-ES"/>
        </w:rPr>
        <w:t>“</w:t>
      </w:r>
      <w:r w:rsidR="00E22EA8" w:rsidRPr="00BF4E0E">
        <w:rPr>
          <w:rFonts w:eastAsia="Times New Roman" w:cs="Tahoma"/>
          <w:b/>
          <w:bCs/>
          <w:i/>
          <w:iCs/>
          <w:color w:val="auto"/>
          <w:sz w:val="20"/>
          <w:lang w:eastAsia="es-ES"/>
        </w:rPr>
        <w:t>MODALIDAD DE ENTREGA</w:t>
      </w:r>
    </w:p>
    <w:p w14:paraId="3CA8F82F" w14:textId="1B5A8200" w:rsidR="00EB386A" w:rsidRPr="00BF4E0E" w:rsidRDefault="00BB6693" w:rsidP="00877B34">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A través del SAIMEX</w:t>
      </w:r>
      <w:r w:rsidR="00E22EA8" w:rsidRPr="00BF4E0E">
        <w:rPr>
          <w:rFonts w:eastAsia="Times New Roman" w:cs="Arial"/>
          <w:bCs/>
          <w:i/>
          <w:iCs/>
          <w:color w:val="auto"/>
          <w:sz w:val="20"/>
          <w:lang w:eastAsia="es-ES"/>
        </w:rPr>
        <w:t>”</w:t>
      </w:r>
    </w:p>
    <w:p w14:paraId="7D2A95DA" w14:textId="77777777" w:rsidR="002207FA" w:rsidRPr="00BF4E0E" w:rsidRDefault="002207FA" w:rsidP="00877B34">
      <w:pPr>
        <w:spacing w:after="0" w:line="360" w:lineRule="auto"/>
        <w:ind w:left="567" w:right="567"/>
        <w:rPr>
          <w:rFonts w:eastAsia="Times New Roman" w:cs="Arial"/>
          <w:bCs/>
          <w:i/>
          <w:iCs/>
          <w:color w:val="FF0000"/>
          <w:sz w:val="20"/>
          <w:lang w:eastAsia="es-ES"/>
        </w:rPr>
      </w:pPr>
    </w:p>
    <w:p w14:paraId="0A604AAC" w14:textId="5EBA114E" w:rsidR="00E22EA8" w:rsidRPr="00BF4E0E" w:rsidRDefault="000B3C56" w:rsidP="00877B34">
      <w:pPr>
        <w:pStyle w:val="Ttulo2"/>
        <w:spacing w:before="0" w:after="0" w:line="360" w:lineRule="auto"/>
        <w:rPr>
          <w:color w:val="auto"/>
          <w:sz w:val="22"/>
          <w:szCs w:val="22"/>
        </w:rPr>
      </w:pPr>
      <w:bookmarkStart w:id="3" w:name="_Toc213165596"/>
      <w:r w:rsidRPr="00BF4E0E">
        <w:rPr>
          <w:rFonts w:cs="Tahoma"/>
          <w:color w:val="auto"/>
          <w:sz w:val="22"/>
          <w:szCs w:val="22"/>
        </w:rPr>
        <w:t>I</w:t>
      </w:r>
      <w:r w:rsidR="002207FA" w:rsidRPr="00BF4E0E">
        <w:rPr>
          <w:rFonts w:cs="Tahoma"/>
          <w:color w:val="auto"/>
          <w:sz w:val="22"/>
          <w:szCs w:val="22"/>
        </w:rPr>
        <w:t>I</w:t>
      </w:r>
      <w:r w:rsidR="00E22EA8" w:rsidRPr="00BF4E0E">
        <w:rPr>
          <w:rFonts w:cs="Tahoma"/>
          <w:color w:val="auto"/>
          <w:sz w:val="22"/>
          <w:szCs w:val="22"/>
        </w:rPr>
        <w:t>.</w:t>
      </w:r>
      <w:r w:rsidR="00E22EA8" w:rsidRPr="00BF4E0E">
        <w:rPr>
          <w:color w:val="auto"/>
          <w:sz w:val="22"/>
          <w:szCs w:val="22"/>
        </w:rPr>
        <w:t xml:space="preserve"> Respuesta del Sujeto Obligado</w:t>
      </w:r>
      <w:bookmarkEnd w:id="3"/>
    </w:p>
    <w:p w14:paraId="10CE94A9" w14:textId="77777777" w:rsidR="00C06004" w:rsidRPr="00BF4E0E" w:rsidRDefault="00C06004" w:rsidP="00877B34">
      <w:pPr>
        <w:autoSpaceDE w:val="0"/>
        <w:autoSpaceDN w:val="0"/>
        <w:adjustRightInd w:val="0"/>
        <w:spacing w:after="0" w:line="360" w:lineRule="auto"/>
        <w:rPr>
          <w:b/>
          <w:bCs/>
          <w:color w:val="FF0000"/>
        </w:rPr>
      </w:pPr>
    </w:p>
    <w:p w14:paraId="252736ED" w14:textId="691B7792" w:rsidR="00304EA3" w:rsidRPr="00BF4E0E" w:rsidRDefault="00EB386A" w:rsidP="00877B34">
      <w:pPr>
        <w:spacing w:after="0" w:line="360" w:lineRule="auto"/>
        <w:rPr>
          <w:color w:val="auto"/>
        </w:rPr>
      </w:pPr>
      <w:r w:rsidRPr="00BF4E0E">
        <w:rPr>
          <w:color w:val="auto"/>
        </w:rPr>
        <w:t>El</w:t>
      </w:r>
      <w:r w:rsidR="00BC4A68" w:rsidRPr="00BF4E0E">
        <w:rPr>
          <w:color w:val="auto"/>
        </w:rPr>
        <w:t xml:space="preserve"> </w:t>
      </w:r>
      <w:r w:rsidR="007955FF" w:rsidRPr="00BF4E0E">
        <w:rPr>
          <w:color w:val="auto"/>
        </w:rPr>
        <w:t>dieciocho de julio</w:t>
      </w:r>
      <w:r w:rsidR="00304EA3" w:rsidRPr="00BF4E0E">
        <w:rPr>
          <w:color w:val="auto"/>
        </w:rPr>
        <w:t xml:space="preserve"> de </w:t>
      </w:r>
      <w:r w:rsidR="00CD4DE8" w:rsidRPr="00BF4E0E">
        <w:rPr>
          <w:color w:val="auto"/>
        </w:rPr>
        <w:t>dos mil veinticinco</w:t>
      </w:r>
      <w:r w:rsidR="00E22EA8" w:rsidRPr="00BF4E0E">
        <w:rPr>
          <w:color w:val="auto"/>
        </w:rPr>
        <w:t xml:space="preserve">, el Sujeto Obligado notificó, a través del Sistema de Acceso a la Información Mexiquense (SAIMEX), la respuesta a la solicitud de acceso a la información pública, </w:t>
      </w:r>
      <w:r w:rsidR="00EC7CBF" w:rsidRPr="00BF4E0E">
        <w:rPr>
          <w:color w:val="auto"/>
        </w:rPr>
        <w:t xml:space="preserve">a través </w:t>
      </w:r>
      <w:r w:rsidR="00304EA3" w:rsidRPr="00BF4E0E">
        <w:rPr>
          <w:color w:val="auto"/>
        </w:rPr>
        <w:t>de la digitalización de los siguientes documentos:</w:t>
      </w:r>
    </w:p>
    <w:p w14:paraId="26AD0B74" w14:textId="77777777" w:rsidR="0081681D" w:rsidRPr="00BF4E0E" w:rsidRDefault="0081681D" w:rsidP="00877B34">
      <w:pPr>
        <w:spacing w:after="0" w:line="360" w:lineRule="auto"/>
        <w:rPr>
          <w:color w:val="FF0000"/>
        </w:rPr>
      </w:pPr>
    </w:p>
    <w:p w14:paraId="55D35BC0" w14:textId="03084CC3" w:rsidR="00FF5473" w:rsidRPr="00BF4E0E" w:rsidRDefault="00BC4A68" w:rsidP="00936BA2">
      <w:pPr>
        <w:spacing w:after="0" w:line="360" w:lineRule="auto"/>
        <w:rPr>
          <w:color w:val="auto"/>
        </w:rPr>
      </w:pPr>
      <w:bookmarkStart w:id="4" w:name="_Hlk207795405"/>
      <w:bookmarkStart w:id="5" w:name="_Hlk212465225"/>
      <w:r w:rsidRPr="00BF4E0E">
        <w:rPr>
          <w:color w:val="auto"/>
        </w:rPr>
        <w:t xml:space="preserve">i. </w:t>
      </w:r>
      <w:r w:rsidR="00FF5473" w:rsidRPr="00BF4E0E">
        <w:rPr>
          <w:color w:val="auto"/>
        </w:rPr>
        <w:t xml:space="preserve">Oficio </w:t>
      </w:r>
      <w:r w:rsidR="00FA0679" w:rsidRPr="00BF4E0E">
        <w:t>200F10300/505/2025 del ocho de julio de dos mil veinticinco, suscrito por la Coordinadora de Administración y Finanzas del Instituto Municipal de la Mujer de Toluca, dirigido al Titular de la Unidad de Información, Planeación, Programación y Evaluación, por medio del cual se menciona lo siguiente:</w:t>
      </w:r>
    </w:p>
    <w:p w14:paraId="6A68412A" w14:textId="77777777" w:rsidR="00936BA2" w:rsidRPr="00BF4E0E" w:rsidRDefault="00936BA2" w:rsidP="00936BA2">
      <w:pPr>
        <w:spacing w:after="0" w:line="360" w:lineRule="auto"/>
        <w:ind w:left="567" w:right="567"/>
        <w:rPr>
          <w:rFonts w:eastAsia="Times New Roman" w:cs="Arial"/>
          <w:bCs/>
          <w:i/>
          <w:iCs/>
          <w:color w:val="auto"/>
          <w:sz w:val="20"/>
          <w:lang w:eastAsia="es-ES"/>
        </w:rPr>
      </w:pPr>
    </w:p>
    <w:p w14:paraId="61DB107A" w14:textId="2DF21256" w:rsidR="00FF5473" w:rsidRPr="00BF4E0E" w:rsidRDefault="00FF5473" w:rsidP="00877B34">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w:t>
      </w:r>
      <w:r w:rsidR="00936BA2" w:rsidRPr="00BF4E0E">
        <w:rPr>
          <w:rFonts w:eastAsia="Times New Roman" w:cs="Arial"/>
          <w:bCs/>
          <w:i/>
          <w:iCs/>
          <w:color w:val="auto"/>
          <w:sz w:val="20"/>
          <w:lang w:eastAsia="es-ES"/>
        </w:rPr>
        <w:t>Me permito comentarle con fundamento en el segundo párrafo del Artículo 12 de la Ley de Transparencia y Acceso a la Información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E5E164" w14:textId="77777777" w:rsidR="00936BA2" w:rsidRPr="00BF4E0E" w:rsidRDefault="00936BA2" w:rsidP="00877B34">
      <w:pPr>
        <w:spacing w:after="0" w:line="360" w:lineRule="auto"/>
        <w:ind w:left="567" w:right="567"/>
        <w:rPr>
          <w:rFonts w:eastAsia="Times New Roman" w:cs="Arial"/>
          <w:bCs/>
          <w:i/>
          <w:iCs/>
          <w:color w:val="auto"/>
          <w:sz w:val="20"/>
          <w:lang w:eastAsia="es-ES"/>
        </w:rPr>
      </w:pPr>
    </w:p>
    <w:p w14:paraId="0CAA386F" w14:textId="25A21352" w:rsidR="00936BA2" w:rsidRPr="00BF4E0E" w:rsidRDefault="00936BA2" w:rsidP="00877B34">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Por lo anterior de la información solicitada no se pueden proporcionar comprobantes bancarios de dispersión de nómina de los años 2022, 2023 y 2024 que fueron remitidos al Órgano Superior de Fiscalización por lo siguiente:</w:t>
      </w:r>
    </w:p>
    <w:p w14:paraId="673AEA38" w14:textId="77777777" w:rsidR="00936BA2" w:rsidRPr="00BF4E0E" w:rsidRDefault="00936BA2" w:rsidP="00877B34">
      <w:pPr>
        <w:spacing w:after="0" w:line="360" w:lineRule="auto"/>
        <w:ind w:left="567" w:right="567"/>
      </w:pPr>
    </w:p>
    <w:p w14:paraId="15212BC2" w14:textId="2E6B58D0" w:rsidR="00FF5473" w:rsidRPr="00BF4E0E" w:rsidRDefault="00936BA2" w:rsidP="00936BA2">
      <w:pPr>
        <w:pStyle w:val="Prrafodelista"/>
        <w:numPr>
          <w:ilvl w:val="0"/>
          <w:numId w:val="26"/>
        </w:numPr>
        <w:spacing w:line="360" w:lineRule="auto"/>
        <w:ind w:right="567"/>
        <w:rPr>
          <w:rFonts w:cs="Arial"/>
          <w:bCs/>
          <w:i/>
          <w:iCs/>
          <w:color w:val="auto"/>
          <w:sz w:val="20"/>
        </w:rPr>
      </w:pPr>
      <w:r w:rsidRPr="00BF4E0E">
        <w:rPr>
          <w:rFonts w:cs="Arial"/>
          <w:bCs/>
          <w:i/>
          <w:iCs/>
          <w:color w:val="auto"/>
          <w:sz w:val="20"/>
        </w:rPr>
        <w:t>En relación al ejercicio 2022, de una búsqueda en los archivos que obran en el Instituto, solo se encontraron oficios girados en atención a la Auditora Superior de Fiscalización del Estado de México de la presentación del Primer, Segundo y Tercer Informe Trimestral Municipal 2022, sin el disco de la información presentada al Órgano Superior de Fiscalización del Estado de México (OSFEM) del Módulo 4, Información Administrativa en la que se incluyeron los comprobantes bancarios de dispersión. (Se adjuntan copias fotostáticas de los oficios)</w:t>
      </w:r>
    </w:p>
    <w:p w14:paraId="4082FFC8" w14:textId="77777777" w:rsidR="00DF3A90" w:rsidRPr="00BF4E0E" w:rsidRDefault="00DF3A90" w:rsidP="00DF3A90">
      <w:pPr>
        <w:pStyle w:val="Prrafodelista"/>
        <w:spacing w:line="360" w:lineRule="auto"/>
        <w:ind w:left="1287" w:right="567"/>
        <w:rPr>
          <w:rFonts w:cs="Arial"/>
          <w:bCs/>
          <w:i/>
          <w:iCs/>
          <w:color w:val="auto"/>
          <w:sz w:val="20"/>
        </w:rPr>
      </w:pPr>
    </w:p>
    <w:p w14:paraId="2B1F1142" w14:textId="2C0DB2AE" w:rsidR="000E45E6" w:rsidRPr="00BF4E0E" w:rsidRDefault="00DF3A90" w:rsidP="00DF3A90">
      <w:pPr>
        <w:pStyle w:val="Prrafodelista"/>
        <w:numPr>
          <w:ilvl w:val="0"/>
          <w:numId w:val="26"/>
        </w:numPr>
        <w:spacing w:line="360" w:lineRule="auto"/>
        <w:ind w:right="567"/>
        <w:rPr>
          <w:rFonts w:cs="Arial"/>
          <w:bCs/>
          <w:i/>
          <w:iCs/>
          <w:color w:val="auto"/>
          <w:sz w:val="20"/>
        </w:rPr>
      </w:pPr>
      <w:r w:rsidRPr="00BF4E0E">
        <w:rPr>
          <w:rFonts w:cs="Arial"/>
          <w:bCs/>
          <w:i/>
          <w:iCs/>
          <w:color w:val="auto"/>
          <w:sz w:val="20"/>
        </w:rPr>
        <w:t>De los ejercicios fiscales 2023 у 2024, el OSFEM implemento una Plataforma Digital, con componentes de los Informes Trimestrales en la que adjuntaron las dispersiones de nóminas, a la fecha la plataforma no permite el acceso a la información del 2023 y 2024</w:t>
      </w:r>
      <w:r w:rsidR="000E45E6" w:rsidRPr="00BF4E0E">
        <w:rPr>
          <w:rFonts w:cs="Arial"/>
          <w:bCs/>
          <w:i/>
          <w:iCs/>
          <w:color w:val="auto"/>
          <w:sz w:val="20"/>
        </w:rPr>
        <w:t>…” (Sic)</w:t>
      </w:r>
    </w:p>
    <w:p w14:paraId="51AE3537" w14:textId="77777777" w:rsidR="00185556" w:rsidRPr="00BF4E0E" w:rsidRDefault="00185556" w:rsidP="00877B34">
      <w:pPr>
        <w:spacing w:after="0" w:line="360" w:lineRule="auto"/>
        <w:rPr>
          <w:color w:val="FF0000"/>
        </w:rPr>
      </w:pPr>
    </w:p>
    <w:p w14:paraId="4C599BF5" w14:textId="1919CF7F" w:rsidR="00197472" w:rsidRPr="00BF4E0E" w:rsidRDefault="001C50E8" w:rsidP="00877B34">
      <w:pPr>
        <w:spacing w:after="0" w:line="360" w:lineRule="auto"/>
        <w:rPr>
          <w:color w:val="auto"/>
        </w:rPr>
      </w:pPr>
      <w:r w:rsidRPr="00BF4E0E">
        <w:rPr>
          <w:color w:val="auto"/>
        </w:rPr>
        <w:t xml:space="preserve">ii. </w:t>
      </w:r>
      <w:bookmarkStart w:id="6" w:name="_Hlk210245867"/>
      <w:bookmarkEnd w:id="4"/>
      <w:r w:rsidR="00DF3A90" w:rsidRPr="00BF4E0E">
        <w:rPr>
          <w:color w:val="auto"/>
        </w:rPr>
        <w:t>Oficio 200F10000/461/2022 del cuatro de mayo de dos mil veintidós suscrito por la Directora General, Comisario del Consejo Directivo Municipal de la Mujer y Coordinadora de Administración y Finanzas, dirigido a la LXI Legislatura del Estado de México, por medio del cual se realiz</w:t>
      </w:r>
      <w:r w:rsidR="004277C5" w:rsidRPr="00BF4E0E">
        <w:rPr>
          <w:color w:val="auto"/>
        </w:rPr>
        <w:t>ó</w:t>
      </w:r>
      <w:r w:rsidR="00DF3A90" w:rsidRPr="00BF4E0E">
        <w:rPr>
          <w:color w:val="auto"/>
        </w:rPr>
        <w:t xml:space="preserve"> la presentación del 1er Informe Trimestral Municipal de dos mil veintidós.</w:t>
      </w:r>
    </w:p>
    <w:p w14:paraId="7DBEB977" w14:textId="77777777" w:rsidR="00C35DE4" w:rsidRPr="00BF4E0E" w:rsidRDefault="00C35DE4" w:rsidP="00877B34">
      <w:pPr>
        <w:spacing w:after="0" w:line="360" w:lineRule="auto"/>
        <w:rPr>
          <w:color w:val="auto"/>
        </w:rPr>
      </w:pPr>
    </w:p>
    <w:p w14:paraId="70BD14D1" w14:textId="02B2C214" w:rsidR="00C35DE4" w:rsidRPr="00BF4E0E" w:rsidRDefault="00C35DE4" w:rsidP="00C35DE4">
      <w:pPr>
        <w:spacing w:after="0" w:line="360" w:lineRule="auto"/>
        <w:rPr>
          <w:color w:val="auto"/>
        </w:rPr>
      </w:pPr>
      <w:r w:rsidRPr="00BF4E0E">
        <w:rPr>
          <w:color w:val="auto"/>
        </w:rPr>
        <w:t xml:space="preserve">iii. Oficio 200F10000/100/2022 del cinco de agosto de dos mil veintidós suscrito por la Directora General, Comisario del Consejo Directivo Municipal de la Mujer y Coordinadora de Administración y Finanzas, dirigido a la LXI Legislatura del Estado de México, por medio del cual se </w:t>
      </w:r>
      <w:r w:rsidR="004277C5" w:rsidRPr="00BF4E0E">
        <w:rPr>
          <w:color w:val="auto"/>
        </w:rPr>
        <w:t>realizó</w:t>
      </w:r>
      <w:r w:rsidRPr="00BF4E0E">
        <w:rPr>
          <w:color w:val="auto"/>
        </w:rPr>
        <w:t xml:space="preserve"> la presentación del 2do Informe Trimestral Municipal de dos mil veintidós.</w:t>
      </w:r>
    </w:p>
    <w:p w14:paraId="09F20B07" w14:textId="77777777" w:rsidR="004D3CB3" w:rsidRPr="00BF4E0E" w:rsidRDefault="004D3CB3" w:rsidP="00877B34">
      <w:pPr>
        <w:spacing w:after="0" w:line="360" w:lineRule="auto"/>
        <w:rPr>
          <w:color w:val="FF0000"/>
        </w:rPr>
      </w:pPr>
    </w:p>
    <w:bookmarkEnd w:id="6"/>
    <w:p w14:paraId="1C6D197C" w14:textId="4BB1AED3" w:rsidR="00042BF9" w:rsidRPr="00BF4E0E" w:rsidRDefault="00042BF9" w:rsidP="00042BF9">
      <w:pPr>
        <w:spacing w:after="0" w:line="360" w:lineRule="auto"/>
        <w:rPr>
          <w:color w:val="auto"/>
        </w:rPr>
      </w:pPr>
      <w:r w:rsidRPr="00BF4E0E">
        <w:rPr>
          <w:color w:val="auto"/>
        </w:rPr>
        <w:t xml:space="preserve">iv. Oficio 200F10000/750/2022 del cuatro de noviembre de dos mil veintidós suscrito por la Directora General, Comisario del Consejo Directivo Municipal de la Mujer y Coordinadora de Administración y Finanzas, dirigido a la LXI Legislatura del Estado de México, por medio del cual se </w:t>
      </w:r>
      <w:r w:rsidR="004277C5" w:rsidRPr="00BF4E0E">
        <w:rPr>
          <w:color w:val="auto"/>
        </w:rPr>
        <w:t>realizó</w:t>
      </w:r>
      <w:r w:rsidRPr="00BF4E0E">
        <w:rPr>
          <w:color w:val="auto"/>
        </w:rPr>
        <w:t xml:space="preserve"> la presentación del 3er Informe Trimestral Municipal de dos mil veintidós.</w:t>
      </w:r>
    </w:p>
    <w:p w14:paraId="0DCDE93A" w14:textId="77777777" w:rsidR="00042BF9" w:rsidRPr="00BF4E0E" w:rsidRDefault="00042BF9" w:rsidP="00877B34">
      <w:pPr>
        <w:spacing w:after="0" w:line="360" w:lineRule="auto"/>
        <w:rPr>
          <w:color w:val="FF0000"/>
        </w:rPr>
      </w:pPr>
    </w:p>
    <w:p w14:paraId="53CBB65F" w14:textId="7AD74DE6" w:rsidR="00042BF9" w:rsidRPr="00BF4E0E" w:rsidRDefault="008C503C" w:rsidP="00877B34">
      <w:pPr>
        <w:spacing w:after="0" w:line="360" w:lineRule="auto"/>
        <w:rPr>
          <w:color w:val="auto"/>
        </w:rPr>
      </w:pPr>
      <w:r w:rsidRPr="00BF4E0E">
        <w:rPr>
          <w:color w:val="auto"/>
        </w:rPr>
        <w:t xml:space="preserve">v. Oficio 206010000/4182/2025 del dieciséis de julio de dos mil veinticinco, suscrito por la Directora General de Administración, dirigido a la Persona Solicitante, por medio del cual se </w:t>
      </w:r>
      <w:r w:rsidR="009A7A3D" w:rsidRPr="00BF4E0E">
        <w:rPr>
          <w:color w:val="auto"/>
        </w:rPr>
        <w:t>menciona que</w:t>
      </w:r>
      <w:r w:rsidRPr="00BF4E0E">
        <w:rPr>
          <w:color w:val="auto"/>
        </w:rPr>
        <w:t xml:space="preserve"> se remite la respuesta de la persona servidora pública de la Dirección de Recursos Humanos.</w:t>
      </w:r>
    </w:p>
    <w:p w14:paraId="4B91B6D7" w14:textId="2FA3AAC5" w:rsidR="003E433B" w:rsidRPr="00BF4E0E" w:rsidRDefault="003E433B" w:rsidP="00877B34">
      <w:pPr>
        <w:spacing w:after="0" w:line="360" w:lineRule="auto"/>
      </w:pPr>
      <w:r w:rsidRPr="00BF4E0E">
        <w:rPr>
          <w:color w:val="auto"/>
        </w:rPr>
        <w:t xml:space="preserve">vi. Nota informativa </w:t>
      </w:r>
      <w:r w:rsidRPr="00BF4E0E">
        <w:t>No. 802/2025 del quince de julio de dos mil veinticinco, suscrita por la Directora de Recursos Humanos, dirigida a la Directora General de Administración, por medio de la cual se menciona la siguiente:</w:t>
      </w:r>
    </w:p>
    <w:p w14:paraId="58224EA2" w14:textId="77777777" w:rsidR="003E433B" w:rsidRPr="00BF4E0E" w:rsidRDefault="003E433B" w:rsidP="00877B34">
      <w:pPr>
        <w:spacing w:after="0" w:line="360" w:lineRule="auto"/>
      </w:pPr>
    </w:p>
    <w:p w14:paraId="70956DF1" w14:textId="3A494D3C" w:rsidR="003E433B" w:rsidRPr="00BF4E0E" w:rsidRDefault="003E433B" w:rsidP="003E433B">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“…Para dar respuesta a la solicitud, y después de una búsqueda en los archivos que guarda el Departamento de Nominas, se hace de su conocimiento que no se encontró registro alguno, de la información solicitada.</w:t>
      </w:r>
    </w:p>
    <w:p w14:paraId="4F2F2677" w14:textId="77777777" w:rsidR="003E433B" w:rsidRPr="00BF4E0E" w:rsidRDefault="003E433B" w:rsidP="003E433B">
      <w:pPr>
        <w:spacing w:after="0" w:line="360" w:lineRule="auto"/>
        <w:ind w:left="567" w:right="567"/>
        <w:rPr>
          <w:rFonts w:eastAsia="Times New Roman" w:cs="Arial"/>
          <w:bCs/>
          <w:i/>
          <w:iCs/>
          <w:color w:val="auto"/>
          <w:sz w:val="20"/>
          <w:lang w:eastAsia="es-ES"/>
        </w:rPr>
      </w:pPr>
    </w:p>
    <w:p w14:paraId="557DC5E0" w14:textId="44E98C51" w:rsidR="003E433B" w:rsidRPr="00BF4E0E" w:rsidRDefault="003E433B" w:rsidP="003E433B">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 xml:space="preserve"> Lo anterior de conformidad con el artículo 12 párrafo segundo y 24, último párrafo de la ley de Transparencia y Acceso a la Información Pública del Estado de México y Municipios; en el que se establece que los sujetos obligados sólo proporcionarán la información pública que se les requiera y obre en sus archivos y en el estado en que se encuentre. La obligación de proporcionar la información no comprende el procesamiento de la misma, ni el presentarla conforme al interés del solicitante; no estarán obligados a generarla, resumirla, efectuar cálculos o practicar investigaciones…” (Sic)</w:t>
      </w:r>
    </w:p>
    <w:p w14:paraId="3BE368E3" w14:textId="77777777" w:rsidR="008C503C" w:rsidRPr="00BF4E0E" w:rsidRDefault="008C503C" w:rsidP="00877B34">
      <w:pPr>
        <w:spacing w:after="0" w:line="360" w:lineRule="auto"/>
        <w:rPr>
          <w:color w:val="FF0000"/>
        </w:rPr>
      </w:pPr>
    </w:p>
    <w:p w14:paraId="75FD95EA" w14:textId="24ACAAC7" w:rsidR="00042BF9" w:rsidRPr="00BF4E0E" w:rsidRDefault="00D91593" w:rsidP="00877B34">
      <w:pPr>
        <w:spacing w:after="0" w:line="360" w:lineRule="auto"/>
      </w:pPr>
      <w:r w:rsidRPr="00BF4E0E">
        <w:t xml:space="preserve">vii. </w:t>
      </w:r>
      <w:r w:rsidR="00082E86" w:rsidRPr="00BF4E0E">
        <w:t>Oficio 202010000/02626/2025 del dieciocho de julio de dos mil veinticinco, suscrito por el Tesorero Municipal, dirigido al Titular de la Unidad de Transparencia, por medio del cual se menciona lo siguiente:</w:t>
      </w:r>
    </w:p>
    <w:p w14:paraId="67BE1C16" w14:textId="77777777" w:rsidR="00082E86" w:rsidRPr="00BF4E0E" w:rsidRDefault="00082E86" w:rsidP="00877B34">
      <w:pPr>
        <w:spacing w:after="0" w:line="360" w:lineRule="auto"/>
      </w:pPr>
    </w:p>
    <w:p w14:paraId="0A2FF644" w14:textId="726AE54B" w:rsidR="00082E86" w:rsidRPr="00BF4E0E" w:rsidRDefault="00041A94" w:rsidP="00041A94">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 xml:space="preserve">“…Con fundamento en los artículos 158, 164 y 166 de la Ley de Transparencia y Acceso a la Información Pública del Estado de México y Municipios; 3.21 y 3.22 del Código Reglamentario Municipal de Toluca; numeral 202010000 del Manual de Organización de la Tesorería Municipal y el Criterio 8/17, emitido por el Instituto Nacional de Transparencia, Acceso a la Información y Protección de Datos Personales, le informo que, el </w:t>
      </w:r>
      <w:r w:rsidRPr="00BF4E0E">
        <w:rPr>
          <w:rFonts w:eastAsia="Times New Roman" w:cs="Arial"/>
          <w:b/>
          <w:i/>
          <w:iCs/>
          <w:color w:val="auto"/>
          <w:sz w:val="20"/>
          <w:lang w:eastAsia="es-ES"/>
        </w:rPr>
        <w:t>Cambio de Modalidad a Consulta Directa</w:t>
      </w:r>
      <w:r w:rsidRPr="00BF4E0E">
        <w:rPr>
          <w:rFonts w:eastAsia="Times New Roman" w:cs="Arial"/>
          <w:bCs/>
          <w:i/>
          <w:iCs/>
          <w:color w:val="auto"/>
          <w:sz w:val="20"/>
          <w:lang w:eastAsia="es-ES"/>
        </w:rPr>
        <w:t>, se autorizó en la N</w:t>
      </w:r>
      <w:r w:rsidRPr="00BF4E0E">
        <w:rPr>
          <w:rFonts w:eastAsia="Times New Roman" w:cs="Arial"/>
          <w:b/>
          <w:i/>
          <w:iCs/>
          <w:color w:val="auto"/>
          <w:sz w:val="20"/>
          <w:lang w:eastAsia="es-ES"/>
        </w:rPr>
        <w:t xml:space="preserve">oningentésima Novena Sesión Extraordinaria 2025 de fecha diecisiete de julio del año en curso </w:t>
      </w:r>
      <w:r w:rsidRPr="00BF4E0E">
        <w:rPr>
          <w:rFonts w:eastAsia="Times New Roman" w:cs="Arial"/>
          <w:bCs/>
          <w:i/>
          <w:iCs/>
          <w:color w:val="auto"/>
          <w:sz w:val="20"/>
          <w:lang w:eastAsia="es-ES"/>
        </w:rPr>
        <w:t xml:space="preserve">del Comité de Transparencia del Municipio de Toluca Administración 2025-2027, mediante el acuerdo número </w:t>
      </w:r>
      <w:r w:rsidRPr="00BF4E0E">
        <w:rPr>
          <w:rFonts w:eastAsia="Times New Roman" w:cs="Arial"/>
          <w:b/>
          <w:i/>
          <w:iCs/>
          <w:color w:val="auto"/>
          <w:sz w:val="20"/>
          <w:lang w:eastAsia="es-ES"/>
        </w:rPr>
        <w:t>CT/SE/909/01/2025.</w:t>
      </w:r>
    </w:p>
    <w:p w14:paraId="1DC73F09" w14:textId="0632AC10" w:rsidR="00082E86" w:rsidRPr="00BF4E0E" w:rsidRDefault="001C63B9" w:rsidP="001C63B9">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 xml:space="preserve">Lo anterior, en virtud de que, la información solicitada sobrepasa las capacidades técnicas del Sistema de Acceso a la Información Mexiquense (SAIMEX), puesto que, como se puede apreciar, requiere los comprobantes bancarios de dispersión de nómina de los años 2022, 2023 у 2024, mismos que tienen </w:t>
      </w:r>
      <w:r w:rsidRPr="00BF4E0E">
        <w:rPr>
          <w:rFonts w:eastAsia="Times New Roman" w:cs="Arial"/>
          <w:b/>
          <w:i/>
          <w:iCs/>
          <w:color w:val="auto"/>
          <w:sz w:val="20"/>
          <w:u w:val="single"/>
          <w:lang w:eastAsia="es-ES"/>
        </w:rPr>
        <w:t>un aproximado de 7,005 hojas</w:t>
      </w:r>
      <w:r w:rsidRPr="00BF4E0E">
        <w:rPr>
          <w:rFonts w:eastAsia="Times New Roman" w:cs="Arial"/>
          <w:bCs/>
          <w:i/>
          <w:iCs/>
          <w:color w:val="auto"/>
          <w:sz w:val="20"/>
          <w:lang w:eastAsia="es-ES"/>
        </w:rPr>
        <w:t xml:space="preserve"> y el sistema tiene un soporte tecnológico para que se puedan adjuntar archivos como respuesta a las solicitudes de información con un peso aproximado de hasta 500Mb y/o 8,000 hojas.</w:t>
      </w:r>
    </w:p>
    <w:p w14:paraId="39B49181" w14:textId="77777777" w:rsidR="001C63B9" w:rsidRPr="00BF4E0E" w:rsidRDefault="001C63B9" w:rsidP="001C63B9">
      <w:pPr>
        <w:spacing w:after="0" w:line="360" w:lineRule="auto"/>
        <w:ind w:left="567" w:right="567"/>
        <w:rPr>
          <w:rFonts w:eastAsia="Times New Roman" w:cs="Arial"/>
          <w:bCs/>
          <w:i/>
          <w:iCs/>
          <w:color w:val="auto"/>
          <w:sz w:val="20"/>
          <w:lang w:eastAsia="es-ES"/>
        </w:rPr>
      </w:pPr>
    </w:p>
    <w:p w14:paraId="0315EC02" w14:textId="319C670C" w:rsidR="00082E86" w:rsidRPr="00BF4E0E" w:rsidRDefault="00635038" w:rsidP="00635038">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 xml:space="preserve">Cabe mencionar que de ninguna manera se está negando la información, solo se está argumentando la situación que impide entregar la información mediante la modalidad que requiere el ciudadano, por tal motivo, esta Tesorería Municipal pone a disposición los documentos en Consulta Directa, salvo la información clasificada, a partir del día 30 </w:t>
      </w:r>
      <w:r w:rsidRPr="00BF4E0E">
        <w:rPr>
          <w:rFonts w:eastAsia="Times New Roman" w:cs="Arial"/>
          <w:bCs/>
          <w:i/>
          <w:iCs/>
          <w:color w:val="auto"/>
          <w:sz w:val="20"/>
          <w:u w:val="single"/>
          <w:lang w:eastAsia="es-ES"/>
        </w:rPr>
        <w:t>de julio del año 2025</w:t>
      </w:r>
      <w:r w:rsidRPr="00BF4E0E">
        <w:rPr>
          <w:rFonts w:eastAsia="Times New Roman" w:cs="Arial"/>
          <w:bCs/>
          <w:i/>
          <w:iCs/>
          <w:color w:val="auto"/>
          <w:sz w:val="20"/>
          <w:lang w:eastAsia="es-ES"/>
        </w:rPr>
        <w:t>, en días hábiles, en un horario de 9:00 am a 17:00 pm., en las Oficinas ubicadas en Plaza Fray Andrés de Castro, Edificio B, primer piso, Colonia Centro, Toluca, México. C.P. 50000, teléfono 7735000 - 2761900 Ext. 330, en la cual, el Tesorero Municipal Florencio Valladares Zambrano designará al personal que implementará las medidas para asegurar en todo momento la integridad de la documentación, asimismo, le informo que, con la finalidad de garantizar el derecho de acceso a la información pública, se tendrá disponible la información, durante un plazo de sesenta días hábiles.</w:t>
      </w:r>
    </w:p>
    <w:p w14:paraId="6A1A66B2" w14:textId="77777777" w:rsidR="00635038" w:rsidRPr="00BF4E0E" w:rsidRDefault="00635038" w:rsidP="00635038">
      <w:pPr>
        <w:spacing w:after="0" w:line="360" w:lineRule="auto"/>
        <w:ind w:left="567" w:right="567"/>
        <w:rPr>
          <w:rFonts w:eastAsia="Times New Roman" w:cs="Arial"/>
          <w:bCs/>
          <w:i/>
          <w:iCs/>
          <w:color w:val="auto"/>
          <w:sz w:val="20"/>
          <w:lang w:eastAsia="es-ES"/>
        </w:rPr>
      </w:pPr>
    </w:p>
    <w:p w14:paraId="0C4B680D" w14:textId="3597FA81" w:rsidR="00082E86" w:rsidRPr="00BF4E0E" w:rsidRDefault="00635038" w:rsidP="00635038">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 xml:space="preserve">No omito hacer de su conocimiento que, en caso de ser solicitadas copias simples o certificadas de la información a consultar, se deberá cubrir previamente el pago determinado por la Unidad de Transparencia, para así poder hacer entrega de la información que se pone a disposición. </w:t>
      </w:r>
    </w:p>
    <w:p w14:paraId="08F6BD8F" w14:textId="77777777" w:rsidR="00635038" w:rsidRPr="00BF4E0E" w:rsidRDefault="00635038" w:rsidP="00635038">
      <w:pPr>
        <w:spacing w:after="0" w:line="360" w:lineRule="auto"/>
        <w:ind w:left="567" w:right="567"/>
        <w:rPr>
          <w:rFonts w:eastAsia="Times New Roman" w:cs="Arial"/>
          <w:bCs/>
          <w:i/>
          <w:iCs/>
          <w:color w:val="auto"/>
          <w:sz w:val="20"/>
          <w:lang w:eastAsia="es-ES"/>
        </w:rPr>
      </w:pPr>
    </w:p>
    <w:p w14:paraId="3FAF121F" w14:textId="35FA1464" w:rsidR="00635038" w:rsidRPr="00BF4E0E" w:rsidRDefault="00EC3D89" w:rsidP="00635038">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 xml:space="preserve">Finalmente, respecto a la información que contenía datos personales, la propuesta de clasificación de la información como </w:t>
      </w:r>
      <w:r w:rsidRPr="00BF4E0E">
        <w:rPr>
          <w:rFonts w:eastAsia="Times New Roman" w:cs="Arial"/>
          <w:b/>
          <w:i/>
          <w:iCs/>
          <w:color w:val="auto"/>
          <w:sz w:val="20"/>
          <w:lang w:eastAsia="es-ES"/>
        </w:rPr>
        <w:t>confidencial en partes</w:t>
      </w:r>
      <w:r w:rsidRPr="00BF4E0E">
        <w:rPr>
          <w:rFonts w:eastAsia="Times New Roman" w:cs="Arial"/>
          <w:bCs/>
          <w:i/>
          <w:iCs/>
          <w:color w:val="auto"/>
          <w:sz w:val="20"/>
          <w:lang w:eastAsia="es-ES"/>
        </w:rPr>
        <w:t xml:space="preserve">, se autorizó en la Sesión Extraordinaria del Comité de Transparencia del Municipio de Toluca, antes mencionada, mediante el acuerdo número </w:t>
      </w:r>
      <w:r w:rsidRPr="00BF4E0E">
        <w:rPr>
          <w:rFonts w:eastAsia="Times New Roman" w:cs="Arial"/>
          <w:b/>
          <w:i/>
          <w:iCs/>
          <w:color w:val="auto"/>
          <w:sz w:val="20"/>
          <w:lang w:eastAsia="es-ES"/>
        </w:rPr>
        <w:t>CT/SE/909/02/2025</w:t>
      </w:r>
      <w:r w:rsidRPr="00BF4E0E">
        <w:rPr>
          <w:rFonts w:eastAsia="Times New Roman" w:cs="Arial"/>
          <w:bCs/>
          <w:i/>
          <w:iCs/>
          <w:color w:val="auto"/>
          <w:sz w:val="20"/>
          <w:lang w:eastAsia="es-ES"/>
        </w:rPr>
        <w:t>…” (Sic)</w:t>
      </w:r>
    </w:p>
    <w:bookmarkEnd w:id="5"/>
    <w:p w14:paraId="22FF4184" w14:textId="77777777" w:rsidR="00BC0E7B" w:rsidRPr="00BF4E0E" w:rsidRDefault="00BC0E7B" w:rsidP="00877B34">
      <w:pPr>
        <w:spacing w:after="0" w:line="360" w:lineRule="auto"/>
        <w:ind w:right="567"/>
        <w:rPr>
          <w:rFonts w:eastAsia="Times New Roman" w:cs="Arial"/>
          <w:bCs/>
          <w:i/>
          <w:iCs/>
          <w:color w:val="auto"/>
          <w:sz w:val="20"/>
          <w:lang w:eastAsia="es-ES"/>
        </w:rPr>
      </w:pPr>
    </w:p>
    <w:p w14:paraId="7E7FBB31" w14:textId="68020061" w:rsidR="00E22EA8" w:rsidRPr="00BF4E0E" w:rsidRDefault="002207FA" w:rsidP="00877B34">
      <w:pPr>
        <w:pStyle w:val="Ttulo2"/>
        <w:spacing w:before="0" w:after="0" w:line="360" w:lineRule="auto"/>
        <w:rPr>
          <w:color w:val="auto"/>
          <w:sz w:val="22"/>
          <w:szCs w:val="22"/>
        </w:rPr>
      </w:pPr>
      <w:bookmarkStart w:id="7" w:name="_Toc213165597"/>
      <w:r w:rsidRPr="00BF4E0E">
        <w:rPr>
          <w:color w:val="auto"/>
          <w:sz w:val="22"/>
          <w:szCs w:val="22"/>
        </w:rPr>
        <w:t>III</w:t>
      </w:r>
      <w:r w:rsidR="00E22EA8" w:rsidRPr="00BF4E0E">
        <w:rPr>
          <w:color w:val="auto"/>
          <w:sz w:val="22"/>
          <w:szCs w:val="22"/>
        </w:rPr>
        <w:t>. Interposición del Recurso de Revisión</w:t>
      </w:r>
      <w:bookmarkEnd w:id="7"/>
    </w:p>
    <w:p w14:paraId="053D45CF" w14:textId="77777777" w:rsidR="00E22EA8" w:rsidRPr="00BF4E0E" w:rsidRDefault="00E22EA8" w:rsidP="00877B34">
      <w:pPr>
        <w:spacing w:after="0" w:line="360" w:lineRule="auto"/>
        <w:rPr>
          <w:b/>
          <w:color w:val="FF0000"/>
        </w:rPr>
      </w:pPr>
    </w:p>
    <w:p w14:paraId="355C8CC6" w14:textId="3E0F08F1" w:rsidR="009C5A71" w:rsidRPr="00BF4E0E" w:rsidRDefault="00083169" w:rsidP="00877B34">
      <w:pPr>
        <w:spacing w:after="0" w:line="360" w:lineRule="auto"/>
        <w:rPr>
          <w:bCs/>
          <w:color w:val="auto"/>
        </w:rPr>
      </w:pPr>
      <w:r w:rsidRPr="00BF4E0E">
        <w:rPr>
          <w:bCs/>
          <w:color w:val="auto"/>
        </w:rPr>
        <w:t>El</w:t>
      </w:r>
      <w:r w:rsidR="008E5E71" w:rsidRPr="00BF4E0E">
        <w:rPr>
          <w:bCs/>
          <w:color w:val="auto"/>
        </w:rPr>
        <w:t xml:space="preserve"> </w:t>
      </w:r>
      <w:r w:rsidR="00FE4B1C" w:rsidRPr="00BF4E0E">
        <w:rPr>
          <w:bCs/>
          <w:color w:val="auto"/>
        </w:rPr>
        <w:t>cuatro de agosto de dos mil veinticinco se tuvo por presentado, a</w:t>
      </w:r>
      <w:r w:rsidR="00E22EA8" w:rsidRPr="00BF4E0E">
        <w:rPr>
          <w:bCs/>
          <w:color w:val="auto"/>
        </w:rPr>
        <w:t xml:space="preserve"> través del </w:t>
      </w:r>
      <w:r w:rsidR="00E22EA8" w:rsidRPr="00BF4E0E">
        <w:rPr>
          <w:bCs/>
          <w:color w:val="auto"/>
          <w:lang w:val="es-ES"/>
        </w:rPr>
        <w:t>Sistema de Acceso a la Información Mexiquense (SAIMEX)</w:t>
      </w:r>
      <w:r w:rsidR="00E22EA8" w:rsidRPr="00BF4E0E">
        <w:rPr>
          <w:bCs/>
          <w:color w:val="auto"/>
        </w:rPr>
        <w:t xml:space="preserve">, </w:t>
      </w:r>
      <w:r w:rsidR="009019A8" w:rsidRPr="00BF4E0E">
        <w:rPr>
          <w:bCs/>
          <w:color w:val="auto"/>
        </w:rPr>
        <w:t xml:space="preserve">el </w:t>
      </w:r>
      <w:r w:rsidR="00E22EA8" w:rsidRPr="00BF4E0E">
        <w:rPr>
          <w:bCs/>
          <w:color w:val="auto"/>
        </w:rPr>
        <w:t>Recurso de Revisión interpuesto por la p</w:t>
      </w:r>
      <w:r w:rsidRPr="00BF4E0E">
        <w:rPr>
          <w:bCs/>
          <w:color w:val="auto"/>
        </w:rPr>
        <w:t>ersona</w:t>
      </w:r>
      <w:r w:rsidR="00E22EA8" w:rsidRPr="00BF4E0E">
        <w:rPr>
          <w:bCs/>
          <w:color w:val="auto"/>
        </w:rPr>
        <w:t xml:space="preserve"> Recurrente</w:t>
      </w:r>
      <w:r w:rsidR="00FE4B1C" w:rsidRPr="00BF4E0E">
        <w:rPr>
          <w:bCs/>
          <w:color w:val="auto"/>
        </w:rPr>
        <w:t xml:space="preserve"> (ya que, si bien se registro el veintidós de julio de dos mil veinticinco, este fue inhábil, por lo que se tuvo por presentado el día hábil siguiente), </w:t>
      </w:r>
      <w:r w:rsidR="00E22EA8" w:rsidRPr="00BF4E0E">
        <w:rPr>
          <w:bCs/>
          <w:color w:val="auto"/>
        </w:rPr>
        <w:t>en contra de la respuesta por el Sujeto Obligado, a la solicitud de información</w:t>
      </w:r>
      <w:r w:rsidR="00F43789" w:rsidRPr="00BF4E0E">
        <w:rPr>
          <w:rFonts w:eastAsia="Calibri" w:cs="Times New Roman"/>
          <w:color w:val="auto"/>
        </w:rPr>
        <w:t xml:space="preserve">, </w:t>
      </w:r>
      <w:r w:rsidR="00E22EA8" w:rsidRPr="00BF4E0E">
        <w:rPr>
          <w:bCs/>
          <w:color w:val="auto"/>
        </w:rPr>
        <w:t>en los siguientes términos:</w:t>
      </w:r>
    </w:p>
    <w:p w14:paraId="499DDBDB" w14:textId="77777777" w:rsidR="008E5E71" w:rsidRPr="00BF4E0E" w:rsidRDefault="008E5E71" w:rsidP="00877B34">
      <w:pPr>
        <w:spacing w:after="0" w:line="360" w:lineRule="auto"/>
        <w:ind w:left="567" w:right="567"/>
        <w:rPr>
          <w:b/>
          <w:bCs/>
          <w:i/>
          <w:color w:val="FF0000"/>
          <w:sz w:val="20"/>
          <w:szCs w:val="20"/>
        </w:rPr>
      </w:pPr>
    </w:p>
    <w:p w14:paraId="1B2CCD45" w14:textId="1F34B3A9" w:rsidR="00E22EA8" w:rsidRPr="00BF4E0E" w:rsidRDefault="00E12804" w:rsidP="00877B34">
      <w:pPr>
        <w:spacing w:after="0" w:line="360" w:lineRule="auto"/>
        <w:ind w:left="567" w:right="567"/>
        <w:rPr>
          <w:bCs/>
          <w:i/>
          <w:color w:val="auto"/>
          <w:sz w:val="20"/>
          <w:szCs w:val="20"/>
        </w:rPr>
      </w:pPr>
      <w:r w:rsidRPr="00BF4E0E">
        <w:rPr>
          <w:b/>
          <w:bCs/>
          <w:i/>
          <w:color w:val="auto"/>
          <w:sz w:val="20"/>
          <w:szCs w:val="20"/>
        </w:rPr>
        <w:t>‘’</w:t>
      </w:r>
      <w:r w:rsidR="00E22EA8" w:rsidRPr="00BF4E0E">
        <w:rPr>
          <w:b/>
          <w:bCs/>
          <w:i/>
          <w:color w:val="auto"/>
          <w:sz w:val="20"/>
          <w:szCs w:val="20"/>
        </w:rPr>
        <w:t>ACTO IMPUGNADO</w:t>
      </w:r>
    </w:p>
    <w:p w14:paraId="20CB87D1" w14:textId="35D240BE" w:rsidR="00E22EA8" w:rsidRPr="00BF4E0E" w:rsidRDefault="00FD37EA" w:rsidP="00877B34">
      <w:pPr>
        <w:spacing w:after="0" w:line="360" w:lineRule="auto"/>
        <w:ind w:left="567" w:right="567"/>
        <w:rPr>
          <w:i/>
          <w:iCs/>
          <w:color w:val="auto"/>
          <w:sz w:val="20"/>
          <w:szCs w:val="20"/>
        </w:rPr>
      </w:pPr>
      <w:r w:rsidRPr="00BF4E0E">
        <w:rPr>
          <w:i/>
          <w:iCs/>
          <w:color w:val="auto"/>
          <w:sz w:val="20"/>
          <w:szCs w:val="20"/>
        </w:rPr>
        <w:t>la negativa de la información</w:t>
      </w:r>
      <w:r w:rsidR="00E22EA8" w:rsidRPr="00BF4E0E">
        <w:rPr>
          <w:i/>
          <w:iCs/>
          <w:color w:val="auto"/>
          <w:sz w:val="20"/>
          <w:szCs w:val="20"/>
        </w:rPr>
        <w:t>”</w:t>
      </w:r>
      <w:r w:rsidR="002D6CA6" w:rsidRPr="00BF4E0E">
        <w:rPr>
          <w:i/>
          <w:iCs/>
          <w:color w:val="auto"/>
          <w:sz w:val="20"/>
          <w:szCs w:val="20"/>
        </w:rPr>
        <w:t xml:space="preserve"> (Sic.)</w:t>
      </w:r>
    </w:p>
    <w:p w14:paraId="3B2615CC" w14:textId="77777777" w:rsidR="00E22EA8" w:rsidRPr="00BF4E0E" w:rsidRDefault="00E22EA8" w:rsidP="00877B34">
      <w:pPr>
        <w:spacing w:after="0" w:line="360" w:lineRule="auto"/>
        <w:ind w:left="567" w:right="567"/>
        <w:rPr>
          <w:i/>
          <w:color w:val="auto"/>
          <w:sz w:val="20"/>
          <w:szCs w:val="20"/>
        </w:rPr>
      </w:pPr>
    </w:p>
    <w:p w14:paraId="3F1F07C7" w14:textId="49F2AE96" w:rsidR="00E22EA8" w:rsidRPr="00BF4E0E" w:rsidRDefault="00E12804" w:rsidP="00877B34">
      <w:pPr>
        <w:spacing w:after="0" w:line="360" w:lineRule="auto"/>
        <w:ind w:left="567" w:right="567"/>
        <w:rPr>
          <w:b/>
          <w:i/>
          <w:color w:val="auto"/>
          <w:sz w:val="20"/>
          <w:szCs w:val="20"/>
        </w:rPr>
      </w:pPr>
      <w:r w:rsidRPr="00BF4E0E">
        <w:rPr>
          <w:b/>
          <w:i/>
          <w:color w:val="auto"/>
          <w:sz w:val="20"/>
          <w:szCs w:val="20"/>
        </w:rPr>
        <w:t>‘’</w:t>
      </w:r>
      <w:r w:rsidR="00E22EA8" w:rsidRPr="00BF4E0E">
        <w:rPr>
          <w:b/>
          <w:i/>
          <w:color w:val="auto"/>
          <w:sz w:val="20"/>
          <w:szCs w:val="20"/>
        </w:rPr>
        <w:t>RAZONES O MOTIVOS DE LA INCONFORMIDAD</w:t>
      </w:r>
    </w:p>
    <w:p w14:paraId="4CCC5C3C" w14:textId="344FCE4E" w:rsidR="0032674C" w:rsidRPr="00BF4E0E" w:rsidRDefault="00FD37EA" w:rsidP="00877B34">
      <w:pPr>
        <w:spacing w:after="0" w:line="360" w:lineRule="auto"/>
        <w:ind w:left="567" w:right="567"/>
        <w:rPr>
          <w:i/>
          <w:iCs/>
          <w:color w:val="auto"/>
          <w:sz w:val="20"/>
          <w:szCs w:val="20"/>
        </w:rPr>
      </w:pPr>
      <w:r w:rsidRPr="00BF4E0E">
        <w:rPr>
          <w:i/>
          <w:iCs/>
          <w:color w:val="auto"/>
          <w:sz w:val="20"/>
          <w:szCs w:val="20"/>
        </w:rPr>
        <w:t>la negativa de la información que es publica</w:t>
      </w:r>
      <w:r w:rsidR="0032674C" w:rsidRPr="00BF4E0E">
        <w:rPr>
          <w:i/>
          <w:iCs/>
          <w:color w:val="auto"/>
          <w:sz w:val="20"/>
          <w:szCs w:val="20"/>
        </w:rPr>
        <w:t>” (Sic.)</w:t>
      </w:r>
    </w:p>
    <w:p w14:paraId="333C81B3" w14:textId="77777777" w:rsidR="003E4CFD" w:rsidRPr="00BF4E0E" w:rsidRDefault="003E4CFD" w:rsidP="00877B34">
      <w:pPr>
        <w:spacing w:after="0" w:line="360" w:lineRule="auto"/>
        <w:ind w:right="567"/>
        <w:rPr>
          <w:iCs/>
          <w:color w:val="FF0000"/>
        </w:rPr>
      </w:pPr>
    </w:p>
    <w:p w14:paraId="009DB65C" w14:textId="2D236FF1" w:rsidR="00E22EA8" w:rsidRPr="00BF4E0E" w:rsidRDefault="002207FA" w:rsidP="00877B34">
      <w:pPr>
        <w:pStyle w:val="Ttulo2"/>
        <w:spacing w:before="0" w:after="0" w:line="360" w:lineRule="auto"/>
        <w:rPr>
          <w:color w:val="auto"/>
          <w:sz w:val="22"/>
          <w:szCs w:val="22"/>
        </w:rPr>
      </w:pPr>
      <w:bookmarkStart w:id="8" w:name="_Toc213165598"/>
      <w:r w:rsidRPr="00BF4E0E">
        <w:rPr>
          <w:color w:val="auto"/>
          <w:sz w:val="22"/>
          <w:szCs w:val="22"/>
        </w:rPr>
        <w:t>I</w:t>
      </w:r>
      <w:r w:rsidR="00E22EA8" w:rsidRPr="00BF4E0E">
        <w:rPr>
          <w:color w:val="auto"/>
          <w:sz w:val="22"/>
          <w:szCs w:val="22"/>
        </w:rPr>
        <w:t>V. Trámite del Recurso de Revisión ante este Instituto</w:t>
      </w:r>
      <w:bookmarkEnd w:id="8"/>
    </w:p>
    <w:p w14:paraId="5C9B63F8" w14:textId="77777777" w:rsidR="009B2DAB" w:rsidRPr="00BF4E0E" w:rsidRDefault="009B2DAB" w:rsidP="00877B34">
      <w:pPr>
        <w:spacing w:after="0" w:line="360" w:lineRule="auto"/>
        <w:rPr>
          <w:b/>
          <w:bCs/>
          <w:color w:val="FF0000"/>
        </w:rPr>
      </w:pPr>
    </w:p>
    <w:p w14:paraId="173768ED" w14:textId="7DBBEAD9" w:rsidR="00E22EA8" w:rsidRPr="00BF4E0E" w:rsidRDefault="00E22EA8" w:rsidP="00877B34">
      <w:pPr>
        <w:spacing w:after="0" w:line="360" w:lineRule="auto"/>
        <w:rPr>
          <w:bCs/>
          <w:color w:val="auto"/>
        </w:rPr>
      </w:pPr>
      <w:r w:rsidRPr="00BF4E0E">
        <w:rPr>
          <w:b/>
          <w:bCs/>
          <w:color w:val="auto"/>
        </w:rPr>
        <w:t>a) Turno del Medio de Impugnación.</w:t>
      </w:r>
      <w:r w:rsidR="000A706F" w:rsidRPr="00BF4E0E">
        <w:rPr>
          <w:bCs/>
          <w:color w:val="auto"/>
        </w:rPr>
        <w:t xml:space="preserve"> </w:t>
      </w:r>
      <w:r w:rsidR="003C5F59" w:rsidRPr="00BF4E0E">
        <w:rPr>
          <w:bCs/>
          <w:color w:val="auto"/>
        </w:rPr>
        <w:t xml:space="preserve">El </w:t>
      </w:r>
      <w:r w:rsidR="00FD37EA" w:rsidRPr="00BF4E0E">
        <w:rPr>
          <w:bCs/>
          <w:color w:val="auto"/>
        </w:rPr>
        <w:t>veintidós</w:t>
      </w:r>
      <w:r w:rsidR="00DA72A0" w:rsidRPr="00BF4E0E">
        <w:rPr>
          <w:bCs/>
          <w:color w:val="auto"/>
        </w:rPr>
        <w:t xml:space="preserve"> </w:t>
      </w:r>
      <w:r w:rsidR="0032674C" w:rsidRPr="00BF4E0E">
        <w:rPr>
          <w:bCs/>
          <w:color w:val="auto"/>
        </w:rPr>
        <w:t xml:space="preserve">de julio </w:t>
      </w:r>
      <w:r w:rsidR="00E64E18" w:rsidRPr="00BF4E0E">
        <w:rPr>
          <w:color w:val="auto"/>
        </w:rPr>
        <w:t>de dos mil veinticinco</w:t>
      </w:r>
      <w:r w:rsidRPr="00BF4E0E">
        <w:rPr>
          <w:bCs/>
          <w:color w:val="auto"/>
        </w:rPr>
        <w:t xml:space="preserve">, el </w:t>
      </w:r>
      <w:r w:rsidRPr="00BF4E0E">
        <w:rPr>
          <w:color w:val="auto"/>
          <w:lang w:val="es-ES"/>
        </w:rPr>
        <w:t>Sistema de Acceso a la Información Mexiquense (SAIMEX),</w:t>
      </w:r>
      <w:r w:rsidRPr="00BF4E0E">
        <w:rPr>
          <w:bCs/>
          <w:color w:val="auto"/>
        </w:rPr>
        <w:t xml:space="preserve"> asignó el número de expediente </w:t>
      </w:r>
      <w:r w:rsidR="002D6CA6" w:rsidRPr="00BF4E0E">
        <w:rPr>
          <w:b/>
          <w:bCs/>
          <w:color w:val="auto"/>
        </w:rPr>
        <w:t>0</w:t>
      </w:r>
      <w:r w:rsidR="0032674C" w:rsidRPr="00BF4E0E">
        <w:rPr>
          <w:b/>
          <w:bCs/>
          <w:color w:val="auto"/>
        </w:rPr>
        <w:t>8</w:t>
      </w:r>
      <w:r w:rsidR="00FD37EA" w:rsidRPr="00BF4E0E">
        <w:rPr>
          <w:b/>
          <w:bCs/>
          <w:color w:val="auto"/>
        </w:rPr>
        <w:t>936</w:t>
      </w:r>
      <w:r w:rsidR="000D392E" w:rsidRPr="00BF4E0E">
        <w:rPr>
          <w:b/>
          <w:bCs/>
          <w:color w:val="auto"/>
        </w:rPr>
        <w:t>/INFOEM/IP/RR/2025</w:t>
      </w:r>
      <w:r w:rsidRPr="00BF4E0E">
        <w:rPr>
          <w:bCs/>
          <w:color w:val="auto"/>
        </w:rPr>
        <w:t xml:space="preserve">, al medio de impugnación que nos ocupa, con base en el sistema aprobado por el Pleno de este </w:t>
      </w:r>
      <w:r w:rsidR="00B65BCA" w:rsidRPr="00BF4E0E">
        <w:rPr>
          <w:bCs/>
          <w:color w:val="auto"/>
        </w:rPr>
        <w:t>Organismo</w:t>
      </w:r>
      <w:r w:rsidRPr="00BF4E0E">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BF4E0E" w:rsidRDefault="005914EE" w:rsidP="00877B34">
      <w:pPr>
        <w:spacing w:after="0" w:line="360" w:lineRule="auto"/>
        <w:rPr>
          <w:b/>
          <w:bCs/>
          <w:color w:val="FF0000"/>
        </w:rPr>
      </w:pPr>
    </w:p>
    <w:p w14:paraId="61891480" w14:textId="615637B3" w:rsidR="00E22EA8" w:rsidRPr="00BF4E0E" w:rsidRDefault="00E22EA8" w:rsidP="00877B34">
      <w:pPr>
        <w:spacing w:after="0" w:line="360" w:lineRule="auto"/>
        <w:rPr>
          <w:color w:val="auto"/>
        </w:rPr>
      </w:pPr>
      <w:r w:rsidRPr="00BF4E0E">
        <w:rPr>
          <w:b/>
          <w:bCs/>
          <w:color w:val="auto"/>
        </w:rPr>
        <w:t>b) Admisión del Recurso de Revisión</w:t>
      </w:r>
      <w:r w:rsidRPr="00BF4E0E">
        <w:rPr>
          <w:b/>
          <w:bCs/>
          <w:color w:val="auto"/>
          <w:lang w:val="es-ES_tradnl"/>
        </w:rPr>
        <w:t xml:space="preserve">. </w:t>
      </w:r>
      <w:r w:rsidR="003C5F59" w:rsidRPr="00BF4E0E">
        <w:rPr>
          <w:color w:val="auto"/>
        </w:rPr>
        <w:t xml:space="preserve">El </w:t>
      </w:r>
      <w:r w:rsidR="00FD37EA" w:rsidRPr="00BF4E0E">
        <w:rPr>
          <w:color w:val="auto"/>
        </w:rPr>
        <w:t xml:space="preserve">siete de agosto </w:t>
      </w:r>
      <w:r w:rsidR="00E64E18" w:rsidRPr="00BF4E0E">
        <w:rPr>
          <w:color w:val="auto"/>
        </w:rPr>
        <w:t>de dos mil veinticinco</w:t>
      </w:r>
      <w:r w:rsidRPr="00BF4E0E">
        <w:rPr>
          <w:bCs/>
          <w:color w:val="auto"/>
          <w:lang w:val="es-ES_tradnl"/>
        </w:rPr>
        <w:t xml:space="preserve">, se acordó la admisión del Recurso de Revisión interpuesto por </w:t>
      </w:r>
      <w:r w:rsidR="00261B92" w:rsidRPr="00BF4E0E">
        <w:rPr>
          <w:bCs/>
          <w:color w:val="auto"/>
          <w:lang w:val="es-ES_tradnl"/>
        </w:rPr>
        <w:t>la persona</w:t>
      </w:r>
      <w:r w:rsidRPr="00BF4E0E">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BF4E0E">
        <w:rPr>
          <w:bCs/>
          <w:color w:val="auto"/>
          <w:lang w:val="es-ES_tradnl"/>
        </w:rPr>
        <w:t>el</w:t>
      </w:r>
      <w:r w:rsidR="00BF381B" w:rsidRPr="00BF4E0E">
        <w:rPr>
          <w:bCs/>
          <w:color w:val="auto"/>
          <w:lang w:val="es-ES_tradnl"/>
        </w:rPr>
        <w:t xml:space="preserve"> mismo día</w:t>
      </w:r>
      <w:r w:rsidRPr="00BF4E0E">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BF4E0E" w:rsidRDefault="00E22EA8" w:rsidP="00877B34">
      <w:pPr>
        <w:spacing w:after="0" w:line="360" w:lineRule="auto"/>
        <w:rPr>
          <w:rFonts w:cs="Tahoma"/>
          <w:color w:val="FF0000"/>
          <w:lang w:val="es-ES_tradnl"/>
        </w:rPr>
      </w:pPr>
    </w:p>
    <w:p w14:paraId="08941E26" w14:textId="0A4935B4" w:rsidR="00DA72A0" w:rsidRPr="00BF4E0E" w:rsidRDefault="00DA72A0" w:rsidP="00877B34">
      <w:pPr>
        <w:spacing w:after="0" w:line="360" w:lineRule="auto"/>
        <w:rPr>
          <w:color w:val="auto"/>
        </w:rPr>
      </w:pPr>
      <w:bookmarkStart w:id="9" w:name="_Hlk182976945"/>
      <w:r w:rsidRPr="00BF4E0E">
        <w:rPr>
          <w:b/>
          <w:color w:val="auto"/>
        </w:rPr>
        <w:t xml:space="preserve">c) Informe Justificado. </w:t>
      </w:r>
      <w:r w:rsidRPr="00BF4E0E">
        <w:rPr>
          <w:color w:val="auto"/>
        </w:rPr>
        <w:t xml:space="preserve">El </w:t>
      </w:r>
      <w:r w:rsidR="00FD37EA" w:rsidRPr="00BF4E0E">
        <w:rPr>
          <w:color w:val="auto"/>
        </w:rPr>
        <w:t>dieciocho de agosto y treinta de septiembre de</w:t>
      </w:r>
      <w:r w:rsidRPr="00BF4E0E">
        <w:rPr>
          <w:color w:val="auto"/>
        </w:rPr>
        <w:t xml:space="preserve"> dos mil veinticinco, se recibió, a través del Sistema de Acceso a la Información Mexiquense (SAIMEX), el Informe Justificado del Sujeto Obligado, a través de la digitalización de los siguientes documentos:</w:t>
      </w:r>
    </w:p>
    <w:p w14:paraId="760C3CCE" w14:textId="77777777" w:rsidR="00DA72A0" w:rsidRPr="00BF4E0E" w:rsidRDefault="00DA72A0" w:rsidP="00877B34">
      <w:pPr>
        <w:spacing w:after="0" w:line="360" w:lineRule="auto"/>
        <w:rPr>
          <w:color w:val="auto"/>
        </w:rPr>
      </w:pPr>
    </w:p>
    <w:p w14:paraId="790F44F1" w14:textId="3B6F739B" w:rsidR="00F91C5D" w:rsidRPr="00BF4E0E" w:rsidRDefault="00F91C5D" w:rsidP="00877B34">
      <w:pPr>
        <w:spacing w:after="0" w:line="360" w:lineRule="auto"/>
        <w:rPr>
          <w:color w:val="auto"/>
        </w:rPr>
      </w:pPr>
      <w:r w:rsidRPr="00BF4E0E">
        <w:rPr>
          <w:color w:val="auto"/>
        </w:rPr>
        <w:t xml:space="preserve">i. </w:t>
      </w:r>
      <w:r w:rsidR="00D12E37" w:rsidRPr="00BF4E0E">
        <w:rPr>
          <w:color w:val="auto"/>
        </w:rPr>
        <w:t>Oficio 206010000/4749/2025 del catorce de agosto de dos mil veinticinco, suscrito por la Directora General de Administración, dirigido al Titular de la Unidad de Transparencia, por medio del cual ratifico su respuesta inicial.</w:t>
      </w:r>
    </w:p>
    <w:p w14:paraId="56DD80A8" w14:textId="77777777" w:rsidR="00B219E2" w:rsidRPr="00BF4E0E" w:rsidRDefault="00B219E2" w:rsidP="00877B34">
      <w:pPr>
        <w:spacing w:after="0" w:line="360" w:lineRule="auto"/>
        <w:rPr>
          <w:color w:val="auto"/>
        </w:rPr>
      </w:pPr>
    </w:p>
    <w:p w14:paraId="5AFDCBA5" w14:textId="067FE510" w:rsidR="00B219E2" w:rsidRPr="00BF4E0E" w:rsidRDefault="00B219E2" w:rsidP="00877B34">
      <w:pPr>
        <w:spacing w:after="0" w:line="360" w:lineRule="auto"/>
      </w:pPr>
      <w:r w:rsidRPr="00BF4E0E">
        <w:rPr>
          <w:color w:val="auto"/>
        </w:rPr>
        <w:t xml:space="preserve">ii. </w:t>
      </w:r>
      <w:r w:rsidR="00B03832" w:rsidRPr="00BF4E0E">
        <w:rPr>
          <w:color w:val="auto"/>
        </w:rPr>
        <w:t xml:space="preserve">Oficio </w:t>
      </w:r>
      <w:r w:rsidR="00B03832" w:rsidRPr="00BF4E0E">
        <w:t>202010000/2791/2025 del trece de agosto de dos mil veinticinco, suscrito por el Tesorero Municipal, dirigido al Titular de la Unidad de Transparencia, por medio del cual ratifico su respuesta.</w:t>
      </w:r>
    </w:p>
    <w:p w14:paraId="0E868D67" w14:textId="77777777" w:rsidR="00B03832" w:rsidRPr="00BF4E0E" w:rsidRDefault="00B03832" w:rsidP="00877B34">
      <w:pPr>
        <w:spacing w:after="0" w:line="360" w:lineRule="auto"/>
      </w:pPr>
    </w:p>
    <w:p w14:paraId="098539FB" w14:textId="77777777" w:rsidR="00123D97" w:rsidRPr="00BF4E0E" w:rsidRDefault="006B0399" w:rsidP="00123D97">
      <w:pPr>
        <w:spacing w:after="0" w:line="360" w:lineRule="auto"/>
        <w:rPr>
          <w:color w:val="auto"/>
        </w:rPr>
      </w:pPr>
      <w:r w:rsidRPr="00BF4E0E">
        <w:t xml:space="preserve">iii. </w:t>
      </w:r>
      <w:r w:rsidR="00571D40" w:rsidRPr="00BF4E0E">
        <w:t xml:space="preserve">Oficio 200F10000/2320/2025 del trece de agosto de dos mil veinticinco, suscrito por la Directora General del Instituto </w:t>
      </w:r>
      <w:r w:rsidR="00123D97" w:rsidRPr="00BF4E0E">
        <w:t xml:space="preserve">Municipal de la Mujer, dirigido al </w:t>
      </w:r>
      <w:r w:rsidR="00123D97" w:rsidRPr="00BF4E0E">
        <w:rPr>
          <w:color w:val="auto"/>
        </w:rPr>
        <w:t>Titular de la Unidad de Transparencia, por medio del cual ratifico su respuesta inicial.</w:t>
      </w:r>
    </w:p>
    <w:p w14:paraId="14369A96" w14:textId="570E0762" w:rsidR="00B03832" w:rsidRPr="00BF4E0E" w:rsidRDefault="00B03832" w:rsidP="00877B34">
      <w:pPr>
        <w:spacing w:after="0" w:line="360" w:lineRule="auto"/>
      </w:pPr>
    </w:p>
    <w:p w14:paraId="10968A04" w14:textId="4D668251" w:rsidR="00534437" w:rsidRPr="00BF4E0E" w:rsidRDefault="00534437" w:rsidP="00534437">
      <w:pPr>
        <w:spacing w:after="0" w:line="360" w:lineRule="auto"/>
        <w:rPr>
          <w:color w:val="auto"/>
        </w:rPr>
      </w:pPr>
      <w:r w:rsidRPr="00BF4E0E">
        <w:rPr>
          <w:color w:val="auto"/>
        </w:rPr>
        <w:t xml:space="preserve">iv. Oficio </w:t>
      </w:r>
      <w:r w:rsidRPr="00BF4E0E">
        <w:t>200F10300/505/2025 del ocho de julio de dos mil veinticinco, suscrito por la Coordinadora de Administración y Finanzas del Instituto Municipal de la Mujer de Toluca, dirigido al Titular de la Unidad de Información, Planeación, Programación y Evaluación, por medio del cual se menciona lo siguiente:</w:t>
      </w:r>
    </w:p>
    <w:p w14:paraId="7A398002" w14:textId="77777777" w:rsidR="00534437" w:rsidRPr="00BF4E0E" w:rsidRDefault="00534437" w:rsidP="00534437">
      <w:pPr>
        <w:spacing w:after="0" w:line="360" w:lineRule="auto"/>
        <w:ind w:left="567" w:right="567"/>
        <w:rPr>
          <w:rFonts w:eastAsia="Times New Roman" w:cs="Arial"/>
          <w:bCs/>
          <w:i/>
          <w:iCs/>
          <w:color w:val="auto"/>
          <w:sz w:val="20"/>
          <w:lang w:eastAsia="es-ES"/>
        </w:rPr>
      </w:pPr>
    </w:p>
    <w:p w14:paraId="0AF0D4A6" w14:textId="77777777" w:rsidR="00534437" w:rsidRPr="00BF4E0E" w:rsidRDefault="00534437" w:rsidP="00534437">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“…Me permito comentarle con fundamento en el segundo párrafo del Artículo 12 de la Ley de Transparencia y Acceso a la Información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41AAAF6" w14:textId="77777777" w:rsidR="00534437" w:rsidRPr="00BF4E0E" w:rsidRDefault="00534437" w:rsidP="00534437">
      <w:pPr>
        <w:spacing w:after="0" w:line="360" w:lineRule="auto"/>
        <w:ind w:left="567" w:right="567"/>
        <w:rPr>
          <w:rFonts w:eastAsia="Times New Roman" w:cs="Arial"/>
          <w:bCs/>
          <w:i/>
          <w:iCs/>
          <w:color w:val="auto"/>
          <w:sz w:val="20"/>
          <w:lang w:eastAsia="es-ES"/>
        </w:rPr>
      </w:pPr>
    </w:p>
    <w:p w14:paraId="1E1D8439" w14:textId="77777777" w:rsidR="00534437" w:rsidRPr="00BF4E0E" w:rsidRDefault="00534437" w:rsidP="00534437">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Por lo anterior de la información solicitada no se pueden proporcionar comprobantes bancarios de dispersión de nómina de los años 2022, 2023 y 2024 que fueron remitidos al Órgano Superior de Fiscalización por lo siguiente:</w:t>
      </w:r>
    </w:p>
    <w:p w14:paraId="6D6644EA" w14:textId="77777777" w:rsidR="00534437" w:rsidRPr="00BF4E0E" w:rsidRDefault="00534437" w:rsidP="00534437">
      <w:pPr>
        <w:spacing w:after="0" w:line="360" w:lineRule="auto"/>
        <w:ind w:left="567" w:right="567"/>
      </w:pPr>
    </w:p>
    <w:p w14:paraId="076EA66B" w14:textId="77777777" w:rsidR="00534437" w:rsidRPr="00BF4E0E" w:rsidRDefault="00534437" w:rsidP="00534437">
      <w:pPr>
        <w:pStyle w:val="Prrafodelista"/>
        <w:numPr>
          <w:ilvl w:val="0"/>
          <w:numId w:val="26"/>
        </w:numPr>
        <w:spacing w:line="360" w:lineRule="auto"/>
        <w:ind w:right="567"/>
        <w:rPr>
          <w:rFonts w:cs="Arial"/>
          <w:bCs/>
          <w:i/>
          <w:iCs/>
          <w:color w:val="auto"/>
          <w:sz w:val="20"/>
        </w:rPr>
      </w:pPr>
      <w:r w:rsidRPr="00BF4E0E">
        <w:rPr>
          <w:rFonts w:cs="Arial"/>
          <w:bCs/>
          <w:i/>
          <w:iCs/>
          <w:color w:val="auto"/>
          <w:sz w:val="20"/>
        </w:rPr>
        <w:t>En relación al ejercicio 2022, de una búsqueda en los archivos que obran en el Instituto, solo se encontraron oficios girados en atención a la Auditora Superior de Fiscalización del Estado de México de la presentación del Primer, Segundo y Tercer Informe Trimestral Municipal 2022, sin el disco de la información presentada al Órgano Superior de Fiscalización del Estado de México (OSFEM) del Módulo 4, Información Administrativa en la que se incluyeron los comprobantes bancarios de dispersión. (Se adjuntan copias fotostáticas de los oficios)</w:t>
      </w:r>
    </w:p>
    <w:p w14:paraId="3AF30F71" w14:textId="77777777" w:rsidR="00534437" w:rsidRPr="00BF4E0E" w:rsidRDefault="00534437" w:rsidP="00534437">
      <w:pPr>
        <w:pStyle w:val="Prrafodelista"/>
        <w:spacing w:line="360" w:lineRule="auto"/>
        <w:ind w:left="1287" w:right="567"/>
        <w:rPr>
          <w:rFonts w:cs="Arial"/>
          <w:bCs/>
          <w:i/>
          <w:iCs/>
          <w:color w:val="auto"/>
          <w:sz w:val="20"/>
        </w:rPr>
      </w:pPr>
    </w:p>
    <w:p w14:paraId="19A44136" w14:textId="77777777" w:rsidR="00534437" w:rsidRPr="00BF4E0E" w:rsidRDefault="00534437" w:rsidP="00534437">
      <w:pPr>
        <w:pStyle w:val="Prrafodelista"/>
        <w:numPr>
          <w:ilvl w:val="0"/>
          <w:numId w:val="26"/>
        </w:numPr>
        <w:spacing w:line="360" w:lineRule="auto"/>
        <w:ind w:right="567"/>
        <w:rPr>
          <w:rFonts w:cs="Arial"/>
          <w:bCs/>
          <w:i/>
          <w:iCs/>
          <w:color w:val="auto"/>
          <w:sz w:val="20"/>
        </w:rPr>
      </w:pPr>
      <w:r w:rsidRPr="00BF4E0E">
        <w:rPr>
          <w:rFonts w:cs="Arial"/>
          <w:bCs/>
          <w:i/>
          <w:iCs/>
          <w:color w:val="auto"/>
          <w:sz w:val="20"/>
        </w:rPr>
        <w:t>De los ejercicios fiscales 2023 у 2024, el OSFEM implemento una Plataforma Digital, con componentes de los Informes Trimestrales en la que adjuntaron las dispersiones de nóminas, a la fecha la plataforma no permite el acceso a la información del 2023 y 2024…” (Sic)</w:t>
      </w:r>
    </w:p>
    <w:p w14:paraId="30632D93" w14:textId="77777777" w:rsidR="005D5CE3" w:rsidRPr="00BF4E0E" w:rsidRDefault="005D5CE3" w:rsidP="00877B34">
      <w:pPr>
        <w:spacing w:after="0" w:line="360" w:lineRule="auto"/>
        <w:rPr>
          <w:bCs/>
          <w:color w:val="FF0000"/>
        </w:rPr>
      </w:pPr>
    </w:p>
    <w:p w14:paraId="6D6A4C41" w14:textId="6F822675" w:rsidR="005D5CE3" w:rsidRPr="00BF4E0E" w:rsidRDefault="003F178A" w:rsidP="00877B34">
      <w:pPr>
        <w:spacing w:after="0" w:line="360" w:lineRule="auto"/>
        <w:rPr>
          <w:b/>
          <w:color w:val="auto"/>
        </w:rPr>
      </w:pPr>
      <w:r w:rsidRPr="00BF4E0E">
        <w:rPr>
          <w:b/>
          <w:color w:val="auto"/>
        </w:rPr>
        <w:t>d</w:t>
      </w:r>
      <w:r w:rsidR="005D5CE3" w:rsidRPr="00BF4E0E">
        <w:rPr>
          <w:b/>
          <w:color w:val="auto"/>
        </w:rPr>
        <w:t>) Vista al Informe Justificado.</w:t>
      </w:r>
      <w:r w:rsidR="005D5CE3" w:rsidRPr="00BF4E0E">
        <w:rPr>
          <w:bCs/>
          <w:color w:val="auto"/>
        </w:rPr>
        <w:t xml:space="preserve"> El </w:t>
      </w:r>
      <w:r w:rsidR="005E1112" w:rsidRPr="00BF4E0E">
        <w:rPr>
          <w:bCs/>
          <w:color w:val="auto"/>
        </w:rPr>
        <w:t>treinta de</w:t>
      </w:r>
      <w:r w:rsidR="005D5CE3" w:rsidRPr="00BF4E0E">
        <w:rPr>
          <w:bCs/>
          <w:color w:val="auto"/>
        </w:rPr>
        <w:t xml:space="preserve"> septiembre de dos mil veinticinco, se notificó a través del Sistema de Acceso a la Información Mexiquense (SAIMEX), el acuerdo mediante el cual se puso a la vista del Particular el Informe Justificado del Recurso de Revisión, proveído por el cual se le otorgó un término de tres días hábiles contados a partir del día siguiente a la notificación, a fin de emitir las manifestaciones que conforme a sus intereses convinieran. </w:t>
      </w:r>
      <w:r w:rsidR="005D5CE3" w:rsidRPr="00BF4E0E">
        <w:rPr>
          <w:b/>
          <w:color w:val="auto"/>
        </w:rPr>
        <w:t>Cabe señalar que el Particular fue omiso en realizar manifestación alguna.</w:t>
      </w:r>
    </w:p>
    <w:p w14:paraId="7A14D66D" w14:textId="77777777" w:rsidR="003F178A" w:rsidRPr="00BF4E0E" w:rsidRDefault="003F178A" w:rsidP="00877B34">
      <w:pPr>
        <w:spacing w:after="0" w:line="360" w:lineRule="auto"/>
        <w:rPr>
          <w:b/>
          <w:color w:val="auto"/>
        </w:rPr>
      </w:pPr>
    </w:p>
    <w:p w14:paraId="36106E1E" w14:textId="6E75CEC8" w:rsidR="003F178A" w:rsidRPr="00BF4E0E" w:rsidRDefault="003F178A" w:rsidP="003F178A">
      <w:pPr>
        <w:spacing w:after="0" w:line="360" w:lineRule="auto"/>
        <w:rPr>
          <w:bCs/>
          <w:color w:val="auto"/>
        </w:rPr>
      </w:pPr>
      <w:r w:rsidRPr="00BF4E0E">
        <w:rPr>
          <w:b/>
          <w:color w:val="auto"/>
        </w:rPr>
        <w:t xml:space="preserve">e) Ampliación de plazo para resolver. </w:t>
      </w:r>
      <w:r w:rsidRPr="00BF4E0E">
        <w:rPr>
          <w:bCs/>
          <w:color w:val="auto"/>
        </w:rPr>
        <w:t>El veintinueve 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trece de dicho mes y año, mediante el Sistema de Acceso a la Información Mexiquense (SAIMEX).</w:t>
      </w:r>
    </w:p>
    <w:p w14:paraId="020AE015" w14:textId="77777777" w:rsidR="00B33C68" w:rsidRPr="00BF4E0E" w:rsidRDefault="00B33C68" w:rsidP="00877B34">
      <w:pPr>
        <w:spacing w:after="0" w:line="360" w:lineRule="auto"/>
        <w:contextualSpacing/>
        <w:rPr>
          <w:rFonts w:eastAsia="Batang" w:cs="Tahoma"/>
          <w:b/>
          <w:color w:val="FF0000"/>
        </w:rPr>
      </w:pPr>
    </w:p>
    <w:p w14:paraId="5015FAE6" w14:textId="43D3C9E3" w:rsidR="008E7904" w:rsidRPr="00BF4E0E" w:rsidRDefault="008E7904" w:rsidP="008E7904">
      <w:pPr>
        <w:spacing w:after="0" w:line="360" w:lineRule="auto"/>
        <w:contextualSpacing/>
        <w:rPr>
          <w:rFonts w:eastAsia="Batang" w:cs="Tahoma"/>
          <w:bCs/>
          <w:color w:val="auto"/>
        </w:rPr>
      </w:pPr>
      <w:r w:rsidRPr="00BF4E0E">
        <w:rPr>
          <w:rFonts w:eastAsia="Batang" w:cs="Tahoma"/>
          <w:b/>
          <w:color w:val="auto"/>
        </w:rPr>
        <w:t>f) Requerimiento de información adicional.</w:t>
      </w:r>
      <w:r w:rsidRPr="00BF4E0E">
        <w:rPr>
          <w:rFonts w:eastAsia="Batang" w:cs="Tahoma"/>
          <w:bCs/>
          <w:color w:val="auto"/>
        </w:rPr>
        <w:t xml:space="preserve"> El veinticuatro de octubre de dos mil veinticinco, se emitió un requerimiento de información adicional suscrito por el Comisionado Ponente el cual es dirigido al Titular de la Unidad de Transparencia del Sujeto Obligado, lo anterior de conformidad con los artículos 14, fracciones I, II, V y XVI, del Reglamento Interior del Instituto de Transparencia, Acceso a la Información Pública y Protección de Datos Personales del Estado de México y Municipios, mismo que fue notificado al Ayuntamiento de Toluca, el mismo día, a través de correo electrónico y el Sistema de Acceso a la Información Mexiquense (SAIMEX), por medio del cual se le solicitó lo siguiente:</w:t>
      </w:r>
    </w:p>
    <w:p w14:paraId="522D5F03" w14:textId="77777777" w:rsidR="005E498A" w:rsidRPr="00BF4E0E" w:rsidRDefault="005E498A" w:rsidP="008E7904">
      <w:pPr>
        <w:spacing w:after="0" w:line="360" w:lineRule="auto"/>
        <w:contextualSpacing/>
      </w:pPr>
    </w:p>
    <w:p w14:paraId="0270A825" w14:textId="23774D65" w:rsidR="008E7904" w:rsidRPr="00BF4E0E" w:rsidRDefault="005E498A" w:rsidP="005E498A">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“…con el objeto de contar con los elementos necesarios para la elaboración del proyecto de resolución correspondiente, se le requiere, para que indique lo siguiente:</w:t>
      </w:r>
    </w:p>
    <w:p w14:paraId="4EFB6487" w14:textId="77777777" w:rsidR="005E498A" w:rsidRPr="00BF4E0E" w:rsidRDefault="005E498A" w:rsidP="005E498A">
      <w:pPr>
        <w:spacing w:after="0" w:line="360" w:lineRule="auto"/>
        <w:ind w:left="567" w:right="567"/>
        <w:rPr>
          <w:rFonts w:eastAsia="Times New Roman" w:cs="Arial"/>
          <w:bCs/>
          <w:i/>
          <w:iCs/>
          <w:color w:val="auto"/>
          <w:sz w:val="20"/>
          <w:lang w:eastAsia="es-ES"/>
        </w:rPr>
      </w:pPr>
    </w:p>
    <w:p w14:paraId="347F715B" w14:textId="77777777" w:rsidR="005E498A" w:rsidRPr="00BF4E0E" w:rsidRDefault="005E498A" w:rsidP="005E498A">
      <w:pPr>
        <w:pStyle w:val="Prrafodelista"/>
        <w:numPr>
          <w:ilvl w:val="0"/>
          <w:numId w:val="28"/>
        </w:numPr>
        <w:spacing w:line="360" w:lineRule="auto"/>
        <w:ind w:right="567"/>
        <w:rPr>
          <w:rFonts w:cs="Arial"/>
          <w:bCs/>
          <w:i/>
          <w:iCs/>
          <w:color w:val="auto"/>
          <w:sz w:val="20"/>
        </w:rPr>
      </w:pPr>
      <w:r w:rsidRPr="00BF4E0E">
        <w:rPr>
          <w:rFonts w:cs="Arial"/>
          <w:bCs/>
          <w:i/>
          <w:iCs/>
          <w:color w:val="auto"/>
          <w:sz w:val="20"/>
        </w:rPr>
        <w:t xml:space="preserve">Peso de cada uno de los </w:t>
      </w:r>
      <w:r w:rsidRPr="00BF4E0E">
        <w:rPr>
          <w:rFonts w:cs="Arial"/>
          <w:b/>
          <w:i/>
          <w:iCs/>
          <w:color w:val="auto"/>
          <w:sz w:val="20"/>
          <w:u w:val="single"/>
        </w:rPr>
        <w:t>Comprobantes bancarios de dispersión de nómina</w:t>
      </w:r>
      <w:r w:rsidRPr="00BF4E0E">
        <w:rPr>
          <w:rFonts w:cs="Arial"/>
          <w:bCs/>
          <w:i/>
          <w:iCs/>
          <w:color w:val="auto"/>
          <w:sz w:val="20"/>
        </w:rPr>
        <w:t xml:space="preserve">, entregados en los Informes Trimestrales remitidos al OSFEM, correspondientes a los ejercicios fiscales dos mil veintidós, dos mil veintitrés y dos mil veinticuatro; </w:t>
      </w:r>
    </w:p>
    <w:p w14:paraId="660D4115" w14:textId="77777777" w:rsidR="005E498A" w:rsidRPr="00BF4E0E" w:rsidRDefault="005E498A" w:rsidP="005E498A">
      <w:pPr>
        <w:pStyle w:val="Prrafodelista"/>
        <w:numPr>
          <w:ilvl w:val="0"/>
          <w:numId w:val="28"/>
        </w:numPr>
        <w:spacing w:line="360" w:lineRule="auto"/>
        <w:ind w:right="567"/>
        <w:rPr>
          <w:rFonts w:cs="Arial"/>
          <w:bCs/>
          <w:i/>
          <w:iCs/>
          <w:color w:val="auto"/>
          <w:sz w:val="20"/>
        </w:rPr>
      </w:pPr>
      <w:r w:rsidRPr="00BF4E0E">
        <w:rPr>
          <w:rFonts w:cs="Arial"/>
          <w:bCs/>
          <w:i/>
          <w:iCs/>
          <w:color w:val="auto"/>
          <w:sz w:val="20"/>
        </w:rPr>
        <w:t>El formato en que se generaron los Comprobantes que den cuenta del punto anterior, y</w:t>
      </w:r>
    </w:p>
    <w:p w14:paraId="11F3F468" w14:textId="50312C8D" w:rsidR="008E7904" w:rsidRPr="00BF4E0E" w:rsidRDefault="005E498A" w:rsidP="005E498A">
      <w:pPr>
        <w:pStyle w:val="Prrafodelista"/>
        <w:numPr>
          <w:ilvl w:val="0"/>
          <w:numId w:val="28"/>
        </w:numPr>
        <w:spacing w:line="360" w:lineRule="auto"/>
        <w:ind w:right="567"/>
        <w:rPr>
          <w:rFonts w:cs="Arial"/>
          <w:bCs/>
          <w:i/>
          <w:iCs/>
          <w:color w:val="auto"/>
          <w:sz w:val="20"/>
        </w:rPr>
      </w:pPr>
      <w:r w:rsidRPr="00BF4E0E">
        <w:rPr>
          <w:rFonts w:cs="Arial"/>
          <w:bCs/>
          <w:i/>
          <w:iCs/>
          <w:color w:val="auto"/>
          <w:sz w:val="20"/>
        </w:rPr>
        <w:t>Los datos clasificables que se localizan en los Comprobantes bancarios de dispersión de nómina…” (Sic)</w:t>
      </w:r>
    </w:p>
    <w:p w14:paraId="2131565C" w14:textId="77777777" w:rsidR="008E7904" w:rsidRPr="00BF4E0E" w:rsidRDefault="008E7904" w:rsidP="00877B34">
      <w:pPr>
        <w:spacing w:after="0" w:line="360" w:lineRule="auto"/>
        <w:contextualSpacing/>
        <w:rPr>
          <w:rFonts w:eastAsia="Batang" w:cs="Tahoma"/>
          <w:b/>
          <w:color w:val="FF0000"/>
        </w:rPr>
      </w:pPr>
    </w:p>
    <w:p w14:paraId="09231336" w14:textId="00FA7A25" w:rsidR="008E7904" w:rsidRPr="00BF4E0E" w:rsidRDefault="00E00DC8" w:rsidP="00E00DC8">
      <w:pPr>
        <w:spacing w:after="0" w:line="360" w:lineRule="auto"/>
        <w:contextualSpacing/>
        <w:rPr>
          <w:rFonts w:eastAsia="Batang" w:cs="Tahoma"/>
          <w:bCs/>
          <w:color w:val="auto"/>
        </w:rPr>
      </w:pPr>
      <w:r w:rsidRPr="00BF4E0E">
        <w:rPr>
          <w:rFonts w:eastAsia="Batang" w:cs="Tahoma"/>
          <w:b/>
          <w:color w:val="auto"/>
        </w:rPr>
        <w:t xml:space="preserve">g) Desahogo del requerimiento de información adicional. </w:t>
      </w:r>
      <w:r w:rsidRPr="00BF4E0E">
        <w:rPr>
          <w:rFonts w:eastAsia="Batang" w:cs="Tahoma"/>
          <w:bCs/>
          <w:color w:val="auto"/>
        </w:rPr>
        <w:t xml:space="preserve">El veintinueve y treinta y </w:t>
      </w:r>
      <w:r w:rsidR="000F21C8" w:rsidRPr="00BF4E0E">
        <w:rPr>
          <w:rFonts w:eastAsia="Batang" w:cs="Tahoma"/>
          <w:bCs/>
          <w:color w:val="auto"/>
        </w:rPr>
        <w:t>uno de</w:t>
      </w:r>
      <w:r w:rsidRPr="00BF4E0E">
        <w:rPr>
          <w:rFonts w:eastAsia="Batang" w:cs="Tahoma"/>
          <w:bCs/>
          <w:color w:val="auto"/>
        </w:rPr>
        <w:t xml:space="preserve"> octubre de dos mil veinticinco, el Sujeto Obligado remitió a través del Sistema de Acceso a la Información Mexiquense (SAIMEX) y vía correo electrónico institucional, el desahogo al requerimiento de información adicional, a través de la digitalización de los siguientes documentos:</w:t>
      </w:r>
    </w:p>
    <w:p w14:paraId="30F849FF" w14:textId="77777777" w:rsidR="00E00DC8" w:rsidRPr="00BF4E0E" w:rsidRDefault="00E00DC8" w:rsidP="00E00DC8">
      <w:pPr>
        <w:spacing w:after="0" w:line="360" w:lineRule="auto"/>
        <w:contextualSpacing/>
        <w:rPr>
          <w:rFonts w:eastAsia="Batang" w:cs="Tahoma"/>
          <w:bCs/>
          <w:color w:val="auto"/>
        </w:rPr>
      </w:pPr>
    </w:p>
    <w:p w14:paraId="4506D76A" w14:textId="1995FA86" w:rsidR="00E00DC8" w:rsidRPr="00BF4E0E" w:rsidRDefault="00ED44E5" w:rsidP="00E00DC8">
      <w:pPr>
        <w:spacing w:after="0" w:line="360" w:lineRule="auto"/>
        <w:contextualSpacing/>
        <w:rPr>
          <w:rFonts w:eastAsia="Batang" w:cs="Tahoma"/>
          <w:bCs/>
          <w:color w:val="auto"/>
        </w:rPr>
      </w:pPr>
      <w:r w:rsidRPr="00BF4E0E">
        <w:rPr>
          <w:rFonts w:eastAsia="Batang" w:cs="Tahoma"/>
          <w:bCs/>
          <w:color w:val="auto"/>
        </w:rPr>
        <w:t>i. Escrito del veintinueve de octubre de dos mil veinticinco, signado por el Titular de la Unidad de Transparencia, dirigido al Comisionado Ponente, por medio del cual se menciona lo siguiente:</w:t>
      </w:r>
    </w:p>
    <w:p w14:paraId="5F082A77" w14:textId="77777777" w:rsidR="009A7A3D" w:rsidRPr="00BF4E0E" w:rsidRDefault="009A7A3D" w:rsidP="00E00DC8">
      <w:pPr>
        <w:spacing w:after="0" w:line="360" w:lineRule="auto"/>
        <w:contextualSpacing/>
        <w:rPr>
          <w:rFonts w:eastAsia="Batang" w:cs="Tahoma"/>
          <w:bCs/>
          <w:color w:val="auto"/>
        </w:rPr>
      </w:pPr>
    </w:p>
    <w:p w14:paraId="2B5A928E" w14:textId="77B861DE" w:rsidR="00ED44E5" w:rsidRPr="00BF4E0E" w:rsidRDefault="000F21C8" w:rsidP="000F21C8">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 xml:space="preserve">“…Sirva el presente para enviarle un cordial saludo y, al mismo tiempo en atención al correo electrónico de mediante el cual requiere Información adicional al Recurso de Revisión Número </w:t>
      </w:r>
      <w:r w:rsidRPr="00BF4E0E">
        <w:rPr>
          <w:rFonts w:eastAsia="Times New Roman" w:cs="Arial"/>
          <w:b/>
          <w:i/>
          <w:iCs/>
          <w:color w:val="auto"/>
          <w:sz w:val="20"/>
          <w:lang w:eastAsia="es-ES"/>
        </w:rPr>
        <w:t>08936/INFOEM/IP/RR/2025</w:t>
      </w:r>
      <w:r w:rsidRPr="00BF4E0E">
        <w:rPr>
          <w:rFonts w:eastAsia="Times New Roman" w:cs="Arial"/>
          <w:bCs/>
          <w:i/>
          <w:iCs/>
          <w:color w:val="auto"/>
          <w:sz w:val="20"/>
          <w:lang w:eastAsia="es-ES"/>
        </w:rPr>
        <w:t xml:space="preserve"> derivado de la Solicitud de Acceso a la Información Pública </w:t>
      </w:r>
      <w:r w:rsidRPr="00BF4E0E">
        <w:rPr>
          <w:rFonts w:eastAsia="Times New Roman" w:cs="Arial"/>
          <w:b/>
          <w:i/>
          <w:iCs/>
          <w:color w:val="auto"/>
          <w:sz w:val="20"/>
          <w:lang w:eastAsia="es-ES"/>
        </w:rPr>
        <w:t>03727/TOLUCA/IP/2025</w:t>
      </w:r>
      <w:r w:rsidRPr="00BF4E0E">
        <w:rPr>
          <w:rFonts w:eastAsia="Times New Roman" w:cs="Arial"/>
          <w:bCs/>
          <w:i/>
          <w:iCs/>
          <w:color w:val="auto"/>
          <w:sz w:val="20"/>
          <w:lang w:eastAsia="es-ES"/>
        </w:rPr>
        <w:t>, me permito remitir la siguiente información:</w:t>
      </w:r>
    </w:p>
    <w:p w14:paraId="4AC06906" w14:textId="77777777" w:rsidR="000F21C8" w:rsidRPr="00BF4E0E" w:rsidRDefault="000F21C8" w:rsidP="000F21C8">
      <w:pPr>
        <w:spacing w:after="0" w:line="360" w:lineRule="auto"/>
        <w:ind w:left="567" w:right="567"/>
        <w:rPr>
          <w:rFonts w:eastAsia="Times New Roman" w:cs="Arial"/>
          <w:bCs/>
          <w:i/>
          <w:iCs/>
          <w:color w:val="auto"/>
          <w:sz w:val="20"/>
          <w:lang w:eastAsia="es-ES"/>
        </w:rPr>
      </w:pPr>
    </w:p>
    <w:p w14:paraId="584A105F" w14:textId="6D310C6C" w:rsidR="000F21C8" w:rsidRPr="00BF4E0E" w:rsidRDefault="000F21C8" w:rsidP="000F21C8">
      <w:pPr>
        <w:pStyle w:val="Prrafodelista"/>
        <w:numPr>
          <w:ilvl w:val="0"/>
          <w:numId w:val="29"/>
        </w:numPr>
        <w:spacing w:line="360" w:lineRule="auto"/>
        <w:ind w:right="567"/>
        <w:rPr>
          <w:rFonts w:cs="Arial"/>
          <w:b/>
          <w:i/>
          <w:iCs/>
          <w:color w:val="auto"/>
          <w:sz w:val="20"/>
        </w:rPr>
      </w:pPr>
      <w:r w:rsidRPr="00BF4E0E">
        <w:rPr>
          <w:rFonts w:cs="Arial"/>
          <w:b/>
          <w:i/>
          <w:iCs/>
          <w:color w:val="auto"/>
          <w:sz w:val="20"/>
        </w:rPr>
        <w:t>Oficio: 201007000/UT/04099/2025 de fecha 24 de octubre del presente año, remitido a la Tesorería Municipal del Ayuntamiento de Toluca.</w:t>
      </w:r>
    </w:p>
    <w:p w14:paraId="17B10C59" w14:textId="77777777" w:rsidR="000F21C8" w:rsidRPr="00BF4E0E" w:rsidRDefault="000F21C8" w:rsidP="000F21C8">
      <w:pPr>
        <w:pStyle w:val="Prrafodelista"/>
        <w:spacing w:line="360" w:lineRule="auto"/>
        <w:ind w:left="1287" w:right="567"/>
        <w:rPr>
          <w:rFonts w:cs="Arial"/>
          <w:b/>
          <w:i/>
          <w:iCs/>
          <w:color w:val="auto"/>
          <w:sz w:val="20"/>
        </w:rPr>
      </w:pPr>
    </w:p>
    <w:p w14:paraId="501B1334" w14:textId="66A360E7" w:rsidR="000F21C8" w:rsidRPr="00BF4E0E" w:rsidRDefault="000F21C8" w:rsidP="007C2353">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Sin embargo, no se cuenta por el momento con alguna respuesta por parte de la Tesorería Municipal, remito anexo a este correo electrónico el acuse de los oficio antes citado para lo conducente…” (Sic)</w:t>
      </w:r>
    </w:p>
    <w:p w14:paraId="7452B4F5" w14:textId="77777777" w:rsidR="007C2353" w:rsidRPr="00BF4E0E" w:rsidRDefault="007C2353" w:rsidP="007C2353">
      <w:pPr>
        <w:spacing w:after="0" w:line="360" w:lineRule="auto"/>
        <w:ind w:right="567"/>
        <w:rPr>
          <w:rFonts w:eastAsia="Times New Roman" w:cs="Arial"/>
          <w:bCs/>
          <w:color w:val="auto"/>
          <w:sz w:val="20"/>
          <w:lang w:eastAsia="es-ES"/>
        </w:rPr>
      </w:pPr>
    </w:p>
    <w:p w14:paraId="5B8BDB66" w14:textId="6543E74D" w:rsidR="007C2353" w:rsidRPr="00BF4E0E" w:rsidRDefault="007C2353" w:rsidP="007C2353">
      <w:pPr>
        <w:spacing w:after="0" w:line="360" w:lineRule="auto"/>
        <w:ind w:right="567"/>
      </w:pPr>
      <w:r w:rsidRPr="00BF4E0E">
        <w:rPr>
          <w:rFonts w:eastAsia="Times New Roman" w:cs="Arial"/>
          <w:bCs/>
          <w:color w:val="auto"/>
          <w:sz w:val="20"/>
          <w:lang w:eastAsia="es-ES"/>
        </w:rPr>
        <w:t xml:space="preserve">ii.  Oficio </w:t>
      </w:r>
      <w:r w:rsidRPr="00BF4E0E">
        <w:t>201007000/UT/04099/2025 del veinticuatro de octubre de dos mil veinticinco, suscrito por el Titular de la Unidad de Transparencia, dirigido al Tesorero Municipal, por medio del cual se</w:t>
      </w:r>
      <w:r w:rsidR="009675F2" w:rsidRPr="00BF4E0E">
        <w:t xml:space="preserve"> solicito desahogara el requerimiento de información adicional.</w:t>
      </w:r>
    </w:p>
    <w:p w14:paraId="440333CF" w14:textId="77777777" w:rsidR="0060310B" w:rsidRPr="00BF4E0E" w:rsidRDefault="0060310B" w:rsidP="007C2353">
      <w:pPr>
        <w:spacing w:after="0" w:line="360" w:lineRule="auto"/>
        <w:ind w:right="567"/>
      </w:pPr>
    </w:p>
    <w:p w14:paraId="4EEBCC2A" w14:textId="271E0F50" w:rsidR="0060310B" w:rsidRPr="00BF4E0E" w:rsidRDefault="0060310B" w:rsidP="007C2353">
      <w:pPr>
        <w:spacing w:after="0" w:line="360" w:lineRule="auto"/>
        <w:ind w:right="567"/>
      </w:pPr>
      <w:r w:rsidRPr="00BF4E0E">
        <w:t xml:space="preserve">iii. </w:t>
      </w:r>
      <w:r w:rsidR="006E797D" w:rsidRPr="00BF4E0E">
        <w:t>Oficio 202010000/03607/2025 del veintinueve de octubre de dos mil veinticinco, suscrito por el Tesorero Municipal, dirigido al Titular de la Unidad de Transparencia, por medio del cual se menciona lo siguiente:</w:t>
      </w:r>
    </w:p>
    <w:p w14:paraId="3162194B" w14:textId="77777777" w:rsidR="009A7A3D" w:rsidRPr="00BF4E0E" w:rsidRDefault="009A7A3D" w:rsidP="007C2353">
      <w:pPr>
        <w:spacing w:after="0" w:line="360" w:lineRule="auto"/>
        <w:ind w:right="567"/>
      </w:pPr>
    </w:p>
    <w:p w14:paraId="3B557836" w14:textId="3F91B668" w:rsidR="006E797D" w:rsidRPr="00BF4E0E" w:rsidRDefault="007C02E9" w:rsidP="007C02E9">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 Se adjunta el cuadro siguiente; el cual indica el número de fojas de cada archivo, cabe destacar que el formato de los archivos es el mismo con el que se descargan de los sistemas bancarios, en formato PDF.</w:t>
      </w:r>
    </w:p>
    <w:p w14:paraId="5E96B320" w14:textId="2E391587" w:rsidR="007C2353" w:rsidRPr="00BF4E0E" w:rsidRDefault="007C02E9" w:rsidP="007C02E9">
      <w:pPr>
        <w:spacing w:after="0" w:line="360" w:lineRule="auto"/>
        <w:ind w:right="567"/>
        <w:jc w:val="center"/>
        <w:rPr>
          <w:rFonts w:eastAsia="Times New Roman" w:cs="Arial"/>
          <w:bCs/>
          <w:color w:val="auto"/>
          <w:sz w:val="20"/>
          <w:lang w:eastAsia="es-ES"/>
        </w:rPr>
      </w:pPr>
      <w:r w:rsidRPr="00BF4E0E">
        <w:rPr>
          <w:rFonts w:eastAsia="Times New Roman" w:cs="Arial"/>
          <w:bCs/>
          <w:noProof/>
          <w:color w:val="auto"/>
          <w:sz w:val="20"/>
        </w:rPr>
        <w:drawing>
          <wp:inline distT="0" distB="0" distL="0" distR="0" wp14:anchorId="5EFBABFD" wp14:editId="070B8F95">
            <wp:extent cx="4492980" cy="1003134"/>
            <wp:effectExtent l="0" t="0" r="3175" b="6985"/>
            <wp:docPr id="649239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3993" name=""/>
                    <pic:cNvPicPr/>
                  </pic:nvPicPr>
                  <pic:blipFill>
                    <a:blip r:embed="rId9"/>
                    <a:stretch>
                      <a:fillRect/>
                    </a:stretch>
                  </pic:blipFill>
                  <pic:spPr>
                    <a:xfrm>
                      <a:off x="0" y="0"/>
                      <a:ext cx="4542276" cy="1014140"/>
                    </a:xfrm>
                    <a:prstGeom prst="rect">
                      <a:avLst/>
                    </a:prstGeom>
                  </pic:spPr>
                </pic:pic>
              </a:graphicData>
            </a:graphic>
          </wp:inline>
        </w:drawing>
      </w:r>
    </w:p>
    <w:p w14:paraId="1E6E72C8" w14:textId="77777777" w:rsidR="007C02E9" w:rsidRPr="00BF4E0E" w:rsidRDefault="007C02E9" w:rsidP="007C02E9">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 xml:space="preserve">Por lo que hace al último inciso, los datos clasificables serán: </w:t>
      </w:r>
    </w:p>
    <w:p w14:paraId="5215C5E2" w14:textId="77777777" w:rsidR="007C02E9" w:rsidRPr="00BF4E0E" w:rsidRDefault="007C02E9" w:rsidP="007C02E9">
      <w:pPr>
        <w:spacing w:after="0" w:line="360" w:lineRule="auto"/>
        <w:ind w:left="567" w:right="567"/>
        <w:rPr>
          <w:rFonts w:eastAsia="Times New Roman" w:cs="Arial"/>
          <w:bCs/>
          <w:i/>
          <w:iCs/>
          <w:color w:val="auto"/>
          <w:sz w:val="20"/>
          <w:lang w:eastAsia="es-ES"/>
        </w:rPr>
      </w:pPr>
    </w:p>
    <w:p w14:paraId="5031D787" w14:textId="77777777" w:rsidR="007C02E9" w:rsidRPr="00BF4E0E" w:rsidRDefault="007C02E9" w:rsidP="007C02E9">
      <w:pPr>
        <w:pStyle w:val="Prrafodelista"/>
        <w:numPr>
          <w:ilvl w:val="0"/>
          <w:numId w:val="30"/>
        </w:numPr>
        <w:spacing w:line="360" w:lineRule="auto"/>
        <w:ind w:right="567"/>
        <w:rPr>
          <w:rFonts w:cs="Arial"/>
          <w:bCs/>
          <w:i/>
          <w:iCs/>
          <w:color w:val="auto"/>
          <w:sz w:val="20"/>
        </w:rPr>
      </w:pPr>
      <w:r w:rsidRPr="00BF4E0E">
        <w:rPr>
          <w:rFonts w:cs="Arial"/>
          <w:bCs/>
          <w:i/>
          <w:iCs/>
          <w:color w:val="auto"/>
          <w:sz w:val="20"/>
        </w:rPr>
        <w:t xml:space="preserve">FOLIO ELECTRONICO. </w:t>
      </w:r>
    </w:p>
    <w:p w14:paraId="0955B64E" w14:textId="77777777" w:rsidR="007C02E9" w:rsidRPr="00BF4E0E" w:rsidRDefault="007C02E9" w:rsidP="007C02E9">
      <w:pPr>
        <w:pStyle w:val="Prrafodelista"/>
        <w:numPr>
          <w:ilvl w:val="0"/>
          <w:numId w:val="30"/>
        </w:numPr>
        <w:spacing w:line="360" w:lineRule="auto"/>
        <w:ind w:right="567"/>
        <w:rPr>
          <w:rFonts w:cs="Arial"/>
          <w:bCs/>
          <w:i/>
          <w:iCs/>
          <w:color w:val="auto"/>
          <w:sz w:val="20"/>
        </w:rPr>
      </w:pPr>
      <w:r w:rsidRPr="00BF4E0E">
        <w:rPr>
          <w:rFonts w:cs="Arial"/>
          <w:bCs/>
          <w:i/>
          <w:iCs/>
          <w:color w:val="auto"/>
          <w:sz w:val="20"/>
        </w:rPr>
        <w:t xml:space="preserve">NÚMERO DE EMPLEADO. </w:t>
      </w:r>
    </w:p>
    <w:p w14:paraId="78976C65" w14:textId="77777777" w:rsidR="007C02E9" w:rsidRPr="00BF4E0E" w:rsidRDefault="007C02E9" w:rsidP="007C02E9">
      <w:pPr>
        <w:pStyle w:val="Prrafodelista"/>
        <w:numPr>
          <w:ilvl w:val="0"/>
          <w:numId w:val="30"/>
        </w:numPr>
        <w:spacing w:line="360" w:lineRule="auto"/>
        <w:ind w:right="567"/>
        <w:rPr>
          <w:rFonts w:cs="Arial"/>
          <w:bCs/>
          <w:i/>
          <w:iCs/>
          <w:color w:val="auto"/>
          <w:sz w:val="20"/>
        </w:rPr>
      </w:pPr>
      <w:r w:rsidRPr="00BF4E0E">
        <w:rPr>
          <w:rFonts w:cs="Arial"/>
          <w:bCs/>
          <w:i/>
          <w:iCs/>
          <w:color w:val="auto"/>
          <w:sz w:val="20"/>
        </w:rPr>
        <w:t xml:space="preserve">NOMBRE DEL EMPLEADО. </w:t>
      </w:r>
    </w:p>
    <w:p w14:paraId="2C2ACA5C" w14:textId="77777777" w:rsidR="007C02E9" w:rsidRPr="00BF4E0E" w:rsidRDefault="007C02E9" w:rsidP="007C02E9">
      <w:pPr>
        <w:pStyle w:val="Prrafodelista"/>
        <w:numPr>
          <w:ilvl w:val="0"/>
          <w:numId w:val="30"/>
        </w:numPr>
        <w:spacing w:line="360" w:lineRule="auto"/>
        <w:ind w:right="567"/>
        <w:rPr>
          <w:rFonts w:cs="Arial"/>
          <w:bCs/>
          <w:i/>
          <w:iCs/>
          <w:color w:val="auto"/>
          <w:sz w:val="20"/>
        </w:rPr>
      </w:pPr>
      <w:r w:rsidRPr="00BF4E0E">
        <w:rPr>
          <w:rFonts w:cs="Arial"/>
          <w:bCs/>
          <w:i/>
          <w:iCs/>
          <w:color w:val="auto"/>
          <w:sz w:val="20"/>
        </w:rPr>
        <w:t xml:space="preserve">NÚMERO DE CUENTA. </w:t>
      </w:r>
    </w:p>
    <w:p w14:paraId="3B3AD15F" w14:textId="77777777" w:rsidR="007C02E9" w:rsidRPr="00BF4E0E" w:rsidRDefault="007C02E9" w:rsidP="007C02E9">
      <w:pPr>
        <w:pStyle w:val="Prrafodelista"/>
        <w:spacing w:line="360" w:lineRule="auto"/>
        <w:ind w:left="1287" w:right="567"/>
        <w:rPr>
          <w:rFonts w:cs="Arial"/>
          <w:bCs/>
          <w:i/>
          <w:iCs/>
          <w:color w:val="auto"/>
          <w:sz w:val="20"/>
        </w:rPr>
      </w:pPr>
    </w:p>
    <w:p w14:paraId="6C909257" w14:textId="03C3CFDB" w:rsidR="007C02E9" w:rsidRPr="00BF4E0E" w:rsidRDefault="007C02E9" w:rsidP="007C02E9">
      <w:pPr>
        <w:spacing w:after="0" w:line="360" w:lineRule="auto"/>
        <w:ind w:left="567" w:right="567"/>
        <w:rPr>
          <w:rFonts w:eastAsia="Times New Roman" w:cs="Arial"/>
          <w:bCs/>
          <w:i/>
          <w:iCs/>
          <w:color w:val="auto"/>
          <w:sz w:val="20"/>
          <w:lang w:eastAsia="es-ES"/>
        </w:rPr>
      </w:pPr>
      <w:r w:rsidRPr="00BF4E0E">
        <w:rPr>
          <w:rFonts w:eastAsia="Times New Roman" w:cs="Arial"/>
          <w:bCs/>
          <w:i/>
          <w:iCs/>
          <w:color w:val="auto"/>
          <w:sz w:val="20"/>
          <w:lang w:eastAsia="es-ES"/>
        </w:rPr>
        <w:t>Sin otro particular, reciba un cordial saludo</w:t>
      </w:r>
      <w:r w:rsidR="002C61BE" w:rsidRPr="00BF4E0E">
        <w:rPr>
          <w:rFonts w:eastAsia="Times New Roman" w:cs="Arial"/>
          <w:bCs/>
          <w:i/>
          <w:iCs/>
          <w:color w:val="auto"/>
          <w:sz w:val="20"/>
          <w:lang w:eastAsia="es-ES"/>
        </w:rPr>
        <w:t>…” (Sic)</w:t>
      </w:r>
    </w:p>
    <w:p w14:paraId="075214A6" w14:textId="77777777" w:rsidR="003B4E5A" w:rsidRPr="00BF4E0E" w:rsidRDefault="003B4E5A" w:rsidP="003B4E5A">
      <w:pPr>
        <w:spacing w:after="0" w:line="360" w:lineRule="auto"/>
        <w:ind w:right="567"/>
        <w:rPr>
          <w:rFonts w:eastAsia="Times New Roman" w:cs="Arial"/>
          <w:bCs/>
          <w:i/>
          <w:iCs/>
          <w:color w:val="auto"/>
          <w:sz w:val="20"/>
          <w:lang w:eastAsia="es-ES"/>
        </w:rPr>
      </w:pPr>
    </w:p>
    <w:p w14:paraId="420F3F0B" w14:textId="12FB257A" w:rsidR="006D0594" w:rsidRPr="00BF4E0E" w:rsidRDefault="003B4E5A" w:rsidP="003B4E5A">
      <w:pPr>
        <w:spacing w:after="0" w:line="360" w:lineRule="auto"/>
        <w:contextualSpacing/>
        <w:rPr>
          <w:rFonts w:eastAsia="Times New Roman" w:cs="Tahoma"/>
          <w:color w:val="auto"/>
          <w:szCs w:val="24"/>
          <w:lang w:eastAsia="es-ES"/>
        </w:rPr>
      </w:pPr>
      <w:r w:rsidRPr="00BF4E0E">
        <w:rPr>
          <w:rFonts w:eastAsia="Times New Roman" w:cs="Tahoma"/>
          <w:b/>
          <w:bCs/>
          <w:color w:val="auto"/>
          <w:szCs w:val="24"/>
          <w:lang w:eastAsia="es-ES"/>
        </w:rPr>
        <w:t>h) Vista al desahogo y alcance al desahogo del requerimiento de información adicional.</w:t>
      </w:r>
      <w:r w:rsidRPr="00BF4E0E">
        <w:rPr>
          <w:rFonts w:eastAsia="Times New Roman" w:cs="Tahoma"/>
          <w:color w:val="auto"/>
          <w:szCs w:val="24"/>
          <w:lang w:eastAsia="es-ES"/>
        </w:rPr>
        <w:t xml:space="preserve"> El cuatro de noviembre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w:t>
      </w:r>
    </w:p>
    <w:p w14:paraId="2C38386C" w14:textId="77777777" w:rsidR="003B4E5A" w:rsidRPr="00BF4E0E" w:rsidRDefault="003B4E5A" w:rsidP="003B4E5A">
      <w:pPr>
        <w:spacing w:after="0" w:line="360" w:lineRule="auto"/>
        <w:contextualSpacing/>
        <w:rPr>
          <w:rFonts w:eastAsia="Times New Roman" w:cs="Tahoma"/>
          <w:color w:val="FF0000"/>
          <w:szCs w:val="24"/>
          <w:lang w:eastAsia="es-ES"/>
        </w:rPr>
      </w:pPr>
    </w:p>
    <w:p w14:paraId="1220E37C" w14:textId="27296A71" w:rsidR="003C5FE0" w:rsidRPr="00BF4E0E" w:rsidRDefault="003B4E5A" w:rsidP="00877B34">
      <w:pPr>
        <w:spacing w:after="0" w:line="360" w:lineRule="auto"/>
        <w:contextualSpacing/>
        <w:rPr>
          <w:color w:val="auto"/>
        </w:rPr>
      </w:pPr>
      <w:r w:rsidRPr="00BF4E0E">
        <w:rPr>
          <w:rFonts w:eastAsia="Batang" w:cs="Tahoma"/>
          <w:b/>
          <w:color w:val="auto"/>
        </w:rPr>
        <w:t>i</w:t>
      </w:r>
      <w:r w:rsidR="003C5FE0" w:rsidRPr="00BF4E0E">
        <w:rPr>
          <w:rFonts w:eastAsia="Batang" w:cs="Tahoma"/>
          <w:b/>
          <w:color w:val="auto"/>
        </w:rPr>
        <w:t xml:space="preserve">) </w:t>
      </w:r>
      <w:r w:rsidR="00002B20" w:rsidRPr="00BF4E0E">
        <w:rPr>
          <w:rFonts w:eastAsia="Times New Roman" w:cs="Tahoma"/>
          <w:b/>
          <w:color w:val="auto"/>
          <w:szCs w:val="24"/>
          <w:lang w:eastAsia="es-ES"/>
        </w:rPr>
        <w:t>Cierre de instrucción.</w:t>
      </w:r>
      <w:r w:rsidR="00C06C06" w:rsidRPr="00BF4E0E">
        <w:rPr>
          <w:rFonts w:eastAsia="Times New Roman" w:cs="Tahoma"/>
          <w:color w:val="auto"/>
          <w:szCs w:val="24"/>
          <w:lang w:eastAsia="es-ES"/>
        </w:rPr>
        <w:t xml:space="preserve"> El </w:t>
      </w:r>
      <w:r w:rsidRPr="00BF4E0E">
        <w:rPr>
          <w:rFonts w:eastAsia="Times New Roman" w:cs="Tahoma"/>
          <w:color w:val="auto"/>
          <w:szCs w:val="24"/>
          <w:lang w:eastAsia="es-ES"/>
        </w:rPr>
        <w:t>once</w:t>
      </w:r>
      <w:r w:rsidR="00AE0BFF" w:rsidRPr="00BF4E0E">
        <w:rPr>
          <w:rFonts w:eastAsia="Times New Roman" w:cs="Tahoma"/>
          <w:color w:val="auto"/>
          <w:szCs w:val="24"/>
          <w:lang w:eastAsia="es-ES"/>
        </w:rPr>
        <w:t xml:space="preserve"> de noviembre </w:t>
      </w:r>
      <w:r w:rsidR="00002B20" w:rsidRPr="00BF4E0E">
        <w:rPr>
          <w:rFonts w:eastAsia="Times New Roman" w:cs="Tahoma"/>
          <w:color w:val="auto"/>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BF4E0E">
        <w:rPr>
          <w:color w:val="auto"/>
          <w:lang w:val="es-ES"/>
        </w:rPr>
        <w:t>acto que fue notificado a las partes, mediante el Sistema de Acceso a la Información Mexiquense (SAIMEX), el mismo día.</w:t>
      </w:r>
    </w:p>
    <w:bookmarkEnd w:id="9"/>
    <w:p w14:paraId="08D98E1D" w14:textId="77777777" w:rsidR="000410E6" w:rsidRPr="00BF4E0E" w:rsidRDefault="000410E6" w:rsidP="00877B34">
      <w:pPr>
        <w:spacing w:after="0" w:line="360" w:lineRule="auto"/>
        <w:rPr>
          <w:b/>
          <w:bCs/>
          <w:color w:val="FF0000"/>
          <w:lang w:val="es-ES"/>
        </w:rPr>
      </w:pPr>
    </w:p>
    <w:p w14:paraId="1D2DAFCD" w14:textId="77777777" w:rsidR="000410E6" w:rsidRPr="00BF4E0E" w:rsidRDefault="000410E6" w:rsidP="00877B34">
      <w:pPr>
        <w:spacing w:after="0" w:line="360" w:lineRule="auto"/>
        <w:rPr>
          <w:color w:val="auto"/>
        </w:rPr>
      </w:pPr>
      <w:r w:rsidRPr="00BF4E0E">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BF4E0E" w:rsidRDefault="00674DAF" w:rsidP="00877B34">
      <w:pPr>
        <w:spacing w:after="0" w:line="360" w:lineRule="auto"/>
        <w:rPr>
          <w:color w:val="auto"/>
        </w:rPr>
      </w:pPr>
    </w:p>
    <w:p w14:paraId="250F6589" w14:textId="3F880C72" w:rsidR="005C690F" w:rsidRPr="00BF4E0E" w:rsidRDefault="00CD6238" w:rsidP="00877B34">
      <w:pPr>
        <w:pStyle w:val="Ttulo1"/>
        <w:spacing w:before="0" w:after="0" w:line="360" w:lineRule="auto"/>
        <w:jc w:val="center"/>
        <w:rPr>
          <w:color w:val="auto"/>
          <w:sz w:val="22"/>
          <w:szCs w:val="22"/>
        </w:rPr>
      </w:pPr>
      <w:bookmarkStart w:id="10" w:name="_Toc213165599"/>
      <w:r w:rsidRPr="00BF4E0E">
        <w:rPr>
          <w:color w:val="auto"/>
          <w:sz w:val="22"/>
          <w:szCs w:val="22"/>
        </w:rPr>
        <w:t>C O N S I D E R A N D O S</w:t>
      </w:r>
      <w:bookmarkEnd w:id="10"/>
    </w:p>
    <w:p w14:paraId="5AB6ED71" w14:textId="77777777" w:rsidR="005C690F" w:rsidRPr="00BF4E0E" w:rsidRDefault="005C690F" w:rsidP="00877B34">
      <w:pPr>
        <w:spacing w:after="0" w:line="360" w:lineRule="auto"/>
        <w:jc w:val="center"/>
        <w:rPr>
          <w:b/>
          <w:color w:val="auto"/>
        </w:rPr>
      </w:pPr>
    </w:p>
    <w:p w14:paraId="36BFFC7E" w14:textId="2F0F17EA" w:rsidR="005C690F" w:rsidRPr="00BF4E0E" w:rsidRDefault="007D6307" w:rsidP="00877B34">
      <w:pPr>
        <w:pStyle w:val="Ttulo2"/>
        <w:spacing w:before="0" w:after="0" w:line="360" w:lineRule="auto"/>
        <w:rPr>
          <w:color w:val="auto"/>
          <w:sz w:val="22"/>
          <w:szCs w:val="22"/>
        </w:rPr>
      </w:pPr>
      <w:bookmarkStart w:id="11" w:name="_Toc213165600"/>
      <w:r w:rsidRPr="00BF4E0E">
        <w:rPr>
          <w:color w:val="auto"/>
          <w:sz w:val="22"/>
          <w:szCs w:val="22"/>
        </w:rPr>
        <w:t xml:space="preserve">PRIMERO. </w:t>
      </w:r>
      <w:r w:rsidR="00CD6238" w:rsidRPr="00BF4E0E">
        <w:rPr>
          <w:color w:val="auto"/>
          <w:sz w:val="22"/>
          <w:szCs w:val="22"/>
        </w:rPr>
        <w:t>Competencia</w:t>
      </w:r>
      <w:bookmarkEnd w:id="11"/>
    </w:p>
    <w:p w14:paraId="34E42005" w14:textId="77777777" w:rsidR="0084143D" w:rsidRPr="00BF4E0E" w:rsidRDefault="0084143D" w:rsidP="00877B34">
      <w:pPr>
        <w:spacing w:after="0" w:line="360" w:lineRule="auto"/>
        <w:contextualSpacing/>
        <w:rPr>
          <w:rFonts w:eastAsia="Times New Roman" w:cs="Tahoma"/>
          <w:bCs/>
          <w:color w:val="FF0000"/>
          <w:lang w:eastAsia="es-ES"/>
        </w:rPr>
      </w:pPr>
      <w:bookmarkStart w:id="12" w:name="_heading=h.30j0zll" w:colFirst="0" w:colLast="0"/>
      <w:bookmarkEnd w:id="12"/>
    </w:p>
    <w:p w14:paraId="1AE533CA" w14:textId="77777777" w:rsidR="00964A13" w:rsidRPr="00964A13" w:rsidRDefault="00964A13" w:rsidP="00964A13">
      <w:pPr>
        <w:spacing w:after="0" w:line="360" w:lineRule="auto"/>
        <w:rPr>
          <w:color w:val="auto"/>
        </w:rPr>
      </w:pPr>
      <w:r w:rsidRPr="00964A13">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BF4E0E" w:rsidRDefault="005C690F" w:rsidP="00877B34">
      <w:pPr>
        <w:spacing w:after="0" w:line="360" w:lineRule="auto"/>
        <w:rPr>
          <w:b/>
          <w:color w:val="FF0000"/>
        </w:rPr>
      </w:pPr>
    </w:p>
    <w:p w14:paraId="46691DD5" w14:textId="4C1C70AD" w:rsidR="005C690F" w:rsidRPr="00BF4E0E" w:rsidRDefault="007D6307" w:rsidP="00877B34">
      <w:pPr>
        <w:pStyle w:val="Ttulo2"/>
        <w:spacing w:before="0" w:after="0" w:line="360" w:lineRule="auto"/>
        <w:rPr>
          <w:color w:val="auto"/>
          <w:sz w:val="22"/>
          <w:szCs w:val="22"/>
        </w:rPr>
      </w:pPr>
      <w:bookmarkStart w:id="13" w:name="_Toc213165601"/>
      <w:r w:rsidRPr="00BF4E0E">
        <w:rPr>
          <w:color w:val="auto"/>
          <w:sz w:val="22"/>
          <w:szCs w:val="22"/>
        </w:rPr>
        <w:t>SEGUNDO. Causales de</w:t>
      </w:r>
      <w:r w:rsidR="00CD6238" w:rsidRPr="00BF4E0E">
        <w:rPr>
          <w:color w:val="auto"/>
          <w:sz w:val="22"/>
          <w:szCs w:val="22"/>
        </w:rPr>
        <w:t xml:space="preserve"> improcedencia y sobreseimiento</w:t>
      </w:r>
      <w:bookmarkEnd w:id="13"/>
    </w:p>
    <w:p w14:paraId="49AA4CDE" w14:textId="77777777" w:rsidR="005C690F" w:rsidRPr="00BF4E0E" w:rsidRDefault="005C690F" w:rsidP="00877B34">
      <w:pPr>
        <w:spacing w:after="0" w:line="360" w:lineRule="auto"/>
        <w:rPr>
          <w:color w:val="auto"/>
        </w:rPr>
      </w:pPr>
    </w:p>
    <w:p w14:paraId="2553CE58" w14:textId="77777777" w:rsidR="005C690F" w:rsidRPr="00BF4E0E" w:rsidRDefault="007D6307" w:rsidP="00877B34">
      <w:pPr>
        <w:spacing w:after="0" w:line="360" w:lineRule="auto"/>
        <w:rPr>
          <w:color w:val="auto"/>
        </w:rPr>
      </w:pPr>
      <w:r w:rsidRPr="00BF4E0E">
        <w:rPr>
          <w:color w:val="auto"/>
        </w:rPr>
        <w:t xml:space="preserve">De las constancias que forma parte del Recurso de Revisión que se analiza, se advierte que previo al estudio del fondo de la </w:t>
      </w:r>
      <w:r w:rsidRPr="00BF4E0E">
        <w:rPr>
          <w:i/>
          <w:color w:val="auto"/>
        </w:rPr>
        <w:t>litis</w:t>
      </w:r>
      <w:r w:rsidRPr="00BF4E0E">
        <w:rPr>
          <w:color w:val="auto"/>
        </w:rPr>
        <w:t>, es necesario estudiar las causales de improcedencia y sobreseimiento que se adviertan, para determinar lo que en Derecho proceda.</w:t>
      </w:r>
    </w:p>
    <w:p w14:paraId="35A30074" w14:textId="77777777" w:rsidR="009B2DAB" w:rsidRPr="00BF4E0E" w:rsidRDefault="009B2DAB" w:rsidP="00877B34">
      <w:pPr>
        <w:spacing w:after="0" w:line="360" w:lineRule="auto"/>
        <w:rPr>
          <w:color w:val="auto"/>
        </w:rPr>
      </w:pPr>
    </w:p>
    <w:p w14:paraId="3066DF0C" w14:textId="77777777" w:rsidR="005C690F" w:rsidRPr="00BF4E0E" w:rsidRDefault="007D6307" w:rsidP="00877B34">
      <w:pPr>
        <w:spacing w:after="0" w:line="360" w:lineRule="auto"/>
        <w:rPr>
          <w:b/>
          <w:color w:val="auto"/>
        </w:rPr>
      </w:pPr>
      <w:r w:rsidRPr="00BF4E0E">
        <w:rPr>
          <w:b/>
          <w:color w:val="auto"/>
        </w:rPr>
        <w:t>Causales de improcedencia</w:t>
      </w:r>
    </w:p>
    <w:p w14:paraId="706394D4" w14:textId="77777777" w:rsidR="00304DE6" w:rsidRPr="00BF4E0E" w:rsidRDefault="00304DE6" w:rsidP="00877B34">
      <w:pPr>
        <w:spacing w:after="0" w:line="360" w:lineRule="auto"/>
        <w:rPr>
          <w:b/>
          <w:color w:val="auto"/>
        </w:rPr>
      </w:pPr>
    </w:p>
    <w:p w14:paraId="6C56CA88" w14:textId="77777777" w:rsidR="005C690F" w:rsidRPr="00BF4E0E" w:rsidRDefault="007D6307" w:rsidP="00877B34">
      <w:pPr>
        <w:spacing w:after="0" w:line="360" w:lineRule="auto"/>
        <w:rPr>
          <w:color w:val="auto"/>
        </w:rPr>
      </w:pPr>
      <w:r w:rsidRPr="00BF4E0E">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BF4E0E" w:rsidRDefault="005C690F" w:rsidP="00877B34">
      <w:pPr>
        <w:spacing w:after="0" w:line="360" w:lineRule="auto"/>
        <w:rPr>
          <w:color w:val="auto"/>
        </w:rPr>
      </w:pPr>
    </w:p>
    <w:p w14:paraId="22563DDB" w14:textId="33D3D011" w:rsidR="008D3B3F" w:rsidRPr="00BF4E0E" w:rsidRDefault="007D6307" w:rsidP="00877B34">
      <w:pPr>
        <w:spacing w:after="0" w:line="360" w:lineRule="auto"/>
        <w:rPr>
          <w:color w:val="auto"/>
        </w:rPr>
      </w:pPr>
      <w:r w:rsidRPr="00BF4E0E">
        <w:rPr>
          <w:color w:val="auto"/>
        </w:rPr>
        <w:t>En el presente caso, </w:t>
      </w:r>
      <w:r w:rsidRPr="00BF4E0E">
        <w:rPr>
          <w:b/>
          <w:color w:val="auto"/>
        </w:rPr>
        <w:t>no se actualiza ninguna de las causales de improcedencia</w:t>
      </w:r>
      <w:r w:rsidRPr="00BF4E0E">
        <w:rPr>
          <w:color w:val="auto"/>
        </w:rPr>
        <w:t> establecidas en el ordenamiento jurídico previamente señalado, toda vez que: este Instituto no tiene conocimiento de que se encuentre en trámite algún medio de defensa presentado por la</w:t>
      </w:r>
      <w:r w:rsidR="00261B92" w:rsidRPr="00BF4E0E">
        <w:rPr>
          <w:color w:val="auto"/>
        </w:rPr>
        <w:t xml:space="preserve"> persona</w:t>
      </w:r>
      <w:r w:rsidRPr="00BF4E0E">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BF4E0E" w:rsidRDefault="00874D8A" w:rsidP="00877B34">
      <w:pPr>
        <w:spacing w:after="0" w:line="360" w:lineRule="auto"/>
        <w:rPr>
          <w:color w:val="auto"/>
        </w:rPr>
      </w:pPr>
    </w:p>
    <w:p w14:paraId="4EF8595B" w14:textId="468B4172" w:rsidR="00624F33" w:rsidRPr="00BF4E0E" w:rsidRDefault="00624F33" w:rsidP="00877B34">
      <w:pPr>
        <w:spacing w:after="0" w:line="360" w:lineRule="auto"/>
        <w:rPr>
          <w:color w:val="auto"/>
        </w:rPr>
      </w:pPr>
      <w:r w:rsidRPr="00BF4E0E">
        <w:rPr>
          <w:color w:val="auto"/>
        </w:rPr>
        <w:t>Por lo cual, se actualiza</w:t>
      </w:r>
      <w:r w:rsidR="00334796" w:rsidRPr="00BF4E0E">
        <w:rPr>
          <w:color w:val="auto"/>
        </w:rPr>
        <w:t>n</w:t>
      </w:r>
      <w:r w:rsidRPr="00BF4E0E">
        <w:rPr>
          <w:color w:val="auto"/>
        </w:rPr>
        <w:t xml:space="preserve"> la</w:t>
      </w:r>
      <w:r w:rsidR="00334796" w:rsidRPr="00BF4E0E">
        <w:rPr>
          <w:color w:val="auto"/>
        </w:rPr>
        <w:t>s</w:t>
      </w:r>
      <w:r w:rsidRPr="00BF4E0E">
        <w:rPr>
          <w:color w:val="auto"/>
        </w:rPr>
        <w:t xml:space="preserve"> causal</w:t>
      </w:r>
      <w:r w:rsidR="00334796" w:rsidRPr="00BF4E0E">
        <w:rPr>
          <w:color w:val="auto"/>
        </w:rPr>
        <w:t>es</w:t>
      </w:r>
      <w:r w:rsidRPr="00BF4E0E">
        <w:rPr>
          <w:color w:val="auto"/>
        </w:rPr>
        <w:t xml:space="preserve"> de procedencia del Recurso de Revisión señalada</w:t>
      </w:r>
      <w:r w:rsidR="00334796" w:rsidRPr="00BF4E0E">
        <w:rPr>
          <w:color w:val="auto"/>
        </w:rPr>
        <w:t>s</w:t>
      </w:r>
      <w:r w:rsidRPr="00BF4E0E">
        <w:rPr>
          <w:color w:val="auto"/>
        </w:rPr>
        <w:t xml:space="preserve"> en el artículo 179, fracci</w:t>
      </w:r>
      <w:r w:rsidR="00334796" w:rsidRPr="00BF4E0E">
        <w:rPr>
          <w:color w:val="auto"/>
        </w:rPr>
        <w:t xml:space="preserve">ones </w:t>
      </w:r>
      <w:r w:rsidR="00727351" w:rsidRPr="00BF4E0E">
        <w:rPr>
          <w:color w:val="auto"/>
        </w:rPr>
        <w:t>III</w:t>
      </w:r>
      <w:r w:rsidR="00334796" w:rsidRPr="00BF4E0E">
        <w:rPr>
          <w:color w:val="auto"/>
        </w:rPr>
        <w:t xml:space="preserve"> y</w:t>
      </w:r>
      <w:r w:rsidRPr="00BF4E0E">
        <w:rPr>
          <w:color w:val="auto"/>
        </w:rPr>
        <w:t xml:space="preserve"> VIII, de la Ley en cita, pues la persona Recurrente se inconformó de la notificación, entrega o puesta a disposición de información en una modalidad distinta a la solicitada</w:t>
      </w:r>
      <w:r w:rsidR="00334796" w:rsidRPr="00BF4E0E">
        <w:rPr>
          <w:color w:val="auto"/>
        </w:rPr>
        <w:t xml:space="preserve"> y la </w:t>
      </w:r>
      <w:r w:rsidR="00727351" w:rsidRPr="00BF4E0E">
        <w:rPr>
          <w:color w:val="auto"/>
        </w:rPr>
        <w:t>declaración de inexistencia de la información.</w:t>
      </w:r>
    </w:p>
    <w:p w14:paraId="2888CB61" w14:textId="77777777" w:rsidR="00624F33" w:rsidRPr="00BF4E0E" w:rsidRDefault="00624F33" w:rsidP="00877B34">
      <w:pPr>
        <w:spacing w:after="0" w:line="360" w:lineRule="auto"/>
        <w:rPr>
          <w:color w:val="auto"/>
        </w:rPr>
      </w:pPr>
      <w:r w:rsidRPr="00BF4E0E">
        <w:rPr>
          <w:b/>
          <w:color w:val="auto"/>
        </w:rPr>
        <w:t>Causales de sobreseimiento</w:t>
      </w:r>
    </w:p>
    <w:p w14:paraId="22EF217B" w14:textId="77777777" w:rsidR="00624F33" w:rsidRPr="00BF4E0E" w:rsidRDefault="00624F33" w:rsidP="00877B34">
      <w:pPr>
        <w:spacing w:after="0" w:line="360" w:lineRule="auto"/>
        <w:rPr>
          <w:color w:val="auto"/>
        </w:rPr>
      </w:pPr>
    </w:p>
    <w:p w14:paraId="4AE42BF9" w14:textId="77777777" w:rsidR="00624F33" w:rsidRPr="00BF4E0E" w:rsidRDefault="00624F33" w:rsidP="00877B34">
      <w:pPr>
        <w:spacing w:after="0" w:line="360" w:lineRule="auto"/>
        <w:rPr>
          <w:color w:val="auto"/>
        </w:rPr>
      </w:pPr>
      <w:r w:rsidRPr="00BF4E0E">
        <w:rPr>
          <w:color w:val="auto"/>
        </w:rPr>
        <w:t>Por ser de previo y especial pronunciamiento, este Instituto analiza si se actualiza alguna causal de sobreseimiento.</w:t>
      </w:r>
    </w:p>
    <w:p w14:paraId="2E77C374" w14:textId="77777777" w:rsidR="00624F33" w:rsidRPr="00BF4E0E" w:rsidRDefault="00624F33" w:rsidP="00877B34">
      <w:pPr>
        <w:spacing w:after="0" w:line="360" w:lineRule="auto"/>
        <w:rPr>
          <w:color w:val="auto"/>
        </w:rPr>
      </w:pPr>
    </w:p>
    <w:p w14:paraId="4392045E" w14:textId="77777777" w:rsidR="00624F33" w:rsidRPr="00BF4E0E" w:rsidRDefault="00624F33" w:rsidP="00877B34">
      <w:pPr>
        <w:spacing w:after="0" w:line="360" w:lineRule="auto"/>
        <w:rPr>
          <w:color w:val="auto"/>
        </w:rPr>
      </w:pPr>
      <w:r w:rsidRPr="00BF4E0E">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53BE7213" w14:textId="77777777" w:rsidR="00624F33" w:rsidRPr="00BF4E0E" w:rsidRDefault="00624F33" w:rsidP="00877B34">
      <w:pPr>
        <w:spacing w:after="0" w:line="360" w:lineRule="auto"/>
        <w:rPr>
          <w:color w:val="auto"/>
        </w:rPr>
      </w:pPr>
    </w:p>
    <w:p w14:paraId="4C2B1A45" w14:textId="77777777" w:rsidR="00624F33" w:rsidRPr="00BF4E0E" w:rsidRDefault="00624F33" w:rsidP="00877B34">
      <w:pPr>
        <w:spacing w:after="0" w:line="360" w:lineRule="auto"/>
        <w:rPr>
          <w:color w:val="auto"/>
        </w:rPr>
      </w:pPr>
      <w:r w:rsidRPr="00BF4E0E">
        <w:rPr>
          <w:color w:val="auto"/>
        </w:rPr>
        <w:t xml:space="preserve">Por tales motivos, se considera procedente entrar al fondo del presente asunto. </w:t>
      </w:r>
    </w:p>
    <w:p w14:paraId="2C9B9AF7" w14:textId="77777777" w:rsidR="00624F33" w:rsidRPr="00BF4E0E" w:rsidRDefault="00624F33" w:rsidP="00877B34">
      <w:pPr>
        <w:spacing w:after="0" w:line="360" w:lineRule="auto"/>
        <w:rPr>
          <w:b/>
          <w:color w:val="auto"/>
        </w:rPr>
      </w:pPr>
    </w:p>
    <w:p w14:paraId="6894BDA9" w14:textId="77777777" w:rsidR="00624F33" w:rsidRPr="00BF4E0E" w:rsidRDefault="00624F33" w:rsidP="00877B34">
      <w:pPr>
        <w:pStyle w:val="Ttulo2"/>
        <w:spacing w:before="0" w:after="0" w:line="360" w:lineRule="auto"/>
        <w:rPr>
          <w:color w:val="auto"/>
          <w:sz w:val="22"/>
          <w:szCs w:val="22"/>
        </w:rPr>
      </w:pPr>
      <w:bookmarkStart w:id="14" w:name="_Toc190262566"/>
      <w:bookmarkStart w:id="15" w:name="_Toc213165602"/>
      <w:r w:rsidRPr="00BF4E0E">
        <w:rPr>
          <w:color w:val="auto"/>
          <w:sz w:val="22"/>
          <w:szCs w:val="22"/>
        </w:rPr>
        <w:t>TERCERO. Determinación de la Controversia</w:t>
      </w:r>
      <w:bookmarkEnd w:id="14"/>
      <w:bookmarkEnd w:id="15"/>
    </w:p>
    <w:p w14:paraId="2D3CE49F" w14:textId="77777777" w:rsidR="00624F33" w:rsidRPr="00BF4E0E" w:rsidRDefault="00624F33" w:rsidP="00877B34">
      <w:pPr>
        <w:spacing w:after="0" w:line="360" w:lineRule="auto"/>
        <w:rPr>
          <w:b/>
          <w:color w:val="FF0000"/>
        </w:rPr>
      </w:pPr>
    </w:p>
    <w:p w14:paraId="19595F2A" w14:textId="0451CD08" w:rsidR="00CC6536" w:rsidRPr="00BF4E0E" w:rsidRDefault="00624F33" w:rsidP="00877B34">
      <w:pPr>
        <w:spacing w:after="0" w:line="360" w:lineRule="auto"/>
        <w:rPr>
          <w:rFonts w:cs="Tahoma"/>
          <w:color w:val="auto"/>
        </w:rPr>
      </w:pPr>
      <w:r w:rsidRPr="00BF4E0E">
        <w:rPr>
          <w:rFonts w:cs="Tahoma"/>
          <w:color w:val="auto"/>
        </w:rPr>
        <w:t>Con el objetivo de ilustrar la controversia planteada, resulta conveniente precisar, que una vez realizado el estudio de las constancias que integran el expediente en el que se actúa, se desprende que el Particular requirió l</w:t>
      </w:r>
      <w:r w:rsidR="00CC6536" w:rsidRPr="00BF4E0E">
        <w:rPr>
          <w:rFonts w:cs="Tahoma"/>
          <w:color w:val="auto"/>
        </w:rPr>
        <w:t xml:space="preserve">os comprobantes bancarios de la dispersión de la nómina que fueron remitidos al Órgano Superior de Fiscalización </w:t>
      </w:r>
      <w:r w:rsidR="00083D67" w:rsidRPr="00BF4E0E">
        <w:rPr>
          <w:rFonts w:cs="Tahoma"/>
          <w:color w:val="auto"/>
        </w:rPr>
        <w:t>durante los</w:t>
      </w:r>
      <w:r w:rsidR="00CC6536" w:rsidRPr="00BF4E0E">
        <w:rPr>
          <w:rFonts w:cs="Tahoma"/>
          <w:color w:val="auto"/>
        </w:rPr>
        <w:t xml:space="preserve"> ejercicios fiscales dos mil veintidós, dos mil veintitrés y dos mil veinticuatro.</w:t>
      </w:r>
    </w:p>
    <w:p w14:paraId="7C5678FD" w14:textId="77777777" w:rsidR="00624F33" w:rsidRPr="00BF4E0E" w:rsidRDefault="00624F33" w:rsidP="00877B34">
      <w:pPr>
        <w:spacing w:after="0" w:line="360" w:lineRule="auto"/>
        <w:rPr>
          <w:rFonts w:cs="Tahoma"/>
          <w:color w:val="FF0000"/>
        </w:rPr>
      </w:pPr>
    </w:p>
    <w:p w14:paraId="39CF2BF4" w14:textId="783A2C36" w:rsidR="00E10E69" w:rsidRPr="00BF4E0E" w:rsidRDefault="00624F33" w:rsidP="00877B34">
      <w:pPr>
        <w:spacing w:after="0" w:line="360" w:lineRule="auto"/>
        <w:rPr>
          <w:color w:val="auto"/>
        </w:rPr>
      </w:pPr>
      <w:bookmarkStart w:id="16" w:name="_Hlk212483459"/>
      <w:r w:rsidRPr="00BF4E0E">
        <w:rPr>
          <w:color w:val="auto"/>
        </w:rPr>
        <w:t xml:space="preserve">En respuesta, el Sujeto Obligado, a través </w:t>
      </w:r>
      <w:r w:rsidR="00E10E69" w:rsidRPr="00BF4E0E">
        <w:rPr>
          <w:color w:val="auto"/>
        </w:rPr>
        <w:t xml:space="preserve">de </w:t>
      </w:r>
      <w:r w:rsidR="00C50B90" w:rsidRPr="00BF4E0E">
        <w:rPr>
          <w:color w:val="auto"/>
        </w:rPr>
        <w:t xml:space="preserve">la Coordinación de Administración y Finanzas del Instituto de la Mujer de Toluca señaló que no puede proporcionar los comprobantes bancarios de la dispersión de la nómina del periodo solicitado, toda vez que en relación con los comprobantes de dos mil veintidós después de realizar la búsqueda </w:t>
      </w:r>
      <w:r w:rsidRPr="00BF4E0E">
        <w:rPr>
          <w:color w:val="auto"/>
        </w:rPr>
        <w:t>en los archivos que obran en el Instituto, solo se encontraron oficios girados en atención a la Auditora Superior de Fiscalización del Estado de México de la presentación del Primer, Segundo y Tercer Informe Trimestral Municipal, sin el disco de la información presentada al Órgano Superior de Fiscalización del Estado de México (OSFEM) del Módulo 4, Información Administrativa en la que se incluyeron los comprobantes bancarios de dispersión</w:t>
      </w:r>
      <w:r w:rsidR="00C50B90" w:rsidRPr="00BF4E0E">
        <w:rPr>
          <w:color w:val="auto"/>
        </w:rPr>
        <w:t>.</w:t>
      </w:r>
    </w:p>
    <w:p w14:paraId="3BF8989C" w14:textId="77777777" w:rsidR="00C50B90" w:rsidRPr="00BF4E0E" w:rsidRDefault="00C50B90" w:rsidP="00877B34">
      <w:pPr>
        <w:spacing w:after="0" w:line="360" w:lineRule="auto"/>
        <w:rPr>
          <w:color w:val="auto"/>
        </w:rPr>
      </w:pPr>
    </w:p>
    <w:p w14:paraId="5E893A8B" w14:textId="56C3D5C4" w:rsidR="00C50B90" w:rsidRPr="00BF4E0E" w:rsidRDefault="00924C72" w:rsidP="00877B34">
      <w:pPr>
        <w:spacing w:after="0" w:line="360" w:lineRule="auto"/>
        <w:rPr>
          <w:color w:val="auto"/>
        </w:rPr>
      </w:pPr>
      <w:r w:rsidRPr="00BF4E0E">
        <w:rPr>
          <w:color w:val="auto"/>
        </w:rPr>
        <w:t>En relación con los ejercicios fiscales dos mil veintitrés y dos mil veinticuatro, el OSFEM implemento una Plataforma Digital, con componentes de los Informes Trimestrales en la que adjuntaron las dispersiones de nóminas, sin embargo, a la fecha la plataforma no permite el acceso a la información.</w:t>
      </w:r>
    </w:p>
    <w:p w14:paraId="3E6CF763" w14:textId="77777777" w:rsidR="00E10E69" w:rsidRPr="00BF4E0E" w:rsidRDefault="00E10E69" w:rsidP="00877B34">
      <w:pPr>
        <w:spacing w:after="0" w:line="360" w:lineRule="auto"/>
        <w:rPr>
          <w:color w:val="auto"/>
        </w:rPr>
      </w:pPr>
    </w:p>
    <w:p w14:paraId="1C6C71B5" w14:textId="0C8B9E42" w:rsidR="00624F33" w:rsidRPr="00BF4E0E" w:rsidRDefault="002E49E5" w:rsidP="00877B34">
      <w:pPr>
        <w:spacing w:after="0" w:line="360" w:lineRule="auto"/>
        <w:rPr>
          <w:rFonts w:eastAsia="Calibri" w:cs="Tahoma"/>
          <w:color w:val="auto"/>
        </w:rPr>
      </w:pPr>
      <w:r w:rsidRPr="00BF4E0E">
        <w:rPr>
          <w:color w:val="auto"/>
        </w:rPr>
        <w:t>Por su parte, la Tesorería Municipal</w:t>
      </w:r>
      <w:r w:rsidR="009A4388" w:rsidRPr="00BF4E0E">
        <w:rPr>
          <w:color w:val="auto"/>
        </w:rPr>
        <w:t xml:space="preserve"> menciono que </w:t>
      </w:r>
      <w:r w:rsidR="004D3C26" w:rsidRPr="00BF4E0E">
        <w:rPr>
          <w:color w:val="auto"/>
        </w:rPr>
        <w:t xml:space="preserve">la información solicitada se ponía a disposición en consulta directa, ya que la misma </w:t>
      </w:r>
      <w:r w:rsidR="009A4388" w:rsidRPr="00BF4E0E">
        <w:rPr>
          <w:color w:val="auto"/>
        </w:rPr>
        <w:t>consta de un aproximado de 7,005 hojas y un pe</w:t>
      </w:r>
      <w:r w:rsidR="00BC305D" w:rsidRPr="00BF4E0E">
        <w:rPr>
          <w:color w:val="auto"/>
        </w:rPr>
        <w:t>s</w:t>
      </w:r>
      <w:r w:rsidR="009A4388" w:rsidRPr="00BF4E0E">
        <w:rPr>
          <w:color w:val="auto"/>
        </w:rPr>
        <w:t>o de hasta 500 Mb y/o 8000 hojas</w:t>
      </w:r>
      <w:bookmarkEnd w:id="16"/>
      <w:r w:rsidR="00624F33" w:rsidRPr="00BF4E0E">
        <w:rPr>
          <w:rFonts w:cs="Tahoma"/>
          <w:color w:val="auto"/>
        </w:rPr>
        <w:t>;</w:t>
      </w:r>
      <w:r w:rsidR="00624F33" w:rsidRPr="00BF4E0E">
        <w:rPr>
          <w:color w:val="auto"/>
        </w:rPr>
        <w:t xml:space="preserve"> </w:t>
      </w:r>
      <w:r w:rsidR="00624F33" w:rsidRPr="00BF4E0E">
        <w:rPr>
          <w:rFonts w:cs="Tahoma"/>
          <w:color w:val="auto"/>
          <w:lang w:val="es-ES"/>
        </w:rPr>
        <w:t>ante dicha circunstancia, el Particular se inconformó de la puesta a disposición la información a consulta directa</w:t>
      </w:r>
      <w:r w:rsidR="00334796" w:rsidRPr="00BF4E0E">
        <w:rPr>
          <w:rFonts w:cs="Tahoma"/>
          <w:color w:val="auto"/>
          <w:lang w:val="es-ES"/>
        </w:rPr>
        <w:t xml:space="preserve"> y de la</w:t>
      </w:r>
      <w:r w:rsidR="00B03B5C" w:rsidRPr="00BF4E0E">
        <w:rPr>
          <w:rFonts w:cs="Tahoma"/>
          <w:color w:val="auto"/>
          <w:lang w:val="es-ES"/>
        </w:rPr>
        <w:t xml:space="preserve"> declaración de la inexistencia de la información</w:t>
      </w:r>
      <w:r w:rsidR="00624F33" w:rsidRPr="00BF4E0E">
        <w:rPr>
          <w:rFonts w:cs="Tahoma"/>
          <w:color w:val="auto"/>
          <w:lang w:val="es-ES"/>
        </w:rPr>
        <w:t xml:space="preserve">, lo cual </w:t>
      </w:r>
      <w:r w:rsidR="00624F33" w:rsidRPr="00BF4E0E">
        <w:rPr>
          <w:rFonts w:eastAsia="Calibri" w:cs="Tahoma"/>
          <w:color w:val="auto"/>
        </w:rPr>
        <w:t>actualiza la causal</w:t>
      </w:r>
      <w:r w:rsidR="00334796" w:rsidRPr="00BF4E0E">
        <w:rPr>
          <w:rFonts w:eastAsia="Calibri" w:cs="Tahoma"/>
          <w:color w:val="auto"/>
        </w:rPr>
        <w:t>es</w:t>
      </w:r>
      <w:r w:rsidR="00624F33" w:rsidRPr="00BF4E0E">
        <w:rPr>
          <w:rFonts w:eastAsia="Calibri" w:cs="Tahoma"/>
          <w:color w:val="auto"/>
        </w:rPr>
        <w:t xml:space="preserve"> de procedencia prevista</w:t>
      </w:r>
      <w:r w:rsidR="00334796" w:rsidRPr="00BF4E0E">
        <w:rPr>
          <w:rFonts w:eastAsia="Calibri" w:cs="Tahoma"/>
          <w:color w:val="auto"/>
        </w:rPr>
        <w:t>s</w:t>
      </w:r>
      <w:r w:rsidR="00624F33" w:rsidRPr="00BF4E0E">
        <w:rPr>
          <w:rFonts w:eastAsia="Calibri" w:cs="Tahoma"/>
          <w:color w:val="auto"/>
        </w:rPr>
        <w:t xml:space="preserve"> en la</w:t>
      </w:r>
      <w:r w:rsidR="00334796" w:rsidRPr="00BF4E0E">
        <w:rPr>
          <w:rFonts w:eastAsia="Calibri" w:cs="Tahoma"/>
          <w:color w:val="auto"/>
        </w:rPr>
        <w:t>s</w:t>
      </w:r>
      <w:r w:rsidR="00624F33" w:rsidRPr="00BF4E0E">
        <w:rPr>
          <w:rFonts w:eastAsia="Calibri" w:cs="Tahoma"/>
          <w:color w:val="auto"/>
        </w:rPr>
        <w:t xml:space="preserve"> fracci</w:t>
      </w:r>
      <w:r w:rsidR="00334796" w:rsidRPr="00BF4E0E">
        <w:rPr>
          <w:rFonts w:eastAsia="Calibri" w:cs="Tahoma"/>
          <w:color w:val="auto"/>
        </w:rPr>
        <w:t xml:space="preserve">ones </w:t>
      </w:r>
      <w:r w:rsidR="00B03B5C" w:rsidRPr="00BF4E0E">
        <w:rPr>
          <w:rFonts w:eastAsia="Calibri" w:cs="Tahoma"/>
          <w:color w:val="auto"/>
        </w:rPr>
        <w:t>III</w:t>
      </w:r>
      <w:r w:rsidR="00334796" w:rsidRPr="00BF4E0E">
        <w:rPr>
          <w:rFonts w:eastAsia="Calibri" w:cs="Tahoma"/>
          <w:color w:val="auto"/>
        </w:rPr>
        <w:t xml:space="preserve"> y</w:t>
      </w:r>
      <w:r w:rsidR="00624F33" w:rsidRPr="00BF4E0E">
        <w:rPr>
          <w:rFonts w:eastAsia="Calibri" w:cs="Tahoma"/>
          <w:color w:val="auto"/>
        </w:rPr>
        <w:t xml:space="preserve"> VIII, del artículo 179 de la Ley de Transparencia y Acceso a la Información Pública del Estado de México y Municipios</w:t>
      </w:r>
      <w:r w:rsidR="00C642BC" w:rsidRPr="00BF4E0E">
        <w:rPr>
          <w:color w:val="auto"/>
        </w:rPr>
        <w:t xml:space="preserve">; dicha situación, al aplicar la suplencia de la queja a favor de la Solicitante, en términos de los diversos 13 y, penúltimo párrafo, del 181 del ordenamiento señalado. </w:t>
      </w:r>
      <w:r w:rsidR="00557949" w:rsidRPr="00BF4E0E">
        <w:rPr>
          <w:color w:val="auto"/>
        </w:rPr>
        <w:t xml:space="preserve"> </w:t>
      </w:r>
      <w:r w:rsidR="00624F33" w:rsidRPr="00BF4E0E">
        <w:rPr>
          <w:rFonts w:eastAsia="Calibri" w:cs="Tahoma"/>
          <w:color w:val="auto"/>
        </w:rPr>
        <w:t xml:space="preserve">Así, las cosas, una vez admitido y notificado el Recurso de Revisión a las partes, </w:t>
      </w:r>
      <w:r w:rsidR="008C3E6D" w:rsidRPr="00BF4E0E">
        <w:rPr>
          <w:rFonts w:eastAsia="Calibri" w:cs="Tahoma"/>
          <w:color w:val="auto"/>
        </w:rPr>
        <w:t>el Sujeto Obligado ratifico su respuesta inicial</w:t>
      </w:r>
      <w:r w:rsidR="009A4388" w:rsidRPr="00BF4E0E">
        <w:rPr>
          <w:rFonts w:eastAsia="Calibri" w:cs="Tahoma"/>
          <w:color w:val="auto"/>
        </w:rPr>
        <w:t>.</w:t>
      </w:r>
    </w:p>
    <w:p w14:paraId="58BA5228" w14:textId="77777777" w:rsidR="00063B2A" w:rsidRPr="00BF4E0E" w:rsidRDefault="00063B2A" w:rsidP="00877B34">
      <w:pPr>
        <w:spacing w:after="0" w:line="360" w:lineRule="auto"/>
        <w:rPr>
          <w:rFonts w:eastAsia="Calibri" w:cs="Tahoma"/>
          <w:color w:val="auto"/>
        </w:rPr>
      </w:pPr>
    </w:p>
    <w:p w14:paraId="26C34690" w14:textId="478295E6" w:rsidR="00063B2A" w:rsidRPr="00BF4E0E" w:rsidRDefault="00063B2A" w:rsidP="00063B2A">
      <w:pPr>
        <w:spacing w:after="0" w:line="360" w:lineRule="auto"/>
        <w:rPr>
          <w:color w:val="auto"/>
        </w:rPr>
      </w:pPr>
      <w:r w:rsidRPr="00BF4E0E">
        <w:rPr>
          <w:color w:val="auto"/>
        </w:rPr>
        <w:t xml:space="preserve">Posteriormente, a efecto de contar con elementos necesarios para la elaboración del proyecto de resolución, se realizó un Requerimiento de Información Adicional al Ayuntamiento de Toluca, por medio del cual, </w:t>
      </w:r>
      <w:r w:rsidR="00EC73E0" w:rsidRPr="00BF4E0E">
        <w:rPr>
          <w:color w:val="auto"/>
        </w:rPr>
        <w:t xml:space="preserve">la Tesorería Municipal </w:t>
      </w:r>
      <w:r w:rsidR="006801C6" w:rsidRPr="00BF4E0E">
        <w:rPr>
          <w:color w:val="auto"/>
        </w:rPr>
        <w:t>señaló que la información solicitada consta de un total de 7005 hojas y un peso de 1960.3 MB.</w:t>
      </w:r>
    </w:p>
    <w:p w14:paraId="1756B1A3" w14:textId="77BD74CA" w:rsidR="006801C6" w:rsidRPr="00BF4E0E" w:rsidRDefault="006801C6" w:rsidP="006801C6">
      <w:pPr>
        <w:spacing w:after="0" w:line="360" w:lineRule="auto"/>
        <w:ind w:right="567"/>
        <w:jc w:val="center"/>
        <w:rPr>
          <w:rFonts w:eastAsia="Times New Roman" w:cs="Arial"/>
          <w:bCs/>
          <w:color w:val="auto"/>
          <w:sz w:val="20"/>
          <w:lang w:eastAsia="es-ES"/>
        </w:rPr>
      </w:pPr>
    </w:p>
    <w:p w14:paraId="0752E088" w14:textId="77777777" w:rsidR="00624F33" w:rsidRPr="00BF4E0E" w:rsidRDefault="00624F33" w:rsidP="00877B34">
      <w:pPr>
        <w:spacing w:after="0" w:line="360" w:lineRule="auto"/>
        <w:rPr>
          <w:color w:val="auto"/>
        </w:rPr>
      </w:pPr>
    </w:p>
    <w:p w14:paraId="7190D1C2" w14:textId="6EA5CC93" w:rsidR="00624F33" w:rsidRPr="00BF4E0E" w:rsidRDefault="006801C6" w:rsidP="006801C6">
      <w:pPr>
        <w:spacing w:after="0" w:line="360" w:lineRule="auto"/>
        <w:rPr>
          <w:color w:val="auto"/>
        </w:rPr>
      </w:pPr>
      <w:r w:rsidRPr="00BF4E0E">
        <w:rPr>
          <w:color w:val="auto"/>
        </w:rPr>
        <w:t>Lo anterior, se desprende de las documentales que obran en el expediente de referencia, materia de la presente resolución, consistente en: las solicitudes de acceso a la información, las respuestas entregadas, los escritos recu</w:t>
      </w:r>
      <w:r w:rsidR="00CD66C9" w:rsidRPr="00BF4E0E">
        <w:rPr>
          <w:color w:val="auto"/>
        </w:rPr>
        <w:t>r</w:t>
      </w:r>
      <w:r w:rsidRPr="00BF4E0E">
        <w:rPr>
          <w:color w:val="auto"/>
        </w:rPr>
        <w:t>sales, el Informe Justificado, el Requerimiento de Información Adicional y Desahogo al Requerimiento de Información Adicional; instrumentales que se toman en cuenta a efecto de resolver el presente medio de impugnación, conforme a lo dispuesto por el artículo 185, fracción IV, de la Ley de Transparencia y Acceso a la Información Pública del Estado de México y Municipios.</w:t>
      </w:r>
    </w:p>
    <w:p w14:paraId="104A33FA" w14:textId="77777777" w:rsidR="006801C6" w:rsidRPr="00BF4E0E" w:rsidRDefault="006801C6" w:rsidP="006801C6">
      <w:pPr>
        <w:spacing w:after="0" w:line="360" w:lineRule="auto"/>
        <w:rPr>
          <w:b/>
          <w:color w:val="FF0000"/>
        </w:rPr>
      </w:pPr>
    </w:p>
    <w:p w14:paraId="5BCBF590" w14:textId="77777777" w:rsidR="00624F33" w:rsidRPr="00BF4E0E" w:rsidRDefault="00624F33" w:rsidP="00877B34">
      <w:pPr>
        <w:pStyle w:val="Ttulo2"/>
        <w:spacing w:before="0" w:after="0" w:line="360" w:lineRule="auto"/>
        <w:rPr>
          <w:color w:val="auto"/>
          <w:sz w:val="22"/>
          <w:szCs w:val="22"/>
        </w:rPr>
      </w:pPr>
      <w:bookmarkStart w:id="17" w:name="_Toc190262567"/>
      <w:bookmarkStart w:id="18" w:name="_Toc213165603"/>
      <w:r w:rsidRPr="00BF4E0E">
        <w:rPr>
          <w:color w:val="auto"/>
          <w:sz w:val="22"/>
          <w:szCs w:val="22"/>
        </w:rPr>
        <w:t>CUARTO. Marco normativo aplicable en materia de transparencia y acceso a la información pública</w:t>
      </w:r>
      <w:bookmarkEnd w:id="17"/>
      <w:bookmarkEnd w:id="18"/>
    </w:p>
    <w:p w14:paraId="3A987958" w14:textId="77777777" w:rsidR="00624F33" w:rsidRPr="00BF4E0E" w:rsidRDefault="00624F33" w:rsidP="00877B34">
      <w:pPr>
        <w:spacing w:after="0" w:line="360" w:lineRule="auto"/>
        <w:rPr>
          <w:color w:val="FF0000"/>
        </w:rPr>
      </w:pPr>
    </w:p>
    <w:p w14:paraId="0673EB41" w14:textId="77777777" w:rsidR="00624F33" w:rsidRPr="00BF4E0E" w:rsidRDefault="00624F33" w:rsidP="00877B34">
      <w:pPr>
        <w:spacing w:after="0" w:line="360" w:lineRule="auto"/>
        <w:rPr>
          <w:color w:val="auto"/>
        </w:rPr>
      </w:pPr>
      <w:r w:rsidRPr="00BF4E0E">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814DEA0" w14:textId="77777777" w:rsidR="00624F33" w:rsidRPr="00BF4E0E" w:rsidRDefault="00624F33" w:rsidP="00877B34">
      <w:pPr>
        <w:spacing w:after="0" w:line="360" w:lineRule="auto"/>
        <w:rPr>
          <w:color w:val="auto"/>
        </w:rPr>
      </w:pPr>
    </w:p>
    <w:p w14:paraId="43AD7AF0" w14:textId="77777777" w:rsidR="00624F33" w:rsidRPr="00BF4E0E" w:rsidRDefault="00624F33" w:rsidP="00877B34">
      <w:pPr>
        <w:spacing w:after="0" w:line="360" w:lineRule="auto"/>
        <w:rPr>
          <w:color w:val="auto"/>
        </w:rPr>
      </w:pPr>
      <w:r w:rsidRPr="00BF4E0E">
        <w:rPr>
          <w:color w:val="auto"/>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15228B8" w14:textId="77777777" w:rsidR="00624F33" w:rsidRPr="00BF4E0E" w:rsidRDefault="00624F33" w:rsidP="00877B34">
      <w:pPr>
        <w:spacing w:after="0" w:line="360" w:lineRule="auto"/>
        <w:rPr>
          <w:color w:val="auto"/>
        </w:rPr>
      </w:pPr>
    </w:p>
    <w:p w14:paraId="77F10B62" w14:textId="77777777" w:rsidR="00624F33" w:rsidRPr="00BF4E0E" w:rsidRDefault="00624F33" w:rsidP="00877B34">
      <w:pPr>
        <w:spacing w:after="0" w:line="360" w:lineRule="auto"/>
        <w:rPr>
          <w:color w:val="auto"/>
        </w:rPr>
      </w:pPr>
      <w:r w:rsidRPr="00BF4E0E">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54EA835" w14:textId="77777777" w:rsidR="00624F33" w:rsidRPr="00BF4E0E" w:rsidRDefault="00624F33" w:rsidP="00877B34">
      <w:pPr>
        <w:spacing w:after="0" w:line="360" w:lineRule="auto"/>
        <w:rPr>
          <w:color w:val="auto"/>
        </w:rPr>
      </w:pPr>
    </w:p>
    <w:p w14:paraId="6597F1F6" w14:textId="77777777" w:rsidR="00624F33" w:rsidRPr="00BF4E0E" w:rsidRDefault="00624F33" w:rsidP="00877B34">
      <w:pPr>
        <w:spacing w:after="0" w:line="360" w:lineRule="auto"/>
        <w:rPr>
          <w:color w:val="auto"/>
        </w:rPr>
      </w:pPr>
      <w:r w:rsidRPr="00BF4E0E">
        <w:rPr>
          <w:color w:val="auto"/>
        </w:rPr>
        <w:t>Por su parte, la Ley de Transparencia y Acceso a la Información Pública del Estado de México y Municipios (Reglamentaria del artículo 5° de la Constitución Local), establece lo siguiente:</w:t>
      </w:r>
    </w:p>
    <w:p w14:paraId="112A5C30" w14:textId="77777777" w:rsidR="00624F33" w:rsidRPr="00BF4E0E" w:rsidRDefault="00624F33" w:rsidP="00877B34">
      <w:pPr>
        <w:spacing w:after="0" w:line="360" w:lineRule="auto"/>
        <w:rPr>
          <w:color w:val="auto"/>
        </w:rPr>
      </w:pPr>
    </w:p>
    <w:p w14:paraId="211F4D8B" w14:textId="77777777" w:rsidR="00624F33" w:rsidRPr="00BF4E0E" w:rsidRDefault="00624F33" w:rsidP="00877B34">
      <w:pPr>
        <w:spacing w:after="0" w:line="360" w:lineRule="auto"/>
        <w:rPr>
          <w:color w:val="auto"/>
        </w:rPr>
      </w:pPr>
      <w:r w:rsidRPr="00BF4E0E">
        <w:rPr>
          <w:color w:val="auto"/>
        </w:rPr>
        <w:t>El artículo 12, que, quienes generen, recopilen, administren, manejen, procesen, archiven o conserven información pública serán responsables de la misma.</w:t>
      </w:r>
    </w:p>
    <w:p w14:paraId="48EE9880" w14:textId="77777777" w:rsidR="00624F33" w:rsidRPr="00BF4E0E" w:rsidRDefault="00624F33" w:rsidP="00877B34">
      <w:pPr>
        <w:spacing w:after="0" w:line="360" w:lineRule="auto"/>
        <w:rPr>
          <w:color w:val="auto"/>
        </w:rPr>
      </w:pPr>
    </w:p>
    <w:p w14:paraId="045D3986" w14:textId="77777777" w:rsidR="00624F33" w:rsidRPr="00BF4E0E" w:rsidRDefault="00624F33" w:rsidP="00877B34">
      <w:pPr>
        <w:widowControl w:val="0"/>
        <w:spacing w:after="0" w:line="360" w:lineRule="auto"/>
        <w:rPr>
          <w:color w:val="auto"/>
        </w:rPr>
      </w:pPr>
      <w:r w:rsidRPr="00BF4E0E">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02607A1E" w14:textId="77777777" w:rsidR="00CD66C9" w:rsidRPr="00BF4E0E" w:rsidRDefault="00CD66C9" w:rsidP="00877B34">
      <w:pPr>
        <w:widowControl w:val="0"/>
        <w:spacing w:after="0" w:line="360" w:lineRule="auto"/>
        <w:rPr>
          <w:color w:val="auto"/>
        </w:rPr>
      </w:pPr>
    </w:p>
    <w:p w14:paraId="1C6DA822" w14:textId="77777777" w:rsidR="00624F33" w:rsidRPr="00BF4E0E" w:rsidRDefault="00624F33" w:rsidP="00877B34">
      <w:pPr>
        <w:spacing w:after="0" w:line="360" w:lineRule="auto"/>
        <w:rPr>
          <w:color w:val="auto"/>
        </w:rPr>
      </w:pPr>
      <w:r w:rsidRPr="00BF4E0E">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5D7F2D9" w14:textId="77777777" w:rsidR="00624F33" w:rsidRPr="00BF4E0E" w:rsidRDefault="00624F33" w:rsidP="00877B34">
      <w:pPr>
        <w:spacing w:after="0" w:line="360" w:lineRule="auto"/>
        <w:rPr>
          <w:color w:val="auto"/>
        </w:rPr>
      </w:pPr>
    </w:p>
    <w:p w14:paraId="388C4826" w14:textId="77777777" w:rsidR="00624F33" w:rsidRPr="00BF4E0E" w:rsidRDefault="00624F33" w:rsidP="00877B34">
      <w:pPr>
        <w:pStyle w:val="Ttulo2"/>
        <w:spacing w:before="0" w:after="0" w:line="360" w:lineRule="auto"/>
        <w:rPr>
          <w:color w:val="auto"/>
          <w:sz w:val="22"/>
          <w:szCs w:val="22"/>
        </w:rPr>
      </w:pPr>
      <w:bookmarkStart w:id="19" w:name="_Toc190262568"/>
      <w:bookmarkStart w:id="20" w:name="_Toc213165604"/>
      <w:r w:rsidRPr="00BF4E0E">
        <w:rPr>
          <w:color w:val="auto"/>
          <w:sz w:val="22"/>
          <w:szCs w:val="22"/>
        </w:rPr>
        <w:t>QUINTO. Estudio de Fondo</w:t>
      </w:r>
      <w:bookmarkEnd w:id="19"/>
      <w:bookmarkEnd w:id="20"/>
    </w:p>
    <w:p w14:paraId="78B8A10F" w14:textId="77777777" w:rsidR="00624F33" w:rsidRPr="00BF4E0E" w:rsidRDefault="00624F33" w:rsidP="00877B34">
      <w:pPr>
        <w:spacing w:after="0" w:line="360" w:lineRule="auto"/>
        <w:rPr>
          <w:b/>
          <w:color w:val="auto"/>
        </w:rPr>
      </w:pPr>
    </w:p>
    <w:p w14:paraId="5E07B2AF" w14:textId="77777777" w:rsidR="00624F33" w:rsidRPr="00BF4E0E" w:rsidRDefault="00624F33" w:rsidP="00877B34">
      <w:pPr>
        <w:spacing w:after="0" w:line="360" w:lineRule="auto"/>
        <w:rPr>
          <w:rFonts w:eastAsia="Times New Roman" w:cs="Tahoma"/>
          <w:bCs/>
          <w:iCs/>
          <w:color w:val="auto"/>
          <w:lang w:eastAsia="es-ES"/>
        </w:rPr>
      </w:pPr>
      <w:r w:rsidRPr="00BF4E0E">
        <w:rPr>
          <w:color w:val="auto"/>
        </w:rPr>
        <w:t xml:space="preserve">Expuestas las posturas de las partes, se procede al análisis de los agravios hechos valer por la persona Recurrente, </w:t>
      </w:r>
      <w:r w:rsidRPr="00BF4E0E">
        <w:rPr>
          <w:rFonts w:eastAsia="Times New Roman" w:cs="Tahoma"/>
          <w:bCs/>
          <w:iCs/>
          <w:color w:val="auto"/>
          <w:lang w:eastAsia="es-ES"/>
        </w:rPr>
        <w:t>por lo que, en principio es necesario contextualizar la solicitud de información.</w:t>
      </w:r>
    </w:p>
    <w:p w14:paraId="44CE1A19" w14:textId="77777777" w:rsidR="00350319" w:rsidRPr="00BF4E0E" w:rsidRDefault="00350319" w:rsidP="00877B34">
      <w:pPr>
        <w:spacing w:after="0" w:line="360" w:lineRule="auto"/>
        <w:rPr>
          <w:rFonts w:eastAsia="Times New Roman" w:cs="Tahoma"/>
          <w:bCs/>
          <w:iCs/>
          <w:color w:val="auto"/>
          <w:lang w:eastAsia="es-ES"/>
        </w:rPr>
      </w:pPr>
    </w:p>
    <w:p w14:paraId="7BB7844D" w14:textId="67EFF552" w:rsidR="00350319" w:rsidRPr="00BF4E0E" w:rsidRDefault="00350319" w:rsidP="00350319">
      <w:pPr>
        <w:spacing w:after="0" w:line="360" w:lineRule="auto"/>
        <w:rPr>
          <w:rFonts w:eastAsia="Times New Roman" w:cs="Tahoma"/>
          <w:bCs/>
          <w:iCs/>
          <w:color w:val="auto"/>
          <w:lang w:eastAsia="es-ES"/>
        </w:rPr>
      </w:pPr>
      <w:r w:rsidRPr="00BF4E0E">
        <w:rPr>
          <w:rFonts w:eastAsia="Times New Roman" w:cs="Tahoma"/>
          <w:bCs/>
          <w:iCs/>
          <w:color w:val="auto"/>
          <w:lang w:eastAsia="es-ES"/>
        </w:rPr>
        <w:t xml:space="preserve">Al respecto, el artículo 4°, fracción XVIII, de la Ley General de Contabilidad Gubernamental, establece que </w:t>
      </w:r>
      <w:r w:rsidRPr="00BF4E0E">
        <w:rPr>
          <w:rFonts w:eastAsia="Times New Roman" w:cs="Tahoma"/>
          <w:b/>
          <w:iCs/>
          <w:color w:val="auto"/>
          <w:lang w:eastAsia="es-ES"/>
        </w:rPr>
        <w:t>la información financiera consiste en información presupuestaria y contable que se expresa en unidades monetarias las transacciones que realiza un ente público y los eventos económicos identificables y cuantificable</w:t>
      </w:r>
      <w:r w:rsidRPr="00BF4E0E">
        <w:rPr>
          <w:rFonts w:eastAsia="Times New Roman" w:cs="Tahoma"/>
          <w:bCs/>
          <w:iCs/>
          <w:color w:val="auto"/>
          <w:lang w:eastAsia="es-ES"/>
        </w:rPr>
        <w:t xml:space="preserve"> la cual puede representarse por reportes, informes, estados y notas que expresan su situación financiera, los resultados de su operación y los cambios en su patrimonio.</w:t>
      </w:r>
    </w:p>
    <w:p w14:paraId="17CFA587" w14:textId="77777777" w:rsidR="00194B41" w:rsidRPr="00BF4E0E" w:rsidRDefault="00194B41" w:rsidP="00350319">
      <w:pPr>
        <w:spacing w:after="0" w:line="360" w:lineRule="auto"/>
        <w:rPr>
          <w:rFonts w:eastAsia="Times New Roman" w:cs="Tahoma"/>
          <w:bCs/>
          <w:iCs/>
          <w:color w:val="auto"/>
          <w:lang w:eastAsia="es-ES"/>
        </w:rPr>
      </w:pPr>
    </w:p>
    <w:p w14:paraId="76C87A82" w14:textId="4B56EB14" w:rsidR="00194B41" w:rsidRPr="00BF4E0E" w:rsidRDefault="00194B41" w:rsidP="00194B41">
      <w:pPr>
        <w:spacing w:after="0" w:line="360" w:lineRule="auto"/>
        <w:rPr>
          <w:rFonts w:eastAsia="Times New Roman" w:cs="Tahoma"/>
          <w:bCs/>
          <w:iCs/>
          <w:color w:val="auto"/>
          <w:lang w:eastAsia="es-ES"/>
        </w:rPr>
      </w:pPr>
      <w:r w:rsidRPr="00BF4E0E">
        <w:rPr>
          <w:rFonts w:eastAsia="Times New Roman" w:cs="Tahoma"/>
          <w:bCs/>
          <w:iCs/>
          <w:color w:val="auto"/>
          <w:lang w:eastAsia="es-ES"/>
        </w:rPr>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191B2779" w14:textId="77777777" w:rsidR="00631060" w:rsidRPr="00BF4E0E" w:rsidRDefault="00631060" w:rsidP="00194B41">
      <w:pPr>
        <w:spacing w:after="0" w:line="360" w:lineRule="auto"/>
        <w:rPr>
          <w:rFonts w:eastAsia="Times New Roman" w:cs="Tahoma"/>
          <w:bCs/>
          <w:iCs/>
          <w:color w:val="auto"/>
          <w:lang w:eastAsia="es-ES"/>
        </w:rPr>
      </w:pPr>
    </w:p>
    <w:p w14:paraId="664A5A21" w14:textId="0835A31C" w:rsidR="00631060" w:rsidRPr="00BF4E0E" w:rsidRDefault="00631060" w:rsidP="00631060">
      <w:pPr>
        <w:spacing w:after="0" w:line="360" w:lineRule="auto"/>
        <w:rPr>
          <w:rFonts w:eastAsia="Times New Roman" w:cs="Tahoma"/>
          <w:bCs/>
          <w:iCs/>
          <w:color w:val="auto"/>
          <w:lang w:eastAsia="es-ES"/>
        </w:rPr>
      </w:pPr>
      <w:r w:rsidRPr="00BF4E0E">
        <w:rPr>
          <w:rFonts w:eastAsia="Times New Roman" w:cs="Tahoma"/>
          <w:bCs/>
          <w:iCs/>
          <w:color w:val="auto"/>
          <w:lang w:eastAsia="es-ES"/>
        </w:rP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50220610" w14:textId="77777777" w:rsidR="00676C35" w:rsidRPr="00BF4E0E" w:rsidRDefault="00676C35" w:rsidP="00631060">
      <w:pPr>
        <w:spacing w:after="0" w:line="360" w:lineRule="auto"/>
        <w:rPr>
          <w:rFonts w:eastAsia="Times New Roman" w:cs="Tahoma"/>
          <w:bCs/>
          <w:iCs/>
          <w:color w:val="auto"/>
          <w:lang w:eastAsia="es-ES"/>
        </w:rPr>
      </w:pPr>
    </w:p>
    <w:p w14:paraId="3576799E" w14:textId="2C0F5F18" w:rsidR="00676C35" w:rsidRPr="00BF4E0E" w:rsidRDefault="00676C35" w:rsidP="000B5400">
      <w:pPr>
        <w:spacing w:after="0" w:line="360" w:lineRule="auto"/>
        <w:rPr>
          <w:b/>
          <w:bCs/>
        </w:rPr>
      </w:pPr>
      <w:r w:rsidRPr="00BF4E0E">
        <w:rPr>
          <w:rFonts w:eastAsia="Times New Roman" w:cs="Tahoma"/>
          <w:bCs/>
          <w:iCs/>
          <w:color w:val="auto"/>
          <w:lang w:eastAsia="es-ES"/>
        </w:rPr>
        <w:t xml:space="preserve">En ese contexto, </w:t>
      </w:r>
      <w:r w:rsidR="000B5400" w:rsidRPr="00BF4E0E">
        <w:rPr>
          <w:rFonts w:eastAsia="Times New Roman" w:cs="Tahoma"/>
          <w:bCs/>
          <w:iCs/>
          <w:color w:val="auto"/>
          <w:lang w:eastAsia="es-ES"/>
        </w:rPr>
        <w:t xml:space="preserve">el acuerdo 7/2025 por el que se emiten los Lineamientos, fechas de Capacitación y Calendarización para la Integración y Prestación de los Informes Trimestrales Estatales y Municipales del Ejercicio Fiscal dos mil veinticinco, de las Entidades Fiscalizables del Estado de México, los cuales establecen que entre los formatos que maneja en el </w:t>
      </w:r>
      <w:r w:rsidR="000B5400" w:rsidRPr="00BF4E0E">
        <w:rPr>
          <w:rFonts w:eastAsia="Times New Roman" w:cs="Tahoma"/>
          <w:b/>
          <w:iCs/>
          <w:color w:val="auto"/>
          <w:lang w:eastAsia="es-ES"/>
        </w:rPr>
        <w:t>Módulo 4</w:t>
      </w:r>
      <w:r w:rsidR="000B5400" w:rsidRPr="00BF4E0E">
        <w:rPr>
          <w:rFonts w:eastAsia="Times New Roman" w:cs="Tahoma"/>
          <w:bCs/>
          <w:iCs/>
          <w:color w:val="auto"/>
          <w:lang w:eastAsia="es-ES"/>
        </w:rPr>
        <w:t>,</w:t>
      </w:r>
      <w:r w:rsidR="00E8187A" w:rsidRPr="00BF4E0E">
        <w:rPr>
          <w:rFonts w:eastAsia="Times New Roman" w:cs="Tahoma"/>
          <w:bCs/>
          <w:iCs/>
          <w:color w:val="auto"/>
          <w:lang w:eastAsia="es-ES"/>
        </w:rPr>
        <w:t xml:space="preserve"> se advierte que se encuentran </w:t>
      </w:r>
      <w:r w:rsidR="008E210A" w:rsidRPr="00BF4E0E">
        <w:rPr>
          <w:rFonts w:eastAsia="Times New Roman" w:cs="Tahoma"/>
          <w:bCs/>
          <w:iCs/>
          <w:color w:val="auto"/>
          <w:lang w:eastAsia="es-ES"/>
        </w:rPr>
        <w:t xml:space="preserve">los comprobantes bancarios de la dispersión de la nómina los cuales se integran </w:t>
      </w:r>
      <w:r w:rsidR="008E210A" w:rsidRPr="00BF4E0E">
        <w:t xml:space="preserve">de manera quincenal en un solo documento en formato PDF el o los </w:t>
      </w:r>
      <w:r w:rsidR="008E210A" w:rsidRPr="00BF4E0E">
        <w:rPr>
          <w:b/>
          <w:bCs/>
        </w:rPr>
        <w:t>comprobantes que emite la institución bancaria por la(s) transferencia(s) realizadas respecto del pago de las remuneraciones de cada servidor del Ente Público, en caso de que la nómina se haya pagado mediante cheques u otra forma de pago se deberán anexar en el mismo documento.</w:t>
      </w:r>
    </w:p>
    <w:p w14:paraId="2E93564B" w14:textId="77777777" w:rsidR="008E210A" w:rsidRPr="00BF4E0E" w:rsidRDefault="008E210A" w:rsidP="000B5400">
      <w:pPr>
        <w:spacing w:after="0" w:line="360" w:lineRule="auto"/>
        <w:rPr>
          <w:b/>
          <w:bCs/>
        </w:rPr>
      </w:pPr>
    </w:p>
    <w:p w14:paraId="39141771" w14:textId="7620A7FA" w:rsidR="00A7409C" w:rsidRPr="00BF4E0E" w:rsidRDefault="008C6FB2" w:rsidP="000B5400">
      <w:pPr>
        <w:spacing w:after="0" w:line="360" w:lineRule="auto"/>
        <w:rPr>
          <w:rFonts w:eastAsia="Times New Roman" w:cs="Tahoma"/>
          <w:bCs/>
          <w:iCs/>
          <w:color w:val="auto"/>
          <w:lang w:eastAsia="es-ES"/>
        </w:rPr>
      </w:pPr>
      <w:r w:rsidRPr="00BF4E0E">
        <w:t xml:space="preserve">En esa misma consecución de ideas el acuerdo 6/2022 por el que se Emiten los Lineamientos, fechas de Capacitación y Calendarización para la entrega de Informes Trimestrales de las Entidades Fiscalizables del Estado de México del Ejercicio Fiscal dos mil veintidós, refieren que </w:t>
      </w:r>
      <w:r w:rsidRPr="00BF4E0E">
        <w:rPr>
          <w:rFonts w:eastAsia="Times New Roman" w:cs="Tahoma"/>
          <w:bCs/>
          <w:iCs/>
          <w:color w:val="auto"/>
          <w:lang w:eastAsia="es-ES"/>
        </w:rPr>
        <w:t xml:space="preserve">entre los formatos que maneja en el </w:t>
      </w:r>
      <w:r w:rsidRPr="00BF4E0E">
        <w:rPr>
          <w:rFonts w:eastAsia="Times New Roman" w:cs="Tahoma"/>
          <w:b/>
          <w:iCs/>
          <w:color w:val="auto"/>
          <w:lang w:eastAsia="es-ES"/>
        </w:rPr>
        <w:t>Módulo 4</w:t>
      </w:r>
      <w:r w:rsidRPr="00BF4E0E">
        <w:rPr>
          <w:rFonts w:eastAsia="Times New Roman" w:cs="Tahoma"/>
          <w:bCs/>
          <w:iCs/>
          <w:color w:val="auto"/>
          <w:lang w:eastAsia="es-ES"/>
        </w:rPr>
        <w:t>, se advierte que se encuentran los comprobantes bancarios de la dispersión de la nómina los cuales se entregan de manera quincenal de conformidad con lo siguiente:</w:t>
      </w:r>
    </w:p>
    <w:p w14:paraId="3E044BB7" w14:textId="77777777" w:rsidR="008C6FB2" w:rsidRPr="00BF4E0E" w:rsidRDefault="008C6FB2" w:rsidP="000B5400">
      <w:pPr>
        <w:spacing w:after="0" w:line="360" w:lineRule="auto"/>
        <w:rPr>
          <w:rFonts w:eastAsia="Times New Roman" w:cs="Tahoma"/>
          <w:bCs/>
          <w:iCs/>
          <w:color w:val="auto"/>
          <w:lang w:eastAsia="es-ES"/>
        </w:rPr>
      </w:pPr>
    </w:p>
    <w:p w14:paraId="208B3C4F" w14:textId="533C6A92" w:rsidR="008C6FB2" w:rsidRPr="00BF4E0E" w:rsidRDefault="008C6FB2" w:rsidP="000B5400">
      <w:pPr>
        <w:spacing w:after="0" w:line="360" w:lineRule="auto"/>
        <w:rPr>
          <w:rFonts w:eastAsia="Times New Roman" w:cs="Tahoma"/>
          <w:iCs/>
          <w:color w:val="auto"/>
          <w:lang w:eastAsia="es-ES"/>
        </w:rPr>
      </w:pPr>
      <w:r w:rsidRPr="00BF4E0E">
        <w:rPr>
          <w:rFonts w:eastAsia="Times New Roman" w:cs="Tahoma"/>
          <w:iCs/>
          <w:noProof/>
          <w:color w:val="auto"/>
        </w:rPr>
        <w:drawing>
          <wp:inline distT="0" distB="0" distL="0" distR="0" wp14:anchorId="4FD149C4" wp14:editId="0E2ADA9C">
            <wp:extent cx="5671185" cy="449580"/>
            <wp:effectExtent l="0" t="0" r="5715" b="7620"/>
            <wp:docPr id="1954668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68587" name=""/>
                    <pic:cNvPicPr/>
                  </pic:nvPicPr>
                  <pic:blipFill>
                    <a:blip r:embed="rId10"/>
                    <a:stretch>
                      <a:fillRect/>
                    </a:stretch>
                  </pic:blipFill>
                  <pic:spPr>
                    <a:xfrm>
                      <a:off x="0" y="0"/>
                      <a:ext cx="5671185" cy="449580"/>
                    </a:xfrm>
                    <a:prstGeom prst="rect">
                      <a:avLst/>
                    </a:prstGeom>
                  </pic:spPr>
                </pic:pic>
              </a:graphicData>
            </a:graphic>
          </wp:inline>
        </w:drawing>
      </w:r>
    </w:p>
    <w:p w14:paraId="6B29924F" w14:textId="77777777" w:rsidR="00EF48F5" w:rsidRPr="00BF4E0E" w:rsidRDefault="00EF48F5" w:rsidP="000B5400">
      <w:pPr>
        <w:spacing w:after="0" w:line="360" w:lineRule="auto"/>
        <w:rPr>
          <w:rFonts w:eastAsia="Times New Roman" w:cs="Tahoma"/>
          <w:iCs/>
          <w:color w:val="auto"/>
          <w:lang w:eastAsia="es-ES"/>
        </w:rPr>
      </w:pPr>
    </w:p>
    <w:p w14:paraId="5CFE5851" w14:textId="77777777" w:rsidR="00EF48F5" w:rsidRPr="00BF4E0E" w:rsidRDefault="00EF48F5" w:rsidP="00EF48F5">
      <w:pPr>
        <w:spacing w:after="0" w:line="360" w:lineRule="auto"/>
        <w:rPr>
          <w:rFonts w:eastAsia="Times New Roman" w:cs="Tahoma"/>
          <w:bCs/>
          <w:iCs/>
          <w:color w:val="auto"/>
          <w:lang w:eastAsia="es-ES"/>
        </w:rPr>
      </w:pPr>
      <w:r w:rsidRPr="00BF4E0E">
        <w:rPr>
          <w:rFonts w:eastAsia="Times New Roman" w:cs="Tahoma"/>
          <w:iCs/>
          <w:color w:val="auto"/>
          <w:lang w:eastAsia="es-ES"/>
        </w:rPr>
        <w:t xml:space="preserve">En esa tesitura, </w:t>
      </w:r>
      <w:r w:rsidRPr="00BF4E0E">
        <w:t xml:space="preserve">los Lineamientos, para la Integración y entrega de los Informes Trimestrales Municipales del Ejercicio fiscal dos mil veintitrés, refieren que </w:t>
      </w:r>
      <w:r w:rsidRPr="00BF4E0E">
        <w:rPr>
          <w:rFonts w:eastAsia="Times New Roman" w:cs="Tahoma"/>
          <w:bCs/>
          <w:iCs/>
          <w:color w:val="auto"/>
          <w:lang w:eastAsia="es-ES"/>
        </w:rPr>
        <w:t xml:space="preserve">entre los formatos que maneja en el </w:t>
      </w:r>
      <w:r w:rsidRPr="00BF4E0E">
        <w:rPr>
          <w:rFonts w:eastAsia="Times New Roman" w:cs="Tahoma"/>
          <w:b/>
          <w:iCs/>
          <w:color w:val="auto"/>
          <w:lang w:eastAsia="es-ES"/>
        </w:rPr>
        <w:t>Módulo 4</w:t>
      </w:r>
      <w:r w:rsidRPr="00BF4E0E">
        <w:rPr>
          <w:rFonts w:eastAsia="Times New Roman" w:cs="Tahoma"/>
          <w:bCs/>
          <w:iCs/>
          <w:color w:val="auto"/>
          <w:lang w:eastAsia="es-ES"/>
        </w:rPr>
        <w:t>, se advierte que se encuentran los comprobantes bancarios de la dispersión de la nómina los cuales se entregan de manera quincenal de conformidad con lo siguiente:</w:t>
      </w:r>
    </w:p>
    <w:p w14:paraId="1D9E0A80" w14:textId="77777777" w:rsidR="00EF48F5" w:rsidRPr="00BF4E0E" w:rsidRDefault="00EF48F5" w:rsidP="00EF48F5">
      <w:pPr>
        <w:spacing w:after="0" w:line="360" w:lineRule="auto"/>
        <w:rPr>
          <w:rFonts w:eastAsia="Times New Roman" w:cs="Tahoma"/>
          <w:bCs/>
          <w:iCs/>
          <w:color w:val="auto"/>
          <w:lang w:eastAsia="es-ES"/>
        </w:rPr>
      </w:pPr>
    </w:p>
    <w:p w14:paraId="25499D40" w14:textId="733E90D9" w:rsidR="00EF48F5" w:rsidRPr="00BF4E0E" w:rsidRDefault="00332166" w:rsidP="000B5400">
      <w:pPr>
        <w:spacing w:after="0" w:line="360" w:lineRule="auto"/>
      </w:pPr>
      <w:r w:rsidRPr="00BF4E0E">
        <w:rPr>
          <w:noProof/>
        </w:rPr>
        <w:drawing>
          <wp:inline distT="0" distB="0" distL="0" distR="0" wp14:anchorId="74BEF1A5" wp14:editId="5F83F349">
            <wp:extent cx="5654040" cy="566830"/>
            <wp:effectExtent l="0" t="0" r="3810" b="5080"/>
            <wp:docPr id="8939268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0696" cy="571507"/>
                    </a:xfrm>
                    <a:prstGeom prst="rect">
                      <a:avLst/>
                    </a:prstGeom>
                    <a:noFill/>
                  </pic:spPr>
                </pic:pic>
              </a:graphicData>
            </a:graphic>
          </wp:inline>
        </w:drawing>
      </w:r>
    </w:p>
    <w:p w14:paraId="0784EF1F" w14:textId="77777777" w:rsidR="00EF48F5" w:rsidRPr="00BF4E0E" w:rsidRDefault="00EF48F5" w:rsidP="000B5400">
      <w:pPr>
        <w:spacing w:after="0" w:line="360" w:lineRule="auto"/>
      </w:pPr>
    </w:p>
    <w:p w14:paraId="20589A16" w14:textId="271C981E" w:rsidR="00EF48F5" w:rsidRPr="00BF4E0E" w:rsidRDefault="00EF48F5" w:rsidP="00EF48F5">
      <w:pPr>
        <w:spacing w:after="0" w:line="360" w:lineRule="auto"/>
        <w:rPr>
          <w:rFonts w:eastAsia="Times New Roman" w:cs="Tahoma"/>
          <w:bCs/>
          <w:iCs/>
          <w:color w:val="auto"/>
          <w:lang w:eastAsia="es-ES"/>
        </w:rPr>
      </w:pPr>
      <w:r w:rsidRPr="00BF4E0E">
        <w:rPr>
          <w:rFonts w:eastAsia="Times New Roman" w:cs="Tahoma"/>
          <w:iCs/>
          <w:color w:val="auto"/>
          <w:lang w:eastAsia="es-ES"/>
        </w:rPr>
        <w:t xml:space="preserve">En esa tesitura, </w:t>
      </w:r>
      <w:r w:rsidRPr="00BF4E0E">
        <w:t xml:space="preserve">los Lineamientos, para la Integración, Presentación y Envío de los Informes Trimestrales Municipales del Ejercicio fiscal dos mil veinticuatro, refieren que </w:t>
      </w:r>
      <w:r w:rsidRPr="00BF4E0E">
        <w:rPr>
          <w:rFonts w:eastAsia="Times New Roman" w:cs="Tahoma"/>
          <w:bCs/>
          <w:iCs/>
          <w:color w:val="auto"/>
          <w:lang w:eastAsia="es-ES"/>
        </w:rPr>
        <w:t xml:space="preserve">entre los formatos que maneja en el </w:t>
      </w:r>
      <w:r w:rsidRPr="00BF4E0E">
        <w:rPr>
          <w:rFonts w:eastAsia="Times New Roman" w:cs="Tahoma"/>
          <w:b/>
          <w:iCs/>
          <w:color w:val="auto"/>
          <w:lang w:eastAsia="es-ES"/>
        </w:rPr>
        <w:t>Módulo 4</w:t>
      </w:r>
      <w:r w:rsidRPr="00BF4E0E">
        <w:rPr>
          <w:rFonts w:eastAsia="Times New Roman" w:cs="Tahoma"/>
          <w:bCs/>
          <w:iCs/>
          <w:color w:val="auto"/>
          <w:lang w:eastAsia="es-ES"/>
        </w:rPr>
        <w:t>, se advierte que se encuentran los comprobantes bancarios de la dispersión de la nómina los cuales se entregan de manera quincenal de conformidad con lo siguiente:</w:t>
      </w:r>
    </w:p>
    <w:p w14:paraId="6BC4F337" w14:textId="77777777" w:rsidR="00332166" w:rsidRPr="00BF4E0E" w:rsidRDefault="00332166" w:rsidP="00EF48F5">
      <w:pPr>
        <w:spacing w:after="0" w:line="360" w:lineRule="auto"/>
        <w:rPr>
          <w:noProof/>
        </w:rPr>
      </w:pPr>
    </w:p>
    <w:p w14:paraId="01D63E82" w14:textId="4F171638" w:rsidR="00257FE7" w:rsidRPr="00BF4E0E" w:rsidRDefault="00332166" w:rsidP="00877B34">
      <w:pPr>
        <w:spacing w:after="0" w:line="360" w:lineRule="auto"/>
      </w:pPr>
      <w:r w:rsidRPr="00BF4E0E">
        <w:rPr>
          <w:noProof/>
        </w:rPr>
        <w:drawing>
          <wp:inline distT="0" distB="0" distL="0" distR="0" wp14:anchorId="2A742BB6" wp14:editId="49BEE4E5">
            <wp:extent cx="5532120" cy="551815"/>
            <wp:effectExtent l="0" t="0" r="0" b="635"/>
            <wp:docPr id="19015891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35" t="2688" r="2564"/>
                    <a:stretch/>
                  </pic:blipFill>
                  <pic:spPr bwMode="auto">
                    <a:xfrm>
                      <a:off x="0" y="0"/>
                      <a:ext cx="5532120" cy="551815"/>
                    </a:xfrm>
                    <a:prstGeom prst="rect">
                      <a:avLst/>
                    </a:prstGeom>
                    <a:noFill/>
                    <a:ln>
                      <a:noFill/>
                    </a:ln>
                    <a:extLst>
                      <a:ext uri="{53640926-AAD7-44D8-BBD7-CCE9431645EC}">
                        <a14:shadowObscured xmlns:a14="http://schemas.microsoft.com/office/drawing/2010/main"/>
                      </a:ext>
                    </a:extLst>
                  </pic:spPr>
                </pic:pic>
              </a:graphicData>
            </a:graphic>
          </wp:inline>
        </w:drawing>
      </w:r>
    </w:p>
    <w:p w14:paraId="60111586" w14:textId="77777777" w:rsidR="009A7A3D" w:rsidRPr="00BF4E0E" w:rsidRDefault="009A7A3D" w:rsidP="000229C4">
      <w:pPr>
        <w:spacing w:after="0" w:line="360" w:lineRule="auto"/>
        <w:rPr>
          <w:rFonts w:eastAsia="Calibri" w:cs="Tahoma"/>
          <w:bCs/>
          <w:color w:val="auto"/>
        </w:rPr>
      </w:pPr>
    </w:p>
    <w:p w14:paraId="51030C8F" w14:textId="1B712E7C" w:rsidR="000229C4" w:rsidRPr="00BF4E0E" w:rsidRDefault="00624F33" w:rsidP="000229C4">
      <w:pPr>
        <w:spacing w:after="0" w:line="360" w:lineRule="auto"/>
        <w:rPr>
          <w:rFonts w:cs="Tahoma"/>
          <w:color w:val="auto"/>
        </w:rPr>
      </w:pPr>
      <w:r w:rsidRPr="00BF4E0E">
        <w:rPr>
          <w:rFonts w:eastAsia="Calibri" w:cs="Tahoma"/>
          <w:bCs/>
          <w:color w:val="auto"/>
        </w:rPr>
        <w:t xml:space="preserve">Conforme a lo anterior, se logra vislumbrar que la pretensión del ahora Recurrente es </w:t>
      </w:r>
      <w:r w:rsidR="00373AA8" w:rsidRPr="00BF4E0E">
        <w:rPr>
          <w:rFonts w:eastAsia="Calibri" w:cs="Tahoma"/>
          <w:bCs/>
          <w:color w:val="auto"/>
        </w:rPr>
        <w:t xml:space="preserve">obtener </w:t>
      </w:r>
      <w:r w:rsidR="000229C4" w:rsidRPr="00BF4E0E">
        <w:rPr>
          <w:rFonts w:cs="Tahoma"/>
          <w:color w:val="auto"/>
        </w:rPr>
        <w:t xml:space="preserve">los comprobantes bancarios de la dispersión de la nómina que fueron remitidos al Órgano Superior de Fiscalización </w:t>
      </w:r>
      <w:r w:rsidR="00522F46" w:rsidRPr="00BF4E0E">
        <w:rPr>
          <w:rFonts w:cs="Tahoma"/>
          <w:color w:val="auto"/>
        </w:rPr>
        <w:t xml:space="preserve">por el Ayuntamiento de Toluca y el Instituto Municipal de la Mujer </w:t>
      </w:r>
      <w:r w:rsidR="000229C4" w:rsidRPr="00BF4E0E">
        <w:rPr>
          <w:rFonts w:cs="Tahoma"/>
          <w:color w:val="auto"/>
        </w:rPr>
        <w:t>durante los ejercicios fiscales dos mil veintidós, dos mil veintitrés y dos mil veinticuatro.</w:t>
      </w:r>
    </w:p>
    <w:p w14:paraId="7BCB102D" w14:textId="77777777" w:rsidR="00624F33" w:rsidRPr="00BF4E0E" w:rsidRDefault="00624F33" w:rsidP="00877B34">
      <w:pPr>
        <w:spacing w:after="0" w:line="360" w:lineRule="auto"/>
        <w:ind w:right="-93"/>
        <w:rPr>
          <w:rFonts w:eastAsia="Times New Roman" w:cs="Tahoma"/>
          <w:color w:val="FF0000"/>
          <w:lang w:val="es-ES" w:eastAsia="es-ES"/>
        </w:rPr>
      </w:pPr>
    </w:p>
    <w:p w14:paraId="3838808A" w14:textId="5C7CB39F" w:rsidR="00624F33" w:rsidRPr="00BF4E0E" w:rsidRDefault="00624F33" w:rsidP="00877B34">
      <w:pPr>
        <w:spacing w:after="0" w:line="360" w:lineRule="auto"/>
        <w:rPr>
          <w:color w:val="auto"/>
        </w:rPr>
      </w:pPr>
      <w:r w:rsidRPr="00BF4E0E">
        <w:rPr>
          <w:color w:val="auto"/>
        </w:rPr>
        <w:t xml:space="preserve">Ahora bien, de las constancias que obran en el expediente electrónico, se advierte que el Sujeto Obligado, turnó la solicitud de información a </w:t>
      </w:r>
      <w:r w:rsidR="009738FA" w:rsidRPr="00BF4E0E">
        <w:rPr>
          <w:color w:val="auto"/>
        </w:rPr>
        <w:t>la Tesorería</w:t>
      </w:r>
      <w:r w:rsidR="000740DA" w:rsidRPr="00BF4E0E">
        <w:rPr>
          <w:color w:val="auto"/>
        </w:rPr>
        <w:t xml:space="preserve"> Municipal y </w:t>
      </w:r>
      <w:r w:rsidR="00C9171E" w:rsidRPr="00BF4E0E">
        <w:rPr>
          <w:color w:val="auto"/>
        </w:rPr>
        <w:t>la Coordinación de Administración y Finanzas del Instituto de la Mujer de Toluca</w:t>
      </w:r>
      <w:r w:rsidRPr="00BF4E0E">
        <w:rPr>
          <w:color w:val="auto"/>
        </w:rPr>
        <w:t xml:space="preserve">; por lo que, es oportuno hacer referencia al </w:t>
      </w:r>
      <w:r w:rsidRPr="00BF4E0E">
        <w:rPr>
          <w:b/>
          <w:color w:val="auto"/>
        </w:rPr>
        <w:t>procedimiento de búsqueda que deben de seguir los Sujetos Obligados para localizar la información</w:t>
      </w:r>
      <w:r w:rsidRPr="00BF4E0E">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AA80113" w14:textId="77777777" w:rsidR="00624F33" w:rsidRPr="00BF4E0E" w:rsidRDefault="00624F33" w:rsidP="00877B34">
      <w:pPr>
        <w:spacing w:after="0" w:line="360" w:lineRule="auto"/>
        <w:ind w:left="720"/>
        <w:rPr>
          <w:color w:val="FF0000"/>
        </w:rPr>
      </w:pPr>
    </w:p>
    <w:p w14:paraId="0178BD21" w14:textId="088EB703" w:rsidR="006975D9" w:rsidRPr="00BF4E0E" w:rsidRDefault="00624F33" w:rsidP="006975D9">
      <w:pPr>
        <w:spacing w:after="0" w:line="360" w:lineRule="auto"/>
        <w:rPr>
          <w:color w:val="auto"/>
        </w:rPr>
      </w:pPr>
      <w:r w:rsidRPr="00BF4E0E">
        <w:rPr>
          <w:color w:val="auto"/>
        </w:rPr>
        <w:t>Así</w:t>
      </w:r>
      <w:r w:rsidR="006975D9" w:rsidRPr="00BF4E0E">
        <w:rPr>
          <w:color w:val="auto"/>
        </w:rPr>
        <w:t xml:space="preserve">, a efecto de verificar que el Sujeto Obligado Cumplió con el Procedimiento de búsqueda previamente referido, es necesario traer a colación </w:t>
      </w:r>
      <w:r w:rsidR="005B1948" w:rsidRPr="00BF4E0E">
        <w:rPr>
          <w:color w:val="auto"/>
        </w:rPr>
        <w:t>los artículos</w:t>
      </w:r>
      <w:r w:rsidR="006975D9" w:rsidRPr="00BF4E0E">
        <w:rPr>
          <w:color w:val="auto"/>
        </w:rPr>
        <w:t xml:space="preserve"> 93, 94 y 95 de la Ley Orgánica Municipal del Estado de México, los cuales establecen que la Tesorería Municipal es el l </w:t>
      </w:r>
      <w:r w:rsidR="006975D9" w:rsidRPr="00BF4E0E">
        <w:rPr>
          <w:b/>
          <w:bCs/>
          <w:color w:val="auto"/>
        </w:rPr>
        <w:t>órgano encargado de la recaudación de los ingresos municipales y responsable de realizar las erogaciones que haga el ayuntamiento.</w:t>
      </w:r>
    </w:p>
    <w:p w14:paraId="0FFC3D9C" w14:textId="77777777" w:rsidR="006975D9" w:rsidRPr="00BF4E0E" w:rsidRDefault="006975D9" w:rsidP="006975D9">
      <w:pPr>
        <w:spacing w:after="0" w:line="360" w:lineRule="auto"/>
        <w:rPr>
          <w:color w:val="auto"/>
        </w:rPr>
      </w:pPr>
    </w:p>
    <w:p w14:paraId="5AD43A00" w14:textId="77777777" w:rsidR="006975D9" w:rsidRPr="00BF4E0E" w:rsidRDefault="006975D9" w:rsidP="006975D9">
      <w:pPr>
        <w:spacing w:after="0" w:line="360" w:lineRule="auto"/>
        <w:rPr>
          <w:color w:val="auto"/>
        </w:rPr>
      </w:pPr>
      <w:r w:rsidRPr="00BF4E0E">
        <w:rPr>
          <w:color w:val="auto"/>
        </w:rPr>
        <w:t>La cual, también se encarga de recibir y administrar la hacienda pública municipal y remitir</w:t>
      </w:r>
    </w:p>
    <w:p w14:paraId="17856FA1" w14:textId="79C949C0" w:rsidR="006975D9" w:rsidRPr="00BF4E0E" w:rsidRDefault="006975D9" w:rsidP="006975D9">
      <w:pPr>
        <w:spacing w:after="0" w:line="360" w:lineRule="auto"/>
        <w:rPr>
          <w:color w:val="auto"/>
        </w:rPr>
      </w:pPr>
      <w:r w:rsidRPr="00BF4E0E">
        <w:rPr>
          <w:color w:val="auto"/>
        </w:rPr>
        <w:t>un ejemplar de su documentación al Órgano Superior de Fiscalización del Estado de</w:t>
      </w:r>
      <w:r w:rsidR="009A7A3D" w:rsidRPr="00BF4E0E">
        <w:rPr>
          <w:color w:val="auto"/>
        </w:rPr>
        <w:t xml:space="preserve"> </w:t>
      </w:r>
      <w:r w:rsidRPr="00BF4E0E">
        <w:rPr>
          <w:color w:val="auto"/>
        </w:rPr>
        <w:t xml:space="preserve">México y al archivo de la </w:t>
      </w:r>
      <w:r w:rsidR="009A7A3D" w:rsidRPr="00BF4E0E">
        <w:rPr>
          <w:color w:val="auto"/>
        </w:rPr>
        <w:t>T</w:t>
      </w:r>
      <w:r w:rsidRPr="00BF4E0E">
        <w:rPr>
          <w:color w:val="auto"/>
        </w:rPr>
        <w:t>esorería.</w:t>
      </w:r>
    </w:p>
    <w:p w14:paraId="02E3B043" w14:textId="77777777" w:rsidR="005B1948" w:rsidRPr="00BF4E0E" w:rsidRDefault="005B1948" w:rsidP="006975D9">
      <w:pPr>
        <w:spacing w:after="0" w:line="360" w:lineRule="auto"/>
        <w:rPr>
          <w:color w:val="auto"/>
        </w:rPr>
      </w:pPr>
    </w:p>
    <w:p w14:paraId="010C72C6" w14:textId="11804E86" w:rsidR="005B1948" w:rsidRPr="00BF4E0E" w:rsidRDefault="005B1948" w:rsidP="005B1948">
      <w:pPr>
        <w:spacing w:after="0" w:line="360" w:lineRule="auto"/>
        <w:rPr>
          <w:color w:val="auto"/>
        </w:rPr>
      </w:pPr>
      <w:r w:rsidRPr="00BF4E0E">
        <w:rPr>
          <w:color w:val="auto"/>
        </w:rPr>
        <w:t xml:space="preserve">Misma que dentro de sus atribuciones se encarga entre otras cosas de administrar la hacienda pública municipal, presentar anualmente al </w:t>
      </w:r>
      <w:r w:rsidR="009A7A3D" w:rsidRPr="00BF4E0E">
        <w:rPr>
          <w:color w:val="auto"/>
        </w:rPr>
        <w:t>A</w:t>
      </w:r>
      <w:r w:rsidRPr="00BF4E0E">
        <w:rPr>
          <w:color w:val="auto"/>
        </w:rPr>
        <w:t>yuntamiento un informe de la situación contable financiera de la Tesorería Municipal, así como de ministrar a su inmediato antecesor todos los datos oficiales que le solicitare, para contestar los pliegos de observaciones y alcances que formule y deduzca el Órgano Superior de Fiscalización del Estado de México.</w:t>
      </w:r>
    </w:p>
    <w:p w14:paraId="467882AE" w14:textId="77777777" w:rsidR="008B64A0" w:rsidRPr="00BF4E0E" w:rsidRDefault="008B64A0" w:rsidP="005B1948">
      <w:pPr>
        <w:spacing w:after="0" w:line="360" w:lineRule="auto"/>
        <w:rPr>
          <w:color w:val="auto"/>
        </w:rPr>
      </w:pPr>
    </w:p>
    <w:p w14:paraId="08388393" w14:textId="1941AD7D" w:rsidR="008B64A0" w:rsidRPr="00BF4E0E" w:rsidRDefault="007538D3" w:rsidP="005B1948">
      <w:pPr>
        <w:spacing w:after="0" w:line="360" w:lineRule="auto"/>
      </w:pPr>
      <w:r w:rsidRPr="00BF4E0E">
        <w:rPr>
          <w:color w:val="auto"/>
        </w:rPr>
        <w:t xml:space="preserve">En ese sentido, el Manual de Organización del Instituto Municipal de la Mujer de Toluca dos mil veinticinco, establece que la Coordinación de Administración y Finanzas tiene como objetivo </w:t>
      </w:r>
      <w:r w:rsidRPr="00BF4E0E">
        <w:t xml:space="preserve">establecer, aplicar y difundir la normatividad para la administración y control de personal, adquisición, uso y mantenimiento de bienes y prestación de servicios, que requieren las diferentes áreas que integran al Instituto Municipal de la Mujer de Toluca, para la ejecución de sus funciones; </w:t>
      </w:r>
      <w:r w:rsidRPr="00BF4E0E">
        <w:rPr>
          <w:b/>
          <w:bCs/>
        </w:rPr>
        <w:t>así como la administración del recurso financiero, desde su autorización, ejercicio, comprobación y control del mismo;</w:t>
      </w:r>
      <w:r w:rsidRPr="00BF4E0E">
        <w:t xml:space="preserve"> privilegiando las mejores condiciones de oportunidad, precio, calidad y financiamiento, en un esquema de transparencia.</w:t>
      </w:r>
    </w:p>
    <w:p w14:paraId="46067513" w14:textId="77777777" w:rsidR="007538D3" w:rsidRPr="00BF4E0E" w:rsidRDefault="007538D3" w:rsidP="005B1948">
      <w:pPr>
        <w:spacing w:after="0" w:line="360" w:lineRule="auto"/>
      </w:pPr>
    </w:p>
    <w:p w14:paraId="4DB91D56" w14:textId="60C883D9" w:rsidR="007538D3" w:rsidRPr="00BF4E0E" w:rsidRDefault="007538D3" w:rsidP="005B1948">
      <w:pPr>
        <w:spacing w:after="0" w:line="360" w:lineRule="auto"/>
        <w:rPr>
          <w:color w:val="auto"/>
        </w:rPr>
      </w:pPr>
      <w:r w:rsidRPr="00BF4E0E">
        <w:t>La cual, dentro de sus funciones se encarga entre otras cosas de elaborar, revisar y presentar los informes, el presupuesto y la cuenta pública del Instituto, con la finalidad de cumplir con lo establecido en las disposiciones emitidas por el Órgano Superior de Fiscalización del Estado de México</w:t>
      </w:r>
      <w:r w:rsidR="009A7A3D" w:rsidRPr="00BF4E0E">
        <w:t>.</w:t>
      </w:r>
    </w:p>
    <w:p w14:paraId="3A598661" w14:textId="77777777" w:rsidR="006975D9" w:rsidRPr="00BF4E0E" w:rsidRDefault="006975D9" w:rsidP="00877B34">
      <w:pPr>
        <w:spacing w:after="0" w:line="360" w:lineRule="auto"/>
        <w:rPr>
          <w:color w:val="auto"/>
        </w:rPr>
      </w:pPr>
    </w:p>
    <w:p w14:paraId="501E9670" w14:textId="56064F78" w:rsidR="00624F33" w:rsidRPr="00BF4E0E" w:rsidRDefault="002462BF" w:rsidP="00877B34">
      <w:pPr>
        <w:spacing w:after="0" w:line="360" w:lineRule="auto"/>
        <w:rPr>
          <w:color w:val="auto"/>
        </w:rPr>
      </w:pPr>
      <w:r w:rsidRPr="00BF4E0E">
        <w:rPr>
          <w:color w:val="auto"/>
        </w:rPr>
        <w:t>Conforme a lo anterior, se logra colegir que el Sujeto Obligado turnó la solicitud de información al área competente para conocer de la información solicitada, por lo que se considera que cumplió con el procedimiento de búsqueda, establecido en el artículo 162 de la Ley de Transparencia y Acceso a la Información Pública del Estado de México y Municipios.</w:t>
      </w:r>
    </w:p>
    <w:p w14:paraId="7B2E73EF" w14:textId="77777777" w:rsidR="009A7A3D" w:rsidRPr="00BF4E0E" w:rsidRDefault="009A7A3D" w:rsidP="00877B34">
      <w:pPr>
        <w:spacing w:after="0" w:line="360" w:lineRule="auto"/>
        <w:rPr>
          <w:color w:val="auto"/>
        </w:rPr>
      </w:pPr>
    </w:p>
    <w:p w14:paraId="42467284" w14:textId="47EBA665" w:rsidR="00727351" w:rsidRPr="00BF4E0E" w:rsidRDefault="00624F33" w:rsidP="00727351">
      <w:pPr>
        <w:spacing w:after="0" w:line="360" w:lineRule="auto"/>
        <w:rPr>
          <w:color w:val="auto"/>
        </w:rPr>
      </w:pPr>
      <w:r w:rsidRPr="00BF4E0E">
        <w:rPr>
          <w:color w:val="auto"/>
        </w:rPr>
        <w:t xml:space="preserve">Ahora bien, </w:t>
      </w:r>
      <w:r w:rsidR="000D79ED" w:rsidRPr="00BF4E0E">
        <w:rPr>
          <w:color w:val="auto"/>
        </w:rPr>
        <w:t xml:space="preserve">tanto </w:t>
      </w:r>
      <w:r w:rsidRPr="00BF4E0E">
        <w:rPr>
          <w:color w:val="auto"/>
        </w:rPr>
        <w:t>en respuesta</w:t>
      </w:r>
      <w:r w:rsidR="000D79ED" w:rsidRPr="00BF4E0E">
        <w:rPr>
          <w:color w:val="auto"/>
        </w:rPr>
        <w:t>,</w:t>
      </w:r>
      <w:r w:rsidR="00B26DFF" w:rsidRPr="00BF4E0E">
        <w:rPr>
          <w:color w:val="auto"/>
        </w:rPr>
        <w:t xml:space="preserve"> como en </w:t>
      </w:r>
      <w:r w:rsidR="009A7A3D" w:rsidRPr="00BF4E0E">
        <w:rPr>
          <w:color w:val="auto"/>
        </w:rPr>
        <w:t>I</w:t>
      </w:r>
      <w:r w:rsidR="00B26DFF" w:rsidRPr="00BF4E0E">
        <w:rPr>
          <w:color w:val="auto"/>
        </w:rPr>
        <w:t xml:space="preserve">nforme </w:t>
      </w:r>
      <w:r w:rsidR="009A7A3D" w:rsidRPr="00BF4E0E">
        <w:rPr>
          <w:color w:val="auto"/>
        </w:rPr>
        <w:t>J</w:t>
      </w:r>
      <w:r w:rsidR="00B26DFF" w:rsidRPr="00BF4E0E">
        <w:rPr>
          <w:color w:val="auto"/>
        </w:rPr>
        <w:t>ustificado</w:t>
      </w:r>
      <w:r w:rsidRPr="00BF4E0E">
        <w:rPr>
          <w:color w:val="auto"/>
        </w:rPr>
        <w:t>, la</w:t>
      </w:r>
      <w:r w:rsidR="00727351" w:rsidRPr="00BF4E0E">
        <w:rPr>
          <w:color w:val="auto"/>
        </w:rPr>
        <w:t xml:space="preserve"> Coordinación de Administración y Finanzas del Instituto de la Mujer de Toluca señaló que no </w:t>
      </w:r>
      <w:r w:rsidR="009A7A3D" w:rsidRPr="00BF4E0E">
        <w:rPr>
          <w:color w:val="auto"/>
        </w:rPr>
        <w:t>podía</w:t>
      </w:r>
      <w:r w:rsidR="00727351" w:rsidRPr="00BF4E0E">
        <w:rPr>
          <w:color w:val="auto"/>
        </w:rPr>
        <w:t xml:space="preserve"> proporcionar los comprobantes bancarios de la dispersión de la nómina del periodo solicitado, toda vez que en relación con los comprobantes de dos mil veintidós después de realizar la búsqueda </w:t>
      </w:r>
      <w:r w:rsidRPr="00BF4E0E">
        <w:rPr>
          <w:color w:val="auto"/>
        </w:rPr>
        <w:t>en los archivos que obran en el Instituto, solo se encontraron oficios girados en atención a la Auditora Superior de Fiscalización del Estado de México de la presentación del Primer, Segundo y Tercer Informe Trimestral Municipal, sin el disco de la información presentada al Órgano Superior de Fiscalización del Estado de México (OSFEM) del Módulo 4, Información Administrativa en la que se incluyeron los comprobantes bancarios de dispersión</w:t>
      </w:r>
      <w:r w:rsidR="00727351" w:rsidRPr="00BF4E0E">
        <w:rPr>
          <w:color w:val="auto"/>
        </w:rPr>
        <w:t>.</w:t>
      </w:r>
    </w:p>
    <w:p w14:paraId="23A41802" w14:textId="77777777" w:rsidR="00727351" w:rsidRPr="00BF4E0E" w:rsidRDefault="00727351" w:rsidP="00727351">
      <w:pPr>
        <w:spacing w:after="0" w:line="360" w:lineRule="auto"/>
        <w:rPr>
          <w:color w:val="auto"/>
        </w:rPr>
      </w:pPr>
    </w:p>
    <w:p w14:paraId="1A5ED9BA" w14:textId="0E6486CF" w:rsidR="00221699" w:rsidRPr="00BF4E0E" w:rsidRDefault="00727351" w:rsidP="009A7A3D">
      <w:pPr>
        <w:spacing w:after="0" w:line="360" w:lineRule="auto"/>
      </w:pPr>
      <w:r w:rsidRPr="00BF4E0E">
        <w:rPr>
          <w:color w:val="auto"/>
        </w:rPr>
        <w:t>En relación con los ejercicios fiscales dos mil veintitrés y dos mil veinticuatro, el OSFEM implemento una Plataforma Digital, con componentes de los Informes Trimestrales en la que adjuntaron las dispersiones de nóminas, sin embargo, a la fecha la plataforma no permite el acceso a la información</w:t>
      </w:r>
      <w:r w:rsidR="00184F52" w:rsidRPr="00BF4E0E">
        <w:rPr>
          <w:color w:val="auto"/>
        </w:rPr>
        <w:t xml:space="preserve">; </w:t>
      </w:r>
      <w:r w:rsidR="00184F52" w:rsidRPr="00BF4E0E">
        <w:t xml:space="preserve">sobre el tema, el Criterio SO/014/2017, emitido por el Instituto Nacional de Transparencia, Acceso a la Información Pública y Protección de Datos Personales en el Estado de México y Municipios, </w:t>
      </w:r>
      <w:r w:rsidR="009A7A3D" w:rsidRPr="00BF4E0E">
        <w:t>el cual establece</w:t>
      </w:r>
      <w:r w:rsidR="00221699" w:rsidRPr="00BF4E0E">
        <w:t xml:space="preserv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F68321B" w14:textId="77777777" w:rsidR="00AC23DC" w:rsidRPr="00BF4E0E" w:rsidRDefault="00AC23DC" w:rsidP="00877B34">
      <w:pPr>
        <w:spacing w:after="0" w:line="360" w:lineRule="auto"/>
        <w:contextualSpacing/>
        <w:rPr>
          <w:color w:val="FF0000"/>
        </w:rPr>
      </w:pPr>
    </w:p>
    <w:p w14:paraId="3E82DB3D" w14:textId="04153562" w:rsidR="00AC23DC" w:rsidRPr="00BF4E0E" w:rsidRDefault="00221699" w:rsidP="00877B34">
      <w:pPr>
        <w:spacing w:after="0" w:line="360" w:lineRule="auto"/>
        <w:contextualSpacing/>
        <w:rPr>
          <w:color w:val="FF0000"/>
        </w:rPr>
      </w:pPr>
      <w:r w:rsidRPr="00BF4E0E">
        <w:t xml:space="preserve">Conforme a lo anterior, la inexistencia presupone la competencia del sujeto obligado para conocer de la información, pero por alguna circunstancia, la documentación solicitada no obra en sus archivos; sin embargo, para poder acreditar dicha circunstancia, se considera que los Sujetos Obligados, </w:t>
      </w:r>
      <w:r w:rsidRPr="00BF4E0E">
        <w:rPr>
          <w:b/>
          <w:bCs/>
        </w:rPr>
        <w:t>primero deben realizar una indagación en todos los archivos de las áreas con funciones para conocer de lo peticionado.</w:t>
      </w:r>
    </w:p>
    <w:p w14:paraId="49174299" w14:textId="77777777" w:rsidR="00AC23DC" w:rsidRPr="00BF4E0E" w:rsidRDefault="00AC23DC" w:rsidP="00877B34">
      <w:pPr>
        <w:spacing w:after="0" w:line="360" w:lineRule="auto"/>
        <w:contextualSpacing/>
        <w:rPr>
          <w:color w:val="FF0000"/>
        </w:rPr>
      </w:pPr>
    </w:p>
    <w:p w14:paraId="2380907E" w14:textId="77777777" w:rsidR="00221699" w:rsidRPr="00BF4E0E" w:rsidRDefault="00221699" w:rsidP="00221699">
      <w:pPr>
        <w:spacing w:after="0" w:line="360" w:lineRule="auto"/>
        <w:rPr>
          <w:b/>
          <w:bCs/>
        </w:rPr>
      </w:pPr>
      <w:r w:rsidRPr="00BF4E0E">
        <w:t xml:space="preserve">En ese sentido, según Jarquín, Soledad (2019), en el “Diccionario de Transparencia y Acceso a la Información Pública” (p. 68), </w:t>
      </w:r>
      <w:r w:rsidRPr="00BF4E0E">
        <w:rPr>
          <w:b/>
          <w:bCs/>
        </w:rPr>
        <w:t>la búsqueda exhaustiva</w:t>
      </w:r>
      <w:r w:rsidRPr="00BF4E0E">
        <w:t xml:space="preserve"> es la obligación del área administrativa del Sujeto Obligado que cuenta o puede contar con la información requerida, la cual consiste en localizar toda aquella que atienda la solicitud, </w:t>
      </w:r>
      <w:r w:rsidRPr="00BF4E0E">
        <w:rPr>
          <w:b/>
          <w:bCs/>
        </w:rPr>
        <w:t>hasta agotar por completo las posibilidades de indagación.</w:t>
      </w:r>
    </w:p>
    <w:p w14:paraId="1633F536" w14:textId="77777777" w:rsidR="00221699" w:rsidRPr="00BF4E0E" w:rsidRDefault="00221699" w:rsidP="00221699">
      <w:pPr>
        <w:spacing w:after="0" w:line="360" w:lineRule="auto"/>
        <w:rPr>
          <w:b/>
          <w:bCs/>
        </w:rPr>
      </w:pPr>
    </w:p>
    <w:p w14:paraId="6252DE60" w14:textId="77777777" w:rsidR="00221699" w:rsidRPr="00BF4E0E" w:rsidRDefault="00221699" w:rsidP="00221699">
      <w:pPr>
        <w:spacing w:after="0" w:line="360" w:lineRule="auto"/>
        <w:rPr>
          <w:b/>
          <w:bCs/>
        </w:rPr>
      </w:pPr>
      <w:r w:rsidRPr="00BF4E0E">
        <w:t xml:space="preserve">Además, según Calero, Natalia (2016), en la “Ley General de Transparencia y Acceso a la Información Pública Comentada” (p. 408), para que exista una búsqueda exhaustiva y razonable, se debe hacer una </w:t>
      </w:r>
      <w:r w:rsidRPr="00BF4E0E">
        <w:rPr>
          <w:b/>
          <w:bCs/>
        </w:rPr>
        <w:t>indagación consiente y minuciosa en sus archivos físicos y electrónicos.</w:t>
      </w:r>
    </w:p>
    <w:p w14:paraId="2029E6D6" w14:textId="77777777" w:rsidR="00221699" w:rsidRPr="00BF4E0E" w:rsidRDefault="00221699" w:rsidP="00221699">
      <w:pPr>
        <w:spacing w:after="0" w:line="360" w:lineRule="auto"/>
        <w:rPr>
          <w:b/>
          <w:bCs/>
        </w:rPr>
      </w:pPr>
    </w:p>
    <w:p w14:paraId="0289710B" w14:textId="77777777" w:rsidR="00221699" w:rsidRPr="00BF4E0E" w:rsidRDefault="00221699" w:rsidP="00221699">
      <w:pPr>
        <w:spacing w:after="0" w:line="360" w:lineRule="auto"/>
        <w:rPr>
          <w:b/>
          <w:bCs/>
        </w:rPr>
      </w:pPr>
      <w:r w:rsidRPr="00BF4E0E">
        <w:t xml:space="preserve">Conforme a lo anterior, para poder acreditar el carácter exhaustivo de la búsqueda realizada por los Sujetos Obligados, se deben motivar las razones por las que se buscó la información en determinadas áreas, </w:t>
      </w:r>
      <w:r w:rsidRPr="00BF4E0E">
        <w:rPr>
          <w:b/>
          <w:bCs/>
        </w:rPr>
        <w:t>los criterios de búsqueda utilizados y demás circunstancias que fueron tomadas en cuenta.</w:t>
      </w:r>
    </w:p>
    <w:p w14:paraId="6DC2698B" w14:textId="77777777" w:rsidR="00221699" w:rsidRPr="00BF4E0E" w:rsidRDefault="00221699" w:rsidP="00221699">
      <w:pPr>
        <w:spacing w:after="0" w:line="360" w:lineRule="auto"/>
        <w:rPr>
          <w:b/>
          <w:bCs/>
        </w:rPr>
      </w:pPr>
    </w:p>
    <w:p w14:paraId="5657DC54" w14:textId="77777777" w:rsidR="00221699" w:rsidRPr="00BF4E0E" w:rsidRDefault="00221699" w:rsidP="00221699">
      <w:pPr>
        <w:spacing w:after="0" w:line="360" w:lineRule="auto"/>
      </w:pPr>
      <w:r w:rsidRPr="00BF4E0E">
        <w:t>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03AC6367" w14:textId="77777777" w:rsidR="00221699" w:rsidRPr="00BF4E0E" w:rsidRDefault="00221699" w:rsidP="00221699">
      <w:pPr>
        <w:spacing w:after="0" w:line="360" w:lineRule="auto"/>
      </w:pPr>
    </w:p>
    <w:p w14:paraId="076E1494" w14:textId="77777777" w:rsidR="00221699" w:rsidRPr="00BF4E0E" w:rsidRDefault="00221699" w:rsidP="00221699">
      <w:pPr>
        <w:pStyle w:val="Prrafodelista"/>
        <w:numPr>
          <w:ilvl w:val="0"/>
          <w:numId w:val="31"/>
        </w:numPr>
        <w:spacing w:line="360" w:lineRule="auto"/>
      </w:pPr>
      <w:r w:rsidRPr="00BF4E0E">
        <w:t xml:space="preserve">Motivación por las que se buscó la información, en determinadas unidades administrativas; </w:t>
      </w:r>
    </w:p>
    <w:p w14:paraId="2518210C" w14:textId="77777777" w:rsidR="00221699" w:rsidRPr="00BF4E0E" w:rsidRDefault="00221699" w:rsidP="00221699">
      <w:pPr>
        <w:pStyle w:val="Prrafodelista"/>
        <w:numPr>
          <w:ilvl w:val="0"/>
          <w:numId w:val="31"/>
        </w:numPr>
        <w:spacing w:line="360" w:lineRule="auto"/>
      </w:pPr>
      <w:r w:rsidRPr="00BF4E0E">
        <w:t>Los criterios de búsqueda utilizados, y</w:t>
      </w:r>
    </w:p>
    <w:p w14:paraId="29B89470" w14:textId="77777777" w:rsidR="00221699" w:rsidRPr="00BF4E0E" w:rsidRDefault="00221699" w:rsidP="00221699">
      <w:pPr>
        <w:pStyle w:val="Prrafodelista"/>
        <w:numPr>
          <w:ilvl w:val="0"/>
          <w:numId w:val="31"/>
        </w:numPr>
        <w:spacing w:line="360" w:lineRule="auto"/>
        <w:rPr>
          <w:b/>
          <w:bCs/>
          <w:color w:val="auto"/>
        </w:rPr>
      </w:pPr>
      <w:r w:rsidRPr="00BF4E0E">
        <w:t>Las circunstancias que fueron tomadas en cuenta.</w:t>
      </w:r>
    </w:p>
    <w:p w14:paraId="292366AE" w14:textId="77777777" w:rsidR="00221699" w:rsidRPr="00BF4E0E" w:rsidRDefault="00221699" w:rsidP="00221699">
      <w:pPr>
        <w:spacing w:after="0" w:line="360" w:lineRule="auto"/>
      </w:pPr>
    </w:p>
    <w:p w14:paraId="4E26DA75" w14:textId="77777777" w:rsidR="00221699" w:rsidRPr="00BF4E0E" w:rsidRDefault="00221699" w:rsidP="00221699">
      <w:pPr>
        <w:spacing w:after="0" w:line="360" w:lineRule="auto"/>
      </w:pPr>
      <w:r w:rsidRPr="00BF4E0E">
        <w:t>De tales circunstancias, se considera que para que los Sujetos Obligado justifiquen que realizaron una búsqueda exhaustiva y razonable, deben indicar de manera clara, lo siguiente:</w:t>
      </w:r>
    </w:p>
    <w:p w14:paraId="43978BA7" w14:textId="77777777" w:rsidR="00221699" w:rsidRPr="00BF4E0E" w:rsidRDefault="00221699" w:rsidP="00221699">
      <w:pPr>
        <w:spacing w:after="0" w:line="360" w:lineRule="auto"/>
      </w:pPr>
    </w:p>
    <w:p w14:paraId="27D554A5" w14:textId="77777777" w:rsidR="00221699" w:rsidRPr="00BF4E0E" w:rsidRDefault="00221699" w:rsidP="00221699">
      <w:pPr>
        <w:spacing w:after="0" w:line="360" w:lineRule="auto"/>
      </w:pPr>
      <w:r w:rsidRPr="00BF4E0E">
        <w:t xml:space="preserve">a) Las áreas donde se buscó la información; </w:t>
      </w:r>
    </w:p>
    <w:p w14:paraId="3E1D02A7" w14:textId="77777777" w:rsidR="00221699" w:rsidRPr="00BF4E0E" w:rsidRDefault="00221699" w:rsidP="00221699">
      <w:pPr>
        <w:spacing w:after="0" w:line="360" w:lineRule="auto"/>
      </w:pPr>
      <w:r w:rsidRPr="00BF4E0E">
        <w:t xml:space="preserve">b) Tipo de archivos buscados (físicos o electrónicos); </w:t>
      </w:r>
    </w:p>
    <w:p w14:paraId="79FB89CB" w14:textId="77777777" w:rsidR="00221699" w:rsidRPr="00BF4E0E" w:rsidRDefault="00221699" w:rsidP="00221699">
      <w:pPr>
        <w:spacing w:after="0" w:line="360" w:lineRule="auto"/>
      </w:pPr>
      <w:r w:rsidRPr="00BF4E0E">
        <w:t xml:space="preserve">c) Los criterios de búsqueda utilizados, y </w:t>
      </w:r>
    </w:p>
    <w:p w14:paraId="41E23BBD" w14:textId="77777777" w:rsidR="00221699" w:rsidRPr="00BF4E0E" w:rsidRDefault="00221699" w:rsidP="00221699">
      <w:pPr>
        <w:spacing w:after="0" w:line="360" w:lineRule="auto"/>
      </w:pPr>
      <w:r w:rsidRPr="00BF4E0E">
        <w:t>d) Las circunstancias que fueron tomadas en cuenta.</w:t>
      </w:r>
    </w:p>
    <w:p w14:paraId="1F1A9967" w14:textId="77777777" w:rsidR="00221699" w:rsidRPr="00BF4E0E" w:rsidRDefault="00221699" w:rsidP="00221699">
      <w:pPr>
        <w:spacing w:after="0" w:line="360" w:lineRule="auto"/>
      </w:pPr>
    </w:p>
    <w:p w14:paraId="12D70717" w14:textId="7B2DBA0F" w:rsidR="00AC23DC" w:rsidRPr="00BF4E0E" w:rsidRDefault="00221699" w:rsidP="00221699">
      <w:pPr>
        <w:spacing w:after="0" w:line="360" w:lineRule="auto"/>
        <w:contextualSpacing/>
      </w:pPr>
      <w:r w:rsidRPr="00BF4E0E">
        <w:t>Así y en atención al análisis realizado en párrafos anteriores, se logra vislumbrar que el Sujeto Obligado no cumplió con el procedimiento de búsqueda, pues si bien turno el requerimiento a un área competente para conocer de lo solicitado esta fue omisa en señalar los criterios de búsqueda utilizados y circunstancias que fueron tomadas en cuenta.</w:t>
      </w:r>
    </w:p>
    <w:p w14:paraId="71FDC884" w14:textId="77777777" w:rsidR="00221699" w:rsidRPr="00BF4E0E" w:rsidRDefault="00221699" w:rsidP="00221699">
      <w:pPr>
        <w:spacing w:after="0" w:line="360" w:lineRule="auto"/>
        <w:contextualSpacing/>
      </w:pPr>
    </w:p>
    <w:p w14:paraId="6722B109" w14:textId="0804E7EA" w:rsidR="00221699" w:rsidRPr="00BF4E0E" w:rsidRDefault="005A6A72" w:rsidP="00221699">
      <w:pPr>
        <w:spacing w:after="0" w:line="360" w:lineRule="auto"/>
        <w:contextualSpacing/>
        <w:rPr>
          <w:color w:val="auto"/>
        </w:rPr>
      </w:pPr>
      <w:r w:rsidRPr="00BF4E0E">
        <w:t>Pues, si bien señaló que dentro de sus archivos no localiz</w:t>
      </w:r>
      <w:r w:rsidR="003142F0" w:rsidRPr="00BF4E0E">
        <w:t>aron</w:t>
      </w:r>
      <w:r w:rsidRPr="00BF4E0E">
        <w:t xml:space="preserve"> los discos del Módulo 4 donde se encuentra la información de dos mil veintidós y </w:t>
      </w:r>
      <w:r w:rsidR="003142F0" w:rsidRPr="00BF4E0E">
        <w:rPr>
          <w:color w:val="auto"/>
        </w:rPr>
        <w:t xml:space="preserve">que en relación con los ejercicios fiscales dos mil veintitrés y dos mil veinticuatro, el OSFEM implemento una Plataforma Digital, con componentes de los Informes Trimestrales en la que adjuntaron las dispersiones de nóminas, lo cierto es que no acredito la búsqueda dentro de sus archivos digitales, ya que la información se </w:t>
      </w:r>
      <w:r w:rsidR="009A7A3D" w:rsidRPr="00BF4E0E">
        <w:rPr>
          <w:color w:val="auto"/>
        </w:rPr>
        <w:t>generó</w:t>
      </w:r>
      <w:r w:rsidR="003142F0" w:rsidRPr="00BF4E0E">
        <w:rPr>
          <w:color w:val="auto"/>
        </w:rPr>
        <w:t xml:space="preserve"> en formato PDF, además de que la información solicitada al tratarse de comprobantes emitidos por instituciones bancarias, como lo son estados de cuenta, comprobantes de transferencias, cheques, entre otras</w:t>
      </w:r>
      <w:r w:rsidR="009A7A3D" w:rsidRPr="00BF4E0E">
        <w:rPr>
          <w:color w:val="auto"/>
        </w:rPr>
        <w:t>, l</w:t>
      </w:r>
      <w:r w:rsidR="003142F0" w:rsidRPr="00BF4E0E">
        <w:rPr>
          <w:color w:val="auto"/>
        </w:rPr>
        <w:t xml:space="preserve">a misma pudiera estar contenida en la información remitida en el Módulo 1 de la información remitida al </w:t>
      </w:r>
      <w:r w:rsidRPr="00BF4E0E">
        <w:rPr>
          <w:color w:val="auto"/>
        </w:rPr>
        <w:t>Órgano Superior de Fiscalización del Estado de México (OSFEM)</w:t>
      </w:r>
      <w:r w:rsidR="009A7A3D" w:rsidRPr="00BF4E0E">
        <w:rPr>
          <w:color w:val="auto"/>
        </w:rPr>
        <w:t xml:space="preserve"> o en los expedientes internos integrados por las erogaciones realizadas por el Instituto Municipal de la Mujer.</w:t>
      </w:r>
    </w:p>
    <w:p w14:paraId="6992DD0F" w14:textId="77777777" w:rsidR="003142F0" w:rsidRPr="00BF4E0E" w:rsidRDefault="003142F0" w:rsidP="00221699">
      <w:pPr>
        <w:spacing w:after="0" w:line="360" w:lineRule="auto"/>
        <w:contextualSpacing/>
        <w:rPr>
          <w:color w:val="auto"/>
        </w:rPr>
      </w:pPr>
    </w:p>
    <w:p w14:paraId="2FB0CFDF" w14:textId="78E0273E" w:rsidR="00B26DFF" w:rsidRPr="00BF4E0E" w:rsidRDefault="00522F46" w:rsidP="00F34365">
      <w:pPr>
        <w:spacing w:after="0" w:line="360" w:lineRule="auto"/>
        <w:rPr>
          <w:rFonts w:cs="Tahoma"/>
          <w:color w:val="auto"/>
        </w:rPr>
      </w:pPr>
      <w:r w:rsidRPr="00BF4E0E">
        <w:rPr>
          <w:color w:val="auto"/>
        </w:rPr>
        <w:t xml:space="preserve">Por lo que, este </w:t>
      </w:r>
      <w:r w:rsidRPr="00BF4E0E">
        <w:t xml:space="preserve">Instituto considera que, para atender este punto del requerimiento de información, el Sujeto Obligado deberá realizar una búsqueda conforme a los parámetros analizados, en los archivos de la </w:t>
      </w:r>
      <w:r w:rsidRPr="00BF4E0E">
        <w:rPr>
          <w:color w:val="auto"/>
        </w:rPr>
        <w:t>Coordinación de Administración y Finanzas del Instituto de la Mujer de Toluca</w:t>
      </w:r>
      <w:r w:rsidRPr="00BF4E0E">
        <w:t xml:space="preserve">, a efecto de que proporcione, </w:t>
      </w:r>
      <w:r w:rsidRPr="00BF4E0E">
        <w:rPr>
          <w:rFonts w:cs="Tahoma"/>
          <w:color w:val="auto"/>
        </w:rPr>
        <w:t>los comprobantes bancarios de la dispersión de la nómina que fueron remitidos al Órgano Superior de Fiscalización por el Instituto Municipal de la Mujer durante los ejercicios fiscales dos mil veintidós, dos mil veintitrés y dos mil veinticuatro.</w:t>
      </w:r>
    </w:p>
    <w:p w14:paraId="13CD5434" w14:textId="4338B383" w:rsidR="00D439EF" w:rsidRPr="00BF4E0E" w:rsidRDefault="00D439EF" w:rsidP="00877B34">
      <w:pPr>
        <w:spacing w:after="0" w:line="360" w:lineRule="auto"/>
        <w:contextualSpacing/>
        <w:jc w:val="center"/>
        <w:rPr>
          <w:color w:val="FF0000"/>
        </w:rPr>
      </w:pPr>
    </w:p>
    <w:p w14:paraId="5B498535" w14:textId="77777777" w:rsidR="000F13F1" w:rsidRPr="00BF4E0E" w:rsidRDefault="000F13F1" w:rsidP="00877B34">
      <w:pPr>
        <w:spacing w:after="0" w:line="360" w:lineRule="auto"/>
        <w:contextualSpacing/>
        <w:rPr>
          <w:color w:val="auto"/>
        </w:rPr>
      </w:pPr>
      <w:r w:rsidRPr="00BF4E0E">
        <w:rPr>
          <w:color w:val="auto"/>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2F13C71" w14:textId="77777777" w:rsidR="000F13F1" w:rsidRPr="00BF4E0E" w:rsidRDefault="000F13F1" w:rsidP="00877B34">
      <w:pPr>
        <w:spacing w:after="0" w:line="360" w:lineRule="auto"/>
        <w:contextualSpacing/>
        <w:rPr>
          <w:color w:val="auto"/>
        </w:rPr>
      </w:pPr>
    </w:p>
    <w:p w14:paraId="2E881C3F" w14:textId="77777777" w:rsidR="000F13F1" w:rsidRPr="00BF4E0E" w:rsidRDefault="000F13F1" w:rsidP="00877B34">
      <w:pPr>
        <w:spacing w:after="0" w:line="360" w:lineRule="auto"/>
        <w:contextualSpacing/>
        <w:rPr>
          <w:color w:val="auto"/>
        </w:rPr>
      </w:pPr>
      <w:r w:rsidRPr="00BF4E0E">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BF4E0E">
        <w:rPr>
          <w:i/>
          <w:iCs/>
          <w:color w:val="auto"/>
        </w:rPr>
        <w:t>ad hoc</w:t>
      </w:r>
      <w:r w:rsidRPr="00BF4E0E">
        <w:rPr>
          <w:color w:val="auto"/>
        </w:rPr>
        <w:t>; lo cual, toma sustento en el artículo 160 de la Ley de Transparencia y Acceso a la Información Pública del Estado de México y Municipios, el cual refiere que los sujetos obligados deberán entregar la información que obre en sus archivos.</w:t>
      </w:r>
    </w:p>
    <w:p w14:paraId="36B05622" w14:textId="77777777" w:rsidR="000F13F1" w:rsidRPr="00BF4E0E" w:rsidRDefault="000F13F1" w:rsidP="00877B34">
      <w:pPr>
        <w:spacing w:after="0" w:line="360" w:lineRule="auto"/>
        <w:contextualSpacing/>
        <w:rPr>
          <w:color w:val="FF0000"/>
        </w:rPr>
      </w:pPr>
    </w:p>
    <w:p w14:paraId="25E52780" w14:textId="7784C727" w:rsidR="000F13F1" w:rsidRPr="00BF4E0E" w:rsidRDefault="000F13F1" w:rsidP="00877B34">
      <w:pPr>
        <w:spacing w:after="0" w:line="360" w:lineRule="auto"/>
        <w:contextualSpacing/>
        <w:rPr>
          <w:color w:val="auto"/>
        </w:rPr>
      </w:pPr>
      <w:r w:rsidRPr="00BF4E0E">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el Sujeto Obligado deberá de proporcionar l</w:t>
      </w:r>
      <w:r w:rsidR="00F34365" w:rsidRPr="00BF4E0E">
        <w:rPr>
          <w:color w:val="auto"/>
        </w:rPr>
        <w:t>os documentos que den cuenta de lo solicitado.</w:t>
      </w:r>
    </w:p>
    <w:p w14:paraId="4C188913" w14:textId="77777777" w:rsidR="000F13F1" w:rsidRPr="00BF4E0E" w:rsidRDefault="000F13F1" w:rsidP="00877B34">
      <w:pPr>
        <w:spacing w:after="0" w:line="360" w:lineRule="auto"/>
        <w:contextualSpacing/>
        <w:rPr>
          <w:color w:val="FF0000"/>
        </w:rPr>
      </w:pPr>
    </w:p>
    <w:p w14:paraId="6592098B" w14:textId="23761ACB" w:rsidR="00B43B48" w:rsidRPr="00BF4E0E" w:rsidRDefault="00B43B48" w:rsidP="00B43B48">
      <w:pPr>
        <w:spacing w:after="0" w:line="360" w:lineRule="auto"/>
        <w:rPr>
          <w:color w:val="000000"/>
        </w:rPr>
      </w:pPr>
      <w:r w:rsidRPr="00BF4E0E">
        <w:rPr>
          <w:color w:val="auto"/>
        </w:rPr>
        <w:t xml:space="preserve">Ahora bien, para el caso de que no localice la información y toda vez que debió ser generada, deberá </w:t>
      </w:r>
      <w:r w:rsidRPr="00BF4E0E">
        <w:rPr>
          <w:color w:val="000000"/>
        </w:rPr>
        <w:t xml:space="preserve">proporcionar el acta del Comité de Transparencia, donde confirme la inexistencia de la información. Lo anterior, se robustece con el Criterio de interpretación, de la Primera Época, con clave de control SO/014/2009, emitido por el Pleno del Instituto Nacional de Transparencia, Acceso a la Información y Protección de Datos Personales, que establece que, en los casos, de que no se localice la información en los archivos del sujeto obligado, después de una búsqueda exhaustiva y razonable, el Comité de Transparencia, deberá confirmar la declaración de inexistencia. </w:t>
      </w:r>
    </w:p>
    <w:p w14:paraId="2E850445" w14:textId="77777777" w:rsidR="00B43B48" w:rsidRPr="00BF4E0E" w:rsidRDefault="00B43B48" w:rsidP="00B43B48">
      <w:pPr>
        <w:spacing w:after="0" w:line="360" w:lineRule="auto"/>
        <w:rPr>
          <w:color w:val="000000"/>
        </w:rPr>
      </w:pPr>
    </w:p>
    <w:p w14:paraId="40019EB0" w14:textId="77777777" w:rsidR="00B43B48" w:rsidRPr="00BF4E0E" w:rsidRDefault="00B43B48" w:rsidP="00B43B48">
      <w:pPr>
        <w:spacing w:after="0" w:line="360" w:lineRule="auto"/>
        <w:rPr>
          <w:color w:val="000000"/>
        </w:rPr>
      </w:pPr>
      <w:r w:rsidRPr="00BF4E0E">
        <w:rPr>
          <w:color w:val="000000"/>
        </w:rPr>
        <w:t>Sobre el tema,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193194B1" w14:textId="77777777" w:rsidR="00B43B48" w:rsidRPr="00BF4E0E" w:rsidRDefault="00B43B48" w:rsidP="00B43B48">
      <w:pPr>
        <w:spacing w:after="0" w:line="360" w:lineRule="auto"/>
        <w:ind w:left="567" w:right="567"/>
        <w:rPr>
          <w:color w:val="000000"/>
        </w:rPr>
      </w:pPr>
    </w:p>
    <w:p w14:paraId="1E21FA1C" w14:textId="77777777" w:rsidR="00B43B48" w:rsidRPr="00BF4E0E" w:rsidRDefault="00B43B48" w:rsidP="00B43B48">
      <w:pPr>
        <w:spacing w:after="0" w:line="360" w:lineRule="auto"/>
        <w:rPr>
          <w:color w:val="000000"/>
        </w:rPr>
      </w:pPr>
      <w:r w:rsidRPr="00BF4E0E">
        <w:rPr>
          <w:color w:val="000000"/>
        </w:rPr>
        <w:t>En ese orden de ideas, el Criterio de interpretación, de la Primera Época, con clave de control SO/012/2010, emitido por el Pleno del Instituto Nacional de Transparencia, Acceso a la Información y Protección de Datos Personales, mismo que se cita por analogía, establece lo siguiente:</w:t>
      </w:r>
    </w:p>
    <w:p w14:paraId="1884B34E" w14:textId="77777777" w:rsidR="00B43B48" w:rsidRPr="00BF4E0E" w:rsidRDefault="00B43B48" w:rsidP="00B43B48">
      <w:pPr>
        <w:tabs>
          <w:tab w:val="left" w:pos="4667"/>
        </w:tabs>
        <w:spacing w:after="0" w:line="360" w:lineRule="auto"/>
        <w:rPr>
          <w:color w:val="000000"/>
        </w:rPr>
      </w:pPr>
    </w:p>
    <w:p w14:paraId="35DF747A" w14:textId="77777777" w:rsidR="00B43B48" w:rsidRPr="00BF4E0E" w:rsidRDefault="00B43B48" w:rsidP="00B43B48">
      <w:pPr>
        <w:tabs>
          <w:tab w:val="left" w:pos="4253"/>
        </w:tabs>
        <w:spacing w:after="0" w:line="360" w:lineRule="auto"/>
        <w:ind w:left="567" w:right="559"/>
        <w:rPr>
          <w:b/>
          <w:i/>
          <w:color w:val="000000"/>
          <w:sz w:val="20"/>
          <w:szCs w:val="20"/>
        </w:rPr>
      </w:pPr>
      <w:r w:rsidRPr="00BF4E0E">
        <w:rPr>
          <w:b/>
          <w:i/>
          <w:color w:val="000000"/>
          <w:sz w:val="20"/>
          <w:szCs w:val="20"/>
        </w:rPr>
        <w:t xml:space="preserve">“Propósito de la declaración formal de inexistencia. </w:t>
      </w:r>
      <w:r w:rsidRPr="00BF4E0E">
        <w:rPr>
          <w:i/>
          <w:color w:val="000000"/>
          <w:sz w:val="20"/>
          <w:szCs w:val="20"/>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BF4E0E">
        <w:rPr>
          <w:b/>
          <w:i/>
          <w:color w:val="000000"/>
          <w:sz w:val="20"/>
          <w:szCs w:val="20"/>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58844E8D" w14:textId="77777777" w:rsidR="00B43B48" w:rsidRPr="00BF4E0E" w:rsidRDefault="00B43B48" w:rsidP="00B43B48">
      <w:pPr>
        <w:tabs>
          <w:tab w:val="left" w:pos="4667"/>
        </w:tabs>
        <w:spacing w:after="0" w:line="360" w:lineRule="auto"/>
        <w:rPr>
          <w:color w:val="000000"/>
        </w:rPr>
      </w:pPr>
    </w:p>
    <w:p w14:paraId="66C65614" w14:textId="77777777" w:rsidR="00B43B48" w:rsidRPr="00BF4E0E" w:rsidRDefault="00B43B48" w:rsidP="00B43B48">
      <w:pPr>
        <w:spacing w:after="0" w:line="360" w:lineRule="auto"/>
        <w:rPr>
          <w:color w:val="000000"/>
        </w:rPr>
      </w:pPr>
      <w:r w:rsidRPr="00BF4E0E">
        <w:rPr>
          <w:color w:val="000000"/>
        </w:rPr>
        <w:t xml:space="preserve">De la misma manera, el Criterio de interpretación, de la Segunda Época, con clave de control SO/004/2019, emitido por el del Instituto Nacional de Transparencia, Acceso a la Información y Protección de Datos Personales, cuyo texto y rubro son los siguientes: </w:t>
      </w:r>
    </w:p>
    <w:p w14:paraId="61E13BD1" w14:textId="77777777" w:rsidR="00B43B48" w:rsidRPr="00BF4E0E" w:rsidRDefault="00B43B48" w:rsidP="00B43B48">
      <w:pPr>
        <w:tabs>
          <w:tab w:val="left" w:pos="4667"/>
        </w:tabs>
        <w:spacing w:after="0" w:line="360" w:lineRule="auto"/>
        <w:rPr>
          <w:color w:val="000000"/>
        </w:rPr>
      </w:pPr>
    </w:p>
    <w:p w14:paraId="18C0B91D" w14:textId="77777777" w:rsidR="00B43B48" w:rsidRPr="00BF4E0E" w:rsidRDefault="00B43B48" w:rsidP="00B43B48">
      <w:pPr>
        <w:tabs>
          <w:tab w:val="left" w:pos="4667"/>
        </w:tabs>
        <w:spacing w:after="0" w:line="360" w:lineRule="auto"/>
        <w:ind w:left="567" w:right="567"/>
        <w:rPr>
          <w:i/>
          <w:color w:val="000000"/>
          <w:sz w:val="20"/>
          <w:szCs w:val="20"/>
        </w:rPr>
      </w:pPr>
      <w:r w:rsidRPr="00BF4E0E">
        <w:rPr>
          <w:b/>
          <w:i/>
          <w:color w:val="000000"/>
          <w:sz w:val="20"/>
          <w:szCs w:val="20"/>
        </w:rPr>
        <w:t>“Propósito de la declaración formal de inexistencia.</w:t>
      </w:r>
      <w:r w:rsidRPr="00BF4E0E">
        <w:rPr>
          <w:i/>
          <w:color w:val="000000"/>
          <w:sz w:val="20"/>
          <w:szCs w:val="20"/>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348A4E80" w14:textId="77777777" w:rsidR="00B43B48" w:rsidRPr="00BF4E0E" w:rsidRDefault="00B43B48" w:rsidP="00B43B48">
      <w:pPr>
        <w:tabs>
          <w:tab w:val="left" w:pos="4667"/>
        </w:tabs>
        <w:spacing w:after="0" w:line="360" w:lineRule="auto"/>
        <w:rPr>
          <w:color w:val="000000"/>
        </w:rPr>
      </w:pPr>
    </w:p>
    <w:p w14:paraId="38F24A7C" w14:textId="77777777" w:rsidR="00B43B48" w:rsidRPr="00BF4E0E" w:rsidRDefault="00B43B48" w:rsidP="00B43B48">
      <w:pPr>
        <w:tabs>
          <w:tab w:val="left" w:pos="4667"/>
        </w:tabs>
        <w:spacing w:after="0" w:line="360" w:lineRule="auto"/>
        <w:rPr>
          <w:color w:val="000000"/>
        </w:rPr>
      </w:pPr>
      <w:r w:rsidRPr="00BF4E0E">
        <w:rPr>
          <w:color w:val="000000"/>
        </w:rPr>
        <w:t>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Además, según Calero, Natalia (2016), en la “Ley General de Transparencia y Acceso a la Información Pública Comentada” (p. 419), establece que las declaraciones de inexistencia, deben contener lo siguiente:</w:t>
      </w:r>
    </w:p>
    <w:p w14:paraId="4220438D" w14:textId="77777777" w:rsidR="00B43B48" w:rsidRPr="00BF4E0E" w:rsidRDefault="00B43B48" w:rsidP="00B43B48">
      <w:pPr>
        <w:spacing w:after="0" w:line="360" w:lineRule="auto"/>
        <w:ind w:right="-93"/>
        <w:rPr>
          <w:color w:val="000000"/>
        </w:rPr>
      </w:pPr>
    </w:p>
    <w:p w14:paraId="6ACC3D28" w14:textId="77777777" w:rsidR="00B43B48" w:rsidRPr="00BF4E0E" w:rsidRDefault="00B43B48" w:rsidP="00B43B48">
      <w:pPr>
        <w:numPr>
          <w:ilvl w:val="0"/>
          <w:numId w:val="33"/>
        </w:numPr>
        <w:spacing w:after="0" w:line="360" w:lineRule="auto"/>
        <w:ind w:right="-93"/>
        <w:rPr>
          <w:b/>
          <w:color w:val="000000"/>
        </w:rPr>
      </w:pPr>
      <w:r w:rsidRPr="00BF4E0E">
        <w:rPr>
          <w:b/>
          <w:color w:val="000000"/>
        </w:rPr>
        <w:t>Los elementos que le permitan a los solicitantes tener certeza de que el Sujeto Obligado utilizó un criterio de búsqueda exhaustivo:</w:t>
      </w:r>
      <w:r w:rsidRPr="00BF4E0E">
        <w:rPr>
          <w:color w:val="000000"/>
        </w:rPr>
        <w:t xml:space="preserve"> Para atender dicho supuesto, se debe precisar en qué unidades administrativas buscó, así como en el tipo de archivos y la manera en que realizó la indagación;</w:t>
      </w:r>
    </w:p>
    <w:p w14:paraId="38530591" w14:textId="77777777" w:rsidR="00B43B48" w:rsidRPr="00BF4E0E" w:rsidRDefault="00B43B48" w:rsidP="00B43B48">
      <w:pPr>
        <w:spacing w:after="0" w:line="360" w:lineRule="auto"/>
        <w:ind w:left="720" w:right="-93"/>
        <w:rPr>
          <w:b/>
          <w:color w:val="000000"/>
        </w:rPr>
      </w:pPr>
    </w:p>
    <w:p w14:paraId="64096404" w14:textId="77777777" w:rsidR="00B43B48" w:rsidRPr="00BF4E0E" w:rsidRDefault="00B43B48" w:rsidP="00B43B48">
      <w:pPr>
        <w:numPr>
          <w:ilvl w:val="0"/>
          <w:numId w:val="33"/>
        </w:numPr>
        <w:spacing w:after="0" w:line="360" w:lineRule="auto"/>
        <w:ind w:right="-93"/>
        <w:rPr>
          <w:b/>
          <w:color w:val="000000"/>
        </w:rPr>
      </w:pPr>
      <w:r w:rsidRPr="00BF4E0E">
        <w:rPr>
          <w:b/>
          <w:color w:val="000000"/>
        </w:rPr>
        <w:t xml:space="preserve">Las circunstancias de tiempo, modo y lugar que motiven las razones por las cuales la información es inexistente: </w:t>
      </w:r>
      <w:r w:rsidRPr="00BF4E0E">
        <w:rPr>
          <w:color w:val="000000"/>
        </w:rPr>
        <w:t>Al respecto, los sujetos obligados para acreditar dicho punto, deberán proveer la mayor cantidad de elementos posibles que permitan evidencia las razones por las cuales la información requerida no existe</w:t>
      </w:r>
      <w:r w:rsidRPr="00BF4E0E">
        <w:rPr>
          <w:b/>
          <w:color w:val="000000"/>
        </w:rPr>
        <w:t>,</w:t>
      </w:r>
      <w:r w:rsidRPr="00BF4E0E">
        <w:rPr>
          <w:color w:val="000000"/>
        </w:rPr>
        <w:t xml:space="preserve"> y</w:t>
      </w:r>
    </w:p>
    <w:p w14:paraId="574ECD36" w14:textId="77777777" w:rsidR="00B43B48" w:rsidRPr="00BF4E0E" w:rsidRDefault="00B43B48" w:rsidP="00B43B48">
      <w:pPr>
        <w:spacing w:after="0" w:line="360" w:lineRule="auto"/>
        <w:ind w:right="-93"/>
        <w:rPr>
          <w:b/>
          <w:color w:val="000000"/>
        </w:rPr>
      </w:pPr>
    </w:p>
    <w:p w14:paraId="05236FB5" w14:textId="77777777" w:rsidR="00B43B48" w:rsidRPr="00BF4E0E" w:rsidRDefault="00B43B48" w:rsidP="00B43B48">
      <w:pPr>
        <w:numPr>
          <w:ilvl w:val="0"/>
          <w:numId w:val="33"/>
        </w:numPr>
        <w:spacing w:after="0" w:line="360" w:lineRule="auto"/>
        <w:ind w:right="-93"/>
        <w:rPr>
          <w:b/>
          <w:color w:val="000000"/>
        </w:rPr>
      </w:pPr>
      <w:r w:rsidRPr="00BF4E0E">
        <w:rPr>
          <w:b/>
          <w:color w:val="000000"/>
        </w:rPr>
        <w:t>El servidor público responsable de contar con ésta</w:t>
      </w:r>
      <w:r w:rsidRPr="00BF4E0E">
        <w:rPr>
          <w:color w:val="000000"/>
        </w:rPr>
        <w:t>: Es importante indicar, el cargo y las razones jurídicas por las cuales debió generar la información, es decir, que con base a la normatividad interna las facultades por las cuales tuvo que elaborar el documento requerido.</w:t>
      </w:r>
    </w:p>
    <w:p w14:paraId="3B811320" w14:textId="77777777" w:rsidR="00B43B48" w:rsidRPr="00BF4E0E" w:rsidRDefault="00B43B48" w:rsidP="00B43B48">
      <w:pPr>
        <w:spacing w:after="0" w:line="360" w:lineRule="auto"/>
        <w:ind w:right="-93"/>
        <w:rPr>
          <w:color w:val="000000"/>
        </w:rPr>
      </w:pPr>
    </w:p>
    <w:p w14:paraId="61C77815" w14:textId="48239ACC" w:rsidR="00B43B48" w:rsidRPr="00BF4E0E" w:rsidRDefault="00B43B48" w:rsidP="00B43B48">
      <w:pPr>
        <w:spacing w:after="0" w:line="360" w:lineRule="auto"/>
        <w:rPr>
          <w:color w:val="000000"/>
        </w:rPr>
      </w:pPr>
      <w:r w:rsidRPr="00BF4E0E">
        <w:rPr>
          <w:color w:val="000000"/>
        </w:rPr>
        <w:t xml:space="preserve">Conforme a lo citado, se considera que es necesario que el Ayuntamiento de Toluca, </w:t>
      </w:r>
      <w:r w:rsidRPr="00BF4E0E">
        <w:rPr>
          <w:b/>
          <w:color w:val="000000"/>
        </w:rPr>
        <w:t xml:space="preserve">declare por medio de su Comité de Transparencia, la inexistencia de la información del Instituto Municipal de la Mujer, para el caso de que no localice el comprobante bancario de dispersión de nómina de alguno de los años solicitados; </w:t>
      </w:r>
      <w:r w:rsidRPr="00BF4E0E">
        <w:rPr>
          <w:color w:val="000000"/>
        </w:rPr>
        <w:t>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3C56A614" w14:textId="77777777" w:rsidR="00B43B48" w:rsidRPr="00BF4E0E" w:rsidRDefault="00B43B48" w:rsidP="00B43B48">
      <w:pPr>
        <w:spacing w:after="0" w:line="360" w:lineRule="auto"/>
        <w:rPr>
          <w:color w:val="000000"/>
        </w:rPr>
      </w:pPr>
    </w:p>
    <w:p w14:paraId="632E2F0C" w14:textId="77777777" w:rsidR="00B43B48" w:rsidRPr="00BF4E0E" w:rsidRDefault="00B43B48" w:rsidP="00B43B48">
      <w:pPr>
        <w:numPr>
          <w:ilvl w:val="0"/>
          <w:numId w:val="34"/>
        </w:numPr>
        <w:spacing w:after="0" w:line="360" w:lineRule="auto"/>
        <w:jc w:val="left"/>
        <w:rPr>
          <w:color w:val="000000"/>
        </w:rPr>
      </w:pPr>
      <w:r w:rsidRPr="00BF4E0E">
        <w:rPr>
          <w:color w:val="000000"/>
        </w:rPr>
        <w:t>Analizar el caso y tomar las medidas necesarias para localizar la información;</w:t>
      </w:r>
    </w:p>
    <w:p w14:paraId="7DCFBAC5" w14:textId="77777777" w:rsidR="00B43B48" w:rsidRPr="00BF4E0E" w:rsidRDefault="00B43B48" w:rsidP="00B43B48">
      <w:pPr>
        <w:spacing w:after="0" w:line="360" w:lineRule="auto"/>
        <w:ind w:left="720"/>
        <w:jc w:val="left"/>
        <w:rPr>
          <w:color w:val="000000"/>
        </w:rPr>
      </w:pPr>
    </w:p>
    <w:p w14:paraId="253D087C" w14:textId="77777777" w:rsidR="00B43B48" w:rsidRPr="00BF4E0E" w:rsidRDefault="00B43B48" w:rsidP="00B43B48">
      <w:pPr>
        <w:numPr>
          <w:ilvl w:val="0"/>
          <w:numId w:val="34"/>
        </w:numPr>
        <w:spacing w:after="0" w:line="360" w:lineRule="auto"/>
        <w:rPr>
          <w:color w:val="000000"/>
        </w:rPr>
      </w:pPr>
      <w:r w:rsidRPr="00BF4E0E">
        <w:rPr>
          <w:color w:val="000000"/>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317B4CB2" w14:textId="77777777" w:rsidR="00B43B48" w:rsidRPr="00BF4E0E" w:rsidRDefault="00B43B48" w:rsidP="00B43B48">
      <w:pPr>
        <w:spacing w:after="0" w:line="360" w:lineRule="auto"/>
        <w:jc w:val="left"/>
        <w:rPr>
          <w:color w:val="000000"/>
        </w:rPr>
      </w:pPr>
    </w:p>
    <w:p w14:paraId="623A25B9" w14:textId="77777777" w:rsidR="00B43B48" w:rsidRPr="00BF4E0E" w:rsidRDefault="00B43B48" w:rsidP="00B43B48">
      <w:pPr>
        <w:numPr>
          <w:ilvl w:val="0"/>
          <w:numId w:val="34"/>
        </w:numPr>
        <w:spacing w:after="0" w:line="360" w:lineRule="auto"/>
        <w:rPr>
          <w:color w:val="000000"/>
        </w:rPr>
      </w:pPr>
      <w:r w:rsidRPr="00BF4E0E">
        <w:rPr>
          <w:color w:val="000000"/>
        </w:rPr>
        <w:t>Ordenar, siempre que sea materialmente posible, que se genere o reponga la información en caso que ésta tuviera que existir o previa acreditación de la imposibilidad de su generación, exponga de forma fundada y motivada las razones de dicha situación.</w:t>
      </w:r>
    </w:p>
    <w:p w14:paraId="2A05AA76" w14:textId="3DCF0D92" w:rsidR="00B43B48" w:rsidRPr="00BF4E0E" w:rsidRDefault="00B43B48" w:rsidP="00B43B48">
      <w:pPr>
        <w:spacing w:after="0" w:line="360" w:lineRule="auto"/>
        <w:rPr>
          <w:color w:val="000000"/>
        </w:rPr>
      </w:pPr>
      <w:r w:rsidRPr="00BF4E0E">
        <w:rPr>
          <w:color w:val="000000"/>
        </w:rPr>
        <w:t xml:space="preserve">Conforme a lo anterior, en el presente caso, se considera que es necesario que el Ayuntamiento de Toluca, </w:t>
      </w:r>
      <w:r w:rsidRPr="00BF4E0E">
        <w:rPr>
          <w:b/>
          <w:color w:val="000000"/>
        </w:rPr>
        <w:t xml:space="preserve">declare por medio de su Comité de Transparencia, la inexistencia de las Actas que no localice, </w:t>
      </w:r>
      <w:r w:rsidRPr="00BF4E0E">
        <w:rPr>
          <w:color w:val="000000"/>
        </w:rPr>
        <w:t>con el fin de dar cumplimiento al tercer párrafo, del artículo 19 de la Ley de Transparencia y Acceso a la Información Pública del Estado de México y Municipios.</w:t>
      </w:r>
    </w:p>
    <w:p w14:paraId="288903A1" w14:textId="77777777" w:rsidR="00207780" w:rsidRPr="00BF4E0E" w:rsidRDefault="00207780" w:rsidP="00B43B48">
      <w:pPr>
        <w:spacing w:after="0" w:line="360" w:lineRule="auto"/>
        <w:rPr>
          <w:color w:val="000000"/>
        </w:rPr>
      </w:pPr>
    </w:p>
    <w:p w14:paraId="2B913F26" w14:textId="55689A19" w:rsidR="00207780" w:rsidRPr="00BF4E0E" w:rsidRDefault="002B7C2F" w:rsidP="00B43B48">
      <w:pPr>
        <w:spacing w:after="0" w:line="360" w:lineRule="auto"/>
        <w:rPr>
          <w:color w:val="000000"/>
        </w:rPr>
      </w:pPr>
      <w:r w:rsidRPr="00BF4E0E">
        <w:rPr>
          <w:color w:val="000000"/>
        </w:rPr>
        <w:t xml:space="preserve">Es importante señalar que al momento en que se tuvo por presentado el requerimiento informativo el </w:t>
      </w:r>
      <w:r w:rsidRPr="00BF4E0E">
        <w:rPr>
          <w:bCs/>
          <w:color w:val="000000"/>
        </w:rPr>
        <w:t>Instituto Municipal de la Mujer</w:t>
      </w:r>
      <w:r w:rsidR="00B23652" w:rsidRPr="00BF4E0E">
        <w:rPr>
          <w:bCs/>
          <w:color w:val="000000"/>
        </w:rPr>
        <w:t xml:space="preserve"> no se consideraba un Sujeto Obligado diverso al Ayuntamiento de Toluca, pues fue hasta el quince de octubre de dos mil veinticinco, fecha posterior a la solitud que se convirtió en un Sujeto Obligado diverso al Ayuntamiento de Toluca. </w:t>
      </w:r>
    </w:p>
    <w:p w14:paraId="70CBE100" w14:textId="77777777" w:rsidR="00B43B48" w:rsidRPr="00BF4E0E" w:rsidRDefault="00B43B48" w:rsidP="00877B34">
      <w:pPr>
        <w:spacing w:after="0" w:line="360" w:lineRule="auto"/>
        <w:contextualSpacing/>
        <w:rPr>
          <w:color w:val="FF0000"/>
        </w:rPr>
      </w:pPr>
    </w:p>
    <w:p w14:paraId="407E18CF" w14:textId="62BE920B" w:rsidR="00624F33" w:rsidRPr="00BF4E0E" w:rsidRDefault="00E04D7C" w:rsidP="00877B34">
      <w:pPr>
        <w:spacing w:after="0" w:line="360" w:lineRule="auto"/>
        <w:contextualSpacing/>
        <w:rPr>
          <w:color w:val="auto"/>
        </w:rPr>
      </w:pPr>
      <w:r w:rsidRPr="00BF4E0E">
        <w:rPr>
          <w:color w:val="auto"/>
        </w:rPr>
        <w:t>Ahora bien, por otra parte, el Sujeto Obligado, a través la Tesorería Municipal mencion</w:t>
      </w:r>
      <w:r w:rsidR="000D79ED" w:rsidRPr="00BF4E0E">
        <w:rPr>
          <w:color w:val="auto"/>
        </w:rPr>
        <w:t>ó</w:t>
      </w:r>
      <w:r w:rsidRPr="00BF4E0E">
        <w:rPr>
          <w:color w:val="auto"/>
        </w:rPr>
        <w:t xml:space="preserve"> que la información solicitada se ponía a disposición en consulta directa, ya que</w:t>
      </w:r>
      <w:r w:rsidR="002241DC" w:rsidRPr="00BF4E0E">
        <w:rPr>
          <w:color w:val="auto"/>
        </w:rPr>
        <w:t xml:space="preserve"> la misma consta de un aproximado de 7,005 hojas y un pero de hasta 500 Mb y/o 8000 hojas</w:t>
      </w:r>
      <w:r w:rsidR="00244BFC" w:rsidRPr="00BF4E0E">
        <w:rPr>
          <w:color w:val="auto"/>
        </w:rPr>
        <w:t xml:space="preserve">; </w:t>
      </w:r>
      <w:r w:rsidR="00624F33" w:rsidRPr="00BF4E0E">
        <w:rPr>
          <w:rFonts w:cs="Tahoma"/>
          <w:iCs/>
          <w:color w:val="auto"/>
          <w:szCs w:val="24"/>
          <w:lang w:val="es-ES_tradnl"/>
        </w:rPr>
        <w:t>por lo que, se procede analizar si procede el cambio de modalidad. A</w:t>
      </w:r>
      <w:r w:rsidR="00624F33" w:rsidRPr="00BF4E0E">
        <w:rPr>
          <w:rFonts w:cs="Tahoma"/>
          <w:color w:val="auto"/>
          <w:lang w:val="es-ES"/>
        </w:rPr>
        <w:t>l respecto, cabe recordar que se requirió la información, a través del Sistema de Acceso a Información Mexiquense (SAIMEX).</w:t>
      </w:r>
    </w:p>
    <w:p w14:paraId="408A9A09" w14:textId="77777777" w:rsidR="00624F33" w:rsidRPr="00BF4E0E" w:rsidRDefault="00624F33" w:rsidP="00877B34">
      <w:pPr>
        <w:spacing w:after="0" w:line="360" w:lineRule="auto"/>
        <w:contextualSpacing/>
        <w:rPr>
          <w:rFonts w:cs="Tahoma"/>
          <w:color w:val="FF0000"/>
          <w:lang w:val="es-ES"/>
        </w:rPr>
      </w:pPr>
    </w:p>
    <w:p w14:paraId="20442722" w14:textId="77777777" w:rsidR="00624F33" w:rsidRPr="00BF4E0E" w:rsidRDefault="00624F33" w:rsidP="00877B34">
      <w:pPr>
        <w:spacing w:after="0" w:line="360" w:lineRule="auto"/>
        <w:rPr>
          <w:color w:val="auto"/>
        </w:rPr>
      </w:pPr>
      <w:r w:rsidRPr="00BF4E0E">
        <w:rPr>
          <w:color w:val="auto"/>
        </w:rPr>
        <w:t xml:space="preserve">En ese sentido, el artículo 155, fracción V, de la Ley de Transparencia y Acceso a la Información Pública del Estado de México y Municipios, precisa que para presentar una solicitud, el particular podrá señalar </w:t>
      </w:r>
      <w:r w:rsidRPr="00BF4E0E">
        <w:rPr>
          <w:b/>
          <w:color w:val="auto"/>
        </w:rPr>
        <w:t>la modalidad en la que prefiere se otorgue el acceso a la información</w:t>
      </w:r>
      <w:r w:rsidRPr="00BF4E0E">
        <w:rPr>
          <w:color w:val="auto"/>
        </w:rPr>
        <w:t>, la cual podrá ser verbal, siempre y cuando sea para fines de orientación, mediante consulta directa, mediante la expedición de copias simples o certificadas o la reproducción en cualquier otro medio, incluidos los electrónicos.</w:t>
      </w:r>
    </w:p>
    <w:p w14:paraId="719E1159" w14:textId="77777777" w:rsidR="00624F33" w:rsidRPr="00BF4E0E" w:rsidRDefault="00624F33" w:rsidP="00877B34">
      <w:pPr>
        <w:spacing w:after="0" w:line="360" w:lineRule="auto"/>
        <w:rPr>
          <w:color w:val="FF0000"/>
        </w:rPr>
      </w:pPr>
    </w:p>
    <w:p w14:paraId="580C86E8" w14:textId="77777777" w:rsidR="00624F33" w:rsidRPr="00BF4E0E" w:rsidRDefault="00624F33" w:rsidP="00877B34">
      <w:pPr>
        <w:spacing w:after="0" w:line="360" w:lineRule="auto"/>
        <w:rPr>
          <w:b/>
          <w:color w:val="auto"/>
        </w:rPr>
      </w:pPr>
      <w:r w:rsidRPr="00BF4E0E">
        <w:rPr>
          <w:color w:val="auto"/>
        </w:rPr>
        <w:t xml:space="preserve">El artículo 158, dispone que, de manera excepcional, cuando de manera fundada y motivada lo determine el Sujeto Obligado, </w:t>
      </w:r>
      <w:r w:rsidRPr="00BF4E0E">
        <w:rPr>
          <w:b/>
          <w:color w:val="auto"/>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3A04A9E" w14:textId="77777777" w:rsidR="00624F33" w:rsidRPr="00BF4E0E" w:rsidRDefault="00624F33" w:rsidP="00877B34">
      <w:pPr>
        <w:spacing w:after="0" w:line="360" w:lineRule="auto"/>
        <w:rPr>
          <w:b/>
          <w:color w:val="auto"/>
        </w:rPr>
      </w:pPr>
    </w:p>
    <w:p w14:paraId="675B9585" w14:textId="77777777" w:rsidR="00624F33" w:rsidRPr="00BF4E0E" w:rsidRDefault="00624F33" w:rsidP="00877B34">
      <w:pPr>
        <w:spacing w:after="0" w:line="360" w:lineRule="auto"/>
        <w:rPr>
          <w:color w:val="auto"/>
        </w:rPr>
      </w:pPr>
      <w:r w:rsidRPr="00BF4E0E">
        <w:rPr>
          <w:color w:val="auto"/>
        </w:rPr>
        <w:t xml:space="preserve">En ese orden de ideas, el artículo 164 de dicho ordenamiento jurídico, prevé que el acceso se dará en la modalidad de entrega y, en su caso, de envío elegidos por al solicitante. </w:t>
      </w:r>
      <w:r w:rsidRPr="00BF4E0E">
        <w:rPr>
          <w:b/>
          <w:color w:val="auto"/>
        </w:rPr>
        <w:t>Cuando la información no pueda entregarse o enviarse en la modalidad elegida, el sujeto obligado deberá ofrecer otra u otras modalidades de entrega.</w:t>
      </w:r>
      <w:r w:rsidRPr="00BF4E0E">
        <w:rPr>
          <w:color w:val="auto"/>
        </w:rPr>
        <w:t xml:space="preserve"> En cualquier caso, </w:t>
      </w:r>
      <w:r w:rsidRPr="00BF4E0E">
        <w:rPr>
          <w:b/>
          <w:color w:val="auto"/>
        </w:rPr>
        <w:t>se deberá fundar y motivar</w:t>
      </w:r>
      <w:r w:rsidRPr="00BF4E0E">
        <w:rPr>
          <w:color w:val="auto"/>
        </w:rPr>
        <w:t xml:space="preserve"> la necesidad de ofrecer otras modalidades.</w:t>
      </w:r>
    </w:p>
    <w:p w14:paraId="3F83EE8D" w14:textId="77777777" w:rsidR="00624F33" w:rsidRPr="00BF4E0E" w:rsidRDefault="00624F33" w:rsidP="00877B34">
      <w:pPr>
        <w:spacing w:after="0" w:line="360" w:lineRule="auto"/>
        <w:rPr>
          <w:color w:val="auto"/>
        </w:rPr>
      </w:pPr>
    </w:p>
    <w:p w14:paraId="43636BE4" w14:textId="77777777" w:rsidR="00624F33" w:rsidRPr="00BF4E0E" w:rsidRDefault="00624F33" w:rsidP="00877B34">
      <w:pPr>
        <w:spacing w:after="0" w:line="360" w:lineRule="auto"/>
        <w:contextualSpacing/>
        <w:rPr>
          <w:rFonts w:cs="Tahoma"/>
          <w:b/>
          <w:bCs/>
          <w:iCs/>
          <w:color w:val="auto"/>
        </w:rPr>
      </w:pPr>
      <w:r w:rsidRPr="00BF4E0E">
        <w:rPr>
          <w:rFonts w:cs="Tahoma"/>
          <w:bCs/>
          <w:iCs/>
          <w:color w:val="auto"/>
        </w:rPr>
        <w:t xml:space="preserve">En tales consideraciones, la entrega de la información deberá hacerse, </w:t>
      </w:r>
      <w:r w:rsidRPr="00BF4E0E">
        <w:rPr>
          <w:rFonts w:cs="Tahoma"/>
          <w:b/>
          <w:bCs/>
          <w:iCs/>
          <w:color w:val="auto"/>
        </w:rPr>
        <w:t>en la medida de lo posible, en la forma solicitada por el interesado, salvo que exista un impedimento justificado para atenderla</w:t>
      </w:r>
      <w:r w:rsidRPr="00BF4E0E">
        <w:rPr>
          <w:rFonts w:cs="Tahoma"/>
          <w:bCs/>
          <w:iCs/>
          <w:color w:val="auto"/>
        </w:rPr>
        <w:t xml:space="preserve">, en cuyo caso, deberán exponerse las razones por las cuales no era posible utilizar el medio de reproducción solicitado; en ese sentido, la entrega de la información en una modalidad distinta a la elegida por el particular </w:t>
      </w:r>
      <w:r w:rsidRPr="00BF4E0E">
        <w:rPr>
          <w:rFonts w:cs="Tahoma"/>
          <w:b/>
          <w:bCs/>
          <w:iCs/>
          <w:color w:val="auto"/>
        </w:rPr>
        <w:t xml:space="preserve">sólo procede, en caso de que se acredite la imposibilidad de atenderla. </w:t>
      </w:r>
    </w:p>
    <w:p w14:paraId="582EED68" w14:textId="77777777" w:rsidR="00624F33" w:rsidRPr="00BF4E0E" w:rsidRDefault="00624F33" w:rsidP="00877B34">
      <w:pPr>
        <w:spacing w:after="0" w:line="360" w:lineRule="auto"/>
        <w:contextualSpacing/>
        <w:rPr>
          <w:rFonts w:eastAsia="Calibri" w:cs="Tahoma"/>
          <w:bCs/>
          <w:color w:val="FF0000"/>
        </w:rPr>
      </w:pPr>
    </w:p>
    <w:p w14:paraId="1B5697FC" w14:textId="77777777" w:rsidR="00624F33" w:rsidRPr="00BF4E0E" w:rsidRDefault="00624F33" w:rsidP="00877B34">
      <w:pPr>
        <w:spacing w:after="0" w:line="360" w:lineRule="auto"/>
        <w:contextualSpacing/>
        <w:rPr>
          <w:rFonts w:eastAsia="Calibri" w:cs="Tahoma"/>
          <w:b/>
          <w:color w:val="auto"/>
        </w:rPr>
      </w:pPr>
      <w:bookmarkStart w:id="21" w:name="_Hlk144892817"/>
      <w:r w:rsidRPr="00BF4E0E">
        <w:rPr>
          <w:rFonts w:eastAsia="Calibri" w:cs="Tahoma"/>
          <w:bCs/>
          <w:color w:val="auto"/>
          <w:lang w:val="es-ES"/>
        </w:rPr>
        <w:t xml:space="preserve">Así, cuando se justifique el impedimento, </w:t>
      </w:r>
      <w:r w:rsidRPr="00BF4E0E">
        <w:rPr>
          <w:rFonts w:eastAsia="Calibri" w:cs="Tahoma"/>
          <w:b/>
          <w:bCs/>
          <w:color w:val="auto"/>
          <w:lang w:val="es-ES"/>
        </w:rPr>
        <w:t>los Sujetos Obligados deberán ofrecer al particular otras modalidades de entrega que permita la información</w:t>
      </w:r>
      <w:r w:rsidRPr="00BF4E0E">
        <w:rPr>
          <w:rFonts w:eastAsia="Calibri" w:cs="Tahoma"/>
          <w:bCs/>
          <w:color w:val="auto"/>
          <w:lang w:val="es-ES"/>
        </w:rPr>
        <w:t>, como consulta directa en las oficinas de la Unidad de Transparencia; lo anterior, es robustecido con el Criterio SO/008/2017, emitido por el Pleno del Instituto Nacional de Transparencia, Acceso a la Información y Protección de Datos Personales, qu</w:t>
      </w:r>
      <w:r w:rsidRPr="00BF4E0E">
        <w:rPr>
          <w:rFonts w:eastAsia="Calibri" w:cs="Tahoma"/>
          <w:bCs/>
          <w:color w:val="auto"/>
        </w:rPr>
        <w:t xml:space="preserve">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BF4E0E">
        <w:rPr>
          <w:rFonts w:eastAsia="Calibri" w:cs="Tahoma"/>
          <w:b/>
          <w:color w:val="auto"/>
        </w:rPr>
        <w:t>información en todas las modalidades que lo permitan, procurando reducir los costos de entrega.</w:t>
      </w:r>
    </w:p>
    <w:bookmarkEnd w:id="21"/>
    <w:p w14:paraId="641152EB" w14:textId="77777777" w:rsidR="00624F33" w:rsidRPr="00BF4E0E" w:rsidRDefault="00624F33" w:rsidP="00877B34">
      <w:pPr>
        <w:spacing w:after="0" w:line="360" w:lineRule="auto"/>
        <w:contextualSpacing/>
        <w:rPr>
          <w:rFonts w:eastAsia="Times New Roman" w:cs="Tahoma"/>
          <w:color w:val="auto"/>
          <w:lang w:eastAsia="es-ES"/>
        </w:rPr>
      </w:pPr>
    </w:p>
    <w:p w14:paraId="07A7004E" w14:textId="77777777" w:rsidR="00624F33" w:rsidRPr="00BF4E0E" w:rsidRDefault="00624F33" w:rsidP="00877B34">
      <w:pPr>
        <w:widowControl w:val="0"/>
        <w:spacing w:after="0" w:line="360" w:lineRule="auto"/>
        <w:contextualSpacing/>
        <w:rPr>
          <w:rFonts w:eastAsia="Calibri" w:cs="Tahoma"/>
          <w:bCs/>
          <w:color w:val="auto"/>
        </w:rPr>
      </w:pPr>
      <w:r w:rsidRPr="00BF4E0E">
        <w:rPr>
          <w:rFonts w:eastAsia="Calibri" w:cs="Tahoma"/>
          <w:bCs/>
          <w:color w:val="auto"/>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CC35846" w14:textId="77777777" w:rsidR="00624F33" w:rsidRPr="00BF4E0E" w:rsidRDefault="00624F33" w:rsidP="00877B34">
      <w:pPr>
        <w:widowControl w:val="0"/>
        <w:spacing w:after="0" w:line="360" w:lineRule="auto"/>
        <w:contextualSpacing/>
        <w:rPr>
          <w:rFonts w:eastAsia="Calibri" w:cs="Tahoma"/>
          <w:bCs/>
          <w:color w:val="auto"/>
        </w:rPr>
      </w:pPr>
    </w:p>
    <w:p w14:paraId="5D1E4826" w14:textId="77777777" w:rsidR="00624F33" w:rsidRPr="00BF4E0E" w:rsidRDefault="00624F33" w:rsidP="00877B34">
      <w:pPr>
        <w:numPr>
          <w:ilvl w:val="0"/>
          <w:numId w:val="14"/>
        </w:numPr>
        <w:spacing w:after="0" w:line="360" w:lineRule="auto"/>
        <w:contextualSpacing/>
        <w:rPr>
          <w:rFonts w:eastAsia="Calibri" w:cs="Tahoma"/>
          <w:bCs/>
          <w:color w:val="auto"/>
        </w:rPr>
      </w:pPr>
      <w:r w:rsidRPr="00BF4E0E">
        <w:rPr>
          <w:rFonts w:eastAsia="Calibri" w:cs="Tahoma"/>
          <w:bCs/>
          <w:color w:val="auto"/>
        </w:rPr>
        <w:t>Las razones por las cuales la información implicaba un análisis, estudio o procesamiento de datos;</w:t>
      </w:r>
    </w:p>
    <w:p w14:paraId="6DC2C806" w14:textId="77777777" w:rsidR="00624F33" w:rsidRPr="00BF4E0E" w:rsidRDefault="00624F33" w:rsidP="00877B34">
      <w:pPr>
        <w:spacing w:after="0" w:line="360" w:lineRule="auto"/>
        <w:ind w:left="720"/>
        <w:contextualSpacing/>
        <w:rPr>
          <w:rFonts w:eastAsia="Calibri" w:cs="Tahoma"/>
          <w:bCs/>
          <w:color w:val="auto"/>
        </w:rPr>
      </w:pPr>
    </w:p>
    <w:p w14:paraId="64806F6F" w14:textId="77777777" w:rsidR="00624F33" w:rsidRPr="00BF4E0E" w:rsidRDefault="00624F33" w:rsidP="00877B34">
      <w:pPr>
        <w:numPr>
          <w:ilvl w:val="0"/>
          <w:numId w:val="14"/>
        </w:numPr>
        <w:spacing w:after="0" w:line="360" w:lineRule="auto"/>
        <w:contextualSpacing/>
        <w:rPr>
          <w:rFonts w:eastAsia="Calibri" w:cs="Tahoma"/>
          <w:bCs/>
          <w:color w:val="auto"/>
        </w:rPr>
      </w:pPr>
      <w:r w:rsidRPr="00BF4E0E">
        <w:rPr>
          <w:rFonts w:cs="Tahoma"/>
          <w:iCs/>
          <w:color w:val="auto"/>
        </w:rPr>
        <w:t>Por qué motivo el tiempo, que se le otorga al Sujeto Obligado para dar respuesta, en la modalidad elegida a la solicitud de información, no le es suficiente</w:t>
      </w:r>
      <w:r w:rsidRPr="00BF4E0E">
        <w:rPr>
          <w:rFonts w:eastAsia="Calibri" w:cs="Tahoma"/>
          <w:bCs/>
          <w:color w:val="auto"/>
        </w:rPr>
        <w:t>, y</w:t>
      </w:r>
    </w:p>
    <w:p w14:paraId="2E3FECD6" w14:textId="77777777" w:rsidR="00624F33" w:rsidRPr="00BF4E0E" w:rsidRDefault="00624F33" w:rsidP="00877B34">
      <w:pPr>
        <w:pStyle w:val="Prrafodelista"/>
        <w:spacing w:line="360" w:lineRule="auto"/>
        <w:rPr>
          <w:rFonts w:eastAsia="Calibri" w:cs="Tahoma"/>
          <w:bCs/>
          <w:color w:val="auto"/>
        </w:rPr>
      </w:pPr>
    </w:p>
    <w:p w14:paraId="656D9CB7" w14:textId="77777777" w:rsidR="00624F33" w:rsidRPr="00BF4E0E" w:rsidRDefault="00624F33" w:rsidP="00877B34">
      <w:pPr>
        <w:numPr>
          <w:ilvl w:val="0"/>
          <w:numId w:val="14"/>
        </w:numPr>
        <w:spacing w:after="0" w:line="360" w:lineRule="auto"/>
        <w:contextualSpacing/>
        <w:rPr>
          <w:rFonts w:eastAsia="Calibri" w:cs="Tahoma"/>
          <w:bCs/>
          <w:color w:val="auto"/>
        </w:rPr>
      </w:pPr>
      <w:r w:rsidRPr="00BF4E0E">
        <w:rPr>
          <w:rFonts w:eastAsia="Calibri" w:cs="Tahoma"/>
          <w:bCs/>
          <w:color w:val="auto"/>
        </w:rPr>
        <w:t>La cantidad de recursos humanos y materiales con los que cuenta el Sujeto Obligado son insuficientes.</w:t>
      </w:r>
    </w:p>
    <w:p w14:paraId="3922038E" w14:textId="77777777" w:rsidR="00624F33" w:rsidRPr="00BF4E0E" w:rsidRDefault="00624F33" w:rsidP="00877B34">
      <w:pPr>
        <w:spacing w:after="0" w:line="360" w:lineRule="auto"/>
        <w:ind w:right="-28"/>
        <w:rPr>
          <w:color w:val="auto"/>
        </w:rPr>
      </w:pPr>
    </w:p>
    <w:p w14:paraId="68EF27B7" w14:textId="77777777" w:rsidR="00624F33" w:rsidRPr="00BF4E0E" w:rsidRDefault="00624F33" w:rsidP="00877B34">
      <w:pPr>
        <w:spacing w:after="0" w:line="360" w:lineRule="auto"/>
        <w:ind w:right="-28"/>
        <w:rPr>
          <w:color w:val="auto"/>
        </w:rPr>
      </w:pPr>
      <w:r w:rsidRPr="00BF4E0E">
        <w:rPr>
          <w:color w:val="auto"/>
        </w:rPr>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39D37C1C" w14:textId="77777777" w:rsidR="00624F33" w:rsidRPr="00BF4E0E" w:rsidRDefault="00624F33" w:rsidP="00877B34">
      <w:pPr>
        <w:spacing w:after="0" w:line="360" w:lineRule="auto"/>
        <w:ind w:right="-28"/>
        <w:rPr>
          <w:color w:val="auto"/>
        </w:rPr>
      </w:pPr>
    </w:p>
    <w:p w14:paraId="014D15D8" w14:textId="77777777" w:rsidR="00624F33" w:rsidRPr="00BF4E0E" w:rsidRDefault="00624F33" w:rsidP="00877B34">
      <w:pPr>
        <w:autoSpaceDE w:val="0"/>
        <w:autoSpaceDN w:val="0"/>
        <w:adjustRightInd w:val="0"/>
        <w:spacing w:after="0" w:line="360" w:lineRule="auto"/>
        <w:rPr>
          <w:rFonts w:eastAsia="Calibri" w:cs="Tahoma"/>
          <w:color w:val="auto"/>
          <w:szCs w:val="24"/>
        </w:rPr>
      </w:pPr>
      <w:r w:rsidRPr="00BF4E0E">
        <w:rPr>
          <w:rFonts w:eastAsia="Calibri" w:cs="Tahoma"/>
          <w:bCs/>
          <w:iCs/>
          <w:color w:val="auto"/>
        </w:rPr>
        <w:t xml:space="preserve">Sobre dicha circunstancia, </w:t>
      </w:r>
      <w:r w:rsidRPr="00BF4E0E">
        <w:rPr>
          <w:rFonts w:cs="Tahoma"/>
          <w:color w:val="auto"/>
          <w:szCs w:val="24"/>
        </w:rPr>
        <w:t>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quinientos megabytes o su equivalente a ocho mil fojas.</w:t>
      </w:r>
    </w:p>
    <w:p w14:paraId="054BA084" w14:textId="77777777" w:rsidR="00624F33" w:rsidRPr="00BF4E0E" w:rsidRDefault="00624F33" w:rsidP="00877B34">
      <w:pPr>
        <w:spacing w:after="0" w:line="360" w:lineRule="auto"/>
        <w:ind w:right="-28"/>
        <w:rPr>
          <w:color w:val="FF0000"/>
        </w:rPr>
      </w:pPr>
    </w:p>
    <w:p w14:paraId="4ABCDA05" w14:textId="5E3DA5BA" w:rsidR="00F9638A" w:rsidRPr="00BF4E0E" w:rsidRDefault="00624F33" w:rsidP="00F9638A">
      <w:pPr>
        <w:spacing w:after="0" w:line="360" w:lineRule="auto"/>
        <w:ind w:right="-28"/>
        <w:contextualSpacing/>
        <w:rPr>
          <w:color w:val="auto"/>
        </w:rPr>
      </w:pPr>
      <w:r w:rsidRPr="00BF4E0E">
        <w:rPr>
          <w:rFonts w:eastAsia="Calibri" w:cs="Tahoma"/>
          <w:bCs/>
          <w:color w:val="auto"/>
          <w:lang w:val="es-ES"/>
        </w:rPr>
        <w:t xml:space="preserve">Sobre esta situación, es necesario precisar que </w:t>
      </w:r>
      <w:r w:rsidRPr="00BF4E0E">
        <w:rPr>
          <w:color w:val="auto"/>
        </w:rPr>
        <w:t>el Sujeto Obligado mencionó que, debido a</w:t>
      </w:r>
      <w:r w:rsidR="00F9638A" w:rsidRPr="00BF4E0E">
        <w:rPr>
          <w:color w:val="auto"/>
        </w:rPr>
        <w:t xml:space="preserve"> que la información consta aproximadamente de 7005 hojas y un peso de 500MB y 8000 hojas, se ofrecía la entrega de la información a través de consulta directa.</w:t>
      </w:r>
      <w:r w:rsidR="009A7A3D" w:rsidRPr="00BF4E0E">
        <w:rPr>
          <w:color w:val="auto"/>
        </w:rPr>
        <w:t xml:space="preserve"> </w:t>
      </w:r>
      <w:r w:rsidR="00F9638A" w:rsidRPr="00BF4E0E">
        <w:rPr>
          <w:color w:val="auto"/>
        </w:rPr>
        <w:t xml:space="preserve">No obstante, durante la sustanciación del Medio de Impugnación, mediante el desahogó del requerimiento de información, precisó que </w:t>
      </w:r>
      <w:r w:rsidR="009A7A3D" w:rsidRPr="00BF4E0E">
        <w:rPr>
          <w:color w:val="auto"/>
        </w:rPr>
        <w:t>el peso de la información era</w:t>
      </w:r>
      <w:r w:rsidR="00F9638A" w:rsidRPr="00BF4E0E">
        <w:rPr>
          <w:color w:val="auto"/>
        </w:rPr>
        <w:t xml:space="preserve"> de 1960.3 MB</w:t>
      </w:r>
      <w:r w:rsidR="00E8474F" w:rsidRPr="00BF4E0E">
        <w:rPr>
          <w:color w:val="auto"/>
        </w:rPr>
        <w:t>, pues la información anual pesaba lo siguiente:</w:t>
      </w:r>
    </w:p>
    <w:p w14:paraId="202534DD" w14:textId="77777777" w:rsidR="00E8474F" w:rsidRPr="00BF4E0E" w:rsidRDefault="00E8474F" w:rsidP="00F9638A">
      <w:pPr>
        <w:spacing w:after="0" w:line="360" w:lineRule="auto"/>
        <w:ind w:right="-28"/>
        <w:contextualSpacing/>
        <w:rPr>
          <w:color w:val="auto"/>
        </w:rPr>
      </w:pPr>
    </w:p>
    <w:tbl>
      <w:tblPr>
        <w:tblStyle w:val="Tablaconcuadrcula"/>
        <w:tblW w:w="0" w:type="auto"/>
        <w:tblInd w:w="2547" w:type="dxa"/>
        <w:tblLook w:val="04A0" w:firstRow="1" w:lastRow="0" w:firstColumn="1" w:lastColumn="0" w:noHBand="0" w:noVBand="1"/>
      </w:tblPr>
      <w:tblGrid>
        <w:gridCol w:w="1913"/>
        <w:gridCol w:w="2481"/>
      </w:tblGrid>
      <w:tr w:rsidR="00E8474F" w:rsidRPr="00BF4E0E" w14:paraId="6C36B507" w14:textId="77777777" w:rsidTr="00E8474F">
        <w:tc>
          <w:tcPr>
            <w:tcW w:w="1913" w:type="dxa"/>
            <w:shd w:val="clear" w:color="auto" w:fill="D9D9D9" w:themeFill="background1" w:themeFillShade="D9"/>
          </w:tcPr>
          <w:p w14:paraId="62247C72" w14:textId="40547188" w:rsidR="00E8474F" w:rsidRPr="00BF4E0E" w:rsidRDefault="00E8474F" w:rsidP="00E8474F">
            <w:pPr>
              <w:spacing w:line="360" w:lineRule="auto"/>
              <w:ind w:right="-28"/>
              <w:contextualSpacing/>
              <w:jc w:val="center"/>
              <w:rPr>
                <w:b/>
                <w:bCs/>
                <w:color w:val="auto"/>
              </w:rPr>
            </w:pPr>
            <w:r w:rsidRPr="00BF4E0E">
              <w:rPr>
                <w:b/>
                <w:bCs/>
                <w:color w:val="auto"/>
              </w:rPr>
              <w:t>Año</w:t>
            </w:r>
          </w:p>
        </w:tc>
        <w:tc>
          <w:tcPr>
            <w:tcW w:w="2481" w:type="dxa"/>
            <w:shd w:val="clear" w:color="auto" w:fill="D9D9D9" w:themeFill="background1" w:themeFillShade="D9"/>
          </w:tcPr>
          <w:p w14:paraId="2CC71328" w14:textId="1F0291D4" w:rsidR="00E8474F" w:rsidRPr="00BF4E0E" w:rsidRDefault="00E8474F" w:rsidP="00E8474F">
            <w:pPr>
              <w:spacing w:line="360" w:lineRule="auto"/>
              <w:ind w:right="-28"/>
              <w:contextualSpacing/>
              <w:jc w:val="center"/>
              <w:rPr>
                <w:b/>
                <w:bCs/>
                <w:color w:val="auto"/>
              </w:rPr>
            </w:pPr>
            <w:r w:rsidRPr="00BF4E0E">
              <w:rPr>
                <w:b/>
                <w:bCs/>
                <w:color w:val="auto"/>
              </w:rPr>
              <w:t>Peso</w:t>
            </w:r>
          </w:p>
        </w:tc>
      </w:tr>
      <w:tr w:rsidR="00E8474F" w:rsidRPr="00BF4E0E" w14:paraId="20EAF47A" w14:textId="77777777" w:rsidTr="00E8474F">
        <w:tc>
          <w:tcPr>
            <w:tcW w:w="1913" w:type="dxa"/>
          </w:tcPr>
          <w:p w14:paraId="09CBC309" w14:textId="37016D8D" w:rsidR="00E8474F" w:rsidRPr="00BF4E0E" w:rsidRDefault="00E8474F" w:rsidP="00E8474F">
            <w:pPr>
              <w:spacing w:line="360" w:lineRule="auto"/>
              <w:ind w:right="-28"/>
              <w:contextualSpacing/>
              <w:jc w:val="center"/>
              <w:rPr>
                <w:color w:val="auto"/>
              </w:rPr>
            </w:pPr>
            <w:r w:rsidRPr="00BF4E0E">
              <w:rPr>
                <w:color w:val="auto"/>
              </w:rPr>
              <w:t>2022</w:t>
            </w:r>
          </w:p>
        </w:tc>
        <w:tc>
          <w:tcPr>
            <w:tcW w:w="2481" w:type="dxa"/>
          </w:tcPr>
          <w:p w14:paraId="6905DC8D" w14:textId="3F0CED4C" w:rsidR="00E8474F" w:rsidRPr="00BF4E0E" w:rsidRDefault="00E8474F" w:rsidP="00E8474F">
            <w:pPr>
              <w:spacing w:line="360" w:lineRule="auto"/>
              <w:ind w:right="-28"/>
              <w:contextualSpacing/>
              <w:jc w:val="center"/>
              <w:rPr>
                <w:color w:val="auto"/>
              </w:rPr>
            </w:pPr>
            <w:r w:rsidRPr="00BF4E0E">
              <w:rPr>
                <w:color w:val="auto"/>
              </w:rPr>
              <w:t>634.2 megabytes</w:t>
            </w:r>
          </w:p>
        </w:tc>
      </w:tr>
      <w:tr w:rsidR="00E8474F" w:rsidRPr="00BF4E0E" w14:paraId="2C2D6ADF" w14:textId="77777777" w:rsidTr="00E8474F">
        <w:tc>
          <w:tcPr>
            <w:tcW w:w="1913" w:type="dxa"/>
          </w:tcPr>
          <w:p w14:paraId="079C3E39" w14:textId="294BAF4E" w:rsidR="00E8474F" w:rsidRPr="00BF4E0E" w:rsidRDefault="00E8474F" w:rsidP="00E8474F">
            <w:pPr>
              <w:spacing w:line="360" w:lineRule="auto"/>
              <w:ind w:right="-28"/>
              <w:contextualSpacing/>
              <w:jc w:val="center"/>
              <w:rPr>
                <w:color w:val="auto"/>
              </w:rPr>
            </w:pPr>
            <w:r w:rsidRPr="00BF4E0E">
              <w:rPr>
                <w:color w:val="auto"/>
              </w:rPr>
              <w:t>2023</w:t>
            </w:r>
          </w:p>
        </w:tc>
        <w:tc>
          <w:tcPr>
            <w:tcW w:w="2481" w:type="dxa"/>
          </w:tcPr>
          <w:p w14:paraId="100BB50D" w14:textId="5AF2FAE2" w:rsidR="00E8474F" w:rsidRPr="00BF4E0E" w:rsidRDefault="00E8474F" w:rsidP="00E8474F">
            <w:pPr>
              <w:spacing w:line="360" w:lineRule="auto"/>
              <w:ind w:right="-28"/>
              <w:contextualSpacing/>
              <w:jc w:val="center"/>
              <w:rPr>
                <w:color w:val="auto"/>
              </w:rPr>
            </w:pPr>
            <w:r w:rsidRPr="00BF4E0E">
              <w:rPr>
                <w:color w:val="auto"/>
              </w:rPr>
              <w:t>613 megabytes</w:t>
            </w:r>
          </w:p>
        </w:tc>
      </w:tr>
      <w:tr w:rsidR="00E8474F" w:rsidRPr="00BF4E0E" w14:paraId="7FD45334" w14:textId="77777777" w:rsidTr="00E8474F">
        <w:tc>
          <w:tcPr>
            <w:tcW w:w="1913" w:type="dxa"/>
          </w:tcPr>
          <w:p w14:paraId="70B1AB55" w14:textId="77E23C19" w:rsidR="00E8474F" w:rsidRPr="00BF4E0E" w:rsidRDefault="00E8474F" w:rsidP="00E8474F">
            <w:pPr>
              <w:spacing w:line="360" w:lineRule="auto"/>
              <w:ind w:right="-28"/>
              <w:contextualSpacing/>
              <w:jc w:val="center"/>
              <w:rPr>
                <w:color w:val="auto"/>
              </w:rPr>
            </w:pPr>
            <w:r w:rsidRPr="00BF4E0E">
              <w:rPr>
                <w:color w:val="auto"/>
              </w:rPr>
              <w:t>2024</w:t>
            </w:r>
          </w:p>
        </w:tc>
        <w:tc>
          <w:tcPr>
            <w:tcW w:w="2481" w:type="dxa"/>
          </w:tcPr>
          <w:p w14:paraId="6B06D2DD" w14:textId="571C4372" w:rsidR="00E8474F" w:rsidRPr="00BF4E0E" w:rsidRDefault="00E8474F" w:rsidP="00E8474F">
            <w:pPr>
              <w:spacing w:line="360" w:lineRule="auto"/>
              <w:ind w:right="-28"/>
              <w:contextualSpacing/>
              <w:jc w:val="center"/>
              <w:rPr>
                <w:color w:val="auto"/>
              </w:rPr>
            </w:pPr>
            <w:r w:rsidRPr="00BF4E0E">
              <w:rPr>
                <w:color w:val="auto"/>
              </w:rPr>
              <w:t>713.1 megabytes</w:t>
            </w:r>
          </w:p>
        </w:tc>
      </w:tr>
    </w:tbl>
    <w:p w14:paraId="50567938" w14:textId="26CC8017" w:rsidR="00F9638A" w:rsidRPr="00BF4E0E" w:rsidRDefault="00E8474F" w:rsidP="008D17A4">
      <w:pPr>
        <w:spacing w:after="0" w:line="360" w:lineRule="auto"/>
        <w:ind w:right="-28"/>
        <w:contextualSpacing/>
        <w:rPr>
          <w:color w:val="auto"/>
        </w:rPr>
      </w:pPr>
      <w:r w:rsidRPr="00BF4E0E">
        <w:rPr>
          <w:color w:val="auto"/>
        </w:rPr>
        <w:br/>
        <w:t>Además, el Comité de Transparencia del Ayuntamiento emitió el Acta mediante el cual se valida el cambio de modalidad; s</w:t>
      </w:r>
      <w:r w:rsidR="008D17A4" w:rsidRPr="00BF4E0E">
        <w:rPr>
          <w:color w:val="auto"/>
        </w:rPr>
        <w:t>obre dicha circunstancia, 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quinientos megabytes o su equivalente a ocho mil fojas.</w:t>
      </w:r>
    </w:p>
    <w:p w14:paraId="0C612354" w14:textId="77777777" w:rsidR="00F9638A" w:rsidRPr="00BF4E0E" w:rsidRDefault="00F9638A" w:rsidP="00877B34">
      <w:pPr>
        <w:spacing w:after="0" w:line="360" w:lineRule="auto"/>
        <w:ind w:right="-28"/>
        <w:contextualSpacing/>
        <w:rPr>
          <w:color w:val="FF0000"/>
        </w:rPr>
      </w:pPr>
    </w:p>
    <w:p w14:paraId="71894E3B" w14:textId="3B04934E" w:rsidR="00E8474F" w:rsidRPr="00BF4E0E" w:rsidRDefault="00E8474F" w:rsidP="00E8474F">
      <w:pPr>
        <w:spacing w:after="0" w:line="360" w:lineRule="auto"/>
      </w:pPr>
      <w:r w:rsidRPr="00BF4E0E">
        <w:t>Conforme a lo anterior, se logra vislumbrar que la información solicitada, sobrepasaba las capacidades técnicas del Sistema de Acceso a la Información Mexiquense (SAIMEX), pues son más de mil novecientos megabytes, lo cual sobrepasa las capacidades técnicas del Sistema de Acceso a la Información Mexiquense (SAIMEX), por lo que, resulta procedente el cambio de modalidad.</w:t>
      </w:r>
    </w:p>
    <w:p w14:paraId="49BAA9F8" w14:textId="77777777" w:rsidR="00E8474F" w:rsidRPr="00BF4E0E" w:rsidRDefault="00E8474F" w:rsidP="00877B34">
      <w:pPr>
        <w:spacing w:after="0" w:line="360" w:lineRule="auto"/>
        <w:ind w:right="-28"/>
        <w:contextualSpacing/>
        <w:rPr>
          <w:color w:val="FF0000"/>
        </w:rPr>
      </w:pPr>
    </w:p>
    <w:p w14:paraId="211BE395" w14:textId="4A81122B" w:rsidR="00E8474F" w:rsidRPr="00BF4E0E" w:rsidRDefault="00B43B48" w:rsidP="00E8474F">
      <w:pPr>
        <w:spacing w:after="0" w:line="360" w:lineRule="auto"/>
        <w:contextualSpacing/>
      </w:pPr>
      <w:r w:rsidRPr="00BF4E0E">
        <w:t>En ese sentido</w:t>
      </w:r>
      <w:r w:rsidR="00E8474F" w:rsidRPr="00BF4E0E">
        <w:t>, el Vigésimo Quinto de los Lineamientos para la operación del Sistema de Acceso a la Información Mexiquense (SAIMEX) y del Sistema de Acceso, Rectificación, Cancelación y Oposición de Datos Personales del Estado de México (SARCOEM), precisa que cuando el sujeto obligado se encuentre impedido para otorgar la información, a través del sistema electrónico referido en el párrafo anterior, deberá fundamentar y motivar la imposibilidad (lo cual aconteció, tal como se analizó en párrafos anteriores), además deberá ofrecer al particular las siguientes modalidades de entrega de la información:</w:t>
      </w:r>
    </w:p>
    <w:p w14:paraId="45F6972E" w14:textId="77777777" w:rsidR="00E8474F" w:rsidRPr="00BF4E0E" w:rsidRDefault="00E8474F" w:rsidP="00E8474F">
      <w:pPr>
        <w:spacing w:after="0" w:line="360" w:lineRule="auto"/>
        <w:contextualSpacing/>
      </w:pPr>
    </w:p>
    <w:p w14:paraId="2012A790" w14:textId="77777777" w:rsidR="00E8474F" w:rsidRPr="00BF4E0E" w:rsidRDefault="00E8474F" w:rsidP="00E8474F">
      <w:pPr>
        <w:pStyle w:val="Prrafodelista"/>
        <w:numPr>
          <w:ilvl w:val="0"/>
          <w:numId w:val="32"/>
        </w:numPr>
        <w:spacing w:line="360" w:lineRule="auto"/>
      </w:pPr>
      <w:r w:rsidRPr="00BF4E0E">
        <w:t>Disco compacto;</w:t>
      </w:r>
    </w:p>
    <w:p w14:paraId="06B30FB7" w14:textId="77777777" w:rsidR="00E8474F" w:rsidRPr="00BF4E0E" w:rsidRDefault="00E8474F" w:rsidP="00E8474F">
      <w:pPr>
        <w:pStyle w:val="Prrafodelista"/>
        <w:numPr>
          <w:ilvl w:val="0"/>
          <w:numId w:val="32"/>
        </w:numPr>
        <w:spacing w:line="360" w:lineRule="auto"/>
      </w:pPr>
      <w:r w:rsidRPr="00BF4E0E">
        <w:t>Dispositivo de almacenamiento aportado por el Particular;</w:t>
      </w:r>
    </w:p>
    <w:p w14:paraId="1E6E8F23" w14:textId="77777777" w:rsidR="00E8474F" w:rsidRPr="00BF4E0E" w:rsidRDefault="00E8474F" w:rsidP="00E8474F">
      <w:pPr>
        <w:pStyle w:val="Prrafodelista"/>
        <w:numPr>
          <w:ilvl w:val="0"/>
          <w:numId w:val="32"/>
        </w:numPr>
        <w:spacing w:line="360" w:lineRule="auto"/>
      </w:pPr>
      <w:r w:rsidRPr="00BF4E0E">
        <w:t>Copias simples o certificadas;</w:t>
      </w:r>
    </w:p>
    <w:p w14:paraId="1275F946" w14:textId="77777777" w:rsidR="00E8474F" w:rsidRPr="00BF4E0E" w:rsidRDefault="00E8474F" w:rsidP="00E8474F">
      <w:pPr>
        <w:pStyle w:val="Prrafodelista"/>
        <w:numPr>
          <w:ilvl w:val="0"/>
          <w:numId w:val="32"/>
        </w:numPr>
        <w:spacing w:line="360" w:lineRule="auto"/>
      </w:pPr>
      <w:r w:rsidRPr="00BF4E0E">
        <w:t>Correo electrónico o vínculo electrónico, y</w:t>
      </w:r>
    </w:p>
    <w:p w14:paraId="52E8B7D0" w14:textId="77777777" w:rsidR="00E8474F" w:rsidRPr="00BF4E0E" w:rsidRDefault="00E8474F" w:rsidP="00E8474F">
      <w:pPr>
        <w:pStyle w:val="Prrafodelista"/>
        <w:numPr>
          <w:ilvl w:val="0"/>
          <w:numId w:val="32"/>
        </w:numPr>
        <w:spacing w:line="360" w:lineRule="auto"/>
      </w:pPr>
      <w:r w:rsidRPr="00BF4E0E">
        <w:t>Entrega en la Unidad de Transparencia o a domicilio por correo postal certificado.</w:t>
      </w:r>
    </w:p>
    <w:p w14:paraId="323B4955" w14:textId="77777777" w:rsidR="00E8474F" w:rsidRPr="00BF4E0E" w:rsidRDefault="00E8474F" w:rsidP="00877B34">
      <w:pPr>
        <w:spacing w:after="0" w:line="360" w:lineRule="auto"/>
        <w:ind w:right="-28"/>
        <w:contextualSpacing/>
        <w:rPr>
          <w:color w:val="FF0000"/>
        </w:rPr>
      </w:pPr>
    </w:p>
    <w:p w14:paraId="54278177" w14:textId="76BF6476" w:rsidR="00E8474F" w:rsidRPr="00BF4E0E" w:rsidRDefault="00E8474F" w:rsidP="00E8474F">
      <w:pPr>
        <w:spacing w:after="0" w:line="360" w:lineRule="auto"/>
      </w:pPr>
      <w:r w:rsidRPr="00BF4E0E">
        <w:t>Conforme a lo anterior, resulta procedente el cambio de modalidad, sin embargo, omitió ponerla a disposición en todas las modalidades posibles.</w:t>
      </w:r>
    </w:p>
    <w:p w14:paraId="2EC8AEDC" w14:textId="77777777" w:rsidR="00E8474F" w:rsidRPr="00BF4E0E" w:rsidRDefault="00E8474F" w:rsidP="00E8474F">
      <w:pPr>
        <w:spacing w:after="0" w:line="360" w:lineRule="auto"/>
      </w:pPr>
      <w:r w:rsidRPr="00BF4E0E">
        <w:t>Ahora bien, resulta necesario analizar de manera oficiosa, si la información puede ser adjuntada por correo electrónico; al respecto, dicho medio es un sistema que permite el intercambio de mensajes entre distintas computadoras interconectadas a través de una red.</w:t>
      </w:r>
    </w:p>
    <w:p w14:paraId="540D819D" w14:textId="77777777" w:rsidR="00E8474F" w:rsidRPr="00BF4E0E" w:rsidRDefault="00E8474F" w:rsidP="00E8474F">
      <w:pPr>
        <w:spacing w:after="0" w:line="360" w:lineRule="auto"/>
      </w:pPr>
    </w:p>
    <w:p w14:paraId="63E8FC98" w14:textId="77777777" w:rsidR="00E8474F" w:rsidRPr="00BF4E0E" w:rsidRDefault="00E8474F" w:rsidP="00E8474F">
      <w:pPr>
        <w:spacing w:after="0" w:line="360" w:lineRule="auto"/>
      </w:pPr>
      <w:r w:rsidRPr="00BF4E0E">
        <w:t>En ese contexto, existen diferentes plataformas que brindan dicho servicio, sobre el tema, a través de la plataforma Gmail se informa que el peso máximo que soporta un correo electrónico para enviar archivos adjuntos en un mensaje es de veinticinco megabytes (consultado el treinta de octubre de dos mil veinticinco, a las once horas en la liga https://support.google.com/mail/answer/6584?co=GENIE.Platform%3DDesktop&amp;hl=es#:~:te xt=Tama%C3%B1o%20m%C3%A1ximo%20de%20los%20archivos,Drive%20en%20vez%20 de%20adjuntarlo), tal como se muestra continuación:</w:t>
      </w:r>
    </w:p>
    <w:p w14:paraId="7C2F48C7" w14:textId="77777777" w:rsidR="00E8474F" w:rsidRPr="00BF4E0E" w:rsidRDefault="00E8474F" w:rsidP="00E8474F">
      <w:pPr>
        <w:spacing w:after="0" w:line="360" w:lineRule="auto"/>
        <w:rPr>
          <w:rFonts w:cs="Tahoma"/>
          <w:bCs/>
          <w:iCs/>
          <w:lang w:val="es-ES"/>
        </w:rPr>
      </w:pPr>
    </w:p>
    <w:p w14:paraId="3D07FA45" w14:textId="77777777" w:rsidR="00E8474F" w:rsidRPr="00BF4E0E" w:rsidRDefault="00E8474F" w:rsidP="00E8474F">
      <w:pPr>
        <w:spacing w:after="0" w:line="360" w:lineRule="auto"/>
        <w:ind w:left="567" w:right="567"/>
        <w:rPr>
          <w:b/>
          <w:i/>
          <w:iCs/>
          <w:sz w:val="20"/>
          <w:szCs w:val="20"/>
        </w:rPr>
      </w:pPr>
      <w:r w:rsidRPr="00BF4E0E">
        <w:rPr>
          <w:b/>
          <w:i/>
          <w:iCs/>
          <w:sz w:val="20"/>
          <w:szCs w:val="20"/>
        </w:rPr>
        <w:t>“Tamaño máximo de los archivos adjuntos</w:t>
      </w:r>
    </w:p>
    <w:p w14:paraId="76190C32" w14:textId="77777777" w:rsidR="00E8474F" w:rsidRPr="00BF4E0E" w:rsidRDefault="00E8474F" w:rsidP="00E8474F">
      <w:pPr>
        <w:spacing w:after="0" w:line="360" w:lineRule="auto"/>
        <w:ind w:left="567" w:right="567"/>
        <w:rPr>
          <w:i/>
          <w:iCs/>
          <w:sz w:val="20"/>
          <w:szCs w:val="20"/>
        </w:rPr>
      </w:pPr>
      <w:r w:rsidRPr="00BF4E0E">
        <w:rPr>
          <w:i/>
          <w:iCs/>
          <w:sz w:val="20"/>
          <w:szCs w:val="20"/>
        </w:rPr>
        <w:t xml:space="preserve"> Puedes enviar uno o varios archivos adjuntos en un mismo mensaje, pero en total no pueden superar los 25 MB. Si el archivo tiene más de 25 MB, Gmail añadirá automáticamente un enlace a Google Drive en vez de adjuntarlo.”</w:t>
      </w:r>
    </w:p>
    <w:p w14:paraId="39F5BFEB" w14:textId="77777777" w:rsidR="00E8474F" w:rsidRPr="00BF4E0E" w:rsidRDefault="00E8474F" w:rsidP="00E8474F">
      <w:pPr>
        <w:spacing w:after="0" w:line="360" w:lineRule="auto"/>
        <w:contextualSpacing/>
        <w:rPr>
          <w:rFonts w:eastAsia="Times New Roman" w:cs="Tahoma"/>
          <w:iCs/>
          <w:color w:val="FF0000"/>
          <w:lang w:eastAsia="es-ES"/>
        </w:rPr>
      </w:pPr>
    </w:p>
    <w:p w14:paraId="23D067A0" w14:textId="1037D259" w:rsidR="00E8474F" w:rsidRPr="00BF4E0E" w:rsidRDefault="00E8474F" w:rsidP="00E8474F">
      <w:pPr>
        <w:spacing w:after="0" w:line="360" w:lineRule="auto"/>
      </w:pPr>
      <w:r w:rsidRPr="00BF4E0E">
        <w:t xml:space="preserve">Como se logra observar, un correo electrónico comúnmente permite únicamente la carga de archivos adjuntos cuyo peso total se traduzca en veinticinco megabytes; por lo que, para proporcionar toda la información solicitada, necesitaría remitir más de </w:t>
      </w:r>
      <w:r w:rsidR="00B43B48" w:rsidRPr="00BF4E0E">
        <w:t>setenta y seis</w:t>
      </w:r>
      <w:r w:rsidRPr="00BF4E0E">
        <w:t xml:space="preserve"> correos, lo cual generaría una carga desproporcional al Sujeto Obligado, que implicaría que tuviera que dejar de realizar sus funciones sustantivas y esenciales para cumplir con sus funciones; por lo que, este Instituto considera improcedente ordenar dicha modalidad.</w:t>
      </w:r>
    </w:p>
    <w:p w14:paraId="0D242305" w14:textId="77777777" w:rsidR="00E8474F" w:rsidRPr="00BF4E0E" w:rsidRDefault="00E8474F" w:rsidP="00E8474F">
      <w:pPr>
        <w:spacing w:after="0" w:line="360" w:lineRule="auto"/>
      </w:pPr>
    </w:p>
    <w:p w14:paraId="4753FAC4" w14:textId="3A0C1B05" w:rsidR="00B43B48" w:rsidRPr="00BF4E0E" w:rsidRDefault="00B43B48" w:rsidP="00B43B48">
      <w:pPr>
        <w:spacing w:line="360" w:lineRule="auto"/>
        <w:contextualSpacing/>
        <w:rPr>
          <w:rFonts w:eastAsia="Calibri" w:cs="Tahoma"/>
          <w:color w:val="auto"/>
          <w:lang w:eastAsia="en-US"/>
        </w:rPr>
      </w:pPr>
      <w:r w:rsidRPr="00BF4E0E">
        <w:t>Así, resulta procedente ordenar al Sujeto Obligado a poner a disposición</w:t>
      </w:r>
      <w:r w:rsidR="00F622BB" w:rsidRPr="00BF4E0E">
        <w:rPr>
          <w:color w:val="auto"/>
        </w:rPr>
        <w:t xml:space="preserve"> los </w:t>
      </w:r>
      <w:r w:rsidR="00C47913" w:rsidRPr="00BF4E0E">
        <w:rPr>
          <w:rFonts w:cs="Tahoma"/>
          <w:color w:val="auto"/>
        </w:rPr>
        <w:t xml:space="preserve">comprobantes bancarios de la dispersión de la nómina </w:t>
      </w:r>
      <w:r w:rsidRPr="00BF4E0E">
        <w:rPr>
          <w:rFonts w:cs="Tahoma"/>
          <w:color w:val="auto"/>
        </w:rPr>
        <w:t>de</w:t>
      </w:r>
      <w:r w:rsidR="00C47913" w:rsidRPr="00BF4E0E">
        <w:rPr>
          <w:rFonts w:cs="Tahoma"/>
          <w:color w:val="auto"/>
        </w:rPr>
        <w:t xml:space="preserve"> los ejercicios fiscales dos mil veintidós, dos mil veintitrés y dos mil veinticuatro</w:t>
      </w:r>
      <w:r w:rsidRPr="00BF4E0E">
        <w:rPr>
          <w:rFonts w:cs="Tahoma"/>
          <w:color w:val="auto"/>
        </w:rPr>
        <w:t xml:space="preserve">; </w:t>
      </w:r>
      <w:r w:rsidRPr="00BF4E0E">
        <w:rPr>
          <w:rFonts w:eastAsia="Calibri" w:cs="Tahoma"/>
          <w:color w:val="auto"/>
          <w:lang w:eastAsia="en-US"/>
        </w:rPr>
        <w:t>para lo cual, en necesario aclarar, para el caso que no pueda subir la información en una liga electrónica de acceso en Internet, por no contar con presupuesto, ni con el equipo electrónico adecuado para tal circunstancia, podrá omitir dicha modalidad, para la entrega de la misma.</w:t>
      </w:r>
    </w:p>
    <w:p w14:paraId="788E94CC" w14:textId="7BC81587" w:rsidR="00C47913" w:rsidRPr="00BF4E0E" w:rsidRDefault="00C47913" w:rsidP="00B43B48">
      <w:pPr>
        <w:spacing w:after="0" w:line="360" w:lineRule="auto"/>
        <w:ind w:right="-28"/>
        <w:contextualSpacing/>
        <w:rPr>
          <w:rFonts w:cs="Tahoma"/>
          <w:color w:val="auto"/>
        </w:rPr>
      </w:pPr>
    </w:p>
    <w:p w14:paraId="3E718130" w14:textId="77777777" w:rsidR="00B43B48" w:rsidRPr="00BF4E0E" w:rsidRDefault="00B43B48" w:rsidP="00B43B48">
      <w:pPr>
        <w:tabs>
          <w:tab w:val="left" w:pos="4962"/>
        </w:tabs>
        <w:spacing w:line="360" w:lineRule="auto"/>
        <w:contextualSpacing/>
        <w:rPr>
          <w:rFonts w:eastAsiaTheme="minorHAnsi" w:cs="Tahoma"/>
          <w:lang w:eastAsia="en-US"/>
        </w:rPr>
      </w:pPr>
      <w:r w:rsidRPr="00BF4E0E">
        <w:rPr>
          <w:rFonts w:eastAsia="Calibri" w:cs="Tahoma"/>
          <w:lang w:eastAsia="en-US"/>
        </w:rPr>
        <w:t>Conforme a lo anterior, se considera que el Sujeto Obligado deberá poner a disposición del ahora Recurrente, en todas las modalidades que permita la documentación; a</w:t>
      </w:r>
      <w:r w:rsidRPr="00BF4E0E">
        <w:rPr>
          <w:rFonts w:eastAsiaTheme="minorHAnsi" w:cs="Tahoma"/>
          <w:lang w:eastAsia="en-US"/>
        </w:rPr>
        <w:t>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2375D698" w14:textId="77777777" w:rsidR="00B43B48" w:rsidRPr="00BF4E0E" w:rsidRDefault="00B43B48" w:rsidP="00B43B48">
      <w:pPr>
        <w:spacing w:line="360" w:lineRule="auto"/>
        <w:contextualSpacing/>
        <w:rPr>
          <w:rFonts w:eastAsiaTheme="minorHAnsi" w:cs="Tahoma"/>
          <w:lang w:eastAsia="en-US"/>
        </w:rPr>
      </w:pPr>
    </w:p>
    <w:p w14:paraId="7AB65BFC" w14:textId="77777777" w:rsidR="00B43B48" w:rsidRPr="00BF4E0E" w:rsidRDefault="00B43B48" w:rsidP="00B43B48">
      <w:pPr>
        <w:spacing w:line="360" w:lineRule="auto"/>
        <w:contextualSpacing/>
        <w:rPr>
          <w:rFonts w:eastAsiaTheme="minorHAnsi" w:cs="Tahoma"/>
          <w:lang w:eastAsia="en-US"/>
        </w:rPr>
      </w:pPr>
      <w:r w:rsidRPr="00BF4E0E">
        <w:rPr>
          <w:rFonts w:eastAsiaTheme="minorHAnsi" w:cs="Tahoma"/>
          <w:lang w:eastAsia="en-US"/>
        </w:rPr>
        <w:t xml:space="preserve">Si dentro del transcurso del término señalado en el párrafo anterior, </w:t>
      </w:r>
      <w:r w:rsidRPr="00BF4E0E">
        <w:rPr>
          <w:rFonts w:eastAsiaTheme="minorHAnsi" w:cs="Tahoma"/>
          <w:b/>
          <w:lang w:eastAsia="en-US"/>
        </w:rPr>
        <w:t>el Particular acude por la información,</w:t>
      </w:r>
      <w:r w:rsidRPr="00BF4E0E">
        <w:rPr>
          <w:rFonts w:eastAsiaTheme="minorHAnsi" w:cs="Tahoma"/>
          <w:lang w:eastAsia="en-US"/>
        </w:rPr>
        <w:t xml:space="preserve"> el Sujeto Obligado levantará un acta de hechos misma que debe ser remitida a este Instituto, por conducto de la Secretaría Técnica del Pleno, junto con el acuse de recibo de la información del Particular; sin embargo, si una vez fenecido el plazo,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5F6D2653" w14:textId="10EF4681" w:rsidR="00C47913" w:rsidRPr="00BF4E0E" w:rsidRDefault="00C47913" w:rsidP="00877B34">
      <w:pPr>
        <w:widowControl w:val="0"/>
        <w:autoSpaceDE w:val="0"/>
        <w:autoSpaceDN w:val="0"/>
        <w:adjustRightInd w:val="0"/>
        <w:spacing w:after="0" w:line="360" w:lineRule="auto"/>
        <w:contextualSpacing/>
        <w:rPr>
          <w:color w:val="FF0000"/>
        </w:rPr>
      </w:pPr>
    </w:p>
    <w:p w14:paraId="30069314" w14:textId="77777777" w:rsidR="00B43B48" w:rsidRPr="00BF4E0E" w:rsidRDefault="00B43B48" w:rsidP="00B43B48">
      <w:pPr>
        <w:spacing w:after="0" w:line="360" w:lineRule="auto"/>
        <w:rPr>
          <w:color w:val="000000"/>
        </w:rPr>
      </w:pPr>
      <w:r w:rsidRPr="00BF4E0E">
        <w:rPr>
          <w:color w:val="000000"/>
        </w:rPr>
        <w:t>Ahora bien, no pasa desapercibido que los documentos que den cuenta de lo solicitado pudieran contener de manera enunciativa más no limitativa los siguientes datos:</w:t>
      </w:r>
    </w:p>
    <w:p w14:paraId="62CEBBC6" w14:textId="77777777" w:rsidR="00B43B48" w:rsidRPr="00BF4E0E" w:rsidRDefault="00B43B48" w:rsidP="00877B34">
      <w:pPr>
        <w:widowControl w:val="0"/>
        <w:autoSpaceDE w:val="0"/>
        <w:autoSpaceDN w:val="0"/>
        <w:adjustRightInd w:val="0"/>
        <w:spacing w:after="0" w:line="360" w:lineRule="auto"/>
        <w:contextualSpacing/>
        <w:rPr>
          <w:color w:val="FF0000"/>
        </w:rPr>
      </w:pPr>
    </w:p>
    <w:p w14:paraId="3264D503" w14:textId="31F9FEE5" w:rsidR="00B43B48" w:rsidRPr="00BF4E0E" w:rsidRDefault="00B43B48" w:rsidP="00B43B48">
      <w:pPr>
        <w:numPr>
          <w:ilvl w:val="0"/>
          <w:numId w:val="35"/>
        </w:numPr>
        <w:spacing w:after="0" w:line="360" w:lineRule="auto"/>
        <w:rPr>
          <w:color w:val="000000"/>
        </w:rPr>
      </w:pPr>
      <w:r w:rsidRPr="00BF4E0E">
        <w:rPr>
          <w:color w:val="000000"/>
        </w:rPr>
        <w:t xml:space="preserve">Cuenta Bancaria; </w:t>
      </w:r>
    </w:p>
    <w:p w14:paraId="732A3CAC" w14:textId="77777777" w:rsidR="00B43B48" w:rsidRPr="00BF4E0E" w:rsidRDefault="00B43B48" w:rsidP="007A5BE4">
      <w:pPr>
        <w:numPr>
          <w:ilvl w:val="0"/>
          <w:numId w:val="35"/>
        </w:numPr>
        <w:spacing w:after="0" w:line="360" w:lineRule="auto"/>
        <w:ind w:right="-28"/>
        <w:rPr>
          <w:color w:val="000000"/>
        </w:rPr>
      </w:pPr>
      <w:r w:rsidRPr="00BF4E0E">
        <w:rPr>
          <w:color w:val="000000"/>
        </w:rPr>
        <w:t xml:space="preserve">Número de empleado; </w:t>
      </w:r>
    </w:p>
    <w:p w14:paraId="1433A86F" w14:textId="77777777" w:rsidR="00B43B48" w:rsidRPr="00BF4E0E" w:rsidRDefault="00B43B48" w:rsidP="007A5BE4">
      <w:pPr>
        <w:numPr>
          <w:ilvl w:val="0"/>
          <w:numId w:val="35"/>
        </w:numPr>
        <w:spacing w:after="0" w:line="360" w:lineRule="auto"/>
        <w:ind w:right="-28"/>
        <w:rPr>
          <w:color w:val="000000"/>
        </w:rPr>
      </w:pPr>
      <w:r w:rsidRPr="00BF4E0E">
        <w:rPr>
          <w:color w:val="000000"/>
        </w:rPr>
        <w:t xml:space="preserve">Nombre de servidores públicos </w:t>
      </w:r>
    </w:p>
    <w:p w14:paraId="28F99CC6" w14:textId="77777777" w:rsidR="00B43B48" w:rsidRPr="00BF4E0E" w:rsidRDefault="00B43B48" w:rsidP="00B43B48">
      <w:pPr>
        <w:spacing w:after="0" w:line="360" w:lineRule="auto"/>
        <w:ind w:right="-28"/>
        <w:rPr>
          <w:color w:val="000000"/>
        </w:rPr>
      </w:pPr>
    </w:p>
    <w:p w14:paraId="0959C86C" w14:textId="1CD16AC4" w:rsidR="00B43B48" w:rsidRPr="00BF4E0E" w:rsidRDefault="00B43B48" w:rsidP="00B43B48">
      <w:pPr>
        <w:spacing w:after="0" w:line="360" w:lineRule="auto"/>
        <w:ind w:right="-28"/>
        <w:rPr>
          <w:color w:val="000000"/>
        </w:rPr>
      </w:pPr>
      <w:r w:rsidRPr="00BF4E0E">
        <w:rPr>
          <w:color w:val="000000"/>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546A8F81" w14:textId="77777777" w:rsidR="00B43B48" w:rsidRPr="00BF4E0E" w:rsidRDefault="00B43B48" w:rsidP="00B43B48">
      <w:pPr>
        <w:spacing w:after="0" w:line="360" w:lineRule="auto"/>
        <w:rPr>
          <w:color w:val="000000"/>
        </w:rPr>
      </w:pPr>
    </w:p>
    <w:p w14:paraId="17103184" w14:textId="77777777" w:rsidR="00B43B48" w:rsidRPr="00BF4E0E" w:rsidRDefault="00B43B48" w:rsidP="00B43B48">
      <w:pPr>
        <w:spacing w:after="0" w:line="360" w:lineRule="auto"/>
        <w:rPr>
          <w:color w:val="000000"/>
        </w:rPr>
      </w:pPr>
      <w:r w:rsidRPr="00BF4E0E">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3484CC6" w14:textId="77777777" w:rsidR="00B43B48" w:rsidRPr="00BF4E0E" w:rsidRDefault="00B43B48" w:rsidP="00B43B48">
      <w:pPr>
        <w:spacing w:after="0" w:line="360" w:lineRule="auto"/>
        <w:rPr>
          <w:color w:val="000000"/>
        </w:rPr>
      </w:pPr>
    </w:p>
    <w:p w14:paraId="67B62E21" w14:textId="77777777" w:rsidR="00B43B48" w:rsidRPr="00BF4E0E" w:rsidRDefault="00B43B48" w:rsidP="00B43B48">
      <w:pPr>
        <w:spacing w:after="0" w:line="360" w:lineRule="auto"/>
        <w:rPr>
          <w:color w:val="000000"/>
        </w:rPr>
      </w:pPr>
      <w:r w:rsidRPr="00BF4E0E">
        <w:rPr>
          <w:color w:val="000000"/>
        </w:rPr>
        <w:t>En términos de lo expuesto, la documentación y aquellos datos que se consideren confidenciales, serán una limitante del derecho de acceso a la información, siempre y cuando:</w:t>
      </w:r>
    </w:p>
    <w:p w14:paraId="53149EE6" w14:textId="77777777" w:rsidR="00B43B48" w:rsidRPr="00BF4E0E" w:rsidRDefault="00B43B48" w:rsidP="00B43B48">
      <w:pPr>
        <w:spacing w:after="0" w:line="360" w:lineRule="auto"/>
        <w:rPr>
          <w:color w:val="000000"/>
        </w:rPr>
      </w:pPr>
    </w:p>
    <w:p w14:paraId="5920C182" w14:textId="77777777" w:rsidR="00B43B48" w:rsidRPr="00BF4E0E" w:rsidRDefault="00B43B48" w:rsidP="00B43B48">
      <w:pPr>
        <w:numPr>
          <w:ilvl w:val="0"/>
          <w:numId w:val="36"/>
        </w:numPr>
        <w:spacing w:after="0" w:line="360" w:lineRule="auto"/>
        <w:rPr>
          <w:color w:val="000000"/>
        </w:rPr>
      </w:pPr>
      <w:r w:rsidRPr="00BF4E0E">
        <w:rPr>
          <w:color w:val="000000"/>
        </w:rPr>
        <w:t xml:space="preserve">Se trate de datos personales o información privada; esto es, información concerniente a una persona física o </w:t>
      </w:r>
      <w:r w:rsidRPr="00BF4E0E">
        <w:t>jurídica</w:t>
      </w:r>
      <w:r w:rsidRPr="00BF4E0E">
        <w:rPr>
          <w:color w:val="000000"/>
        </w:rPr>
        <w:t xml:space="preserve"> colectiva y que esta sea identificada o identificable. </w:t>
      </w:r>
    </w:p>
    <w:p w14:paraId="58AC7DE7" w14:textId="77777777" w:rsidR="00B43B48" w:rsidRPr="00BF4E0E" w:rsidRDefault="00B43B48" w:rsidP="00B43B48">
      <w:pPr>
        <w:spacing w:after="0" w:line="360" w:lineRule="auto"/>
        <w:ind w:left="360"/>
        <w:rPr>
          <w:color w:val="000000"/>
        </w:rPr>
      </w:pPr>
    </w:p>
    <w:p w14:paraId="6C66F369" w14:textId="77777777" w:rsidR="00B43B48" w:rsidRPr="00BF4E0E" w:rsidRDefault="00B43B48" w:rsidP="00B43B48">
      <w:pPr>
        <w:numPr>
          <w:ilvl w:val="0"/>
          <w:numId w:val="36"/>
        </w:numPr>
        <w:spacing w:after="0" w:line="360" w:lineRule="auto"/>
        <w:rPr>
          <w:color w:val="000000"/>
        </w:rPr>
      </w:pPr>
      <w:r w:rsidRPr="00BF4E0E">
        <w:rPr>
          <w:color w:val="000000"/>
        </w:rPr>
        <w:t xml:space="preserve">Para la difusión de los datos, se </w:t>
      </w:r>
      <w:r w:rsidRPr="00BF4E0E">
        <w:t>requiere</w:t>
      </w:r>
      <w:r w:rsidRPr="00BF4E0E">
        <w:rPr>
          <w:color w:val="000000"/>
        </w:rPr>
        <w:t xml:space="preserve"> el consentimiento del titular. </w:t>
      </w:r>
    </w:p>
    <w:p w14:paraId="449503F2" w14:textId="77777777" w:rsidR="00B43B48" w:rsidRPr="00BF4E0E" w:rsidRDefault="00B43B48" w:rsidP="00B43B48">
      <w:pPr>
        <w:spacing w:after="0" w:line="360" w:lineRule="auto"/>
        <w:rPr>
          <w:color w:val="000000"/>
        </w:rPr>
      </w:pPr>
    </w:p>
    <w:p w14:paraId="23C53E0C" w14:textId="77777777" w:rsidR="00B43B48" w:rsidRPr="00BF4E0E" w:rsidRDefault="00B43B48" w:rsidP="00B43B48">
      <w:pPr>
        <w:spacing w:after="0" w:line="360" w:lineRule="auto"/>
        <w:rPr>
          <w:color w:val="000000"/>
        </w:rPr>
      </w:pPr>
      <w:r w:rsidRPr="00BF4E0E">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0EA11BF" w14:textId="77777777" w:rsidR="00B43B48" w:rsidRPr="00BF4E0E" w:rsidRDefault="00B43B48" w:rsidP="00B43B48">
      <w:pPr>
        <w:spacing w:after="0" w:line="360" w:lineRule="auto"/>
        <w:rPr>
          <w:color w:val="000000"/>
        </w:rPr>
      </w:pPr>
    </w:p>
    <w:p w14:paraId="0EB7BFDB" w14:textId="77777777" w:rsidR="00B43B48" w:rsidRPr="00BF4E0E" w:rsidRDefault="00B43B48" w:rsidP="00B43B48">
      <w:pPr>
        <w:spacing w:after="0" w:line="360" w:lineRule="auto"/>
        <w:rPr>
          <w:color w:val="000000"/>
        </w:rPr>
      </w:pPr>
      <w:r w:rsidRPr="00BF4E0E">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3A47E483" w14:textId="77777777" w:rsidR="00B43B48" w:rsidRPr="00BF4E0E" w:rsidRDefault="00B43B48" w:rsidP="00B43B48">
      <w:pPr>
        <w:spacing w:after="0" w:line="360" w:lineRule="auto"/>
        <w:ind w:right="-28"/>
        <w:rPr>
          <w:color w:val="000000"/>
        </w:rPr>
      </w:pPr>
    </w:p>
    <w:p w14:paraId="2B2E2AC5" w14:textId="77777777" w:rsidR="00B43B48" w:rsidRPr="00BF4E0E" w:rsidRDefault="00B43B48" w:rsidP="00B43B48">
      <w:pPr>
        <w:numPr>
          <w:ilvl w:val="0"/>
          <w:numId w:val="38"/>
        </w:numPr>
        <w:spacing w:after="0" w:line="360" w:lineRule="auto"/>
        <w:contextualSpacing/>
        <w:jc w:val="left"/>
        <w:rPr>
          <w:rFonts w:eastAsia="Calibri" w:cs="Tahoma"/>
          <w:b/>
          <w:color w:val="auto"/>
          <w:lang w:eastAsia="en-US"/>
        </w:rPr>
      </w:pPr>
      <w:r w:rsidRPr="00BF4E0E">
        <w:rPr>
          <w:rFonts w:eastAsia="Calibri" w:cs="Tahoma"/>
          <w:b/>
          <w:color w:val="auto"/>
          <w:lang w:eastAsia="en-US"/>
        </w:rPr>
        <w:t>Nombre de servidores públicos</w:t>
      </w:r>
    </w:p>
    <w:p w14:paraId="252B8F20" w14:textId="77777777" w:rsidR="00B43B48" w:rsidRPr="00BF4E0E" w:rsidRDefault="00B43B48" w:rsidP="00B43B48">
      <w:pPr>
        <w:spacing w:after="0" w:line="360" w:lineRule="auto"/>
        <w:rPr>
          <w:rFonts w:eastAsia="Calibri" w:cs="Tahoma"/>
          <w:bCs/>
          <w:color w:val="auto"/>
          <w:lang w:eastAsia="en-US"/>
        </w:rPr>
      </w:pPr>
    </w:p>
    <w:p w14:paraId="131E8403" w14:textId="77777777" w:rsidR="00B43B48" w:rsidRPr="00BF4E0E" w:rsidRDefault="00B43B48" w:rsidP="00B43B48">
      <w:pPr>
        <w:spacing w:after="0" w:line="360" w:lineRule="auto"/>
        <w:ind w:right="-93"/>
        <w:rPr>
          <w:rFonts w:eastAsia="Calibri" w:cs="Tahoma"/>
          <w:bCs/>
          <w:color w:val="auto"/>
          <w:lang w:val="es-ES_tradnl" w:eastAsia="en-US"/>
        </w:rPr>
      </w:pPr>
      <w:r w:rsidRPr="00BF4E0E">
        <w:rPr>
          <w:rFonts w:eastAsia="Calibri" w:cs="Tahoma"/>
          <w:bCs/>
          <w:color w:val="auto"/>
          <w:lang w:eastAsia="en-US"/>
        </w:rPr>
        <w:t xml:space="preserve">Al respecto, cabe precisar que el nombre se integra </w:t>
      </w:r>
      <w:r w:rsidRPr="00BF4E0E">
        <w:rPr>
          <w:rFonts w:eastAsia="Calibri" w:cs="Tahoma"/>
          <w:bCs/>
          <w:color w:val="auto"/>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BF4E0E">
        <w:rPr>
          <w:rFonts w:eastAsia="Calibri" w:cs="Tahoma"/>
          <w:bCs/>
          <w:i/>
          <w:color w:val="auto"/>
          <w:lang w:val="es-ES_tradnl" w:eastAsia="en-US"/>
        </w:rPr>
        <w:t>per se</w:t>
      </w:r>
      <w:r w:rsidRPr="00BF4E0E">
        <w:rPr>
          <w:rFonts w:eastAsia="Calibri" w:cs="Tahoma"/>
          <w:bCs/>
          <w:color w:val="auto"/>
          <w:lang w:val="es-ES_tradnl" w:eastAsia="en-US"/>
        </w:rPr>
        <w:t xml:space="preserve"> es un elemento que hace a una persona física identificada o identificable.</w:t>
      </w:r>
    </w:p>
    <w:p w14:paraId="14BB2236" w14:textId="77777777" w:rsidR="00B43B48" w:rsidRPr="00BF4E0E" w:rsidRDefault="00B43B48" w:rsidP="00B43B48">
      <w:pPr>
        <w:spacing w:after="0" w:line="360" w:lineRule="auto"/>
        <w:ind w:right="-93"/>
        <w:rPr>
          <w:rFonts w:eastAsia="Calibri" w:cs="Tahoma"/>
          <w:bCs/>
          <w:color w:val="auto"/>
          <w:lang w:val="es-ES_tradnl" w:eastAsia="en-US"/>
        </w:rPr>
      </w:pPr>
    </w:p>
    <w:p w14:paraId="6A1C3127" w14:textId="77777777" w:rsidR="00B43B48" w:rsidRPr="00BF4E0E" w:rsidRDefault="00B43B48" w:rsidP="00B43B48">
      <w:pPr>
        <w:spacing w:after="0" w:line="360" w:lineRule="auto"/>
        <w:ind w:right="-93"/>
        <w:rPr>
          <w:rFonts w:eastAsia="Calibri" w:cs="Tahoma"/>
          <w:bCs/>
          <w:color w:val="auto"/>
          <w:lang w:val="es-ES_tradnl" w:eastAsia="en-US"/>
        </w:rPr>
      </w:pPr>
      <w:r w:rsidRPr="00BF4E0E">
        <w:rPr>
          <w:rFonts w:eastAsia="Calibri" w:cs="Tahoma"/>
          <w:bCs/>
          <w:color w:val="auto"/>
          <w:lang w:val="es-ES_tradnl" w:eastAsia="en-US"/>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BF4E0E">
        <w:rPr>
          <w:rFonts w:eastAsia="Calibri" w:cs="Tahoma"/>
          <w:b/>
          <w:bCs/>
          <w:color w:val="auto"/>
          <w:lang w:val="es-ES_tradnl" w:eastAsia="en-US"/>
        </w:rPr>
        <w:t>los nombres de servidores públicos,</w:t>
      </w:r>
      <w:r w:rsidRPr="00BF4E0E">
        <w:rPr>
          <w:rFonts w:eastAsia="Calibri" w:cs="Tahoma"/>
          <w:bCs/>
          <w:color w:val="auto"/>
          <w:lang w:val="es-ES_tradnl" w:eastAsia="en-US"/>
        </w:rPr>
        <w:t xml:space="preserve"> ya que la difusión de dicho dato constituye una obligación de transparencia por parte de los sujetos obligados.</w:t>
      </w:r>
    </w:p>
    <w:p w14:paraId="5696A691" w14:textId="77777777" w:rsidR="00B43B48" w:rsidRPr="00BF4E0E" w:rsidRDefault="00B43B48" w:rsidP="00B43B48">
      <w:pPr>
        <w:spacing w:after="0" w:line="360" w:lineRule="auto"/>
        <w:ind w:right="-93"/>
        <w:rPr>
          <w:rFonts w:eastAsia="Calibri" w:cs="Tahoma"/>
          <w:bCs/>
          <w:color w:val="auto"/>
          <w:lang w:val="es-ES_tradnl" w:eastAsia="en-US"/>
        </w:rPr>
      </w:pPr>
    </w:p>
    <w:p w14:paraId="6C80FD1D" w14:textId="77777777" w:rsidR="00B43B48" w:rsidRPr="00BF4E0E" w:rsidRDefault="00B43B48" w:rsidP="00B43B48">
      <w:pPr>
        <w:spacing w:after="0" w:line="360" w:lineRule="auto"/>
        <w:ind w:right="-93"/>
        <w:rPr>
          <w:rFonts w:eastAsia="Calibri" w:cs="Tahoma"/>
          <w:b/>
          <w:bCs/>
          <w:color w:val="auto"/>
          <w:lang w:val="es-ES_tradnl" w:eastAsia="en-US"/>
        </w:rPr>
      </w:pPr>
      <w:r w:rsidRPr="00BF4E0E">
        <w:rPr>
          <w:rFonts w:eastAsia="Calibri" w:cs="Tahoma"/>
          <w:bCs/>
          <w:color w:val="auto"/>
          <w:lang w:val="es-ES_tradnl" w:eastAsia="en-US"/>
        </w:rPr>
        <w:t xml:space="preserve">Toma sustento con el artículo 92, fracciones VII y VIII, de la Ley de la materia, el cual establece que los sujetos obligados tienen la obligación de poner a disposición del público y mantener actualizada el directorio y remuneraciones de los servidores públicos, que deberán incluir al menos, entre otros datos, </w:t>
      </w:r>
      <w:r w:rsidRPr="00BF4E0E">
        <w:rPr>
          <w:rFonts w:eastAsia="Calibri" w:cs="Tahoma"/>
          <w:b/>
          <w:bCs/>
          <w:color w:val="auto"/>
          <w:lang w:val="es-ES_tradnl" w:eastAsia="en-US"/>
        </w:rPr>
        <w:t>el nombre del trabajador.</w:t>
      </w:r>
    </w:p>
    <w:p w14:paraId="2B7B25B7" w14:textId="77777777" w:rsidR="00B43B48" w:rsidRPr="00BF4E0E" w:rsidRDefault="00B43B48" w:rsidP="00B43B48">
      <w:pPr>
        <w:spacing w:after="0" w:line="360" w:lineRule="auto"/>
        <w:ind w:right="-93"/>
        <w:rPr>
          <w:rFonts w:eastAsia="Calibri" w:cs="Tahoma"/>
          <w:b/>
          <w:bCs/>
          <w:color w:val="auto"/>
          <w:lang w:val="es-ES_tradnl" w:eastAsia="en-US"/>
        </w:rPr>
      </w:pPr>
    </w:p>
    <w:p w14:paraId="2E62B1C7" w14:textId="77777777" w:rsidR="00B43B48" w:rsidRPr="00BF4E0E" w:rsidRDefault="00B43B48" w:rsidP="00B43B48">
      <w:pPr>
        <w:spacing w:after="0" w:line="360" w:lineRule="auto"/>
        <w:rPr>
          <w:rFonts w:eastAsia="Times New Roman" w:cs="Tahoma"/>
          <w:bCs/>
          <w:iCs/>
          <w:color w:val="auto"/>
          <w:lang w:eastAsia="es-ES"/>
        </w:rPr>
      </w:pPr>
      <w:r w:rsidRPr="00BF4E0E">
        <w:rPr>
          <w:rFonts w:eastAsia="Calibri" w:cs="Tahoma"/>
          <w:bCs/>
          <w:color w:val="auto"/>
          <w:lang w:val="es-ES_tradnl" w:eastAsia="en-US"/>
        </w:rPr>
        <w:t xml:space="preserve">Además, se robustece con </w:t>
      </w:r>
      <w:r w:rsidRPr="00BF4E0E">
        <w:rPr>
          <w:rFonts w:eastAsia="Times New Roman" w:cs="Tahoma"/>
          <w:bCs/>
          <w:color w:val="auto"/>
          <w:lang w:val="es-ES" w:eastAsia="es-ES"/>
        </w:rPr>
        <w:t xml:space="preserve">los formatos </w:t>
      </w:r>
      <w:r w:rsidRPr="00BF4E0E">
        <w:rPr>
          <w:rFonts w:eastAsia="Times New Roman" w:cs="Tahoma"/>
          <w:bCs/>
          <w:color w:val="auto"/>
          <w:lang w:eastAsia="es-ES"/>
        </w:rPr>
        <w:t>7 LGT_Art_70_Fr_VII (Directorio)</w:t>
      </w:r>
      <w:r w:rsidRPr="00BF4E0E">
        <w:rPr>
          <w:rFonts w:eastAsia="Times New Roman" w:cs="Tahoma"/>
          <w:bCs/>
          <w:color w:val="auto"/>
          <w:lang w:val="es-ES" w:eastAsia="es-ES"/>
        </w:rPr>
        <w:t xml:space="preserve"> </w:t>
      </w:r>
      <w:r w:rsidRPr="00BF4E0E">
        <w:rPr>
          <w:rFonts w:eastAsia="Times New Roman" w:cs="Tahoma"/>
          <w:bCs/>
          <w:color w:val="auto"/>
          <w:lang w:eastAsia="es-ES"/>
        </w:rPr>
        <w:t>y 8a LGT_Art_70_Fr_VIII</w:t>
      </w:r>
      <w:r w:rsidRPr="00BF4E0E">
        <w:rPr>
          <w:rFonts w:eastAsia="Times New Roman" w:cs="Tahoma"/>
          <w:bCs/>
          <w:color w:val="auto"/>
          <w:lang w:val="es-ES" w:eastAsia="es-ES"/>
        </w:rPr>
        <w:t xml:space="preserve"> (</w:t>
      </w:r>
      <w:r w:rsidRPr="00BF4E0E">
        <w:rPr>
          <w:rFonts w:eastAsia="Times New Roman" w:cs="Tahoma"/>
          <w:bCs/>
          <w:color w:val="auto"/>
          <w:lang w:eastAsia="es-ES"/>
        </w:rPr>
        <w:t>Remuneraciones bruta y neta de todos los(as) servidores(as) públicos(as) de base y de confianza</w:t>
      </w:r>
      <w:r w:rsidRPr="00BF4E0E">
        <w:rPr>
          <w:rFonts w:eastAsia="Times New Roman" w:cs="Tahoma"/>
          <w:bCs/>
          <w:color w:val="auto"/>
          <w:lang w:val="es-ES" w:eastAsia="es-ES"/>
        </w:rPr>
        <w:t xml:space="preserve">), de los </w:t>
      </w:r>
      <w:r w:rsidRPr="00BF4E0E">
        <w:rPr>
          <w:rFonts w:eastAsia="Times New Roman" w:cs="Tahoma"/>
          <w:bCs/>
          <w:iCs/>
          <w:color w:val="auto"/>
          <w:lang w:eastAsia="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dado que establecen que el nombre de los servidores públicos es un dato que se debe publicar, tal como se muestra a continuación:</w:t>
      </w:r>
    </w:p>
    <w:p w14:paraId="1B4AE009" w14:textId="77777777" w:rsidR="00B43B48" w:rsidRPr="00BF4E0E" w:rsidRDefault="00B43B48" w:rsidP="00B43B48">
      <w:pPr>
        <w:spacing w:after="0" w:line="360" w:lineRule="auto"/>
        <w:rPr>
          <w:rFonts w:eastAsia="Times New Roman" w:cs="Tahoma"/>
          <w:bCs/>
          <w:iCs/>
          <w:color w:val="auto"/>
          <w:lang w:eastAsia="es-ES"/>
        </w:rPr>
      </w:pPr>
    </w:p>
    <w:p w14:paraId="22816A5A" w14:textId="77777777" w:rsidR="00B43B48" w:rsidRPr="00BF4E0E" w:rsidRDefault="00B43B48" w:rsidP="00B43B48">
      <w:pPr>
        <w:spacing w:after="0" w:line="360" w:lineRule="auto"/>
        <w:jc w:val="center"/>
        <w:rPr>
          <w:rFonts w:eastAsia="Times New Roman" w:cs="Tahoma"/>
          <w:color w:val="auto"/>
          <w:lang w:eastAsia="es-ES"/>
        </w:rPr>
      </w:pPr>
      <w:r w:rsidRPr="00BF4E0E">
        <w:rPr>
          <w:rFonts w:eastAsia="Times New Roman" w:cs="Times New Roman"/>
          <w:noProof/>
          <w:color w:val="auto"/>
          <w:sz w:val="20"/>
          <w:szCs w:val="20"/>
        </w:rPr>
        <w:drawing>
          <wp:inline distT="0" distB="0" distL="0" distR="0" wp14:anchorId="26DD46BA" wp14:editId="11EF11FC">
            <wp:extent cx="5314950" cy="1685925"/>
            <wp:effectExtent l="0" t="0" r="0" b="9525"/>
            <wp:docPr id="3" name="Imagen 109467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94676881"/>
                    <pic:cNvPicPr>
                      <a:picLocks noChangeAspect="1" noChangeArrowheads="1"/>
                    </pic:cNvPicPr>
                  </pic:nvPicPr>
                  <pic:blipFill>
                    <a:blip r:embed="rId13">
                      <a:extLst>
                        <a:ext uri="{28A0092B-C50C-407E-A947-70E740481C1C}">
                          <a14:useLocalDpi xmlns:a14="http://schemas.microsoft.com/office/drawing/2010/main" val="0"/>
                        </a:ext>
                      </a:extLst>
                    </a:blip>
                    <a:srcRect t="9680"/>
                    <a:stretch>
                      <a:fillRect/>
                    </a:stretch>
                  </pic:blipFill>
                  <pic:spPr bwMode="auto">
                    <a:xfrm>
                      <a:off x="0" y="0"/>
                      <a:ext cx="5314950" cy="1685925"/>
                    </a:xfrm>
                    <a:prstGeom prst="rect">
                      <a:avLst/>
                    </a:prstGeom>
                    <a:noFill/>
                    <a:ln>
                      <a:noFill/>
                    </a:ln>
                  </pic:spPr>
                </pic:pic>
              </a:graphicData>
            </a:graphic>
          </wp:inline>
        </w:drawing>
      </w:r>
    </w:p>
    <w:p w14:paraId="59D9B132" w14:textId="77777777" w:rsidR="00B43B48" w:rsidRPr="00BF4E0E" w:rsidRDefault="00B43B48" w:rsidP="00B43B48">
      <w:pPr>
        <w:spacing w:after="0" w:line="360" w:lineRule="auto"/>
        <w:jc w:val="center"/>
        <w:rPr>
          <w:rFonts w:eastAsia="Times New Roman" w:cs="Tahoma"/>
          <w:color w:val="auto"/>
          <w:lang w:eastAsia="es-ES"/>
        </w:rPr>
      </w:pPr>
    </w:p>
    <w:p w14:paraId="0F6FB557" w14:textId="77777777" w:rsidR="00B43B48" w:rsidRPr="00BF4E0E" w:rsidRDefault="00B43B48" w:rsidP="00B43B48">
      <w:pPr>
        <w:spacing w:after="0" w:line="360" w:lineRule="auto"/>
        <w:jc w:val="center"/>
        <w:rPr>
          <w:rFonts w:eastAsia="Times New Roman" w:cs="Tahoma"/>
          <w:b/>
          <w:bCs/>
          <w:color w:val="auto"/>
          <w:lang w:eastAsia="es-ES"/>
        </w:rPr>
      </w:pPr>
      <w:r w:rsidRPr="00BF4E0E">
        <w:rPr>
          <w:rFonts w:eastAsia="Times New Roman" w:cs="Times New Roman"/>
          <w:noProof/>
          <w:color w:val="auto"/>
          <w:sz w:val="20"/>
          <w:szCs w:val="20"/>
        </w:rPr>
        <w:drawing>
          <wp:inline distT="0" distB="0" distL="0" distR="0" wp14:anchorId="1B919DCE" wp14:editId="3C5FB696">
            <wp:extent cx="5334000" cy="1428750"/>
            <wp:effectExtent l="0" t="0" r="0"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extLst>
                        <a:ext uri="{28A0092B-C50C-407E-A947-70E740481C1C}">
                          <a14:useLocalDpi xmlns:a14="http://schemas.microsoft.com/office/drawing/2010/main" val="0"/>
                        </a:ext>
                      </a:extLst>
                    </a:blip>
                    <a:srcRect t="17128"/>
                    <a:stretch>
                      <a:fillRect/>
                    </a:stretch>
                  </pic:blipFill>
                  <pic:spPr bwMode="auto">
                    <a:xfrm>
                      <a:off x="0" y="0"/>
                      <a:ext cx="5334000" cy="1428750"/>
                    </a:xfrm>
                    <a:prstGeom prst="rect">
                      <a:avLst/>
                    </a:prstGeom>
                    <a:noFill/>
                    <a:ln>
                      <a:noFill/>
                    </a:ln>
                  </pic:spPr>
                </pic:pic>
              </a:graphicData>
            </a:graphic>
          </wp:inline>
        </w:drawing>
      </w:r>
    </w:p>
    <w:p w14:paraId="4B8C8CD7" w14:textId="77777777" w:rsidR="00B43B48" w:rsidRPr="00BF4E0E" w:rsidRDefault="00B43B48" w:rsidP="00B43B48">
      <w:pPr>
        <w:spacing w:after="0" w:line="360" w:lineRule="auto"/>
        <w:jc w:val="center"/>
        <w:rPr>
          <w:rFonts w:eastAsia="Times New Roman" w:cs="Tahoma"/>
          <w:b/>
          <w:bCs/>
          <w:color w:val="auto"/>
          <w:lang w:eastAsia="es-ES"/>
        </w:rPr>
      </w:pPr>
    </w:p>
    <w:p w14:paraId="6A0403D2" w14:textId="77777777" w:rsidR="00B43B48" w:rsidRPr="00BF4E0E" w:rsidRDefault="00B43B48" w:rsidP="00B43B48">
      <w:pPr>
        <w:spacing w:after="0" w:line="360" w:lineRule="auto"/>
        <w:ind w:right="-93"/>
        <w:rPr>
          <w:rFonts w:eastAsia="Calibri" w:cs="Tahoma"/>
          <w:bCs/>
          <w:color w:val="auto"/>
          <w:lang w:val="es-ES_tradnl" w:eastAsia="en-US"/>
        </w:rPr>
      </w:pPr>
      <w:r w:rsidRPr="00BF4E0E">
        <w:rPr>
          <w:rFonts w:eastAsia="Calibri" w:cs="Tahoma"/>
          <w:bCs/>
          <w:color w:val="auto"/>
          <w:lang w:val="es-ES_tradnl" w:eastAsia="en-US"/>
        </w:rPr>
        <w:t>Situación, que se robustece con el penúltimo párrafo, del artículo 23 de la Ley de Transparencia y Acceso a la Información Pública del Estado de México y Municipios, que precisa que los sujetos obligados, deberá hacer pública, toda aquella información relativa a los montos y las personas a quienes entreguen recursos públicos, lo cual incluye su nombre.</w:t>
      </w:r>
    </w:p>
    <w:p w14:paraId="371388D3" w14:textId="77777777" w:rsidR="00B43B48" w:rsidRPr="00BF4E0E" w:rsidRDefault="00B43B48" w:rsidP="00B43B48">
      <w:pPr>
        <w:spacing w:after="0" w:line="360" w:lineRule="auto"/>
        <w:ind w:right="-93"/>
        <w:rPr>
          <w:rFonts w:eastAsia="Calibri" w:cs="Tahoma"/>
          <w:bCs/>
          <w:color w:val="auto"/>
          <w:lang w:val="es-ES_tradnl" w:eastAsia="en-US"/>
        </w:rPr>
      </w:pPr>
    </w:p>
    <w:p w14:paraId="0374D1F6" w14:textId="77777777" w:rsidR="00B43B48" w:rsidRPr="00BF4E0E" w:rsidRDefault="00B43B48" w:rsidP="00B43B48">
      <w:pPr>
        <w:spacing w:after="0" w:line="360" w:lineRule="auto"/>
        <w:ind w:right="-93"/>
        <w:rPr>
          <w:rFonts w:eastAsia="Calibri" w:cs="Tahoma"/>
          <w:b/>
          <w:bCs/>
          <w:color w:val="auto"/>
          <w:lang w:val="es-ES_tradnl" w:eastAsia="en-US"/>
        </w:rPr>
      </w:pPr>
      <w:r w:rsidRPr="00BF4E0E">
        <w:rPr>
          <w:rFonts w:eastAsia="Calibri" w:cs="Tahoma"/>
          <w:bCs/>
          <w:color w:val="auto"/>
          <w:lang w:val="es-ES_tradnl" w:eastAsia="en-US"/>
        </w:rPr>
        <w:t xml:space="preserve">Por lo tanto, la Ley de Transparencia y Acceso a la Información Pública del Estado de México y Municipios, considera que </w:t>
      </w:r>
      <w:r w:rsidRPr="00BF4E0E">
        <w:rPr>
          <w:rFonts w:eastAsia="Calibri" w:cs="Tahoma"/>
          <w:b/>
          <w:bCs/>
          <w:color w:val="auto"/>
          <w:lang w:val="es-ES_tradnl" w:eastAsia="en-US"/>
        </w:rPr>
        <w:t xml:space="preserve">los datos de servidores públicos, </w:t>
      </w:r>
      <w:r w:rsidRPr="00BF4E0E">
        <w:rPr>
          <w:rFonts w:eastAsia="Calibri" w:cs="Tahoma"/>
          <w:bCs/>
          <w:color w:val="auto"/>
          <w:lang w:val="es-ES_tradnl" w:eastAsia="en-US"/>
        </w:rPr>
        <w:t xml:space="preserve">son de naturaleza pública, ya que su publicidad orienta a cumplir los objetivos que persigue la Ley; toda vez, </w:t>
      </w:r>
      <w:r w:rsidRPr="00BF4E0E">
        <w:rPr>
          <w:rFonts w:eastAsia="Calibri" w:cs="Tahoma"/>
          <w:b/>
          <w:bCs/>
          <w:color w:val="auto"/>
          <w:lang w:val="es-ES_tradnl" w:eastAsia="en-US"/>
        </w:rPr>
        <w:t>que ayuda a transparentar a quienes se les han otorgado recursos públicos, así como, porque razones se les otorgaron dichos montos.</w:t>
      </w:r>
    </w:p>
    <w:p w14:paraId="33A76C89" w14:textId="77777777" w:rsidR="00B43B48" w:rsidRPr="00BF4E0E" w:rsidRDefault="00B43B48" w:rsidP="00B43B48">
      <w:pPr>
        <w:spacing w:after="0" w:line="360" w:lineRule="auto"/>
        <w:rPr>
          <w:rFonts w:eastAsia="Calibri" w:cs="Tahoma"/>
          <w:b/>
          <w:bCs/>
          <w:color w:val="auto"/>
          <w:lang w:eastAsia="en-US"/>
        </w:rPr>
      </w:pPr>
    </w:p>
    <w:p w14:paraId="38FB9704" w14:textId="77777777" w:rsidR="00B43B48" w:rsidRPr="00BF4E0E" w:rsidRDefault="00B43B48" w:rsidP="00B43B48">
      <w:pPr>
        <w:spacing w:after="0" w:line="360" w:lineRule="auto"/>
        <w:rPr>
          <w:rFonts w:eastAsia="Calibri" w:cs="Tahoma"/>
          <w:bCs/>
          <w:color w:val="auto"/>
          <w:lang w:eastAsia="en-US"/>
        </w:rPr>
      </w:pPr>
      <w:r w:rsidRPr="00BF4E0E">
        <w:rPr>
          <w:rFonts w:eastAsia="Calibri" w:cs="Tahoma"/>
          <w:bCs/>
          <w:color w:val="auto"/>
          <w:lang w:eastAsia="en-US"/>
        </w:rPr>
        <w:t>Por lo que, se considera que no procede la clasificación del nombre de los servidores públicos, en términos del artículo 143, fracción I de la Ley de Transparencia y Acceso a la Información Pública del Estado de México y Municipios.</w:t>
      </w:r>
    </w:p>
    <w:p w14:paraId="161D2FF3" w14:textId="77777777" w:rsidR="00B43B48" w:rsidRPr="00BF4E0E" w:rsidRDefault="00B43B48" w:rsidP="00B43B48">
      <w:pPr>
        <w:spacing w:after="0" w:line="360" w:lineRule="auto"/>
        <w:rPr>
          <w:rFonts w:eastAsia="Calibri" w:cs="Tahoma"/>
          <w:bCs/>
          <w:color w:val="auto"/>
          <w:lang w:eastAsia="en-US"/>
        </w:rPr>
      </w:pPr>
    </w:p>
    <w:p w14:paraId="5B388FFE" w14:textId="77777777" w:rsidR="00B43B48" w:rsidRPr="00BF4E0E" w:rsidRDefault="00B43B48" w:rsidP="00B43B48">
      <w:pPr>
        <w:pStyle w:val="Prrafodelista"/>
        <w:numPr>
          <w:ilvl w:val="0"/>
          <w:numId w:val="39"/>
        </w:numPr>
        <w:spacing w:line="360" w:lineRule="auto"/>
        <w:rPr>
          <w:b/>
        </w:rPr>
      </w:pPr>
      <w:r w:rsidRPr="00BF4E0E">
        <w:rPr>
          <w:b/>
        </w:rPr>
        <w:t>Numero de empleado</w:t>
      </w:r>
    </w:p>
    <w:p w14:paraId="23F8EF8C" w14:textId="77777777" w:rsidR="00B43B48" w:rsidRPr="00BF4E0E" w:rsidRDefault="00B43B48" w:rsidP="00B43B48">
      <w:pPr>
        <w:pStyle w:val="Prrafodelista"/>
        <w:spacing w:line="360" w:lineRule="auto"/>
        <w:rPr>
          <w:b/>
        </w:rPr>
      </w:pPr>
    </w:p>
    <w:p w14:paraId="756B1E36" w14:textId="77777777" w:rsidR="00B43B48" w:rsidRPr="00BF4E0E" w:rsidRDefault="00B43B48" w:rsidP="00B43B48">
      <w:pPr>
        <w:spacing w:after="0" w:line="360" w:lineRule="auto"/>
        <w:rPr>
          <w:rFonts w:eastAsia="Calibri" w:cs="Tahoma"/>
          <w:bCs/>
          <w:iCs/>
          <w:color w:val="auto"/>
          <w:lang w:eastAsia="es-ES"/>
        </w:rPr>
      </w:pPr>
      <w:r w:rsidRPr="00BF4E0E">
        <w:rPr>
          <w:rFonts w:eastAsia="Calibri" w:cs="Tahoma"/>
          <w:bCs/>
          <w:iCs/>
          <w:color w:val="auto"/>
          <w:lang w:eastAsia="es-E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2972F102" w14:textId="77777777" w:rsidR="00B43B48" w:rsidRPr="00BF4E0E" w:rsidRDefault="00B43B48" w:rsidP="00B43B48">
      <w:pPr>
        <w:spacing w:after="0" w:line="360" w:lineRule="auto"/>
        <w:rPr>
          <w:rFonts w:eastAsia="Calibri" w:cs="Tahoma"/>
          <w:bCs/>
          <w:iCs/>
          <w:color w:val="auto"/>
          <w:lang w:eastAsia="es-ES"/>
        </w:rPr>
      </w:pPr>
    </w:p>
    <w:p w14:paraId="3994A914" w14:textId="77777777" w:rsidR="00B43B48" w:rsidRPr="00BF4E0E" w:rsidRDefault="00B43B48" w:rsidP="00B43B48">
      <w:pPr>
        <w:spacing w:after="0" w:line="360" w:lineRule="auto"/>
        <w:rPr>
          <w:rFonts w:eastAsia="Calibri" w:cs="Tahoma"/>
          <w:bCs/>
          <w:iCs/>
          <w:color w:val="auto"/>
          <w:lang w:eastAsia="es-ES"/>
        </w:rPr>
      </w:pPr>
      <w:r w:rsidRPr="00BF4E0E">
        <w:rPr>
          <w:rFonts w:eastAsia="Calibri" w:cs="Tahoma"/>
          <w:bCs/>
          <w:iCs/>
          <w:color w:val="auto"/>
          <w:lang w:eastAsia="es-E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17272575" w14:textId="77777777" w:rsidR="00B43B48" w:rsidRPr="00BF4E0E" w:rsidRDefault="00B43B48" w:rsidP="00B43B48">
      <w:pPr>
        <w:spacing w:after="0" w:line="360" w:lineRule="auto"/>
        <w:rPr>
          <w:rFonts w:eastAsia="Calibri" w:cs="Tahoma"/>
          <w:bCs/>
          <w:iCs/>
          <w:color w:val="auto"/>
          <w:lang w:eastAsia="es-ES"/>
        </w:rPr>
      </w:pPr>
    </w:p>
    <w:p w14:paraId="53D4AE07" w14:textId="389E8DCE" w:rsidR="00B43B48" w:rsidRPr="00BF4E0E" w:rsidRDefault="00B43B48" w:rsidP="00B43B48">
      <w:pPr>
        <w:spacing w:after="0" w:line="360" w:lineRule="auto"/>
        <w:contextualSpacing/>
        <w:rPr>
          <w:rFonts w:eastAsia="Calibri" w:cs="Tahoma"/>
          <w:bCs/>
          <w:iCs/>
          <w:color w:val="auto"/>
        </w:rPr>
      </w:pPr>
      <w:r w:rsidRPr="00BF4E0E">
        <w:rPr>
          <w:rFonts w:eastAsia="Calibri" w:cs="Tahoma"/>
          <w:bCs/>
          <w:iCs/>
          <w:color w:val="auto"/>
        </w:rPr>
        <w:t xml:space="preserve">Lo anterior, toma sustento en el </w:t>
      </w:r>
      <w:r w:rsidRPr="00BF4E0E">
        <w:rPr>
          <w:rFonts w:eastAsia="Calibri" w:cs="Tahoma"/>
          <w:bCs/>
          <w:color w:val="auto"/>
          <w:lang w:val="es-ES"/>
        </w:rPr>
        <w:t xml:space="preserve">Criterio Orientador, de la Segunda Época, con número de registro </w:t>
      </w:r>
      <w:r w:rsidRPr="00BF4E0E">
        <w:rPr>
          <w:rFonts w:eastAsia="Calibri" w:cs="Tahoma"/>
          <w:bCs/>
          <w:color w:val="auto"/>
        </w:rPr>
        <w:t>SO/006/2019</w:t>
      </w:r>
      <w:r w:rsidRPr="00BF4E0E">
        <w:rPr>
          <w:rFonts w:eastAsia="Calibri" w:cs="Tahoma"/>
          <w:bCs/>
          <w:iCs/>
          <w:color w:val="auto"/>
        </w:rPr>
        <w:t>, emitido por el Instituto Nacional de Transparencia, Acceso a la Información y Protección de Datos Personales, que solamente procederá la clasificación del número de empleado, cuando se integre con datos personales de los servidores públicos o funcione como clave de acceso que no requiera una contraseña para ingresar a sistemas o bases de datos.</w:t>
      </w:r>
    </w:p>
    <w:p w14:paraId="2125290C" w14:textId="77777777" w:rsidR="00B43B48" w:rsidRPr="00BF4E0E" w:rsidRDefault="00B43B48" w:rsidP="00B43B48">
      <w:pPr>
        <w:spacing w:after="0" w:line="360" w:lineRule="auto"/>
        <w:contextualSpacing/>
        <w:rPr>
          <w:rFonts w:eastAsia="Calibri" w:cs="Tahoma"/>
          <w:b/>
          <w:bCs/>
          <w:iCs/>
          <w:color w:val="auto"/>
        </w:rPr>
      </w:pPr>
    </w:p>
    <w:p w14:paraId="29A4776B" w14:textId="77777777" w:rsidR="00B43B48" w:rsidRPr="00BF4E0E" w:rsidRDefault="00B43B48" w:rsidP="00B43B48">
      <w:pPr>
        <w:spacing w:after="0" w:line="360" w:lineRule="auto"/>
        <w:ind w:right="-93"/>
        <w:rPr>
          <w:rFonts w:eastAsia="Times New Roman" w:cs="Tahoma"/>
          <w:color w:val="auto"/>
          <w:lang w:val="es-ES" w:eastAsia="es-ES"/>
        </w:rPr>
      </w:pPr>
      <w:r w:rsidRPr="00BF4E0E">
        <w:rPr>
          <w:rFonts w:eastAsia="Times New Roman" w:cs="Tahoma"/>
          <w:color w:val="auto"/>
          <w:lang w:val="es-ES" w:eastAsia="es-ES"/>
        </w:rPr>
        <w:t xml:space="preserve">Conforme a lo anterior, se considera que el Ente Recurrido </w:t>
      </w:r>
      <w:r w:rsidRPr="00BF4E0E">
        <w:rPr>
          <w:rFonts w:eastAsia="Times New Roman" w:cs="Tahoma"/>
          <w:b/>
          <w:bCs/>
          <w:color w:val="auto"/>
          <w:lang w:val="es-ES" w:eastAsia="es-ES"/>
        </w:rPr>
        <w:t>deberá proporcionar dicho dato, en el caso, de que no se conforme de datos personales o bien, de que de ninguna manera puedan dar acceso a sistemas con información de los trabajadores</w:t>
      </w:r>
      <w:r w:rsidRPr="00BF4E0E">
        <w:rPr>
          <w:rFonts w:eastAsia="Times New Roman" w:cs="Tahoma"/>
          <w:color w:val="auto"/>
          <w:lang w:val="es-ES" w:eastAsia="es-ES"/>
        </w:rPr>
        <w:t>; en el caso contrario, esto es que, de acceso a sistemas o base de datos, procederá su clasificación, en términos del artículo 143, fracción I de la Ley de la materia.</w:t>
      </w:r>
    </w:p>
    <w:p w14:paraId="373FAA5A" w14:textId="77777777" w:rsidR="00B43B48" w:rsidRPr="00BF4E0E" w:rsidRDefault="00B43B48" w:rsidP="00B43B48">
      <w:pPr>
        <w:spacing w:after="0" w:line="360" w:lineRule="auto"/>
        <w:ind w:right="-28"/>
        <w:rPr>
          <w:color w:val="000000"/>
          <w:lang w:val="es-ES"/>
        </w:rPr>
      </w:pPr>
    </w:p>
    <w:p w14:paraId="47750FD0" w14:textId="77777777" w:rsidR="00B43B48" w:rsidRPr="00BF4E0E" w:rsidRDefault="00B43B48" w:rsidP="00B43B48">
      <w:pPr>
        <w:numPr>
          <w:ilvl w:val="0"/>
          <w:numId w:val="37"/>
        </w:numPr>
        <w:spacing w:after="0" w:line="360" w:lineRule="auto"/>
        <w:jc w:val="left"/>
        <w:rPr>
          <w:b/>
          <w:color w:val="000000"/>
        </w:rPr>
      </w:pPr>
      <w:r w:rsidRPr="00BF4E0E">
        <w:rPr>
          <w:b/>
          <w:color w:val="000000"/>
        </w:rPr>
        <w:t>Cuenta bancaria de servidores públicos</w:t>
      </w:r>
    </w:p>
    <w:p w14:paraId="70EC6FB5" w14:textId="77777777" w:rsidR="00B43B48" w:rsidRPr="00BF4E0E" w:rsidRDefault="00B43B48" w:rsidP="00B43B48">
      <w:pPr>
        <w:spacing w:after="0" w:line="360" w:lineRule="auto"/>
        <w:ind w:left="720"/>
        <w:rPr>
          <w:b/>
          <w:color w:val="000000"/>
        </w:rPr>
      </w:pPr>
    </w:p>
    <w:p w14:paraId="39866818" w14:textId="77777777" w:rsidR="00B43B48" w:rsidRPr="00BF4E0E" w:rsidRDefault="00B43B48" w:rsidP="00B43B48">
      <w:pPr>
        <w:spacing w:after="0" w:line="360" w:lineRule="auto"/>
        <w:rPr>
          <w:color w:val="000000"/>
        </w:rPr>
      </w:pPr>
      <w:r w:rsidRPr="00BF4E0E">
        <w:rPr>
          <w:color w:val="000000"/>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w:t>
      </w:r>
      <w:r w:rsidRPr="00BF4E0E">
        <w:t>de fondos</w:t>
      </w:r>
      <w:r w:rsidRPr="00BF4E0E">
        <w:rPr>
          <w:color w:val="000000"/>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74542593" w14:textId="77777777" w:rsidR="00B43B48" w:rsidRPr="00BF4E0E" w:rsidRDefault="00B43B48" w:rsidP="00B43B48">
      <w:pPr>
        <w:spacing w:after="0" w:line="360" w:lineRule="auto"/>
        <w:rPr>
          <w:color w:val="000000"/>
        </w:rPr>
      </w:pPr>
      <w:r w:rsidRPr="00BF4E0E">
        <w:rPr>
          <w:color w:val="000000"/>
        </w:rPr>
        <w:t> </w:t>
      </w:r>
    </w:p>
    <w:p w14:paraId="5B3275D5" w14:textId="77777777" w:rsidR="00B43B48" w:rsidRPr="00BF4E0E" w:rsidRDefault="00B43B48" w:rsidP="00B43B48">
      <w:pPr>
        <w:spacing w:after="0" w:line="360" w:lineRule="auto"/>
        <w:rPr>
          <w:color w:val="000000"/>
        </w:rPr>
      </w:pPr>
      <w:r w:rsidRPr="00BF4E0E">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39DF48EB" w14:textId="77777777" w:rsidR="00B43B48" w:rsidRPr="00BF4E0E" w:rsidRDefault="00B43B48" w:rsidP="00B43B48">
      <w:pPr>
        <w:spacing w:after="0" w:line="360" w:lineRule="auto"/>
        <w:rPr>
          <w:color w:val="000000"/>
        </w:rPr>
      </w:pPr>
    </w:p>
    <w:p w14:paraId="45FD1F5C" w14:textId="77777777" w:rsidR="00B43B48" w:rsidRPr="00BF4E0E" w:rsidRDefault="00B43B48" w:rsidP="00B43B48">
      <w:pPr>
        <w:spacing w:after="0" w:line="360" w:lineRule="auto"/>
        <w:ind w:left="567" w:right="567"/>
        <w:rPr>
          <w:i/>
          <w:color w:val="000000"/>
          <w:sz w:val="20"/>
          <w:szCs w:val="20"/>
        </w:rPr>
      </w:pPr>
      <w:r w:rsidRPr="00BF4E0E">
        <w:rPr>
          <w:i/>
          <w:color w:val="000000"/>
          <w:sz w:val="20"/>
          <w:szCs w:val="20"/>
        </w:rPr>
        <w:t>“</w:t>
      </w:r>
      <w:r w:rsidRPr="00BF4E0E">
        <w:rPr>
          <w:b/>
          <w:i/>
          <w:color w:val="000000"/>
          <w:sz w:val="20"/>
          <w:szCs w:val="20"/>
        </w:rPr>
        <w:t>Cuentas bancarias y/o CLABE interbancaria de personas físicas y morales privadas.</w:t>
      </w:r>
      <w:r w:rsidRPr="00BF4E0E">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AA8EAE9" w14:textId="77777777" w:rsidR="00B43B48" w:rsidRPr="00BF4E0E" w:rsidRDefault="00B43B48" w:rsidP="00B43B48">
      <w:pPr>
        <w:spacing w:after="0" w:line="360" w:lineRule="auto"/>
        <w:rPr>
          <w:color w:val="000000"/>
        </w:rPr>
      </w:pPr>
    </w:p>
    <w:p w14:paraId="5D48A1FE" w14:textId="77777777" w:rsidR="00B43B48" w:rsidRPr="00BF4E0E" w:rsidRDefault="00B43B48" w:rsidP="00B43B48">
      <w:pPr>
        <w:spacing w:after="0" w:line="360" w:lineRule="auto"/>
        <w:rPr>
          <w:color w:val="000000"/>
        </w:rPr>
      </w:pPr>
      <w:r w:rsidRPr="00BF4E0E">
        <w:rPr>
          <w:color w:val="000000"/>
        </w:rPr>
        <w:t xml:space="preserve">Por lo cual, se puede colegir que dichos datos no guardan relación con el servicio público ni con los recursos públicos, pues </w:t>
      </w:r>
      <w:r w:rsidRPr="00BF4E0E">
        <w:t>sólo</w:t>
      </w:r>
      <w:r w:rsidRPr="00BF4E0E">
        <w:rPr>
          <w:color w:val="000000"/>
        </w:rPr>
        <w:t xml:space="preserve">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4DC5882" w14:textId="73165904" w:rsidR="00B43B48" w:rsidRPr="00BF4E0E" w:rsidRDefault="00B43B48" w:rsidP="00B43B48">
      <w:pPr>
        <w:spacing w:after="0" w:line="360" w:lineRule="auto"/>
        <w:ind w:left="720"/>
        <w:rPr>
          <w:color w:val="000000"/>
        </w:rPr>
      </w:pPr>
    </w:p>
    <w:p w14:paraId="106CB3FC" w14:textId="77777777" w:rsidR="00B43B48" w:rsidRPr="00BF4E0E" w:rsidRDefault="00B43B48" w:rsidP="00B43B48">
      <w:pPr>
        <w:tabs>
          <w:tab w:val="left" w:pos="4962"/>
        </w:tabs>
        <w:spacing w:after="0" w:line="360" w:lineRule="auto"/>
      </w:pPr>
      <w:r w:rsidRPr="00BF4E0E">
        <w:t>De tal circunstancia, el Sujeto Obligado al entregar la información, deberá tomar en cuenta lo establecido en párrafos anteriores, para que únicamente clasifique aquellos datos que sean confidenciales.</w:t>
      </w:r>
    </w:p>
    <w:p w14:paraId="35418C2F" w14:textId="77777777" w:rsidR="00B43B48" w:rsidRPr="00BF4E0E" w:rsidRDefault="00B43B48" w:rsidP="00B43B48">
      <w:pPr>
        <w:tabs>
          <w:tab w:val="left" w:pos="4962"/>
        </w:tabs>
        <w:spacing w:after="0" w:line="360" w:lineRule="auto"/>
        <w:ind w:right="-28"/>
      </w:pPr>
    </w:p>
    <w:p w14:paraId="382F8A64" w14:textId="7F7C4EC1" w:rsidR="00B43B48" w:rsidRPr="00BF4E0E" w:rsidRDefault="00B43B48" w:rsidP="00B43B48">
      <w:pPr>
        <w:spacing w:after="0" w:line="360" w:lineRule="auto"/>
        <w:rPr>
          <w:color w:val="000000"/>
        </w:rPr>
      </w:pPr>
      <w:r w:rsidRPr="00BF4E0E">
        <w:rPr>
          <w:color w:val="auto"/>
          <w:lang w:eastAsia="es-ES"/>
        </w:rPr>
        <w:t>Ahora bien, resulta necesario analizar si el nombre de los servidores públicos operativos en materia de seguridad en funciones a la fecha de la solicitud, actualizan alguna causal de clasificación;</w:t>
      </w:r>
      <w:r w:rsidRPr="00BF4E0E">
        <w:rPr>
          <w:rFonts w:eastAsia="Calibri" w:cs="Times New Roman"/>
          <w:color w:val="000000"/>
        </w:rPr>
        <w:t xml:space="preserve"> al respecto, con relación, el artículo 140, fracción IV, de la Ley de Transparencia y Acceso a la Información Pública del Estado de México y Municipios, prevé lo siguiente:</w:t>
      </w:r>
    </w:p>
    <w:p w14:paraId="12DCEA75" w14:textId="77777777" w:rsidR="00B43B48" w:rsidRPr="00BF4E0E" w:rsidRDefault="00B43B48" w:rsidP="00B43B48">
      <w:pPr>
        <w:tabs>
          <w:tab w:val="left" w:pos="4962"/>
        </w:tabs>
        <w:spacing w:after="0" w:line="360" w:lineRule="auto"/>
        <w:ind w:left="567" w:right="567"/>
        <w:rPr>
          <w:i/>
          <w:color w:val="000000"/>
        </w:rPr>
      </w:pPr>
    </w:p>
    <w:p w14:paraId="401B52F6" w14:textId="77777777" w:rsidR="00B43B48" w:rsidRPr="00BF4E0E" w:rsidRDefault="00B43B48" w:rsidP="00B43B48">
      <w:pPr>
        <w:tabs>
          <w:tab w:val="left" w:pos="4962"/>
        </w:tabs>
        <w:spacing w:after="0" w:line="360" w:lineRule="auto"/>
        <w:ind w:left="567" w:right="567"/>
        <w:rPr>
          <w:i/>
          <w:color w:val="000000"/>
          <w:sz w:val="20"/>
          <w:szCs w:val="20"/>
        </w:rPr>
      </w:pPr>
      <w:r w:rsidRPr="00BF4E0E">
        <w:rPr>
          <w:i/>
          <w:color w:val="000000"/>
          <w:sz w:val="20"/>
          <w:szCs w:val="20"/>
        </w:rPr>
        <w:t xml:space="preserve"> “</w:t>
      </w:r>
      <w:r w:rsidRPr="00BF4E0E">
        <w:rPr>
          <w:b/>
          <w:i/>
          <w:color w:val="000000"/>
          <w:sz w:val="20"/>
          <w:szCs w:val="20"/>
        </w:rPr>
        <w:t>Artículo 140.</w:t>
      </w:r>
      <w:r w:rsidRPr="00BF4E0E">
        <w:rPr>
          <w:i/>
          <w:color w:val="000000"/>
          <w:sz w:val="20"/>
          <w:szCs w:val="20"/>
        </w:rPr>
        <w:t xml:space="preserve"> El acceso a la información pública será restringido excepcionalmente, cuando por razones de interés público, ésta sea clasificada como reservada, conforme a los criterios siguientes: </w:t>
      </w:r>
    </w:p>
    <w:p w14:paraId="734A73A4" w14:textId="77777777" w:rsidR="00B43B48" w:rsidRPr="00BF4E0E" w:rsidRDefault="00B43B48" w:rsidP="00B43B48">
      <w:pPr>
        <w:tabs>
          <w:tab w:val="left" w:pos="4962"/>
        </w:tabs>
        <w:spacing w:after="0" w:line="360" w:lineRule="auto"/>
        <w:ind w:left="567" w:right="567"/>
        <w:rPr>
          <w:i/>
          <w:color w:val="000000"/>
          <w:sz w:val="20"/>
          <w:szCs w:val="20"/>
        </w:rPr>
      </w:pPr>
      <w:r w:rsidRPr="00BF4E0E">
        <w:rPr>
          <w:i/>
          <w:color w:val="000000"/>
          <w:sz w:val="20"/>
          <w:szCs w:val="20"/>
        </w:rPr>
        <w:t>…</w:t>
      </w:r>
    </w:p>
    <w:p w14:paraId="0A435756" w14:textId="77777777" w:rsidR="00B43B48" w:rsidRPr="00BF4E0E" w:rsidRDefault="00B43B48" w:rsidP="00B43B48">
      <w:pPr>
        <w:tabs>
          <w:tab w:val="left" w:pos="4962"/>
        </w:tabs>
        <w:spacing w:after="0" w:line="360" w:lineRule="auto"/>
        <w:ind w:left="567" w:right="567"/>
        <w:rPr>
          <w:i/>
          <w:color w:val="000000"/>
          <w:sz w:val="20"/>
          <w:szCs w:val="20"/>
        </w:rPr>
      </w:pPr>
      <w:r w:rsidRPr="00BF4E0E">
        <w:rPr>
          <w:i/>
          <w:color w:val="000000"/>
          <w:sz w:val="20"/>
          <w:szCs w:val="20"/>
        </w:rPr>
        <w:t>IV. Ponga en riesgo la vida, la seguridad o la salud de una persona física;</w:t>
      </w:r>
    </w:p>
    <w:p w14:paraId="547A425A" w14:textId="77777777" w:rsidR="00B43B48" w:rsidRPr="00BF4E0E" w:rsidRDefault="00B43B48" w:rsidP="00B43B48">
      <w:pPr>
        <w:tabs>
          <w:tab w:val="left" w:pos="4962"/>
        </w:tabs>
        <w:spacing w:after="0" w:line="360" w:lineRule="auto"/>
        <w:ind w:left="567" w:right="567"/>
        <w:rPr>
          <w:i/>
          <w:color w:val="000000"/>
          <w:sz w:val="20"/>
          <w:szCs w:val="20"/>
        </w:rPr>
      </w:pPr>
      <w:r w:rsidRPr="00BF4E0E">
        <w:rPr>
          <w:i/>
          <w:color w:val="000000"/>
          <w:sz w:val="20"/>
          <w:szCs w:val="20"/>
        </w:rPr>
        <w:t xml:space="preserve">…” </w:t>
      </w:r>
    </w:p>
    <w:p w14:paraId="715054CD" w14:textId="77777777" w:rsidR="00B43B48" w:rsidRPr="00BF4E0E" w:rsidRDefault="00B43B48" w:rsidP="00B43B48">
      <w:pPr>
        <w:spacing w:after="0" w:line="360" w:lineRule="auto"/>
        <w:rPr>
          <w:color w:val="000000"/>
        </w:rPr>
      </w:pPr>
    </w:p>
    <w:p w14:paraId="31D24212" w14:textId="77777777" w:rsidR="00B43B48" w:rsidRPr="00BF4E0E" w:rsidRDefault="00B43B48" w:rsidP="00B43B48">
      <w:pPr>
        <w:spacing w:after="0" w:line="360" w:lineRule="auto"/>
        <w:rPr>
          <w:color w:val="000000"/>
        </w:rPr>
      </w:pPr>
      <w:r w:rsidRPr="00BF4E0E">
        <w:rPr>
          <w:color w:val="000000"/>
        </w:rP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6A3D8148" w14:textId="77777777" w:rsidR="00B43B48" w:rsidRPr="00BF4E0E" w:rsidRDefault="00B43B48" w:rsidP="00B43B48">
      <w:pPr>
        <w:spacing w:after="0" w:line="360" w:lineRule="auto"/>
        <w:rPr>
          <w:color w:val="000000"/>
        </w:rPr>
      </w:pPr>
    </w:p>
    <w:p w14:paraId="549591B4" w14:textId="77777777" w:rsidR="00B43B48" w:rsidRPr="00BF4E0E" w:rsidRDefault="00B43B48" w:rsidP="00B43B48">
      <w:pPr>
        <w:spacing w:after="0" w:line="360" w:lineRule="auto"/>
        <w:ind w:left="567" w:right="567"/>
        <w:rPr>
          <w:i/>
          <w:color w:val="000000"/>
          <w:sz w:val="20"/>
          <w:szCs w:val="20"/>
        </w:rPr>
      </w:pPr>
      <w:r w:rsidRPr="00BF4E0E">
        <w:rPr>
          <w:b/>
          <w:i/>
          <w:color w:val="000000"/>
          <w:sz w:val="20"/>
          <w:szCs w:val="20"/>
        </w:rPr>
        <w:t xml:space="preserve">“Vigésimo tercero. </w:t>
      </w:r>
      <w:r w:rsidRPr="00BF4E0E">
        <w:rPr>
          <w:i/>
          <w:color w:val="000000"/>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09038B79" w14:textId="77777777" w:rsidR="00B43B48" w:rsidRPr="00BF4E0E" w:rsidRDefault="00B43B48" w:rsidP="00B43B48">
      <w:pPr>
        <w:spacing w:after="0" w:line="360" w:lineRule="auto"/>
        <w:ind w:left="567" w:right="567"/>
        <w:rPr>
          <w:i/>
          <w:color w:val="000000"/>
          <w:sz w:val="20"/>
          <w:szCs w:val="20"/>
        </w:rPr>
      </w:pPr>
    </w:p>
    <w:p w14:paraId="680A55B4" w14:textId="77777777" w:rsidR="00B43B48" w:rsidRPr="00BF4E0E" w:rsidRDefault="00B43B48" w:rsidP="00B43B48">
      <w:pPr>
        <w:spacing w:after="0" w:line="360" w:lineRule="auto"/>
        <w:rPr>
          <w:b/>
          <w:color w:val="000000"/>
        </w:rPr>
      </w:pPr>
      <w:r w:rsidRPr="00BF4E0E">
        <w:rPr>
          <w:color w:val="000000"/>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6F86D5CC" w14:textId="77777777" w:rsidR="00B43B48" w:rsidRPr="00BF4E0E" w:rsidRDefault="00B43B48" w:rsidP="00B43B48">
      <w:pPr>
        <w:spacing w:after="0" w:line="360" w:lineRule="auto"/>
        <w:rPr>
          <w:color w:val="000000"/>
        </w:rPr>
      </w:pPr>
    </w:p>
    <w:p w14:paraId="22C4D32B" w14:textId="77777777" w:rsidR="00B43B48" w:rsidRPr="00BF4E0E" w:rsidRDefault="00B43B48" w:rsidP="00B43B48">
      <w:pPr>
        <w:spacing w:after="0" w:line="360" w:lineRule="auto"/>
        <w:rPr>
          <w:color w:val="000000"/>
        </w:rPr>
      </w:pPr>
      <w:r w:rsidRPr="00BF4E0E">
        <w:rPr>
          <w:color w:val="000000"/>
        </w:rPr>
        <w:t>Además, el artículo 81, fracción III, de la Ley de Seguridad del Estado de México, establece lo siguiente:</w:t>
      </w:r>
    </w:p>
    <w:p w14:paraId="73E5ED5D" w14:textId="77777777" w:rsidR="00B43B48" w:rsidRPr="00BF4E0E" w:rsidRDefault="00B43B48" w:rsidP="00B43B48">
      <w:pPr>
        <w:spacing w:after="0" w:line="360" w:lineRule="auto"/>
        <w:rPr>
          <w:color w:val="000000"/>
        </w:rPr>
      </w:pPr>
    </w:p>
    <w:p w14:paraId="56CFF355" w14:textId="77777777" w:rsidR="00B43B48" w:rsidRPr="00BF4E0E" w:rsidRDefault="00B43B48" w:rsidP="00B43B48">
      <w:pPr>
        <w:spacing w:after="0" w:line="360" w:lineRule="auto"/>
        <w:ind w:left="567" w:right="567"/>
        <w:rPr>
          <w:i/>
          <w:color w:val="000000"/>
          <w:sz w:val="20"/>
          <w:szCs w:val="20"/>
        </w:rPr>
      </w:pPr>
      <w:r w:rsidRPr="00BF4E0E">
        <w:rPr>
          <w:b/>
          <w:i/>
          <w:color w:val="000000"/>
          <w:sz w:val="20"/>
          <w:szCs w:val="20"/>
        </w:rPr>
        <w:t>“Artículo 81.-</w:t>
      </w:r>
      <w:r w:rsidRPr="00BF4E0E">
        <w:rPr>
          <w:i/>
          <w:color w:val="000000"/>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2B6E91C" w14:textId="77777777" w:rsidR="00B43B48" w:rsidRPr="00BF4E0E" w:rsidRDefault="00B43B48" w:rsidP="00B43B48">
      <w:pPr>
        <w:spacing w:after="0" w:line="360" w:lineRule="auto"/>
        <w:ind w:left="567" w:right="567"/>
        <w:rPr>
          <w:i/>
          <w:color w:val="000000"/>
          <w:sz w:val="20"/>
          <w:szCs w:val="20"/>
        </w:rPr>
      </w:pPr>
      <w:r w:rsidRPr="00BF4E0E">
        <w:rPr>
          <w:i/>
          <w:color w:val="000000"/>
          <w:sz w:val="20"/>
          <w:szCs w:val="20"/>
        </w:rPr>
        <w:t>…</w:t>
      </w:r>
    </w:p>
    <w:p w14:paraId="3E1999DC" w14:textId="77777777" w:rsidR="00B43B48" w:rsidRPr="00BF4E0E" w:rsidRDefault="00B43B48" w:rsidP="00B43B48">
      <w:pPr>
        <w:spacing w:after="0" w:line="360" w:lineRule="auto"/>
        <w:ind w:left="567" w:right="567"/>
        <w:rPr>
          <w:i/>
          <w:color w:val="000000"/>
          <w:sz w:val="20"/>
          <w:szCs w:val="20"/>
        </w:rPr>
      </w:pPr>
      <w:r w:rsidRPr="00BF4E0E">
        <w:rPr>
          <w:i/>
          <w:color w:val="000000"/>
          <w:sz w:val="20"/>
          <w:szCs w:val="20"/>
        </w:rPr>
        <w:t>III. La relativa a los servidores públicos integrantes de las instituciones de seguridad pública, cuya revelación pueda poner en riesgo su vida e integridad física con motivo de sus funciones;</w:t>
      </w:r>
    </w:p>
    <w:p w14:paraId="773059B9" w14:textId="77777777" w:rsidR="00B43B48" w:rsidRPr="00BF4E0E" w:rsidRDefault="00B43B48" w:rsidP="00B43B48">
      <w:pPr>
        <w:spacing w:after="0" w:line="360" w:lineRule="auto"/>
        <w:ind w:left="567" w:right="567"/>
        <w:rPr>
          <w:i/>
          <w:color w:val="000000"/>
          <w:sz w:val="20"/>
          <w:szCs w:val="20"/>
        </w:rPr>
      </w:pPr>
      <w:r w:rsidRPr="00BF4E0E">
        <w:rPr>
          <w:i/>
          <w:color w:val="000000"/>
          <w:sz w:val="20"/>
          <w:szCs w:val="20"/>
        </w:rPr>
        <w:t>…”</w:t>
      </w:r>
    </w:p>
    <w:p w14:paraId="14EF0605" w14:textId="77777777" w:rsidR="00B43B48" w:rsidRPr="00BF4E0E" w:rsidRDefault="00B43B48" w:rsidP="00B43B48">
      <w:pPr>
        <w:spacing w:after="0" w:line="360" w:lineRule="auto"/>
        <w:rPr>
          <w:color w:val="000000"/>
          <w:sz w:val="20"/>
          <w:szCs w:val="20"/>
        </w:rPr>
      </w:pPr>
    </w:p>
    <w:p w14:paraId="30C6B261" w14:textId="77777777" w:rsidR="00B43B48" w:rsidRPr="00BF4E0E" w:rsidRDefault="00B43B48" w:rsidP="00B43B48">
      <w:pPr>
        <w:spacing w:after="0" w:line="360" w:lineRule="auto"/>
        <w:rPr>
          <w:color w:val="000000"/>
        </w:rPr>
      </w:pPr>
      <w:r w:rsidRPr="00BF4E0E">
        <w:rPr>
          <w:color w:val="000000"/>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51B5EE6E" w14:textId="77777777" w:rsidR="00B43B48" w:rsidRPr="00BF4E0E" w:rsidRDefault="00B43B48" w:rsidP="00B43B48">
      <w:pPr>
        <w:spacing w:after="0" w:line="360" w:lineRule="auto"/>
        <w:rPr>
          <w:color w:val="000000"/>
        </w:rPr>
      </w:pPr>
    </w:p>
    <w:p w14:paraId="4B88DED5" w14:textId="77777777" w:rsidR="00B43B48" w:rsidRPr="00BF4E0E" w:rsidRDefault="00B43B48" w:rsidP="00B43B48">
      <w:pPr>
        <w:spacing w:after="0" w:line="360" w:lineRule="auto"/>
        <w:rPr>
          <w:color w:val="000000"/>
        </w:rPr>
      </w:pPr>
      <w:r w:rsidRPr="00BF4E0E">
        <w:rPr>
          <w:color w:val="000000"/>
        </w:rPr>
        <w:t>En ese contexto, es de señalar que los datos de servidores públicos, entre los que se encuentran el nombre de los trabajadores, por regla general, son de naturaleza pública, de conformidad con el artículo 92, fracción VII, de la Ley de Transparencia y Acceso a la Información Pública del Estado de México y Municipios.</w:t>
      </w:r>
    </w:p>
    <w:p w14:paraId="5CD9684B" w14:textId="77777777" w:rsidR="00B43B48" w:rsidRPr="00BF4E0E" w:rsidRDefault="00B43B48" w:rsidP="00B43B48">
      <w:pPr>
        <w:spacing w:after="0" w:line="360" w:lineRule="auto"/>
        <w:rPr>
          <w:color w:val="000000"/>
        </w:rPr>
      </w:pPr>
    </w:p>
    <w:p w14:paraId="1B82FA10" w14:textId="77777777" w:rsidR="00B43B48" w:rsidRPr="00BF4E0E" w:rsidRDefault="00B43B48" w:rsidP="00B43B48">
      <w:pPr>
        <w:spacing w:after="0" w:line="360" w:lineRule="auto"/>
        <w:rPr>
          <w:color w:val="000000"/>
        </w:rPr>
      </w:pPr>
      <w:r w:rsidRPr="00BF4E0E">
        <w:rPr>
          <w:color w:val="000000"/>
        </w:rPr>
        <w:t>No obstante, resulta necesario traer a colación por analogía, el Criterio Orientador, con número de registro SO/006/2009, de la Primera Época, emitido por el entonces Instituto Federal de Acceso a la Información y Protección de Datos ahora Instituto Nacional de Transparencia, Acceso a la Información y Protección de Datos Personales, vigente a la fecha de la solicitud, que establece lo siguiente:</w:t>
      </w:r>
    </w:p>
    <w:p w14:paraId="0ABFF21C" w14:textId="77777777" w:rsidR="00B43B48" w:rsidRPr="00BF4E0E" w:rsidRDefault="00B43B48" w:rsidP="00B43B48">
      <w:pPr>
        <w:spacing w:after="0" w:line="360" w:lineRule="auto"/>
        <w:rPr>
          <w:color w:val="000000"/>
        </w:rPr>
      </w:pPr>
    </w:p>
    <w:p w14:paraId="00B7DBCA" w14:textId="77777777" w:rsidR="00B43B48" w:rsidRPr="00BF4E0E" w:rsidRDefault="00B43B48" w:rsidP="00B43B48">
      <w:pPr>
        <w:tabs>
          <w:tab w:val="left" w:pos="4962"/>
        </w:tabs>
        <w:spacing w:after="0" w:line="360" w:lineRule="auto"/>
        <w:ind w:left="567" w:right="567"/>
        <w:rPr>
          <w:i/>
          <w:color w:val="000000"/>
          <w:sz w:val="20"/>
          <w:szCs w:val="20"/>
        </w:rPr>
      </w:pPr>
      <w:r w:rsidRPr="00BF4E0E">
        <w:rPr>
          <w:b/>
          <w:i/>
          <w:color w:val="000000"/>
          <w:sz w:val="20"/>
          <w:szCs w:val="20"/>
        </w:rPr>
        <w:t>“Nombres de servidores públicos dedicados a actividades en materia de seguridad, por excepción pueden considerarse información reservada.</w:t>
      </w:r>
      <w:r w:rsidRPr="00BF4E0E">
        <w:rPr>
          <w:i/>
          <w:color w:val="000000"/>
          <w:sz w:val="20"/>
          <w:szCs w:val="20"/>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8779007" w14:textId="77777777" w:rsidR="00B43B48" w:rsidRPr="00BF4E0E" w:rsidRDefault="00B43B48" w:rsidP="00B43B48">
      <w:pPr>
        <w:spacing w:after="0" w:line="360" w:lineRule="auto"/>
        <w:rPr>
          <w:color w:val="000000"/>
        </w:rPr>
      </w:pPr>
    </w:p>
    <w:p w14:paraId="0DDD2680" w14:textId="77777777" w:rsidR="00B43B48" w:rsidRPr="00BF4E0E" w:rsidRDefault="00B43B48" w:rsidP="00B43B48">
      <w:pPr>
        <w:spacing w:after="0" w:line="360" w:lineRule="auto"/>
        <w:rPr>
          <w:color w:val="000000"/>
        </w:rPr>
      </w:pPr>
      <w:r w:rsidRPr="00BF4E0E">
        <w:rPr>
          <w:color w:val="000000"/>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81AC630" w14:textId="77777777" w:rsidR="00B43B48" w:rsidRPr="00BF4E0E" w:rsidRDefault="00B43B48" w:rsidP="00B43B48">
      <w:pPr>
        <w:spacing w:after="0" w:line="360" w:lineRule="auto"/>
        <w:rPr>
          <w:color w:val="000000"/>
        </w:rPr>
      </w:pPr>
    </w:p>
    <w:p w14:paraId="36322526" w14:textId="77777777" w:rsidR="00B43B48" w:rsidRPr="00BF4E0E" w:rsidRDefault="00B43B48" w:rsidP="00B43B48">
      <w:pPr>
        <w:spacing w:after="0" w:line="360" w:lineRule="auto"/>
        <w:rPr>
          <w:color w:val="000000"/>
        </w:rPr>
      </w:pPr>
      <w:r w:rsidRPr="00BF4E0E">
        <w:rPr>
          <w:color w:val="000000"/>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3CC7EEDC" w14:textId="77777777" w:rsidR="00B43B48" w:rsidRPr="00BF4E0E" w:rsidRDefault="00B43B48" w:rsidP="00B43B48">
      <w:pPr>
        <w:spacing w:after="0" w:line="360" w:lineRule="auto"/>
        <w:rPr>
          <w:color w:val="000000"/>
        </w:rPr>
      </w:pPr>
    </w:p>
    <w:p w14:paraId="5D232F68" w14:textId="77777777" w:rsidR="00B43B48" w:rsidRPr="00BF4E0E" w:rsidRDefault="00B43B48" w:rsidP="00B43B48">
      <w:pPr>
        <w:spacing w:after="0" w:line="360" w:lineRule="auto"/>
        <w:rPr>
          <w:color w:val="000000"/>
        </w:rPr>
      </w:pPr>
      <w:r w:rsidRPr="00BF4E0E">
        <w:rPr>
          <w:color w:val="000000"/>
        </w:rPr>
        <w:t xml:space="preserve">En ese orden de ideas, si bien por regla general los nombres de los trabajadores gubernamentales son información pública de oficio, existe una excepción relativa a </w:t>
      </w:r>
      <w:r w:rsidRPr="00BF4E0E">
        <w:rPr>
          <w:b/>
          <w:color w:val="000000"/>
        </w:rPr>
        <w:t>aquellos que realicen actividades operativas en materia de seguridad,</w:t>
      </w:r>
      <w:r w:rsidRPr="00BF4E0E">
        <w:rPr>
          <w:color w:val="000000"/>
        </w:rPr>
        <w:t xml:space="preserve"> como es el caso de los elementos operativos y la policía municipal.</w:t>
      </w:r>
    </w:p>
    <w:p w14:paraId="29DE9F8B" w14:textId="77777777" w:rsidR="00B43B48" w:rsidRPr="00BF4E0E" w:rsidRDefault="00B43B48" w:rsidP="00B43B48">
      <w:pPr>
        <w:spacing w:after="0" w:line="360" w:lineRule="auto"/>
        <w:rPr>
          <w:color w:val="000000"/>
        </w:rPr>
      </w:pPr>
    </w:p>
    <w:p w14:paraId="5C9B6D83" w14:textId="77777777" w:rsidR="00B43B48" w:rsidRPr="00BF4E0E" w:rsidRDefault="00B43B48" w:rsidP="00B43B48">
      <w:pPr>
        <w:spacing w:after="0" w:line="360" w:lineRule="auto"/>
        <w:rPr>
          <w:color w:val="000000"/>
        </w:rPr>
      </w:pPr>
      <w:r w:rsidRPr="00BF4E0E">
        <w:rPr>
          <w:color w:val="000000"/>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1C52882" w14:textId="77777777" w:rsidR="00B43B48" w:rsidRPr="00BF4E0E" w:rsidRDefault="00B43B48" w:rsidP="00B43B48">
      <w:pPr>
        <w:spacing w:after="0" w:line="360" w:lineRule="auto"/>
        <w:rPr>
          <w:color w:val="000000"/>
        </w:rPr>
      </w:pPr>
    </w:p>
    <w:p w14:paraId="13AFEEFA" w14:textId="77777777" w:rsidR="00B43B48" w:rsidRPr="00BF4E0E" w:rsidRDefault="00B43B48" w:rsidP="00B43B48">
      <w:pPr>
        <w:spacing w:after="0" w:line="360" w:lineRule="auto"/>
        <w:rPr>
          <w:color w:val="000000"/>
        </w:rPr>
      </w:pPr>
      <w:r w:rsidRPr="00BF4E0E">
        <w:rPr>
          <w:color w:val="000000"/>
        </w:rPr>
        <w:t>En ese contexto, el artículo 6°, fracciones XI y XII de dicho ordenamiento jurídico, establece los siguientes conceptos:</w:t>
      </w:r>
    </w:p>
    <w:p w14:paraId="5F6FA7F0" w14:textId="77777777" w:rsidR="00B43B48" w:rsidRPr="00BF4E0E" w:rsidRDefault="00B43B48" w:rsidP="00B43B48">
      <w:pPr>
        <w:spacing w:after="0" w:line="360" w:lineRule="auto"/>
        <w:rPr>
          <w:color w:val="000000"/>
        </w:rPr>
      </w:pPr>
    </w:p>
    <w:p w14:paraId="598A8817" w14:textId="77777777" w:rsidR="00B43B48" w:rsidRPr="00BF4E0E" w:rsidRDefault="00B43B48" w:rsidP="00B43B48">
      <w:pPr>
        <w:numPr>
          <w:ilvl w:val="0"/>
          <w:numId w:val="42"/>
        </w:numPr>
        <w:spacing w:after="0" w:line="360" w:lineRule="auto"/>
        <w:rPr>
          <w:b/>
          <w:color w:val="000000"/>
        </w:rPr>
      </w:pPr>
      <w:r w:rsidRPr="00BF4E0E">
        <w:rPr>
          <w:b/>
          <w:color w:val="000000"/>
        </w:rPr>
        <w:t xml:space="preserve">Instituciones Policiales: </w:t>
      </w:r>
      <w:r w:rsidRPr="00BF4E0E">
        <w:rPr>
          <w:color w:val="000000"/>
        </w:rPr>
        <w:t xml:space="preserve">Son los cuerpos de policía, de vigilancia y custodia de los establecimientos penitenciarios, detención preventiva, centros de arraigo y en general, </w:t>
      </w:r>
      <w:r w:rsidRPr="00BF4E0E">
        <w:rPr>
          <w:b/>
          <w:color w:val="000000"/>
        </w:rPr>
        <w:t>todas las dependencias encargadas de la seguridad pública a nivel</w:t>
      </w:r>
      <w:r w:rsidRPr="00BF4E0E">
        <w:rPr>
          <w:color w:val="000000"/>
        </w:rPr>
        <w:t xml:space="preserve"> estatal y </w:t>
      </w:r>
      <w:r w:rsidRPr="00BF4E0E">
        <w:rPr>
          <w:b/>
          <w:color w:val="000000"/>
        </w:rPr>
        <w:t>municipal.</w:t>
      </w:r>
    </w:p>
    <w:p w14:paraId="3293B565" w14:textId="77777777" w:rsidR="00B43B48" w:rsidRPr="00BF4E0E" w:rsidRDefault="00B43B48" w:rsidP="00B43B48">
      <w:pPr>
        <w:spacing w:after="0" w:line="360" w:lineRule="auto"/>
        <w:ind w:left="720"/>
        <w:rPr>
          <w:color w:val="000000"/>
        </w:rPr>
      </w:pPr>
    </w:p>
    <w:p w14:paraId="67A2B1C4" w14:textId="77777777" w:rsidR="00B43B48" w:rsidRPr="00BF4E0E" w:rsidRDefault="00B43B48" w:rsidP="00B43B48">
      <w:pPr>
        <w:numPr>
          <w:ilvl w:val="0"/>
          <w:numId w:val="42"/>
        </w:numPr>
        <w:spacing w:after="0" w:line="360" w:lineRule="auto"/>
        <w:rPr>
          <w:b/>
          <w:color w:val="000000"/>
        </w:rPr>
      </w:pPr>
      <w:r w:rsidRPr="00BF4E0E">
        <w:rPr>
          <w:b/>
          <w:color w:val="000000"/>
        </w:rPr>
        <w:t xml:space="preserve">Instituciones de Seguridad Pública: </w:t>
      </w:r>
      <w:r w:rsidRPr="00BF4E0E">
        <w:rPr>
          <w:color w:val="000000"/>
        </w:rPr>
        <w:t xml:space="preserve">Instituciones Policiales, Procuración de Justicia, Sistema Penitenciario y </w:t>
      </w:r>
      <w:r w:rsidRPr="00BF4E0E">
        <w:rPr>
          <w:b/>
          <w:color w:val="000000"/>
        </w:rPr>
        <w:t xml:space="preserve">dependencias encargadas de la seguridad pública a nivel </w:t>
      </w:r>
      <w:r w:rsidRPr="00BF4E0E">
        <w:rPr>
          <w:color w:val="000000"/>
        </w:rPr>
        <w:t xml:space="preserve">estatal y </w:t>
      </w:r>
      <w:r w:rsidRPr="00BF4E0E">
        <w:rPr>
          <w:b/>
          <w:color w:val="000000"/>
        </w:rPr>
        <w:t>municipal.</w:t>
      </w:r>
    </w:p>
    <w:p w14:paraId="678A9061" w14:textId="77777777" w:rsidR="00B43B48" w:rsidRPr="00BF4E0E" w:rsidRDefault="00B43B48" w:rsidP="00B43B48">
      <w:pPr>
        <w:spacing w:after="0" w:line="360" w:lineRule="auto"/>
        <w:rPr>
          <w:b/>
          <w:color w:val="000000"/>
        </w:rPr>
      </w:pPr>
    </w:p>
    <w:p w14:paraId="49D1D3D2" w14:textId="77777777" w:rsidR="00B43B48" w:rsidRPr="00BF4E0E" w:rsidRDefault="00B43B48" w:rsidP="00B43B48">
      <w:pPr>
        <w:spacing w:after="0" w:line="360" w:lineRule="auto"/>
        <w:rPr>
          <w:color w:val="000000"/>
        </w:rPr>
      </w:pPr>
      <w:r w:rsidRPr="00BF4E0E">
        <w:rPr>
          <w:color w:val="000000"/>
        </w:rPr>
        <w:t>Conforme a lo anterior, se puede deducir que la Dirección General de Seguridad y Protección, es una institución de seguridad pública, pues tiene como atribución principal, la prevención de delitos y proteger a las personas, sus propiedades, posesiones y derechos.</w:t>
      </w:r>
    </w:p>
    <w:p w14:paraId="11B7FF6D" w14:textId="77777777" w:rsidR="00B43B48" w:rsidRPr="00BF4E0E" w:rsidRDefault="00B43B48" w:rsidP="00B43B48">
      <w:pPr>
        <w:spacing w:after="0" w:line="360" w:lineRule="auto"/>
        <w:rPr>
          <w:color w:val="000000"/>
        </w:rPr>
      </w:pPr>
    </w:p>
    <w:p w14:paraId="5ACEADCC" w14:textId="77777777" w:rsidR="00B43B48" w:rsidRPr="00BF4E0E" w:rsidRDefault="00B43B48" w:rsidP="00B43B48">
      <w:pPr>
        <w:tabs>
          <w:tab w:val="left" w:pos="4962"/>
        </w:tabs>
        <w:spacing w:after="0" w:line="360" w:lineRule="auto"/>
        <w:ind w:right="-28"/>
        <w:rPr>
          <w:color w:val="000000"/>
        </w:rPr>
      </w:pPr>
      <w:r w:rsidRPr="00BF4E0E">
        <w:rPr>
          <w:color w:val="000000"/>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BF4E0E">
        <w:rPr>
          <w:b/>
          <w:color w:val="000000"/>
        </w:rPr>
        <w:t>desempeña funciones de mando</w:t>
      </w:r>
      <w:r w:rsidRPr="00BF4E0E">
        <w:rPr>
          <w:color w:val="000000"/>
        </w:rPr>
        <w:t xml:space="preserve">), entre los cuales, se encuentra </w:t>
      </w:r>
      <w:r w:rsidRPr="00BF4E0E">
        <w:rPr>
          <w:b/>
          <w:color w:val="000000"/>
        </w:rPr>
        <w:t>la Policía Municipal</w:t>
      </w:r>
      <w:r w:rsidRPr="00BF4E0E">
        <w:rPr>
          <w:color w:val="000000"/>
        </w:rPr>
        <w:t>.</w:t>
      </w:r>
    </w:p>
    <w:p w14:paraId="45EE439A" w14:textId="77777777" w:rsidR="00B43B48" w:rsidRPr="00BF4E0E" w:rsidRDefault="00B43B48" w:rsidP="00B43B48">
      <w:pPr>
        <w:tabs>
          <w:tab w:val="left" w:pos="4962"/>
        </w:tabs>
        <w:spacing w:after="0" w:line="360" w:lineRule="auto"/>
        <w:ind w:right="-28"/>
        <w:rPr>
          <w:color w:val="000000"/>
        </w:rPr>
      </w:pPr>
    </w:p>
    <w:p w14:paraId="60A43246" w14:textId="77777777" w:rsidR="00B43B48" w:rsidRPr="00BF4E0E" w:rsidRDefault="00B43B48" w:rsidP="00B43B48">
      <w:pPr>
        <w:tabs>
          <w:tab w:val="left" w:pos="4962"/>
        </w:tabs>
        <w:spacing w:after="0" w:line="360" w:lineRule="auto"/>
        <w:ind w:right="-28"/>
        <w:rPr>
          <w:color w:val="000000"/>
        </w:rPr>
      </w:pPr>
      <w:r w:rsidRPr="00BF4E0E">
        <w:rPr>
          <w:color w:val="000000"/>
        </w:rPr>
        <w:t xml:space="preserve">Asimismo, se advierte que las Instituciones Policiales, se conforman del personal </w:t>
      </w:r>
      <w:r w:rsidRPr="00BF4E0E">
        <w:rPr>
          <w:b/>
          <w:color w:val="000000"/>
        </w:rPr>
        <w:t>administrativo,</w:t>
      </w:r>
      <w:r w:rsidRPr="00BF4E0E">
        <w:rPr>
          <w:color w:val="000000"/>
        </w:rPr>
        <w:t xml:space="preserve"> que son los trabajadores de apoyo (chofer, personal de mantenimiento, servicios generales y área secretaria); </w:t>
      </w:r>
      <w:r w:rsidRPr="00BF4E0E">
        <w:rPr>
          <w:b/>
          <w:color w:val="000000"/>
        </w:rPr>
        <w:t>así como, el personal de mando</w:t>
      </w:r>
      <w:r w:rsidRPr="00BF4E0E">
        <w:rPr>
          <w:color w:val="000000"/>
        </w:rPr>
        <w:t xml:space="preserve"> (alto, medio y superior), que es aquel que realiza funciones de dirección, coordinación y supervisión, por lo cual, corresponde a aquel que tenga trabajadores a su cargo.</w:t>
      </w:r>
    </w:p>
    <w:p w14:paraId="1629A4A3" w14:textId="77777777" w:rsidR="00B43B48" w:rsidRPr="00BF4E0E" w:rsidRDefault="00B43B48" w:rsidP="00B43B48">
      <w:pPr>
        <w:spacing w:after="0" w:line="360" w:lineRule="auto"/>
        <w:rPr>
          <w:color w:val="000000"/>
        </w:rPr>
      </w:pPr>
    </w:p>
    <w:p w14:paraId="569DC8B2" w14:textId="77777777" w:rsidR="00B43B48" w:rsidRPr="00BF4E0E" w:rsidRDefault="00B43B48" w:rsidP="00B43B48">
      <w:pPr>
        <w:spacing w:after="0" w:line="360" w:lineRule="auto"/>
        <w:rPr>
          <w:color w:val="000000"/>
        </w:rPr>
      </w:pPr>
      <w:r w:rsidRPr="00BF4E0E">
        <w:rPr>
          <w:color w:val="000000"/>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E293970" w14:textId="77777777" w:rsidR="00B43B48" w:rsidRPr="00BF4E0E" w:rsidRDefault="00B43B48" w:rsidP="00B43B48">
      <w:pPr>
        <w:spacing w:after="0" w:line="360" w:lineRule="auto"/>
        <w:rPr>
          <w:color w:val="000000"/>
        </w:rPr>
      </w:pPr>
    </w:p>
    <w:p w14:paraId="0E8D89A8" w14:textId="77777777" w:rsidR="00B43B48" w:rsidRPr="00BF4E0E" w:rsidRDefault="00B43B48" w:rsidP="00B43B48">
      <w:pPr>
        <w:spacing w:after="0" w:line="360" w:lineRule="auto"/>
        <w:rPr>
          <w:color w:val="000000"/>
        </w:rPr>
      </w:pPr>
      <w:r w:rsidRPr="00BF4E0E">
        <w:rPr>
          <w:color w:val="000000"/>
        </w:rPr>
        <w:t xml:space="preserve">Sin embargo, por lo que hace al </w:t>
      </w:r>
      <w:r w:rsidRPr="00BF4E0E">
        <w:rPr>
          <w:b/>
          <w:color w:val="000000"/>
        </w:rPr>
        <w:t>personal administrativo y los mandos medios y superiores</w:t>
      </w:r>
      <w:r w:rsidRPr="00BF4E0E">
        <w:rPr>
          <w:color w:val="000000"/>
        </w:rP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66E6B132" w14:textId="77777777" w:rsidR="00B43B48" w:rsidRPr="00BF4E0E" w:rsidRDefault="00B43B48" w:rsidP="00B43B48">
      <w:pPr>
        <w:spacing w:after="0" w:line="360" w:lineRule="auto"/>
        <w:rPr>
          <w:color w:val="000000"/>
        </w:rPr>
      </w:pPr>
    </w:p>
    <w:p w14:paraId="3B28A9B9" w14:textId="77777777" w:rsidR="00B43B48" w:rsidRPr="00BF4E0E" w:rsidRDefault="00B43B48" w:rsidP="00B43B48">
      <w:pPr>
        <w:spacing w:after="0" w:line="360" w:lineRule="auto"/>
        <w:rPr>
          <w:color w:val="000000"/>
        </w:rPr>
      </w:pPr>
      <w:r w:rsidRPr="00BF4E0E">
        <w:rPr>
          <w:color w:val="000000"/>
        </w:rP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20400E4" w14:textId="77777777" w:rsidR="00B43B48" w:rsidRPr="00BF4E0E" w:rsidRDefault="00B43B48" w:rsidP="00B43B48">
      <w:pPr>
        <w:spacing w:after="0" w:line="360" w:lineRule="auto"/>
        <w:rPr>
          <w:color w:val="000000"/>
        </w:rPr>
      </w:pPr>
    </w:p>
    <w:p w14:paraId="0EA2E6C6" w14:textId="77777777" w:rsidR="00B43B48" w:rsidRPr="00BF4E0E" w:rsidRDefault="00B43B48" w:rsidP="00B43B48">
      <w:pPr>
        <w:spacing w:after="0" w:line="360" w:lineRule="auto"/>
        <w:rPr>
          <w:color w:val="000000"/>
        </w:rPr>
      </w:pPr>
      <w:r w:rsidRPr="00BF4E0E">
        <w:rPr>
          <w:color w:val="000000"/>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1A7BF966" w14:textId="77777777" w:rsidR="00B43B48" w:rsidRPr="00BF4E0E" w:rsidRDefault="00B43B48" w:rsidP="00B43B48">
      <w:pPr>
        <w:spacing w:after="0" w:line="360" w:lineRule="auto"/>
        <w:rPr>
          <w:color w:val="000000"/>
        </w:rPr>
      </w:pPr>
    </w:p>
    <w:p w14:paraId="211B6BC3" w14:textId="7C6F5352" w:rsidR="00B43B48" w:rsidRPr="00BF4E0E" w:rsidRDefault="00B43B48" w:rsidP="00B43B48">
      <w:pPr>
        <w:spacing w:after="0" w:line="360" w:lineRule="auto"/>
        <w:rPr>
          <w:bCs/>
          <w:color w:val="000000"/>
          <w:u w:val="single"/>
        </w:rPr>
      </w:pPr>
      <w:r w:rsidRPr="00BF4E0E">
        <w:rPr>
          <w:color w:val="000000"/>
        </w:rPr>
        <w:t xml:space="preserve">Por tales consideraciones, </w:t>
      </w:r>
      <w:r w:rsidRPr="00BF4E0E">
        <w:rPr>
          <w:b/>
          <w:color w:val="000000"/>
        </w:rPr>
        <w:t xml:space="preserve">resulta procedente la reserva del nombre de los elementos operativos adscritos a la Dirección General de Seguridad y Protección, en funciones a la fecha de la solicitud, en términos del artículo 140, fracción IV, de la Ley de Transparencia y Acceso a la Información Pública del Estado de México y Municipios; </w:t>
      </w:r>
      <w:r w:rsidRPr="00BF4E0E">
        <w:rPr>
          <w:bCs/>
          <w:color w:val="000000"/>
        </w:rPr>
        <w:t>sin embargo, para el caso de que a la fecha de la solicitud, ya no sean policías municipales, deberá entregar su nombre.</w:t>
      </w:r>
    </w:p>
    <w:p w14:paraId="3401EA0A" w14:textId="77777777" w:rsidR="00B43B48" w:rsidRPr="00BF4E0E" w:rsidRDefault="00B43B48" w:rsidP="00B43B48">
      <w:pPr>
        <w:spacing w:after="0" w:line="360" w:lineRule="auto"/>
        <w:rPr>
          <w:b/>
          <w:color w:val="000000"/>
        </w:rPr>
      </w:pPr>
    </w:p>
    <w:p w14:paraId="487C3F13" w14:textId="77777777" w:rsidR="00B43B48" w:rsidRPr="00BF4E0E" w:rsidRDefault="00B43B48" w:rsidP="00B43B48">
      <w:pPr>
        <w:tabs>
          <w:tab w:val="left" w:pos="4962"/>
        </w:tabs>
        <w:spacing w:after="0" w:line="360" w:lineRule="auto"/>
        <w:rPr>
          <w:color w:val="000000"/>
        </w:rPr>
      </w:pPr>
      <w:r w:rsidRPr="00BF4E0E">
        <w:rPr>
          <w:color w:val="000000"/>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18C93A4" w14:textId="77777777" w:rsidR="00B43B48" w:rsidRPr="00BF4E0E" w:rsidRDefault="00B43B48" w:rsidP="00B43B48">
      <w:pPr>
        <w:tabs>
          <w:tab w:val="left" w:pos="4962"/>
        </w:tabs>
        <w:spacing w:after="0" w:line="360" w:lineRule="auto"/>
        <w:rPr>
          <w:color w:val="000000"/>
        </w:rPr>
      </w:pPr>
    </w:p>
    <w:p w14:paraId="6908EF50" w14:textId="77777777" w:rsidR="00B43B48" w:rsidRPr="00BF4E0E" w:rsidRDefault="00B43B48" w:rsidP="00B43B48">
      <w:pPr>
        <w:numPr>
          <w:ilvl w:val="0"/>
          <w:numId w:val="43"/>
        </w:numPr>
        <w:tabs>
          <w:tab w:val="left" w:pos="4962"/>
        </w:tabs>
        <w:spacing w:after="0" w:line="360" w:lineRule="auto"/>
        <w:ind w:left="709" w:hanging="436"/>
        <w:rPr>
          <w:color w:val="000000"/>
        </w:rPr>
      </w:pPr>
      <w:r w:rsidRPr="00BF4E0E">
        <w:rPr>
          <w:color w:val="000000"/>
        </w:rPr>
        <w:t>La divulgación de la información representa un riesgo real, demostrable e identificable de perjuicio significativo al interés público o a la seguridad nacional.</w:t>
      </w:r>
    </w:p>
    <w:p w14:paraId="16D1D01E" w14:textId="77777777" w:rsidR="00B43B48" w:rsidRPr="00BF4E0E" w:rsidRDefault="00B43B48" w:rsidP="00B43B48">
      <w:pPr>
        <w:tabs>
          <w:tab w:val="left" w:pos="4962"/>
        </w:tabs>
        <w:spacing w:after="0" w:line="360" w:lineRule="auto"/>
        <w:ind w:left="709"/>
        <w:rPr>
          <w:color w:val="000000"/>
        </w:rPr>
      </w:pPr>
    </w:p>
    <w:p w14:paraId="0A29D2A3" w14:textId="77777777" w:rsidR="00B43B48" w:rsidRPr="00BF4E0E" w:rsidRDefault="00B43B48" w:rsidP="00B43B48">
      <w:pPr>
        <w:numPr>
          <w:ilvl w:val="0"/>
          <w:numId w:val="43"/>
        </w:numPr>
        <w:tabs>
          <w:tab w:val="left" w:pos="4962"/>
        </w:tabs>
        <w:spacing w:after="0" w:line="360" w:lineRule="auto"/>
        <w:ind w:left="709" w:hanging="436"/>
        <w:rPr>
          <w:color w:val="000000"/>
        </w:rPr>
      </w:pPr>
      <w:r w:rsidRPr="00BF4E0E">
        <w:rPr>
          <w:color w:val="000000"/>
        </w:rPr>
        <w:t>El riesgo de perjuicio supera el interés público general de que se difunda.</w:t>
      </w:r>
    </w:p>
    <w:p w14:paraId="0182727D" w14:textId="77777777" w:rsidR="00B43B48" w:rsidRPr="00BF4E0E" w:rsidRDefault="00B43B48" w:rsidP="00B43B48">
      <w:pPr>
        <w:spacing w:after="0" w:line="360" w:lineRule="auto"/>
        <w:ind w:left="720"/>
        <w:rPr>
          <w:color w:val="000000"/>
        </w:rPr>
      </w:pPr>
    </w:p>
    <w:p w14:paraId="046ECC87" w14:textId="77777777" w:rsidR="00B43B48" w:rsidRPr="00BF4E0E" w:rsidRDefault="00B43B48" w:rsidP="00B43B48">
      <w:pPr>
        <w:numPr>
          <w:ilvl w:val="0"/>
          <w:numId w:val="43"/>
        </w:numPr>
        <w:tabs>
          <w:tab w:val="left" w:pos="4962"/>
        </w:tabs>
        <w:spacing w:after="0" w:line="360" w:lineRule="auto"/>
        <w:ind w:left="709" w:hanging="436"/>
        <w:rPr>
          <w:color w:val="000000"/>
        </w:rPr>
      </w:pPr>
      <w:r w:rsidRPr="00BF4E0E">
        <w:rPr>
          <w:color w:val="000000"/>
        </w:rPr>
        <w:t>Que la limitación se adecua al principio de proporcionalidad y representa el medio menos restrictivo disponible para evitar el perjuicio.</w:t>
      </w:r>
    </w:p>
    <w:p w14:paraId="29A9037A" w14:textId="77777777" w:rsidR="00B43B48" w:rsidRPr="00BF4E0E" w:rsidRDefault="00B43B48" w:rsidP="00B43B48">
      <w:pPr>
        <w:spacing w:after="0" w:line="360" w:lineRule="auto"/>
        <w:jc w:val="left"/>
        <w:rPr>
          <w:color w:val="000000"/>
        </w:rPr>
      </w:pPr>
    </w:p>
    <w:p w14:paraId="53F739A4" w14:textId="77777777" w:rsidR="00B43B48" w:rsidRPr="00BF4E0E" w:rsidRDefault="00B43B48" w:rsidP="00B43B48">
      <w:pPr>
        <w:spacing w:after="0" w:line="360" w:lineRule="auto"/>
        <w:rPr>
          <w:color w:val="000000"/>
        </w:rPr>
      </w:pPr>
      <w:r w:rsidRPr="00BF4E0E">
        <w:rPr>
          <w:color w:val="000000"/>
        </w:rPr>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 Dirección General de Seguridad y Protección, de manera fundada y motivada, mediante la respectiva prueba de daño, y deberá proporcionar la información del personal administrativo y mandos medios y superiores de dicha área.</w:t>
      </w:r>
    </w:p>
    <w:p w14:paraId="0D6A0ADD" w14:textId="77777777" w:rsidR="00B43B48" w:rsidRPr="00BF4E0E" w:rsidRDefault="00B43B48" w:rsidP="00B43B48">
      <w:pPr>
        <w:spacing w:after="0" w:line="360" w:lineRule="auto"/>
        <w:rPr>
          <w:color w:val="auto"/>
          <w:lang w:eastAsia="es-ES"/>
        </w:rPr>
      </w:pPr>
    </w:p>
    <w:p w14:paraId="34F223DC" w14:textId="77777777" w:rsidR="00B43B48" w:rsidRPr="00BF4E0E" w:rsidRDefault="00B43B48" w:rsidP="00B43B48">
      <w:pPr>
        <w:spacing w:after="0" w:line="360" w:lineRule="auto"/>
        <w:rPr>
          <w:color w:val="auto"/>
          <w:lang w:eastAsia="es-ES"/>
        </w:rPr>
      </w:pPr>
      <w:r w:rsidRPr="00BF4E0E">
        <w:rPr>
          <w:color w:val="auto"/>
          <w:lang w:eastAsia="es-ES"/>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8567AF9" w14:textId="77777777" w:rsidR="00B43B48" w:rsidRPr="00BF4E0E" w:rsidRDefault="00B43B48" w:rsidP="00B43B48">
      <w:pPr>
        <w:spacing w:after="0" w:line="360" w:lineRule="auto"/>
        <w:rPr>
          <w:rFonts w:eastAsia="Calibri" w:cs="Adelle Sans Devanagari"/>
          <w:bCs/>
          <w:iCs/>
          <w:color w:val="000000"/>
          <w:lang w:val="es-ES" w:eastAsia="en-US"/>
        </w:rPr>
      </w:pPr>
    </w:p>
    <w:p w14:paraId="38B88A4F" w14:textId="77777777" w:rsidR="00B43B48" w:rsidRPr="00BF4E0E" w:rsidRDefault="00B43B48" w:rsidP="00B43B48">
      <w:pPr>
        <w:spacing w:after="0" w:line="360" w:lineRule="auto"/>
        <w:rPr>
          <w:rFonts w:eastAsia="Calibri" w:cs="Adelle Sans Devanagari"/>
          <w:bCs/>
          <w:iCs/>
          <w:color w:val="000000"/>
          <w:lang w:val="es-ES" w:eastAsia="en-US"/>
        </w:rPr>
      </w:pPr>
      <w:r w:rsidRPr="00BF4E0E">
        <w:rPr>
          <w:rFonts w:eastAsia="Calibri" w:cs="Adelle Sans Devanagari"/>
          <w:bCs/>
          <w:iCs/>
          <w:color w:val="000000"/>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BF1447C" w14:textId="77777777" w:rsidR="00B43B48" w:rsidRPr="00BF4E0E" w:rsidRDefault="00B43B48" w:rsidP="00B43B48">
      <w:pPr>
        <w:tabs>
          <w:tab w:val="left" w:pos="4962"/>
        </w:tabs>
        <w:spacing w:after="0" w:line="360" w:lineRule="auto"/>
        <w:ind w:right="-28"/>
        <w:rPr>
          <w:lang w:val="es-ES"/>
        </w:rPr>
      </w:pPr>
    </w:p>
    <w:p w14:paraId="25774922" w14:textId="77777777" w:rsidR="00624F33" w:rsidRPr="00BF4E0E" w:rsidRDefault="00624F33" w:rsidP="00877B34">
      <w:pPr>
        <w:pStyle w:val="Ttulo2"/>
        <w:spacing w:before="0" w:after="0" w:line="360" w:lineRule="auto"/>
        <w:rPr>
          <w:color w:val="auto"/>
          <w:sz w:val="22"/>
          <w:szCs w:val="22"/>
        </w:rPr>
      </w:pPr>
      <w:bookmarkStart w:id="22" w:name="_Toc190262569"/>
      <w:bookmarkStart w:id="23" w:name="_Toc213165605"/>
      <w:r w:rsidRPr="00BF4E0E">
        <w:rPr>
          <w:color w:val="auto"/>
          <w:sz w:val="22"/>
          <w:szCs w:val="22"/>
        </w:rPr>
        <w:t>SEXTO. Decisión</w:t>
      </w:r>
      <w:bookmarkEnd w:id="22"/>
      <w:bookmarkEnd w:id="23"/>
    </w:p>
    <w:p w14:paraId="6C3D69A0" w14:textId="77777777" w:rsidR="00624F33" w:rsidRPr="00BF4E0E" w:rsidRDefault="00624F33" w:rsidP="00877B34">
      <w:pPr>
        <w:spacing w:after="0" w:line="360" w:lineRule="auto"/>
        <w:contextualSpacing/>
        <w:rPr>
          <w:rFonts w:eastAsia="Calibri" w:cs="Tahoma"/>
          <w:b/>
          <w:color w:val="FF0000"/>
        </w:rPr>
      </w:pPr>
    </w:p>
    <w:p w14:paraId="662CD441" w14:textId="66986084" w:rsidR="00B43B48" w:rsidRPr="00BF4E0E" w:rsidRDefault="00624F33" w:rsidP="00B43B48">
      <w:pPr>
        <w:spacing w:after="0" w:line="360" w:lineRule="auto"/>
      </w:pPr>
      <w:r w:rsidRPr="00BF4E0E">
        <w:rPr>
          <w:color w:val="auto"/>
        </w:rPr>
        <w:t xml:space="preserve">De acuerdo con lo expuesto y, con fundamento en el artículo 186, fracción III, de la Ley de Transparencia y Acceso a la Información Pública del Estado de México y Municipios, este Instituto considera procedente </w:t>
      </w:r>
      <w:r w:rsidR="00B43B48" w:rsidRPr="00BF4E0E">
        <w:rPr>
          <w:b/>
          <w:color w:val="auto"/>
        </w:rPr>
        <w:t>MODIFI</w:t>
      </w:r>
      <w:r w:rsidR="004D1132" w:rsidRPr="00BF4E0E">
        <w:rPr>
          <w:b/>
          <w:color w:val="auto"/>
        </w:rPr>
        <w:t>CA</w:t>
      </w:r>
      <w:r w:rsidRPr="00BF4E0E">
        <w:rPr>
          <w:b/>
          <w:color w:val="auto"/>
        </w:rPr>
        <w:t xml:space="preserve">R </w:t>
      </w:r>
      <w:r w:rsidRPr="00BF4E0E">
        <w:rPr>
          <w:color w:val="auto"/>
        </w:rPr>
        <w:t xml:space="preserve">la respuesta del Ayuntamiento de </w:t>
      </w:r>
      <w:r w:rsidR="00604B33" w:rsidRPr="00BF4E0E">
        <w:rPr>
          <w:color w:val="auto"/>
        </w:rPr>
        <w:t>Toluca</w:t>
      </w:r>
      <w:r w:rsidRPr="00BF4E0E">
        <w:rPr>
          <w:b/>
          <w:color w:val="auto"/>
        </w:rPr>
        <w:t xml:space="preserve">, </w:t>
      </w:r>
      <w:r w:rsidRPr="00BF4E0E">
        <w:rPr>
          <w:color w:val="auto"/>
        </w:rPr>
        <w:t xml:space="preserve">a efecto de que </w:t>
      </w:r>
      <w:r w:rsidR="00B43B48" w:rsidRPr="00BF4E0E">
        <w:t>la entregue la información en los términos expuestos.</w:t>
      </w:r>
    </w:p>
    <w:p w14:paraId="1DDC7137" w14:textId="60D79D79" w:rsidR="00624F33" w:rsidRPr="00BF4E0E" w:rsidRDefault="00624F33" w:rsidP="00877B34">
      <w:pPr>
        <w:spacing w:after="0" w:line="360" w:lineRule="auto"/>
        <w:rPr>
          <w:color w:val="FF0000"/>
        </w:rPr>
      </w:pPr>
    </w:p>
    <w:p w14:paraId="2CF002BB" w14:textId="77777777" w:rsidR="00624F33" w:rsidRPr="00BF4E0E" w:rsidRDefault="00624F33" w:rsidP="00877B34">
      <w:pPr>
        <w:spacing w:after="0" w:line="360" w:lineRule="auto"/>
        <w:contextualSpacing/>
        <w:rPr>
          <w:rFonts w:eastAsia="Calibri" w:cs="Tahoma"/>
          <w:b/>
          <w:bCs/>
          <w:color w:val="auto"/>
        </w:rPr>
      </w:pPr>
      <w:r w:rsidRPr="00BF4E0E">
        <w:rPr>
          <w:rFonts w:eastAsia="Calibri" w:cs="Tahoma"/>
          <w:b/>
          <w:bCs/>
          <w:color w:val="auto"/>
        </w:rPr>
        <w:t>Términos de la Resolución para conocimiento del Particular</w:t>
      </w:r>
    </w:p>
    <w:p w14:paraId="0EA578CF" w14:textId="77777777" w:rsidR="00624F33" w:rsidRPr="00BF4E0E" w:rsidRDefault="00624F33" w:rsidP="00877B34">
      <w:pPr>
        <w:spacing w:after="0" w:line="360" w:lineRule="auto"/>
        <w:contextualSpacing/>
        <w:rPr>
          <w:rFonts w:eastAsia="Calibri" w:cs="Tahoma"/>
          <w:b/>
          <w:bCs/>
          <w:color w:val="auto"/>
        </w:rPr>
      </w:pPr>
    </w:p>
    <w:p w14:paraId="07838E9C" w14:textId="77777777" w:rsidR="00B43B48" w:rsidRPr="00BF4E0E" w:rsidRDefault="00624F33" w:rsidP="00877B34">
      <w:pPr>
        <w:spacing w:after="0" w:line="360" w:lineRule="auto"/>
        <w:rPr>
          <w:color w:val="auto"/>
        </w:rPr>
      </w:pPr>
      <w:r w:rsidRPr="00BF4E0E">
        <w:rPr>
          <w:color w:val="auto"/>
        </w:rPr>
        <w:t>Se le hace del conocimiento a la persona Recurrente que, en el presente asunto, se le da</w:t>
      </w:r>
      <w:r w:rsidR="00B43B48" w:rsidRPr="00BF4E0E">
        <w:rPr>
          <w:color w:val="auto"/>
        </w:rPr>
        <w:t xml:space="preserve"> parcialmente</w:t>
      </w:r>
      <w:r w:rsidRPr="00BF4E0E">
        <w:rPr>
          <w:color w:val="auto"/>
        </w:rPr>
        <w:t xml:space="preserve"> la razón, pues el Sujeto Obligado, acreditó el cambio de modalidad</w:t>
      </w:r>
      <w:r w:rsidR="00604B33" w:rsidRPr="00BF4E0E">
        <w:rPr>
          <w:color w:val="auto"/>
        </w:rPr>
        <w:t xml:space="preserve"> y la búsqueda de la información</w:t>
      </w:r>
      <w:r w:rsidRPr="00BF4E0E">
        <w:rPr>
          <w:color w:val="auto"/>
        </w:rPr>
        <w:t xml:space="preserve">, por lo que, deberá hacer la entrega de la información solicitada. </w:t>
      </w:r>
    </w:p>
    <w:p w14:paraId="4826FDEB" w14:textId="77777777" w:rsidR="00B43B48" w:rsidRPr="00BF4E0E" w:rsidRDefault="00B43B48" w:rsidP="00877B34">
      <w:pPr>
        <w:spacing w:after="0" w:line="360" w:lineRule="auto"/>
        <w:rPr>
          <w:color w:val="auto"/>
        </w:rPr>
      </w:pPr>
    </w:p>
    <w:p w14:paraId="7D184B80" w14:textId="5D029BFC" w:rsidR="00624F33" w:rsidRPr="00BF4E0E" w:rsidRDefault="00624F33" w:rsidP="00877B34">
      <w:pPr>
        <w:spacing w:after="0" w:line="360" w:lineRule="auto"/>
        <w:rPr>
          <w:color w:val="auto"/>
        </w:rPr>
      </w:pPr>
      <w:r w:rsidRPr="00BF4E0E">
        <w:rPr>
          <w:color w:val="auto"/>
        </w:rPr>
        <w:t>Finalmente, la labor del Instituto, es apoyar a la población a acceder a la información pública y garantizar la protección de sus datos personales.</w:t>
      </w:r>
    </w:p>
    <w:p w14:paraId="04646634" w14:textId="77777777" w:rsidR="00786AE6" w:rsidRPr="00BF4E0E" w:rsidRDefault="00786AE6" w:rsidP="00877B34">
      <w:pPr>
        <w:spacing w:after="0" w:line="360" w:lineRule="auto"/>
        <w:rPr>
          <w:color w:val="auto"/>
        </w:rPr>
      </w:pPr>
    </w:p>
    <w:p w14:paraId="28157772" w14:textId="77777777" w:rsidR="00624F33" w:rsidRPr="00BF4E0E" w:rsidRDefault="00624F33" w:rsidP="00877B34">
      <w:pPr>
        <w:spacing w:after="0" w:line="360" w:lineRule="auto"/>
        <w:contextualSpacing/>
        <w:rPr>
          <w:rFonts w:eastAsia="Calibri"/>
          <w:color w:val="auto"/>
        </w:rPr>
      </w:pPr>
      <w:r w:rsidRPr="00BF4E0E">
        <w:rPr>
          <w:rFonts w:eastAsia="Calibri"/>
          <w:color w:val="auto"/>
        </w:rPr>
        <w:t>Por lo expuesto y fundado, este Pleno:</w:t>
      </w:r>
    </w:p>
    <w:p w14:paraId="5A941353" w14:textId="77777777" w:rsidR="00624F33" w:rsidRPr="00BF4E0E" w:rsidRDefault="00624F33" w:rsidP="00877B34">
      <w:pPr>
        <w:spacing w:after="0" w:line="360" w:lineRule="auto"/>
        <w:contextualSpacing/>
        <w:rPr>
          <w:rFonts w:eastAsia="Calibri"/>
          <w:color w:val="auto"/>
        </w:rPr>
      </w:pPr>
    </w:p>
    <w:p w14:paraId="7DB638DB" w14:textId="77777777" w:rsidR="00624F33" w:rsidRPr="00BF4E0E" w:rsidRDefault="00624F33" w:rsidP="00877B34">
      <w:pPr>
        <w:pStyle w:val="Ttulo1"/>
        <w:spacing w:before="0" w:after="0" w:line="360" w:lineRule="auto"/>
        <w:jc w:val="center"/>
        <w:rPr>
          <w:color w:val="auto"/>
          <w:sz w:val="22"/>
          <w:szCs w:val="22"/>
        </w:rPr>
      </w:pPr>
      <w:bookmarkStart w:id="24" w:name="_Toc190262570"/>
      <w:bookmarkStart w:id="25" w:name="_Toc213165606"/>
      <w:r w:rsidRPr="00BF4E0E">
        <w:rPr>
          <w:color w:val="auto"/>
          <w:sz w:val="22"/>
          <w:szCs w:val="22"/>
        </w:rPr>
        <w:t>R E S U E L V E</w:t>
      </w:r>
      <w:bookmarkEnd w:id="24"/>
      <w:bookmarkEnd w:id="25"/>
    </w:p>
    <w:p w14:paraId="52B0245E" w14:textId="77777777" w:rsidR="00624F33" w:rsidRPr="00BF4E0E" w:rsidRDefault="00624F33" w:rsidP="00877B34">
      <w:pPr>
        <w:spacing w:after="0" w:line="360" w:lineRule="auto"/>
        <w:contextualSpacing/>
        <w:jc w:val="center"/>
        <w:rPr>
          <w:rFonts w:eastAsia="Calibri"/>
          <w:b/>
          <w:bCs/>
          <w:color w:val="FF0000"/>
        </w:rPr>
      </w:pPr>
    </w:p>
    <w:p w14:paraId="4A6FF8E6" w14:textId="295F6412" w:rsidR="00624F33" w:rsidRPr="00BF4E0E" w:rsidRDefault="00624F33" w:rsidP="00877B34">
      <w:pPr>
        <w:spacing w:after="0" w:line="360" w:lineRule="auto"/>
        <w:contextualSpacing/>
        <w:rPr>
          <w:bCs/>
          <w:color w:val="auto"/>
        </w:rPr>
      </w:pPr>
      <w:r w:rsidRPr="00BF4E0E">
        <w:rPr>
          <w:rFonts w:cs="Tahoma"/>
          <w:b/>
          <w:bCs/>
          <w:color w:val="auto"/>
        </w:rPr>
        <w:t xml:space="preserve">PRIMERO. </w:t>
      </w:r>
      <w:r w:rsidRPr="00BF4E0E">
        <w:rPr>
          <w:rFonts w:cs="Tahoma"/>
          <w:bCs/>
          <w:color w:val="auto"/>
        </w:rPr>
        <w:t xml:space="preserve">Se </w:t>
      </w:r>
      <w:r w:rsidR="00B43B48" w:rsidRPr="00BF4E0E">
        <w:rPr>
          <w:rFonts w:cs="Tahoma"/>
          <w:b/>
          <w:bCs/>
          <w:color w:val="auto"/>
        </w:rPr>
        <w:t>MODIFICA</w:t>
      </w:r>
      <w:r w:rsidRPr="00BF4E0E">
        <w:rPr>
          <w:rFonts w:cs="Tahoma"/>
          <w:b/>
          <w:bCs/>
          <w:color w:val="auto"/>
        </w:rPr>
        <w:t xml:space="preserve"> </w:t>
      </w:r>
      <w:r w:rsidRPr="00BF4E0E">
        <w:rPr>
          <w:rFonts w:cs="Tahoma"/>
          <w:bCs/>
          <w:color w:val="auto"/>
        </w:rPr>
        <w:t xml:space="preserve">la respuesta entregada por el Ayuntamiento de </w:t>
      </w:r>
      <w:r w:rsidR="00604B33" w:rsidRPr="00BF4E0E">
        <w:rPr>
          <w:rFonts w:cs="Tahoma"/>
          <w:bCs/>
          <w:color w:val="auto"/>
        </w:rPr>
        <w:t>Toluca</w:t>
      </w:r>
      <w:r w:rsidRPr="00BF4E0E">
        <w:rPr>
          <w:rFonts w:cs="Tahoma"/>
          <w:bCs/>
          <w:color w:val="auto"/>
        </w:rPr>
        <w:t xml:space="preserve">, a la solicitud de </w:t>
      </w:r>
      <w:r w:rsidRPr="00BF4E0E">
        <w:rPr>
          <w:bCs/>
          <w:color w:val="auto"/>
        </w:rPr>
        <w:t xml:space="preserve">información </w:t>
      </w:r>
      <w:r w:rsidR="00604B33" w:rsidRPr="00BF4E0E">
        <w:rPr>
          <w:bCs/>
          <w:color w:val="auto"/>
        </w:rPr>
        <w:t>03727/TOLUCA/IP/2025</w:t>
      </w:r>
      <w:r w:rsidRPr="00BF4E0E">
        <w:rPr>
          <w:bCs/>
          <w:color w:val="auto"/>
        </w:rPr>
        <w:t xml:space="preserve">, por resultar </w:t>
      </w:r>
      <w:r w:rsidRPr="00BF4E0E">
        <w:rPr>
          <w:b/>
          <w:bCs/>
          <w:color w:val="auto"/>
        </w:rPr>
        <w:t>FUNDADAS</w:t>
      </w:r>
      <w:r w:rsidRPr="00BF4E0E">
        <w:rPr>
          <w:rFonts w:cs="Tahoma"/>
          <w:b/>
          <w:bCs/>
          <w:color w:val="auto"/>
        </w:rPr>
        <w:t xml:space="preserve"> </w:t>
      </w:r>
      <w:r w:rsidRPr="00BF4E0E">
        <w:rPr>
          <w:rFonts w:eastAsia="Calibri" w:cs="Tahoma"/>
          <w:bCs/>
          <w:color w:val="auto"/>
        </w:rPr>
        <w:t>las razones o motivos de inconformidad hechos valer por el Recurrente</w:t>
      </w:r>
      <w:r w:rsidRPr="00BF4E0E">
        <w:rPr>
          <w:rFonts w:cs="Tahoma"/>
          <w:bCs/>
          <w:color w:val="auto"/>
        </w:rPr>
        <w:t xml:space="preserve">, </w:t>
      </w:r>
      <w:r w:rsidRPr="00BF4E0E">
        <w:rPr>
          <w:rFonts w:eastAsia="Calibri" w:cs="Tahoma"/>
          <w:bCs/>
          <w:color w:val="auto"/>
        </w:rPr>
        <w:t>en términos de los considerandos QUINTO y SEXTO de la presente Resolución.</w:t>
      </w:r>
    </w:p>
    <w:p w14:paraId="44AC65B9" w14:textId="77777777" w:rsidR="00624F33" w:rsidRPr="00BF4E0E" w:rsidRDefault="00624F33" w:rsidP="00877B34">
      <w:pPr>
        <w:spacing w:after="0" w:line="360" w:lineRule="auto"/>
        <w:contextualSpacing/>
        <w:rPr>
          <w:rFonts w:eastAsia="Times New Roman" w:cs="Tahoma"/>
          <w:bCs/>
          <w:color w:val="FF0000"/>
          <w:lang w:eastAsia="es-ES"/>
        </w:rPr>
      </w:pPr>
    </w:p>
    <w:p w14:paraId="71472E02" w14:textId="77777777" w:rsidR="00B43B48" w:rsidRPr="00BF4E0E" w:rsidRDefault="00624F33" w:rsidP="00B43B48">
      <w:pPr>
        <w:spacing w:after="0" w:line="360" w:lineRule="auto"/>
        <w:rPr>
          <w:bCs/>
        </w:rPr>
      </w:pPr>
      <w:r w:rsidRPr="00BF4E0E">
        <w:rPr>
          <w:rFonts w:cs="Tahoma"/>
          <w:b/>
          <w:bCs/>
          <w:color w:val="auto"/>
        </w:rPr>
        <w:t xml:space="preserve">SEGUNDO. </w:t>
      </w:r>
      <w:r w:rsidRPr="00BF4E0E">
        <w:rPr>
          <w:color w:val="auto"/>
        </w:rPr>
        <w:t xml:space="preserve">Se </w:t>
      </w:r>
      <w:r w:rsidRPr="00BF4E0E">
        <w:rPr>
          <w:b/>
          <w:color w:val="auto"/>
        </w:rPr>
        <w:t>ORDENA</w:t>
      </w:r>
      <w:r w:rsidRPr="00BF4E0E">
        <w:rPr>
          <w:color w:val="auto"/>
        </w:rPr>
        <w:t xml:space="preserve"> al Ente Recurrido</w:t>
      </w:r>
      <w:r w:rsidRPr="00BF4E0E">
        <w:rPr>
          <w:b/>
          <w:color w:val="auto"/>
        </w:rPr>
        <w:t xml:space="preserve">, </w:t>
      </w:r>
      <w:r w:rsidRPr="00BF4E0E">
        <w:rPr>
          <w:color w:val="auto"/>
        </w:rPr>
        <w:t xml:space="preserve">a efecto de que previa búsqueda exhaustiva y razonable, en los archivos de las unidades administrativas competentes, </w:t>
      </w:r>
      <w:r w:rsidR="00B43B48" w:rsidRPr="00BF4E0E">
        <w:rPr>
          <w:rFonts w:cs="Tahoma"/>
        </w:rPr>
        <w:t>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w:t>
      </w:r>
      <w:r w:rsidR="00B43B48" w:rsidRPr="00BF4E0E">
        <w:t xml:space="preserve">, en versión pública, </w:t>
      </w:r>
      <w:r w:rsidR="00B43B48" w:rsidRPr="00BF4E0E">
        <w:rPr>
          <w:bCs/>
        </w:rPr>
        <w:t>lo siguiente:</w:t>
      </w:r>
    </w:p>
    <w:p w14:paraId="1E156BAF" w14:textId="77777777" w:rsidR="00B43B48" w:rsidRPr="00BF4E0E" w:rsidRDefault="00B43B48" w:rsidP="00B43B48">
      <w:pPr>
        <w:spacing w:after="0" w:line="360" w:lineRule="auto"/>
        <w:rPr>
          <w:bCs/>
        </w:rPr>
      </w:pPr>
    </w:p>
    <w:p w14:paraId="4A67ADF3" w14:textId="048F85E8" w:rsidR="00F622BB" w:rsidRPr="00BF4E0E" w:rsidRDefault="00786AE6" w:rsidP="00B43B48">
      <w:pPr>
        <w:pStyle w:val="Prrafodelista"/>
        <w:numPr>
          <w:ilvl w:val="0"/>
          <w:numId w:val="44"/>
        </w:numPr>
        <w:spacing w:line="360" w:lineRule="auto"/>
        <w:rPr>
          <w:color w:val="auto"/>
        </w:rPr>
      </w:pPr>
      <w:r w:rsidRPr="00BF4E0E">
        <w:rPr>
          <w:color w:val="auto"/>
        </w:rPr>
        <w:t>L</w:t>
      </w:r>
      <w:r w:rsidR="00604B33" w:rsidRPr="00BF4E0E">
        <w:rPr>
          <w:color w:val="auto"/>
        </w:rPr>
        <w:t xml:space="preserve">os comprobantes bancarios de la dispersión de la nómina que fueron remitidos al Órgano Superior de Fiscalización por el </w:t>
      </w:r>
      <w:r w:rsidR="00B43B48" w:rsidRPr="00BF4E0E">
        <w:rPr>
          <w:color w:val="auto"/>
        </w:rPr>
        <w:t xml:space="preserve">Ayuntamiento de Toluca y el </w:t>
      </w:r>
      <w:r w:rsidR="00604B33" w:rsidRPr="00BF4E0E">
        <w:rPr>
          <w:color w:val="auto"/>
        </w:rPr>
        <w:t xml:space="preserve">Instituto Municipal de la Mujer </w:t>
      </w:r>
      <w:r w:rsidR="00B43B48" w:rsidRPr="00BF4E0E">
        <w:rPr>
          <w:color w:val="auto"/>
        </w:rPr>
        <w:t xml:space="preserve">de Toluca, </w:t>
      </w:r>
      <w:r w:rsidR="00604B33" w:rsidRPr="00BF4E0E">
        <w:rPr>
          <w:color w:val="auto"/>
        </w:rPr>
        <w:t>durante los ejercicios fiscales dos mil veintidós, dos mil veintitrés y dos mil veinticuatro.</w:t>
      </w:r>
    </w:p>
    <w:p w14:paraId="6602A806" w14:textId="77777777" w:rsidR="00604B33" w:rsidRPr="00BF4E0E" w:rsidRDefault="00604B33" w:rsidP="00604B33">
      <w:pPr>
        <w:pStyle w:val="Prrafodelista"/>
        <w:spacing w:line="360" w:lineRule="auto"/>
        <w:rPr>
          <w:color w:val="auto"/>
        </w:rPr>
      </w:pPr>
    </w:p>
    <w:p w14:paraId="0EA7240D" w14:textId="77777777" w:rsidR="00B43B48" w:rsidRPr="00BF4E0E" w:rsidRDefault="00B43B48" w:rsidP="00B43B48">
      <w:pPr>
        <w:spacing w:after="0" w:line="360" w:lineRule="auto"/>
        <w:contextualSpacing/>
        <w:rPr>
          <w:color w:val="FF0000"/>
        </w:rPr>
      </w:pPr>
      <w:r w:rsidRPr="00BF4E0E">
        <w:t>Para tal situación, el Sujeto Obligado, a través del Sistema de Acceso a la Información Mexiquense (SAIMEX), deberá indicar el procedimiento que tendrá que seguir el Particular, para acceder a la documentación, es decir, el domicilio de la Unidad de Transparencia, así como los días y horarios de atención, junto con el nombre del servidor público que le atenderá, el procedimiento de pago y el costo, en caso de proceder, de conformidad con el Vigésimo Sexto de los Lineamientos para la operación del Sistema de Acceso a la Información Mexiquense (SAIMEX) y del Sistema de Acceso, Rectificación, Cancelación y Oposición de Datos Personales del Estado de México (SARCOEM). Además, deberá señalarle que podrá acceder de manera gratuita a la información en las oficinas del Sujeto Obligado, si proporciona el medio de almacenamiento.</w:t>
      </w:r>
    </w:p>
    <w:p w14:paraId="48F58975" w14:textId="77777777" w:rsidR="00B43B48" w:rsidRPr="00BF4E0E" w:rsidRDefault="00B43B48" w:rsidP="00877B34">
      <w:pPr>
        <w:spacing w:after="0" w:line="360" w:lineRule="auto"/>
        <w:rPr>
          <w:color w:val="auto"/>
        </w:rPr>
      </w:pPr>
    </w:p>
    <w:p w14:paraId="7A72E517" w14:textId="50CFA4E3" w:rsidR="00624F33" w:rsidRPr="00BF4E0E" w:rsidRDefault="00624F33" w:rsidP="00877B34">
      <w:pPr>
        <w:spacing w:after="0" w:line="360" w:lineRule="auto"/>
        <w:rPr>
          <w:rFonts w:cs="Tahoma"/>
          <w:bCs/>
          <w:iCs/>
          <w:color w:val="auto"/>
          <w:lang w:eastAsia="es-ES"/>
        </w:rPr>
      </w:pPr>
      <w:r w:rsidRPr="00BF4E0E">
        <w:rPr>
          <w:color w:val="auto"/>
        </w:rPr>
        <w:t xml:space="preserve">Además, </w:t>
      </w:r>
      <w:r w:rsidRPr="00BF4E0E">
        <w:rPr>
          <w:rFonts w:cs="Tahoma"/>
          <w:bCs/>
          <w:iCs/>
          <w:color w:val="auto"/>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4FCD046" w14:textId="77777777" w:rsidR="00604B33" w:rsidRPr="00BF4E0E" w:rsidRDefault="00604B33" w:rsidP="00877B34">
      <w:pPr>
        <w:spacing w:after="0" w:line="360" w:lineRule="auto"/>
        <w:rPr>
          <w:rFonts w:cs="Tahoma"/>
          <w:bCs/>
          <w:iCs/>
          <w:color w:val="auto"/>
          <w:lang w:eastAsia="es-ES"/>
        </w:rPr>
      </w:pPr>
    </w:p>
    <w:p w14:paraId="556C2333" w14:textId="3B7820AE" w:rsidR="00604B33" w:rsidRPr="00BF4E0E" w:rsidRDefault="00D51567" w:rsidP="00D51567">
      <w:pPr>
        <w:spacing w:after="0" w:line="360" w:lineRule="auto"/>
        <w:rPr>
          <w:rFonts w:cs="Tahoma"/>
          <w:bCs/>
          <w:iCs/>
          <w:color w:val="auto"/>
          <w:lang w:eastAsia="es-ES"/>
        </w:rPr>
      </w:pPr>
      <w:r w:rsidRPr="00BF4E0E">
        <w:rPr>
          <w:rFonts w:cs="Tahoma"/>
          <w:bCs/>
          <w:iCs/>
          <w:color w:val="auto"/>
          <w:lang w:eastAsia="es-ES"/>
        </w:rPr>
        <w:t xml:space="preserve">Para el caso de que no obre en los archivos </w:t>
      </w:r>
      <w:r w:rsidR="00B43B48" w:rsidRPr="00BF4E0E">
        <w:rPr>
          <w:rFonts w:cs="Tahoma"/>
          <w:bCs/>
          <w:iCs/>
          <w:color w:val="auto"/>
          <w:lang w:eastAsia="es-ES"/>
        </w:rPr>
        <w:t>del Instituto Municipal de la Mujer, la información de alguno de los años</w:t>
      </w:r>
      <w:r w:rsidRPr="00BF4E0E">
        <w:rPr>
          <w:rFonts w:cs="Tahoma"/>
          <w:bCs/>
          <w:iCs/>
          <w:color w:val="auto"/>
          <w:lang w:eastAsia="es-ES"/>
        </w:rPr>
        <w:t>, deberá emitir acuerdo de inexistencia en términos del artículo 19, párrafo tercero y 169 de la Ley de Transparencia y Acceso a la Información Pública del Estado de México y Municipios.</w:t>
      </w:r>
    </w:p>
    <w:p w14:paraId="152F08C5" w14:textId="77777777" w:rsidR="00786AE6" w:rsidRPr="00BF4E0E" w:rsidRDefault="00786AE6" w:rsidP="00877B34">
      <w:pPr>
        <w:spacing w:after="0" w:line="360" w:lineRule="auto"/>
        <w:rPr>
          <w:rFonts w:cs="Tahoma"/>
          <w:bCs/>
          <w:iCs/>
          <w:color w:val="FF0000"/>
          <w:lang w:eastAsia="es-ES"/>
        </w:rPr>
      </w:pPr>
    </w:p>
    <w:p w14:paraId="321AE476" w14:textId="77777777" w:rsidR="00624F33" w:rsidRPr="00BF4E0E" w:rsidRDefault="00624F33" w:rsidP="00877B34">
      <w:pPr>
        <w:spacing w:after="0" w:line="360" w:lineRule="auto"/>
        <w:ind w:right="-28"/>
        <w:contextualSpacing/>
        <w:rPr>
          <w:rFonts w:cs="Tahoma"/>
          <w:b/>
          <w:iCs/>
          <w:color w:val="auto"/>
        </w:rPr>
      </w:pPr>
      <w:r w:rsidRPr="00BF4E0E">
        <w:rPr>
          <w:rFonts w:eastAsia="Calibri" w:cs="Tahoma"/>
          <w:b/>
          <w:bCs/>
          <w:color w:val="auto"/>
        </w:rPr>
        <w:t xml:space="preserve">TERCERO. </w:t>
      </w:r>
      <w:r w:rsidRPr="00BF4E0E">
        <w:rPr>
          <w:rFonts w:cs="Tahoma"/>
          <w:b/>
          <w:bCs/>
          <w:iCs/>
          <w:color w:val="auto"/>
        </w:rPr>
        <w:t xml:space="preserve">NOTIFÍQUESE POR SAIMEX </w:t>
      </w:r>
      <w:r w:rsidRPr="00BF4E0E">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CBB48DA" w14:textId="77777777" w:rsidR="00624F33" w:rsidRPr="00BF4E0E" w:rsidRDefault="00624F33" w:rsidP="00877B34">
      <w:pPr>
        <w:spacing w:after="0" w:line="360" w:lineRule="auto"/>
        <w:ind w:right="-28"/>
        <w:contextualSpacing/>
        <w:rPr>
          <w:rFonts w:eastAsia="Calibri" w:cs="Tahoma"/>
          <w:color w:val="auto"/>
          <w:lang w:val="es-ES"/>
        </w:rPr>
      </w:pPr>
    </w:p>
    <w:p w14:paraId="47E69FB2" w14:textId="77777777" w:rsidR="00624F33" w:rsidRPr="00BF4E0E" w:rsidRDefault="00624F33" w:rsidP="00877B34">
      <w:pPr>
        <w:spacing w:after="0" w:line="360" w:lineRule="auto"/>
        <w:contextualSpacing/>
        <w:rPr>
          <w:rFonts w:eastAsia="Calibri" w:cs="Tahoma"/>
          <w:iCs/>
          <w:color w:val="auto"/>
        </w:rPr>
      </w:pPr>
      <w:r w:rsidRPr="00BF4E0E">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75895AF5" w14:textId="77777777" w:rsidR="00624F33" w:rsidRPr="00BF4E0E" w:rsidRDefault="00624F33" w:rsidP="00877B34">
      <w:pPr>
        <w:spacing w:after="0" w:line="360" w:lineRule="auto"/>
        <w:contextualSpacing/>
        <w:rPr>
          <w:rFonts w:eastAsia="Calibri" w:cs="Tahoma"/>
          <w:color w:val="auto"/>
          <w:lang w:val="es-ES"/>
        </w:rPr>
      </w:pPr>
    </w:p>
    <w:p w14:paraId="31736D67" w14:textId="77777777" w:rsidR="00624F33" w:rsidRPr="00BF4E0E" w:rsidRDefault="00624F33" w:rsidP="00877B34">
      <w:pPr>
        <w:spacing w:after="0" w:line="360" w:lineRule="auto"/>
        <w:contextualSpacing/>
        <w:rPr>
          <w:rFonts w:eastAsia="Times New Roman" w:cs="Tahoma"/>
          <w:color w:val="auto"/>
          <w:lang w:eastAsia="es-ES"/>
        </w:rPr>
      </w:pPr>
      <w:r w:rsidRPr="00BF4E0E">
        <w:rPr>
          <w:rFonts w:eastAsia="Calibri" w:cs="Tahoma"/>
          <w:b/>
          <w:color w:val="auto"/>
        </w:rPr>
        <w:t>CUARTO</w:t>
      </w:r>
      <w:r w:rsidRPr="00BF4E0E">
        <w:rPr>
          <w:rFonts w:eastAsia="Calibri" w:cs="Tahoma"/>
          <w:b/>
          <w:bCs/>
          <w:color w:val="auto"/>
        </w:rPr>
        <w:t xml:space="preserve">. </w:t>
      </w:r>
      <w:r w:rsidRPr="00BF4E0E">
        <w:rPr>
          <w:rFonts w:cs="Tahoma"/>
          <w:b/>
          <w:color w:val="auto"/>
        </w:rPr>
        <w:t>NOTIFÍQUESE POR SAIMEX</w:t>
      </w:r>
      <w:r w:rsidRPr="00BF4E0E">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38E0C2" w14:textId="77777777" w:rsidR="00624F33" w:rsidRPr="00BF4E0E" w:rsidRDefault="00624F33" w:rsidP="00877B34">
      <w:pPr>
        <w:spacing w:after="0" w:line="360" w:lineRule="auto"/>
        <w:contextualSpacing/>
        <w:rPr>
          <w:rFonts w:cs="Arial"/>
          <w:b/>
          <w:bCs/>
          <w:color w:val="FF0000"/>
        </w:rPr>
      </w:pPr>
    </w:p>
    <w:p w14:paraId="0513523D" w14:textId="6B78D040" w:rsidR="00624F33" w:rsidRPr="00D51567" w:rsidRDefault="00624F33" w:rsidP="00877B34">
      <w:pPr>
        <w:spacing w:after="0" w:line="360" w:lineRule="auto"/>
        <w:contextualSpacing/>
        <w:rPr>
          <w:rFonts w:cs="Tahoma"/>
          <w:b/>
          <w:bCs/>
          <w:color w:val="auto"/>
        </w:rPr>
      </w:pPr>
      <w:r w:rsidRPr="00BF4E0E">
        <w:rPr>
          <w:rFonts w:eastAsia="Calibri" w:cs="Tahoma"/>
          <w:bCs/>
          <w:color w:val="auto"/>
        </w:rPr>
        <w:t>ASÍ LO RESUELVE, POR </w:t>
      </w:r>
      <w:r w:rsidRPr="00BF4E0E">
        <w:rPr>
          <w:rFonts w:eastAsia="Calibri" w:cs="Tahoma"/>
          <w:b/>
          <w:bCs/>
          <w:color w:val="auto"/>
        </w:rPr>
        <w:t>UNANIMIDAD</w:t>
      </w:r>
      <w:r w:rsidRPr="00BF4E0E">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51567" w:rsidRPr="00BF4E0E">
        <w:rPr>
          <w:rFonts w:eastAsia="Calibri" w:cs="Tahoma"/>
          <w:bCs/>
          <w:color w:val="auto"/>
        </w:rPr>
        <w:t>CUADRAG</w:t>
      </w:r>
      <w:r w:rsidR="008413EB">
        <w:rPr>
          <w:rFonts w:eastAsia="Calibri" w:cs="Tahoma"/>
          <w:bCs/>
          <w:color w:val="auto"/>
        </w:rPr>
        <w:t>É</w:t>
      </w:r>
      <w:r w:rsidR="00D51567" w:rsidRPr="00BF4E0E">
        <w:rPr>
          <w:rFonts w:eastAsia="Calibri" w:cs="Tahoma"/>
          <w:bCs/>
          <w:color w:val="auto"/>
        </w:rPr>
        <w:t>SIMA</w:t>
      </w:r>
      <w:r w:rsidRPr="00BF4E0E">
        <w:rPr>
          <w:rFonts w:eastAsia="Calibri" w:cs="Tahoma"/>
          <w:bCs/>
          <w:color w:val="auto"/>
        </w:rPr>
        <w:t xml:space="preserve"> SESIÓN ORDINARIA, CELEBRADA EL </w:t>
      </w:r>
      <w:r w:rsidR="00D51567" w:rsidRPr="00BF4E0E">
        <w:rPr>
          <w:rFonts w:eastAsia="Calibri" w:cs="Tahoma"/>
          <w:bCs/>
          <w:color w:val="auto"/>
        </w:rPr>
        <w:t xml:space="preserve">DOCE </w:t>
      </w:r>
      <w:r w:rsidR="00C52226" w:rsidRPr="00BF4E0E">
        <w:rPr>
          <w:rFonts w:eastAsia="Calibri" w:cs="Tahoma"/>
          <w:bCs/>
          <w:color w:val="auto"/>
        </w:rPr>
        <w:t xml:space="preserve">DE NOVIEMBRE </w:t>
      </w:r>
      <w:r w:rsidRPr="00BF4E0E">
        <w:rPr>
          <w:rFonts w:eastAsia="Calibri" w:cs="Tahoma"/>
          <w:bCs/>
          <w:color w:val="auto"/>
        </w:rPr>
        <w:t>DE DOS MIL VEINTICINCO, ANTE EL SECRETARIO TÉCNICO DEL PLENO, ALEXIS TAPIA RAMÍREZ.</w:t>
      </w:r>
    </w:p>
    <w:p w14:paraId="42841E23" w14:textId="77777777" w:rsidR="00A27828" w:rsidRPr="00D51567" w:rsidRDefault="00A27828" w:rsidP="00877B34">
      <w:pPr>
        <w:spacing w:after="0" w:line="360" w:lineRule="auto"/>
        <w:rPr>
          <w:color w:val="auto"/>
        </w:rPr>
      </w:pPr>
    </w:p>
    <w:p w14:paraId="0E266D1D" w14:textId="77777777" w:rsidR="00C52226" w:rsidRPr="00D51567" w:rsidRDefault="00C52226" w:rsidP="00877B34">
      <w:pPr>
        <w:spacing w:after="0" w:line="360" w:lineRule="auto"/>
        <w:rPr>
          <w:color w:val="auto"/>
        </w:rPr>
      </w:pPr>
    </w:p>
    <w:p w14:paraId="449B91FC" w14:textId="77777777" w:rsidR="00C52226" w:rsidRPr="00D51567" w:rsidRDefault="00C52226" w:rsidP="00877B34">
      <w:pPr>
        <w:spacing w:after="0" w:line="360" w:lineRule="auto"/>
        <w:rPr>
          <w:color w:val="auto"/>
        </w:rPr>
      </w:pPr>
    </w:p>
    <w:p w14:paraId="64EDA16E" w14:textId="77777777" w:rsidR="00C52226" w:rsidRPr="00D51567" w:rsidRDefault="00C52226" w:rsidP="00877B34">
      <w:pPr>
        <w:spacing w:after="0" w:line="360" w:lineRule="auto"/>
        <w:rPr>
          <w:color w:val="auto"/>
        </w:rPr>
      </w:pPr>
    </w:p>
    <w:p w14:paraId="2137623A" w14:textId="77777777" w:rsidR="00C52226" w:rsidRPr="00D51567" w:rsidRDefault="00C52226" w:rsidP="00877B34">
      <w:pPr>
        <w:spacing w:after="0" w:line="360" w:lineRule="auto"/>
        <w:rPr>
          <w:color w:val="auto"/>
        </w:rPr>
      </w:pPr>
    </w:p>
    <w:p w14:paraId="37976FDF" w14:textId="77777777" w:rsidR="00C52226" w:rsidRPr="00D51567" w:rsidRDefault="00C52226" w:rsidP="00877B34">
      <w:pPr>
        <w:spacing w:after="0" w:line="360" w:lineRule="auto"/>
        <w:rPr>
          <w:color w:val="auto"/>
        </w:rPr>
      </w:pPr>
    </w:p>
    <w:p w14:paraId="1E128AAE" w14:textId="77777777" w:rsidR="00C52226" w:rsidRPr="007955FF" w:rsidRDefault="00C52226" w:rsidP="00877B34">
      <w:pPr>
        <w:spacing w:after="0" w:line="360" w:lineRule="auto"/>
        <w:rPr>
          <w:color w:val="FF0000"/>
        </w:rPr>
      </w:pPr>
    </w:p>
    <w:p w14:paraId="7C3F7789" w14:textId="77777777" w:rsidR="00C52226" w:rsidRPr="007955FF" w:rsidRDefault="00C52226" w:rsidP="00877B34">
      <w:pPr>
        <w:spacing w:after="0" w:line="360" w:lineRule="auto"/>
        <w:rPr>
          <w:color w:val="FF0000"/>
        </w:rPr>
      </w:pPr>
    </w:p>
    <w:p w14:paraId="23A64A5C" w14:textId="77777777" w:rsidR="00C52226" w:rsidRPr="007955FF" w:rsidRDefault="00C52226" w:rsidP="00877B34">
      <w:pPr>
        <w:spacing w:after="0" w:line="360" w:lineRule="auto"/>
        <w:rPr>
          <w:color w:val="FF0000"/>
        </w:rPr>
      </w:pPr>
    </w:p>
    <w:p w14:paraId="5C653856" w14:textId="77777777" w:rsidR="00C52226" w:rsidRPr="007955FF" w:rsidRDefault="00C52226" w:rsidP="00877B34">
      <w:pPr>
        <w:spacing w:after="0" w:line="360" w:lineRule="auto"/>
        <w:rPr>
          <w:color w:val="FF0000"/>
        </w:rPr>
      </w:pPr>
    </w:p>
    <w:p w14:paraId="532339FB" w14:textId="77777777" w:rsidR="00C52226" w:rsidRPr="007955FF" w:rsidRDefault="00C52226" w:rsidP="00877B34">
      <w:pPr>
        <w:spacing w:after="0" w:line="360" w:lineRule="auto"/>
        <w:rPr>
          <w:color w:val="FF0000"/>
        </w:rPr>
      </w:pPr>
    </w:p>
    <w:p w14:paraId="4AFFFA60" w14:textId="77777777" w:rsidR="00C52226" w:rsidRPr="007955FF" w:rsidRDefault="00C52226" w:rsidP="00877B34">
      <w:pPr>
        <w:spacing w:after="0" w:line="360" w:lineRule="auto"/>
        <w:rPr>
          <w:color w:val="FF0000"/>
        </w:rPr>
      </w:pPr>
    </w:p>
    <w:p w14:paraId="62827FA9" w14:textId="77777777" w:rsidR="00C52226" w:rsidRPr="007955FF" w:rsidRDefault="00C52226" w:rsidP="00877B34">
      <w:pPr>
        <w:spacing w:after="0" w:line="360" w:lineRule="auto"/>
        <w:rPr>
          <w:color w:val="FF0000"/>
        </w:rPr>
      </w:pPr>
    </w:p>
    <w:p w14:paraId="17029B22" w14:textId="77777777" w:rsidR="00C52226" w:rsidRPr="007955FF" w:rsidRDefault="00C52226" w:rsidP="00877B34">
      <w:pPr>
        <w:spacing w:after="0" w:line="360" w:lineRule="auto"/>
        <w:rPr>
          <w:color w:val="FF0000"/>
        </w:rPr>
      </w:pPr>
    </w:p>
    <w:p w14:paraId="361DB5C0" w14:textId="77777777" w:rsidR="00C52226" w:rsidRDefault="00C52226" w:rsidP="00877B34">
      <w:pPr>
        <w:spacing w:after="0" w:line="360" w:lineRule="auto"/>
        <w:rPr>
          <w:color w:val="FF0000"/>
        </w:rPr>
      </w:pPr>
    </w:p>
    <w:p w14:paraId="32FFE809" w14:textId="77777777" w:rsidR="00964A13" w:rsidRDefault="00964A13" w:rsidP="00877B34">
      <w:pPr>
        <w:spacing w:after="0" w:line="360" w:lineRule="auto"/>
        <w:rPr>
          <w:color w:val="FF0000"/>
        </w:rPr>
      </w:pPr>
    </w:p>
    <w:p w14:paraId="1E757245" w14:textId="77777777" w:rsidR="00964A13" w:rsidRDefault="00964A13" w:rsidP="00877B34">
      <w:pPr>
        <w:spacing w:after="0" w:line="360" w:lineRule="auto"/>
        <w:rPr>
          <w:color w:val="FF0000"/>
        </w:rPr>
      </w:pPr>
    </w:p>
    <w:p w14:paraId="1AAD821B" w14:textId="77777777" w:rsidR="00964A13" w:rsidRPr="007955FF" w:rsidRDefault="00964A13" w:rsidP="00877B34">
      <w:pPr>
        <w:spacing w:after="0" w:line="360" w:lineRule="auto"/>
        <w:rPr>
          <w:color w:val="FF0000"/>
        </w:rPr>
      </w:pPr>
    </w:p>
    <w:sectPr w:rsidR="00964A13" w:rsidRPr="007955FF"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E1D22" w14:textId="77777777" w:rsidR="004F37F3" w:rsidRDefault="004F37F3">
      <w:pPr>
        <w:spacing w:after="0" w:line="240" w:lineRule="auto"/>
      </w:pPr>
      <w:r>
        <w:separator/>
      </w:r>
    </w:p>
  </w:endnote>
  <w:endnote w:type="continuationSeparator" w:id="0">
    <w:p w14:paraId="704C6049" w14:textId="77777777" w:rsidR="004F37F3" w:rsidRDefault="004F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delle Sans Devanagari">
    <w:charset w:val="B2"/>
    <w:family w:val="auto"/>
    <w:pitch w:val="variable"/>
    <w:sig w:usb0="0300A007" w:usb1="00000001" w:usb2="00000008" w:usb3="00000000" w:csb0="0001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52BD3C1" w:rsidR="00424519" w:rsidRDefault="0042451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E1A9A">
      <w:rPr>
        <w:b/>
        <w:noProof/>
        <w:color w:val="000000"/>
        <w:sz w:val="24"/>
        <w:szCs w:val="24"/>
      </w:rPr>
      <w:t>56</w:t>
    </w:r>
    <w:r>
      <w:rPr>
        <w:b/>
        <w:color w:val="000000"/>
        <w:sz w:val="24"/>
        <w:szCs w:val="24"/>
      </w:rPr>
      <w:fldChar w:fldCharType="end"/>
    </w:r>
  </w:p>
  <w:p w14:paraId="7EB9860B" w14:textId="77777777" w:rsidR="00424519" w:rsidRDefault="0042451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24519" w:rsidRDefault="0042451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52759">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52759">
      <w:rPr>
        <w:b/>
        <w:noProof/>
        <w:color w:val="000000"/>
        <w:sz w:val="24"/>
        <w:szCs w:val="24"/>
      </w:rPr>
      <w:t>56</w:t>
    </w:r>
    <w:r>
      <w:rPr>
        <w:b/>
        <w:color w:val="000000"/>
        <w:sz w:val="24"/>
        <w:szCs w:val="24"/>
      </w:rPr>
      <w:fldChar w:fldCharType="end"/>
    </w:r>
  </w:p>
  <w:p w14:paraId="0D7FA8D9" w14:textId="77777777" w:rsidR="00424519" w:rsidRDefault="0042451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24519" w:rsidRDefault="0042451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F37F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F37F3">
      <w:rPr>
        <w:b/>
        <w:noProof/>
        <w:color w:val="000000"/>
        <w:sz w:val="24"/>
        <w:szCs w:val="24"/>
      </w:rPr>
      <w:t>1</w:t>
    </w:r>
    <w:r>
      <w:rPr>
        <w:b/>
        <w:color w:val="000000"/>
        <w:sz w:val="24"/>
        <w:szCs w:val="24"/>
      </w:rPr>
      <w:fldChar w:fldCharType="end"/>
    </w:r>
  </w:p>
  <w:p w14:paraId="6796AF5F" w14:textId="77777777" w:rsidR="00424519" w:rsidRDefault="0042451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B0B3D" w14:textId="77777777" w:rsidR="004F37F3" w:rsidRDefault="004F37F3">
      <w:pPr>
        <w:spacing w:after="0" w:line="240" w:lineRule="auto"/>
      </w:pPr>
      <w:r>
        <w:separator/>
      </w:r>
    </w:p>
  </w:footnote>
  <w:footnote w:type="continuationSeparator" w:id="0">
    <w:p w14:paraId="63150326" w14:textId="77777777" w:rsidR="004F37F3" w:rsidRDefault="004F3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24519" w:rsidRDefault="00424519">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24519" w14:paraId="10C29E94" w14:textId="77777777">
      <w:trPr>
        <w:trHeight w:val="132"/>
      </w:trPr>
      <w:tc>
        <w:tcPr>
          <w:tcW w:w="2691" w:type="dxa"/>
        </w:tcPr>
        <w:p w14:paraId="7D85A4B8" w14:textId="77777777" w:rsidR="00424519" w:rsidRDefault="00424519">
          <w:pPr>
            <w:tabs>
              <w:tab w:val="right" w:pos="8838"/>
            </w:tabs>
            <w:ind w:right="-105"/>
            <w:rPr>
              <w:b/>
            </w:rPr>
          </w:pPr>
          <w:r>
            <w:rPr>
              <w:b/>
            </w:rPr>
            <w:t>Recurso de Revisión:</w:t>
          </w:r>
        </w:p>
      </w:tc>
      <w:tc>
        <w:tcPr>
          <w:tcW w:w="3405" w:type="dxa"/>
        </w:tcPr>
        <w:p w14:paraId="0B0D1A9D" w14:textId="77777777" w:rsidR="00424519" w:rsidRDefault="00424519">
          <w:pPr>
            <w:tabs>
              <w:tab w:val="right" w:pos="8838"/>
            </w:tabs>
            <w:ind w:left="-28" w:right="-32"/>
          </w:pPr>
          <w:r>
            <w:t>03846/INFOEM/IP/RR/2020</w:t>
          </w:r>
        </w:p>
      </w:tc>
    </w:tr>
    <w:tr w:rsidR="00424519" w14:paraId="2F47AC72" w14:textId="77777777">
      <w:trPr>
        <w:trHeight w:val="261"/>
      </w:trPr>
      <w:tc>
        <w:tcPr>
          <w:tcW w:w="2691" w:type="dxa"/>
        </w:tcPr>
        <w:p w14:paraId="154A4752" w14:textId="77777777" w:rsidR="00424519" w:rsidRDefault="00424519">
          <w:pPr>
            <w:tabs>
              <w:tab w:val="right" w:pos="8838"/>
            </w:tabs>
            <w:ind w:right="-105"/>
            <w:rPr>
              <w:b/>
            </w:rPr>
          </w:pPr>
          <w:r>
            <w:rPr>
              <w:b/>
            </w:rPr>
            <w:t>Sujeto Obligado:</w:t>
          </w:r>
        </w:p>
      </w:tc>
      <w:tc>
        <w:tcPr>
          <w:tcW w:w="3405" w:type="dxa"/>
        </w:tcPr>
        <w:p w14:paraId="5D9EC711" w14:textId="77777777" w:rsidR="00424519" w:rsidRDefault="00424519">
          <w:pPr>
            <w:tabs>
              <w:tab w:val="right" w:pos="8838"/>
            </w:tabs>
            <w:ind w:right="-32"/>
          </w:pPr>
          <w:r>
            <w:t>Ayuntamiento de Temascalcingo</w:t>
          </w:r>
        </w:p>
      </w:tc>
    </w:tr>
    <w:tr w:rsidR="00424519" w14:paraId="11FBB450" w14:textId="77777777">
      <w:trPr>
        <w:trHeight w:val="261"/>
      </w:trPr>
      <w:tc>
        <w:tcPr>
          <w:tcW w:w="2691" w:type="dxa"/>
        </w:tcPr>
        <w:p w14:paraId="6BAF6003" w14:textId="77777777" w:rsidR="00424519" w:rsidRDefault="00424519">
          <w:pPr>
            <w:tabs>
              <w:tab w:val="right" w:pos="8838"/>
            </w:tabs>
            <w:ind w:right="-105"/>
            <w:rPr>
              <w:b/>
            </w:rPr>
          </w:pPr>
          <w:r>
            <w:rPr>
              <w:b/>
            </w:rPr>
            <w:t>Comisionado Ponente:</w:t>
          </w:r>
        </w:p>
      </w:tc>
      <w:tc>
        <w:tcPr>
          <w:tcW w:w="3405" w:type="dxa"/>
        </w:tcPr>
        <w:p w14:paraId="420341AF" w14:textId="77777777" w:rsidR="00424519" w:rsidRDefault="00424519">
          <w:pPr>
            <w:tabs>
              <w:tab w:val="right" w:pos="8838"/>
            </w:tabs>
            <w:ind w:right="-32"/>
            <w:rPr>
              <w:b/>
            </w:rPr>
          </w:pPr>
          <w:r>
            <w:t>Luis Gustavo Parra Noriega</w:t>
          </w:r>
        </w:p>
      </w:tc>
    </w:tr>
  </w:tbl>
  <w:p w14:paraId="00411D75" w14:textId="77777777" w:rsidR="00424519" w:rsidRDefault="004F37F3">
    <w:pPr>
      <w:pBdr>
        <w:top w:val="nil"/>
        <w:left w:val="nil"/>
        <w:bottom w:val="nil"/>
        <w:right w:val="nil"/>
        <w:between w:val="nil"/>
      </w:pBdr>
      <w:tabs>
        <w:tab w:val="center" w:pos="4419"/>
        <w:tab w:val="right" w:pos="8838"/>
      </w:tabs>
      <w:spacing w:after="0" w:line="240" w:lineRule="auto"/>
      <w:rPr>
        <w:color w:val="000000"/>
      </w:rPr>
    </w:pPr>
    <w:r>
      <w:rPr>
        <w:color w:val="000000"/>
      </w:rPr>
      <w:pict w14:anchorId="4C486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24519" w:rsidRDefault="004F37F3">
    <w:pPr>
      <w:widowControl w:val="0"/>
      <w:pBdr>
        <w:top w:val="nil"/>
        <w:left w:val="nil"/>
        <w:bottom w:val="nil"/>
        <w:right w:val="nil"/>
        <w:between w:val="nil"/>
      </w:pBdr>
      <w:spacing w:after="0" w:line="276" w:lineRule="auto"/>
      <w:jc w:val="left"/>
    </w:pPr>
    <w:r>
      <w:rPr>
        <w:color w:val="000000"/>
      </w:rPr>
      <w:pict w14:anchorId="79C8C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24519" w14:paraId="40D5D5A3" w14:textId="77777777" w:rsidTr="00EC7CBF">
      <w:trPr>
        <w:trHeight w:val="138"/>
      </w:trPr>
      <w:tc>
        <w:tcPr>
          <w:tcW w:w="2693" w:type="dxa"/>
          <w:vAlign w:val="center"/>
        </w:tcPr>
        <w:p w14:paraId="43377EBE" w14:textId="77777777" w:rsidR="00424519" w:rsidRDefault="00424519" w:rsidP="008C266D">
          <w:pPr>
            <w:tabs>
              <w:tab w:val="right" w:pos="8838"/>
            </w:tabs>
            <w:ind w:left="-108" w:right="-105"/>
            <w:jc w:val="left"/>
            <w:rPr>
              <w:b/>
            </w:rPr>
          </w:pPr>
        </w:p>
        <w:p w14:paraId="1DB5C8D0" w14:textId="7E98B3D2" w:rsidR="00424519" w:rsidRDefault="00424519" w:rsidP="008C266D">
          <w:pPr>
            <w:tabs>
              <w:tab w:val="right" w:pos="8838"/>
            </w:tabs>
            <w:ind w:left="-108" w:right="-105"/>
            <w:jc w:val="left"/>
            <w:rPr>
              <w:b/>
            </w:rPr>
          </w:pPr>
          <w:r>
            <w:rPr>
              <w:b/>
            </w:rPr>
            <w:t>Recurso de Revisión:</w:t>
          </w:r>
        </w:p>
      </w:tc>
      <w:tc>
        <w:tcPr>
          <w:tcW w:w="3969" w:type="dxa"/>
        </w:tcPr>
        <w:p w14:paraId="5BCC69C4" w14:textId="77777777" w:rsidR="00424519" w:rsidRPr="00EF0C39" w:rsidRDefault="00424519" w:rsidP="008C266D">
          <w:pPr>
            <w:tabs>
              <w:tab w:val="right" w:pos="8838"/>
            </w:tabs>
            <w:ind w:right="57"/>
          </w:pPr>
        </w:p>
        <w:p w14:paraId="61E59D71" w14:textId="5C04EA71" w:rsidR="00424519" w:rsidRPr="00EF0C39" w:rsidRDefault="00664A72" w:rsidP="008C266D">
          <w:pPr>
            <w:tabs>
              <w:tab w:val="right" w:pos="8838"/>
            </w:tabs>
            <w:ind w:right="57"/>
          </w:pPr>
          <w:r w:rsidRPr="00664A72">
            <w:t>08</w:t>
          </w:r>
          <w:r w:rsidR="007955FF">
            <w:t>936</w:t>
          </w:r>
          <w:r w:rsidRPr="00664A72">
            <w:t>/INFOEM/IP/RR/2025</w:t>
          </w:r>
        </w:p>
      </w:tc>
    </w:tr>
    <w:tr w:rsidR="00424519" w14:paraId="7A281F30" w14:textId="77777777" w:rsidTr="00EC7CBF">
      <w:trPr>
        <w:trHeight w:val="273"/>
      </w:trPr>
      <w:tc>
        <w:tcPr>
          <w:tcW w:w="2693" w:type="dxa"/>
        </w:tcPr>
        <w:p w14:paraId="6671A308" w14:textId="77777777" w:rsidR="00424519" w:rsidRDefault="00424519" w:rsidP="008C266D">
          <w:pPr>
            <w:tabs>
              <w:tab w:val="right" w:pos="8838"/>
            </w:tabs>
            <w:ind w:left="-108" w:right="-105"/>
            <w:rPr>
              <w:b/>
            </w:rPr>
          </w:pPr>
          <w:r>
            <w:rPr>
              <w:b/>
            </w:rPr>
            <w:t>Sujeto Obligado:</w:t>
          </w:r>
        </w:p>
      </w:tc>
      <w:tc>
        <w:tcPr>
          <w:tcW w:w="3969" w:type="dxa"/>
        </w:tcPr>
        <w:p w14:paraId="30885B6D" w14:textId="06EE4019" w:rsidR="00424519" w:rsidRPr="00EF0C39" w:rsidRDefault="00664A72" w:rsidP="007B4717">
          <w:pPr>
            <w:tabs>
              <w:tab w:val="right" w:pos="8838"/>
            </w:tabs>
            <w:ind w:right="180"/>
          </w:pPr>
          <w:r w:rsidRPr="00664A72">
            <w:t xml:space="preserve">Ayuntamiento de </w:t>
          </w:r>
          <w:r w:rsidR="007955FF">
            <w:t>Toluca</w:t>
          </w:r>
        </w:p>
      </w:tc>
    </w:tr>
    <w:tr w:rsidR="00424519" w14:paraId="00C22F2F" w14:textId="77777777" w:rsidTr="00EC7CBF">
      <w:trPr>
        <w:trHeight w:val="273"/>
      </w:trPr>
      <w:tc>
        <w:tcPr>
          <w:tcW w:w="2693" w:type="dxa"/>
        </w:tcPr>
        <w:p w14:paraId="70417649" w14:textId="77777777" w:rsidR="00424519" w:rsidRDefault="00424519" w:rsidP="008C266D">
          <w:pPr>
            <w:tabs>
              <w:tab w:val="right" w:pos="8838"/>
            </w:tabs>
            <w:ind w:left="-108" w:right="-105"/>
            <w:rPr>
              <w:b/>
            </w:rPr>
          </w:pPr>
          <w:r>
            <w:rPr>
              <w:b/>
            </w:rPr>
            <w:t>Comisionado Ponente:</w:t>
          </w:r>
        </w:p>
      </w:tc>
      <w:tc>
        <w:tcPr>
          <w:tcW w:w="3969" w:type="dxa"/>
        </w:tcPr>
        <w:p w14:paraId="5E6EB38B" w14:textId="77777777" w:rsidR="00424519" w:rsidRPr="00EF0C39" w:rsidRDefault="00424519" w:rsidP="008C266D">
          <w:pPr>
            <w:tabs>
              <w:tab w:val="right" w:pos="8838"/>
            </w:tabs>
            <w:ind w:right="-170"/>
          </w:pPr>
          <w:r w:rsidRPr="00EF0C39">
            <w:t>Luis Gustavo Parra Noriega</w:t>
          </w:r>
        </w:p>
        <w:p w14:paraId="1A63C67B" w14:textId="77777777" w:rsidR="00424519" w:rsidRPr="00EF0C39" w:rsidRDefault="00424519" w:rsidP="008C266D">
          <w:pPr>
            <w:tabs>
              <w:tab w:val="right" w:pos="8838"/>
            </w:tabs>
            <w:ind w:right="-170"/>
            <w:rPr>
              <w:b/>
            </w:rPr>
          </w:pPr>
        </w:p>
      </w:tc>
    </w:tr>
  </w:tbl>
  <w:p w14:paraId="3498D107" w14:textId="7E17876C" w:rsidR="00424519" w:rsidRDefault="00424519"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424519" w:rsidRDefault="00424519">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24519" w14:paraId="6B3232BD" w14:textId="77777777" w:rsidTr="00EC7CBF">
      <w:trPr>
        <w:trHeight w:val="132"/>
      </w:trPr>
      <w:tc>
        <w:tcPr>
          <w:tcW w:w="2551" w:type="dxa"/>
        </w:tcPr>
        <w:p w14:paraId="38F16E2F" w14:textId="77777777" w:rsidR="00424519" w:rsidRDefault="00424519">
          <w:pPr>
            <w:tabs>
              <w:tab w:val="right" w:pos="8838"/>
            </w:tabs>
            <w:ind w:right="-105"/>
            <w:rPr>
              <w:b/>
            </w:rPr>
          </w:pPr>
          <w:r>
            <w:rPr>
              <w:b/>
            </w:rPr>
            <w:t>Recurso de Revisión:</w:t>
          </w:r>
        </w:p>
      </w:tc>
      <w:tc>
        <w:tcPr>
          <w:tcW w:w="4253" w:type="dxa"/>
        </w:tcPr>
        <w:p w14:paraId="211CDC0A" w14:textId="72F69EB9" w:rsidR="00424519" w:rsidRPr="00026C6B" w:rsidRDefault="00664A72" w:rsidP="00026C6B">
          <w:r w:rsidRPr="00664A72">
            <w:t>08</w:t>
          </w:r>
          <w:r w:rsidR="007955FF">
            <w:t>93</w:t>
          </w:r>
          <w:r w:rsidRPr="00664A72">
            <w:t>6/INFOEM/IP/RR/2025</w:t>
          </w:r>
        </w:p>
      </w:tc>
    </w:tr>
    <w:tr w:rsidR="00424519" w14:paraId="6AA3CC58" w14:textId="77777777" w:rsidTr="00EC7CBF">
      <w:trPr>
        <w:trHeight w:val="132"/>
      </w:trPr>
      <w:tc>
        <w:tcPr>
          <w:tcW w:w="2551" w:type="dxa"/>
        </w:tcPr>
        <w:p w14:paraId="7FD164F5" w14:textId="77777777" w:rsidR="00424519" w:rsidRDefault="00424519">
          <w:pPr>
            <w:tabs>
              <w:tab w:val="left" w:pos="1875"/>
            </w:tabs>
            <w:ind w:right="-105"/>
            <w:rPr>
              <w:b/>
            </w:rPr>
          </w:pPr>
          <w:r>
            <w:rPr>
              <w:b/>
            </w:rPr>
            <w:t>Recurrente:</w:t>
          </w:r>
          <w:r>
            <w:rPr>
              <w:b/>
            </w:rPr>
            <w:tab/>
          </w:r>
        </w:p>
      </w:tc>
      <w:tc>
        <w:tcPr>
          <w:tcW w:w="4253" w:type="dxa"/>
        </w:tcPr>
        <w:p w14:paraId="1F1B0537" w14:textId="690DE894" w:rsidR="00424519" w:rsidRPr="00EF0C39" w:rsidRDefault="00424519" w:rsidP="00304EA3"/>
      </w:tc>
    </w:tr>
    <w:tr w:rsidR="00424519" w14:paraId="5113CAA6" w14:textId="77777777" w:rsidTr="00EC7CBF">
      <w:trPr>
        <w:trHeight w:val="261"/>
      </w:trPr>
      <w:tc>
        <w:tcPr>
          <w:tcW w:w="2551" w:type="dxa"/>
        </w:tcPr>
        <w:p w14:paraId="28E3431B" w14:textId="30EC7C18" w:rsidR="00424519" w:rsidRDefault="00424519">
          <w:pPr>
            <w:tabs>
              <w:tab w:val="right" w:pos="8838"/>
            </w:tabs>
            <w:ind w:right="-105"/>
            <w:rPr>
              <w:b/>
            </w:rPr>
          </w:pPr>
          <w:r>
            <w:rPr>
              <w:b/>
            </w:rPr>
            <w:t>Sujeto Obligado:</w:t>
          </w:r>
        </w:p>
      </w:tc>
      <w:tc>
        <w:tcPr>
          <w:tcW w:w="4253" w:type="dxa"/>
        </w:tcPr>
        <w:p w14:paraId="3192354E" w14:textId="6701D5DF" w:rsidR="00424519" w:rsidRPr="00026C6B" w:rsidRDefault="00664A72" w:rsidP="00026C6B">
          <w:r w:rsidRPr="00664A72">
            <w:t xml:space="preserve">Ayuntamiento de </w:t>
          </w:r>
          <w:r w:rsidR="007955FF">
            <w:t>Toluca</w:t>
          </w:r>
        </w:p>
      </w:tc>
    </w:tr>
    <w:tr w:rsidR="00424519" w14:paraId="5D4C2A35" w14:textId="77777777" w:rsidTr="00EC7CBF">
      <w:trPr>
        <w:trHeight w:val="261"/>
      </w:trPr>
      <w:tc>
        <w:tcPr>
          <w:tcW w:w="2551" w:type="dxa"/>
        </w:tcPr>
        <w:p w14:paraId="7F522FEC" w14:textId="77777777" w:rsidR="00424519" w:rsidRDefault="00424519">
          <w:pPr>
            <w:tabs>
              <w:tab w:val="right" w:pos="8838"/>
            </w:tabs>
            <w:ind w:right="-105"/>
            <w:rPr>
              <w:b/>
            </w:rPr>
          </w:pPr>
          <w:r>
            <w:rPr>
              <w:b/>
            </w:rPr>
            <w:t>Comisionado Ponente:</w:t>
          </w:r>
        </w:p>
      </w:tc>
      <w:tc>
        <w:tcPr>
          <w:tcW w:w="4253" w:type="dxa"/>
        </w:tcPr>
        <w:p w14:paraId="0F0566F9" w14:textId="77777777" w:rsidR="00424519" w:rsidRPr="00EF0C39" w:rsidRDefault="00424519" w:rsidP="00C46A25">
          <w:pPr>
            <w:tabs>
              <w:tab w:val="right" w:pos="8838"/>
            </w:tabs>
            <w:ind w:right="-32"/>
            <w:rPr>
              <w:b/>
            </w:rPr>
          </w:pPr>
          <w:r w:rsidRPr="00EF0C39">
            <w:t>Luis Gustavo Parra Noriega</w:t>
          </w:r>
        </w:p>
      </w:tc>
    </w:tr>
  </w:tbl>
  <w:p w14:paraId="4DFC2598" w14:textId="77777777" w:rsidR="00424519" w:rsidRDefault="004F37F3">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DD75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670A"/>
    <w:multiLevelType w:val="hybridMultilevel"/>
    <w:tmpl w:val="7B62F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09720D"/>
    <w:multiLevelType w:val="hybridMultilevel"/>
    <w:tmpl w:val="5F967502"/>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1704522"/>
    <w:multiLevelType w:val="multilevel"/>
    <w:tmpl w:val="B5561CC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1776702"/>
    <w:multiLevelType w:val="hybridMultilevel"/>
    <w:tmpl w:val="08503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3B3AB1"/>
    <w:multiLevelType w:val="hybridMultilevel"/>
    <w:tmpl w:val="AAC85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67722D4"/>
    <w:multiLevelType w:val="multilevel"/>
    <w:tmpl w:val="99D4CFE2"/>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2A07BB"/>
    <w:multiLevelType w:val="multilevel"/>
    <w:tmpl w:val="6292D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2D0969"/>
    <w:multiLevelType w:val="hybridMultilevel"/>
    <w:tmpl w:val="40660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F6612E"/>
    <w:multiLevelType w:val="multilevel"/>
    <w:tmpl w:val="BCCC6BAC"/>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432EDE"/>
    <w:multiLevelType w:val="multilevel"/>
    <w:tmpl w:val="8D928DE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83F5D69"/>
    <w:multiLevelType w:val="hybridMultilevel"/>
    <w:tmpl w:val="3254258A"/>
    <w:lvl w:ilvl="0" w:tplc="080A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8BA5C36"/>
    <w:multiLevelType w:val="hybridMultilevel"/>
    <w:tmpl w:val="8C983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D95EEC"/>
    <w:multiLevelType w:val="multilevel"/>
    <w:tmpl w:val="AD30A5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5B4B25"/>
    <w:multiLevelType w:val="multilevel"/>
    <w:tmpl w:val="0F22C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6536795"/>
    <w:multiLevelType w:val="multilevel"/>
    <w:tmpl w:val="0E286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B1A20"/>
    <w:multiLevelType w:val="hybridMultilevel"/>
    <w:tmpl w:val="23D047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451939"/>
    <w:multiLevelType w:val="multilevel"/>
    <w:tmpl w:val="8BBAE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64436C"/>
    <w:multiLevelType w:val="hybridMultilevel"/>
    <w:tmpl w:val="983A6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64664D"/>
    <w:multiLevelType w:val="hybridMultilevel"/>
    <w:tmpl w:val="75629078"/>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73E7851"/>
    <w:multiLevelType w:val="hybridMultilevel"/>
    <w:tmpl w:val="446EA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EB7884"/>
    <w:multiLevelType w:val="multilevel"/>
    <w:tmpl w:val="74044A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997EDD"/>
    <w:multiLevelType w:val="multilevel"/>
    <w:tmpl w:val="69568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204B42"/>
    <w:multiLevelType w:val="multilevel"/>
    <w:tmpl w:val="E94CCAD6"/>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C6F4A"/>
    <w:multiLevelType w:val="multilevel"/>
    <w:tmpl w:val="6C50B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473733"/>
    <w:multiLevelType w:val="hybridMultilevel"/>
    <w:tmpl w:val="CFD23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386DBE"/>
    <w:multiLevelType w:val="hybridMultilevel"/>
    <w:tmpl w:val="8B64258C"/>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524A3414"/>
    <w:multiLevelType w:val="hybridMultilevel"/>
    <w:tmpl w:val="9A2C2E1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A51B9B"/>
    <w:multiLevelType w:val="hybridMultilevel"/>
    <w:tmpl w:val="7BAE69C0"/>
    <w:lvl w:ilvl="0" w:tplc="5E5C78F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952F0D"/>
    <w:multiLevelType w:val="hybridMultilevel"/>
    <w:tmpl w:val="8BE410E0"/>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F8428F5"/>
    <w:multiLevelType w:val="multilevel"/>
    <w:tmpl w:val="17FC9C18"/>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6958BF"/>
    <w:multiLevelType w:val="multilevel"/>
    <w:tmpl w:val="BDC0073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69B8010A"/>
    <w:multiLevelType w:val="multilevel"/>
    <w:tmpl w:val="2AAA3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15:restartNumberingAfterBreak="0">
    <w:nsid w:val="6FC362F5"/>
    <w:multiLevelType w:val="multilevel"/>
    <w:tmpl w:val="3DB484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7560F"/>
    <w:multiLevelType w:val="hybridMultilevel"/>
    <w:tmpl w:val="22F6BB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75AE6BE6"/>
    <w:multiLevelType w:val="multilevel"/>
    <w:tmpl w:val="3940ACB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CC2F50"/>
    <w:multiLevelType w:val="hybridMultilevel"/>
    <w:tmpl w:val="7D70B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42" w15:restartNumberingAfterBreak="0">
    <w:nsid w:val="7FB63B6D"/>
    <w:multiLevelType w:val="multilevel"/>
    <w:tmpl w:val="1CB80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7"/>
  </w:num>
  <w:num w:numId="3">
    <w:abstractNumId w:val="39"/>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5"/>
  </w:num>
  <w:num w:numId="7">
    <w:abstractNumId w:val="25"/>
  </w:num>
  <w:num w:numId="8">
    <w:abstractNumId w:val="23"/>
  </w:num>
  <w:num w:numId="9">
    <w:abstractNumId w:val="31"/>
  </w:num>
  <w:num w:numId="10">
    <w:abstractNumId w:val="8"/>
  </w:num>
  <w:num w:numId="11">
    <w:abstractNumId w:val="19"/>
  </w:num>
  <w:num w:numId="12">
    <w:abstractNumId w:val="26"/>
  </w:num>
  <w:num w:numId="13">
    <w:abstractNumId w:val="4"/>
  </w:num>
  <w:num w:numId="14">
    <w:abstractNumId w:val="40"/>
  </w:num>
  <w:num w:numId="15">
    <w:abstractNumId w:val="16"/>
  </w:num>
  <w:num w:numId="16">
    <w:abstractNumId w:val="11"/>
  </w:num>
  <w:num w:numId="17">
    <w:abstractNumId w:val="28"/>
  </w:num>
  <w:num w:numId="18">
    <w:abstractNumId w:val="2"/>
  </w:num>
  <w:num w:numId="19">
    <w:abstractNumId w:val="6"/>
  </w:num>
  <w:num w:numId="20">
    <w:abstractNumId w:val="9"/>
  </w:num>
  <w:num w:numId="21">
    <w:abstractNumId w:val="22"/>
  </w:num>
  <w:num w:numId="22">
    <w:abstractNumId w:val="15"/>
  </w:num>
  <w:num w:numId="23">
    <w:abstractNumId w:val="3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
  </w:num>
  <w:num w:numId="27">
    <w:abstractNumId w:val="30"/>
  </w:num>
  <w:num w:numId="28">
    <w:abstractNumId w:val="20"/>
  </w:num>
  <w:num w:numId="29">
    <w:abstractNumId w:val="27"/>
  </w:num>
  <w:num w:numId="30">
    <w:abstractNumId w:val="37"/>
  </w:num>
  <w:num w:numId="31">
    <w:abstractNumId w:val="0"/>
  </w:num>
  <w:num w:numId="32">
    <w:abstractNumId w:val="3"/>
  </w:num>
  <w:num w:numId="33">
    <w:abstractNumId w:val="12"/>
  </w:num>
  <w:num w:numId="34">
    <w:abstractNumId w:val="18"/>
  </w:num>
  <w:num w:numId="35">
    <w:abstractNumId w:val="13"/>
  </w:num>
  <w:num w:numId="36">
    <w:abstractNumId w:val="36"/>
  </w:num>
  <w:num w:numId="37">
    <w:abstractNumId w:val="38"/>
  </w:num>
  <w:num w:numId="38">
    <w:abstractNumId w:val="14"/>
  </w:num>
  <w:num w:numId="39">
    <w:abstractNumId w:val="29"/>
  </w:num>
  <w:num w:numId="40">
    <w:abstractNumId w:val="41"/>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44AE"/>
    <w:rsid w:val="000053EA"/>
    <w:rsid w:val="0000637C"/>
    <w:rsid w:val="00006A45"/>
    <w:rsid w:val="0001108B"/>
    <w:rsid w:val="00011477"/>
    <w:rsid w:val="00011608"/>
    <w:rsid w:val="0001277E"/>
    <w:rsid w:val="00013A17"/>
    <w:rsid w:val="00014169"/>
    <w:rsid w:val="00014EE2"/>
    <w:rsid w:val="00016290"/>
    <w:rsid w:val="000201B0"/>
    <w:rsid w:val="00021BE0"/>
    <w:rsid w:val="000229C4"/>
    <w:rsid w:val="00023BBD"/>
    <w:rsid w:val="000255D3"/>
    <w:rsid w:val="0002588C"/>
    <w:rsid w:val="00026B5A"/>
    <w:rsid w:val="00026C6B"/>
    <w:rsid w:val="0003084A"/>
    <w:rsid w:val="000315C2"/>
    <w:rsid w:val="000316C2"/>
    <w:rsid w:val="00033026"/>
    <w:rsid w:val="0003318A"/>
    <w:rsid w:val="00033683"/>
    <w:rsid w:val="00033AF2"/>
    <w:rsid w:val="00033F2C"/>
    <w:rsid w:val="00034C64"/>
    <w:rsid w:val="0003740E"/>
    <w:rsid w:val="0003782D"/>
    <w:rsid w:val="000410E6"/>
    <w:rsid w:val="0004134C"/>
    <w:rsid w:val="00041A94"/>
    <w:rsid w:val="000426D2"/>
    <w:rsid w:val="00042BF9"/>
    <w:rsid w:val="00050E2E"/>
    <w:rsid w:val="00052462"/>
    <w:rsid w:val="00055A68"/>
    <w:rsid w:val="0005769F"/>
    <w:rsid w:val="00057905"/>
    <w:rsid w:val="000602BA"/>
    <w:rsid w:val="00061123"/>
    <w:rsid w:val="00062B06"/>
    <w:rsid w:val="00063B2A"/>
    <w:rsid w:val="000709AA"/>
    <w:rsid w:val="00072D35"/>
    <w:rsid w:val="000735F0"/>
    <w:rsid w:val="00073949"/>
    <w:rsid w:val="000740DA"/>
    <w:rsid w:val="00075996"/>
    <w:rsid w:val="00075A71"/>
    <w:rsid w:val="00075CAF"/>
    <w:rsid w:val="00080524"/>
    <w:rsid w:val="00081D01"/>
    <w:rsid w:val="0008295C"/>
    <w:rsid w:val="00082B5B"/>
    <w:rsid w:val="00082E86"/>
    <w:rsid w:val="00083169"/>
    <w:rsid w:val="00083D67"/>
    <w:rsid w:val="00085D44"/>
    <w:rsid w:val="000866B0"/>
    <w:rsid w:val="00086951"/>
    <w:rsid w:val="00087074"/>
    <w:rsid w:val="00087EDB"/>
    <w:rsid w:val="0009167E"/>
    <w:rsid w:val="00092501"/>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56E"/>
    <w:rsid w:val="000B49C4"/>
    <w:rsid w:val="000B5400"/>
    <w:rsid w:val="000B5621"/>
    <w:rsid w:val="000B73E7"/>
    <w:rsid w:val="000C0C98"/>
    <w:rsid w:val="000C0CBE"/>
    <w:rsid w:val="000C10A2"/>
    <w:rsid w:val="000C4A35"/>
    <w:rsid w:val="000C567D"/>
    <w:rsid w:val="000C5E24"/>
    <w:rsid w:val="000C7D5D"/>
    <w:rsid w:val="000D04D2"/>
    <w:rsid w:val="000D0539"/>
    <w:rsid w:val="000D1C1A"/>
    <w:rsid w:val="000D1EFD"/>
    <w:rsid w:val="000D257F"/>
    <w:rsid w:val="000D392E"/>
    <w:rsid w:val="000D3AD3"/>
    <w:rsid w:val="000D46ED"/>
    <w:rsid w:val="000D6774"/>
    <w:rsid w:val="000D7457"/>
    <w:rsid w:val="000D79ED"/>
    <w:rsid w:val="000E1A9A"/>
    <w:rsid w:val="000E1C4F"/>
    <w:rsid w:val="000E2759"/>
    <w:rsid w:val="000E2EA0"/>
    <w:rsid w:val="000E3169"/>
    <w:rsid w:val="000E45E6"/>
    <w:rsid w:val="000F13F1"/>
    <w:rsid w:val="000F21C8"/>
    <w:rsid w:val="000F3B49"/>
    <w:rsid w:val="000F4583"/>
    <w:rsid w:val="000F4AC1"/>
    <w:rsid w:val="000F562C"/>
    <w:rsid w:val="000F6219"/>
    <w:rsid w:val="000F6E36"/>
    <w:rsid w:val="001055EA"/>
    <w:rsid w:val="001061B1"/>
    <w:rsid w:val="00106235"/>
    <w:rsid w:val="001065C6"/>
    <w:rsid w:val="0011010D"/>
    <w:rsid w:val="001135C1"/>
    <w:rsid w:val="00115019"/>
    <w:rsid w:val="001150A1"/>
    <w:rsid w:val="00115992"/>
    <w:rsid w:val="00116C35"/>
    <w:rsid w:val="001174B4"/>
    <w:rsid w:val="00122ED0"/>
    <w:rsid w:val="00122FBD"/>
    <w:rsid w:val="00123D97"/>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6274"/>
    <w:rsid w:val="001479C0"/>
    <w:rsid w:val="00147F25"/>
    <w:rsid w:val="001502AB"/>
    <w:rsid w:val="001507E8"/>
    <w:rsid w:val="00153139"/>
    <w:rsid w:val="001548D6"/>
    <w:rsid w:val="001558BD"/>
    <w:rsid w:val="00155BD1"/>
    <w:rsid w:val="001566D4"/>
    <w:rsid w:val="001578F5"/>
    <w:rsid w:val="001613F0"/>
    <w:rsid w:val="00162C74"/>
    <w:rsid w:val="0016373E"/>
    <w:rsid w:val="00163D9F"/>
    <w:rsid w:val="00164F64"/>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4F52"/>
    <w:rsid w:val="00185556"/>
    <w:rsid w:val="00185925"/>
    <w:rsid w:val="00192C48"/>
    <w:rsid w:val="00193177"/>
    <w:rsid w:val="00193CE3"/>
    <w:rsid w:val="00194B41"/>
    <w:rsid w:val="00195EC3"/>
    <w:rsid w:val="00197472"/>
    <w:rsid w:val="0019787E"/>
    <w:rsid w:val="001A0321"/>
    <w:rsid w:val="001A2062"/>
    <w:rsid w:val="001A3C87"/>
    <w:rsid w:val="001A4408"/>
    <w:rsid w:val="001A44D1"/>
    <w:rsid w:val="001A5A72"/>
    <w:rsid w:val="001A5B6F"/>
    <w:rsid w:val="001A6C0E"/>
    <w:rsid w:val="001A7F04"/>
    <w:rsid w:val="001B2090"/>
    <w:rsid w:val="001B34AA"/>
    <w:rsid w:val="001B4144"/>
    <w:rsid w:val="001B7EFB"/>
    <w:rsid w:val="001C50E8"/>
    <w:rsid w:val="001C638A"/>
    <w:rsid w:val="001C63B9"/>
    <w:rsid w:val="001C6B7A"/>
    <w:rsid w:val="001D1635"/>
    <w:rsid w:val="001D24CD"/>
    <w:rsid w:val="001D3FB9"/>
    <w:rsid w:val="001D4F21"/>
    <w:rsid w:val="001D5DBE"/>
    <w:rsid w:val="001D7D0E"/>
    <w:rsid w:val="001D7D5C"/>
    <w:rsid w:val="001D7F0C"/>
    <w:rsid w:val="001E4284"/>
    <w:rsid w:val="001E4ECA"/>
    <w:rsid w:val="001E6077"/>
    <w:rsid w:val="001F285F"/>
    <w:rsid w:val="001F5043"/>
    <w:rsid w:val="001F6FD5"/>
    <w:rsid w:val="00200E63"/>
    <w:rsid w:val="00201132"/>
    <w:rsid w:val="002019AA"/>
    <w:rsid w:val="002025F4"/>
    <w:rsid w:val="00203520"/>
    <w:rsid w:val="00203F8C"/>
    <w:rsid w:val="00204DE3"/>
    <w:rsid w:val="0020727C"/>
    <w:rsid w:val="002075C1"/>
    <w:rsid w:val="00207780"/>
    <w:rsid w:val="00211CD8"/>
    <w:rsid w:val="002155E0"/>
    <w:rsid w:val="002207FA"/>
    <w:rsid w:val="002212EA"/>
    <w:rsid w:val="00221699"/>
    <w:rsid w:val="002217AE"/>
    <w:rsid w:val="00223487"/>
    <w:rsid w:val="002238B8"/>
    <w:rsid w:val="002241DC"/>
    <w:rsid w:val="00227456"/>
    <w:rsid w:val="00230985"/>
    <w:rsid w:val="00230B8F"/>
    <w:rsid w:val="00237F2C"/>
    <w:rsid w:val="00243764"/>
    <w:rsid w:val="00244BFC"/>
    <w:rsid w:val="002462BF"/>
    <w:rsid w:val="002475DE"/>
    <w:rsid w:val="00251665"/>
    <w:rsid w:val="00252910"/>
    <w:rsid w:val="002529AD"/>
    <w:rsid w:val="00252A2A"/>
    <w:rsid w:val="00253448"/>
    <w:rsid w:val="00253A9C"/>
    <w:rsid w:val="0025520C"/>
    <w:rsid w:val="002577CB"/>
    <w:rsid w:val="00257C2B"/>
    <w:rsid w:val="00257FE7"/>
    <w:rsid w:val="0026163E"/>
    <w:rsid w:val="00261B92"/>
    <w:rsid w:val="00261CB4"/>
    <w:rsid w:val="00261DF6"/>
    <w:rsid w:val="0026345D"/>
    <w:rsid w:val="00266E26"/>
    <w:rsid w:val="00267457"/>
    <w:rsid w:val="00271E85"/>
    <w:rsid w:val="00272B77"/>
    <w:rsid w:val="00273A4E"/>
    <w:rsid w:val="00274745"/>
    <w:rsid w:val="00274EC1"/>
    <w:rsid w:val="002779C0"/>
    <w:rsid w:val="00280625"/>
    <w:rsid w:val="00280CF8"/>
    <w:rsid w:val="00282176"/>
    <w:rsid w:val="002822A3"/>
    <w:rsid w:val="0028277C"/>
    <w:rsid w:val="00287374"/>
    <w:rsid w:val="0029130B"/>
    <w:rsid w:val="00291318"/>
    <w:rsid w:val="0029236B"/>
    <w:rsid w:val="002926CE"/>
    <w:rsid w:val="0029310D"/>
    <w:rsid w:val="00293A22"/>
    <w:rsid w:val="00294C03"/>
    <w:rsid w:val="00295482"/>
    <w:rsid w:val="0029784D"/>
    <w:rsid w:val="002A02CD"/>
    <w:rsid w:val="002A376A"/>
    <w:rsid w:val="002A3A8E"/>
    <w:rsid w:val="002A5DEB"/>
    <w:rsid w:val="002A6695"/>
    <w:rsid w:val="002B2FEA"/>
    <w:rsid w:val="002B5A2D"/>
    <w:rsid w:val="002B772B"/>
    <w:rsid w:val="002B7C2F"/>
    <w:rsid w:val="002C061B"/>
    <w:rsid w:val="002C0C3A"/>
    <w:rsid w:val="002C3C0A"/>
    <w:rsid w:val="002C4A39"/>
    <w:rsid w:val="002C516D"/>
    <w:rsid w:val="002C61BE"/>
    <w:rsid w:val="002C7C43"/>
    <w:rsid w:val="002D2107"/>
    <w:rsid w:val="002D2619"/>
    <w:rsid w:val="002D2A77"/>
    <w:rsid w:val="002D500E"/>
    <w:rsid w:val="002D6CA6"/>
    <w:rsid w:val="002E2627"/>
    <w:rsid w:val="002E2D9D"/>
    <w:rsid w:val="002E34B7"/>
    <w:rsid w:val="002E49E5"/>
    <w:rsid w:val="002E5C60"/>
    <w:rsid w:val="002E6125"/>
    <w:rsid w:val="002F0510"/>
    <w:rsid w:val="002F0526"/>
    <w:rsid w:val="002F08A1"/>
    <w:rsid w:val="002F12B4"/>
    <w:rsid w:val="002F389A"/>
    <w:rsid w:val="002F44A5"/>
    <w:rsid w:val="002F5845"/>
    <w:rsid w:val="002F5AA8"/>
    <w:rsid w:val="002F5CFB"/>
    <w:rsid w:val="002F72B7"/>
    <w:rsid w:val="0030116A"/>
    <w:rsid w:val="0030116D"/>
    <w:rsid w:val="00302BCB"/>
    <w:rsid w:val="003037BC"/>
    <w:rsid w:val="00303A1B"/>
    <w:rsid w:val="00303BA0"/>
    <w:rsid w:val="00304DE6"/>
    <w:rsid w:val="00304EA3"/>
    <w:rsid w:val="00310366"/>
    <w:rsid w:val="00310A3F"/>
    <w:rsid w:val="00311CAF"/>
    <w:rsid w:val="0031200F"/>
    <w:rsid w:val="00312093"/>
    <w:rsid w:val="00312E3C"/>
    <w:rsid w:val="00312EFE"/>
    <w:rsid w:val="003131F2"/>
    <w:rsid w:val="00313684"/>
    <w:rsid w:val="00313C61"/>
    <w:rsid w:val="003142F0"/>
    <w:rsid w:val="00314919"/>
    <w:rsid w:val="003155C2"/>
    <w:rsid w:val="00316458"/>
    <w:rsid w:val="00316990"/>
    <w:rsid w:val="00320D4E"/>
    <w:rsid w:val="0032276A"/>
    <w:rsid w:val="0032438A"/>
    <w:rsid w:val="00325B13"/>
    <w:rsid w:val="00325D1E"/>
    <w:rsid w:val="0032674C"/>
    <w:rsid w:val="00330566"/>
    <w:rsid w:val="00330942"/>
    <w:rsid w:val="00330EB5"/>
    <w:rsid w:val="00331187"/>
    <w:rsid w:val="00332166"/>
    <w:rsid w:val="00333468"/>
    <w:rsid w:val="00333808"/>
    <w:rsid w:val="00334796"/>
    <w:rsid w:val="0033681E"/>
    <w:rsid w:val="00336E20"/>
    <w:rsid w:val="00341669"/>
    <w:rsid w:val="00342069"/>
    <w:rsid w:val="00342465"/>
    <w:rsid w:val="00345E3B"/>
    <w:rsid w:val="00350319"/>
    <w:rsid w:val="00353296"/>
    <w:rsid w:val="0035368D"/>
    <w:rsid w:val="00354255"/>
    <w:rsid w:val="00354FD0"/>
    <w:rsid w:val="00355D05"/>
    <w:rsid w:val="00356E1B"/>
    <w:rsid w:val="003602C9"/>
    <w:rsid w:val="0036042F"/>
    <w:rsid w:val="003657F4"/>
    <w:rsid w:val="003663BF"/>
    <w:rsid w:val="00366BB8"/>
    <w:rsid w:val="003716BD"/>
    <w:rsid w:val="00373AA8"/>
    <w:rsid w:val="0037614C"/>
    <w:rsid w:val="00376AEF"/>
    <w:rsid w:val="00381132"/>
    <w:rsid w:val="003814AE"/>
    <w:rsid w:val="0038398F"/>
    <w:rsid w:val="00384E34"/>
    <w:rsid w:val="00384E94"/>
    <w:rsid w:val="00385DD2"/>
    <w:rsid w:val="003860AA"/>
    <w:rsid w:val="003876F1"/>
    <w:rsid w:val="00390A24"/>
    <w:rsid w:val="00391317"/>
    <w:rsid w:val="00392678"/>
    <w:rsid w:val="003949BA"/>
    <w:rsid w:val="0039615C"/>
    <w:rsid w:val="00396FA8"/>
    <w:rsid w:val="00397991"/>
    <w:rsid w:val="003A103F"/>
    <w:rsid w:val="003A2B31"/>
    <w:rsid w:val="003A47C4"/>
    <w:rsid w:val="003A4BB8"/>
    <w:rsid w:val="003A4CF8"/>
    <w:rsid w:val="003A4EEC"/>
    <w:rsid w:val="003B3C6F"/>
    <w:rsid w:val="003B4E5A"/>
    <w:rsid w:val="003B5A66"/>
    <w:rsid w:val="003B6E04"/>
    <w:rsid w:val="003B6F0C"/>
    <w:rsid w:val="003B7434"/>
    <w:rsid w:val="003C13CD"/>
    <w:rsid w:val="003C28F2"/>
    <w:rsid w:val="003C328B"/>
    <w:rsid w:val="003C331A"/>
    <w:rsid w:val="003C5F59"/>
    <w:rsid w:val="003C5FE0"/>
    <w:rsid w:val="003C7338"/>
    <w:rsid w:val="003D0D51"/>
    <w:rsid w:val="003D1DC8"/>
    <w:rsid w:val="003D25DC"/>
    <w:rsid w:val="003D35DB"/>
    <w:rsid w:val="003D5A31"/>
    <w:rsid w:val="003D5D06"/>
    <w:rsid w:val="003D6C3F"/>
    <w:rsid w:val="003E00B8"/>
    <w:rsid w:val="003E1523"/>
    <w:rsid w:val="003E1C9F"/>
    <w:rsid w:val="003E20C8"/>
    <w:rsid w:val="003E33FE"/>
    <w:rsid w:val="003E433B"/>
    <w:rsid w:val="003E4B9F"/>
    <w:rsid w:val="003E4CFD"/>
    <w:rsid w:val="003E540A"/>
    <w:rsid w:val="003E6941"/>
    <w:rsid w:val="003E70B1"/>
    <w:rsid w:val="003F0A87"/>
    <w:rsid w:val="003F178A"/>
    <w:rsid w:val="003F1D74"/>
    <w:rsid w:val="003F2BF4"/>
    <w:rsid w:val="003F2C8E"/>
    <w:rsid w:val="003F4C6D"/>
    <w:rsid w:val="003F5F91"/>
    <w:rsid w:val="003F6C55"/>
    <w:rsid w:val="0040398B"/>
    <w:rsid w:val="0040440B"/>
    <w:rsid w:val="004068E7"/>
    <w:rsid w:val="004076BD"/>
    <w:rsid w:val="0041096D"/>
    <w:rsid w:val="00413093"/>
    <w:rsid w:val="00416B2F"/>
    <w:rsid w:val="00417AAE"/>
    <w:rsid w:val="00417C0D"/>
    <w:rsid w:val="00417F3A"/>
    <w:rsid w:val="00420209"/>
    <w:rsid w:val="00421292"/>
    <w:rsid w:val="004214D5"/>
    <w:rsid w:val="00422311"/>
    <w:rsid w:val="00424519"/>
    <w:rsid w:val="00427764"/>
    <w:rsid w:val="004277C5"/>
    <w:rsid w:val="0043065C"/>
    <w:rsid w:val="004306AC"/>
    <w:rsid w:val="00430DD8"/>
    <w:rsid w:val="004326F9"/>
    <w:rsid w:val="00433B2E"/>
    <w:rsid w:val="00434B43"/>
    <w:rsid w:val="004352C6"/>
    <w:rsid w:val="00436F80"/>
    <w:rsid w:val="0044017B"/>
    <w:rsid w:val="004415DA"/>
    <w:rsid w:val="00442432"/>
    <w:rsid w:val="0044320C"/>
    <w:rsid w:val="0044451C"/>
    <w:rsid w:val="00445A40"/>
    <w:rsid w:val="00446CA3"/>
    <w:rsid w:val="004475C6"/>
    <w:rsid w:val="004479B9"/>
    <w:rsid w:val="00447E54"/>
    <w:rsid w:val="0045046D"/>
    <w:rsid w:val="00455EA5"/>
    <w:rsid w:val="00456B23"/>
    <w:rsid w:val="00461DF2"/>
    <w:rsid w:val="00462ED0"/>
    <w:rsid w:val="00463218"/>
    <w:rsid w:val="004649E0"/>
    <w:rsid w:val="0046597D"/>
    <w:rsid w:val="00467659"/>
    <w:rsid w:val="00471E99"/>
    <w:rsid w:val="004721AA"/>
    <w:rsid w:val="0047240A"/>
    <w:rsid w:val="0047290D"/>
    <w:rsid w:val="00473151"/>
    <w:rsid w:val="00473542"/>
    <w:rsid w:val="00474793"/>
    <w:rsid w:val="00475E62"/>
    <w:rsid w:val="004778EF"/>
    <w:rsid w:val="00481F23"/>
    <w:rsid w:val="00483320"/>
    <w:rsid w:val="00484E27"/>
    <w:rsid w:val="00487556"/>
    <w:rsid w:val="00492333"/>
    <w:rsid w:val="004955CE"/>
    <w:rsid w:val="0049696B"/>
    <w:rsid w:val="0049788F"/>
    <w:rsid w:val="004A10B0"/>
    <w:rsid w:val="004A10E6"/>
    <w:rsid w:val="004A33BC"/>
    <w:rsid w:val="004B0C65"/>
    <w:rsid w:val="004B27E7"/>
    <w:rsid w:val="004B33EF"/>
    <w:rsid w:val="004B58D3"/>
    <w:rsid w:val="004B7343"/>
    <w:rsid w:val="004B73FB"/>
    <w:rsid w:val="004C21E6"/>
    <w:rsid w:val="004C226E"/>
    <w:rsid w:val="004C465F"/>
    <w:rsid w:val="004C56AA"/>
    <w:rsid w:val="004C6321"/>
    <w:rsid w:val="004D1132"/>
    <w:rsid w:val="004D1D8F"/>
    <w:rsid w:val="004D243B"/>
    <w:rsid w:val="004D2918"/>
    <w:rsid w:val="004D3C26"/>
    <w:rsid w:val="004D3CB3"/>
    <w:rsid w:val="004D63D9"/>
    <w:rsid w:val="004E0AD6"/>
    <w:rsid w:val="004E14DD"/>
    <w:rsid w:val="004E22FF"/>
    <w:rsid w:val="004E3063"/>
    <w:rsid w:val="004E47CC"/>
    <w:rsid w:val="004E6E1A"/>
    <w:rsid w:val="004F0490"/>
    <w:rsid w:val="004F2DE2"/>
    <w:rsid w:val="004F37F3"/>
    <w:rsid w:val="004F56D3"/>
    <w:rsid w:val="004F59FB"/>
    <w:rsid w:val="004F6C17"/>
    <w:rsid w:val="004F76F4"/>
    <w:rsid w:val="004F7F19"/>
    <w:rsid w:val="00500B4F"/>
    <w:rsid w:val="005018D0"/>
    <w:rsid w:val="00501B98"/>
    <w:rsid w:val="005050BD"/>
    <w:rsid w:val="00506126"/>
    <w:rsid w:val="005072F4"/>
    <w:rsid w:val="0051107B"/>
    <w:rsid w:val="00511E76"/>
    <w:rsid w:val="00512046"/>
    <w:rsid w:val="00512879"/>
    <w:rsid w:val="0051325C"/>
    <w:rsid w:val="0051497B"/>
    <w:rsid w:val="00515399"/>
    <w:rsid w:val="00521F1D"/>
    <w:rsid w:val="00521F47"/>
    <w:rsid w:val="0052275E"/>
    <w:rsid w:val="00522A47"/>
    <w:rsid w:val="00522F46"/>
    <w:rsid w:val="00523008"/>
    <w:rsid w:val="00524283"/>
    <w:rsid w:val="0052480D"/>
    <w:rsid w:val="00525A14"/>
    <w:rsid w:val="00526EC4"/>
    <w:rsid w:val="0052714E"/>
    <w:rsid w:val="00527563"/>
    <w:rsid w:val="005302BB"/>
    <w:rsid w:val="00530B10"/>
    <w:rsid w:val="00531758"/>
    <w:rsid w:val="0053198B"/>
    <w:rsid w:val="00531A8A"/>
    <w:rsid w:val="00532FFA"/>
    <w:rsid w:val="00534437"/>
    <w:rsid w:val="00535A8D"/>
    <w:rsid w:val="00536382"/>
    <w:rsid w:val="00536941"/>
    <w:rsid w:val="00537C32"/>
    <w:rsid w:val="00545D04"/>
    <w:rsid w:val="005501BA"/>
    <w:rsid w:val="00550C0B"/>
    <w:rsid w:val="005520E3"/>
    <w:rsid w:val="00552C67"/>
    <w:rsid w:val="005569DD"/>
    <w:rsid w:val="00556A90"/>
    <w:rsid w:val="00557949"/>
    <w:rsid w:val="00562D89"/>
    <w:rsid w:val="0056443F"/>
    <w:rsid w:val="00565861"/>
    <w:rsid w:val="00565AB2"/>
    <w:rsid w:val="005673D1"/>
    <w:rsid w:val="00571D40"/>
    <w:rsid w:val="00572946"/>
    <w:rsid w:val="005732F8"/>
    <w:rsid w:val="00580345"/>
    <w:rsid w:val="005816DE"/>
    <w:rsid w:val="00582FC0"/>
    <w:rsid w:val="00584920"/>
    <w:rsid w:val="00585C29"/>
    <w:rsid w:val="005867A9"/>
    <w:rsid w:val="0058767A"/>
    <w:rsid w:val="00590FB7"/>
    <w:rsid w:val="005914EE"/>
    <w:rsid w:val="00595FCC"/>
    <w:rsid w:val="005A0A77"/>
    <w:rsid w:val="005A39F4"/>
    <w:rsid w:val="005A6A72"/>
    <w:rsid w:val="005A79D9"/>
    <w:rsid w:val="005A7C36"/>
    <w:rsid w:val="005B0203"/>
    <w:rsid w:val="005B1948"/>
    <w:rsid w:val="005B21C9"/>
    <w:rsid w:val="005B6BFA"/>
    <w:rsid w:val="005C03D2"/>
    <w:rsid w:val="005C20B7"/>
    <w:rsid w:val="005C2324"/>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5CE3"/>
    <w:rsid w:val="005D7325"/>
    <w:rsid w:val="005D73EF"/>
    <w:rsid w:val="005E0BD4"/>
    <w:rsid w:val="005E1112"/>
    <w:rsid w:val="005E16CC"/>
    <w:rsid w:val="005E498A"/>
    <w:rsid w:val="005F199D"/>
    <w:rsid w:val="005F36FE"/>
    <w:rsid w:val="005F38B6"/>
    <w:rsid w:val="005F4B93"/>
    <w:rsid w:val="005F5498"/>
    <w:rsid w:val="005F773E"/>
    <w:rsid w:val="005F785A"/>
    <w:rsid w:val="00600A20"/>
    <w:rsid w:val="00602E5C"/>
    <w:rsid w:val="0060310B"/>
    <w:rsid w:val="006033D0"/>
    <w:rsid w:val="006037C1"/>
    <w:rsid w:val="00604B33"/>
    <w:rsid w:val="006059DA"/>
    <w:rsid w:val="00606B1A"/>
    <w:rsid w:val="0061303E"/>
    <w:rsid w:val="00615740"/>
    <w:rsid w:val="006206A1"/>
    <w:rsid w:val="006207EF"/>
    <w:rsid w:val="00621F2D"/>
    <w:rsid w:val="00622401"/>
    <w:rsid w:val="00622CFB"/>
    <w:rsid w:val="006241B8"/>
    <w:rsid w:val="006242F2"/>
    <w:rsid w:val="00624436"/>
    <w:rsid w:val="00624488"/>
    <w:rsid w:val="006245B4"/>
    <w:rsid w:val="00624F33"/>
    <w:rsid w:val="0062539C"/>
    <w:rsid w:val="006271E6"/>
    <w:rsid w:val="006272E2"/>
    <w:rsid w:val="00627513"/>
    <w:rsid w:val="00631035"/>
    <w:rsid w:val="00631060"/>
    <w:rsid w:val="00631EA9"/>
    <w:rsid w:val="00632F61"/>
    <w:rsid w:val="00635038"/>
    <w:rsid w:val="00635A27"/>
    <w:rsid w:val="00637B1E"/>
    <w:rsid w:val="00640115"/>
    <w:rsid w:val="006404F6"/>
    <w:rsid w:val="0064067B"/>
    <w:rsid w:val="006418B3"/>
    <w:rsid w:val="006430B1"/>
    <w:rsid w:val="00644832"/>
    <w:rsid w:val="00644B2E"/>
    <w:rsid w:val="006518FB"/>
    <w:rsid w:val="00654DE3"/>
    <w:rsid w:val="00655068"/>
    <w:rsid w:val="00655B7F"/>
    <w:rsid w:val="006573B9"/>
    <w:rsid w:val="00660AAD"/>
    <w:rsid w:val="00661603"/>
    <w:rsid w:val="0066178F"/>
    <w:rsid w:val="00661B94"/>
    <w:rsid w:val="00662C70"/>
    <w:rsid w:val="00662D89"/>
    <w:rsid w:val="00664A72"/>
    <w:rsid w:val="0066640F"/>
    <w:rsid w:val="006664D4"/>
    <w:rsid w:val="00667F81"/>
    <w:rsid w:val="00670EAA"/>
    <w:rsid w:val="006715A0"/>
    <w:rsid w:val="00671B38"/>
    <w:rsid w:val="00671BB1"/>
    <w:rsid w:val="006731C7"/>
    <w:rsid w:val="00673306"/>
    <w:rsid w:val="00674DAF"/>
    <w:rsid w:val="00674E18"/>
    <w:rsid w:val="00676C35"/>
    <w:rsid w:val="006771FF"/>
    <w:rsid w:val="00677F38"/>
    <w:rsid w:val="006800BB"/>
    <w:rsid w:val="006801C6"/>
    <w:rsid w:val="00680F20"/>
    <w:rsid w:val="00684E69"/>
    <w:rsid w:val="00687BCB"/>
    <w:rsid w:val="00690202"/>
    <w:rsid w:val="0069037C"/>
    <w:rsid w:val="006914B4"/>
    <w:rsid w:val="00692763"/>
    <w:rsid w:val="00692CEE"/>
    <w:rsid w:val="00694971"/>
    <w:rsid w:val="0069657C"/>
    <w:rsid w:val="006975D9"/>
    <w:rsid w:val="006975FD"/>
    <w:rsid w:val="006A0CDD"/>
    <w:rsid w:val="006A0CDF"/>
    <w:rsid w:val="006A2E7B"/>
    <w:rsid w:val="006A40F4"/>
    <w:rsid w:val="006B0399"/>
    <w:rsid w:val="006B0607"/>
    <w:rsid w:val="006B083B"/>
    <w:rsid w:val="006B218E"/>
    <w:rsid w:val="006B3839"/>
    <w:rsid w:val="006B40EF"/>
    <w:rsid w:val="006B4C0B"/>
    <w:rsid w:val="006B634B"/>
    <w:rsid w:val="006C0BD7"/>
    <w:rsid w:val="006C17DE"/>
    <w:rsid w:val="006C1E67"/>
    <w:rsid w:val="006C25E4"/>
    <w:rsid w:val="006C3470"/>
    <w:rsid w:val="006C3CD0"/>
    <w:rsid w:val="006C43E9"/>
    <w:rsid w:val="006C6EBC"/>
    <w:rsid w:val="006C7CD1"/>
    <w:rsid w:val="006C7E76"/>
    <w:rsid w:val="006D0594"/>
    <w:rsid w:val="006D12A1"/>
    <w:rsid w:val="006D16BD"/>
    <w:rsid w:val="006D1CE7"/>
    <w:rsid w:val="006D2366"/>
    <w:rsid w:val="006D2960"/>
    <w:rsid w:val="006D2DF0"/>
    <w:rsid w:val="006D49E4"/>
    <w:rsid w:val="006D65A5"/>
    <w:rsid w:val="006D6790"/>
    <w:rsid w:val="006D7FDA"/>
    <w:rsid w:val="006E04E3"/>
    <w:rsid w:val="006E33C5"/>
    <w:rsid w:val="006E669C"/>
    <w:rsid w:val="006E6D77"/>
    <w:rsid w:val="006E722A"/>
    <w:rsid w:val="006E72D4"/>
    <w:rsid w:val="006E797D"/>
    <w:rsid w:val="006E7B27"/>
    <w:rsid w:val="006E7C4E"/>
    <w:rsid w:val="006E7CFC"/>
    <w:rsid w:val="006F008A"/>
    <w:rsid w:val="006F134A"/>
    <w:rsid w:val="006F1838"/>
    <w:rsid w:val="006F272D"/>
    <w:rsid w:val="006F4CC9"/>
    <w:rsid w:val="006F5212"/>
    <w:rsid w:val="006F60D5"/>
    <w:rsid w:val="006F79F1"/>
    <w:rsid w:val="006F7CBF"/>
    <w:rsid w:val="007001B2"/>
    <w:rsid w:val="00702D5F"/>
    <w:rsid w:val="007041F9"/>
    <w:rsid w:val="00704B14"/>
    <w:rsid w:val="00705FBB"/>
    <w:rsid w:val="0070680E"/>
    <w:rsid w:val="0071036C"/>
    <w:rsid w:val="00712ED6"/>
    <w:rsid w:val="00715343"/>
    <w:rsid w:val="00716DFD"/>
    <w:rsid w:val="007179C4"/>
    <w:rsid w:val="00717D87"/>
    <w:rsid w:val="00720109"/>
    <w:rsid w:val="007248C4"/>
    <w:rsid w:val="00727351"/>
    <w:rsid w:val="007279D2"/>
    <w:rsid w:val="0073003B"/>
    <w:rsid w:val="00730D6D"/>
    <w:rsid w:val="00731FB9"/>
    <w:rsid w:val="007331D2"/>
    <w:rsid w:val="00736B03"/>
    <w:rsid w:val="00741DC7"/>
    <w:rsid w:val="007428C7"/>
    <w:rsid w:val="00743915"/>
    <w:rsid w:val="00743B45"/>
    <w:rsid w:val="0074523A"/>
    <w:rsid w:val="007462AB"/>
    <w:rsid w:val="00747CDF"/>
    <w:rsid w:val="00751A94"/>
    <w:rsid w:val="0075222F"/>
    <w:rsid w:val="007538D3"/>
    <w:rsid w:val="00754B31"/>
    <w:rsid w:val="0076190F"/>
    <w:rsid w:val="00762A7C"/>
    <w:rsid w:val="00763A64"/>
    <w:rsid w:val="00764BBE"/>
    <w:rsid w:val="0076657F"/>
    <w:rsid w:val="007709FF"/>
    <w:rsid w:val="00770BF5"/>
    <w:rsid w:val="00770DC0"/>
    <w:rsid w:val="00770E69"/>
    <w:rsid w:val="00771614"/>
    <w:rsid w:val="007723F6"/>
    <w:rsid w:val="00774229"/>
    <w:rsid w:val="00775391"/>
    <w:rsid w:val="00776E49"/>
    <w:rsid w:val="0077760E"/>
    <w:rsid w:val="007808E0"/>
    <w:rsid w:val="00781F61"/>
    <w:rsid w:val="007823A6"/>
    <w:rsid w:val="00782D16"/>
    <w:rsid w:val="00783335"/>
    <w:rsid w:val="00784CEA"/>
    <w:rsid w:val="00786AE6"/>
    <w:rsid w:val="00792220"/>
    <w:rsid w:val="00792309"/>
    <w:rsid w:val="00794774"/>
    <w:rsid w:val="00794B3F"/>
    <w:rsid w:val="007955FF"/>
    <w:rsid w:val="00796030"/>
    <w:rsid w:val="007962A6"/>
    <w:rsid w:val="00796712"/>
    <w:rsid w:val="007A097D"/>
    <w:rsid w:val="007A0BC3"/>
    <w:rsid w:val="007A0D80"/>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02E9"/>
    <w:rsid w:val="007C2353"/>
    <w:rsid w:val="007C2E74"/>
    <w:rsid w:val="007C636E"/>
    <w:rsid w:val="007C76F2"/>
    <w:rsid w:val="007C7BAF"/>
    <w:rsid w:val="007C7F8F"/>
    <w:rsid w:val="007D04B8"/>
    <w:rsid w:val="007D086D"/>
    <w:rsid w:val="007D264E"/>
    <w:rsid w:val="007D354B"/>
    <w:rsid w:val="007D6307"/>
    <w:rsid w:val="007E0603"/>
    <w:rsid w:val="007E172B"/>
    <w:rsid w:val="007E1EF5"/>
    <w:rsid w:val="007E25E4"/>
    <w:rsid w:val="007E2B2B"/>
    <w:rsid w:val="007E2F77"/>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0F9F"/>
    <w:rsid w:val="008234EA"/>
    <w:rsid w:val="008246F7"/>
    <w:rsid w:val="0082579F"/>
    <w:rsid w:val="00826071"/>
    <w:rsid w:val="00826E84"/>
    <w:rsid w:val="00830986"/>
    <w:rsid w:val="00832312"/>
    <w:rsid w:val="00836749"/>
    <w:rsid w:val="008413EB"/>
    <w:rsid w:val="0084143D"/>
    <w:rsid w:val="008415EA"/>
    <w:rsid w:val="008416D9"/>
    <w:rsid w:val="008441D0"/>
    <w:rsid w:val="008473B9"/>
    <w:rsid w:val="008506E0"/>
    <w:rsid w:val="00850BF6"/>
    <w:rsid w:val="00852759"/>
    <w:rsid w:val="00853828"/>
    <w:rsid w:val="00853A05"/>
    <w:rsid w:val="00853AA3"/>
    <w:rsid w:val="008546E5"/>
    <w:rsid w:val="0085490B"/>
    <w:rsid w:val="00857A87"/>
    <w:rsid w:val="00857B5B"/>
    <w:rsid w:val="008614CC"/>
    <w:rsid w:val="0086265B"/>
    <w:rsid w:val="0086309F"/>
    <w:rsid w:val="008633DA"/>
    <w:rsid w:val="008638A5"/>
    <w:rsid w:val="00864C7E"/>
    <w:rsid w:val="008659CE"/>
    <w:rsid w:val="00871490"/>
    <w:rsid w:val="0087213E"/>
    <w:rsid w:val="00874D8A"/>
    <w:rsid w:val="008758D4"/>
    <w:rsid w:val="00877B34"/>
    <w:rsid w:val="00877B42"/>
    <w:rsid w:val="00877D7C"/>
    <w:rsid w:val="00881288"/>
    <w:rsid w:val="0088130D"/>
    <w:rsid w:val="0088400C"/>
    <w:rsid w:val="00884148"/>
    <w:rsid w:val="00884812"/>
    <w:rsid w:val="00884B61"/>
    <w:rsid w:val="008870EB"/>
    <w:rsid w:val="00887B25"/>
    <w:rsid w:val="008932E1"/>
    <w:rsid w:val="00894181"/>
    <w:rsid w:val="00894FC3"/>
    <w:rsid w:val="008956AA"/>
    <w:rsid w:val="00897A05"/>
    <w:rsid w:val="008A1159"/>
    <w:rsid w:val="008A1573"/>
    <w:rsid w:val="008A172C"/>
    <w:rsid w:val="008A233A"/>
    <w:rsid w:val="008A460F"/>
    <w:rsid w:val="008A60AE"/>
    <w:rsid w:val="008A64DD"/>
    <w:rsid w:val="008B21BC"/>
    <w:rsid w:val="008B270A"/>
    <w:rsid w:val="008B4F0B"/>
    <w:rsid w:val="008B64A0"/>
    <w:rsid w:val="008B7D4E"/>
    <w:rsid w:val="008C1F18"/>
    <w:rsid w:val="008C266D"/>
    <w:rsid w:val="008C37E8"/>
    <w:rsid w:val="008C3E6D"/>
    <w:rsid w:val="008C40B1"/>
    <w:rsid w:val="008C503C"/>
    <w:rsid w:val="008C6FB2"/>
    <w:rsid w:val="008C7DF5"/>
    <w:rsid w:val="008D1550"/>
    <w:rsid w:val="008D17A4"/>
    <w:rsid w:val="008D28E1"/>
    <w:rsid w:val="008D37E8"/>
    <w:rsid w:val="008D3B3F"/>
    <w:rsid w:val="008D43A8"/>
    <w:rsid w:val="008D46FC"/>
    <w:rsid w:val="008D58F4"/>
    <w:rsid w:val="008D7C22"/>
    <w:rsid w:val="008E0D53"/>
    <w:rsid w:val="008E0DC4"/>
    <w:rsid w:val="008E210A"/>
    <w:rsid w:val="008E430A"/>
    <w:rsid w:val="008E5E71"/>
    <w:rsid w:val="008E736C"/>
    <w:rsid w:val="008E7904"/>
    <w:rsid w:val="008E7959"/>
    <w:rsid w:val="008F0749"/>
    <w:rsid w:val="008F4E82"/>
    <w:rsid w:val="008F5A51"/>
    <w:rsid w:val="00900916"/>
    <w:rsid w:val="009019A8"/>
    <w:rsid w:val="0090220A"/>
    <w:rsid w:val="00903E21"/>
    <w:rsid w:val="0090431D"/>
    <w:rsid w:val="009048A7"/>
    <w:rsid w:val="00905638"/>
    <w:rsid w:val="00910872"/>
    <w:rsid w:val="00913279"/>
    <w:rsid w:val="00913AC7"/>
    <w:rsid w:val="00914EE3"/>
    <w:rsid w:val="00915E1E"/>
    <w:rsid w:val="00916347"/>
    <w:rsid w:val="00916C99"/>
    <w:rsid w:val="009215C2"/>
    <w:rsid w:val="009222D3"/>
    <w:rsid w:val="00922F61"/>
    <w:rsid w:val="00922F8C"/>
    <w:rsid w:val="00924C72"/>
    <w:rsid w:val="00926758"/>
    <w:rsid w:val="00927131"/>
    <w:rsid w:val="009319F4"/>
    <w:rsid w:val="00933E27"/>
    <w:rsid w:val="00934D26"/>
    <w:rsid w:val="00936BA2"/>
    <w:rsid w:val="00937325"/>
    <w:rsid w:val="00937C87"/>
    <w:rsid w:val="00940831"/>
    <w:rsid w:val="00940E97"/>
    <w:rsid w:val="00943435"/>
    <w:rsid w:val="009451B5"/>
    <w:rsid w:val="00945CB8"/>
    <w:rsid w:val="009502F9"/>
    <w:rsid w:val="00950D76"/>
    <w:rsid w:val="00950ED4"/>
    <w:rsid w:val="009518A6"/>
    <w:rsid w:val="00951B0D"/>
    <w:rsid w:val="0095477E"/>
    <w:rsid w:val="0095571A"/>
    <w:rsid w:val="00956E0E"/>
    <w:rsid w:val="00960DEA"/>
    <w:rsid w:val="00960E46"/>
    <w:rsid w:val="00962C51"/>
    <w:rsid w:val="00963E6F"/>
    <w:rsid w:val="009643D0"/>
    <w:rsid w:val="009644D7"/>
    <w:rsid w:val="00964A13"/>
    <w:rsid w:val="00965741"/>
    <w:rsid w:val="00966BF0"/>
    <w:rsid w:val="009675F2"/>
    <w:rsid w:val="009707FD"/>
    <w:rsid w:val="00972243"/>
    <w:rsid w:val="009738FA"/>
    <w:rsid w:val="009739BA"/>
    <w:rsid w:val="00975175"/>
    <w:rsid w:val="0097583D"/>
    <w:rsid w:val="00977989"/>
    <w:rsid w:val="00983208"/>
    <w:rsid w:val="00983A37"/>
    <w:rsid w:val="00983F77"/>
    <w:rsid w:val="00986D91"/>
    <w:rsid w:val="00991A05"/>
    <w:rsid w:val="00992901"/>
    <w:rsid w:val="009948FA"/>
    <w:rsid w:val="00996BDA"/>
    <w:rsid w:val="0099716B"/>
    <w:rsid w:val="009973CB"/>
    <w:rsid w:val="009A08E5"/>
    <w:rsid w:val="009A3E08"/>
    <w:rsid w:val="009A4388"/>
    <w:rsid w:val="009A481F"/>
    <w:rsid w:val="009A5A8E"/>
    <w:rsid w:val="009A7A3D"/>
    <w:rsid w:val="009B19D8"/>
    <w:rsid w:val="009B1B0E"/>
    <w:rsid w:val="009B2DAB"/>
    <w:rsid w:val="009B356F"/>
    <w:rsid w:val="009B3CF8"/>
    <w:rsid w:val="009B3E17"/>
    <w:rsid w:val="009B614F"/>
    <w:rsid w:val="009C04AF"/>
    <w:rsid w:val="009C11B4"/>
    <w:rsid w:val="009C1F1B"/>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F10E5"/>
    <w:rsid w:val="009F2202"/>
    <w:rsid w:val="009F3790"/>
    <w:rsid w:val="009F39DF"/>
    <w:rsid w:val="009F41CC"/>
    <w:rsid w:val="009F6813"/>
    <w:rsid w:val="00A03F8F"/>
    <w:rsid w:val="00A042BC"/>
    <w:rsid w:val="00A045F2"/>
    <w:rsid w:val="00A071E9"/>
    <w:rsid w:val="00A1369B"/>
    <w:rsid w:val="00A14398"/>
    <w:rsid w:val="00A15402"/>
    <w:rsid w:val="00A16D8E"/>
    <w:rsid w:val="00A171B9"/>
    <w:rsid w:val="00A20875"/>
    <w:rsid w:val="00A244C7"/>
    <w:rsid w:val="00A26E75"/>
    <w:rsid w:val="00A27828"/>
    <w:rsid w:val="00A33F9B"/>
    <w:rsid w:val="00A3414C"/>
    <w:rsid w:val="00A34702"/>
    <w:rsid w:val="00A34B6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09C"/>
    <w:rsid w:val="00A7487F"/>
    <w:rsid w:val="00A753B3"/>
    <w:rsid w:val="00A75C5D"/>
    <w:rsid w:val="00A7749F"/>
    <w:rsid w:val="00A805B7"/>
    <w:rsid w:val="00A8342D"/>
    <w:rsid w:val="00A84E9B"/>
    <w:rsid w:val="00A8501D"/>
    <w:rsid w:val="00A85D07"/>
    <w:rsid w:val="00A915DD"/>
    <w:rsid w:val="00A9286C"/>
    <w:rsid w:val="00A94490"/>
    <w:rsid w:val="00A95E07"/>
    <w:rsid w:val="00A96A4E"/>
    <w:rsid w:val="00A974AC"/>
    <w:rsid w:val="00AA21E0"/>
    <w:rsid w:val="00AA345B"/>
    <w:rsid w:val="00AA3CD8"/>
    <w:rsid w:val="00AA473B"/>
    <w:rsid w:val="00AA556D"/>
    <w:rsid w:val="00AA6ACB"/>
    <w:rsid w:val="00AA6BA1"/>
    <w:rsid w:val="00AB0BA1"/>
    <w:rsid w:val="00AB1C9F"/>
    <w:rsid w:val="00AB328F"/>
    <w:rsid w:val="00AB4AC2"/>
    <w:rsid w:val="00AB4F34"/>
    <w:rsid w:val="00AB51A8"/>
    <w:rsid w:val="00AC0AD2"/>
    <w:rsid w:val="00AC0AE0"/>
    <w:rsid w:val="00AC23DC"/>
    <w:rsid w:val="00AC2FBA"/>
    <w:rsid w:val="00AC45E1"/>
    <w:rsid w:val="00AC4EC9"/>
    <w:rsid w:val="00AC5582"/>
    <w:rsid w:val="00AC5D01"/>
    <w:rsid w:val="00AC6CE3"/>
    <w:rsid w:val="00AC70CA"/>
    <w:rsid w:val="00AC7111"/>
    <w:rsid w:val="00AD3E0D"/>
    <w:rsid w:val="00AD468B"/>
    <w:rsid w:val="00AD4F7B"/>
    <w:rsid w:val="00AD7046"/>
    <w:rsid w:val="00AD7954"/>
    <w:rsid w:val="00AE0BFF"/>
    <w:rsid w:val="00AE23FB"/>
    <w:rsid w:val="00AE256C"/>
    <w:rsid w:val="00AE2827"/>
    <w:rsid w:val="00AE3658"/>
    <w:rsid w:val="00AE48F5"/>
    <w:rsid w:val="00AE5058"/>
    <w:rsid w:val="00AE6691"/>
    <w:rsid w:val="00AF0243"/>
    <w:rsid w:val="00AF276F"/>
    <w:rsid w:val="00AF4BF2"/>
    <w:rsid w:val="00AF4DA4"/>
    <w:rsid w:val="00AF592A"/>
    <w:rsid w:val="00AF7546"/>
    <w:rsid w:val="00B00C4E"/>
    <w:rsid w:val="00B020A8"/>
    <w:rsid w:val="00B02499"/>
    <w:rsid w:val="00B02796"/>
    <w:rsid w:val="00B02A3F"/>
    <w:rsid w:val="00B02FD2"/>
    <w:rsid w:val="00B03235"/>
    <w:rsid w:val="00B03832"/>
    <w:rsid w:val="00B03A57"/>
    <w:rsid w:val="00B03B5C"/>
    <w:rsid w:val="00B04A35"/>
    <w:rsid w:val="00B04BE1"/>
    <w:rsid w:val="00B050D9"/>
    <w:rsid w:val="00B123FB"/>
    <w:rsid w:val="00B1247F"/>
    <w:rsid w:val="00B153FA"/>
    <w:rsid w:val="00B179C3"/>
    <w:rsid w:val="00B17B55"/>
    <w:rsid w:val="00B219E2"/>
    <w:rsid w:val="00B22A17"/>
    <w:rsid w:val="00B22B9F"/>
    <w:rsid w:val="00B22F78"/>
    <w:rsid w:val="00B23652"/>
    <w:rsid w:val="00B26DFF"/>
    <w:rsid w:val="00B27131"/>
    <w:rsid w:val="00B27951"/>
    <w:rsid w:val="00B31892"/>
    <w:rsid w:val="00B32689"/>
    <w:rsid w:val="00B331EC"/>
    <w:rsid w:val="00B33C68"/>
    <w:rsid w:val="00B34B05"/>
    <w:rsid w:val="00B35F83"/>
    <w:rsid w:val="00B36A30"/>
    <w:rsid w:val="00B37A6D"/>
    <w:rsid w:val="00B42F31"/>
    <w:rsid w:val="00B43B48"/>
    <w:rsid w:val="00B43C12"/>
    <w:rsid w:val="00B43D92"/>
    <w:rsid w:val="00B504E3"/>
    <w:rsid w:val="00B51050"/>
    <w:rsid w:val="00B52CAD"/>
    <w:rsid w:val="00B53D99"/>
    <w:rsid w:val="00B53EAF"/>
    <w:rsid w:val="00B554D6"/>
    <w:rsid w:val="00B55CD3"/>
    <w:rsid w:val="00B6454E"/>
    <w:rsid w:val="00B648B0"/>
    <w:rsid w:val="00B65BCA"/>
    <w:rsid w:val="00B6639B"/>
    <w:rsid w:val="00B66F84"/>
    <w:rsid w:val="00B675A3"/>
    <w:rsid w:val="00B67947"/>
    <w:rsid w:val="00B74F6C"/>
    <w:rsid w:val="00B7570D"/>
    <w:rsid w:val="00B75C77"/>
    <w:rsid w:val="00B80E36"/>
    <w:rsid w:val="00B845EC"/>
    <w:rsid w:val="00B84F6E"/>
    <w:rsid w:val="00B85F60"/>
    <w:rsid w:val="00B901B7"/>
    <w:rsid w:val="00B90713"/>
    <w:rsid w:val="00B92069"/>
    <w:rsid w:val="00B9500B"/>
    <w:rsid w:val="00B95E93"/>
    <w:rsid w:val="00B970C0"/>
    <w:rsid w:val="00BA15A8"/>
    <w:rsid w:val="00BA1D80"/>
    <w:rsid w:val="00BA4E6F"/>
    <w:rsid w:val="00BA56A8"/>
    <w:rsid w:val="00BA6C50"/>
    <w:rsid w:val="00BA784F"/>
    <w:rsid w:val="00BA7A1E"/>
    <w:rsid w:val="00BB05C0"/>
    <w:rsid w:val="00BB0C45"/>
    <w:rsid w:val="00BB30E5"/>
    <w:rsid w:val="00BB3BD9"/>
    <w:rsid w:val="00BB3F28"/>
    <w:rsid w:val="00BB4FD9"/>
    <w:rsid w:val="00BB5711"/>
    <w:rsid w:val="00BB5722"/>
    <w:rsid w:val="00BB6693"/>
    <w:rsid w:val="00BB6BB6"/>
    <w:rsid w:val="00BB6CD0"/>
    <w:rsid w:val="00BC02E9"/>
    <w:rsid w:val="00BC038B"/>
    <w:rsid w:val="00BC0864"/>
    <w:rsid w:val="00BC0E7B"/>
    <w:rsid w:val="00BC17E4"/>
    <w:rsid w:val="00BC305D"/>
    <w:rsid w:val="00BC3EC5"/>
    <w:rsid w:val="00BC43BF"/>
    <w:rsid w:val="00BC46B6"/>
    <w:rsid w:val="00BC4A68"/>
    <w:rsid w:val="00BC5511"/>
    <w:rsid w:val="00BC5546"/>
    <w:rsid w:val="00BC75AB"/>
    <w:rsid w:val="00BC7F67"/>
    <w:rsid w:val="00BD2771"/>
    <w:rsid w:val="00BD35AA"/>
    <w:rsid w:val="00BD3C78"/>
    <w:rsid w:val="00BD6505"/>
    <w:rsid w:val="00BE288A"/>
    <w:rsid w:val="00BE5634"/>
    <w:rsid w:val="00BE57BB"/>
    <w:rsid w:val="00BE7092"/>
    <w:rsid w:val="00BE7118"/>
    <w:rsid w:val="00BF0C25"/>
    <w:rsid w:val="00BF17B5"/>
    <w:rsid w:val="00BF362A"/>
    <w:rsid w:val="00BF381B"/>
    <w:rsid w:val="00BF460D"/>
    <w:rsid w:val="00BF4E0E"/>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6633"/>
    <w:rsid w:val="00C27AAC"/>
    <w:rsid w:val="00C335A8"/>
    <w:rsid w:val="00C34810"/>
    <w:rsid w:val="00C35DE4"/>
    <w:rsid w:val="00C362E2"/>
    <w:rsid w:val="00C4052B"/>
    <w:rsid w:val="00C409B6"/>
    <w:rsid w:val="00C40CD5"/>
    <w:rsid w:val="00C40DD3"/>
    <w:rsid w:val="00C41F61"/>
    <w:rsid w:val="00C42A8E"/>
    <w:rsid w:val="00C42E00"/>
    <w:rsid w:val="00C42EF8"/>
    <w:rsid w:val="00C44308"/>
    <w:rsid w:val="00C45AE6"/>
    <w:rsid w:val="00C46A25"/>
    <w:rsid w:val="00C47913"/>
    <w:rsid w:val="00C47A8C"/>
    <w:rsid w:val="00C47E88"/>
    <w:rsid w:val="00C500A8"/>
    <w:rsid w:val="00C50B90"/>
    <w:rsid w:val="00C50E76"/>
    <w:rsid w:val="00C51B7F"/>
    <w:rsid w:val="00C52226"/>
    <w:rsid w:val="00C529B0"/>
    <w:rsid w:val="00C52E9B"/>
    <w:rsid w:val="00C53D9F"/>
    <w:rsid w:val="00C540CA"/>
    <w:rsid w:val="00C556AB"/>
    <w:rsid w:val="00C5665E"/>
    <w:rsid w:val="00C56B62"/>
    <w:rsid w:val="00C57D4C"/>
    <w:rsid w:val="00C60D14"/>
    <w:rsid w:val="00C6194C"/>
    <w:rsid w:val="00C642BC"/>
    <w:rsid w:val="00C64E46"/>
    <w:rsid w:val="00C650CF"/>
    <w:rsid w:val="00C65690"/>
    <w:rsid w:val="00C66F2D"/>
    <w:rsid w:val="00C672CD"/>
    <w:rsid w:val="00C6740C"/>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71E"/>
    <w:rsid w:val="00C91A6F"/>
    <w:rsid w:val="00C91E33"/>
    <w:rsid w:val="00C930C8"/>
    <w:rsid w:val="00C95611"/>
    <w:rsid w:val="00C97FC1"/>
    <w:rsid w:val="00CA45CB"/>
    <w:rsid w:val="00CA4C3A"/>
    <w:rsid w:val="00CA4E57"/>
    <w:rsid w:val="00CA7AA6"/>
    <w:rsid w:val="00CA7ADA"/>
    <w:rsid w:val="00CA7C07"/>
    <w:rsid w:val="00CA7EAE"/>
    <w:rsid w:val="00CA7F1D"/>
    <w:rsid w:val="00CB5C38"/>
    <w:rsid w:val="00CC1C87"/>
    <w:rsid w:val="00CC1F8C"/>
    <w:rsid w:val="00CC26CE"/>
    <w:rsid w:val="00CC29B3"/>
    <w:rsid w:val="00CC2EA8"/>
    <w:rsid w:val="00CC5500"/>
    <w:rsid w:val="00CC6536"/>
    <w:rsid w:val="00CC6E48"/>
    <w:rsid w:val="00CD2B96"/>
    <w:rsid w:val="00CD4DE8"/>
    <w:rsid w:val="00CD5841"/>
    <w:rsid w:val="00CD5A8F"/>
    <w:rsid w:val="00CD611D"/>
    <w:rsid w:val="00CD6238"/>
    <w:rsid w:val="00CD6617"/>
    <w:rsid w:val="00CD66C9"/>
    <w:rsid w:val="00CD6876"/>
    <w:rsid w:val="00CD6D28"/>
    <w:rsid w:val="00CE08F0"/>
    <w:rsid w:val="00CE0F1F"/>
    <w:rsid w:val="00CE2494"/>
    <w:rsid w:val="00CE2973"/>
    <w:rsid w:val="00CE3BC3"/>
    <w:rsid w:val="00CE4073"/>
    <w:rsid w:val="00CE719D"/>
    <w:rsid w:val="00CE724E"/>
    <w:rsid w:val="00CE7322"/>
    <w:rsid w:val="00CE7470"/>
    <w:rsid w:val="00CE7DD9"/>
    <w:rsid w:val="00CE7F68"/>
    <w:rsid w:val="00CF1FC5"/>
    <w:rsid w:val="00CF23A0"/>
    <w:rsid w:val="00CF4EFF"/>
    <w:rsid w:val="00CF55B7"/>
    <w:rsid w:val="00CF6B54"/>
    <w:rsid w:val="00CF723E"/>
    <w:rsid w:val="00CF74E9"/>
    <w:rsid w:val="00CF7AA5"/>
    <w:rsid w:val="00D02831"/>
    <w:rsid w:val="00D03CED"/>
    <w:rsid w:val="00D043BA"/>
    <w:rsid w:val="00D04C47"/>
    <w:rsid w:val="00D069F8"/>
    <w:rsid w:val="00D07E4B"/>
    <w:rsid w:val="00D12E37"/>
    <w:rsid w:val="00D1305D"/>
    <w:rsid w:val="00D1318A"/>
    <w:rsid w:val="00D13CEA"/>
    <w:rsid w:val="00D13F20"/>
    <w:rsid w:val="00D144B1"/>
    <w:rsid w:val="00D15014"/>
    <w:rsid w:val="00D15AA1"/>
    <w:rsid w:val="00D164BC"/>
    <w:rsid w:val="00D169C7"/>
    <w:rsid w:val="00D203E4"/>
    <w:rsid w:val="00D23481"/>
    <w:rsid w:val="00D25C63"/>
    <w:rsid w:val="00D279F0"/>
    <w:rsid w:val="00D3496C"/>
    <w:rsid w:val="00D36A13"/>
    <w:rsid w:val="00D36A9F"/>
    <w:rsid w:val="00D42E23"/>
    <w:rsid w:val="00D439EF"/>
    <w:rsid w:val="00D43A3A"/>
    <w:rsid w:val="00D466A8"/>
    <w:rsid w:val="00D46E14"/>
    <w:rsid w:val="00D474D0"/>
    <w:rsid w:val="00D51004"/>
    <w:rsid w:val="00D5128D"/>
    <w:rsid w:val="00D51567"/>
    <w:rsid w:val="00D52E5B"/>
    <w:rsid w:val="00D52EC1"/>
    <w:rsid w:val="00D5407D"/>
    <w:rsid w:val="00D55A56"/>
    <w:rsid w:val="00D579E6"/>
    <w:rsid w:val="00D61CB8"/>
    <w:rsid w:val="00D61FF9"/>
    <w:rsid w:val="00D62480"/>
    <w:rsid w:val="00D629E3"/>
    <w:rsid w:val="00D64273"/>
    <w:rsid w:val="00D64C4F"/>
    <w:rsid w:val="00D66DDB"/>
    <w:rsid w:val="00D70766"/>
    <w:rsid w:val="00D708AE"/>
    <w:rsid w:val="00D72175"/>
    <w:rsid w:val="00D7252C"/>
    <w:rsid w:val="00D7768F"/>
    <w:rsid w:val="00D82691"/>
    <w:rsid w:val="00D837B0"/>
    <w:rsid w:val="00D839F9"/>
    <w:rsid w:val="00D83FBA"/>
    <w:rsid w:val="00D86931"/>
    <w:rsid w:val="00D906B2"/>
    <w:rsid w:val="00D91593"/>
    <w:rsid w:val="00D91F3E"/>
    <w:rsid w:val="00D92325"/>
    <w:rsid w:val="00D936CD"/>
    <w:rsid w:val="00D95A1B"/>
    <w:rsid w:val="00D96BA3"/>
    <w:rsid w:val="00D976F2"/>
    <w:rsid w:val="00DA1EA0"/>
    <w:rsid w:val="00DA2E83"/>
    <w:rsid w:val="00DA3868"/>
    <w:rsid w:val="00DA3A68"/>
    <w:rsid w:val="00DA4E7C"/>
    <w:rsid w:val="00DA72A0"/>
    <w:rsid w:val="00DB14C8"/>
    <w:rsid w:val="00DB271D"/>
    <w:rsid w:val="00DB277C"/>
    <w:rsid w:val="00DB3FB8"/>
    <w:rsid w:val="00DB5A7F"/>
    <w:rsid w:val="00DB7DC5"/>
    <w:rsid w:val="00DC084C"/>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41C5"/>
    <w:rsid w:val="00DE5989"/>
    <w:rsid w:val="00DF3A90"/>
    <w:rsid w:val="00DF43D9"/>
    <w:rsid w:val="00DF59CE"/>
    <w:rsid w:val="00DF7F84"/>
    <w:rsid w:val="00E00BC4"/>
    <w:rsid w:val="00E00DC8"/>
    <w:rsid w:val="00E022A1"/>
    <w:rsid w:val="00E0245B"/>
    <w:rsid w:val="00E02A52"/>
    <w:rsid w:val="00E0447A"/>
    <w:rsid w:val="00E04D7C"/>
    <w:rsid w:val="00E052B8"/>
    <w:rsid w:val="00E10780"/>
    <w:rsid w:val="00E10E69"/>
    <w:rsid w:val="00E11168"/>
    <w:rsid w:val="00E1157F"/>
    <w:rsid w:val="00E12804"/>
    <w:rsid w:val="00E134FA"/>
    <w:rsid w:val="00E13643"/>
    <w:rsid w:val="00E16578"/>
    <w:rsid w:val="00E16729"/>
    <w:rsid w:val="00E21EC5"/>
    <w:rsid w:val="00E22006"/>
    <w:rsid w:val="00E22EA8"/>
    <w:rsid w:val="00E23058"/>
    <w:rsid w:val="00E25D40"/>
    <w:rsid w:val="00E275EC"/>
    <w:rsid w:val="00E319EF"/>
    <w:rsid w:val="00E31CB8"/>
    <w:rsid w:val="00E329AE"/>
    <w:rsid w:val="00E332FF"/>
    <w:rsid w:val="00E354BF"/>
    <w:rsid w:val="00E35B2A"/>
    <w:rsid w:val="00E361ED"/>
    <w:rsid w:val="00E368CF"/>
    <w:rsid w:val="00E40395"/>
    <w:rsid w:val="00E40CA6"/>
    <w:rsid w:val="00E4147C"/>
    <w:rsid w:val="00E41747"/>
    <w:rsid w:val="00E44D06"/>
    <w:rsid w:val="00E4603F"/>
    <w:rsid w:val="00E46240"/>
    <w:rsid w:val="00E52B0F"/>
    <w:rsid w:val="00E54144"/>
    <w:rsid w:val="00E547F7"/>
    <w:rsid w:val="00E5737C"/>
    <w:rsid w:val="00E57404"/>
    <w:rsid w:val="00E57797"/>
    <w:rsid w:val="00E57A6E"/>
    <w:rsid w:val="00E619C3"/>
    <w:rsid w:val="00E63938"/>
    <w:rsid w:val="00E64BEF"/>
    <w:rsid w:val="00E64E18"/>
    <w:rsid w:val="00E66BEB"/>
    <w:rsid w:val="00E67577"/>
    <w:rsid w:val="00E67C64"/>
    <w:rsid w:val="00E71771"/>
    <w:rsid w:val="00E71F80"/>
    <w:rsid w:val="00E73985"/>
    <w:rsid w:val="00E7452D"/>
    <w:rsid w:val="00E74CB0"/>
    <w:rsid w:val="00E8187A"/>
    <w:rsid w:val="00E81B7C"/>
    <w:rsid w:val="00E8474F"/>
    <w:rsid w:val="00E85AC5"/>
    <w:rsid w:val="00E864E9"/>
    <w:rsid w:val="00E865E5"/>
    <w:rsid w:val="00E909E3"/>
    <w:rsid w:val="00E91D41"/>
    <w:rsid w:val="00E9742F"/>
    <w:rsid w:val="00EA372C"/>
    <w:rsid w:val="00EB020F"/>
    <w:rsid w:val="00EB2119"/>
    <w:rsid w:val="00EB33A4"/>
    <w:rsid w:val="00EB386A"/>
    <w:rsid w:val="00EB38A7"/>
    <w:rsid w:val="00EB3E63"/>
    <w:rsid w:val="00EB6216"/>
    <w:rsid w:val="00EB67C3"/>
    <w:rsid w:val="00EB6CF0"/>
    <w:rsid w:val="00EB726D"/>
    <w:rsid w:val="00EC1274"/>
    <w:rsid w:val="00EC285A"/>
    <w:rsid w:val="00EC3047"/>
    <w:rsid w:val="00EC3D89"/>
    <w:rsid w:val="00EC4067"/>
    <w:rsid w:val="00EC4F2E"/>
    <w:rsid w:val="00EC5C68"/>
    <w:rsid w:val="00EC6576"/>
    <w:rsid w:val="00EC73E0"/>
    <w:rsid w:val="00EC7CBF"/>
    <w:rsid w:val="00ED3627"/>
    <w:rsid w:val="00ED37B8"/>
    <w:rsid w:val="00ED3C94"/>
    <w:rsid w:val="00ED44E5"/>
    <w:rsid w:val="00ED5B5F"/>
    <w:rsid w:val="00ED67BB"/>
    <w:rsid w:val="00ED79C7"/>
    <w:rsid w:val="00EE1006"/>
    <w:rsid w:val="00EE1B70"/>
    <w:rsid w:val="00EE3EC4"/>
    <w:rsid w:val="00EE53C1"/>
    <w:rsid w:val="00EF0C39"/>
    <w:rsid w:val="00EF36E1"/>
    <w:rsid w:val="00EF48F5"/>
    <w:rsid w:val="00EF6C8B"/>
    <w:rsid w:val="00F01C8E"/>
    <w:rsid w:val="00F028A5"/>
    <w:rsid w:val="00F02ACE"/>
    <w:rsid w:val="00F03463"/>
    <w:rsid w:val="00F03E2D"/>
    <w:rsid w:val="00F05082"/>
    <w:rsid w:val="00F06AF6"/>
    <w:rsid w:val="00F104DF"/>
    <w:rsid w:val="00F12914"/>
    <w:rsid w:val="00F13825"/>
    <w:rsid w:val="00F1561E"/>
    <w:rsid w:val="00F15B25"/>
    <w:rsid w:val="00F16F36"/>
    <w:rsid w:val="00F20567"/>
    <w:rsid w:val="00F216D8"/>
    <w:rsid w:val="00F21BA6"/>
    <w:rsid w:val="00F2274B"/>
    <w:rsid w:val="00F25709"/>
    <w:rsid w:val="00F26C65"/>
    <w:rsid w:val="00F27A7C"/>
    <w:rsid w:val="00F27E23"/>
    <w:rsid w:val="00F316B5"/>
    <w:rsid w:val="00F32D5E"/>
    <w:rsid w:val="00F34365"/>
    <w:rsid w:val="00F35031"/>
    <w:rsid w:val="00F378E3"/>
    <w:rsid w:val="00F41B36"/>
    <w:rsid w:val="00F42088"/>
    <w:rsid w:val="00F43789"/>
    <w:rsid w:val="00F47855"/>
    <w:rsid w:val="00F50072"/>
    <w:rsid w:val="00F50782"/>
    <w:rsid w:val="00F507C6"/>
    <w:rsid w:val="00F51CCB"/>
    <w:rsid w:val="00F51D19"/>
    <w:rsid w:val="00F530A8"/>
    <w:rsid w:val="00F550A0"/>
    <w:rsid w:val="00F56036"/>
    <w:rsid w:val="00F56168"/>
    <w:rsid w:val="00F6097F"/>
    <w:rsid w:val="00F60B33"/>
    <w:rsid w:val="00F62018"/>
    <w:rsid w:val="00F622BB"/>
    <w:rsid w:val="00F62E83"/>
    <w:rsid w:val="00F65096"/>
    <w:rsid w:val="00F65D8D"/>
    <w:rsid w:val="00F66940"/>
    <w:rsid w:val="00F70847"/>
    <w:rsid w:val="00F70A24"/>
    <w:rsid w:val="00F71565"/>
    <w:rsid w:val="00F7237E"/>
    <w:rsid w:val="00F73D29"/>
    <w:rsid w:val="00F75050"/>
    <w:rsid w:val="00F7642B"/>
    <w:rsid w:val="00F80790"/>
    <w:rsid w:val="00F8238D"/>
    <w:rsid w:val="00F8257C"/>
    <w:rsid w:val="00F839AE"/>
    <w:rsid w:val="00F8788F"/>
    <w:rsid w:val="00F87926"/>
    <w:rsid w:val="00F87B58"/>
    <w:rsid w:val="00F908B7"/>
    <w:rsid w:val="00F91851"/>
    <w:rsid w:val="00F91C5D"/>
    <w:rsid w:val="00F933B4"/>
    <w:rsid w:val="00F936DE"/>
    <w:rsid w:val="00F93F64"/>
    <w:rsid w:val="00F955F5"/>
    <w:rsid w:val="00F9638A"/>
    <w:rsid w:val="00FA03D1"/>
    <w:rsid w:val="00FA0679"/>
    <w:rsid w:val="00FA1A41"/>
    <w:rsid w:val="00FA2ED3"/>
    <w:rsid w:val="00FA3A0C"/>
    <w:rsid w:val="00FA3EA6"/>
    <w:rsid w:val="00FA6B8E"/>
    <w:rsid w:val="00FA7206"/>
    <w:rsid w:val="00FB0D59"/>
    <w:rsid w:val="00FB1BAA"/>
    <w:rsid w:val="00FB1BCD"/>
    <w:rsid w:val="00FB1D33"/>
    <w:rsid w:val="00FB7C3A"/>
    <w:rsid w:val="00FC01D5"/>
    <w:rsid w:val="00FC2034"/>
    <w:rsid w:val="00FC213A"/>
    <w:rsid w:val="00FC387F"/>
    <w:rsid w:val="00FC3E11"/>
    <w:rsid w:val="00FC48F9"/>
    <w:rsid w:val="00FC6A60"/>
    <w:rsid w:val="00FC6F1F"/>
    <w:rsid w:val="00FD34DC"/>
    <w:rsid w:val="00FD37EA"/>
    <w:rsid w:val="00FD3D7D"/>
    <w:rsid w:val="00FD5141"/>
    <w:rsid w:val="00FD5AEA"/>
    <w:rsid w:val="00FD5CCF"/>
    <w:rsid w:val="00FD667D"/>
    <w:rsid w:val="00FE4B1C"/>
    <w:rsid w:val="00FE58DC"/>
    <w:rsid w:val="00FE609B"/>
    <w:rsid w:val="00FE62B8"/>
    <w:rsid w:val="00FE7308"/>
    <w:rsid w:val="00FE7D39"/>
    <w:rsid w:val="00FF3136"/>
    <w:rsid w:val="00FF5473"/>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Lista2">
    <w:name w:val="List 2"/>
    <w:basedOn w:val="Normal"/>
    <w:uiPriority w:val="99"/>
    <w:unhideWhenUsed/>
    <w:rsid w:val="008506E0"/>
    <w:pPr>
      <w:ind w:left="566" w:hanging="283"/>
      <w:contextualSpacing/>
    </w:pPr>
  </w:style>
  <w:style w:type="paragraph" w:styleId="Lista3">
    <w:name w:val="List 3"/>
    <w:basedOn w:val="Normal"/>
    <w:uiPriority w:val="99"/>
    <w:unhideWhenUsed/>
    <w:rsid w:val="008506E0"/>
    <w:pPr>
      <w:ind w:left="849" w:hanging="283"/>
      <w:contextualSpacing/>
    </w:pPr>
  </w:style>
  <w:style w:type="paragraph" w:styleId="Continuarlista">
    <w:name w:val="List Continue"/>
    <w:basedOn w:val="Normal"/>
    <w:uiPriority w:val="99"/>
    <w:unhideWhenUsed/>
    <w:rsid w:val="008506E0"/>
    <w:pPr>
      <w:spacing w:after="120"/>
      <w:ind w:left="283"/>
      <w:contextualSpacing/>
    </w:pPr>
  </w:style>
  <w:style w:type="paragraph" w:styleId="Textoindependiente">
    <w:name w:val="Body Text"/>
    <w:basedOn w:val="Normal"/>
    <w:link w:val="TextoindependienteCar"/>
    <w:uiPriority w:val="99"/>
    <w:unhideWhenUsed/>
    <w:rsid w:val="008506E0"/>
    <w:pPr>
      <w:spacing w:after="120"/>
    </w:pPr>
  </w:style>
  <w:style w:type="character" w:customStyle="1" w:styleId="TextoindependienteCar">
    <w:name w:val="Texto independiente Car"/>
    <w:basedOn w:val="Fuentedeprrafopredeter"/>
    <w:link w:val="Textoindependiente"/>
    <w:uiPriority w:val="99"/>
    <w:rsid w:val="008506E0"/>
    <w:rPr>
      <w:color w:val="000000" w:themeColor="text1"/>
      <w:lang w:eastAsia="es-MX"/>
    </w:rPr>
  </w:style>
  <w:style w:type="paragraph" w:styleId="Sangradetextonormal">
    <w:name w:val="Body Text Indent"/>
    <w:basedOn w:val="Normal"/>
    <w:link w:val="SangradetextonormalCar"/>
    <w:uiPriority w:val="99"/>
    <w:semiHidden/>
    <w:unhideWhenUsed/>
    <w:rsid w:val="008506E0"/>
    <w:pPr>
      <w:spacing w:after="120"/>
      <w:ind w:left="283"/>
    </w:pPr>
  </w:style>
  <w:style w:type="character" w:customStyle="1" w:styleId="SangradetextonormalCar">
    <w:name w:val="Sangría de texto normal Car"/>
    <w:basedOn w:val="Fuentedeprrafopredeter"/>
    <w:link w:val="Sangradetextonormal"/>
    <w:uiPriority w:val="99"/>
    <w:semiHidden/>
    <w:rsid w:val="008506E0"/>
    <w:rPr>
      <w:color w:val="000000" w:themeColor="text1"/>
      <w:lang w:eastAsia="es-MX"/>
    </w:rPr>
  </w:style>
  <w:style w:type="paragraph" w:styleId="Textoindependienteprimerasangra2">
    <w:name w:val="Body Text First Indent 2"/>
    <w:basedOn w:val="Sangradetextonormal"/>
    <w:link w:val="Textoindependienteprimerasangra2Car"/>
    <w:uiPriority w:val="99"/>
    <w:unhideWhenUsed/>
    <w:rsid w:val="008506E0"/>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506E0"/>
    <w:rPr>
      <w:color w:val="000000" w:themeColor="text1"/>
      <w:lang w:eastAsia="es-MX"/>
    </w:rPr>
  </w:style>
  <w:style w:type="character" w:customStyle="1" w:styleId="Mencinsinresolver8">
    <w:name w:val="Mención sin resolver8"/>
    <w:basedOn w:val="Fuentedeprrafopredeter"/>
    <w:uiPriority w:val="99"/>
    <w:semiHidden/>
    <w:unhideWhenUsed/>
    <w:rsid w:val="004E6E1A"/>
    <w:rPr>
      <w:color w:val="605E5C"/>
      <w:shd w:val="clear" w:color="auto" w:fill="E1DFDD"/>
    </w:rPr>
  </w:style>
  <w:style w:type="character" w:customStyle="1" w:styleId="il">
    <w:name w:val="il"/>
    <w:basedOn w:val="Fuentedeprrafopredeter"/>
    <w:rsid w:val="00BC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6969643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07280110">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28303983">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15239102">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28927611">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969016569">
      <w:bodyDiv w:val="1"/>
      <w:marLeft w:val="0"/>
      <w:marRight w:val="0"/>
      <w:marTop w:val="0"/>
      <w:marBottom w:val="0"/>
      <w:divBdr>
        <w:top w:val="none" w:sz="0" w:space="0" w:color="auto"/>
        <w:left w:val="none" w:sz="0" w:space="0" w:color="auto"/>
        <w:bottom w:val="none" w:sz="0" w:space="0" w:color="auto"/>
        <w:right w:val="none" w:sz="0" w:space="0" w:color="auto"/>
      </w:divBdr>
    </w:div>
    <w:div w:id="1018240621">
      <w:bodyDiv w:val="1"/>
      <w:marLeft w:val="0"/>
      <w:marRight w:val="0"/>
      <w:marTop w:val="0"/>
      <w:marBottom w:val="0"/>
      <w:divBdr>
        <w:top w:val="none" w:sz="0" w:space="0" w:color="auto"/>
        <w:left w:val="none" w:sz="0" w:space="0" w:color="auto"/>
        <w:bottom w:val="none" w:sz="0" w:space="0" w:color="auto"/>
        <w:right w:val="none" w:sz="0" w:space="0" w:color="auto"/>
      </w:divBdr>
    </w:div>
    <w:div w:id="102459509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3017193">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1778765">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894093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870A9C-4705-4CDE-A790-C4C327B3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14087</Words>
  <Characters>77481</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2025-11-14T05:22:00Z</cp:lastPrinted>
  <dcterms:created xsi:type="dcterms:W3CDTF">2025-12-08T23:41:00Z</dcterms:created>
  <dcterms:modified xsi:type="dcterms:W3CDTF">2025-12-08T23:41:00Z</dcterms:modified>
</cp:coreProperties>
</file>