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06" w:rsidRPr="005F6E8A" w:rsidRDefault="002B7B06" w:rsidP="005F6E8A">
      <w:pPr>
        <w:widowControl w:val="0"/>
        <w:pBdr>
          <w:top w:val="nil"/>
          <w:left w:val="nil"/>
          <w:bottom w:val="nil"/>
          <w:right w:val="nil"/>
          <w:between w:val="nil"/>
        </w:pBdr>
        <w:spacing w:line="276" w:lineRule="auto"/>
        <w:rPr>
          <w:rFonts w:ascii="Palatino Linotype" w:hAnsi="Palatino Linotype"/>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490CF8" w:rsidRPr="0015693D">
        <w:rPr>
          <w:rFonts w:ascii="Palatino Linotype" w:eastAsia="Palatino Linotype" w:hAnsi="Palatino Linotype" w:cs="Palatino Linotype"/>
        </w:rPr>
        <w:t xml:space="preserve">catorce </w:t>
      </w:r>
      <w:r w:rsidRPr="0015693D">
        <w:rPr>
          <w:rFonts w:ascii="Palatino Linotype" w:eastAsia="Palatino Linotype" w:hAnsi="Palatino Linotype" w:cs="Palatino Linotype"/>
        </w:rPr>
        <w:t xml:space="preserve">de mayo de dos mil veinticinco. </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VISTO</w:t>
      </w:r>
      <w:r w:rsidRPr="0015693D">
        <w:rPr>
          <w:rFonts w:ascii="Palatino Linotype" w:eastAsia="Palatino Linotype" w:hAnsi="Palatino Linotype" w:cs="Palatino Linotype"/>
        </w:rPr>
        <w:t xml:space="preserve"> el expediente electrónico formado con motivo del recurso de revisión </w:t>
      </w:r>
      <w:r w:rsidRPr="0015693D">
        <w:rPr>
          <w:rFonts w:ascii="Palatino Linotype" w:eastAsia="Palatino Linotype" w:hAnsi="Palatino Linotype" w:cs="Palatino Linotype"/>
          <w:b/>
        </w:rPr>
        <w:t xml:space="preserve">04013/INFOEM/IP/RR/2025, </w:t>
      </w:r>
      <w:r w:rsidRPr="0015693D">
        <w:rPr>
          <w:rFonts w:ascii="Palatino Linotype" w:eastAsia="Palatino Linotype" w:hAnsi="Palatino Linotype" w:cs="Palatino Linotype"/>
        </w:rPr>
        <w:t xml:space="preserve">promovido por </w:t>
      </w:r>
      <w:r w:rsidR="00AB024A">
        <w:rPr>
          <w:rFonts w:ascii="Palatino Linotype" w:eastAsia="Palatino Linotype" w:hAnsi="Palatino Linotype" w:cs="Palatino Linotype"/>
          <w:b/>
          <w:bCs/>
        </w:rPr>
        <w:t>XXXX</w:t>
      </w:r>
      <w:r w:rsidRPr="0015693D">
        <w:rPr>
          <w:rFonts w:ascii="Palatino Linotype" w:eastAsia="Palatino Linotype" w:hAnsi="Palatino Linotype" w:cs="Palatino Linotype"/>
          <w:b/>
        </w:rPr>
        <w:t>,</w:t>
      </w:r>
      <w:r w:rsidRPr="0015693D">
        <w:rPr>
          <w:rFonts w:ascii="Palatino Linotype" w:eastAsia="Palatino Linotype" w:hAnsi="Palatino Linotype" w:cs="Palatino Linotype"/>
        </w:rPr>
        <w:t xml:space="preserve"> quien en lo sucesivo se identificará como </w:t>
      </w:r>
      <w:r w:rsidRPr="0015693D">
        <w:rPr>
          <w:rFonts w:ascii="Palatino Linotype" w:eastAsia="Palatino Linotype" w:hAnsi="Palatino Linotype" w:cs="Palatino Linotype"/>
          <w:b/>
        </w:rPr>
        <w:t>EL RECURRENTE</w:t>
      </w:r>
      <w:r w:rsidRPr="0015693D">
        <w:rPr>
          <w:rFonts w:ascii="Palatino Linotype" w:eastAsia="Palatino Linotype" w:hAnsi="Palatino Linotype" w:cs="Palatino Linotype"/>
        </w:rPr>
        <w:t xml:space="preserve">, en contra de la respuesta del </w:t>
      </w:r>
      <w:r w:rsidRPr="0015693D">
        <w:rPr>
          <w:rFonts w:ascii="Palatino Linotype" w:eastAsia="Palatino Linotype" w:hAnsi="Palatino Linotype" w:cs="Palatino Linotype"/>
          <w:b/>
          <w:bCs/>
        </w:rPr>
        <w:t>Ayuntamiento de Otzolotepec</w:t>
      </w:r>
      <w:r w:rsidRPr="0015693D">
        <w:rPr>
          <w:rFonts w:ascii="Palatino Linotype" w:eastAsia="Palatino Linotype" w:hAnsi="Palatino Linotype" w:cs="Palatino Linotype"/>
          <w:b/>
        </w:rPr>
        <w:t xml:space="preserve">, </w:t>
      </w:r>
      <w:r w:rsidRPr="0015693D">
        <w:rPr>
          <w:rFonts w:ascii="Palatino Linotype" w:eastAsia="Palatino Linotype" w:hAnsi="Palatino Linotype" w:cs="Palatino Linotype"/>
        </w:rPr>
        <w:t>en lo sucesivo el</w:t>
      </w:r>
      <w:r w:rsidRPr="0015693D">
        <w:rPr>
          <w:rFonts w:ascii="Palatino Linotype" w:eastAsia="Palatino Linotype" w:hAnsi="Palatino Linotype" w:cs="Palatino Linotype"/>
          <w:b/>
        </w:rPr>
        <w:t xml:space="preserve"> SUJETO OBLIGADO</w:t>
      </w:r>
      <w:r w:rsidRPr="0015693D">
        <w:rPr>
          <w:rFonts w:ascii="Palatino Linotype" w:eastAsia="Palatino Linotype" w:hAnsi="Palatino Linotype" w:cs="Palatino Linotype"/>
        </w:rPr>
        <w:t>, por lo que se procede a dictar la presente resolución, con base en los siguientes:</w:t>
      </w:r>
    </w:p>
    <w:p w:rsidR="002B7B06" w:rsidRPr="0015693D" w:rsidRDefault="002B7B06" w:rsidP="005F6E8A">
      <w:pPr>
        <w:spacing w:line="360" w:lineRule="auto"/>
        <w:jc w:val="both"/>
        <w:rPr>
          <w:rFonts w:ascii="Palatino Linotype" w:eastAsia="Palatino Linotype" w:hAnsi="Palatino Linotype" w:cs="Palatino Linotype"/>
          <w:b/>
        </w:rPr>
      </w:pPr>
    </w:p>
    <w:p w:rsidR="002B7B06" w:rsidRPr="0015693D" w:rsidRDefault="002B7B06" w:rsidP="005F6E8A">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15693D">
        <w:rPr>
          <w:rFonts w:ascii="Palatino Linotype" w:eastAsia="Palatino Linotype" w:hAnsi="Palatino Linotype" w:cs="Palatino Linotype"/>
          <w:b/>
        </w:rPr>
        <w:t>ANTECEDENTES</w:t>
      </w:r>
    </w:p>
    <w:p w:rsidR="002B7B06" w:rsidRPr="0015693D" w:rsidRDefault="002B7B06" w:rsidP="005F6E8A">
      <w:pPr>
        <w:spacing w:line="360" w:lineRule="auto"/>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w:t>
      </w:r>
      <w:r w:rsidRPr="0015693D">
        <w:rPr>
          <w:rFonts w:ascii="Palatino Linotype" w:eastAsia="Palatino Linotype" w:hAnsi="Palatino Linotype" w:cs="Palatino Linotype"/>
          <w:b/>
        </w:rPr>
        <w:t>veinticuatro de marzo de dos mil veinticinco</w:t>
      </w:r>
      <w:r w:rsidRPr="0015693D">
        <w:rPr>
          <w:rFonts w:ascii="Palatino Linotype" w:eastAsia="Palatino Linotype" w:hAnsi="Palatino Linotype" w:cs="Palatino Linotype"/>
        </w:rPr>
        <w:t xml:space="preserve">, </w:t>
      </w:r>
      <w:r w:rsidRPr="0015693D">
        <w:rPr>
          <w:rFonts w:ascii="Palatino Linotype" w:eastAsia="Palatino Linotype" w:hAnsi="Palatino Linotype" w:cs="Palatino Linotype"/>
          <w:b/>
        </w:rPr>
        <w:t>EL RECURRENTE,</w:t>
      </w:r>
      <w:r w:rsidRPr="0015693D">
        <w:rPr>
          <w:rFonts w:ascii="Palatino Linotype" w:eastAsia="Palatino Linotype" w:hAnsi="Palatino Linotype" w:cs="Palatino Linotype"/>
        </w:rPr>
        <w:t xml:space="preserve"> ante el </w:t>
      </w:r>
      <w:r w:rsidRPr="0015693D">
        <w:rPr>
          <w:rFonts w:ascii="Palatino Linotype" w:eastAsia="Palatino Linotype" w:hAnsi="Palatino Linotype" w:cs="Palatino Linotype"/>
          <w:b/>
        </w:rPr>
        <w:t>SUJETO OBLIGADO</w:t>
      </w:r>
      <w:r w:rsidRPr="0015693D">
        <w:rPr>
          <w:rFonts w:ascii="Palatino Linotype" w:eastAsia="Palatino Linotype" w:hAnsi="Palatino Linotype" w:cs="Palatino Linotype"/>
        </w:rPr>
        <w:t xml:space="preserve"> vía Sistema de Acceso a la Información Mexiquense (</w:t>
      </w:r>
      <w:r w:rsidRPr="0015693D">
        <w:rPr>
          <w:rFonts w:ascii="Palatino Linotype" w:eastAsia="Palatino Linotype" w:hAnsi="Palatino Linotype" w:cs="Palatino Linotype"/>
          <w:b/>
        </w:rPr>
        <w:t>SAIMEX)</w:t>
      </w:r>
      <w:r w:rsidRPr="0015693D">
        <w:rPr>
          <w:rFonts w:ascii="Palatino Linotype" w:eastAsia="Palatino Linotype" w:hAnsi="Palatino Linotype" w:cs="Palatino Linotype"/>
        </w:rPr>
        <w:t xml:space="preserve">, presentó la solicitud de información registrada con el número </w:t>
      </w:r>
      <w:r w:rsidRPr="0015693D">
        <w:rPr>
          <w:rFonts w:ascii="Palatino Linotype" w:eastAsia="Palatino Linotype" w:hAnsi="Palatino Linotype" w:cs="Palatino Linotype"/>
          <w:b/>
          <w:bCs/>
        </w:rPr>
        <w:t>00155/OTZOLOTE/IP/2025</w:t>
      </w:r>
      <w:r w:rsidRPr="0015693D">
        <w:rPr>
          <w:rFonts w:ascii="Palatino Linotype" w:eastAsia="Palatino Linotype" w:hAnsi="Palatino Linotype" w:cs="Palatino Linotype"/>
          <w:b/>
        </w:rPr>
        <w:t xml:space="preserve">, </w:t>
      </w:r>
      <w:r w:rsidRPr="0015693D">
        <w:rPr>
          <w:rFonts w:ascii="Palatino Linotype" w:eastAsia="Palatino Linotype" w:hAnsi="Palatino Linotype" w:cs="Palatino Linotype"/>
        </w:rPr>
        <w:t>mediante las cuales solicitó lo siguiente:</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 “Solicito lista d</w:t>
      </w:r>
      <w:bookmarkStart w:id="1" w:name="_GoBack"/>
      <w:bookmarkEnd w:id="1"/>
      <w:r w:rsidRPr="0015693D">
        <w:rPr>
          <w:rFonts w:ascii="Palatino Linotype" w:eastAsia="Palatino Linotype" w:hAnsi="Palatino Linotype" w:cs="Palatino Linotype"/>
          <w:i/>
        </w:rPr>
        <w:t xml:space="preserve">e Raya de los meses Enero, Febrero y Marzo 2025 a </w:t>
      </w:r>
      <w:proofErr w:type="spellStart"/>
      <w:r w:rsidRPr="0015693D">
        <w:rPr>
          <w:rFonts w:ascii="Palatino Linotype" w:eastAsia="Palatino Linotype" w:hAnsi="Palatino Linotype" w:cs="Palatino Linotype"/>
          <w:i/>
        </w:rPr>
        <w:t>traves</w:t>
      </w:r>
      <w:proofErr w:type="spellEnd"/>
      <w:r w:rsidRPr="0015693D">
        <w:rPr>
          <w:rFonts w:ascii="Palatino Linotype" w:eastAsia="Palatino Linotype" w:hAnsi="Palatino Linotype" w:cs="Palatino Linotype"/>
          <w:i/>
        </w:rPr>
        <w:t xml:space="preserve"> de este Portal SAIMEX, pudiendo ser cargada la información de forma </w:t>
      </w:r>
      <w:proofErr w:type="spellStart"/>
      <w:r w:rsidRPr="0015693D">
        <w:rPr>
          <w:rFonts w:ascii="Palatino Linotype" w:eastAsia="Palatino Linotype" w:hAnsi="Palatino Linotype" w:cs="Palatino Linotype"/>
          <w:i/>
        </w:rPr>
        <w:t>electronica</w:t>
      </w:r>
      <w:proofErr w:type="spellEnd"/>
      <w:r w:rsidRPr="0015693D">
        <w:rPr>
          <w:rFonts w:ascii="Palatino Linotype" w:eastAsia="Palatino Linotype" w:hAnsi="Palatino Linotype" w:cs="Palatino Linotype"/>
          <w:i/>
        </w:rPr>
        <w:t xml:space="preserve">, derivado que hoy en día el uso de </w:t>
      </w:r>
      <w:proofErr w:type="spellStart"/>
      <w:r w:rsidRPr="0015693D">
        <w:rPr>
          <w:rFonts w:ascii="Palatino Linotype" w:eastAsia="Palatino Linotype" w:hAnsi="Palatino Linotype" w:cs="Palatino Linotype"/>
          <w:i/>
        </w:rPr>
        <w:t>macrodatos</w:t>
      </w:r>
      <w:proofErr w:type="spellEnd"/>
      <w:r w:rsidRPr="0015693D">
        <w:rPr>
          <w:rFonts w:ascii="Palatino Linotype" w:eastAsia="Palatino Linotype" w:hAnsi="Palatino Linotype" w:cs="Palatino Linotype"/>
          <w:i/>
        </w:rPr>
        <w:t xml:space="preserve"> se realiza </w:t>
      </w:r>
      <w:proofErr w:type="spellStart"/>
      <w:r w:rsidRPr="0015693D">
        <w:rPr>
          <w:rFonts w:ascii="Palatino Linotype" w:eastAsia="Palatino Linotype" w:hAnsi="Palatino Linotype" w:cs="Palatino Linotype"/>
          <w:i/>
        </w:rPr>
        <w:t>minimo</w:t>
      </w:r>
      <w:proofErr w:type="spellEnd"/>
      <w:r w:rsidRPr="0015693D">
        <w:rPr>
          <w:rFonts w:ascii="Palatino Linotype" w:eastAsia="Palatino Linotype" w:hAnsi="Palatino Linotype" w:cs="Palatino Linotype"/>
          <w:i/>
        </w:rPr>
        <w:t xml:space="preserve">. </w:t>
      </w:r>
      <w:proofErr w:type="gramStart"/>
      <w:r w:rsidRPr="0015693D">
        <w:rPr>
          <w:rFonts w:ascii="Palatino Linotype" w:eastAsia="Palatino Linotype" w:hAnsi="Palatino Linotype" w:cs="Palatino Linotype"/>
          <w:i/>
        </w:rPr>
        <w:t>en</w:t>
      </w:r>
      <w:proofErr w:type="gramEnd"/>
      <w:r w:rsidRPr="0015693D">
        <w:rPr>
          <w:rFonts w:ascii="Palatino Linotype" w:eastAsia="Palatino Linotype" w:hAnsi="Palatino Linotype" w:cs="Palatino Linotype"/>
          <w:i/>
        </w:rPr>
        <w:t xml:space="preserve"> un archivo de Excel.” (Sic) </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Se señaló como modalidad de entrega a través de SAIMEX.</w:t>
      </w:r>
    </w:p>
    <w:p w:rsidR="002B7B06" w:rsidRPr="0015693D" w:rsidRDefault="002B7B06" w:rsidP="005F6E8A">
      <w:pPr>
        <w:rPr>
          <w:rFonts w:ascii="Palatino Linotype" w:eastAsia="Palatino Linotype" w:hAnsi="Palatino Linotype" w:cs="Palatino Linotype"/>
        </w:rPr>
      </w:pPr>
    </w:p>
    <w:p w:rsidR="002B7B06" w:rsidRPr="0015693D" w:rsidRDefault="002B7B06" w:rsidP="005F6E8A">
      <w:pPr>
        <w:rPr>
          <w:rFonts w:ascii="Palatino Linotype" w:eastAsia="Palatino Linotype" w:hAnsi="Palatino Linotype" w:cs="Palatino Linotype"/>
        </w:rPr>
      </w:pPr>
    </w:p>
    <w:p w:rsidR="002B7B06" w:rsidRPr="0015693D" w:rsidRDefault="002B7B06" w:rsidP="005F6E8A">
      <w:pPr>
        <w:pStyle w:val="Prrafodelista"/>
        <w:ind w:left="0"/>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w:t>
      </w:r>
      <w:r w:rsidRPr="0015693D">
        <w:rPr>
          <w:rFonts w:ascii="Palatino Linotype" w:eastAsia="Palatino Linotype" w:hAnsi="Palatino Linotype" w:cs="Palatino Linotype"/>
          <w:b/>
        </w:rPr>
        <w:t>veintisiete de marzo de dos mil veinticinco</w:t>
      </w:r>
      <w:r w:rsidRPr="0015693D">
        <w:rPr>
          <w:rFonts w:ascii="Palatino Linotype" w:eastAsia="Palatino Linotype" w:hAnsi="Palatino Linotype" w:cs="Palatino Linotype"/>
        </w:rPr>
        <w:t xml:space="preserve">, el </w:t>
      </w:r>
      <w:r w:rsidRPr="0015693D">
        <w:rPr>
          <w:rFonts w:ascii="Palatino Linotype" w:eastAsia="Palatino Linotype" w:hAnsi="Palatino Linotype" w:cs="Palatino Linotype"/>
          <w:b/>
        </w:rPr>
        <w:t>SUJETO OBLIGADO</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rPr>
        <w:t>dio respuesta a las solicitud de información en el siguiente sentido:</w:t>
      </w:r>
    </w:p>
    <w:p w:rsidR="002B7B06" w:rsidRPr="0015693D" w:rsidRDefault="002B7B06" w:rsidP="005F6E8A">
      <w:pPr>
        <w:spacing w:line="360" w:lineRule="auto"/>
        <w:jc w:val="both"/>
        <w:rPr>
          <w:rFonts w:ascii="Palatino Linotype" w:eastAsia="Palatino Linotype" w:hAnsi="Palatino Linotype" w:cs="Palatino Linotype"/>
        </w:rPr>
      </w:pPr>
    </w:p>
    <w:tbl>
      <w:tblPr>
        <w:tblW w:w="7533" w:type="dxa"/>
        <w:jc w:val="center"/>
        <w:tblCellSpacing w:w="0" w:type="dxa"/>
        <w:tblCellMar>
          <w:left w:w="0" w:type="dxa"/>
          <w:right w:w="0" w:type="dxa"/>
        </w:tblCellMar>
        <w:tblLook w:val="04A0" w:firstRow="1" w:lastRow="0" w:firstColumn="1" w:lastColumn="0" w:noHBand="0" w:noVBand="1"/>
      </w:tblPr>
      <w:tblGrid>
        <w:gridCol w:w="7533"/>
      </w:tblGrid>
      <w:tr w:rsidR="002B7B06" w:rsidRPr="0015693D" w:rsidTr="002B7B06">
        <w:trPr>
          <w:trHeight w:val="324"/>
          <w:tblCellSpacing w:w="0" w:type="dxa"/>
          <w:jc w:val="center"/>
        </w:trPr>
        <w:tc>
          <w:tcPr>
            <w:tcW w:w="0" w:type="auto"/>
            <w:vAlign w:val="center"/>
            <w:hideMark/>
          </w:tcPr>
          <w:p w:rsidR="002B7B06" w:rsidRPr="0015693D" w:rsidRDefault="002B7B06" w:rsidP="005F6E8A">
            <w:pPr>
              <w:jc w:val="right"/>
              <w:rPr>
                <w:rFonts w:ascii="Palatino Linotype" w:hAnsi="Palatino Linotype"/>
                <w:i/>
              </w:rPr>
            </w:pPr>
            <w:r w:rsidRPr="0015693D">
              <w:rPr>
                <w:rFonts w:ascii="Palatino Linotype" w:hAnsi="Palatino Linotype"/>
                <w:i/>
              </w:rPr>
              <w:t>Otzolotepec, México a 27 de Marzo de 2025</w:t>
            </w:r>
          </w:p>
        </w:tc>
      </w:tr>
      <w:tr w:rsidR="002B7B06" w:rsidRPr="0015693D" w:rsidTr="002B7B06">
        <w:trPr>
          <w:trHeight w:val="324"/>
          <w:tblCellSpacing w:w="0" w:type="dxa"/>
          <w:jc w:val="center"/>
        </w:trPr>
        <w:tc>
          <w:tcPr>
            <w:tcW w:w="0" w:type="auto"/>
            <w:vAlign w:val="center"/>
            <w:hideMark/>
          </w:tcPr>
          <w:p w:rsidR="002B7B06" w:rsidRPr="0015693D" w:rsidRDefault="002B7B06" w:rsidP="005F6E8A">
            <w:pPr>
              <w:jc w:val="right"/>
              <w:rPr>
                <w:rFonts w:ascii="Palatino Linotype" w:hAnsi="Palatino Linotype"/>
                <w:i/>
              </w:rPr>
            </w:pPr>
            <w:r w:rsidRPr="0015693D">
              <w:rPr>
                <w:rFonts w:ascii="Palatino Linotype" w:hAnsi="Palatino Linotype"/>
                <w:i/>
              </w:rPr>
              <w:t>Nombre del solicitante: C. Solicitante</w:t>
            </w:r>
          </w:p>
        </w:tc>
      </w:tr>
      <w:tr w:rsidR="002B7B06" w:rsidRPr="0015693D" w:rsidTr="002B7B06">
        <w:trPr>
          <w:trHeight w:val="324"/>
          <w:tblCellSpacing w:w="0" w:type="dxa"/>
          <w:jc w:val="center"/>
        </w:trPr>
        <w:tc>
          <w:tcPr>
            <w:tcW w:w="0" w:type="auto"/>
            <w:vAlign w:val="center"/>
            <w:hideMark/>
          </w:tcPr>
          <w:p w:rsidR="002B7B06" w:rsidRPr="0015693D" w:rsidRDefault="002B7B06" w:rsidP="005F6E8A">
            <w:pPr>
              <w:jc w:val="right"/>
              <w:rPr>
                <w:rFonts w:ascii="Palatino Linotype" w:hAnsi="Palatino Linotype"/>
                <w:i/>
              </w:rPr>
            </w:pPr>
            <w:r w:rsidRPr="0015693D">
              <w:rPr>
                <w:rFonts w:ascii="Palatino Linotype" w:hAnsi="Palatino Linotype"/>
                <w:i/>
              </w:rPr>
              <w:t>Folio de la solicitud: 00155/OTZOLOTE/IP/2025</w:t>
            </w:r>
          </w:p>
        </w:tc>
      </w:tr>
      <w:tr w:rsidR="002B7B06" w:rsidRPr="0015693D" w:rsidTr="002B7B06">
        <w:trPr>
          <w:trHeight w:val="406"/>
          <w:tblCellSpacing w:w="0" w:type="dxa"/>
          <w:jc w:val="center"/>
        </w:trPr>
        <w:tc>
          <w:tcPr>
            <w:tcW w:w="0" w:type="auto"/>
            <w:vAlign w:val="center"/>
            <w:hideMark/>
          </w:tcPr>
          <w:p w:rsidR="002B7B06" w:rsidRPr="0015693D" w:rsidRDefault="002B7B06" w:rsidP="005F6E8A">
            <w:pPr>
              <w:rPr>
                <w:rFonts w:ascii="Palatino Linotype" w:hAnsi="Palatino Linotype"/>
                <w:i/>
              </w:rPr>
            </w:pPr>
          </w:p>
        </w:tc>
      </w:tr>
      <w:tr w:rsidR="002B7B06" w:rsidRPr="0015693D" w:rsidTr="002B7B06">
        <w:trPr>
          <w:trHeight w:val="161"/>
          <w:tblCellSpacing w:w="0" w:type="dxa"/>
          <w:jc w:val="center"/>
        </w:trPr>
        <w:tc>
          <w:tcPr>
            <w:tcW w:w="0" w:type="auto"/>
            <w:vAlign w:val="center"/>
            <w:hideMark/>
          </w:tcPr>
          <w:p w:rsidR="002B7B06" w:rsidRPr="0015693D" w:rsidRDefault="002B7B06" w:rsidP="005F6E8A">
            <w:pPr>
              <w:jc w:val="both"/>
              <w:rPr>
                <w:rFonts w:ascii="Palatino Linotype" w:hAnsi="Palatino Linotype"/>
                <w:i/>
              </w:rPr>
            </w:pPr>
            <w:r w:rsidRPr="0015693D">
              <w:rPr>
                <w:rFonts w:ascii="Palatino Linotype" w:hAnsi="Palatino Linotype"/>
                <w:i/>
              </w:rPr>
              <w:t xml:space="preserve">Estimado solicitante: En atención a su solicitud de acceso a la información pública con folio 00155/OTZOLOTE/IP/2025, en la que requirió lo siguiente: "Solicito lista de Raya de los meses Enero, Febrero y Marzo 2025 a </w:t>
            </w:r>
            <w:proofErr w:type="spellStart"/>
            <w:r w:rsidRPr="0015693D">
              <w:rPr>
                <w:rFonts w:ascii="Palatino Linotype" w:hAnsi="Palatino Linotype"/>
                <w:i/>
              </w:rPr>
              <w:t>traves</w:t>
            </w:r>
            <w:proofErr w:type="spellEnd"/>
            <w:r w:rsidRPr="0015693D">
              <w:rPr>
                <w:rFonts w:ascii="Palatino Linotype" w:hAnsi="Palatino Linotype"/>
                <w:i/>
              </w:rPr>
              <w:t xml:space="preserve"> de este Portal SAIMEX, pudiendo ser cargada la información de forma </w:t>
            </w:r>
            <w:proofErr w:type="spellStart"/>
            <w:r w:rsidRPr="0015693D">
              <w:rPr>
                <w:rFonts w:ascii="Palatino Linotype" w:hAnsi="Palatino Linotype"/>
                <w:i/>
              </w:rPr>
              <w:t>electronica</w:t>
            </w:r>
            <w:proofErr w:type="spellEnd"/>
            <w:r w:rsidRPr="0015693D">
              <w:rPr>
                <w:rFonts w:ascii="Palatino Linotype" w:hAnsi="Palatino Linotype"/>
                <w:i/>
              </w:rPr>
              <w:t xml:space="preserve">, derivado que hoy en día el uso de </w:t>
            </w:r>
            <w:proofErr w:type="spellStart"/>
            <w:r w:rsidRPr="0015693D">
              <w:rPr>
                <w:rFonts w:ascii="Palatino Linotype" w:hAnsi="Palatino Linotype"/>
                <w:i/>
              </w:rPr>
              <w:t>macrodatos</w:t>
            </w:r>
            <w:proofErr w:type="spellEnd"/>
            <w:r w:rsidRPr="0015693D">
              <w:rPr>
                <w:rFonts w:ascii="Palatino Linotype" w:hAnsi="Palatino Linotype"/>
                <w:i/>
              </w:rPr>
              <w:t xml:space="preserve"> se realiza </w:t>
            </w:r>
            <w:proofErr w:type="spellStart"/>
            <w:r w:rsidRPr="0015693D">
              <w:rPr>
                <w:rFonts w:ascii="Palatino Linotype" w:hAnsi="Palatino Linotype"/>
                <w:i/>
              </w:rPr>
              <w:t>minimo</w:t>
            </w:r>
            <w:proofErr w:type="spellEnd"/>
            <w:r w:rsidRPr="0015693D">
              <w:rPr>
                <w:rFonts w:ascii="Palatino Linotype" w:hAnsi="Palatino Linotype"/>
                <w:i/>
              </w:rPr>
              <w:t xml:space="preserve">. </w:t>
            </w:r>
            <w:proofErr w:type="gramStart"/>
            <w:r w:rsidRPr="0015693D">
              <w:rPr>
                <w:rFonts w:ascii="Palatino Linotype" w:hAnsi="Palatino Linotype"/>
                <w:i/>
              </w:rPr>
              <w:t>en</w:t>
            </w:r>
            <w:proofErr w:type="gramEnd"/>
            <w:r w:rsidRPr="0015693D">
              <w:rPr>
                <w:rFonts w:ascii="Palatino Linotype" w:hAnsi="Palatino Linotype"/>
                <w:i/>
              </w:rPr>
              <w:t xml:space="preserve"> un archivo de Excel.” (Sic) Con fundamento en el artículo 163 de la Ley de Transparencia y Acceso a la Información Pública del Estado de México y Municipios y con base a la información proporcionada por LIC. MARCO FLAVIO RIVERA COLÍN TESORERO MUNICIPAL, se ponen a su disposición el oficio número OTZ/TM/703/2025, para su consulta.</w:t>
            </w:r>
          </w:p>
        </w:tc>
      </w:tr>
      <w:tr w:rsidR="002B7B06" w:rsidRPr="0015693D" w:rsidTr="002B7B06">
        <w:trPr>
          <w:trHeight w:val="406"/>
          <w:tblCellSpacing w:w="0" w:type="dxa"/>
          <w:jc w:val="center"/>
        </w:trPr>
        <w:tc>
          <w:tcPr>
            <w:tcW w:w="0" w:type="auto"/>
            <w:vAlign w:val="center"/>
            <w:hideMark/>
          </w:tcPr>
          <w:p w:rsidR="002B7B06" w:rsidRPr="0015693D" w:rsidRDefault="002B7B06" w:rsidP="005F6E8A">
            <w:pPr>
              <w:rPr>
                <w:rFonts w:ascii="Palatino Linotype" w:hAnsi="Palatino Linotype"/>
                <w:i/>
              </w:rPr>
            </w:pPr>
          </w:p>
        </w:tc>
      </w:tr>
      <w:tr w:rsidR="002B7B06" w:rsidRPr="0015693D" w:rsidTr="002B7B06">
        <w:trPr>
          <w:trHeight w:val="161"/>
          <w:tblCellSpacing w:w="0" w:type="dxa"/>
          <w:jc w:val="center"/>
        </w:trPr>
        <w:tc>
          <w:tcPr>
            <w:tcW w:w="0" w:type="auto"/>
            <w:vAlign w:val="center"/>
            <w:hideMark/>
          </w:tcPr>
          <w:p w:rsidR="002B7B06" w:rsidRPr="0015693D" w:rsidRDefault="002B7B06" w:rsidP="005F6E8A">
            <w:pPr>
              <w:jc w:val="center"/>
              <w:rPr>
                <w:rFonts w:ascii="Palatino Linotype" w:hAnsi="Palatino Linotype"/>
                <w:i/>
              </w:rPr>
            </w:pPr>
          </w:p>
        </w:tc>
      </w:tr>
      <w:tr w:rsidR="002B7B06" w:rsidRPr="0015693D" w:rsidTr="002B7B06">
        <w:trPr>
          <w:trHeight w:val="161"/>
          <w:tblCellSpacing w:w="0" w:type="dxa"/>
          <w:jc w:val="center"/>
        </w:trPr>
        <w:tc>
          <w:tcPr>
            <w:tcW w:w="0" w:type="auto"/>
            <w:vAlign w:val="center"/>
            <w:hideMark/>
          </w:tcPr>
          <w:p w:rsidR="002B7B06" w:rsidRPr="0015693D" w:rsidRDefault="002B7B06" w:rsidP="005F6E8A">
            <w:pPr>
              <w:rPr>
                <w:rFonts w:ascii="Palatino Linotype" w:hAnsi="Palatino Linotype"/>
                <w:i/>
              </w:rPr>
            </w:pPr>
          </w:p>
        </w:tc>
      </w:tr>
      <w:tr w:rsidR="002B7B06" w:rsidRPr="0015693D" w:rsidTr="002B7B06">
        <w:trPr>
          <w:trHeight w:val="161"/>
          <w:tblCellSpacing w:w="0" w:type="dxa"/>
          <w:jc w:val="center"/>
        </w:trPr>
        <w:tc>
          <w:tcPr>
            <w:tcW w:w="0" w:type="auto"/>
            <w:vAlign w:val="center"/>
            <w:hideMark/>
          </w:tcPr>
          <w:p w:rsidR="002B7B06" w:rsidRPr="0015693D" w:rsidRDefault="002B7B06" w:rsidP="005F6E8A">
            <w:pPr>
              <w:rPr>
                <w:rFonts w:ascii="Palatino Linotype" w:hAnsi="Palatino Linotype"/>
                <w:i/>
              </w:rPr>
            </w:pPr>
            <w:r w:rsidRPr="0015693D">
              <w:rPr>
                <w:rFonts w:ascii="Palatino Linotype" w:hAnsi="Palatino Linotype"/>
                <w:i/>
              </w:rPr>
              <w:t>ATENTAMENTE</w:t>
            </w:r>
          </w:p>
        </w:tc>
      </w:tr>
      <w:tr w:rsidR="002B7B06" w:rsidRPr="0015693D" w:rsidTr="002B7B06">
        <w:trPr>
          <w:trHeight w:val="243"/>
          <w:tblCellSpacing w:w="0" w:type="dxa"/>
          <w:jc w:val="center"/>
        </w:trPr>
        <w:tc>
          <w:tcPr>
            <w:tcW w:w="0" w:type="auto"/>
            <w:vAlign w:val="center"/>
            <w:hideMark/>
          </w:tcPr>
          <w:p w:rsidR="002B7B06" w:rsidRPr="0015693D" w:rsidRDefault="002B7B06" w:rsidP="005F6E8A">
            <w:pPr>
              <w:rPr>
                <w:rFonts w:ascii="Palatino Linotype" w:hAnsi="Palatino Linotype"/>
                <w:i/>
              </w:rPr>
            </w:pPr>
          </w:p>
        </w:tc>
      </w:tr>
      <w:tr w:rsidR="002B7B06" w:rsidRPr="0015693D" w:rsidTr="002B7B06">
        <w:trPr>
          <w:trHeight w:val="161"/>
          <w:tblCellSpacing w:w="0" w:type="dxa"/>
          <w:jc w:val="center"/>
        </w:trPr>
        <w:tc>
          <w:tcPr>
            <w:tcW w:w="0" w:type="auto"/>
            <w:vAlign w:val="center"/>
            <w:hideMark/>
          </w:tcPr>
          <w:p w:rsidR="002B7B06" w:rsidRPr="0015693D" w:rsidRDefault="002B7B06" w:rsidP="005F6E8A">
            <w:pPr>
              <w:rPr>
                <w:rFonts w:ascii="Palatino Linotype" w:hAnsi="Palatino Linotype"/>
                <w:i/>
              </w:rPr>
            </w:pPr>
            <w:r w:rsidRPr="0015693D">
              <w:rPr>
                <w:rFonts w:ascii="Palatino Linotype" w:hAnsi="Palatino Linotype"/>
                <w:i/>
              </w:rPr>
              <w:t>LIC. EN G. KAREN MEJIA GARCIA</w:t>
            </w:r>
          </w:p>
        </w:tc>
      </w:tr>
    </w:tbl>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pStyle w:val="Prrafodelista"/>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A la respuesta se adjuntó el archivo electrónico denominado </w:t>
      </w:r>
      <w:hyperlink r:id="rId7" w:tgtFrame="_blank" w:history="1">
        <w:r w:rsidRPr="0015693D">
          <w:rPr>
            <w:rStyle w:val="Hipervnculo"/>
            <w:rFonts w:ascii="Palatino Linotype" w:eastAsia="Palatino Linotype" w:hAnsi="Palatino Linotype" w:cs="Palatino Linotype"/>
            <w:b/>
            <w:bCs/>
          </w:rPr>
          <w:t>RESPUETA DE LA SOLO 00155.pdf</w:t>
        </w:r>
      </w:hyperlink>
      <w:r w:rsidRPr="0015693D">
        <w:rPr>
          <w:rFonts w:ascii="Palatino Linotype" w:eastAsia="Palatino Linotype" w:hAnsi="Palatino Linotype" w:cs="Palatino Linotype"/>
        </w:rPr>
        <w:t>, en el que se advierte el oficio número OTZ/TM/730/2025 de fecha veintisiete de marzo de dos mil veinticinco, suscrito por el Tesorero Municipal, quien señaló que no se encontró la información solicitada.</w:t>
      </w:r>
    </w:p>
    <w:p w:rsidR="002B7B06" w:rsidRPr="0015693D" w:rsidRDefault="002B7B06" w:rsidP="005F6E8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w:t>
      </w:r>
      <w:r w:rsidR="002C5D3B" w:rsidRPr="0015693D">
        <w:rPr>
          <w:rFonts w:ascii="Palatino Linotype" w:eastAsia="Palatino Linotype" w:hAnsi="Palatino Linotype" w:cs="Palatino Linotype"/>
          <w:b/>
        </w:rPr>
        <w:t>cuatro de abril</w:t>
      </w:r>
      <w:r w:rsidRPr="0015693D">
        <w:rPr>
          <w:rFonts w:ascii="Palatino Linotype" w:eastAsia="Palatino Linotype" w:hAnsi="Palatino Linotype" w:cs="Palatino Linotype"/>
          <w:b/>
        </w:rPr>
        <w:t xml:space="preserve"> de dos mil veinticinco</w:t>
      </w:r>
      <w:r w:rsidRPr="0015693D">
        <w:rPr>
          <w:rFonts w:ascii="Palatino Linotype" w:eastAsia="Palatino Linotype" w:hAnsi="Palatino Linotype" w:cs="Palatino Linotype"/>
        </w:rPr>
        <w:t xml:space="preserve">, </w:t>
      </w:r>
      <w:r w:rsidRPr="0015693D">
        <w:rPr>
          <w:rFonts w:ascii="Palatino Linotype" w:eastAsia="Palatino Linotype" w:hAnsi="Palatino Linotype" w:cs="Palatino Linotype"/>
          <w:b/>
        </w:rPr>
        <w:t>EL RECURRENTE</w:t>
      </w:r>
      <w:r w:rsidRPr="0015693D">
        <w:rPr>
          <w:rFonts w:ascii="Palatino Linotype" w:eastAsia="Palatino Linotype" w:hAnsi="Palatino Linotype" w:cs="Palatino Linotype"/>
        </w:rPr>
        <w:t xml:space="preserve"> interpuso el recurso de revisión, en contra de la respuesta, señalando como:</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i/>
        </w:rPr>
      </w:pPr>
      <w:r w:rsidRPr="0015693D">
        <w:rPr>
          <w:rFonts w:ascii="Palatino Linotype" w:eastAsia="Palatino Linotype" w:hAnsi="Palatino Linotype" w:cs="Palatino Linotype"/>
          <w:b/>
        </w:rPr>
        <w:t>Acto impugnado</w:t>
      </w:r>
      <w:r w:rsidRPr="0015693D">
        <w:rPr>
          <w:rFonts w:ascii="Palatino Linotype" w:eastAsia="Palatino Linotype" w:hAnsi="Palatino Linotype" w:cs="Palatino Linotype"/>
          <w:b/>
          <w:i/>
        </w:rPr>
        <w:t>:</w:t>
      </w:r>
      <w:r w:rsidRPr="0015693D">
        <w:rPr>
          <w:rFonts w:ascii="Palatino Linotype" w:eastAsia="Palatino Linotype" w:hAnsi="Palatino Linotype" w:cs="Palatino Linotype"/>
          <w:i/>
        </w:rPr>
        <w:t xml:space="preserve"> "</w:t>
      </w:r>
      <w:r w:rsidR="002C5D3B" w:rsidRPr="0015693D">
        <w:rPr>
          <w:rFonts w:ascii="Palatino Linotype" w:hAnsi="Palatino Linotype"/>
          <w:color w:val="000000"/>
        </w:rPr>
        <w:t xml:space="preserve"> </w:t>
      </w:r>
      <w:r w:rsidR="002C5D3B" w:rsidRPr="0015693D">
        <w:rPr>
          <w:rFonts w:ascii="Palatino Linotype" w:eastAsia="Palatino Linotype" w:hAnsi="Palatino Linotype" w:cs="Palatino Linotype"/>
          <w:i/>
        </w:rPr>
        <w:t>El SUJETO OBLIGADO SE NIEGA A ENTREGAR INFORMACION ARGUMENTANDO QUE NO ENCONTRO INFORMACION</w:t>
      </w:r>
      <w:r w:rsidRPr="0015693D">
        <w:rPr>
          <w:rFonts w:ascii="Palatino Linotype" w:eastAsia="Palatino Linotype" w:hAnsi="Palatino Linotype" w:cs="Palatino Linotype"/>
          <w:i/>
        </w:rPr>
        <w:t>" (Sic)</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Razones o Motivos de inconformidad: “</w:t>
      </w:r>
      <w:r w:rsidR="002C5D3B" w:rsidRPr="0015693D">
        <w:rPr>
          <w:rFonts w:ascii="Palatino Linotype" w:eastAsia="Palatino Linotype" w:hAnsi="Palatino Linotype" w:cs="Palatino Linotype"/>
          <w:i/>
        </w:rPr>
        <w:t>LA INFORMACION CONSIDERADA LISTA DE RAYA SE GENERA MES A MES AL. TRATARSE DE UN MOVIMIENTO CONTABLE, POR LO. QUE NO ES POSIBLE SU INEXISTENCIA COMO. ARGUMENTA EL SUJETO OBLIGADO.</w:t>
      </w:r>
      <w:r w:rsidRPr="0015693D">
        <w:rPr>
          <w:rFonts w:ascii="Palatino Linotype" w:eastAsia="Palatino Linotype" w:hAnsi="Palatino Linotype" w:cs="Palatino Linotype"/>
          <w:i/>
        </w:rPr>
        <w:t>” (Sic)</w:t>
      </w:r>
      <w:r w:rsidRPr="0015693D">
        <w:rPr>
          <w:rFonts w:ascii="Palatino Linotype" w:eastAsia="Palatino Linotype" w:hAnsi="Palatino Linotype" w:cs="Palatino Linotype"/>
        </w:rPr>
        <w:t xml:space="preserve">. </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15693D">
        <w:rPr>
          <w:rFonts w:ascii="Palatino Linotype" w:eastAsia="Palatino Linotype" w:hAnsi="Palatino Linotype" w:cs="Palatino Linotype"/>
          <w:b/>
        </w:rPr>
        <w:t xml:space="preserve">Ley de Transparencia y Acceso a la Información Pública del Estado de México y Municipios </w:t>
      </w:r>
      <w:r w:rsidRPr="0015693D">
        <w:rPr>
          <w:rFonts w:ascii="Palatino Linotype" w:eastAsia="Palatino Linotype" w:hAnsi="Palatino Linotype" w:cs="Palatino Linotype"/>
        </w:rPr>
        <w:t xml:space="preserve">se turnó a la </w:t>
      </w:r>
      <w:r w:rsidRPr="0015693D">
        <w:rPr>
          <w:rFonts w:ascii="Palatino Linotype" w:eastAsia="Palatino Linotype" w:hAnsi="Palatino Linotype" w:cs="Palatino Linotype"/>
          <w:b/>
        </w:rPr>
        <w:t xml:space="preserve">Comisionada María del Rosario Mejía Ayala, </w:t>
      </w:r>
      <w:r w:rsidRPr="0015693D">
        <w:rPr>
          <w:rFonts w:ascii="Palatino Linotype" w:eastAsia="Palatino Linotype" w:hAnsi="Palatino Linotype" w:cs="Palatino Linotype"/>
        </w:rPr>
        <w:t xml:space="preserve">con el objeto de su análisis. </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345059" w:rsidRPr="0015693D">
        <w:rPr>
          <w:rFonts w:ascii="Palatino Linotype" w:eastAsia="Palatino Linotype" w:hAnsi="Palatino Linotype" w:cs="Palatino Linotype"/>
          <w:b/>
        </w:rPr>
        <w:t>siete de abril</w:t>
      </w:r>
      <w:r w:rsidRPr="0015693D">
        <w:rPr>
          <w:rFonts w:ascii="Palatino Linotype" w:eastAsia="Palatino Linotype" w:hAnsi="Palatino Linotype" w:cs="Palatino Linotype"/>
          <w:b/>
        </w:rPr>
        <w:t xml:space="preserve"> de dos mil veinticinco</w:t>
      </w:r>
      <w:r w:rsidRPr="0015693D">
        <w:rPr>
          <w:rFonts w:ascii="Palatino Linotype" w:eastAsia="Palatino Linotype" w:hAnsi="Palatino Linotype" w:cs="Palatino Linotype"/>
        </w:rPr>
        <w:t xml:space="preserve">, puso a disposición de las partes el expediente electrónico vía </w:t>
      </w:r>
      <w:r w:rsidRPr="0015693D">
        <w:rPr>
          <w:rFonts w:ascii="Palatino Linotype" w:eastAsia="Palatino Linotype" w:hAnsi="Palatino Linotype" w:cs="Palatino Linotype"/>
          <w:b/>
        </w:rPr>
        <w:t xml:space="preserve">SAIMEX </w:t>
      </w:r>
      <w:r w:rsidRPr="0015693D">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15693D">
        <w:rPr>
          <w:rFonts w:ascii="Palatino Linotype" w:eastAsia="Palatino Linotype" w:hAnsi="Palatino Linotype" w:cs="Palatino Linotype"/>
          <w:b/>
        </w:rPr>
        <w:t>SUJETO OBLIGADO</w:t>
      </w:r>
      <w:r w:rsidRPr="0015693D">
        <w:rPr>
          <w:rFonts w:ascii="Palatino Linotype" w:eastAsia="Palatino Linotype" w:hAnsi="Palatino Linotype" w:cs="Palatino Linotype"/>
        </w:rPr>
        <w:t xml:space="preserve"> presentara el informe justificado procedente. </w:t>
      </w:r>
    </w:p>
    <w:p w:rsidR="002B7B06" w:rsidRPr="0015693D" w:rsidRDefault="002B7B06" w:rsidP="005F6E8A">
      <w:pPr>
        <w:pBdr>
          <w:top w:val="nil"/>
          <w:left w:val="nil"/>
          <w:bottom w:val="nil"/>
          <w:right w:val="nil"/>
          <w:between w:val="nil"/>
        </w:pBdr>
        <w:spacing w:line="360" w:lineRule="auto"/>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lastRenderedPageBreak/>
        <w:t xml:space="preserve">De las constancias que obran en el expediente electrónico SAIMEX, se advierte que el Sujeto Obligado no entregó informe justificado; por su parte, el Recurrente </w:t>
      </w:r>
      <w:r w:rsidR="00345059" w:rsidRPr="0015693D">
        <w:rPr>
          <w:rFonts w:ascii="Palatino Linotype" w:eastAsia="Palatino Linotype" w:hAnsi="Palatino Linotype" w:cs="Palatino Linotype"/>
        </w:rPr>
        <w:t>no realizó manifestaciones, no entregó pruebas y no realizó alegatos que a su derecho convinieran.</w:t>
      </w:r>
      <w:r w:rsidRPr="0015693D">
        <w:rPr>
          <w:rFonts w:ascii="Palatino Linotype" w:eastAsia="Palatino Linotype" w:hAnsi="Palatino Linotype" w:cs="Palatino Linotype"/>
        </w:rPr>
        <w:t xml:space="preserve"> </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Comisionado Ponente decretó el cierre de instrucción mediante el acuerdo del </w:t>
      </w:r>
      <w:r w:rsidR="00345059" w:rsidRPr="0015693D">
        <w:rPr>
          <w:rFonts w:ascii="Palatino Linotype" w:eastAsia="Palatino Linotype" w:hAnsi="Palatino Linotype" w:cs="Palatino Linotype"/>
        </w:rPr>
        <w:t xml:space="preserve">veintiocho </w:t>
      </w:r>
      <w:r w:rsidRPr="0015693D">
        <w:rPr>
          <w:rFonts w:ascii="Palatino Linotype" w:eastAsia="Palatino Linotype" w:hAnsi="Palatino Linotype" w:cs="Palatino Linotype"/>
        </w:rPr>
        <w:t>de abril de dos mil veinticinco.</w:t>
      </w:r>
    </w:p>
    <w:p w:rsidR="002B7B06" w:rsidRPr="0015693D" w:rsidRDefault="002B7B06" w:rsidP="005F6E8A">
      <w:pPr>
        <w:spacing w:line="360" w:lineRule="auto"/>
        <w:rPr>
          <w:rFonts w:ascii="Palatino Linotype" w:eastAsia="Palatino Linotype" w:hAnsi="Palatino Linotype" w:cs="Palatino Linotype"/>
        </w:rPr>
      </w:pPr>
    </w:p>
    <w:p w:rsidR="002B7B06" w:rsidRPr="0015693D" w:rsidRDefault="002B7B06" w:rsidP="005F6E8A">
      <w:pPr>
        <w:spacing w:line="360" w:lineRule="auto"/>
        <w:jc w:val="center"/>
        <w:rPr>
          <w:rFonts w:ascii="Palatino Linotype" w:eastAsia="Palatino Linotype" w:hAnsi="Palatino Linotype" w:cs="Palatino Linotype"/>
        </w:rPr>
      </w:pPr>
      <w:bookmarkStart w:id="2" w:name="_heading=h.30j0zll" w:colFirst="0" w:colLast="0"/>
      <w:bookmarkEnd w:id="2"/>
      <w:r w:rsidRPr="0015693D">
        <w:rPr>
          <w:rFonts w:ascii="Palatino Linotype" w:eastAsia="Palatino Linotype" w:hAnsi="Palatino Linotype" w:cs="Palatino Linotype"/>
          <w:b/>
        </w:rPr>
        <w:t>CONSIDERANDO</w:t>
      </w:r>
    </w:p>
    <w:p w:rsidR="002B7B06" w:rsidRPr="0015693D" w:rsidRDefault="002B7B06" w:rsidP="005F6E8A">
      <w:pPr>
        <w:spacing w:line="360" w:lineRule="auto"/>
        <w:jc w:val="center"/>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b/>
        </w:rPr>
      </w:pPr>
      <w:bookmarkStart w:id="3" w:name="_heading=h.1fob9te" w:colFirst="0" w:colLast="0"/>
      <w:bookmarkEnd w:id="3"/>
      <w:r w:rsidRPr="0015693D">
        <w:rPr>
          <w:rFonts w:ascii="Palatino Linotype" w:eastAsia="Palatino Linotype" w:hAnsi="Palatino Linotype" w:cs="Palatino Linotype"/>
          <w:b/>
        </w:rPr>
        <w:t>PRIMERO. De la competencia</w:t>
      </w:r>
    </w:p>
    <w:p w:rsidR="002B7B06" w:rsidRPr="0015693D" w:rsidRDefault="002B7B06" w:rsidP="005F6E8A">
      <w:pPr>
        <w:spacing w:line="360" w:lineRule="auto"/>
        <w:jc w:val="both"/>
        <w:rPr>
          <w:rFonts w:ascii="Palatino Linotype" w:eastAsia="Palatino Linotype" w:hAnsi="Palatino Linotype" w:cs="Palatino Linotype"/>
          <w:b/>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w:t>
      </w:r>
      <w:r w:rsidR="00742680" w:rsidRPr="0015693D">
        <w:rPr>
          <w:rFonts w:ascii="Palatino Linotype" w:eastAsia="Palatino Linotype" w:hAnsi="Palatino Linotype" w:cs="Palatino Linotype"/>
        </w:rPr>
        <w:t>s; 5, párrafos trigésimo séptimo, trigésimo octavo</w:t>
      </w:r>
      <w:r w:rsidRPr="0015693D">
        <w:rPr>
          <w:rFonts w:ascii="Palatino Linotype" w:eastAsia="Palatino Linotype" w:hAnsi="Palatino Linotype" w:cs="Palatino Linotype"/>
        </w:rPr>
        <w:t xml:space="preserve"> y</w:t>
      </w:r>
      <w:r w:rsidR="00742680" w:rsidRPr="0015693D">
        <w:rPr>
          <w:rFonts w:ascii="Palatino Linotype" w:eastAsia="Palatino Linotype" w:hAnsi="Palatino Linotype" w:cs="Palatino Linotype"/>
        </w:rPr>
        <w:t xml:space="preserve"> trigésimo noveno</w:t>
      </w:r>
      <w:r w:rsidRPr="0015693D">
        <w:rPr>
          <w:rFonts w:ascii="Palatino Linotype" w:eastAsia="Palatino Linotype" w:hAnsi="Palatino Linotype" w:cs="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keepNext/>
        <w:keepLines/>
        <w:spacing w:line="360" w:lineRule="auto"/>
        <w:rPr>
          <w:rFonts w:ascii="Palatino Linotype" w:eastAsia="Palatino Linotype" w:hAnsi="Palatino Linotype" w:cs="Palatino Linotype"/>
          <w:b/>
        </w:rPr>
      </w:pPr>
      <w:bookmarkStart w:id="4" w:name="_heading=h.3znysh7" w:colFirst="0" w:colLast="0"/>
      <w:bookmarkEnd w:id="4"/>
      <w:r w:rsidRPr="0015693D">
        <w:rPr>
          <w:rFonts w:ascii="Palatino Linotype" w:eastAsia="Palatino Linotype" w:hAnsi="Palatino Linotype" w:cs="Palatino Linotype"/>
          <w:b/>
        </w:rPr>
        <w:t>SEGUNDO. De la oportunidad y procedencia.</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lastRenderedPageBreak/>
        <w:t xml:space="preserve">El medio de impugnación fue presentado a través del </w:t>
      </w:r>
      <w:r w:rsidRPr="0015693D">
        <w:rPr>
          <w:rFonts w:ascii="Palatino Linotype" w:eastAsia="Palatino Linotype" w:hAnsi="Palatino Linotype" w:cs="Palatino Linotype"/>
          <w:b/>
        </w:rPr>
        <w:t>SAIMEX,</w:t>
      </w:r>
      <w:r w:rsidRPr="0015693D">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15693D">
        <w:rPr>
          <w:rFonts w:ascii="Palatino Linotype" w:eastAsia="Palatino Linotype" w:hAnsi="Palatino Linotype" w:cs="Palatino Linotype"/>
          <w:b/>
        </w:rPr>
        <w:t>SUJETO OBLIGADO</w:t>
      </w:r>
      <w:r w:rsidRPr="0015693D">
        <w:rPr>
          <w:rFonts w:ascii="Palatino Linotype" w:eastAsia="Palatino Linotype" w:hAnsi="Palatino Linotype" w:cs="Palatino Linotype"/>
        </w:rPr>
        <w:t xml:space="preserve"> entregó respuesta a la solicitud el </w:t>
      </w:r>
      <w:r w:rsidR="00345059" w:rsidRPr="0015693D">
        <w:rPr>
          <w:rFonts w:ascii="Palatino Linotype" w:eastAsia="Palatino Linotype" w:hAnsi="Palatino Linotype" w:cs="Palatino Linotype"/>
          <w:b/>
        </w:rPr>
        <w:t>veintisiete de marzo</w:t>
      </w:r>
      <w:r w:rsidRPr="0015693D">
        <w:rPr>
          <w:rFonts w:ascii="Palatino Linotype" w:eastAsia="Palatino Linotype" w:hAnsi="Palatino Linotype" w:cs="Palatino Linotype"/>
          <w:b/>
        </w:rPr>
        <w:t xml:space="preserve"> de dos mil veinticinco</w:t>
      </w:r>
      <w:r w:rsidRPr="0015693D">
        <w:rPr>
          <w:rFonts w:ascii="Palatino Linotype" w:eastAsia="Palatino Linotype" w:hAnsi="Palatino Linotype" w:cs="Palatino Linotype"/>
        </w:rPr>
        <w:t xml:space="preserve">, de tal forma que el plazo para interponer el recurso de revisión transcurrió del </w:t>
      </w:r>
      <w:r w:rsidR="00345059" w:rsidRPr="0015693D">
        <w:rPr>
          <w:rFonts w:ascii="Palatino Linotype" w:eastAsia="Palatino Linotype" w:hAnsi="Palatino Linotype" w:cs="Palatino Linotype"/>
          <w:b/>
        </w:rPr>
        <w:t>veintiocho de marzo al veinticuatro de abril</w:t>
      </w:r>
      <w:r w:rsidRPr="0015693D">
        <w:rPr>
          <w:rFonts w:ascii="Palatino Linotype" w:eastAsia="Palatino Linotype" w:hAnsi="Palatino Linotype" w:cs="Palatino Linotype"/>
          <w:b/>
        </w:rPr>
        <w:t xml:space="preserve"> de dos mil veinticinco</w:t>
      </w:r>
      <w:r w:rsidRPr="0015693D">
        <w:rPr>
          <w:rFonts w:ascii="Palatino Linotype" w:eastAsia="Palatino Linotype" w:hAnsi="Palatino Linotype" w:cs="Palatino Linotype"/>
        </w:rPr>
        <w:t xml:space="preserve">; en consecuencia, presentó su inconformidad el día </w:t>
      </w:r>
      <w:r w:rsidR="00345059" w:rsidRPr="0015693D">
        <w:rPr>
          <w:rFonts w:ascii="Palatino Linotype" w:eastAsia="Palatino Linotype" w:hAnsi="Palatino Linotype" w:cs="Palatino Linotype"/>
          <w:b/>
        </w:rPr>
        <w:t>cuatro de abril</w:t>
      </w:r>
      <w:r w:rsidRPr="0015693D">
        <w:rPr>
          <w:rFonts w:ascii="Palatino Linotype" w:eastAsia="Palatino Linotype" w:hAnsi="Palatino Linotype" w:cs="Palatino Linotype"/>
          <w:b/>
        </w:rPr>
        <w:t xml:space="preserve"> de dos mil veinticinco</w:t>
      </w:r>
      <w:r w:rsidRPr="0015693D">
        <w:rPr>
          <w:rFonts w:ascii="Palatino Linotype" w:eastAsia="Palatino Linotype" w:hAnsi="Palatino Linotype" w:cs="Palatino Linotype"/>
        </w:rPr>
        <w:t xml:space="preserve">, por lo que se encuentra dentro de los márgenes temporales previstos en el artículo 178 de la </w:t>
      </w:r>
      <w:r w:rsidRPr="0015693D">
        <w:rPr>
          <w:rFonts w:ascii="Palatino Linotype" w:eastAsia="Palatino Linotype" w:hAnsi="Palatino Linotype" w:cs="Palatino Linotype"/>
          <w:b/>
        </w:rPr>
        <w:t xml:space="preserve">Ley de Transparencia y Acceso a la Información Pública del Estado de México y Municipios </w:t>
      </w:r>
      <w:r w:rsidRPr="0015693D">
        <w:rPr>
          <w:rFonts w:ascii="Palatino Linotype" w:eastAsia="Palatino Linotype" w:hAnsi="Palatino Linotype" w:cs="Palatino Linotype"/>
        </w:rPr>
        <w:t>vigente.</w:t>
      </w:r>
    </w:p>
    <w:p w:rsidR="002B7B06" w:rsidRPr="0015693D" w:rsidRDefault="002B7B06" w:rsidP="005F6E8A">
      <w:pPr>
        <w:pStyle w:val="Prrafodelista"/>
        <w:ind w:left="0"/>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B7B06" w:rsidRPr="0015693D" w:rsidRDefault="002B7B06" w:rsidP="005F6E8A">
      <w:pPr>
        <w:pBdr>
          <w:top w:val="nil"/>
          <w:left w:val="nil"/>
          <w:bottom w:val="nil"/>
          <w:right w:val="nil"/>
          <w:between w:val="nil"/>
        </w:pBd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b/>
        </w:rPr>
      </w:pPr>
      <w:bookmarkStart w:id="5" w:name="_heading=h.2et92p0" w:colFirst="0" w:colLast="0"/>
      <w:bookmarkEnd w:id="5"/>
      <w:r w:rsidRPr="0015693D">
        <w:rPr>
          <w:rFonts w:ascii="Palatino Linotype" w:eastAsia="Palatino Linotype" w:hAnsi="Palatino Linotype" w:cs="Palatino Linotype"/>
          <w:b/>
        </w:rPr>
        <w:t>TERCERO. Planteamiento de la Litis.</w:t>
      </w:r>
    </w:p>
    <w:p w:rsidR="002B7B06" w:rsidRPr="0015693D" w:rsidRDefault="002B7B06" w:rsidP="005F6E8A">
      <w:pPr>
        <w:spacing w:line="360" w:lineRule="auto"/>
        <w:jc w:val="both"/>
        <w:rPr>
          <w:rFonts w:ascii="Palatino Linotype" w:eastAsia="Palatino Linotype" w:hAnsi="Palatino Linotype" w:cs="Palatino Linotype"/>
          <w:b/>
        </w:rPr>
      </w:pP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El particular solicitó </w:t>
      </w:r>
      <w:r w:rsidR="00345059" w:rsidRPr="0015693D">
        <w:rPr>
          <w:rFonts w:ascii="Palatino Linotype" w:eastAsia="Palatino Linotype" w:hAnsi="Palatino Linotype" w:cs="Palatino Linotype"/>
        </w:rPr>
        <w:t xml:space="preserve">la lista de raya de los meses de enero, febrero y marzo de dos mil veinticinco. </w:t>
      </w:r>
      <w:r w:rsidRPr="0015693D">
        <w:rPr>
          <w:rFonts w:ascii="Palatino Linotype" w:eastAsia="Palatino Linotype" w:hAnsi="Palatino Linotype" w:cs="Palatino Linotype"/>
        </w:rPr>
        <w:t xml:space="preserve"> </w:t>
      </w: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 </w:t>
      </w: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En respuesta, el Sujeto Obligado </w:t>
      </w:r>
      <w:r w:rsidR="00345059" w:rsidRPr="0015693D">
        <w:rPr>
          <w:rFonts w:ascii="Palatino Linotype" w:eastAsia="Palatino Linotype" w:hAnsi="Palatino Linotype" w:cs="Palatino Linotype"/>
        </w:rPr>
        <w:t>a través del Tesorero Municipal señaló que no se localizó la información al respecto en términos del artículo 12 de la Ley de Transparencia</w:t>
      </w:r>
      <w:r w:rsidRPr="0015693D">
        <w:rPr>
          <w:rFonts w:ascii="Palatino Linotype" w:eastAsia="Palatino Linotype" w:hAnsi="Palatino Linotype" w:cs="Palatino Linotype"/>
        </w:rPr>
        <w:t xml:space="preserve">. Posteriormente, el particular se inconformó, de forma medular, por la negativa de la información.  </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keepNext/>
        <w:keepLines/>
        <w:spacing w:line="360" w:lineRule="auto"/>
        <w:rPr>
          <w:rFonts w:ascii="Palatino Linotype" w:eastAsia="Palatino Linotype" w:hAnsi="Palatino Linotype" w:cs="Palatino Linotype"/>
          <w:b/>
        </w:rPr>
      </w:pPr>
      <w:bookmarkStart w:id="6" w:name="_heading=h.tyjcwt" w:colFirst="0" w:colLast="0"/>
      <w:bookmarkEnd w:id="6"/>
      <w:r w:rsidRPr="0015693D">
        <w:rPr>
          <w:rFonts w:ascii="Palatino Linotype" w:eastAsia="Palatino Linotype" w:hAnsi="Palatino Linotype" w:cs="Palatino Linotype"/>
          <w:b/>
        </w:rPr>
        <w:t>CUARTO. Del estudio y resolución del recurso de revisión.</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bookmarkStart w:id="7" w:name="_heading=h.1t3h5sf" w:colFirst="0" w:colLast="0"/>
      <w:bookmarkEnd w:id="7"/>
      <w:r w:rsidRPr="0015693D">
        <w:rPr>
          <w:rFonts w:ascii="Palatino Linotype" w:eastAsia="Palatino Linotype" w:hAnsi="Palatino Linotype" w:cs="Palatino Linotype"/>
        </w:rPr>
        <w:t xml:space="preserve">En este caso, el particular solicitó </w:t>
      </w:r>
      <w:r w:rsidR="00EA5D09" w:rsidRPr="0015693D">
        <w:rPr>
          <w:rFonts w:ascii="Palatino Linotype" w:eastAsia="Palatino Linotype" w:hAnsi="Palatino Linotype" w:cs="Palatino Linotype"/>
        </w:rPr>
        <w:t xml:space="preserve">la lista de raya de los meses de enero, febrero y marzo de dos mil veinticinco. </w:t>
      </w:r>
      <w:r w:rsidRPr="0015693D">
        <w:rPr>
          <w:rFonts w:ascii="Palatino Linotype" w:eastAsia="Palatino Linotype" w:hAnsi="Palatino Linotype" w:cs="Palatino Linotype"/>
        </w:rPr>
        <w:t xml:space="preserve"> </w:t>
      </w:r>
    </w:p>
    <w:p w:rsidR="002B7B06" w:rsidRPr="0015693D" w:rsidRDefault="002B7B06" w:rsidP="005F6E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EA5D09" w:rsidRPr="0015693D" w:rsidRDefault="00EA5D09" w:rsidP="005F6E8A">
      <w:pPr>
        <w:pStyle w:val="Prrafodelista"/>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Acotado lo anterior, sobre la naturaleza de la información requerida, es de indicar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5693D">
        <w:rPr>
          <w:rFonts w:ascii="Palatino Linotype" w:eastAsia="Palatino Linotype" w:hAnsi="Palatino Linotype" w:cs="Palatino Linotype"/>
        </w:rPr>
        <w:t>Presupuestación</w:t>
      </w:r>
      <w:proofErr w:type="spellEnd"/>
      <w:r w:rsidRPr="0015693D">
        <w:rPr>
          <w:rFonts w:ascii="Palatino Linotype" w:eastAsia="Palatino Linotype" w:hAnsi="Palatino Linotype" w:cs="Palatino Linotype"/>
        </w:rPr>
        <w:t xml:space="preserve"> y Evaluación en la Administración Pública”, elaborado </w:t>
      </w:r>
      <w:r w:rsidRPr="0015693D">
        <w:rPr>
          <w:rFonts w:ascii="Palatino Linotype" w:eastAsia="Palatino Linotype" w:hAnsi="Palatino Linotype" w:cs="Palatino Linotype"/>
        </w:rPr>
        <w:lastRenderedPageBreak/>
        <w:t>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EA5D09" w:rsidRPr="0015693D" w:rsidRDefault="00EA5D09" w:rsidP="005F6E8A">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EA5D09" w:rsidRPr="0015693D" w:rsidRDefault="00EA5D09" w:rsidP="005F6E8A">
      <w:pPr>
        <w:pStyle w:val="Prrafodelista"/>
        <w:spacing w:before="240"/>
        <w:ind w:left="0"/>
        <w:jc w:val="both"/>
        <w:rPr>
          <w:rFonts w:ascii="Palatino Linotype" w:eastAsia="Palatino Linotype" w:hAnsi="Palatino Linotype" w:cs="Palatino Linotype"/>
          <w:i/>
        </w:rPr>
      </w:pPr>
      <w:r w:rsidRPr="0015693D">
        <w:rPr>
          <w:rFonts w:ascii="Palatino Linotype" w:eastAsia="Palatino Linotype" w:hAnsi="Palatino Linotype" w:cs="Palatino Linotype"/>
          <w:b/>
          <w:i/>
        </w:rPr>
        <w:t xml:space="preserve">“NÓMINA </w:t>
      </w:r>
      <w:r w:rsidRPr="0015693D">
        <w:rPr>
          <w:rFonts w:ascii="Palatino Linotype" w:eastAsia="Palatino Linotype" w:hAnsi="Palatino Linotype" w:cs="Palatino Linotype"/>
          <w:i/>
        </w:rPr>
        <w:t>Listado general de los trabajadores de una institución, en</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i/>
        </w:rPr>
        <w:t>el cual se asientan las percepciones brutas, deducciones y</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i/>
        </w:rPr>
        <w:t>alcance neto de las mismas; la nómina es utilizada para</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i/>
        </w:rPr>
        <w:t>efectuar los pagos periódicos (semanales, quincenales o</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i/>
        </w:rPr>
        <w:t>mensuales) a los trabajadores por concepto de sueldos y</w:t>
      </w:r>
      <w:r w:rsidRPr="0015693D">
        <w:rPr>
          <w:rFonts w:ascii="Palatino Linotype" w:eastAsia="Palatino Linotype" w:hAnsi="Palatino Linotype" w:cs="Palatino Linotype"/>
          <w:b/>
          <w:i/>
        </w:rPr>
        <w:t xml:space="preserve"> </w:t>
      </w:r>
      <w:r w:rsidRPr="0015693D">
        <w:rPr>
          <w:rFonts w:ascii="Palatino Linotype" w:eastAsia="Palatino Linotype" w:hAnsi="Palatino Linotype" w:cs="Palatino Linotype"/>
          <w:i/>
        </w:rPr>
        <w:t>salarios.”(Sic)</w:t>
      </w:r>
    </w:p>
    <w:p w:rsidR="00EA5D09" w:rsidRPr="0015693D" w:rsidRDefault="00EA5D09" w:rsidP="005F6E8A">
      <w:pPr>
        <w:pStyle w:val="Prrafodelista"/>
        <w:spacing w:line="360" w:lineRule="auto"/>
        <w:ind w:left="0"/>
        <w:jc w:val="both"/>
        <w:rPr>
          <w:rFonts w:ascii="Palatino Linotype" w:eastAsia="Palatino Linotype" w:hAnsi="Palatino Linotype" w:cs="Palatino Linotype"/>
        </w:rPr>
      </w:pPr>
    </w:p>
    <w:p w:rsidR="00EA5D09" w:rsidRPr="0015693D" w:rsidRDefault="00EA5D09" w:rsidP="005F6E8A">
      <w:pPr>
        <w:pStyle w:val="Prrafodelista"/>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En base a lo anterior, conviene a traer lo establecido por el artículo 804, fracción II, de la Ley Federal de Trabajo, el cual a la letra establece: </w:t>
      </w:r>
    </w:p>
    <w:p w:rsidR="00EA5D09" w:rsidRPr="0015693D" w:rsidRDefault="00EA5D09" w:rsidP="005F6E8A">
      <w:pPr>
        <w:pStyle w:val="Prrafodelista"/>
        <w:spacing w:line="360" w:lineRule="auto"/>
        <w:ind w:left="0"/>
        <w:jc w:val="both"/>
        <w:rPr>
          <w:rFonts w:ascii="Palatino Linotype" w:eastAsia="Palatino Linotype" w:hAnsi="Palatino Linotype" w:cs="Palatino Linotype"/>
        </w:rPr>
      </w:pPr>
    </w:p>
    <w:p w:rsidR="00EA5D09" w:rsidRPr="0015693D" w:rsidRDefault="00EA5D09" w:rsidP="005F6E8A">
      <w:pPr>
        <w:pStyle w:val="Prrafodelista"/>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r w:rsidRPr="0015693D">
        <w:rPr>
          <w:rFonts w:ascii="Palatino Linotype" w:eastAsia="Palatino Linotype" w:hAnsi="Palatino Linotype" w:cs="Palatino Linotype"/>
          <w:b/>
          <w:i/>
        </w:rPr>
        <w:t>Artículo 804.-</w:t>
      </w:r>
      <w:r w:rsidRPr="0015693D">
        <w:rPr>
          <w:rFonts w:ascii="Palatino Linotype" w:eastAsia="Palatino Linotype" w:hAnsi="Palatino Linotype" w:cs="Palatino Linotype"/>
          <w:i/>
        </w:rPr>
        <w:t xml:space="preserve"> </w:t>
      </w:r>
      <w:r w:rsidRPr="0015693D">
        <w:rPr>
          <w:rFonts w:ascii="Palatino Linotype" w:eastAsia="Palatino Linotype" w:hAnsi="Palatino Linotype" w:cs="Palatino Linotype"/>
          <w:b/>
          <w:i/>
        </w:rPr>
        <w:t>El patrón tiene obligación de conservar y exhibir en juicio los documentos que a continuación se precisan</w:t>
      </w:r>
      <w:r w:rsidRPr="0015693D">
        <w:rPr>
          <w:rFonts w:ascii="Palatino Linotype" w:eastAsia="Palatino Linotype" w:hAnsi="Palatino Linotype" w:cs="Palatino Linotype"/>
          <w:i/>
        </w:rPr>
        <w:t>:</w:t>
      </w:r>
    </w:p>
    <w:p w:rsidR="00EA5D09" w:rsidRPr="0015693D" w:rsidRDefault="00EA5D09" w:rsidP="005F6E8A">
      <w:pPr>
        <w:pStyle w:val="Prrafodelista"/>
        <w:ind w:left="0"/>
        <w:jc w:val="both"/>
        <w:rPr>
          <w:rFonts w:ascii="Palatino Linotype" w:eastAsia="Palatino Linotype" w:hAnsi="Palatino Linotype" w:cs="Palatino Linotype"/>
          <w:i/>
        </w:rPr>
      </w:pPr>
    </w:p>
    <w:p w:rsidR="00EA5D09" w:rsidRPr="0015693D" w:rsidRDefault="00EA5D09" w:rsidP="005F6E8A">
      <w:pPr>
        <w:pStyle w:val="Prrafodelista"/>
        <w:ind w:left="0"/>
        <w:jc w:val="both"/>
        <w:rPr>
          <w:rFonts w:ascii="Palatino Linotype" w:eastAsia="Palatino Linotype" w:hAnsi="Palatino Linotype" w:cs="Palatino Linotype"/>
          <w:i/>
        </w:rPr>
      </w:pPr>
      <w:r w:rsidRPr="0015693D">
        <w:rPr>
          <w:rFonts w:ascii="Palatino Linotype" w:eastAsia="Palatino Linotype" w:hAnsi="Palatino Linotype" w:cs="Palatino Linotype"/>
          <w:b/>
          <w:i/>
        </w:rPr>
        <w:t>II.</w:t>
      </w:r>
      <w:r w:rsidRPr="0015693D">
        <w:rPr>
          <w:rFonts w:ascii="Palatino Linotype" w:eastAsia="Palatino Linotype" w:hAnsi="Palatino Linotype" w:cs="Palatino Linotype"/>
          <w:i/>
        </w:rPr>
        <w:t xml:space="preserve"> </w:t>
      </w:r>
      <w:r w:rsidRPr="0015693D">
        <w:rPr>
          <w:rFonts w:ascii="Palatino Linotype" w:eastAsia="Palatino Linotype" w:hAnsi="Palatino Linotype" w:cs="Palatino Linotype"/>
          <w:b/>
          <w:i/>
        </w:rPr>
        <w:t>Listas de raya o nómina de personal</w:t>
      </w:r>
      <w:r w:rsidRPr="0015693D">
        <w:rPr>
          <w:rFonts w:ascii="Palatino Linotype" w:eastAsia="Palatino Linotype" w:hAnsi="Palatino Linotype" w:cs="Palatino Linotype"/>
          <w:i/>
        </w:rPr>
        <w:t xml:space="preserve">, cuando se lleven en el centro de trabajo; o recibos de pagos de salarios; </w:t>
      </w:r>
    </w:p>
    <w:p w:rsidR="00EA5D09" w:rsidRPr="0015693D" w:rsidRDefault="00EA5D09" w:rsidP="005F6E8A">
      <w:pPr>
        <w:pStyle w:val="Prrafodelista"/>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p>
    <w:p w:rsidR="00EA5D09" w:rsidRPr="0015693D" w:rsidRDefault="00EA5D09" w:rsidP="005F6E8A">
      <w:pPr>
        <w:pStyle w:val="Prrafodelista"/>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Los documentos señalados en la fracción I deberán conservarse mientras dure la relación laboral y hasta un año después; </w:t>
      </w:r>
      <w:r w:rsidRPr="0015693D">
        <w:rPr>
          <w:rFonts w:ascii="Palatino Linotype" w:eastAsia="Palatino Linotype" w:hAnsi="Palatino Linotype" w:cs="Palatino Linotype"/>
          <w:b/>
          <w:i/>
        </w:rPr>
        <w:t>los señalados en las fracciones II, III y IV, durante el último año y un año después de que se extinga la relación laboral</w:t>
      </w:r>
      <w:r w:rsidRPr="0015693D">
        <w:rPr>
          <w:rFonts w:ascii="Palatino Linotype" w:eastAsia="Palatino Linotype" w:hAnsi="Palatino Linotype" w:cs="Palatino Linotype"/>
          <w:i/>
        </w:rPr>
        <w:t>; y los mencionados en la fracción V, conforme lo señalen las Leyes que los rijan.” (Sic)</w:t>
      </w:r>
    </w:p>
    <w:p w:rsidR="00EA5D09" w:rsidRPr="0015693D" w:rsidRDefault="00EA5D09" w:rsidP="005F6E8A">
      <w:pPr>
        <w:jc w:val="both"/>
        <w:rPr>
          <w:rFonts w:ascii="Palatino Linotype" w:eastAsia="Palatino Linotype" w:hAnsi="Palatino Linotype" w:cs="Palatino Linotype"/>
          <w:i/>
        </w:rPr>
      </w:pPr>
    </w:p>
    <w:p w:rsidR="00EA5D09" w:rsidRPr="0015693D" w:rsidRDefault="00EA5D09"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MS Mincho" w:hAnsi="Palatino Linotype"/>
        </w:rPr>
        <w:t xml:space="preserve">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w:t>
      </w:r>
      <w:r w:rsidRPr="0015693D">
        <w:rPr>
          <w:rFonts w:ascii="Palatino Linotype" w:eastAsia="MS Mincho" w:hAnsi="Palatino Linotype"/>
        </w:rPr>
        <w:lastRenderedPageBreak/>
        <w:t>al registro de los trabajadores contratados por plazos cortos o bien para cubrir cualquier eventualidad que no se puede determinar por tiempo o magnitud del trabajo.</w:t>
      </w:r>
    </w:p>
    <w:p w:rsidR="00EA5D09" w:rsidRPr="0015693D" w:rsidRDefault="00EA5D09" w:rsidP="005F6E8A">
      <w:pPr>
        <w:pStyle w:val="Prrafodelista"/>
        <w:ind w:left="0"/>
        <w:rPr>
          <w:rFonts w:ascii="Palatino Linotype" w:eastAsia="MS Mincho" w:hAnsi="Palatino Linotype"/>
        </w:rPr>
      </w:pPr>
    </w:p>
    <w:p w:rsidR="00EA5D09" w:rsidRPr="0015693D" w:rsidRDefault="00EA5D09"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MS Mincho" w:hAnsi="Palatino Linotype"/>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rsidR="00EA5D09" w:rsidRPr="0015693D" w:rsidRDefault="00EA5D09" w:rsidP="005F6E8A">
      <w:pPr>
        <w:pStyle w:val="Prrafodelista"/>
        <w:spacing w:line="360" w:lineRule="auto"/>
        <w:ind w:left="0"/>
        <w:jc w:val="both"/>
        <w:rPr>
          <w:rFonts w:ascii="Palatino Linotype" w:eastAsia="MS Mincho" w:hAnsi="Palatino Linotype"/>
        </w:rPr>
      </w:pPr>
    </w:p>
    <w:p w:rsidR="00EA5D09" w:rsidRPr="0015693D" w:rsidRDefault="0085613C"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MS Mincho" w:hAnsi="Palatino Linotype"/>
        </w:rPr>
        <w:t xml:space="preserve">Ahora bien, se debe señalar que puede que el Sujeto Obligado no cuente con listas de raya, pues si bien existe la obligación de generar un documento denominado lista de raya, existe la posibilidad de que el Sujeto Obligado no tenga personal contratado por esa modalidad y por lo tanto, que no se haya generado. </w:t>
      </w:r>
    </w:p>
    <w:p w:rsidR="00832FAA" w:rsidRPr="0015693D" w:rsidRDefault="00832FAA" w:rsidP="005F6E8A">
      <w:pPr>
        <w:pStyle w:val="Prrafodelista"/>
        <w:ind w:left="0"/>
        <w:rPr>
          <w:rFonts w:ascii="Palatino Linotype" w:eastAsia="MS Mincho" w:hAnsi="Palatino Linotype"/>
        </w:rPr>
      </w:pPr>
    </w:p>
    <w:p w:rsidR="00832FAA" w:rsidRPr="0015693D" w:rsidRDefault="00832FAA"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MS Mincho" w:hAnsi="Palatino Linotype"/>
        </w:rPr>
        <w:t>En el presente caso, el Tesorero Municipal señaló en respuesta que no se encontró i</w:t>
      </w:r>
      <w:r w:rsidR="00E32E98" w:rsidRPr="0015693D">
        <w:rPr>
          <w:rFonts w:ascii="Palatino Linotype" w:eastAsia="MS Mincho" w:hAnsi="Palatino Linotype"/>
        </w:rPr>
        <w:t>nformación alguna respecto a lo</w:t>
      </w:r>
      <w:r w:rsidRPr="0015693D">
        <w:rPr>
          <w:rFonts w:ascii="Palatino Linotype" w:eastAsia="MS Mincho" w:hAnsi="Palatino Linotype"/>
        </w:rPr>
        <w:t xml:space="preserve"> solicitado, lo q</w:t>
      </w:r>
      <w:r w:rsidR="00E32E98" w:rsidRPr="0015693D">
        <w:rPr>
          <w:rFonts w:ascii="Palatino Linotype" w:eastAsia="MS Mincho" w:hAnsi="Palatino Linotype"/>
        </w:rPr>
        <w:t xml:space="preserve">ue genera incertidumbre, ya que no se tiene la certeza si la información no se localizó porque no se generó o si se generó pero no se localizó, razón por la cual, resulta procedente ordenar una nueva búsqueda exhaustiva. </w:t>
      </w:r>
    </w:p>
    <w:p w:rsidR="0085613C" w:rsidRPr="0015693D" w:rsidRDefault="0085613C" w:rsidP="005F6E8A">
      <w:pPr>
        <w:pStyle w:val="Prrafodelista"/>
        <w:spacing w:line="360" w:lineRule="auto"/>
        <w:ind w:left="0"/>
        <w:jc w:val="both"/>
        <w:rPr>
          <w:rFonts w:ascii="Palatino Linotype" w:eastAsia="MS Mincho" w:hAnsi="Palatino Linotype"/>
        </w:rPr>
      </w:pPr>
    </w:p>
    <w:p w:rsidR="002B7B06" w:rsidRPr="0015693D" w:rsidRDefault="00EF044C"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MS Mincho" w:hAnsi="Palatino Linotype"/>
        </w:rPr>
        <w:t>En ese sentido</w:t>
      </w:r>
      <w:r w:rsidR="0085613C" w:rsidRPr="0015693D">
        <w:rPr>
          <w:rFonts w:ascii="Palatino Linotype" w:eastAsia="MS Mincho" w:hAnsi="Palatino Linotype"/>
        </w:rPr>
        <w:t>, d</w:t>
      </w:r>
      <w:r w:rsidR="002B7B06" w:rsidRPr="0015693D">
        <w:rPr>
          <w:rFonts w:ascii="Palatino Linotype" w:eastAsia="MS Mincho" w:hAnsi="Palatino Linotype"/>
        </w:rPr>
        <w:t xml:space="preserve">ebemos mencionar que el acceso a la información es un derecho humano constitucional y convencionalmente reconocido y para tal efecto </w:t>
      </w:r>
      <w:r w:rsidR="002B7B06" w:rsidRPr="0015693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2B7B06" w:rsidRPr="0015693D">
        <w:rPr>
          <w:rFonts w:ascii="Palatino Linotype" w:eastAsia="Calibri" w:hAnsi="Palatino Linotype"/>
          <w:i/>
          <w:lang w:val="es-ES"/>
        </w:rPr>
        <w:t xml:space="preserve">en el ámbito de sus atribuciones, de promover, respetar, proteger y </w:t>
      </w:r>
      <w:r w:rsidR="002B7B06" w:rsidRPr="0015693D">
        <w:rPr>
          <w:rFonts w:ascii="Palatino Linotype" w:eastAsia="Calibri" w:hAnsi="Palatino Linotype"/>
          <w:b/>
          <w:i/>
          <w:lang w:val="es-ES"/>
        </w:rPr>
        <w:t>garantizar</w:t>
      </w:r>
      <w:r w:rsidR="002B7B06" w:rsidRPr="0015693D">
        <w:rPr>
          <w:rFonts w:ascii="Palatino Linotype" w:eastAsia="Calibri" w:hAnsi="Palatino Linotype"/>
          <w:i/>
          <w:lang w:val="es-ES"/>
        </w:rPr>
        <w:t xml:space="preserve"> los derechos humanos. </w:t>
      </w:r>
      <w:r w:rsidR="002B7B06" w:rsidRPr="0015693D">
        <w:rPr>
          <w:rFonts w:ascii="Palatino Linotype" w:eastAsia="Calibri" w:hAnsi="Palatino Linotype"/>
          <w:b/>
          <w:i/>
          <w:lang w:val="es-ES"/>
        </w:rPr>
        <w:t xml:space="preserve">En cuanto al derecho de acceso a la información, la Ley de Transparencia y Acceso a la Información Pública del Estado de México y </w:t>
      </w:r>
      <w:r w:rsidR="002B7B06" w:rsidRPr="0015693D">
        <w:rPr>
          <w:rFonts w:ascii="Palatino Linotype" w:eastAsia="Calibri" w:hAnsi="Palatino Linotype"/>
          <w:b/>
          <w:i/>
          <w:lang w:val="es-ES"/>
        </w:rPr>
        <w:lastRenderedPageBreak/>
        <w:t>Municipios prevé establece que e</w:t>
      </w:r>
      <w:r w:rsidR="002B7B06" w:rsidRPr="0015693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2B7B06" w:rsidRPr="0015693D">
        <w:rPr>
          <w:rStyle w:val="Refdenotaalpie"/>
          <w:rFonts w:ascii="Palatino Linotype" w:hAnsi="Palatino Linotype"/>
          <w:i/>
        </w:rPr>
        <w:footnoteReference w:id="1"/>
      </w:r>
      <w:r w:rsidR="002B7B06" w:rsidRPr="0015693D">
        <w:rPr>
          <w:rFonts w:ascii="Palatino Linotype" w:hAnsi="Palatino Linotype"/>
          <w:i/>
        </w:rPr>
        <w:t xml:space="preserve">, </w:t>
      </w:r>
      <w:r w:rsidR="002B7B06" w:rsidRPr="0015693D">
        <w:rPr>
          <w:rFonts w:ascii="Palatino Linotype" w:hAnsi="Palatino Linotype"/>
        </w:rPr>
        <w:t>asimismo establece</w:t>
      </w:r>
      <w:r w:rsidR="002B7B06" w:rsidRPr="0015693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B7B06" w:rsidRPr="0015693D" w:rsidRDefault="002B7B06" w:rsidP="005F6E8A">
      <w:pPr>
        <w:pStyle w:val="Prrafodelista"/>
        <w:ind w:left="0"/>
        <w:rPr>
          <w:rFonts w:ascii="Palatino Linotype" w:eastAsia="Calibri" w:hAnsi="Palatino Linotype" w:cs="Arial"/>
        </w:rPr>
      </w:pPr>
    </w:p>
    <w:p w:rsidR="002B7B06" w:rsidRPr="0015693D" w:rsidRDefault="002B7B06" w:rsidP="005F6E8A">
      <w:pPr>
        <w:pStyle w:val="Prrafodelista"/>
        <w:numPr>
          <w:ilvl w:val="0"/>
          <w:numId w:val="1"/>
        </w:numPr>
        <w:spacing w:line="360" w:lineRule="auto"/>
        <w:ind w:left="0" w:firstLine="0"/>
        <w:jc w:val="both"/>
        <w:rPr>
          <w:rFonts w:ascii="Palatino Linotype" w:eastAsia="Calibri" w:hAnsi="Palatino Linotype" w:cs="Arial"/>
        </w:rPr>
      </w:pPr>
      <w:r w:rsidRPr="0015693D">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2B7B06" w:rsidRPr="0015693D" w:rsidRDefault="002B7B06" w:rsidP="005F6E8A">
      <w:pPr>
        <w:pStyle w:val="Prrafodelista"/>
        <w:ind w:left="0"/>
        <w:rPr>
          <w:rFonts w:ascii="Palatino Linotype" w:hAnsi="Palatino Linotype"/>
        </w:rPr>
      </w:pPr>
    </w:p>
    <w:p w:rsidR="002B7B06" w:rsidRPr="0015693D" w:rsidRDefault="002B7B06" w:rsidP="005F6E8A">
      <w:pPr>
        <w:pStyle w:val="Prrafodelista"/>
        <w:numPr>
          <w:ilvl w:val="0"/>
          <w:numId w:val="1"/>
        </w:numPr>
        <w:spacing w:line="360" w:lineRule="auto"/>
        <w:ind w:left="0" w:firstLine="0"/>
        <w:jc w:val="both"/>
        <w:rPr>
          <w:rFonts w:ascii="Palatino Linotype" w:eastAsia="Calibri" w:hAnsi="Palatino Linotype" w:cs="Arial"/>
        </w:rPr>
      </w:pPr>
      <w:r w:rsidRPr="0015693D">
        <w:rPr>
          <w:rFonts w:ascii="Palatino Linotype" w:hAnsi="Palatino Linotype"/>
        </w:rPr>
        <w:t xml:space="preserve">Es así que, su obligación es </w:t>
      </w:r>
      <w:r w:rsidRPr="0015693D">
        <w:rPr>
          <w:rFonts w:ascii="Palatino Linotype" w:hAnsi="Palatino Linotype"/>
          <w:i/>
        </w:rPr>
        <w:t>realizar, con efectividad, los trámites internos necesarios para la atención de las solicitudes de información</w:t>
      </w:r>
      <w:r w:rsidRPr="0015693D">
        <w:rPr>
          <w:rStyle w:val="Refdenotaalpie"/>
          <w:rFonts w:ascii="Palatino Linotype" w:hAnsi="Palatino Linotype"/>
        </w:rPr>
        <w:footnoteReference w:id="2"/>
      </w:r>
      <w:r w:rsidRPr="0015693D">
        <w:rPr>
          <w:rFonts w:ascii="Palatino Linotype" w:hAnsi="Palatino Linotype"/>
        </w:rPr>
        <w:t>, es decir, deben otorgar respuestas concisas, contundentes y sobre todo que den la certeza de los actos que realizan.</w:t>
      </w:r>
    </w:p>
    <w:p w:rsidR="002B7B06" w:rsidRPr="0015693D" w:rsidRDefault="002B7B06" w:rsidP="005F6E8A">
      <w:pPr>
        <w:pStyle w:val="Prrafodelista"/>
        <w:ind w:left="0"/>
        <w:rPr>
          <w:rFonts w:ascii="Palatino Linotype" w:eastAsia="Calibri" w:hAnsi="Palatino Linotype" w:cs="Arial"/>
        </w:rPr>
      </w:pPr>
    </w:p>
    <w:p w:rsidR="002B7B06" w:rsidRPr="0015693D" w:rsidRDefault="002B7B06" w:rsidP="005F6E8A">
      <w:pPr>
        <w:pStyle w:val="Prrafodelista"/>
        <w:numPr>
          <w:ilvl w:val="0"/>
          <w:numId w:val="1"/>
        </w:numPr>
        <w:spacing w:line="360" w:lineRule="auto"/>
        <w:ind w:left="0" w:firstLine="0"/>
        <w:jc w:val="both"/>
        <w:rPr>
          <w:rFonts w:ascii="Palatino Linotype" w:eastAsia="MS Mincho" w:hAnsi="Palatino Linotype"/>
        </w:rPr>
      </w:pPr>
      <w:r w:rsidRPr="0015693D">
        <w:rPr>
          <w:rFonts w:ascii="Palatino Linotype" w:eastAsia="Palatino Linotype" w:hAnsi="Palatino Linotype" w:cs="Palatino Linotype"/>
        </w:rPr>
        <w:lastRenderedPageBreak/>
        <w:t xml:space="preserve">Al respecto, es menester hacer referencia a lo establecido en los artículos 50, 53 fracciones II, IV y V, 58, 59 fracciones I y II, y 162 </w:t>
      </w:r>
      <w:r w:rsidRPr="0015693D">
        <w:rPr>
          <w:rFonts w:ascii="Palatino Linotype" w:eastAsia="Arial Unicode MS" w:hAnsi="Palatino Linotype" w:cs="Arial"/>
          <w:lang w:eastAsia="en-US"/>
        </w:rPr>
        <w:t>de la Ley de Transparencia y Acceso a la Información del Estado de México y Municipios, que a la letra estipulan lo siguiente:</w:t>
      </w:r>
    </w:p>
    <w:p w:rsidR="002B7B06" w:rsidRPr="0015693D" w:rsidRDefault="002B7B06" w:rsidP="005F6E8A">
      <w:pPr>
        <w:spacing w:line="360" w:lineRule="auto"/>
        <w:jc w:val="both"/>
        <w:rPr>
          <w:rFonts w:ascii="Palatino Linotype" w:eastAsia="Arial Unicode MS" w:hAnsi="Palatino Linotype" w:cs="Arial"/>
          <w:lang w:eastAsia="en-U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i/>
          <w:iCs/>
        </w:rPr>
        <w:t xml:space="preserve">Artículo 50. </w:t>
      </w:r>
      <w:r w:rsidRPr="0015693D">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2B7B06" w:rsidRPr="0015693D" w:rsidRDefault="002B7B06" w:rsidP="005F6E8A">
      <w:pPr>
        <w:jc w:val="both"/>
        <w:rPr>
          <w:rFonts w:ascii="Palatino Linotype" w:eastAsia="Palatino Linotype" w:hAnsi="Palatino Linotype" w:cs="Palatino Linotype"/>
          <w:i/>
          <w:iC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i/>
          <w:iCs/>
        </w:rPr>
        <w:t xml:space="preserve">Artículo 53. </w:t>
      </w:r>
      <w:r w:rsidRPr="0015693D">
        <w:rPr>
          <w:rFonts w:ascii="Palatino Linotype" w:eastAsia="Palatino Linotype" w:hAnsi="Palatino Linotype" w:cs="Palatino Linotype"/>
          <w:i/>
          <w:iCs/>
        </w:rPr>
        <w:t>Las Unidades de Transparencia tendrán las siguientes funciones:</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i/>
          <w:iCs/>
        </w:rPr>
        <w:t>(…)</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bCs/>
          <w:i/>
          <w:iCs/>
        </w:rPr>
        <w:t>II.</w:t>
      </w:r>
      <w:r w:rsidRPr="0015693D">
        <w:rPr>
          <w:rFonts w:ascii="Palatino Linotype" w:eastAsia="Palatino Linotype" w:hAnsi="Palatino Linotype" w:cs="Palatino Linotype"/>
          <w:i/>
          <w:iCs/>
        </w:rPr>
        <w:t xml:space="preserve"> Recibir, tramitar y dar respuesta a las solicitudes de acceso a la información;</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i/>
          <w:iCs/>
        </w:rPr>
        <w:t>(…)</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bCs/>
          <w:i/>
          <w:iCs/>
        </w:rPr>
        <w:t>IV.</w:t>
      </w:r>
      <w:r w:rsidRPr="0015693D">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bCs/>
          <w:i/>
          <w:iCs/>
        </w:rPr>
        <w:t>V.</w:t>
      </w:r>
      <w:r w:rsidRPr="0015693D">
        <w:rPr>
          <w:rFonts w:ascii="Palatino Linotype" w:eastAsia="Palatino Linotype" w:hAnsi="Palatino Linotype" w:cs="Palatino Linotype"/>
          <w:i/>
          <w:iCs/>
        </w:rPr>
        <w:t xml:space="preserve"> Entregar, en su caso, a los particulares la información solicitada;</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i/>
          <w:iCs/>
        </w:rPr>
        <w:t>(…)</w:t>
      </w:r>
    </w:p>
    <w:p w:rsidR="002B7B06" w:rsidRPr="0015693D" w:rsidRDefault="002B7B06" w:rsidP="005F6E8A">
      <w:pPr>
        <w:jc w:val="both"/>
        <w:rPr>
          <w:rFonts w:ascii="Palatino Linotype" w:eastAsia="Palatino Linotype" w:hAnsi="Palatino Linotype" w:cs="Palatino Linotype"/>
          <w:i/>
          <w:iC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i/>
          <w:iCs/>
        </w:rPr>
        <w:t xml:space="preserve">Artículo 58. </w:t>
      </w:r>
      <w:r w:rsidRPr="0015693D">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2B7B06" w:rsidRPr="0015693D" w:rsidRDefault="002B7B06" w:rsidP="005F6E8A">
      <w:pPr>
        <w:jc w:val="both"/>
        <w:rPr>
          <w:rFonts w:ascii="Palatino Linotype" w:eastAsia="Palatino Linotype" w:hAnsi="Palatino Linotype" w:cs="Palatino Linotype"/>
          <w:i/>
          <w:iC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i/>
          <w:iCs/>
        </w:rPr>
        <w:t xml:space="preserve">Artículo 59. </w:t>
      </w:r>
      <w:r w:rsidRPr="0015693D">
        <w:rPr>
          <w:rFonts w:ascii="Palatino Linotype" w:eastAsia="Palatino Linotype" w:hAnsi="Palatino Linotype" w:cs="Palatino Linotype"/>
          <w:i/>
          <w:iCs/>
        </w:rPr>
        <w:t>Los servidores públicos habilitados tendrán las funciones siguientes:</w:t>
      </w:r>
    </w:p>
    <w:p w:rsidR="002B7B06" w:rsidRPr="0015693D" w:rsidRDefault="002B7B06" w:rsidP="005F6E8A">
      <w:pPr>
        <w:jc w:val="both"/>
        <w:rPr>
          <w:rFonts w:ascii="Palatino Linotype" w:eastAsia="Palatino Linotype" w:hAnsi="Palatino Linotype" w:cs="Palatino Linotype"/>
          <w:i/>
          <w:iC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bCs/>
          <w:i/>
          <w:iCs/>
        </w:rPr>
        <w:t>I.</w:t>
      </w:r>
      <w:r w:rsidRPr="0015693D">
        <w:rPr>
          <w:rFonts w:ascii="Palatino Linotype" w:eastAsia="Palatino Linotype" w:hAnsi="Palatino Linotype" w:cs="Palatino Linotype"/>
          <w:i/>
          <w:iCs/>
        </w:rPr>
        <w:t xml:space="preserve"> Localizar la información que le solicite la Unidad de Transparencia;</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bCs/>
          <w:i/>
          <w:iCs/>
        </w:rPr>
        <w:t>II.</w:t>
      </w:r>
      <w:r w:rsidRPr="0015693D">
        <w:rPr>
          <w:rFonts w:ascii="Palatino Linotype" w:eastAsia="Palatino Linotype" w:hAnsi="Palatino Linotype" w:cs="Palatino Linotype"/>
          <w:i/>
          <w:iCs/>
        </w:rPr>
        <w:t xml:space="preserve"> Proporcionar la información que obre en los archivos y que le sea solicitada por la Unidad de Transparencia;</w:t>
      </w: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i/>
          <w:iCs/>
        </w:rPr>
        <w:t>(...)</w:t>
      </w:r>
    </w:p>
    <w:p w:rsidR="002B7B06" w:rsidRPr="0015693D" w:rsidRDefault="002B7B06" w:rsidP="005F6E8A">
      <w:pPr>
        <w:jc w:val="both"/>
        <w:rPr>
          <w:rFonts w:ascii="Palatino Linotype" w:eastAsia="Palatino Linotype" w:hAnsi="Palatino Linotype" w:cs="Palatino Linotype"/>
          <w:i/>
          <w:iCs/>
        </w:rPr>
      </w:pPr>
    </w:p>
    <w:p w:rsidR="002B7B06" w:rsidRPr="0015693D" w:rsidRDefault="002B7B06" w:rsidP="005F6E8A">
      <w:pPr>
        <w:jc w:val="both"/>
        <w:rPr>
          <w:rFonts w:ascii="Palatino Linotype" w:eastAsia="Palatino Linotype" w:hAnsi="Palatino Linotype" w:cs="Palatino Linotype"/>
          <w:i/>
          <w:iCs/>
        </w:rPr>
      </w:pPr>
      <w:r w:rsidRPr="0015693D">
        <w:rPr>
          <w:rFonts w:ascii="Palatino Linotype" w:eastAsia="Palatino Linotype" w:hAnsi="Palatino Linotype" w:cs="Palatino Linotype"/>
          <w:b/>
          <w:i/>
          <w:iCs/>
        </w:rPr>
        <w:t xml:space="preserve">Artículo 162. </w:t>
      </w:r>
      <w:r w:rsidRPr="0015693D">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8644E" w:rsidRPr="0015693D" w:rsidRDefault="0018644E" w:rsidP="005F6E8A">
      <w:pPr>
        <w:jc w:val="both"/>
        <w:rPr>
          <w:rFonts w:ascii="Palatino Linotype" w:eastAsia="Palatino Linotype" w:hAnsi="Palatino Linotype" w:cs="Palatino Linotype"/>
          <w:i/>
          <w:iCs/>
        </w:rPr>
      </w:pPr>
    </w:p>
    <w:p w:rsidR="002B7B06" w:rsidRPr="0015693D" w:rsidRDefault="002B7B06" w:rsidP="005F6E8A">
      <w:pPr>
        <w:pStyle w:val="Prrafodelista"/>
        <w:numPr>
          <w:ilvl w:val="0"/>
          <w:numId w:val="1"/>
        </w:numPr>
        <w:spacing w:line="360" w:lineRule="auto"/>
        <w:ind w:left="0" w:firstLine="0"/>
        <w:jc w:val="both"/>
        <w:rPr>
          <w:rFonts w:ascii="Palatino Linotype" w:eastAsia="Arial Unicode MS" w:hAnsi="Palatino Linotype" w:cs="Arial"/>
          <w:lang w:eastAsia="en-US"/>
        </w:rPr>
      </w:pPr>
      <w:r w:rsidRPr="0015693D">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15693D">
        <w:rPr>
          <w:rFonts w:ascii="Palatino Linotype" w:eastAsia="Arial Unicode MS" w:hAnsi="Palatino Linotype" w:cs="Arial"/>
          <w:lang w:eastAsia="en-US"/>
        </w:rPr>
        <w:t xml:space="preserve">las solicitudes de </w:t>
      </w:r>
      <w:r w:rsidRPr="0015693D">
        <w:rPr>
          <w:rFonts w:ascii="Palatino Linotype" w:eastAsia="Arial Unicode MS" w:hAnsi="Palatino Linotype" w:cs="Arial"/>
          <w:lang w:eastAsia="en-US"/>
        </w:rPr>
        <w:lastRenderedPageBreak/>
        <w:t xml:space="preserve">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15693D">
        <w:rPr>
          <w:rFonts w:ascii="Palatino Linotype" w:eastAsia="Arial Unicode MS" w:hAnsi="Palatino Linotype" w:cs="Arial"/>
          <w:lang w:eastAsia="en-US"/>
        </w:rPr>
        <w:t>la</w:t>
      </w:r>
      <w:proofErr w:type="gramEnd"/>
      <w:r w:rsidRPr="0015693D">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2B7B06" w:rsidRPr="0015693D" w:rsidRDefault="002B7B06" w:rsidP="005F6E8A">
      <w:pPr>
        <w:pStyle w:val="Prrafodelista"/>
        <w:spacing w:line="360" w:lineRule="auto"/>
        <w:ind w:left="0"/>
        <w:jc w:val="both"/>
        <w:rPr>
          <w:rFonts w:ascii="Palatino Linotype" w:eastAsia="Arial Unicode MS" w:hAnsi="Palatino Linotype" w:cs="Arial"/>
          <w:lang w:eastAsia="en-US"/>
        </w:rPr>
      </w:pPr>
    </w:p>
    <w:p w:rsidR="002B7B06" w:rsidRPr="0015693D" w:rsidRDefault="002B7B06" w:rsidP="005F6E8A">
      <w:pPr>
        <w:pStyle w:val="Prrafodelista"/>
        <w:numPr>
          <w:ilvl w:val="0"/>
          <w:numId w:val="1"/>
        </w:numPr>
        <w:spacing w:line="360" w:lineRule="auto"/>
        <w:ind w:left="0" w:firstLine="0"/>
        <w:jc w:val="both"/>
        <w:rPr>
          <w:rFonts w:ascii="Palatino Linotype" w:eastAsia="Arial Unicode MS" w:hAnsi="Palatino Linotype" w:cs="Arial"/>
          <w:lang w:eastAsia="en-US"/>
        </w:rPr>
      </w:pPr>
      <w:r w:rsidRPr="0015693D">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2B7B06" w:rsidRPr="0015693D" w:rsidRDefault="002B7B06" w:rsidP="005F6E8A">
      <w:pPr>
        <w:pStyle w:val="Prrafodelista"/>
        <w:ind w:left="0"/>
        <w:rPr>
          <w:rFonts w:ascii="Palatino Linotype" w:eastAsia="Arial Unicode MS" w:hAnsi="Palatino Linotype" w:cs="Arial"/>
          <w:lang w:eastAsia="en-US"/>
        </w:rPr>
      </w:pPr>
    </w:p>
    <w:p w:rsidR="002B7B06" w:rsidRPr="0015693D" w:rsidRDefault="0085613C" w:rsidP="005F6E8A">
      <w:pPr>
        <w:pStyle w:val="Prrafodelista"/>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Arial Unicode MS" w:hAnsi="Palatino Linotype" w:cs="Arial"/>
          <w:lang w:eastAsia="en-US"/>
        </w:rPr>
        <w:t xml:space="preserve">En el caso concreto, la respuesta fue emitida por el Tesorero </w:t>
      </w:r>
      <w:r w:rsidR="009A7EF9" w:rsidRPr="0015693D">
        <w:rPr>
          <w:rFonts w:ascii="Palatino Linotype" w:eastAsia="Arial Unicode MS" w:hAnsi="Palatino Linotype" w:cs="Arial"/>
          <w:lang w:eastAsia="en-US"/>
        </w:rPr>
        <w:t>Municipal quien</w:t>
      </w:r>
      <w:r w:rsidRPr="0015693D">
        <w:rPr>
          <w:rFonts w:ascii="Palatino Linotype" w:eastAsia="Arial Unicode MS" w:hAnsi="Palatino Linotype" w:cs="Arial"/>
          <w:lang w:eastAsia="en-US"/>
        </w:rPr>
        <w:t xml:space="preserve"> de acuerdo con el</w:t>
      </w:r>
      <w:r w:rsidR="009A7EF9" w:rsidRPr="0015693D">
        <w:rPr>
          <w:rFonts w:ascii="Palatino Linotype" w:eastAsia="Arial Unicode MS" w:hAnsi="Palatino Linotype" w:cs="Arial"/>
          <w:lang w:eastAsia="en-US"/>
        </w:rPr>
        <w:t xml:space="preserve"> artículo 37 del</w:t>
      </w:r>
      <w:r w:rsidRPr="0015693D">
        <w:rPr>
          <w:rFonts w:ascii="Palatino Linotype" w:eastAsia="Arial Unicode MS" w:hAnsi="Palatino Linotype" w:cs="Arial"/>
          <w:lang w:eastAsia="en-US"/>
        </w:rPr>
        <w:t xml:space="preserve"> Reglamento </w:t>
      </w:r>
      <w:r w:rsidR="009A7EF9" w:rsidRPr="0015693D">
        <w:rPr>
          <w:rFonts w:ascii="Palatino Linotype" w:eastAsia="Arial Unicode MS" w:hAnsi="Palatino Linotype" w:cs="Arial"/>
          <w:lang w:eastAsia="en-US"/>
        </w:rPr>
        <w:t xml:space="preserve">Orgánico de la Administración Pública de Otzolotepec es el área encargada de la recaudación, planeación, administración, comprobación, programación y presupuesto del ejercicio de los recursos públicos, es decir, es el área que de acuerdo a sus facultades genera, posee y administra la información solicitada, sin embargo, no es la única área que pudiera tener entre sus archivos la información solicitada, pues de acuerdo al Reglamento referido, artículo 78, la Dirección de Administración es la dependencia encargada de establecer las políticas y lineamientos para la contratación, control del personal, adquisición, contratación, asignación y uso de </w:t>
      </w:r>
      <w:r w:rsidR="009A7EF9" w:rsidRPr="0015693D">
        <w:rPr>
          <w:rFonts w:ascii="Palatino Linotype" w:eastAsia="Arial Unicode MS" w:hAnsi="Palatino Linotype" w:cs="Arial"/>
          <w:lang w:eastAsia="en-US"/>
        </w:rPr>
        <w:lastRenderedPageBreak/>
        <w:t>los bienes y servicios, así como la adecuada implementación de las tecnologías de la información y la prestación de los servicios generales al H. Ayuntamiento de Otzolotepec, a fin de lograr la optimización de los recursos humanos y materiales y de acuerdo al artículo 79 del mismo ordenamiento, tiene entre otras,  las siguientes atribuciones:</w:t>
      </w:r>
    </w:p>
    <w:p w:rsidR="009A7EF9" w:rsidRPr="0015693D" w:rsidRDefault="009A7EF9" w:rsidP="005F6E8A">
      <w:pPr>
        <w:pStyle w:val="Prrafodelista"/>
        <w:spacing w:line="360" w:lineRule="auto"/>
        <w:ind w:left="0"/>
        <w:jc w:val="both"/>
        <w:rPr>
          <w:rFonts w:ascii="Palatino Linotype" w:eastAsia="Palatino Linotype" w:hAnsi="Palatino Linotype" w:cs="Palatino Linotype"/>
        </w:rPr>
      </w:pP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“ARTÍCULO 79.- La Dirección de Administración, le corresponden las siguientes atribuciones:</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I. Planear, coordinar y supervisar las funciones y actividades de las unidades administrativas que integran la Dirección de Administración para el cumplimiento de los objetivos y metas establecidas en el Plan de Desarrollo Municipal;</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III. Llevar el registro del personal que labora en la Administración Municipal;</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proofErr w:type="spellStart"/>
      <w:r w:rsidRPr="0015693D">
        <w:rPr>
          <w:rFonts w:ascii="Palatino Linotype" w:eastAsia="Palatino Linotype" w:hAnsi="Palatino Linotype" w:cs="Palatino Linotype"/>
          <w:i/>
        </w:rPr>
        <w:t>XII.Emitir</w:t>
      </w:r>
      <w:proofErr w:type="spellEnd"/>
      <w:r w:rsidRPr="0015693D">
        <w:rPr>
          <w:rFonts w:ascii="Palatino Linotype" w:eastAsia="Palatino Linotype" w:hAnsi="Palatino Linotype" w:cs="Palatino Linotype"/>
          <w:i/>
        </w:rPr>
        <w:t xml:space="preserve"> las disposiciones para la administración de recursos humanos y materiales de acuerdo a sus objetivos y programas;</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p>
    <w:p w:rsidR="009A7EF9" w:rsidRPr="0015693D" w:rsidRDefault="009A7EF9" w:rsidP="005F6E8A">
      <w:pPr>
        <w:pStyle w:val="Prrafodelista"/>
        <w:spacing w:line="360" w:lineRule="auto"/>
        <w:ind w:left="0"/>
        <w:jc w:val="both"/>
        <w:rPr>
          <w:rFonts w:ascii="Palatino Linotype" w:hAnsi="Palatino Linotype"/>
          <w:i/>
        </w:rPr>
      </w:pPr>
      <w:r w:rsidRPr="0015693D">
        <w:rPr>
          <w:rFonts w:ascii="Palatino Linotype" w:hAnsi="Palatino Linotype"/>
          <w:i/>
        </w:rPr>
        <w:t xml:space="preserve">XIV. Conducir los tramites laborales tales como; </w:t>
      </w:r>
    </w:p>
    <w:p w:rsidR="009A7EF9" w:rsidRPr="0015693D" w:rsidRDefault="009A7EF9" w:rsidP="005F6E8A">
      <w:pPr>
        <w:pStyle w:val="Prrafodelista"/>
        <w:spacing w:line="360" w:lineRule="auto"/>
        <w:ind w:left="0"/>
        <w:jc w:val="both"/>
        <w:rPr>
          <w:rFonts w:ascii="Palatino Linotype" w:hAnsi="Palatino Linotype"/>
          <w:i/>
        </w:rPr>
      </w:pPr>
      <w:r w:rsidRPr="0015693D">
        <w:rPr>
          <w:rFonts w:ascii="Palatino Linotype" w:hAnsi="Palatino Linotype"/>
          <w:i/>
        </w:rPr>
        <w:t xml:space="preserve">a) Contratación </w:t>
      </w:r>
    </w:p>
    <w:p w:rsidR="009A7EF9" w:rsidRPr="0015693D" w:rsidRDefault="009A7EF9" w:rsidP="005F6E8A">
      <w:pPr>
        <w:pStyle w:val="Prrafodelista"/>
        <w:spacing w:line="360" w:lineRule="auto"/>
        <w:ind w:left="0"/>
        <w:jc w:val="both"/>
        <w:rPr>
          <w:rFonts w:ascii="Palatino Linotype" w:hAnsi="Palatino Linotype"/>
          <w:i/>
        </w:rPr>
      </w:pPr>
      <w:r w:rsidRPr="0015693D">
        <w:rPr>
          <w:rFonts w:ascii="Palatino Linotype" w:hAnsi="Palatino Linotype"/>
          <w:i/>
        </w:rPr>
        <w:t>b) Cambios de adscripción</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c) Separación cuando proceda</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proofErr w:type="spellStart"/>
      <w:r w:rsidRPr="0015693D">
        <w:rPr>
          <w:rFonts w:ascii="Palatino Linotype" w:eastAsia="Palatino Linotype" w:hAnsi="Palatino Linotype" w:cs="Palatino Linotype"/>
          <w:i/>
        </w:rPr>
        <w:t>XV.Proporcionar</w:t>
      </w:r>
      <w:proofErr w:type="spellEnd"/>
      <w:r w:rsidRPr="0015693D">
        <w:rPr>
          <w:rFonts w:ascii="Palatino Linotype" w:eastAsia="Palatino Linotype" w:hAnsi="Palatino Linotype" w:cs="Palatino Linotype"/>
          <w:i/>
        </w:rPr>
        <w:t xml:space="preserve"> a las unidades administrativas los servicios de apoyo administrativo en materia de recursos humanos, materiales y servicios generales; </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XVI. Emitir y aplicar las políticas y lineamientos en materia de administración y desarrollo de personal;</w:t>
      </w:r>
    </w:p>
    <w:p w:rsidR="009A7EF9" w:rsidRPr="0015693D" w:rsidRDefault="009A7EF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w:t>
      </w:r>
    </w:p>
    <w:p w:rsidR="009A7EF9" w:rsidRPr="0015693D" w:rsidRDefault="009A7EF9" w:rsidP="005F6E8A">
      <w:pPr>
        <w:pStyle w:val="Prrafodelista"/>
        <w:ind w:left="0"/>
        <w:rPr>
          <w:rFonts w:ascii="Palatino Linotype" w:eastAsia="Palatino Linotype" w:hAnsi="Palatino Linotype" w:cs="Palatino Linotype"/>
        </w:rPr>
      </w:pPr>
    </w:p>
    <w:p w:rsidR="009A7EF9" w:rsidRPr="0015693D" w:rsidRDefault="009A7EF9" w:rsidP="005F6E8A">
      <w:pPr>
        <w:pStyle w:val="Prrafodelista"/>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Como se advierte, la Dirección de Administración tiene a su cargo la administración de personal, aunado a ello, tiene e</w:t>
      </w:r>
      <w:r w:rsidR="007F1319" w:rsidRPr="0015693D">
        <w:rPr>
          <w:rFonts w:ascii="Palatino Linotype" w:eastAsia="Palatino Linotype" w:hAnsi="Palatino Linotype" w:cs="Palatino Linotype"/>
        </w:rPr>
        <w:t>n</w:t>
      </w:r>
      <w:r w:rsidRPr="0015693D">
        <w:rPr>
          <w:rFonts w:ascii="Palatino Linotype" w:eastAsia="Palatino Linotype" w:hAnsi="Palatino Linotype" w:cs="Palatino Linotype"/>
        </w:rPr>
        <w:t>tre sus áreas a la Coordinación de Recursos Humanos</w:t>
      </w:r>
      <w:r w:rsidR="007F1319" w:rsidRPr="0015693D">
        <w:rPr>
          <w:rFonts w:ascii="Palatino Linotype" w:eastAsia="Palatino Linotype" w:hAnsi="Palatino Linotype" w:cs="Palatino Linotype"/>
        </w:rPr>
        <w:t>, quien de acuerdo al artículo 81 del Reglamento referido, las siguientes atribuciones:</w:t>
      </w:r>
    </w:p>
    <w:p w:rsidR="007F1319" w:rsidRPr="0015693D" w:rsidRDefault="007F1319" w:rsidP="005F6E8A">
      <w:pPr>
        <w:pStyle w:val="Prrafodelista"/>
        <w:spacing w:line="360" w:lineRule="auto"/>
        <w:ind w:left="0"/>
        <w:jc w:val="both"/>
        <w:rPr>
          <w:rFonts w:ascii="Palatino Linotype" w:eastAsia="Palatino Linotype" w:hAnsi="Palatino Linotype" w:cs="Palatino Linotype"/>
        </w:rPr>
      </w:pPr>
    </w:p>
    <w:p w:rsidR="007F1319" w:rsidRPr="0015693D" w:rsidRDefault="007F131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“ARTÍCULO 81.- La Coordinación de Recursos Humanos tiene las siguientes atribuciones: </w:t>
      </w:r>
    </w:p>
    <w:p w:rsidR="007F1319" w:rsidRPr="0015693D" w:rsidRDefault="007F131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I. Coordinar los procesos de reclutamiento, selección, contratación e inducción y desarrollo de personal; </w:t>
      </w:r>
    </w:p>
    <w:p w:rsidR="007F1319" w:rsidRPr="0015693D" w:rsidRDefault="007F131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II. Registrar las incidencias laborales y administrativas del personal para su afectación en nómina; </w:t>
      </w:r>
    </w:p>
    <w:p w:rsidR="007F1319" w:rsidRPr="0015693D" w:rsidRDefault="007F131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 xml:space="preserve">III. Supervisar el desempeño del personal que labora dentro del Ayuntamiento en coordinación con la Contraloría Municipal; y </w:t>
      </w:r>
    </w:p>
    <w:p w:rsidR="007F1319" w:rsidRPr="0015693D" w:rsidRDefault="007F1319" w:rsidP="005F6E8A">
      <w:pPr>
        <w:pStyle w:val="Prrafodelista"/>
        <w:spacing w:line="360" w:lineRule="auto"/>
        <w:ind w:left="0"/>
        <w:jc w:val="both"/>
        <w:rPr>
          <w:rFonts w:ascii="Palatino Linotype" w:eastAsia="Palatino Linotype" w:hAnsi="Palatino Linotype" w:cs="Palatino Linotype"/>
          <w:i/>
        </w:rPr>
      </w:pPr>
      <w:r w:rsidRPr="0015693D">
        <w:rPr>
          <w:rFonts w:ascii="Palatino Linotype" w:eastAsia="Palatino Linotype" w:hAnsi="Palatino Linotype" w:cs="Palatino Linotype"/>
          <w:i/>
        </w:rPr>
        <w:t>IV. Asegurar se mantenga actualizada la plantilla de personal y sus expedientes, tomando como base la estructura orgánica autorizada, así como llevar los registros necesarios para la debida información institucional en la materia.”</w:t>
      </w:r>
    </w:p>
    <w:p w:rsidR="002B7B06" w:rsidRPr="0015693D" w:rsidRDefault="002B7B06" w:rsidP="005F6E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EF044C" w:rsidRPr="0015693D" w:rsidRDefault="007F1319" w:rsidP="005F6E8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De lo expuesto en líneas anteriores, se puede concluir que </w:t>
      </w:r>
      <w:r w:rsidR="00EF044C" w:rsidRPr="0015693D">
        <w:rPr>
          <w:rFonts w:ascii="Palatino Linotype" w:eastAsia="Palatino Linotype" w:hAnsi="Palatino Linotype" w:cs="Palatino Linotype"/>
        </w:rPr>
        <w:t xml:space="preserve">la respuesta entregada por el Tesorero Municipal, no atiende lo requerido por el particular, pues no se tiene la certeza si la información se generó o no, por esa razón, se debe turnar también a la Coordinación de Recursos Humanos, ya que es el área que se encarga de las contrataciones del personal, por esa razón lo procedente es ordenar una nueva búsqueda en los archivos del Sujeto Obligado. </w:t>
      </w:r>
    </w:p>
    <w:p w:rsidR="00490CF8" w:rsidRPr="0015693D" w:rsidRDefault="00490CF8" w:rsidP="00490CF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EF044C" w:rsidRPr="0015693D" w:rsidRDefault="00EF044C" w:rsidP="005F6E8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Por otro lado, se debe precisar que si la información no se generó, el Sujeto Obligarlo deberá manifestarlo de manera clara y precisa en términos del párrafo segundo del </w:t>
      </w:r>
      <w:r w:rsidRPr="0015693D">
        <w:rPr>
          <w:rFonts w:ascii="Palatino Linotype" w:eastAsia="Palatino Linotype" w:hAnsi="Palatino Linotype" w:cs="Palatino Linotype"/>
        </w:rPr>
        <w:lastRenderedPageBreak/>
        <w:t xml:space="preserve">artículo 19 de la Ley de Transparencia y Acceso a la Información Pública del Estado de México y Municipios. </w:t>
      </w:r>
    </w:p>
    <w:p w:rsidR="0085613C" w:rsidRPr="0015693D" w:rsidRDefault="0085613C" w:rsidP="005F6E8A">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Por lo tanto, en consecuencia y en mérito de </w:t>
      </w:r>
      <w:r w:rsidR="007F1319" w:rsidRPr="0015693D">
        <w:rPr>
          <w:rFonts w:ascii="Palatino Linotype" w:eastAsia="Palatino Linotype" w:hAnsi="Palatino Linotype" w:cs="Palatino Linotype"/>
        </w:rPr>
        <w:t>lo expuesto</w:t>
      </w:r>
      <w:r w:rsidRPr="0015693D">
        <w:rPr>
          <w:rFonts w:ascii="Palatino Linotype" w:eastAsia="Palatino Linotype" w:hAnsi="Palatino Linotype" w:cs="Palatino Linotype"/>
        </w:rPr>
        <w:t xml:space="preserve">, resultan fundadas las razones o motivos de inconformidad hechos valer por el </w:t>
      </w:r>
      <w:r w:rsidRPr="0015693D">
        <w:rPr>
          <w:rFonts w:ascii="Palatino Linotype" w:eastAsia="Palatino Linotype" w:hAnsi="Palatino Linotype" w:cs="Palatino Linotype"/>
          <w:b/>
        </w:rPr>
        <w:t>RECURRENTE</w:t>
      </w:r>
      <w:r w:rsidRPr="0015693D">
        <w:rPr>
          <w:rFonts w:ascii="Palatino Linotype" w:eastAsia="Palatino Linotype" w:hAnsi="Palatino Linotype" w:cs="Palatino Linotype"/>
        </w:rPr>
        <w:t xml:space="preserve"> dentro del recurso de revisión </w:t>
      </w:r>
      <w:r w:rsidR="007F1319" w:rsidRPr="0015693D">
        <w:rPr>
          <w:rFonts w:ascii="Palatino Linotype" w:eastAsia="Palatino Linotype" w:hAnsi="Palatino Linotype" w:cs="Palatino Linotype"/>
          <w:b/>
        </w:rPr>
        <w:t>04013</w:t>
      </w:r>
      <w:r w:rsidRPr="0015693D">
        <w:rPr>
          <w:rFonts w:ascii="Palatino Linotype" w:eastAsia="Palatino Linotype" w:hAnsi="Palatino Linotype" w:cs="Palatino Linotype"/>
          <w:b/>
        </w:rPr>
        <w:t>/INFOEM/IP/RR/2025</w:t>
      </w:r>
      <w:r w:rsidRPr="0015693D">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15693D">
        <w:rPr>
          <w:rFonts w:ascii="Palatino Linotype" w:eastAsia="Palatino Linotype" w:hAnsi="Palatino Linotype" w:cs="Palatino Linotype"/>
          <w:b/>
        </w:rPr>
        <w:t>REVOCA</w:t>
      </w:r>
      <w:r w:rsidRPr="0015693D">
        <w:rPr>
          <w:rFonts w:ascii="Palatino Linotype" w:eastAsia="Palatino Linotype" w:hAnsi="Palatino Linotype" w:cs="Palatino Linotype"/>
        </w:rPr>
        <w:t xml:space="preserve"> la respuesta a la solicitud de información número </w:t>
      </w:r>
      <w:bookmarkStart w:id="8" w:name="_heading=h.2s8eyo1" w:colFirst="0" w:colLast="0"/>
      <w:bookmarkEnd w:id="8"/>
      <w:r w:rsidR="007F1319" w:rsidRPr="0015693D">
        <w:rPr>
          <w:rFonts w:ascii="Palatino Linotype" w:eastAsia="Palatino Linotype" w:hAnsi="Palatino Linotype" w:cs="Palatino Linotype"/>
          <w:b/>
          <w:bCs/>
        </w:rPr>
        <w:t>00155/OTZOLOTE/IP/2025.</w:t>
      </w:r>
    </w:p>
    <w:p w:rsidR="002B7B06" w:rsidRPr="0015693D" w:rsidRDefault="002B7B06" w:rsidP="005F6E8A">
      <w:pPr>
        <w:pStyle w:val="Prrafodelista"/>
        <w:ind w:left="0"/>
        <w:rPr>
          <w:rFonts w:ascii="Palatino Linotype" w:eastAsia="Palatino Linotype" w:hAnsi="Palatino Linotype" w:cs="Palatino Linotype"/>
        </w:rPr>
      </w:pPr>
    </w:p>
    <w:p w:rsidR="002B7B06" w:rsidRPr="0015693D" w:rsidRDefault="002B7B06" w:rsidP="005F6E8A">
      <w:pPr>
        <w:pStyle w:val="Prrafodelista"/>
        <w:tabs>
          <w:tab w:val="left" w:pos="426"/>
        </w:tabs>
        <w:spacing w:line="360" w:lineRule="auto"/>
        <w:ind w:left="0"/>
        <w:jc w:val="both"/>
        <w:outlineLvl w:val="1"/>
        <w:rPr>
          <w:rFonts w:ascii="Palatino Linotype" w:hAnsi="Palatino Linotype"/>
          <w:b/>
          <w:bCs/>
        </w:rPr>
      </w:pPr>
      <w:bookmarkStart w:id="9" w:name="_Toc89350464"/>
      <w:bookmarkStart w:id="10" w:name="_Toc94119619"/>
      <w:r w:rsidRPr="0015693D">
        <w:rPr>
          <w:rFonts w:ascii="Palatino Linotype" w:hAnsi="Palatino Linotype"/>
          <w:b/>
          <w:bCs/>
        </w:rPr>
        <w:t>QUINTO. De la versión pública.</w:t>
      </w:r>
      <w:bookmarkEnd w:id="9"/>
      <w:bookmarkEnd w:id="10"/>
    </w:p>
    <w:p w:rsidR="002B7B06" w:rsidRPr="0015693D" w:rsidRDefault="002B7B06" w:rsidP="005F6E8A">
      <w:pPr>
        <w:pStyle w:val="Prrafodelista"/>
        <w:tabs>
          <w:tab w:val="left" w:pos="426"/>
        </w:tabs>
        <w:spacing w:line="360" w:lineRule="auto"/>
        <w:ind w:left="0"/>
        <w:jc w:val="both"/>
        <w:rPr>
          <w:rFonts w:ascii="Palatino Linotype" w:hAnsi="Palatino Linotype"/>
        </w:rPr>
      </w:pPr>
    </w:p>
    <w:p w:rsidR="002B7B06" w:rsidRPr="0015693D" w:rsidRDefault="002B7B06" w:rsidP="005F6E8A">
      <w:pPr>
        <w:pStyle w:val="Prrafodelista"/>
        <w:numPr>
          <w:ilvl w:val="0"/>
          <w:numId w:val="1"/>
        </w:numPr>
        <w:tabs>
          <w:tab w:val="left" w:pos="0"/>
        </w:tabs>
        <w:spacing w:line="360" w:lineRule="auto"/>
        <w:ind w:left="0" w:firstLine="0"/>
        <w:jc w:val="both"/>
        <w:rPr>
          <w:rFonts w:ascii="Palatino Linotype" w:hAnsi="Palatino Linotype"/>
        </w:rPr>
      </w:pPr>
      <w:r w:rsidRPr="0015693D">
        <w:rPr>
          <w:rFonts w:ascii="Palatino Linotype" w:hAnsi="Palatino Linotype"/>
        </w:rPr>
        <w:t>Debe destacarse que, debido a la naturaleza de la información solicitada</w:t>
      </w:r>
      <w:r w:rsidRPr="0015693D">
        <w:rPr>
          <w:rFonts w:ascii="Palatino Linotype" w:hAnsi="Palatino Linotype"/>
          <w:b/>
        </w:rPr>
        <w:t xml:space="preserve"> </w:t>
      </w:r>
      <w:r w:rsidRPr="0015693D">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2B7B06" w:rsidRPr="0015693D" w:rsidRDefault="002B7B06" w:rsidP="005F6E8A">
      <w:pPr>
        <w:pStyle w:val="Prrafodelista"/>
        <w:tabs>
          <w:tab w:val="left" w:pos="426"/>
        </w:tabs>
        <w:spacing w:line="360" w:lineRule="auto"/>
        <w:ind w:left="0"/>
        <w:jc w:val="both"/>
        <w:rPr>
          <w:rFonts w:ascii="Palatino Linotype" w:hAnsi="Palatino Linotype"/>
        </w:rPr>
      </w:pPr>
    </w:p>
    <w:p w:rsidR="002B7B06" w:rsidRPr="0015693D" w:rsidRDefault="002B7B06" w:rsidP="005F6E8A">
      <w:pPr>
        <w:pStyle w:val="Prrafodelista"/>
        <w:numPr>
          <w:ilvl w:val="0"/>
          <w:numId w:val="1"/>
        </w:numPr>
        <w:tabs>
          <w:tab w:val="left" w:pos="0"/>
        </w:tabs>
        <w:spacing w:line="360" w:lineRule="auto"/>
        <w:ind w:left="0" w:firstLine="0"/>
        <w:jc w:val="both"/>
        <w:rPr>
          <w:rFonts w:ascii="Palatino Linotype" w:hAnsi="Palatino Linotype"/>
        </w:rPr>
      </w:pPr>
      <w:r w:rsidRPr="0015693D">
        <w:rPr>
          <w:rFonts w:ascii="Palatino Linotype" w:hAnsi="Palatino Linotype"/>
        </w:rPr>
        <w:t xml:space="preserve">La </w:t>
      </w:r>
      <w:r w:rsidRPr="0015693D">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15693D">
        <w:rPr>
          <w:rFonts w:ascii="Palatino Linotype" w:hAnsi="Palatino Linotype" w:cs="Arial"/>
        </w:rPr>
        <w:t>, por lo que es menester reiterar los mismos:</w:t>
      </w:r>
    </w:p>
    <w:p w:rsidR="002B7B06" w:rsidRPr="0015693D" w:rsidRDefault="002B7B06" w:rsidP="005F6E8A">
      <w:pPr>
        <w:pStyle w:val="Prrafodelista"/>
        <w:tabs>
          <w:tab w:val="left" w:pos="426"/>
        </w:tabs>
        <w:spacing w:line="360" w:lineRule="auto"/>
        <w:ind w:left="0"/>
        <w:jc w:val="both"/>
        <w:rPr>
          <w:rFonts w:ascii="Palatino Linotype" w:hAnsi="Palatino Linotype"/>
        </w:rPr>
      </w:pPr>
    </w:p>
    <w:tbl>
      <w:tblPr>
        <w:tblStyle w:val="Tabladecuadrcula6concolores"/>
        <w:tblW w:w="0" w:type="auto"/>
        <w:tblLook w:val="04A0" w:firstRow="1" w:lastRow="0" w:firstColumn="1" w:lastColumn="0" w:noHBand="0" w:noVBand="1"/>
      </w:tblPr>
      <w:tblGrid>
        <w:gridCol w:w="1838"/>
        <w:gridCol w:w="7371"/>
      </w:tblGrid>
      <w:tr w:rsidR="002B7B06" w:rsidRPr="0015693D" w:rsidTr="00156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7B06" w:rsidRPr="0015693D" w:rsidRDefault="002B7B06" w:rsidP="005F6E8A">
            <w:pPr>
              <w:spacing w:line="276" w:lineRule="auto"/>
              <w:rPr>
                <w:rFonts w:ascii="Palatino Linotype" w:hAnsi="Palatino Linotype"/>
                <w:color w:val="auto"/>
              </w:rPr>
            </w:pPr>
            <w:r w:rsidRPr="0015693D">
              <w:rPr>
                <w:rFonts w:ascii="Palatino Linotype" w:hAnsi="Palatino Linotype" w:cstheme="majorBidi"/>
                <w:b w:val="0"/>
                <w:color w:val="auto"/>
              </w:rPr>
              <w:lastRenderedPageBreak/>
              <w:t>a) Requisitos previos.</w:t>
            </w:r>
          </w:p>
        </w:tc>
        <w:tc>
          <w:tcPr>
            <w:tcW w:w="7371" w:type="dxa"/>
          </w:tcPr>
          <w:p w:rsidR="002B7B06" w:rsidRPr="0015693D" w:rsidRDefault="002B7B06" w:rsidP="005F6E8A">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Los artículos 100 y 122 de la Ley Estatal y de la Ley General, respectivamente, señalan que si los </w:t>
            </w:r>
            <w:r w:rsidRPr="0015693D">
              <w:rPr>
                <w:rFonts w:ascii="Palatino Linotype" w:hAnsi="Palatino Linotype" w:cs="Arial"/>
                <w:b w:val="0"/>
                <w:color w:val="auto"/>
              </w:rPr>
              <w:t>Sujetos Obligados</w:t>
            </w:r>
            <w:r w:rsidRPr="0015693D">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2B7B06" w:rsidRPr="0015693D" w:rsidRDefault="002B7B06" w:rsidP="005F6E8A">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Al hacerlo tienen que precisar de qué información se trata, señalando el supuesto de clasificación (confidencialidad o reserva).</w:t>
            </w:r>
          </w:p>
          <w:p w:rsidR="002B7B06" w:rsidRPr="0015693D" w:rsidRDefault="002B7B06" w:rsidP="005F6E8A">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Además, se debe señalar el procedimiento, de los tres que establecen los artículos 132 y 106 de la Ley Estatal y General, respectivamente.</w:t>
            </w:r>
          </w:p>
          <w:p w:rsidR="002B7B06" w:rsidRPr="0015693D" w:rsidRDefault="002B7B06" w:rsidP="005F6E8A">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15693D">
              <w:rPr>
                <w:rFonts w:ascii="Palatino Linotype" w:hAnsi="Palatino Linotype" w:cs="Arial"/>
                <w:color w:val="auto"/>
              </w:rPr>
              <w:t xml:space="preserve">El último de estos requisitos previos consiste en que no se pueden emitir acuerdos de carácter general ni particular, esto es, </w:t>
            </w:r>
            <w:r w:rsidRPr="0015693D">
              <w:rPr>
                <w:rFonts w:ascii="Palatino Linotype" w:hAnsi="Palatino Linotype" w:cs="Arial"/>
                <w:b w:val="0"/>
                <w:color w:val="auto"/>
                <w:u w:val="single"/>
              </w:rPr>
              <w:t xml:space="preserve">no se puede hacer un acuerdo para clasificar de manera general todos los documentos de un expediente o área,  </w:t>
            </w:r>
            <w:r w:rsidRPr="0015693D">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2B7B06" w:rsidRPr="0015693D" w:rsidTr="0015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7B06" w:rsidRPr="0015693D" w:rsidRDefault="002B7B06" w:rsidP="005F6E8A">
            <w:pPr>
              <w:spacing w:line="276" w:lineRule="auto"/>
              <w:rPr>
                <w:rFonts w:ascii="Palatino Linotype" w:hAnsi="Palatino Linotype"/>
                <w:color w:val="auto"/>
              </w:rPr>
            </w:pPr>
            <w:r w:rsidRPr="0015693D">
              <w:rPr>
                <w:rFonts w:ascii="Palatino Linotype" w:hAnsi="Palatino Linotype" w:cstheme="majorBidi"/>
                <w:b w:val="0"/>
                <w:color w:val="auto"/>
              </w:rPr>
              <w:t>b) Supuestos de clasificación.</w:t>
            </w:r>
          </w:p>
        </w:tc>
        <w:tc>
          <w:tcPr>
            <w:tcW w:w="7371" w:type="dxa"/>
          </w:tcPr>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Las disposiciones constitucionales y legales en la materia establecen los dos supuestos generales para clasificar la información: por reserva y por confidencialidad.</w:t>
            </w:r>
          </w:p>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B7B06" w:rsidRPr="0015693D" w:rsidRDefault="002B7B06" w:rsidP="005F6E8A">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15693D">
              <w:rPr>
                <w:rFonts w:ascii="Palatino Linotype" w:hAnsi="Palatino Linotype" w:cs="Arial"/>
                <w:color w:val="auto"/>
              </w:rPr>
              <w:lastRenderedPageBreak/>
              <w:t xml:space="preserve">El </w:t>
            </w:r>
            <w:r w:rsidRPr="0015693D">
              <w:rPr>
                <w:rFonts w:ascii="Palatino Linotype" w:hAnsi="Palatino Linotype" w:cs="Arial"/>
                <w:b/>
                <w:color w:val="auto"/>
              </w:rPr>
              <w:t>SUJETO OBLIGADO</w:t>
            </w:r>
            <w:r w:rsidRPr="0015693D">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B7B06" w:rsidRPr="0015693D" w:rsidTr="0015693D">
        <w:tc>
          <w:tcPr>
            <w:cnfStyle w:val="001000000000" w:firstRow="0" w:lastRow="0" w:firstColumn="1" w:lastColumn="0" w:oddVBand="0" w:evenVBand="0" w:oddHBand="0" w:evenHBand="0" w:firstRowFirstColumn="0" w:firstRowLastColumn="0" w:lastRowFirstColumn="0" w:lastRowLastColumn="0"/>
            <w:tcW w:w="1838" w:type="dxa"/>
          </w:tcPr>
          <w:p w:rsidR="002B7B06" w:rsidRPr="0015693D" w:rsidRDefault="002B7B06" w:rsidP="005F6E8A">
            <w:pPr>
              <w:spacing w:line="276" w:lineRule="auto"/>
              <w:rPr>
                <w:rFonts w:ascii="Palatino Linotype" w:hAnsi="Palatino Linotype"/>
                <w:color w:val="auto"/>
              </w:rPr>
            </w:pPr>
            <w:r w:rsidRPr="0015693D">
              <w:rPr>
                <w:rFonts w:ascii="Palatino Linotype" w:hAnsi="Palatino Linotype" w:cstheme="majorBidi"/>
                <w:b w:val="0"/>
                <w:color w:val="auto"/>
              </w:rPr>
              <w:lastRenderedPageBreak/>
              <w:t>c) Formalidades para emitir el acuerdo de clasificación.</w:t>
            </w:r>
          </w:p>
        </w:tc>
        <w:tc>
          <w:tcPr>
            <w:tcW w:w="7371" w:type="dxa"/>
          </w:tcPr>
          <w:p w:rsidR="002B7B06" w:rsidRPr="0015693D" w:rsidRDefault="002B7B06" w:rsidP="005F6E8A">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2B7B06" w:rsidRPr="0015693D" w:rsidRDefault="002B7B06" w:rsidP="005F6E8A">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Es necesario que </w:t>
            </w:r>
            <w:r w:rsidRPr="0015693D">
              <w:rPr>
                <w:rFonts w:ascii="Palatino Linotype" w:hAnsi="Palatino Linotype" w:cs="Arial"/>
                <w:b/>
                <w:color w:val="auto"/>
                <w:u w:val="single"/>
              </w:rPr>
              <w:t>el acto reúna con los requisitos elementales</w:t>
            </w:r>
            <w:r w:rsidRPr="0015693D">
              <w:rPr>
                <w:rFonts w:ascii="Palatino Linotype" w:hAnsi="Palatino Linotype" w:cs="Arial"/>
                <w:color w:val="auto"/>
              </w:rPr>
              <w:t>, entre ellos, que la autoridad que va a emitir el acto de autoridad sea la legalmente facultada para ello.</w:t>
            </w:r>
          </w:p>
          <w:p w:rsidR="002B7B06" w:rsidRPr="0015693D" w:rsidRDefault="002B7B06" w:rsidP="005F6E8A">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15693D">
              <w:rPr>
                <w:rFonts w:ascii="Palatino Linotype" w:hAnsi="Palatino Linotype" w:cs="Arial"/>
                <w:color w:val="auto"/>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B7B06" w:rsidRPr="0015693D" w:rsidTr="0015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7B06" w:rsidRPr="0015693D" w:rsidRDefault="002B7B06" w:rsidP="005F6E8A">
            <w:pPr>
              <w:spacing w:line="276" w:lineRule="auto"/>
              <w:rPr>
                <w:rFonts w:ascii="Palatino Linotype" w:hAnsi="Palatino Linotype"/>
                <w:b w:val="0"/>
                <w:color w:val="auto"/>
              </w:rPr>
            </w:pPr>
          </w:p>
          <w:p w:rsidR="002B7B06" w:rsidRPr="0015693D" w:rsidRDefault="002B7B06" w:rsidP="005F6E8A">
            <w:pPr>
              <w:spacing w:line="276" w:lineRule="auto"/>
              <w:jc w:val="both"/>
              <w:rPr>
                <w:rFonts w:ascii="Palatino Linotype" w:hAnsi="Palatino Linotype"/>
                <w:b w:val="0"/>
                <w:color w:val="auto"/>
              </w:rPr>
            </w:pPr>
            <w:r w:rsidRPr="0015693D">
              <w:rPr>
                <w:rFonts w:ascii="Palatino Linotype" w:hAnsi="Palatino Linotype" w:cs="Arial"/>
                <w:b w:val="0"/>
                <w:color w:val="auto"/>
              </w:rPr>
              <w:t xml:space="preserve">d) Requisitos de fondo del acuerdo de clasificación. </w:t>
            </w:r>
          </w:p>
        </w:tc>
        <w:tc>
          <w:tcPr>
            <w:tcW w:w="7371" w:type="dxa"/>
          </w:tcPr>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5693D">
              <w:rPr>
                <w:rFonts w:ascii="Palatino Linotype" w:hAnsi="Palatino Linotype" w:cs="Arial"/>
                <w:b/>
                <w:color w:val="auto"/>
              </w:rPr>
              <w:t>Sujetos Obligados</w:t>
            </w:r>
            <w:r w:rsidRPr="0015693D">
              <w:rPr>
                <w:rFonts w:ascii="Palatino Linotype" w:hAnsi="Palatino Linotype" w:cs="Arial"/>
                <w:color w:val="auto"/>
              </w:rPr>
              <w:t xml:space="preserve">, por lo que deberán fundar y motivar debidamente la clasificación. </w:t>
            </w:r>
          </w:p>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De lo anterior, se desprende que para una correcta </w:t>
            </w:r>
            <w:r w:rsidRPr="0015693D">
              <w:rPr>
                <w:rFonts w:ascii="Palatino Linotype" w:hAnsi="Palatino Linotype" w:cs="Arial"/>
                <w:b/>
                <w:color w:val="auto"/>
              </w:rPr>
              <w:t>clasificación total o parcial</w:t>
            </w:r>
            <w:r w:rsidRPr="0015693D">
              <w:rPr>
                <w:rFonts w:ascii="Palatino Linotype" w:hAnsi="Palatino Linotype" w:cs="Arial"/>
                <w:color w:val="auto"/>
              </w:rPr>
              <w:t xml:space="preserve">, esto es determinar los datos que se suprimen en las versiones públicas, es necesario fundar y motivar, de manera correcta, la clasificación; considerando que todo acto que la </w:t>
            </w:r>
            <w:r w:rsidRPr="0015693D">
              <w:rPr>
                <w:rFonts w:ascii="Palatino Linotype" w:hAnsi="Palatino Linotype" w:cs="Arial"/>
                <w:color w:val="auto"/>
              </w:rPr>
              <w:lastRenderedPageBreak/>
              <w:t>autoridad pronuncie en el ejercicio de sus atribuciones, debe expresar los fundamentos legales que le dieron origen y las razones por las que se deben aplicar al caso concreto.</w:t>
            </w:r>
          </w:p>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En ese mismo sentido, el numeral trigésimo tercero fracción V de los Lineamientos Generales, precisa que para motivar la clasificación se deben acreditar las circunstancias de tiempo, modo y lugar.</w:t>
            </w:r>
          </w:p>
          <w:p w:rsidR="002B7B06" w:rsidRPr="0015693D" w:rsidRDefault="002B7B06" w:rsidP="005F6E8A">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Ahora bien, </w:t>
            </w:r>
            <w:r w:rsidRPr="0015693D">
              <w:rPr>
                <w:rFonts w:ascii="Palatino Linotype" w:hAnsi="Palatino Linotype" w:cs="Arial"/>
                <w:b/>
                <w:color w:val="auto"/>
                <w:u w:val="single"/>
              </w:rPr>
              <w:t>para cada caso además de fundar y motivar</w:t>
            </w:r>
            <w:r w:rsidRPr="0015693D">
              <w:rPr>
                <w:rFonts w:ascii="Palatino Linotype" w:hAnsi="Palatino Linotype" w:cs="Arial"/>
                <w:color w:val="auto"/>
              </w:rPr>
              <w:t xml:space="preserve">, se debe identificar con claridad que datos contenidos en las documentales que son susceptibles de suprimirse, por ejemplo; </w:t>
            </w:r>
            <w:r w:rsidRPr="0015693D">
              <w:rPr>
                <w:rFonts w:ascii="Palatino Linotype" w:hAnsi="Palatino Linotype" w:cs="Arial"/>
                <w:color w:val="auto"/>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B7B06" w:rsidRPr="0015693D" w:rsidTr="0015693D">
        <w:tc>
          <w:tcPr>
            <w:cnfStyle w:val="001000000000" w:firstRow="0" w:lastRow="0" w:firstColumn="1" w:lastColumn="0" w:oddVBand="0" w:evenVBand="0" w:oddHBand="0" w:evenHBand="0" w:firstRowFirstColumn="0" w:firstRowLastColumn="0" w:lastRowFirstColumn="0" w:lastRowLastColumn="0"/>
            <w:tcW w:w="1838" w:type="dxa"/>
          </w:tcPr>
          <w:p w:rsidR="002B7B06" w:rsidRPr="0015693D" w:rsidRDefault="002B7B06" w:rsidP="005F6E8A">
            <w:pPr>
              <w:spacing w:line="276" w:lineRule="auto"/>
              <w:jc w:val="both"/>
              <w:rPr>
                <w:rFonts w:ascii="Palatino Linotype" w:hAnsi="Palatino Linotype" w:cs="Arial"/>
                <w:color w:val="auto"/>
              </w:rPr>
            </w:pPr>
            <w:r w:rsidRPr="0015693D">
              <w:rPr>
                <w:rFonts w:ascii="Palatino Linotype" w:eastAsia="MS Gothic" w:hAnsi="Palatino Linotype"/>
                <w:b w:val="0"/>
                <w:color w:val="auto"/>
              </w:rPr>
              <w:lastRenderedPageBreak/>
              <w:t xml:space="preserve">e) Condiciones especiales de la clasificación de la información como confidencial. </w:t>
            </w:r>
          </w:p>
          <w:p w:rsidR="002B7B06" w:rsidRPr="0015693D" w:rsidRDefault="002B7B06" w:rsidP="005F6E8A">
            <w:pPr>
              <w:spacing w:line="276" w:lineRule="auto"/>
              <w:rPr>
                <w:rFonts w:ascii="Palatino Linotype" w:hAnsi="Palatino Linotype"/>
                <w:color w:val="auto"/>
              </w:rPr>
            </w:pPr>
          </w:p>
        </w:tc>
        <w:tc>
          <w:tcPr>
            <w:tcW w:w="7371" w:type="dxa"/>
          </w:tcPr>
          <w:p w:rsidR="002B7B06" w:rsidRPr="0015693D" w:rsidRDefault="002B7B06" w:rsidP="005F6E8A">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Los artículos 148 y 120 de la Ley Estatal y de la Ley General, respectivamente, establecen que aun tratándose de datos personales, se podrán proporcionar, incluso sin solicitar el consentimiento de su titular. </w:t>
            </w:r>
          </w:p>
          <w:p w:rsidR="002B7B06" w:rsidRPr="0015693D" w:rsidRDefault="002B7B06" w:rsidP="005F6E8A">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15693D">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B7B06" w:rsidRPr="0015693D" w:rsidRDefault="002B7B06" w:rsidP="005F6E8A">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15693D">
              <w:rPr>
                <w:rFonts w:ascii="Palatino Linotype" w:hAnsi="Palatino Linotype" w:cs="Arial"/>
                <w:color w:val="auto"/>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numPr>
          <w:ilvl w:val="0"/>
          <w:numId w:val="1"/>
        </w:numPr>
        <w:spacing w:line="360" w:lineRule="auto"/>
        <w:ind w:left="0" w:firstLine="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Por lo anteriormente expuesto y fundado, este </w:t>
      </w:r>
      <w:r w:rsidRPr="0015693D">
        <w:rPr>
          <w:rFonts w:ascii="Palatino Linotype" w:eastAsia="Palatino Linotype" w:hAnsi="Palatino Linotype" w:cs="Palatino Linotype"/>
          <w:b/>
        </w:rPr>
        <w:t>ÓRGANO GARANTE</w:t>
      </w:r>
      <w:r w:rsidRPr="0015693D">
        <w:rPr>
          <w:rFonts w:ascii="Palatino Linotype" w:eastAsia="Palatino Linotype" w:hAnsi="Palatino Linotype" w:cs="Palatino Linotype"/>
        </w:rPr>
        <w:t xml:space="preserve"> emite los siguientes:</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keepNext/>
        <w:keepLines/>
        <w:spacing w:line="360" w:lineRule="auto"/>
        <w:jc w:val="center"/>
        <w:rPr>
          <w:rFonts w:ascii="Palatino Linotype" w:eastAsia="Palatino Linotype" w:hAnsi="Palatino Linotype" w:cs="Palatino Linotype"/>
          <w:b/>
        </w:rPr>
      </w:pPr>
      <w:bookmarkStart w:id="11" w:name="_heading=h.17dp8vu" w:colFirst="0" w:colLast="0"/>
      <w:bookmarkEnd w:id="11"/>
      <w:r w:rsidRPr="0015693D">
        <w:rPr>
          <w:rFonts w:ascii="Palatino Linotype" w:eastAsia="Palatino Linotype" w:hAnsi="Palatino Linotype" w:cs="Palatino Linotype"/>
          <w:b/>
        </w:rPr>
        <w:t>R E S O L U T I V O S</w:t>
      </w:r>
    </w:p>
    <w:p w:rsidR="002B7B06" w:rsidRPr="0015693D" w:rsidRDefault="002B7B06" w:rsidP="005F6E8A">
      <w:pPr>
        <w:keepNext/>
        <w:keepLines/>
        <w:spacing w:line="360" w:lineRule="auto"/>
        <w:jc w:val="center"/>
        <w:rPr>
          <w:rFonts w:ascii="Palatino Linotype" w:eastAsia="Palatino Linotype" w:hAnsi="Palatino Linotype" w:cs="Palatino Linotype"/>
          <w:b/>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PRIMERO</w:t>
      </w:r>
      <w:r w:rsidRPr="0015693D">
        <w:rPr>
          <w:rFonts w:ascii="Palatino Linotype" w:eastAsia="Palatino Linotype" w:hAnsi="Palatino Linotype" w:cs="Palatino Linotype"/>
        </w:rPr>
        <w:t xml:space="preserve">. Resultan fundadas las razones o motivos de inconformidad hechos valer en el Recurso de Revisión </w:t>
      </w:r>
      <w:r w:rsidR="007F1319" w:rsidRPr="0015693D">
        <w:rPr>
          <w:rFonts w:ascii="Palatino Linotype" w:eastAsia="Palatino Linotype" w:hAnsi="Palatino Linotype" w:cs="Palatino Linotype"/>
          <w:b/>
        </w:rPr>
        <w:t>04013</w:t>
      </w:r>
      <w:r w:rsidRPr="0015693D">
        <w:rPr>
          <w:rFonts w:ascii="Palatino Linotype" w:eastAsia="Palatino Linotype" w:hAnsi="Palatino Linotype" w:cs="Palatino Linotype"/>
          <w:b/>
        </w:rPr>
        <w:t>/INFOEM/IP/RR/2025</w:t>
      </w:r>
      <w:r w:rsidRPr="0015693D">
        <w:rPr>
          <w:rFonts w:ascii="Palatino Linotype" w:eastAsia="Palatino Linotype" w:hAnsi="Palatino Linotype" w:cs="Palatino Linotype"/>
        </w:rPr>
        <w:t>,</w:t>
      </w:r>
      <w:r w:rsidRPr="0015693D">
        <w:rPr>
          <w:rFonts w:ascii="Palatino Linotype" w:eastAsia="Palatino Linotype" w:hAnsi="Palatino Linotype" w:cs="Palatino Linotype"/>
          <w:b/>
        </w:rPr>
        <w:t xml:space="preserve"> </w:t>
      </w:r>
      <w:r w:rsidRPr="0015693D">
        <w:rPr>
          <w:rFonts w:ascii="Palatino Linotype" w:eastAsia="Palatino Linotype" w:hAnsi="Palatino Linotype" w:cs="Palatino Linotype"/>
        </w:rPr>
        <w:t>en términos de los Considerandos</w:t>
      </w:r>
      <w:r w:rsidRPr="0015693D">
        <w:rPr>
          <w:rFonts w:ascii="Palatino Linotype" w:eastAsia="Palatino Linotype" w:hAnsi="Palatino Linotype" w:cs="Palatino Linotype"/>
          <w:b/>
        </w:rPr>
        <w:t xml:space="preserve"> Cuarto y Quinto </w:t>
      </w:r>
      <w:r w:rsidRPr="0015693D">
        <w:rPr>
          <w:rFonts w:ascii="Palatino Linotype" w:eastAsia="Palatino Linotype" w:hAnsi="Palatino Linotype" w:cs="Palatino Linotype"/>
        </w:rPr>
        <w:t xml:space="preserve">de la presente resolución. </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rPr>
      </w:pPr>
      <w:bookmarkStart w:id="12" w:name="_heading=h.3rdcrjn" w:colFirst="0" w:colLast="0"/>
      <w:bookmarkEnd w:id="12"/>
      <w:r w:rsidRPr="0015693D">
        <w:rPr>
          <w:rFonts w:ascii="Palatino Linotype" w:eastAsia="Palatino Linotype" w:hAnsi="Palatino Linotype" w:cs="Palatino Linotype"/>
          <w:b/>
        </w:rPr>
        <w:t xml:space="preserve">SEGUNDO. </w:t>
      </w:r>
      <w:r w:rsidRPr="0015693D">
        <w:rPr>
          <w:rFonts w:ascii="Palatino Linotype" w:eastAsia="Palatino Linotype" w:hAnsi="Palatino Linotype" w:cs="Palatino Linotype"/>
        </w:rPr>
        <w:t xml:space="preserve">Se </w:t>
      </w:r>
      <w:r w:rsidRPr="0015693D">
        <w:rPr>
          <w:rFonts w:ascii="Palatino Linotype" w:eastAsia="Palatino Linotype" w:hAnsi="Palatino Linotype" w:cs="Palatino Linotype"/>
          <w:b/>
        </w:rPr>
        <w:t xml:space="preserve">REVOCA </w:t>
      </w:r>
      <w:r w:rsidRPr="0015693D">
        <w:rPr>
          <w:rFonts w:ascii="Palatino Linotype" w:eastAsia="Palatino Linotype" w:hAnsi="Palatino Linotype" w:cs="Palatino Linotype"/>
        </w:rPr>
        <w:t xml:space="preserve">la respuesta emitida por el </w:t>
      </w:r>
      <w:r w:rsidRPr="0015693D">
        <w:rPr>
          <w:rFonts w:ascii="Palatino Linotype" w:eastAsia="Palatino Linotype" w:hAnsi="Palatino Linotype" w:cs="Palatino Linotype"/>
          <w:b/>
        </w:rPr>
        <w:t xml:space="preserve">Ayuntamiento de </w:t>
      </w:r>
      <w:r w:rsidR="007F1319" w:rsidRPr="0015693D">
        <w:rPr>
          <w:rFonts w:ascii="Palatino Linotype" w:eastAsia="Palatino Linotype" w:hAnsi="Palatino Linotype" w:cs="Palatino Linotype"/>
          <w:b/>
        </w:rPr>
        <w:t>Otzolotepec</w:t>
      </w:r>
      <w:r w:rsidRPr="0015693D">
        <w:rPr>
          <w:rFonts w:ascii="Palatino Linotype" w:eastAsia="Palatino Linotype" w:hAnsi="Palatino Linotype" w:cs="Palatino Linotype"/>
          <w:b/>
        </w:rPr>
        <w:t xml:space="preserve"> </w:t>
      </w:r>
      <w:r w:rsidRPr="0015693D">
        <w:rPr>
          <w:rFonts w:ascii="Palatino Linotype" w:eastAsia="Palatino Linotype" w:hAnsi="Palatino Linotype" w:cs="Palatino Linotype"/>
        </w:rPr>
        <w:t xml:space="preserve">y se </w:t>
      </w:r>
      <w:r w:rsidRPr="0015693D">
        <w:rPr>
          <w:rFonts w:ascii="Palatino Linotype" w:eastAsia="Palatino Linotype" w:hAnsi="Palatino Linotype" w:cs="Palatino Linotype"/>
          <w:b/>
        </w:rPr>
        <w:t>ORDENA</w:t>
      </w:r>
      <w:r w:rsidRPr="0015693D">
        <w:rPr>
          <w:rFonts w:ascii="Palatino Linotype" w:eastAsia="Palatino Linotype" w:hAnsi="Palatino Linotype" w:cs="Palatino Linotype"/>
        </w:rPr>
        <w:t xml:space="preserve"> entregar vía Sistema de Acceso a la Información Mexiquense </w:t>
      </w:r>
      <w:r w:rsidRPr="0015693D">
        <w:rPr>
          <w:rFonts w:ascii="Palatino Linotype" w:eastAsia="Palatino Linotype" w:hAnsi="Palatino Linotype" w:cs="Palatino Linotype"/>
          <w:b/>
        </w:rPr>
        <w:t xml:space="preserve">(SAIMEX), </w:t>
      </w:r>
      <w:r w:rsidR="00C014F9" w:rsidRPr="0015693D">
        <w:rPr>
          <w:rFonts w:ascii="Palatino Linotype" w:eastAsia="Palatino Linotype" w:hAnsi="Palatino Linotype" w:cs="Palatino Linotype"/>
          <w:b/>
        </w:rPr>
        <w:t xml:space="preserve">previa búsqueda exhaustiva y razonable, </w:t>
      </w:r>
      <w:r w:rsidRPr="0015693D">
        <w:rPr>
          <w:rFonts w:ascii="Palatino Linotype" w:eastAsia="Palatino Linotype" w:hAnsi="Palatino Linotype" w:cs="Palatino Linotype"/>
        </w:rPr>
        <w:t>de ser procedente en versión pública</w:t>
      </w:r>
      <w:r w:rsidRPr="0015693D">
        <w:rPr>
          <w:rFonts w:ascii="Palatino Linotype" w:eastAsia="Palatino Linotype" w:hAnsi="Palatino Linotype" w:cs="Palatino Linotype"/>
          <w:b/>
        </w:rPr>
        <w:t xml:space="preserve">, </w:t>
      </w:r>
      <w:r w:rsidRPr="0015693D">
        <w:rPr>
          <w:rFonts w:ascii="Palatino Linotype" w:eastAsia="Palatino Linotype" w:hAnsi="Palatino Linotype" w:cs="Palatino Linotype"/>
        </w:rPr>
        <w:t>la siguiente información:</w:t>
      </w:r>
    </w:p>
    <w:p w:rsidR="002B7B06" w:rsidRPr="0015693D" w:rsidRDefault="002B7B06" w:rsidP="005F6E8A">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rPr>
      </w:pPr>
    </w:p>
    <w:p w:rsidR="002B7B06" w:rsidRPr="0015693D" w:rsidRDefault="007F1319" w:rsidP="005F6E8A">
      <w:pPr>
        <w:pStyle w:val="Prrafodelista"/>
        <w:numPr>
          <w:ilvl w:val="1"/>
          <w:numId w:val="1"/>
        </w:numPr>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rPr>
      </w:pPr>
      <w:r w:rsidRPr="0015693D">
        <w:rPr>
          <w:rFonts w:ascii="Palatino Linotype" w:hAnsi="Palatino Linotype"/>
          <w:b/>
        </w:rPr>
        <w:t xml:space="preserve">Lista de Raya del periodo comprendido del primero de enero al quince de marzo de dos mil veinticinco. </w:t>
      </w:r>
    </w:p>
    <w:p w:rsidR="007F1319" w:rsidRPr="0015693D" w:rsidRDefault="007F1319" w:rsidP="005F6E8A">
      <w:pPr>
        <w:pStyle w:val="Prrafodelista"/>
        <w:pBdr>
          <w:top w:val="nil"/>
          <w:left w:val="nil"/>
          <w:bottom w:val="nil"/>
          <w:right w:val="nil"/>
          <w:between w:val="nil"/>
        </w:pBdr>
        <w:tabs>
          <w:tab w:val="left" w:pos="993"/>
        </w:tabs>
        <w:spacing w:line="360" w:lineRule="auto"/>
        <w:ind w:left="0"/>
        <w:jc w:val="both"/>
        <w:rPr>
          <w:rFonts w:ascii="Palatino Linotype" w:eastAsia="Palatino Linotype" w:hAnsi="Palatino Linotype" w:cs="Palatino Linotype"/>
          <w:b/>
        </w:rPr>
      </w:pPr>
    </w:p>
    <w:p w:rsidR="002B7B06" w:rsidRPr="0015693D" w:rsidRDefault="002B7B06" w:rsidP="005F6E8A">
      <w:pPr>
        <w:tabs>
          <w:tab w:val="left" w:pos="8080"/>
        </w:tabs>
        <w:spacing w:line="360" w:lineRule="auto"/>
        <w:contextualSpacing/>
        <w:jc w:val="both"/>
        <w:rPr>
          <w:rFonts w:ascii="Palatino Linotype" w:hAnsi="Palatino Linotype"/>
          <w:b/>
        </w:rPr>
      </w:pPr>
      <w:r w:rsidRPr="0015693D">
        <w:rPr>
          <w:rFonts w:ascii="Palatino Linotype" w:hAnsi="Palatino Linotype"/>
        </w:rPr>
        <w:t xml:space="preserve">Para efectos de lo anterior, se deberá emitir el Acuerdo del Comité de Transparencia en términos de los artículos 49, fracción VIII y 132, fracción II de la Ley de Transparencia y </w:t>
      </w:r>
      <w:r w:rsidRPr="0015693D">
        <w:rPr>
          <w:rFonts w:ascii="Palatino Linotype" w:hAnsi="Palatino Linotype"/>
        </w:rPr>
        <w:lastRenderedPageBreak/>
        <w:t xml:space="preserve">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5693D">
        <w:rPr>
          <w:rFonts w:ascii="Palatino Linotype" w:hAnsi="Palatino Linotype"/>
          <w:b/>
        </w:rPr>
        <w:t>EL RECURRENTE.</w:t>
      </w:r>
    </w:p>
    <w:p w:rsidR="0065615B" w:rsidRPr="0015693D" w:rsidRDefault="0065615B" w:rsidP="005F6E8A">
      <w:pPr>
        <w:tabs>
          <w:tab w:val="left" w:pos="8080"/>
        </w:tabs>
        <w:spacing w:line="360" w:lineRule="auto"/>
        <w:contextualSpacing/>
        <w:jc w:val="both"/>
        <w:rPr>
          <w:rFonts w:ascii="Palatino Linotype" w:hAnsi="Palatino Linotype"/>
          <w:b/>
        </w:rPr>
      </w:pPr>
    </w:p>
    <w:p w:rsidR="0065615B" w:rsidRPr="0015693D" w:rsidRDefault="0065615B" w:rsidP="005F6E8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2B7B06" w:rsidRPr="0015693D" w:rsidRDefault="002B7B06" w:rsidP="005F6E8A">
      <w:pPr>
        <w:spacing w:line="360" w:lineRule="auto"/>
        <w:jc w:val="both"/>
        <w:rPr>
          <w:rFonts w:ascii="Palatino Linotype" w:eastAsia="Palatino Linotype" w:hAnsi="Palatino Linotype" w:cs="Palatino Linotype"/>
          <w:b/>
        </w:rPr>
      </w:pPr>
    </w:p>
    <w:p w:rsidR="002B7B06" w:rsidRPr="0015693D" w:rsidRDefault="002B7B06" w:rsidP="005F6E8A">
      <w:pPr>
        <w:tabs>
          <w:tab w:val="left" w:pos="8080"/>
        </w:tabs>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 xml:space="preserve">TERCERO. Notifíquese </w:t>
      </w:r>
      <w:r w:rsidRPr="0015693D">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15693D">
        <w:rPr>
          <w:rFonts w:ascii="Palatino Linotype" w:eastAsia="Palatino Linotype" w:hAnsi="Palatino Linotype" w:cs="Palatino Linotype"/>
          <w:b/>
        </w:rPr>
        <w:t>plazo de diez días hábiles</w:t>
      </w:r>
      <w:r w:rsidRPr="0015693D">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B06" w:rsidRPr="0015693D" w:rsidRDefault="002B7B06" w:rsidP="005F6E8A">
      <w:pPr>
        <w:tabs>
          <w:tab w:val="left" w:pos="8080"/>
        </w:tabs>
        <w:spacing w:line="360" w:lineRule="auto"/>
        <w:jc w:val="both"/>
        <w:rPr>
          <w:rFonts w:ascii="Palatino Linotype" w:eastAsia="Palatino Linotype" w:hAnsi="Palatino Linotype" w:cs="Palatino Linotype"/>
        </w:rPr>
      </w:pPr>
    </w:p>
    <w:p w:rsidR="002B7B06" w:rsidRPr="0015693D" w:rsidRDefault="002B7B06" w:rsidP="005F6E8A">
      <w:pPr>
        <w:shd w:val="clear" w:color="auto" w:fill="FFFFFF"/>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CUARTO. Notifíquese al RECURRENTE</w:t>
      </w:r>
      <w:r w:rsidRPr="0015693D">
        <w:rPr>
          <w:rFonts w:ascii="Palatino Linotype" w:eastAsia="Palatino Linotype" w:hAnsi="Palatino Linotype" w:cs="Palatino Linotype"/>
        </w:rPr>
        <w:t xml:space="preserve"> la presente resolución vía SAIMEX.</w:t>
      </w:r>
    </w:p>
    <w:p w:rsidR="002B7B06" w:rsidRPr="0015693D" w:rsidRDefault="002B7B06" w:rsidP="005F6E8A">
      <w:pPr>
        <w:shd w:val="clear" w:color="auto" w:fill="FFFFFF"/>
        <w:spacing w:line="360" w:lineRule="auto"/>
        <w:jc w:val="both"/>
        <w:rPr>
          <w:rFonts w:ascii="Palatino Linotype" w:eastAsia="Palatino Linotype" w:hAnsi="Palatino Linotype" w:cs="Palatino Linotype"/>
          <w:b/>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lastRenderedPageBreak/>
        <w:t>QUINTO.</w:t>
      </w:r>
      <w:r w:rsidRPr="0015693D">
        <w:rPr>
          <w:rFonts w:ascii="Palatino Linotype" w:eastAsia="Palatino Linotype" w:hAnsi="Palatino Linotype" w:cs="Palatino Linotype"/>
        </w:rPr>
        <w:t xml:space="preserve"> Se hace del conocimiento del </w:t>
      </w:r>
      <w:r w:rsidRPr="0015693D">
        <w:rPr>
          <w:rFonts w:ascii="Palatino Linotype" w:eastAsia="Palatino Linotype" w:hAnsi="Palatino Linotype" w:cs="Palatino Linotype"/>
          <w:b/>
        </w:rPr>
        <w:t>RECURRENTE</w:t>
      </w:r>
      <w:r w:rsidRPr="0015693D">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B7B06" w:rsidRPr="0015693D" w:rsidRDefault="002B7B06" w:rsidP="005F6E8A">
      <w:pPr>
        <w:spacing w:line="360" w:lineRule="auto"/>
        <w:jc w:val="both"/>
        <w:rPr>
          <w:rFonts w:ascii="Palatino Linotype" w:eastAsia="Palatino Linotype" w:hAnsi="Palatino Linotype" w:cs="Palatino Linotype"/>
        </w:rPr>
      </w:pPr>
    </w:p>
    <w:p w:rsidR="002B7B06" w:rsidRPr="0015693D" w:rsidRDefault="002B7B06"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b/>
        </w:rPr>
        <w:t xml:space="preserve">SEXTO. </w:t>
      </w:r>
      <w:r w:rsidRPr="0015693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90CF8" w:rsidRPr="0015693D" w:rsidRDefault="00490CF8" w:rsidP="005F6E8A">
      <w:pPr>
        <w:spacing w:line="360" w:lineRule="auto"/>
        <w:jc w:val="both"/>
        <w:rPr>
          <w:rFonts w:ascii="Palatino Linotype" w:eastAsia="Palatino Linotype" w:hAnsi="Palatino Linotype" w:cs="Palatino Linotype"/>
        </w:rPr>
      </w:pPr>
    </w:p>
    <w:p w:rsidR="002B7B06" w:rsidRPr="005F6E8A" w:rsidRDefault="00490CF8" w:rsidP="005F6E8A">
      <w:pPr>
        <w:spacing w:line="360" w:lineRule="auto"/>
        <w:jc w:val="both"/>
        <w:rPr>
          <w:rFonts w:ascii="Palatino Linotype" w:eastAsia="Palatino Linotype" w:hAnsi="Palatino Linotype" w:cs="Palatino Linotype"/>
        </w:rPr>
      </w:pPr>
      <w:r w:rsidRPr="0015693D">
        <w:rPr>
          <w:rFonts w:ascii="Palatino Linotype" w:eastAsia="Palatino Linotype" w:hAnsi="Palatino Linotype" w:cs="Palatino Linotype"/>
        </w:rPr>
        <w:t xml:space="preserve">ASÍ LO RESUELVE, POR </w:t>
      </w:r>
      <w:r w:rsidR="00892558" w:rsidRPr="0015693D">
        <w:rPr>
          <w:rFonts w:ascii="Palatino Linotype" w:eastAsia="Palatino Linotype" w:hAnsi="Palatino Linotype" w:cs="Palatino Linotype"/>
        </w:rPr>
        <w:t xml:space="preserve">MAYORÍA </w:t>
      </w:r>
      <w:r w:rsidRPr="0015693D">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92558" w:rsidRPr="0015693D">
        <w:rPr>
          <w:rFonts w:ascii="Palatino Linotype" w:eastAsia="Palatino Linotype" w:hAnsi="Palatino Linotype" w:cs="Palatino Linotype"/>
        </w:rPr>
        <w:t xml:space="preserve"> EMITIENDO VOTO DISIDENTE </w:t>
      </w:r>
      <w:r w:rsidRPr="0015693D">
        <w:rPr>
          <w:rFonts w:ascii="Palatino Linotype" w:eastAsia="Palatino Linotype" w:hAnsi="Palatino Linotype" w:cs="Palatino Linotype"/>
        </w:rPr>
        <w:t>Y GUADALUPE RAMÍREZ PEÑA; EN LA DÉCIMA SÉPTIMA SESIÓN ORDINARIA, CELEBRADA EL CATORCE (14) DE MAYO DE DOS MIL VEINTICINCO, ANTE EL SECRETARIO TÉCNICO DEL PLENO ALEXIS TAPIA RAMÍREZ.</w:t>
      </w: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spacing w:line="360" w:lineRule="auto"/>
        <w:rPr>
          <w:rFonts w:ascii="Palatino Linotype" w:eastAsia="Palatino Linotype" w:hAnsi="Palatino Linotype" w:cs="Palatino Linotype"/>
        </w:rPr>
      </w:pPr>
    </w:p>
    <w:p w:rsidR="002B7B06" w:rsidRPr="005F6E8A" w:rsidRDefault="002B7B06" w:rsidP="005F6E8A">
      <w:pPr>
        <w:rPr>
          <w:rFonts w:ascii="Palatino Linotype" w:hAnsi="Palatino Linotype"/>
        </w:rPr>
      </w:pPr>
    </w:p>
    <w:p w:rsidR="002B7B06" w:rsidRPr="005F6E8A" w:rsidRDefault="002B7B06" w:rsidP="005F6E8A">
      <w:pPr>
        <w:rPr>
          <w:rFonts w:ascii="Palatino Linotype" w:hAnsi="Palatino Linotype"/>
        </w:rPr>
      </w:pPr>
    </w:p>
    <w:p w:rsidR="002B7B06" w:rsidRPr="005F6E8A" w:rsidRDefault="002B7B06" w:rsidP="005F6E8A">
      <w:pPr>
        <w:rPr>
          <w:rFonts w:ascii="Palatino Linotype" w:hAnsi="Palatino Linotype"/>
        </w:rPr>
      </w:pPr>
    </w:p>
    <w:p w:rsidR="002B7B06" w:rsidRPr="005F6E8A" w:rsidRDefault="002B7B06" w:rsidP="005F6E8A">
      <w:pPr>
        <w:rPr>
          <w:rFonts w:ascii="Palatino Linotype" w:hAnsi="Palatino Linotype"/>
        </w:rPr>
      </w:pPr>
    </w:p>
    <w:p w:rsidR="001D77F6" w:rsidRPr="005F6E8A" w:rsidRDefault="001D77F6" w:rsidP="005F6E8A">
      <w:pPr>
        <w:rPr>
          <w:rFonts w:ascii="Palatino Linotype" w:hAnsi="Palatino Linotype"/>
        </w:rPr>
      </w:pPr>
    </w:p>
    <w:p w:rsidR="005F6E8A" w:rsidRDefault="005F6E8A">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Default="00490CF8">
      <w:pPr>
        <w:rPr>
          <w:rFonts w:ascii="Palatino Linotype" w:hAnsi="Palatino Linotype"/>
        </w:rPr>
      </w:pPr>
    </w:p>
    <w:p w:rsidR="00490CF8" w:rsidRPr="005F6E8A" w:rsidRDefault="00490CF8">
      <w:pPr>
        <w:rPr>
          <w:rFonts w:ascii="Palatino Linotype" w:hAnsi="Palatino Linotype"/>
        </w:rPr>
      </w:pPr>
    </w:p>
    <w:sectPr w:rsidR="00490CF8" w:rsidRPr="005F6E8A" w:rsidSect="005F6E8A">
      <w:headerReference w:type="even" r:id="rId8"/>
      <w:headerReference w:type="default" r:id="rId9"/>
      <w:footerReference w:type="default" r:id="rId10"/>
      <w:headerReference w:type="first" r:id="rId11"/>
      <w:footerReference w:type="first" r:id="rId12"/>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81" w:rsidRDefault="00603B81" w:rsidP="002B7B06">
      <w:r>
        <w:separator/>
      </w:r>
    </w:p>
  </w:endnote>
  <w:endnote w:type="continuationSeparator" w:id="0">
    <w:p w:rsidR="00603B81" w:rsidRDefault="00603B81" w:rsidP="002B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AA" w:rsidRDefault="00832FA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B024A">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B024A">
      <w:rPr>
        <w:b/>
        <w:noProof/>
        <w:color w:val="000000"/>
      </w:rPr>
      <w:t>21</w:t>
    </w:r>
    <w:r>
      <w:rPr>
        <w:b/>
        <w:color w:val="000000"/>
      </w:rPr>
      <w:fldChar w:fldCharType="end"/>
    </w:r>
  </w:p>
  <w:p w:rsidR="00832FAA" w:rsidRDefault="00832FA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AA" w:rsidRDefault="00832FA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B024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B024A">
      <w:rPr>
        <w:b/>
        <w:noProof/>
        <w:color w:val="000000"/>
      </w:rPr>
      <w:t>21</w:t>
    </w:r>
    <w:r>
      <w:rPr>
        <w:b/>
        <w:color w:val="000000"/>
      </w:rPr>
      <w:fldChar w:fldCharType="end"/>
    </w:r>
  </w:p>
  <w:p w:rsidR="00832FAA" w:rsidRDefault="00832FA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81" w:rsidRDefault="00603B81" w:rsidP="002B7B06">
      <w:r>
        <w:separator/>
      </w:r>
    </w:p>
  </w:footnote>
  <w:footnote w:type="continuationSeparator" w:id="0">
    <w:p w:rsidR="00603B81" w:rsidRDefault="00603B81" w:rsidP="002B7B06">
      <w:r>
        <w:continuationSeparator/>
      </w:r>
    </w:p>
  </w:footnote>
  <w:footnote w:id="1">
    <w:p w:rsidR="00832FAA" w:rsidRDefault="00832FAA" w:rsidP="002B7B06">
      <w:pPr>
        <w:pStyle w:val="Textonotapie"/>
      </w:pPr>
      <w:r>
        <w:rPr>
          <w:rStyle w:val="Refdenotaalpie"/>
        </w:rPr>
        <w:footnoteRef/>
      </w:r>
      <w:r>
        <w:t xml:space="preserve"> Artículo 150. Ley de Transparencia y Acceso a la Información Pública del Estado de México y Municipios.</w:t>
      </w:r>
    </w:p>
    <w:p w:rsidR="00832FAA" w:rsidRDefault="00832FAA" w:rsidP="002B7B06">
      <w:pPr>
        <w:pStyle w:val="Textonotapie"/>
      </w:pPr>
      <w:r>
        <w:t>Artículo 151. Ibídem.</w:t>
      </w:r>
    </w:p>
  </w:footnote>
  <w:footnote w:id="2">
    <w:p w:rsidR="00832FAA" w:rsidRDefault="00832FAA" w:rsidP="002B7B0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AA" w:rsidRDefault="00603B8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AA" w:rsidRDefault="00832FAA">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9214" w:type="dxa"/>
      <w:tblLayout w:type="fixed"/>
      <w:tblLook w:val="0400" w:firstRow="0" w:lastRow="0" w:firstColumn="0" w:lastColumn="0" w:noHBand="0" w:noVBand="1"/>
    </w:tblPr>
    <w:tblGrid>
      <w:gridCol w:w="2268"/>
      <w:gridCol w:w="6946"/>
    </w:tblGrid>
    <w:tr w:rsidR="00832FAA">
      <w:trPr>
        <w:trHeight w:val="1435"/>
      </w:trPr>
      <w:tc>
        <w:tcPr>
          <w:tcW w:w="2268" w:type="dxa"/>
          <w:shd w:val="clear" w:color="auto" w:fill="auto"/>
        </w:tcPr>
        <w:p w:rsidR="00832FAA" w:rsidRDefault="00832FAA">
          <w:pPr>
            <w:tabs>
              <w:tab w:val="right" w:pos="4273"/>
            </w:tabs>
            <w:rPr>
              <w:rFonts w:ascii="Garamond" w:eastAsia="Garamond" w:hAnsi="Garamond" w:cs="Garamond"/>
              <w:sz w:val="16"/>
              <w:szCs w:val="16"/>
            </w:rPr>
          </w:pPr>
        </w:p>
      </w:tc>
      <w:tc>
        <w:tcPr>
          <w:tcW w:w="6946" w:type="dxa"/>
          <w:shd w:val="clear" w:color="auto" w:fill="auto"/>
        </w:tcPr>
        <w:p w:rsidR="00832FAA" w:rsidRDefault="00832FAA"/>
        <w:tbl>
          <w:tblPr>
            <w:tblW w:w="6798" w:type="dxa"/>
            <w:tblInd w:w="743" w:type="dxa"/>
            <w:tblLayout w:type="fixed"/>
            <w:tblLook w:val="0400" w:firstRow="0" w:lastRow="0" w:firstColumn="0" w:lastColumn="0" w:noHBand="0" w:noVBand="1"/>
          </w:tblPr>
          <w:tblGrid>
            <w:gridCol w:w="2687"/>
            <w:gridCol w:w="4111"/>
          </w:tblGrid>
          <w:tr w:rsidR="00832FAA" w:rsidRPr="005F6E8A" w:rsidTr="005F6E8A">
            <w:trPr>
              <w:trHeight w:val="150"/>
            </w:trPr>
            <w:tc>
              <w:tcPr>
                <w:tcW w:w="2687" w:type="dxa"/>
                <w:shd w:val="clear" w:color="auto" w:fill="auto"/>
              </w:tcPr>
              <w:p w:rsidR="00832FAA" w:rsidRPr="005F6E8A" w:rsidRDefault="00832FAA">
                <w:pPr>
                  <w:tabs>
                    <w:tab w:val="right" w:pos="8838"/>
                  </w:tabs>
                  <w:ind w:right="-105"/>
                  <w:rPr>
                    <w:rFonts w:ascii="Palatino Linotype" w:eastAsia="Palatino Linotype" w:hAnsi="Palatino Linotype" w:cs="Palatino Linotype"/>
                    <w:b/>
                  </w:rPr>
                </w:pPr>
                <w:r w:rsidRPr="005F6E8A">
                  <w:rPr>
                    <w:rFonts w:ascii="Palatino Linotype" w:eastAsia="Palatino Linotype" w:hAnsi="Palatino Linotype" w:cs="Palatino Linotype"/>
                    <w:b/>
                  </w:rPr>
                  <w:t>Recurso de Revisión:</w:t>
                </w:r>
              </w:p>
            </w:tc>
            <w:tc>
              <w:tcPr>
                <w:tcW w:w="4111" w:type="dxa"/>
                <w:shd w:val="clear" w:color="auto" w:fill="auto"/>
              </w:tcPr>
              <w:p w:rsidR="00832FAA" w:rsidRPr="005F6E8A" w:rsidRDefault="00832FAA">
                <w:pPr>
                  <w:tabs>
                    <w:tab w:val="right" w:pos="8838"/>
                  </w:tabs>
                  <w:ind w:left="-108" w:right="-102"/>
                  <w:jc w:val="both"/>
                  <w:rPr>
                    <w:rFonts w:ascii="Palatino Linotype" w:eastAsia="Palatino Linotype" w:hAnsi="Palatino Linotype" w:cs="Palatino Linotype"/>
                  </w:rPr>
                </w:pPr>
                <w:r w:rsidRPr="005F6E8A">
                  <w:rPr>
                    <w:rFonts w:ascii="Palatino Linotype" w:eastAsia="Palatino Linotype" w:hAnsi="Palatino Linotype" w:cs="Palatino Linotype"/>
                  </w:rPr>
                  <w:t>04013/INFOEM/IP/RR/2025</w:t>
                </w:r>
              </w:p>
            </w:tc>
          </w:tr>
          <w:tr w:rsidR="00832FAA" w:rsidRPr="005F6E8A" w:rsidTr="005F6E8A">
            <w:trPr>
              <w:trHeight w:val="295"/>
            </w:trPr>
            <w:tc>
              <w:tcPr>
                <w:tcW w:w="2687" w:type="dxa"/>
                <w:shd w:val="clear" w:color="auto" w:fill="auto"/>
              </w:tcPr>
              <w:p w:rsidR="00832FAA" w:rsidRPr="005F6E8A" w:rsidRDefault="00832FAA">
                <w:pPr>
                  <w:tabs>
                    <w:tab w:val="right" w:pos="8838"/>
                  </w:tabs>
                  <w:ind w:right="-105"/>
                  <w:rPr>
                    <w:rFonts w:ascii="Palatino Linotype" w:eastAsia="Palatino Linotype" w:hAnsi="Palatino Linotype" w:cs="Palatino Linotype"/>
                    <w:b/>
                  </w:rPr>
                </w:pPr>
                <w:r w:rsidRPr="005F6E8A">
                  <w:rPr>
                    <w:rFonts w:ascii="Palatino Linotype" w:eastAsia="Palatino Linotype" w:hAnsi="Palatino Linotype" w:cs="Palatino Linotype"/>
                    <w:b/>
                  </w:rPr>
                  <w:t>Sujeto Obligado:</w:t>
                </w:r>
              </w:p>
            </w:tc>
            <w:tc>
              <w:tcPr>
                <w:tcW w:w="4111" w:type="dxa"/>
                <w:shd w:val="clear" w:color="auto" w:fill="auto"/>
              </w:tcPr>
              <w:p w:rsidR="00832FAA" w:rsidRPr="005F6E8A" w:rsidRDefault="00832FAA">
                <w:pPr>
                  <w:tabs>
                    <w:tab w:val="left" w:pos="2834"/>
                    <w:tab w:val="right" w:pos="8838"/>
                  </w:tabs>
                  <w:ind w:left="-108" w:right="-102"/>
                  <w:jc w:val="both"/>
                  <w:rPr>
                    <w:rFonts w:ascii="Palatino Linotype" w:eastAsia="Palatino Linotype" w:hAnsi="Palatino Linotype" w:cs="Palatino Linotype"/>
                  </w:rPr>
                </w:pPr>
                <w:r w:rsidRPr="005F6E8A">
                  <w:rPr>
                    <w:rFonts w:ascii="Palatino Linotype" w:eastAsia="Palatino Linotype" w:hAnsi="Palatino Linotype" w:cs="Palatino Linotype"/>
                    <w:bCs/>
                  </w:rPr>
                  <w:t>Ayuntamiento de Otzolotepec</w:t>
                </w:r>
              </w:p>
            </w:tc>
          </w:tr>
          <w:tr w:rsidR="00832FAA" w:rsidRPr="005F6E8A" w:rsidTr="005F6E8A">
            <w:trPr>
              <w:trHeight w:val="295"/>
            </w:trPr>
            <w:tc>
              <w:tcPr>
                <w:tcW w:w="2687" w:type="dxa"/>
                <w:shd w:val="clear" w:color="auto" w:fill="auto"/>
              </w:tcPr>
              <w:p w:rsidR="00832FAA" w:rsidRPr="005F6E8A" w:rsidRDefault="00832FAA">
                <w:pPr>
                  <w:tabs>
                    <w:tab w:val="right" w:pos="8838"/>
                  </w:tabs>
                  <w:ind w:right="-105"/>
                  <w:rPr>
                    <w:rFonts w:ascii="Palatino Linotype" w:eastAsia="Palatino Linotype" w:hAnsi="Palatino Linotype" w:cs="Palatino Linotype"/>
                    <w:b/>
                  </w:rPr>
                </w:pPr>
                <w:r w:rsidRPr="005F6E8A">
                  <w:rPr>
                    <w:rFonts w:ascii="Palatino Linotype" w:eastAsia="Palatino Linotype" w:hAnsi="Palatino Linotype" w:cs="Palatino Linotype"/>
                    <w:b/>
                  </w:rPr>
                  <w:t>Comisionado ponente:</w:t>
                </w:r>
              </w:p>
            </w:tc>
            <w:tc>
              <w:tcPr>
                <w:tcW w:w="4111" w:type="dxa"/>
                <w:shd w:val="clear" w:color="auto" w:fill="auto"/>
              </w:tcPr>
              <w:p w:rsidR="00832FAA" w:rsidRPr="005F6E8A" w:rsidRDefault="00832FAA">
                <w:pPr>
                  <w:tabs>
                    <w:tab w:val="right" w:pos="8838"/>
                  </w:tabs>
                  <w:ind w:left="-108" w:right="171"/>
                  <w:jc w:val="both"/>
                  <w:rPr>
                    <w:rFonts w:ascii="Palatino Linotype" w:eastAsia="Palatino Linotype" w:hAnsi="Palatino Linotype" w:cs="Palatino Linotype"/>
                  </w:rPr>
                </w:pPr>
                <w:r w:rsidRPr="005F6E8A">
                  <w:rPr>
                    <w:rFonts w:ascii="Palatino Linotype" w:eastAsia="Palatino Linotype" w:hAnsi="Palatino Linotype" w:cs="Palatino Linotype"/>
                  </w:rPr>
                  <w:t>María del Rosario Mejía Ayala</w:t>
                </w:r>
              </w:p>
              <w:p w:rsidR="00832FAA" w:rsidRPr="005F6E8A" w:rsidRDefault="00832FAA">
                <w:pPr>
                  <w:tabs>
                    <w:tab w:val="right" w:pos="8838"/>
                  </w:tabs>
                  <w:ind w:left="-108" w:right="171"/>
                  <w:jc w:val="both"/>
                  <w:rPr>
                    <w:rFonts w:ascii="Palatino Linotype" w:eastAsia="Palatino Linotype" w:hAnsi="Palatino Linotype" w:cs="Palatino Linotype"/>
                  </w:rPr>
                </w:pPr>
              </w:p>
            </w:tc>
          </w:tr>
        </w:tbl>
        <w:p w:rsidR="00832FAA" w:rsidRDefault="00832FAA">
          <w:pPr>
            <w:tabs>
              <w:tab w:val="right" w:pos="8838"/>
            </w:tabs>
            <w:ind w:left="-28"/>
            <w:jc w:val="both"/>
            <w:rPr>
              <w:rFonts w:ascii="Arial" w:eastAsia="Arial" w:hAnsi="Arial" w:cs="Arial"/>
              <w:b/>
              <w:sz w:val="22"/>
              <w:szCs w:val="22"/>
            </w:rPr>
          </w:pPr>
        </w:p>
      </w:tc>
    </w:tr>
  </w:tbl>
  <w:p w:rsidR="00832FAA" w:rsidRDefault="00603B8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FAA" w:rsidRDefault="00832FAA">
    <w:pPr>
      <w:widowControl w:val="0"/>
      <w:pBdr>
        <w:top w:val="nil"/>
        <w:left w:val="nil"/>
        <w:bottom w:val="nil"/>
        <w:right w:val="nil"/>
        <w:between w:val="nil"/>
      </w:pBdr>
      <w:spacing w:line="276" w:lineRule="auto"/>
      <w:rPr>
        <w:color w:val="000000"/>
      </w:rPr>
    </w:pPr>
  </w:p>
  <w:tbl>
    <w:tblPr>
      <w:tblW w:w="9072" w:type="dxa"/>
      <w:tblLayout w:type="fixed"/>
      <w:tblLook w:val="0400" w:firstRow="0" w:lastRow="0" w:firstColumn="0" w:lastColumn="0" w:noHBand="0" w:noVBand="1"/>
    </w:tblPr>
    <w:tblGrid>
      <w:gridCol w:w="2268"/>
      <w:gridCol w:w="6804"/>
    </w:tblGrid>
    <w:tr w:rsidR="00832FAA">
      <w:trPr>
        <w:trHeight w:val="1435"/>
      </w:trPr>
      <w:tc>
        <w:tcPr>
          <w:tcW w:w="2268" w:type="dxa"/>
          <w:shd w:val="clear" w:color="auto" w:fill="auto"/>
        </w:tcPr>
        <w:p w:rsidR="00832FAA" w:rsidRDefault="00832FAA">
          <w:pPr>
            <w:tabs>
              <w:tab w:val="right" w:pos="4273"/>
            </w:tabs>
            <w:rPr>
              <w:rFonts w:ascii="Garamond" w:eastAsia="Garamond" w:hAnsi="Garamond" w:cs="Garamond"/>
              <w:sz w:val="22"/>
              <w:szCs w:val="22"/>
            </w:rPr>
          </w:pPr>
        </w:p>
      </w:tc>
      <w:tc>
        <w:tcPr>
          <w:tcW w:w="6804" w:type="dxa"/>
          <w:shd w:val="clear" w:color="auto" w:fill="auto"/>
        </w:tcPr>
        <w:p w:rsidR="00832FAA" w:rsidRDefault="00832FAA">
          <w:pPr>
            <w:widowControl w:val="0"/>
            <w:pBdr>
              <w:top w:val="nil"/>
              <w:left w:val="nil"/>
              <w:bottom w:val="nil"/>
              <w:right w:val="nil"/>
              <w:between w:val="nil"/>
            </w:pBdr>
            <w:spacing w:line="276" w:lineRule="auto"/>
            <w:rPr>
              <w:rFonts w:ascii="Garamond" w:eastAsia="Garamond" w:hAnsi="Garamond" w:cs="Garamond"/>
              <w:sz w:val="22"/>
              <w:szCs w:val="22"/>
            </w:rPr>
          </w:pPr>
        </w:p>
        <w:tbl>
          <w:tblPr>
            <w:tblW w:w="7087" w:type="dxa"/>
            <w:tblInd w:w="176" w:type="dxa"/>
            <w:tblLayout w:type="fixed"/>
            <w:tblLook w:val="0400" w:firstRow="0" w:lastRow="0" w:firstColumn="0" w:lastColumn="0" w:noHBand="0" w:noVBand="1"/>
          </w:tblPr>
          <w:tblGrid>
            <w:gridCol w:w="2693"/>
            <w:gridCol w:w="4394"/>
          </w:tblGrid>
          <w:tr w:rsidR="00832FAA" w:rsidRPr="005F6E8A" w:rsidTr="005F6E8A">
            <w:trPr>
              <w:trHeight w:val="149"/>
            </w:trPr>
            <w:tc>
              <w:tcPr>
                <w:tcW w:w="2693" w:type="dxa"/>
                <w:shd w:val="clear" w:color="auto" w:fill="auto"/>
              </w:tcPr>
              <w:p w:rsidR="00832FAA" w:rsidRPr="005F6E8A" w:rsidRDefault="00832FAA" w:rsidP="005F6E8A">
                <w:pPr>
                  <w:tabs>
                    <w:tab w:val="right" w:pos="8838"/>
                  </w:tabs>
                  <w:ind w:left="-264" w:right="-105" w:firstLine="195"/>
                  <w:rPr>
                    <w:rFonts w:ascii="Palatino Linotype" w:eastAsia="Palatino Linotype" w:hAnsi="Palatino Linotype" w:cs="Palatino Linotype"/>
                    <w:b/>
                  </w:rPr>
                </w:pPr>
                <w:r w:rsidRPr="005F6E8A">
                  <w:rPr>
                    <w:rFonts w:ascii="Palatino Linotype" w:eastAsia="Palatino Linotype" w:hAnsi="Palatino Linotype" w:cs="Palatino Linotype"/>
                    <w:b/>
                  </w:rPr>
                  <w:t>Recurso de Revisión:</w:t>
                </w:r>
              </w:p>
            </w:tc>
            <w:tc>
              <w:tcPr>
                <w:tcW w:w="4394" w:type="dxa"/>
                <w:shd w:val="clear" w:color="auto" w:fill="auto"/>
              </w:tcPr>
              <w:p w:rsidR="00832FAA" w:rsidRPr="005F6E8A" w:rsidRDefault="00832FAA" w:rsidP="005F6E8A">
                <w:pPr>
                  <w:tabs>
                    <w:tab w:val="right" w:pos="8838"/>
                  </w:tabs>
                  <w:ind w:left="-74" w:right="-105"/>
                  <w:jc w:val="both"/>
                  <w:rPr>
                    <w:rFonts w:ascii="Palatino Linotype" w:eastAsia="Palatino Linotype" w:hAnsi="Palatino Linotype" w:cs="Palatino Linotype"/>
                  </w:rPr>
                </w:pPr>
                <w:r w:rsidRPr="005F6E8A">
                  <w:rPr>
                    <w:rFonts w:ascii="Palatino Linotype" w:eastAsia="Palatino Linotype" w:hAnsi="Palatino Linotype" w:cs="Palatino Linotype"/>
                  </w:rPr>
                  <w:t>04013/INFOEM/IP/RR/2025</w:t>
                </w:r>
              </w:p>
            </w:tc>
          </w:tr>
          <w:tr w:rsidR="00832FAA" w:rsidRPr="005F6E8A" w:rsidTr="005F6E8A">
            <w:trPr>
              <w:trHeight w:val="149"/>
            </w:trPr>
            <w:tc>
              <w:tcPr>
                <w:tcW w:w="2693" w:type="dxa"/>
                <w:shd w:val="clear" w:color="auto" w:fill="auto"/>
              </w:tcPr>
              <w:p w:rsidR="00832FAA" w:rsidRPr="005F6E8A" w:rsidRDefault="00832FAA">
                <w:pPr>
                  <w:tabs>
                    <w:tab w:val="right" w:pos="8838"/>
                  </w:tabs>
                  <w:ind w:left="-74" w:right="-105"/>
                  <w:rPr>
                    <w:rFonts w:ascii="Palatino Linotype" w:eastAsia="Palatino Linotype" w:hAnsi="Palatino Linotype" w:cs="Palatino Linotype"/>
                    <w:b/>
                  </w:rPr>
                </w:pPr>
                <w:r w:rsidRPr="005F6E8A">
                  <w:rPr>
                    <w:rFonts w:ascii="Palatino Linotype" w:eastAsia="Palatino Linotype" w:hAnsi="Palatino Linotype" w:cs="Palatino Linotype"/>
                    <w:b/>
                  </w:rPr>
                  <w:t>Recurrente:</w:t>
                </w:r>
              </w:p>
            </w:tc>
            <w:tc>
              <w:tcPr>
                <w:tcW w:w="4394" w:type="dxa"/>
                <w:shd w:val="clear" w:color="auto" w:fill="auto"/>
              </w:tcPr>
              <w:p w:rsidR="00832FAA" w:rsidRPr="005F6E8A" w:rsidRDefault="00AB024A" w:rsidP="005F6E8A">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832FAA" w:rsidRPr="005F6E8A" w:rsidTr="005F6E8A">
            <w:trPr>
              <w:trHeight w:val="293"/>
            </w:trPr>
            <w:tc>
              <w:tcPr>
                <w:tcW w:w="2693" w:type="dxa"/>
                <w:shd w:val="clear" w:color="auto" w:fill="auto"/>
              </w:tcPr>
              <w:p w:rsidR="00832FAA" w:rsidRPr="005F6E8A" w:rsidRDefault="00832FAA">
                <w:pPr>
                  <w:tabs>
                    <w:tab w:val="right" w:pos="8838"/>
                  </w:tabs>
                  <w:ind w:left="-74" w:right="-105"/>
                  <w:rPr>
                    <w:rFonts w:ascii="Palatino Linotype" w:eastAsia="Palatino Linotype" w:hAnsi="Palatino Linotype" w:cs="Palatino Linotype"/>
                    <w:b/>
                  </w:rPr>
                </w:pPr>
                <w:r w:rsidRPr="005F6E8A">
                  <w:rPr>
                    <w:rFonts w:ascii="Palatino Linotype" w:eastAsia="Palatino Linotype" w:hAnsi="Palatino Linotype" w:cs="Palatino Linotype"/>
                    <w:b/>
                  </w:rPr>
                  <w:t>Sujeto Obligado:</w:t>
                </w:r>
              </w:p>
            </w:tc>
            <w:tc>
              <w:tcPr>
                <w:tcW w:w="4394" w:type="dxa"/>
                <w:shd w:val="clear" w:color="auto" w:fill="auto"/>
              </w:tcPr>
              <w:p w:rsidR="00832FAA" w:rsidRPr="005F6E8A" w:rsidRDefault="00832FAA">
                <w:pPr>
                  <w:tabs>
                    <w:tab w:val="left" w:pos="2834"/>
                    <w:tab w:val="right" w:pos="8838"/>
                  </w:tabs>
                  <w:ind w:left="-74" w:right="-105"/>
                  <w:jc w:val="both"/>
                  <w:rPr>
                    <w:rFonts w:ascii="Palatino Linotype" w:eastAsia="Palatino Linotype" w:hAnsi="Palatino Linotype" w:cs="Palatino Linotype"/>
                  </w:rPr>
                </w:pPr>
                <w:r w:rsidRPr="005F6E8A">
                  <w:rPr>
                    <w:rFonts w:ascii="Palatino Linotype" w:eastAsia="Palatino Linotype" w:hAnsi="Palatino Linotype" w:cs="Palatino Linotype"/>
                    <w:bCs/>
                  </w:rPr>
                  <w:t>Ayuntamiento de Otzolotepec</w:t>
                </w:r>
              </w:p>
            </w:tc>
          </w:tr>
          <w:tr w:rsidR="00832FAA" w:rsidRPr="005F6E8A" w:rsidTr="005F6E8A">
            <w:trPr>
              <w:trHeight w:val="293"/>
            </w:trPr>
            <w:tc>
              <w:tcPr>
                <w:tcW w:w="2693" w:type="dxa"/>
                <w:shd w:val="clear" w:color="auto" w:fill="auto"/>
              </w:tcPr>
              <w:p w:rsidR="00832FAA" w:rsidRPr="005F6E8A" w:rsidRDefault="00832FAA">
                <w:pPr>
                  <w:tabs>
                    <w:tab w:val="right" w:pos="8838"/>
                  </w:tabs>
                  <w:ind w:left="-74" w:right="-105"/>
                  <w:rPr>
                    <w:rFonts w:ascii="Palatino Linotype" w:eastAsia="Palatino Linotype" w:hAnsi="Palatino Linotype" w:cs="Palatino Linotype"/>
                    <w:b/>
                  </w:rPr>
                </w:pPr>
                <w:r w:rsidRPr="005F6E8A">
                  <w:rPr>
                    <w:rFonts w:ascii="Palatino Linotype" w:eastAsia="Palatino Linotype" w:hAnsi="Palatino Linotype" w:cs="Palatino Linotype"/>
                    <w:b/>
                  </w:rPr>
                  <w:t>Comisionado ponente:</w:t>
                </w:r>
              </w:p>
            </w:tc>
            <w:tc>
              <w:tcPr>
                <w:tcW w:w="4394" w:type="dxa"/>
                <w:shd w:val="clear" w:color="auto" w:fill="auto"/>
              </w:tcPr>
              <w:p w:rsidR="00832FAA" w:rsidRPr="005F6E8A" w:rsidRDefault="00832FAA">
                <w:pPr>
                  <w:tabs>
                    <w:tab w:val="right" w:pos="8838"/>
                  </w:tabs>
                  <w:ind w:left="-74" w:right="-105"/>
                  <w:jc w:val="both"/>
                  <w:rPr>
                    <w:rFonts w:ascii="Palatino Linotype" w:eastAsia="Palatino Linotype" w:hAnsi="Palatino Linotype" w:cs="Palatino Linotype"/>
                  </w:rPr>
                </w:pPr>
                <w:r w:rsidRPr="005F6E8A">
                  <w:rPr>
                    <w:rFonts w:ascii="Palatino Linotype" w:eastAsia="Palatino Linotype" w:hAnsi="Palatino Linotype" w:cs="Palatino Linotype"/>
                  </w:rPr>
                  <w:t>María del Rosario Mejía Ayala</w:t>
                </w:r>
              </w:p>
              <w:p w:rsidR="00832FAA" w:rsidRPr="005F6E8A" w:rsidRDefault="00832FAA">
                <w:pPr>
                  <w:tabs>
                    <w:tab w:val="right" w:pos="8838"/>
                  </w:tabs>
                  <w:ind w:left="-74" w:right="-105"/>
                  <w:jc w:val="both"/>
                  <w:rPr>
                    <w:rFonts w:ascii="Palatino Linotype" w:eastAsia="Palatino Linotype" w:hAnsi="Palatino Linotype" w:cs="Palatino Linotype"/>
                  </w:rPr>
                </w:pPr>
              </w:p>
            </w:tc>
          </w:tr>
        </w:tbl>
        <w:p w:rsidR="00832FAA" w:rsidRDefault="00832FAA">
          <w:pPr>
            <w:tabs>
              <w:tab w:val="right" w:pos="8838"/>
            </w:tabs>
            <w:ind w:left="-28"/>
            <w:jc w:val="both"/>
            <w:rPr>
              <w:rFonts w:ascii="Arial" w:eastAsia="Arial" w:hAnsi="Arial" w:cs="Arial"/>
              <w:b/>
              <w:sz w:val="22"/>
              <w:szCs w:val="22"/>
            </w:rPr>
          </w:pPr>
        </w:p>
      </w:tc>
    </w:tr>
  </w:tbl>
  <w:p w:rsidR="00832FAA" w:rsidRDefault="00603B8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8005ED"/>
    <w:multiLevelType w:val="multilevel"/>
    <w:tmpl w:val="1AB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106BF"/>
    <w:multiLevelType w:val="hybridMultilevel"/>
    <w:tmpl w:val="9FAAB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6"/>
    <w:rsid w:val="000762A0"/>
    <w:rsid w:val="0015693D"/>
    <w:rsid w:val="00157570"/>
    <w:rsid w:val="0018644E"/>
    <w:rsid w:val="001D77F6"/>
    <w:rsid w:val="002926CE"/>
    <w:rsid w:val="002B7B06"/>
    <w:rsid w:val="002C5D3B"/>
    <w:rsid w:val="00345059"/>
    <w:rsid w:val="00490CF8"/>
    <w:rsid w:val="005F6E8A"/>
    <w:rsid w:val="00603B81"/>
    <w:rsid w:val="00645F32"/>
    <w:rsid w:val="0065615B"/>
    <w:rsid w:val="00742680"/>
    <w:rsid w:val="007F1319"/>
    <w:rsid w:val="00832FAA"/>
    <w:rsid w:val="0085613C"/>
    <w:rsid w:val="00892558"/>
    <w:rsid w:val="009A7EF9"/>
    <w:rsid w:val="00A06868"/>
    <w:rsid w:val="00AB024A"/>
    <w:rsid w:val="00C014F9"/>
    <w:rsid w:val="00E04FE0"/>
    <w:rsid w:val="00E32E98"/>
    <w:rsid w:val="00E42FB8"/>
    <w:rsid w:val="00EA5D09"/>
    <w:rsid w:val="00EF044C"/>
    <w:rsid w:val="00EF3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F7B4AB-B97F-4F6C-ADFF-08083D71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2B7B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B06"/>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7B06"/>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2B7B06"/>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B7B06"/>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2B7B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B7B0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B7B0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B7B06"/>
    <w:rPr>
      <w:vertAlign w:val="superscript"/>
    </w:rPr>
  </w:style>
  <w:style w:type="paragraph" w:styleId="Piedepgina">
    <w:name w:val="footer"/>
    <w:basedOn w:val="Normal"/>
    <w:link w:val="PiedepginaCar"/>
    <w:uiPriority w:val="99"/>
    <w:unhideWhenUsed/>
    <w:rsid w:val="002B7B06"/>
    <w:pPr>
      <w:tabs>
        <w:tab w:val="center" w:pos="4419"/>
        <w:tab w:val="right" w:pos="8838"/>
      </w:tabs>
    </w:pPr>
  </w:style>
  <w:style w:type="character" w:customStyle="1" w:styleId="PiedepginaCar">
    <w:name w:val="Pie de página Car"/>
    <w:basedOn w:val="Fuentedeprrafopredeter"/>
    <w:link w:val="Piedepgina"/>
    <w:uiPriority w:val="99"/>
    <w:rsid w:val="002B7B0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395723.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4673</Words>
  <Characters>25703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2025-05-15T19:06:00Z</cp:lastPrinted>
  <dcterms:created xsi:type="dcterms:W3CDTF">2025-05-12T23:33:00Z</dcterms:created>
  <dcterms:modified xsi:type="dcterms:W3CDTF">2025-05-16T20:33:00Z</dcterms:modified>
</cp:coreProperties>
</file>