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D2C" w:rsidRPr="00A660C8" w:rsidRDefault="005B05B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A660C8">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 fecha veintinueve (29) de enero de dos mil veinticinco.</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bookmarkStart w:id="0" w:name="_heading=h.gjdgxs" w:colFirst="0" w:colLast="0"/>
      <w:bookmarkEnd w:id="0"/>
      <w:r w:rsidRPr="00A660C8">
        <w:rPr>
          <w:rFonts w:ascii="Palatino Linotype" w:eastAsia="Palatino Linotype" w:hAnsi="Palatino Linotype" w:cs="Palatino Linotype"/>
          <w:color w:val="000000"/>
        </w:rPr>
        <w:t xml:space="preserve">VISTO el expediente electrónico formado con motivo del Recursos de Revisión </w:t>
      </w:r>
      <w:r w:rsidRPr="00A660C8">
        <w:rPr>
          <w:rFonts w:ascii="Palatino Linotype" w:eastAsia="Palatino Linotype" w:hAnsi="Palatino Linotype" w:cs="Palatino Linotype"/>
          <w:b/>
          <w:color w:val="000000"/>
        </w:rPr>
        <w:t xml:space="preserve">02218/INFOEM/IP/RR/2024 </w:t>
      </w:r>
      <w:r w:rsidRPr="00A660C8">
        <w:rPr>
          <w:rFonts w:ascii="Palatino Linotype" w:eastAsia="Palatino Linotype" w:hAnsi="Palatino Linotype" w:cs="Palatino Linotype"/>
          <w:color w:val="000000"/>
        </w:rPr>
        <w:t xml:space="preserve">promovido por </w:t>
      </w:r>
      <w:r w:rsidRPr="00A660C8">
        <w:rPr>
          <w:rFonts w:ascii="Palatino Linotype" w:eastAsia="Palatino Linotype" w:hAnsi="Palatino Linotype" w:cs="Palatino Linotype"/>
          <w:b/>
        </w:rPr>
        <w:t>un usuario que no registró nombre alguno</w:t>
      </w:r>
      <w:r w:rsidRPr="00A660C8">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A660C8">
        <w:rPr>
          <w:rFonts w:ascii="Palatino Linotype" w:eastAsia="Palatino Linotype" w:hAnsi="Palatino Linotype" w:cs="Palatino Linotype"/>
          <w:b/>
          <w:color w:val="000000"/>
        </w:rPr>
        <w:t>EL RECURRENTE</w:t>
      </w:r>
      <w:r w:rsidRPr="00A660C8">
        <w:rPr>
          <w:rFonts w:ascii="Palatino Linotype" w:eastAsia="Palatino Linotype" w:hAnsi="Palatino Linotype" w:cs="Palatino Linotype"/>
          <w:color w:val="000000"/>
        </w:rPr>
        <w:t xml:space="preserve">, en contra de las respuestas del </w:t>
      </w:r>
      <w:r w:rsidRPr="00A660C8">
        <w:rPr>
          <w:rFonts w:ascii="Palatino Linotype" w:eastAsia="Palatino Linotype" w:hAnsi="Palatino Linotype" w:cs="Palatino Linotype"/>
          <w:b/>
          <w:color w:val="000000"/>
        </w:rPr>
        <w:t>Ayuntamiento de Ecatepec de Morelos</w:t>
      </w:r>
      <w:r w:rsidRPr="00A660C8">
        <w:rPr>
          <w:rFonts w:ascii="Palatino Linotype" w:eastAsia="Palatino Linotype" w:hAnsi="Palatino Linotype" w:cs="Palatino Linotype"/>
          <w:color w:val="000000"/>
        </w:rPr>
        <w:t xml:space="preserve">, en </w:t>
      </w:r>
      <w:r w:rsidRPr="00A660C8">
        <w:rPr>
          <w:rFonts w:ascii="Palatino Linotype" w:eastAsia="Palatino Linotype" w:hAnsi="Palatino Linotype" w:cs="Palatino Linotype"/>
        </w:rPr>
        <w:t>adelante</w:t>
      </w:r>
      <w:r w:rsidRPr="00A660C8">
        <w:rPr>
          <w:rFonts w:ascii="Palatino Linotype" w:eastAsia="Palatino Linotype" w:hAnsi="Palatino Linotype" w:cs="Palatino Linotype"/>
          <w:color w:val="000000"/>
        </w:rPr>
        <w:t xml:space="preserve"> </w:t>
      </w:r>
      <w:r w:rsidRPr="00A660C8">
        <w:rPr>
          <w:rFonts w:ascii="Palatino Linotype" w:eastAsia="Palatino Linotype" w:hAnsi="Palatino Linotype" w:cs="Palatino Linotype"/>
          <w:b/>
          <w:color w:val="000000"/>
        </w:rPr>
        <w:t>EL SUJETO OBLIGADO</w:t>
      </w:r>
      <w:r w:rsidRPr="00A660C8">
        <w:rPr>
          <w:rFonts w:ascii="Palatino Linotype" w:eastAsia="Palatino Linotype" w:hAnsi="Palatino Linotype" w:cs="Palatino Linotype"/>
          <w:color w:val="000000"/>
        </w:rPr>
        <w:t>, se procede a dictar la presente resolución, con base en los siguientes:</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sidRPr="00A660C8">
        <w:rPr>
          <w:rFonts w:ascii="Palatino Linotype" w:eastAsia="Palatino Linotype" w:hAnsi="Palatino Linotype" w:cs="Palatino Linotype"/>
          <w:b/>
          <w:color w:val="000000"/>
        </w:rPr>
        <w:t>A N T E C E D E N T E S</w:t>
      </w:r>
    </w:p>
    <w:p w:rsidR="00CD3D2C" w:rsidRPr="00A660C8" w:rsidRDefault="00CD3D2C">
      <w:pPr>
        <w:spacing w:line="360" w:lineRule="auto"/>
        <w:ind w:right="-787"/>
        <w:rPr>
          <w:rFonts w:ascii="Palatino Linotype" w:eastAsia="Palatino Linotype" w:hAnsi="Palatino Linotype" w:cs="Palatino Linotype"/>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El </w:t>
      </w:r>
      <w:r w:rsidRPr="00A660C8">
        <w:rPr>
          <w:rFonts w:ascii="Palatino Linotype" w:eastAsia="Palatino Linotype" w:hAnsi="Palatino Linotype" w:cs="Palatino Linotype"/>
          <w:b/>
          <w:color w:val="000000"/>
        </w:rPr>
        <w:t xml:space="preserve">siete de julio de dos mil veinticuatro, </w:t>
      </w:r>
      <w:r w:rsidRPr="00A660C8">
        <w:rPr>
          <w:rFonts w:ascii="Palatino Linotype" w:eastAsia="Palatino Linotype" w:hAnsi="Palatino Linotype" w:cs="Palatino Linotype"/>
          <w:color w:val="000000"/>
        </w:rPr>
        <w:t xml:space="preserve">se presentó ante el </w:t>
      </w:r>
      <w:r w:rsidRPr="00A660C8">
        <w:rPr>
          <w:rFonts w:ascii="Palatino Linotype" w:eastAsia="Palatino Linotype" w:hAnsi="Palatino Linotype" w:cs="Palatino Linotype"/>
          <w:b/>
          <w:color w:val="000000"/>
        </w:rPr>
        <w:t>SUJETO OBLIGADO</w:t>
      </w:r>
      <w:r w:rsidRPr="00A660C8">
        <w:rPr>
          <w:rFonts w:ascii="Palatino Linotype" w:eastAsia="Palatino Linotype" w:hAnsi="Palatino Linotype" w:cs="Palatino Linotype"/>
          <w:color w:val="000000"/>
        </w:rPr>
        <w:t xml:space="preserve"> vía </w:t>
      </w:r>
      <w:r w:rsidRPr="00A660C8">
        <w:rPr>
          <w:rFonts w:ascii="Palatino Linotype" w:eastAsia="Palatino Linotype" w:hAnsi="Palatino Linotype" w:cs="Palatino Linotype"/>
          <w:b/>
          <w:color w:val="000000"/>
        </w:rPr>
        <w:t>SAIMEX</w:t>
      </w:r>
      <w:r w:rsidRPr="00A660C8">
        <w:rPr>
          <w:rFonts w:ascii="Palatino Linotype" w:eastAsia="Palatino Linotype" w:hAnsi="Palatino Linotype" w:cs="Palatino Linotype"/>
          <w:color w:val="000000"/>
        </w:rPr>
        <w:t xml:space="preserve">, la solicitud de información pública registrada con el número </w:t>
      </w:r>
      <w:r w:rsidR="001E7900" w:rsidRPr="00A660C8">
        <w:rPr>
          <w:rFonts w:ascii="Palatino Linotype" w:eastAsia="Palatino Linotype" w:hAnsi="Palatino Linotype" w:cs="Palatino Linotype"/>
          <w:b/>
          <w:color w:val="000000"/>
        </w:rPr>
        <w:t>00219/ECATEPEC/IP/2024</w:t>
      </w:r>
      <w:r w:rsidRPr="00A660C8">
        <w:rPr>
          <w:rFonts w:ascii="Palatino Linotype" w:eastAsia="Palatino Linotype" w:hAnsi="Palatino Linotype" w:cs="Palatino Linotype"/>
          <w:b/>
          <w:color w:val="000000"/>
        </w:rPr>
        <w:t xml:space="preserve">, </w:t>
      </w:r>
      <w:r w:rsidRPr="00A660C8">
        <w:rPr>
          <w:rFonts w:ascii="Palatino Linotype" w:eastAsia="Palatino Linotype" w:hAnsi="Palatino Linotype" w:cs="Palatino Linotype"/>
        </w:rPr>
        <w:t xml:space="preserve">en la que </w:t>
      </w:r>
      <w:r w:rsidRPr="00A660C8">
        <w:rPr>
          <w:rFonts w:ascii="Palatino Linotype" w:eastAsia="Palatino Linotype" w:hAnsi="Palatino Linotype" w:cs="Palatino Linotype"/>
          <w:color w:val="000000"/>
        </w:rPr>
        <w:t>se solicitó la siguiente información:</w:t>
      </w:r>
    </w:p>
    <w:p w:rsidR="00CD3D2C" w:rsidRPr="00A660C8" w:rsidRDefault="00CD3D2C">
      <w:pPr>
        <w:ind w:right="-787"/>
        <w:jc w:val="both"/>
        <w:rPr>
          <w:rFonts w:ascii="Palatino Linotype" w:eastAsia="Palatino Linotype" w:hAnsi="Palatino Linotype" w:cs="Palatino Linotype"/>
          <w:i/>
        </w:rPr>
      </w:pPr>
    </w:p>
    <w:p w:rsidR="00CD3D2C" w:rsidRPr="00A660C8" w:rsidRDefault="005B05BD">
      <w:pPr>
        <w:pBdr>
          <w:top w:val="nil"/>
          <w:left w:val="nil"/>
          <w:bottom w:val="nil"/>
          <w:right w:val="nil"/>
          <w:between w:val="nil"/>
        </w:pBdr>
        <w:spacing w:line="360" w:lineRule="auto"/>
        <w:ind w:left="1134" w:right="-787"/>
        <w:jc w:val="both"/>
        <w:rPr>
          <w:rFonts w:ascii="Palatino Linotype" w:eastAsia="Palatino Linotype" w:hAnsi="Palatino Linotype" w:cs="Palatino Linotype"/>
          <w:i/>
          <w:color w:val="000000"/>
        </w:rPr>
      </w:pPr>
      <w:r w:rsidRPr="00A660C8">
        <w:rPr>
          <w:rFonts w:ascii="Palatino Linotype" w:eastAsia="Palatino Linotype" w:hAnsi="Palatino Linotype" w:cs="Palatino Linotype"/>
          <w:i/>
          <w:color w:val="000000"/>
        </w:rPr>
        <w:t>“El presidente municipal de Ecatepec, Fernando Vilchis Contreras, puso en funcionamiento la dragonera “Fénix”, máquina asfaltadora, pero las calles en mi colonia la Estrella siguen igual, llenas de baches, me pueden dar los contratos que se llevaron a cabo para reparar esta maquina, cuanto costo, facturas que tiene y a quien se le pago para repararla.”</w:t>
      </w:r>
    </w:p>
    <w:p w:rsidR="00CD3D2C" w:rsidRPr="00A660C8" w:rsidRDefault="00CD3D2C">
      <w:pPr>
        <w:pBdr>
          <w:top w:val="nil"/>
          <w:left w:val="nil"/>
          <w:bottom w:val="nil"/>
          <w:right w:val="nil"/>
          <w:between w:val="nil"/>
        </w:pBdr>
        <w:spacing w:line="360" w:lineRule="auto"/>
        <w:ind w:left="1134" w:right="-787"/>
        <w:jc w:val="both"/>
        <w:rPr>
          <w:rFonts w:ascii="Palatino Linotype" w:eastAsia="Palatino Linotype" w:hAnsi="Palatino Linotype" w:cs="Palatino Linotype"/>
          <w:i/>
        </w:rPr>
      </w:pPr>
    </w:p>
    <w:p w:rsidR="00CD3D2C" w:rsidRPr="00A660C8" w:rsidRDefault="005B05BD">
      <w:pPr>
        <w:numPr>
          <w:ilvl w:val="0"/>
          <w:numId w:val="1"/>
        </w:numPr>
        <w:pBdr>
          <w:top w:val="nil"/>
          <w:left w:val="nil"/>
          <w:bottom w:val="nil"/>
          <w:right w:val="nil"/>
          <w:between w:val="nil"/>
        </w:pBdr>
        <w:spacing w:line="360" w:lineRule="auto"/>
        <w:ind w:left="709" w:right="-787"/>
        <w:jc w:val="both"/>
        <w:rPr>
          <w:rFonts w:ascii="Palatino Linotype" w:eastAsia="Palatino Linotype" w:hAnsi="Palatino Linotype" w:cs="Palatino Linotype"/>
          <w:color w:val="000000"/>
        </w:rPr>
      </w:pPr>
      <w:r w:rsidRPr="00A660C8">
        <w:rPr>
          <w:rFonts w:ascii="Palatino Linotype" w:eastAsia="Palatino Linotype" w:hAnsi="Palatino Linotype" w:cs="Palatino Linotype"/>
          <w:b/>
          <w:color w:val="000000"/>
        </w:rPr>
        <w:lastRenderedPageBreak/>
        <w:t>Modalidad de entrega</w:t>
      </w:r>
      <w:r w:rsidRPr="00A660C8">
        <w:rPr>
          <w:rFonts w:ascii="Palatino Linotype" w:eastAsia="Palatino Linotype" w:hAnsi="Palatino Linotype" w:cs="Palatino Linotype"/>
          <w:color w:val="000000"/>
        </w:rPr>
        <w:t>: Sistema de Acceso a la Información</w:t>
      </w:r>
    </w:p>
    <w:p w:rsidR="00131E4A" w:rsidRPr="00A660C8" w:rsidRDefault="00131E4A" w:rsidP="00131E4A">
      <w:pPr>
        <w:pBdr>
          <w:top w:val="nil"/>
          <w:left w:val="nil"/>
          <w:bottom w:val="nil"/>
          <w:right w:val="nil"/>
          <w:between w:val="nil"/>
        </w:pBdr>
        <w:spacing w:line="360" w:lineRule="auto"/>
        <w:ind w:left="709" w:right="-787"/>
        <w:jc w:val="both"/>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Posteriormente, el </w:t>
      </w:r>
      <w:r w:rsidRPr="00A660C8">
        <w:rPr>
          <w:rFonts w:ascii="Palatino Linotype" w:eastAsia="Palatino Linotype" w:hAnsi="Palatino Linotype" w:cs="Palatino Linotype"/>
          <w:b/>
          <w:color w:val="000000"/>
        </w:rPr>
        <w:t xml:space="preserve">veinticuatro de abril de dos mil veinticuatro </w:t>
      </w:r>
      <w:r w:rsidRPr="00A660C8">
        <w:rPr>
          <w:rFonts w:ascii="Palatino Linotype" w:eastAsia="Palatino Linotype" w:hAnsi="Palatino Linotype" w:cs="Palatino Linotype"/>
          <w:color w:val="000000"/>
        </w:rPr>
        <w:t xml:space="preserve">el Titular de la Unidad de Transparencia </w:t>
      </w:r>
      <w:r w:rsidRPr="00A660C8">
        <w:rPr>
          <w:rFonts w:ascii="Palatino Linotype" w:eastAsia="Palatino Linotype" w:hAnsi="Palatino Linotype" w:cs="Palatino Linotype"/>
        </w:rPr>
        <w:t>giró</w:t>
      </w:r>
      <w:r w:rsidRPr="00A660C8">
        <w:rPr>
          <w:rFonts w:ascii="Palatino Linotype" w:eastAsia="Palatino Linotype" w:hAnsi="Palatino Linotype" w:cs="Palatino Linotype"/>
          <w:color w:val="000000"/>
        </w:rPr>
        <w:t xml:space="preserve"> los requerimientos de información, para que fuera atendida la solicitud de información </w:t>
      </w:r>
      <w:r w:rsidRPr="00A660C8">
        <w:rPr>
          <w:rFonts w:ascii="Palatino Linotype" w:eastAsia="Palatino Linotype" w:hAnsi="Palatino Linotype" w:cs="Palatino Linotype"/>
          <w:b/>
          <w:color w:val="000000"/>
        </w:rPr>
        <w:t>00219/ECATEPEC/IP/202424</w:t>
      </w:r>
      <w:r w:rsidRPr="00A660C8">
        <w:rPr>
          <w:rFonts w:ascii="Palatino Linotype" w:eastAsia="Palatino Linotype" w:hAnsi="Palatino Linotype" w:cs="Palatino Linotype"/>
          <w:color w:val="000000"/>
        </w:rPr>
        <w:t xml:space="preserve">. </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En fecha </w:t>
      </w:r>
      <w:r w:rsidRPr="00A660C8">
        <w:rPr>
          <w:rFonts w:ascii="Palatino Linotype" w:eastAsia="Palatino Linotype" w:hAnsi="Palatino Linotype" w:cs="Palatino Linotype"/>
          <w:b/>
          <w:color w:val="000000"/>
        </w:rPr>
        <w:t>veinticuatro de abril de dos mil veinticuatro,</w:t>
      </w:r>
      <w:r w:rsidRPr="00A660C8">
        <w:rPr>
          <w:rFonts w:ascii="Palatino Linotype" w:eastAsia="Palatino Linotype" w:hAnsi="Palatino Linotype" w:cs="Palatino Linotype"/>
          <w:color w:val="000000"/>
        </w:rPr>
        <w:t xml:space="preserve"> el </w:t>
      </w:r>
      <w:r w:rsidRPr="00A660C8">
        <w:rPr>
          <w:rFonts w:ascii="Palatino Linotype" w:eastAsia="Palatino Linotype" w:hAnsi="Palatino Linotype" w:cs="Palatino Linotype"/>
          <w:b/>
          <w:color w:val="000000"/>
        </w:rPr>
        <w:t xml:space="preserve">SUJETO OBLIGADO </w:t>
      </w:r>
      <w:r w:rsidRPr="00A660C8">
        <w:rPr>
          <w:rFonts w:ascii="Palatino Linotype" w:eastAsia="Palatino Linotype" w:hAnsi="Palatino Linotype" w:cs="Palatino Linotype"/>
          <w:color w:val="000000"/>
        </w:rPr>
        <w:t xml:space="preserve">dio respuesta a la solicitud de información mediante un archivo electrónico en formato pdf, cuyo contenido grosso modo es el siguiente.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b/>
          <w:i/>
          <w:color w:val="000000"/>
          <w:sz w:val="22"/>
          <w:szCs w:val="22"/>
        </w:rPr>
        <w:t xml:space="preserve">00219-2024.pdf: </w:t>
      </w:r>
      <w:r w:rsidRPr="00A660C8">
        <w:rPr>
          <w:rFonts w:ascii="Palatino Linotype" w:eastAsia="Palatino Linotype" w:hAnsi="Palatino Linotype" w:cs="Palatino Linotype"/>
          <w:i/>
          <w:color w:val="000000"/>
          <w:sz w:val="22"/>
          <w:szCs w:val="22"/>
        </w:rPr>
        <w:t xml:space="preserve">oficio de la Dirección de Administración, mediante el cual informa que después de una búsqueda exhaustiva y minuciosa, no se localizó contrato alguno del que hace referencia. </w:t>
      </w:r>
    </w:p>
    <w:p w:rsidR="00CD3D2C" w:rsidRPr="00A660C8" w:rsidRDefault="00CD3D2C">
      <w:pPr>
        <w:ind w:right="-787"/>
        <w:jc w:val="both"/>
        <w:rPr>
          <w:rFonts w:ascii="Palatino Linotype" w:eastAsia="Palatino Linotype" w:hAnsi="Palatino Linotype" w:cs="Palatino Linotype"/>
          <w:i/>
        </w:rPr>
      </w:pPr>
    </w:p>
    <w:p w:rsidR="00CD3D2C" w:rsidRPr="00A660C8" w:rsidRDefault="00CD3D2C">
      <w:pPr>
        <w:pBdr>
          <w:top w:val="nil"/>
          <w:left w:val="nil"/>
          <w:bottom w:val="nil"/>
          <w:right w:val="nil"/>
          <w:between w:val="nil"/>
        </w:pBdr>
        <w:ind w:left="1134" w:right="-787"/>
        <w:jc w:val="both"/>
        <w:rPr>
          <w:rFonts w:ascii="Palatino Linotype" w:eastAsia="Palatino Linotype" w:hAnsi="Palatino Linotype" w:cs="Palatino Linotype"/>
          <w:i/>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El </w:t>
      </w:r>
      <w:r w:rsidRPr="00A660C8">
        <w:rPr>
          <w:rFonts w:ascii="Palatino Linotype" w:eastAsia="Palatino Linotype" w:hAnsi="Palatino Linotype" w:cs="Palatino Linotype"/>
          <w:b/>
          <w:color w:val="000000"/>
        </w:rPr>
        <w:t>veinticuatro de abril de dos mil veinticuatro</w:t>
      </w:r>
      <w:r w:rsidRPr="00A660C8">
        <w:rPr>
          <w:rFonts w:ascii="Palatino Linotype" w:eastAsia="Palatino Linotype" w:hAnsi="Palatino Linotype" w:cs="Palatino Linotype"/>
          <w:color w:val="000000"/>
        </w:rPr>
        <w:t xml:space="preserve">, el solicitante interpuso recurso de revisión en contra de la respuestas emitida por el </w:t>
      </w:r>
      <w:r w:rsidRPr="00A660C8">
        <w:rPr>
          <w:rFonts w:ascii="Palatino Linotype" w:eastAsia="Palatino Linotype" w:hAnsi="Palatino Linotype" w:cs="Palatino Linotype"/>
          <w:b/>
          <w:color w:val="000000"/>
        </w:rPr>
        <w:t>SUJETO OBLIGADO</w:t>
      </w:r>
      <w:r w:rsidRPr="00A660C8">
        <w:rPr>
          <w:rFonts w:ascii="Palatino Linotype" w:eastAsia="Palatino Linotype" w:hAnsi="Palatino Linotype" w:cs="Palatino Linotype"/>
          <w:color w:val="000000"/>
        </w:rPr>
        <w:t>, señalando las siguientes razones o motivos de inconformidad:</w:t>
      </w:r>
    </w:p>
    <w:p w:rsidR="00CD3D2C" w:rsidRPr="00A660C8" w:rsidRDefault="005B05BD">
      <w:pPr>
        <w:numPr>
          <w:ilvl w:val="0"/>
          <w:numId w:val="14"/>
        </w:numPr>
        <w:pBdr>
          <w:top w:val="nil"/>
          <w:left w:val="nil"/>
          <w:bottom w:val="nil"/>
          <w:right w:val="nil"/>
          <w:between w:val="nil"/>
        </w:pBdr>
        <w:ind w:right="-787"/>
        <w:jc w:val="both"/>
        <w:rPr>
          <w:rFonts w:ascii="Palatino Linotype" w:eastAsia="Palatino Linotype" w:hAnsi="Palatino Linotype" w:cs="Palatino Linotype"/>
          <w:color w:val="000000"/>
          <w:sz w:val="22"/>
          <w:szCs w:val="22"/>
        </w:rPr>
      </w:pPr>
      <w:bookmarkStart w:id="1" w:name="_heading=h.1fob9te" w:colFirst="0" w:colLast="0"/>
      <w:bookmarkEnd w:id="1"/>
      <w:r w:rsidRPr="00A660C8">
        <w:rPr>
          <w:rFonts w:ascii="Palatino Linotype" w:eastAsia="Palatino Linotype" w:hAnsi="Palatino Linotype" w:cs="Palatino Linotype"/>
          <w:b/>
          <w:color w:val="000000"/>
          <w:sz w:val="22"/>
          <w:szCs w:val="22"/>
        </w:rPr>
        <w:t xml:space="preserve">Acto impugnado: </w:t>
      </w:r>
      <w:r w:rsidRPr="00A660C8">
        <w:rPr>
          <w:rFonts w:ascii="Palatino Linotype" w:eastAsia="Palatino Linotype" w:hAnsi="Palatino Linotype" w:cs="Palatino Linotype"/>
          <w:i/>
          <w:color w:val="000000"/>
          <w:sz w:val="22"/>
          <w:szCs w:val="22"/>
        </w:rPr>
        <w:t>“Se niega a entregar la información”</w:t>
      </w:r>
    </w:p>
    <w:p w:rsidR="00CD3D2C" w:rsidRPr="00A660C8" w:rsidRDefault="005B05BD">
      <w:pPr>
        <w:numPr>
          <w:ilvl w:val="0"/>
          <w:numId w:val="14"/>
        </w:numPr>
        <w:pBdr>
          <w:top w:val="nil"/>
          <w:left w:val="nil"/>
          <w:bottom w:val="nil"/>
          <w:right w:val="nil"/>
          <w:between w:val="nil"/>
        </w:pBdr>
        <w:ind w:right="-787"/>
        <w:jc w:val="both"/>
        <w:rPr>
          <w:rFonts w:ascii="Palatino Linotype" w:eastAsia="Palatino Linotype" w:hAnsi="Palatino Linotype" w:cs="Palatino Linotype"/>
          <w:color w:val="000000"/>
          <w:sz w:val="22"/>
          <w:szCs w:val="22"/>
        </w:rPr>
      </w:pPr>
      <w:bookmarkStart w:id="2" w:name="_heading=h.3znysh7" w:colFirst="0" w:colLast="0"/>
      <w:bookmarkEnd w:id="2"/>
      <w:r w:rsidRPr="00A660C8">
        <w:rPr>
          <w:rFonts w:ascii="Palatino Linotype" w:eastAsia="Palatino Linotype" w:hAnsi="Palatino Linotype" w:cs="Palatino Linotype"/>
          <w:b/>
          <w:color w:val="000000"/>
          <w:sz w:val="22"/>
          <w:szCs w:val="22"/>
        </w:rPr>
        <w:t xml:space="preserve">Razones o Motivos de inconformidad: </w:t>
      </w:r>
      <w:r w:rsidRPr="00A660C8">
        <w:rPr>
          <w:rFonts w:ascii="Palatino Linotype" w:eastAsia="Palatino Linotype" w:hAnsi="Palatino Linotype" w:cs="Palatino Linotype"/>
          <w:i/>
          <w:color w:val="000000"/>
          <w:sz w:val="22"/>
          <w:szCs w:val="22"/>
        </w:rPr>
        <w:t>“Se niega a entregar la información.”</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CD3D2C">
      <w:pPr>
        <w:ind w:right="-787"/>
        <w:jc w:val="both"/>
        <w:rPr>
          <w:rFonts w:ascii="Palatino Linotype" w:eastAsia="Palatino Linotype" w:hAnsi="Palatino Linotype" w:cs="Palatino Linotype"/>
          <w:b/>
          <w:i/>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Consecutivamente</w:t>
      </w:r>
      <w:r w:rsidRPr="00A660C8">
        <w:rPr>
          <w:rFonts w:ascii="Palatino Linotype" w:eastAsia="Palatino Linotype" w:hAnsi="Palatino Linotype" w:cs="Palatino Linotype"/>
          <w:i/>
          <w:color w:val="000000"/>
        </w:rPr>
        <w:t xml:space="preserve">, </w:t>
      </w:r>
      <w:r w:rsidRPr="00A660C8">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Municipios, el recurso fue turnado a la ponencia de la </w:t>
      </w:r>
      <w:r w:rsidRPr="00A660C8">
        <w:rPr>
          <w:rFonts w:ascii="Palatino Linotype" w:eastAsia="Palatino Linotype" w:hAnsi="Palatino Linotype" w:cs="Palatino Linotype"/>
          <w:b/>
          <w:color w:val="000000"/>
        </w:rPr>
        <w:t>Comisionada</w:t>
      </w:r>
      <w:r w:rsidRPr="00A660C8">
        <w:rPr>
          <w:rFonts w:ascii="Palatino Linotype" w:eastAsia="Palatino Linotype" w:hAnsi="Palatino Linotype" w:cs="Palatino Linotype"/>
          <w:color w:val="000000"/>
        </w:rPr>
        <w:t xml:space="preserve"> </w:t>
      </w:r>
      <w:r w:rsidRPr="00A660C8">
        <w:rPr>
          <w:rFonts w:ascii="Palatino Linotype" w:eastAsia="Palatino Linotype" w:hAnsi="Palatino Linotype" w:cs="Palatino Linotype"/>
          <w:b/>
          <w:color w:val="000000"/>
        </w:rPr>
        <w:t>María del Rosario Mejía Ayala</w:t>
      </w:r>
      <w:r w:rsidRPr="00A660C8">
        <w:rPr>
          <w:rFonts w:ascii="Palatino Linotype" w:eastAsia="Palatino Linotype" w:hAnsi="Palatino Linotype" w:cs="Palatino Linotype"/>
          <w:color w:val="000000"/>
        </w:rPr>
        <w:t>,</w:t>
      </w:r>
      <w:r w:rsidRPr="00A660C8">
        <w:rPr>
          <w:rFonts w:ascii="Palatino Linotype" w:eastAsia="Palatino Linotype" w:hAnsi="Palatino Linotype" w:cs="Palatino Linotype"/>
          <w:b/>
          <w:color w:val="000000"/>
        </w:rPr>
        <w:t xml:space="preserve"> </w:t>
      </w:r>
      <w:r w:rsidRPr="00A660C8">
        <w:rPr>
          <w:rFonts w:ascii="Palatino Linotype" w:eastAsia="Palatino Linotype" w:hAnsi="Palatino Linotype" w:cs="Palatino Linotype"/>
          <w:color w:val="000000"/>
        </w:rPr>
        <w:t>con el objeto de su análisis.</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lastRenderedPageBreak/>
        <w:t xml:space="preserve">La Comisionada Ponente con fundamento en lo dispuesto por el artículo 185 fracción II de la ley de la materia, a través del </w:t>
      </w:r>
      <w:r w:rsidRPr="00A660C8">
        <w:rPr>
          <w:rFonts w:ascii="Palatino Linotype" w:eastAsia="Palatino Linotype" w:hAnsi="Palatino Linotype" w:cs="Palatino Linotype"/>
          <w:b/>
          <w:color w:val="000000"/>
        </w:rPr>
        <w:t xml:space="preserve">acuerdo de admisión </w:t>
      </w:r>
      <w:r w:rsidRPr="00A660C8">
        <w:rPr>
          <w:rFonts w:ascii="Palatino Linotype" w:eastAsia="Palatino Linotype" w:hAnsi="Palatino Linotype" w:cs="Palatino Linotype"/>
          <w:color w:val="000000"/>
        </w:rPr>
        <w:t xml:space="preserve">del </w:t>
      </w:r>
      <w:r w:rsidRPr="00A660C8">
        <w:rPr>
          <w:rFonts w:ascii="Palatino Linotype" w:eastAsia="Palatino Linotype" w:hAnsi="Palatino Linotype" w:cs="Palatino Linotype"/>
          <w:b/>
          <w:color w:val="000000"/>
        </w:rPr>
        <w:t xml:space="preserve">veintinueve de abril de dos mil veinticuatro, </w:t>
      </w:r>
      <w:r w:rsidRPr="00A660C8">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A660C8">
        <w:rPr>
          <w:rFonts w:ascii="Palatino Linotype" w:eastAsia="Palatino Linotype" w:hAnsi="Palatino Linotype" w:cs="Palatino Linotype"/>
        </w:rPr>
        <w:t>manifestara</w:t>
      </w:r>
      <w:r w:rsidRPr="00A660C8">
        <w:rPr>
          <w:rFonts w:ascii="Palatino Linotype" w:eastAsia="Palatino Linotype" w:hAnsi="Palatino Linotype" w:cs="Palatino Linotype"/>
          <w:color w:val="000000"/>
        </w:rPr>
        <w:t xml:space="preserve"> lo que a su derecho conviniera, </w:t>
      </w:r>
      <w:r w:rsidRPr="00A660C8">
        <w:rPr>
          <w:rFonts w:ascii="Palatino Linotype" w:eastAsia="Palatino Linotype" w:hAnsi="Palatino Linotype" w:cs="Palatino Linotype"/>
        </w:rPr>
        <w:t>ofreciera</w:t>
      </w:r>
      <w:r w:rsidRPr="00A660C8">
        <w:rPr>
          <w:rFonts w:ascii="Palatino Linotype" w:eastAsia="Palatino Linotype" w:hAnsi="Palatino Linotype" w:cs="Palatino Linotype"/>
          <w:color w:val="000000"/>
        </w:rPr>
        <w:t xml:space="preserve"> pruebas y alegatos según corresponda al caso concreto, de esta forma para que el </w:t>
      </w:r>
      <w:r w:rsidRPr="00A660C8">
        <w:rPr>
          <w:rFonts w:ascii="Palatino Linotype" w:eastAsia="Palatino Linotype" w:hAnsi="Palatino Linotype" w:cs="Palatino Linotype"/>
          <w:b/>
          <w:color w:val="000000"/>
        </w:rPr>
        <w:t xml:space="preserve">SUJETO OBLIGADO </w:t>
      </w:r>
      <w:r w:rsidRPr="00A660C8">
        <w:rPr>
          <w:rFonts w:ascii="Palatino Linotype" w:eastAsia="Palatino Linotype" w:hAnsi="Palatino Linotype" w:cs="Palatino Linotype"/>
        </w:rPr>
        <w:t>presentará</w:t>
      </w:r>
      <w:r w:rsidRPr="00A660C8">
        <w:rPr>
          <w:rFonts w:ascii="Palatino Linotype" w:eastAsia="Palatino Linotype" w:hAnsi="Palatino Linotype" w:cs="Palatino Linotype"/>
          <w:color w:val="000000"/>
        </w:rPr>
        <w:t xml:space="preserve"> el Informe Justificado procedente.</w:t>
      </w:r>
    </w:p>
    <w:p w:rsidR="00CD3D2C" w:rsidRPr="00A660C8" w:rsidRDefault="00CD3D2C">
      <w:pPr>
        <w:pBdr>
          <w:top w:val="nil"/>
          <w:left w:val="nil"/>
          <w:bottom w:val="nil"/>
          <w:right w:val="nil"/>
          <w:between w:val="nil"/>
        </w:pBdr>
        <w:ind w:left="708" w:right="-787"/>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En esa línea, tal y como se observa en el expediente electrónico el </w:t>
      </w:r>
      <w:r w:rsidRPr="00A660C8">
        <w:rPr>
          <w:rFonts w:ascii="Palatino Linotype" w:eastAsia="Palatino Linotype" w:hAnsi="Palatino Linotype" w:cs="Palatino Linotype"/>
          <w:b/>
          <w:color w:val="000000"/>
        </w:rPr>
        <w:t xml:space="preserve">SUJETO OBLIGADO </w:t>
      </w:r>
      <w:r w:rsidRPr="00A660C8">
        <w:rPr>
          <w:rFonts w:ascii="Palatino Linotype" w:eastAsia="Palatino Linotype" w:hAnsi="Palatino Linotype" w:cs="Palatino Linotype"/>
        </w:rPr>
        <w:t>agregó</w:t>
      </w:r>
      <w:r w:rsidRPr="00A660C8">
        <w:rPr>
          <w:rFonts w:ascii="Palatino Linotype" w:eastAsia="Palatino Linotype" w:hAnsi="Palatino Linotype" w:cs="Palatino Linotype"/>
          <w:color w:val="000000"/>
        </w:rPr>
        <w:t xml:space="preserve"> un archivo electrónico en alcance informe justificado, cuyo contenido grosso modo es el siguiente. </w:t>
      </w:r>
    </w:p>
    <w:p w:rsidR="00CD3D2C" w:rsidRPr="00A660C8" w:rsidRDefault="005B05BD">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b/>
          <w:i/>
          <w:color w:val="000000"/>
          <w:sz w:val="22"/>
          <w:szCs w:val="22"/>
        </w:rPr>
        <w:t>RR 2218.pdf:</w:t>
      </w:r>
      <w:r w:rsidRPr="00A660C8">
        <w:rPr>
          <w:rFonts w:ascii="Palatino Linotype" w:eastAsia="Palatino Linotype" w:hAnsi="Palatino Linotype" w:cs="Palatino Linotype"/>
          <w:i/>
          <w:color w:val="000000"/>
          <w:sz w:val="22"/>
          <w:szCs w:val="22"/>
        </w:rPr>
        <w:t xml:space="preserve"> oficio de la Dirección de Administración, mediante el cual informa que en la Dirección a su cargo no se han registrado contratos o procedimientos y que sin embargo para ampliar la búsqueda solicitara mediante oficio a la Secretaría del Ayuntamiento y a la Dirección de Tecnologías de Información, se realice la búsqueda en el acervo Municipal y en Archivo Digital. </w:t>
      </w:r>
    </w:p>
    <w:p w:rsidR="00CD3D2C" w:rsidRPr="00A660C8" w:rsidRDefault="00CD3D2C">
      <w:pPr>
        <w:pBdr>
          <w:top w:val="nil"/>
          <w:left w:val="nil"/>
          <w:bottom w:val="nil"/>
          <w:right w:val="nil"/>
          <w:between w:val="nil"/>
        </w:pBdr>
        <w:ind w:left="708" w:right="-787"/>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A660C8">
        <w:rPr>
          <w:rFonts w:ascii="Palatino Linotype" w:eastAsia="Palatino Linotype" w:hAnsi="Palatino Linotype" w:cs="Palatino Linotype"/>
          <w:color w:val="000000"/>
        </w:rPr>
        <w:t xml:space="preserve">Por su parte el </w:t>
      </w:r>
      <w:r w:rsidRPr="00A660C8">
        <w:rPr>
          <w:rFonts w:ascii="Palatino Linotype" w:eastAsia="Palatino Linotype" w:hAnsi="Palatino Linotype" w:cs="Palatino Linotype"/>
          <w:b/>
          <w:color w:val="000000"/>
        </w:rPr>
        <w:t xml:space="preserve">RECURRENTE </w:t>
      </w:r>
      <w:r w:rsidRPr="00A660C8">
        <w:rPr>
          <w:rFonts w:ascii="Palatino Linotype" w:eastAsia="Palatino Linotype" w:hAnsi="Palatino Linotype" w:cs="Palatino Linotype"/>
        </w:rPr>
        <w:t>dejó</w:t>
      </w:r>
      <w:r w:rsidRPr="00A660C8">
        <w:rPr>
          <w:rFonts w:ascii="Palatino Linotype" w:eastAsia="Palatino Linotype" w:hAnsi="Palatino Linotype" w:cs="Palatino Linotype"/>
          <w:color w:val="000000"/>
        </w:rPr>
        <w:t xml:space="preserve"> de realizar manifestaciones que a su derecho conviniera. </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El </w:t>
      </w:r>
      <w:r w:rsidRPr="00A660C8">
        <w:rPr>
          <w:rFonts w:ascii="Palatino Linotype" w:eastAsia="Palatino Linotype" w:hAnsi="Palatino Linotype" w:cs="Palatino Linotype"/>
          <w:b/>
          <w:color w:val="000000"/>
        </w:rPr>
        <w:t>once de junio de dos mil veinticuatro</w:t>
      </w:r>
      <w:r w:rsidRPr="00A660C8">
        <w:rPr>
          <w:rFonts w:ascii="Palatino Linotype" w:eastAsia="Palatino Linotype" w:hAnsi="Palatino Linotype" w:cs="Palatino Linotype"/>
          <w:color w:val="000000"/>
        </w:rPr>
        <w:t xml:space="preserve">, la Comisionada Ponente notificó el </w:t>
      </w:r>
      <w:r w:rsidRPr="00A660C8">
        <w:rPr>
          <w:rFonts w:ascii="Palatino Linotype" w:eastAsia="Palatino Linotype" w:hAnsi="Palatino Linotype" w:cs="Palatino Linotype"/>
          <w:b/>
          <w:color w:val="000000"/>
        </w:rPr>
        <w:t>acuerdo de ampliación</w:t>
      </w:r>
      <w:r w:rsidRPr="00A660C8">
        <w:rPr>
          <w:rFonts w:ascii="Palatino Linotype" w:eastAsia="Palatino Linotype" w:hAnsi="Palatino Linotype" w:cs="Palatino Linotype"/>
          <w:color w:val="000000"/>
        </w:rPr>
        <w:t xml:space="preserve"> de plazo para emitir resolución.</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Este organismo garante no pasa por alto explicar que la dilación en la resolución del presente asunto encuentra su justificación en que, el alto número de recursos de revisión recibidos ha incrementado el número de medios de impugnación </w:t>
      </w:r>
      <w:r w:rsidRPr="00A660C8">
        <w:rPr>
          <w:rFonts w:ascii="Palatino Linotype" w:eastAsia="Palatino Linotype" w:hAnsi="Palatino Linotype" w:cs="Palatino Linotype"/>
          <w:color w:val="000000"/>
        </w:rPr>
        <w:lastRenderedPageBreak/>
        <w:t>que deben resolverse por este instituto, circunstancia atípica que ha rebasado las capacidades técnicas y humanas del personal encargado de la elaboración de resoluciones a dichos medios de impugnación.</w:t>
      </w: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D3D2C" w:rsidRPr="00A660C8" w:rsidRDefault="00CD3D2C">
      <w:pPr>
        <w:pBdr>
          <w:top w:val="nil"/>
          <w:left w:val="nil"/>
          <w:bottom w:val="nil"/>
          <w:right w:val="nil"/>
          <w:between w:val="nil"/>
        </w:pBdr>
        <w:ind w:left="720" w:right="-787"/>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rsidR="00CD3D2C" w:rsidRPr="00A660C8" w:rsidRDefault="005B05BD">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lastRenderedPageBreak/>
        <w:t>a)   Complejidad del asunto: La complejidad de la prueba, la pluralidad de sujetos procesales, el tiempo transcurrido, las características y contexto del recurso.</w:t>
      </w:r>
    </w:p>
    <w:p w:rsidR="00CD3D2C" w:rsidRPr="00A660C8" w:rsidRDefault="005B05BD">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b)     Actividad Procesal del interesado: Acciones u omisiones del interesado.</w:t>
      </w:r>
    </w:p>
    <w:p w:rsidR="00CD3D2C" w:rsidRPr="00A660C8" w:rsidRDefault="005B05BD">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rsidR="00CD3D2C" w:rsidRPr="00A660C8" w:rsidRDefault="005B05BD">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Argumento que encuentra sustento en la jurisprudencia P./J. 32/92 emitida por el Pleno de la Suprema Corte de Justicia de la Nación del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rsidR="00CD3D2C" w:rsidRPr="00A660C8" w:rsidRDefault="00CD3D2C">
      <w:pPr>
        <w:pBdr>
          <w:top w:val="nil"/>
          <w:left w:val="nil"/>
          <w:bottom w:val="nil"/>
          <w:right w:val="nil"/>
          <w:between w:val="nil"/>
        </w:pBdr>
        <w:ind w:left="720" w:right="-787"/>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CD3D2C" w:rsidRPr="00A660C8" w:rsidRDefault="00CD3D2C">
      <w:pPr>
        <w:pBdr>
          <w:top w:val="nil"/>
          <w:left w:val="nil"/>
          <w:bottom w:val="nil"/>
          <w:right w:val="nil"/>
          <w:between w:val="nil"/>
        </w:pBdr>
        <w:ind w:left="708" w:right="-787"/>
        <w:rPr>
          <w:color w:val="000000"/>
        </w:rPr>
      </w:pPr>
    </w:p>
    <w:p w:rsidR="00CD3D2C" w:rsidRPr="00A660C8" w:rsidRDefault="005B05BD">
      <w:pPr>
        <w:pBdr>
          <w:top w:val="nil"/>
          <w:left w:val="nil"/>
          <w:bottom w:val="nil"/>
          <w:right w:val="nil"/>
          <w:between w:val="nil"/>
        </w:pBdr>
        <w:spacing w:line="360" w:lineRule="auto"/>
        <w:ind w:left="567" w:right="-787"/>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w:t>
      </w:r>
      <w:r w:rsidRPr="00A660C8">
        <w:rPr>
          <w:rFonts w:ascii="Palatino Linotype" w:eastAsia="Palatino Linotype" w:hAnsi="Palatino Linotype" w:cs="Palatino Linotype"/>
          <w:sz w:val="22"/>
          <w:szCs w:val="22"/>
        </w:rPr>
        <w:t>a</w:t>
      </w:r>
      <w:r w:rsidRPr="00A660C8">
        <w:rPr>
          <w:rFonts w:ascii="Palatino Linotype" w:eastAsia="Palatino Linotype" w:hAnsi="Palatino Linotype" w:cs="Palatino Linotype"/>
          <w:color w:val="000000"/>
          <w:sz w:val="22"/>
          <w:szCs w:val="22"/>
        </w:rPr>
        <w:t>nario Judicial de la Federación y su gaceta, con el registro digital 2002351.</w:t>
      </w:r>
    </w:p>
    <w:p w:rsidR="00CD3D2C" w:rsidRPr="00A660C8" w:rsidRDefault="005B05BD">
      <w:pPr>
        <w:pBdr>
          <w:top w:val="nil"/>
          <w:left w:val="nil"/>
          <w:bottom w:val="nil"/>
          <w:right w:val="nil"/>
          <w:between w:val="nil"/>
        </w:pBdr>
        <w:spacing w:line="360" w:lineRule="auto"/>
        <w:ind w:left="567" w:right="-787"/>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 visible en el Sem</w:t>
      </w:r>
      <w:r w:rsidRPr="00A660C8">
        <w:rPr>
          <w:rFonts w:ascii="Palatino Linotype" w:eastAsia="Palatino Linotype" w:hAnsi="Palatino Linotype" w:cs="Palatino Linotype"/>
          <w:sz w:val="22"/>
          <w:szCs w:val="22"/>
        </w:rPr>
        <w:t>a</w:t>
      </w:r>
      <w:r w:rsidRPr="00A660C8">
        <w:rPr>
          <w:rFonts w:ascii="Palatino Linotype" w:eastAsia="Palatino Linotype" w:hAnsi="Palatino Linotype" w:cs="Palatino Linotype"/>
          <w:color w:val="000000"/>
          <w:sz w:val="22"/>
          <w:szCs w:val="22"/>
        </w:rPr>
        <w:t>nario Judicial de la Federación y su gaceta, con el registro digital 2002350.</w:t>
      </w:r>
    </w:p>
    <w:p w:rsidR="00CD3D2C" w:rsidRPr="00A660C8" w:rsidRDefault="00CD3D2C">
      <w:pPr>
        <w:pBdr>
          <w:top w:val="nil"/>
          <w:left w:val="nil"/>
          <w:bottom w:val="nil"/>
          <w:right w:val="nil"/>
          <w:between w:val="nil"/>
        </w:pBdr>
        <w:spacing w:line="360" w:lineRule="auto"/>
        <w:ind w:left="708" w:right="-787"/>
        <w:jc w:val="both"/>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lastRenderedPageBreak/>
        <w:t>Por ello, este organismo garante comprometido con la tutela de los derechos humanos confiados, señala que este exceso del plazo legal para resolver el presente asunto, resulta de carácter excepcional.</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3" w:name="_heading=h.2et92p0" w:colFirst="0" w:colLast="0"/>
      <w:bookmarkEnd w:id="3"/>
      <w:r w:rsidRPr="00A660C8">
        <w:rPr>
          <w:rFonts w:ascii="Palatino Linotype" w:eastAsia="Palatino Linotype" w:hAnsi="Palatino Linotype" w:cs="Palatino Linotype"/>
          <w:color w:val="000000"/>
        </w:rPr>
        <w:t>Finalmente, la Comisionada Ponente mediante acuerdo de fecha</w:t>
      </w:r>
      <w:r w:rsidRPr="00A660C8">
        <w:rPr>
          <w:rFonts w:ascii="Palatino Linotype" w:eastAsia="Palatino Linotype" w:hAnsi="Palatino Linotype" w:cs="Palatino Linotype"/>
          <w:b/>
          <w:color w:val="000000"/>
        </w:rPr>
        <w:t xml:space="preserve">  veintiocho de enero de dos mil veinticuatro</w:t>
      </w:r>
      <w:r w:rsidRPr="00A660C8">
        <w:rPr>
          <w:rFonts w:ascii="Palatino Linotype" w:eastAsia="Palatino Linotype" w:hAnsi="Palatino Linotype" w:cs="Palatino Linotype"/>
          <w:color w:val="000000"/>
        </w:rPr>
        <w:t>, decretó el cierre de instrucción de los expedientes, por lo que no habiendo más que hacer constar, y -----------------------------------------------</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rPr>
      </w:pPr>
      <w:bookmarkStart w:id="4" w:name="_heading=h.162m1m3fkzl6" w:colFirst="0" w:colLast="0"/>
      <w:bookmarkEnd w:id="4"/>
    </w:p>
    <w:p w:rsidR="00CD3D2C" w:rsidRPr="00A660C8" w:rsidRDefault="00CD3D2C">
      <w:pPr>
        <w:spacing w:line="360" w:lineRule="auto"/>
        <w:ind w:right="-787"/>
        <w:rPr>
          <w:rFonts w:ascii="Palatino Linotype" w:eastAsia="Palatino Linotype" w:hAnsi="Palatino Linotype" w:cs="Palatino Linotype"/>
          <w:b/>
          <w:color w:val="000000"/>
        </w:rPr>
      </w:pPr>
    </w:p>
    <w:p w:rsidR="00CD3D2C" w:rsidRPr="00A660C8" w:rsidRDefault="005B05BD">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sidRPr="00A660C8">
        <w:rPr>
          <w:rFonts w:ascii="Palatino Linotype" w:eastAsia="Palatino Linotype" w:hAnsi="Palatino Linotype" w:cs="Palatino Linotype"/>
          <w:b/>
          <w:color w:val="000000"/>
        </w:rPr>
        <w:t xml:space="preserve">C O N S I D E R A N D O </w:t>
      </w:r>
    </w:p>
    <w:p w:rsidR="00CD3D2C" w:rsidRPr="00A660C8" w:rsidRDefault="005B05BD">
      <w:pPr>
        <w:pStyle w:val="Ttulo2"/>
        <w:spacing w:before="0" w:line="360" w:lineRule="auto"/>
        <w:ind w:right="-787"/>
        <w:rPr>
          <w:rFonts w:ascii="Palatino Linotype" w:eastAsia="Palatino Linotype" w:hAnsi="Palatino Linotype" w:cs="Palatino Linotype"/>
          <w:b/>
          <w:color w:val="000000"/>
          <w:sz w:val="24"/>
          <w:szCs w:val="24"/>
        </w:rPr>
      </w:pPr>
      <w:bookmarkStart w:id="5" w:name="_heading=h.tyjcwt" w:colFirst="0" w:colLast="0"/>
      <w:bookmarkEnd w:id="5"/>
      <w:r w:rsidRPr="00A660C8">
        <w:rPr>
          <w:rFonts w:ascii="Palatino Linotype" w:eastAsia="Palatino Linotype" w:hAnsi="Palatino Linotype" w:cs="Palatino Linotype"/>
          <w:b/>
          <w:color w:val="000000"/>
          <w:sz w:val="24"/>
          <w:szCs w:val="24"/>
        </w:rPr>
        <w:t>PRIMERO. De la competencia</w:t>
      </w: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CD3D2C" w:rsidRPr="00A660C8" w:rsidRDefault="00CD3D2C">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rPr>
      </w:pPr>
      <w:bookmarkStart w:id="6" w:name="_heading=h.3dy6vkm" w:colFirst="0" w:colLast="0"/>
      <w:bookmarkEnd w:id="6"/>
    </w:p>
    <w:p w:rsidR="00CD3D2C" w:rsidRPr="00A660C8" w:rsidRDefault="005B05BD">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rPr>
      </w:pPr>
      <w:bookmarkStart w:id="7" w:name="_heading=h.1t3h5sf" w:colFirst="0" w:colLast="0"/>
      <w:bookmarkEnd w:id="7"/>
      <w:r w:rsidRPr="00A660C8">
        <w:rPr>
          <w:rFonts w:ascii="Palatino Linotype" w:eastAsia="Palatino Linotype" w:hAnsi="Palatino Linotype" w:cs="Palatino Linotype"/>
          <w:b/>
          <w:color w:val="000000"/>
        </w:rPr>
        <w:lastRenderedPageBreak/>
        <w:t>SEGUNDO. De la oportunidad y procedencia.</w:t>
      </w: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bookmarkStart w:id="8" w:name="_heading=h.4d34og8" w:colFirst="0" w:colLast="0"/>
      <w:bookmarkEnd w:id="8"/>
      <w:r w:rsidRPr="00A660C8">
        <w:rPr>
          <w:rFonts w:ascii="Palatino Linotype" w:eastAsia="Palatino Linotype" w:hAnsi="Palatino Linotype" w:cs="Palatino Linotype"/>
          <w:color w:val="000000"/>
        </w:rPr>
        <w:t xml:space="preserve">Los medios de impugnación fueron presentados a través del </w:t>
      </w:r>
      <w:r w:rsidRPr="00A660C8">
        <w:rPr>
          <w:rFonts w:ascii="Palatino Linotype" w:eastAsia="Palatino Linotype" w:hAnsi="Palatino Linotype" w:cs="Palatino Linotype"/>
          <w:b/>
          <w:color w:val="000000"/>
        </w:rPr>
        <w:t>SAIMEX,</w:t>
      </w:r>
      <w:r w:rsidRPr="00A660C8">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A660C8">
        <w:rPr>
          <w:rFonts w:ascii="Palatino Linotype" w:eastAsia="Palatino Linotype" w:hAnsi="Palatino Linotype" w:cs="Palatino Linotype"/>
          <w:b/>
          <w:color w:val="000000"/>
        </w:rPr>
        <w:t>SUJETO OBLIGADO</w:t>
      </w:r>
      <w:r w:rsidRPr="00A660C8">
        <w:rPr>
          <w:rFonts w:ascii="Palatino Linotype" w:eastAsia="Palatino Linotype" w:hAnsi="Palatino Linotype" w:cs="Palatino Linotype"/>
          <w:color w:val="000000"/>
        </w:rPr>
        <w:t xml:space="preserve"> entregó su respuesta el </w:t>
      </w:r>
      <w:r w:rsidRPr="00A660C8">
        <w:rPr>
          <w:rFonts w:ascii="Palatino Linotype" w:eastAsia="Palatino Linotype" w:hAnsi="Palatino Linotype" w:cs="Palatino Linotype"/>
          <w:b/>
          <w:color w:val="000000"/>
        </w:rPr>
        <w:t>veinticuatro de abril de dos mil veinticuatro</w:t>
      </w:r>
      <w:r w:rsidRPr="00A660C8">
        <w:rPr>
          <w:rFonts w:ascii="Palatino Linotype" w:eastAsia="Palatino Linotype" w:hAnsi="Palatino Linotype" w:cs="Palatino Linotype"/>
          <w:color w:val="000000"/>
        </w:rPr>
        <w:t xml:space="preserve">, de tal forma que el plazo para interponer el recurso de revisión transcurrió del día </w:t>
      </w:r>
      <w:r w:rsidRPr="00A660C8">
        <w:rPr>
          <w:rFonts w:ascii="Palatino Linotype" w:eastAsia="Palatino Linotype" w:hAnsi="Palatino Linotype" w:cs="Palatino Linotype"/>
          <w:b/>
          <w:color w:val="000000"/>
        </w:rPr>
        <w:t>veinticinco de abril al diecisiete de mayo de dos mil veinticuatro</w:t>
      </w:r>
      <w:r w:rsidRPr="00A660C8">
        <w:rPr>
          <w:rFonts w:ascii="Palatino Linotype" w:eastAsia="Palatino Linotype" w:hAnsi="Palatino Linotype" w:cs="Palatino Linotype"/>
          <w:color w:val="000000"/>
        </w:rPr>
        <w:t xml:space="preserve">; en consecuencia, el ahora </w:t>
      </w:r>
      <w:r w:rsidRPr="00A660C8">
        <w:rPr>
          <w:rFonts w:ascii="Palatino Linotype" w:eastAsia="Palatino Linotype" w:hAnsi="Palatino Linotype" w:cs="Palatino Linotype"/>
          <w:b/>
          <w:color w:val="000000"/>
        </w:rPr>
        <w:t>RECURRENTE</w:t>
      </w:r>
      <w:r w:rsidRPr="00A660C8">
        <w:rPr>
          <w:rFonts w:ascii="Palatino Linotype" w:eastAsia="Palatino Linotype" w:hAnsi="Palatino Linotype" w:cs="Palatino Linotype"/>
          <w:color w:val="000000"/>
        </w:rPr>
        <w:t xml:space="preserve"> presentó sus inconformidades el día </w:t>
      </w:r>
      <w:r w:rsidRPr="00A660C8">
        <w:rPr>
          <w:rFonts w:ascii="Palatino Linotype" w:eastAsia="Palatino Linotype" w:hAnsi="Palatino Linotype" w:cs="Palatino Linotype"/>
          <w:b/>
          <w:color w:val="000000"/>
        </w:rPr>
        <w:t>veinticuatro de abril de dos mil veinticuatro</w:t>
      </w:r>
      <w:r w:rsidRPr="00A660C8">
        <w:rPr>
          <w:rFonts w:ascii="Palatino Linotype" w:eastAsia="Palatino Linotype" w:hAnsi="Palatino Linotype" w:cs="Palatino Linotype"/>
          <w:color w:val="000000"/>
        </w:rPr>
        <w:t>; es decir dentro del lapso legalmente establecido para tal efecto.</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555555"/>
        </w:rPr>
      </w:pPr>
      <w:r w:rsidRPr="00A660C8">
        <w:rPr>
          <w:rFonts w:ascii="Palatino Linotype" w:eastAsia="Palatino Linotype" w:hAnsi="Palatino Linotype" w:cs="Palatino Linotype"/>
          <w:color w:val="000000"/>
        </w:rPr>
        <w:t xml:space="preserve">Al respecto 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w:t>
      </w:r>
      <w:r w:rsidRPr="00A660C8">
        <w:rPr>
          <w:rFonts w:ascii="Palatino Linotype" w:eastAsia="Palatino Linotype" w:hAnsi="Palatino Linotype" w:cs="Palatino Linotype"/>
        </w:rPr>
        <w:t>ésta</w:t>
      </w:r>
      <w:r w:rsidRPr="00A660C8">
        <w:rPr>
          <w:rFonts w:ascii="Palatino Linotype" w:eastAsia="Palatino Linotype" w:hAnsi="Palatino Linotype" w:cs="Palatino Linotype"/>
          <w:color w:val="000000"/>
        </w:rPr>
        <w:t xml:space="preserve"> fue notificada. Por lo que es de señalar que en aras de privilegiar el derecho de acceso a la información se entra al estudio del presente recurso de revisión sin que la fecha en que se presentó afecte la resolución.</w:t>
      </w:r>
    </w:p>
    <w:p w:rsidR="00CD3D2C" w:rsidRPr="00A660C8" w:rsidRDefault="00CD3D2C">
      <w:pPr>
        <w:spacing w:line="360" w:lineRule="auto"/>
        <w:ind w:left="360" w:right="-787" w:hanging="360"/>
        <w:rPr>
          <w:rFonts w:ascii="Palatino Linotype" w:eastAsia="Palatino Linotype" w:hAnsi="Palatino Linotype" w:cs="Palatino Linotype"/>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555555"/>
        </w:rPr>
      </w:pPr>
      <w:r w:rsidRPr="00A660C8">
        <w:rPr>
          <w:rFonts w:ascii="Palatino Linotype" w:eastAsia="Palatino Linotype" w:hAnsi="Palatino Linotype" w:cs="Palatino Linotype"/>
          <w:color w:val="000000"/>
        </w:rPr>
        <w:t xml:space="preserve">Lo anterior se robustece con la jurisprudencia número 1a./J. 41/2015 (10a.), Décima época, sustentada por la Primera Sala de la Suprema Corte de Justicia de la </w:t>
      </w:r>
      <w:r w:rsidRPr="00A660C8">
        <w:rPr>
          <w:rFonts w:ascii="Palatino Linotype" w:eastAsia="Palatino Linotype" w:hAnsi="Palatino Linotype" w:cs="Palatino Linotype"/>
          <w:color w:val="000000"/>
        </w:rPr>
        <w:lastRenderedPageBreak/>
        <w:t xml:space="preserve">Nación, visible en la página 569, libro 19, tomo I, de la Gaceta del Semanario Judicial de la Federación, del diecinueve de junio de 2015, cuyo rubro y texto disponen: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A660C8">
        <w:rPr>
          <w:rFonts w:ascii="Palatino Linotype" w:eastAsia="Palatino Linotype" w:hAnsi="Palatino Linotype" w:cs="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CD3D2C" w:rsidRPr="00A660C8" w:rsidRDefault="00CD3D2C">
      <w:pPr>
        <w:spacing w:line="360" w:lineRule="auto"/>
        <w:ind w:left="426" w:right="-787"/>
        <w:jc w:val="both"/>
        <w:rPr>
          <w:rFonts w:ascii="Palatino Linotype" w:eastAsia="Palatino Linotype" w:hAnsi="Palatino Linotype" w:cs="Palatino Linotype"/>
          <w:i/>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Esto es así porque en primer lugar es necesario que </w:t>
      </w:r>
      <w:r w:rsidRPr="00A660C8">
        <w:rPr>
          <w:rFonts w:ascii="Palatino Linotype" w:eastAsia="Palatino Linotype" w:hAnsi="Palatino Linotype" w:cs="Palatino Linotype"/>
          <w:b/>
          <w:color w:val="000000"/>
        </w:rPr>
        <w:t>EL RECURRENTE</w:t>
      </w:r>
      <w:r w:rsidRPr="00A660C8">
        <w:rPr>
          <w:rFonts w:ascii="Palatino Linotype" w:eastAsia="Palatino Linotype" w:hAnsi="Palatino Linotype" w:cs="Palatino Linotype"/>
          <w:color w:val="000000"/>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w:t>
      </w:r>
      <w:r w:rsidRPr="00A660C8">
        <w:rPr>
          <w:rFonts w:ascii="Palatino Linotype" w:eastAsia="Palatino Linotype" w:hAnsi="Palatino Linotype" w:cs="Palatino Linotype"/>
          <w:b/>
          <w:color w:val="000000"/>
        </w:rPr>
        <w:t>notificada EL RECURRENTE</w:t>
      </w:r>
      <w:r w:rsidRPr="00A660C8">
        <w:rPr>
          <w:rFonts w:ascii="Palatino Linotype" w:eastAsia="Palatino Linotype" w:hAnsi="Palatino Linotype" w:cs="Palatino Linotype"/>
          <w:color w:val="000000"/>
        </w:rPr>
        <w:t xml:space="preserve"> actúe, ya que al contrario lo que demuestra es el interés del mismo para ejercer su derecho bajo el principio constitucional de justicia expedita.</w:t>
      </w:r>
    </w:p>
    <w:p w:rsidR="00CD3D2C" w:rsidRPr="00A660C8" w:rsidRDefault="00CD3D2C">
      <w:pPr>
        <w:tabs>
          <w:tab w:val="left" w:pos="0"/>
        </w:tabs>
        <w:spacing w:line="360" w:lineRule="auto"/>
        <w:ind w:left="360" w:right="-787" w:hanging="360"/>
        <w:jc w:val="both"/>
        <w:rPr>
          <w:rFonts w:ascii="Palatino Linotype" w:eastAsia="Palatino Linotype" w:hAnsi="Palatino Linotype" w:cs="Palatino Linotype"/>
          <w:i/>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CD3D2C" w:rsidRPr="00A660C8" w:rsidRDefault="00CD3D2C">
      <w:pPr>
        <w:spacing w:line="360" w:lineRule="auto"/>
        <w:ind w:left="360" w:right="-787" w:hanging="360"/>
        <w:rPr>
          <w:rFonts w:ascii="Palatino Linotype" w:eastAsia="Palatino Linotype" w:hAnsi="Palatino Linotype" w:cs="Palatino Linotype"/>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lastRenderedPageBreak/>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A660C8">
        <w:rPr>
          <w:rFonts w:ascii="Palatino Linotype" w:eastAsia="Palatino Linotype" w:hAnsi="Palatino Linotype" w:cs="Palatino Linotype"/>
          <w:b/>
          <w:color w:val="000000"/>
        </w:rPr>
        <w:t>SUJETO OBLIGADO.</w:t>
      </w:r>
    </w:p>
    <w:p w:rsidR="00CD3D2C" w:rsidRPr="00A660C8" w:rsidRDefault="00CD3D2C">
      <w:pPr>
        <w:pBdr>
          <w:top w:val="nil"/>
          <w:left w:val="nil"/>
          <w:bottom w:val="nil"/>
          <w:right w:val="nil"/>
          <w:between w:val="nil"/>
        </w:pBdr>
        <w:ind w:left="708" w:right="-787"/>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w:t>
      </w:r>
      <w:r w:rsidRPr="00A660C8">
        <w:rPr>
          <w:rFonts w:ascii="Palatino Linotype" w:eastAsia="Palatino Linotype" w:hAnsi="Palatino Linotype" w:cs="Palatino Linotype"/>
          <w:b/>
          <w:i/>
          <w:color w:val="000000"/>
          <w:sz w:val="22"/>
          <w:szCs w:val="22"/>
        </w:rPr>
        <w:t>Las solicitudes anónimas</w:t>
      </w:r>
      <w:r w:rsidRPr="00A660C8">
        <w:rPr>
          <w:rFonts w:ascii="Palatino Linotype" w:eastAsia="Palatino Linotype" w:hAnsi="Palatino Linotype" w:cs="Palatino Linotype"/>
          <w:i/>
          <w:color w:val="000000"/>
          <w:sz w:val="22"/>
          <w:szCs w:val="22"/>
        </w:rPr>
        <w:t xml:space="preserve">, con nombre incompleto o seudónimo </w:t>
      </w:r>
      <w:r w:rsidRPr="00A660C8">
        <w:rPr>
          <w:rFonts w:ascii="Palatino Linotype" w:eastAsia="Palatino Linotype" w:hAnsi="Palatino Linotype" w:cs="Palatino Linotype"/>
          <w:b/>
          <w:i/>
          <w:color w:val="000000"/>
          <w:sz w:val="22"/>
          <w:szCs w:val="22"/>
        </w:rPr>
        <w:t>serán procedentes para su trámite por parte del sujeto obligado ante quien se presente</w:t>
      </w:r>
      <w:r w:rsidRPr="00A660C8">
        <w:rPr>
          <w:rFonts w:ascii="Palatino Linotype" w:eastAsia="Palatino Linotype" w:hAnsi="Palatino Linotype" w:cs="Palatino Linotype"/>
          <w:i/>
          <w:color w:val="000000"/>
          <w:sz w:val="22"/>
          <w:szCs w:val="22"/>
        </w:rPr>
        <w:t>. No podrá requerirse información adicional con motivo del nombre proporcionado por el solicitante.”</w:t>
      </w:r>
    </w:p>
    <w:p w:rsidR="00CD3D2C" w:rsidRPr="00A660C8" w:rsidRDefault="00CD3D2C">
      <w:pPr>
        <w:pBdr>
          <w:top w:val="nil"/>
          <w:left w:val="nil"/>
          <w:bottom w:val="nil"/>
          <w:right w:val="nil"/>
          <w:between w:val="nil"/>
        </w:pBdr>
        <w:ind w:right="-220"/>
        <w:rPr>
          <w:rFonts w:ascii="Palatino Linotype" w:eastAsia="Palatino Linotype" w:hAnsi="Palatino Linotype" w:cs="Palatino Linotype"/>
          <w:i/>
          <w:color w:val="000000"/>
          <w:sz w:val="22"/>
          <w:szCs w:val="22"/>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CD3D2C" w:rsidRPr="00A660C8" w:rsidRDefault="005B05BD">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w:t>
      </w:r>
      <w:r w:rsidRPr="00A660C8">
        <w:rPr>
          <w:rFonts w:ascii="Palatino Linotype" w:eastAsia="Palatino Linotype" w:hAnsi="Palatino Linotype" w:cs="Palatino Linotype"/>
          <w:b/>
          <w:i/>
          <w:color w:val="000000"/>
          <w:sz w:val="22"/>
          <w:szCs w:val="22"/>
        </w:rPr>
        <w:t>Artículo 6.-</w:t>
      </w:r>
      <w:r w:rsidRPr="00A660C8">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CD3D2C" w:rsidRPr="00A660C8" w:rsidRDefault="005B05BD">
      <w:pPr>
        <w:pBdr>
          <w:top w:val="nil"/>
          <w:left w:val="nil"/>
          <w:bottom w:val="nil"/>
          <w:right w:val="nil"/>
          <w:between w:val="nil"/>
        </w:pBdr>
        <w:spacing w:after="120"/>
        <w:ind w:left="1134" w:right="-79"/>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Para efectos de lo dispuesto en el presente artículo se observará lo siguiente:</w:t>
      </w:r>
    </w:p>
    <w:p w:rsidR="00CD3D2C" w:rsidRPr="00A660C8" w:rsidRDefault="005B05BD">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lastRenderedPageBreak/>
        <w:t>A. Para el ejercicio del derecho de acceso a la información, la Federación, los Estados y el Distrito Federal, en el ámbito de sus respectivas competencias, se regirán por los siguientes principios y bases:</w:t>
      </w:r>
    </w:p>
    <w:p w:rsidR="00CD3D2C" w:rsidRPr="00A660C8" w:rsidRDefault="005B05BD">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éstos.”(Sic)</w:t>
      </w:r>
    </w:p>
    <w:p w:rsidR="00CD3D2C" w:rsidRPr="00A660C8" w:rsidRDefault="00CD3D2C">
      <w:pPr>
        <w:pBdr>
          <w:top w:val="nil"/>
          <w:left w:val="nil"/>
          <w:bottom w:val="nil"/>
          <w:right w:val="nil"/>
          <w:between w:val="nil"/>
        </w:pBdr>
        <w:ind w:left="360" w:right="-787" w:hanging="76"/>
        <w:rPr>
          <w:rFonts w:ascii="Palatino Linotype" w:eastAsia="Palatino Linotype" w:hAnsi="Palatino Linotype" w:cs="Palatino Linotype"/>
          <w:i/>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CD3D2C" w:rsidRPr="00A660C8" w:rsidRDefault="005B05BD">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w:t>
      </w:r>
      <w:r w:rsidRPr="00A660C8">
        <w:rPr>
          <w:rFonts w:ascii="Palatino Linotype" w:eastAsia="Palatino Linotype" w:hAnsi="Palatino Linotype" w:cs="Palatino Linotype"/>
          <w:b/>
          <w:i/>
          <w:color w:val="000000"/>
          <w:sz w:val="22"/>
          <w:szCs w:val="22"/>
        </w:rPr>
        <w:t>Artículo 5.-</w:t>
      </w:r>
      <w:r w:rsidRPr="00A660C8">
        <w:rPr>
          <w:rFonts w:ascii="Palatino Linotype" w:eastAsia="Palatino Linotype" w:hAnsi="Palatino Linotype" w:cs="Palatino Linotype"/>
          <w:i/>
          <w:color w:val="000000"/>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CD3D2C" w:rsidRPr="00A660C8" w:rsidRDefault="005B05BD">
      <w:pPr>
        <w:ind w:left="1134" w:right="-79"/>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w:t>
      </w:r>
    </w:p>
    <w:p w:rsidR="00CD3D2C" w:rsidRPr="00A660C8" w:rsidRDefault="005B05BD">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Toda persona en el Estado de México, tiene derecho al libre acceso a la información plural y oportuna, así como a buscar recibir y difundir información e ideas de toda índole por cualquier medio de expresión.</w:t>
      </w:r>
    </w:p>
    <w:p w:rsidR="00CD3D2C" w:rsidRPr="00A660C8" w:rsidRDefault="005B05BD">
      <w:pPr>
        <w:ind w:left="1134" w:right="-79"/>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w:t>
      </w:r>
    </w:p>
    <w:p w:rsidR="00CD3D2C" w:rsidRPr="00A660C8" w:rsidRDefault="005B05BD">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El derecho a la información será garantizado por el Estado. La ley establecerá las previsiones que permitan asegurar la protección, el respeto y la difusión de este derecho.</w:t>
      </w:r>
    </w:p>
    <w:p w:rsidR="00CD3D2C" w:rsidRPr="00A660C8" w:rsidRDefault="00CD3D2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p>
    <w:p w:rsidR="00CD3D2C" w:rsidRPr="00A660C8" w:rsidRDefault="005B05BD">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CD3D2C" w:rsidRPr="00A660C8" w:rsidRDefault="005B05BD">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rsidR="00CD3D2C" w:rsidRPr="00A660C8" w:rsidRDefault="005B05BD">
      <w:pPr>
        <w:ind w:left="1134" w:right="-79"/>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w:t>
      </w:r>
    </w:p>
    <w:p w:rsidR="00CD3D2C" w:rsidRPr="00A660C8" w:rsidRDefault="005B05BD">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CD3D2C" w:rsidRPr="00A660C8" w:rsidRDefault="00CD3D2C">
      <w:pPr>
        <w:pBdr>
          <w:top w:val="nil"/>
          <w:left w:val="nil"/>
          <w:bottom w:val="nil"/>
          <w:right w:val="nil"/>
          <w:between w:val="nil"/>
        </w:pBdr>
        <w:ind w:left="360" w:right="-787" w:hanging="76"/>
        <w:rPr>
          <w:rFonts w:ascii="Palatino Linotype" w:eastAsia="Palatino Linotype" w:hAnsi="Palatino Linotype" w:cs="Palatino Linotype"/>
          <w:i/>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CD3D2C" w:rsidRPr="00A660C8" w:rsidRDefault="005B05BD">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w:t>
      </w:r>
      <w:r w:rsidRPr="00A660C8">
        <w:rPr>
          <w:rFonts w:ascii="Palatino Linotype" w:eastAsia="Palatino Linotype" w:hAnsi="Palatino Linotype" w:cs="Palatino Linotype"/>
          <w:b/>
          <w:i/>
          <w:color w:val="000000"/>
          <w:sz w:val="22"/>
          <w:szCs w:val="22"/>
        </w:rPr>
        <w:t>Artículo 1</w:t>
      </w:r>
      <w:r w:rsidRPr="00A660C8">
        <w:rPr>
          <w:rFonts w:ascii="Palatino Linotype" w:eastAsia="Palatino Linotype" w:hAnsi="Palatino Linotype" w:cs="Palatino Linotype"/>
          <w:i/>
          <w:color w:val="000000"/>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D3D2C" w:rsidRPr="00A660C8" w:rsidRDefault="005B05BD">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CD3D2C" w:rsidRPr="00A660C8" w:rsidRDefault="005B05BD">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CD3D2C" w:rsidRPr="00A660C8" w:rsidRDefault="00CD3D2C">
      <w:pPr>
        <w:pBdr>
          <w:top w:val="nil"/>
          <w:left w:val="nil"/>
          <w:bottom w:val="nil"/>
          <w:right w:val="nil"/>
          <w:between w:val="nil"/>
        </w:pBdr>
        <w:ind w:left="360" w:right="-79" w:firstLine="66"/>
        <w:rPr>
          <w:rFonts w:ascii="Palatino Linotype" w:eastAsia="Palatino Linotype" w:hAnsi="Palatino Linotype" w:cs="Palatino Linotype"/>
          <w:i/>
          <w:color w:val="000000"/>
          <w:sz w:val="22"/>
          <w:szCs w:val="22"/>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sidRPr="00A660C8">
        <w:rPr>
          <w:rFonts w:ascii="Palatino Linotype" w:eastAsia="Palatino Linotype" w:hAnsi="Palatino Linotype" w:cs="Palatino Linotype"/>
          <w:i/>
          <w:color w:val="000000"/>
        </w:rPr>
        <w:t>derecho fundamental exime a quien lo ejerce</w:t>
      </w:r>
      <w:r w:rsidRPr="00A660C8">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CD3D2C" w:rsidRPr="00A660C8" w:rsidRDefault="00CD3D2C">
      <w:pPr>
        <w:pBdr>
          <w:top w:val="nil"/>
          <w:left w:val="nil"/>
          <w:bottom w:val="nil"/>
          <w:right w:val="nil"/>
          <w:between w:val="nil"/>
        </w:pBdr>
        <w:ind w:left="360" w:right="-787" w:hanging="76"/>
        <w:jc w:val="both"/>
        <w:rPr>
          <w:rFonts w:ascii="Palatino Linotype" w:eastAsia="Palatino Linotype" w:hAnsi="Palatino Linotype" w:cs="Palatino Linotype"/>
          <w:i/>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31E4A" w:rsidRPr="00A660C8" w:rsidRDefault="00131E4A" w:rsidP="00131E4A">
      <w:pPr>
        <w:pBdr>
          <w:top w:val="nil"/>
          <w:left w:val="nil"/>
          <w:bottom w:val="nil"/>
          <w:right w:val="nil"/>
          <w:between w:val="nil"/>
        </w:pBdr>
        <w:spacing w:line="360" w:lineRule="auto"/>
        <w:ind w:right="-787"/>
        <w:jc w:val="both"/>
        <w:rPr>
          <w:color w:val="000000"/>
        </w:rPr>
      </w:pPr>
    </w:p>
    <w:p w:rsidR="00CD3D2C" w:rsidRPr="00A660C8" w:rsidRDefault="005B05BD">
      <w:pPr>
        <w:pStyle w:val="Ttulo1"/>
        <w:spacing w:before="0" w:line="360" w:lineRule="auto"/>
        <w:ind w:right="-787"/>
        <w:rPr>
          <w:rFonts w:ascii="Palatino Linotype" w:eastAsia="Palatino Linotype" w:hAnsi="Palatino Linotype" w:cs="Palatino Linotype"/>
          <w:b/>
          <w:color w:val="000000"/>
          <w:sz w:val="24"/>
          <w:szCs w:val="24"/>
        </w:rPr>
      </w:pPr>
      <w:bookmarkStart w:id="9" w:name="_heading=h.2s8eyo1" w:colFirst="0" w:colLast="0"/>
      <w:bookmarkEnd w:id="9"/>
      <w:r w:rsidRPr="00A660C8">
        <w:rPr>
          <w:rFonts w:ascii="Palatino Linotype" w:eastAsia="Palatino Linotype" w:hAnsi="Palatino Linotype" w:cs="Palatino Linotype"/>
          <w:b/>
          <w:color w:val="000000"/>
          <w:sz w:val="24"/>
          <w:szCs w:val="24"/>
        </w:rPr>
        <w:t xml:space="preserve">TERCERO. Del planteamiento de la </w:t>
      </w:r>
      <w:r w:rsidRPr="00A660C8">
        <w:rPr>
          <w:rFonts w:ascii="Palatino Linotype" w:eastAsia="Palatino Linotype" w:hAnsi="Palatino Linotype" w:cs="Palatino Linotype"/>
          <w:b/>
          <w:i/>
          <w:color w:val="000000"/>
          <w:sz w:val="24"/>
          <w:szCs w:val="24"/>
        </w:rPr>
        <w:t>Litis</w:t>
      </w:r>
      <w:r w:rsidRPr="00A660C8">
        <w:rPr>
          <w:rFonts w:ascii="Palatino Linotype" w:eastAsia="Palatino Linotype" w:hAnsi="Palatino Linotype" w:cs="Palatino Linotype"/>
          <w:b/>
          <w:color w:val="000000"/>
          <w:sz w:val="24"/>
          <w:szCs w:val="24"/>
        </w:rPr>
        <w:t>.</w:t>
      </w:r>
    </w:p>
    <w:p w:rsidR="00CD3D2C" w:rsidRPr="00A660C8" w:rsidRDefault="005B05B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A660C8">
        <w:rPr>
          <w:rFonts w:ascii="Palatino Linotype" w:eastAsia="Palatino Linotype" w:hAnsi="Palatino Linotype" w:cs="Palatino Linotype"/>
          <w:color w:val="000000"/>
        </w:rPr>
        <w:t>De las constancias en el expediente al rubro indicado, se desprende que la particular solicitó la información que a continuación se desagrega:</w:t>
      </w:r>
    </w:p>
    <w:p w:rsidR="00CD3D2C" w:rsidRPr="00A660C8" w:rsidRDefault="005B05BD">
      <w:pPr>
        <w:spacing w:line="360" w:lineRule="auto"/>
        <w:ind w:right="-787"/>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De la dragonera “Fénix” (máquina asfaltadora)</w:t>
      </w:r>
    </w:p>
    <w:p w:rsidR="00CD3D2C" w:rsidRPr="00A660C8" w:rsidRDefault="005B05BD">
      <w:pPr>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Los contratos  que se llevaron a cabo para reparar la maquina</w:t>
      </w:r>
    </w:p>
    <w:p w:rsidR="00CD3D2C" w:rsidRPr="00A660C8" w:rsidRDefault="005B05BD">
      <w:pPr>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Costo</w:t>
      </w:r>
    </w:p>
    <w:p w:rsidR="00CD3D2C" w:rsidRPr="00A660C8" w:rsidRDefault="005B05BD">
      <w:pPr>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lastRenderedPageBreak/>
        <w:t xml:space="preserve">Facturas </w:t>
      </w:r>
    </w:p>
    <w:p w:rsidR="00CD3D2C" w:rsidRPr="00A660C8" w:rsidRDefault="005B05BD">
      <w:pPr>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A quien se le pago para repararla</w:t>
      </w:r>
    </w:p>
    <w:p w:rsidR="00CD3D2C" w:rsidRPr="00A660C8" w:rsidRDefault="00CD3D2C">
      <w:pPr>
        <w:pBdr>
          <w:top w:val="nil"/>
          <w:left w:val="nil"/>
          <w:bottom w:val="nil"/>
          <w:right w:val="nil"/>
          <w:between w:val="nil"/>
        </w:pBdr>
        <w:spacing w:line="360" w:lineRule="auto"/>
        <w:ind w:left="1724" w:right="-787"/>
        <w:jc w:val="both"/>
        <w:rPr>
          <w:rFonts w:ascii="Palatino Linotype" w:eastAsia="Palatino Linotype" w:hAnsi="Palatino Linotype" w:cs="Palatino Linotype"/>
          <w:b/>
          <w:i/>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En respuesta, el </w:t>
      </w:r>
      <w:r w:rsidRPr="00A660C8">
        <w:rPr>
          <w:rFonts w:ascii="Palatino Linotype" w:eastAsia="Palatino Linotype" w:hAnsi="Palatino Linotype" w:cs="Palatino Linotype"/>
          <w:b/>
          <w:color w:val="000000"/>
        </w:rPr>
        <w:t xml:space="preserve">SUJETO OBLIGADO </w:t>
      </w:r>
      <w:r w:rsidRPr="00A660C8">
        <w:rPr>
          <w:rFonts w:ascii="Palatino Linotype" w:eastAsia="Palatino Linotype" w:hAnsi="Palatino Linotype" w:cs="Palatino Linotype"/>
          <w:color w:val="000000"/>
        </w:rPr>
        <w:t xml:space="preserve">por medio de la Dirección de Administración refiere que después de una búsqueda exhaustiva no fue encontrada la información solicitada. </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En dichas condiciones, la </w:t>
      </w:r>
      <w:r w:rsidRPr="00A660C8">
        <w:rPr>
          <w:rFonts w:ascii="Palatino Linotype" w:eastAsia="Palatino Linotype" w:hAnsi="Palatino Linotype" w:cs="Palatino Linotype"/>
          <w:i/>
          <w:color w:val="000000"/>
        </w:rPr>
        <w:t>Litis</w:t>
      </w:r>
      <w:r w:rsidRPr="00A660C8">
        <w:rPr>
          <w:rFonts w:ascii="Palatino Linotype" w:eastAsia="Palatino Linotype" w:hAnsi="Palatino Linotype" w:cs="Palatino Linotype"/>
          <w:color w:val="000000"/>
        </w:rPr>
        <w:t xml:space="preserve"> a resolver en estos recursos se circunscribe a determinar si se actualizan las causales de procedencia previstas en el artículo 179, </w:t>
      </w:r>
      <w:r w:rsidRPr="00A660C8">
        <w:rPr>
          <w:rFonts w:ascii="Palatino Linotype" w:eastAsia="Palatino Linotype" w:hAnsi="Palatino Linotype" w:cs="Palatino Linotype"/>
          <w:b/>
          <w:color w:val="000000"/>
        </w:rPr>
        <w:t xml:space="preserve">fracción I </w:t>
      </w:r>
      <w:r w:rsidRPr="00A660C8">
        <w:rPr>
          <w:rFonts w:ascii="Palatino Linotype" w:eastAsia="Palatino Linotype" w:hAnsi="Palatino Linotype" w:cs="Palatino Linotype"/>
          <w:color w:val="000000"/>
        </w:rPr>
        <w:t>de la Ley</w:t>
      </w:r>
      <w:r w:rsidRPr="00A660C8">
        <w:rPr>
          <w:rFonts w:ascii="Palatino Linotype" w:eastAsia="Palatino Linotype" w:hAnsi="Palatino Linotype" w:cs="Palatino Linotype"/>
          <w:b/>
          <w:color w:val="000000"/>
        </w:rPr>
        <w:t xml:space="preserve"> de Transparencia y Acceso a la Información Pública del Estado de </w:t>
      </w:r>
      <w:r w:rsidRPr="00A660C8">
        <w:rPr>
          <w:rFonts w:ascii="Palatino Linotype" w:eastAsia="Palatino Linotype" w:hAnsi="Palatino Linotype" w:cs="Palatino Linotype"/>
          <w:color w:val="000000"/>
        </w:rPr>
        <w:t>México</w:t>
      </w:r>
      <w:r w:rsidRPr="00A660C8">
        <w:rPr>
          <w:rFonts w:ascii="Palatino Linotype" w:eastAsia="Palatino Linotype" w:hAnsi="Palatino Linotype" w:cs="Palatino Linotype"/>
          <w:b/>
          <w:color w:val="000000"/>
        </w:rPr>
        <w:t xml:space="preserve"> y Municipios</w:t>
      </w:r>
      <w:r w:rsidRPr="00A660C8">
        <w:rPr>
          <w:rFonts w:ascii="Palatino Linotype" w:eastAsia="Palatino Linotype" w:hAnsi="Palatino Linotype" w:cs="Palatino Linotype"/>
          <w:color w:val="000000"/>
        </w:rPr>
        <w:t xml:space="preserve">; fracción que determina la hipótesis jurídica relativa a la negativa de información por parte del </w:t>
      </w:r>
      <w:r w:rsidRPr="00A660C8">
        <w:rPr>
          <w:rFonts w:ascii="Palatino Linotype" w:eastAsia="Palatino Linotype" w:hAnsi="Palatino Linotype" w:cs="Palatino Linotype"/>
          <w:b/>
          <w:color w:val="000000"/>
        </w:rPr>
        <w:t>SUJETO OBLIGADO</w:t>
      </w:r>
      <w:r w:rsidRPr="00A660C8">
        <w:rPr>
          <w:rFonts w:ascii="Palatino Linotype" w:eastAsia="Palatino Linotype" w:hAnsi="Palatino Linotype" w:cs="Palatino Linotype"/>
          <w:color w:val="000000"/>
        </w:rPr>
        <w:t xml:space="preserve">; contexto del cual se dolió </w:t>
      </w:r>
      <w:r w:rsidRPr="00A660C8">
        <w:rPr>
          <w:rFonts w:ascii="Palatino Linotype" w:eastAsia="Palatino Linotype" w:hAnsi="Palatino Linotype" w:cs="Palatino Linotype"/>
          <w:b/>
          <w:color w:val="000000"/>
        </w:rPr>
        <w:t xml:space="preserve">EL RECURRENTE </w:t>
      </w:r>
      <w:r w:rsidRPr="00A660C8">
        <w:rPr>
          <w:rFonts w:ascii="Palatino Linotype" w:eastAsia="Palatino Linotype" w:hAnsi="Palatino Linotype" w:cs="Palatino Linotype"/>
          <w:color w:val="000000"/>
        </w:rPr>
        <w:t>al momento de interponer su inconformidad.</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De modo tal que los presentes recursos de revisión se </w:t>
      </w:r>
      <w:r w:rsidRPr="00A660C8">
        <w:rPr>
          <w:rFonts w:ascii="Palatino Linotype" w:eastAsia="Palatino Linotype" w:hAnsi="Palatino Linotype" w:cs="Palatino Linotype"/>
        </w:rPr>
        <w:t>abocaron</w:t>
      </w:r>
      <w:r w:rsidRPr="00A660C8">
        <w:rPr>
          <w:rFonts w:ascii="Palatino Linotype" w:eastAsia="Palatino Linotype" w:hAnsi="Palatino Linotype" w:cs="Palatino Linotype"/>
          <w:color w:val="000000"/>
        </w:rPr>
        <w:t xml:space="preserve"> en determinar si el </w:t>
      </w:r>
      <w:r w:rsidRPr="00A660C8">
        <w:rPr>
          <w:rFonts w:ascii="Palatino Linotype" w:eastAsia="Palatino Linotype" w:hAnsi="Palatino Linotype" w:cs="Palatino Linotype"/>
          <w:b/>
          <w:color w:val="000000"/>
        </w:rPr>
        <w:t>SUJETO OBLIGADO</w:t>
      </w:r>
      <w:r w:rsidRPr="00A660C8">
        <w:rPr>
          <w:rFonts w:ascii="Palatino Linotype" w:eastAsia="Palatino Linotype" w:hAnsi="Palatino Linotype" w:cs="Palatino Linotype"/>
          <w:color w:val="000000"/>
        </w:rPr>
        <w:t xml:space="preserve"> con su respuesta ciertamente actualiza la causal de procedencia</w:t>
      </w:r>
      <w:r w:rsidRPr="00A660C8">
        <w:rPr>
          <w:rFonts w:ascii="Palatino Linotype" w:eastAsia="Palatino Linotype" w:hAnsi="Palatino Linotype" w:cs="Palatino Linotype"/>
          <w:b/>
          <w:color w:val="000000"/>
        </w:rPr>
        <w:t xml:space="preserve"> </w:t>
      </w:r>
      <w:r w:rsidRPr="00A660C8">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CD3D2C" w:rsidRPr="00A660C8" w:rsidRDefault="00CD3D2C">
      <w:pPr>
        <w:pBdr>
          <w:top w:val="nil"/>
          <w:left w:val="nil"/>
          <w:bottom w:val="nil"/>
          <w:right w:val="nil"/>
          <w:between w:val="nil"/>
        </w:pBdr>
        <w:spacing w:line="360" w:lineRule="auto"/>
        <w:ind w:left="709" w:right="-787"/>
        <w:rPr>
          <w:rFonts w:ascii="Palatino Linotype" w:eastAsia="Palatino Linotype" w:hAnsi="Palatino Linotype" w:cs="Palatino Linotype"/>
          <w:color w:val="000000"/>
        </w:rPr>
      </w:pPr>
    </w:p>
    <w:p w:rsidR="00CD3D2C" w:rsidRPr="00A660C8" w:rsidRDefault="005B05BD">
      <w:pPr>
        <w:keepNext/>
        <w:keepLines/>
        <w:spacing w:line="360" w:lineRule="auto"/>
        <w:ind w:right="-787"/>
        <w:rPr>
          <w:rFonts w:ascii="Palatino Linotype" w:eastAsia="Palatino Linotype" w:hAnsi="Palatino Linotype" w:cs="Palatino Linotype"/>
          <w:b/>
          <w:color w:val="000000"/>
        </w:rPr>
      </w:pPr>
      <w:r w:rsidRPr="00A660C8">
        <w:rPr>
          <w:rFonts w:ascii="Palatino Linotype" w:eastAsia="Palatino Linotype" w:hAnsi="Palatino Linotype" w:cs="Palatino Linotype"/>
          <w:b/>
          <w:color w:val="000000"/>
        </w:rPr>
        <w:lastRenderedPageBreak/>
        <w:t>CUARTO. Del estudio y resolución del estudio.</w:t>
      </w:r>
    </w:p>
    <w:p w:rsidR="00CD3D2C" w:rsidRPr="00A660C8" w:rsidRDefault="005B05BD">
      <w:pPr>
        <w:keepNext/>
        <w:keepLines/>
        <w:numPr>
          <w:ilvl w:val="0"/>
          <w:numId w:val="8"/>
        </w:numPr>
        <w:spacing w:after="240" w:line="360" w:lineRule="auto"/>
        <w:ind w:left="786" w:right="-787"/>
        <w:rPr>
          <w:rFonts w:ascii="Palatino Linotype" w:eastAsia="Palatino Linotype" w:hAnsi="Palatino Linotype" w:cs="Palatino Linotype"/>
          <w:b/>
          <w:color w:val="000000"/>
        </w:rPr>
      </w:pPr>
      <w:bookmarkStart w:id="10" w:name="_heading=h.17dp8vu" w:colFirst="0" w:colLast="0"/>
      <w:bookmarkEnd w:id="10"/>
      <w:r w:rsidRPr="00A660C8">
        <w:rPr>
          <w:rFonts w:ascii="Palatino Linotype" w:eastAsia="Palatino Linotype" w:hAnsi="Palatino Linotype" w:cs="Palatino Linotype"/>
          <w:b/>
          <w:color w:val="000000"/>
        </w:rPr>
        <w:t>Del derecho de acceso a la información.</w:t>
      </w: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CD3D2C" w:rsidRPr="00A660C8" w:rsidRDefault="005B05BD">
      <w:pPr>
        <w:numPr>
          <w:ilvl w:val="0"/>
          <w:numId w:val="6"/>
        </w:numPr>
        <w:spacing w:before="240" w:line="360" w:lineRule="auto"/>
        <w:ind w:left="0" w:right="-787" w:firstLine="0"/>
        <w:jc w:val="both"/>
      </w:pPr>
      <w:r w:rsidRPr="00A660C8">
        <w:rPr>
          <w:rFonts w:ascii="Palatino Linotype" w:eastAsia="Palatino Linotype" w:hAnsi="Palatino Linotype" w:cs="Palatino Linotype"/>
        </w:rPr>
        <w:t xml:space="preserve">Definiendo el Derecho de Acceso a la Información Pública como: </w:t>
      </w:r>
      <w:r w:rsidRPr="00A660C8">
        <w:rPr>
          <w:rFonts w:ascii="Palatino Linotype" w:eastAsia="Palatino Linotype" w:hAnsi="Palatino Linotype" w:cs="Palatino Linotype"/>
          <w:i/>
          <w:color w:val="000000"/>
        </w:rPr>
        <w:t>La igualdad de oportunidades para recibir, buscar e impartir información</w:t>
      </w:r>
      <w:r w:rsidRPr="00A660C8">
        <w:rPr>
          <w:rFonts w:ascii="Palatino Linotype" w:eastAsia="Palatino Linotype" w:hAnsi="Palatino Linotype" w:cs="Palatino Linotype"/>
          <w:i/>
          <w:vertAlign w:val="superscript"/>
        </w:rPr>
        <w:footnoteReference w:id="1"/>
      </w:r>
      <w:r w:rsidRPr="00A660C8">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660C8">
        <w:rPr>
          <w:rFonts w:ascii="Palatino Linotype" w:eastAsia="Palatino Linotype" w:hAnsi="Palatino Linotype" w:cs="Palatino Linotype"/>
          <w:i/>
          <w:vertAlign w:val="superscript"/>
        </w:rPr>
        <w:footnoteReference w:id="2"/>
      </w:r>
      <w:r w:rsidRPr="00A660C8">
        <w:rPr>
          <w:rFonts w:ascii="Palatino Linotype" w:eastAsia="Palatino Linotype" w:hAnsi="Palatino Linotype" w:cs="Palatino Linotype"/>
          <w:color w:val="000000"/>
        </w:rPr>
        <w:t>que se constituye como una herramienta fundamental para ejercer</w:t>
      </w:r>
      <w:r w:rsidRPr="00A660C8">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A660C8">
        <w:rPr>
          <w:rFonts w:ascii="Palatino Linotype" w:eastAsia="Palatino Linotype" w:hAnsi="Palatino Linotype" w:cs="Palatino Linotype"/>
          <w:i/>
          <w:vertAlign w:val="superscript"/>
        </w:rPr>
        <w:footnoteReference w:id="3"/>
      </w:r>
      <w:r w:rsidRPr="00A660C8">
        <w:rPr>
          <w:rFonts w:ascii="Palatino Linotype" w:eastAsia="Palatino Linotype" w:hAnsi="Palatino Linotype" w:cs="Palatino Linotype"/>
          <w:color w:val="000000"/>
        </w:rPr>
        <w:t>fomentando</w:t>
      </w:r>
      <w:r w:rsidRPr="00A660C8">
        <w:rPr>
          <w:rFonts w:ascii="Palatino Linotype" w:eastAsia="Palatino Linotype" w:hAnsi="Palatino Linotype" w:cs="Palatino Linotype"/>
          <w:i/>
          <w:color w:val="000000"/>
        </w:rPr>
        <w:t xml:space="preserve"> la transparencia de las actividades estatales y </w:t>
      </w:r>
      <w:r w:rsidRPr="00A660C8">
        <w:rPr>
          <w:rFonts w:ascii="Palatino Linotype" w:eastAsia="Palatino Linotype" w:hAnsi="Palatino Linotype" w:cs="Palatino Linotype"/>
          <w:color w:val="000000"/>
        </w:rPr>
        <w:t>promoviendo</w:t>
      </w:r>
      <w:r w:rsidRPr="00A660C8">
        <w:rPr>
          <w:rFonts w:ascii="Palatino Linotype" w:eastAsia="Palatino Linotype" w:hAnsi="Palatino Linotype" w:cs="Palatino Linotype"/>
          <w:i/>
          <w:color w:val="000000"/>
        </w:rPr>
        <w:t xml:space="preserve"> la responsabilidad de los funcionarios sobre su gestión pública,</w:t>
      </w:r>
      <w:r w:rsidRPr="00A660C8">
        <w:rPr>
          <w:rFonts w:ascii="Palatino Linotype" w:eastAsia="Palatino Linotype" w:hAnsi="Palatino Linotype" w:cs="Palatino Linotype"/>
          <w:i/>
          <w:vertAlign w:val="superscript"/>
        </w:rPr>
        <w:footnoteReference w:id="4"/>
      </w:r>
      <w:r w:rsidRPr="00A660C8">
        <w:rPr>
          <w:rFonts w:ascii="Palatino Linotype" w:eastAsia="Palatino Linotype" w:hAnsi="Palatino Linotype" w:cs="Palatino Linotype"/>
          <w:color w:val="000000"/>
        </w:rPr>
        <w:t>que permite</w:t>
      </w:r>
      <w:r w:rsidRPr="00A660C8">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CD3D2C" w:rsidRPr="00A660C8" w:rsidRDefault="00CD3D2C">
      <w:pPr>
        <w:spacing w:line="360" w:lineRule="auto"/>
        <w:ind w:right="-787"/>
        <w:jc w:val="both"/>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CD3D2C" w:rsidRPr="00A660C8" w:rsidRDefault="005B05BD">
      <w:pPr>
        <w:ind w:left="1134" w:right="-79"/>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w:t>
      </w:r>
      <w:r w:rsidRPr="00A660C8">
        <w:rPr>
          <w:rFonts w:ascii="Palatino Linotype" w:eastAsia="Palatino Linotype" w:hAnsi="Palatino Linotype" w:cs="Palatino Linotype"/>
          <w:b/>
          <w:i/>
          <w:sz w:val="22"/>
          <w:szCs w:val="22"/>
        </w:rPr>
        <w:t>Artículo 1.-</w:t>
      </w:r>
      <w:r w:rsidRPr="00A660C8">
        <w:rPr>
          <w:rFonts w:ascii="Palatino Linotype" w:eastAsia="Palatino Linotype" w:hAnsi="Palatino Linotype" w:cs="Palatino Linotype"/>
          <w:i/>
          <w:sz w:val="22"/>
          <w:szCs w:val="22"/>
        </w:rPr>
        <w:t xml:space="preserve"> </w:t>
      </w:r>
    </w:p>
    <w:p w:rsidR="00CD3D2C" w:rsidRPr="00A660C8" w:rsidRDefault="005B05BD">
      <w:pPr>
        <w:ind w:left="1134" w:right="-79"/>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w:t>
      </w:r>
    </w:p>
    <w:p w:rsidR="00CD3D2C" w:rsidRPr="00A660C8" w:rsidRDefault="005B05BD">
      <w:pPr>
        <w:ind w:left="1134" w:right="-79"/>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Todas las</w:t>
      </w:r>
      <w:r w:rsidRPr="00A660C8">
        <w:rPr>
          <w:rFonts w:ascii="Palatino Linotype" w:eastAsia="Palatino Linotype" w:hAnsi="Palatino Linotype" w:cs="Palatino Linotype"/>
          <w:sz w:val="22"/>
          <w:szCs w:val="22"/>
        </w:rPr>
        <w:t xml:space="preserve"> </w:t>
      </w:r>
      <w:r w:rsidRPr="00A660C8">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D3D2C" w:rsidRPr="00A660C8" w:rsidRDefault="005B05BD">
      <w:pPr>
        <w:ind w:left="1134" w:right="-79"/>
        <w:jc w:val="both"/>
        <w:rPr>
          <w:rFonts w:ascii="Palatino Linotype" w:eastAsia="Palatino Linotype" w:hAnsi="Palatino Linotype" w:cs="Palatino Linotype"/>
          <w:sz w:val="22"/>
          <w:szCs w:val="22"/>
        </w:rPr>
      </w:pPr>
      <w:r w:rsidRPr="00A660C8">
        <w:rPr>
          <w:rFonts w:ascii="Palatino Linotype" w:eastAsia="Palatino Linotype" w:hAnsi="Palatino Linotype" w:cs="Palatino Linotype"/>
          <w:i/>
          <w:sz w:val="22"/>
          <w:szCs w:val="22"/>
        </w:rPr>
        <w:t>(…)</w:t>
      </w:r>
      <w:r w:rsidRPr="00A660C8">
        <w:rPr>
          <w:rFonts w:ascii="Palatino Linotype" w:eastAsia="Palatino Linotype" w:hAnsi="Palatino Linotype" w:cs="Palatino Linotype"/>
          <w:sz w:val="22"/>
          <w:szCs w:val="22"/>
        </w:rPr>
        <w:t>”.</w:t>
      </w:r>
    </w:p>
    <w:p w:rsidR="00CD3D2C" w:rsidRPr="00A660C8" w:rsidRDefault="00CD3D2C">
      <w:pPr>
        <w:ind w:right="-787"/>
        <w:jc w:val="both"/>
        <w:rPr>
          <w:rFonts w:ascii="Palatino Linotype" w:eastAsia="Palatino Linotype" w:hAnsi="Palatino Linotype" w:cs="Palatino Linotype"/>
          <w:b/>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CD3D2C" w:rsidRPr="00A660C8" w:rsidRDefault="00CD3D2C">
      <w:pPr>
        <w:spacing w:line="360" w:lineRule="auto"/>
        <w:ind w:right="-787"/>
        <w:jc w:val="both"/>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CD3D2C" w:rsidRPr="00A660C8" w:rsidRDefault="00CD3D2C">
      <w:pPr>
        <w:spacing w:line="360" w:lineRule="auto"/>
        <w:ind w:right="-787"/>
        <w:jc w:val="both"/>
        <w:rPr>
          <w:rFonts w:ascii="Palatino Linotype" w:eastAsia="Palatino Linotype" w:hAnsi="Palatino Linotype" w:cs="Palatino Linotype"/>
        </w:rPr>
      </w:pPr>
    </w:p>
    <w:p w:rsidR="00CD3D2C" w:rsidRPr="00A660C8" w:rsidRDefault="005B05BD">
      <w:pPr>
        <w:spacing w:after="240"/>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Constitución Política de los Estados Unidos Mexicanos</w:t>
      </w:r>
    </w:p>
    <w:p w:rsidR="00CD3D2C" w:rsidRPr="00A660C8" w:rsidRDefault="005B05BD">
      <w:pPr>
        <w:spacing w:before="240" w:after="240"/>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lastRenderedPageBreak/>
        <w:t>“Artículo 6.</w:t>
      </w:r>
    </w:p>
    <w:p w:rsidR="00CD3D2C" w:rsidRPr="00A660C8" w:rsidRDefault="005B05BD">
      <w:pPr>
        <w:spacing w:before="240" w:after="240"/>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w:t>
      </w:r>
    </w:p>
    <w:p w:rsidR="00CD3D2C" w:rsidRPr="00A660C8" w:rsidRDefault="005B05BD">
      <w:pPr>
        <w:spacing w:before="240" w:after="240"/>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Para efectos de lo dispuesto en el presente artículo se observará lo siguiente:</w:t>
      </w:r>
    </w:p>
    <w:p w:rsidR="00CD3D2C" w:rsidRPr="00A660C8" w:rsidRDefault="005B05BD">
      <w:pPr>
        <w:spacing w:before="240" w:after="240"/>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A</w:t>
      </w:r>
      <w:r w:rsidRPr="00A660C8">
        <w:rPr>
          <w:rFonts w:ascii="Palatino Linotype" w:eastAsia="Palatino Linotype" w:hAnsi="Palatino Linotype" w:cs="Palatino Linotype"/>
          <w:i/>
          <w:sz w:val="22"/>
          <w:szCs w:val="22"/>
        </w:rPr>
        <w:t xml:space="preserve">. </w:t>
      </w:r>
      <w:r w:rsidRPr="00A660C8">
        <w:rPr>
          <w:rFonts w:ascii="Palatino Linotype" w:eastAsia="Palatino Linotype" w:hAnsi="Palatino Linotype" w:cs="Palatino Linotype"/>
          <w:b/>
          <w:i/>
          <w:sz w:val="22"/>
          <w:szCs w:val="22"/>
        </w:rPr>
        <w:t>Para el ejercicio del derecho de acceso a la información</w:t>
      </w:r>
      <w:r w:rsidRPr="00A660C8">
        <w:rPr>
          <w:rFonts w:ascii="Palatino Linotype" w:eastAsia="Palatino Linotype" w:hAnsi="Palatino Linotype" w:cs="Palatino Linotype"/>
          <w:i/>
          <w:sz w:val="22"/>
          <w:szCs w:val="22"/>
        </w:rPr>
        <w:t xml:space="preserve">, la Federación y </w:t>
      </w:r>
      <w:r w:rsidRPr="00A660C8">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rsidR="00CD3D2C" w:rsidRPr="00A660C8" w:rsidRDefault="005B05BD">
      <w:pPr>
        <w:spacing w:before="240" w:after="240"/>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rPr>
        <w:t xml:space="preserve">I. </w:t>
      </w:r>
      <w:r w:rsidRPr="00A660C8">
        <w:rPr>
          <w:rFonts w:ascii="Palatino Linotype" w:eastAsia="Palatino Linotype" w:hAnsi="Palatino Linotype" w:cs="Palatino Linotype"/>
          <w:b/>
          <w:i/>
          <w:sz w:val="22"/>
          <w:szCs w:val="22"/>
        </w:rPr>
        <w:tab/>
        <w:t>Toda la información en posesión de cualquier</w:t>
      </w:r>
      <w:r w:rsidRPr="00A660C8">
        <w:rPr>
          <w:rFonts w:ascii="Palatino Linotype" w:eastAsia="Palatino Linotype" w:hAnsi="Palatino Linotype" w:cs="Palatino Linotype"/>
          <w:i/>
          <w:sz w:val="22"/>
          <w:szCs w:val="22"/>
        </w:rPr>
        <w:t xml:space="preserve"> </w:t>
      </w:r>
      <w:r w:rsidRPr="00A660C8">
        <w:rPr>
          <w:rFonts w:ascii="Palatino Linotype" w:eastAsia="Palatino Linotype" w:hAnsi="Palatino Linotype" w:cs="Palatino Linotype"/>
          <w:b/>
          <w:i/>
          <w:sz w:val="22"/>
          <w:szCs w:val="22"/>
        </w:rPr>
        <w:t>autoridad</w:t>
      </w:r>
      <w:r w:rsidRPr="00A660C8">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660C8">
        <w:rPr>
          <w:rFonts w:ascii="Palatino Linotype" w:eastAsia="Palatino Linotype" w:hAnsi="Palatino Linotype" w:cs="Palatino Linotype"/>
          <w:b/>
          <w:i/>
          <w:sz w:val="22"/>
          <w:szCs w:val="22"/>
        </w:rPr>
        <w:t>municipal</w:t>
      </w:r>
      <w:r w:rsidRPr="00A660C8">
        <w:rPr>
          <w:rFonts w:ascii="Palatino Linotype" w:eastAsia="Palatino Linotype" w:hAnsi="Palatino Linotype" w:cs="Palatino Linotype"/>
          <w:i/>
          <w:sz w:val="22"/>
          <w:szCs w:val="22"/>
        </w:rPr>
        <w:t xml:space="preserve">, </w:t>
      </w:r>
      <w:r w:rsidRPr="00A660C8">
        <w:rPr>
          <w:rFonts w:ascii="Palatino Linotype" w:eastAsia="Palatino Linotype" w:hAnsi="Palatino Linotype" w:cs="Palatino Linotype"/>
          <w:b/>
          <w:i/>
          <w:sz w:val="22"/>
          <w:szCs w:val="22"/>
        </w:rPr>
        <w:t>es pública</w:t>
      </w:r>
      <w:r w:rsidRPr="00A660C8">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A660C8">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A660C8">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CD3D2C" w:rsidRPr="00A660C8" w:rsidRDefault="00CD3D2C">
      <w:pPr>
        <w:pBdr>
          <w:top w:val="nil"/>
          <w:left w:val="nil"/>
          <w:bottom w:val="nil"/>
          <w:right w:val="nil"/>
          <w:between w:val="nil"/>
        </w:pBdr>
        <w:tabs>
          <w:tab w:val="left" w:pos="567"/>
        </w:tabs>
        <w:spacing w:before="240" w:after="240"/>
        <w:ind w:left="1134" w:right="-220"/>
        <w:jc w:val="both"/>
        <w:rPr>
          <w:rFonts w:ascii="Palatino Linotype" w:eastAsia="Palatino Linotype" w:hAnsi="Palatino Linotype" w:cs="Palatino Linotype"/>
          <w:b/>
          <w:i/>
          <w:color w:val="000000"/>
          <w:sz w:val="22"/>
          <w:szCs w:val="22"/>
        </w:rPr>
      </w:pPr>
    </w:p>
    <w:p w:rsidR="00CD3D2C" w:rsidRPr="00A660C8" w:rsidRDefault="005B05BD">
      <w:pPr>
        <w:spacing w:before="240" w:after="240"/>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Constitución Política del Estado Libre y Soberano de México</w:t>
      </w:r>
    </w:p>
    <w:p w:rsidR="00CD3D2C" w:rsidRPr="00A660C8" w:rsidRDefault="005B05BD">
      <w:pPr>
        <w:spacing w:before="240" w:after="240"/>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rPr>
        <w:t>“Artículo 5</w:t>
      </w:r>
      <w:r w:rsidRPr="00A660C8">
        <w:rPr>
          <w:rFonts w:ascii="Palatino Linotype" w:eastAsia="Palatino Linotype" w:hAnsi="Palatino Linotype" w:cs="Palatino Linotype"/>
          <w:i/>
          <w:sz w:val="22"/>
          <w:szCs w:val="22"/>
        </w:rPr>
        <w:t xml:space="preserve">.- </w:t>
      </w:r>
    </w:p>
    <w:p w:rsidR="00CD3D2C" w:rsidRPr="00A660C8" w:rsidRDefault="005B05BD">
      <w:pPr>
        <w:spacing w:before="240" w:after="240"/>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w:t>
      </w:r>
    </w:p>
    <w:p w:rsidR="00CD3D2C" w:rsidRPr="00A660C8" w:rsidRDefault="005B05BD">
      <w:pPr>
        <w:spacing w:before="240" w:after="240"/>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A660C8">
        <w:rPr>
          <w:rFonts w:ascii="Palatino Linotype" w:eastAsia="Palatino Linotype" w:hAnsi="Palatino Linotype" w:cs="Palatino Linotype"/>
          <w:i/>
          <w:sz w:val="22"/>
          <w:szCs w:val="22"/>
        </w:rPr>
        <w:t>.</w:t>
      </w:r>
    </w:p>
    <w:p w:rsidR="00CD3D2C" w:rsidRPr="00A660C8" w:rsidRDefault="005B05BD">
      <w:pPr>
        <w:spacing w:before="240" w:after="240"/>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D3D2C" w:rsidRPr="00A660C8" w:rsidRDefault="005B05BD">
      <w:pPr>
        <w:spacing w:before="240" w:after="240"/>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rPr>
        <w:t>Este derecho se regirá por los principios y bases siguientes</w:t>
      </w:r>
      <w:r w:rsidRPr="00A660C8">
        <w:rPr>
          <w:rFonts w:ascii="Palatino Linotype" w:eastAsia="Palatino Linotype" w:hAnsi="Palatino Linotype" w:cs="Palatino Linotype"/>
          <w:i/>
          <w:sz w:val="22"/>
          <w:szCs w:val="22"/>
        </w:rPr>
        <w:t>:</w:t>
      </w:r>
    </w:p>
    <w:p w:rsidR="00CD3D2C" w:rsidRPr="00A660C8" w:rsidRDefault="005B05BD">
      <w:pPr>
        <w:spacing w:before="240" w:after="240"/>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rPr>
        <w:lastRenderedPageBreak/>
        <w:t>I. Toda la información en posesión de cualquier autoridad, entidad, órgano y organismos de los</w:t>
      </w:r>
      <w:r w:rsidRPr="00A660C8">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A660C8">
        <w:rPr>
          <w:rFonts w:ascii="Palatino Linotype" w:eastAsia="Palatino Linotype" w:hAnsi="Palatino Linotype" w:cs="Palatino Linotype"/>
          <w:b/>
          <w:i/>
          <w:sz w:val="22"/>
          <w:szCs w:val="22"/>
        </w:rPr>
        <w:t>municipales</w:t>
      </w:r>
      <w:r w:rsidRPr="00A660C8">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660C8">
        <w:rPr>
          <w:rFonts w:ascii="Palatino Linotype" w:eastAsia="Palatino Linotype" w:hAnsi="Palatino Linotype" w:cs="Palatino Linotype"/>
          <w:b/>
          <w:i/>
          <w:sz w:val="22"/>
          <w:szCs w:val="22"/>
        </w:rPr>
        <w:t>es pública</w:t>
      </w:r>
      <w:r w:rsidRPr="00A660C8">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A660C8">
        <w:rPr>
          <w:rFonts w:ascii="Palatino Linotype" w:eastAsia="Palatino Linotype" w:hAnsi="Palatino Linotype" w:cs="Palatino Linotype"/>
          <w:b/>
          <w:i/>
          <w:sz w:val="22"/>
          <w:szCs w:val="22"/>
        </w:rPr>
        <w:t>En la interpretación de este derecho deberá prevalecer el principio de máxima publicidad</w:t>
      </w:r>
      <w:r w:rsidRPr="00A660C8">
        <w:rPr>
          <w:rFonts w:ascii="Palatino Linotype" w:eastAsia="Palatino Linotype" w:hAnsi="Palatino Linotype" w:cs="Palatino Linotype"/>
          <w:i/>
          <w:sz w:val="22"/>
          <w:szCs w:val="22"/>
        </w:rPr>
        <w:t xml:space="preserve">. </w:t>
      </w:r>
      <w:r w:rsidRPr="00A660C8">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A660C8">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CD3D2C" w:rsidRPr="00A660C8" w:rsidRDefault="00CD3D2C">
      <w:pPr>
        <w:tabs>
          <w:tab w:val="left" w:pos="567"/>
        </w:tabs>
        <w:spacing w:before="240" w:after="240"/>
        <w:ind w:right="-787"/>
        <w:jc w:val="both"/>
        <w:rPr>
          <w:rFonts w:ascii="Palatino Linotype" w:eastAsia="Palatino Linotype" w:hAnsi="Palatino Linotype" w:cs="Palatino Linotype"/>
          <w:b/>
          <w:i/>
        </w:rPr>
      </w:pPr>
    </w:p>
    <w:p w:rsidR="00CD3D2C" w:rsidRPr="00A660C8" w:rsidRDefault="005B05BD">
      <w:pPr>
        <w:numPr>
          <w:ilvl w:val="0"/>
          <w:numId w:val="6"/>
        </w:numPr>
        <w:spacing w:before="240" w:line="360" w:lineRule="auto"/>
        <w:ind w:left="0" w:right="-787" w:firstLine="0"/>
        <w:jc w:val="both"/>
      </w:pPr>
      <w:r w:rsidRPr="00A660C8">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A660C8">
        <w:rPr>
          <w:rFonts w:ascii="Palatino Linotype" w:eastAsia="Palatino Linotype" w:hAnsi="Palatino Linotype" w:cs="Palatino Linotype"/>
          <w:i/>
        </w:rPr>
        <w:t>por los principios de simplicidad, rapidez gratuidad del procedimiento, auxilio y orientación a los particulares</w:t>
      </w:r>
      <w:r w:rsidRPr="00A660C8">
        <w:rPr>
          <w:rFonts w:ascii="Palatino Linotype" w:eastAsia="Palatino Linotype" w:hAnsi="Palatino Linotype" w:cs="Palatino Linotype"/>
        </w:rPr>
        <w:t>, contemplando el derecho de las personas con discapacidad y hablantes de lengua indígena.</w:t>
      </w:r>
    </w:p>
    <w:p w:rsidR="00CD3D2C" w:rsidRPr="00A660C8" w:rsidRDefault="00CD3D2C">
      <w:pPr>
        <w:spacing w:line="360" w:lineRule="auto"/>
        <w:ind w:right="-787"/>
        <w:jc w:val="both"/>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 xml:space="preserve">El Derecho de Acceso a la Información se garantiza y respeta oportunamente, y según lo que dispone la Ley, las </w:t>
      </w:r>
      <w:r w:rsidRPr="00A660C8">
        <w:rPr>
          <w:rFonts w:ascii="Palatino Linotype" w:eastAsia="Palatino Linotype" w:hAnsi="Palatino Linotype" w:cs="Palatino Linotype"/>
          <w:i/>
        </w:rPr>
        <w:t>solicitudes de acceso a la información</w:t>
      </w:r>
      <w:r w:rsidRPr="00A660C8">
        <w:rPr>
          <w:rFonts w:ascii="Palatino Linotype" w:eastAsia="Palatino Linotype" w:hAnsi="Palatino Linotype" w:cs="Palatino Linotype"/>
        </w:rPr>
        <w:t>.</w:t>
      </w:r>
    </w:p>
    <w:p w:rsidR="00CD3D2C" w:rsidRPr="00A660C8" w:rsidRDefault="00CD3D2C">
      <w:pPr>
        <w:spacing w:line="360" w:lineRule="auto"/>
        <w:ind w:right="-787"/>
        <w:jc w:val="both"/>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pPr>
      <w:bookmarkStart w:id="11" w:name="_heading=h.3rdcrjn" w:colFirst="0" w:colLast="0"/>
      <w:bookmarkEnd w:id="11"/>
      <w:r w:rsidRPr="00A660C8">
        <w:rPr>
          <w:rFonts w:ascii="Palatino Linotype" w:eastAsia="Palatino Linotype" w:hAnsi="Palatino Linotype" w:cs="Palatino Linotype"/>
        </w:rPr>
        <w:t xml:space="preserve">Así entonces, se procede analizar, en primer lugar, si el </w:t>
      </w:r>
      <w:r w:rsidRPr="00A660C8">
        <w:rPr>
          <w:rFonts w:ascii="Palatino Linotype" w:eastAsia="Palatino Linotype" w:hAnsi="Palatino Linotype" w:cs="Palatino Linotype"/>
          <w:b/>
        </w:rPr>
        <w:t>SUJETO OBLIGADO</w:t>
      </w:r>
      <w:r w:rsidRPr="00A660C8">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w:t>
      </w:r>
      <w:r w:rsidRPr="00A660C8">
        <w:rPr>
          <w:rFonts w:ascii="Palatino Linotype" w:eastAsia="Palatino Linotype" w:hAnsi="Palatino Linotype" w:cs="Palatino Linotype"/>
        </w:rPr>
        <w:lastRenderedPageBreak/>
        <w:t>cumplió con su deber de respetar y garantizar el derecho, entregando la información solicitada.</w:t>
      </w:r>
    </w:p>
    <w:p w:rsidR="00CD3D2C" w:rsidRPr="00A660C8" w:rsidRDefault="00CD3D2C">
      <w:pPr>
        <w:spacing w:line="360" w:lineRule="auto"/>
        <w:ind w:right="-787"/>
        <w:jc w:val="both"/>
        <w:rPr>
          <w:rFonts w:ascii="Palatino Linotype" w:eastAsia="Palatino Linotype" w:hAnsi="Palatino Linotype" w:cs="Palatino Linotype"/>
        </w:rPr>
      </w:pPr>
    </w:p>
    <w:p w:rsidR="00CD3D2C" w:rsidRPr="00A660C8" w:rsidRDefault="005B05BD">
      <w:pPr>
        <w:pStyle w:val="Ttulo1"/>
        <w:spacing w:before="0" w:after="240" w:line="360" w:lineRule="auto"/>
        <w:ind w:right="-787"/>
        <w:rPr>
          <w:rFonts w:ascii="Palatino Linotype" w:eastAsia="Palatino Linotype" w:hAnsi="Palatino Linotype" w:cs="Palatino Linotype"/>
          <w:b/>
          <w:color w:val="000000"/>
          <w:sz w:val="24"/>
          <w:szCs w:val="24"/>
        </w:rPr>
      </w:pPr>
      <w:bookmarkStart w:id="12" w:name="_heading=h.26in1rg" w:colFirst="0" w:colLast="0"/>
      <w:bookmarkEnd w:id="12"/>
      <w:r w:rsidRPr="00A660C8">
        <w:rPr>
          <w:rFonts w:ascii="Palatino Linotype" w:eastAsia="Palatino Linotype" w:hAnsi="Palatino Linotype" w:cs="Palatino Linotype"/>
          <w:b/>
          <w:color w:val="000000"/>
          <w:sz w:val="24"/>
          <w:szCs w:val="24"/>
        </w:rPr>
        <w:t>II. II. De la información solicitada y la respuesta del SUJETO OBLIGADO</w:t>
      </w: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color w:val="000000"/>
        </w:rPr>
        <w:t xml:space="preserve">Acotada la </w:t>
      </w:r>
      <w:r w:rsidRPr="00A660C8">
        <w:rPr>
          <w:rFonts w:ascii="Palatino Linotype" w:eastAsia="Palatino Linotype" w:hAnsi="Palatino Linotype" w:cs="Palatino Linotype"/>
          <w:i/>
          <w:color w:val="000000"/>
        </w:rPr>
        <w:t>Litis</w:t>
      </w:r>
      <w:r w:rsidRPr="00A660C8">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entrega la información solicitada por parte del </w:t>
      </w:r>
      <w:r w:rsidRPr="00A660C8">
        <w:rPr>
          <w:rFonts w:ascii="Palatino Linotype" w:eastAsia="Palatino Linotype" w:hAnsi="Palatino Linotype" w:cs="Palatino Linotype"/>
          <w:b/>
          <w:color w:val="000000"/>
        </w:rPr>
        <w:t xml:space="preserve">SUJETO OBLIGADO, </w:t>
      </w:r>
      <w:r w:rsidRPr="00A660C8">
        <w:rPr>
          <w:rFonts w:ascii="Palatino Linotype" w:eastAsia="Palatino Linotype" w:hAnsi="Palatino Linotype" w:cs="Palatino Linotype"/>
          <w:color w:val="000000"/>
        </w:rPr>
        <w:t>situación que será el motivo de análisis del presente recurso de revisión</w:t>
      </w:r>
    </w:p>
    <w:p w:rsidR="00CD3D2C" w:rsidRPr="00A660C8" w:rsidRDefault="00CD3D2C">
      <w:pPr>
        <w:spacing w:line="360" w:lineRule="auto"/>
        <w:ind w:right="-787"/>
        <w:jc w:val="both"/>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 xml:space="preserve">En ese sentido, es importante recordar la información que fue solicitada por el </w:t>
      </w:r>
      <w:r w:rsidRPr="00A660C8">
        <w:rPr>
          <w:rFonts w:ascii="Palatino Linotype" w:eastAsia="Palatino Linotype" w:hAnsi="Palatino Linotype" w:cs="Palatino Linotype"/>
          <w:b/>
        </w:rPr>
        <w:t xml:space="preserve">RECURRENTE </w:t>
      </w:r>
      <w:r w:rsidRPr="00A660C8">
        <w:rPr>
          <w:rFonts w:ascii="Palatino Linotype" w:eastAsia="Palatino Linotype" w:hAnsi="Palatino Linotype" w:cs="Palatino Linotype"/>
        </w:rPr>
        <w:t xml:space="preserve">consiste en lo siguiente: </w:t>
      </w:r>
    </w:p>
    <w:p w:rsidR="00CD3D2C" w:rsidRPr="00A660C8" w:rsidRDefault="005B05BD">
      <w:pPr>
        <w:ind w:left="1418" w:right="-787"/>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De la dragonera “Fénix” (máquina asfaltadora)</w:t>
      </w:r>
    </w:p>
    <w:p w:rsidR="00CD3D2C" w:rsidRPr="00A660C8" w:rsidRDefault="005B05BD">
      <w:pPr>
        <w:numPr>
          <w:ilvl w:val="0"/>
          <w:numId w:val="7"/>
        </w:numPr>
        <w:ind w:right="-787"/>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Los contratos  que se llevaron a cabo para reparar la maquina</w:t>
      </w:r>
    </w:p>
    <w:p w:rsidR="00CD3D2C" w:rsidRPr="00A660C8" w:rsidRDefault="005B05BD">
      <w:pPr>
        <w:numPr>
          <w:ilvl w:val="0"/>
          <w:numId w:val="7"/>
        </w:numPr>
        <w:ind w:right="-787"/>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Costo</w:t>
      </w:r>
    </w:p>
    <w:p w:rsidR="00CD3D2C" w:rsidRPr="00A660C8" w:rsidRDefault="005B05BD">
      <w:pPr>
        <w:numPr>
          <w:ilvl w:val="0"/>
          <w:numId w:val="7"/>
        </w:numPr>
        <w:ind w:right="-787"/>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 xml:space="preserve">Facturas </w:t>
      </w:r>
    </w:p>
    <w:p w:rsidR="00CD3D2C" w:rsidRPr="00A660C8" w:rsidRDefault="005B05BD">
      <w:pPr>
        <w:numPr>
          <w:ilvl w:val="0"/>
          <w:numId w:val="7"/>
        </w:numPr>
        <w:ind w:right="-787"/>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A quien se le pago para repararla</w:t>
      </w:r>
    </w:p>
    <w:p w:rsidR="00CD3D2C" w:rsidRPr="00A660C8" w:rsidRDefault="00CD3D2C">
      <w:pPr>
        <w:spacing w:line="360" w:lineRule="auto"/>
        <w:ind w:right="-787"/>
        <w:jc w:val="both"/>
      </w:pPr>
    </w:p>
    <w:p w:rsidR="00CD3D2C" w:rsidRPr="00A660C8" w:rsidRDefault="005B05BD">
      <w:pPr>
        <w:numPr>
          <w:ilvl w:val="0"/>
          <w:numId w:val="6"/>
        </w:numPr>
        <w:pBdr>
          <w:top w:val="nil"/>
          <w:left w:val="nil"/>
          <w:bottom w:val="nil"/>
          <w:right w:val="nil"/>
          <w:between w:val="nil"/>
        </w:pBd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En respuesta, el </w:t>
      </w:r>
      <w:r w:rsidRPr="00A660C8">
        <w:rPr>
          <w:rFonts w:ascii="Palatino Linotype" w:eastAsia="Palatino Linotype" w:hAnsi="Palatino Linotype" w:cs="Palatino Linotype"/>
          <w:b/>
          <w:color w:val="000000"/>
        </w:rPr>
        <w:t xml:space="preserve">SUJETO OBLIGADO </w:t>
      </w:r>
      <w:r w:rsidRPr="00A660C8">
        <w:rPr>
          <w:rFonts w:ascii="Palatino Linotype" w:eastAsia="Palatino Linotype" w:hAnsi="Palatino Linotype" w:cs="Palatino Linotype"/>
          <w:color w:val="000000"/>
        </w:rPr>
        <w:t xml:space="preserve">por medio de la Dirección de Administración </w:t>
      </w:r>
      <w:r w:rsidRPr="00A660C8">
        <w:rPr>
          <w:rFonts w:ascii="Palatino Linotype" w:eastAsia="Palatino Linotype" w:hAnsi="Palatino Linotype" w:cs="Palatino Linotype"/>
        </w:rPr>
        <w:t>informó</w:t>
      </w:r>
      <w:r w:rsidRPr="00A660C8">
        <w:rPr>
          <w:rFonts w:ascii="Palatino Linotype" w:eastAsia="Palatino Linotype" w:hAnsi="Palatino Linotype" w:cs="Palatino Linotype"/>
          <w:color w:val="000000"/>
        </w:rPr>
        <w:t xml:space="preserve"> que después de una </w:t>
      </w:r>
      <w:r w:rsidRPr="00A660C8">
        <w:rPr>
          <w:rFonts w:ascii="Palatino Linotype" w:eastAsia="Palatino Linotype" w:hAnsi="Palatino Linotype" w:cs="Palatino Linotype"/>
        </w:rPr>
        <w:t>búsqueda</w:t>
      </w:r>
      <w:r w:rsidRPr="00A660C8">
        <w:rPr>
          <w:rFonts w:ascii="Palatino Linotype" w:eastAsia="Palatino Linotype" w:hAnsi="Palatino Linotype" w:cs="Palatino Linotype"/>
          <w:color w:val="000000"/>
        </w:rPr>
        <w:t xml:space="preserve"> exhaustiva en los archivos no se encontró la información solicitada, de la respuesta recibida el entonces </w:t>
      </w:r>
      <w:r w:rsidRPr="00A660C8">
        <w:rPr>
          <w:rFonts w:ascii="Palatino Linotype" w:eastAsia="Palatino Linotype" w:hAnsi="Palatino Linotype" w:cs="Palatino Linotype"/>
          <w:b/>
          <w:color w:val="000000"/>
        </w:rPr>
        <w:t xml:space="preserve">SOLICITANTE </w:t>
      </w:r>
      <w:r w:rsidRPr="00A660C8">
        <w:rPr>
          <w:rFonts w:ascii="Palatino Linotype" w:eastAsia="Palatino Linotype" w:hAnsi="Palatino Linotype" w:cs="Palatino Linotype"/>
          <w:color w:val="000000"/>
        </w:rPr>
        <w:t>interpuso el recurso de revisión, mediante el cual se inconformo por la negativa de información, situación de la cual en la etapa de manifestaciones se informó por la dicha Dirección que no se han registrado contratos o procedimientos algunos.</w:t>
      </w:r>
    </w:p>
    <w:p w:rsidR="00CD3D2C" w:rsidRPr="00A660C8" w:rsidRDefault="00CD3D2C">
      <w:pPr>
        <w:spacing w:line="360" w:lineRule="auto"/>
        <w:ind w:right="-787"/>
        <w:jc w:val="both"/>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lastRenderedPageBreak/>
        <w:t xml:space="preserve">En esa línea, una vez que fueron precisados los puntos sobre los que versará la solicitud de información es que se precisa el siguiente estudio. </w:t>
      </w:r>
    </w:p>
    <w:p w:rsidR="00CD3D2C" w:rsidRPr="00A660C8" w:rsidRDefault="00CD3D2C">
      <w:pPr>
        <w:pBdr>
          <w:top w:val="nil"/>
          <w:left w:val="nil"/>
          <w:bottom w:val="nil"/>
          <w:right w:val="nil"/>
          <w:between w:val="nil"/>
        </w:pBdr>
        <w:ind w:left="708" w:right="-787"/>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 xml:space="preserve">De lo anterior, se debe de referir que de acuerdo con el Bando Municipal del Ayuntamiento de Ecatepec de Morelos, el </w:t>
      </w:r>
      <w:r w:rsidRPr="00A660C8">
        <w:rPr>
          <w:rFonts w:ascii="Palatino Linotype" w:eastAsia="Palatino Linotype" w:hAnsi="Palatino Linotype" w:cs="Palatino Linotype"/>
          <w:b/>
        </w:rPr>
        <w:t xml:space="preserve">SUJETO OBLIGADO </w:t>
      </w:r>
      <w:r w:rsidRPr="00A660C8">
        <w:rPr>
          <w:rFonts w:ascii="Palatino Linotype" w:eastAsia="Palatino Linotype" w:hAnsi="Palatino Linotype" w:cs="Palatino Linotype"/>
        </w:rPr>
        <w:t xml:space="preserve">se integra por la Dirección de Administración, quien tiene las siguientes funciones. </w:t>
      </w:r>
    </w:p>
    <w:p w:rsidR="00CD3D2C" w:rsidRPr="00A660C8" w:rsidRDefault="005B05BD">
      <w:pPr>
        <w:ind w:left="1134" w:right="-79"/>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Artículo 50.</w:t>
      </w:r>
      <w:r w:rsidRPr="00A660C8">
        <w:rPr>
          <w:rFonts w:ascii="Palatino Linotype" w:eastAsia="Palatino Linotype" w:hAnsi="Palatino Linotype" w:cs="Palatino Linotype"/>
          <w:i/>
          <w:sz w:val="22"/>
          <w:szCs w:val="22"/>
        </w:rPr>
        <w:t xml:space="preserve"> La Dirección de Administración proveerá los recursos humanos, </w:t>
      </w:r>
      <w:r w:rsidRPr="00A660C8">
        <w:rPr>
          <w:rFonts w:ascii="Palatino Linotype" w:eastAsia="Palatino Linotype" w:hAnsi="Palatino Linotype" w:cs="Palatino Linotype"/>
          <w:b/>
          <w:i/>
          <w:sz w:val="22"/>
          <w:szCs w:val="22"/>
        </w:rPr>
        <w:t>materiales y servicios a las diversas áreas que conforman la Administración</w:t>
      </w:r>
      <w:r w:rsidRPr="00A660C8">
        <w:rPr>
          <w:rFonts w:ascii="Palatino Linotype" w:eastAsia="Palatino Linotype" w:hAnsi="Palatino Linotype" w:cs="Palatino Linotype"/>
          <w:i/>
          <w:sz w:val="22"/>
          <w:szCs w:val="22"/>
        </w:rPr>
        <w:t xml:space="preserve"> Pública Municipal y asignará a estas, previa autorización del Presidente Municipal Constitucional, el personal capacitado que requiera para el cumplimiento de sus atribuciones, llevando el registro del mismo. También calculará el monto de los salarios; establecerá programas de capacitación; atenderá las relaciones laborales en coordinación con la Dirección Jurídica y Consultiva; asimismo, </w:t>
      </w:r>
      <w:r w:rsidRPr="00A660C8">
        <w:rPr>
          <w:rFonts w:ascii="Palatino Linotype" w:eastAsia="Palatino Linotype" w:hAnsi="Palatino Linotype" w:cs="Palatino Linotype"/>
          <w:b/>
          <w:i/>
          <w:sz w:val="22"/>
          <w:szCs w:val="22"/>
        </w:rPr>
        <w:t>llevará a cabo los procedimientos de adquisiciones de bienes y servicios; y en general, cumplirá con todas las atribuciones que le otorguen las disposiciones legales que regulen sus actividades.</w:t>
      </w:r>
    </w:p>
    <w:p w:rsidR="00CD3D2C" w:rsidRPr="00A660C8" w:rsidRDefault="00CD3D2C">
      <w:pPr>
        <w:pBdr>
          <w:top w:val="nil"/>
          <w:left w:val="nil"/>
          <w:bottom w:val="nil"/>
          <w:right w:val="nil"/>
          <w:between w:val="nil"/>
        </w:pBdr>
        <w:ind w:left="708" w:right="-787"/>
        <w:rPr>
          <w:rFonts w:ascii="Palatino Linotype" w:eastAsia="Palatino Linotype" w:hAnsi="Palatino Linotype" w:cs="Palatino Linotype"/>
          <w:color w:val="000000"/>
        </w:rPr>
      </w:pPr>
    </w:p>
    <w:p w:rsidR="00CD3D2C" w:rsidRPr="00A660C8" w:rsidRDefault="00CD3D2C">
      <w:pPr>
        <w:spacing w:line="360" w:lineRule="auto"/>
        <w:ind w:right="-787"/>
        <w:jc w:val="both"/>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 xml:space="preserve">De lo anterior, se observa que la Dirección de Administración dentro de su funciones tienes las de proveer a las direcciones y dependencias del </w:t>
      </w:r>
      <w:r w:rsidRPr="00A660C8">
        <w:rPr>
          <w:rFonts w:ascii="Palatino Linotype" w:eastAsia="Palatino Linotype" w:hAnsi="Palatino Linotype" w:cs="Palatino Linotype"/>
          <w:b/>
        </w:rPr>
        <w:t xml:space="preserve">SUJETO OBLIGADO </w:t>
      </w:r>
      <w:r w:rsidRPr="00A660C8">
        <w:rPr>
          <w:rFonts w:ascii="Palatino Linotype" w:eastAsia="Palatino Linotype" w:hAnsi="Palatino Linotype" w:cs="Palatino Linotype"/>
        </w:rPr>
        <w:t xml:space="preserve">de los materiales y servicios por medio de los procedimientos de adquisiciones y servicios que se requiera, situación de la cual se entiende que la reparación de la asfaltadora dragonera “fénix”, requería del servicio de ser reparado para lograr su funcionamiento. </w:t>
      </w:r>
    </w:p>
    <w:p w:rsidR="00CD3D2C" w:rsidRPr="00A660C8" w:rsidRDefault="00CD3D2C">
      <w:pPr>
        <w:spacing w:line="360" w:lineRule="auto"/>
        <w:ind w:right="-787"/>
        <w:jc w:val="both"/>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 xml:space="preserve"> En ese sentido, se debe de señalar que se realizó una búsqueda de la reparación de la asaltadora referida en la solicitud de información, de la cual se encontró la siguiente información. </w:t>
      </w:r>
    </w:p>
    <w:p w:rsidR="00CD3D2C" w:rsidRPr="00A660C8" w:rsidRDefault="00CD3D2C">
      <w:pPr>
        <w:pBdr>
          <w:top w:val="nil"/>
          <w:left w:val="nil"/>
          <w:bottom w:val="nil"/>
          <w:right w:val="nil"/>
          <w:between w:val="nil"/>
        </w:pBdr>
        <w:ind w:left="708" w:right="-787"/>
        <w:rPr>
          <w:color w:val="000000"/>
        </w:rPr>
      </w:pPr>
    </w:p>
    <w:p w:rsidR="00CD3D2C" w:rsidRPr="00A660C8" w:rsidRDefault="005B05BD">
      <w:pPr>
        <w:spacing w:line="360" w:lineRule="auto"/>
        <w:ind w:right="-787"/>
        <w:jc w:val="center"/>
      </w:pPr>
      <w:r w:rsidRPr="00A660C8">
        <w:rPr>
          <w:noProof/>
        </w:rPr>
        <w:drawing>
          <wp:inline distT="0" distB="0" distL="0" distR="0">
            <wp:extent cx="3077155" cy="3729162"/>
            <wp:effectExtent l="0" t="0" r="9525" b="508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087660" cy="3741893"/>
                    </a:xfrm>
                    <a:prstGeom prst="rect">
                      <a:avLst/>
                    </a:prstGeom>
                    <a:ln/>
                  </pic:spPr>
                </pic:pic>
              </a:graphicData>
            </a:graphic>
          </wp:inline>
        </w:drawing>
      </w:r>
    </w:p>
    <w:p w:rsidR="006F5AA6" w:rsidRPr="00A660C8" w:rsidRDefault="006F5AA6">
      <w:pPr>
        <w:spacing w:line="360" w:lineRule="auto"/>
        <w:ind w:right="-787"/>
        <w:jc w:val="center"/>
      </w:pPr>
    </w:p>
    <w:p w:rsidR="00CD3D2C" w:rsidRPr="00A660C8" w:rsidRDefault="005B05BD">
      <w:pPr>
        <w:pBdr>
          <w:top w:val="nil"/>
          <w:left w:val="nil"/>
          <w:bottom w:val="nil"/>
          <w:right w:val="nil"/>
          <w:between w:val="nil"/>
        </w:pBdr>
        <w:ind w:left="708" w:right="-787"/>
        <w:jc w:val="center"/>
        <w:rPr>
          <w:rFonts w:ascii="Palatino Linotype" w:eastAsia="Palatino Linotype" w:hAnsi="Palatino Linotype" w:cs="Palatino Linotype"/>
          <w:color w:val="000000"/>
        </w:rPr>
      </w:pPr>
      <w:r w:rsidRPr="00A660C8">
        <w:rPr>
          <w:rFonts w:ascii="Palatino Linotype" w:eastAsia="Palatino Linotype" w:hAnsi="Palatino Linotype" w:cs="Palatino Linotype"/>
          <w:noProof/>
          <w:color w:val="000000"/>
        </w:rPr>
        <w:lastRenderedPageBreak/>
        <w:drawing>
          <wp:inline distT="0" distB="0" distL="0" distR="0">
            <wp:extent cx="4405022" cy="4118776"/>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448168" cy="4159119"/>
                    </a:xfrm>
                    <a:prstGeom prst="rect">
                      <a:avLst/>
                    </a:prstGeom>
                    <a:ln/>
                  </pic:spPr>
                </pic:pic>
              </a:graphicData>
            </a:graphic>
          </wp:inline>
        </w:drawing>
      </w:r>
    </w:p>
    <w:p w:rsidR="00CD3D2C" w:rsidRPr="00A660C8" w:rsidRDefault="005B05BD">
      <w:pPr>
        <w:pBdr>
          <w:top w:val="nil"/>
          <w:left w:val="nil"/>
          <w:bottom w:val="nil"/>
          <w:right w:val="nil"/>
          <w:between w:val="nil"/>
        </w:pBdr>
        <w:ind w:left="708" w:right="-787"/>
        <w:jc w:val="center"/>
        <w:rPr>
          <w:rFonts w:ascii="Palatino Linotype" w:eastAsia="Palatino Linotype" w:hAnsi="Palatino Linotype" w:cs="Palatino Linotype"/>
          <w:color w:val="000000"/>
        </w:rPr>
      </w:pPr>
      <w:r w:rsidRPr="00A660C8">
        <w:rPr>
          <w:rFonts w:ascii="Palatino Linotype" w:eastAsia="Palatino Linotype" w:hAnsi="Palatino Linotype" w:cs="Palatino Linotype"/>
          <w:noProof/>
          <w:color w:val="000000"/>
        </w:rPr>
        <w:drawing>
          <wp:inline distT="0" distB="0" distL="0" distR="0">
            <wp:extent cx="4198289" cy="2782957"/>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213691" cy="2793166"/>
                    </a:xfrm>
                    <a:prstGeom prst="rect">
                      <a:avLst/>
                    </a:prstGeom>
                    <a:ln/>
                  </pic:spPr>
                </pic:pic>
              </a:graphicData>
            </a:graphic>
          </wp:inline>
        </w:drawing>
      </w:r>
    </w:p>
    <w:p w:rsidR="00CD3D2C" w:rsidRPr="00A660C8" w:rsidRDefault="00CD3D2C">
      <w:pPr>
        <w:pBdr>
          <w:top w:val="nil"/>
          <w:left w:val="nil"/>
          <w:bottom w:val="nil"/>
          <w:right w:val="nil"/>
          <w:between w:val="nil"/>
        </w:pBdr>
        <w:ind w:left="708" w:right="-787"/>
        <w:jc w:val="center"/>
        <w:rPr>
          <w:rFonts w:ascii="Palatino Linotype" w:eastAsia="Palatino Linotype" w:hAnsi="Palatino Linotype" w:cs="Palatino Linotype"/>
        </w:rPr>
      </w:pPr>
    </w:p>
    <w:p w:rsidR="00CD3D2C" w:rsidRPr="00A660C8" w:rsidRDefault="00CD3D2C">
      <w:pPr>
        <w:pBdr>
          <w:top w:val="nil"/>
          <w:left w:val="nil"/>
          <w:bottom w:val="nil"/>
          <w:right w:val="nil"/>
          <w:between w:val="nil"/>
        </w:pBdr>
        <w:ind w:left="708" w:right="-787"/>
        <w:jc w:val="center"/>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rPr>
          <w:rFonts w:ascii="Palatino Linotype" w:eastAsia="Palatino Linotype" w:hAnsi="Palatino Linotype" w:cs="Palatino Linotype"/>
          <w:b/>
        </w:rPr>
      </w:pPr>
      <w:r w:rsidRPr="00A660C8">
        <w:rPr>
          <w:rFonts w:ascii="Palatino Linotype" w:eastAsia="Palatino Linotype" w:hAnsi="Palatino Linotype" w:cs="Palatino Linotype"/>
        </w:rPr>
        <w:t xml:space="preserve">Con las imágenes insertadas se pretende vislumbrar que el </w:t>
      </w:r>
      <w:r w:rsidRPr="00A660C8">
        <w:rPr>
          <w:rFonts w:ascii="Palatino Linotype" w:eastAsia="Palatino Linotype" w:hAnsi="Palatino Linotype" w:cs="Palatino Linotype"/>
          <w:b/>
        </w:rPr>
        <w:t xml:space="preserve">SUJETO OBLIGADO </w:t>
      </w:r>
      <w:r w:rsidRPr="00A660C8">
        <w:rPr>
          <w:rFonts w:ascii="Palatino Linotype" w:eastAsia="Palatino Linotype" w:hAnsi="Palatino Linotype" w:cs="Palatino Linotype"/>
        </w:rPr>
        <w:t xml:space="preserve">si genero un gasto por la reparación de la máquina asfaltadora dragonera “fénix}, toda vez que las noticias refieren que los trabajos de reparación duraron seis meses y que se gastó un aproximado de dos millones de pesos, situación por la cual nos encontramos ante lo siguiente. </w:t>
      </w:r>
    </w:p>
    <w:p w:rsidR="00CD3D2C" w:rsidRPr="00A660C8" w:rsidRDefault="005B05BD">
      <w:pPr>
        <w:pBdr>
          <w:top w:val="nil"/>
          <w:left w:val="nil"/>
          <w:bottom w:val="nil"/>
          <w:right w:val="nil"/>
          <w:between w:val="nil"/>
        </w:pBdr>
        <w:ind w:left="1134" w:right="-787"/>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sz w:val="22"/>
          <w:szCs w:val="22"/>
        </w:rPr>
        <w:t>”</w:t>
      </w:r>
      <w:r w:rsidRPr="00A660C8">
        <w:rPr>
          <w:rFonts w:ascii="Palatino Linotype" w:eastAsia="Palatino Linotype" w:hAnsi="Palatino Linotype" w:cs="Palatino Linotype"/>
          <w:b/>
          <w:i/>
          <w:sz w:val="22"/>
          <w:szCs w:val="22"/>
        </w:rPr>
        <w:t>HECHOS NOTORIOS. CONCEPTOS GENERAL Y JURÍDICO</w:t>
      </w:r>
    </w:p>
    <w:p w:rsidR="00CD3D2C" w:rsidRPr="00A660C8" w:rsidRDefault="005B05BD">
      <w:pPr>
        <w:ind w:left="1134" w:right="-787"/>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Conforme al artículo </w:t>
      </w:r>
      <w:hyperlink r:id="rId11">
        <w:r w:rsidRPr="00A660C8">
          <w:rPr>
            <w:rFonts w:ascii="Palatino Linotype" w:eastAsia="Palatino Linotype" w:hAnsi="Palatino Linotype" w:cs="Palatino Linotype"/>
            <w:i/>
            <w:sz w:val="22"/>
            <w:szCs w:val="22"/>
          </w:rPr>
          <w:t>88 del Código Federal de Procedimientos Civiles</w:t>
        </w:r>
      </w:hyperlink>
      <w:r w:rsidRPr="00A660C8">
        <w:rPr>
          <w:rFonts w:ascii="Palatino Linotype" w:eastAsia="Palatino Linotype" w:hAnsi="Palatino Linotype" w:cs="Palatino Linotype"/>
          <w:i/>
          <w:sz w:val="22"/>
          <w:szCs w:val="22"/>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CD3D2C" w:rsidRPr="00A660C8" w:rsidRDefault="005B05BD">
      <w:pPr>
        <w:ind w:left="1134" w:right="-787"/>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rsidR="00CD3D2C" w:rsidRPr="00A660C8" w:rsidRDefault="005B05BD">
      <w:pPr>
        <w:ind w:left="1134" w:right="-787"/>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rsidR="00CD3D2C" w:rsidRPr="00A660C8" w:rsidRDefault="005B05BD">
      <w:pPr>
        <w:ind w:left="1134" w:right="-787"/>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rsidR="00CD3D2C" w:rsidRPr="00A660C8" w:rsidRDefault="00CD3D2C">
      <w:pPr>
        <w:ind w:left="1134" w:right="-787"/>
        <w:jc w:val="both"/>
        <w:rPr>
          <w:rFonts w:ascii="Palatino Linotype" w:eastAsia="Palatino Linotype" w:hAnsi="Palatino Linotype" w:cs="Palatino Linotype"/>
          <w:i/>
          <w:sz w:val="22"/>
          <w:szCs w:val="22"/>
        </w:rPr>
      </w:pPr>
    </w:p>
    <w:p w:rsidR="00CD3D2C" w:rsidRPr="00A660C8" w:rsidRDefault="005B05BD">
      <w:pPr>
        <w:ind w:left="1134" w:right="-787"/>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A660C8">
        <w:rPr>
          <w:rFonts w:ascii="Palatino Linotype" w:eastAsia="Palatino Linotype" w:hAnsi="Palatino Linotype" w:cs="Palatino Linotype"/>
          <w:i/>
          <w:sz w:val="22"/>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w:t>
      </w:r>
      <w:r w:rsidRPr="00A660C8">
        <w:rPr>
          <w:rFonts w:ascii="Palatino Linotype" w:eastAsia="Palatino Linotype" w:hAnsi="Palatino Linotype" w:cs="Palatino Linotype"/>
          <w:i/>
          <w:sz w:val="22"/>
          <w:szCs w:val="22"/>
        </w:rPr>
        <w:lastRenderedPageBreak/>
        <w:t xml:space="preserve">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rsidR="00CD3D2C" w:rsidRPr="00A660C8" w:rsidRDefault="005B05BD">
      <w:pPr>
        <w:ind w:left="1134" w:right="-787"/>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TERCER TRIBUNAL COLEGIADO EN MATERIA CIVIL DEL PRIMER CIRCUITO. Amparo en revisión 365/2012. Mardygras, S.A. de C.V. 7 de diciembre de 2012. Unanimidad de votos. Ponente: Neófito López Ramos. Secretaria: Ana Lilia Osorno Arroyo. </w:t>
      </w:r>
    </w:p>
    <w:p w:rsidR="00CD3D2C" w:rsidRPr="00A660C8" w:rsidRDefault="00CD3D2C">
      <w:pPr>
        <w:pBdr>
          <w:top w:val="nil"/>
          <w:left w:val="nil"/>
          <w:bottom w:val="nil"/>
          <w:right w:val="nil"/>
          <w:between w:val="nil"/>
        </w:pBdr>
        <w:ind w:left="1134" w:right="-787"/>
        <w:jc w:val="both"/>
        <w:rPr>
          <w:rFonts w:ascii="Palatino Linotype" w:eastAsia="Palatino Linotype" w:hAnsi="Palatino Linotype" w:cs="Palatino Linotype"/>
          <w:b/>
          <w:i/>
          <w:color w:val="000000"/>
          <w:sz w:val="22"/>
          <w:szCs w:val="22"/>
        </w:rPr>
      </w:pPr>
    </w:p>
    <w:p w:rsidR="00CD3D2C" w:rsidRPr="00A660C8" w:rsidRDefault="00CD3D2C">
      <w:pPr>
        <w:pBdr>
          <w:top w:val="nil"/>
          <w:left w:val="nil"/>
          <w:bottom w:val="nil"/>
          <w:right w:val="nil"/>
          <w:between w:val="nil"/>
        </w:pBdr>
        <w:ind w:right="-787"/>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Por ello, al haber hechos notorios de la existencia de la de la reparación y gasto de la asfaltadora referida en la solicitud de información,</w:t>
      </w:r>
      <w:r w:rsidR="00131E4A" w:rsidRPr="00A660C8">
        <w:rPr>
          <w:rFonts w:ascii="Palatino Linotype" w:eastAsia="Palatino Linotype" w:hAnsi="Palatino Linotype" w:cs="Palatino Linotype"/>
        </w:rPr>
        <w:t xml:space="preserve"> consistentes en notas del dos mil diecinueve, en las que refieren la reparación de la maquina asfaltadora </w:t>
      </w:r>
      <w:r w:rsidR="00131E4A" w:rsidRPr="00A660C8">
        <w:rPr>
          <w:rFonts w:ascii="Palatino Linotype" w:eastAsia="Palatino Linotype" w:hAnsi="Palatino Linotype" w:cs="Palatino Linotype"/>
          <w:b/>
        </w:rPr>
        <w:t>“la dragonera Fenix”</w:t>
      </w:r>
      <w:r w:rsidR="00131E4A" w:rsidRPr="00A660C8">
        <w:rPr>
          <w:rFonts w:ascii="Palatino Linotype" w:eastAsia="Palatino Linotype" w:hAnsi="Palatino Linotype" w:cs="Palatino Linotype"/>
        </w:rPr>
        <w:t xml:space="preserve"> </w:t>
      </w:r>
      <w:r w:rsidRPr="00A660C8">
        <w:rPr>
          <w:rFonts w:ascii="Palatino Linotype" w:eastAsia="Palatino Linotype" w:hAnsi="Palatino Linotype" w:cs="Palatino Linotype"/>
        </w:rPr>
        <w:t xml:space="preserve"> es que el </w:t>
      </w:r>
      <w:r w:rsidRPr="00A660C8">
        <w:rPr>
          <w:rFonts w:ascii="Palatino Linotype" w:eastAsia="Palatino Linotype" w:hAnsi="Palatino Linotype" w:cs="Palatino Linotype"/>
          <w:b/>
        </w:rPr>
        <w:t xml:space="preserve">SUJETO OBLIGADO </w:t>
      </w:r>
      <w:r w:rsidRPr="00A660C8">
        <w:rPr>
          <w:rFonts w:ascii="Palatino Linotype" w:eastAsia="Palatino Linotype" w:hAnsi="Palatino Linotype" w:cs="Palatino Linotype"/>
        </w:rPr>
        <w:t xml:space="preserve">deberá de entregar lo relacionado con los puntos solicitados por el </w:t>
      </w:r>
      <w:r w:rsidRPr="00A660C8">
        <w:rPr>
          <w:rFonts w:ascii="Palatino Linotype" w:eastAsia="Palatino Linotype" w:hAnsi="Palatino Linotype" w:cs="Palatino Linotype"/>
          <w:b/>
        </w:rPr>
        <w:t>RECURRENTE</w:t>
      </w:r>
      <w:r w:rsidRPr="00A660C8">
        <w:rPr>
          <w:rFonts w:ascii="Palatino Linotype" w:eastAsia="Palatino Linotype" w:hAnsi="Palatino Linotype" w:cs="Palatino Linotype"/>
        </w:rPr>
        <w:t>.</w:t>
      </w:r>
    </w:p>
    <w:p w:rsidR="00CD3D2C" w:rsidRPr="00A660C8" w:rsidRDefault="00CD3D2C">
      <w:pPr>
        <w:pBdr>
          <w:top w:val="nil"/>
          <w:left w:val="nil"/>
          <w:bottom w:val="nil"/>
          <w:right w:val="nil"/>
          <w:between w:val="nil"/>
        </w:pBdr>
        <w:ind w:left="708" w:right="-787"/>
        <w:rPr>
          <w:rFonts w:ascii="Palatino Linotype" w:eastAsia="Palatino Linotype" w:hAnsi="Palatino Linotype" w:cs="Palatino Linotype"/>
          <w:color w:val="FF0000"/>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 xml:space="preserve">Ahora bien, como la información de solicitud de información recae en temas de adquisiciones de bienes y servicios es que se analiza lo siguiente. </w:t>
      </w:r>
    </w:p>
    <w:p w:rsidR="00CD3D2C" w:rsidRPr="00A660C8" w:rsidRDefault="00CD3D2C">
      <w:pPr>
        <w:pBdr>
          <w:top w:val="nil"/>
          <w:left w:val="nil"/>
          <w:bottom w:val="nil"/>
          <w:right w:val="nil"/>
          <w:between w:val="nil"/>
        </w:pBdr>
        <w:ind w:left="708" w:right="-787"/>
        <w:rPr>
          <w:color w:val="000000"/>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Una vez que se señaló la fuente obligacional y los hechos notorios del porque el </w:t>
      </w:r>
      <w:r w:rsidRPr="00A660C8">
        <w:rPr>
          <w:rFonts w:ascii="Palatino Linotype" w:eastAsia="Palatino Linotype" w:hAnsi="Palatino Linotype" w:cs="Palatino Linotype"/>
          <w:b/>
          <w:color w:val="000000"/>
        </w:rPr>
        <w:t xml:space="preserve">SUJETO OBLIGADO </w:t>
      </w:r>
      <w:r w:rsidRPr="00A660C8">
        <w:rPr>
          <w:rFonts w:ascii="Palatino Linotype" w:eastAsia="Palatino Linotype" w:hAnsi="Palatino Linotype" w:cs="Palatino Linotype"/>
          <w:color w:val="000000"/>
        </w:rPr>
        <w:t xml:space="preserve">debe de contar con la información solicitada, también se debe de referir  que lo solicitado tiene carácter de información </w:t>
      </w:r>
      <w:r w:rsidRPr="00A660C8">
        <w:rPr>
          <w:rFonts w:ascii="Palatino Linotype" w:eastAsia="Palatino Linotype" w:hAnsi="Palatino Linotype" w:cs="Palatino Linotype"/>
        </w:rPr>
        <w:t>pública</w:t>
      </w:r>
      <w:r w:rsidRPr="00A660C8">
        <w:rPr>
          <w:rFonts w:ascii="Palatino Linotype" w:eastAsia="Palatino Linotype" w:hAnsi="Palatino Linotype" w:cs="Palatino Linotype"/>
          <w:color w:val="000000"/>
        </w:rPr>
        <w:t xml:space="preserve"> de oficio de </w:t>
      </w:r>
      <w:r w:rsidRPr="00A660C8">
        <w:rPr>
          <w:rFonts w:ascii="Palatino Linotype" w:eastAsia="Palatino Linotype" w:hAnsi="Palatino Linotype" w:cs="Palatino Linotype"/>
          <w:color w:val="000000"/>
        </w:rPr>
        <w:lastRenderedPageBreak/>
        <w:t xml:space="preserve">acuerdo con el artículo 92 de la Ley de Transparencia y Acceso a la Información Pública del Estado de México y Municipios.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 a) De licitaciones públicas o procedimientos de invitación restringida: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1) La convocatoria o invitación emitida, así como los fundamentos legales aplicados para llevarla a cabo;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2) Los nombres de los participantes o invitados;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3) El nombre del ganador y las razones que lo justifican;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4) El área solicitante y la responsable de su ejecución;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5) Las convocatorias e invitaciones emitidas;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6) Los dictámenes y fallo de adjudicación;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7) El contrato y, en su caso, sus anexos;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8) Los mecanismos de vigilancia y supervisión, incluyendo en su caso, los estudios de impacto urbano y ambiental, según corresponda;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9) La partida presupuestal, de conformidad con el clasificador por objeto del gasto, en el caso de ser aplicable;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10) Origen de los recursos especificando si son federales, estatales o municipales, así como el tipo de fondo de participación o aportación respectiva; 11) Los convenios modificatorios que, en su caso, sean firmados, precisando el objeto y la fecha de celebración;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12) Los informes de avance físico y financiero sobre las obras o servicios contratados;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13) El convenio de terminación; y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14) El finiquito.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b/>
          <w:i/>
          <w:color w:val="000000"/>
          <w:sz w:val="22"/>
          <w:szCs w:val="22"/>
        </w:rPr>
        <w:t>b) De las adjudicaciones directas</w:t>
      </w:r>
      <w:r w:rsidRPr="00A660C8">
        <w:rPr>
          <w:rFonts w:ascii="Palatino Linotype" w:eastAsia="Palatino Linotype" w:hAnsi="Palatino Linotype" w:cs="Palatino Linotype"/>
          <w:i/>
          <w:color w:val="000000"/>
          <w:sz w:val="22"/>
          <w:szCs w:val="22"/>
        </w:rPr>
        <w:t xml:space="preserve">: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1) La propuesta enviada por el participante;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2) Los motivos y fundamentos legales aplicados para llevarla a cabo;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3) La autorización del ejercicio de la opción;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4) En su caso, las cotizaciones consideradas, especificando los nombres de los proveedores y sus montos;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lastRenderedPageBreak/>
        <w:t xml:space="preserve">5) El nombre de la persona física o jurídica colectiva adjudicada;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6) La unidad administrativa solicitante y la responsable de su ejecución;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b/>
          <w:i/>
          <w:color w:val="000000"/>
          <w:sz w:val="22"/>
          <w:szCs w:val="22"/>
        </w:rPr>
        <w:t>7) El número, fecha, el monto del contrato y el plazo de entrega o de ejecución de los servicios u obra</w:t>
      </w:r>
      <w:r w:rsidRPr="00A660C8">
        <w:rPr>
          <w:rFonts w:ascii="Palatino Linotype" w:eastAsia="Palatino Linotype" w:hAnsi="Palatino Linotype" w:cs="Palatino Linotype"/>
          <w:i/>
          <w:color w:val="000000"/>
          <w:sz w:val="22"/>
          <w:szCs w:val="22"/>
        </w:rPr>
        <w:t xml:space="preserve">;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8) Los mecanismos de vigilancia y supervisión, incluyendo, en su caso, los estudios de impacto urbano y ambiental, según corresponda;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9) Los informes de avance sobre las obras o servicios contratados;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10) El convenio de terminación; y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11) El finiquito.</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XXXIV. Las estadísticas que generen en cumplimiento de sus facultades, competencias o funciones con la mayor desagregación posible;</w:t>
      </w:r>
    </w:p>
    <w:p w:rsidR="00CD3D2C" w:rsidRPr="00A660C8" w:rsidRDefault="005B05BD">
      <w:pPr>
        <w:spacing w:line="360" w:lineRule="auto"/>
        <w:ind w:right="-787"/>
        <w:jc w:val="both"/>
        <w:rPr>
          <w:rFonts w:ascii="Palatino Linotype" w:eastAsia="Palatino Linotype" w:hAnsi="Palatino Linotype" w:cs="Palatino Linotype"/>
          <w:color w:val="000000"/>
        </w:rPr>
      </w:pPr>
      <w:r w:rsidRPr="00A660C8">
        <w:rPr>
          <w:rFonts w:ascii="Palatino Linotype" w:eastAsia="Palatino Linotype" w:hAnsi="Palatino Linotype" w:cs="Palatino Linotype"/>
          <w:color w:val="000000"/>
        </w:rPr>
        <w:t xml:space="preserve"> </w:t>
      </w:r>
    </w:p>
    <w:p w:rsidR="00CD3D2C" w:rsidRPr="00A660C8" w:rsidRDefault="00CD3D2C">
      <w:pPr>
        <w:pBdr>
          <w:top w:val="nil"/>
          <w:left w:val="nil"/>
          <w:bottom w:val="nil"/>
          <w:right w:val="nil"/>
          <w:between w:val="nil"/>
        </w:pBdr>
        <w:ind w:left="720" w:right="-787"/>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color w:val="000000"/>
        </w:rPr>
        <w:t>En</w:t>
      </w:r>
      <w:r w:rsidRPr="00A660C8">
        <w:rPr>
          <w:rFonts w:ascii="Palatino Linotype" w:eastAsia="Palatino Linotype" w:hAnsi="Palatino Linotype" w:cs="Palatino Linotype"/>
        </w:rPr>
        <w:t xml:space="preserve"> esa línea de estudio, es necesario analizar que los procedimientos de adquisiciones pueden realizarse por medio de adquisiciones y licitaciones mismas que se analizan a continuación. </w:t>
      </w:r>
    </w:p>
    <w:p w:rsidR="00CD3D2C" w:rsidRPr="00A660C8" w:rsidRDefault="00CD3D2C">
      <w:pPr>
        <w:pBdr>
          <w:top w:val="nil"/>
          <w:left w:val="nil"/>
          <w:bottom w:val="nil"/>
          <w:right w:val="nil"/>
          <w:between w:val="nil"/>
        </w:pBdr>
        <w:ind w:left="720" w:right="-787"/>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 xml:space="preserve">En ese sentido, la Ley de la  Contratación Pública del Estado de México y Municipios, tiene por objeto regular los actos relativos a la planeación, programación, presupuestación, ejecución y control de las obras públicas de los  </w:t>
      </w:r>
      <w:r w:rsidRPr="00A660C8">
        <w:rPr>
          <w:rFonts w:ascii="Palatino Linotype" w:eastAsia="Palatino Linotype" w:hAnsi="Palatino Linotype" w:cs="Palatino Linotype"/>
          <w:color w:val="000000"/>
        </w:rPr>
        <w:t>Ayuntamientos</w:t>
      </w:r>
      <w:r w:rsidRPr="00A660C8">
        <w:rPr>
          <w:rFonts w:ascii="Palatino Linotype" w:eastAsia="Palatino Linotype" w:hAnsi="Palatino Linotype" w:cs="Palatino Linotype"/>
        </w:rPr>
        <w:t xml:space="preserve"> del Estado; los cuales </w:t>
      </w:r>
      <w:r w:rsidRPr="00A660C8">
        <w:rPr>
          <w:rFonts w:ascii="Palatino Linotype" w:eastAsia="Palatino Linotype" w:hAnsi="Palatino Linotype" w:cs="Palatino Linotype"/>
          <w:b/>
        </w:rPr>
        <w:t>se adjudicará a través de licitaciones públicas, invitación restringida o adjudicación directa</w:t>
      </w:r>
      <w:r w:rsidRPr="00A660C8">
        <w:rPr>
          <w:rFonts w:ascii="Palatino Linotype" w:eastAsia="Palatino Linotype" w:hAnsi="Palatino Linotype" w:cs="Palatino Linotype"/>
        </w:rPr>
        <w:t>, mediante convocatoria pública, tal y como lo establecen los artículos 4, 26 y 27 de dicha Ley, los cuales son del tenor siguiente:</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w:t>
      </w:r>
      <w:r w:rsidRPr="00A660C8">
        <w:rPr>
          <w:rFonts w:ascii="Palatino Linotype" w:eastAsia="Palatino Linotype" w:hAnsi="Palatino Linotype" w:cs="Palatino Linotype"/>
          <w:b/>
          <w:i/>
          <w:sz w:val="22"/>
          <w:szCs w:val="22"/>
        </w:rPr>
        <w:t>Artículo 4.-</w:t>
      </w:r>
      <w:r w:rsidRPr="00A660C8">
        <w:rPr>
          <w:rFonts w:ascii="Palatino Linotype" w:eastAsia="Palatino Linotype" w:hAnsi="Palatino Linotype" w:cs="Palatino Linotype"/>
          <w:i/>
          <w:sz w:val="22"/>
          <w:szCs w:val="22"/>
        </w:rPr>
        <w:t xml:space="preserve"> Para los efectos de esta Ley, en las adquisiciones, enajenaciones, arrendamientos y servicios, quedan comprendidos: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I. La adquisición de bienes muebles.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II. La adquisición de bienes inmuebles, a través de compraventa.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III. La enajenación de bienes muebles e inmuebles.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IV. El arrendamiento de bienes muebles e inmuebles.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V. La contratación de los servicios, relacionados con bienes muebles que se encuentran incorporados o adheridos a bienes inmuebles, cuya instalación o mantenimiento no implique modificación al bien inmueble. </w:t>
      </w:r>
    </w:p>
    <w:p w:rsidR="00CD3D2C" w:rsidRPr="00A660C8" w:rsidRDefault="005B05BD">
      <w:pPr>
        <w:ind w:left="1134" w:right="-220"/>
        <w:jc w:val="both"/>
        <w:rPr>
          <w:rFonts w:ascii="Palatino Linotype" w:eastAsia="Palatino Linotype" w:hAnsi="Palatino Linotype" w:cs="Palatino Linotype"/>
          <w:b/>
          <w:i/>
          <w:sz w:val="22"/>
          <w:szCs w:val="22"/>
          <w:u w:val="single"/>
        </w:rPr>
      </w:pPr>
      <w:r w:rsidRPr="00A660C8">
        <w:rPr>
          <w:rFonts w:ascii="Palatino Linotype" w:eastAsia="Palatino Linotype" w:hAnsi="Palatino Linotype" w:cs="Palatino Linotype"/>
          <w:b/>
          <w:i/>
          <w:sz w:val="22"/>
          <w:szCs w:val="22"/>
          <w:u w:val="single"/>
        </w:rPr>
        <w:lastRenderedPageBreak/>
        <w:t xml:space="preserve">VI. La contratación de los servicios de reconstrucción y mantenimiento de bienes muebles.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u w:val="single"/>
        </w:rPr>
        <w:t xml:space="preserve">VII. La contratación de los servicios </w:t>
      </w:r>
      <w:r w:rsidRPr="00A660C8">
        <w:rPr>
          <w:rFonts w:ascii="Palatino Linotype" w:eastAsia="Palatino Linotype" w:hAnsi="Palatino Linotype" w:cs="Palatino Linotype"/>
          <w:i/>
          <w:sz w:val="22"/>
          <w:szCs w:val="22"/>
        </w:rPr>
        <w:t>de maquila, seguros y transportación, así como de los de limpieza y vigilancia de bienes inmuebles</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rsidR="00CD3D2C" w:rsidRPr="00A660C8" w:rsidRDefault="005B05BD">
      <w:pPr>
        <w:ind w:left="1134" w:right="-220"/>
        <w:jc w:val="both"/>
        <w:rPr>
          <w:rFonts w:ascii="Palatino Linotype" w:eastAsia="Palatino Linotype" w:hAnsi="Palatino Linotype" w:cs="Palatino Linotype"/>
          <w:b/>
          <w:i/>
          <w:sz w:val="22"/>
          <w:szCs w:val="22"/>
          <w:u w:val="single"/>
        </w:rPr>
      </w:pPr>
      <w:r w:rsidRPr="00A660C8">
        <w:rPr>
          <w:rFonts w:ascii="Palatino Linotype" w:eastAsia="Palatino Linotype" w:hAnsi="Palatino Linotype" w:cs="Palatino Linotype"/>
          <w:b/>
          <w:i/>
          <w:sz w:val="22"/>
          <w:szCs w:val="22"/>
          <w:u w:val="single"/>
        </w:rPr>
        <w:t>En general, otros actos que impliquen la contratación de servicios de cualquier naturaleza.</w:t>
      </w:r>
    </w:p>
    <w:p w:rsidR="00CD3D2C" w:rsidRPr="00A660C8" w:rsidRDefault="005B05BD">
      <w:pPr>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Artículo 26.- Las adquisiciones, arrendamientos y servicios se adjudicarán a través de licitaciones públicas, mediante convocatoria pública.</w:t>
      </w:r>
    </w:p>
    <w:p w:rsidR="00CD3D2C" w:rsidRPr="00A660C8" w:rsidRDefault="00CD3D2C">
      <w:pPr>
        <w:ind w:left="1134" w:right="-220"/>
        <w:jc w:val="both"/>
        <w:rPr>
          <w:rFonts w:ascii="Palatino Linotype" w:eastAsia="Palatino Linotype" w:hAnsi="Palatino Linotype" w:cs="Palatino Linotype"/>
          <w:b/>
          <w:i/>
          <w:sz w:val="22"/>
          <w:szCs w:val="22"/>
        </w:rPr>
      </w:pP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rPr>
        <w:t xml:space="preserve">Artículo 27.- </w:t>
      </w:r>
      <w:r w:rsidRPr="00A660C8">
        <w:rPr>
          <w:rFonts w:ascii="Palatino Linotype" w:eastAsia="Palatino Linotype" w:hAnsi="Palatino Linotype" w:cs="Palatino Linotype"/>
          <w:i/>
          <w:sz w:val="22"/>
          <w:szCs w:val="22"/>
        </w:rPr>
        <w:t>La Oficialía Mayor, las entidades, los tribunales administrativos y los ayuntamientos podrán adjudicar adquisiciones, arrendamientos y servicios, mediante las excepciones al procedimiento de licitación que a continuación se señalan:</w:t>
      </w:r>
    </w:p>
    <w:p w:rsidR="00CD3D2C" w:rsidRPr="00A660C8" w:rsidRDefault="005B05BD">
      <w:pPr>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 xml:space="preserve">I. Invitación restringida. </w:t>
      </w:r>
    </w:p>
    <w:p w:rsidR="00CD3D2C" w:rsidRPr="00A660C8" w:rsidRDefault="005B05BD">
      <w:pPr>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II. Adjudicación directa.”</w:t>
      </w:r>
    </w:p>
    <w:p w:rsidR="00CD3D2C" w:rsidRPr="00A660C8" w:rsidRDefault="005B05BD">
      <w:pPr>
        <w:ind w:left="1134" w:right="-220"/>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(Énfasis añadido) </w:t>
      </w:r>
    </w:p>
    <w:p w:rsidR="00CD3D2C" w:rsidRPr="00A660C8" w:rsidRDefault="00CD3D2C">
      <w:pPr>
        <w:ind w:right="-787"/>
        <w:rPr>
          <w:rFonts w:ascii="Palatino Linotype" w:eastAsia="Palatino Linotype" w:hAnsi="Palatino Linotype" w:cs="Palatino Linotype"/>
          <w:i/>
        </w:rPr>
      </w:pPr>
    </w:p>
    <w:p w:rsidR="00CD3D2C" w:rsidRPr="00A660C8" w:rsidRDefault="00CD3D2C">
      <w:pPr>
        <w:spacing w:line="360" w:lineRule="auto"/>
        <w:ind w:right="-787"/>
        <w:jc w:val="both"/>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Ahora bien, el artículo 48 de la Ley de Contratación Pública del Estado de México y Municipios, contempla las </w:t>
      </w:r>
      <w:r w:rsidRPr="00A660C8">
        <w:rPr>
          <w:rFonts w:ascii="Palatino Linotype" w:eastAsia="Palatino Linotype" w:hAnsi="Palatino Linotype" w:cs="Palatino Linotype"/>
        </w:rPr>
        <w:t>siguientes</w:t>
      </w:r>
      <w:r w:rsidRPr="00A660C8">
        <w:rPr>
          <w:rFonts w:ascii="Palatino Linotype" w:eastAsia="Palatino Linotype" w:hAnsi="Palatino Linotype" w:cs="Palatino Linotype"/>
          <w:color w:val="000000"/>
        </w:rPr>
        <w:t xml:space="preserve"> etapas para la </w:t>
      </w:r>
      <w:r w:rsidRPr="00A660C8">
        <w:rPr>
          <w:rFonts w:ascii="Palatino Linotype" w:eastAsia="Palatino Linotype" w:hAnsi="Palatino Linotype" w:cs="Palatino Linotype"/>
          <w:b/>
          <w:color w:val="000000"/>
        </w:rPr>
        <w:t xml:space="preserve">adjudicación directa. </w:t>
      </w:r>
    </w:p>
    <w:p w:rsidR="00CD3D2C" w:rsidRPr="00A660C8" w:rsidRDefault="005B05BD">
      <w:pPr>
        <w:tabs>
          <w:tab w:val="left" w:pos="284"/>
        </w:tabs>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b/>
          <w:i/>
          <w:color w:val="000000"/>
          <w:sz w:val="22"/>
          <w:szCs w:val="22"/>
        </w:rPr>
        <w:t>Artículo 48.-</w:t>
      </w:r>
      <w:r w:rsidRPr="00A660C8">
        <w:rPr>
          <w:rFonts w:ascii="Palatino Linotype" w:eastAsia="Palatino Linotype" w:hAnsi="Palatino Linotype" w:cs="Palatino Linotype"/>
          <w:i/>
          <w:color w:val="000000"/>
          <w:sz w:val="22"/>
          <w:szCs w:val="22"/>
        </w:rPr>
        <w:t xml:space="preserve"> La Oficialía Mayor, las entidades, los tribunales administrativos y </w:t>
      </w:r>
      <w:r w:rsidRPr="00A660C8">
        <w:rPr>
          <w:rFonts w:ascii="Palatino Linotype" w:eastAsia="Palatino Linotype" w:hAnsi="Palatino Linotype" w:cs="Palatino Linotype"/>
          <w:b/>
          <w:i/>
          <w:color w:val="000000"/>
          <w:sz w:val="22"/>
          <w:szCs w:val="22"/>
        </w:rPr>
        <w:t>los ayuntamientos</w:t>
      </w:r>
      <w:r w:rsidRPr="00A660C8">
        <w:rPr>
          <w:rFonts w:ascii="Palatino Linotype" w:eastAsia="Palatino Linotype" w:hAnsi="Palatino Linotype" w:cs="Palatino Linotype"/>
          <w:i/>
          <w:color w:val="000000"/>
          <w:sz w:val="22"/>
          <w:szCs w:val="22"/>
        </w:rPr>
        <w:t xml:space="preserve"> podrán adquirir bienes, arrendar bienes muebles e inmuebles y contratar servicios, mediante adjudicación directa, cuando: </w:t>
      </w:r>
    </w:p>
    <w:p w:rsidR="00CD3D2C" w:rsidRPr="00A660C8" w:rsidRDefault="005B05BD">
      <w:pPr>
        <w:numPr>
          <w:ilvl w:val="1"/>
          <w:numId w:val="10"/>
        </w:numPr>
        <w:pBdr>
          <w:top w:val="nil"/>
          <w:left w:val="nil"/>
          <w:bottom w:val="nil"/>
          <w:right w:val="nil"/>
          <w:between w:val="nil"/>
        </w:pBdr>
        <w:tabs>
          <w:tab w:val="left" w:pos="284"/>
        </w:tabs>
        <w:ind w:left="1134" w:right="-220" w:firstLine="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La adquisición o el servicio sólo puedan realizarse con una determinada persona, por tratarse de obras de arte, titularidad de patentes, registros, marcas específicas, derechos de autor u otros derechos exclusivos. </w:t>
      </w:r>
    </w:p>
    <w:p w:rsidR="00CD3D2C" w:rsidRPr="00A660C8" w:rsidRDefault="005B05BD">
      <w:pPr>
        <w:pBdr>
          <w:top w:val="nil"/>
          <w:left w:val="nil"/>
          <w:bottom w:val="nil"/>
          <w:right w:val="nil"/>
          <w:between w:val="nil"/>
        </w:pBdr>
        <w:tabs>
          <w:tab w:val="left" w:pos="284"/>
        </w:tabs>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CD3D2C" w:rsidRPr="00A660C8" w:rsidRDefault="005B05BD">
      <w:pPr>
        <w:pBdr>
          <w:top w:val="nil"/>
          <w:left w:val="nil"/>
          <w:bottom w:val="nil"/>
          <w:right w:val="nil"/>
          <w:between w:val="nil"/>
        </w:pBdr>
        <w:tabs>
          <w:tab w:val="left" w:pos="284"/>
        </w:tabs>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lastRenderedPageBreak/>
        <w:t xml:space="preserve">III. Se trate de servicios que requieran de experiencia, técnicas o equipos especiales, o se trate de la adquisición de bienes usados o de características especiales que solamente puedan ser prestados o suministrados por una sola persona. </w:t>
      </w:r>
    </w:p>
    <w:p w:rsidR="00CD3D2C" w:rsidRPr="00A660C8" w:rsidRDefault="005B05BD">
      <w:pPr>
        <w:pBdr>
          <w:top w:val="nil"/>
          <w:left w:val="nil"/>
          <w:bottom w:val="nil"/>
          <w:right w:val="nil"/>
          <w:between w:val="nil"/>
        </w:pBdr>
        <w:tabs>
          <w:tab w:val="left" w:pos="284"/>
        </w:tabs>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rsidR="00CD3D2C" w:rsidRPr="00A660C8" w:rsidRDefault="005B05BD">
      <w:pPr>
        <w:pBdr>
          <w:top w:val="nil"/>
          <w:left w:val="nil"/>
          <w:bottom w:val="nil"/>
          <w:right w:val="nil"/>
          <w:between w:val="nil"/>
        </w:pBdr>
        <w:tabs>
          <w:tab w:val="left" w:pos="284"/>
        </w:tabs>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V. Existan circunstancias que puedan provocar pérdidas o costos adicionales importantes al erario. </w:t>
      </w:r>
    </w:p>
    <w:p w:rsidR="00CD3D2C" w:rsidRPr="00A660C8" w:rsidRDefault="005B05BD">
      <w:pPr>
        <w:pBdr>
          <w:top w:val="nil"/>
          <w:left w:val="nil"/>
          <w:bottom w:val="nil"/>
          <w:right w:val="nil"/>
          <w:between w:val="nil"/>
        </w:pBdr>
        <w:tabs>
          <w:tab w:val="left" w:pos="284"/>
        </w:tabs>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VI. Pueda comprometerse información de naturaleza confidencial para el Estado o municipios, por razones de seguridad pública. </w:t>
      </w:r>
    </w:p>
    <w:p w:rsidR="00CD3D2C" w:rsidRPr="00A660C8" w:rsidRDefault="005B05BD">
      <w:pPr>
        <w:pBdr>
          <w:top w:val="nil"/>
          <w:left w:val="nil"/>
          <w:bottom w:val="nil"/>
          <w:right w:val="nil"/>
          <w:between w:val="nil"/>
        </w:pBdr>
        <w:tabs>
          <w:tab w:val="left" w:pos="284"/>
        </w:tabs>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VII. Existan circunstancias extraordinarias o imprevisibles derivadas de riesgo o desastre. En este supuesto, la adquisición, arrendamiento y servicio deberá limitarse a lo estrictamente necesario para enfrentar tal eventualidad. </w:t>
      </w:r>
    </w:p>
    <w:p w:rsidR="00CD3D2C" w:rsidRPr="00A660C8" w:rsidRDefault="005B05BD">
      <w:pPr>
        <w:pBdr>
          <w:top w:val="nil"/>
          <w:left w:val="nil"/>
          <w:bottom w:val="nil"/>
          <w:right w:val="nil"/>
          <w:between w:val="nil"/>
        </w:pBdr>
        <w:tabs>
          <w:tab w:val="left" w:pos="284"/>
        </w:tabs>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VIII. Se hubiere rescindido un contrato, por causas imputables al proveedor o que la persona que habiendo resultado ganadora en una licitación, no concurra a la suscripción del contrato dentro del plazo establecido en esta Ley. En estos supuestos, la Oficialía Mayor,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rsidR="00CD3D2C" w:rsidRPr="00A660C8" w:rsidRDefault="005B05BD">
      <w:pPr>
        <w:pBdr>
          <w:top w:val="nil"/>
          <w:left w:val="nil"/>
          <w:bottom w:val="nil"/>
          <w:right w:val="nil"/>
          <w:between w:val="nil"/>
        </w:pBdr>
        <w:tabs>
          <w:tab w:val="left" w:pos="284"/>
        </w:tabs>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IX. Se hubiere declarado desierto un procedimiento de invitación restringida. </w:t>
      </w:r>
    </w:p>
    <w:p w:rsidR="00CD3D2C" w:rsidRPr="00A660C8" w:rsidRDefault="005B05BD">
      <w:pPr>
        <w:pBdr>
          <w:top w:val="nil"/>
          <w:left w:val="nil"/>
          <w:bottom w:val="nil"/>
          <w:right w:val="nil"/>
          <w:between w:val="nil"/>
        </w:pBdr>
        <w:tabs>
          <w:tab w:val="left" w:pos="284"/>
        </w:tabs>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X. Cuando se aseguren condiciones financieras que permitan al Estado o a los municipios cumplir con la obligación de pago de manera diferida, sin que ello implique un costo financiero adicional o que habiéndolo, sea inferior al del mercado, o </w:t>
      </w:r>
    </w:p>
    <w:p w:rsidR="00CD3D2C" w:rsidRPr="00A660C8" w:rsidRDefault="005B05BD">
      <w:pPr>
        <w:pBdr>
          <w:top w:val="nil"/>
          <w:left w:val="nil"/>
          <w:bottom w:val="nil"/>
          <w:right w:val="nil"/>
          <w:between w:val="nil"/>
        </w:pBdr>
        <w:tabs>
          <w:tab w:val="left" w:pos="284"/>
        </w:tabs>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CD3D2C" w:rsidRPr="00A660C8" w:rsidRDefault="005B05BD">
      <w:pPr>
        <w:pBdr>
          <w:top w:val="nil"/>
          <w:left w:val="nil"/>
          <w:bottom w:val="nil"/>
          <w:right w:val="nil"/>
          <w:between w:val="nil"/>
        </w:pBdr>
        <w:tabs>
          <w:tab w:val="left" w:pos="284"/>
        </w:tabs>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XII. Se trate de bienes producidos por sociedades cooperativas, de producción rural, de interés colectivo, de solidaridad social, sociedades y asociaciones de fin social, </w:t>
      </w:r>
      <w:r w:rsidRPr="00A660C8">
        <w:rPr>
          <w:rFonts w:ascii="Palatino Linotype" w:eastAsia="Palatino Linotype" w:hAnsi="Palatino Linotype" w:cs="Palatino Linotype"/>
          <w:i/>
          <w:color w:val="000000"/>
          <w:sz w:val="22"/>
          <w:szCs w:val="22"/>
        </w:rPr>
        <w:lastRenderedPageBreak/>
        <w:t xml:space="preserve">cuyo objeto no sea preponderantemente lucrativo, producidos en el Estado de México y adquiridos directamente a éstas. </w:t>
      </w:r>
    </w:p>
    <w:p w:rsidR="00CD3D2C" w:rsidRPr="00A660C8" w:rsidRDefault="005B05BD">
      <w:pPr>
        <w:pBdr>
          <w:top w:val="nil"/>
          <w:left w:val="nil"/>
          <w:bottom w:val="nil"/>
          <w:right w:val="nil"/>
          <w:between w:val="nil"/>
        </w:pBdr>
        <w:tabs>
          <w:tab w:val="left" w:pos="284"/>
        </w:tabs>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b/>
          <w:i/>
          <w:color w:val="000000"/>
          <w:sz w:val="22"/>
          <w:szCs w:val="22"/>
        </w:rPr>
        <w:t>Artículo 49.-</w:t>
      </w:r>
      <w:r w:rsidRPr="00A660C8">
        <w:rPr>
          <w:rFonts w:ascii="Palatino Linotype" w:eastAsia="Palatino Linotype" w:hAnsi="Palatino Linotype" w:cs="Palatino Linotype"/>
          <w:i/>
          <w:color w:val="000000"/>
          <w:sz w:val="22"/>
          <w:szCs w:val="22"/>
        </w:rPr>
        <w:t xml:space="preserve"> El procedimiento de adjudicación directa se substanciará con arreglo a el reglamento de esta Ley. </w:t>
      </w:r>
    </w:p>
    <w:p w:rsidR="00CD3D2C" w:rsidRPr="00A660C8" w:rsidRDefault="00CD3D2C">
      <w:pPr>
        <w:tabs>
          <w:tab w:val="left" w:pos="284"/>
        </w:tabs>
        <w:ind w:right="-787"/>
        <w:jc w:val="both"/>
        <w:rPr>
          <w:rFonts w:ascii="Palatino Linotype" w:eastAsia="Palatino Linotype" w:hAnsi="Palatino Linotype" w:cs="Palatino Linotype"/>
          <w:i/>
          <w:color w:val="000000"/>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En esa línea de estudio, de conformidad con el Reglamento de la Ley de Contratación Pública del Estado de México y Municipios, regula que por Adjudicación Directa se entiende lo siguiente. </w:t>
      </w:r>
    </w:p>
    <w:p w:rsidR="00CD3D2C" w:rsidRPr="00A660C8" w:rsidRDefault="005B05BD">
      <w:pP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Artículo 2.- Para los efectos de este Reglamento, se entenderá por: </w:t>
      </w:r>
    </w:p>
    <w:p w:rsidR="00CD3D2C" w:rsidRPr="00A660C8" w:rsidRDefault="005B05BD">
      <w:pPr>
        <w:numPr>
          <w:ilvl w:val="0"/>
          <w:numId w:val="11"/>
        </w:numPr>
        <w:pBdr>
          <w:top w:val="nil"/>
          <w:left w:val="nil"/>
          <w:bottom w:val="nil"/>
          <w:right w:val="nil"/>
          <w:between w:val="nil"/>
        </w:pBdr>
        <w:ind w:left="1134" w:right="-220" w:firstLine="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b/>
          <w:i/>
          <w:color w:val="000000"/>
          <w:sz w:val="22"/>
          <w:szCs w:val="22"/>
        </w:rPr>
        <w:t>Adjudicación directa:</w:t>
      </w:r>
      <w:r w:rsidRPr="00A660C8">
        <w:rPr>
          <w:rFonts w:ascii="Palatino Linotype" w:eastAsia="Palatino Linotype" w:hAnsi="Palatino Linotype" w:cs="Palatino Linotype"/>
          <w:i/>
          <w:color w:val="000000"/>
          <w:sz w:val="22"/>
          <w:szCs w:val="22"/>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rsidR="00CD3D2C" w:rsidRPr="00A660C8" w:rsidRDefault="00CD3D2C">
      <w:pPr>
        <w:pBdr>
          <w:top w:val="nil"/>
          <w:left w:val="nil"/>
          <w:bottom w:val="nil"/>
          <w:right w:val="nil"/>
          <w:between w:val="nil"/>
        </w:pBdr>
        <w:ind w:left="1854" w:right="-787"/>
        <w:jc w:val="both"/>
        <w:rPr>
          <w:rFonts w:ascii="Palatino Linotype" w:eastAsia="Palatino Linotype" w:hAnsi="Palatino Linotype" w:cs="Palatino Linotype"/>
          <w:i/>
          <w:color w:val="000000"/>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De lo anterior, se colige que el área convocante es quien designa al proveedor de bienes, arrendador, comprador o prestador del servicio con base en las mejores condiciones en cuanto a precio, calidad y financiamiento. </w:t>
      </w:r>
    </w:p>
    <w:p w:rsidR="00CD3D2C" w:rsidRPr="00A660C8" w:rsidRDefault="00CD3D2C">
      <w:pPr>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Seguidamente el artículo 93 del Reglamento de la Ley de Contratación Pública del Estado de México y Municipios, regula que los municipios </w:t>
      </w:r>
      <w:r w:rsidRPr="00A660C8">
        <w:rPr>
          <w:rFonts w:ascii="Palatino Linotype" w:eastAsia="Palatino Linotype" w:hAnsi="Palatino Linotype" w:cs="Palatino Linotype"/>
        </w:rPr>
        <w:t>solicitarán</w:t>
      </w:r>
      <w:r w:rsidRPr="00A660C8">
        <w:rPr>
          <w:rFonts w:ascii="Palatino Linotype" w:eastAsia="Palatino Linotype" w:hAnsi="Palatino Linotype" w:cs="Palatino Linotype"/>
          <w:color w:val="000000"/>
        </w:rPr>
        <w:t xml:space="preserve"> al Comité de Adquisiciones el dictamen de procedencia del procedimiento de adjudicación, en el que se acredite previamente lo siguiente. </w:t>
      </w:r>
    </w:p>
    <w:p w:rsidR="00CD3D2C" w:rsidRPr="00A660C8" w:rsidRDefault="005B05BD">
      <w:pP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b/>
          <w:i/>
          <w:color w:val="000000"/>
          <w:sz w:val="22"/>
          <w:szCs w:val="22"/>
        </w:rPr>
        <w:t xml:space="preserve">Artículo 93.- </w:t>
      </w:r>
      <w:r w:rsidRPr="00A660C8">
        <w:rPr>
          <w:rFonts w:ascii="Palatino Linotype" w:eastAsia="Palatino Linotype" w:hAnsi="Palatino Linotype" w:cs="Palatino Linotype"/>
          <w:i/>
          <w:color w:val="000000"/>
          <w:sz w:val="22"/>
          <w:szCs w:val="22"/>
        </w:rPr>
        <w:t xml:space="preserve">La Secretaría, organismos auxiliares, tribunales administrativos y municipios, solicitarán al comité el dictamen de procedencia del procedimiento de adjudicación directa, acreditando previamente: </w:t>
      </w:r>
    </w:p>
    <w:p w:rsidR="00CD3D2C" w:rsidRPr="00A660C8" w:rsidRDefault="005B05BD">
      <w:pPr>
        <w:numPr>
          <w:ilvl w:val="0"/>
          <w:numId w:val="12"/>
        </w:numPr>
        <w:pBdr>
          <w:top w:val="nil"/>
          <w:left w:val="nil"/>
          <w:bottom w:val="nil"/>
          <w:right w:val="nil"/>
          <w:between w:val="nil"/>
        </w:pBdr>
        <w:ind w:left="1134" w:right="-220" w:firstLine="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La descripción general de los bienes a adquirir o el servicio a contratar; </w:t>
      </w:r>
    </w:p>
    <w:p w:rsidR="00CD3D2C" w:rsidRPr="00A660C8" w:rsidRDefault="005B05BD">
      <w:pP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II. La justificación o conveniencia de llevar a cabo la adjudicación directa; y </w:t>
      </w:r>
    </w:p>
    <w:p w:rsidR="00CD3D2C" w:rsidRPr="00A660C8" w:rsidRDefault="005B05BD">
      <w:pPr>
        <w:ind w:left="1134" w:right="-220"/>
        <w:jc w:val="both"/>
        <w:rPr>
          <w:i/>
          <w:sz w:val="22"/>
          <w:szCs w:val="22"/>
        </w:rPr>
      </w:pPr>
      <w:r w:rsidRPr="00A660C8">
        <w:rPr>
          <w:rFonts w:ascii="Palatino Linotype" w:eastAsia="Palatino Linotype" w:hAnsi="Palatino Linotype" w:cs="Palatino Linotype"/>
          <w:i/>
          <w:color w:val="000000"/>
          <w:sz w:val="22"/>
          <w:szCs w:val="22"/>
        </w:rPr>
        <w:t>III. Certificación de suficiencia presupuestaria.</w:t>
      </w:r>
      <w:r w:rsidRPr="00A660C8">
        <w:rPr>
          <w:i/>
          <w:sz w:val="22"/>
          <w:szCs w:val="22"/>
        </w:rPr>
        <w:t xml:space="preserve"> </w:t>
      </w:r>
    </w:p>
    <w:p w:rsidR="00CD3D2C" w:rsidRPr="00A660C8" w:rsidRDefault="005B05BD">
      <w:pP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lastRenderedPageBreak/>
        <w:t xml:space="preserve">El oficio justificatorio a que se refiere la fracción II, </w:t>
      </w:r>
      <w:r w:rsidRPr="00A660C8">
        <w:rPr>
          <w:rFonts w:ascii="Palatino Linotype" w:eastAsia="Palatino Linotype" w:hAnsi="Palatino Linotype" w:cs="Palatino Linotype"/>
          <w:b/>
          <w:i/>
          <w:color w:val="000000"/>
          <w:sz w:val="22"/>
          <w:szCs w:val="22"/>
        </w:rPr>
        <w:t xml:space="preserve">deberá formularse por el titular de la unidad administrativa interesada en la adquisición de los bienes, la contratación de servicios o el arrendamiento. </w:t>
      </w:r>
    </w:p>
    <w:p w:rsidR="00CD3D2C" w:rsidRPr="00A660C8" w:rsidRDefault="00CD3D2C">
      <w:pPr>
        <w:ind w:left="1134" w:right="-787"/>
        <w:jc w:val="both"/>
        <w:rPr>
          <w:rFonts w:ascii="Palatino Linotype" w:eastAsia="Palatino Linotype" w:hAnsi="Palatino Linotype" w:cs="Palatino Linotype"/>
          <w:i/>
          <w:color w:val="000000"/>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De lo anterior, se contempla que dentro de la información que se encuentra en el expediente aperturado por el procedimiento de adjudicación directa se encuentra las descripción general de los </w:t>
      </w:r>
      <w:r w:rsidRPr="00A660C8">
        <w:rPr>
          <w:rFonts w:ascii="Palatino Linotype" w:eastAsia="Palatino Linotype" w:hAnsi="Palatino Linotype" w:cs="Palatino Linotype"/>
          <w:b/>
          <w:color w:val="000000"/>
        </w:rPr>
        <w:t>bienes a adquirir o servicios a contratar</w:t>
      </w:r>
      <w:r w:rsidRPr="00A660C8">
        <w:rPr>
          <w:rFonts w:ascii="Palatino Linotype" w:eastAsia="Palatino Linotype" w:hAnsi="Palatino Linotype" w:cs="Palatino Linotype"/>
          <w:color w:val="000000"/>
        </w:rPr>
        <w:t xml:space="preserve">, la justificación o conveniencia de llevar a cabo la adjudicación directa, la certificación </w:t>
      </w:r>
      <w:r w:rsidRPr="00A660C8">
        <w:rPr>
          <w:rFonts w:ascii="Palatino Linotype" w:eastAsia="Palatino Linotype" w:hAnsi="Palatino Linotype" w:cs="Palatino Linotype"/>
        </w:rPr>
        <w:t>de suficiencia</w:t>
      </w:r>
      <w:r w:rsidRPr="00A660C8">
        <w:rPr>
          <w:rFonts w:ascii="Palatino Linotype" w:eastAsia="Palatino Linotype" w:hAnsi="Palatino Linotype" w:cs="Palatino Linotype"/>
          <w:color w:val="000000"/>
        </w:rPr>
        <w:t xml:space="preserve"> presupuestaria y el oficio </w:t>
      </w:r>
      <w:r w:rsidRPr="00A660C8">
        <w:rPr>
          <w:rFonts w:ascii="Palatino Linotype" w:eastAsia="Palatino Linotype" w:hAnsi="Palatino Linotype" w:cs="Palatino Linotype"/>
        </w:rPr>
        <w:t>justificatorio</w:t>
      </w:r>
      <w:r w:rsidRPr="00A660C8">
        <w:rPr>
          <w:rFonts w:ascii="Palatino Linotype" w:eastAsia="Palatino Linotype" w:hAnsi="Palatino Linotype" w:cs="Palatino Linotype"/>
          <w:color w:val="000000"/>
        </w:rPr>
        <w:t xml:space="preserve"> que debe de formular el titular de la unidad administrativa interesada en la adquisiciones de los bienes, de servicios o arrendamientos.  </w:t>
      </w:r>
    </w:p>
    <w:p w:rsidR="00CD3D2C" w:rsidRPr="00A660C8" w:rsidRDefault="00CD3D2C">
      <w:pPr>
        <w:ind w:right="-787"/>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rPr>
        <w:t xml:space="preserve">Seguidamente tal y como se precisó en párrafos anteriores  la información solicitada es considerada información pública que debe encontrarse en la página del IPOMEX del </w:t>
      </w:r>
      <w:r w:rsidRPr="00A660C8">
        <w:rPr>
          <w:rFonts w:ascii="Palatino Linotype" w:eastAsia="Palatino Linotype" w:hAnsi="Palatino Linotype" w:cs="Palatino Linotype"/>
          <w:b/>
        </w:rPr>
        <w:t xml:space="preserve">SUJETO OBLIGADO, situación por la cual se señala en particular que de acuerdo con la Ley De Transparencia y Acceso a la Información Pública del Estado de México y Municipios los documentos que integran al procedimiento de adjudicación directa son los siguientes.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b/>
          <w:i/>
          <w:color w:val="000000"/>
          <w:sz w:val="22"/>
          <w:szCs w:val="22"/>
        </w:rPr>
        <w:t>Artículo 92.</w:t>
      </w:r>
      <w:r w:rsidRPr="00A660C8">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b) De las adjudicaciones directas: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1) La propuesta enviada por el participante;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2) Los motivos y fundamentos legales aplicados para llevarla a cabo;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3) La autorización del ejercicio de la opción;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4) En su caso, las cotizaciones consideradas, especificando los nombres de los proveedores y sus montos;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5) El nombre de la persona física o jurídica colectiva adjudicada;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lastRenderedPageBreak/>
        <w:t xml:space="preserve">6) La unidad administrativa solicitante y la responsable de su ejecución;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7) El número, fecha, el monto del contrato y el plazo de entrega o de ejecución de los servicios u obra;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8) Los mecanismos de vigilancia y supervisión, incluyendo, en su caso, los estudios de impacto urbano y ambiental, según corresponda;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9) Los informes de avance sobre las obras o servicios contratados;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10) El convenio de terminación; y </w:t>
      </w:r>
    </w:p>
    <w:p w:rsidR="00CD3D2C" w:rsidRPr="00A660C8" w:rsidRDefault="005B05BD">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11) El finiquito.</w:t>
      </w:r>
    </w:p>
    <w:p w:rsidR="00CD3D2C" w:rsidRPr="00A660C8" w:rsidRDefault="00CD3D2C">
      <w:pPr>
        <w:spacing w:line="360" w:lineRule="auto"/>
        <w:ind w:right="-787"/>
        <w:jc w:val="both"/>
        <w:rPr>
          <w:rFonts w:ascii="Palatino Linotype" w:eastAsia="Palatino Linotype" w:hAnsi="Palatino Linotype" w:cs="Palatino Linotype"/>
          <w:i/>
          <w:color w:val="000000"/>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 xml:space="preserve">Ahora bien, respecto al procedimiento de </w:t>
      </w:r>
      <w:r w:rsidRPr="00A660C8">
        <w:rPr>
          <w:rFonts w:ascii="Palatino Linotype" w:eastAsia="Palatino Linotype" w:hAnsi="Palatino Linotype" w:cs="Palatino Linotype"/>
          <w:b/>
          <w:i/>
          <w:u w:val="single"/>
        </w:rPr>
        <w:t>licitación pública</w:t>
      </w:r>
      <w:r w:rsidRPr="00A660C8">
        <w:rPr>
          <w:rFonts w:ascii="Palatino Linotype" w:eastAsia="Palatino Linotype" w:hAnsi="Palatino Linotype" w:cs="Palatino Linotype"/>
        </w:rPr>
        <w:t xml:space="preserve">, es de mencionar que de acuerdo con el Banco Interamericano de Desarrollo, la licitación es un procedimiento formal y competitivo de adquisiciones, mediante el cual se solicitan, reciben y evalúan ofertas para la adquisición de </w:t>
      </w:r>
      <w:r w:rsidRPr="00A660C8">
        <w:rPr>
          <w:rFonts w:ascii="Palatino Linotype" w:eastAsia="Palatino Linotype" w:hAnsi="Palatino Linotype" w:cs="Palatino Linotype"/>
          <w:b/>
          <w:i/>
          <w:u w:val="single"/>
        </w:rPr>
        <w:t>bienes</w:t>
      </w:r>
      <w:r w:rsidRPr="00A660C8">
        <w:rPr>
          <w:rFonts w:ascii="Palatino Linotype" w:eastAsia="Palatino Linotype" w:hAnsi="Palatino Linotype" w:cs="Palatino Linotype"/>
        </w:rPr>
        <w:t xml:space="preserve">, </w:t>
      </w:r>
      <w:r w:rsidRPr="00A660C8">
        <w:rPr>
          <w:rFonts w:ascii="Palatino Linotype" w:eastAsia="Palatino Linotype" w:hAnsi="Palatino Linotype" w:cs="Palatino Linotype"/>
          <w:b/>
          <w:i/>
          <w:u w:val="single"/>
        </w:rPr>
        <w:t>obras o servicios</w:t>
      </w:r>
      <w:r w:rsidRPr="00A660C8">
        <w:rPr>
          <w:rFonts w:ascii="Palatino Linotype" w:eastAsia="Palatino Linotype" w:hAnsi="Palatino Linotype" w:cs="Palatino Linotype"/>
        </w:rPr>
        <w:t xml:space="preserve"> y se adjudica el contrato correspondiente al licitador que ofrezca la propuesta más ventajosa. (Desarrollo, 1995)</w:t>
      </w:r>
    </w:p>
    <w:p w:rsidR="00CD3D2C" w:rsidRPr="00A660C8" w:rsidRDefault="00CD3D2C">
      <w:pPr>
        <w:ind w:left="720" w:right="-787"/>
        <w:rPr>
          <w:rFonts w:ascii="Palatino Linotype" w:eastAsia="Palatino Linotype" w:hAnsi="Palatino Linotype" w:cs="Palatino Linotype"/>
        </w:rPr>
      </w:pPr>
    </w:p>
    <w:p w:rsidR="00CD3D2C" w:rsidRPr="00A660C8" w:rsidRDefault="00CD3D2C">
      <w:pPr>
        <w:ind w:left="720" w:right="-787"/>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 xml:space="preserve">El artículo 23 de la Ley de Contratación Pública del Estado de México y Municipios, establece que los Comités de Adquisiciones y Servicios, tendrán las siguientes funciones.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Artículo 23.- Los comités de adquisiciones y de servicios tendrán las funciones siguientes: </w:t>
      </w:r>
    </w:p>
    <w:p w:rsidR="00CD3D2C" w:rsidRPr="00A660C8" w:rsidRDefault="005B05BD">
      <w:pPr>
        <w:numPr>
          <w:ilvl w:val="0"/>
          <w:numId w:val="13"/>
        </w:numPr>
        <w:ind w:left="1134" w:right="-220" w:firstLine="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Dictaminar sobre la procedencia de los casos de excepción al procedimiento de licitación pública. </w:t>
      </w:r>
    </w:p>
    <w:p w:rsidR="00CD3D2C" w:rsidRPr="00A660C8" w:rsidRDefault="005B05BD">
      <w:pPr>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 xml:space="preserve">II. Participar en los procedimientos de licitación, invitación restringida y adjudicación directa, hasta dejarlos en estado de dictar el fallo correspondiente, incluidos los que tengan que desahogarse bajo la modalidad de subasta inversa.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III. Emitir los dictámenes de adjudicación.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IV. Las demás que establezca el reglamento de esta Ley.</w:t>
      </w:r>
    </w:p>
    <w:p w:rsidR="00CD3D2C" w:rsidRPr="00A660C8" w:rsidRDefault="00CD3D2C">
      <w:pPr>
        <w:ind w:left="1134" w:right="-787"/>
        <w:jc w:val="both"/>
        <w:rPr>
          <w:rFonts w:ascii="Palatino Linotype" w:eastAsia="Palatino Linotype" w:hAnsi="Palatino Linotype" w:cs="Palatino Linotype"/>
          <w:i/>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lastRenderedPageBreak/>
        <w:t xml:space="preserve">En esa línea de estudio, el artículo 35 de la Ley de Contratación Pública del Estado de México y Municipios, establece que el procedimiento que sigue la licitación pública es el siguiente.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rPr>
        <w:t>Artículo 35.-</w:t>
      </w:r>
      <w:r w:rsidRPr="00A660C8">
        <w:rPr>
          <w:rFonts w:ascii="Palatino Linotype" w:eastAsia="Palatino Linotype" w:hAnsi="Palatino Linotype" w:cs="Palatino Linotype"/>
          <w:i/>
          <w:sz w:val="22"/>
          <w:szCs w:val="22"/>
        </w:rPr>
        <w:t xml:space="preserve"> En los procedimientos de licitación pública se observará lo siguiente: </w:t>
      </w:r>
    </w:p>
    <w:p w:rsidR="00CD3D2C" w:rsidRPr="00A660C8" w:rsidRDefault="005B05BD">
      <w:pPr>
        <w:numPr>
          <w:ilvl w:val="0"/>
          <w:numId w:val="2"/>
        </w:numPr>
        <w:ind w:left="1134" w:right="-220" w:firstLine="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El acto de presentación y apertura de propuestas se llevará a cabo por el servidor público que designe la convocante, conforme al procedimiento que se establezca en el reglamento de esta Ley.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II. El comité de adquisiciones y servicios evaluará y analizará las propuestas técnicas y económicas presentadas por los licitantes en el ámbito de las respectivas competencias de sus integrantes, y emitirá el dictamen de adjudicación.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IV. Las convocantes podrán modificar los plazos y términos establecidos en la convocatoria o en las bases de licitación, hasta cinco días hábiles anteriores a la fecha de la celebración del acto de presentación y apertura de propuestas.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V. Las modificaciones no podrán limitar el número de licitantes, sustituir o variar sustancialmente los bienes o servicios convocados originalmente, ni adicionar otros distintos.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VI. Las modificaciones a la convocatoria o a las bases se harán del conocimiento de los interesados hasta tres días hábiles antes de la fecha señalada para el acto de presentación y apertura de propuestas.</w:t>
      </w:r>
      <w:r w:rsidRPr="00A660C8">
        <w:rPr>
          <w:rFonts w:ascii="Calibri" w:eastAsia="Calibri" w:hAnsi="Calibri" w:cs="Calibri"/>
          <w:i/>
          <w:sz w:val="22"/>
          <w:szCs w:val="22"/>
        </w:rPr>
        <w:t xml:space="preserve">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VII. Se emitirá el fallo dentro de los 15 días hábiles siguientes a la publicación de la convocatoria.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VIII. Los licitantes se podrán registrar hasta el día y la hora fijados para el acto de presentación y apertura de propuestas.</w:t>
      </w:r>
    </w:p>
    <w:p w:rsidR="00CD3D2C" w:rsidRPr="00A660C8" w:rsidRDefault="00CD3D2C">
      <w:pPr>
        <w:spacing w:line="360" w:lineRule="auto"/>
        <w:ind w:right="-787"/>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 xml:space="preserve">Seguidamente el artículo 39 de la Ley de Contratación Pública del Estado de México y Municipios, regula que cada uno de los actos del procedimiento adquisitivo se levantará el acta respectiva, la cual será firmada por los participantes. </w:t>
      </w:r>
    </w:p>
    <w:p w:rsidR="00CD3D2C" w:rsidRPr="00A660C8" w:rsidRDefault="00CD3D2C">
      <w:pPr>
        <w:spacing w:line="360" w:lineRule="auto"/>
        <w:ind w:right="-787"/>
        <w:jc w:val="center"/>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lastRenderedPageBreak/>
        <w:t xml:space="preserve">Ahora bien, como se mencionó en párrafos anteriores la información solicitada por el </w:t>
      </w:r>
      <w:r w:rsidRPr="00A660C8">
        <w:rPr>
          <w:rFonts w:ascii="Palatino Linotype" w:eastAsia="Palatino Linotype" w:hAnsi="Palatino Linotype" w:cs="Palatino Linotype"/>
          <w:b/>
        </w:rPr>
        <w:t xml:space="preserve">RECURRENTE </w:t>
      </w:r>
      <w:r w:rsidRPr="00A660C8">
        <w:rPr>
          <w:rFonts w:ascii="Palatino Linotype" w:eastAsia="Palatino Linotype" w:hAnsi="Palatino Linotype" w:cs="Palatino Linotype"/>
        </w:rPr>
        <w:t xml:space="preserve">forma parte de las obligaciones de transparencia común, situación por la cual de conformidad con el artículo 92 de la Ley de Transparencia y Acceso a la Información Pública del Estado de México,  establece que los documentos de consulta de las licitaciones públicas e invitación restringida son los siguientes. </w:t>
      </w:r>
    </w:p>
    <w:p w:rsidR="00CD3D2C" w:rsidRPr="00A660C8" w:rsidRDefault="005B05BD">
      <w:pPr>
        <w:ind w:left="1134" w:right="-220"/>
        <w:jc w:val="both"/>
        <w:rPr>
          <w:rFonts w:ascii="Calibri" w:eastAsia="Calibri" w:hAnsi="Calibri" w:cs="Calibri"/>
          <w:sz w:val="22"/>
          <w:szCs w:val="22"/>
        </w:rPr>
      </w:pPr>
      <w:r w:rsidRPr="00A660C8">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A660C8">
        <w:rPr>
          <w:rFonts w:ascii="Calibri" w:eastAsia="Calibri" w:hAnsi="Calibri" w:cs="Calibri"/>
          <w:sz w:val="22"/>
          <w:szCs w:val="22"/>
        </w:rPr>
        <w:t xml:space="preserve">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XXIX. La </w:t>
      </w:r>
      <w:r w:rsidRPr="00A660C8">
        <w:rPr>
          <w:rFonts w:ascii="Palatino Linotype" w:eastAsia="Palatino Linotype" w:hAnsi="Palatino Linotype" w:cs="Palatino Linotype"/>
          <w:b/>
          <w:i/>
          <w:sz w:val="22"/>
          <w:szCs w:val="22"/>
        </w:rPr>
        <w:t>información sobre los procesos y resultados sobre procedimientos de adjudicación directa, invitación restringida y licitación de cualquier naturaleza</w:t>
      </w:r>
      <w:r w:rsidRPr="00A660C8">
        <w:rPr>
          <w:rFonts w:ascii="Palatino Linotype" w:eastAsia="Palatino Linotype" w:hAnsi="Palatino Linotype" w:cs="Palatino Linotype"/>
          <w:i/>
          <w:sz w:val="22"/>
          <w:szCs w:val="22"/>
        </w:rPr>
        <w:t xml:space="preserve">, incluyendo la versión pública del expediente respectivo y de los contratos celebrados, que deberán contener, por los menos, lo siguiente: </w:t>
      </w:r>
    </w:p>
    <w:p w:rsidR="00CD3D2C" w:rsidRPr="00A660C8" w:rsidRDefault="005B05BD">
      <w:pPr>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a) De licitaciones públicas o procedimientos de invitación restringida:</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 1) La convocatoria o invitación emitida, así como los fundamentos legales aplicados para llevarla a cabo;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2) Los nombres de los participantes o invitados;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3) El nombre del ganador y las razones que lo justifican;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4) El área solicitante y la responsable de su ejecución;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5) Las convocatorias e invitaciones emitidas;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6) Los dictámenes y fallo de adjudicación; 7</w:t>
      </w:r>
    </w:p>
    <w:p w:rsidR="00CD3D2C" w:rsidRPr="00A660C8" w:rsidRDefault="005B05BD">
      <w:pPr>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 xml:space="preserve">) El contrato y, en su caso, sus anexos;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12) Los informes de avance físico y financiero sobre las obras o servicios contratados;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13) El convenio de terminación; y </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14) El finiquito. </w:t>
      </w:r>
    </w:p>
    <w:p w:rsidR="00CD3D2C" w:rsidRPr="00A660C8" w:rsidRDefault="00CD3D2C">
      <w:pPr>
        <w:spacing w:line="360" w:lineRule="auto"/>
        <w:ind w:left="1134" w:right="-787"/>
        <w:jc w:val="both"/>
        <w:rPr>
          <w:rFonts w:ascii="Palatino Linotype" w:eastAsia="Palatino Linotype" w:hAnsi="Palatino Linotype" w:cs="Palatino Linotype"/>
          <w:i/>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lastRenderedPageBreak/>
        <w:t xml:space="preserve">Siguiendo esa línea de estudio, la Ley de Contratación Pública del Estado de México y Municipios, establece que las licitaciones podrán </w:t>
      </w:r>
      <w:r w:rsidRPr="00A660C8">
        <w:rPr>
          <w:rFonts w:ascii="Palatino Linotype" w:eastAsia="Palatino Linotype" w:hAnsi="Palatino Linotype" w:cs="Palatino Linotype"/>
        </w:rPr>
        <w:t>ser de la siguiente</w:t>
      </w:r>
      <w:r w:rsidRPr="00A660C8">
        <w:rPr>
          <w:rFonts w:ascii="Palatino Linotype" w:eastAsia="Palatino Linotype" w:hAnsi="Palatino Linotype" w:cs="Palatino Linotype"/>
          <w:color w:val="000000"/>
        </w:rPr>
        <w:t xml:space="preserve"> manera. </w:t>
      </w:r>
    </w:p>
    <w:p w:rsidR="00CD3D2C" w:rsidRPr="00A660C8" w:rsidRDefault="005B05BD">
      <w:pPr>
        <w:tabs>
          <w:tab w:val="left" w:pos="284"/>
        </w:tabs>
        <w:ind w:left="1134"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Artículo 29.-</w:t>
      </w:r>
      <w:r w:rsidRPr="00A660C8">
        <w:rPr>
          <w:rFonts w:ascii="Palatino Linotype" w:eastAsia="Palatino Linotype" w:hAnsi="Palatino Linotype" w:cs="Palatino Linotype"/>
          <w:i/>
          <w:color w:val="000000"/>
          <w:sz w:val="22"/>
          <w:szCs w:val="22"/>
        </w:rPr>
        <w:t xml:space="preserve"> En el procedimiento de licitación pública deberán establecerse los mismos requisitos y condiciones para todos los licitantes. Todo licitante que satisfaga los requisitos de la convocatoria y de las bases de la licitación tendrá derecho a presentar su propuesta. Las entidades, los tribunales administrativos y </w:t>
      </w:r>
      <w:r w:rsidRPr="00A660C8">
        <w:rPr>
          <w:rFonts w:ascii="Palatino Linotype" w:eastAsia="Palatino Linotype" w:hAnsi="Palatino Linotype" w:cs="Palatino Linotype"/>
          <w:b/>
          <w:i/>
          <w:color w:val="000000"/>
          <w:sz w:val="22"/>
          <w:szCs w:val="22"/>
        </w:rPr>
        <w:t>los ayuntamientos proporcionarán a los interesados igual acceso a la información relacionada con la licitación, a fin de evitar favorecer a algún participante.</w:t>
      </w:r>
    </w:p>
    <w:p w:rsidR="00CD3D2C" w:rsidRPr="00A660C8" w:rsidRDefault="005B05BD">
      <w:pPr>
        <w:tabs>
          <w:tab w:val="left" w:pos="284"/>
        </w:tabs>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i/>
          <w:sz w:val="22"/>
          <w:szCs w:val="22"/>
        </w:rPr>
        <w:t xml:space="preserve">Artículo 30.- </w:t>
      </w:r>
      <w:r w:rsidRPr="00A660C8">
        <w:rPr>
          <w:rFonts w:ascii="Palatino Linotype" w:eastAsia="Palatino Linotype" w:hAnsi="Palatino Linotype" w:cs="Palatino Linotype"/>
          <w:b/>
          <w:i/>
          <w:sz w:val="22"/>
          <w:szCs w:val="22"/>
        </w:rPr>
        <w:t xml:space="preserve">Las licitaciones públicas podrán ser: </w:t>
      </w:r>
    </w:p>
    <w:p w:rsidR="00CD3D2C" w:rsidRPr="00A660C8" w:rsidRDefault="005B05BD">
      <w:pPr>
        <w:numPr>
          <w:ilvl w:val="0"/>
          <w:numId w:val="3"/>
        </w:numPr>
        <w:pBdr>
          <w:top w:val="nil"/>
          <w:left w:val="nil"/>
          <w:bottom w:val="nil"/>
          <w:right w:val="nil"/>
          <w:between w:val="nil"/>
        </w:pBdr>
        <w:tabs>
          <w:tab w:val="left" w:pos="284"/>
        </w:tabs>
        <w:ind w:right="-220"/>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Nacionales, cuando únicamente puedan participar personas de nacionalidad mexicana. </w:t>
      </w:r>
    </w:p>
    <w:p w:rsidR="00CD3D2C" w:rsidRPr="00A660C8" w:rsidRDefault="005B05BD">
      <w:pPr>
        <w:numPr>
          <w:ilvl w:val="0"/>
          <w:numId w:val="3"/>
        </w:numPr>
        <w:pBdr>
          <w:top w:val="nil"/>
          <w:left w:val="nil"/>
          <w:bottom w:val="nil"/>
          <w:right w:val="nil"/>
          <w:between w:val="nil"/>
        </w:pBdr>
        <w:tabs>
          <w:tab w:val="left" w:pos="284"/>
        </w:tabs>
        <w:ind w:right="-22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Internacionales, cuando puedan participar tanto personas de nacionalidad mexicana como extranjera.</w:t>
      </w:r>
    </w:p>
    <w:p w:rsidR="00CD3D2C" w:rsidRPr="00A660C8" w:rsidRDefault="00CD3D2C">
      <w:pPr>
        <w:spacing w:line="360" w:lineRule="auto"/>
        <w:ind w:right="-787"/>
        <w:jc w:val="both"/>
        <w:rPr>
          <w:rFonts w:ascii="Palatino Linotype" w:eastAsia="Palatino Linotype" w:hAnsi="Palatino Linotype" w:cs="Palatino Linotype"/>
        </w:rPr>
      </w:pPr>
    </w:p>
    <w:p w:rsidR="00CD3D2C" w:rsidRPr="00A660C8" w:rsidRDefault="00CD3D2C">
      <w:pPr>
        <w:pBdr>
          <w:top w:val="nil"/>
          <w:left w:val="nil"/>
          <w:bottom w:val="nil"/>
          <w:right w:val="nil"/>
          <w:between w:val="nil"/>
        </w:pBdr>
        <w:ind w:left="708" w:right="-787"/>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 xml:space="preserve">De lo anterior, se refiere que la información solicitada de los contratos, facturas, costos y la persona física o moral a quien se le otorgó la reparación de la asfaltadora referida en la solicitud de información, si debe de obrar en los archivos del </w:t>
      </w:r>
      <w:r w:rsidRPr="00A660C8">
        <w:rPr>
          <w:rFonts w:ascii="Palatino Linotype" w:eastAsia="Palatino Linotype" w:hAnsi="Palatino Linotype" w:cs="Palatino Linotype"/>
          <w:b/>
        </w:rPr>
        <w:t xml:space="preserve">SUJETO OBLIGADO. </w:t>
      </w:r>
    </w:p>
    <w:p w:rsidR="00CD3D2C" w:rsidRPr="00A660C8" w:rsidRDefault="00CD3D2C">
      <w:pPr>
        <w:spacing w:line="360" w:lineRule="auto"/>
        <w:ind w:right="-787"/>
        <w:jc w:val="both"/>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Ahora bien, respecto de los c</w:t>
      </w:r>
      <w:r w:rsidRPr="00A660C8">
        <w:rPr>
          <w:rFonts w:ascii="Palatino Linotype" w:eastAsia="Palatino Linotype" w:hAnsi="Palatino Linotype" w:cs="Palatino Linotype"/>
          <w:b/>
        </w:rPr>
        <w:t>ontratos</w:t>
      </w:r>
      <w:r w:rsidRPr="00A660C8">
        <w:rPr>
          <w:rFonts w:ascii="Palatino Linotype" w:eastAsia="Palatino Linotype" w:hAnsi="Palatino Linotype" w:cs="Palatino Linotype"/>
        </w:rPr>
        <w:t xml:space="preserve"> se tiene que, es un acto jurídico bilateral que se constituye por el acuerdo de voluntades de dos o más personas y que produce ciertas consecuencias jurídicas (creación o transmisión de derechos y obligaciones), debido al reconocimiento de una norma de derecho</w:t>
      </w:r>
    </w:p>
    <w:p w:rsidR="00CD3D2C" w:rsidRPr="00A660C8" w:rsidRDefault="00CD3D2C">
      <w:pPr>
        <w:spacing w:before="240" w:after="160"/>
        <w:ind w:left="1134" w:right="-787"/>
        <w:jc w:val="both"/>
        <w:rPr>
          <w:rFonts w:ascii="Palatino Linotype" w:eastAsia="Palatino Linotype" w:hAnsi="Palatino Linotype" w:cs="Palatino Linotype"/>
          <w:i/>
          <w:color w:val="000000"/>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 xml:space="preserve">Dentro de los mismos, pueden obrar datos personales susceptibles de clasificarse como lo son, la clave de elector, teléfono particular, correo electrónico </w:t>
      </w:r>
      <w:r w:rsidRPr="00A660C8">
        <w:rPr>
          <w:rFonts w:ascii="Palatino Linotype" w:eastAsia="Palatino Linotype" w:hAnsi="Palatino Linotype" w:cs="Palatino Linotype"/>
        </w:rPr>
        <w:lastRenderedPageBreak/>
        <w:t xml:space="preserve">personal Clave Única de Registro de Población (CURP), número de pasaporte, cuenta bancaria del proveedor, banco y sucursal del proveedor, clave interbancaria del proveedor, es así que, por lo que hace </w:t>
      </w:r>
      <w:r w:rsidRPr="00A660C8">
        <w:rPr>
          <w:rFonts w:ascii="Palatino Linotype" w:eastAsia="Palatino Linotype" w:hAnsi="Palatino Linotype" w:cs="Palatino Linotype"/>
          <w:b/>
        </w:rPr>
        <w:t xml:space="preserve">al nombre del servidor público, nombre, denominación o razón social del proveedor, nombre del apoderado o representante legal, domicilio fiscal, teléfono empresarial o institucional, firmas, y RFC se consideran datos personales públicos. </w:t>
      </w:r>
    </w:p>
    <w:p w:rsidR="00CD3D2C" w:rsidRPr="00A660C8" w:rsidRDefault="00CD3D2C">
      <w:pPr>
        <w:pBdr>
          <w:top w:val="nil"/>
          <w:left w:val="nil"/>
          <w:bottom w:val="nil"/>
          <w:right w:val="nil"/>
          <w:between w:val="nil"/>
        </w:pBdr>
        <w:ind w:left="720" w:right="-787"/>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Cobra sustento lo anterior, con el criterio 01/19 reiterado vigente del INAI, que refiere lo siguiente:</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rPr>
        <w:t>Datos de identificación del representante o apoderado legal.</w:t>
      </w:r>
      <w:r w:rsidRPr="00A660C8">
        <w:rPr>
          <w:rFonts w:ascii="Palatino Linotype" w:eastAsia="Palatino Linotype" w:hAnsi="Palatino Linotype" w:cs="Palatino Linotype"/>
          <w:i/>
          <w:sz w:val="22"/>
          <w:szCs w:val="22"/>
        </w:rPr>
        <w:t xml:space="preserve"> </w:t>
      </w:r>
      <w:r w:rsidRPr="00A660C8">
        <w:rPr>
          <w:rFonts w:ascii="Palatino Linotype" w:eastAsia="Palatino Linotype" w:hAnsi="Palatino Linotype" w:cs="Palatino Linotype"/>
          <w:b/>
          <w:i/>
          <w:sz w:val="22"/>
          <w:szCs w:val="22"/>
        </w:rPr>
        <w:t xml:space="preserve">Naturaleza jurídica. </w:t>
      </w:r>
      <w:r w:rsidRPr="00A660C8">
        <w:rPr>
          <w:rFonts w:ascii="Palatino Linotype" w:eastAsia="Palatino Linotype" w:hAnsi="Palatino Linotype" w:cs="Palatino Linotype"/>
          <w:i/>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CD3D2C" w:rsidRPr="00A660C8" w:rsidRDefault="00CD3D2C">
      <w:pPr>
        <w:ind w:left="1134" w:right="-220"/>
        <w:jc w:val="both"/>
        <w:rPr>
          <w:rFonts w:ascii="Palatino Linotype" w:eastAsia="Palatino Linotype" w:hAnsi="Palatino Linotype" w:cs="Palatino Linotype"/>
          <w:i/>
          <w:color w:val="000000"/>
          <w:sz w:val="22"/>
          <w:szCs w:val="22"/>
        </w:rPr>
      </w:pPr>
    </w:p>
    <w:p w:rsidR="00CD3D2C" w:rsidRPr="00A660C8" w:rsidRDefault="005B05BD">
      <w:pPr>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Precedentes:</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Acceso a la información pública. RRA 3104/16. Sesión del 01 de noviembre del 2016. Votación por unanimidad. Sin votos disidentes o particulares. Secretaría de la Defensa Nacional. Comisionado Ponente Oscar Mauricio Guerra Ford.</w:t>
      </w:r>
    </w:p>
    <w:p w:rsidR="00CD3D2C" w:rsidRPr="00A660C8" w:rsidRDefault="005B05BD">
      <w:pPr>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i/>
          <w:sz w:val="22"/>
          <w:szCs w:val="22"/>
        </w:rPr>
        <w:t>Acceso a la información pública. RRA 2923/16. Sesión del 13 de diciembre de 2016. Votación por unanimidad. Sin votos disidentes o particulares. Administración Portuaria Integral de Lázaro Cárdenas, S.A. de C.V. Comisionada Ponente María Patricia Kurczyn Villalobos.</w:t>
      </w:r>
    </w:p>
    <w:p w:rsidR="00CD3D2C" w:rsidRPr="00A660C8" w:rsidRDefault="005B05BD">
      <w:pPr>
        <w:tabs>
          <w:tab w:val="left" w:pos="7371"/>
        </w:tabs>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rsidR="00CD3D2C" w:rsidRPr="00A660C8" w:rsidRDefault="00CD3D2C">
      <w:pPr>
        <w:ind w:right="-787"/>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t>Seguidamente, como se solicita la información de las facturas es que se debe de precisar lo siguiente.</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Ahora bien, de las </w:t>
      </w:r>
      <w:r w:rsidRPr="00A660C8">
        <w:rPr>
          <w:rFonts w:ascii="Palatino Linotype" w:eastAsia="Palatino Linotype" w:hAnsi="Palatino Linotype" w:cs="Palatino Linotype"/>
          <w:b/>
          <w:color w:val="000000"/>
        </w:rPr>
        <w:t>facturas</w:t>
      </w:r>
      <w:r w:rsidRPr="00A660C8">
        <w:rPr>
          <w:rFonts w:ascii="Palatino Linotype" w:eastAsia="Palatino Linotype" w:hAnsi="Palatino Linotype" w:cs="Palatino Linotype"/>
          <w:color w:val="000000"/>
        </w:rPr>
        <w:t xml:space="preserve">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12">
        <w:r w:rsidRPr="00A660C8">
          <w:rPr>
            <w:rFonts w:ascii="Palatino Linotype" w:eastAsia="Palatino Linotype" w:hAnsi="Palatino Linotype" w:cs="Palatino Linotype"/>
            <w:color w:val="000000"/>
          </w:rPr>
          <w:t>http://omawww.sat.gob.mx/ /Paginas/solicita_requisitos.htm</w:t>
        </w:r>
      </w:hyperlink>
      <w:r w:rsidRPr="00A660C8">
        <w:rPr>
          <w:rFonts w:ascii="Palatino Linotype" w:eastAsia="Palatino Linotype" w:hAnsi="Palatino Linotype" w:cs="Palatino Linotype"/>
          <w:color w:val="000000"/>
        </w:rPr>
        <w:t>, de conformidad con lo siguiente:</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rPr>
        <w:t>Requisitos que deben reunir las facturas que recibas</w:t>
      </w:r>
      <w:r w:rsidRPr="00A660C8">
        <w:rPr>
          <w:rFonts w:ascii="Palatino Linotype" w:eastAsia="Palatino Linotype" w:hAnsi="Palatino Linotype" w:cs="Palatino Linotype"/>
          <w:i/>
          <w:sz w:val="22"/>
          <w:szCs w:val="22"/>
        </w:rPr>
        <w:t>:</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  </w:t>
      </w:r>
      <w:r w:rsidRPr="00A660C8">
        <w:rPr>
          <w:rFonts w:ascii="Palatino Linotype" w:eastAsia="Palatino Linotype" w:hAnsi="Palatino Linotype" w:cs="Palatino Linotype"/>
          <w:b/>
          <w:i/>
          <w:sz w:val="22"/>
          <w:szCs w:val="22"/>
          <w:u w:val="single"/>
        </w:rPr>
        <w:t>Clave del Registro Federal de Contribuyentes de quien los expida</w:t>
      </w:r>
      <w:r w:rsidRPr="00A660C8">
        <w:rPr>
          <w:rFonts w:ascii="Palatino Linotype" w:eastAsia="Palatino Linotype" w:hAnsi="Palatino Linotype" w:cs="Palatino Linotype"/>
          <w:i/>
          <w:sz w:val="22"/>
          <w:szCs w:val="22"/>
        </w:rPr>
        <w:t>.</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Régimen Fiscal en que tributen conforme a la Ley del ISR.</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Sí se tiene más de un local o establecimiento, se deberá señalar el domicilio del local o establecimiento en el que se expidan las Facturas.</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Contener el número de folio asignado por el SAT y el sello digital del SAT.</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xml:space="preserve">  </w:t>
      </w:r>
      <w:r w:rsidRPr="00A660C8">
        <w:rPr>
          <w:rFonts w:ascii="Palatino Linotype" w:eastAsia="Palatino Linotype" w:hAnsi="Palatino Linotype" w:cs="Palatino Linotype"/>
          <w:b/>
          <w:i/>
          <w:sz w:val="22"/>
          <w:szCs w:val="22"/>
          <w:u w:val="single"/>
        </w:rPr>
        <w:t>Sello digital del contribuyente que lo expide</w:t>
      </w:r>
      <w:r w:rsidRPr="00A660C8">
        <w:rPr>
          <w:rFonts w:ascii="Palatino Linotype" w:eastAsia="Palatino Linotype" w:hAnsi="Palatino Linotype" w:cs="Palatino Linotype"/>
          <w:i/>
          <w:sz w:val="22"/>
          <w:szCs w:val="22"/>
        </w:rPr>
        <w:t>.</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Lugar y fecha de expedición.</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Clave del Registro Federal de Contribuyentes de la persona a favor de quien se expida.</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Cantidad, unidad de medida y clase de los bienes, mercancías o descripción del servicio o del uso o goce que amparen.</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Valor unitario consignado en número.</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Importe total señalado en número o en letra.</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Señalamiento expreso cuando la prestación se pague en una sola exhibición o en parcialidades.</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Cuando proceda, se indicará el monto de los impuestos trasladados, desglosados por tasa de impuesto y, en su caso, el monto de los impuestos retenidos.</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Forma en que se realizó el pago (efectivo, transferencia electrónica de fondos, cheque nominativos o tarjeta de débito, de crédito, de servicio o la denominada monedero electrónico que autorice el Servicio de Administración Tributaria).</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  Número y fecha del documento aduanero, tratándose de ventas de primera mano de mercancías de importación.</w:t>
      </w:r>
    </w:p>
    <w:p w:rsidR="00CD3D2C" w:rsidRPr="00A660C8" w:rsidRDefault="005B05BD">
      <w:pPr>
        <w:ind w:left="1134" w:right="-220"/>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br/>
      </w:r>
      <w:r w:rsidRPr="00A660C8">
        <w:rPr>
          <w:rFonts w:ascii="Palatino Linotype" w:eastAsia="Palatino Linotype" w:hAnsi="Palatino Linotype" w:cs="Palatino Linotype"/>
          <w:b/>
          <w:i/>
          <w:sz w:val="22"/>
          <w:szCs w:val="22"/>
        </w:rPr>
        <w:t>Además, debe contener los siguientes datos:</w:t>
      </w:r>
      <w:r w:rsidRPr="00A660C8">
        <w:rPr>
          <w:rFonts w:ascii="Palatino Linotype" w:eastAsia="Palatino Linotype" w:hAnsi="Palatino Linotype" w:cs="Palatino Linotype"/>
          <w:b/>
          <w:i/>
          <w:sz w:val="22"/>
          <w:szCs w:val="22"/>
        </w:rPr>
        <w:br/>
        <w:t>a) Fecha y hora de certificación.</w:t>
      </w:r>
      <w:r w:rsidRPr="00A660C8">
        <w:rPr>
          <w:rFonts w:ascii="Palatino Linotype" w:eastAsia="Palatino Linotype" w:hAnsi="Palatino Linotype" w:cs="Palatino Linotype"/>
          <w:b/>
          <w:i/>
          <w:sz w:val="22"/>
          <w:szCs w:val="22"/>
        </w:rPr>
        <w:br/>
      </w:r>
      <w:r w:rsidRPr="00A660C8">
        <w:rPr>
          <w:rFonts w:ascii="Palatino Linotype" w:eastAsia="Palatino Linotype" w:hAnsi="Palatino Linotype" w:cs="Palatino Linotype"/>
          <w:b/>
          <w:i/>
          <w:sz w:val="22"/>
          <w:szCs w:val="22"/>
        </w:rPr>
        <w:lastRenderedPageBreak/>
        <w:t>b) Número de serie del certificado digital del SAT con el que se realizó el sellado</w:t>
      </w:r>
      <w:r w:rsidRPr="00A660C8">
        <w:rPr>
          <w:rFonts w:ascii="Palatino Linotype" w:eastAsia="Palatino Linotype" w:hAnsi="Palatino Linotype" w:cs="Palatino Linotype"/>
          <w:i/>
          <w:sz w:val="22"/>
          <w:szCs w:val="22"/>
        </w:rPr>
        <w:t>.</w:t>
      </w:r>
    </w:p>
    <w:p w:rsidR="00CD3D2C" w:rsidRPr="00A660C8" w:rsidRDefault="00CD3D2C">
      <w:pPr>
        <w:spacing w:line="360" w:lineRule="auto"/>
        <w:ind w:right="-787"/>
        <w:jc w:val="both"/>
        <w:rPr>
          <w:rFonts w:ascii="Palatino Linotype" w:eastAsia="Palatino Linotype" w:hAnsi="Palatino Linotype" w:cs="Palatino Linotype"/>
        </w:rPr>
      </w:pPr>
    </w:p>
    <w:p w:rsidR="00CD3D2C" w:rsidRPr="00A660C8" w:rsidRDefault="00CD3D2C">
      <w:pPr>
        <w:ind w:right="-787"/>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Ahora bien, se debe de referir que de los datos de las facturas pueden obrar datos personales susceptibles de clasificarse como lo son, la clave de elector, </w:t>
      </w:r>
      <w:r w:rsidRPr="00A660C8">
        <w:rPr>
          <w:rFonts w:ascii="Palatino Linotype" w:eastAsia="Palatino Linotype" w:hAnsi="Palatino Linotype" w:cs="Palatino Linotype"/>
          <w:b/>
          <w:color w:val="000000"/>
        </w:rPr>
        <w:t>teléfono particular</w:t>
      </w:r>
      <w:r w:rsidRPr="00A660C8">
        <w:rPr>
          <w:rFonts w:ascii="Palatino Linotype" w:eastAsia="Palatino Linotype" w:hAnsi="Palatino Linotype" w:cs="Palatino Linotype"/>
          <w:color w:val="000000"/>
        </w:rPr>
        <w:t xml:space="preserve">, </w:t>
      </w:r>
      <w:r w:rsidRPr="00A660C8">
        <w:rPr>
          <w:rFonts w:ascii="Palatino Linotype" w:eastAsia="Palatino Linotype" w:hAnsi="Palatino Linotype" w:cs="Palatino Linotype"/>
          <w:b/>
          <w:color w:val="000000"/>
        </w:rPr>
        <w:t xml:space="preserve">correo electrónico personal, </w:t>
      </w:r>
      <w:r w:rsidRPr="00A660C8">
        <w:rPr>
          <w:rFonts w:ascii="Palatino Linotype" w:eastAsia="Palatino Linotype" w:hAnsi="Palatino Linotype" w:cs="Palatino Linotype"/>
          <w:color w:val="000000"/>
        </w:rPr>
        <w:t xml:space="preserve"> </w:t>
      </w:r>
      <w:r w:rsidRPr="00A660C8">
        <w:rPr>
          <w:rFonts w:ascii="Palatino Linotype" w:eastAsia="Palatino Linotype" w:hAnsi="Palatino Linotype" w:cs="Palatino Linotype"/>
          <w:b/>
          <w:color w:val="000000"/>
        </w:rPr>
        <w:t>Clave Única de Registro de Población (CURP</w:t>
      </w:r>
      <w:r w:rsidRPr="00A660C8">
        <w:rPr>
          <w:rFonts w:ascii="Palatino Linotype" w:eastAsia="Palatino Linotype" w:hAnsi="Palatino Linotype" w:cs="Palatino Linotype"/>
          <w:color w:val="000000"/>
        </w:rPr>
        <w:t xml:space="preserve">), </w:t>
      </w:r>
      <w:r w:rsidRPr="00A660C8">
        <w:rPr>
          <w:rFonts w:ascii="Palatino Linotype" w:eastAsia="Palatino Linotype" w:hAnsi="Palatino Linotype" w:cs="Palatino Linotype"/>
          <w:b/>
        </w:rPr>
        <w:t>número</w:t>
      </w:r>
      <w:r w:rsidRPr="00A660C8">
        <w:rPr>
          <w:rFonts w:ascii="Palatino Linotype" w:eastAsia="Palatino Linotype" w:hAnsi="Palatino Linotype" w:cs="Palatino Linotype"/>
          <w:b/>
          <w:color w:val="000000"/>
        </w:rPr>
        <w:t xml:space="preserve"> de pasaporte</w:t>
      </w:r>
      <w:r w:rsidRPr="00A660C8">
        <w:rPr>
          <w:rFonts w:ascii="Palatino Linotype" w:eastAsia="Palatino Linotype" w:hAnsi="Palatino Linotype" w:cs="Palatino Linotype"/>
          <w:color w:val="000000"/>
        </w:rPr>
        <w:t xml:space="preserve">, </w:t>
      </w:r>
      <w:r w:rsidRPr="00A660C8">
        <w:rPr>
          <w:rFonts w:ascii="Palatino Linotype" w:eastAsia="Palatino Linotype" w:hAnsi="Palatino Linotype" w:cs="Palatino Linotype"/>
          <w:b/>
          <w:color w:val="000000"/>
        </w:rPr>
        <w:t>cuenta bancaria del proveedor</w:t>
      </w:r>
      <w:r w:rsidRPr="00A660C8">
        <w:rPr>
          <w:rFonts w:ascii="Palatino Linotype" w:eastAsia="Palatino Linotype" w:hAnsi="Palatino Linotype" w:cs="Palatino Linotype"/>
          <w:color w:val="000000"/>
        </w:rPr>
        <w:t xml:space="preserve">, </w:t>
      </w:r>
      <w:r w:rsidRPr="00A660C8">
        <w:rPr>
          <w:rFonts w:ascii="Palatino Linotype" w:eastAsia="Palatino Linotype" w:hAnsi="Palatino Linotype" w:cs="Palatino Linotype"/>
          <w:b/>
          <w:color w:val="000000"/>
        </w:rPr>
        <w:t>banco y sucursal del proveedor</w:t>
      </w:r>
      <w:r w:rsidRPr="00A660C8">
        <w:rPr>
          <w:rFonts w:ascii="Palatino Linotype" w:eastAsia="Palatino Linotype" w:hAnsi="Palatino Linotype" w:cs="Palatino Linotype"/>
          <w:color w:val="000000"/>
        </w:rPr>
        <w:t xml:space="preserve">, </w:t>
      </w:r>
      <w:r w:rsidRPr="00A660C8">
        <w:rPr>
          <w:rFonts w:ascii="Palatino Linotype" w:eastAsia="Palatino Linotype" w:hAnsi="Palatino Linotype" w:cs="Palatino Linotype"/>
          <w:b/>
          <w:color w:val="000000"/>
        </w:rPr>
        <w:t>clave interbancaria del proveedor</w:t>
      </w:r>
      <w:r w:rsidRPr="00A660C8">
        <w:rPr>
          <w:rFonts w:ascii="Palatino Linotype" w:eastAsia="Palatino Linotype" w:hAnsi="Palatino Linotype" w:cs="Palatino Linotype"/>
          <w:color w:val="000000"/>
        </w:rPr>
        <w:t xml:space="preserve">, es así que, por lo que hace al nombre del servidor público, nombre, denominación o razón social del proveedor, nombre del apoderado o representante legal, domicilio fiscal, </w:t>
      </w:r>
      <w:r w:rsidRPr="00A660C8">
        <w:rPr>
          <w:rFonts w:ascii="Palatino Linotype" w:eastAsia="Palatino Linotype" w:hAnsi="Palatino Linotype" w:cs="Palatino Linotype"/>
          <w:b/>
          <w:color w:val="000000"/>
        </w:rPr>
        <w:t>teléfono empresarial o institucional,</w:t>
      </w:r>
      <w:r w:rsidRPr="00A660C8">
        <w:rPr>
          <w:rFonts w:ascii="Palatino Linotype" w:eastAsia="Palatino Linotype" w:hAnsi="Palatino Linotype" w:cs="Palatino Linotype"/>
          <w:color w:val="000000"/>
        </w:rPr>
        <w:t xml:space="preserve"> firmas, y RFC se consideran datos personales públicos. </w:t>
      </w:r>
    </w:p>
    <w:p w:rsidR="00CD3D2C" w:rsidRPr="00A660C8" w:rsidRDefault="00CD3D2C">
      <w:pPr>
        <w:ind w:left="720" w:right="-787"/>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rPr>
        <w:t>Cobra</w:t>
      </w:r>
      <w:r w:rsidRPr="00A660C8">
        <w:rPr>
          <w:rFonts w:ascii="Palatino Linotype" w:eastAsia="Palatino Linotype" w:hAnsi="Palatino Linotype" w:cs="Palatino Linotype"/>
          <w:color w:val="000000"/>
        </w:rPr>
        <w:t xml:space="preserve"> sustento lo anterior, con el criterio 01/19 reiterado vigente del INAI, que refiere lo siguiente:</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rPr>
        <w:t>Datos de identificación del representante o apoderado legal.</w:t>
      </w:r>
      <w:r w:rsidRPr="00A660C8">
        <w:rPr>
          <w:rFonts w:ascii="Palatino Linotype" w:eastAsia="Palatino Linotype" w:hAnsi="Palatino Linotype" w:cs="Palatino Linotype"/>
          <w:i/>
          <w:sz w:val="22"/>
          <w:szCs w:val="22"/>
        </w:rPr>
        <w:t xml:space="preserve"> </w:t>
      </w:r>
      <w:r w:rsidRPr="00A660C8">
        <w:rPr>
          <w:rFonts w:ascii="Palatino Linotype" w:eastAsia="Palatino Linotype" w:hAnsi="Palatino Linotype" w:cs="Palatino Linotype"/>
          <w:b/>
          <w:i/>
          <w:sz w:val="22"/>
          <w:szCs w:val="22"/>
        </w:rPr>
        <w:t xml:space="preserve">Naturaleza jurídica. </w:t>
      </w:r>
      <w:r w:rsidRPr="00A660C8">
        <w:rPr>
          <w:rFonts w:ascii="Palatino Linotype" w:eastAsia="Palatino Linotype" w:hAnsi="Palatino Linotype" w:cs="Palatino Linotype"/>
          <w:i/>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CD3D2C" w:rsidRPr="00A660C8" w:rsidRDefault="00CD3D2C">
      <w:pPr>
        <w:ind w:left="1134" w:right="-220"/>
        <w:jc w:val="both"/>
        <w:rPr>
          <w:rFonts w:ascii="Palatino Linotype" w:eastAsia="Palatino Linotype" w:hAnsi="Palatino Linotype" w:cs="Palatino Linotype"/>
          <w:i/>
          <w:color w:val="000000"/>
          <w:sz w:val="22"/>
          <w:szCs w:val="22"/>
        </w:rPr>
      </w:pPr>
    </w:p>
    <w:p w:rsidR="00CD3D2C" w:rsidRPr="00A660C8" w:rsidRDefault="005B05BD">
      <w:pPr>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b/>
          <w:i/>
          <w:sz w:val="22"/>
          <w:szCs w:val="22"/>
        </w:rPr>
        <w:t>Precedentes:</w:t>
      </w:r>
    </w:p>
    <w:p w:rsidR="00CD3D2C" w:rsidRPr="00A660C8" w:rsidRDefault="005B05BD">
      <w:pPr>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t>Acceso a la información pública. RRA 3104/16. Sesión del 01 de noviembre del 2016. Votación por unanimidad. Sin votos disidentes o particulares. Secretaría de la Defensa Nacional. Comisionado Ponente Oscar Mauricio Guerra Ford.</w:t>
      </w:r>
    </w:p>
    <w:p w:rsidR="00CD3D2C" w:rsidRPr="00A660C8" w:rsidRDefault="005B05BD">
      <w:pPr>
        <w:ind w:left="1134" w:right="-220"/>
        <w:jc w:val="both"/>
        <w:rPr>
          <w:rFonts w:ascii="Palatino Linotype" w:eastAsia="Palatino Linotype" w:hAnsi="Palatino Linotype" w:cs="Palatino Linotype"/>
          <w:b/>
          <w:i/>
          <w:sz w:val="22"/>
          <w:szCs w:val="22"/>
        </w:rPr>
      </w:pPr>
      <w:r w:rsidRPr="00A660C8">
        <w:rPr>
          <w:rFonts w:ascii="Palatino Linotype" w:eastAsia="Palatino Linotype" w:hAnsi="Palatino Linotype" w:cs="Palatino Linotype"/>
          <w:i/>
          <w:sz w:val="22"/>
          <w:szCs w:val="22"/>
        </w:rPr>
        <w:t>Acceso a la información pública. RRA 2923/16. Sesión del 13 de diciembre de 2016. Votación por unanimidad. Sin votos disidentes o particulares. Administración Portuaria Integral de Lázaro Cárdenas, S.A. de C.V. Comisionada Ponente María Patricia Kurczyn Villalobos.</w:t>
      </w:r>
    </w:p>
    <w:p w:rsidR="00CD3D2C" w:rsidRPr="00A660C8" w:rsidRDefault="005B05BD">
      <w:pPr>
        <w:tabs>
          <w:tab w:val="left" w:pos="7371"/>
        </w:tabs>
        <w:ind w:left="1134" w:right="-220"/>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i/>
          <w:sz w:val="22"/>
          <w:szCs w:val="22"/>
        </w:rPr>
        <w:lastRenderedPageBreak/>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rsidR="00CD3D2C" w:rsidRPr="00A660C8" w:rsidRDefault="00CD3D2C">
      <w:pPr>
        <w:tabs>
          <w:tab w:val="left" w:pos="7371"/>
        </w:tabs>
        <w:ind w:left="1134" w:right="-787"/>
        <w:jc w:val="both"/>
        <w:rPr>
          <w:rFonts w:ascii="Palatino Linotype" w:eastAsia="Palatino Linotype" w:hAnsi="Palatino Linotype" w:cs="Palatino Linotype"/>
          <w:i/>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rPr>
        <w:t>Del</w:t>
      </w:r>
      <w:r w:rsidRPr="00A660C8">
        <w:rPr>
          <w:rFonts w:ascii="Palatino Linotype" w:eastAsia="Palatino Linotype" w:hAnsi="Palatino Linotype" w:cs="Palatino Linotype"/>
          <w:color w:val="000000"/>
        </w:rPr>
        <w:t xml:space="preserve"> Folio fiscal, Número de serie CSD del emisor, Sello digital del contribuyente emisor, Número de serie del CSD del SAT, Sello digital del SA y Cadena original de complemento de certificación digital SAT. </w:t>
      </w:r>
    </w:p>
    <w:p w:rsidR="00CD3D2C" w:rsidRPr="00A660C8" w:rsidRDefault="00CD3D2C">
      <w:pPr>
        <w:spacing w:line="360" w:lineRule="auto"/>
        <w:ind w:right="-787"/>
        <w:jc w:val="both"/>
        <w:rPr>
          <w:rFonts w:ascii="Palatino Linotype" w:eastAsia="Palatino Linotype" w:hAnsi="Palatino Linotype" w:cs="Palatino Linotype"/>
          <w:b/>
          <w:i/>
          <w:u w:val="single"/>
        </w:rPr>
      </w:pPr>
    </w:p>
    <w:p w:rsidR="00CD3D2C" w:rsidRPr="00A660C8" w:rsidRDefault="005B05BD">
      <w:pPr>
        <w:numPr>
          <w:ilvl w:val="0"/>
          <w:numId w:val="6"/>
        </w:numPr>
        <w:spacing w:line="360" w:lineRule="auto"/>
        <w:ind w:left="0" w:right="-787" w:firstLine="0"/>
        <w:jc w:val="both"/>
        <w:rPr>
          <w:color w:val="000000"/>
        </w:rPr>
      </w:pPr>
      <w:bookmarkStart w:id="13" w:name="_heading=h.2z9jwqn7dp2n" w:colFirst="0" w:colLast="0"/>
      <w:bookmarkEnd w:id="13"/>
      <w:r w:rsidRPr="00A660C8">
        <w:rPr>
          <w:rFonts w:ascii="Palatino Linotype" w:eastAsia="Palatino Linotype" w:hAnsi="Palatino Linotype" w:cs="Palatino Linotype"/>
          <w:color w:val="000000"/>
        </w:rPr>
        <w:t xml:space="preserve">De conformidad con la regla 2.7.1.7 de Resolución Miscelánea Fiscal para 2019, para los efectos del artículo 29 segundo párrafo fracción V del Código Fiscal de la Federación, las representaciones impresas del Comprobante Fiscal Digital por Internet o CFDI, deben cumplir con los requisitos señalados en el artículo 29-A del Código Fiscal de la Federación, y contener lo siguiente: </w:t>
      </w:r>
    </w:p>
    <w:p w:rsidR="00CD3D2C" w:rsidRPr="00A660C8" w:rsidRDefault="005B05BD">
      <w:pPr>
        <w:ind w:left="1134" w:right="-220"/>
        <w:jc w:val="both"/>
        <w:rPr>
          <w:rFonts w:ascii="Palatino Linotype" w:eastAsia="Palatino Linotype" w:hAnsi="Palatino Linotype" w:cs="Palatino Linotype"/>
          <w:i/>
          <w:sz w:val="22"/>
          <w:szCs w:val="22"/>
        </w:rPr>
      </w:pPr>
      <w:bookmarkStart w:id="14" w:name="_heading=h.jn7wityzmbc9" w:colFirst="0" w:colLast="0"/>
      <w:bookmarkEnd w:id="14"/>
      <w:r w:rsidRPr="00A660C8">
        <w:rPr>
          <w:rFonts w:ascii="Palatino Linotype" w:eastAsia="Palatino Linotype" w:hAnsi="Palatino Linotype" w:cs="Palatino Linotype"/>
          <w:i/>
          <w:sz w:val="22"/>
          <w:szCs w:val="22"/>
        </w:rPr>
        <w:t>“I. Código de barras generado conforme a la especificación técnica que se establece en el rubro I.D del Anexo 20 o el número de folio fiscal del comprobante.</w:t>
      </w:r>
    </w:p>
    <w:p w:rsidR="00CD3D2C" w:rsidRPr="00A660C8" w:rsidRDefault="005B05BD">
      <w:pPr>
        <w:ind w:left="1134" w:right="-220"/>
        <w:jc w:val="both"/>
        <w:rPr>
          <w:rFonts w:ascii="Palatino Linotype" w:eastAsia="Palatino Linotype" w:hAnsi="Palatino Linotype" w:cs="Palatino Linotype"/>
          <w:i/>
          <w:sz w:val="22"/>
          <w:szCs w:val="22"/>
        </w:rPr>
      </w:pPr>
      <w:bookmarkStart w:id="15" w:name="_heading=h.t35j6so4838j" w:colFirst="0" w:colLast="0"/>
      <w:bookmarkEnd w:id="15"/>
      <w:r w:rsidRPr="00A660C8">
        <w:rPr>
          <w:rFonts w:ascii="Palatino Linotype" w:eastAsia="Palatino Linotype" w:hAnsi="Palatino Linotype" w:cs="Palatino Linotype"/>
          <w:i/>
          <w:sz w:val="22"/>
          <w:szCs w:val="22"/>
        </w:rPr>
        <w:t xml:space="preserve">II. Número de serie del CSD del emisor y del SAT, que establecen los rubros I.A y III.B del Anexo 20. </w:t>
      </w:r>
    </w:p>
    <w:p w:rsidR="00CD3D2C" w:rsidRPr="00A660C8" w:rsidRDefault="005B05BD">
      <w:pPr>
        <w:ind w:left="1134" w:right="-220"/>
        <w:jc w:val="both"/>
        <w:rPr>
          <w:rFonts w:ascii="Palatino Linotype" w:eastAsia="Palatino Linotype" w:hAnsi="Palatino Linotype" w:cs="Palatino Linotype"/>
          <w:i/>
          <w:sz w:val="22"/>
          <w:szCs w:val="22"/>
        </w:rPr>
      </w:pPr>
      <w:bookmarkStart w:id="16" w:name="_heading=h.ofsgmw2ltcti" w:colFirst="0" w:colLast="0"/>
      <w:bookmarkEnd w:id="16"/>
      <w:r w:rsidRPr="00A660C8">
        <w:rPr>
          <w:rFonts w:ascii="Palatino Linotype" w:eastAsia="Palatino Linotype" w:hAnsi="Palatino Linotype" w:cs="Palatino Linotype"/>
          <w:i/>
          <w:sz w:val="22"/>
          <w:szCs w:val="22"/>
        </w:rPr>
        <w:t xml:space="preserve">III. La leyenda: “Este documento es una representación impresa de un CFDI” </w:t>
      </w:r>
    </w:p>
    <w:p w:rsidR="00CD3D2C" w:rsidRPr="00A660C8" w:rsidRDefault="005B05BD">
      <w:pPr>
        <w:ind w:left="1134" w:right="-220"/>
        <w:jc w:val="both"/>
        <w:rPr>
          <w:rFonts w:ascii="Palatino Linotype" w:eastAsia="Palatino Linotype" w:hAnsi="Palatino Linotype" w:cs="Palatino Linotype"/>
          <w:i/>
          <w:sz w:val="22"/>
          <w:szCs w:val="22"/>
        </w:rPr>
      </w:pPr>
      <w:bookmarkStart w:id="17" w:name="_heading=h.6md85qnj95ht" w:colFirst="0" w:colLast="0"/>
      <w:bookmarkEnd w:id="17"/>
      <w:r w:rsidRPr="00A660C8">
        <w:rPr>
          <w:rFonts w:ascii="Palatino Linotype" w:eastAsia="Palatino Linotype" w:hAnsi="Palatino Linotype" w:cs="Palatino Linotype"/>
          <w:i/>
          <w:sz w:val="22"/>
          <w:szCs w:val="22"/>
        </w:rPr>
        <w:t xml:space="preserve">IV. Fecha y hora de emisión y de certificación del CFDI en adición a lo señalado en el artículo 29- A, fracción III del CFF. </w:t>
      </w:r>
    </w:p>
    <w:p w:rsidR="00CD3D2C" w:rsidRPr="00A660C8" w:rsidRDefault="005B05BD">
      <w:pPr>
        <w:ind w:left="1134" w:right="-220"/>
        <w:jc w:val="both"/>
        <w:rPr>
          <w:rFonts w:ascii="Palatino Linotype" w:eastAsia="Palatino Linotype" w:hAnsi="Palatino Linotype" w:cs="Palatino Linotype"/>
          <w:i/>
          <w:sz w:val="22"/>
          <w:szCs w:val="22"/>
        </w:rPr>
      </w:pPr>
      <w:bookmarkStart w:id="18" w:name="_heading=h.gkcdl3o797mw" w:colFirst="0" w:colLast="0"/>
      <w:bookmarkEnd w:id="18"/>
      <w:r w:rsidRPr="00A660C8">
        <w:rPr>
          <w:rFonts w:ascii="Palatino Linotype" w:eastAsia="Palatino Linotype" w:hAnsi="Palatino Linotype" w:cs="Palatino Linotype"/>
          <w:i/>
          <w:sz w:val="22"/>
          <w:szCs w:val="22"/>
        </w:rPr>
        <w:t xml:space="preserve">V. Cadena original del complemento de certificación digital del SAT. </w:t>
      </w:r>
    </w:p>
    <w:p w:rsidR="00CD3D2C" w:rsidRPr="00A660C8" w:rsidRDefault="005B05BD">
      <w:pPr>
        <w:ind w:left="1134" w:right="-220"/>
        <w:jc w:val="both"/>
        <w:rPr>
          <w:rFonts w:ascii="Palatino Linotype" w:eastAsia="Palatino Linotype" w:hAnsi="Palatino Linotype" w:cs="Palatino Linotype"/>
          <w:i/>
          <w:sz w:val="22"/>
          <w:szCs w:val="22"/>
        </w:rPr>
      </w:pPr>
      <w:bookmarkStart w:id="19" w:name="_heading=h.obomck3iidb7" w:colFirst="0" w:colLast="0"/>
      <w:bookmarkEnd w:id="19"/>
      <w:r w:rsidRPr="00A660C8">
        <w:rPr>
          <w:rFonts w:ascii="Palatino Linotype" w:eastAsia="Palatino Linotype" w:hAnsi="Palatino Linotype" w:cs="Palatino Linotype"/>
          <w:i/>
          <w:sz w:val="22"/>
          <w:szCs w:val="22"/>
        </w:rPr>
        <w:t xml:space="preserve">VI. Tratándose de las representaciones impresas del CFDI que amparen retenciones e información de pagos emitidos conforme a lo dispuesto en la regla 2.7.5.4., adicional a lo anteriormente señalado deberán incluir: </w:t>
      </w:r>
    </w:p>
    <w:p w:rsidR="00CD3D2C" w:rsidRPr="00A660C8" w:rsidRDefault="005B05BD">
      <w:pPr>
        <w:ind w:left="1134" w:right="-220"/>
        <w:jc w:val="both"/>
        <w:rPr>
          <w:rFonts w:ascii="Palatino Linotype" w:eastAsia="Palatino Linotype" w:hAnsi="Palatino Linotype" w:cs="Palatino Linotype"/>
          <w:i/>
          <w:sz w:val="22"/>
          <w:szCs w:val="22"/>
        </w:rPr>
      </w:pPr>
      <w:bookmarkStart w:id="20" w:name="_heading=h.n6ygx4z7u7iu" w:colFirst="0" w:colLast="0"/>
      <w:bookmarkEnd w:id="20"/>
      <w:r w:rsidRPr="00A660C8">
        <w:rPr>
          <w:rFonts w:ascii="Palatino Linotype" w:eastAsia="Palatino Linotype" w:hAnsi="Palatino Linotype" w:cs="Palatino Linotype"/>
          <w:i/>
          <w:sz w:val="22"/>
          <w:szCs w:val="22"/>
        </w:rPr>
        <w:t xml:space="preserve">a) Los datos que establece el Anexo 20, apartado II.A., así como los correspondientes a los complementos que incorpore. </w:t>
      </w:r>
    </w:p>
    <w:p w:rsidR="00CD3D2C" w:rsidRPr="00A660C8" w:rsidRDefault="005B05BD">
      <w:pPr>
        <w:ind w:left="1134" w:right="-220"/>
        <w:jc w:val="both"/>
        <w:rPr>
          <w:rFonts w:ascii="Palatino Linotype" w:eastAsia="Palatino Linotype" w:hAnsi="Palatino Linotype" w:cs="Palatino Linotype"/>
          <w:i/>
          <w:sz w:val="22"/>
          <w:szCs w:val="22"/>
        </w:rPr>
      </w:pPr>
      <w:bookmarkStart w:id="21" w:name="_heading=h.htfse3mfod91" w:colFirst="0" w:colLast="0"/>
      <w:bookmarkEnd w:id="21"/>
      <w:r w:rsidRPr="00A660C8">
        <w:rPr>
          <w:rFonts w:ascii="Palatino Linotype" w:eastAsia="Palatino Linotype" w:hAnsi="Palatino Linotype" w:cs="Palatino Linotype"/>
          <w:i/>
          <w:sz w:val="22"/>
          <w:szCs w:val="22"/>
        </w:rPr>
        <w:t xml:space="preserve">b) El código de barras generado conforme a la especificación técnica establecida en el Anexo 20, rubro II.D. </w:t>
      </w:r>
    </w:p>
    <w:p w:rsidR="00CD3D2C" w:rsidRPr="00A660C8" w:rsidRDefault="005B05BD">
      <w:pPr>
        <w:ind w:left="1134" w:right="-220"/>
        <w:jc w:val="both"/>
        <w:rPr>
          <w:rFonts w:ascii="Palatino Linotype" w:eastAsia="Palatino Linotype" w:hAnsi="Palatino Linotype" w:cs="Palatino Linotype"/>
          <w:i/>
          <w:sz w:val="22"/>
          <w:szCs w:val="22"/>
        </w:rPr>
      </w:pPr>
      <w:bookmarkStart w:id="22" w:name="_heading=h.18yejeg468ga" w:colFirst="0" w:colLast="0"/>
      <w:bookmarkEnd w:id="22"/>
      <w:r w:rsidRPr="00A660C8">
        <w:rPr>
          <w:rFonts w:ascii="Palatino Linotype" w:eastAsia="Palatino Linotype" w:hAnsi="Palatino Linotype" w:cs="Palatino Linotype"/>
          <w:i/>
          <w:sz w:val="22"/>
          <w:szCs w:val="22"/>
        </w:rPr>
        <w:t xml:space="preserve">VII. Tratándose de las representaciones impresas de un CFDI emitidas conforme a lo dispuesto en la regla 2.7.2.14., y la Sección 2.7.3., se deberá estar a lo siguiente: </w:t>
      </w:r>
    </w:p>
    <w:p w:rsidR="00CD3D2C" w:rsidRPr="00A660C8" w:rsidRDefault="005B05BD">
      <w:pPr>
        <w:ind w:left="1134" w:right="-220"/>
        <w:jc w:val="both"/>
        <w:rPr>
          <w:rFonts w:ascii="Palatino Linotype" w:eastAsia="Palatino Linotype" w:hAnsi="Palatino Linotype" w:cs="Palatino Linotype"/>
          <w:i/>
          <w:sz w:val="22"/>
          <w:szCs w:val="22"/>
        </w:rPr>
      </w:pPr>
      <w:bookmarkStart w:id="23" w:name="_heading=h.5bnr4t7cvb3w" w:colFirst="0" w:colLast="0"/>
      <w:bookmarkEnd w:id="23"/>
      <w:r w:rsidRPr="00A660C8">
        <w:rPr>
          <w:rFonts w:ascii="Palatino Linotype" w:eastAsia="Palatino Linotype" w:hAnsi="Palatino Linotype" w:cs="Palatino Linotype"/>
          <w:i/>
          <w:sz w:val="22"/>
          <w:szCs w:val="22"/>
        </w:rPr>
        <w:t xml:space="preserve">a) Espacio para registrar la firma autógrafa de la persona que emite el CFDI. </w:t>
      </w:r>
    </w:p>
    <w:p w:rsidR="00CD3D2C" w:rsidRPr="00A660C8" w:rsidRDefault="005B05BD">
      <w:pPr>
        <w:ind w:left="1134" w:right="-220"/>
        <w:jc w:val="both"/>
        <w:rPr>
          <w:rFonts w:ascii="Palatino Linotype" w:eastAsia="Palatino Linotype" w:hAnsi="Palatino Linotype" w:cs="Palatino Linotype"/>
          <w:i/>
          <w:sz w:val="22"/>
          <w:szCs w:val="22"/>
        </w:rPr>
      </w:pPr>
      <w:bookmarkStart w:id="24" w:name="_heading=h.dn2nmuiczm76" w:colFirst="0" w:colLast="0"/>
      <w:bookmarkEnd w:id="24"/>
      <w:r w:rsidRPr="00A660C8">
        <w:rPr>
          <w:rFonts w:ascii="Palatino Linotype" w:eastAsia="Palatino Linotype" w:hAnsi="Palatino Linotype" w:cs="Palatino Linotype"/>
          <w:i/>
          <w:sz w:val="22"/>
          <w:szCs w:val="22"/>
        </w:rPr>
        <w:lastRenderedPageBreak/>
        <w:t xml:space="preserve">b) Respecto a lo señalado en la fracción II de esta regla, se incluirá el número de serie de CESD del proveedor de certificación de CFDI o del SAT según corresponda en sustitución del número de CSD del emisor. </w:t>
      </w:r>
    </w:p>
    <w:p w:rsidR="00CD3D2C" w:rsidRPr="00A660C8" w:rsidRDefault="005B05BD">
      <w:pPr>
        <w:ind w:left="1134" w:right="-220"/>
        <w:jc w:val="both"/>
        <w:rPr>
          <w:rFonts w:ascii="Palatino Linotype" w:eastAsia="Palatino Linotype" w:hAnsi="Palatino Linotype" w:cs="Palatino Linotype"/>
          <w:i/>
          <w:sz w:val="22"/>
          <w:szCs w:val="22"/>
        </w:rPr>
      </w:pPr>
      <w:bookmarkStart w:id="25" w:name="_heading=h.f44lrhhpmkjn" w:colFirst="0" w:colLast="0"/>
      <w:bookmarkEnd w:id="25"/>
      <w:r w:rsidRPr="00A660C8">
        <w:rPr>
          <w:rFonts w:ascii="Palatino Linotype" w:eastAsia="Palatino Linotype" w:hAnsi="Palatino Linotype" w:cs="Palatino Linotype"/>
          <w:i/>
          <w:sz w:val="22"/>
          <w:szCs w:val="22"/>
        </w:rPr>
        <w:t xml:space="preserve">VIII. Tratándose de las representaciones impresas del CFDI por pagos realizados conforme a lo dispuesto en la regla 2.7.1.35., adicional a lo señalado en las fracciones anteriores de esta regla, deberán incluir la totalidad de los datos contenidos en el complemento para pagos. </w:t>
      </w:r>
    </w:p>
    <w:p w:rsidR="00CD3D2C" w:rsidRPr="00A660C8" w:rsidRDefault="005B05BD">
      <w:pPr>
        <w:ind w:left="1134" w:right="-220"/>
        <w:jc w:val="both"/>
        <w:rPr>
          <w:rFonts w:ascii="Palatino Linotype" w:eastAsia="Palatino Linotype" w:hAnsi="Palatino Linotype" w:cs="Palatino Linotype"/>
          <w:sz w:val="22"/>
          <w:szCs w:val="22"/>
        </w:rPr>
      </w:pPr>
      <w:bookmarkStart w:id="26" w:name="_heading=h.oo2mmabwdpzm" w:colFirst="0" w:colLast="0"/>
      <w:bookmarkEnd w:id="26"/>
      <w:r w:rsidRPr="00A660C8">
        <w:rPr>
          <w:rFonts w:ascii="Palatino Linotype" w:eastAsia="Palatino Linotype" w:hAnsi="Palatino Linotype" w:cs="Palatino Linotype"/>
          <w:i/>
          <w:sz w:val="22"/>
          <w:szCs w:val="22"/>
        </w:rPr>
        <w:t>El archivo electrónico que en su caso genere la representación impresa deberá estar en formato electrónico PDF o algún otro similar que permita su impresión. Lo establecido en esta regla no será aplicable a la representación impresa del CFDI que se expida a través de “Mis cuentas”</w:t>
      </w:r>
      <w:r w:rsidRPr="00A660C8">
        <w:rPr>
          <w:rFonts w:ascii="Palatino Linotype" w:eastAsia="Palatino Linotype" w:hAnsi="Palatino Linotype" w:cs="Palatino Linotype"/>
          <w:sz w:val="22"/>
          <w:szCs w:val="22"/>
        </w:rPr>
        <w:t>.</w:t>
      </w:r>
    </w:p>
    <w:p w:rsidR="00CD3D2C" w:rsidRPr="00A660C8" w:rsidRDefault="005B05BD">
      <w:pPr>
        <w:ind w:left="1134" w:right="-787"/>
        <w:jc w:val="both"/>
        <w:rPr>
          <w:rFonts w:ascii="Palatino Linotype" w:eastAsia="Palatino Linotype" w:hAnsi="Palatino Linotype" w:cs="Palatino Linotype"/>
          <w:i/>
        </w:rPr>
      </w:pPr>
      <w:bookmarkStart w:id="27" w:name="_heading=h.t1mp8qivtptx" w:colFirst="0" w:colLast="0"/>
      <w:bookmarkEnd w:id="27"/>
      <w:r w:rsidRPr="00A660C8">
        <w:rPr>
          <w:rFonts w:ascii="Palatino Linotype" w:eastAsia="Palatino Linotype" w:hAnsi="Palatino Linotype" w:cs="Palatino Linotype"/>
          <w:i/>
        </w:rPr>
        <w:t>(Énfasis añadido)</w:t>
      </w:r>
    </w:p>
    <w:p w:rsidR="00CD3D2C" w:rsidRPr="00A660C8" w:rsidRDefault="00CD3D2C">
      <w:pPr>
        <w:ind w:left="1134" w:right="-787"/>
        <w:jc w:val="both"/>
        <w:rPr>
          <w:rFonts w:ascii="Palatino Linotype" w:eastAsia="Palatino Linotype" w:hAnsi="Palatino Linotype" w:cs="Palatino Linotype"/>
        </w:rPr>
      </w:pPr>
      <w:bookmarkStart w:id="28" w:name="_heading=h.8sifv2td4no" w:colFirst="0" w:colLast="0"/>
      <w:bookmarkEnd w:id="28"/>
    </w:p>
    <w:p w:rsidR="00CD3D2C" w:rsidRPr="00A660C8" w:rsidRDefault="005B05BD">
      <w:pPr>
        <w:numPr>
          <w:ilvl w:val="0"/>
          <w:numId w:val="6"/>
        </w:numPr>
        <w:spacing w:line="360" w:lineRule="auto"/>
        <w:ind w:left="0" w:right="-787" w:firstLine="0"/>
        <w:jc w:val="both"/>
        <w:rPr>
          <w:color w:val="000000"/>
        </w:rPr>
      </w:pPr>
      <w:bookmarkStart w:id="29" w:name="_heading=h.oh2brxaow78o" w:colFirst="0" w:colLast="0"/>
      <w:bookmarkEnd w:id="29"/>
      <w:r w:rsidRPr="00A660C8">
        <w:rPr>
          <w:rFonts w:ascii="Palatino Linotype" w:eastAsia="Palatino Linotype" w:hAnsi="Palatino Linotype" w:cs="Palatino Linotype"/>
        </w:rPr>
        <w:t>Asimismo</w:t>
      </w:r>
      <w:r w:rsidRPr="00A660C8">
        <w:rPr>
          <w:rFonts w:ascii="Palatino Linotype" w:eastAsia="Palatino Linotype" w:hAnsi="Palatino Linotype" w:cs="Palatino Linotype"/>
          <w:color w:val="000000"/>
        </w:rPr>
        <w:t>, de conformidad con el Anexo 20 de la Segunda Resolución de modificaciones a la Resolución Miscelánea Fiscal, los elementos utilizados en la generación de sellos digitales son la cadena original del elemento a sellar, el certificado de sello digital y su correspondiente clave privada, los algoritmos de criptografía de clave pública para firma electrónica avanzada, y las especificaciones de conversión de la firma avanzada a base 64.</w:t>
      </w:r>
    </w:p>
    <w:p w:rsidR="00CD3D2C" w:rsidRPr="00A660C8" w:rsidRDefault="00CD3D2C">
      <w:pPr>
        <w:spacing w:line="360" w:lineRule="auto"/>
        <w:ind w:right="-787"/>
        <w:jc w:val="both"/>
        <w:rPr>
          <w:rFonts w:ascii="Palatino Linotype" w:eastAsia="Palatino Linotype" w:hAnsi="Palatino Linotype" w:cs="Palatino Linotype"/>
        </w:rPr>
      </w:pPr>
      <w:bookmarkStart w:id="30" w:name="_heading=h.987we07n3kwj" w:colFirst="0" w:colLast="0"/>
      <w:bookmarkEnd w:id="30"/>
    </w:p>
    <w:p w:rsidR="00CD3D2C" w:rsidRPr="00A660C8" w:rsidRDefault="005B05BD">
      <w:pPr>
        <w:numPr>
          <w:ilvl w:val="0"/>
          <w:numId w:val="6"/>
        </w:numPr>
        <w:spacing w:line="360" w:lineRule="auto"/>
        <w:ind w:left="0" w:right="-787" w:firstLine="0"/>
        <w:jc w:val="both"/>
        <w:rPr>
          <w:color w:val="000000"/>
        </w:rPr>
      </w:pPr>
      <w:bookmarkStart w:id="31" w:name="_heading=h.e4w0o6ue8sc6" w:colFirst="0" w:colLast="0"/>
      <w:bookmarkEnd w:id="31"/>
      <w:r w:rsidRPr="00A660C8">
        <w:rPr>
          <w:rFonts w:ascii="Palatino Linotype" w:eastAsia="Palatino Linotype" w:hAnsi="Palatino Linotype" w:cs="Palatino Linotype"/>
        </w:rPr>
        <w:t>Para</w:t>
      </w:r>
      <w:r w:rsidRPr="00A660C8">
        <w:rPr>
          <w:rFonts w:ascii="Palatino Linotype" w:eastAsia="Palatino Linotype" w:hAnsi="Palatino Linotype" w:cs="Palatino Linotype"/>
          <w:color w:val="000000"/>
        </w:rPr>
        <w:t xml:space="preserve"> la generación de sellos digitales se utiliza </w:t>
      </w:r>
      <w:r w:rsidRPr="00A660C8">
        <w:rPr>
          <w:rFonts w:ascii="Palatino Linotype" w:eastAsia="Palatino Linotype" w:hAnsi="Palatino Linotype" w:cs="Palatino Linotype"/>
          <w:b/>
          <w:color w:val="000000"/>
        </w:rPr>
        <w:t>criptografía</w:t>
      </w:r>
      <w:r w:rsidRPr="00A660C8">
        <w:rPr>
          <w:rFonts w:ascii="Palatino Linotype" w:eastAsia="Palatino Linotype" w:hAnsi="Palatino Linotype" w:cs="Palatino Linotype"/>
          <w:color w:val="000000"/>
        </w:rPr>
        <w:t xml:space="preserve"> de clave pública aplicada a una cadena original, que se basa en la generación de una pareja de números muy grandes relacionados entre sí, de tal manera que una operación de inscripción sobre un mensaje tomando como clave de inscripción a uno de los dos números, produce un mensaje alterado en su significado que sólo puede ser devuelto a su estado original mediante la operación de </w:t>
      </w:r>
      <w:r w:rsidRPr="00A660C8">
        <w:rPr>
          <w:rFonts w:ascii="Palatino Linotype" w:eastAsia="Palatino Linotype" w:hAnsi="Palatino Linotype" w:cs="Palatino Linotype"/>
        </w:rPr>
        <w:t>desencripción</w:t>
      </w:r>
      <w:r w:rsidRPr="00A660C8">
        <w:rPr>
          <w:rFonts w:ascii="Palatino Linotype" w:eastAsia="Palatino Linotype" w:hAnsi="Palatino Linotype" w:cs="Palatino Linotype"/>
          <w:color w:val="000000"/>
        </w:rPr>
        <w:t xml:space="preserve"> correspondiente tomando como clave de </w:t>
      </w:r>
      <w:r w:rsidRPr="00A660C8">
        <w:rPr>
          <w:rFonts w:ascii="Palatino Linotype" w:eastAsia="Palatino Linotype" w:hAnsi="Palatino Linotype" w:cs="Palatino Linotype"/>
        </w:rPr>
        <w:t>desencripción</w:t>
      </w:r>
      <w:r w:rsidRPr="00A660C8">
        <w:rPr>
          <w:rFonts w:ascii="Palatino Linotype" w:eastAsia="Palatino Linotype" w:hAnsi="Palatino Linotype" w:cs="Palatino Linotype"/>
          <w:color w:val="000000"/>
        </w:rPr>
        <w:t xml:space="preserve"> al otro número de la pareja. </w:t>
      </w:r>
    </w:p>
    <w:p w:rsidR="00CD3D2C" w:rsidRPr="00A660C8" w:rsidRDefault="00CD3D2C">
      <w:pPr>
        <w:spacing w:line="360" w:lineRule="auto"/>
        <w:ind w:right="-787"/>
        <w:jc w:val="both"/>
        <w:rPr>
          <w:rFonts w:ascii="Palatino Linotype" w:eastAsia="Palatino Linotype" w:hAnsi="Palatino Linotype" w:cs="Palatino Linotype"/>
        </w:rPr>
      </w:pPr>
      <w:bookmarkStart w:id="32" w:name="_heading=h.rtb9e44i85ua" w:colFirst="0" w:colLast="0"/>
      <w:bookmarkEnd w:id="32"/>
    </w:p>
    <w:p w:rsidR="00CD3D2C" w:rsidRPr="00A660C8" w:rsidRDefault="005B05BD">
      <w:pPr>
        <w:numPr>
          <w:ilvl w:val="0"/>
          <w:numId w:val="6"/>
        </w:numPr>
        <w:spacing w:line="360" w:lineRule="auto"/>
        <w:ind w:left="0" w:right="-787" w:firstLine="0"/>
        <w:jc w:val="both"/>
        <w:rPr>
          <w:color w:val="000000"/>
        </w:rPr>
      </w:pPr>
      <w:bookmarkStart w:id="33" w:name="_heading=h.mt7q496zmklq" w:colFirst="0" w:colLast="0"/>
      <w:bookmarkEnd w:id="33"/>
      <w:r w:rsidRPr="00A660C8">
        <w:rPr>
          <w:rFonts w:ascii="Palatino Linotype" w:eastAsia="Palatino Linotype" w:hAnsi="Palatino Linotype" w:cs="Palatino Linotype"/>
        </w:rPr>
        <w:lastRenderedPageBreak/>
        <w:t>Uno</w:t>
      </w:r>
      <w:r w:rsidRPr="00A660C8">
        <w:rPr>
          <w:rFonts w:ascii="Palatino Linotype" w:eastAsia="Palatino Linotype" w:hAnsi="Palatino Linotype" w:cs="Palatino Linotype"/>
          <w:color w:val="000000"/>
        </w:rPr>
        <w:t xml:space="preserve">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 en adelante Certificado.</w:t>
      </w:r>
    </w:p>
    <w:p w:rsidR="00CD3D2C" w:rsidRPr="00A660C8" w:rsidRDefault="00CD3D2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bookmarkStart w:id="34" w:name="_heading=h.n30l5xfevj1m" w:colFirst="0" w:colLast="0"/>
      <w:bookmarkEnd w:id="34"/>
    </w:p>
    <w:p w:rsidR="00CD3D2C" w:rsidRPr="00A660C8" w:rsidRDefault="005B05BD">
      <w:pPr>
        <w:numPr>
          <w:ilvl w:val="0"/>
          <w:numId w:val="6"/>
        </w:numPr>
        <w:spacing w:line="360" w:lineRule="auto"/>
        <w:ind w:left="0" w:right="-787" w:firstLine="0"/>
        <w:jc w:val="both"/>
        <w:rPr>
          <w:color w:val="000000"/>
        </w:rPr>
      </w:pPr>
      <w:bookmarkStart w:id="35" w:name="_heading=h.xyl92zx2yn72" w:colFirst="0" w:colLast="0"/>
      <w:bookmarkEnd w:id="35"/>
      <w:r w:rsidRPr="00A660C8">
        <w:rPr>
          <w:rFonts w:ascii="Palatino Linotype" w:eastAsia="Palatino Linotype" w:hAnsi="Palatino Linotype" w:cs="Palatino Linotype"/>
          <w:color w:val="000000"/>
        </w:rPr>
        <w:t xml:space="preserve">El Certificado puede distribuirse libremente para efectos de intercambio seguro de información y para ofrecer pruebas de autoría de archivos electrónicos o confirmación de estar de acuerdo con su contenido, ambos mediante el proceso denominado "firmado electrónico avanzado", que consiste en una característica observable de un mensaje, verificable por cualquiera con acceso al certificado digital del emisor, que sirve para implementar servicios de seguridad para garantizar: </w:t>
      </w:r>
    </w:p>
    <w:p w:rsidR="00CD3D2C" w:rsidRPr="00A660C8" w:rsidRDefault="005B05BD">
      <w:pPr>
        <w:spacing w:line="360" w:lineRule="auto"/>
        <w:ind w:left="720" w:right="-220"/>
        <w:jc w:val="both"/>
        <w:rPr>
          <w:rFonts w:ascii="Palatino Linotype" w:eastAsia="Palatino Linotype" w:hAnsi="Palatino Linotype" w:cs="Palatino Linotype"/>
          <w:sz w:val="22"/>
          <w:szCs w:val="22"/>
        </w:rPr>
      </w:pPr>
      <w:bookmarkStart w:id="36" w:name="_heading=h.dnnzpvh7eleo" w:colFirst="0" w:colLast="0"/>
      <w:bookmarkEnd w:id="36"/>
      <w:r w:rsidRPr="00A660C8">
        <w:rPr>
          <w:rFonts w:ascii="Palatino Linotype" w:eastAsia="Palatino Linotype" w:hAnsi="Palatino Linotype" w:cs="Palatino Linotype"/>
          <w:sz w:val="22"/>
          <w:szCs w:val="22"/>
        </w:rPr>
        <w:t xml:space="preserve">• La integridad (facilidad para detectar si un mensaje firmado ha sido alterado), </w:t>
      </w:r>
    </w:p>
    <w:p w:rsidR="00CD3D2C" w:rsidRPr="00A660C8" w:rsidRDefault="005B05BD">
      <w:pPr>
        <w:spacing w:line="360" w:lineRule="auto"/>
        <w:ind w:left="720" w:right="-220"/>
        <w:jc w:val="both"/>
        <w:rPr>
          <w:rFonts w:ascii="Palatino Linotype" w:eastAsia="Palatino Linotype" w:hAnsi="Palatino Linotype" w:cs="Palatino Linotype"/>
          <w:sz w:val="22"/>
          <w:szCs w:val="22"/>
        </w:rPr>
      </w:pPr>
      <w:bookmarkStart w:id="37" w:name="_heading=h.7nd46camfpd3" w:colFirst="0" w:colLast="0"/>
      <w:bookmarkEnd w:id="37"/>
      <w:r w:rsidRPr="00A660C8">
        <w:rPr>
          <w:rFonts w:ascii="Palatino Linotype" w:eastAsia="Palatino Linotype" w:hAnsi="Palatino Linotype" w:cs="Palatino Linotype"/>
          <w:sz w:val="22"/>
          <w:szCs w:val="22"/>
        </w:rPr>
        <w:t xml:space="preserve">• La autenticidad, </w:t>
      </w:r>
    </w:p>
    <w:p w:rsidR="00CD3D2C" w:rsidRPr="00A660C8" w:rsidRDefault="005B05BD">
      <w:pPr>
        <w:spacing w:line="360" w:lineRule="auto"/>
        <w:ind w:left="720" w:right="-220"/>
        <w:jc w:val="both"/>
        <w:rPr>
          <w:rFonts w:ascii="Palatino Linotype" w:eastAsia="Palatino Linotype" w:hAnsi="Palatino Linotype" w:cs="Palatino Linotype"/>
          <w:sz w:val="22"/>
          <w:szCs w:val="22"/>
        </w:rPr>
      </w:pPr>
      <w:bookmarkStart w:id="38" w:name="_heading=h.ioxfoskdka44" w:colFirst="0" w:colLast="0"/>
      <w:bookmarkEnd w:id="38"/>
      <w:r w:rsidRPr="00A660C8">
        <w:rPr>
          <w:rFonts w:ascii="Palatino Linotype" w:eastAsia="Palatino Linotype" w:hAnsi="Palatino Linotype" w:cs="Palatino Linotype"/>
          <w:sz w:val="22"/>
          <w:szCs w:val="22"/>
        </w:rPr>
        <w:t xml:space="preserve">• Certidumbre de origen (facilidad para determinar qué persona es el autor de la firma que valida el contenido del mensaje) y </w:t>
      </w:r>
    </w:p>
    <w:p w:rsidR="00CD3D2C" w:rsidRPr="00A660C8" w:rsidRDefault="005B05BD">
      <w:pPr>
        <w:spacing w:line="360" w:lineRule="auto"/>
        <w:ind w:left="720" w:right="-220"/>
        <w:jc w:val="both"/>
        <w:rPr>
          <w:rFonts w:ascii="Palatino Linotype" w:eastAsia="Palatino Linotype" w:hAnsi="Palatino Linotype" w:cs="Palatino Linotype"/>
          <w:sz w:val="22"/>
          <w:szCs w:val="22"/>
        </w:rPr>
      </w:pPr>
      <w:bookmarkStart w:id="39" w:name="_heading=h.71wzdzlnc3xt" w:colFirst="0" w:colLast="0"/>
      <w:bookmarkEnd w:id="39"/>
      <w:r w:rsidRPr="00A660C8">
        <w:rPr>
          <w:rFonts w:ascii="Palatino Linotype" w:eastAsia="Palatino Linotype" w:hAnsi="Palatino Linotype" w:cs="Palatino Linotype"/>
          <w:sz w:val="22"/>
          <w:szCs w:val="22"/>
        </w:rPr>
        <w:t xml:space="preserve">• No repudiación del mensaje firmado (capacidad de impedir que el autor de la firma niegue haber firmado el mensaje). </w:t>
      </w:r>
    </w:p>
    <w:p w:rsidR="00CD3D2C" w:rsidRPr="00A660C8" w:rsidRDefault="00CD3D2C">
      <w:pPr>
        <w:spacing w:line="360" w:lineRule="auto"/>
        <w:ind w:right="-787"/>
        <w:jc w:val="both"/>
        <w:rPr>
          <w:rFonts w:ascii="Palatino Linotype" w:eastAsia="Palatino Linotype" w:hAnsi="Palatino Linotype" w:cs="Palatino Linotype"/>
        </w:rPr>
      </w:pPr>
      <w:bookmarkStart w:id="40" w:name="_heading=h.ynzdidt3os8l" w:colFirst="0" w:colLast="0"/>
      <w:bookmarkEnd w:id="40"/>
    </w:p>
    <w:p w:rsidR="00CD3D2C" w:rsidRPr="00A660C8" w:rsidRDefault="005B05BD">
      <w:pPr>
        <w:numPr>
          <w:ilvl w:val="0"/>
          <w:numId w:val="6"/>
        </w:numPr>
        <w:spacing w:line="360" w:lineRule="auto"/>
        <w:ind w:left="0" w:right="-787" w:firstLine="0"/>
        <w:jc w:val="both"/>
        <w:rPr>
          <w:color w:val="000000"/>
        </w:rPr>
      </w:pPr>
      <w:bookmarkStart w:id="41" w:name="_heading=h.qdfdf3outred" w:colFirst="0" w:colLast="0"/>
      <w:bookmarkEnd w:id="41"/>
      <w:r w:rsidRPr="00A660C8">
        <w:rPr>
          <w:rFonts w:ascii="Palatino Linotype" w:eastAsia="Palatino Linotype" w:hAnsi="Palatino Linotype" w:cs="Palatino Linotype"/>
          <w:color w:val="000000"/>
        </w:rPr>
        <w:t xml:space="preserve">Estos servicios de seguridad proporcionan las siguientes características a un mensaje con firma electrónica avanzada: </w:t>
      </w:r>
    </w:p>
    <w:p w:rsidR="00CD3D2C" w:rsidRPr="00A660C8" w:rsidRDefault="005B05BD">
      <w:pPr>
        <w:spacing w:line="360" w:lineRule="auto"/>
        <w:ind w:left="720" w:right="-787"/>
        <w:jc w:val="both"/>
        <w:rPr>
          <w:rFonts w:ascii="Palatino Linotype" w:eastAsia="Palatino Linotype" w:hAnsi="Palatino Linotype" w:cs="Palatino Linotype"/>
          <w:sz w:val="22"/>
          <w:szCs w:val="22"/>
        </w:rPr>
      </w:pPr>
      <w:bookmarkStart w:id="42" w:name="_heading=h.xp0jh26h3b7o" w:colFirst="0" w:colLast="0"/>
      <w:bookmarkEnd w:id="42"/>
      <w:r w:rsidRPr="00A660C8">
        <w:rPr>
          <w:rFonts w:ascii="Palatino Linotype" w:eastAsia="Palatino Linotype" w:hAnsi="Palatino Linotype" w:cs="Palatino Linotype"/>
          <w:sz w:val="22"/>
          <w:szCs w:val="22"/>
        </w:rPr>
        <w:t xml:space="preserve">• Es infalsificable. </w:t>
      </w:r>
    </w:p>
    <w:p w:rsidR="00CD3D2C" w:rsidRPr="00A660C8" w:rsidRDefault="005B05BD">
      <w:pPr>
        <w:spacing w:line="360" w:lineRule="auto"/>
        <w:ind w:left="720" w:right="-787"/>
        <w:jc w:val="both"/>
        <w:rPr>
          <w:rFonts w:ascii="Palatino Linotype" w:eastAsia="Palatino Linotype" w:hAnsi="Palatino Linotype" w:cs="Palatino Linotype"/>
          <w:sz w:val="22"/>
          <w:szCs w:val="22"/>
        </w:rPr>
      </w:pPr>
      <w:bookmarkStart w:id="43" w:name="_heading=h.d7sfqbwj4lax" w:colFirst="0" w:colLast="0"/>
      <w:bookmarkEnd w:id="43"/>
      <w:r w:rsidRPr="00A660C8">
        <w:rPr>
          <w:rFonts w:ascii="Palatino Linotype" w:eastAsia="Palatino Linotype" w:hAnsi="Palatino Linotype" w:cs="Palatino Linotype"/>
          <w:sz w:val="22"/>
          <w:szCs w:val="22"/>
        </w:rPr>
        <w:lastRenderedPageBreak/>
        <w:t xml:space="preserve">• La firma electrónica avanzada no es reciclable (es única por mensaje). </w:t>
      </w:r>
    </w:p>
    <w:p w:rsidR="00CD3D2C" w:rsidRPr="00A660C8" w:rsidRDefault="005B05BD">
      <w:pPr>
        <w:spacing w:line="360" w:lineRule="auto"/>
        <w:ind w:left="720" w:right="-787"/>
        <w:jc w:val="both"/>
        <w:rPr>
          <w:rFonts w:ascii="Palatino Linotype" w:eastAsia="Palatino Linotype" w:hAnsi="Palatino Linotype" w:cs="Palatino Linotype"/>
          <w:sz w:val="22"/>
          <w:szCs w:val="22"/>
        </w:rPr>
      </w:pPr>
      <w:bookmarkStart w:id="44" w:name="_heading=h.4umuus4we8wo" w:colFirst="0" w:colLast="0"/>
      <w:bookmarkEnd w:id="44"/>
      <w:r w:rsidRPr="00A660C8">
        <w:rPr>
          <w:rFonts w:ascii="Palatino Linotype" w:eastAsia="Palatino Linotype" w:hAnsi="Palatino Linotype" w:cs="Palatino Linotype"/>
          <w:sz w:val="22"/>
          <w:szCs w:val="22"/>
        </w:rPr>
        <w:t xml:space="preserve">• Un mensaje con firma electrónica avanzada alterado, es detectable. </w:t>
      </w:r>
    </w:p>
    <w:p w:rsidR="00CD3D2C" w:rsidRPr="00A660C8" w:rsidRDefault="005B05BD">
      <w:pPr>
        <w:spacing w:line="360" w:lineRule="auto"/>
        <w:ind w:left="720" w:right="-787"/>
        <w:jc w:val="both"/>
        <w:rPr>
          <w:rFonts w:ascii="Palatino Linotype" w:eastAsia="Palatino Linotype" w:hAnsi="Palatino Linotype" w:cs="Palatino Linotype"/>
          <w:sz w:val="22"/>
          <w:szCs w:val="22"/>
        </w:rPr>
      </w:pPr>
      <w:bookmarkStart w:id="45" w:name="_heading=h.bhowd0rv38c7" w:colFirst="0" w:colLast="0"/>
      <w:bookmarkEnd w:id="45"/>
      <w:r w:rsidRPr="00A660C8">
        <w:rPr>
          <w:rFonts w:ascii="Palatino Linotype" w:eastAsia="Palatino Linotype" w:hAnsi="Palatino Linotype" w:cs="Palatino Linotype"/>
          <w:sz w:val="22"/>
          <w:szCs w:val="22"/>
        </w:rPr>
        <w:t xml:space="preserve">• Un mensaje con firma electrónica avanzada, no puede ser repudiado. </w:t>
      </w:r>
    </w:p>
    <w:p w:rsidR="00CD3D2C" w:rsidRPr="00A660C8" w:rsidRDefault="00CD3D2C">
      <w:pPr>
        <w:spacing w:line="360" w:lineRule="auto"/>
        <w:ind w:right="-787"/>
        <w:jc w:val="both"/>
        <w:rPr>
          <w:rFonts w:ascii="Palatino Linotype" w:eastAsia="Palatino Linotype" w:hAnsi="Palatino Linotype" w:cs="Palatino Linotype"/>
        </w:rPr>
      </w:pPr>
      <w:bookmarkStart w:id="46" w:name="_heading=h.ejn2v55f60s6" w:colFirst="0" w:colLast="0"/>
      <w:bookmarkEnd w:id="46"/>
    </w:p>
    <w:p w:rsidR="00CD3D2C" w:rsidRPr="00A660C8" w:rsidRDefault="005B05BD">
      <w:pPr>
        <w:numPr>
          <w:ilvl w:val="0"/>
          <w:numId w:val="6"/>
        </w:numPr>
        <w:spacing w:line="360" w:lineRule="auto"/>
        <w:ind w:left="0" w:right="-787" w:firstLine="0"/>
        <w:jc w:val="both"/>
        <w:rPr>
          <w:color w:val="000000"/>
        </w:rPr>
      </w:pPr>
      <w:bookmarkStart w:id="47" w:name="_heading=h.msnldj4dqkon" w:colFirst="0" w:colLast="0"/>
      <w:bookmarkEnd w:id="47"/>
      <w:r w:rsidRPr="00A660C8">
        <w:rPr>
          <w:rFonts w:ascii="Palatino Linotype" w:eastAsia="Palatino Linotype" w:hAnsi="Palatino Linotype" w:cs="Palatino Linotype"/>
        </w:rPr>
        <w:t>Los</w:t>
      </w:r>
      <w:r w:rsidRPr="00A660C8">
        <w:rPr>
          <w:rFonts w:ascii="Palatino Linotype" w:eastAsia="Palatino Linotype" w:hAnsi="Palatino Linotype" w:cs="Palatino Linotype"/>
          <w:color w:val="000000"/>
        </w:rPr>
        <w:t xml:space="preserve"> certificados de sello digital se generan de manera idéntica a los certificados de e.firma y al igual que las firmas electrónicas avanzadas el propósito del sello digital es emitir comprobantes fiscales con autenticidad, integridad, verificables y no repudiables por el emisor. Para ello basta tener acceso al mensaje original o cadena original, al sello digital y al </w:t>
      </w:r>
      <w:r w:rsidRPr="00A660C8">
        <w:rPr>
          <w:rFonts w:ascii="Palatino Linotype" w:eastAsia="Palatino Linotype" w:hAnsi="Palatino Linotype" w:cs="Palatino Linotype"/>
        </w:rPr>
        <w:t>certificado digital</w:t>
      </w:r>
      <w:r w:rsidRPr="00A660C8">
        <w:rPr>
          <w:rFonts w:ascii="Palatino Linotype" w:eastAsia="Palatino Linotype" w:hAnsi="Palatino Linotype" w:cs="Palatino Linotype"/>
          <w:color w:val="000000"/>
        </w:rPr>
        <w:t xml:space="preserve"> del emisor.</w:t>
      </w:r>
    </w:p>
    <w:p w:rsidR="00CD3D2C" w:rsidRPr="00A660C8" w:rsidRDefault="00CD3D2C">
      <w:pPr>
        <w:spacing w:line="360" w:lineRule="auto"/>
        <w:ind w:right="-787"/>
        <w:jc w:val="both"/>
        <w:rPr>
          <w:rFonts w:ascii="Palatino Linotype" w:eastAsia="Palatino Linotype" w:hAnsi="Palatino Linotype" w:cs="Palatino Linotype"/>
        </w:rPr>
      </w:pPr>
      <w:bookmarkStart w:id="48" w:name="_heading=h.d2rygb40n1qi" w:colFirst="0" w:colLast="0"/>
      <w:bookmarkEnd w:id="48"/>
    </w:p>
    <w:p w:rsidR="00CD3D2C" w:rsidRPr="00A660C8" w:rsidRDefault="005B05BD">
      <w:pPr>
        <w:numPr>
          <w:ilvl w:val="0"/>
          <w:numId w:val="6"/>
        </w:numPr>
        <w:spacing w:line="360" w:lineRule="auto"/>
        <w:ind w:left="0" w:right="-787" w:firstLine="0"/>
        <w:jc w:val="both"/>
        <w:rPr>
          <w:color w:val="000000"/>
        </w:rPr>
      </w:pPr>
      <w:bookmarkStart w:id="49" w:name="_heading=h.gssdfypy39it" w:colFirst="0" w:colLast="0"/>
      <w:bookmarkEnd w:id="49"/>
      <w:r w:rsidRPr="00A660C8">
        <w:rPr>
          <w:rFonts w:ascii="Palatino Linotype" w:eastAsia="Palatino Linotype" w:hAnsi="Palatino Linotype" w:cs="Palatino Linotype"/>
        </w:rPr>
        <w:t>Asimismo</w:t>
      </w:r>
      <w:r w:rsidRPr="00A660C8">
        <w:rPr>
          <w:rFonts w:ascii="Palatino Linotype" w:eastAsia="Palatino Linotype" w:hAnsi="Palatino Linotype" w:cs="Palatino Linotype"/>
          <w:color w:val="000000"/>
        </w:rPr>
        <w:t xml:space="preserve">, el número de serie del certificado del CSD el atributo requerido para expresar el número de serie del certificado de sello digital que ampara al comprobante, de acuerdo con el acuse correspondiente a 20 posiciones otorgado por el sistema del SAT, el folio fiscal referido como el UUID es un atributo requerido para expresar los 36 caracteres del folio fiscal de la transacción de timbrado conforme al estándar RFC 4122, el número certificado SAT el atributo requerido para expresar el número de serie del certificado del SAT usado para generar el sello digital del Timbre Fiscal Digital, el sello digital del CFD el atributo requerido para contener el sello digital del comprobante fiscal o comprobante de retenciones que se ha timbrado, sello que debe ser expresado como una cadena de texto en formato Base 64, el sello del SAT el atributo requerido para contener el sello digital del Timbre Fiscal Digital, que debe ser expresado como una cadena de texto en formato Base 64, y finalmente la cadena original, es la secuencia de datos formulada con la información contenida dentro del timbre fiscal digital del SAT. </w:t>
      </w:r>
    </w:p>
    <w:p w:rsidR="00CD3D2C" w:rsidRPr="00A660C8" w:rsidRDefault="00CD3D2C">
      <w:pPr>
        <w:spacing w:line="360" w:lineRule="auto"/>
        <w:ind w:right="-787"/>
        <w:jc w:val="both"/>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Así bien, con base en lo expuesto, no todos los datos señalados pueden ser considerados como confidenciales, en virtud de que el Folio fiscal, Número </w:t>
      </w:r>
      <w:r w:rsidRPr="00A660C8">
        <w:rPr>
          <w:rFonts w:ascii="Palatino Linotype" w:eastAsia="Palatino Linotype" w:hAnsi="Palatino Linotype" w:cs="Palatino Linotype"/>
        </w:rPr>
        <w:t>de</w:t>
      </w:r>
      <w:r w:rsidRPr="00A660C8">
        <w:rPr>
          <w:rFonts w:ascii="Palatino Linotype" w:eastAsia="Palatino Linotype" w:hAnsi="Palatino Linotype" w:cs="Palatino Linotype"/>
          <w:color w:val="000000"/>
        </w:rPr>
        <w:t xml:space="preserve"> serie CSD del emisor, Sello digital del contribuyente emisor, Número de serie del CSD del SAT, Sello digital del </w:t>
      </w:r>
      <w:r w:rsidRPr="00A660C8">
        <w:rPr>
          <w:rFonts w:ascii="Palatino Linotype" w:eastAsia="Palatino Linotype" w:hAnsi="Palatino Linotype" w:cs="Palatino Linotype"/>
        </w:rPr>
        <w:t>SAT y</w:t>
      </w:r>
      <w:r w:rsidRPr="00A660C8">
        <w:rPr>
          <w:rFonts w:ascii="Palatino Linotype" w:eastAsia="Palatino Linotype" w:hAnsi="Palatino Linotype" w:cs="Palatino Linotype"/>
          <w:color w:val="000000"/>
        </w:rPr>
        <w:t xml:space="preserve"> Cadena original de complemento de certificación digital SAT, así como el número de empleado cuando no se relacione con el uso de diversos servicios, no tienen el carácter de confidenciales. </w:t>
      </w:r>
    </w:p>
    <w:p w:rsidR="00CD3D2C" w:rsidRPr="00A660C8" w:rsidRDefault="00CD3D2C">
      <w:pPr>
        <w:pBdr>
          <w:top w:val="nil"/>
          <w:left w:val="nil"/>
          <w:bottom w:val="nil"/>
          <w:right w:val="nil"/>
          <w:between w:val="nil"/>
        </w:pBdr>
        <w:ind w:left="708" w:right="-787"/>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En esa línea, se debe de referir que del contenido de las </w:t>
      </w:r>
      <w:r w:rsidRPr="00A660C8">
        <w:rPr>
          <w:rFonts w:ascii="Palatino Linotype" w:eastAsia="Palatino Linotype" w:hAnsi="Palatino Linotype" w:cs="Palatino Linotype"/>
          <w:b/>
          <w:color w:val="000000"/>
          <w:u w:val="single"/>
        </w:rPr>
        <w:t>facturas o de los contratos</w:t>
      </w:r>
      <w:r w:rsidRPr="00A660C8">
        <w:rPr>
          <w:rFonts w:ascii="Palatino Linotype" w:eastAsia="Palatino Linotype" w:hAnsi="Palatino Linotype" w:cs="Palatino Linotype"/>
          <w:color w:val="000000"/>
        </w:rPr>
        <w:t xml:space="preserve">  se </w:t>
      </w:r>
      <w:r w:rsidRPr="00A660C8">
        <w:rPr>
          <w:rFonts w:ascii="Palatino Linotype" w:eastAsia="Palatino Linotype" w:hAnsi="Palatino Linotype" w:cs="Palatino Linotype"/>
        </w:rPr>
        <w:t>encontrarán</w:t>
      </w:r>
      <w:r w:rsidRPr="00A660C8">
        <w:rPr>
          <w:rFonts w:ascii="Palatino Linotype" w:eastAsia="Palatino Linotype" w:hAnsi="Palatino Linotype" w:cs="Palatino Linotype"/>
          <w:color w:val="000000"/>
        </w:rPr>
        <w:t xml:space="preserve"> los datos de nombre, costo y el nombre de la persona física o moral a la cual se le </w:t>
      </w:r>
      <w:r w:rsidRPr="00A660C8">
        <w:rPr>
          <w:rFonts w:ascii="Palatino Linotype" w:eastAsia="Palatino Linotype" w:hAnsi="Palatino Linotype" w:cs="Palatino Linotype"/>
        </w:rPr>
        <w:t>asignó</w:t>
      </w:r>
      <w:r w:rsidRPr="00A660C8">
        <w:rPr>
          <w:rFonts w:ascii="Palatino Linotype" w:eastAsia="Palatino Linotype" w:hAnsi="Palatino Linotype" w:cs="Palatino Linotype"/>
          <w:color w:val="000000"/>
        </w:rPr>
        <w:t xml:space="preserve"> la reparación de la asfaltadora referida en la solicitud de información. </w:t>
      </w:r>
    </w:p>
    <w:p w:rsidR="00CD3D2C" w:rsidRPr="00A660C8" w:rsidRDefault="00CD3D2C">
      <w:pPr>
        <w:pBdr>
          <w:top w:val="nil"/>
          <w:left w:val="nil"/>
          <w:bottom w:val="nil"/>
          <w:right w:val="nil"/>
          <w:between w:val="nil"/>
        </w:pBdr>
        <w:ind w:left="708" w:right="-787"/>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De todo lo anteriormente expuesto, se debe de referir que dentro de los archivos del </w:t>
      </w:r>
      <w:r w:rsidRPr="00A660C8">
        <w:rPr>
          <w:rFonts w:ascii="Palatino Linotype" w:eastAsia="Palatino Linotype" w:hAnsi="Palatino Linotype" w:cs="Palatino Linotype"/>
          <w:b/>
          <w:color w:val="000000"/>
        </w:rPr>
        <w:t xml:space="preserve">SUJETO OBLIGADO </w:t>
      </w:r>
      <w:r w:rsidRPr="00A660C8">
        <w:rPr>
          <w:rFonts w:ascii="Palatino Linotype" w:eastAsia="Palatino Linotype" w:hAnsi="Palatino Linotype" w:cs="Palatino Linotype"/>
          <w:color w:val="000000"/>
        </w:rPr>
        <w:t xml:space="preserve">se debe de realizar una nueva búsqueda por los hechos notorios encontrados que fueron </w:t>
      </w:r>
      <w:r w:rsidRPr="00A660C8">
        <w:rPr>
          <w:rFonts w:ascii="Palatino Linotype" w:eastAsia="Palatino Linotype" w:hAnsi="Palatino Linotype" w:cs="Palatino Linotype"/>
        </w:rPr>
        <w:t>expuestos</w:t>
      </w:r>
      <w:r w:rsidRPr="00A660C8">
        <w:rPr>
          <w:rFonts w:ascii="Palatino Linotype" w:eastAsia="Palatino Linotype" w:hAnsi="Palatino Linotype" w:cs="Palatino Linotype"/>
          <w:color w:val="000000"/>
        </w:rPr>
        <w:t xml:space="preserve"> en el estudio de este recurso de revisión.</w:t>
      </w:r>
    </w:p>
    <w:p w:rsidR="00CD3D2C" w:rsidRPr="00A660C8" w:rsidRDefault="00CD3D2C">
      <w:pPr>
        <w:pBdr>
          <w:top w:val="nil"/>
          <w:left w:val="nil"/>
          <w:bottom w:val="nil"/>
          <w:right w:val="nil"/>
          <w:between w:val="nil"/>
        </w:pBdr>
        <w:ind w:left="708" w:right="-787"/>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rPr>
          <w:rFonts w:ascii="Calibri" w:eastAsia="Calibri" w:hAnsi="Calibri" w:cs="Calibri"/>
          <w:color w:val="000000"/>
        </w:rPr>
      </w:pPr>
      <w:r w:rsidRPr="00A660C8">
        <w:rPr>
          <w:rFonts w:ascii="Palatino Linotype" w:eastAsia="Palatino Linotype" w:hAnsi="Palatino Linotype" w:cs="Palatino Linotype"/>
          <w:color w:val="000000"/>
        </w:rPr>
        <w:t xml:space="preserve">Por último, de ser el caso que después de una nueva búsqueda exhaustiva el </w:t>
      </w:r>
      <w:r w:rsidRPr="00A660C8">
        <w:rPr>
          <w:rFonts w:ascii="Palatino Linotype" w:eastAsia="Palatino Linotype" w:hAnsi="Palatino Linotype" w:cs="Palatino Linotype"/>
          <w:b/>
          <w:color w:val="000000"/>
        </w:rPr>
        <w:t>SUJETO OBLIGADO</w:t>
      </w:r>
      <w:r w:rsidRPr="00A660C8">
        <w:rPr>
          <w:rFonts w:ascii="Palatino Linotype" w:eastAsia="Palatino Linotype" w:hAnsi="Palatino Linotype" w:cs="Palatino Linotype"/>
          <w:color w:val="000000"/>
        </w:rPr>
        <w:t xml:space="preserve"> </w:t>
      </w:r>
      <w:r w:rsidRPr="00A660C8">
        <w:rPr>
          <w:rFonts w:ascii="Palatino Linotype" w:eastAsia="Palatino Linotype" w:hAnsi="Palatino Linotype" w:cs="Palatino Linotype"/>
        </w:rPr>
        <w:t>refiere</w:t>
      </w:r>
      <w:r w:rsidRPr="00A660C8">
        <w:rPr>
          <w:rFonts w:ascii="Palatino Linotype" w:eastAsia="Palatino Linotype" w:hAnsi="Palatino Linotype" w:cs="Palatino Linotype"/>
          <w:color w:val="000000"/>
        </w:rPr>
        <w:t xml:space="preserve"> no contar con la información solicitada, deberá de entregar el Acuerdo de Inexistencia, mediante el cual de manera fundada y motivada se expongan las razones por las cuales no cuenta con la información, de acuerdo con lo siguiente</w:t>
      </w:r>
      <w:r w:rsidRPr="00A660C8">
        <w:rPr>
          <w:rFonts w:ascii="Calibri" w:eastAsia="Calibri" w:hAnsi="Calibri" w:cs="Calibri"/>
          <w:color w:val="000000"/>
        </w:rPr>
        <w:t xml:space="preserve">. </w:t>
      </w:r>
    </w:p>
    <w:p w:rsidR="00CD3D2C" w:rsidRPr="00A660C8" w:rsidRDefault="00CD3D2C">
      <w:pPr>
        <w:pBdr>
          <w:top w:val="nil"/>
          <w:left w:val="nil"/>
          <w:bottom w:val="nil"/>
          <w:right w:val="nil"/>
          <w:between w:val="nil"/>
        </w:pBdr>
        <w:ind w:left="708" w:right="-787"/>
        <w:rPr>
          <w:rFonts w:ascii="Calibri" w:eastAsia="Calibri" w:hAnsi="Calibri" w:cs="Calibri"/>
          <w:color w:val="000000"/>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lastRenderedPageBreak/>
        <w:t xml:space="preserve">De conformidad con la Ley de Transparencia y Acceso a la Información Pública del Estado de México y Municipios, el Acuerdo de Inexistencia tiene su regulación de conformidad con lo siguiente. </w:t>
      </w:r>
    </w:p>
    <w:p w:rsidR="00CD3D2C" w:rsidRPr="00A660C8" w:rsidRDefault="005B05BD">
      <w:pPr>
        <w:ind w:left="708" w:right="-787"/>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rPr>
        <w:t>Artículo 19.</w:t>
      </w:r>
      <w:r w:rsidRPr="00A660C8">
        <w:rPr>
          <w:rFonts w:ascii="Palatino Linotype" w:eastAsia="Palatino Linotype" w:hAnsi="Palatino Linotype" w:cs="Palatino Linotype"/>
          <w:i/>
          <w:sz w:val="22"/>
          <w:szCs w:val="22"/>
        </w:rPr>
        <w:t xml:space="preserve"> Se presume que la información debe existir si se refiere a las facultades, competencias y funciones que los ordenamientos jurídicos aplicables otorgan a los sujetos obligados. </w:t>
      </w:r>
    </w:p>
    <w:p w:rsidR="00CD3D2C" w:rsidRPr="00A660C8" w:rsidRDefault="005B05BD">
      <w:pPr>
        <w:ind w:left="708" w:right="-787"/>
        <w:jc w:val="both"/>
        <w:rPr>
          <w:i/>
          <w:sz w:val="22"/>
          <w:szCs w:val="22"/>
        </w:rPr>
      </w:pPr>
      <w:r w:rsidRPr="00A660C8">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r w:rsidRPr="00A660C8">
        <w:rPr>
          <w:i/>
          <w:sz w:val="22"/>
          <w:szCs w:val="22"/>
        </w:rPr>
        <w:t xml:space="preserve"> </w:t>
      </w:r>
    </w:p>
    <w:p w:rsidR="00CD3D2C" w:rsidRPr="00A660C8" w:rsidRDefault="005B05BD">
      <w:pPr>
        <w:ind w:left="708" w:right="-787"/>
        <w:jc w:val="both"/>
        <w:rPr>
          <w:sz w:val="22"/>
          <w:szCs w:val="22"/>
        </w:rPr>
      </w:pPr>
      <w:r w:rsidRPr="00A660C8">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A660C8">
        <w:rPr>
          <w:sz w:val="22"/>
          <w:szCs w:val="22"/>
        </w:rPr>
        <w:t xml:space="preserve"> </w:t>
      </w:r>
    </w:p>
    <w:p w:rsidR="00CD3D2C" w:rsidRPr="00A660C8" w:rsidRDefault="005B05BD">
      <w:pPr>
        <w:ind w:left="708" w:right="-787"/>
        <w:jc w:val="both"/>
        <w:rPr>
          <w:rFonts w:ascii="Palatino Linotype" w:eastAsia="Palatino Linotype" w:hAnsi="Palatino Linotype" w:cs="Palatino Linotype"/>
          <w:i/>
          <w:sz w:val="22"/>
          <w:szCs w:val="22"/>
        </w:rPr>
      </w:pPr>
      <w:r w:rsidRPr="00A660C8">
        <w:rPr>
          <w:rFonts w:ascii="Palatino Linotype" w:eastAsia="Palatino Linotype" w:hAnsi="Palatino Linotype" w:cs="Palatino Linotype"/>
          <w:b/>
          <w:i/>
          <w:sz w:val="22"/>
          <w:szCs w:val="22"/>
        </w:rPr>
        <w:t>Artículo 49.</w:t>
      </w:r>
      <w:r w:rsidRPr="00A660C8">
        <w:rPr>
          <w:rFonts w:ascii="Palatino Linotype" w:eastAsia="Palatino Linotype" w:hAnsi="Palatino Linotype" w:cs="Palatino Linotype"/>
          <w:i/>
          <w:sz w:val="22"/>
          <w:szCs w:val="22"/>
        </w:rPr>
        <w:t xml:space="preserve"> Los Comités de Transparencia tendrán las siguientes atribuciones: </w:t>
      </w:r>
    </w:p>
    <w:p w:rsidR="00CD3D2C" w:rsidRPr="00A660C8" w:rsidRDefault="005B05BD">
      <w:pPr>
        <w:numPr>
          <w:ilvl w:val="0"/>
          <w:numId w:val="4"/>
        </w:numPr>
        <w:pBdr>
          <w:top w:val="nil"/>
          <w:left w:val="nil"/>
          <w:bottom w:val="nil"/>
          <w:right w:val="nil"/>
          <w:between w:val="nil"/>
        </w:pBdr>
        <w:ind w:left="708" w:right="-787" w:firstLine="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Instituir, coordinar y supervisar en términos de las disposiciones aplicables, las acciones, medidas y procedimientos que coadyuven a asegurar una mayor eficacia en la gestión y atención de las solicitudes en materia de acceso a la información;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II. Confirmar, modificar o revocar las determinaciones que en materia de ampliación del plazo de respuesta, clasificación de la información y declaración de inexistencia o de incompetencia realicen los titulares de las áreas de los sujetos obligados;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 xml:space="preserve">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 xml:space="preserve">IV. Establecer políticas para facilitar la obtención y entrega de información en las solicitudes que permita el adecuado ejercicio del derecho de acceso a la información;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 xml:space="preserve">V. Promover la capacitación y actualización de los servidores públicos o integrantes adscritos a las unidades de transparencia;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 xml:space="preserve">VI. Establecer programas de capacitación en materia de transparencia, acceso a la información, accesibilidad y protección de datos personales, para todos los servidores públicos o integrantes del sujeto obligado;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 xml:space="preserve">VII. Solicitar y autorizar la ampliación del plazo de reserva de la información a que se refiere esta Ley;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VIII. Aprobar, modificar o revocar la clasificación de la información;</w:t>
      </w:r>
      <w:r w:rsidRPr="00A660C8">
        <w:rPr>
          <w:color w:val="000000"/>
          <w:sz w:val="22"/>
          <w:szCs w:val="22"/>
        </w:rPr>
        <w:t xml:space="preserve">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 xml:space="preserve">IX. Supervisar la aplicación de los lineamientos en materia de acceso a la información pública para el manejo, mantenimiento y seguridad de los datos personales, así como de los criterios de clasificación expedidos por el Instituto;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lastRenderedPageBreak/>
        <w:t xml:space="preserve">X. Elaborar un programa para facilitar la sistematización y actualización de la información, mismo que deberá remitirse al Instituto dentro de los primeros veinte días de cada año;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 xml:space="preserve">XI. Recabar y enviar al Instituto, de conformidad con los lineamientos que éste expida, los datos necesarios para la elaboración del informe anual;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 xml:space="preserve">XII. Emitir las resoluciones que correspondan para la atención de las solicitudes de información;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XIII. Dictaminar las declaratorias de inexistencia de la información que les remitan las unidades administrativas y resolver en consecuencia;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 xml:space="preserve">XIV. Supervisar el registro y actualización de las solicitudes de acceso a la información, así como sus trámites, costos y resultados;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 xml:space="preserve">XV. Fomentar la cultura de transparencia;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 xml:space="preserve">XVI. Supervisar el cumplimiento de criterios y lineamientos en materia de información clasificada;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 xml:space="preserve">XVII. Vigilar el cumplimiento de las resoluciones y recomendaciones que emita el Instituto; y </w:t>
      </w:r>
    </w:p>
    <w:p w:rsidR="00CD3D2C" w:rsidRPr="00A660C8" w:rsidRDefault="005B05BD">
      <w:pPr>
        <w:pBdr>
          <w:top w:val="nil"/>
          <w:left w:val="nil"/>
          <w:bottom w:val="nil"/>
          <w:right w:val="nil"/>
          <w:between w:val="nil"/>
        </w:pBdr>
        <w:ind w:left="708" w:right="-787"/>
        <w:jc w:val="both"/>
        <w:rPr>
          <w:color w:val="000000"/>
          <w:sz w:val="22"/>
          <w:szCs w:val="22"/>
        </w:rPr>
      </w:pPr>
      <w:r w:rsidRPr="00A660C8">
        <w:rPr>
          <w:rFonts w:ascii="Palatino Linotype" w:eastAsia="Palatino Linotype" w:hAnsi="Palatino Linotype" w:cs="Palatino Linotype"/>
          <w:i/>
          <w:color w:val="000000"/>
          <w:sz w:val="22"/>
          <w:szCs w:val="22"/>
        </w:rPr>
        <w:t>XVIII. Las demás que se desprendan de la presente Ley y las disposiciones jurídicas aplicables, que faciliten el acceso a la información.</w:t>
      </w:r>
      <w:r w:rsidRPr="00A660C8">
        <w:rPr>
          <w:color w:val="000000"/>
          <w:sz w:val="22"/>
          <w:szCs w:val="22"/>
        </w:rPr>
        <w:t xml:space="preserve">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b/>
          <w:i/>
          <w:color w:val="000000"/>
          <w:sz w:val="22"/>
          <w:szCs w:val="22"/>
        </w:rPr>
        <w:t>Artículo 169.</w:t>
      </w:r>
      <w:r w:rsidRPr="00A660C8">
        <w:rPr>
          <w:rFonts w:ascii="Palatino Linotype" w:eastAsia="Palatino Linotype" w:hAnsi="Palatino Linotype" w:cs="Palatino Linotype"/>
          <w:i/>
          <w:color w:val="000000"/>
          <w:sz w:val="22"/>
          <w:szCs w:val="22"/>
        </w:rPr>
        <w:t xml:space="preserve"> Cuando la información no se encuentre en los archivos del sujeto obligado, el Comité de Transparencia: </w:t>
      </w:r>
    </w:p>
    <w:p w:rsidR="00CD3D2C" w:rsidRPr="00A660C8" w:rsidRDefault="005B05BD">
      <w:pPr>
        <w:numPr>
          <w:ilvl w:val="0"/>
          <w:numId w:val="5"/>
        </w:numPr>
        <w:pBdr>
          <w:top w:val="nil"/>
          <w:left w:val="nil"/>
          <w:bottom w:val="nil"/>
          <w:right w:val="nil"/>
          <w:between w:val="nil"/>
        </w:pBdr>
        <w:ind w:left="708" w:right="-787" w:firstLine="0"/>
        <w:jc w:val="both"/>
        <w:rPr>
          <w:rFonts w:ascii="Palatino Linotype" w:eastAsia="Palatino Linotype" w:hAnsi="Palatino Linotype" w:cs="Palatino Linotype"/>
          <w:i/>
          <w:color w:val="000000"/>
          <w:sz w:val="22"/>
          <w:szCs w:val="22"/>
        </w:rPr>
      </w:pPr>
      <w:r w:rsidRPr="00A660C8">
        <w:rPr>
          <w:rFonts w:ascii="Palatino Linotype" w:eastAsia="Palatino Linotype" w:hAnsi="Palatino Linotype" w:cs="Palatino Linotype"/>
          <w:i/>
          <w:color w:val="000000"/>
          <w:sz w:val="22"/>
          <w:szCs w:val="22"/>
        </w:rPr>
        <w:t xml:space="preserve">Analizará el caso y tomará las medidas necesarias para localizar la información;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II. Expedirá una resolución que confirme la inexistencia del documento;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i/>
          <w:color w:val="000000"/>
          <w:sz w:val="22"/>
          <w:szCs w:val="22"/>
        </w:rPr>
        <w:t xml:space="preserve">IV. Notificará al órgano interno de control o equivalente del sujeto obligado quien, en su caso, deberá iniciar el procedimiento de responsabilidad administrativa que corresponda.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 xml:space="preserve">La Unidad de Transparencia deberá notificarlo al solicitante por escrito, en un plazo que no exceda de quince días hábiles contados a partir del día siguiente a la presentación de la solicitud. </w:t>
      </w:r>
    </w:p>
    <w:p w:rsidR="00CD3D2C" w:rsidRPr="00A660C8" w:rsidRDefault="005B05BD">
      <w:pPr>
        <w:pBdr>
          <w:top w:val="nil"/>
          <w:left w:val="nil"/>
          <w:bottom w:val="nil"/>
          <w:right w:val="nil"/>
          <w:between w:val="nil"/>
        </w:pBdr>
        <w:ind w:left="708" w:right="-787"/>
        <w:jc w:val="both"/>
        <w:rPr>
          <w:color w:val="000000"/>
          <w:sz w:val="22"/>
          <w:szCs w:val="22"/>
        </w:rPr>
      </w:pPr>
      <w:r w:rsidRPr="00A660C8">
        <w:rPr>
          <w:rFonts w:ascii="Palatino Linotype" w:eastAsia="Palatino Linotype" w:hAnsi="Palatino Linotype" w:cs="Palatino Linotype"/>
          <w:i/>
          <w:color w:val="000000"/>
          <w:sz w:val="22"/>
          <w:szCs w:val="22"/>
        </w:rPr>
        <w:t>Este plazo podrá ampliarse hasta por otros siete días hábiles, siempre que existan razones para ello, debiendo notificarse por escrito al solicitante.</w:t>
      </w:r>
      <w:r w:rsidRPr="00A660C8">
        <w:rPr>
          <w:color w:val="000000"/>
          <w:sz w:val="22"/>
          <w:szCs w:val="22"/>
        </w:rPr>
        <w:t xml:space="preserve"> </w:t>
      </w:r>
    </w:p>
    <w:p w:rsidR="00CD3D2C" w:rsidRPr="00A660C8" w:rsidRDefault="005B05BD">
      <w:pPr>
        <w:pBdr>
          <w:top w:val="nil"/>
          <w:left w:val="nil"/>
          <w:bottom w:val="nil"/>
          <w:right w:val="nil"/>
          <w:between w:val="nil"/>
        </w:pBdr>
        <w:ind w:left="708" w:right="-787"/>
        <w:jc w:val="both"/>
        <w:rPr>
          <w:rFonts w:ascii="Palatino Linotype" w:eastAsia="Palatino Linotype" w:hAnsi="Palatino Linotype" w:cs="Palatino Linotype"/>
          <w:b/>
          <w:i/>
          <w:color w:val="000000"/>
          <w:sz w:val="22"/>
          <w:szCs w:val="22"/>
        </w:rPr>
      </w:pPr>
      <w:r w:rsidRPr="00A660C8">
        <w:rPr>
          <w:rFonts w:ascii="Palatino Linotype" w:eastAsia="Palatino Linotype" w:hAnsi="Palatino Linotype" w:cs="Palatino Linotype"/>
          <w:b/>
          <w:i/>
          <w:color w:val="000000"/>
          <w:sz w:val="22"/>
          <w:szCs w:val="22"/>
        </w:rPr>
        <w:t>Artículo 170.</w:t>
      </w:r>
      <w:r w:rsidRPr="00A660C8">
        <w:rPr>
          <w:rFonts w:ascii="Palatino Linotype" w:eastAsia="Palatino Linotype" w:hAnsi="Palatino Linotype" w:cs="Palatino Linotype"/>
          <w:i/>
          <w:color w:val="000000"/>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CD3D2C" w:rsidRPr="00A660C8" w:rsidRDefault="00CD3D2C">
      <w:pPr>
        <w:spacing w:line="360" w:lineRule="auto"/>
        <w:ind w:left="708" w:right="-787"/>
        <w:jc w:val="both"/>
        <w:rPr>
          <w:rFonts w:ascii="Palatino Linotype" w:eastAsia="Palatino Linotype" w:hAnsi="Palatino Linotype" w:cs="Palatino Linotype"/>
          <w:sz w:val="22"/>
          <w:szCs w:val="22"/>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 xml:space="preserve">De todo lo expuesto con anterioridad, se observa que cuando los sujetos obligados tengan la obligación de contar con la información solicitada pero dentro de sus archivos no se encuentre después de una búsqueda exhaustiva y razonable, deberán de entregar el Acuerdo de Inexistencia, mediante el cual el Comité de Transparencia de manera fundada y motivada expongan las razones por la cuales la información solicitada no se encuentra en los archivos del </w:t>
      </w:r>
      <w:r w:rsidRPr="00A660C8">
        <w:rPr>
          <w:rFonts w:ascii="Palatino Linotype" w:eastAsia="Palatino Linotype" w:hAnsi="Palatino Linotype" w:cs="Palatino Linotype"/>
          <w:b/>
        </w:rPr>
        <w:t xml:space="preserve">SUJETO OBLIGADO. </w:t>
      </w:r>
    </w:p>
    <w:p w:rsidR="00CD3D2C" w:rsidRPr="00A660C8" w:rsidRDefault="00CD3D2C">
      <w:pPr>
        <w:spacing w:line="360" w:lineRule="auto"/>
        <w:ind w:right="-787"/>
        <w:jc w:val="both"/>
      </w:pPr>
    </w:p>
    <w:p w:rsidR="00CD3D2C" w:rsidRPr="00A660C8" w:rsidRDefault="00CD3D2C">
      <w:pPr>
        <w:ind w:right="-787"/>
        <w:rPr>
          <w:rFonts w:ascii="Palatino Linotype" w:eastAsia="Palatino Linotype" w:hAnsi="Palatino Linotype" w:cs="Palatino Linotype"/>
          <w:color w:val="FF0000"/>
        </w:rPr>
      </w:pPr>
    </w:p>
    <w:p w:rsidR="00CD3D2C" w:rsidRPr="00A660C8" w:rsidRDefault="005B05BD">
      <w:pPr>
        <w:keepNext/>
        <w:keepLines/>
        <w:spacing w:after="160" w:line="360" w:lineRule="auto"/>
        <w:ind w:right="-787"/>
        <w:rPr>
          <w:rFonts w:ascii="Palatino Linotype" w:eastAsia="Palatino Linotype" w:hAnsi="Palatino Linotype" w:cs="Palatino Linotype"/>
          <w:b/>
          <w:color w:val="000000"/>
        </w:rPr>
      </w:pPr>
      <w:r w:rsidRPr="00A660C8">
        <w:rPr>
          <w:rFonts w:ascii="Palatino Linotype" w:eastAsia="Palatino Linotype" w:hAnsi="Palatino Linotype" w:cs="Palatino Linotype"/>
          <w:b/>
          <w:color w:val="000000"/>
        </w:rPr>
        <w:t>QUINTO. De la versión pública.</w:t>
      </w:r>
    </w:p>
    <w:p w:rsidR="00CD3D2C" w:rsidRPr="00A660C8" w:rsidRDefault="005B05BD">
      <w:pPr>
        <w:keepNext/>
        <w:keepLines/>
        <w:numPr>
          <w:ilvl w:val="0"/>
          <w:numId w:val="9"/>
        </w:numPr>
        <w:tabs>
          <w:tab w:val="left" w:pos="284"/>
        </w:tabs>
        <w:spacing w:after="160" w:line="360" w:lineRule="auto"/>
        <w:ind w:left="0" w:right="-787" w:firstLine="0"/>
        <w:rPr>
          <w:rFonts w:ascii="Palatino Linotype" w:eastAsia="Palatino Linotype" w:hAnsi="Palatino Linotype" w:cs="Palatino Linotype"/>
          <w:b/>
          <w:color w:val="000000"/>
        </w:rPr>
      </w:pPr>
      <w:r w:rsidRPr="00A660C8">
        <w:rPr>
          <w:rFonts w:ascii="Palatino Linotype" w:eastAsia="Palatino Linotype" w:hAnsi="Palatino Linotype" w:cs="Palatino Linotype"/>
          <w:b/>
          <w:color w:val="000000"/>
        </w:rPr>
        <w:t xml:space="preserve">Nociones generales. </w:t>
      </w: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t xml:space="preserve">Debe destacarse, que debido a la información solicitada por el </w:t>
      </w:r>
      <w:r w:rsidRPr="00A660C8">
        <w:rPr>
          <w:rFonts w:ascii="Palatino Linotype" w:eastAsia="Palatino Linotype" w:hAnsi="Palatino Linotype" w:cs="Palatino Linotype"/>
          <w:b/>
          <w:color w:val="000000"/>
        </w:rPr>
        <w:t xml:space="preserve">RECURRENTE, pueden obrar </w:t>
      </w:r>
      <w:r w:rsidRPr="00A660C8">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A660C8">
        <w:rPr>
          <w:rFonts w:ascii="Palatino Linotype" w:eastAsia="Palatino Linotype" w:hAnsi="Palatino Linotype" w:cs="Palatino Linotype"/>
          <w:b/>
          <w:color w:val="000000"/>
        </w:rPr>
        <w:t xml:space="preserve">SUJETO OBLIGADO </w:t>
      </w:r>
      <w:r w:rsidRPr="00A660C8">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CD3D2C" w:rsidRPr="00A660C8" w:rsidRDefault="00CD3D2C">
      <w:pPr>
        <w:tabs>
          <w:tab w:val="left" w:pos="0"/>
          <w:tab w:val="left" w:pos="284"/>
        </w:tabs>
        <w:spacing w:line="360" w:lineRule="auto"/>
        <w:ind w:right="-787"/>
        <w:jc w:val="both"/>
        <w:rPr>
          <w:rFonts w:ascii="Palatino Linotype" w:eastAsia="Palatino Linotype" w:hAnsi="Palatino Linotype" w:cs="Palatino Linotype"/>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color w:val="000000"/>
        </w:rPr>
        <w:t>No pasa desapercibido para este Órgano Garante que los sujetos obligados</w:t>
      </w:r>
      <w:r w:rsidRPr="00A660C8">
        <w:rPr>
          <w:rFonts w:ascii="Palatino Linotype" w:eastAsia="Palatino Linotype" w:hAnsi="Palatino Linotype" w:cs="Palatino Linotype"/>
          <w:b/>
          <w:color w:val="000000"/>
        </w:rPr>
        <w:t xml:space="preserve"> </w:t>
      </w:r>
      <w:r w:rsidRPr="00A660C8">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D3D2C" w:rsidRPr="00A660C8" w:rsidRDefault="00CD3D2C">
      <w:pPr>
        <w:tabs>
          <w:tab w:val="left" w:pos="284"/>
        </w:tabs>
        <w:spacing w:after="160" w:line="360" w:lineRule="auto"/>
        <w:ind w:right="-787"/>
        <w:jc w:val="both"/>
        <w:rPr>
          <w:rFonts w:ascii="Palatino Linotype" w:eastAsia="Palatino Linotype" w:hAnsi="Palatino Linotype" w:cs="Palatino Linotype"/>
          <w:color w:val="000000"/>
        </w:rPr>
      </w:pPr>
    </w:p>
    <w:tbl>
      <w:tblPr>
        <w:tblStyle w:val="a"/>
        <w:tblW w:w="961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810"/>
      </w:tblGrid>
      <w:tr w:rsidR="00CD3D2C" w:rsidRPr="00A660C8">
        <w:tc>
          <w:tcPr>
            <w:tcW w:w="2805" w:type="dxa"/>
          </w:tcPr>
          <w:p w:rsidR="00CD3D2C" w:rsidRPr="00A660C8" w:rsidRDefault="005B05BD">
            <w:pPr>
              <w:tabs>
                <w:tab w:val="left" w:pos="284"/>
              </w:tabs>
              <w:spacing w:line="360" w:lineRule="auto"/>
              <w:ind w:right="35"/>
              <w:rPr>
                <w:rFonts w:ascii="Palatino Linotype" w:eastAsia="Palatino Linotype" w:hAnsi="Palatino Linotype" w:cs="Palatino Linotype"/>
                <w:sz w:val="22"/>
                <w:szCs w:val="22"/>
              </w:rPr>
            </w:pPr>
            <w:r w:rsidRPr="00A660C8">
              <w:rPr>
                <w:rFonts w:ascii="Palatino Linotype" w:eastAsia="Palatino Linotype" w:hAnsi="Palatino Linotype" w:cs="Palatino Linotype"/>
                <w:sz w:val="22"/>
                <w:szCs w:val="22"/>
              </w:rPr>
              <w:t>a) Requisitos previos.</w:t>
            </w:r>
          </w:p>
        </w:tc>
        <w:tc>
          <w:tcPr>
            <w:tcW w:w="6810" w:type="dxa"/>
          </w:tcPr>
          <w:p w:rsidR="00CD3D2C" w:rsidRPr="00A660C8" w:rsidRDefault="005B05BD">
            <w:pPr>
              <w:tabs>
                <w:tab w:val="left" w:pos="284"/>
              </w:tabs>
              <w:spacing w:line="360" w:lineRule="auto"/>
              <w:ind w:right="35"/>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D3D2C" w:rsidRPr="00A660C8" w:rsidRDefault="005B05BD">
            <w:pPr>
              <w:tabs>
                <w:tab w:val="left" w:pos="284"/>
              </w:tabs>
              <w:spacing w:line="360" w:lineRule="auto"/>
              <w:ind w:right="35"/>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rsidR="00CD3D2C" w:rsidRPr="00A660C8" w:rsidRDefault="005B05BD">
            <w:pPr>
              <w:tabs>
                <w:tab w:val="left" w:pos="284"/>
              </w:tabs>
              <w:spacing w:line="360" w:lineRule="auto"/>
              <w:ind w:right="35"/>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rsidR="00CD3D2C" w:rsidRPr="00A660C8" w:rsidRDefault="005B05BD">
            <w:pPr>
              <w:tabs>
                <w:tab w:val="left" w:pos="284"/>
              </w:tabs>
              <w:spacing w:line="360" w:lineRule="auto"/>
              <w:ind w:right="35"/>
              <w:jc w:val="both"/>
              <w:rPr>
                <w:rFonts w:ascii="Palatino Linotype" w:eastAsia="Palatino Linotype" w:hAnsi="Palatino Linotype" w:cs="Palatino Linotype"/>
                <w:sz w:val="22"/>
                <w:szCs w:val="22"/>
              </w:rPr>
            </w:pPr>
            <w:r w:rsidRPr="00A660C8">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A660C8">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A660C8">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CD3D2C" w:rsidRPr="00A660C8">
        <w:tc>
          <w:tcPr>
            <w:tcW w:w="2805" w:type="dxa"/>
          </w:tcPr>
          <w:p w:rsidR="00CD3D2C" w:rsidRPr="00A660C8" w:rsidRDefault="005B05BD">
            <w:pPr>
              <w:tabs>
                <w:tab w:val="left" w:pos="284"/>
              </w:tabs>
              <w:spacing w:line="360" w:lineRule="auto"/>
              <w:ind w:right="35"/>
              <w:rPr>
                <w:rFonts w:ascii="Palatino Linotype" w:eastAsia="Palatino Linotype" w:hAnsi="Palatino Linotype" w:cs="Palatino Linotype"/>
                <w:sz w:val="22"/>
                <w:szCs w:val="22"/>
              </w:rPr>
            </w:pPr>
            <w:r w:rsidRPr="00A660C8">
              <w:rPr>
                <w:rFonts w:ascii="Palatino Linotype" w:eastAsia="Palatino Linotype" w:hAnsi="Palatino Linotype" w:cs="Palatino Linotype"/>
                <w:sz w:val="22"/>
                <w:szCs w:val="22"/>
              </w:rPr>
              <w:t>b) Supuestos de clasificación.</w:t>
            </w:r>
          </w:p>
        </w:tc>
        <w:tc>
          <w:tcPr>
            <w:tcW w:w="6810" w:type="dxa"/>
          </w:tcPr>
          <w:p w:rsidR="00CD3D2C" w:rsidRPr="00A660C8" w:rsidRDefault="005B05BD">
            <w:pPr>
              <w:tabs>
                <w:tab w:val="left" w:pos="284"/>
              </w:tabs>
              <w:spacing w:line="360" w:lineRule="auto"/>
              <w:ind w:right="35"/>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rsidR="00CD3D2C" w:rsidRPr="00A660C8" w:rsidRDefault="005B05BD">
            <w:pPr>
              <w:tabs>
                <w:tab w:val="left" w:pos="284"/>
              </w:tabs>
              <w:spacing w:line="360" w:lineRule="auto"/>
              <w:ind w:right="35"/>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w:t>
            </w:r>
            <w:r w:rsidRPr="00A660C8">
              <w:rPr>
                <w:rFonts w:ascii="Palatino Linotype" w:eastAsia="Palatino Linotype" w:hAnsi="Palatino Linotype" w:cs="Palatino Linotype"/>
                <w:color w:val="000000"/>
                <w:sz w:val="22"/>
                <w:szCs w:val="22"/>
              </w:rPr>
              <w:lastRenderedPageBreak/>
              <w:t>manera restrictiva y limitada, por lo que debe acreditarse que se cumple con esta condición y no se pueden ampliar las excepciones o supuestos de clasificación aduciendo analogía o mayoría de razón.</w:t>
            </w:r>
          </w:p>
          <w:p w:rsidR="00CD3D2C" w:rsidRPr="00A660C8" w:rsidRDefault="005B05BD">
            <w:pPr>
              <w:tabs>
                <w:tab w:val="left" w:pos="284"/>
              </w:tabs>
              <w:spacing w:line="360" w:lineRule="auto"/>
              <w:ind w:right="35"/>
              <w:jc w:val="both"/>
              <w:rPr>
                <w:rFonts w:ascii="Palatino Linotype" w:eastAsia="Palatino Linotype" w:hAnsi="Palatino Linotype" w:cs="Palatino Linotype"/>
                <w:sz w:val="22"/>
                <w:szCs w:val="22"/>
              </w:rPr>
            </w:pPr>
            <w:r w:rsidRPr="00A660C8">
              <w:rPr>
                <w:rFonts w:ascii="Palatino Linotype" w:eastAsia="Palatino Linotype" w:hAnsi="Palatino Linotype" w:cs="Palatino Linotype"/>
                <w:color w:val="000000"/>
                <w:sz w:val="22"/>
                <w:szCs w:val="22"/>
              </w:rPr>
              <w:t xml:space="preserve">El </w:t>
            </w:r>
            <w:r w:rsidRPr="00A660C8">
              <w:rPr>
                <w:rFonts w:ascii="Palatino Linotype" w:eastAsia="Palatino Linotype" w:hAnsi="Palatino Linotype" w:cs="Palatino Linotype"/>
                <w:b/>
                <w:color w:val="000000"/>
                <w:sz w:val="22"/>
                <w:szCs w:val="22"/>
              </w:rPr>
              <w:t>Sujeto Obligado</w:t>
            </w:r>
            <w:r w:rsidRPr="00A660C8">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D3D2C" w:rsidRPr="00A660C8">
        <w:tc>
          <w:tcPr>
            <w:tcW w:w="2805" w:type="dxa"/>
          </w:tcPr>
          <w:p w:rsidR="00CD3D2C" w:rsidRPr="00A660C8" w:rsidRDefault="005B05BD">
            <w:pPr>
              <w:tabs>
                <w:tab w:val="left" w:pos="284"/>
              </w:tabs>
              <w:spacing w:line="360" w:lineRule="auto"/>
              <w:ind w:right="35"/>
              <w:rPr>
                <w:rFonts w:ascii="Palatino Linotype" w:eastAsia="Palatino Linotype" w:hAnsi="Palatino Linotype" w:cs="Palatino Linotype"/>
                <w:sz w:val="22"/>
                <w:szCs w:val="22"/>
              </w:rPr>
            </w:pPr>
            <w:r w:rsidRPr="00A660C8">
              <w:rPr>
                <w:rFonts w:ascii="Palatino Linotype" w:eastAsia="Palatino Linotype" w:hAnsi="Palatino Linotype" w:cs="Palatino Linotype"/>
                <w:sz w:val="22"/>
                <w:szCs w:val="22"/>
              </w:rPr>
              <w:lastRenderedPageBreak/>
              <w:t>c) Formalidades para emitir el acuerdo de clasificación.</w:t>
            </w:r>
          </w:p>
        </w:tc>
        <w:tc>
          <w:tcPr>
            <w:tcW w:w="6810" w:type="dxa"/>
          </w:tcPr>
          <w:p w:rsidR="00CD3D2C" w:rsidRPr="00A660C8" w:rsidRDefault="005B05BD">
            <w:pPr>
              <w:tabs>
                <w:tab w:val="left" w:pos="284"/>
              </w:tabs>
              <w:spacing w:line="360" w:lineRule="auto"/>
              <w:ind w:right="35"/>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rsidR="00CD3D2C" w:rsidRPr="00A660C8" w:rsidRDefault="005B05BD">
            <w:pPr>
              <w:tabs>
                <w:tab w:val="left" w:pos="284"/>
              </w:tabs>
              <w:spacing w:line="360" w:lineRule="auto"/>
              <w:ind w:right="35"/>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 xml:space="preserve">Es necesario que </w:t>
            </w:r>
            <w:r w:rsidRPr="00A660C8">
              <w:rPr>
                <w:rFonts w:ascii="Palatino Linotype" w:eastAsia="Palatino Linotype" w:hAnsi="Palatino Linotype" w:cs="Palatino Linotype"/>
                <w:b/>
                <w:color w:val="000000"/>
                <w:sz w:val="22"/>
                <w:szCs w:val="22"/>
                <w:u w:val="single"/>
              </w:rPr>
              <w:t>el acto reúna con los requisitos elementales</w:t>
            </w:r>
            <w:r w:rsidRPr="00A660C8">
              <w:rPr>
                <w:rFonts w:ascii="Palatino Linotype" w:eastAsia="Palatino Linotype" w:hAnsi="Palatino Linotype" w:cs="Palatino Linotype"/>
                <w:color w:val="000000"/>
                <w:sz w:val="22"/>
                <w:szCs w:val="22"/>
              </w:rPr>
              <w:t>, entre ellos, que la autoridad que va a emitir el acto de autoridad sea la legalmente facultada para ello.</w:t>
            </w:r>
          </w:p>
          <w:p w:rsidR="00CD3D2C" w:rsidRPr="00A660C8" w:rsidRDefault="005B05BD">
            <w:pPr>
              <w:tabs>
                <w:tab w:val="left" w:pos="284"/>
              </w:tabs>
              <w:spacing w:line="360" w:lineRule="auto"/>
              <w:ind w:right="35"/>
              <w:jc w:val="both"/>
              <w:rPr>
                <w:rFonts w:ascii="Palatino Linotype" w:eastAsia="Palatino Linotype" w:hAnsi="Palatino Linotype" w:cs="Palatino Linotype"/>
                <w:sz w:val="22"/>
                <w:szCs w:val="22"/>
              </w:rPr>
            </w:pPr>
            <w:r w:rsidRPr="00A660C8">
              <w:rPr>
                <w:rFonts w:ascii="Palatino Linotype" w:eastAsia="Palatino Linotype" w:hAnsi="Palatino Linotype" w:cs="Palatino Linotype"/>
                <w:color w:val="000000"/>
                <w:sz w:val="22"/>
                <w:szCs w:val="22"/>
              </w:rPr>
              <w:t xml:space="preserve">La decisión de aprobar, modificar o revocar la clasificación deberá de asentarse en un documento que registre la determinación a la que se llegue después de un análisis minucioso a partir de lo propuesto por el Titular del I. </w:t>
            </w:r>
            <w:r w:rsidRPr="00A660C8">
              <w:rPr>
                <w:rFonts w:ascii="Palatino Linotype" w:eastAsia="Palatino Linotype" w:hAnsi="Palatino Linotype" w:cs="Palatino Linotype"/>
                <w:sz w:val="22"/>
                <w:szCs w:val="22"/>
              </w:rPr>
              <w:t>El área</w:t>
            </w:r>
            <w:r w:rsidRPr="00A660C8">
              <w:rPr>
                <w:rFonts w:ascii="Palatino Linotype" w:eastAsia="Palatino Linotype" w:hAnsi="Palatino Linotype" w:cs="Palatino Linotype"/>
                <w:color w:val="000000"/>
                <w:sz w:val="22"/>
                <w:szCs w:val="22"/>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D3D2C" w:rsidRPr="00A660C8">
        <w:tc>
          <w:tcPr>
            <w:tcW w:w="2805" w:type="dxa"/>
          </w:tcPr>
          <w:p w:rsidR="00CD3D2C" w:rsidRPr="00A660C8" w:rsidRDefault="00CD3D2C">
            <w:pPr>
              <w:tabs>
                <w:tab w:val="left" w:pos="284"/>
              </w:tabs>
              <w:spacing w:line="360" w:lineRule="auto"/>
              <w:ind w:right="35"/>
              <w:rPr>
                <w:rFonts w:ascii="Palatino Linotype" w:eastAsia="Palatino Linotype" w:hAnsi="Palatino Linotype" w:cs="Palatino Linotype"/>
                <w:sz w:val="22"/>
                <w:szCs w:val="22"/>
              </w:rPr>
            </w:pPr>
          </w:p>
          <w:p w:rsidR="00CD3D2C" w:rsidRPr="00A660C8" w:rsidRDefault="005B05BD">
            <w:pPr>
              <w:tabs>
                <w:tab w:val="left" w:pos="284"/>
              </w:tabs>
              <w:spacing w:line="360" w:lineRule="auto"/>
              <w:ind w:right="35"/>
              <w:jc w:val="both"/>
              <w:rPr>
                <w:rFonts w:ascii="Palatino Linotype" w:eastAsia="Palatino Linotype" w:hAnsi="Palatino Linotype" w:cs="Palatino Linotype"/>
                <w:sz w:val="22"/>
                <w:szCs w:val="22"/>
              </w:rPr>
            </w:pPr>
            <w:r w:rsidRPr="00A660C8">
              <w:rPr>
                <w:rFonts w:ascii="Palatino Linotype" w:eastAsia="Palatino Linotype" w:hAnsi="Palatino Linotype" w:cs="Palatino Linotype"/>
                <w:color w:val="000000"/>
                <w:sz w:val="22"/>
                <w:szCs w:val="22"/>
              </w:rPr>
              <w:t xml:space="preserve">d) Requisitos de fondo del acuerdo de clasificación. </w:t>
            </w:r>
          </w:p>
        </w:tc>
        <w:tc>
          <w:tcPr>
            <w:tcW w:w="6810" w:type="dxa"/>
          </w:tcPr>
          <w:p w:rsidR="00CD3D2C" w:rsidRPr="00A660C8" w:rsidRDefault="005B05BD">
            <w:pPr>
              <w:tabs>
                <w:tab w:val="left" w:pos="284"/>
              </w:tabs>
              <w:spacing w:line="360" w:lineRule="auto"/>
              <w:ind w:right="35"/>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w:t>
            </w:r>
            <w:r w:rsidRPr="00A660C8">
              <w:rPr>
                <w:rFonts w:ascii="Palatino Linotype" w:eastAsia="Palatino Linotype" w:hAnsi="Palatino Linotype" w:cs="Palatino Linotype"/>
                <w:color w:val="000000"/>
                <w:sz w:val="22"/>
                <w:szCs w:val="22"/>
              </w:rPr>
              <w:lastRenderedPageBreak/>
              <w:t xml:space="preserve">parte del procedimiento, que se desahoga en sede del Comité de Transparencia, la ley señala que la carga de la prueba, para justificar las restricciones, corresponde a los </w:t>
            </w:r>
            <w:r w:rsidRPr="00A660C8">
              <w:rPr>
                <w:rFonts w:ascii="Palatino Linotype" w:eastAsia="Palatino Linotype" w:hAnsi="Palatino Linotype" w:cs="Palatino Linotype"/>
                <w:b/>
                <w:color w:val="000000"/>
                <w:sz w:val="22"/>
                <w:szCs w:val="22"/>
              </w:rPr>
              <w:t>Sujetos Obligados</w:t>
            </w:r>
            <w:r w:rsidRPr="00A660C8">
              <w:rPr>
                <w:rFonts w:ascii="Palatino Linotype" w:eastAsia="Palatino Linotype" w:hAnsi="Palatino Linotype" w:cs="Palatino Linotype"/>
                <w:color w:val="000000"/>
                <w:sz w:val="22"/>
                <w:szCs w:val="22"/>
              </w:rPr>
              <w:t xml:space="preserve">, por lo que deberán fundar y motivar debidamente la clasificación. </w:t>
            </w:r>
          </w:p>
          <w:p w:rsidR="00CD3D2C" w:rsidRPr="00A660C8" w:rsidRDefault="005B05BD">
            <w:pPr>
              <w:tabs>
                <w:tab w:val="left" w:pos="284"/>
              </w:tabs>
              <w:spacing w:line="360" w:lineRule="auto"/>
              <w:ind w:right="35"/>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 xml:space="preserve">De lo anterior, se desprende que para una correcta </w:t>
            </w:r>
            <w:r w:rsidRPr="00A660C8">
              <w:rPr>
                <w:rFonts w:ascii="Palatino Linotype" w:eastAsia="Palatino Linotype" w:hAnsi="Palatino Linotype" w:cs="Palatino Linotype"/>
                <w:b/>
                <w:color w:val="000000"/>
                <w:sz w:val="22"/>
                <w:szCs w:val="22"/>
              </w:rPr>
              <w:t>clasificación total o parcial</w:t>
            </w:r>
            <w:r w:rsidRPr="00A660C8">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D3D2C" w:rsidRPr="00A660C8" w:rsidRDefault="005B05BD">
            <w:pPr>
              <w:tabs>
                <w:tab w:val="left" w:pos="284"/>
              </w:tabs>
              <w:spacing w:line="360" w:lineRule="auto"/>
              <w:ind w:right="35"/>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D3D2C" w:rsidRPr="00A660C8" w:rsidRDefault="005B05BD">
            <w:pPr>
              <w:tabs>
                <w:tab w:val="left" w:pos="284"/>
              </w:tabs>
              <w:spacing w:line="360" w:lineRule="auto"/>
              <w:ind w:right="35"/>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rsidR="00CD3D2C" w:rsidRPr="00A660C8" w:rsidRDefault="005B05BD">
            <w:pPr>
              <w:tabs>
                <w:tab w:val="left" w:pos="284"/>
              </w:tabs>
              <w:spacing w:line="360" w:lineRule="auto"/>
              <w:ind w:right="35"/>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 xml:space="preserve">Ahora bien, </w:t>
            </w:r>
            <w:r w:rsidRPr="00A660C8">
              <w:rPr>
                <w:rFonts w:ascii="Palatino Linotype" w:eastAsia="Palatino Linotype" w:hAnsi="Palatino Linotype" w:cs="Palatino Linotype"/>
                <w:b/>
                <w:color w:val="000000"/>
                <w:sz w:val="22"/>
                <w:szCs w:val="22"/>
                <w:u w:val="single"/>
              </w:rPr>
              <w:t>para cada caso además de fundar y motivar</w:t>
            </w:r>
            <w:r w:rsidRPr="00A660C8">
              <w:rPr>
                <w:rFonts w:ascii="Palatino Linotype" w:eastAsia="Palatino Linotype" w:hAnsi="Palatino Linotype" w:cs="Palatino Linotype"/>
                <w:color w:val="000000"/>
                <w:sz w:val="22"/>
                <w:szCs w:val="22"/>
              </w:rPr>
              <w:t xml:space="preserve">, se debe identificar con claridad </w:t>
            </w:r>
            <w:r w:rsidRPr="00A660C8">
              <w:rPr>
                <w:rFonts w:ascii="Palatino Linotype" w:eastAsia="Palatino Linotype" w:hAnsi="Palatino Linotype" w:cs="Palatino Linotype"/>
                <w:sz w:val="22"/>
                <w:szCs w:val="22"/>
              </w:rPr>
              <w:t>qué</w:t>
            </w:r>
            <w:r w:rsidRPr="00A660C8">
              <w:rPr>
                <w:rFonts w:ascii="Palatino Linotype" w:eastAsia="Palatino Linotype" w:hAnsi="Palatino Linotype" w:cs="Palatino Linotype"/>
                <w:color w:val="000000"/>
                <w:sz w:val="22"/>
                <w:szCs w:val="22"/>
              </w:rPr>
              <w:t xml:space="preserve"> datos contenidos en las documentales que son susceptibles de suprimirse, por ejemplo; Clave Única de Registro de Población (CURP), Registro Federal de Contribuyentes </w:t>
            </w:r>
            <w:r w:rsidRPr="00A660C8">
              <w:rPr>
                <w:rFonts w:ascii="Palatino Linotype" w:eastAsia="Palatino Linotype" w:hAnsi="Palatino Linotype" w:cs="Palatino Linotype"/>
                <w:color w:val="000000"/>
                <w:sz w:val="22"/>
                <w:szCs w:val="22"/>
              </w:rPr>
              <w:lastRenderedPageBreak/>
              <w:t>(R.F.C.), claves de seguros, préstamos o descuentos personales, secretos bancario, fiduciario, industrial, comercial, fiscal, bursátil y postal, cuya titularidad corresponda a particulares, entre otros.</w:t>
            </w:r>
          </w:p>
        </w:tc>
      </w:tr>
      <w:tr w:rsidR="00CD3D2C" w:rsidRPr="00A660C8">
        <w:tc>
          <w:tcPr>
            <w:tcW w:w="2805" w:type="dxa"/>
          </w:tcPr>
          <w:p w:rsidR="00CD3D2C" w:rsidRPr="00A660C8" w:rsidRDefault="005B05BD">
            <w:pPr>
              <w:tabs>
                <w:tab w:val="left" w:pos="284"/>
              </w:tabs>
              <w:spacing w:line="360" w:lineRule="auto"/>
              <w:ind w:right="35"/>
              <w:jc w:val="both"/>
              <w:rPr>
                <w:rFonts w:ascii="Palatino Linotype" w:eastAsia="Palatino Linotype" w:hAnsi="Palatino Linotype" w:cs="Palatino Linotype"/>
                <w:sz w:val="22"/>
                <w:szCs w:val="22"/>
              </w:rPr>
            </w:pPr>
            <w:r w:rsidRPr="00A660C8">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810" w:type="dxa"/>
          </w:tcPr>
          <w:p w:rsidR="00CD3D2C" w:rsidRPr="00A660C8" w:rsidRDefault="005B05BD">
            <w:pPr>
              <w:tabs>
                <w:tab w:val="left" w:pos="284"/>
              </w:tabs>
              <w:spacing w:line="360" w:lineRule="auto"/>
              <w:ind w:right="35"/>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rsidR="00CD3D2C" w:rsidRPr="00A660C8" w:rsidRDefault="005B05BD">
            <w:pPr>
              <w:tabs>
                <w:tab w:val="left" w:pos="284"/>
              </w:tabs>
              <w:spacing w:line="360" w:lineRule="auto"/>
              <w:ind w:right="35"/>
              <w:jc w:val="both"/>
              <w:rPr>
                <w:rFonts w:ascii="Palatino Linotype" w:eastAsia="Palatino Linotype" w:hAnsi="Palatino Linotype" w:cs="Palatino Linotype"/>
                <w:color w:val="000000"/>
                <w:sz w:val="22"/>
                <w:szCs w:val="22"/>
              </w:rPr>
            </w:pPr>
            <w:r w:rsidRPr="00A660C8">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D3D2C" w:rsidRPr="00A660C8" w:rsidRDefault="005B05BD">
            <w:pPr>
              <w:tabs>
                <w:tab w:val="left" w:pos="284"/>
              </w:tabs>
              <w:spacing w:line="360" w:lineRule="auto"/>
              <w:ind w:right="35"/>
              <w:rPr>
                <w:rFonts w:ascii="Palatino Linotype" w:eastAsia="Palatino Linotype" w:hAnsi="Palatino Linotype" w:cs="Palatino Linotype"/>
                <w:sz w:val="22"/>
                <w:szCs w:val="22"/>
              </w:rPr>
            </w:pPr>
            <w:r w:rsidRPr="00A660C8">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D3D2C" w:rsidRPr="00A660C8" w:rsidRDefault="00CD3D2C">
      <w:pPr>
        <w:tabs>
          <w:tab w:val="left" w:pos="284"/>
        </w:tabs>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pPr>
      <w:r w:rsidRPr="00A660C8">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rsidR="00CD3D2C" w:rsidRPr="00A660C8" w:rsidRDefault="00CD3D2C">
      <w:pPr>
        <w:spacing w:line="360" w:lineRule="auto"/>
        <w:ind w:right="-787"/>
        <w:jc w:val="both"/>
        <w:rPr>
          <w:rFonts w:ascii="Palatino Linotype" w:eastAsia="Palatino Linotype" w:hAnsi="Palatino Linotype" w:cs="Palatino Linotype"/>
          <w:color w:val="000000"/>
        </w:rPr>
      </w:pPr>
    </w:p>
    <w:p w:rsidR="00CD3D2C" w:rsidRPr="00A660C8" w:rsidRDefault="005B05BD">
      <w:pPr>
        <w:numPr>
          <w:ilvl w:val="0"/>
          <w:numId w:val="6"/>
        </w:numPr>
        <w:spacing w:line="360" w:lineRule="auto"/>
        <w:ind w:left="0" w:right="-787" w:firstLine="0"/>
        <w:jc w:val="both"/>
        <w:rPr>
          <w:color w:val="000000"/>
        </w:rPr>
      </w:pPr>
      <w:r w:rsidRPr="00A660C8">
        <w:rPr>
          <w:rFonts w:ascii="Palatino Linotype" w:eastAsia="Palatino Linotype" w:hAnsi="Palatino Linotype" w:cs="Palatino Linotype"/>
        </w:rPr>
        <w:t>Por lo anteriormente expuesto, este Órgano Garante considera fundadas las razones o motivos de inconformidad que plantea el</w:t>
      </w:r>
      <w:r w:rsidRPr="00A660C8">
        <w:rPr>
          <w:rFonts w:ascii="Palatino Linotype" w:eastAsia="Palatino Linotype" w:hAnsi="Palatino Linotype" w:cs="Palatino Linotype"/>
          <w:b/>
        </w:rPr>
        <w:t xml:space="preserve"> RECURRENTE</w:t>
      </w:r>
      <w:r w:rsidRPr="00A660C8">
        <w:rPr>
          <w:rFonts w:ascii="Palatino Linotype" w:eastAsia="Palatino Linotype" w:hAnsi="Palatino Linotype" w:cs="Palatino Linotype"/>
        </w:rPr>
        <w:t xml:space="preserve">, determinando </w:t>
      </w:r>
      <w:r w:rsidRPr="00A660C8">
        <w:rPr>
          <w:rFonts w:ascii="Palatino Linotype" w:eastAsia="Palatino Linotype" w:hAnsi="Palatino Linotype" w:cs="Palatino Linotype"/>
          <w:b/>
          <w:smallCaps/>
        </w:rPr>
        <w:t xml:space="preserve">REVOCAR </w:t>
      </w:r>
      <w:r w:rsidRPr="00A660C8">
        <w:rPr>
          <w:rFonts w:ascii="Palatino Linotype" w:eastAsia="Palatino Linotype" w:hAnsi="Palatino Linotype" w:cs="Palatino Linotype"/>
          <w:b/>
        </w:rPr>
        <w:t xml:space="preserve"> </w:t>
      </w:r>
      <w:r w:rsidRPr="00A660C8">
        <w:rPr>
          <w:rFonts w:ascii="Palatino Linotype" w:eastAsia="Palatino Linotype" w:hAnsi="Palatino Linotype" w:cs="Palatino Linotype"/>
        </w:rPr>
        <w:t xml:space="preserve">la respuesta del </w:t>
      </w:r>
      <w:r w:rsidRPr="00A660C8">
        <w:rPr>
          <w:rFonts w:ascii="Palatino Linotype" w:eastAsia="Palatino Linotype" w:hAnsi="Palatino Linotype" w:cs="Palatino Linotype"/>
          <w:b/>
        </w:rPr>
        <w:t>SUJETO OBLIGADO</w:t>
      </w:r>
      <w:r w:rsidRPr="00A660C8">
        <w:rPr>
          <w:rFonts w:ascii="Palatino Linotype" w:eastAsia="Palatino Linotype" w:hAnsi="Palatino Linotype" w:cs="Palatino Linotype"/>
        </w:rPr>
        <w:t xml:space="preserve">, por lo que con fundamento en lo </w:t>
      </w:r>
      <w:r w:rsidRPr="00A660C8">
        <w:rPr>
          <w:rFonts w:ascii="Palatino Linotype" w:eastAsia="Palatino Linotype" w:hAnsi="Palatino Linotype" w:cs="Palatino Linotype"/>
        </w:rPr>
        <w:lastRenderedPageBreak/>
        <w:t xml:space="preserve">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A660C8">
        <w:rPr>
          <w:rFonts w:ascii="Palatino Linotype" w:eastAsia="Palatino Linotype" w:hAnsi="Palatino Linotype" w:cs="Palatino Linotype"/>
          <w:color w:val="000000"/>
        </w:rPr>
        <w:t xml:space="preserve">este </w:t>
      </w:r>
      <w:r w:rsidRPr="00A660C8">
        <w:rPr>
          <w:rFonts w:ascii="Palatino Linotype" w:eastAsia="Palatino Linotype" w:hAnsi="Palatino Linotype" w:cs="Palatino Linotype"/>
          <w:b/>
          <w:color w:val="000000"/>
        </w:rPr>
        <w:t>ÓRGANO GARANTE</w:t>
      </w:r>
      <w:r w:rsidRPr="00A660C8">
        <w:rPr>
          <w:rFonts w:ascii="Palatino Linotype" w:eastAsia="Palatino Linotype" w:hAnsi="Palatino Linotype" w:cs="Palatino Linotype"/>
          <w:color w:val="000000"/>
        </w:rPr>
        <w:t xml:space="preserve"> emite los siguientes.</w:t>
      </w:r>
    </w:p>
    <w:p w:rsidR="00CD3D2C" w:rsidRPr="00A660C8" w:rsidRDefault="00CD3D2C">
      <w:pPr>
        <w:pBdr>
          <w:top w:val="nil"/>
          <w:left w:val="nil"/>
          <w:bottom w:val="nil"/>
          <w:right w:val="nil"/>
          <w:between w:val="nil"/>
        </w:pBdr>
        <w:ind w:left="720" w:right="-787"/>
        <w:rPr>
          <w:rFonts w:ascii="Palatino Linotype" w:eastAsia="Palatino Linotype" w:hAnsi="Palatino Linotype" w:cs="Palatino Linotype"/>
          <w:color w:val="000000"/>
        </w:rPr>
      </w:pPr>
    </w:p>
    <w:p w:rsidR="00CD3D2C" w:rsidRPr="00A660C8" w:rsidRDefault="00CD3D2C">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rsidR="00CD3D2C" w:rsidRPr="00A660C8" w:rsidRDefault="005B05BD">
      <w:pPr>
        <w:pStyle w:val="Ttulo1"/>
        <w:spacing w:before="0" w:line="360" w:lineRule="auto"/>
        <w:ind w:right="-787"/>
        <w:jc w:val="center"/>
        <w:rPr>
          <w:rFonts w:ascii="Palatino Linotype" w:eastAsia="Palatino Linotype" w:hAnsi="Palatino Linotype" w:cs="Palatino Linotype"/>
          <w:b/>
          <w:color w:val="000000"/>
          <w:sz w:val="24"/>
          <w:szCs w:val="24"/>
        </w:rPr>
      </w:pPr>
      <w:r w:rsidRPr="00A660C8">
        <w:rPr>
          <w:rFonts w:ascii="Palatino Linotype" w:eastAsia="Palatino Linotype" w:hAnsi="Palatino Linotype" w:cs="Palatino Linotype"/>
          <w:b/>
          <w:color w:val="000000"/>
          <w:sz w:val="24"/>
          <w:szCs w:val="24"/>
        </w:rPr>
        <w:t>R E S O L U T I V O S</w:t>
      </w:r>
    </w:p>
    <w:p w:rsidR="00CD3D2C" w:rsidRPr="00A660C8" w:rsidRDefault="00CD3D2C">
      <w:pPr>
        <w:spacing w:line="360" w:lineRule="auto"/>
        <w:ind w:right="-787"/>
        <w:rPr>
          <w:rFonts w:ascii="Palatino Linotype" w:eastAsia="Palatino Linotype" w:hAnsi="Palatino Linotype" w:cs="Palatino Linotype"/>
        </w:rPr>
      </w:pPr>
    </w:p>
    <w:p w:rsidR="00CD3D2C" w:rsidRPr="00A660C8" w:rsidRDefault="005B05BD">
      <w:pPr>
        <w:spacing w:line="360" w:lineRule="auto"/>
        <w:ind w:right="-787"/>
        <w:jc w:val="both"/>
        <w:rPr>
          <w:rFonts w:ascii="Palatino Linotype" w:eastAsia="Palatino Linotype" w:hAnsi="Palatino Linotype" w:cs="Palatino Linotype"/>
        </w:rPr>
      </w:pPr>
      <w:r w:rsidRPr="00A660C8">
        <w:rPr>
          <w:rFonts w:ascii="Palatino Linotype" w:eastAsia="Palatino Linotype" w:hAnsi="Palatino Linotype" w:cs="Palatino Linotype"/>
          <w:b/>
        </w:rPr>
        <w:t>PRIMERO</w:t>
      </w:r>
      <w:r w:rsidRPr="00A660C8">
        <w:rPr>
          <w:rFonts w:ascii="Palatino Linotype" w:eastAsia="Palatino Linotype" w:hAnsi="Palatino Linotype" w:cs="Palatino Linotype"/>
        </w:rPr>
        <w:t xml:space="preserve">. Resultan fundadas las razones o motivos de inconformidad hechos valer en los Recursos de Revisión </w:t>
      </w:r>
      <w:r w:rsidRPr="00A660C8">
        <w:rPr>
          <w:rFonts w:ascii="Palatino Linotype" w:eastAsia="Palatino Linotype" w:hAnsi="Palatino Linotype" w:cs="Palatino Linotype"/>
          <w:b/>
        </w:rPr>
        <w:t xml:space="preserve">02218/INFOEM/IP/RR/2024, </w:t>
      </w:r>
      <w:r w:rsidRPr="00A660C8">
        <w:rPr>
          <w:rFonts w:ascii="Palatino Linotype" w:eastAsia="Palatino Linotype" w:hAnsi="Palatino Linotype" w:cs="Palatino Linotype"/>
        </w:rPr>
        <w:t xml:space="preserve">en términos del Considerando </w:t>
      </w:r>
      <w:r w:rsidRPr="00A660C8">
        <w:rPr>
          <w:rFonts w:ascii="Palatino Linotype" w:eastAsia="Palatino Linotype" w:hAnsi="Palatino Linotype" w:cs="Palatino Linotype"/>
          <w:b/>
        </w:rPr>
        <w:t xml:space="preserve">Cuarto y Quinto </w:t>
      </w:r>
      <w:r w:rsidRPr="00A660C8">
        <w:rPr>
          <w:rFonts w:ascii="Palatino Linotype" w:eastAsia="Palatino Linotype" w:hAnsi="Palatino Linotype" w:cs="Palatino Linotype"/>
        </w:rPr>
        <w:t xml:space="preserve">de la presente resolución. </w:t>
      </w:r>
    </w:p>
    <w:p w:rsidR="00CD3D2C" w:rsidRPr="00A660C8" w:rsidRDefault="00CD3D2C">
      <w:pPr>
        <w:spacing w:line="360" w:lineRule="auto"/>
        <w:ind w:right="-787"/>
        <w:jc w:val="both"/>
        <w:rPr>
          <w:rFonts w:ascii="Palatino Linotype" w:eastAsia="Palatino Linotype" w:hAnsi="Palatino Linotype" w:cs="Palatino Linotype"/>
        </w:rPr>
      </w:pPr>
    </w:p>
    <w:p w:rsidR="00CD3D2C" w:rsidRPr="00A660C8" w:rsidRDefault="005B05BD">
      <w:pPr>
        <w:spacing w:line="360" w:lineRule="auto"/>
        <w:ind w:right="-787"/>
        <w:jc w:val="both"/>
        <w:rPr>
          <w:rFonts w:ascii="Palatino Linotype" w:eastAsia="Palatino Linotype" w:hAnsi="Palatino Linotype" w:cs="Palatino Linotype"/>
        </w:rPr>
      </w:pPr>
      <w:bookmarkStart w:id="50" w:name="_heading=h.1ksv4uv" w:colFirst="0" w:colLast="0"/>
      <w:bookmarkEnd w:id="50"/>
      <w:r w:rsidRPr="00A660C8">
        <w:rPr>
          <w:rFonts w:ascii="Palatino Linotype" w:eastAsia="Palatino Linotype" w:hAnsi="Palatino Linotype" w:cs="Palatino Linotype"/>
          <w:b/>
        </w:rPr>
        <w:t xml:space="preserve">SEGUNDO. </w:t>
      </w:r>
      <w:r w:rsidRPr="00A660C8">
        <w:rPr>
          <w:rFonts w:ascii="Palatino Linotype" w:eastAsia="Palatino Linotype" w:hAnsi="Palatino Linotype" w:cs="Palatino Linotype"/>
          <w:color w:val="000000"/>
        </w:rPr>
        <w:t xml:space="preserve">Se </w:t>
      </w:r>
      <w:r w:rsidRPr="00A660C8">
        <w:rPr>
          <w:rFonts w:ascii="Palatino Linotype" w:eastAsia="Palatino Linotype" w:hAnsi="Palatino Linotype" w:cs="Palatino Linotype"/>
          <w:b/>
          <w:color w:val="000000"/>
        </w:rPr>
        <w:t xml:space="preserve">REVOCA </w:t>
      </w:r>
      <w:r w:rsidRPr="00A660C8">
        <w:rPr>
          <w:rFonts w:ascii="Palatino Linotype" w:eastAsia="Palatino Linotype" w:hAnsi="Palatino Linotype" w:cs="Palatino Linotype"/>
          <w:color w:val="000000"/>
        </w:rPr>
        <w:t xml:space="preserve">la respuesta emitida por el </w:t>
      </w:r>
      <w:r w:rsidRPr="00A660C8">
        <w:rPr>
          <w:rFonts w:ascii="Palatino Linotype" w:eastAsia="Palatino Linotype" w:hAnsi="Palatino Linotype" w:cs="Palatino Linotype"/>
          <w:b/>
          <w:color w:val="000000"/>
        </w:rPr>
        <w:t xml:space="preserve">Ayuntamiento de Ecatepec de Morelos </w:t>
      </w:r>
      <w:r w:rsidRPr="00A660C8">
        <w:rPr>
          <w:rFonts w:ascii="Palatino Linotype" w:eastAsia="Palatino Linotype" w:hAnsi="Palatino Linotype" w:cs="Palatino Linotype"/>
          <w:color w:val="000000"/>
        </w:rPr>
        <w:t xml:space="preserve">y se </w:t>
      </w:r>
      <w:r w:rsidRPr="00A660C8">
        <w:rPr>
          <w:rFonts w:ascii="Palatino Linotype" w:eastAsia="Palatino Linotype" w:hAnsi="Palatino Linotype" w:cs="Palatino Linotype"/>
          <w:b/>
          <w:color w:val="000000"/>
        </w:rPr>
        <w:t>ORDENA</w:t>
      </w:r>
      <w:r w:rsidRPr="00A660C8">
        <w:rPr>
          <w:rFonts w:ascii="Palatino Linotype" w:eastAsia="Palatino Linotype" w:hAnsi="Palatino Linotype" w:cs="Palatino Linotype"/>
          <w:color w:val="000000"/>
        </w:rPr>
        <w:t xml:space="preserve"> entregar vía Sistema de Acceso a la Información,</w:t>
      </w:r>
      <w:r w:rsidRPr="00A660C8">
        <w:rPr>
          <w:rFonts w:ascii="Palatino Linotype" w:eastAsia="Palatino Linotype" w:hAnsi="Palatino Linotype" w:cs="Palatino Linotype"/>
        </w:rPr>
        <w:t xml:space="preserve"> en versión pública:</w:t>
      </w:r>
    </w:p>
    <w:p w:rsidR="00CD3D2C" w:rsidRPr="00A660C8" w:rsidRDefault="005B05BD">
      <w:pPr>
        <w:ind w:left="1276" w:right="-787"/>
        <w:jc w:val="both"/>
        <w:rPr>
          <w:rFonts w:ascii="Palatino Linotype" w:eastAsia="Palatino Linotype" w:hAnsi="Palatino Linotype" w:cs="Palatino Linotype"/>
          <w:b/>
        </w:rPr>
      </w:pPr>
      <w:bookmarkStart w:id="51" w:name="_heading=h.lnxbz9" w:colFirst="0" w:colLast="0"/>
      <w:bookmarkEnd w:id="51"/>
      <w:r w:rsidRPr="00A660C8">
        <w:rPr>
          <w:rFonts w:ascii="Palatino Linotype" w:eastAsia="Palatino Linotype" w:hAnsi="Palatino Linotype" w:cs="Palatino Linotype"/>
          <w:b/>
        </w:rPr>
        <w:t>Los do</w:t>
      </w:r>
      <w:r w:rsidR="00F0769D" w:rsidRPr="00A660C8">
        <w:rPr>
          <w:rFonts w:ascii="Palatino Linotype" w:eastAsia="Palatino Linotype" w:hAnsi="Palatino Linotype" w:cs="Palatino Linotype"/>
          <w:b/>
        </w:rPr>
        <w:t>cumentos donde conste los contratos</w:t>
      </w:r>
      <w:r w:rsidRPr="00A660C8">
        <w:rPr>
          <w:rFonts w:ascii="Palatino Linotype" w:eastAsia="Palatino Linotype" w:hAnsi="Palatino Linotype" w:cs="Palatino Linotype"/>
          <w:b/>
        </w:rPr>
        <w:t xml:space="preserve"> y facturas  por la reparación de la máquina asfaltadora “dragonera Fénix” llevada a campo en el periodo a cargo del servidor público nombrado</w:t>
      </w:r>
      <w:r w:rsidR="00131E4A" w:rsidRPr="00A660C8">
        <w:rPr>
          <w:rFonts w:ascii="Palatino Linotype" w:eastAsia="Palatino Linotype" w:hAnsi="Palatino Linotype" w:cs="Palatino Linotype"/>
          <w:b/>
        </w:rPr>
        <w:t xml:space="preserve"> en la solicitud de información, al ocho de abril de dos mil veinticuatro.</w:t>
      </w:r>
    </w:p>
    <w:p w:rsidR="00CD3D2C" w:rsidRPr="00A660C8" w:rsidRDefault="00CD3D2C">
      <w:pPr>
        <w:ind w:left="1724" w:right="-787"/>
        <w:jc w:val="both"/>
        <w:rPr>
          <w:rFonts w:ascii="Palatino Linotype" w:eastAsia="Palatino Linotype" w:hAnsi="Palatino Linotype" w:cs="Palatino Linotype"/>
          <w:b/>
          <w:i/>
        </w:rPr>
      </w:pPr>
    </w:p>
    <w:p w:rsidR="00CD3D2C" w:rsidRPr="00A660C8" w:rsidRDefault="00CD3D2C">
      <w:pPr>
        <w:ind w:right="-787"/>
        <w:jc w:val="both"/>
        <w:rPr>
          <w:rFonts w:ascii="Palatino Linotype" w:eastAsia="Palatino Linotype" w:hAnsi="Palatino Linotype" w:cs="Palatino Linotype"/>
          <w:b/>
        </w:rPr>
      </w:pPr>
    </w:p>
    <w:p w:rsidR="00CD3D2C" w:rsidRPr="00A660C8" w:rsidRDefault="005B05BD">
      <w:pPr>
        <w:tabs>
          <w:tab w:val="left" w:pos="8080"/>
        </w:tabs>
        <w:spacing w:line="360" w:lineRule="auto"/>
        <w:ind w:right="-787"/>
        <w:jc w:val="both"/>
        <w:rPr>
          <w:rFonts w:ascii="Palatino Linotype" w:eastAsia="Palatino Linotype" w:hAnsi="Palatino Linotype" w:cs="Palatino Linotype"/>
          <w:b/>
        </w:rPr>
      </w:pPr>
      <w:r w:rsidRPr="00A660C8">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A660C8">
        <w:rPr>
          <w:rFonts w:ascii="Palatino Linotype" w:eastAsia="Palatino Linotype" w:hAnsi="Palatino Linotype" w:cs="Palatino Linotype"/>
        </w:rPr>
        <w:lastRenderedPageBreak/>
        <w:t xml:space="preserve">dentro del soporte documental respectivo objeto de las versiones públicas que se formulen y se pongan a disposición del </w:t>
      </w:r>
      <w:r w:rsidRPr="00A660C8">
        <w:rPr>
          <w:rFonts w:ascii="Palatino Linotype" w:eastAsia="Palatino Linotype" w:hAnsi="Palatino Linotype" w:cs="Palatino Linotype"/>
          <w:b/>
        </w:rPr>
        <w:t>RECURRENTE.</w:t>
      </w:r>
    </w:p>
    <w:p w:rsidR="00CD3D2C" w:rsidRPr="00A660C8" w:rsidRDefault="00CD3D2C">
      <w:pPr>
        <w:tabs>
          <w:tab w:val="left" w:pos="8080"/>
        </w:tabs>
        <w:spacing w:line="360" w:lineRule="auto"/>
        <w:ind w:right="-787"/>
        <w:jc w:val="both"/>
        <w:rPr>
          <w:rFonts w:ascii="Palatino Linotype" w:eastAsia="Palatino Linotype" w:hAnsi="Palatino Linotype" w:cs="Palatino Linotype"/>
          <w:b/>
        </w:rPr>
      </w:pPr>
    </w:p>
    <w:p w:rsidR="00F0769D" w:rsidRPr="00A660C8" w:rsidRDefault="005B05BD">
      <w:pPr>
        <w:tabs>
          <w:tab w:val="left" w:pos="8080"/>
        </w:tabs>
        <w:spacing w:line="360" w:lineRule="auto"/>
        <w:ind w:right="-787"/>
        <w:jc w:val="both"/>
        <w:rPr>
          <w:rFonts w:ascii="Palatino Linotype" w:eastAsia="Palatino Linotype" w:hAnsi="Palatino Linotype" w:cs="Palatino Linotype"/>
        </w:rPr>
      </w:pPr>
      <w:r w:rsidRPr="00A660C8">
        <w:rPr>
          <w:rFonts w:ascii="Palatino Linotype" w:eastAsia="Palatino Linotype" w:hAnsi="Palatino Linotype" w:cs="Palatino Linotype"/>
        </w:rPr>
        <w:t xml:space="preserve">De ser el caso que después de una nueva búsqueda exhaustiva y razonable el </w:t>
      </w:r>
      <w:r w:rsidRPr="00A660C8">
        <w:rPr>
          <w:rFonts w:ascii="Palatino Linotype" w:eastAsia="Palatino Linotype" w:hAnsi="Palatino Linotype" w:cs="Palatino Linotype"/>
          <w:b/>
        </w:rPr>
        <w:t>SUJETO OBLIGADO</w:t>
      </w:r>
      <w:r w:rsidRPr="00A660C8">
        <w:rPr>
          <w:rFonts w:ascii="Palatino Linotype" w:eastAsia="Palatino Linotype" w:hAnsi="Palatino Linotype" w:cs="Palatino Linotype"/>
        </w:rPr>
        <w:t xml:space="preserve"> refiere no contar con la información solicitada, deberá de entregar el Acuerdo de Inexistencia, mediante el cual de manera fundada y motivada se expongan las razones por las cuale</w:t>
      </w:r>
      <w:r w:rsidR="00F0769D" w:rsidRPr="00A660C8">
        <w:rPr>
          <w:rFonts w:ascii="Palatino Linotype" w:eastAsia="Palatino Linotype" w:hAnsi="Palatino Linotype" w:cs="Palatino Linotype"/>
        </w:rPr>
        <w:t xml:space="preserve">s no cuenta con la información. </w:t>
      </w:r>
    </w:p>
    <w:p w:rsidR="00F0769D" w:rsidRPr="00A660C8" w:rsidRDefault="00F0769D">
      <w:pPr>
        <w:tabs>
          <w:tab w:val="left" w:pos="8080"/>
        </w:tabs>
        <w:spacing w:line="360" w:lineRule="auto"/>
        <w:ind w:right="-787"/>
        <w:jc w:val="both"/>
        <w:rPr>
          <w:rFonts w:ascii="Palatino Linotype" w:eastAsia="Palatino Linotype" w:hAnsi="Palatino Linotype" w:cs="Palatino Linotype"/>
        </w:rPr>
      </w:pPr>
    </w:p>
    <w:p w:rsidR="00CD3D2C" w:rsidRPr="00A660C8" w:rsidRDefault="005B05BD">
      <w:pPr>
        <w:tabs>
          <w:tab w:val="left" w:pos="8080"/>
        </w:tabs>
        <w:spacing w:line="360" w:lineRule="auto"/>
        <w:ind w:right="-787"/>
        <w:jc w:val="both"/>
        <w:rPr>
          <w:rFonts w:ascii="Palatino Linotype" w:eastAsia="Palatino Linotype" w:hAnsi="Palatino Linotype" w:cs="Palatino Linotype"/>
          <w:color w:val="222222"/>
        </w:rPr>
      </w:pPr>
      <w:r w:rsidRPr="00A660C8">
        <w:rPr>
          <w:rFonts w:ascii="Palatino Linotype" w:eastAsia="Palatino Linotype" w:hAnsi="Palatino Linotype" w:cs="Palatino Linotype"/>
          <w:b/>
        </w:rPr>
        <w:t xml:space="preserve">TERCERO. </w:t>
      </w:r>
      <w:r w:rsidRPr="00A660C8">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A660C8">
        <w:rPr>
          <w:rFonts w:ascii="Palatino Linotype" w:eastAsia="Palatino Linotype" w:hAnsi="Palatino Linotype" w:cs="Palatino Linotype"/>
          <w:b/>
          <w:color w:val="222222"/>
        </w:rPr>
        <w:t xml:space="preserve">dé cumplimiento a lo ordenado dentro del plazo de diez días hábiles, </w:t>
      </w:r>
      <w:r w:rsidRPr="00A660C8">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CD3D2C" w:rsidRPr="00A660C8" w:rsidRDefault="00CD3D2C">
      <w:pPr>
        <w:tabs>
          <w:tab w:val="left" w:pos="8080"/>
        </w:tabs>
        <w:spacing w:line="360" w:lineRule="auto"/>
        <w:ind w:right="-787"/>
        <w:jc w:val="both"/>
        <w:rPr>
          <w:rFonts w:ascii="Palatino Linotype" w:eastAsia="Palatino Linotype" w:hAnsi="Palatino Linotype" w:cs="Palatino Linotype"/>
          <w:color w:val="222222"/>
        </w:rPr>
      </w:pPr>
    </w:p>
    <w:p w:rsidR="00CD3D2C" w:rsidRPr="00A660C8" w:rsidRDefault="005B05BD">
      <w:pPr>
        <w:spacing w:line="360" w:lineRule="auto"/>
        <w:ind w:right="-787"/>
        <w:jc w:val="both"/>
        <w:rPr>
          <w:rFonts w:ascii="Palatino Linotype" w:eastAsia="Palatino Linotype" w:hAnsi="Palatino Linotype" w:cs="Palatino Linotype"/>
        </w:rPr>
      </w:pPr>
      <w:r w:rsidRPr="00A660C8">
        <w:rPr>
          <w:rFonts w:ascii="Palatino Linotype" w:eastAsia="Palatino Linotype" w:hAnsi="Palatino Linotype" w:cs="Palatino Linotype"/>
          <w:b/>
        </w:rPr>
        <w:t xml:space="preserve">CUARTO. </w:t>
      </w:r>
      <w:r w:rsidRPr="00A660C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660C8">
        <w:rPr>
          <w:rFonts w:ascii="Palatino Linotype" w:eastAsia="Palatino Linotype" w:hAnsi="Palatino Linotype" w:cs="Palatino Linotype"/>
          <w:b/>
        </w:rPr>
        <w:t>SUJETO OBLIGADO</w:t>
      </w:r>
      <w:r w:rsidRPr="00A660C8">
        <w:rPr>
          <w:rFonts w:ascii="Palatino Linotype" w:eastAsia="Palatino Linotype" w:hAnsi="Palatino Linotype" w:cs="Palatino Linotype"/>
        </w:rPr>
        <w:t xml:space="preserve"> de manera fundada y motivada, podrá solicitar una ampliación de plazo para el cumplimiento de la presente resolución.</w:t>
      </w:r>
    </w:p>
    <w:p w:rsidR="00CD3D2C" w:rsidRPr="00A660C8" w:rsidRDefault="00CD3D2C">
      <w:pPr>
        <w:spacing w:line="360" w:lineRule="auto"/>
        <w:ind w:right="-787"/>
        <w:jc w:val="both"/>
        <w:rPr>
          <w:rFonts w:ascii="Palatino Linotype" w:eastAsia="Palatino Linotype" w:hAnsi="Palatino Linotype" w:cs="Palatino Linotype"/>
        </w:rPr>
      </w:pPr>
    </w:p>
    <w:p w:rsidR="00CD3D2C" w:rsidRPr="00A660C8" w:rsidRDefault="005B05BD">
      <w:pPr>
        <w:shd w:val="clear" w:color="auto" w:fill="FFFFFF"/>
        <w:spacing w:line="360" w:lineRule="auto"/>
        <w:ind w:right="-787"/>
        <w:jc w:val="both"/>
        <w:rPr>
          <w:rFonts w:ascii="Palatino Linotype" w:eastAsia="Palatino Linotype" w:hAnsi="Palatino Linotype" w:cs="Palatino Linotype"/>
        </w:rPr>
      </w:pPr>
      <w:bookmarkStart w:id="52" w:name="_heading=h.2jxsxqh" w:colFirst="0" w:colLast="0"/>
      <w:bookmarkEnd w:id="52"/>
      <w:r w:rsidRPr="00A660C8">
        <w:rPr>
          <w:rFonts w:ascii="Palatino Linotype" w:eastAsia="Palatino Linotype" w:hAnsi="Palatino Linotype" w:cs="Palatino Linotype"/>
          <w:b/>
        </w:rPr>
        <w:t xml:space="preserve">QUINTO. </w:t>
      </w:r>
      <w:r w:rsidRPr="00A660C8">
        <w:rPr>
          <w:rFonts w:ascii="Palatino Linotype" w:eastAsia="Palatino Linotype" w:hAnsi="Palatino Linotype" w:cs="Palatino Linotype"/>
        </w:rPr>
        <w:t xml:space="preserve">Notifíquese a </w:t>
      </w:r>
      <w:r w:rsidRPr="00A660C8">
        <w:rPr>
          <w:rFonts w:ascii="Palatino Linotype" w:eastAsia="Palatino Linotype" w:hAnsi="Palatino Linotype" w:cs="Palatino Linotype"/>
          <w:b/>
        </w:rPr>
        <w:t>EL RECURRENTE</w:t>
      </w:r>
      <w:r w:rsidRPr="00A660C8">
        <w:rPr>
          <w:rFonts w:ascii="Palatino Linotype" w:eastAsia="Palatino Linotype" w:hAnsi="Palatino Linotype" w:cs="Palatino Linotype"/>
        </w:rPr>
        <w:t xml:space="preserve"> la presente resolución, vía SAIMEX.</w:t>
      </w:r>
    </w:p>
    <w:p w:rsidR="00CD3D2C" w:rsidRPr="00A660C8" w:rsidRDefault="00CD3D2C">
      <w:pPr>
        <w:shd w:val="clear" w:color="auto" w:fill="FFFFFF"/>
        <w:spacing w:line="360" w:lineRule="auto"/>
        <w:ind w:right="-787"/>
        <w:jc w:val="both"/>
        <w:rPr>
          <w:rFonts w:ascii="Palatino Linotype" w:eastAsia="Palatino Linotype" w:hAnsi="Palatino Linotype" w:cs="Palatino Linotype"/>
        </w:rPr>
      </w:pPr>
    </w:p>
    <w:p w:rsidR="00CD3D2C" w:rsidRPr="00A660C8" w:rsidRDefault="005B05BD">
      <w:pPr>
        <w:shd w:val="clear" w:color="auto" w:fill="FFFFFF"/>
        <w:spacing w:line="360" w:lineRule="auto"/>
        <w:ind w:right="-787"/>
        <w:jc w:val="both"/>
        <w:rPr>
          <w:rFonts w:ascii="Palatino Linotype" w:eastAsia="Palatino Linotype" w:hAnsi="Palatino Linotype" w:cs="Palatino Linotype"/>
        </w:rPr>
      </w:pPr>
      <w:r w:rsidRPr="00A660C8">
        <w:rPr>
          <w:rFonts w:ascii="Palatino Linotype" w:eastAsia="Palatino Linotype" w:hAnsi="Palatino Linotype" w:cs="Palatino Linotype"/>
          <w:b/>
        </w:rPr>
        <w:t>SEXTO.</w:t>
      </w:r>
      <w:r w:rsidRPr="00A660C8">
        <w:rPr>
          <w:rFonts w:ascii="Palatino Linotype" w:eastAsia="Palatino Linotype" w:hAnsi="Palatino Linotype" w:cs="Palatino Linotype"/>
        </w:rPr>
        <w:t xml:space="preserve"> Se hace del conocimiento de </w:t>
      </w:r>
      <w:r w:rsidRPr="00A660C8">
        <w:rPr>
          <w:rFonts w:ascii="Palatino Linotype" w:eastAsia="Palatino Linotype" w:hAnsi="Palatino Linotype" w:cs="Palatino Linotype"/>
          <w:b/>
        </w:rPr>
        <w:t>EL RECURRENTE</w:t>
      </w:r>
      <w:r w:rsidRPr="00A660C8">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1E7900" w:rsidRPr="00A660C8" w:rsidRDefault="001E7900">
      <w:pPr>
        <w:shd w:val="clear" w:color="auto" w:fill="FFFFFF"/>
        <w:spacing w:line="360" w:lineRule="auto"/>
        <w:ind w:right="-787"/>
        <w:jc w:val="both"/>
        <w:rPr>
          <w:rFonts w:ascii="Palatino Linotype" w:eastAsia="Palatino Linotype" w:hAnsi="Palatino Linotype" w:cs="Palatino Linotype"/>
        </w:rPr>
      </w:pPr>
    </w:p>
    <w:p w:rsidR="001E7900" w:rsidRPr="003C7186" w:rsidRDefault="001E7900" w:rsidP="001E7900">
      <w:pPr>
        <w:spacing w:line="360" w:lineRule="auto"/>
        <w:ind w:left="-142" w:right="-857" w:firstLine="1"/>
        <w:jc w:val="both"/>
        <w:rPr>
          <w:rFonts w:ascii="Palatino Linotype" w:hAnsi="Palatino Linotype"/>
        </w:rPr>
      </w:pPr>
      <w:r w:rsidRPr="00A660C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VEINTINUEVE (29) DE ENERO DE DOS MIL VEINTICINCO, ANTE EL SECRETARIO TÉCNICO DEL PLENO ALEXIS TAPIA RAMÍREZ.</w:t>
      </w:r>
      <w:bookmarkStart w:id="53" w:name="_GoBack"/>
      <w:bookmarkEnd w:id="53"/>
      <w:r w:rsidRPr="003C7186">
        <w:rPr>
          <w:rFonts w:ascii="Palatino Linotype" w:hAnsi="Palatino Linotype"/>
        </w:rPr>
        <w:t xml:space="preserve"> </w:t>
      </w:r>
    </w:p>
    <w:p w:rsidR="00CD3D2C" w:rsidRDefault="00CD3D2C">
      <w:pPr>
        <w:spacing w:before="240" w:after="240" w:line="360" w:lineRule="auto"/>
        <w:ind w:right="-787"/>
        <w:jc w:val="both"/>
        <w:rPr>
          <w:rFonts w:ascii="Palatino Linotype" w:eastAsia="Palatino Linotype" w:hAnsi="Palatino Linotype" w:cs="Palatino Linotype"/>
        </w:rPr>
      </w:pPr>
    </w:p>
    <w:p w:rsidR="00CD3D2C" w:rsidRDefault="00CD3D2C">
      <w:pPr>
        <w:spacing w:before="240" w:after="240" w:line="360" w:lineRule="auto"/>
        <w:ind w:right="-787"/>
        <w:jc w:val="both"/>
        <w:rPr>
          <w:rFonts w:ascii="Palatino Linotype" w:eastAsia="Palatino Linotype" w:hAnsi="Palatino Linotype" w:cs="Palatino Linotype"/>
        </w:rPr>
      </w:pPr>
    </w:p>
    <w:p w:rsidR="00CD3D2C" w:rsidRDefault="00CD3D2C">
      <w:pPr>
        <w:spacing w:line="360" w:lineRule="auto"/>
        <w:ind w:right="-787"/>
        <w:jc w:val="both"/>
        <w:rPr>
          <w:rFonts w:ascii="Palatino Linotype" w:eastAsia="Palatino Linotype" w:hAnsi="Palatino Linotype" w:cs="Palatino Linotype"/>
        </w:rPr>
      </w:pPr>
    </w:p>
    <w:p w:rsidR="00CD3D2C" w:rsidRDefault="00CD3D2C">
      <w:pPr>
        <w:keepNext/>
        <w:keepLines/>
        <w:spacing w:after="240" w:line="360" w:lineRule="auto"/>
        <w:ind w:right="-787"/>
      </w:pPr>
    </w:p>
    <w:p w:rsidR="00CD3D2C" w:rsidRDefault="00CD3D2C">
      <w:pPr>
        <w:ind w:right="-787"/>
      </w:pPr>
    </w:p>
    <w:p w:rsidR="00CD3D2C" w:rsidRDefault="00CD3D2C">
      <w:pPr>
        <w:ind w:right="-787"/>
      </w:pPr>
    </w:p>
    <w:sectPr w:rsidR="00CD3D2C">
      <w:headerReference w:type="default" r:id="rId13"/>
      <w:footerReference w:type="default" r:id="rId14"/>
      <w:headerReference w:type="first" r:id="rId15"/>
      <w:footerReference w:type="first" r:id="rId16"/>
      <w:pgSz w:w="12240" w:h="15840"/>
      <w:pgMar w:top="2410" w:right="2324"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B45" w:rsidRDefault="00601B45">
      <w:r>
        <w:separator/>
      </w:r>
    </w:p>
  </w:endnote>
  <w:endnote w:type="continuationSeparator" w:id="0">
    <w:p w:rsidR="00601B45" w:rsidRDefault="00601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D2C" w:rsidRDefault="005B05B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660C8">
      <w:rPr>
        <w:rFonts w:ascii="Arial" w:eastAsia="Arial" w:hAnsi="Arial" w:cs="Arial"/>
        <w:b/>
        <w:noProof/>
        <w:color w:val="000000"/>
        <w:sz w:val="20"/>
        <w:szCs w:val="20"/>
      </w:rPr>
      <w:t>51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660C8">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rsidR="00CD3D2C" w:rsidRDefault="00CD3D2C">
    <w:pPr>
      <w:pBdr>
        <w:top w:val="nil"/>
        <w:left w:val="nil"/>
        <w:bottom w:val="nil"/>
        <w:right w:val="nil"/>
        <w:between w:val="nil"/>
      </w:pBdr>
      <w:tabs>
        <w:tab w:val="center" w:pos="4252"/>
        <w:tab w:val="right" w:pos="8504"/>
      </w:tabs>
      <w:rPr>
        <w:color w:val="000000"/>
      </w:rPr>
    </w:pPr>
  </w:p>
  <w:p w:rsidR="00CD3D2C" w:rsidRDefault="00CD3D2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D2C" w:rsidRDefault="005B05B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660C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660C8">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rsidR="00CD3D2C" w:rsidRDefault="00CD3D2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B45" w:rsidRDefault="00601B45">
      <w:r>
        <w:separator/>
      </w:r>
    </w:p>
  </w:footnote>
  <w:footnote w:type="continuationSeparator" w:id="0">
    <w:p w:rsidR="00601B45" w:rsidRDefault="00601B45">
      <w:r>
        <w:continuationSeparator/>
      </w:r>
    </w:p>
  </w:footnote>
  <w:footnote w:id="1">
    <w:p w:rsidR="00CD3D2C" w:rsidRDefault="005B05B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CD3D2C" w:rsidRDefault="005B05B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CD3D2C" w:rsidRDefault="005B05B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CD3D2C" w:rsidRDefault="005B05B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D2C" w:rsidRDefault="00CD3D2C">
    <w:pPr>
      <w:widowControl w:val="0"/>
      <w:pBdr>
        <w:top w:val="nil"/>
        <w:left w:val="nil"/>
        <w:bottom w:val="nil"/>
        <w:right w:val="nil"/>
        <w:between w:val="nil"/>
      </w:pBdr>
      <w:spacing w:line="276" w:lineRule="auto"/>
      <w:rPr>
        <w:color w:val="000000"/>
        <w:sz w:val="20"/>
        <w:szCs w:val="20"/>
      </w:rPr>
    </w:pPr>
  </w:p>
  <w:tbl>
    <w:tblPr>
      <w:tblStyle w:val="a0"/>
      <w:tblW w:w="6855" w:type="dxa"/>
      <w:tblInd w:w="3119" w:type="dxa"/>
      <w:tblLayout w:type="fixed"/>
      <w:tblLook w:val="0400" w:firstRow="0" w:lastRow="0" w:firstColumn="0" w:lastColumn="0" w:noHBand="0" w:noVBand="1"/>
    </w:tblPr>
    <w:tblGrid>
      <w:gridCol w:w="2550"/>
      <w:gridCol w:w="4305"/>
    </w:tblGrid>
    <w:tr w:rsidR="00CD3D2C">
      <w:tc>
        <w:tcPr>
          <w:tcW w:w="2550" w:type="dxa"/>
          <w:vAlign w:val="center"/>
        </w:tcPr>
        <w:p w:rsidR="00CD3D2C" w:rsidRDefault="005B05B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4305" w:type="dxa"/>
          <w:vAlign w:val="center"/>
        </w:tcPr>
        <w:p w:rsidR="00CD3D2C" w:rsidRDefault="005B05BD">
          <w:pPr>
            <w:ind w:right="-10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02218/INFOEM/IP/RR/2024 </w:t>
          </w:r>
        </w:p>
      </w:tc>
    </w:tr>
    <w:tr w:rsidR="00CD3D2C">
      <w:trPr>
        <w:trHeight w:val="228"/>
      </w:trPr>
      <w:tc>
        <w:tcPr>
          <w:tcW w:w="2550" w:type="dxa"/>
          <w:vAlign w:val="center"/>
        </w:tcPr>
        <w:p w:rsidR="00CD3D2C" w:rsidRDefault="005B05B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4305" w:type="dxa"/>
          <w:shd w:val="clear" w:color="auto" w:fill="auto"/>
          <w:vAlign w:val="center"/>
        </w:tcPr>
        <w:p w:rsidR="00CD3D2C" w:rsidRDefault="005B05BD">
          <w:pPr>
            <w:ind w:right="-109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Ayuntamiento de Ecatepec de Morelos</w:t>
          </w:r>
        </w:p>
      </w:tc>
    </w:tr>
    <w:tr w:rsidR="00CD3D2C">
      <w:tc>
        <w:tcPr>
          <w:tcW w:w="2550" w:type="dxa"/>
          <w:vAlign w:val="center"/>
        </w:tcPr>
        <w:p w:rsidR="00CD3D2C" w:rsidRDefault="005B05B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4305" w:type="dxa"/>
          <w:vAlign w:val="center"/>
        </w:tcPr>
        <w:p w:rsidR="00CD3D2C" w:rsidRDefault="005B05BD">
          <w:pPr>
            <w:ind w:right="-10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rsidR="00CD3D2C" w:rsidRDefault="005B05BD">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simplePos x="0" y="0"/>
          <wp:positionH relativeFrom="column">
            <wp:posOffset>-1213484</wp:posOffset>
          </wp:positionH>
          <wp:positionV relativeFrom="paragraph">
            <wp:posOffset>-1219834</wp:posOffset>
          </wp:positionV>
          <wp:extent cx="7813085" cy="10170000"/>
          <wp:effectExtent l="0" t="0" r="0" b="0"/>
          <wp:wrapNone/>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D2C" w:rsidRDefault="005B05BD">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rPr>
      <w:drawing>
        <wp:anchor distT="0" distB="0" distL="0" distR="0" simplePos="0" relativeHeight="251659264" behindDoc="1" locked="0" layoutInCell="1" hidden="0" allowOverlap="1">
          <wp:simplePos x="0" y="0"/>
          <wp:positionH relativeFrom="column">
            <wp:posOffset>-1078864</wp:posOffset>
          </wp:positionH>
          <wp:positionV relativeFrom="paragraph">
            <wp:posOffset>-411479</wp:posOffset>
          </wp:positionV>
          <wp:extent cx="7813085" cy="10170000"/>
          <wp:effectExtent l="0" t="0" r="0" b="0"/>
          <wp:wrapNone/>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1"/>
      <w:tblW w:w="6930" w:type="dxa"/>
      <w:tblInd w:w="3119" w:type="dxa"/>
      <w:tblLayout w:type="fixed"/>
      <w:tblLook w:val="0400" w:firstRow="0" w:lastRow="0" w:firstColumn="0" w:lastColumn="0" w:noHBand="0" w:noVBand="1"/>
    </w:tblPr>
    <w:tblGrid>
      <w:gridCol w:w="2550"/>
      <w:gridCol w:w="4380"/>
    </w:tblGrid>
    <w:tr w:rsidR="00CD3D2C">
      <w:tc>
        <w:tcPr>
          <w:tcW w:w="2550" w:type="dxa"/>
          <w:vAlign w:val="center"/>
        </w:tcPr>
        <w:p w:rsidR="00CD3D2C" w:rsidRDefault="005B05B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p w:rsidR="00CD3D2C" w:rsidRDefault="005B05B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4380" w:type="dxa"/>
          <w:vAlign w:val="center"/>
        </w:tcPr>
        <w:p w:rsidR="00CD3D2C" w:rsidRDefault="005B05BD">
          <w:pPr>
            <w:ind w:right="-10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02218/INFOEM/IP/RR/2024 </w:t>
          </w:r>
        </w:p>
        <w:p w:rsidR="00CD3D2C" w:rsidRDefault="00CD3D2C">
          <w:pPr>
            <w:ind w:right="-1093"/>
            <w:jc w:val="both"/>
            <w:rPr>
              <w:rFonts w:ascii="Palatino Linotype" w:eastAsia="Palatino Linotype" w:hAnsi="Palatino Linotype" w:cs="Palatino Linotype"/>
              <w:sz w:val="22"/>
              <w:szCs w:val="22"/>
            </w:rPr>
          </w:pPr>
        </w:p>
      </w:tc>
    </w:tr>
    <w:tr w:rsidR="00CD3D2C">
      <w:trPr>
        <w:trHeight w:val="228"/>
      </w:trPr>
      <w:tc>
        <w:tcPr>
          <w:tcW w:w="2550" w:type="dxa"/>
          <w:vAlign w:val="center"/>
        </w:tcPr>
        <w:p w:rsidR="00CD3D2C" w:rsidRDefault="005B05B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4380" w:type="dxa"/>
          <w:shd w:val="clear" w:color="auto" w:fill="auto"/>
          <w:vAlign w:val="center"/>
        </w:tcPr>
        <w:p w:rsidR="00CD3D2C" w:rsidRDefault="005B05BD">
          <w:pPr>
            <w:ind w:right="-109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Ayuntamiento de Ecatepec de Morelos</w:t>
          </w:r>
        </w:p>
      </w:tc>
    </w:tr>
    <w:tr w:rsidR="00CD3D2C">
      <w:tc>
        <w:tcPr>
          <w:tcW w:w="2550" w:type="dxa"/>
          <w:vAlign w:val="center"/>
        </w:tcPr>
        <w:p w:rsidR="00CD3D2C" w:rsidRDefault="005B05B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4380" w:type="dxa"/>
          <w:vAlign w:val="center"/>
        </w:tcPr>
        <w:p w:rsidR="00CD3D2C" w:rsidRDefault="005B05BD">
          <w:pPr>
            <w:ind w:right="-10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rsidR="00CD3D2C" w:rsidRDefault="00CD3D2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15893"/>
    <w:multiLevelType w:val="multilevel"/>
    <w:tmpl w:val="85B28BB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 w15:restartNumberingAfterBreak="0">
    <w:nsid w:val="17555110"/>
    <w:multiLevelType w:val="multilevel"/>
    <w:tmpl w:val="25823F1C"/>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17944C16"/>
    <w:multiLevelType w:val="multilevel"/>
    <w:tmpl w:val="46523B26"/>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30961A99"/>
    <w:multiLevelType w:val="multilevel"/>
    <w:tmpl w:val="1908A0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663FB0"/>
    <w:multiLevelType w:val="multilevel"/>
    <w:tmpl w:val="0986BE68"/>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492A0542"/>
    <w:multiLevelType w:val="multilevel"/>
    <w:tmpl w:val="D11A7984"/>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7A066F"/>
    <w:multiLevelType w:val="multilevel"/>
    <w:tmpl w:val="F0FCB94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5C200618"/>
    <w:multiLevelType w:val="multilevel"/>
    <w:tmpl w:val="DCEA8106"/>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2A0849"/>
    <w:multiLevelType w:val="multilevel"/>
    <w:tmpl w:val="19B0E9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15:restartNumberingAfterBreak="0">
    <w:nsid w:val="6F22464D"/>
    <w:multiLevelType w:val="multilevel"/>
    <w:tmpl w:val="68469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8620EB"/>
    <w:multiLevelType w:val="multilevel"/>
    <w:tmpl w:val="F97835BC"/>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2" w15:restartNumberingAfterBreak="0">
    <w:nsid w:val="70B633ED"/>
    <w:multiLevelType w:val="multilevel"/>
    <w:tmpl w:val="9190CF8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3" w15:restartNumberingAfterBreak="0">
    <w:nsid w:val="76BF500A"/>
    <w:multiLevelType w:val="multilevel"/>
    <w:tmpl w:val="BD40DCA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9"/>
  </w:num>
  <w:num w:numId="2">
    <w:abstractNumId w:val="12"/>
  </w:num>
  <w:num w:numId="3">
    <w:abstractNumId w:val="13"/>
  </w:num>
  <w:num w:numId="4">
    <w:abstractNumId w:val="4"/>
  </w:num>
  <w:num w:numId="5">
    <w:abstractNumId w:val="1"/>
  </w:num>
  <w:num w:numId="6">
    <w:abstractNumId w:val="6"/>
  </w:num>
  <w:num w:numId="7">
    <w:abstractNumId w:val="5"/>
  </w:num>
  <w:num w:numId="8">
    <w:abstractNumId w:val="0"/>
  </w:num>
  <w:num w:numId="9">
    <w:abstractNumId w:val="3"/>
  </w:num>
  <w:num w:numId="10">
    <w:abstractNumId w:val="8"/>
  </w:num>
  <w:num w:numId="11">
    <w:abstractNumId w:val="2"/>
  </w:num>
  <w:num w:numId="12">
    <w:abstractNumId w:val="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D2C"/>
    <w:rsid w:val="00131E4A"/>
    <w:rsid w:val="001E7900"/>
    <w:rsid w:val="005B05BD"/>
    <w:rsid w:val="00601B45"/>
    <w:rsid w:val="006F5AA6"/>
    <w:rsid w:val="00803443"/>
    <w:rsid w:val="00904D88"/>
    <w:rsid w:val="00A660C8"/>
    <w:rsid w:val="00CD3D2C"/>
    <w:rsid w:val="00F0769D"/>
    <w:rsid w:val="00F267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019C28-6318-4DE6-9683-F12BF6EA2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2CA"/>
  </w:style>
  <w:style w:type="paragraph" w:styleId="Ttulo1">
    <w:name w:val="heading 1"/>
    <w:basedOn w:val="Normal"/>
    <w:next w:val="Normal"/>
    <w:link w:val="Ttulo1Car"/>
    <w:uiPriority w:val="9"/>
    <w:qFormat/>
    <w:rsid w:val="00E622CA"/>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E622C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E622C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E622CA"/>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E622CA"/>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E622CA"/>
    <w:rPr>
      <w:rFonts w:eastAsiaTheme="minorEastAsia"/>
      <w:sz w:val="24"/>
      <w:szCs w:val="24"/>
      <w:lang w:val="es-ES_tradnl" w:eastAsia="es-ES"/>
    </w:rPr>
  </w:style>
  <w:style w:type="paragraph" w:styleId="Piedepgina">
    <w:name w:val="footer"/>
    <w:basedOn w:val="Normal"/>
    <w:link w:val="PiedepginaCar"/>
    <w:uiPriority w:val="99"/>
    <w:unhideWhenUsed/>
    <w:rsid w:val="00E622CA"/>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E622CA"/>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622CA"/>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622CA"/>
    <w:pPr>
      <w:ind w:left="708"/>
    </w:pPr>
    <w:rPr>
      <w:sz w:val="22"/>
      <w:szCs w:val="22"/>
      <w:lang w:val="es-E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622C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622C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622CA"/>
    <w:rPr>
      <w:vertAlign w:val="superscript"/>
    </w:rPr>
  </w:style>
  <w:style w:type="paragraph" w:styleId="Continuarlista">
    <w:name w:val="List Continue"/>
    <w:basedOn w:val="Normal"/>
    <w:uiPriority w:val="99"/>
    <w:unhideWhenUsed/>
    <w:rsid w:val="00E622CA"/>
    <w:pPr>
      <w:spacing w:after="120"/>
      <w:ind w:left="283"/>
      <w:contextualSpacing/>
    </w:pPr>
  </w:style>
  <w:style w:type="paragraph" w:styleId="Sangradetextonormal">
    <w:name w:val="Body Text Indent"/>
    <w:basedOn w:val="Normal"/>
    <w:link w:val="SangradetextonormalCar"/>
    <w:uiPriority w:val="99"/>
    <w:unhideWhenUsed/>
    <w:rsid w:val="00E622CA"/>
    <w:pPr>
      <w:spacing w:after="120"/>
      <w:ind w:left="283"/>
    </w:pPr>
  </w:style>
  <w:style w:type="character" w:customStyle="1" w:styleId="SangradetextonormalCar">
    <w:name w:val="Sangría de texto normal Car"/>
    <w:basedOn w:val="Fuentedeprrafopredeter"/>
    <w:link w:val="Sangradetextonormal"/>
    <w:uiPriority w:val="99"/>
    <w:rsid w:val="00E622CA"/>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E622C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622CA"/>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E622CA"/>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mawww.sat.gob.mx/factura/Paginas/solicita_requisitos.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HCKJOcqvbI804cxc70Nr+UJjcw==">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53</Pages>
  <Words>13453</Words>
  <Characters>73996</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87275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INFOEM403</cp:lastModifiedBy>
  <cp:revision>6</cp:revision>
  <dcterms:created xsi:type="dcterms:W3CDTF">2025-01-27T17:00:00Z</dcterms:created>
  <dcterms:modified xsi:type="dcterms:W3CDTF">2025-02-11T01:02:00Z</dcterms:modified>
</cp:coreProperties>
</file>