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3CC25771"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5203CA">
        <w:rPr>
          <w:rFonts w:ascii="Palatino Linotype" w:eastAsia="Palatino Linotype" w:hAnsi="Palatino Linotype" w:cs="Palatino Linotype"/>
          <w:color w:val="000000"/>
        </w:rPr>
        <w:t>doce</w:t>
      </w:r>
      <w:r w:rsidR="006E74FD">
        <w:rPr>
          <w:rFonts w:ascii="Palatino Linotype" w:eastAsia="Palatino Linotype" w:hAnsi="Palatino Linotype" w:cs="Palatino Linotype"/>
          <w:color w:val="000000"/>
        </w:rPr>
        <w:t xml:space="preserve"> de noviembre</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466DBA9D"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bookmarkStart w:id="0" w:name="_GoBack"/>
      <w:r w:rsidR="000F046B" w:rsidRPr="000F046B">
        <w:rPr>
          <w:rFonts w:ascii="Palatino Linotype" w:hAnsi="Palatino Linotype" w:cs="Palatino Linotype"/>
          <w:b/>
          <w:bCs/>
          <w:color w:val="000000"/>
          <w:szCs w:val="22"/>
          <w:lang w:val="es-ES_tradnl"/>
        </w:rPr>
        <w:t>11515/INFOEM/IP/RR/2025</w:t>
      </w:r>
      <w:bookmarkEnd w:id="0"/>
      <w:r w:rsidRPr="00CD4761">
        <w:rPr>
          <w:rFonts w:ascii="Palatino Linotype" w:hAnsi="Palatino Linotype" w:cs="Palatino Linotype"/>
          <w:color w:val="000000"/>
          <w:szCs w:val="22"/>
        </w:rPr>
        <w:t xml:space="preserve">, </w:t>
      </w:r>
      <w:r w:rsidR="006E74FD" w:rsidRPr="00D2417F">
        <w:rPr>
          <w:rFonts w:ascii="Palatino Linotype" w:hAnsi="Palatino Linotype" w:cs="Arial"/>
          <w:lang w:val="es-ES_tradnl"/>
        </w:rPr>
        <w:t>interpuesto por un particular que al momento de ingresar la solicitud de información e interponer el recurso de revisión, no señaló nombre o seudónimo con el cual desee ser identificado,</w:t>
      </w:r>
      <w:r w:rsidR="006E74FD" w:rsidRPr="00D2417F">
        <w:rPr>
          <w:rFonts w:ascii="Palatino Linotype" w:hAnsi="Palatino Linotype" w:cs="Arial"/>
          <w:b/>
          <w:lang w:val="es-ES_tradnl"/>
        </w:rPr>
        <w:t xml:space="preserve"> </w:t>
      </w:r>
      <w:r w:rsidR="006E74FD" w:rsidRPr="00D2417F">
        <w:rPr>
          <w:rFonts w:ascii="Palatino Linotype" w:hAnsi="Palatino Linotype" w:cs="Arial"/>
          <w:lang w:val="es-ES_tradnl"/>
        </w:rPr>
        <w:t xml:space="preserve">en lo sucesivo </w:t>
      </w:r>
      <w:r w:rsidR="006E74FD"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6E74FD" w:rsidRPr="006E74FD">
        <w:rPr>
          <w:rFonts w:ascii="Palatino Linotype" w:hAnsi="Palatino Linotype" w:cs="Palatino Linotype"/>
          <w:b/>
          <w:bCs/>
          <w:color w:val="000000"/>
          <w:szCs w:val="22"/>
          <w:lang w:val="es-ES_tradnl"/>
        </w:rPr>
        <w:t>Ayuntamiento de Tepotzotlán</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7DA4A9FC"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0F046B">
        <w:rPr>
          <w:rFonts w:ascii="Palatino Linotype" w:eastAsia="Palatino Linotype" w:hAnsi="Palatino Linotype" w:cs="Palatino Linotype"/>
        </w:rPr>
        <w:t>catorce de agosto</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0F046B" w:rsidRPr="000F046B">
        <w:rPr>
          <w:rFonts w:ascii="Palatino Linotype" w:eastAsia="Palatino Linotype" w:hAnsi="Palatino Linotype" w:cs="Palatino Linotype"/>
          <w:b/>
        </w:rPr>
        <w:t>00436/TEPOTZOT/IP/2025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17A58C8C" w:rsidR="00693587" w:rsidRDefault="00693587" w:rsidP="0039579E">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0F046B" w:rsidRPr="000F046B">
        <w:rPr>
          <w:rFonts w:ascii="Palatino Linotype" w:eastAsia="Palatino Linotype" w:hAnsi="Palatino Linotype" w:cs="Palatino Linotype"/>
          <w:i/>
        </w:rPr>
        <w:t xml:space="preserve">el registro de carga de gasolina del </w:t>
      </w:r>
      <w:proofErr w:type="spellStart"/>
      <w:r w:rsidR="000F046B" w:rsidRPr="000F046B">
        <w:rPr>
          <w:rFonts w:ascii="Palatino Linotype" w:eastAsia="Palatino Linotype" w:hAnsi="Palatino Linotype" w:cs="Palatino Linotype"/>
          <w:i/>
        </w:rPr>
        <w:t>vehiculo</w:t>
      </w:r>
      <w:proofErr w:type="spellEnd"/>
      <w:r w:rsidR="000F046B" w:rsidRPr="000F046B">
        <w:rPr>
          <w:rFonts w:ascii="Palatino Linotype" w:eastAsia="Palatino Linotype" w:hAnsi="Palatino Linotype" w:cs="Palatino Linotype"/>
          <w:i/>
        </w:rPr>
        <w:t xml:space="preserve"> de la directora de desarrollo </w:t>
      </w:r>
      <w:proofErr w:type="spellStart"/>
      <w:r w:rsidR="000F046B" w:rsidRPr="000F046B">
        <w:rPr>
          <w:rFonts w:ascii="Palatino Linotype" w:eastAsia="Palatino Linotype" w:hAnsi="Palatino Linotype" w:cs="Palatino Linotype"/>
          <w:i/>
        </w:rPr>
        <w:t>economico</w:t>
      </w:r>
      <w:proofErr w:type="spellEnd"/>
      <w:r w:rsidR="000F046B" w:rsidRPr="000F046B">
        <w:rPr>
          <w:rFonts w:ascii="Palatino Linotype" w:eastAsia="Palatino Linotype" w:hAnsi="Palatino Linotype" w:cs="Palatino Linotype"/>
          <w:i/>
        </w:rPr>
        <w:t xml:space="preserve"> durante todo el 2025</w:t>
      </w:r>
      <w:r w:rsidRPr="00693587">
        <w:rPr>
          <w:rFonts w:ascii="Palatino Linotype" w:eastAsia="Palatino Linotype" w:hAnsi="Palatino Linotype" w:cs="Palatino Linotype"/>
          <w:i/>
        </w:rPr>
        <w:t xml:space="preserve">” (Sic). </w:t>
      </w:r>
    </w:p>
    <w:p w14:paraId="0B660741" w14:textId="77777777" w:rsidR="00CD4761" w:rsidRDefault="00CD4761">
      <w:pPr>
        <w:spacing w:line="360" w:lineRule="auto"/>
        <w:ind w:right="850"/>
        <w:jc w:val="both"/>
        <w:rPr>
          <w:rFonts w:ascii="Palatino Linotype" w:eastAsia="Palatino Linotype" w:hAnsi="Palatino Linotype" w:cs="Palatino Linotype"/>
          <w:b/>
        </w:rPr>
      </w:pPr>
    </w:p>
    <w:p w14:paraId="3A03524D" w14:textId="027CDE3A"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25C7F227" w14:textId="77777777" w:rsidR="005456CC" w:rsidRDefault="005456CC">
      <w:pPr>
        <w:spacing w:line="360" w:lineRule="auto"/>
        <w:ind w:right="850"/>
        <w:jc w:val="both"/>
        <w:rPr>
          <w:rFonts w:ascii="Palatino Linotype" w:eastAsia="Palatino Linotype" w:hAnsi="Palatino Linotype" w:cs="Palatino Linotype"/>
        </w:rPr>
      </w:pPr>
    </w:p>
    <w:p w14:paraId="6E7FFE41"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SEGUNDO.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028EAF97"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0F046B">
        <w:rPr>
          <w:rFonts w:ascii="Palatino Linotype" w:eastAsia="Palatino Linotype" w:hAnsi="Palatino Linotype" w:cs="Palatino Linotype"/>
        </w:rPr>
        <w:t>cinco</w:t>
      </w:r>
      <w:r w:rsidR="006E74FD">
        <w:rPr>
          <w:rFonts w:ascii="Palatino Linotype" w:eastAsia="Palatino Linotype" w:hAnsi="Palatino Linotype" w:cs="Palatino Linotype"/>
        </w:rPr>
        <w:t xml:space="preserve"> de octubre</w:t>
      </w:r>
      <w:r>
        <w:rPr>
          <w:rFonts w:ascii="Palatino Linotype" w:eastAsia="Palatino Linotype" w:hAnsi="Palatino Linotype" w:cs="Palatino Linotype"/>
        </w:rPr>
        <w:t xml:space="preserve"> de dos mil </w:t>
      </w:r>
      <w:r w:rsidRPr="0039579E">
        <w:rPr>
          <w:rFonts w:ascii="Palatino Linotype" w:eastAsia="Palatino Linotype" w:hAnsi="Palatino Linotype" w:cs="Palatino Linotype"/>
        </w:rPr>
        <w:t>veintic</w:t>
      </w:r>
      <w:r w:rsidR="00CA47DE" w:rsidRPr="0039579E">
        <w:rPr>
          <w:rFonts w:ascii="Palatino Linotype" w:eastAsia="Palatino Linotype" w:hAnsi="Palatino Linotype" w:cs="Palatino Linotype"/>
        </w:rPr>
        <w:t>inc</w:t>
      </w:r>
      <w:r w:rsidR="006E74FD">
        <w:rPr>
          <w:rFonts w:ascii="Palatino Linotype" w:eastAsia="Palatino Linotype" w:hAnsi="Palatino Linotype" w:cs="Palatino Linotype"/>
        </w:rPr>
        <w:t>o</w:t>
      </w:r>
      <w:r w:rsidR="000F046B">
        <w:rPr>
          <w:rFonts w:ascii="Palatino Linotype" w:eastAsia="Palatino Linotype" w:hAnsi="Palatino Linotype" w:cs="Palatino Linotype"/>
        </w:rPr>
        <w:t xml:space="preserve"> que, al corresponder a un día inhábil, se tuvo por presentado en fecha seis de octubre de la presente anualidad,</w:t>
      </w:r>
      <w:r w:rsidRPr="0039579E">
        <w:rPr>
          <w:rFonts w:ascii="Palatino Linotype" w:eastAsia="Palatino Linotype" w:hAnsi="Palatino Linotype" w:cs="Palatino Linotype"/>
        </w:rPr>
        <w:t xml:space="preserve"> </w:t>
      </w:r>
      <w:r w:rsidR="00693587" w:rsidRPr="0039579E">
        <w:rPr>
          <w:rFonts w:ascii="Palatino Linotype" w:eastAsia="Palatino Linotype" w:hAnsi="Palatino Linotype" w:cs="Palatino Linotype"/>
        </w:rPr>
        <w:t>el cual fue registrado</w:t>
      </w:r>
      <w:r w:rsidRPr="0039579E">
        <w:rPr>
          <w:rFonts w:ascii="Palatino Linotype" w:eastAsia="Palatino Linotype" w:hAnsi="Palatino Linotype" w:cs="Palatino Linotype"/>
        </w:rPr>
        <w:t xml:space="preserve"> con </w:t>
      </w:r>
      <w:r w:rsidR="00693587" w:rsidRPr="0039579E">
        <w:rPr>
          <w:rFonts w:ascii="Palatino Linotype" w:eastAsia="Palatino Linotype" w:hAnsi="Palatino Linotype" w:cs="Palatino Linotype"/>
        </w:rPr>
        <w:t>el expediente</w:t>
      </w:r>
      <w:r w:rsidRPr="0039579E">
        <w:rPr>
          <w:rFonts w:ascii="Palatino Linotype" w:eastAsia="Palatino Linotype" w:hAnsi="Palatino Linotype" w:cs="Palatino Linotype"/>
        </w:rPr>
        <w:t xml:space="preserve"> número </w:t>
      </w:r>
      <w:r w:rsidR="000F046B" w:rsidRPr="000F046B">
        <w:rPr>
          <w:rFonts w:ascii="Palatino Linotype" w:eastAsia="Palatino Linotype" w:hAnsi="Palatino Linotype" w:cs="Palatino Linotype"/>
          <w:b/>
        </w:rPr>
        <w:t>11515/INFOEM/IP/RR/2025</w:t>
      </w:r>
      <w:r w:rsidRPr="0039579E">
        <w:rPr>
          <w:rFonts w:ascii="Palatino Linotype" w:eastAsia="Palatino Linotype" w:hAnsi="Palatino Linotype" w:cs="Palatino Linotype"/>
        </w:rPr>
        <w:t>,</w:t>
      </w:r>
      <w:r w:rsidRPr="0039579E">
        <w:rPr>
          <w:rFonts w:ascii="Palatino Linotype" w:eastAsia="Palatino Linotype" w:hAnsi="Palatino Linotype" w:cs="Palatino Linotype"/>
          <w:b/>
        </w:rPr>
        <w:t xml:space="preserve"> </w:t>
      </w:r>
      <w:r w:rsidRPr="0039579E">
        <w:rPr>
          <w:rFonts w:ascii="Palatino Linotype" w:eastAsia="Palatino Linotype" w:hAnsi="Palatino Linotype" w:cs="Palatino Linotype"/>
        </w:rPr>
        <w:t>en el cual</w:t>
      </w:r>
      <w:r>
        <w:rPr>
          <w:rFonts w:ascii="Palatino Linotype" w:eastAsia="Palatino Linotype" w:hAnsi="Palatino Linotype" w:cs="Palatino Linotype"/>
        </w:rPr>
        <w:t xml:space="preserve">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06EBDFDE" w:rsidR="00785E98"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0F046B" w:rsidRPr="000F046B">
        <w:rPr>
          <w:rFonts w:ascii="Palatino Linotype" w:eastAsia="Palatino Linotype" w:hAnsi="Palatino Linotype" w:cs="Palatino Linotype"/>
          <w:i/>
          <w:color w:val="000000"/>
        </w:rPr>
        <w:t>sin respuesta</w:t>
      </w:r>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3CA04E88" w:rsidR="00693587"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0F046B" w:rsidRPr="000F046B">
        <w:rPr>
          <w:rFonts w:ascii="Palatino Linotype" w:eastAsia="Palatino Linotype" w:hAnsi="Palatino Linotype" w:cs="Palatino Linotype"/>
          <w:i/>
          <w:color w:val="000000"/>
        </w:rPr>
        <w:t>falta la respuesta</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E94B1F" w:rsidRDefault="005D216E">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0D637D2C"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6E74FD">
        <w:rPr>
          <w:rFonts w:ascii="Palatino Linotype" w:eastAsia="Palatino Linotype" w:hAnsi="Palatino Linotype" w:cs="Palatino Linotype"/>
        </w:rPr>
        <w:t>nueve de octubre</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010F202E"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6E74FD">
        <w:rPr>
          <w:rFonts w:ascii="Palatino Linotype" w:eastAsia="Palatino Linotype" w:hAnsi="Palatino Linotype" w:cs="Palatino Linotype"/>
        </w:rPr>
        <w:t>veintidós de octubre</w:t>
      </w:r>
      <w:r w:rsidR="0039579E">
        <w:rPr>
          <w:rFonts w:ascii="Palatino Linotype" w:eastAsia="Palatino Linotype" w:hAnsi="Palatino Linotype" w:cs="Palatino Linotype"/>
        </w:rPr>
        <w:t xml:space="preserve"> </w:t>
      </w:r>
      <w:r w:rsidR="00CA19C9">
        <w:rPr>
          <w:rFonts w:ascii="Palatino Linotype" w:eastAsia="Palatino Linotype" w:hAnsi="Palatino Linotype" w:cs="Palatino Linotype"/>
        </w:rPr>
        <w:t>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30FBC2E7" w:rsidR="00785E98" w:rsidRDefault="00E0501E">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E0501E">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E0501E">
        <w:rPr>
          <w:rFonts w:ascii="Palatino Linotype" w:eastAsia="Palatino Linotype" w:hAnsi="Palatino Linotype" w:cs="Palatino Linotype"/>
          <w:color w:val="222222"/>
        </w:rPr>
        <w:lastRenderedPageBreak/>
        <w:t>Transparencia, 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399CE6" w14:textId="77777777" w:rsidR="00D2417F"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2A2CC78" w14:textId="77777777" w:rsidR="0039579E" w:rsidRDefault="003957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D2417F" w:rsidRDefault="00D2417F" w:rsidP="00D2417F">
      <w:pPr>
        <w:spacing w:line="360" w:lineRule="auto"/>
        <w:jc w:val="both"/>
        <w:rPr>
          <w:rFonts w:ascii="Palatino Linotype" w:hAnsi="Palatino Linotype" w:cs="Palatino Linotype"/>
          <w:b/>
          <w:color w:val="000000"/>
          <w:sz w:val="28"/>
          <w:szCs w:val="28"/>
          <w:lang w:val="es-ES_tradnl"/>
        </w:rPr>
      </w:pPr>
      <w:r w:rsidRPr="00D2417F">
        <w:rPr>
          <w:rFonts w:ascii="Palatino Linotype" w:hAnsi="Palatino Linotype" w:cs="Palatino Linotype"/>
          <w:b/>
          <w:color w:val="000000"/>
          <w:sz w:val="28"/>
          <w:szCs w:val="28"/>
          <w:lang w:val="es-ES_tradnl"/>
        </w:rPr>
        <w:t>TERCERO. Cuestiones de previo y especial pronunciamiento.</w:t>
      </w:r>
    </w:p>
    <w:p w14:paraId="14513AC0"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D2417F" w:rsidRDefault="00D2417F" w:rsidP="00D2417F">
      <w:pPr>
        <w:spacing w:line="360" w:lineRule="auto"/>
        <w:jc w:val="both"/>
        <w:rPr>
          <w:rFonts w:ascii="Palatino Linotype" w:hAnsi="Palatino Linotype" w:cs="Palatino Linotype"/>
          <w:lang w:val="es-ES_tradnl"/>
        </w:rPr>
      </w:pPr>
    </w:p>
    <w:p w14:paraId="53B1F65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 xml:space="preserve">Artículo 180. </w:t>
      </w:r>
      <w:r w:rsidRPr="00D2417F">
        <w:rPr>
          <w:rFonts w:ascii="Palatino Linotype" w:hAnsi="Palatino Linotype" w:cs="Palatino Linotype"/>
          <w:i/>
          <w:lang w:val="es-ES_tradnl"/>
        </w:rPr>
        <w:t>El recurso de revisión contendrá:</w:t>
      </w:r>
    </w:p>
    <w:p w14:paraId="6D4515C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 El sujeto obligado ante la cual se presentó la solicitud;</w:t>
      </w:r>
    </w:p>
    <w:p w14:paraId="0E61D59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 El nombre del solicitante que recurre</w:t>
      </w:r>
      <w:r w:rsidRPr="00D2417F">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III. El número de folio de respuesta de la solicitud de acceso;</w:t>
      </w:r>
    </w:p>
    <w:p w14:paraId="1769717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 El acto que se recurre;</w:t>
      </w:r>
    </w:p>
    <w:p w14:paraId="0F28F06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 Las razones o motivos de inconformidad;</w:t>
      </w:r>
    </w:p>
    <w:p w14:paraId="309B421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 La copia de la respuesta que se impugna y, en su caso, de la notificación correspondiente, en el caso de respuesta de la solicitud; y</w:t>
      </w:r>
    </w:p>
    <w:p w14:paraId="4F4409D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D2417F" w:rsidRDefault="00D2417F" w:rsidP="00D2417F">
      <w:pPr>
        <w:ind w:left="567" w:right="567"/>
        <w:jc w:val="both"/>
        <w:rPr>
          <w:rFonts w:ascii="Palatino Linotype" w:hAnsi="Palatino Linotype" w:cs="Palatino Linotype"/>
          <w:i/>
          <w:lang w:val="es-ES_tradnl"/>
        </w:rPr>
      </w:pPr>
    </w:p>
    <w:p w14:paraId="4DF194A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D2417F" w:rsidRDefault="00D2417F" w:rsidP="00D2417F">
      <w:pPr>
        <w:ind w:left="567" w:right="567"/>
        <w:jc w:val="both"/>
        <w:rPr>
          <w:rFonts w:ascii="Palatino Linotype" w:hAnsi="Palatino Linotype" w:cs="Palatino Linotype"/>
          <w:i/>
          <w:lang w:val="es-ES_tradnl"/>
        </w:rPr>
      </w:pPr>
    </w:p>
    <w:p w14:paraId="1133625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En ningún caso será necesario que el particular ratifique el recurso de revisión interpuesto.</w:t>
      </w:r>
    </w:p>
    <w:p w14:paraId="7B50F52D" w14:textId="77777777" w:rsidR="00D2417F" w:rsidRPr="00D2417F" w:rsidRDefault="00D2417F" w:rsidP="00D2417F">
      <w:pPr>
        <w:ind w:left="567" w:right="567"/>
        <w:jc w:val="both"/>
        <w:rPr>
          <w:rFonts w:ascii="Palatino Linotype" w:hAnsi="Palatino Linotype" w:cs="Palatino Linotype"/>
          <w:i/>
          <w:lang w:val="es-ES_tradnl"/>
        </w:rPr>
      </w:pPr>
    </w:p>
    <w:p w14:paraId="6BDAC16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En caso de que el recurso se interponga de manera electrónica no será indispensable que contengan los requisitos establecidos en las fracciones II</w:t>
      </w:r>
      <w:r w:rsidRPr="00D2417F">
        <w:rPr>
          <w:rFonts w:ascii="Palatino Linotype" w:hAnsi="Palatino Linotype" w:cs="Palatino Linotype"/>
          <w:i/>
          <w:lang w:val="es-ES_tradnl"/>
        </w:rPr>
        <w:t>, IV, VII y VIII.</w:t>
      </w:r>
    </w:p>
    <w:p w14:paraId="423B32A9" w14:textId="77777777" w:rsidR="00D2417F" w:rsidRPr="00D2417F" w:rsidRDefault="00D2417F" w:rsidP="00D2417F">
      <w:pPr>
        <w:spacing w:line="360" w:lineRule="auto"/>
        <w:jc w:val="both"/>
        <w:rPr>
          <w:rFonts w:ascii="Palatino Linotype" w:hAnsi="Palatino Linotype" w:cs="Palatino Linotype"/>
          <w:b/>
          <w:i/>
          <w:lang w:val="es-ES_tradnl"/>
        </w:rPr>
      </w:pPr>
    </w:p>
    <w:p w14:paraId="741362EB" w14:textId="29C31758"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 xml:space="preserve">Cabe señalar que el hoy Recurrente en ejercicio de su derecho de acceso a la información pública, </w:t>
      </w:r>
      <w:r w:rsidR="006E74FD" w:rsidRPr="00D2417F">
        <w:rPr>
          <w:rFonts w:ascii="Palatino Linotype" w:hAnsi="Palatino Linotype" w:cs="Palatino Linotype"/>
          <w:lang w:val="es-ES_tradnl"/>
        </w:rPr>
        <w:t>no proporcionó un nombre para que sea identificado</w:t>
      </w:r>
      <w:r w:rsidRPr="00D2417F">
        <w:rPr>
          <w:rFonts w:ascii="Palatino Linotype" w:hAnsi="Palatino Linotype" w:cs="Palatino Linotype"/>
          <w:lang w:val="es-ES_tradnl"/>
        </w:rPr>
        <w:t>;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D2417F" w:rsidRDefault="00D2417F" w:rsidP="00D2417F">
      <w:pPr>
        <w:spacing w:line="360" w:lineRule="auto"/>
        <w:jc w:val="both"/>
        <w:rPr>
          <w:rFonts w:ascii="Palatino Linotype" w:hAnsi="Palatino Linotype" w:cs="Palatino Linotype"/>
          <w:lang w:val="es-ES_tradnl"/>
        </w:rPr>
      </w:pPr>
    </w:p>
    <w:p w14:paraId="3517DE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155.</w:t>
      </w:r>
      <w:r w:rsidRPr="00D2417F">
        <w:rPr>
          <w:rFonts w:ascii="Palatino Linotype" w:hAnsi="Palatino Linotype" w:cs="Palatino Linotype"/>
          <w:i/>
          <w:lang w:val="es-ES_tradnl"/>
        </w:rPr>
        <w:t xml:space="preserve"> (…)</w:t>
      </w:r>
    </w:p>
    <w:p w14:paraId="6FAF6F24" w14:textId="77777777" w:rsidR="00D2417F" w:rsidRPr="00D2417F" w:rsidRDefault="00D2417F" w:rsidP="00D2417F">
      <w:pPr>
        <w:ind w:left="567" w:right="567"/>
        <w:jc w:val="both"/>
        <w:rPr>
          <w:rFonts w:ascii="Palatino Linotype" w:hAnsi="Palatino Linotype" w:cs="Palatino Linotype"/>
          <w:i/>
          <w:lang w:val="es-ES_tradnl"/>
        </w:rPr>
      </w:pPr>
    </w:p>
    <w:p w14:paraId="3847BC0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68ACF3CF" w14:textId="77777777" w:rsidR="00D2417F" w:rsidRPr="00D2417F" w:rsidRDefault="00D2417F" w:rsidP="00D2417F">
      <w:pPr>
        <w:spacing w:line="360" w:lineRule="auto"/>
        <w:jc w:val="both"/>
        <w:rPr>
          <w:rFonts w:ascii="Palatino Linotype" w:hAnsi="Palatino Linotype" w:cs="Palatino Linotype"/>
          <w:lang w:val="es-ES_tradnl"/>
        </w:rPr>
      </w:pPr>
    </w:p>
    <w:p w14:paraId="4E122909"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BD1A22" w14:textId="77777777" w:rsidR="00D2417F" w:rsidRPr="00D2417F" w:rsidRDefault="00D2417F" w:rsidP="00D2417F">
      <w:pPr>
        <w:spacing w:line="360" w:lineRule="auto"/>
        <w:jc w:val="both"/>
        <w:rPr>
          <w:rFonts w:ascii="Palatino Linotype" w:hAnsi="Palatino Linotype" w:cs="Palatino Linotype"/>
          <w:lang w:val="es-ES_tradnl"/>
        </w:rPr>
      </w:pPr>
    </w:p>
    <w:p w14:paraId="56A0585A"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lastRenderedPageBreak/>
        <w:t>Constitución Política de los Estados Unidos Mexicanos</w:t>
      </w:r>
    </w:p>
    <w:p w14:paraId="606A51E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6</w:t>
      </w:r>
      <w:r w:rsidRPr="00D2417F">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2CDEF88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58B08A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D2417F" w:rsidRDefault="00D2417F" w:rsidP="00D2417F">
      <w:pPr>
        <w:ind w:left="567" w:right="567"/>
        <w:jc w:val="both"/>
        <w:rPr>
          <w:rFonts w:ascii="Palatino Linotype" w:hAnsi="Palatino Linotype" w:cs="Palatino Linotype"/>
          <w:i/>
          <w:lang w:val="es-ES_tradnl"/>
        </w:rPr>
      </w:pPr>
    </w:p>
    <w:p w14:paraId="0F57A3B5"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del Estado Libre y Soberano de México</w:t>
      </w:r>
    </w:p>
    <w:p w14:paraId="30300E2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5</w:t>
      </w:r>
      <w:r w:rsidRPr="00D2417F">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526CA68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136250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653858C2" w14:textId="77777777" w:rsidR="00D2417F" w:rsidRPr="00D2417F" w:rsidRDefault="00D2417F" w:rsidP="00D2417F">
      <w:pPr>
        <w:ind w:left="567" w:right="567"/>
        <w:jc w:val="both"/>
        <w:rPr>
          <w:rFonts w:ascii="Palatino Linotype" w:hAnsi="Palatino Linotype" w:cs="Palatino Linotype"/>
          <w:i/>
          <w:lang w:val="es-ES_tradnl"/>
        </w:rPr>
      </w:pPr>
    </w:p>
    <w:p w14:paraId="3DB2000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B8593F" w14:textId="77777777" w:rsidR="00D2417F" w:rsidRPr="00D2417F" w:rsidRDefault="00D2417F" w:rsidP="00D2417F">
      <w:pPr>
        <w:ind w:left="567" w:right="567"/>
        <w:jc w:val="both"/>
        <w:rPr>
          <w:rFonts w:ascii="Palatino Linotype" w:hAnsi="Palatino Linotype" w:cs="Palatino Linotype"/>
          <w:i/>
          <w:lang w:val="es-ES_tradnl"/>
        </w:rPr>
      </w:pPr>
    </w:p>
    <w:p w14:paraId="6B44A90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Este derecho se regirá por los principios y bases siguientes:</w:t>
      </w:r>
    </w:p>
    <w:p w14:paraId="4414E44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08672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III.</w:t>
      </w:r>
      <w:r w:rsidRPr="00D2417F">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IV.</w:t>
      </w:r>
      <w:r w:rsidRPr="00D2417F">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717BBF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VIII.</w:t>
      </w:r>
      <w:r w:rsidRPr="00D2417F">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0ECD7DA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D2417F" w:rsidRDefault="00D2417F" w:rsidP="00D2417F">
      <w:pPr>
        <w:ind w:left="567" w:right="567"/>
        <w:jc w:val="both"/>
        <w:rPr>
          <w:rFonts w:ascii="Palatino Linotype" w:hAnsi="Palatino Linotype" w:cs="Palatino Linotype"/>
          <w:lang w:val="es-ES_tradnl"/>
        </w:rPr>
      </w:pPr>
    </w:p>
    <w:p w14:paraId="4A168ED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1o</w:t>
      </w:r>
      <w:r w:rsidRPr="00D2417F">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D2417F" w:rsidRDefault="00D2417F" w:rsidP="00D2417F">
      <w:pPr>
        <w:ind w:left="567" w:right="567"/>
        <w:jc w:val="both"/>
        <w:rPr>
          <w:rFonts w:ascii="Palatino Linotype" w:hAnsi="Palatino Linotype" w:cs="Palatino Linotype"/>
          <w:i/>
          <w:lang w:val="es-ES_tradnl"/>
        </w:rPr>
      </w:pPr>
    </w:p>
    <w:p w14:paraId="07B78B3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D2417F" w:rsidRDefault="00D2417F" w:rsidP="00D2417F">
      <w:pPr>
        <w:ind w:left="567" w:right="567"/>
        <w:jc w:val="both"/>
        <w:rPr>
          <w:rFonts w:ascii="Palatino Linotype" w:hAnsi="Palatino Linotype" w:cs="Palatino Linotype"/>
          <w:i/>
          <w:lang w:val="es-ES_tradnl"/>
        </w:rPr>
      </w:pPr>
    </w:p>
    <w:p w14:paraId="2881964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121A30" w14:textId="77777777" w:rsidR="00D2417F" w:rsidRPr="00D2417F" w:rsidRDefault="00D2417F" w:rsidP="00D2417F">
      <w:pPr>
        <w:spacing w:line="360" w:lineRule="auto"/>
        <w:jc w:val="both"/>
        <w:rPr>
          <w:rFonts w:ascii="Palatino Linotype" w:hAnsi="Palatino Linotype" w:cs="Palatino Linotype"/>
          <w:lang w:val="es-ES_tradnl"/>
        </w:rPr>
      </w:pPr>
    </w:p>
    <w:p w14:paraId="0E74E078" w14:textId="49E5AC05" w:rsidR="00D2417F" w:rsidRPr="00D2417F" w:rsidRDefault="00D2417F" w:rsidP="00D2417F">
      <w:pPr>
        <w:spacing w:line="360" w:lineRule="auto"/>
        <w:jc w:val="both"/>
        <w:rPr>
          <w:rFonts w:ascii="Palatino Linotype" w:hAnsi="Palatino Linotype" w:cs="Palatino Linotype"/>
          <w:color w:val="000000"/>
          <w:lang w:val="es-ES_tradnl"/>
        </w:rPr>
      </w:pPr>
      <w:r w:rsidRPr="00D2417F">
        <w:rPr>
          <w:rFonts w:ascii="Palatino Linotype" w:hAnsi="Palatino Linotype" w:cs="Palatino Linotype"/>
          <w:color w:val="000000"/>
          <w:lang w:val="es-ES_tradnl"/>
        </w:rPr>
        <w:t xml:space="preserve">En conclusión, se cubrieron los requisitos de procedencia y </w:t>
      </w:r>
      <w:proofErr w:type="spellStart"/>
      <w:r w:rsidRPr="00D2417F">
        <w:rPr>
          <w:rFonts w:ascii="Palatino Linotype" w:hAnsi="Palatino Linotype" w:cs="Palatino Linotype"/>
          <w:color w:val="000000"/>
          <w:lang w:val="es-ES_tradnl"/>
        </w:rPr>
        <w:t>procedibilidad</w:t>
      </w:r>
      <w:proofErr w:type="spellEnd"/>
      <w:r w:rsidRPr="00D2417F">
        <w:rPr>
          <w:rFonts w:ascii="Palatino Linotype" w:hAnsi="Palatino Linotype" w:cs="Palatino Linotype"/>
          <w:color w:val="000000"/>
          <w:lang w:val="es-ES_tradnl"/>
        </w:rPr>
        <w:t>, conforme a las constancias que obran en el expediente.</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2F18C17D" w:rsidR="00785E98" w:rsidRDefault="00D24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Pr>
          <w:rFonts w:ascii="Palatino Linotype" w:eastAsia="Palatino Linotype" w:hAnsi="Palatino Linotype" w:cs="Palatino Linotype"/>
        </w:rPr>
        <w:t>Resolutor</w:t>
      </w:r>
      <w:proofErr w:type="spellEnd"/>
      <w:r>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Pr>
          <w:rFonts w:ascii="Palatino Linotype" w:eastAsia="Palatino Linotype" w:hAnsi="Palatino Linotype" w:cs="Palatino Linotype"/>
        </w:rPr>
        <w:lastRenderedPageBreak/>
        <w:t>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Pr>
          <w:rFonts w:ascii="Palatino Linotype" w:eastAsia="Palatino Linotype" w:hAnsi="Palatino Linotype" w:cs="Palatino Linotype"/>
          <w:color w:val="000000"/>
        </w:rPr>
        <w:t>Resolutor</w:t>
      </w:r>
      <w:proofErr w:type="spellEnd"/>
      <w:r>
        <w:rPr>
          <w:rFonts w:ascii="Palatino Linotype" w:eastAsia="Palatino Linotype" w:hAnsi="Palatino Linotype" w:cs="Palatino Linotype"/>
          <w:color w:val="000000"/>
        </w:rPr>
        <w:t>,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Default="00D2417F">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w:t>
      </w:r>
      <w:r>
        <w:rPr>
          <w:rFonts w:ascii="Palatino Linotype" w:eastAsia="Palatino Linotype" w:hAnsi="Palatino Linotype" w:cs="Palatino Linotype"/>
        </w:rPr>
        <w:lastRenderedPageBreak/>
        <w:t xml:space="preserve">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11F3F7B6"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0F046B" w:rsidRPr="000F046B">
        <w:rPr>
          <w:rFonts w:ascii="Palatino Linotype" w:eastAsia="Palatino Linotype" w:hAnsi="Palatino Linotype" w:cs="Palatino Linotype"/>
          <w:b/>
        </w:rPr>
        <w:t>00436/TEPOTZOT/IP/2025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D631C92"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1D0166F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0F046B" w:rsidRPr="000F046B">
        <w:rPr>
          <w:rFonts w:ascii="Palatino Linotype" w:eastAsia="Palatino Linotype" w:hAnsi="Palatino Linotype" w:cs="Palatino Linotype"/>
          <w:b/>
        </w:rPr>
        <w:t>00436/TEPOTZOT/IP/2025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3019643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547F4AFA"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Pr>
          <w:rFonts w:ascii="Palatino Linotype" w:eastAsia="Palatino Linotype" w:hAnsi="Palatino Linotype" w:cs="Palatino Linotype"/>
        </w:rPr>
        <w:lastRenderedPageBreak/>
        <w:t xml:space="preserve">DEL ROSARIO MEJÍA AYALA; SHARON CRISTINA MORALES MARTÍNEZ; LUIS GUSTAVO PARRA NORIEGA Y GUADALUPE RAMÍREZ PEÑA; EN LA </w:t>
      </w:r>
      <w:r w:rsidR="006E74FD">
        <w:rPr>
          <w:rFonts w:ascii="Palatino Linotype" w:eastAsia="Palatino Linotype" w:hAnsi="Palatino Linotype" w:cs="Palatino Linotype"/>
        </w:rPr>
        <w:t>CUADRAGÉSIMA SESIÓN</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182FAD">
        <w:rPr>
          <w:rFonts w:ascii="Palatino Linotype" w:eastAsia="Palatino Linotype" w:hAnsi="Palatino Linotype" w:cs="Palatino Linotype"/>
        </w:rPr>
        <w:t>DOCE</w:t>
      </w:r>
      <w:r w:rsidR="006E74FD">
        <w:rPr>
          <w:rFonts w:ascii="Palatino Linotype" w:eastAsia="Palatino Linotype" w:hAnsi="Palatino Linotype" w:cs="Palatino Linotype"/>
        </w:rPr>
        <w:t xml:space="preserve"> DE NOVIEMBRE</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C35C0B">
        <w:rPr>
          <w:rFonts w:ascii="Palatino Linotype" w:eastAsia="Palatino Linotype" w:hAnsi="Palatino Linotype" w:cs="Palatino Linotype"/>
        </w:rPr>
        <w:t>------------------------------------------------------</w:t>
      </w:r>
      <w:r w:rsidR="00B20A4B">
        <w:rPr>
          <w:rFonts w:ascii="Palatino Linotype" w:eastAsia="Palatino Linotype" w:hAnsi="Palatino Linotype" w:cs="Palatino Linotype"/>
        </w:rPr>
        <w:t>-----------------------------------------------------------------------------------------------------------------------------------------------------------------------------------------------------------------------------------------------------------------------------------------------------------------------------------------------------------------------------------------------------------------------------------------------------------------------------------------------------------------------------------------------------------------------------------------------------------------------------------------------------------------------------------------------------------------------------------------------------------------------------------------------------------------------------------------------------------------------------------------------------------------------------------------------------------------------------------------------------------------------------------------------------------------------------------------------------------------------------------------------------------------------------------------------------------------------------------------------------------------------------------------------------------------</w:t>
      </w:r>
      <w:r w:rsidR="000F046B" w:rsidRPr="000F046B">
        <w:rPr>
          <w:rFonts w:ascii="Palatino Linotype" w:eastAsia="Palatino Linotype" w:hAnsi="Palatino Linotype" w:cs="Palatino Linotype"/>
        </w:rPr>
        <w:t xml:space="preserve"> </w:t>
      </w:r>
      <w:r w:rsidR="000F046B">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r w:rsidR="00CD4761">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5B515" w14:textId="77777777" w:rsidR="00B242C8" w:rsidRDefault="00B242C8">
      <w:r>
        <w:separator/>
      </w:r>
    </w:p>
  </w:endnote>
  <w:endnote w:type="continuationSeparator" w:id="0">
    <w:p w14:paraId="53373112" w14:textId="77777777" w:rsidR="00B242C8" w:rsidRDefault="00B2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6C1C54AE"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66C75">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66C75">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5226A0B5"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66C7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66C75">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BB72A" w14:textId="77777777" w:rsidR="00B242C8" w:rsidRDefault="00B242C8">
      <w:r>
        <w:separator/>
      </w:r>
    </w:p>
  </w:footnote>
  <w:footnote w:type="continuationSeparator" w:id="0">
    <w:p w14:paraId="389BFA53" w14:textId="77777777" w:rsidR="00B242C8" w:rsidRDefault="00B24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B242C8">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B242C8">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3B7F1E9F" w:rsidR="00785E98" w:rsidRDefault="000F046B" w:rsidP="00A15154">
          <w:pPr>
            <w:spacing w:line="276" w:lineRule="auto"/>
            <w:jc w:val="right"/>
            <w:rPr>
              <w:rFonts w:ascii="Palatino Linotype" w:eastAsia="Palatino Linotype" w:hAnsi="Palatino Linotype" w:cs="Palatino Linotype"/>
              <w:sz w:val="22"/>
              <w:szCs w:val="22"/>
            </w:rPr>
          </w:pPr>
          <w:r w:rsidRPr="000F046B">
            <w:rPr>
              <w:rFonts w:ascii="Palatino Linotype" w:eastAsia="Palatino Linotype" w:hAnsi="Palatino Linotype" w:cs="Palatino Linotype"/>
              <w:sz w:val="22"/>
              <w:szCs w:val="22"/>
            </w:rPr>
            <w:t>11515/INFOEM/IP/RR/2025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18723CCF" w:rsidR="00785E98" w:rsidRDefault="006E74FD">
          <w:pPr>
            <w:spacing w:line="276" w:lineRule="auto"/>
            <w:jc w:val="right"/>
            <w:rPr>
              <w:rFonts w:ascii="Palatino Linotype" w:eastAsia="Palatino Linotype" w:hAnsi="Palatino Linotype" w:cs="Palatino Linotype"/>
              <w:sz w:val="21"/>
              <w:szCs w:val="21"/>
            </w:rPr>
          </w:pPr>
          <w:r w:rsidRPr="006E74FD">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B242C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76B4F0BF" w:rsidR="00785E98" w:rsidRDefault="000F046B" w:rsidP="00A15154">
          <w:pPr>
            <w:spacing w:line="276" w:lineRule="auto"/>
            <w:jc w:val="right"/>
            <w:rPr>
              <w:rFonts w:ascii="Palatino Linotype" w:eastAsia="Palatino Linotype" w:hAnsi="Palatino Linotype" w:cs="Palatino Linotype"/>
              <w:sz w:val="22"/>
              <w:szCs w:val="22"/>
            </w:rPr>
          </w:pPr>
          <w:r w:rsidRPr="000F046B">
            <w:rPr>
              <w:rFonts w:ascii="Palatino Linotype" w:eastAsia="Palatino Linotype" w:hAnsi="Palatino Linotype" w:cs="Palatino Linotype"/>
              <w:sz w:val="22"/>
              <w:szCs w:val="22"/>
            </w:rPr>
            <w:t>11515/INFOEM/IP/RR/2025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5ADE3F12" w:rsidR="00785E98" w:rsidRDefault="00866C75">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4EB2DF13" w:rsidR="00785E98" w:rsidRDefault="006E74FD">
          <w:pPr>
            <w:jc w:val="right"/>
            <w:rPr>
              <w:rFonts w:ascii="Palatino Linotype" w:eastAsia="Palatino Linotype" w:hAnsi="Palatino Linotype" w:cs="Palatino Linotype"/>
              <w:sz w:val="21"/>
              <w:szCs w:val="21"/>
            </w:rPr>
          </w:pPr>
          <w:r w:rsidRPr="006E74FD">
            <w:rPr>
              <w:rFonts w:ascii="Palatino Linotype" w:eastAsia="Palatino Linotype" w:hAnsi="Palatino Linotype" w:cs="Palatino Linotype"/>
              <w:sz w:val="21"/>
              <w:szCs w:val="21"/>
            </w:rPr>
            <w:t>Ayuntamiento de Tepotzotlán</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046B"/>
    <w:rsid w:val="00182FAD"/>
    <w:rsid w:val="001B2B53"/>
    <w:rsid w:val="001E5C53"/>
    <w:rsid w:val="00232219"/>
    <w:rsid w:val="00270C18"/>
    <w:rsid w:val="00272A99"/>
    <w:rsid w:val="002B6DDF"/>
    <w:rsid w:val="003007C5"/>
    <w:rsid w:val="003878CF"/>
    <w:rsid w:val="0039579E"/>
    <w:rsid w:val="004169D1"/>
    <w:rsid w:val="004C18FD"/>
    <w:rsid w:val="005203CA"/>
    <w:rsid w:val="00533055"/>
    <w:rsid w:val="00543AA4"/>
    <w:rsid w:val="005456CC"/>
    <w:rsid w:val="005D216E"/>
    <w:rsid w:val="005E481A"/>
    <w:rsid w:val="00603A5B"/>
    <w:rsid w:val="00645942"/>
    <w:rsid w:val="00693587"/>
    <w:rsid w:val="006B41E2"/>
    <w:rsid w:val="006E74FD"/>
    <w:rsid w:val="00784677"/>
    <w:rsid w:val="00785E98"/>
    <w:rsid w:val="00790654"/>
    <w:rsid w:val="0083345F"/>
    <w:rsid w:val="00866C75"/>
    <w:rsid w:val="008A0AE2"/>
    <w:rsid w:val="00995E97"/>
    <w:rsid w:val="009B46A0"/>
    <w:rsid w:val="009E14D9"/>
    <w:rsid w:val="00A15154"/>
    <w:rsid w:val="00A64AF0"/>
    <w:rsid w:val="00AB15F7"/>
    <w:rsid w:val="00B20A4B"/>
    <w:rsid w:val="00B242C8"/>
    <w:rsid w:val="00B451BA"/>
    <w:rsid w:val="00BC1CC4"/>
    <w:rsid w:val="00BE036E"/>
    <w:rsid w:val="00C35C0B"/>
    <w:rsid w:val="00CA19C9"/>
    <w:rsid w:val="00CA47DE"/>
    <w:rsid w:val="00CD4761"/>
    <w:rsid w:val="00CF59DF"/>
    <w:rsid w:val="00D2417F"/>
    <w:rsid w:val="00D413D3"/>
    <w:rsid w:val="00DC4FAE"/>
    <w:rsid w:val="00E0501E"/>
    <w:rsid w:val="00E56997"/>
    <w:rsid w:val="00E94B1F"/>
    <w:rsid w:val="00EB1290"/>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5609</Words>
  <Characters>30853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dcterms:created xsi:type="dcterms:W3CDTF">2025-10-23T21:30:00Z</dcterms:created>
  <dcterms:modified xsi:type="dcterms:W3CDTF">2026-01-16T16:30:00Z</dcterms:modified>
</cp:coreProperties>
</file>