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105" w:rsidRPr="00847559" w:rsidRDefault="00D45B19" w:rsidP="00847559">
      <w:pPr>
        <w:keepNext/>
        <w:keepLines/>
        <w:pBdr>
          <w:top w:val="nil"/>
          <w:left w:val="nil"/>
          <w:bottom w:val="nil"/>
          <w:right w:val="nil"/>
          <w:between w:val="nil"/>
        </w:pBdr>
        <w:spacing w:before="240" w:line="259" w:lineRule="auto"/>
        <w:jc w:val="left"/>
        <w:rPr>
          <w:rFonts w:ascii="Play" w:eastAsia="Play" w:hAnsi="Play" w:cs="Play"/>
          <w:sz w:val="32"/>
          <w:szCs w:val="32"/>
        </w:rPr>
      </w:pPr>
      <w:r w:rsidRPr="00847559">
        <w:rPr>
          <w:rFonts w:ascii="Play" w:eastAsia="Play" w:hAnsi="Play" w:cs="Play"/>
          <w:sz w:val="32"/>
          <w:szCs w:val="32"/>
        </w:rPr>
        <w:t>Contenido</w:t>
      </w:r>
    </w:p>
    <w:sdt>
      <w:sdtPr>
        <w:id w:val="-54476656"/>
        <w:docPartObj>
          <w:docPartGallery w:val="Table of Contents"/>
          <w:docPartUnique/>
        </w:docPartObj>
      </w:sdtPr>
      <w:sdtEndPr/>
      <w:sdtContent>
        <w:p w:rsidR="00473105" w:rsidRPr="00847559" w:rsidRDefault="00D45B19" w:rsidP="00847559">
          <w:pPr>
            <w:pBdr>
              <w:top w:val="nil"/>
              <w:left w:val="nil"/>
              <w:bottom w:val="nil"/>
              <w:right w:val="nil"/>
              <w:between w:val="nil"/>
            </w:pBdr>
            <w:tabs>
              <w:tab w:val="right" w:pos="9034"/>
            </w:tabs>
            <w:spacing w:after="100"/>
            <w:rPr>
              <w:rFonts w:ascii="Aptos" w:eastAsia="Aptos" w:hAnsi="Aptos" w:cs="Aptos"/>
              <w:szCs w:val="22"/>
            </w:rPr>
          </w:pPr>
          <w:r w:rsidRPr="00847559">
            <w:fldChar w:fldCharType="begin"/>
          </w:r>
          <w:r w:rsidRPr="00847559">
            <w:instrText xml:space="preserve"> TOC \h \u \z \t "Heading 1,1,Heading 2,2,Heading 3,3,"</w:instrText>
          </w:r>
          <w:r w:rsidRPr="00847559">
            <w:fldChar w:fldCharType="separate"/>
          </w:r>
          <w:hyperlink w:anchor="_heading=h.1fob9te">
            <w:r w:rsidRPr="00847559">
              <w:rPr>
                <w:rFonts w:eastAsia="Palatino Linotype" w:cs="Palatino Linotype"/>
                <w:szCs w:val="22"/>
              </w:rPr>
              <w:t>ANTECEDENTES</w:t>
            </w:r>
            <w:r w:rsidRPr="00847559">
              <w:rPr>
                <w:rFonts w:eastAsia="Palatino Linotype" w:cs="Palatino Linotype"/>
                <w:szCs w:val="22"/>
              </w:rPr>
              <w:tab/>
              <w:t>1</w:t>
            </w:r>
          </w:hyperlink>
        </w:p>
        <w:p w:rsidR="00473105" w:rsidRPr="00847559" w:rsidRDefault="00B436CF" w:rsidP="00847559">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t3h5sf">
            <w:r w:rsidR="00D45B19" w:rsidRPr="00847559">
              <w:rPr>
                <w:rFonts w:eastAsia="Palatino Linotype" w:cs="Palatino Linotype"/>
                <w:szCs w:val="22"/>
              </w:rPr>
              <w:t>DE LA SOLICITUD DE INFORMACIÓN</w:t>
            </w:r>
            <w:r w:rsidR="00D45B19" w:rsidRPr="00847559">
              <w:rPr>
                <w:rFonts w:eastAsia="Palatino Linotype" w:cs="Palatino Linotype"/>
                <w:szCs w:val="22"/>
              </w:rPr>
              <w:tab/>
              <w:t>1</w:t>
            </w:r>
          </w:hyperlink>
        </w:p>
        <w:p w:rsidR="00473105" w:rsidRPr="00847559" w:rsidRDefault="00B436CF" w:rsidP="0084755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6in1rg">
            <w:r w:rsidR="00D45B19" w:rsidRPr="00847559">
              <w:rPr>
                <w:rFonts w:eastAsia="Palatino Linotype" w:cs="Palatino Linotype"/>
                <w:szCs w:val="22"/>
              </w:rPr>
              <w:t>a) Solicitud de información</w:t>
            </w:r>
            <w:r w:rsidR="00D45B19" w:rsidRPr="00847559">
              <w:rPr>
                <w:rFonts w:eastAsia="Palatino Linotype" w:cs="Palatino Linotype"/>
                <w:szCs w:val="22"/>
              </w:rPr>
              <w:tab/>
              <w:t>1</w:t>
            </w:r>
          </w:hyperlink>
        </w:p>
        <w:p w:rsidR="00473105" w:rsidRPr="00847559" w:rsidRDefault="00B436CF" w:rsidP="0084755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ksv4uv">
            <w:r w:rsidR="00D45B19" w:rsidRPr="00847559">
              <w:rPr>
                <w:rFonts w:eastAsia="Palatino Linotype" w:cs="Palatino Linotype"/>
                <w:szCs w:val="22"/>
              </w:rPr>
              <w:t>b) Respuesta del Sujeto Obligado</w:t>
            </w:r>
            <w:r w:rsidR="00D45B19" w:rsidRPr="00847559">
              <w:rPr>
                <w:rFonts w:eastAsia="Palatino Linotype" w:cs="Palatino Linotype"/>
                <w:szCs w:val="22"/>
              </w:rPr>
              <w:tab/>
              <w:t>2</w:t>
            </w:r>
          </w:hyperlink>
        </w:p>
        <w:p w:rsidR="00473105" w:rsidRPr="00847559" w:rsidRDefault="00B436CF" w:rsidP="00847559">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2jxsxqh">
            <w:r w:rsidR="00D45B19" w:rsidRPr="00847559">
              <w:rPr>
                <w:rFonts w:eastAsia="Palatino Linotype" w:cs="Palatino Linotype"/>
                <w:szCs w:val="22"/>
              </w:rPr>
              <w:t>DEL RECURSO DE REVISIÓN</w:t>
            </w:r>
            <w:r w:rsidR="00D45B19" w:rsidRPr="00847559">
              <w:rPr>
                <w:rFonts w:eastAsia="Palatino Linotype" w:cs="Palatino Linotype"/>
                <w:szCs w:val="22"/>
              </w:rPr>
              <w:tab/>
              <w:t>3</w:t>
            </w:r>
          </w:hyperlink>
        </w:p>
        <w:p w:rsidR="00473105" w:rsidRPr="00847559" w:rsidRDefault="00B436CF" w:rsidP="0084755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z337ya">
            <w:r w:rsidR="00D45B19" w:rsidRPr="00847559">
              <w:rPr>
                <w:rFonts w:eastAsia="Palatino Linotype" w:cs="Palatino Linotype"/>
                <w:szCs w:val="22"/>
              </w:rPr>
              <w:t>a) Interposición del Recurso de Revisión</w:t>
            </w:r>
            <w:r w:rsidR="00D45B19" w:rsidRPr="00847559">
              <w:rPr>
                <w:rFonts w:eastAsia="Palatino Linotype" w:cs="Palatino Linotype"/>
                <w:szCs w:val="22"/>
              </w:rPr>
              <w:tab/>
              <w:t>3</w:t>
            </w:r>
          </w:hyperlink>
        </w:p>
        <w:p w:rsidR="00473105" w:rsidRPr="00847559" w:rsidRDefault="00B436CF" w:rsidP="0084755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qsh70q">
            <w:r w:rsidR="00D45B19" w:rsidRPr="00847559">
              <w:rPr>
                <w:rFonts w:eastAsia="Palatino Linotype" w:cs="Palatino Linotype"/>
                <w:szCs w:val="22"/>
              </w:rPr>
              <w:t>b) Turno del Recurso de Revisión</w:t>
            </w:r>
            <w:r w:rsidR="00D45B19" w:rsidRPr="00847559">
              <w:rPr>
                <w:rFonts w:eastAsia="Palatino Linotype" w:cs="Palatino Linotype"/>
                <w:szCs w:val="22"/>
              </w:rPr>
              <w:tab/>
              <w:t>5</w:t>
            </w:r>
          </w:hyperlink>
        </w:p>
        <w:p w:rsidR="00473105" w:rsidRPr="00847559" w:rsidRDefault="00B436CF" w:rsidP="0084755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ihv636">
            <w:r w:rsidR="00D45B19" w:rsidRPr="00847559">
              <w:rPr>
                <w:rFonts w:eastAsia="Palatino Linotype" w:cs="Palatino Linotype"/>
                <w:szCs w:val="22"/>
              </w:rPr>
              <w:t>c) Admisión del Recurso de Revisión</w:t>
            </w:r>
            <w:r w:rsidR="00D45B19" w:rsidRPr="00847559">
              <w:rPr>
                <w:rFonts w:eastAsia="Palatino Linotype" w:cs="Palatino Linotype"/>
                <w:szCs w:val="22"/>
              </w:rPr>
              <w:tab/>
              <w:t>5</w:t>
            </w:r>
          </w:hyperlink>
        </w:p>
        <w:p w:rsidR="00473105" w:rsidRPr="00847559" w:rsidRDefault="00B436CF" w:rsidP="0084755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2hioqz">
            <w:r w:rsidR="00D45B19" w:rsidRPr="00847559">
              <w:rPr>
                <w:rFonts w:eastAsia="Palatino Linotype" w:cs="Palatino Linotype"/>
                <w:szCs w:val="22"/>
              </w:rPr>
              <w:t>d) Acumulación de los Recursos de Revisión</w:t>
            </w:r>
            <w:r w:rsidR="00D45B19" w:rsidRPr="00847559">
              <w:rPr>
                <w:rFonts w:eastAsia="Palatino Linotype" w:cs="Palatino Linotype"/>
                <w:szCs w:val="22"/>
              </w:rPr>
              <w:tab/>
              <w:t>5</w:t>
            </w:r>
          </w:hyperlink>
        </w:p>
        <w:p w:rsidR="00473105" w:rsidRPr="00847559" w:rsidRDefault="00B436CF" w:rsidP="0084755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grqrue">
            <w:r w:rsidR="00D45B19" w:rsidRPr="00847559">
              <w:rPr>
                <w:rFonts w:eastAsia="Palatino Linotype" w:cs="Palatino Linotype"/>
                <w:szCs w:val="22"/>
              </w:rPr>
              <w:t>e) Informe Justificado del Sujeto Obligado</w:t>
            </w:r>
            <w:r w:rsidR="00D45B19" w:rsidRPr="00847559">
              <w:rPr>
                <w:rFonts w:eastAsia="Palatino Linotype" w:cs="Palatino Linotype"/>
                <w:szCs w:val="22"/>
              </w:rPr>
              <w:tab/>
              <w:t>5</w:t>
            </w:r>
          </w:hyperlink>
        </w:p>
        <w:p w:rsidR="00473105" w:rsidRPr="00847559" w:rsidRDefault="00B436CF" w:rsidP="0084755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v1yuxt">
            <w:r w:rsidR="00D45B19" w:rsidRPr="00847559">
              <w:rPr>
                <w:rFonts w:eastAsia="Palatino Linotype" w:cs="Palatino Linotype"/>
                <w:szCs w:val="22"/>
              </w:rPr>
              <w:t>f) Manifestaciones de la Parte Recurrente</w:t>
            </w:r>
            <w:r w:rsidR="00D45B19" w:rsidRPr="00847559">
              <w:rPr>
                <w:rFonts w:eastAsia="Palatino Linotype" w:cs="Palatino Linotype"/>
                <w:szCs w:val="22"/>
              </w:rPr>
              <w:tab/>
              <w:t>6</w:t>
            </w:r>
          </w:hyperlink>
        </w:p>
        <w:p w:rsidR="00473105" w:rsidRPr="00847559" w:rsidRDefault="00B436CF" w:rsidP="0084755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f1mdlm">
            <w:r w:rsidR="00D45B19" w:rsidRPr="00847559">
              <w:rPr>
                <w:rFonts w:eastAsia="Palatino Linotype" w:cs="Palatino Linotype"/>
                <w:szCs w:val="22"/>
              </w:rPr>
              <w:t>g) Cierre de instrucción</w:t>
            </w:r>
            <w:r w:rsidR="00D45B19" w:rsidRPr="00847559">
              <w:rPr>
                <w:rFonts w:eastAsia="Palatino Linotype" w:cs="Palatino Linotype"/>
                <w:szCs w:val="22"/>
              </w:rPr>
              <w:tab/>
              <w:t>6</w:t>
            </w:r>
          </w:hyperlink>
        </w:p>
        <w:p w:rsidR="00473105" w:rsidRPr="00847559" w:rsidRDefault="00B436CF" w:rsidP="00847559">
          <w:pPr>
            <w:pBdr>
              <w:top w:val="nil"/>
              <w:left w:val="nil"/>
              <w:bottom w:val="nil"/>
              <w:right w:val="nil"/>
              <w:between w:val="nil"/>
            </w:pBdr>
            <w:tabs>
              <w:tab w:val="right" w:pos="9034"/>
            </w:tabs>
            <w:spacing w:after="100"/>
            <w:rPr>
              <w:rFonts w:ascii="Aptos" w:eastAsia="Aptos" w:hAnsi="Aptos" w:cs="Aptos"/>
              <w:szCs w:val="22"/>
            </w:rPr>
          </w:pPr>
          <w:hyperlink w:anchor="_heading=h.2u6wntf">
            <w:r w:rsidR="00D45B19" w:rsidRPr="00847559">
              <w:rPr>
                <w:rFonts w:eastAsia="Palatino Linotype" w:cs="Palatino Linotype"/>
                <w:szCs w:val="22"/>
              </w:rPr>
              <w:t>CONSIDERANDOS</w:t>
            </w:r>
            <w:r w:rsidR="00D45B19" w:rsidRPr="00847559">
              <w:rPr>
                <w:rFonts w:eastAsia="Palatino Linotype" w:cs="Palatino Linotype"/>
                <w:szCs w:val="22"/>
              </w:rPr>
              <w:tab/>
              <w:t>6</w:t>
            </w:r>
          </w:hyperlink>
        </w:p>
        <w:p w:rsidR="00473105" w:rsidRPr="00847559" w:rsidRDefault="00B436CF" w:rsidP="00847559">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9c6y18">
            <w:r w:rsidR="00D45B19" w:rsidRPr="00847559">
              <w:rPr>
                <w:rFonts w:eastAsia="Palatino Linotype" w:cs="Palatino Linotype"/>
                <w:szCs w:val="22"/>
              </w:rPr>
              <w:t>PRIMERO. Procedibilidad</w:t>
            </w:r>
            <w:r w:rsidR="00D45B19" w:rsidRPr="00847559">
              <w:rPr>
                <w:rFonts w:eastAsia="Palatino Linotype" w:cs="Palatino Linotype"/>
                <w:szCs w:val="22"/>
              </w:rPr>
              <w:tab/>
              <w:t>6</w:t>
            </w:r>
          </w:hyperlink>
        </w:p>
        <w:p w:rsidR="00473105" w:rsidRPr="00847559" w:rsidRDefault="00B436CF" w:rsidP="0084755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tbugp1">
            <w:r w:rsidR="00D45B19" w:rsidRPr="00847559">
              <w:rPr>
                <w:rFonts w:eastAsia="Palatino Linotype" w:cs="Palatino Linotype"/>
                <w:szCs w:val="22"/>
              </w:rPr>
              <w:t>a) Competencia del Instituto</w:t>
            </w:r>
            <w:r w:rsidR="00D45B19" w:rsidRPr="00847559">
              <w:rPr>
                <w:rFonts w:eastAsia="Palatino Linotype" w:cs="Palatino Linotype"/>
                <w:szCs w:val="22"/>
              </w:rPr>
              <w:tab/>
              <w:t>6</w:t>
            </w:r>
          </w:hyperlink>
        </w:p>
        <w:p w:rsidR="00473105" w:rsidRPr="00847559" w:rsidRDefault="00B436CF" w:rsidP="0084755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8h4qwu">
            <w:r w:rsidR="00D45B19" w:rsidRPr="00847559">
              <w:rPr>
                <w:rFonts w:eastAsia="Palatino Linotype" w:cs="Palatino Linotype"/>
                <w:szCs w:val="22"/>
              </w:rPr>
              <w:t>b) Legitimidad de la parte recurrente</w:t>
            </w:r>
            <w:r w:rsidR="00D45B19" w:rsidRPr="00847559">
              <w:rPr>
                <w:rFonts w:eastAsia="Palatino Linotype" w:cs="Palatino Linotype"/>
                <w:szCs w:val="22"/>
              </w:rPr>
              <w:tab/>
              <w:t>7</w:t>
            </w:r>
          </w:hyperlink>
        </w:p>
        <w:p w:rsidR="00473105" w:rsidRPr="00847559" w:rsidRDefault="00B436CF" w:rsidP="0084755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nmf14n">
            <w:r w:rsidR="00D45B19" w:rsidRPr="00847559">
              <w:rPr>
                <w:rFonts w:eastAsia="Palatino Linotype" w:cs="Palatino Linotype"/>
                <w:szCs w:val="22"/>
              </w:rPr>
              <w:t>c) Plazo para interponer el recurso</w:t>
            </w:r>
            <w:r w:rsidR="00D45B19" w:rsidRPr="00847559">
              <w:rPr>
                <w:rFonts w:eastAsia="Palatino Linotype" w:cs="Palatino Linotype"/>
                <w:szCs w:val="22"/>
              </w:rPr>
              <w:tab/>
              <w:t>7</w:t>
            </w:r>
          </w:hyperlink>
        </w:p>
        <w:p w:rsidR="00473105" w:rsidRPr="00847559" w:rsidRDefault="00B436CF" w:rsidP="0084755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7m2jsg">
            <w:r w:rsidR="00D45B19" w:rsidRPr="00847559">
              <w:rPr>
                <w:rFonts w:eastAsia="Palatino Linotype" w:cs="Palatino Linotype"/>
                <w:szCs w:val="22"/>
              </w:rPr>
              <w:t>d) Causal de procedencia</w:t>
            </w:r>
            <w:r w:rsidR="00D45B19" w:rsidRPr="00847559">
              <w:rPr>
                <w:rFonts w:eastAsia="Palatino Linotype" w:cs="Palatino Linotype"/>
                <w:szCs w:val="22"/>
              </w:rPr>
              <w:tab/>
              <w:t>7</w:t>
            </w:r>
          </w:hyperlink>
        </w:p>
        <w:p w:rsidR="00473105" w:rsidRPr="00847559" w:rsidRDefault="00B436CF" w:rsidP="0084755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mrcu09">
            <w:r w:rsidR="00D45B19" w:rsidRPr="00847559">
              <w:rPr>
                <w:rFonts w:eastAsia="Palatino Linotype" w:cs="Palatino Linotype"/>
                <w:szCs w:val="22"/>
              </w:rPr>
              <w:t>e) Requisitos formales para la interposición del recurso</w:t>
            </w:r>
            <w:r w:rsidR="00D45B19" w:rsidRPr="00847559">
              <w:rPr>
                <w:rFonts w:eastAsia="Palatino Linotype" w:cs="Palatino Linotype"/>
                <w:szCs w:val="22"/>
              </w:rPr>
              <w:tab/>
              <w:t>8</w:t>
            </w:r>
          </w:hyperlink>
        </w:p>
        <w:p w:rsidR="00473105" w:rsidRPr="00847559" w:rsidRDefault="00B436CF" w:rsidP="0084755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6r0co2">
            <w:r w:rsidR="00D45B19" w:rsidRPr="00847559">
              <w:rPr>
                <w:rFonts w:eastAsia="Palatino Linotype" w:cs="Palatino Linotype"/>
                <w:szCs w:val="22"/>
              </w:rPr>
              <w:t>f) Acumulación de los Recursos de Revisión</w:t>
            </w:r>
            <w:r w:rsidR="00D45B19" w:rsidRPr="00847559">
              <w:rPr>
                <w:rFonts w:eastAsia="Palatino Linotype" w:cs="Palatino Linotype"/>
                <w:szCs w:val="22"/>
              </w:rPr>
              <w:tab/>
              <w:t>8</w:t>
            </w:r>
          </w:hyperlink>
        </w:p>
        <w:p w:rsidR="00473105" w:rsidRPr="00847559" w:rsidRDefault="00B436CF" w:rsidP="00847559">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2lwamvv">
            <w:r w:rsidR="00D45B19" w:rsidRPr="00847559">
              <w:rPr>
                <w:rFonts w:eastAsia="Palatino Linotype" w:cs="Palatino Linotype"/>
                <w:szCs w:val="22"/>
              </w:rPr>
              <w:t>SEGUNDO. Estudio de Fondo</w:t>
            </w:r>
            <w:r w:rsidR="00D45B19" w:rsidRPr="00847559">
              <w:rPr>
                <w:rFonts w:eastAsia="Palatino Linotype" w:cs="Palatino Linotype"/>
                <w:szCs w:val="22"/>
              </w:rPr>
              <w:tab/>
              <w:t>9</w:t>
            </w:r>
          </w:hyperlink>
        </w:p>
        <w:p w:rsidR="00473105" w:rsidRPr="00847559" w:rsidRDefault="00B436CF" w:rsidP="0084755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11kx3o">
            <w:r w:rsidR="00D45B19" w:rsidRPr="00847559">
              <w:rPr>
                <w:rFonts w:eastAsia="Palatino Linotype" w:cs="Palatino Linotype"/>
                <w:szCs w:val="22"/>
              </w:rPr>
              <w:t>a) Mandato de transparencia y responsabilidad del Sujeto Obligado</w:t>
            </w:r>
            <w:r w:rsidR="00D45B19" w:rsidRPr="00847559">
              <w:rPr>
                <w:rFonts w:eastAsia="Palatino Linotype" w:cs="Palatino Linotype"/>
                <w:szCs w:val="22"/>
              </w:rPr>
              <w:tab/>
              <w:t>9</w:t>
            </w:r>
          </w:hyperlink>
        </w:p>
        <w:p w:rsidR="00473105" w:rsidRPr="00847559" w:rsidRDefault="00B436CF" w:rsidP="0084755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l18frh">
            <w:r w:rsidR="00D45B19" w:rsidRPr="00847559">
              <w:rPr>
                <w:rFonts w:eastAsia="Palatino Linotype" w:cs="Palatino Linotype"/>
                <w:szCs w:val="22"/>
              </w:rPr>
              <w:t>b) Controversia a resolver</w:t>
            </w:r>
            <w:r w:rsidR="00D45B19" w:rsidRPr="00847559">
              <w:rPr>
                <w:rFonts w:eastAsia="Palatino Linotype" w:cs="Palatino Linotype"/>
                <w:szCs w:val="22"/>
              </w:rPr>
              <w:tab/>
              <w:t>11</w:t>
            </w:r>
          </w:hyperlink>
        </w:p>
        <w:p w:rsidR="00473105" w:rsidRPr="00847559" w:rsidRDefault="00B436CF" w:rsidP="0084755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06ipza">
            <w:r w:rsidR="00D45B19" w:rsidRPr="00847559">
              <w:rPr>
                <w:rFonts w:eastAsia="Palatino Linotype" w:cs="Palatino Linotype"/>
                <w:szCs w:val="22"/>
              </w:rPr>
              <w:t>c) Estudio de la controversia</w:t>
            </w:r>
            <w:r w:rsidR="00D45B19" w:rsidRPr="00847559">
              <w:rPr>
                <w:rFonts w:eastAsia="Palatino Linotype" w:cs="Palatino Linotype"/>
                <w:szCs w:val="22"/>
              </w:rPr>
              <w:tab/>
              <w:t>12</w:t>
            </w:r>
          </w:hyperlink>
        </w:p>
        <w:p w:rsidR="00473105" w:rsidRPr="00847559" w:rsidRDefault="00B436CF" w:rsidP="00847559">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k668n3">
            <w:r w:rsidR="00D45B19" w:rsidRPr="00847559">
              <w:rPr>
                <w:rFonts w:eastAsia="Palatino Linotype" w:cs="Palatino Linotype"/>
                <w:szCs w:val="22"/>
              </w:rPr>
              <w:t>d) Conclusión</w:t>
            </w:r>
            <w:r w:rsidR="00D45B19" w:rsidRPr="00847559">
              <w:rPr>
                <w:rFonts w:eastAsia="Palatino Linotype" w:cs="Palatino Linotype"/>
                <w:szCs w:val="22"/>
              </w:rPr>
              <w:tab/>
              <w:t>26</w:t>
            </w:r>
          </w:hyperlink>
        </w:p>
        <w:p w:rsidR="00473105" w:rsidRPr="00847559" w:rsidRDefault="00B436CF" w:rsidP="00847559">
          <w:pPr>
            <w:pBdr>
              <w:top w:val="nil"/>
              <w:left w:val="nil"/>
              <w:bottom w:val="nil"/>
              <w:right w:val="nil"/>
              <w:between w:val="nil"/>
            </w:pBdr>
            <w:tabs>
              <w:tab w:val="right" w:pos="9034"/>
            </w:tabs>
            <w:spacing w:after="100"/>
            <w:rPr>
              <w:rFonts w:ascii="Aptos" w:eastAsia="Aptos" w:hAnsi="Aptos" w:cs="Aptos"/>
              <w:szCs w:val="22"/>
            </w:rPr>
          </w:pPr>
          <w:hyperlink w:anchor="_heading=h.2zbgiuw">
            <w:r w:rsidR="00D45B19" w:rsidRPr="00847559">
              <w:rPr>
                <w:rFonts w:eastAsia="Palatino Linotype" w:cs="Palatino Linotype"/>
                <w:szCs w:val="22"/>
              </w:rPr>
              <w:t>RESUELVE</w:t>
            </w:r>
            <w:r w:rsidR="00D45B19" w:rsidRPr="00847559">
              <w:rPr>
                <w:rFonts w:eastAsia="Palatino Linotype" w:cs="Palatino Linotype"/>
                <w:szCs w:val="22"/>
              </w:rPr>
              <w:tab/>
              <w:t>26</w:t>
            </w:r>
          </w:hyperlink>
        </w:p>
        <w:p w:rsidR="00473105" w:rsidRPr="00847559" w:rsidRDefault="00D45B19" w:rsidP="00847559">
          <w:r w:rsidRPr="00847559">
            <w:fldChar w:fldCharType="end"/>
          </w:r>
        </w:p>
      </w:sdtContent>
    </w:sdt>
    <w:p w:rsidR="00473105" w:rsidRPr="00847559" w:rsidRDefault="00473105" w:rsidP="00847559">
      <w:pPr>
        <w:sectPr w:rsidR="00473105" w:rsidRPr="00847559">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rsidR="00473105" w:rsidRPr="00847559" w:rsidRDefault="00D45B19" w:rsidP="00847559">
      <w:pPr>
        <w:rPr>
          <w:b/>
        </w:rPr>
      </w:pPr>
      <w:r w:rsidRPr="00847559">
        <w:lastRenderedPageBreak/>
        <w:t xml:space="preserve">Resolución del Pleno del Instituto de Transparencia, Acceso a la Información Pública y Protección de Datos Personales del Estado de México y Municipios, con domicilio en Metepec, Estado de México, de </w:t>
      </w:r>
      <w:r w:rsidRPr="00847559">
        <w:rPr>
          <w:b/>
        </w:rPr>
        <w:t>diecinueve de febrero de dos mil veinticinco.</w:t>
      </w:r>
    </w:p>
    <w:p w:rsidR="00473105" w:rsidRPr="00847559" w:rsidRDefault="00473105" w:rsidP="00847559"/>
    <w:p w:rsidR="00473105" w:rsidRPr="00847559" w:rsidRDefault="00D45B19" w:rsidP="00847559">
      <w:r w:rsidRPr="00847559">
        <w:rPr>
          <w:b/>
        </w:rPr>
        <w:t xml:space="preserve">VISTO </w:t>
      </w:r>
      <w:r w:rsidRPr="00847559">
        <w:t xml:space="preserve">el expediente formado con motivo de los Recursos de Revisión </w:t>
      </w:r>
      <w:bookmarkStart w:id="2" w:name="_GoBack"/>
      <w:r w:rsidRPr="00847559">
        <w:rPr>
          <w:b/>
        </w:rPr>
        <w:t>00272/INFOEM/IP/RR/2025 y 00274/INFOEM/IP/RR/2025</w:t>
      </w:r>
      <w:bookmarkEnd w:id="2"/>
      <w:r w:rsidRPr="00847559">
        <w:rPr>
          <w:b/>
        </w:rPr>
        <w:t xml:space="preserve">, </w:t>
      </w:r>
      <w:r w:rsidRPr="00847559">
        <w:t xml:space="preserve">interpuestos por un particular identificado como </w:t>
      </w:r>
      <w:r w:rsidR="00CB34AA">
        <w:rPr>
          <w:b/>
        </w:rPr>
        <w:t>XXXXXXXXX XXXXXXXXXXXX</w:t>
      </w:r>
      <w:r w:rsidRPr="00847559">
        <w:t xml:space="preserve">, a quien en lo subsecuente se le denominará </w:t>
      </w:r>
      <w:r w:rsidRPr="00847559">
        <w:rPr>
          <w:b/>
        </w:rPr>
        <w:t>LA PARTE RECURRENTE</w:t>
      </w:r>
      <w:r w:rsidRPr="00847559">
        <w:t xml:space="preserve">, en contra de la respuesta emitida por </w:t>
      </w:r>
      <w:r w:rsidR="00847559" w:rsidRPr="00847559">
        <w:t>el</w:t>
      </w:r>
      <w:r w:rsidR="00847559" w:rsidRPr="00847559">
        <w:rPr>
          <w:b/>
        </w:rPr>
        <w:t xml:space="preserve"> Ayuntamiento</w:t>
      </w:r>
      <w:r w:rsidRPr="00847559">
        <w:rPr>
          <w:b/>
        </w:rPr>
        <w:t xml:space="preserve"> de Otzolotepec</w:t>
      </w:r>
      <w:r w:rsidRPr="00847559">
        <w:t xml:space="preserve">, en adelante </w:t>
      </w:r>
      <w:r w:rsidRPr="00847559">
        <w:rPr>
          <w:b/>
        </w:rPr>
        <w:t>EL SUJETO OBLIGADO</w:t>
      </w:r>
      <w:r w:rsidRPr="00847559">
        <w:t>, se emite la presente Resolución con base en los Antecedentes y Considerandos que se exponen a continuación:</w:t>
      </w:r>
    </w:p>
    <w:p w:rsidR="00473105" w:rsidRPr="00847559" w:rsidRDefault="00473105" w:rsidP="00847559"/>
    <w:p w:rsidR="00473105" w:rsidRPr="00847559" w:rsidRDefault="00D45B19" w:rsidP="00847559">
      <w:pPr>
        <w:pStyle w:val="Ttulo1"/>
        <w:spacing w:line="240" w:lineRule="auto"/>
        <w:ind w:left="567" w:right="567" w:firstLine="567"/>
      </w:pPr>
      <w:bookmarkStart w:id="3" w:name="_heading=h.1fob9te" w:colFirst="0" w:colLast="0"/>
      <w:bookmarkEnd w:id="3"/>
      <w:r w:rsidRPr="00847559">
        <w:t>ANTECEDENTES</w:t>
      </w:r>
    </w:p>
    <w:p w:rsidR="00473105" w:rsidRPr="00847559" w:rsidRDefault="00473105" w:rsidP="00847559"/>
    <w:p w:rsidR="00473105" w:rsidRPr="00847559" w:rsidRDefault="00D45B19" w:rsidP="00847559">
      <w:pPr>
        <w:pStyle w:val="Ttulo2"/>
        <w:jc w:val="left"/>
      </w:pPr>
      <w:bookmarkStart w:id="4" w:name="_heading=h.1t3h5sf" w:colFirst="0" w:colLast="0"/>
      <w:bookmarkEnd w:id="4"/>
      <w:r w:rsidRPr="00847559">
        <w:t>DE LA SOLICITUD DE INFORMACIÓN</w:t>
      </w:r>
    </w:p>
    <w:p w:rsidR="00473105" w:rsidRPr="00847559" w:rsidRDefault="00D45B19" w:rsidP="00847559">
      <w:pPr>
        <w:pStyle w:val="Ttulo3"/>
      </w:pPr>
      <w:bookmarkStart w:id="5" w:name="_heading=h.26in1rg" w:colFirst="0" w:colLast="0"/>
      <w:bookmarkEnd w:id="5"/>
      <w:r w:rsidRPr="00847559">
        <w:t>a) Solicitud de información</w:t>
      </w:r>
    </w:p>
    <w:p w:rsidR="00473105" w:rsidRPr="00847559" w:rsidRDefault="00D45B19" w:rsidP="00847559">
      <w:pPr>
        <w:pBdr>
          <w:top w:val="nil"/>
          <w:left w:val="nil"/>
          <w:bottom w:val="nil"/>
          <w:right w:val="nil"/>
          <w:between w:val="nil"/>
        </w:pBdr>
        <w:tabs>
          <w:tab w:val="left" w:pos="0"/>
        </w:tabs>
        <w:spacing w:after="240"/>
      </w:pPr>
      <w:r w:rsidRPr="00847559">
        <w:t xml:space="preserve">En fechas </w:t>
      </w:r>
      <w:r w:rsidRPr="00847559">
        <w:rPr>
          <w:b/>
        </w:rPr>
        <w:t>trece de enero de dos mil veinticinco</w:t>
      </w:r>
      <w:r w:rsidRPr="00847559">
        <w:rPr>
          <w:b/>
          <w:vertAlign w:val="superscript"/>
        </w:rPr>
        <w:footnoteReference w:id="1"/>
      </w:r>
      <w:r w:rsidRPr="00847559">
        <w:t xml:space="preserve">, </w:t>
      </w:r>
      <w:r w:rsidRPr="00847559">
        <w:rPr>
          <w:b/>
        </w:rPr>
        <w:t>LA PARTE RECURRENTE</w:t>
      </w:r>
      <w:r w:rsidRPr="00847559">
        <w:t xml:space="preserve"> presentó dos solicitudes de acceso a la información pública ante el </w:t>
      </w:r>
      <w:r w:rsidRPr="00847559">
        <w:rPr>
          <w:b/>
        </w:rPr>
        <w:t>SUJETO OBLIGADO</w:t>
      </w:r>
      <w:r w:rsidRPr="00847559">
        <w:t>, a través del Sistema de Acceso a la Información Mexiquense (SAIMEX). Dichas solicitudes quedaron registradas con el número de folio</w:t>
      </w:r>
      <w:r w:rsidRPr="00847559">
        <w:rPr>
          <w:b/>
        </w:rPr>
        <w:t xml:space="preserve"> 00002/OTZOLOTE/IP/2025 y 00012/OTZOLOTE/IP/2025,</w:t>
      </w:r>
      <w:r w:rsidRPr="00847559">
        <w:t xml:space="preserve"> en ellas se requirió la siguiente información:</w:t>
      </w:r>
    </w:p>
    <w:p w:rsidR="00473105" w:rsidRPr="00847559" w:rsidRDefault="00D45B19" w:rsidP="00847559">
      <w:pPr>
        <w:tabs>
          <w:tab w:val="left" w:pos="4667"/>
        </w:tabs>
        <w:ind w:left="567" w:right="567"/>
        <w:rPr>
          <w:b/>
        </w:rPr>
      </w:pPr>
      <w:r w:rsidRPr="00847559">
        <w:rPr>
          <w:b/>
        </w:rPr>
        <w:t>00002/OTZOLOTE/IP/2025:</w:t>
      </w:r>
    </w:p>
    <w:p w:rsidR="00473105" w:rsidRPr="00847559" w:rsidRDefault="00D45B19" w:rsidP="00847559">
      <w:pPr>
        <w:pStyle w:val="Puesto"/>
        <w:ind w:left="851" w:right="822"/>
      </w:pPr>
      <w:r w:rsidRPr="00847559">
        <w:t>“Solicito informe ejecutivo de la deuda municipal que el trienio de C.D. Erika Sevilla Alvarado 2021-2024 hereda a la administración entrante de C. Sinaí Lugo Vargas”</w:t>
      </w:r>
    </w:p>
    <w:p w:rsidR="00473105" w:rsidRPr="00847559" w:rsidRDefault="00D45B19" w:rsidP="00847559">
      <w:pPr>
        <w:tabs>
          <w:tab w:val="left" w:pos="4667"/>
        </w:tabs>
        <w:ind w:left="567" w:right="567"/>
        <w:rPr>
          <w:i/>
        </w:rPr>
      </w:pPr>
      <w:r w:rsidRPr="00847559">
        <w:rPr>
          <w:b/>
        </w:rPr>
        <w:lastRenderedPageBreak/>
        <w:t>Modalidad de entrega</w:t>
      </w:r>
      <w:r w:rsidRPr="00847559">
        <w:t>: a</w:t>
      </w:r>
      <w:r w:rsidRPr="00847559">
        <w:rPr>
          <w:i/>
        </w:rPr>
        <w:t xml:space="preserve"> través del SAIMEX.</w:t>
      </w:r>
    </w:p>
    <w:p w:rsidR="00473105" w:rsidRPr="00847559" w:rsidRDefault="00473105" w:rsidP="00847559">
      <w:pPr>
        <w:tabs>
          <w:tab w:val="left" w:pos="4667"/>
        </w:tabs>
        <w:ind w:left="567" w:right="567"/>
        <w:rPr>
          <w:i/>
        </w:rPr>
      </w:pPr>
    </w:p>
    <w:p w:rsidR="00473105" w:rsidRPr="00847559" w:rsidRDefault="00D45B19" w:rsidP="00847559">
      <w:pPr>
        <w:tabs>
          <w:tab w:val="left" w:pos="4667"/>
        </w:tabs>
        <w:ind w:left="567" w:right="567"/>
      </w:pPr>
      <w:r w:rsidRPr="00847559">
        <w:rPr>
          <w:b/>
        </w:rPr>
        <w:t>00012/OTZOLOTE/IP/2025</w:t>
      </w:r>
    </w:p>
    <w:p w:rsidR="00473105" w:rsidRPr="00847559" w:rsidRDefault="00D45B19" w:rsidP="00847559">
      <w:pPr>
        <w:pStyle w:val="Puesto"/>
        <w:ind w:left="851" w:right="822"/>
      </w:pPr>
      <w:r w:rsidRPr="00847559">
        <w:t>“Solicito informaciòn financiera, presupuesto que recibio Sinaí Lugo Vargas Presidenta de Otzolotepec, asì como deuda que recibio por parte de la administración saliente de la C.D Erika Sevilla AlvaradoO”</w:t>
      </w:r>
    </w:p>
    <w:p w:rsidR="00473105" w:rsidRPr="00847559" w:rsidRDefault="00473105" w:rsidP="00847559">
      <w:pPr>
        <w:tabs>
          <w:tab w:val="left" w:pos="4667"/>
        </w:tabs>
        <w:ind w:left="567" w:right="567"/>
        <w:jc w:val="center"/>
        <w:rPr>
          <w:b/>
          <w:i/>
        </w:rPr>
      </w:pPr>
    </w:p>
    <w:p w:rsidR="00473105" w:rsidRPr="00847559" w:rsidRDefault="00D45B19" w:rsidP="00847559">
      <w:pPr>
        <w:tabs>
          <w:tab w:val="left" w:pos="4667"/>
        </w:tabs>
        <w:ind w:left="567" w:right="567"/>
      </w:pPr>
      <w:r w:rsidRPr="00847559">
        <w:rPr>
          <w:b/>
        </w:rPr>
        <w:t>Modalidad de entrega</w:t>
      </w:r>
      <w:r w:rsidRPr="00847559">
        <w:t>: a</w:t>
      </w:r>
      <w:r w:rsidRPr="00847559">
        <w:rPr>
          <w:i/>
        </w:rPr>
        <w:t xml:space="preserve"> través del </w:t>
      </w:r>
      <w:r w:rsidRPr="00847559">
        <w:rPr>
          <w:b/>
          <w:i/>
        </w:rPr>
        <w:t>SAIMEX</w:t>
      </w:r>
      <w:r w:rsidRPr="00847559">
        <w:rPr>
          <w:i/>
        </w:rPr>
        <w:t>.</w:t>
      </w:r>
    </w:p>
    <w:p w:rsidR="00473105" w:rsidRPr="00847559" w:rsidRDefault="00473105" w:rsidP="00847559"/>
    <w:p w:rsidR="00473105" w:rsidRPr="00847559" w:rsidRDefault="00D45B19" w:rsidP="00847559">
      <w:pPr>
        <w:pStyle w:val="Ttulo3"/>
      </w:pPr>
      <w:bookmarkStart w:id="6" w:name="_heading=h.1ksv4uv" w:colFirst="0" w:colLast="0"/>
      <w:bookmarkEnd w:id="6"/>
      <w:r w:rsidRPr="00847559">
        <w:t>b) Respuesta del Sujeto Obligado</w:t>
      </w:r>
    </w:p>
    <w:p w:rsidR="00473105" w:rsidRPr="00847559" w:rsidRDefault="00D45B19" w:rsidP="00847559">
      <w:pPr>
        <w:pBdr>
          <w:top w:val="nil"/>
          <w:left w:val="nil"/>
          <w:bottom w:val="nil"/>
          <w:right w:val="nil"/>
          <w:between w:val="nil"/>
        </w:pBdr>
      </w:pPr>
      <w:r w:rsidRPr="00847559">
        <w:t xml:space="preserve">El </w:t>
      </w:r>
      <w:r w:rsidRPr="00847559">
        <w:rPr>
          <w:b/>
        </w:rPr>
        <w:t>veintitrés de enero de dos mil veinticinco</w:t>
      </w:r>
      <w:r w:rsidRPr="00847559">
        <w:t xml:space="preserve">, el Titular de la Unidad de Transparencia del </w:t>
      </w:r>
      <w:r w:rsidRPr="00847559">
        <w:rPr>
          <w:b/>
        </w:rPr>
        <w:t>SUJETO OBLIGADO,</w:t>
      </w:r>
      <w:r w:rsidRPr="00847559">
        <w:t xml:space="preserve"> notificó las siguientes respuestas a través del SAIMEX:</w:t>
      </w:r>
    </w:p>
    <w:p w:rsidR="00473105" w:rsidRPr="00847559" w:rsidRDefault="00473105" w:rsidP="00847559">
      <w:pPr>
        <w:tabs>
          <w:tab w:val="left" w:pos="4667"/>
        </w:tabs>
        <w:ind w:left="567" w:right="567"/>
        <w:rPr>
          <w:b/>
        </w:rPr>
      </w:pPr>
    </w:p>
    <w:p w:rsidR="00473105" w:rsidRPr="00847559" w:rsidRDefault="00D45B19" w:rsidP="00847559">
      <w:pPr>
        <w:tabs>
          <w:tab w:val="left" w:pos="4667"/>
        </w:tabs>
        <w:ind w:left="567" w:right="567"/>
        <w:rPr>
          <w:b/>
        </w:rPr>
      </w:pPr>
      <w:r w:rsidRPr="00847559">
        <w:rPr>
          <w:b/>
        </w:rPr>
        <w:t>00002/OTZOLOTE/IP/2025</w:t>
      </w:r>
    </w:p>
    <w:p w:rsidR="00473105" w:rsidRPr="00847559" w:rsidRDefault="00473105" w:rsidP="00847559">
      <w:pPr>
        <w:pBdr>
          <w:top w:val="nil"/>
          <w:left w:val="nil"/>
          <w:bottom w:val="nil"/>
          <w:right w:val="nil"/>
          <w:between w:val="nil"/>
        </w:pBdr>
        <w:spacing w:line="240" w:lineRule="auto"/>
        <w:ind w:left="567" w:right="567" w:firstLine="567"/>
        <w:rPr>
          <w:i/>
        </w:rPr>
      </w:pPr>
      <w:bookmarkStart w:id="7" w:name="_heading=h.4sik7eezycgr" w:colFirst="0" w:colLast="0"/>
      <w:bookmarkEnd w:id="7"/>
    </w:p>
    <w:p w:rsidR="00473105" w:rsidRPr="00847559" w:rsidRDefault="00D45B19" w:rsidP="00847559">
      <w:pPr>
        <w:pBdr>
          <w:top w:val="nil"/>
          <w:left w:val="nil"/>
          <w:bottom w:val="nil"/>
          <w:right w:val="nil"/>
          <w:between w:val="nil"/>
        </w:pBdr>
        <w:spacing w:line="240" w:lineRule="auto"/>
        <w:ind w:left="851" w:right="822"/>
        <w:rPr>
          <w:i/>
        </w:rPr>
      </w:pPr>
      <w:bookmarkStart w:id="8" w:name="_heading=h.tttoatbhwefm" w:colFirst="0" w:colLast="0"/>
      <w:bookmarkEnd w:id="8"/>
      <w:r w:rsidRPr="00847559">
        <w:rPr>
          <w:i/>
        </w:rPr>
        <w:t>“En atención a su solicitud de acceso a la información pública con folio 00002/OTZOLOTE/IP/2025, se envía respuesta.”</w:t>
      </w:r>
    </w:p>
    <w:p w:rsidR="00473105" w:rsidRPr="00847559" w:rsidRDefault="00473105" w:rsidP="00847559"/>
    <w:p w:rsidR="00473105" w:rsidRPr="00847559" w:rsidRDefault="00D45B19" w:rsidP="00847559">
      <w:pPr>
        <w:ind w:right="-28"/>
      </w:pPr>
      <w:r w:rsidRPr="00847559">
        <w:t xml:space="preserve">Asimismo, </w:t>
      </w:r>
      <w:r w:rsidRPr="00847559">
        <w:rPr>
          <w:b/>
        </w:rPr>
        <w:t xml:space="preserve">EL SUJETO OBLIGADO </w:t>
      </w:r>
      <w:r w:rsidRPr="00847559">
        <w:t xml:space="preserve">adjuntó a su respuesta el archivo denominado </w:t>
      </w:r>
      <w:r w:rsidRPr="00847559">
        <w:rPr>
          <w:b/>
        </w:rPr>
        <w:t xml:space="preserve">OFICIO 67 RESPUESTA SOL 00002 2025.pdf </w:t>
      </w:r>
      <w:r w:rsidRPr="00847559">
        <w:t xml:space="preserve">del que se observa lo siguiente: </w:t>
      </w:r>
    </w:p>
    <w:p w:rsidR="00473105" w:rsidRPr="00847559" w:rsidRDefault="00473105" w:rsidP="00847559">
      <w:pPr>
        <w:ind w:right="-28"/>
      </w:pPr>
    </w:p>
    <w:p w:rsidR="00473105" w:rsidRPr="00847559" w:rsidRDefault="00D45B19" w:rsidP="00847559">
      <w:pPr>
        <w:numPr>
          <w:ilvl w:val="0"/>
          <w:numId w:val="4"/>
        </w:numPr>
        <w:ind w:right="-28"/>
      </w:pPr>
      <w:r w:rsidRPr="00847559">
        <w:t xml:space="preserve">Página 1: Documento que contiene el oficio número OTZ/UTAI/67/2025 firmado por el Titular de la Unidad de transparencia, donde refiere adjunta la respuesta de la Tesorería Municipal </w:t>
      </w:r>
    </w:p>
    <w:p w:rsidR="00473105" w:rsidRPr="00847559" w:rsidRDefault="00D45B19" w:rsidP="00847559">
      <w:pPr>
        <w:numPr>
          <w:ilvl w:val="0"/>
          <w:numId w:val="4"/>
        </w:numPr>
        <w:ind w:right="-28"/>
      </w:pPr>
      <w:r w:rsidRPr="00847559">
        <w:t xml:space="preserve">Página 2: Oficio número OTZ/TM/066/2025, firmado por el Tesorero Municipal, quien refirió que la información se encuentra disponible en internet, indicando tres ligas para su consulta. </w:t>
      </w:r>
    </w:p>
    <w:p w:rsidR="00473105" w:rsidRPr="00847559" w:rsidRDefault="00473105" w:rsidP="00847559">
      <w:pPr>
        <w:ind w:right="-28"/>
      </w:pPr>
    </w:p>
    <w:p w:rsidR="00473105" w:rsidRPr="00847559" w:rsidRDefault="00D45B19" w:rsidP="00847559">
      <w:pPr>
        <w:tabs>
          <w:tab w:val="left" w:pos="4667"/>
        </w:tabs>
        <w:ind w:left="567" w:right="567"/>
        <w:rPr>
          <w:b/>
        </w:rPr>
      </w:pPr>
      <w:r w:rsidRPr="00847559">
        <w:rPr>
          <w:b/>
        </w:rPr>
        <w:lastRenderedPageBreak/>
        <w:t>00012/OTZOLOTE/IP/2025</w:t>
      </w:r>
    </w:p>
    <w:p w:rsidR="00473105" w:rsidRPr="00847559" w:rsidRDefault="00473105" w:rsidP="00847559">
      <w:pPr>
        <w:spacing w:line="240" w:lineRule="auto"/>
        <w:ind w:left="567" w:right="567" w:firstLine="567"/>
        <w:rPr>
          <w:i/>
        </w:rPr>
      </w:pPr>
    </w:p>
    <w:p w:rsidR="00473105" w:rsidRPr="00847559" w:rsidRDefault="00D45B19" w:rsidP="00847559">
      <w:pPr>
        <w:tabs>
          <w:tab w:val="left" w:pos="8222"/>
        </w:tabs>
        <w:spacing w:line="240" w:lineRule="auto"/>
        <w:ind w:left="851" w:right="822"/>
        <w:rPr>
          <w:i/>
        </w:rPr>
      </w:pPr>
      <w:r w:rsidRPr="00847559">
        <w:rPr>
          <w:i/>
        </w:rPr>
        <w:t>“En atención a su solicitud de acceso a la información pública con folio 00012/OTZOLOTE/IP/2025 se envía su respuesta..”</w:t>
      </w:r>
    </w:p>
    <w:p w:rsidR="00473105" w:rsidRPr="00847559" w:rsidRDefault="00473105" w:rsidP="00847559">
      <w:pPr>
        <w:ind w:right="-28"/>
      </w:pPr>
    </w:p>
    <w:p w:rsidR="00473105" w:rsidRPr="00847559" w:rsidRDefault="00D45B19" w:rsidP="00847559">
      <w:pPr>
        <w:ind w:right="-28"/>
      </w:pPr>
      <w:r w:rsidRPr="00847559">
        <w:rPr>
          <w:b/>
        </w:rPr>
        <w:t xml:space="preserve">EL SUJETO OBLIGADO </w:t>
      </w:r>
      <w:r w:rsidRPr="00847559">
        <w:t xml:space="preserve">adjuntó a su respuesta el archivo denominado </w:t>
      </w:r>
      <w:r w:rsidRPr="00847559">
        <w:rPr>
          <w:b/>
        </w:rPr>
        <w:t xml:space="preserve">OFICIO 68 RESPUESTA SOL 00012 2025.pdf </w:t>
      </w:r>
      <w:r w:rsidRPr="00847559">
        <w:t xml:space="preserve">del que se observa lo siguiente: </w:t>
      </w:r>
    </w:p>
    <w:p w:rsidR="00473105" w:rsidRPr="00847559" w:rsidRDefault="00473105" w:rsidP="00847559">
      <w:pPr>
        <w:ind w:right="-28"/>
      </w:pPr>
    </w:p>
    <w:p w:rsidR="00473105" w:rsidRPr="00847559" w:rsidRDefault="00D45B19" w:rsidP="00847559">
      <w:pPr>
        <w:numPr>
          <w:ilvl w:val="0"/>
          <w:numId w:val="4"/>
        </w:numPr>
        <w:ind w:right="-28"/>
      </w:pPr>
      <w:r w:rsidRPr="00847559">
        <w:t xml:space="preserve">Página 1: Documento que contiene el oficio número OTZ/UTAI/68/2025 firmado por el Titular de la Unidad de transparencia, donde refiere adjunta la respuesta de la Tesorería Municipal </w:t>
      </w:r>
    </w:p>
    <w:p w:rsidR="00473105" w:rsidRPr="00847559" w:rsidRDefault="00D45B19" w:rsidP="00847559">
      <w:pPr>
        <w:numPr>
          <w:ilvl w:val="0"/>
          <w:numId w:val="4"/>
        </w:numPr>
        <w:ind w:right="-28"/>
      </w:pPr>
      <w:r w:rsidRPr="00847559">
        <w:t xml:space="preserve">Página 2: Oficio número OTZ/TM/067/2025, firmado por el Tesorero Municipal, quien refirió que la información se encuentra disponible en internet, indicando tres ligas para su consulta. </w:t>
      </w:r>
    </w:p>
    <w:p w:rsidR="00473105" w:rsidRPr="00847559" w:rsidRDefault="00473105" w:rsidP="00847559">
      <w:pPr>
        <w:pStyle w:val="Ttulo2"/>
        <w:ind w:right="-28"/>
      </w:pPr>
      <w:bookmarkStart w:id="9" w:name="_heading=h.1bc76zwbjald" w:colFirst="0" w:colLast="0"/>
      <w:bookmarkEnd w:id="9"/>
    </w:p>
    <w:p w:rsidR="00473105" w:rsidRPr="00847559" w:rsidRDefault="00D45B19" w:rsidP="00847559">
      <w:pPr>
        <w:pStyle w:val="Ttulo2"/>
        <w:jc w:val="left"/>
      </w:pPr>
      <w:bookmarkStart w:id="10" w:name="_heading=h.2jxsxqh" w:colFirst="0" w:colLast="0"/>
      <w:bookmarkEnd w:id="10"/>
      <w:r w:rsidRPr="00847559">
        <w:t>DEL RECURSO DE REVISIÓN</w:t>
      </w:r>
    </w:p>
    <w:p w:rsidR="00473105" w:rsidRPr="00847559" w:rsidRDefault="00D45B19" w:rsidP="00847559">
      <w:pPr>
        <w:pStyle w:val="Ttulo3"/>
      </w:pPr>
      <w:bookmarkStart w:id="11" w:name="_heading=h.z337ya" w:colFirst="0" w:colLast="0"/>
      <w:bookmarkEnd w:id="11"/>
      <w:r w:rsidRPr="00847559">
        <w:t>a) Interposición del Recurso de Revisión</w:t>
      </w:r>
    </w:p>
    <w:p w:rsidR="00473105" w:rsidRPr="00847559" w:rsidRDefault="00D45B19" w:rsidP="00847559">
      <w:pPr>
        <w:ind w:right="-28"/>
      </w:pPr>
      <w:r w:rsidRPr="00847559">
        <w:t xml:space="preserve">En fecha </w:t>
      </w:r>
      <w:r w:rsidRPr="00847559">
        <w:rPr>
          <w:b/>
        </w:rPr>
        <w:t>veintiséis de enero de dos mil veinticinco,</w:t>
      </w:r>
      <w:r w:rsidRPr="00847559">
        <w:t xml:space="preserve"> </w:t>
      </w:r>
      <w:r w:rsidRPr="00847559">
        <w:rPr>
          <w:b/>
        </w:rPr>
        <w:t>LA PARTE RECURRENTE</w:t>
      </w:r>
      <w:r w:rsidRPr="00847559">
        <w:t xml:space="preserve"> interpuso los recursos de revisión en contra de las respuestas emitidas por el </w:t>
      </w:r>
      <w:r w:rsidRPr="00847559">
        <w:rPr>
          <w:b/>
        </w:rPr>
        <w:t>SUJETO OBLIGADO</w:t>
      </w:r>
      <w:r w:rsidRPr="00847559">
        <w:t xml:space="preserve">, mismos que fueron registrados en el SAIMEX con los números de expediente </w:t>
      </w:r>
      <w:r w:rsidRPr="00847559">
        <w:rPr>
          <w:b/>
        </w:rPr>
        <w:t xml:space="preserve">00272/INFOEM/IP/RR/2025 y 00274/INFOEM/IP/RR/2025, </w:t>
      </w:r>
      <w:r w:rsidRPr="00847559">
        <w:t>en los cuales manifiesta lo siguiente:</w:t>
      </w:r>
    </w:p>
    <w:p w:rsidR="00473105" w:rsidRDefault="00473105" w:rsidP="00847559">
      <w:pPr>
        <w:tabs>
          <w:tab w:val="left" w:pos="4667"/>
        </w:tabs>
        <w:ind w:right="539"/>
      </w:pPr>
    </w:p>
    <w:p w:rsidR="00847559" w:rsidRDefault="00847559" w:rsidP="00847559">
      <w:pPr>
        <w:tabs>
          <w:tab w:val="left" w:pos="4667"/>
        </w:tabs>
        <w:ind w:right="539"/>
      </w:pPr>
    </w:p>
    <w:p w:rsidR="00847559" w:rsidRDefault="00847559" w:rsidP="00847559">
      <w:pPr>
        <w:tabs>
          <w:tab w:val="left" w:pos="4667"/>
        </w:tabs>
        <w:ind w:right="539"/>
      </w:pPr>
    </w:p>
    <w:p w:rsidR="00847559" w:rsidRDefault="00847559" w:rsidP="00847559">
      <w:pPr>
        <w:tabs>
          <w:tab w:val="left" w:pos="4667"/>
        </w:tabs>
        <w:ind w:right="539"/>
      </w:pPr>
    </w:p>
    <w:p w:rsidR="00847559" w:rsidRPr="00847559" w:rsidRDefault="00847559" w:rsidP="00847559">
      <w:pPr>
        <w:tabs>
          <w:tab w:val="left" w:pos="4667"/>
        </w:tabs>
        <w:ind w:right="539"/>
      </w:pPr>
    </w:p>
    <w:p w:rsidR="00473105" w:rsidRPr="00847559" w:rsidRDefault="00D45B19" w:rsidP="00847559">
      <w:pPr>
        <w:ind w:right="-28"/>
        <w:rPr>
          <w:b/>
        </w:rPr>
      </w:pPr>
      <w:r w:rsidRPr="00847559">
        <w:rPr>
          <w:b/>
        </w:rPr>
        <w:lastRenderedPageBreak/>
        <w:t>Recurso de Revisión: 00272/INFOEM/IP/RR/2025</w:t>
      </w:r>
    </w:p>
    <w:p w:rsidR="00473105" w:rsidRPr="00847559" w:rsidRDefault="00473105" w:rsidP="00847559">
      <w:pPr>
        <w:ind w:right="-28"/>
      </w:pPr>
    </w:p>
    <w:p w:rsidR="00473105" w:rsidRPr="00847559" w:rsidRDefault="00D45B19" w:rsidP="00847559">
      <w:pPr>
        <w:tabs>
          <w:tab w:val="left" w:pos="4667"/>
        </w:tabs>
        <w:ind w:left="567" w:right="539"/>
        <w:rPr>
          <w:b/>
        </w:rPr>
      </w:pPr>
      <w:r w:rsidRPr="00847559">
        <w:rPr>
          <w:b/>
        </w:rPr>
        <w:t>ACTO IMPUGNADO</w:t>
      </w:r>
      <w:r w:rsidRPr="00847559">
        <w:rPr>
          <w:b/>
        </w:rPr>
        <w:tab/>
      </w:r>
    </w:p>
    <w:p w:rsidR="00473105" w:rsidRPr="00847559" w:rsidRDefault="00D45B19" w:rsidP="00847559">
      <w:pPr>
        <w:pStyle w:val="Puesto"/>
        <w:ind w:left="851" w:right="822"/>
      </w:pPr>
      <w:r w:rsidRPr="00847559">
        <w:t>“La información que proveen son links, sin embargo la nueva administración debe entregar la información escaneada/digitalizada por este medio (SAIMEX), información que ha sido validada y aceptada en la entrega - recepción de la administración saliente versus la administración entrante.”</w:t>
      </w:r>
    </w:p>
    <w:p w:rsidR="00473105" w:rsidRPr="00847559" w:rsidRDefault="00473105" w:rsidP="00847559">
      <w:pPr>
        <w:tabs>
          <w:tab w:val="left" w:pos="4667"/>
        </w:tabs>
        <w:ind w:left="567" w:right="539"/>
        <w:rPr>
          <w:i/>
        </w:rPr>
      </w:pPr>
    </w:p>
    <w:p w:rsidR="00473105" w:rsidRPr="00847559" w:rsidRDefault="00D45B19" w:rsidP="00847559">
      <w:pPr>
        <w:tabs>
          <w:tab w:val="left" w:pos="4667"/>
        </w:tabs>
        <w:ind w:left="567" w:right="539"/>
        <w:rPr>
          <w:b/>
        </w:rPr>
      </w:pPr>
      <w:r w:rsidRPr="00847559">
        <w:rPr>
          <w:b/>
        </w:rPr>
        <w:t>RAZONES O MOTIVOS DE LA INCONFORMIDAD</w:t>
      </w:r>
      <w:r w:rsidRPr="00847559">
        <w:rPr>
          <w:b/>
        </w:rPr>
        <w:tab/>
      </w:r>
    </w:p>
    <w:p w:rsidR="00473105" w:rsidRPr="00847559" w:rsidRDefault="00473105" w:rsidP="00847559">
      <w:pPr>
        <w:pBdr>
          <w:top w:val="nil"/>
          <w:left w:val="nil"/>
          <w:bottom w:val="nil"/>
          <w:right w:val="nil"/>
          <w:between w:val="nil"/>
        </w:pBdr>
        <w:spacing w:line="240" w:lineRule="auto"/>
        <w:ind w:left="567" w:right="567" w:firstLine="567"/>
        <w:rPr>
          <w:i/>
        </w:rPr>
      </w:pPr>
    </w:p>
    <w:p w:rsidR="00473105" w:rsidRPr="00847559" w:rsidRDefault="00D45B19" w:rsidP="00847559">
      <w:pPr>
        <w:pStyle w:val="Puesto"/>
        <w:ind w:left="851" w:right="822"/>
      </w:pPr>
      <w:r w:rsidRPr="00847559">
        <w:t>“La información que proveen son links, sin embargo la nueva administración debe entregar la información escaneada/digitalizada por este medio (SAIMEX), información que ha sido validada y aceptada en la entrega - recepción de la administración saliente versus la administración entrante..”</w:t>
      </w:r>
    </w:p>
    <w:p w:rsidR="00473105" w:rsidRPr="00847559" w:rsidRDefault="00473105" w:rsidP="00847559">
      <w:pPr>
        <w:tabs>
          <w:tab w:val="left" w:pos="4667"/>
        </w:tabs>
        <w:ind w:left="567" w:right="539"/>
        <w:rPr>
          <w:i/>
        </w:rPr>
      </w:pPr>
    </w:p>
    <w:p w:rsidR="00473105" w:rsidRPr="00847559" w:rsidRDefault="00D45B19" w:rsidP="00847559">
      <w:pPr>
        <w:ind w:right="-28"/>
        <w:rPr>
          <w:b/>
        </w:rPr>
      </w:pPr>
      <w:r w:rsidRPr="00847559">
        <w:rPr>
          <w:b/>
        </w:rPr>
        <w:t xml:space="preserve">Recurso de Revisión: 00274/INFOEM/IP/RR/2025 </w:t>
      </w:r>
    </w:p>
    <w:p w:rsidR="00473105" w:rsidRPr="00847559" w:rsidRDefault="00473105" w:rsidP="00847559">
      <w:pPr>
        <w:ind w:right="-28"/>
      </w:pPr>
    </w:p>
    <w:p w:rsidR="00473105" w:rsidRPr="00847559" w:rsidRDefault="00D45B19" w:rsidP="00847559">
      <w:pPr>
        <w:tabs>
          <w:tab w:val="left" w:pos="4667"/>
        </w:tabs>
        <w:ind w:left="567" w:right="539"/>
        <w:rPr>
          <w:b/>
        </w:rPr>
      </w:pPr>
      <w:r w:rsidRPr="00847559">
        <w:rPr>
          <w:b/>
        </w:rPr>
        <w:t>ACTO IMPUGNADO</w:t>
      </w:r>
      <w:r w:rsidRPr="00847559">
        <w:rPr>
          <w:b/>
        </w:rPr>
        <w:tab/>
      </w:r>
    </w:p>
    <w:p w:rsidR="00473105" w:rsidRPr="00847559" w:rsidRDefault="00D45B19" w:rsidP="00847559">
      <w:pPr>
        <w:pStyle w:val="Puesto"/>
        <w:ind w:left="851" w:right="822"/>
      </w:pPr>
      <w:r w:rsidRPr="00847559">
        <w:t>“Solicito informaciòn financiera, presupuesto que recibio Sinaí Lugo Vargas Presidenta de Otzolotepec, asì como deuda que recibio por parte de la administración saliente de la C.D Erika Sevilla Alvarado”</w:t>
      </w:r>
    </w:p>
    <w:p w:rsidR="00473105" w:rsidRPr="00847559" w:rsidRDefault="00473105" w:rsidP="00847559">
      <w:pPr>
        <w:tabs>
          <w:tab w:val="left" w:pos="4667"/>
        </w:tabs>
        <w:ind w:left="567" w:right="539"/>
        <w:rPr>
          <w:i/>
        </w:rPr>
      </w:pPr>
    </w:p>
    <w:p w:rsidR="00473105" w:rsidRPr="00847559" w:rsidRDefault="00D45B19" w:rsidP="00847559">
      <w:pPr>
        <w:tabs>
          <w:tab w:val="left" w:pos="4667"/>
        </w:tabs>
        <w:ind w:left="567" w:right="539"/>
        <w:rPr>
          <w:b/>
        </w:rPr>
      </w:pPr>
      <w:r w:rsidRPr="00847559">
        <w:rPr>
          <w:b/>
        </w:rPr>
        <w:t>RAZONES O MOTIVOS DE LA INCONFORMIDAD</w:t>
      </w:r>
      <w:r w:rsidRPr="00847559">
        <w:rPr>
          <w:b/>
        </w:rPr>
        <w:tab/>
      </w:r>
    </w:p>
    <w:p w:rsidR="00473105" w:rsidRPr="00847559" w:rsidRDefault="00D45B19" w:rsidP="00847559">
      <w:pPr>
        <w:pStyle w:val="Puesto"/>
        <w:ind w:left="851" w:right="822"/>
      </w:pPr>
      <w:r w:rsidRPr="00847559">
        <w:t>“Solicito informaciòn financiera, presupuesto que recibio Sinaí Lugo Vargas Presidenta de Otzolotepec, asì como deuda que recibio por parte de la administración saliente de la C.D Erika Sevilla Alvarado..”</w:t>
      </w:r>
    </w:p>
    <w:p w:rsidR="00473105" w:rsidRPr="00847559" w:rsidRDefault="00473105" w:rsidP="00847559">
      <w:pPr>
        <w:spacing w:line="240" w:lineRule="auto"/>
        <w:ind w:right="567"/>
        <w:rPr>
          <w:i/>
        </w:rPr>
      </w:pPr>
    </w:p>
    <w:p w:rsidR="00473105" w:rsidRPr="00847559" w:rsidRDefault="00D45B19" w:rsidP="00847559">
      <w:pPr>
        <w:pStyle w:val="Ttulo3"/>
      </w:pPr>
      <w:bookmarkStart w:id="12" w:name="_heading=h.qsh70q" w:colFirst="0" w:colLast="0"/>
      <w:bookmarkEnd w:id="12"/>
      <w:r w:rsidRPr="00847559">
        <w:t>b) Turno del Recurso de Revisión</w:t>
      </w:r>
    </w:p>
    <w:p w:rsidR="00473105" w:rsidRPr="00847559" w:rsidRDefault="00D45B19" w:rsidP="00847559">
      <w:r w:rsidRPr="00847559">
        <w:t>Con fundamento en el artículo 185, fracción I de la Ley de Transparencia y Acceso a la Información Pública del Estado de México y Municipios, el</w:t>
      </w:r>
      <w:r w:rsidRPr="00847559">
        <w:rPr>
          <w:b/>
        </w:rPr>
        <w:t xml:space="preserve"> veintiséis de enero de dos mil </w:t>
      </w:r>
      <w:r w:rsidRPr="00847559">
        <w:rPr>
          <w:b/>
        </w:rPr>
        <w:lastRenderedPageBreak/>
        <w:t xml:space="preserve">veinticinco </w:t>
      </w:r>
      <w:r w:rsidRPr="00847559">
        <w:t xml:space="preserve">se turnaron los recursos de revisión a través del </w:t>
      </w:r>
      <w:r w:rsidRPr="00847559">
        <w:rPr>
          <w:b/>
        </w:rPr>
        <w:t>SAIMEX</w:t>
      </w:r>
      <w:r w:rsidRPr="00847559">
        <w:t xml:space="preserve">, a los Comisionados de este Instituto, a efecto de decretar su admisión o desechamiento. </w:t>
      </w:r>
    </w:p>
    <w:p w:rsidR="00473105" w:rsidRPr="00847559" w:rsidRDefault="00473105" w:rsidP="00847559"/>
    <w:p w:rsidR="00473105" w:rsidRPr="00847559" w:rsidRDefault="00D45B19" w:rsidP="00847559">
      <w:pPr>
        <w:pStyle w:val="Ttulo3"/>
      </w:pPr>
      <w:bookmarkStart w:id="13" w:name="_heading=h.ihv636" w:colFirst="0" w:colLast="0"/>
      <w:bookmarkEnd w:id="13"/>
      <w:r w:rsidRPr="00847559">
        <w:t>c) Admisión del Recurso de Revisión</w:t>
      </w:r>
    </w:p>
    <w:p w:rsidR="00473105" w:rsidRPr="00847559" w:rsidRDefault="00D45B19" w:rsidP="00847559">
      <w:r w:rsidRPr="00847559">
        <w:t xml:space="preserve">En fechas </w:t>
      </w:r>
      <w:r w:rsidRPr="00847559">
        <w:rPr>
          <w:b/>
        </w:rPr>
        <w:t xml:space="preserve">veintinueve y treinta de enero de dos mil veinticinco </w:t>
      </w:r>
      <w:r w:rsidRPr="00847559">
        <w:t>se acordó la admisión a trámite de los Recursos de Revisión y se integraron los expedientes respectivos, mismos que se pusieron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rsidR="00473105" w:rsidRPr="00847559" w:rsidRDefault="00473105" w:rsidP="00847559"/>
    <w:p w:rsidR="00473105" w:rsidRPr="00847559" w:rsidRDefault="00D45B19" w:rsidP="00847559">
      <w:pPr>
        <w:pStyle w:val="Ttulo3"/>
      </w:pPr>
      <w:bookmarkStart w:id="14" w:name="_heading=h.32hioqz" w:colFirst="0" w:colLast="0"/>
      <w:bookmarkEnd w:id="14"/>
      <w:r w:rsidRPr="00847559">
        <w:t>d) Acumulación de los Recursos de Revisión</w:t>
      </w:r>
    </w:p>
    <w:p w:rsidR="00473105" w:rsidRPr="00847559" w:rsidRDefault="00D45B19" w:rsidP="00847559">
      <w:pPr>
        <w:ind w:left="-57"/>
        <w:rPr>
          <w:b/>
        </w:rPr>
      </w:pPr>
      <w:bookmarkStart w:id="15" w:name="_heading=h.lnxbz9" w:colFirst="0" w:colLast="0"/>
      <w:bookmarkEnd w:id="15"/>
      <w:r w:rsidRPr="00847559">
        <w:t xml:space="preserve">Por economía procesal y con la finalidad de evitar resoluciones contradictorias, en la </w:t>
      </w:r>
      <w:r w:rsidRPr="00847559">
        <w:rPr>
          <w:b/>
        </w:rPr>
        <w:t>Tercera Sesión Ordinaria</w:t>
      </w:r>
      <w:r w:rsidRPr="00847559">
        <w:t xml:space="preserve"> celebrada el </w:t>
      </w:r>
      <w:r w:rsidRPr="00847559">
        <w:rPr>
          <w:b/>
        </w:rPr>
        <w:t>veintinueve de enero de dos mil veinticinco</w:t>
      </w:r>
      <w:r w:rsidRPr="00847559">
        <w:t>, el Pleno de este Instituto determinó acumular los Recursos de Revisión</w:t>
      </w:r>
      <w:r w:rsidRPr="00847559">
        <w:rPr>
          <w:b/>
        </w:rPr>
        <w:t xml:space="preserve"> 00272/INFOEM/IP/RR/2025 y 00274/INFOEM/IP/RR/2025. </w:t>
      </w:r>
      <w:bookmarkStart w:id="16" w:name="_heading=h.uxftvekmwbzc" w:colFirst="0" w:colLast="0"/>
      <w:bookmarkEnd w:id="16"/>
    </w:p>
    <w:p w:rsidR="008E3054" w:rsidRPr="00847559" w:rsidRDefault="008E3054" w:rsidP="00847559">
      <w:pPr>
        <w:ind w:left="-57"/>
        <w:rPr>
          <w:b/>
        </w:rPr>
      </w:pPr>
    </w:p>
    <w:p w:rsidR="00473105" w:rsidRPr="00847559" w:rsidRDefault="00D45B19" w:rsidP="00847559">
      <w:pPr>
        <w:pStyle w:val="Ttulo3"/>
      </w:pPr>
      <w:bookmarkStart w:id="17" w:name="_heading=h.2grqrue" w:colFirst="0" w:colLast="0"/>
      <w:bookmarkEnd w:id="17"/>
      <w:r w:rsidRPr="00847559">
        <w:t>e) Informe Justificado del Sujeto Obligado</w:t>
      </w:r>
    </w:p>
    <w:p w:rsidR="00473105" w:rsidRPr="00847559" w:rsidRDefault="00D45B19" w:rsidP="00847559">
      <w:r w:rsidRPr="00847559">
        <w:t>Transcurrido el plazo para tal efecto</w:t>
      </w:r>
      <w:r w:rsidRPr="00847559">
        <w:rPr>
          <w:b/>
        </w:rPr>
        <w:t xml:space="preserve">, EL SUJETO OBLIGADO </w:t>
      </w:r>
      <w:r w:rsidRPr="00847559">
        <w:t xml:space="preserve">fue omiso en rendir sus informes justificados correspondientes. </w:t>
      </w:r>
      <w:bookmarkStart w:id="18" w:name="_heading=h.prvqjwy6uo6n" w:colFirst="0" w:colLast="0"/>
      <w:bookmarkEnd w:id="18"/>
    </w:p>
    <w:p w:rsidR="008E3054" w:rsidRPr="00847559" w:rsidRDefault="008E3054" w:rsidP="00847559"/>
    <w:p w:rsidR="00473105" w:rsidRPr="00847559" w:rsidRDefault="00D45B19" w:rsidP="00847559">
      <w:pPr>
        <w:pStyle w:val="Ttulo3"/>
      </w:pPr>
      <w:bookmarkStart w:id="19" w:name="_heading=h.1v1yuxt" w:colFirst="0" w:colLast="0"/>
      <w:bookmarkEnd w:id="19"/>
      <w:r w:rsidRPr="00847559">
        <w:t>f) Manifestaciones de la Parte Recurrente</w:t>
      </w:r>
    </w:p>
    <w:p w:rsidR="00473105" w:rsidRPr="00847559" w:rsidRDefault="00D45B19" w:rsidP="00847559">
      <w:r w:rsidRPr="00847559">
        <w:rPr>
          <w:b/>
        </w:rPr>
        <w:t xml:space="preserve">LA PARTE RECURRENTE </w:t>
      </w:r>
      <w:r w:rsidRPr="00847559">
        <w:t>no realizó manifestación alguna dentro del término legalmente concedido para tal efecto, ni presentó pruebas o alegatos.</w:t>
      </w:r>
    </w:p>
    <w:p w:rsidR="00473105" w:rsidRPr="00847559" w:rsidRDefault="00473105" w:rsidP="00847559"/>
    <w:p w:rsidR="00473105" w:rsidRPr="00847559" w:rsidRDefault="00D45B19" w:rsidP="00847559">
      <w:pPr>
        <w:pStyle w:val="Ttulo3"/>
      </w:pPr>
      <w:bookmarkStart w:id="20" w:name="_heading=h.4f1mdlm" w:colFirst="0" w:colLast="0"/>
      <w:bookmarkEnd w:id="20"/>
      <w:r w:rsidRPr="00847559">
        <w:lastRenderedPageBreak/>
        <w:t>g) Cierre de instrucción</w:t>
      </w:r>
    </w:p>
    <w:p w:rsidR="00473105" w:rsidRPr="00847559" w:rsidRDefault="00D45B19" w:rsidP="00847559">
      <w:bookmarkStart w:id="21" w:name="_heading=h.3j2qqm3" w:colFirst="0" w:colLast="0"/>
      <w:bookmarkEnd w:id="21"/>
      <w:r w:rsidRPr="00847559">
        <w:t xml:space="preserve">Al no existir diligencias pendientes por desahogar, el </w:t>
      </w:r>
      <w:r w:rsidRPr="00847559">
        <w:rPr>
          <w:b/>
        </w:rPr>
        <w:t xml:space="preserve">doce de febrero de dos mil </w:t>
      </w:r>
      <w:r w:rsidR="00847559" w:rsidRPr="00847559">
        <w:rPr>
          <w:b/>
        </w:rPr>
        <w:t xml:space="preserve">veinticinco </w:t>
      </w:r>
      <w:r w:rsidR="00847559" w:rsidRPr="00847559">
        <w:t>se</w:t>
      </w:r>
      <w:r w:rsidRPr="00847559">
        <w:t xml:space="preserve"> acordó el cierre de instrucción y la remisión de los expedientes a efecto de ser resueltos, de conformidad con lo establecido en el artículo 185 fracciones VI y VIII de la Ley de Transparencia y Acceso a la Información Pública del Estado de México y Municipios. Dicho acuerdo fue notificado a las partes el mismo día a través del SAIMEX.</w:t>
      </w:r>
    </w:p>
    <w:p w:rsidR="00473105" w:rsidRPr="00847559" w:rsidRDefault="00473105" w:rsidP="00847559">
      <w:bookmarkStart w:id="22" w:name="_heading=h.9hi2otjkckju" w:colFirst="0" w:colLast="0"/>
      <w:bookmarkEnd w:id="22"/>
    </w:p>
    <w:p w:rsidR="00473105" w:rsidRPr="00847559" w:rsidRDefault="00D45B19" w:rsidP="00847559">
      <w:pPr>
        <w:pStyle w:val="Ttulo1"/>
      </w:pPr>
      <w:bookmarkStart w:id="23" w:name="_heading=h.2u6wntf" w:colFirst="0" w:colLast="0"/>
      <w:bookmarkEnd w:id="23"/>
      <w:r w:rsidRPr="00847559">
        <w:t>CONSIDERANDOS</w:t>
      </w:r>
    </w:p>
    <w:p w:rsidR="00473105" w:rsidRPr="00847559" w:rsidRDefault="00473105" w:rsidP="00847559">
      <w:pPr>
        <w:jc w:val="center"/>
        <w:rPr>
          <w:b/>
        </w:rPr>
      </w:pPr>
    </w:p>
    <w:p w:rsidR="00473105" w:rsidRPr="00847559" w:rsidRDefault="00D45B19" w:rsidP="00847559">
      <w:pPr>
        <w:pStyle w:val="Ttulo2"/>
        <w:jc w:val="left"/>
      </w:pPr>
      <w:bookmarkStart w:id="24" w:name="_heading=h.19c6y18" w:colFirst="0" w:colLast="0"/>
      <w:bookmarkEnd w:id="24"/>
      <w:r w:rsidRPr="00847559">
        <w:t>PRIMERO. Procedibilidad</w:t>
      </w:r>
    </w:p>
    <w:p w:rsidR="00473105" w:rsidRPr="00847559" w:rsidRDefault="00D45B19" w:rsidP="00847559">
      <w:pPr>
        <w:pStyle w:val="Ttulo3"/>
      </w:pPr>
      <w:bookmarkStart w:id="25" w:name="_heading=h.3tbugp1" w:colFirst="0" w:colLast="0"/>
      <w:bookmarkEnd w:id="25"/>
      <w:r w:rsidRPr="00847559">
        <w:t>a) Competencia del Instituto</w:t>
      </w:r>
    </w:p>
    <w:p w:rsidR="00473105" w:rsidRPr="00847559" w:rsidRDefault="00D45B19" w:rsidP="00847559">
      <w:r w:rsidRPr="00847559">
        <w:t>Este Instituto de Transparencia, Acceso a la Información Pública y Protección de Datos Personales del Estado de México y Municipios es competente para conocer y resolver los presentes Recursos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473105" w:rsidRPr="00847559" w:rsidRDefault="00473105" w:rsidP="00847559"/>
    <w:p w:rsidR="00473105" w:rsidRPr="00847559" w:rsidRDefault="00D45B19" w:rsidP="00847559">
      <w:pPr>
        <w:pStyle w:val="Ttulo3"/>
      </w:pPr>
      <w:bookmarkStart w:id="26" w:name="_heading=h.28h4qwu" w:colFirst="0" w:colLast="0"/>
      <w:bookmarkEnd w:id="26"/>
      <w:r w:rsidRPr="00847559">
        <w:lastRenderedPageBreak/>
        <w:t>b) Legitimidad de la parte recurrente</w:t>
      </w:r>
    </w:p>
    <w:p w:rsidR="00473105" w:rsidRPr="00847559" w:rsidRDefault="00D45B19" w:rsidP="00847559">
      <w:r w:rsidRPr="00847559">
        <w:t>Los recursos de revisión fueron interpuestos por parte legítima, ya que se presentaron por la misma persona que formuló las solicitudes de acceso a la Información Pública,</w:t>
      </w:r>
      <w:r w:rsidRPr="00847559">
        <w:rPr>
          <w:b/>
        </w:rPr>
        <w:t xml:space="preserve"> </w:t>
      </w:r>
      <w:r w:rsidRPr="00847559">
        <w:t>debido a que los datos de acceso</w:t>
      </w:r>
      <w:r w:rsidRPr="00847559">
        <w:rPr>
          <w:b/>
        </w:rPr>
        <w:t xml:space="preserve"> </w:t>
      </w:r>
      <w:r w:rsidRPr="00847559">
        <w:t>SAIMEX son personales e irrepetibles.</w:t>
      </w:r>
    </w:p>
    <w:p w:rsidR="00473105" w:rsidRPr="00847559" w:rsidRDefault="00473105" w:rsidP="00847559"/>
    <w:p w:rsidR="00473105" w:rsidRPr="00847559" w:rsidRDefault="00D45B19" w:rsidP="00847559">
      <w:pPr>
        <w:pStyle w:val="Ttulo3"/>
      </w:pPr>
      <w:bookmarkStart w:id="27" w:name="_heading=h.nmf14n" w:colFirst="0" w:colLast="0"/>
      <w:bookmarkEnd w:id="27"/>
      <w:r w:rsidRPr="00847559">
        <w:t>c) Plazo para interponer el recurso</w:t>
      </w:r>
    </w:p>
    <w:p w:rsidR="00473105" w:rsidRPr="00847559" w:rsidRDefault="00D45B19" w:rsidP="00847559">
      <w:bookmarkStart w:id="28" w:name="_heading=h.2bn6wsx" w:colFirst="0" w:colLast="0"/>
      <w:bookmarkEnd w:id="28"/>
      <w:r w:rsidRPr="00847559">
        <w:rPr>
          <w:b/>
        </w:rPr>
        <w:t>EL SUJETO OBLIGADO</w:t>
      </w:r>
      <w:r w:rsidRPr="00847559">
        <w:t xml:space="preserve"> notificó las respuestas a las solicitudes de acceso a la Información Pública </w:t>
      </w:r>
      <w:r w:rsidRPr="00847559">
        <w:rPr>
          <w:b/>
        </w:rPr>
        <w:t xml:space="preserve">el veintitrés de enero de dos mil veinticinco, </w:t>
      </w:r>
      <w:r w:rsidRPr="00847559">
        <w:t xml:space="preserve">y los recursos que nos ocupan se interpusieron el </w:t>
      </w:r>
      <w:r w:rsidRPr="00847559">
        <w:rPr>
          <w:b/>
        </w:rPr>
        <w:t>veintiséis de enero de dos mil veinticinco de dos mil veinticinco</w:t>
      </w:r>
      <w:r w:rsidRPr="00847559">
        <w:t>; por lo tanto, éstos se encuentran dentro del margen temporal previsto en el artículo 178 de la Ley de Transparencia y Acceso a la Información Pública del Estado de México y Municipios, el cual transcurrió del</w:t>
      </w:r>
      <w:r w:rsidRPr="00847559">
        <w:rPr>
          <w:b/>
        </w:rPr>
        <w:t xml:space="preserve"> veinticuatro de enero al catorce de febrero de dos mil veinticinco</w:t>
      </w:r>
      <w:r w:rsidRPr="00847559">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rsidR="00473105" w:rsidRPr="00847559" w:rsidRDefault="00473105" w:rsidP="00847559"/>
    <w:p w:rsidR="00473105" w:rsidRPr="00847559" w:rsidRDefault="00D45B19" w:rsidP="00847559">
      <w:pPr>
        <w:pStyle w:val="Ttulo3"/>
      </w:pPr>
      <w:bookmarkStart w:id="29" w:name="_heading=h.37m2jsg" w:colFirst="0" w:colLast="0"/>
      <w:bookmarkEnd w:id="29"/>
      <w:r w:rsidRPr="00847559">
        <w:t xml:space="preserve">d) Causal de procedencia </w:t>
      </w:r>
    </w:p>
    <w:p w:rsidR="00473105" w:rsidRPr="00847559" w:rsidRDefault="00D45B19" w:rsidP="00847559">
      <w:r w:rsidRPr="00847559">
        <w:t>Resulta procedente la interposición de los recursos de revisión, ya que se actualiza la causal de procedencia señalada en el artículo 179, fracción IX  de la Ley de Transparencia y Acceso a la Información Pública del Estado de México y Municipios.</w:t>
      </w:r>
    </w:p>
    <w:p w:rsidR="00473105" w:rsidRPr="00847559" w:rsidRDefault="00473105" w:rsidP="00847559"/>
    <w:p w:rsidR="00473105" w:rsidRPr="00847559" w:rsidRDefault="00D45B19" w:rsidP="00847559">
      <w:pPr>
        <w:pStyle w:val="Ttulo3"/>
      </w:pPr>
      <w:bookmarkStart w:id="30" w:name="_heading=h.1mrcu09" w:colFirst="0" w:colLast="0"/>
      <w:bookmarkEnd w:id="30"/>
      <w:r w:rsidRPr="00847559">
        <w:t>e) Requisitos formales para la interposición del recurso</w:t>
      </w:r>
    </w:p>
    <w:p w:rsidR="00473105" w:rsidRPr="00847559" w:rsidRDefault="00D45B19" w:rsidP="00847559">
      <w:r w:rsidRPr="00847559">
        <w:t xml:space="preserve">Es importante mencionar que, de la revisión de los expedientes electrónicos del </w:t>
      </w:r>
      <w:r w:rsidRPr="00847559">
        <w:rPr>
          <w:b/>
        </w:rPr>
        <w:t>SAIMEX</w:t>
      </w:r>
      <w:r w:rsidRPr="00847559">
        <w:t xml:space="preserve">, se observa que </w:t>
      </w:r>
      <w:r w:rsidRPr="00847559">
        <w:rPr>
          <w:b/>
        </w:rPr>
        <w:t>LA PARTE RECURRENTE</w:t>
      </w:r>
      <w:r w:rsidRPr="00847559">
        <w:t xml:space="preserve"> no proporcionó su nombre para ser identificado, lo </w:t>
      </w:r>
      <w:r w:rsidRPr="00847559">
        <w:lastRenderedPageBreak/>
        <w:t xml:space="preserve">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847559">
        <w:rPr>
          <w:b/>
          <w:u w:val="single"/>
        </w:rPr>
        <w:t>el nombre no es un requisito indispensable</w:t>
      </w:r>
      <w:r w:rsidRPr="00847559">
        <w:t xml:space="preserve"> para que las y los ciudadanos ejerzan el derecho de acceso a la información pública. </w:t>
      </w:r>
    </w:p>
    <w:p w:rsidR="00473105" w:rsidRPr="00847559" w:rsidRDefault="00473105" w:rsidP="00847559"/>
    <w:p w:rsidR="00473105" w:rsidRPr="00847559" w:rsidRDefault="00D45B19" w:rsidP="00847559">
      <w:r w:rsidRPr="00847559">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847559">
        <w:rPr>
          <w:b/>
        </w:rPr>
        <w:t>LA PARTE RECURRENTE;</w:t>
      </w:r>
      <w:r w:rsidRPr="00847559">
        <w:t xml:space="preserve"> por lo que, en el presente caso, al haber sido presentado el recurso de revisión vía SAIMEX, dicho requisito resulta innecesario.</w:t>
      </w:r>
    </w:p>
    <w:p w:rsidR="00473105" w:rsidRPr="00847559" w:rsidRDefault="00473105" w:rsidP="00847559"/>
    <w:p w:rsidR="00473105" w:rsidRPr="00847559" w:rsidRDefault="00D45B19" w:rsidP="00847559">
      <w:pPr>
        <w:pStyle w:val="Ttulo3"/>
      </w:pPr>
      <w:bookmarkStart w:id="31" w:name="_heading=h.46r0co2" w:colFirst="0" w:colLast="0"/>
      <w:bookmarkEnd w:id="31"/>
      <w:r w:rsidRPr="00847559">
        <w:t>f) Acumulación de los Recursos de Revisión</w:t>
      </w:r>
    </w:p>
    <w:p w:rsidR="00473105" w:rsidRPr="00847559" w:rsidRDefault="00D45B19" w:rsidP="00847559">
      <w:r w:rsidRPr="00847559">
        <w:t xml:space="preserve">De las constancias que obran en los expedientes acumulados, se advierte que los recursos de revisión </w:t>
      </w:r>
      <w:r w:rsidRPr="00847559">
        <w:rPr>
          <w:b/>
        </w:rPr>
        <w:t xml:space="preserve">00272/INFOEM/IP/RR/2025 y 00274/INFOEM/IP/RR/2025 </w:t>
      </w:r>
      <w:r w:rsidRPr="00847559">
        <w:t xml:space="preserve">fueron presentados por la misma </w:t>
      </w:r>
      <w:r w:rsidRPr="00847559">
        <w:rPr>
          <w:b/>
        </w:rPr>
        <w:t>PARTE RECURRENTE</w:t>
      </w:r>
      <w:r w:rsidRPr="00847559">
        <w:t xml:space="preserve"> respecto de actos u omisiones similares, realizados por el mismo </w:t>
      </w:r>
      <w:r w:rsidRPr="00847559">
        <w:rPr>
          <w:b/>
        </w:rPr>
        <w:t>SUJETO OBLIGADO</w:t>
      </w:r>
      <w:r w:rsidRPr="00847559">
        <w:t>, razón por la cual, con la finalidad de evitar la emisión de resoluciones contradictorias,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rsidR="00473105" w:rsidRPr="00847559" w:rsidRDefault="00473105" w:rsidP="00847559">
      <w:pPr>
        <w:ind w:left="-57"/>
      </w:pPr>
    </w:p>
    <w:p w:rsidR="00473105" w:rsidRPr="00847559" w:rsidRDefault="00D45B19" w:rsidP="00847559">
      <w:pPr>
        <w:pStyle w:val="Ttulo2"/>
      </w:pPr>
      <w:bookmarkStart w:id="32" w:name="_heading=h.2lwamvv" w:colFirst="0" w:colLast="0"/>
      <w:bookmarkEnd w:id="32"/>
      <w:r w:rsidRPr="00847559">
        <w:lastRenderedPageBreak/>
        <w:t>SEGUNDO. Estudio de Fondo</w:t>
      </w:r>
    </w:p>
    <w:p w:rsidR="00473105" w:rsidRPr="00847559" w:rsidRDefault="00D45B19" w:rsidP="00847559">
      <w:pPr>
        <w:pStyle w:val="Ttulo3"/>
      </w:pPr>
      <w:bookmarkStart w:id="33" w:name="_heading=h.111kx3o" w:colFirst="0" w:colLast="0"/>
      <w:bookmarkEnd w:id="33"/>
      <w:r w:rsidRPr="00847559">
        <w:t>a) Mandato de transparencia y responsabilidad del Sujeto Obligado</w:t>
      </w:r>
    </w:p>
    <w:p w:rsidR="00473105" w:rsidRPr="00847559" w:rsidRDefault="00D45B19" w:rsidP="00847559">
      <w:r w:rsidRPr="00847559">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473105" w:rsidRPr="00847559" w:rsidRDefault="00473105" w:rsidP="00847559"/>
    <w:p w:rsidR="00473105" w:rsidRPr="00847559" w:rsidRDefault="00D45B19" w:rsidP="00847559">
      <w:pPr>
        <w:spacing w:line="240" w:lineRule="auto"/>
        <w:ind w:left="850" w:right="824"/>
        <w:rPr>
          <w:b/>
          <w:i/>
        </w:rPr>
      </w:pPr>
      <w:r w:rsidRPr="00847559">
        <w:rPr>
          <w:b/>
          <w:i/>
        </w:rPr>
        <w:t>Constitución Política de los Estados Unidos Mexicanos</w:t>
      </w:r>
    </w:p>
    <w:p w:rsidR="00473105" w:rsidRPr="00847559" w:rsidRDefault="00D45B19" w:rsidP="00847559">
      <w:pPr>
        <w:spacing w:line="240" w:lineRule="auto"/>
        <w:ind w:left="850" w:right="824"/>
        <w:rPr>
          <w:b/>
          <w:i/>
        </w:rPr>
      </w:pPr>
      <w:r w:rsidRPr="00847559">
        <w:rPr>
          <w:b/>
          <w:i/>
        </w:rPr>
        <w:t>“Artículo 6.</w:t>
      </w:r>
    </w:p>
    <w:p w:rsidR="00473105" w:rsidRPr="00847559" w:rsidRDefault="00D45B19" w:rsidP="00847559">
      <w:pPr>
        <w:spacing w:line="240" w:lineRule="auto"/>
        <w:ind w:left="850" w:right="824"/>
        <w:rPr>
          <w:i/>
        </w:rPr>
      </w:pPr>
      <w:r w:rsidRPr="00847559">
        <w:rPr>
          <w:i/>
        </w:rPr>
        <w:t>(…)</w:t>
      </w:r>
    </w:p>
    <w:p w:rsidR="00473105" w:rsidRPr="00847559" w:rsidRDefault="00D45B19" w:rsidP="00847559">
      <w:pPr>
        <w:spacing w:line="240" w:lineRule="auto"/>
        <w:ind w:left="850" w:right="824"/>
        <w:rPr>
          <w:i/>
        </w:rPr>
      </w:pPr>
      <w:r w:rsidRPr="00847559">
        <w:rPr>
          <w:i/>
        </w:rPr>
        <w:t>Para efectos de lo dispuesto en el presente artículo se observará lo siguiente:</w:t>
      </w:r>
    </w:p>
    <w:p w:rsidR="00473105" w:rsidRPr="00847559" w:rsidRDefault="00D45B19" w:rsidP="00847559">
      <w:pPr>
        <w:spacing w:line="240" w:lineRule="auto"/>
        <w:ind w:left="850" w:right="824"/>
        <w:rPr>
          <w:b/>
          <w:i/>
        </w:rPr>
      </w:pPr>
      <w:r w:rsidRPr="00847559">
        <w:rPr>
          <w:b/>
          <w:i/>
        </w:rPr>
        <w:t>A</w:t>
      </w:r>
      <w:r w:rsidRPr="00847559">
        <w:rPr>
          <w:i/>
        </w:rPr>
        <w:t xml:space="preserve">. </w:t>
      </w:r>
      <w:r w:rsidRPr="00847559">
        <w:rPr>
          <w:b/>
          <w:i/>
        </w:rPr>
        <w:t>Para el ejercicio del derecho de acceso a la información</w:t>
      </w:r>
      <w:r w:rsidRPr="00847559">
        <w:rPr>
          <w:i/>
        </w:rPr>
        <w:t xml:space="preserve">, la Federación y </w:t>
      </w:r>
      <w:r w:rsidRPr="00847559">
        <w:rPr>
          <w:b/>
          <w:i/>
        </w:rPr>
        <w:t>las entidades federativas, en el ámbito de sus respectivas competencias, se regirán por los siguientes principios y bases:</w:t>
      </w:r>
    </w:p>
    <w:p w:rsidR="00473105" w:rsidRPr="00847559" w:rsidRDefault="00D45B19" w:rsidP="00847559">
      <w:pPr>
        <w:spacing w:line="240" w:lineRule="auto"/>
        <w:ind w:left="850" w:right="824"/>
        <w:rPr>
          <w:i/>
        </w:rPr>
      </w:pPr>
      <w:r w:rsidRPr="00847559">
        <w:rPr>
          <w:b/>
          <w:i/>
        </w:rPr>
        <w:t xml:space="preserve">I. </w:t>
      </w:r>
      <w:r w:rsidRPr="00847559">
        <w:rPr>
          <w:b/>
          <w:i/>
        </w:rPr>
        <w:tab/>
        <w:t>Toda la información en posesión de cualquier</w:t>
      </w:r>
      <w:r w:rsidRPr="00847559">
        <w:rPr>
          <w:i/>
        </w:rPr>
        <w:t xml:space="preserve"> </w:t>
      </w:r>
      <w:r w:rsidRPr="00847559">
        <w:rPr>
          <w:b/>
          <w:i/>
        </w:rPr>
        <w:t>autoridad</w:t>
      </w:r>
      <w:r w:rsidRPr="00847559">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47559">
        <w:rPr>
          <w:b/>
          <w:i/>
        </w:rPr>
        <w:t>municipal</w:t>
      </w:r>
      <w:r w:rsidRPr="00847559">
        <w:rPr>
          <w:i/>
        </w:rPr>
        <w:t xml:space="preserve">, </w:t>
      </w:r>
      <w:r w:rsidRPr="00847559">
        <w:rPr>
          <w:b/>
          <w:i/>
        </w:rPr>
        <w:t>es pública</w:t>
      </w:r>
      <w:r w:rsidRPr="00847559">
        <w:rPr>
          <w:i/>
        </w:rPr>
        <w:t xml:space="preserve"> y sólo podrá ser reservada temporalmente por razones de interés público y seguridad nacional, en los términos que fijen las leyes. </w:t>
      </w:r>
      <w:r w:rsidRPr="00847559">
        <w:rPr>
          <w:b/>
          <w:i/>
        </w:rPr>
        <w:t>En la interpretación de este derecho deberá prevalecer el principio de máxima publicidad. Los sujetos obligados deberán documentar todo acto que derive del ejercicio de sus facultades, competencias o funciones</w:t>
      </w:r>
      <w:r w:rsidRPr="00847559">
        <w:rPr>
          <w:i/>
        </w:rPr>
        <w:t>, la ley determinará los supuestos específicos bajo los cuales procederá la declaración de inexistencia de la información.”</w:t>
      </w:r>
    </w:p>
    <w:p w:rsidR="00473105" w:rsidRPr="00847559" w:rsidRDefault="00473105" w:rsidP="00847559">
      <w:pPr>
        <w:spacing w:line="240" w:lineRule="auto"/>
        <w:ind w:left="850" w:right="824"/>
        <w:rPr>
          <w:b/>
          <w:i/>
        </w:rPr>
      </w:pPr>
    </w:p>
    <w:p w:rsidR="00473105" w:rsidRPr="00847559" w:rsidRDefault="00D45B19" w:rsidP="00847559">
      <w:pPr>
        <w:spacing w:line="240" w:lineRule="auto"/>
        <w:ind w:left="850" w:right="824"/>
        <w:rPr>
          <w:b/>
          <w:i/>
        </w:rPr>
      </w:pPr>
      <w:r w:rsidRPr="00847559">
        <w:rPr>
          <w:b/>
          <w:i/>
        </w:rPr>
        <w:t>Constitución Política del Estado Libre y Soberano de México</w:t>
      </w:r>
    </w:p>
    <w:p w:rsidR="00473105" w:rsidRPr="00847559" w:rsidRDefault="00D45B19" w:rsidP="00847559">
      <w:pPr>
        <w:spacing w:line="240" w:lineRule="auto"/>
        <w:ind w:left="850" w:right="824"/>
        <w:rPr>
          <w:i/>
        </w:rPr>
      </w:pPr>
      <w:r w:rsidRPr="00847559">
        <w:rPr>
          <w:b/>
          <w:i/>
        </w:rPr>
        <w:t>“Artículo 5</w:t>
      </w:r>
      <w:r w:rsidRPr="00847559">
        <w:rPr>
          <w:i/>
        </w:rPr>
        <w:t xml:space="preserve">.- </w:t>
      </w:r>
    </w:p>
    <w:p w:rsidR="00473105" w:rsidRPr="00847559" w:rsidRDefault="00D45B19" w:rsidP="00847559">
      <w:pPr>
        <w:spacing w:line="240" w:lineRule="auto"/>
        <w:ind w:left="850" w:right="824"/>
        <w:rPr>
          <w:i/>
        </w:rPr>
      </w:pPr>
      <w:r w:rsidRPr="00847559">
        <w:rPr>
          <w:i/>
        </w:rPr>
        <w:t>(…)</w:t>
      </w:r>
    </w:p>
    <w:p w:rsidR="00473105" w:rsidRPr="00847559" w:rsidRDefault="00D45B19" w:rsidP="00847559">
      <w:pPr>
        <w:spacing w:line="240" w:lineRule="auto"/>
        <w:ind w:left="850" w:right="824"/>
        <w:rPr>
          <w:i/>
        </w:rPr>
      </w:pPr>
      <w:r w:rsidRPr="00847559">
        <w:rPr>
          <w:b/>
          <w:i/>
        </w:rPr>
        <w:t>El derecho a la información será garantizado por el Estado. La ley establecerá las previsiones que permitan asegurar la protección, el respeto y la difusión de este derecho</w:t>
      </w:r>
      <w:r w:rsidRPr="00847559">
        <w:rPr>
          <w:i/>
        </w:rPr>
        <w:t>.</w:t>
      </w:r>
    </w:p>
    <w:p w:rsidR="00473105" w:rsidRPr="00847559" w:rsidRDefault="00D45B19" w:rsidP="00847559">
      <w:pPr>
        <w:spacing w:line="240" w:lineRule="auto"/>
        <w:ind w:left="850" w:right="824"/>
        <w:rPr>
          <w:i/>
        </w:rPr>
      </w:pPr>
      <w:r w:rsidRPr="00847559">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473105" w:rsidRPr="00847559" w:rsidRDefault="00D45B19" w:rsidP="00847559">
      <w:pPr>
        <w:spacing w:line="240" w:lineRule="auto"/>
        <w:ind w:left="850" w:right="824"/>
        <w:rPr>
          <w:i/>
        </w:rPr>
      </w:pPr>
      <w:r w:rsidRPr="00847559">
        <w:rPr>
          <w:b/>
          <w:i/>
        </w:rPr>
        <w:lastRenderedPageBreak/>
        <w:t>Este derecho se regirá por los principios y bases siguientes</w:t>
      </w:r>
      <w:r w:rsidRPr="00847559">
        <w:rPr>
          <w:i/>
        </w:rPr>
        <w:t>:</w:t>
      </w:r>
    </w:p>
    <w:p w:rsidR="00473105" w:rsidRPr="00847559" w:rsidRDefault="00D45B19" w:rsidP="00847559">
      <w:pPr>
        <w:spacing w:line="240" w:lineRule="auto"/>
        <w:ind w:left="850" w:right="824"/>
        <w:rPr>
          <w:i/>
        </w:rPr>
      </w:pPr>
      <w:r w:rsidRPr="00847559">
        <w:rPr>
          <w:b/>
          <w:i/>
        </w:rPr>
        <w:t>I. Toda la información en posesión de cualquier autoridad, entidad, órgano y organismos de los</w:t>
      </w:r>
      <w:r w:rsidRPr="00847559">
        <w:rPr>
          <w:i/>
        </w:rPr>
        <w:t xml:space="preserve"> Poderes Ejecutivo, Legislativo y Judicial, órganos autónomos, partidos políticos, fideicomisos y fondos públicos estatales y </w:t>
      </w:r>
      <w:r w:rsidRPr="00847559">
        <w:rPr>
          <w:b/>
          <w:i/>
        </w:rPr>
        <w:t>municipales</w:t>
      </w:r>
      <w:r w:rsidRPr="00847559">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47559">
        <w:rPr>
          <w:b/>
          <w:i/>
        </w:rPr>
        <w:t>es pública</w:t>
      </w:r>
      <w:r w:rsidRPr="00847559">
        <w:rPr>
          <w:i/>
        </w:rPr>
        <w:t xml:space="preserve"> y sólo podrá ser reservada temporalmente por razones previstas en la Constitución Política de los Estados Unidos Mexicanos de interés público y seguridad, en los términos que fijen las leyes. </w:t>
      </w:r>
      <w:r w:rsidRPr="00847559">
        <w:rPr>
          <w:b/>
          <w:i/>
        </w:rPr>
        <w:t>En la interpretación de este derecho deberá prevalecer el principio de máxima publicidad</w:t>
      </w:r>
      <w:r w:rsidRPr="00847559">
        <w:rPr>
          <w:i/>
        </w:rPr>
        <w:t xml:space="preserve">. </w:t>
      </w:r>
      <w:r w:rsidRPr="00847559">
        <w:rPr>
          <w:b/>
          <w:i/>
        </w:rPr>
        <w:t>Los sujetos obligados deberán documentar todo acto que derive del ejercicio de sus facultades, competencias o funciones</w:t>
      </w:r>
      <w:r w:rsidRPr="00847559">
        <w:rPr>
          <w:i/>
        </w:rPr>
        <w:t>, la ley determinará los supuestos específicos bajo los cuales procederá la declaración de inexistencia de la información.”</w:t>
      </w:r>
    </w:p>
    <w:p w:rsidR="00473105" w:rsidRPr="00847559" w:rsidRDefault="00473105" w:rsidP="00847559">
      <w:pPr>
        <w:rPr>
          <w:b/>
          <w:i/>
        </w:rPr>
      </w:pPr>
    </w:p>
    <w:p w:rsidR="00473105" w:rsidRPr="00847559" w:rsidRDefault="00D45B19" w:rsidP="00847559">
      <w:pPr>
        <w:rPr>
          <w:i/>
        </w:rPr>
      </w:pPr>
      <w:r w:rsidRPr="00847559">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847559">
        <w:rPr>
          <w:i/>
        </w:rPr>
        <w:t>por los principios de simplicidad, rapidez, gratuidad del procedimiento, auxilio y orientación a los particulares.</w:t>
      </w:r>
    </w:p>
    <w:p w:rsidR="00473105" w:rsidRPr="00847559" w:rsidRDefault="00473105" w:rsidP="00847559">
      <w:pPr>
        <w:rPr>
          <w:i/>
        </w:rPr>
      </w:pPr>
    </w:p>
    <w:p w:rsidR="00473105" w:rsidRPr="00847559" w:rsidRDefault="00D45B19" w:rsidP="00847559">
      <w:pPr>
        <w:rPr>
          <w:i/>
        </w:rPr>
      </w:pPr>
      <w:r w:rsidRPr="00847559">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473105" w:rsidRPr="00847559" w:rsidRDefault="00473105" w:rsidP="00847559"/>
    <w:p w:rsidR="00473105" w:rsidRPr="00847559" w:rsidRDefault="00D45B19" w:rsidP="00847559">
      <w:r w:rsidRPr="00847559">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rsidR="00473105" w:rsidRPr="00847559" w:rsidRDefault="00473105" w:rsidP="00847559"/>
    <w:p w:rsidR="00473105" w:rsidRPr="00847559" w:rsidRDefault="00D45B19" w:rsidP="00847559">
      <w:r w:rsidRPr="00847559">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rsidR="00473105" w:rsidRPr="00847559" w:rsidRDefault="00473105" w:rsidP="00847559"/>
    <w:p w:rsidR="00473105" w:rsidRPr="00847559" w:rsidRDefault="00D45B19" w:rsidP="00847559">
      <w:r w:rsidRPr="00847559">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473105" w:rsidRPr="00847559" w:rsidRDefault="00473105" w:rsidP="00847559"/>
    <w:p w:rsidR="00473105" w:rsidRPr="00847559" w:rsidRDefault="00D45B19" w:rsidP="00847559">
      <w:bookmarkStart w:id="34" w:name="_heading=h.147n2zr" w:colFirst="0" w:colLast="0"/>
      <w:bookmarkEnd w:id="34"/>
      <w:r w:rsidRPr="00847559">
        <w:t xml:space="preserve">Con base en lo anterior, se considera que </w:t>
      </w:r>
      <w:r w:rsidRPr="00847559">
        <w:rPr>
          <w:b/>
        </w:rPr>
        <w:t>EL</w:t>
      </w:r>
      <w:r w:rsidRPr="00847559">
        <w:t xml:space="preserve"> </w:t>
      </w:r>
      <w:r w:rsidRPr="00847559">
        <w:rPr>
          <w:b/>
        </w:rPr>
        <w:t>SUJETO OBLIGADO</w:t>
      </w:r>
      <w:r w:rsidRPr="00847559">
        <w:t xml:space="preserve"> se encontraba compelido a atender las solicitudes de acceso a la información realizadas por </w:t>
      </w:r>
      <w:r w:rsidRPr="00847559">
        <w:rPr>
          <w:b/>
        </w:rPr>
        <w:t>LA PARTE RECURRENTE</w:t>
      </w:r>
      <w:r w:rsidRPr="00847559">
        <w:t>.</w:t>
      </w:r>
    </w:p>
    <w:p w:rsidR="00473105" w:rsidRPr="00847559" w:rsidRDefault="00473105" w:rsidP="00847559"/>
    <w:p w:rsidR="00473105" w:rsidRPr="00847559" w:rsidRDefault="00D45B19" w:rsidP="00847559">
      <w:pPr>
        <w:pStyle w:val="Ttulo3"/>
      </w:pPr>
      <w:bookmarkStart w:id="35" w:name="_heading=h.3l18frh" w:colFirst="0" w:colLast="0"/>
      <w:bookmarkEnd w:id="35"/>
      <w:r w:rsidRPr="00847559">
        <w:t>b) Controversia a resolver</w:t>
      </w:r>
    </w:p>
    <w:p w:rsidR="00473105" w:rsidRPr="00847559" w:rsidRDefault="00D45B19" w:rsidP="00847559">
      <w:r w:rsidRPr="00847559">
        <w:t xml:space="preserve">Con el objeto de ilustrar la controversia planteada, resulta conveniente precisar que, una vez realizado el estudio de las constancias que integran los expedientes en que se actúa, se desprende que </w:t>
      </w:r>
      <w:r w:rsidRPr="00847559">
        <w:rPr>
          <w:b/>
        </w:rPr>
        <w:t>LA PARTE RECURRENTE</w:t>
      </w:r>
      <w:r w:rsidRPr="00847559">
        <w:t xml:space="preserve"> solicitó, lo siguiente:</w:t>
      </w:r>
    </w:p>
    <w:p w:rsidR="00473105" w:rsidRPr="00847559" w:rsidRDefault="00473105" w:rsidP="00847559"/>
    <w:p w:rsidR="00473105" w:rsidRPr="00847559" w:rsidRDefault="00D45B19" w:rsidP="00847559">
      <w:pPr>
        <w:numPr>
          <w:ilvl w:val="0"/>
          <w:numId w:val="3"/>
        </w:numPr>
        <w:pBdr>
          <w:top w:val="nil"/>
          <w:left w:val="nil"/>
          <w:bottom w:val="nil"/>
          <w:right w:val="nil"/>
          <w:between w:val="nil"/>
        </w:pBdr>
        <w:tabs>
          <w:tab w:val="left" w:pos="4962"/>
        </w:tabs>
      </w:pPr>
      <w:r w:rsidRPr="00847559">
        <w:t>Informe de la duda que dejó la administración 2021-2024</w:t>
      </w:r>
    </w:p>
    <w:p w:rsidR="00473105" w:rsidRPr="00847559" w:rsidRDefault="00D45B19" w:rsidP="00847559">
      <w:pPr>
        <w:numPr>
          <w:ilvl w:val="0"/>
          <w:numId w:val="3"/>
        </w:numPr>
        <w:pBdr>
          <w:top w:val="nil"/>
          <w:left w:val="nil"/>
          <w:bottom w:val="nil"/>
          <w:right w:val="nil"/>
          <w:between w:val="nil"/>
        </w:pBdr>
        <w:tabs>
          <w:tab w:val="left" w:pos="4962"/>
        </w:tabs>
      </w:pPr>
      <w:r w:rsidRPr="00847559">
        <w:t>Información financiera, presupuesto de la administración entrante.</w:t>
      </w:r>
    </w:p>
    <w:p w:rsidR="00473105" w:rsidRPr="00847559" w:rsidRDefault="00473105" w:rsidP="00847559">
      <w:pPr>
        <w:tabs>
          <w:tab w:val="left" w:pos="4962"/>
        </w:tabs>
      </w:pPr>
    </w:p>
    <w:p w:rsidR="00473105" w:rsidRPr="00847559" w:rsidRDefault="00D45B19" w:rsidP="00847559">
      <w:pPr>
        <w:tabs>
          <w:tab w:val="left" w:pos="4962"/>
        </w:tabs>
      </w:pPr>
      <w:r w:rsidRPr="00847559">
        <w:lastRenderedPageBreak/>
        <w:t xml:space="preserve">En respuesta, </w:t>
      </w:r>
      <w:r w:rsidRPr="00847559">
        <w:rPr>
          <w:b/>
        </w:rPr>
        <w:t>EL SUJETO OBLIGADO</w:t>
      </w:r>
      <w:r w:rsidRPr="00847559">
        <w:t xml:space="preserve"> se pronunció por conducto de la Tesorería Municipal, quien refirió que la información puede ser consultada en internet, indicando las ligas electrónicas para tal efecto. Motivo por el cual </w:t>
      </w:r>
      <w:r w:rsidRPr="00847559">
        <w:rPr>
          <w:b/>
        </w:rPr>
        <w:t>LA PARTE RECURRENTE</w:t>
      </w:r>
      <w:r w:rsidRPr="00847559">
        <w:t xml:space="preserve"> manifestó su inconformidad indicando que no le fue entregada la información en el formato requerido. </w:t>
      </w:r>
    </w:p>
    <w:p w:rsidR="00473105" w:rsidRPr="00847559" w:rsidRDefault="00473105" w:rsidP="00847559">
      <w:pPr>
        <w:tabs>
          <w:tab w:val="left" w:pos="4962"/>
        </w:tabs>
      </w:pPr>
    </w:p>
    <w:p w:rsidR="00473105" w:rsidRPr="00847559" w:rsidRDefault="00D45B19" w:rsidP="00847559">
      <w:pPr>
        <w:pStyle w:val="Ttulo3"/>
      </w:pPr>
      <w:bookmarkStart w:id="36" w:name="_heading=h.206ipza" w:colFirst="0" w:colLast="0"/>
      <w:bookmarkEnd w:id="36"/>
      <w:r w:rsidRPr="00847559">
        <w:t>c) Estudio de la controversia</w:t>
      </w:r>
    </w:p>
    <w:p w:rsidR="00473105" w:rsidRPr="00847559" w:rsidRDefault="00D45B19" w:rsidP="00847559">
      <w:pPr>
        <w:tabs>
          <w:tab w:val="left" w:pos="4962"/>
        </w:tabs>
      </w:pPr>
      <w:r w:rsidRPr="00847559">
        <w:t xml:space="preserve">Una vez delimitada la controversia a resolver, </w:t>
      </w:r>
      <w:r w:rsidR="00847559" w:rsidRPr="00847559">
        <w:t>conviene traer</w:t>
      </w:r>
      <w:r w:rsidRPr="00847559">
        <w:t xml:space="preserve"> a colación el artículo 125, párrafo octavo de la Constitución Política del Estado Libre y Soberano de México, que en su primer párrafo establece la facultad de los municipios de administrar libremente su </w:t>
      </w:r>
      <w:r w:rsidR="00847559" w:rsidRPr="00847559">
        <w:t>hacienda, así</w:t>
      </w:r>
      <w:r w:rsidRPr="00847559">
        <w:t xml:space="preserve"> como en su párrafo octavo y posteriores refiere la obligación de elaborar el presupuesto de egresos, como se observa a continuación. </w:t>
      </w:r>
    </w:p>
    <w:p w:rsidR="00473105" w:rsidRPr="00847559" w:rsidRDefault="00473105" w:rsidP="00847559">
      <w:pPr>
        <w:tabs>
          <w:tab w:val="left" w:pos="4962"/>
        </w:tabs>
        <w:rPr>
          <w:b/>
        </w:rPr>
      </w:pPr>
    </w:p>
    <w:p w:rsidR="00473105" w:rsidRPr="00847559" w:rsidRDefault="00D45B19" w:rsidP="00847559">
      <w:pPr>
        <w:pStyle w:val="Puesto"/>
        <w:ind w:left="851" w:right="822"/>
      </w:pPr>
      <w:r w:rsidRPr="00847559">
        <w:rPr>
          <w:b/>
        </w:rPr>
        <w:t>“Artículo 125.-</w:t>
      </w:r>
      <w:r w:rsidRPr="00847559">
        <w:t xml:space="preserve"> Los municipios administrarán libremente su hacienda, la cual se formará de los rendimientos de los bienes que les pertenezcan, así como de las contribuciones y otros ingresos que la ley establezca, y en todo caso:</w:t>
      </w:r>
    </w:p>
    <w:p w:rsidR="00473105" w:rsidRPr="00847559" w:rsidRDefault="00D45B19" w:rsidP="00847559">
      <w:pPr>
        <w:pStyle w:val="Puesto"/>
        <w:ind w:left="851" w:right="822"/>
      </w:pPr>
      <w:r w:rsidRPr="00847559">
        <w:t>(...)</w:t>
      </w:r>
    </w:p>
    <w:p w:rsidR="00473105" w:rsidRPr="00847559" w:rsidRDefault="00D45B19" w:rsidP="00847559">
      <w:pPr>
        <w:pStyle w:val="Puesto"/>
        <w:ind w:left="851" w:right="822"/>
      </w:pPr>
      <w:r w:rsidRPr="00847559">
        <w:t xml:space="preserve">Los Ayuntamientos podrán celebrar sesiones extraordinarias de cabildo cuando la Ley de ingresos aprobada por la Legislatura, implique adecuaciones a su Presupuesto de Egresos, asi como por la asignación de las participaciones y aportaciones federales y estatales. Estas sesiones tendrán como único objeto concordar con el Presupuesto de Egresos. </w:t>
      </w:r>
    </w:p>
    <w:p w:rsidR="00473105" w:rsidRPr="00847559" w:rsidRDefault="00D45B19" w:rsidP="00847559">
      <w:pPr>
        <w:pStyle w:val="Puesto"/>
        <w:ind w:left="851" w:right="822"/>
      </w:pPr>
      <w:r w:rsidRPr="00847559">
        <w:t>La Presidenta o el Presidente Municipal, promulgará y publicará el Presupuesto de Egresos Municipal, a más tardar el día 25 de febrero de cada año debiendo enviarlo al Órgano Superior de Fiscalización en la misma fecha. El Presupuesto deberá incluir los tabuladores desglosados de las remuneraciones que perciban las y los servidores públicos municipales, sujetándose a lo dispuesto en el artículo 147 de esta Constitución. Los recursos que integran la hacienda municipal serán ejercidos en forma directa por los ayuntamientos, o por quien ellos autoricen, conforme a la ley, bajo los principios de eficiencia, eficacia, economía, transparencia y honradez</w:t>
      </w:r>
    </w:p>
    <w:p w:rsidR="00473105" w:rsidRPr="00847559" w:rsidRDefault="00D45B19" w:rsidP="00847559">
      <w:pPr>
        <w:pStyle w:val="Puesto"/>
        <w:ind w:left="851" w:right="822"/>
      </w:pPr>
      <w:r w:rsidRPr="00847559">
        <w:t xml:space="preserve">El Presupuesto deberá incluir los tabuladores desglosados de las remuneraciones que perciban las y los servidores </w:t>
      </w:r>
      <w:r w:rsidRPr="00847559">
        <w:rPr>
          <w:rFonts w:eastAsia="Palatino Linotype" w:cs="Palatino Linotype"/>
        </w:rPr>
        <w:t xml:space="preserve">públicos municipales, sujetándose a lo dispuesto en el artículo 147 de esta Constitución. Los recursos que integran la hacienda municipal </w:t>
      </w:r>
      <w:r w:rsidRPr="00847559">
        <w:rPr>
          <w:rFonts w:eastAsia="Palatino Linotype" w:cs="Palatino Linotype"/>
        </w:rPr>
        <w:lastRenderedPageBreak/>
        <w:t>serán ejercidos en forma directa por</w:t>
      </w:r>
      <w:r w:rsidRPr="00847559">
        <w:t xml:space="preserve"> los ayuntamientos, o por quien ellos autoricen, conforme a la ley, bajo los principios de eficiencia, eficacia, economía, transparencia y honradez.“</w:t>
      </w:r>
    </w:p>
    <w:p w:rsidR="00473105" w:rsidRPr="00847559" w:rsidRDefault="00473105" w:rsidP="00847559">
      <w:pPr>
        <w:tabs>
          <w:tab w:val="left" w:pos="4962"/>
        </w:tabs>
        <w:ind w:left="851" w:right="822"/>
      </w:pPr>
    </w:p>
    <w:p w:rsidR="00473105" w:rsidRPr="00847559" w:rsidRDefault="00D45B19" w:rsidP="00847559">
      <w:pPr>
        <w:tabs>
          <w:tab w:val="left" w:pos="4962"/>
        </w:tabs>
      </w:pPr>
      <w:r w:rsidRPr="00847559">
        <w:t xml:space="preserve">Así, la Ley Orgánica Municipal del Estado de México en su artículo 99 refiere que el presidente municipal deberá presentar al ayuntamiento el presupuesto de egresos a más tardar el 20 de diciembre para su aprobación, como se observa a continuación: </w:t>
      </w:r>
    </w:p>
    <w:p w:rsidR="00473105" w:rsidRPr="00847559" w:rsidRDefault="00473105" w:rsidP="00847559">
      <w:pPr>
        <w:tabs>
          <w:tab w:val="left" w:pos="4962"/>
        </w:tabs>
      </w:pPr>
    </w:p>
    <w:p w:rsidR="00473105" w:rsidRPr="00847559" w:rsidRDefault="00D45B19" w:rsidP="00847559">
      <w:pPr>
        <w:pStyle w:val="Puesto"/>
        <w:ind w:left="851"/>
      </w:pPr>
      <w:r w:rsidRPr="00847559">
        <w:rPr>
          <w:b/>
        </w:rPr>
        <w:t>Artículo 99.-</w:t>
      </w:r>
      <w:r w:rsidRPr="00847559">
        <w:t xml:space="preserve"> El presidente municipal presentará anualmente al ayuntamiento a más tardar el 20 de diciembre, el proyecto de presupuesto de egresos, para su consideración y aprobación. </w:t>
      </w:r>
    </w:p>
    <w:p w:rsidR="00473105" w:rsidRPr="00847559" w:rsidRDefault="00473105" w:rsidP="00847559">
      <w:pPr>
        <w:tabs>
          <w:tab w:val="left" w:pos="4962"/>
        </w:tabs>
      </w:pPr>
    </w:p>
    <w:p w:rsidR="00473105" w:rsidRPr="00847559" w:rsidRDefault="00D45B19" w:rsidP="00847559">
      <w:pPr>
        <w:tabs>
          <w:tab w:val="left" w:pos="4962"/>
        </w:tabs>
      </w:pPr>
      <w:r w:rsidRPr="00847559">
        <w:t xml:space="preserve">Dicho presupuesto estará conformado por los programas que se ejecutarán, la estimación de ingresos y gastos y la situación de la deuda pública, como se advierte del contenido del artículo 101 que a la letra dispone lo siguiente: </w:t>
      </w:r>
    </w:p>
    <w:p w:rsidR="00473105" w:rsidRPr="00847559" w:rsidRDefault="00473105" w:rsidP="00847559">
      <w:pPr>
        <w:tabs>
          <w:tab w:val="left" w:pos="4962"/>
        </w:tabs>
      </w:pPr>
    </w:p>
    <w:p w:rsidR="00473105" w:rsidRPr="00847559" w:rsidRDefault="00D45B19" w:rsidP="00847559">
      <w:pPr>
        <w:pStyle w:val="Puesto"/>
        <w:ind w:left="851" w:right="822"/>
      </w:pPr>
      <w:r w:rsidRPr="00847559">
        <w:rPr>
          <w:b/>
        </w:rPr>
        <w:t xml:space="preserve">“Artículo 101.- </w:t>
      </w:r>
      <w:r w:rsidRPr="00847559">
        <w:t xml:space="preserve">El proyecto del presupuesto de egresos se integrará básicamente con: </w:t>
      </w:r>
    </w:p>
    <w:p w:rsidR="00473105" w:rsidRPr="00847559" w:rsidRDefault="00D45B19" w:rsidP="00847559">
      <w:pPr>
        <w:pStyle w:val="Puesto"/>
        <w:ind w:left="851" w:right="822"/>
      </w:pPr>
      <w:r w:rsidRPr="00847559">
        <w:t xml:space="preserve">I. Los programas en que se señalen objetivos, metas y unidades responsables para su ejecución, así como la valuación estimada del programa; </w:t>
      </w:r>
    </w:p>
    <w:p w:rsidR="00473105" w:rsidRPr="00847559" w:rsidRDefault="00D45B19" w:rsidP="00847559">
      <w:pPr>
        <w:pStyle w:val="Puesto"/>
        <w:ind w:left="851" w:right="822"/>
      </w:pPr>
      <w:r w:rsidRPr="00847559">
        <w:t>II. Estimación de los ingresos y gastos del ejercicio fiscal calendarizados;</w:t>
      </w:r>
    </w:p>
    <w:p w:rsidR="00473105" w:rsidRPr="00847559" w:rsidRDefault="00D45B19" w:rsidP="00847559">
      <w:pPr>
        <w:pStyle w:val="Puesto"/>
        <w:ind w:left="851" w:right="822"/>
      </w:pPr>
      <w:r w:rsidRPr="00847559">
        <w:t xml:space="preserve"> III. Situación de la deuda pública, incluyendo el contingente económico de los litigios laborales en los que el ayuntamiento forme parte.</w:t>
      </w:r>
    </w:p>
    <w:p w:rsidR="00473105" w:rsidRPr="00847559" w:rsidRDefault="00473105" w:rsidP="00847559">
      <w:pPr>
        <w:pStyle w:val="Puesto"/>
        <w:ind w:left="851" w:right="822"/>
      </w:pPr>
    </w:p>
    <w:p w:rsidR="00473105" w:rsidRPr="00847559" w:rsidRDefault="00D45B19" w:rsidP="00847559">
      <w:pPr>
        <w:pStyle w:val="Puesto"/>
        <w:ind w:left="851" w:right="822"/>
      </w:pPr>
      <w:r w:rsidRPr="00847559">
        <w:t>El proyecto de presupuesto de egresos deberá realizarse con base en los criterios de proporcionalidad y equidad, considerando las necesidades básicas de las localidades que integran al municipio.”</w:t>
      </w:r>
    </w:p>
    <w:p w:rsidR="00473105" w:rsidRPr="00847559" w:rsidRDefault="00473105" w:rsidP="00847559">
      <w:pPr>
        <w:tabs>
          <w:tab w:val="left" w:pos="4962"/>
        </w:tabs>
      </w:pPr>
    </w:p>
    <w:p w:rsidR="00473105" w:rsidRPr="00847559" w:rsidRDefault="00D45B19" w:rsidP="00847559">
      <w:pPr>
        <w:tabs>
          <w:tab w:val="left" w:pos="4962"/>
        </w:tabs>
      </w:pPr>
      <w:r w:rsidRPr="00847559">
        <w:t xml:space="preserve">Por su parte, el Código Financiero del Estado de México y Municipios en su artículo 285 define al Presupuesto de Egresos como el instrumento jurídico, de política económica y política de gasto, que aprueba el Cabildo, conforme a la propuesta que presenta la o el C. Presidente Municipal, en el cual se establece el ejercicio, control y evaluación del gasto público de las </w:t>
      </w:r>
      <w:r w:rsidRPr="00847559">
        <w:lastRenderedPageBreak/>
        <w:t>Dependencias Administrativas y Organismos Municipales Descentralizados, a través de los programas derivados del Plan de Desarrollo Municipal (PDM), durante el ejercicio fiscal correspondiente.</w:t>
      </w:r>
    </w:p>
    <w:p w:rsidR="00473105" w:rsidRPr="00847559" w:rsidRDefault="00473105" w:rsidP="00847559">
      <w:pPr>
        <w:tabs>
          <w:tab w:val="left" w:pos="4962"/>
        </w:tabs>
      </w:pPr>
    </w:p>
    <w:p w:rsidR="00473105" w:rsidRPr="00847559" w:rsidRDefault="00D45B19" w:rsidP="00847559">
      <w:pPr>
        <w:tabs>
          <w:tab w:val="left" w:pos="4962"/>
        </w:tabs>
      </w:pPr>
      <w:r w:rsidRPr="00847559">
        <w:t xml:space="preserve">El código en comento refiere la organización del proyecto del presupuesto de egresos, señalando que en el caso de los municipios se integrará con los recursos que se destinen al Ayuntamiento y organismos municipales, </w:t>
      </w:r>
      <w:r w:rsidR="008E3054" w:rsidRPr="00847559">
        <w:t>distribuyéndose</w:t>
      </w:r>
      <w:r w:rsidRPr="00847559">
        <w:t xml:space="preserve"> en capítulos, como se observa a continuación: </w:t>
      </w:r>
    </w:p>
    <w:p w:rsidR="00473105" w:rsidRPr="00847559" w:rsidRDefault="00473105" w:rsidP="00847559">
      <w:pPr>
        <w:tabs>
          <w:tab w:val="left" w:pos="4962"/>
        </w:tabs>
      </w:pPr>
    </w:p>
    <w:p w:rsidR="00473105" w:rsidRPr="00847559" w:rsidRDefault="00D45B19" w:rsidP="00847559">
      <w:pPr>
        <w:pStyle w:val="Puesto"/>
        <w:ind w:firstLine="567"/>
      </w:pPr>
      <w:r w:rsidRPr="00847559">
        <w:t>“</w:t>
      </w:r>
      <w:r w:rsidRPr="00847559">
        <w:rPr>
          <w:b/>
        </w:rPr>
        <w:t xml:space="preserve">Artículo 292.- </w:t>
      </w:r>
      <w:r w:rsidRPr="00847559">
        <w:t xml:space="preserve">El Proyecto de Presupuesto de Egresos del Gobierno del Estado de México deberá contribuir a un balance presupuestario sostenible en términos de la legislación en la materia, será elaborado atendiendo el modelo de Presupuesto Basado en Resultados y sujeto a la evaluación del desempeño de sus programas presupuestarios, y se integrará con los recursos que se destinen a los poderes Ejecutivo, Legislativo y Judicial, a los organismos autónomos y a los municipios. Para el caso de los Municipios, el Proyecto de Presupuesto se integrará con los recursos que se destinen al Ayuntamiento y a los organismos municipales. La distribución será conforme a lo siguiente: </w:t>
      </w:r>
    </w:p>
    <w:p w:rsidR="00473105" w:rsidRPr="00847559" w:rsidRDefault="00473105" w:rsidP="00847559">
      <w:pPr>
        <w:tabs>
          <w:tab w:val="left" w:pos="4962"/>
        </w:tabs>
        <w:ind w:left="850" w:right="824"/>
        <w:rPr>
          <w:i/>
        </w:rPr>
      </w:pPr>
    </w:p>
    <w:p w:rsidR="00473105" w:rsidRPr="00847559" w:rsidRDefault="00D45B19" w:rsidP="00847559">
      <w:pPr>
        <w:pStyle w:val="Puesto"/>
        <w:ind w:firstLine="567"/>
      </w:pPr>
      <w:r w:rsidRPr="00847559">
        <w:t xml:space="preserve">I. El gasto programable comprende los siguientes capítulos: </w:t>
      </w:r>
    </w:p>
    <w:p w:rsidR="00473105" w:rsidRPr="00847559" w:rsidRDefault="00D45B19" w:rsidP="00847559">
      <w:pPr>
        <w:pStyle w:val="Puesto"/>
        <w:ind w:firstLine="567"/>
      </w:pPr>
      <w:r w:rsidRPr="00847559">
        <w:t xml:space="preserve">a). 1000 Servicios Personales. </w:t>
      </w:r>
    </w:p>
    <w:p w:rsidR="00473105" w:rsidRPr="00847559" w:rsidRDefault="00D45B19" w:rsidP="00847559">
      <w:pPr>
        <w:pStyle w:val="Puesto"/>
        <w:ind w:firstLine="567"/>
      </w:pPr>
      <w:r w:rsidRPr="00847559">
        <w:t xml:space="preserve">b). 2000 Materiales y Suministros. </w:t>
      </w:r>
    </w:p>
    <w:p w:rsidR="00473105" w:rsidRPr="00847559" w:rsidRDefault="00D45B19" w:rsidP="00847559">
      <w:pPr>
        <w:pStyle w:val="Puesto"/>
        <w:ind w:firstLine="567"/>
      </w:pPr>
      <w:r w:rsidRPr="00847559">
        <w:t xml:space="preserve">c). 3000 Servicios Generales. </w:t>
      </w:r>
    </w:p>
    <w:p w:rsidR="00473105" w:rsidRPr="00847559" w:rsidRDefault="00D45B19" w:rsidP="00847559">
      <w:pPr>
        <w:pStyle w:val="Puesto"/>
        <w:ind w:firstLine="567"/>
      </w:pPr>
      <w:r w:rsidRPr="00847559">
        <w:t xml:space="preserve">d). 4000 Transferencias, Asignaciones, Subsidios y otras ayudas. </w:t>
      </w:r>
    </w:p>
    <w:p w:rsidR="00473105" w:rsidRPr="00847559" w:rsidRDefault="00D45B19" w:rsidP="00847559">
      <w:pPr>
        <w:pStyle w:val="Puesto"/>
        <w:ind w:firstLine="567"/>
      </w:pPr>
      <w:r w:rsidRPr="00847559">
        <w:t>e). 5000 Bienes Muebles, Inmuebles e Intangibles.</w:t>
      </w:r>
    </w:p>
    <w:p w:rsidR="00473105" w:rsidRPr="00847559" w:rsidRDefault="00D45B19" w:rsidP="00847559">
      <w:pPr>
        <w:pStyle w:val="Puesto"/>
        <w:ind w:firstLine="567"/>
      </w:pPr>
      <w:r w:rsidRPr="00847559">
        <w:t xml:space="preserve"> f). 6000 Inversión Pública. </w:t>
      </w:r>
    </w:p>
    <w:p w:rsidR="00473105" w:rsidRPr="00847559" w:rsidRDefault="00D45B19" w:rsidP="00847559">
      <w:pPr>
        <w:pStyle w:val="Puesto"/>
        <w:ind w:firstLine="567"/>
      </w:pPr>
      <w:r w:rsidRPr="00847559">
        <w:t xml:space="preserve">g). 7000 Inversiones Financieras y otras provisiones. </w:t>
      </w:r>
    </w:p>
    <w:p w:rsidR="00473105" w:rsidRPr="00847559" w:rsidRDefault="00473105" w:rsidP="00847559">
      <w:pPr>
        <w:pStyle w:val="Puesto"/>
        <w:ind w:firstLine="567"/>
      </w:pPr>
    </w:p>
    <w:p w:rsidR="00473105" w:rsidRPr="00847559" w:rsidRDefault="00D45B19" w:rsidP="00847559">
      <w:pPr>
        <w:pStyle w:val="Puesto"/>
        <w:ind w:firstLine="567"/>
      </w:pPr>
      <w:r w:rsidRPr="00847559">
        <w:t xml:space="preserve">II. El gasto no programable comprende los siguientes capítulos: </w:t>
      </w:r>
    </w:p>
    <w:p w:rsidR="00473105" w:rsidRPr="00847559" w:rsidRDefault="00D45B19" w:rsidP="00847559">
      <w:pPr>
        <w:pStyle w:val="Puesto"/>
        <w:ind w:firstLine="567"/>
      </w:pPr>
      <w:r w:rsidRPr="00847559">
        <w:t>a). 8000 Participaciones y Aportaciones.</w:t>
      </w:r>
    </w:p>
    <w:p w:rsidR="00473105" w:rsidRPr="00847559" w:rsidRDefault="00D45B19" w:rsidP="00847559">
      <w:pPr>
        <w:pStyle w:val="Puesto"/>
        <w:ind w:firstLine="567"/>
      </w:pPr>
      <w:r w:rsidRPr="00847559">
        <w:t xml:space="preserve"> b). 9000 Deuda Pública. “</w:t>
      </w:r>
    </w:p>
    <w:p w:rsidR="00473105" w:rsidRPr="00847559" w:rsidRDefault="00473105" w:rsidP="00847559">
      <w:pPr>
        <w:tabs>
          <w:tab w:val="left" w:pos="4962"/>
        </w:tabs>
      </w:pPr>
    </w:p>
    <w:p w:rsidR="00473105" w:rsidRPr="00847559" w:rsidRDefault="00D45B19" w:rsidP="00847559">
      <w:pPr>
        <w:tabs>
          <w:tab w:val="left" w:pos="4962"/>
        </w:tabs>
      </w:pPr>
      <w:r w:rsidRPr="00847559">
        <w:t xml:space="preserve">De lo anterior se resalta, la fracción II, inciso b, referente a la deuda pública ya que según lo dispuesto por el mismo Código Financiero, el Presupuesto de Egresos deberá contener un </w:t>
      </w:r>
      <w:r w:rsidRPr="00847559">
        <w:lastRenderedPageBreak/>
        <w:t>capítulo de la Deuda Pública donde refiere la</w:t>
      </w:r>
      <w:r w:rsidR="008E3054" w:rsidRPr="00847559">
        <w:t>s</w:t>
      </w:r>
      <w:r w:rsidRPr="00847559">
        <w:t xml:space="preserve"> erogaciones devengadas y pendientes del ejercicio anterior, en atención al artículo 292 que es del tenor siguiente:</w:t>
      </w:r>
    </w:p>
    <w:p w:rsidR="00473105" w:rsidRPr="00847559" w:rsidRDefault="00473105" w:rsidP="00847559">
      <w:pPr>
        <w:tabs>
          <w:tab w:val="left" w:pos="4962"/>
        </w:tabs>
      </w:pPr>
    </w:p>
    <w:p w:rsidR="00473105" w:rsidRPr="00847559" w:rsidRDefault="00D45B19" w:rsidP="00847559">
      <w:pPr>
        <w:pStyle w:val="Puesto"/>
        <w:ind w:firstLine="567"/>
      </w:pPr>
      <w:r w:rsidRPr="00847559">
        <w:rPr>
          <w:b/>
        </w:rPr>
        <w:t>“Artículo 292 Ter.-</w:t>
      </w:r>
      <w:r w:rsidRPr="00847559">
        <w:t xml:space="preserve"> El Presupuesto de Egresos, deberá contemplar en el capítulo de Deuda Pública, las asignaciones destinadas a cubrir el pago de los pasivos, derivados de erogaciones devengadas y pendientes de liquidar al cierre del Ejercicio Fiscal anterior; derivadas de la contratación de bienes o servicios requeridos en el desempeño de las funciones de los Entes Públicos, de acuerdo con su naturaleza jurídica y según corresponda, para las cuales, existió asignación presupuestal con saldo disponible al cierre del Ejercicio Fiscal en el que se devengaron, mismas que podrán ser hasta por el porcentaje establecido en la Ley de Disciplina Financiera y se deberá incluir el monto asignado a cada Ente Público, de acuerdo con su naturaleza jurídica y según corresponda, así como aquellas asignaciones correspondientes a programas y proyectos propuestos por la Secretaría y cuyo presupuesto multianual, hubiese sido aprobado por la Legislatura. En lo relativo a la transparencia y difusión de la información financiera, de la deuda pública del Estado, se estará a lo establecido en la Ley General de Contabilidad Gubernamental, así como en la Ley de Disciplina Financiera y demás disposiciones que de ella emanen.”</w:t>
      </w:r>
    </w:p>
    <w:p w:rsidR="00473105" w:rsidRPr="00847559" w:rsidRDefault="00473105" w:rsidP="00847559">
      <w:pPr>
        <w:tabs>
          <w:tab w:val="left" w:pos="4962"/>
        </w:tabs>
        <w:ind w:left="850" w:right="824"/>
        <w:rPr>
          <w:i/>
        </w:rPr>
      </w:pPr>
    </w:p>
    <w:p w:rsidR="00473105" w:rsidRPr="00847559" w:rsidRDefault="00D45B19" w:rsidP="00847559">
      <w:r w:rsidRPr="00847559">
        <w:t xml:space="preserve">No se omite comentar que si bien la </w:t>
      </w:r>
      <w:r w:rsidRPr="00847559">
        <w:rPr>
          <w:b/>
        </w:rPr>
        <w:t>PARTE RECURRENTE</w:t>
      </w:r>
      <w:r w:rsidRPr="00847559">
        <w:t xml:space="preserve">  en su solicitud requirió el presupuesto que recibió la administración entrante, de la interpretación armónica de la solicitud se puede entender que su deseo es conocer el monto con el que cuenta la administración pública municipal a la fecha de su ingreso, por lo que si bien en la ley, el concepto de presupuesto se relaciona con el presupuesto de egresos, en caso de que se quiera conocer la información de lo que ya existe dentro de la hacienda municipal; es decir el monto que dejó la administración anterior, se advierte que dentro del Estado Analítico de Ingresos Integrado, existe la partida 4399 116 denominada Ingresos Derivados de Ejercicios Anteriores no Aplicados, donde se puede observar el dinero que la Administración entrante recibe de la administración saliente, como se observa de la imagen que se inserta a continuación. </w:t>
      </w:r>
    </w:p>
    <w:p w:rsidR="00473105" w:rsidRPr="00847559" w:rsidRDefault="00473105" w:rsidP="00847559"/>
    <w:p w:rsidR="00473105" w:rsidRPr="00847559" w:rsidRDefault="00D45B19" w:rsidP="00847559">
      <w:r w:rsidRPr="00847559">
        <w:rPr>
          <w:noProof/>
          <w:lang w:eastAsia="es-MX"/>
        </w:rPr>
        <w:lastRenderedPageBreak/>
        <w:drawing>
          <wp:inline distT="114300" distB="114300" distL="114300" distR="114300" wp14:anchorId="33E1A903" wp14:editId="731DB7C5">
            <wp:extent cx="5759133" cy="1419225"/>
            <wp:effectExtent l="0" t="0" r="0" b="0"/>
            <wp:docPr id="21596448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759133" cy="1419225"/>
                    </a:xfrm>
                    <a:prstGeom prst="rect">
                      <a:avLst/>
                    </a:prstGeom>
                    <a:ln/>
                  </pic:spPr>
                </pic:pic>
              </a:graphicData>
            </a:graphic>
          </wp:inline>
        </w:drawing>
      </w:r>
    </w:p>
    <w:p w:rsidR="00473105" w:rsidRPr="00847559" w:rsidRDefault="00473105" w:rsidP="00847559"/>
    <w:p w:rsidR="00473105" w:rsidRPr="00847559" w:rsidRDefault="00D45B19" w:rsidP="00847559">
      <w:r w:rsidRPr="00847559">
        <w:t xml:space="preserve">Es necesario señalar que el estudio de los documentos anteriores tiene como finalidad indicar que la información solicitada es conocida por el </w:t>
      </w:r>
      <w:r w:rsidRPr="00847559">
        <w:rPr>
          <w:b/>
        </w:rPr>
        <w:t>SUJETO OBLIGADO</w:t>
      </w:r>
      <w:r w:rsidRPr="00847559">
        <w:t xml:space="preserve">, a que la utiliza para poder generar diversos dentro del ámbito de sus facultades; sin embargo, según lo refiere el artículo 12 de la Ley de Transparencia y Acceso a la Información Pública del Estado de México y Municipios, la obligación del ente recurrido es entregar la información que obre en sus archivos, en el estado en el que se encuentre, por lo que podrá cumplir con dicha obligación entregando el documento donde conste lo requerido. </w:t>
      </w:r>
    </w:p>
    <w:p w:rsidR="00473105" w:rsidRPr="00847559" w:rsidRDefault="00473105" w:rsidP="00847559"/>
    <w:p w:rsidR="00473105" w:rsidRPr="00847559" w:rsidRDefault="00D45B19" w:rsidP="00847559">
      <w:r w:rsidRPr="00847559">
        <w:t>Asimismo, es importante destacar que la información solicitada se encuentra considerada dentro de las obligaciones de transparencia comunes que los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el artículo 92 de la de la Ley de Transparencia y Acceso a la Información Pública del Estado de México y Municipios, en las fracciones XXV y XXVI, que disponen lo siguiente:</w:t>
      </w:r>
    </w:p>
    <w:p w:rsidR="00473105" w:rsidRPr="00847559" w:rsidRDefault="00473105" w:rsidP="00847559"/>
    <w:p w:rsidR="00473105" w:rsidRPr="00847559" w:rsidRDefault="00D45B19" w:rsidP="00847559">
      <w:pPr>
        <w:pStyle w:val="Puesto"/>
        <w:ind w:firstLine="567"/>
      </w:pPr>
      <w:r w:rsidRPr="00847559">
        <w:rPr>
          <w:b/>
        </w:rPr>
        <w:t>“Artículo 92. </w:t>
      </w:r>
      <w:r w:rsidRPr="00847559">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473105" w:rsidRPr="00847559" w:rsidRDefault="00D45B19" w:rsidP="00847559">
      <w:pPr>
        <w:pStyle w:val="Puesto"/>
        <w:ind w:firstLine="567"/>
      </w:pPr>
      <w:r w:rsidRPr="00847559">
        <w:lastRenderedPageBreak/>
        <w:t>…</w:t>
      </w:r>
    </w:p>
    <w:p w:rsidR="00473105" w:rsidRPr="00847559" w:rsidRDefault="00D45B19" w:rsidP="00847559">
      <w:pPr>
        <w:pStyle w:val="Puesto"/>
        <w:ind w:firstLine="567"/>
      </w:pPr>
      <w:r w:rsidRPr="00847559">
        <w:rPr>
          <w:b/>
        </w:rPr>
        <w:t xml:space="preserve">XXV. La información financiera sobre el presupuesto asignado, </w:t>
      </w:r>
      <w:r w:rsidRPr="00847559">
        <w:t>así como los informes del ejercicio trimestral del gasto, en términos de la Ley General de Contabilidad Gubernamental y demás disposiciones jurídicas aplicables;</w:t>
      </w:r>
    </w:p>
    <w:p w:rsidR="00473105" w:rsidRPr="00847559" w:rsidRDefault="00D45B19" w:rsidP="00847559">
      <w:pPr>
        <w:pStyle w:val="Puesto"/>
        <w:ind w:firstLine="567"/>
      </w:pPr>
      <w:r w:rsidRPr="00847559">
        <w:t>…</w:t>
      </w:r>
    </w:p>
    <w:p w:rsidR="00473105" w:rsidRPr="00847559" w:rsidRDefault="00D45B19" w:rsidP="00847559">
      <w:pPr>
        <w:pStyle w:val="Puesto"/>
        <w:ind w:firstLine="567"/>
      </w:pPr>
      <w:r w:rsidRPr="00847559">
        <w:t xml:space="preserve">XXVI. </w:t>
      </w:r>
      <w:r w:rsidRPr="00847559">
        <w:rPr>
          <w:b/>
        </w:rPr>
        <w:t>La información relativa a la deuda pública</w:t>
      </w:r>
      <w:r w:rsidRPr="00847559">
        <w:t>, en términos de las disposiciones jurídicas aplicables: ”</w:t>
      </w:r>
    </w:p>
    <w:p w:rsidR="00473105" w:rsidRPr="00847559" w:rsidRDefault="00473105" w:rsidP="00847559">
      <w:pPr>
        <w:pStyle w:val="Puesto"/>
        <w:ind w:firstLine="567"/>
      </w:pPr>
    </w:p>
    <w:p w:rsidR="00473105" w:rsidRPr="00847559" w:rsidRDefault="00473105" w:rsidP="00847559">
      <w:pPr>
        <w:pStyle w:val="Puesto"/>
        <w:ind w:firstLine="567"/>
      </w:pPr>
      <w:bookmarkStart w:id="37" w:name="_heading=h.eujh84qrirtq" w:colFirst="0" w:colLast="0"/>
      <w:bookmarkEnd w:id="37"/>
    </w:p>
    <w:p w:rsidR="00473105" w:rsidRPr="00847559" w:rsidRDefault="00D45B19" w:rsidP="00847559">
      <w:pPr>
        <w:pStyle w:val="Puesto"/>
        <w:ind w:firstLine="567"/>
      </w:pPr>
      <w:bookmarkStart w:id="38" w:name="_heading=h.i60sxbbcbvaw" w:colFirst="0" w:colLast="0"/>
      <w:bookmarkEnd w:id="38"/>
      <w:r w:rsidRPr="00847559">
        <w:t>(Énfasis añadido)</w:t>
      </w:r>
    </w:p>
    <w:p w:rsidR="00473105" w:rsidRPr="00847559" w:rsidRDefault="00473105" w:rsidP="00847559">
      <w:pPr>
        <w:ind w:left="851" w:right="901"/>
        <w:rPr>
          <w:i/>
        </w:rPr>
      </w:pPr>
    </w:p>
    <w:p w:rsidR="00473105" w:rsidRPr="00847559" w:rsidRDefault="00D45B19" w:rsidP="00847559">
      <w:r w:rsidRPr="00847559">
        <w:t xml:space="preserve">De lo anterior, se desprende que los Sujetos Obligados están compelidos a poner a disposición del público de manera constante y actualizada, de forma sencilla, precisa y entendible, en los respectivos medios electrónicos, la información referente al presupuesto que les es otorgado y la deuda pública. En conclusión, se observa que el </w:t>
      </w:r>
      <w:r w:rsidRPr="00847559">
        <w:rPr>
          <w:b/>
        </w:rPr>
        <w:t>SUJETO OBLIGADO</w:t>
      </w:r>
      <w:r w:rsidRPr="00847559">
        <w:t xml:space="preserve"> está facultado para poseer, generar o administrar la información relacionada con la deuda municipal, así como el presupuesto, independientemente del soporte documental donde este se encuentre. </w:t>
      </w:r>
    </w:p>
    <w:p w:rsidR="00473105" w:rsidRPr="00847559" w:rsidRDefault="00473105" w:rsidP="00847559">
      <w:pPr>
        <w:tabs>
          <w:tab w:val="left" w:pos="4962"/>
        </w:tabs>
      </w:pPr>
    </w:p>
    <w:p w:rsidR="00473105" w:rsidRPr="00847559" w:rsidRDefault="00D45B19" w:rsidP="00847559">
      <w:pPr>
        <w:spacing w:before="240" w:after="240"/>
      </w:pPr>
      <w:r w:rsidRPr="00847559">
        <w:t xml:space="preserve">Una vez delimitada la naturaleza de la información, se advierte que la solicitud fue atendida por la Tesorería Municipal, la cual de conformidad con la Ley Orgánica Municipal del Estado de México, el la autoridad competente dentro de la estructura orgánica del </w:t>
      </w:r>
      <w:r w:rsidRPr="00847559">
        <w:rPr>
          <w:b/>
        </w:rPr>
        <w:t>SUJETO OBLIGADO</w:t>
      </w:r>
      <w:r w:rsidRPr="00847559">
        <w:t xml:space="preserve"> para conocer de la información solicitada, como se observa del contenido de los artículos 93, y 95 fracciones I, IV y V, que refieren lo siguiente: </w:t>
      </w:r>
    </w:p>
    <w:p w:rsidR="00473105" w:rsidRPr="00847559" w:rsidRDefault="00D45B19" w:rsidP="00847559">
      <w:pPr>
        <w:pStyle w:val="Puesto"/>
        <w:ind w:firstLine="567"/>
        <w:rPr>
          <w:b/>
        </w:rPr>
      </w:pPr>
      <w:r w:rsidRPr="00847559">
        <w:t>“</w:t>
      </w:r>
      <w:r w:rsidRPr="00847559">
        <w:rPr>
          <w:b/>
        </w:rPr>
        <w:t xml:space="preserve">CAPITULO SEGUNDO </w:t>
      </w:r>
    </w:p>
    <w:p w:rsidR="00473105" w:rsidRPr="00847559" w:rsidRDefault="00D45B19" w:rsidP="00847559">
      <w:pPr>
        <w:pStyle w:val="Puesto"/>
        <w:ind w:firstLine="567"/>
      </w:pPr>
      <w:r w:rsidRPr="00847559">
        <w:rPr>
          <w:b/>
        </w:rPr>
        <w:t>De la Tesorería Municipal</w:t>
      </w:r>
    </w:p>
    <w:p w:rsidR="00473105" w:rsidRPr="00847559" w:rsidRDefault="00473105" w:rsidP="00847559">
      <w:pPr>
        <w:ind w:left="1417" w:right="824"/>
        <w:rPr>
          <w:b/>
          <w:i/>
        </w:rPr>
      </w:pPr>
    </w:p>
    <w:p w:rsidR="00473105" w:rsidRPr="00847559" w:rsidRDefault="00D45B19" w:rsidP="00847559">
      <w:pPr>
        <w:pStyle w:val="Puesto"/>
        <w:ind w:firstLine="567"/>
      </w:pPr>
      <w:r w:rsidRPr="00847559">
        <w:rPr>
          <w:b/>
        </w:rPr>
        <w:t>Artículo 93.-</w:t>
      </w:r>
      <w:r w:rsidRPr="00847559">
        <w:t xml:space="preserve"> La tesorería municipal es el órgano encargado de la recaudación de los ingresos municipales y responsable de realizar las erogaciones que haga el ayuntamiento. “</w:t>
      </w:r>
    </w:p>
    <w:p w:rsidR="00473105" w:rsidRPr="00847559" w:rsidRDefault="00473105" w:rsidP="00847559">
      <w:pPr>
        <w:ind w:left="1417" w:right="824"/>
        <w:rPr>
          <w:i/>
        </w:rPr>
      </w:pPr>
    </w:p>
    <w:p w:rsidR="00473105" w:rsidRPr="00847559" w:rsidRDefault="00D45B19" w:rsidP="00847559">
      <w:pPr>
        <w:pStyle w:val="Puesto"/>
        <w:ind w:firstLine="567"/>
      </w:pPr>
      <w:r w:rsidRPr="00847559">
        <w:rPr>
          <w:b/>
        </w:rPr>
        <w:lastRenderedPageBreak/>
        <w:t>“Artículo 95.</w:t>
      </w:r>
      <w:r w:rsidRPr="00847559">
        <w:t xml:space="preserve">- Son atribuciones del tesorero municipal: </w:t>
      </w:r>
    </w:p>
    <w:p w:rsidR="00473105" w:rsidRPr="00847559" w:rsidRDefault="00D45B19" w:rsidP="00847559">
      <w:pPr>
        <w:pStyle w:val="Puesto"/>
        <w:ind w:firstLine="567"/>
      </w:pPr>
      <w:r w:rsidRPr="00847559">
        <w:t xml:space="preserve">I. Administrar la hacienda pública municipal, de conformidad con las disposiciones legales aplicables; </w:t>
      </w:r>
    </w:p>
    <w:p w:rsidR="00473105" w:rsidRPr="00847559" w:rsidRDefault="00D45B19" w:rsidP="00847559">
      <w:pPr>
        <w:pStyle w:val="Puesto"/>
        <w:ind w:firstLine="567"/>
      </w:pPr>
      <w:r w:rsidRPr="00847559">
        <w:t xml:space="preserve">II. Determinar, liquidar, recaudar, fiscalizar y administrar las contribuciones en los términos de los ordenamientos jurídicos aplicables y, en su caso, aplicar el procedimiento administrativo de ejecución en términos de las disposiciones aplicables; </w:t>
      </w:r>
    </w:p>
    <w:p w:rsidR="00473105" w:rsidRPr="00847559" w:rsidRDefault="00D45B19" w:rsidP="00847559">
      <w:pPr>
        <w:pStyle w:val="Puesto"/>
        <w:ind w:firstLine="567"/>
      </w:pPr>
      <w:r w:rsidRPr="00847559">
        <w:t xml:space="preserve">III. Imponer las sanciones administrativas que procedan por infracciones a las disposiciones fiscales; </w:t>
      </w:r>
    </w:p>
    <w:p w:rsidR="00473105" w:rsidRPr="00847559" w:rsidRDefault="00D45B19" w:rsidP="00847559">
      <w:pPr>
        <w:pStyle w:val="Puesto"/>
        <w:ind w:firstLine="567"/>
      </w:pPr>
      <w:r w:rsidRPr="00847559">
        <w:t xml:space="preserve">IV. Llevar los registros contables, financieros y administrativos de los ingresos, egresos, e inventarios; </w:t>
      </w:r>
    </w:p>
    <w:p w:rsidR="00473105" w:rsidRPr="00847559" w:rsidRDefault="00D45B19" w:rsidP="00847559">
      <w:pPr>
        <w:pStyle w:val="Puesto"/>
        <w:ind w:firstLine="567"/>
      </w:pPr>
      <w:r w:rsidRPr="00847559">
        <w:t>V. Proporcionar oportunamente al ayuntamiento todos los datos o informes que sean necesarios para la formulación del Presupuesto de Egresos Municipales, vigilando que se ajuste a las disposiciones de esta Ley y otros ordenamientos aplicables;</w:t>
      </w:r>
    </w:p>
    <w:p w:rsidR="00473105" w:rsidRPr="00847559" w:rsidRDefault="00D45B19" w:rsidP="00847559">
      <w:pPr>
        <w:pStyle w:val="Puesto"/>
        <w:ind w:firstLine="567"/>
      </w:pPr>
      <w:r w:rsidRPr="00847559">
        <w:t xml:space="preserve">VI. Presentar anualmente al ayuntamiento un informe de la situación contable financiera de la Tesorería Municipal; </w:t>
      </w:r>
    </w:p>
    <w:p w:rsidR="00473105" w:rsidRPr="00847559" w:rsidRDefault="00D45B19" w:rsidP="00847559">
      <w:pPr>
        <w:pStyle w:val="Puesto"/>
        <w:ind w:firstLine="567"/>
      </w:pPr>
      <w:r w:rsidRPr="00847559">
        <w:t xml:space="preserve">VI Bis. Proporcionar para la formulación del proyecto de Presupuesto de Egresos Municipales la información financiera relativa a la solución o en su caso, el pago de los litigios laborales; </w:t>
      </w:r>
    </w:p>
    <w:p w:rsidR="00473105" w:rsidRPr="00847559" w:rsidRDefault="00D45B19" w:rsidP="00847559">
      <w:pPr>
        <w:pStyle w:val="Puesto"/>
        <w:ind w:firstLine="567"/>
      </w:pPr>
      <w:r w:rsidRPr="00847559">
        <w:t xml:space="preserve">VII. Diseñar y aprobar las formas oficiales de manifestaciones, avisos y declaraciones y demás documentos requeridos; </w:t>
      </w:r>
    </w:p>
    <w:p w:rsidR="00473105" w:rsidRPr="00847559" w:rsidRDefault="00D45B19" w:rsidP="00847559">
      <w:pPr>
        <w:pStyle w:val="Puesto"/>
        <w:ind w:firstLine="567"/>
      </w:pPr>
      <w:r w:rsidRPr="00847559">
        <w:t>VIII. Participar en la formulación de Convenios Fiscales y ejercer las atribuciones que le correspondan en el ámbito de su competencia;</w:t>
      </w:r>
    </w:p>
    <w:p w:rsidR="00473105" w:rsidRPr="00847559" w:rsidRDefault="00D45B19" w:rsidP="00847559">
      <w:pPr>
        <w:pStyle w:val="Puesto"/>
        <w:ind w:firstLine="567"/>
      </w:pPr>
      <w:r w:rsidRPr="00847559">
        <w:t xml:space="preserve">IX. Proponer al ayuntamiento la cancelación de cuentas incobrables; </w:t>
      </w:r>
    </w:p>
    <w:p w:rsidR="00473105" w:rsidRPr="00847559" w:rsidRDefault="00D45B19" w:rsidP="00847559">
      <w:pPr>
        <w:pStyle w:val="Puesto"/>
        <w:ind w:firstLine="567"/>
      </w:pPr>
      <w:r w:rsidRPr="00847559">
        <w:t xml:space="preserve">X. Custodiar y ejercer las garantías que se otorguen en favor de la hacienda municipal; </w:t>
      </w:r>
    </w:p>
    <w:p w:rsidR="00473105" w:rsidRPr="00847559" w:rsidRDefault="00D45B19" w:rsidP="00847559">
      <w:pPr>
        <w:pStyle w:val="Puesto"/>
        <w:ind w:firstLine="567"/>
      </w:pPr>
      <w:r w:rsidRPr="00847559">
        <w:t>XI. Proponer la política de ingresos de la tesorería municipal;</w:t>
      </w:r>
    </w:p>
    <w:p w:rsidR="00473105" w:rsidRPr="00847559" w:rsidRDefault="00D45B19" w:rsidP="00847559">
      <w:pPr>
        <w:pStyle w:val="Puesto"/>
        <w:ind w:firstLine="567"/>
      </w:pPr>
      <w:r w:rsidRPr="00847559">
        <w:t xml:space="preserve">XII. Intervenir en la elaboración del programa financiero municipal; </w:t>
      </w:r>
    </w:p>
    <w:p w:rsidR="00473105" w:rsidRPr="00847559" w:rsidRDefault="00D45B19" w:rsidP="00847559">
      <w:pPr>
        <w:pStyle w:val="Puesto"/>
        <w:ind w:firstLine="567"/>
      </w:pPr>
      <w:r w:rsidRPr="00847559">
        <w:t xml:space="preserve">XIII. Elaborar y mantener actualizado el Padrón de Contribuyentes; </w:t>
      </w:r>
    </w:p>
    <w:p w:rsidR="00473105" w:rsidRPr="00847559" w:rsidRDefault="00D45B19" w:rsidP="00847559">
      <w:pPr>
        <w:pStyle w:val="Puesto"/>
        <w:ind w:firstLine="567"/>
      </w:pPr>
      <w:r w:rsidRPr="00847559">
        <w:t xml:space="preserve">XIV. Ministrar a su inmediato antecesor todos los datos oficiales que le solicitare, para contestar los pliegos de observaciones y alcances que formule y deduzca el Órgano Superior de Fiscalización del Estado de México; </w:t>
      </w:r>
    </w:p>
    <w:p w:rsidR="00473105" w:rsidRPr="00847559" w:rsidRDefault="00D45B19" w:rsidP="00847559">
      <w:pPr>
        <w:pStyle w:val="Puesto"/>
        <w:ind w:firstLine="567"/>
      </w:pPr>
      <w:r w:rsidRPr="00847559">
        <w:t xml:space="preserve">XV. Solicitar a las instancias competentes, la práctica de revisiones circunstanciadas, de conformidad con las normas que rigen en materia de control y evaluación gubernamental en el ámbito municipal; </w:t>
      </w:r>
    </w:p>
    <w:p w:rsidR="00473105" w:rsidRPr="00847559" w:rsidRDefault="00D45B19" w:rsidP="00847559">
      <w:pPr>
        <w:pStyle w:val="Puesto"/>
        <w:ind w:firstLine="567"/>
      </w:pPr>
      <w:r w:rsidRPr="00847559">
        <w:t xml:space="preserve">XVI. Glosar oportunamente las cuentas del ayuntamiento; </w:t>
      </w:r>
    </w:p>
    <w:p w:rsidR="00473105" w:rsidRPr="00847559" w:rsidRDefault="00D45B19" w:rsidP="00847559">
      <w:pPr>
        <w:pStyle w:val="Puesto"/>
        <w:ind w:firstLine="567"/>
      </w:pPr>
      <w:r w:rsidRPr="00847559">
        <w:t xml:space="preserve">XVII. Contestar oportunamente los pliegos de observaciones y responsabilidad que haga el Órgano Superior de Fiscalización del Estado de México, así como atender en tiempo y forma las solicitudes de información que éste requiera, informando al Ayuntamiento; </w:t>
      </w:r>
    </w:p>
    <w:p w:rsidR="00473105" w:rsidRPr="00847559" w:rsidRDefault="00D45B19" w:rsidP="00847559">
      <w:pPr>
        <w:pStyle w:val="Puesto"/>
        <w:ind w:firstLine="567"/>
      </w:pPr>
      <w:r w:rsidRPr="00847559">
        <w:lastRenderedPageBreak/>
        <w:t xml:space="preserve">XVIII. Expedir copias certificadas de los documentos a su cuidado, por acuerdo expreso del Ayuntamiento y cuando se trate de documentación presentada ante el Órgano Superior de Fiscalización del Estado de México; </w:t>
      </w:r>
    </w:p>
    <w:p w:rsidR="00473105" w:rsidRPr="00847559" w:rsidRDefault="00D45B19" w:rsidP="00847559">
      <w:pPr>
        <w:pStyle w:val="Puesto"/>
        <w:ind w:firstLine="567"/>
      </w:pPr>
      <w:r w:rsidRPr="00847559">
        <w:t xml:space="preserve">XIX. Recaudar y administrar los ingresos que se deriven de la suscripción de convenios, acuerdos o la emisión de declaratorias de coordinación; los relativos a las transferencias otorgadas a favor del Municipio en el marco del Sistema Nacional o Estatal de Coordinación Fiscal, o los que reciba por cualquier otro concepto; así como el importe de las sanciones por infracciones impuestas por las autoridades competentes, por la inobservancia de las diversas disposiciones y ordenamientos legales, constituyendo los créditos fiscales correspondientes; </w:t>
      </w:r>
    </w:p>
    <w:p w:rsidR="00473105" w:rsidRPr="00847559" w:rsidRDefault="00D45B19" w:rsidP="00847559">
      <w:pPr>
        <w:pStyle w:val="Puesto"/>
        <w:ind w:firstLine="567"/>
      </w:pPr>
      <w:r w:rsidRPr="00847559">
        <w:t>XX. Dar cumplimiento a las leyes, convenios de coordinación fiscal y demás que en materia hacendaria celebre el Ayuntamiento con el Estado;</w:t>
      </w:r>
    </w:p>
    <w:p w:rsidR="00473105" w:rsidRPr="00847559" w:rsidRDefault="00D45B19" w:rsidP="00847559">
      <w:pPr>
        <w:pStyle w:val="Puesto"/>
        <w:ind w:firstLine="567"/>
      </w:pPr>
      <w:r w:rsidRPr="00847559">
        <w:t xml:space="preserve">XXI. Entregar oportunamente a él o los Síndicos, según sea el caso, el informe mensual que corresponda, a fin de que se revise, y de ser necesario, para que se formulen las observaciones respectivas. </w:t>
      </w:r>
    </w:p>
    <w:p w:rsidR="00473105" w:rsidRPr="00847559" w:rsidRDefault="00D45B19" w:rsidP="00847559">
      <w:pPr>
        <w:pStyle w:val="Puesto"/>
        <w:ind w:firstLine="567"/>
      </w:pPr>
      <w:r w:rsidRPr="00847559">
        <w:t>XXII. Las que les señalen las demás disposiciones legales y el ayuntamiento.”</w:t>
      </w:r>
    </w:p>
    <w:p w:rsidR="00473105" w:rsidRPr="00847559" w:rsidRDefault="00473105" w:rsidP="00847559">
      <w:pPr>
        <w:ind w:right="257"/>
      </w:pPr>
    </w:p>
    <w:p w:rsidR="00473105" w:rsidRPr="00847559" w:rsidRDefault="00D45B19" w:rsidP="00847559">
      <w:r w:rsidRPr="00847559">
        <w:t>De lo anteriormente citado, observamos que a la Tesorería Municipal,</w:t>
      </w:r>
      <w:r w:rsidR="008E3054" w:rsidRPr="00847559">
        <w:t xml:space="preserve"> </w:t>
      </w:r>
      <w:r w:rsidRPr="00847559">
        <w:t xml:space="preserve">le corresponde entre otras, lo correspondiente de apoyar en la elaboración del proyecto del Presupuesto de Egresos Municipales, proporcionando todos los datos e informes que se le requieran, vigilando que el mismo se ajuste a las disposiciones que las normas jurídicas establecen, además, intervendrá en la elaboración del Programa Financiero Municipal, así como en la elaboración del presupuesto definitivo anual de egresos. De forma que, el servidor público habilitado que dio respuesta a la solicitud, es el competente para poseer, generar o administrar la información solicitada. </w:t>
      </w:r>
    </w:p>
    <w:p w:rsidR="00473105" w:rsidRPr="00847559" w:rsidRDefault="00473105" w:rsidP="00847559"/>
    <w:p w:rsidR="00473105" w:rsidRPr="00847559" w:rsidRDefault="00D45B19" w:rsidP="00847559">
      <w:pPr>
        <w:ind w:right="-93"/>
      </w:pPr>
      <w:r w:rsidRPr="00847559">
        <w:t>Atento a ello, cabe recordar que la Tesorería Municipal refirió en su respuesta que, la información se encontraba disponi</w:t>
      </w:r>
      <w:r w:rsidR="00847559">
        <w:t xml:space="preserve">ble en internet, indicando que </w:t>
      </w:r>
      <w:r w:rsidRPr="00847559">
        <w:t xml:space="preserve">puede ser consultada en tres ligas electrónicas, que para mayor referencia se inserta a continuación: </w:t>
      </w:r>
    </w:p>
    <w:p w:rsidR="00473105" w:rsidRPr="00847559" w:rsidRDefault="00D45B19" w:rsidP="00847559">
      <w:pPr>
        <w:spacing w:after="240"/>
        <w:ind w:right="49"/>
        <w:jc w:val="center"/>
      </w:pPr>
      <w:r w:rsidRPr="00847559">
        <w:rPr>
          <w:noProof/>
          <w:lang w:eastAsia="es-MX"/>
        </w:rPr>
        <w:lastRenderedPageBreak/>
        <w:drawing>
          <wp:inline distT="114300" distB="114300" distL="114300" distR="114300" wp14:anchorId="561FFF0B" wp14:editId="24883A37">
            <wp:extent cx="5545138" cy="2390775"/>
            <wp:effectExtent l="0" t="0" r="0" b="0"/>
            <wp:docPr id="21596448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r="-807"/>
                    <a:stretch>
                      <a:fillRect/>
                    </a:stretch>
                  </pic:blipFill>
                  <pic:spPr>
                    <a:xfrm>
                      <a:off x="0" y="0"/>
                      <a:ext cx="5545138" cy="2390775"/>
                    </a:xfrm>
                    <a:prstGeom prst="rect">
                      <a:avLst/>
                    </a:prstGeom>
                    <a:ln/>
                  </pic:spPr>
                </pic:pic>
              </a:graphicData>
            </a:graphic>
          </wp:inline>
        </w:drawing>
      </w:r>
    </w:p>
    <w:p w:rsidR="00473105" w:rsidRPr="00847559" w:rsidRDefault="00D45B19" w:rsidP="00847559">
      <w:pPr>
        <w:ind w:right="-93"/>
      </w:pPr>
      <w:r w:rsidRPr="00847559">
        <w:t xml:space="preserve">De la imagen anterior se puede observar que la liga electrónica referida por </w:t>
      </w:r>
      <w:r w:rsidRPr="00847559">
        <w:rPr>
          <w:b/>
        </w:rPr>
        <w:t>EL SUJETO OBLIGADO</w:t>
      </w:r>
      <w:r w:rsidRPr="00847559">
        <w:t xml:space="preserve"> en su respuesta está en un documento en formato PDF de imagen no editable que no permite copiarla o en su caso dar clic en ella para acceder a la dirección referida, lo que le hace perder su característica de ser directo. Por lo que este Organismo Garante considera que este enlace proporcionado en respuesta no puede tenerse por válido. </w:t>
      </w:r>
    </w:p>
    <w:p w:rsidR="00473105" w:rsidRPr="00847559" w:rsidRDefault="00473105" w:rsidP="00847559">
      <w:pPr>
        <w:ind w:right="-93"/>
      </w:pPr>
    </w:p>
    <w:p w:rsidR="00473105" w:rsidRPr="00847559" w:rsidRDefault="00D45B19" w:rsidP="00847559">
      <w:pPr>
        <w:ind w:right="-93"/>
      </w:pPr>
      <w:r w:rsidRPr="00847559">
        <w:t>Lo anterior ya que en el momento de consultar la información el solicitante deberá transcribir carácter por carácter en el navegador, existiendo una alta posibilidad de que dicha tarea no sea exitosa y, en consecuencia, la liga deja de ser precisa y accesible, lo que contraviene lo establecido por el artículo 11 de la Ley de Transparencia y Acceso a la Información Pública del Estado de México y Municipios, que es del tenor siguiente:</w:t>
      </w:r>
    </w:p>
    <w:p w:rsidR="00473105" w:rsidRPr="00847559" w:rsidRDefault="00473105" w:rsidP="00847559">
      <w:pPr>
        <w:ind w:left="567" w:right="1276"/>
        <w:rPr>
          <w:b/>
          <w:i/>
        </w:rPr>
      </w:pPr>
    </w:p>
    <w:p w:rsidR="00473105" w:rsidRPr="00847559" w:rsidRDefault="00D45B19" w:rsidP="00847559">
      <w:pPr>
        <w:pStyle w:val="Puesto"/>
        <w:ind w:firstLine="567"/>
        <w:rPr>
          <w:sz w:val="24"/>
          <w:szCs w:val="24"/>
        </w:rPr>
      </w:pPr>
      <w:r w:rsidRPr="00847559">
        <w:t>“</w:t>
      </w:r>
      <w:r w:rsidRPr="00847559">
        <w:rPr>
          <w:b/>
        </w:rPr>
        <w:t>Artículo 11. En la generación, publicación y entrega de información se deberá garantizar que ésta sea accesible, actualizada, completa, congruente, confiable, verificable, veraz, integral, oportuna y expedita</w:t>
      </w:r>
      <w:r w:rsidRPr="00847559">
        <w:t>, sujeta a un claro régimen de excepciones que deberá estar definido y ser además legítima y estrictamente necesaria en una sociedad democrática, por lo que atenderá las necesidades del derecho de acceso a la información de toda persona.</w:t>
      </w:r>
    </w:p>
    <w:p w:rsidR="00473105" w:rsidRPr="00847559" w:rsidRDefault="00D45B19" w:rsidP="00847559">
      <w:pPr>
        <w:ind w:left="567" w:right="1276"/>
        <w:rPr>
          <w:sz w:val="24"/>
          <w:szCs w:val="24"/>
        </w:rPr>
      </w:pPr>
      <w:r w:rsidRPr="00847559">
        <w:rPr>
          <w:i/>
        </w:rPr>
        <w:t>[…]</w:t>
      </w:r>
    </w:p>
    <w:p w:rsidR="00473105" w:rsidRPr="00847559" w:rsidRDefault="00D45B19" w:rsidP="00847559">
      <w:pPr>
        <w:ind w:right="49"/>
      </w:pPr>
      <w:r w:rsidRPr="00847559">
        <w:lastRenderedPageBreak/>
        <w:t>Al respecto, cabe destacar que 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rsidR="00473105" w:rsidRPr="00847559" w:rsidRDefault="00D45B19" w:rsidP="00847559">
      <w:r w:rsidRPr="00847559">
        <w:t> </w:t>
      </w:r>
    </w:p>
    <w:p w:rsidR="00473105" w:rsidRPr="00847559" w:rsidRDefault="00D45B19" w:rsidP="00847559">
      <w:r w:rsidRPr="00847559">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rsidR="00473105" w:rsidRPr="00847559" w:rsidRDefault="00D45B19" w:rsidP="00847559">
      <w:r w:rsidRPr="00847559">
        <w:t> </w:t>
      </w:r>
    </w:p>
    <w:p w:rsidR="00473105" w:rsidRPr="00847559" w:rsidRDefault="00D45B19" w:rsidP="00847559">
      <w:pPr>
        <w:rPr>
          <w:b/>
          <w:i/>
        </w:rPr>
      </w:pPr>
      <w:r w:rsidRPr="00847559">
        <w:t>Conforme a la Carta Internacional de Datos Abiertos</w:t>
      </w:r>
      <w:r w:rsidRPr="00847559">
        <w:rPr>
          <w:vertAlign w:val="superscript"/>
        </w:rPr>
        <w:footnoteReference w:id="2"/>
      </w:r>
      <w:r w:rsidRPr="00847559">
        <w:rPr>
          <w:vertAlign w:val="superscript"/>
        </w:rPr>
        <w:t xml:space="preserve"> </w:t>
      </w:r>
      <w:r w:rsidRPr="00847559">
        <w:t>Se considera como tal a los</w:t>
      </w:r>
      <w:r w:rsidRPr="00847559">
        <w:rPr>
          <w:i/>
        </w:rPr>
        <w:t xml:space="preserve"> datos digitales que son puestos a disposición con las características técnicas y jurídicas necesarias para que </w:t>
      </w:r>
      <w:r w:rsidRPr="00847559">
        <w:rPr>
          <w:b/>
          <w:i/>
        </w:rPr>
        <w:t xml:space="preserve">puedan ser </w:t>
      </w:r>
      <w:r w:rsidRPr="00847559">
        <w:rPr>
          <w:b/>
          <w:i/>
          <w:u w:val="single"/>
        </w:rPr>
        <w:t>usados, reutilizados y redistribuidos</w:t>
      </w:r>
      <w:r w:rsidRPr="00847559">
        <w:rPr>
          <w:b/>
          <w:i/>
        </w:rPr>
        <w:t xml:space="preserve"> libremente por cualquier persona, en cualquier momento y en cualquier lugar.</w:t>
      </w:r>
    </w:p>
    <w:p w:rsidR="00473105" w:rsidRPr="00847559" w:rsidRDefault="00473105" w:rsidP="00847559"/>
    <w:p w:rsidR="00473105" w:rsidRPr="00847559" w:rsidRDefault="00D45B19" w:rsidP="00847559">
      <w:r w:rsidRPr="00847559">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rsidR="00473105" w:rsidRPr="00847559" w:rsidRDefault="00D45B19" w:rsidP="00847559">
      <w:r w:rsidRPr="00847559">
        <w:t> </w:t>
      </w:r>
    </w:p>
    <w:p w:rsidR="00473105" w:rsidRPr="00847559" w:rsidRDefault="00D45B19" w:rsidP="00847559">
      <w:pPr>
        <w:ind w:left="720"/>
      </w:pPr>
      <w:r w:rsidRPr="00847559">
        <w:t xml:space="preserve">·         </w:t>
      </w:r>
      <w:r w:rsidRPr="00847559">
        <w:rPr>
          <w:b/>
        </w:rPr>
        <w:t xml:space="preserve">Dato abierto: </w:t>
      </w:r>
      <w:r w:rsidRPr="00847559">
        <w:t xml:space="preserve">Datos digitales de carácter público que son accesibles en línea que pueden ser usados, reutilizados y redistribuidos por cualquier persona, mismos que </w:t>
      </w:r>
      <w:r w:rsidRPr="00847559">
        <w:lastRenderedPageBreak/>
        <w:t>se conforman de diversas características, entre las cuales se encuentra que se encuentren en formatos abiertos.</w:t>
      </w:r>
    </w:p>
    <w:p w:rsidR="00473105" w:rsidRPr="00847559" w:rsidRDefault="00D45B19" w:rsidP="00847559">
      <w:pPr>
        <w:ind w:left="720"/>
      </w:pPr>
      <w:r w:rsidRPr="00847559">
        <w:rPr>
          <w:b/>
        </w:rPr>
        <w:t> </w:t>
      </w:r>
    </w:p>
    <w:p w:rsidR="00473105" w:rsidRPr="00847559" w:rsidRDefault="00D45B19" w:rsidP="00847559">
      <w:pPr>
        <w:ind w:left="720"/>
      </w:pPr>
      <w:r w:rsidRPr="00847559">
        <w:t xml:space="preserve">·         </w:t>
      </w:r>
      <w:r w:rsidRPr="00847559">
        <w:rPr>
          <w:b/>
        </w:rPr>
        <w:t xml:space="preserve">Formato accesible: </w:t>
      </w:r>
      <w:r w:rsidRPr="00847559">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rsidR="00473105" w:rsidRPr="00847559" w:rsidRDefault="00D45B19" w:rsidP="00847559">
      <w:r w:rsidRPr="00847559">
        <w:t> </w:t>
      </w:r>
    </w:p>
    <w:p w:rsidR="00473105" w:rsidRPr="00847559" w:rsidRDefault="00D45B19" w:rsidP="00847559">
      <w:r w:rsidRPr="00847559">
        <w:t xml:space="preserve">Es así que, los datos abiertos cumplen con la finalidad de poder ser utilizados, </w:t>
      </w:r>
      <w:r w:rsidRPr="00847559">
        <w:rPr>
          <w:b/>
          <w:u w:val="single"/>
        </w:rPr>
        <w:t xml:space="preserve">reutilizados </w:t>
      </w:r>
      <w:r w:rsidRPr="00847559">
        <w:t xml:space="preserve">y redistribuidos; y que el formato de datos abiertos, </w:t>
      </w:r>
      <w:r w:rsidRPr="00847559">
        <w:rPr>
          <w:b/>
        </w:rPr>
        <w:t>debe permitir la aplicación y reproducción</w:t>
      </w:r>
      <w:r w:rsidRPr="00847559">
        <w:t xml:space="preserve"> de la información sin estar condicionados a contraprestaciones; lo anterior no debe traducirse en la posibilidad de alteración, edición o modificación del original; entonces, podemos advertir que el documento entregado en formato pdf, no permite seleccionar texto, copiarlo y pegarlo; por tanto, tampoco permite que la información pueda ser utilizada, reutilizada o redistribuida.</w:t>
      </w:r>
    </w:p>
    <w:p w:rsidR="00473105" w:rsidRPr="00847559" w:rsidRDefault="00473105" w:rsidP="00847559">
      <w:pPr>
        <w:ind w:right="-93"/>
        <w:rPr>
          <w:sz w:val="21"/>
          <w:szCs w:val="21"/>
        </w:rPr>
      </w:pPr>
    </w:p>
    <w:p w:rsidR="00473105" w:rsidRPr="00847559" w:rsidRDefault="00D45B19" w:rsidP="00847559">
      <w:pPr>
        <w:rPr>
          <w:rFonts w:ascii="Times New Roman" w:hAnsi="Times New Roman"/>
          <w:sz w:val="24"/>
          <w:szCs w:val="24"/>
        </w:rPr>
      </w:pPr>
      <w:r w:rsidRPr="00847559">
        <w:t>Por otra parte, contraviene lo indicado en el artículo 161 de la misma ley que a la letra refiere: </w:t>
      </w:r>
    </w:p>
    <w:p w:rsidR="00473105" w:rsidRPr="00847559" w:rsidRDefault="00473105" w:rsidP="00847559">
      <w:pPr>
        <w:pStyle w:val="Puesto"/>
        <w:ind w:firstLine="567"/>
        <w:rPr>
          <w:b/>
        </w:rPr>
      </w:pPr>
    </w:p>
    <w:p w:rsidR="00473105" w:rsidRPr="00847559" w:rsidRDefault="00D45B19" w:rsidP="00847559">
      <w:pPr>
        <w:pStyle w:val="Puesto"/>
        <w:ind w:firstLine="567"/>
      </w:pPr>
      <w:r w:rsidRPr="00847559">
        <w:rPr>
          <w:b/>
        </w:rPr>
        <w:t>Artículo 161.</w:t>
      </w:r>
      <w:r w:rsidRPr="00847559">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 (Énfasis añadido)</w:t>
      </w:r>
    </w:p>
    <w:p w:rsidR="00473105" w:rsidRPr="00847559" w:rsidRDefault="00473105" w:rsidP="00847559">
      <w:pPr>
        <w:jc w:val="left"/>
      </w:pPr>
    </w:p>
    <w:p w:rsidR="00473105" w:rsidRPr="00847559" w:rsidRDefault="00D45B19" w:rsidP="00847559">
      <w:r w:rsidRPr="00847559">
        <w:t xml:space="preserve">De los artículos transcritos se establecen las características que debe tener la información desde el momento de su generación, publicación y entrega; de igual manera se contempla el </w:t>
      </w:r>
      <w:r w:rsidRPr="00847559">
        <w:lastRenderedPageBreak/>
        <w:t xml:space="preserve">procedimiento a seguir por los sujetos obligados para informar a los solicitantes sobre información que se encuentre disponible en libros, compendios, formatos electrónicos, entre otros, haciéndole saber al solicitante como podrá consultar, reproducir o adquirir la información, en un plazo no mayor a cinco días hábiles. </w:t>
      </w:r>
    </w:p>
    <w:p w:rsidR="00473105" w:rsidRPr="00847559" w:rsidRDefault="00473105" w:rsidP="00847559"/>
    <w:p w:rsidR="00473105" w:rsidRPr="00847559" w:rsidRDefault="00D45B19" w:rsidP="00847559">
      <w:r w:rsidRPr="00847559">
        <w:t xml:space="preserve">Situación que en el caso que nos ocupa no aconteció, ya que la liga referida no es de acceso directo y no cuenta con instrucciones para acceder de forma directa a la información solicitada, ya que la ley indica de forma específica que los solicitantes no deberán realizar una búsqueda en toda la información disponible. </w:t>
      </w:r>
    </w:p>
    <w:p w:rsidR="00473105" w:rsidRPr="00847559" w:rsidRDefault="00473105" w:rsidP="00847559"/>
    <w:p w:rsidR="00473105" w:rsidRPr="00847559" w:rsidRDefault="00D45B19" w:rsidP="00847559">
      <w:r w:rsidRPr="00847559">
        <w:t xml:space="preserve">Conforme a lo anterior, se solicita al </w:t>
      </w:r>
      <w:r w:rsidRPr="00847559">
        <w:rPr>
          <w:b/>
        </w:rPr>
        <w:t xml:space="preserve">SUJETO OBLIGADO </w:t>
      </w:r>
      <w:r w:rsidRPr="00847559">
        <w:t>que en subsecuentes ocasiones haga entrega en datos abiertos, es decir, en un formato que permita la accesibilidad y facilidad a los Particulares, para obtener la información contenida en estas.</w:t>
      </w:r>
    </w:p>
    <w:p w:rsidR="00473105" w:rsidRPr="00847559" w:rsidRDefault="00473105" w:rsidP="00847559">
      <w:pPr>
        <w:tabs>
          <w:tab w:val="left" w:pos="4962"/>
        </w:tabs>
      </w:pPr>
    </w:p>
    <w:p w:rsidR="00473105" w:rsidRPr="00847559" w:rsidRDefault="00D45B19" w:rsidP="00847559">
      <w:r w:rsidRPr="00847559">
        <w:t>En consecuencia, al ser el medio de entrega de la información inaccesible y al haber fuente obligacional que faculta al ente recurrido a poseer la información de las obras, este Instituto considera que no se puede tener por colmado el derecho de acceso a la información pública del particular con las respuestas entregadas y, por tanto, determina</w:t>
      </w:r>
      <w:r w:rsidRPr="00847559">
        <w:rPr>
          <w:b/>
        </w:rPr>
        <w:t xml:space="preserve"> REVOCAR </w:t>
      </w:r>
      <w:r w:rsidRPr="00847559">
        <w:t xml:space="preserve">las respuestas del </w:t>
      </w:r>
      <w:r w:rsidRPr="00847559">
        <w:rPr>
          <w:b/>
        </w:rPr>
        <w:t xml:space="preserve">SUJETO OBLIGADO </w:t>
      </w:r>
      <w:r w:rsidRPr="00847559">
        <w:t xml:space="preserve">a las solicitudes </w:t>
      </w:r>
      <w:r w:rsidRPr="00847559">
        <w:rPr>
          <w:b/>
        </w:rPr>
        <w:t xml:space="preserve">00002/OTZOLOTE/IP/2025 y 00012/OTZOLOTE/IP/2025, </w:t>
      </w:r>
      <w:r w:rsidRPr="00847559">
        <w:t xml:space="preserve">por resultar </w:t>
      </w:r>
      <w:r w:rsidRPr="00847559">
        <w:rPr>
          <w:b/>
        </w:rPr>
        <w:t xml:space="preserve">FUNDADOS </w:t>
      </w:r>
      <w:r w:rsidRPr="00847559">
        <w:t xml:space="preserve">las razones o motivos de la </w:t>
      </w:r>
      <w:r w:rsidRPr="00847559">
        <w:rPr>
          <w:b/>
        </w:rPr>
        <w:t>PARTE RECURRENTE</w:t>
      </w:r>
      <w:r w:rsidRPr="00847559">
        <w:t xml:space="preserve"> en los recursos de revisión </w:t>
      </w:r>
      <w:r w:rsidRPr="00847559">
        <w:rPr>
          <w:b/>
        </w:rPr>
        <w:t xml:space="preserve">00272/INFOEM/IP/RR/2025 y 00274/INFOEM/IP/RR/2025 </w:t>
      </w:r>
      <w:r w:rsidRPr="00847559">
        <w:t xml:space="preserve">y ordenarle haga entrega, en versión pública de ser necesario, de lo siguiente: </w:t>
      </w:r>
    </w:p>
    <w:p w:rsidR="00473105" w:rsidRPr="00847559" w:rsidRDefault="00473105" w:rsidP="00847559"/>
    <w:p w:rsidR="00473105" w:rsidRPr="00847559" w:rsidRDefault="00D45B19" w:rsidP="00847559">
      <w:pPr>
        <w:numPr>
          <w:ilvl w:val="0"/>
          <w:numId w:val="2"/>
        </w:numPr>
        <w:tabs>
          <w:tab w:val="left" w:pos="4962"/>
        </w:tabs>
      </w:pPr>
      <w:r w:rsidRPr="00847559">
        <w:t>El monto de la deuda municipal al 31 de diciembre de 2024.</w:t>
      </w:r>
    </w:p>
    <w:p w:rsidR="00473105" w:rsidRPr="00847559" w:rsidRDefault="00D45B19" w:rsidP="00847559">
      <w:pPr>
        <w:numPr>
          <w:ilvl w:val="0"/>
          <w:numId w:val="2"/>
        </w:numPr>
        <w:tabs>
          <w:tab w:val="left" w:pos="4962"/>
        </w:tabs>
      </w:pPr>
      <w:r w:rsidRPr="00847559">
        <w:t xml:space="preserve">El presupuesto recibido al 01 de enero de 2025. </w:t>
      </w:r>
    </w:p>
    <w:p w:rsidR="00473105" w:rsidRPr="00847559" w:rsidRDefault="00D45B19" w:rsidP="00847559">
      <w:pPr>
        <w:widowControl w:val="0"/>
        <w:tabs>
          <w:tab w:val="left" w:pos="1701"/>
          <w:tab w:val="left" w:pos="1843"/>
        </w:tabs>
        <w:ind w:right="49"/>
      </w:pPr>
      <w:bookmarkStart w:id="39" w:name="_heading=h.9wrbivwf71ky" w:colFirst="0" w:colLast="0"/>
      <w:bookmarkEnd w:id="39"/>
      <w:r w:rsidRPr="00847559">
        <w:lastRenderedPageBreak/>
        <w:t xml:space="preserve">Respecto de la temporalidad en la que se ordena la información, es importante mencionar que, toda vez que la </w:t>
      </w:r>
      <w:r w:rsidRPr="00847559">
        <w:rPr>
          <w:b/>
        </w:rPr>
        <w:t>PARTE RECURRENTE</w:t>
      </w:r>
      <w:r w:rsidRPr="00847559">
        <w:t xml:space="preserve"> requirió conocer el monto de la deuda que dejó la administración saliente, la temporalidad se debe acotar al treinta y uno de diciembre del 2024, fecha en que terminó el periodo de dicha administración pública y por lo que hace al presupuesto que recibió, se consideró la fecha al uno de enero de dos mil veinticinco, por corresponder a inicio de la nueva administración. </w:t>
      </w:r>
    </w:p>
    <w:p w:rsidR="00473105" w:rsidRPr="00847559" w:rsidRDefault="00473105" w:rsidP="00847559">
      <w:pPr>
        <w:widowControl w:val="0"/>
        <w:tabs>
          <w:tab w:val="left" w:pos="1701"/>
          <w:tab w:val="left" w:pos="1843"/>
        </w:tabs>
        <w:ind w:right="49"/>
      </w:pPr>
    </w:p>
    <w:p w:rsidR="00473105" w:rsidRPr="00847559" w:rsidRDefault="00D45B19" w:rsidP="00847559">
      <w:pPr>
        <w:pStyle w:val="Ttulo3"/>
      </w:pPr>
      <w:bookmarkStart w:id="40" w:name="_heading=h.4k668n3" w:colFirst="0" w:colLast="0"/>
      <w:bookmarkEnd w:id="40"/>
      <w:r w:rsidRPr="00847559">
        <w:t>d) Conclusión</w:t>
      </w:r>
    </w:p>
    <w:p w:rsidR="00473105" w:rsidRPr="00847559" w:rsidRDefault="00D45B19" w:rsidP="00847559">
      <w:r w:rsidRPr="00847559">
        <w:t xml:space="preserve">En atención a los argumentos antes expuestos, se puede arribar a las siguientes conclusiones: </w:t>
      </w:r>
    </w:p>
    <w:p w:rsidR="00473105" w:rsidRPr="00847559" w:rsidRDefault="00D45B19" w:rsidP="00847559">
      <w:pPr>
        <w:numPr>
          <w:ilvl w:val="0"/>
          <w:numId w:val="1"/>
        </w:numPr>
        <w:ind w:right="-93"/>
      </w:pPr>
      <w:r w:rsidRPr="00847559">
        <w:rPr>
          <w:b/>
        </w:rPr>
        <w:t>El SUJETO OBLIGADO</w:t>
      </w:r>
      <w:r w:rsidRPr="00847559">
        <w:t xml:space="preserve"> es competente para conocer de la información solicitada, lo cual asumió al ponerla a disposición en su Portal de Información Pública de Oficio. </w:t>
      </w:r>
    </w:p>
    <w:p w:rsidR="00473105" w:rsidRPr="00847559" w:rsidRDefault="00D45B19" w:rsidP="00847559">
      <w:pPr>
        <w:numPr>
          <w:ilvl w:val="0"/>
          <w:numId w:val="1"/>
        </w:numPr>
        <w:ind w:right="-93"/>
      </w:pPr>
      <w:r w:rsidRPr="00847559">
        <w:t xml:space="preserve">La liga entregada en respuesta no cumple con los requisitos mínimos establecidos por la Ley de Transparencia y Acceso a la Información Pública del Estado de México y Municipios, toda vez que no es precisa, accesible ni directa. </w:t>
      </w:r>
    </w:p>
    <w:p w:rsidR="00473105" w:rsidRPr="00847559" w:rsidRDefault="00D45B19" w:rsidP="00847559">
      <w:pPr>
        <w:numPr>
          <w:ilvl w:val="0"/>
          <w:numId w:val="1"/>
        </w:numPr>
      </w:pPr>
      <w:r w:rsidRPr="00847559">
        <w:t xml:space="preserve">Se considera procedente que haga entrega de la información en el formato solicitado por la </w:t>
      </w:r>
      <w:r w:rsidRPr="00847559">
        <w:rPr>
          <w:b/>
        </w:rPr>
        <w:t xml:space="preserve">PARTE RECURRENTE </w:t>
      </w:r>
      <w:r w:rsidRPr="00847559">
        <w:t xml:space="preserve">a través del SAIMEX. </w:t>
      </w:r>
    </w:p>
    <w:p w:rsidR="00473105" w:rsidRPr="00847559" w:rsidRDefault="00473105" w:rsidP="00847559">
      <w:pPr>
        <w:ind w:right="-93"/>
      </w:pPr>
      <w:bookmarkStart w:id="41" w:name="_heading=h.8k8pc5q34lt4" w:colFirst="0" w:colLast="0"/>
      <w:bookmarkEnd w:id="41"/>
    </w:p>
    <w:p w:rsidR="00473105" w:rsidRDefault="00D45B19" w:rsidP="00847559">
      <w:pPr>
        <w:ind w:right="-93"/>
      </w:pPr>
      <w:bookmarkStart w:id="42" w:name="_heading=h.41mghml" w:colFirst="0" w:colLast="0"/>
      <w:bookmarkEnd w:id="42"/>
      <w:r w:rsidRPr="00847559">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847559" w:rsidRPr="00847559" w:rsidRDefault="00847559" w:rsidP="00847559">
      <w:pPr>
        <w:ind w:right="-93"/>
      </w:pPr>
    </w:p>
    <w:p w:rsidR="00473105" w:rsidRDefault="00473105" w:rsidP="00847559"/>
    <w:p w:rsidR="00847559" w:rsidRPr="00847559" w:rsidRDefault="00847559" w:rsidP="00847559"/>
    <w:p w:rsidR="00473105" w:rsidRPr="00847559" w:rsidRDefault="00D45B19" w:rsidP="00847559">
      <w:pPr>
        <w:pStyle w:val="Ttulo1"/>
        <w:spacing w:line="240" w:lineRule="auto"/>
        <w:ind w:left="567" w:right="567" w:firstLine="567"/>
        <w:rPr>
          <w:sz w:val="24"/>
          <w:szCs w:val="24"/>
        </w:rPr>
      </w:pPr>
      <w:bookmarkStart w:id="43" w:name="_heading=h.ro5mj6ij11eq" w:colFirst="0" w:colLast="0"/>
      <w:bookmarkStart w:id="44" w:name="_heading=h.2zbgiuw" w:colFirst="0" w:colLast="0"/>
      <w:bookmarkEnd w:id="43"/>
      <w:bookmarkEnd w:id="44"/>
      <w:r w:rsidRPr="00847559">
        <w:rPr>
          <w:sz w:val="24"/>
          <w:szCs w:val="24"/>
        </w:rPr>
        <w:lastRenderedPageBreak/>
        <w:t>RESUELVE</w:t>
      </w:r>
    </w:p>
    <w:p w:rsidR="00473105" w:rsidRPr="00847559" w:rsidRDefault="00473105" w:rsidP="00847559">
      <w:pPr>
        <w:ind w:right="113"/>
        <w:rPr>
          <w:b/>
        </w:rPr>
      </w:pPr>
    </w:p>
    <w:p w:rsidR="00473105" w:rsidRPr="00847559" w:rsidRDefault="00D45B19" w:rsidP="00847559">
      <w:pPr>
        <w:widowControl w:val="0"/>
      </w:pPr>
      <w:r w:rsidRPr="00847559">
        <w:rPr>
          <w:b/>
        </w:rPr>
        <w:t>PRIMERO.</w:t>
      </w:r>
      <w:r w:rsidRPr="00847559">
        <w:t xml:space="preserve"> Se </w:t>
      </w:r>
      <w:r w:rsidRPr="00847559">
        <w:rPr>
          <w:b/>
        </w:rPr>
        <w:t xml:space="preserve">REVOCAN </w:t>
      </w:r>
      <w:r w:rsidRPr="00847559">
        <w:t xml:space="preserve">las respuestas entregadas por el </w:t>
      </w:r>
      <w:r w:rsidRPr="00847559">
        <w:rPr>
          <w:b/>
        </w:rPr>
        <w:t>SUJETO OBLIGADO</w:t>
      </w:r>
      <w:r w:rsidRPr="00847559">
        <w:t xml:space="preserve"> en las solicitudes de información </w:t>
      </w:r>
      <w:r w:rsidRPr="00847559">
        <w:rPr>
          <w:b/>
        </w:rPr>
        <w:t>00002/OTZOLOTE/IP/2025 y 00012/OTZOLOTE/IP/2025,</w:t>
      </w:r>
      <w:r w:rsidRPr="00847559">
        <w:t xml:space="preserve"> por resultar </w:t>
      </w:r>
      <w:r w:rsidRPr="00847559">
        <w:rPr>
          <w:b/>
        </w:rPr>
        <w:t>FUNDADAS</w:t>
      </w:r>
      <w:r w:rsidRPr="00847559">
        <w:t xml:space="preserve"> las razones o motivos de inconformidad hechos valer por </w:t>
      </w:r>
      <w:r w:rsidRPr="00847559">
        <w:rPr>
          <w:b/>
        </w:rPr>
        <w:t>LA PARTE RECURRENTE</w:t>
      </w:r>
      <w:r w:rsidRPr="00847559">
        <w:t xml:space="preserve"> en los Recursos de Revisión </w:t>
      </w:r>
      <w:r w:rsidR="00847559" w:rsidRPr="00847559">
        <w:rPr>
          <w:b/>
        </w:rPr>
        <w:t>00272/INFOEM/IP/RR/2025 y 00274/INFOEM/IP/RR/2025</w:t>
      </w:r>
      <w:r w:rsidRPr="00847559">
        <w:t>,</w:t>
      </w:r>
      <w:r w:rsidRPr="00847559">
        <w:rPr>
          <w:b/>
        </w:rPr>
        <w:t xml:space="preserve"> </w:t>
      </w:r>
      <w:r w:rsidRPr="00847559">
        <w:t xml:space="preserve">en términos del considerando </w:t>
      </w:r>
      <w:r w:rsidRPr="00847559">
        <w:rPr>
          <w:b/>
        </w:rPr>
        <w:t>SEGUNDO</w:t>
      </w:r>
      <w:r w:rsidRPr="00847559">
        <w:t xml:space="preserve"> de la presente Resolución.</w:t>
      </w:r>
    </w:p>
    <w:p w:rsidR="00473105" w:rsidRPr="00847559" w:rsidRDefault="00473105" w:rsidP="00847559">
      <w:pPr>
        <w:rPr>
          <w:b/>
        </w:rPr>
      </w:pPr>
    </w:p>
    <w:p w:rsidR="00473105" w:rsidRPr="00847559" w:rsidRDefault="00D45B19" w:rsidP="00847559">
      <w:pPr>
        <w:ind w:right="-93"/>
      </w:pPr>
      <w:r w:rsidRPr="00847559">
        <w:rPr>
          <w:b/>
        </w:rPr>
        <w:t>SEGUNDO.</w:t>
      </w:r>
      <w:r w:rsidRPr="00847559">
        <w:t xml:space="preserve"> Se </w:t>
      </w:r>
      <w:r w:rsidRPr="00847559">
        <w:rPr>
          <w:b/>
        </w:rPr>
        <w:t xml:space="preserve">ORDENA </w:t>
      </w:r>
      <w:r w:rsidRPr="00847559">
        <w:t xml:space="preserve">al </w:t>
      </w:r>
      <w:r w:rsidRPr="00847559">
        <w:rPr>
          <w:b/>
        </w:rPr>
        <w:t>SUJETO OBLIGADO</w:t>
      </w:r>
      <w:r w:rsidRPr="00847559">
        <w:t xml:space="preserve">, a efecto de que entregue a través del </w:t>
      </w:r>
      <w:r w:rsidRPr="00847559">
        <w:rPr>
          <w:b/>
        </w:rPr>
        <w:t>SAIMEX</w:t>
      </w:r>
      <w:r w:rsidRPr="00847559">
        <w:t>, los documentos donde conste lo siguiente</w:t>
      </w:r>
    </w:p>
    <w:p w:rsidR="00473105" w:rsidRPr="00847559" w:rsidRDefault="00473105" w:rsidP="00847559">
      <w:pPr>
        <w:tabs>
          <w:tab w:val="left" w:pos="4962"/>
        </w:tabs>
      </w:pPr>
    </w:p>
    <w:p w:rsidR="00473105" w:rsidRPr="00847559" w:rsidRDefault="00D45B19" w:rsidP="00847559">
      <w:pPr>
        <w:pStyle w:val="Puesto"/>
        <w:spacing w:line="360" w:lineRule="auto"/>
        <w:ind w:firstLine="567"/>
      </w:pPr>
      <w:r w:rsidRPr="00847559">
        <w:t>a) El monto de la deuda municipal al 31 de diciembre de 2024.</w:t>
      </w:r>
    </w:p>
    <w:p w:rsidR="00473105" w:rsidRPr="00847559" w:rsidRDefault="00D45B19" w:rsidP="00847559">
      <w:pPr>
        <w:pStyle w:val="Puesto"/>
        <w:spacing w:line="360" w:lineRule="auto"/>
        <w:ind w:firstLine="567"/>
      </w:pPr>
      <w:r w:rsidRPr="00847559">
        <w:t xml:space="preserve">b) El presupuesto recibido al 01 de enero de 2025. </w:t>
      </w:r>
    </w:p>
    <w:p w:rsidR="00473105" w:rsidRPr="00847559" w:rsidRDefault="00473105" w:rsidP="00847559"/>
    <w:p w:rsidR="00473105" w:rsidRPr="00847559" w:rsidRDefault="00D45B19" w:rsidP="00847559">
      <w:r w:rsidRPr="00847559">
        <w:rPr>
          <w:b/>
        </w:rPr>
        <w:t>TERCERO.</w:t>
      </w:r>
      <w:r w:rsidRPr="00847559">
        <w:t xml:space="preserve"> </w:t>
      </w:r>
      <w:r w:rsidRPr="00847559">
        <w:rPr>
          <w:b/>
        </w:rPr>
        <w:t xml:space="preserve">Notifíquese </w:t>
      </w:r>
      <w:r w:rsidRPr="00847559">
        <w:t>vía Sistema de Acceso a la Información Mexiquense (</w:t>
      </w:r>
      <w:r w:rsidRPr="00847559">
        <w:rPr>
          <w:b/>
        </w:rPr>
        <w:t>SAIMEX)</w:t>
      </w:r>
      <w:r w:rsidRPr="00847559">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847559">
        <w:rPr>
          <w:b/>
        </w:rPr>
        <w:t>diez días hábiles</w:t>
      </w:r>
      <w:r w:rsidRPr="00847559">
        <w:t xml:space="preserve">, e informe a este Instituto en un plazo de </w:t>
      </w:r>
      <w:r w:rsidRPr="00847559">
        <w:rPr>
          <w:b/>
        </w:rPr>
        <w:t>tres días hábiles</w:t>
      </w:r>
      <w:r w:rsidRPr="00847559">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473105" w:rsidRPr="00847559" w:rsidRDefault="00473105" w:rsidP="00847559"/>
    <w:p w:rsidR="00473105" w:rsidRPr="00847559" w:rsidRDefault="00D45B19" w:rsidP="00847559">
      <w:r w:rsidRPr="00847559">
        <w:rPr>
          <w:b/>
        </w:rPr>
        <w:lastRenderedPageBreak/>
        <w:t>CUARTO.</w:t>
      </w:r>
      <w:r w:rsidRPr="00847559">
        <w:t xml:space="preserve"> Notifíquese a </w:t>
      </w:r>
      <w:r w:rsidRPr="00847559">
        <w:rPr>
          <w:b/>
        </w:rPr>
        <w:t>LA PARTE RECURRENTE</w:t>
      </w:r>
      <w:r w:rsidRPr="00847559">
        <w:t xml:space="preserve"> la presente resolución vía Sistema de Acceso a la Información Mexiquense (</w:t>
      </w:r>
      <w:r w:rsidRPr="00847559">
        <w:rPr>
          <w:b/>
        </w:rPr>
        <w:t>SAIMEX</w:t>
      </w:r>
      <w:r w:rsidRPr="00847559">
        <w:t>).</w:t>
      </w:r>
    </w:p>
    <w:p w:rsidR="00473105" w:rsidRPr="00847559" w:rsidRDefault="00473105" w:rsidP="00847559"/>
    <w:p w:rsidR="00473105" w:rsidRPr="00847559" w:rsidRDefault="00D45B19" w:rsidP="00847559">
      <w:r w:rsidRPr="00847559">
        <w:rPr>
          <w:b/>
        </w:rPr>
        <w:t>QUINTO</w:t>
      </w:r>
      <w:r w:rsidRPr="00847559">
        <w:t xml:space="preserve">. Hágase del conocimiento a </w:t>
      </w:r>
      <w:r w:rsidRPr="00847559">
        <w:rPr>
          <w:b/>
        </w:rPr>
        <w:t>LA PARTE RECURRENTE</w:t>
      </w:r>
      <w:r w:rsidRPr="00847559">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rsidR="00473105" w:rsidRPr="00847559" w:rsidRDefault="00473105" w:rsidP="00847559"/>
    <w:p w:rsidR="00473105" w:rsidRPr="00847559" w:rsidRDefault="00D45B19" w:rsidP="00847559">
      <w:bookmarkStart w:id="45" w:name="_heading=h.1egqt2p" w:colFirst="0" w:colLast="0"/>
      <w:bookmarkEnd w:id="45"/>
      <w:r w:rsidRPr="00847559">
        <w:rPr>
          <w:b/>
        </w:rPr>
        <w:t>SEXTO.</w:t>
      </w:r>
      <w:r w:rsidRPr="00847559">
        <w:t xml:space="preserve"> De conformidad con el artículo 198 de la Ley de Transparencia y Acceso a la Información Pública del Estado de México y Municipios, el </w:t>
      </w:r>
      <w:r w:rsidRPr="00847559">
        <w:rPr>
          <w:b/>
        </w:rPr>
        <w:t>SUJETO OBLIGADO</w:t>
      </w:r>
      <w:r w:rsidRPr="00847559">
        <w:t xml:space="preserve"> podrá solicitar una ampliación de plazo de manera fundada y motivada, para el cumplimiento de la presente resolución.</w:t>
      </w:r>
    </w:p>
    <w:p w:rsidR="00473105" w:rsidRPr="00847559" w:rsidRDefault="00473105" w:rsidP="00847559">
      <w:pPr>
        <w:ind w:right="113"/>
        <w:rPr>
          <w:b/>
        </w:rPr>
      </w:pPr>
    </w:p>
    <w:p w:rsidR="00473105" w:rsidRPr="00847559" w:rsidRDefault="00D45B19" w:rsidP="00847559">
      <w:r w:rsidRPr="00847559">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DIECINUEVE DE FEBRERO DE DOS MIL VEINTICINCO, ANTE EL SECRETARIO TÉCNICO DEL PLENO, ALEXIS TAPIA RAMÍREZ.</w:t>
      </w:r>
    </w:p>
    <w:p w:rsidR="00473105" w:rsidRPr="00847559" w:rsidRDefault="00D45B19" w:rsidP="00847559">
      <w:pPr>
        <w:ind w:right="-93"/>
        <w:rPr>
          <w:sz w:val="18"/>
          <w:szCs w:val="18"/>
        </w:rPr>
      </w:pPr>
      <w:r w:rsidRPr="00847559">
        <w:rPr>
          <w:sz w:val="18"/>
          <w:szCs w:val="18"/>
        </w:rPr>
        <w:t>SCMM/AGZ/DEMF/PMRE</w:t>
      </w:r>
    </w:p>
    <w:p w:rsidR="00473105" w:rsidRPr="00847559" w:rsidRDefault="00473105" w:rsidP="00847559">
      <w:pPr>
        <w:ind w:right="-93"/>
      </w:pPr>
    </w:p>
    <w:p w:rsidR="00473105" w:rsidRPr="00847559" w:rsidRDefault="00473105" w:rsidP="00847559">
      <w:pPr>
        <w:ind w:right="-93"/>
      </w:pPr>
    </w:p>
    <w:p w:rsidR="00473105" w:rsidRPr="00847559" w:rsidRDefault="00473105" w:rsidP="00847559">
      <w:pPr>
        <w:ind w:right="-93"/>
      </w:pPr>
    </w:p>
    <w:p w:rsidR="00473105" w:rsidRPr="00847559" w:rsidRDefault="00473105" w:rsidP="00847559">
      <w:pPr>
        <w:ind w:right="-93"/>
      </w:pPr>
    </w:p>
    <w:p w:rsidR="00473105" w:rsidRPr="00847559" w:rsidRDefault="00473105" w:rsidP="00847559">
      <w:pPr>
        <w:ind w:right="-93"/>
      </w:pPr>
    </w:p>
    <w:p w:rsidR="00473105" w:rsidRPr="00847559" w:rsidRDefault="00473105" w:rsidP="00847559">
      <w:pPr>
        <w:ind w:right="-93"/>
      </w:pPr>
    </w:p>
    <w:p w:rsidR="00473105" w:rsidRPr="00847559" w:rsidRDefault="00473105" w:rsidP="00847559">
      <w:pPr>
        <w:ind w:right="-93"/>
      </w:pPr>
    </w:p>
    <w:p w:rsidR="00473105" w:rsidRPr="00847559" w:rsidRDefault="00473105" w:rsidP="00847559">
      <w:pPr>
        <w:tabs>
          <w:tab w:val="center" w:pos="4568"/>
        </w:tabs>
        <w:ind w:right="-93"/>
      </w:pPr>
    </w:p>
    <w:p w:rsidR="00473105" w:rsidRPr="00847559" w:rsidRDefault="00473105" w:rsidP="00847559">
      <w:pPr>
        <w:tabs>
          <w:tab w:val="center" w:pos="4568"/>
        </w:tabs>
        <w:ind w:right="-93"/>
      </w:pPr>
    </w:p>
    <w:p w:rsidR="00473105" w:rsidRPr="00847559" w:rsidRDefault="00473105" w:rsidP="00847559">
      <w:pPr>
        <w:tabs>
          <w:tab w:val="center" w:pos="4568"/>
        </w:tabs>
        <w:ind w:right="-93"/>
      </w:pPr>
    </w:p>
    <w:p w:rsidR="00473105" w:rsidRPr="00847559" w:rsidRDefault="00473105" w:rsidP="00847559">
      <w:pPr>
        <w:tabs>
          <w:tab w:val="center" w:pos="4568"/>
        </w:tabs>
        <w:ind w:right="-93"/>
      </w:pPr>
    </w:p>
    <w:p w:rsidR="00473105" w:rsidRPr="00847559" w:rsidRDefault="00473105" w:rsidP="00847559">
      <w:pPr>
        <w:tabs>
          <w:tab w:val="center" w:pos="4568"/>
        </w:tabs>
        <w:ind w:right="-93"/>
      </w:pPr>
    </w:p>
    <w:p w:rsidR="00473105" w:rsidRPr="00847559" w:rsidRDefault="00473105" w:rsidP="00847559">
      <w:pPr>
        <w:tabs>
          <w:tab w:val="center" w:pos="4568"/>
        </w:tabs>
        <w:ind w:right="-93"/>
      </w:pPr>
    </w:p>
    <w:p w:rsidR="00473105" w:rsidRPr="00847559" w:rsidRDefault="00473105" w:rsidP="00847559">
      <w:pPr>
        <w:tabs>
          <w:tab w:val="center" w:pos="4568"/>
        </w:tabs>
        <w:ind w:right="-93"/>
      </w:pPr>
    </w:p>
    <w:p w:rsidR="00473105" w:rsidRPr="00847559" w:rsidRDefault="00473105" w:rsidP="00847559">
      <w:pPr>
        <w:tabs>
          <w:tab w:val="center" w:pos="4568"/>
        </w:tabs>
        <w:ind w:right="-93"/>
      </w:pPr>
    </w:p>
    <w:p w:rsidR="00473105" w:rsidRPr="00847559" w:rsidRDefault="00473105" w:rsidP="00847559">
      <w:pPr>
        <w:tabs>
          <w:tab w:val="center" w:pos="4568"/>
        </w:tabs>
        <w:ind w:right="-93"/>
      </w:pPr>
    </w:p>
    <w:p w:rsidR="00473105" w:rsidRPr="00847559" w:rsidRDefault="00473105" w:rsidP="00847559">
      <w:pPr>
        <w:tabs>
          <w:tab w:val="center" w:pos="4568"/>
        </w:tabs>
        <w:ind w:right="-93"/>
      </w:pPr>
    </w:p>
    <w:p w:rsidR="00473105" w:rsidRPr="00847559" w:rsidRDefault="00473105" w:rsidP="00847559">
      <w:pPr>
        <w:tabs>
          <w:tab w:val="center" w:pos="4568"/>
        </w:tabs>
        <w:ind w:right="-93"/>
      </w:pPr>
    </w:p>
    <w:p w:rsidR="00473105" w:rsidRPr="00847559" w:rsidRDefault="00473105" w:rsidP="00847559">
      <w:pPr>
        <w:tabs>
          <w:tab w:val="center" w:pos="4568"/>
        </w:tabs>
        <w:ind w:right="-93"/>
      </w:pPr>
    </w:p>
    <w:p w:rsidR="00473105" w:rsidRPr="00847559" w:rsidRDefault="00473105" w:rsidP="00847559">
      <w:pPr>
        <w:tabs>
          <w:tab w:val="center" w:pos="4568"/>
        </w:tabs>
        <w:ind w:right="-93"/>
      </w:pPr>
    </w:p>
    <w:p w:rsidR="00473105" w:rsidRPr="00847559" w:rsidRDefault="00473105" w:rsidP="00847559">
      <w:pPr>
        <w:tabs>
          <w:tab w:val="center" w:pos="4568"/>
        </w:tabs>
        <w:ind w:right="-93"/>
      </w:pPr>
    </w:p>
    <w:p w:rsidR="00473105" w:rsidRPr="00847559" w:rsidRDefault="00473105" w:rsidP="00847559">
      <w:pPr>
        <w:tabs>
          <w:tab w:val="center" w:pos="4568"/>
        </w:tabs>
        <w:ind w:right="-93"/>
      </w:pPr>
    </w:p>
    <w:p w:rsidR="00473105" w:rsidRPr="00847559" w:rsidRDefault="00473105" w:rsidP="00847559">
      <w:pPr>
        <w:tabs>
          <w:tab w:val="center" w:pos="4568"/>
        </w:tabs>
        <w:ind w:right="-93"/>
      </w:pPr>
    </w:p>
    <w:p w:rsidR="00473105" w:rsidRPr="00847559" w:rsidRDefault="00473105" w:rsidP="00847559"/>
    <w:sectPr w:rsidR="00473105" w:rsidRPr="00847559">
      <w:footerReference w:type="default" r:id="rId13"/>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6CF" w:rsidRDefault="00B436CF">
      <w:pPr>
        <w:spacing w:line="240" w:lineRule="auto"/>
      </w:pPr>
      <w:r>
        <w:separator/>
      </w:r>
    </w:p>
  </w:endnote>
  <w:endnote w:type="continuationSeparator" w:id="0">
    <w:p w:rsidR="00B436CF" w:rsidRDefault="00B436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Play">
    <w:altName w:val="Times New Roman"/>
    <w:charset w:val="00"/>
    <w:family w:val="auto"/>
    <w:pitch w:val="default"/>
  </w:font>
  <w:font w:name="Aptos">
    <w:altName w:val="Arial"/>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105" w:rsidRDefault="00473105">
    <w:pPr>
      <w:tabs>
        <w:tab w:val="center" w:pos="4550"/>
        <w:tab w:val="left" w:pos="5818"/>
      </w:tabs>
      <w:ind w:right="260"/>
      <w:jc w:val="right"/>
      <w:rPr>
        <w:color w:val="071320"/>
        <w:sz w:val="24"/>
        <w:szCs w:val="24"/>
      </w:rPr>
    </w:pPr>
  </w:p>
  <w:p w:rsidR="00473105" w:rsidRDefault="00473105">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105" w:rsidRDefault="00D45B19">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CB34AA">
      <w:rPr>
        <w:noProof/>
        <w:color w:val="0A1D30"/>
        <w:sz w:val="24"/>
        <w:szCs w:val="24"/>
      </w:rPr>
      <w:t>27</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CB34AA">
      <w:rPr>
        <w:noProof/>
        <w:color w:val="0A1D30"/>
        <w:sz w:val="24"/>
        <w:szCs w:val="24"/>
      </w:rPr>
      <w:t>29</w:t>
    </w:r>
    <w:r>
      <w:rPr>
        <w:color w:val="0A1D30"/>
        <w:sz w:val="24"/>
        <w:szCs w:val="24"/>
      </w:rPr>
      <w:fldChar w:fldCharType="end"/>
    </w:r>
  </w:p>
  <w:p w:rsidR="00473105" w:rsidRDefault="0047310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6CF" w:rsidRDefault="00B436CF">
      <w:pPr>
        <w:spacing w:line="240" w:lineRule="auto"/>
      </w:pPr>
      <w:r>
        <w:separator/>
      </w:r>
    </w:p>
  </w:footnote>
  <w:footnote w:type="continuationSeparator" w:id="0">
    <w:p w:rsidR="00B436CF" w:rsidRDefault="00B436CF">
      <w:pPr>
        <w:spacing w:line="240" w:lineRule="auto"/>
      </w:pPr>
      <w:r>
        <w:continuationSeparator/>
      </w:r>
    </w:p>
  </w:footnote>
  <w:footnote w:id="1">
    <w:p w:rsidR="00473105" w:rsidRDefault="00D45B19">
      <w:pPr>
        <w:spacing w:line="240" w:lineRule="auto"/>
        <w:rPr>
          <w:sz w:val="20"/>
        </w:rPr>
      </w:pPr>
      <w:r>
        <w:rPr>
          <w:vertAlign w:val="superscript"/>
        </w:rPr>
        <w:footnoteRef/>
      </w:r>
      <w:r>
        <w:rPr>
          <w:sz w:val="20"/>
        </w:rPr>
        <w:t xml:space="preserve"> Ya que si bien las solicitudes fueron interpuestas el veintitrés de diciembre de dos mil veinticuatro y el cinco de enero de dos mil veinticinco, dichas fechas son consideradas inhábiles, por lo que se tuvieron por interpuestas el primer día hábil siguiente, siendo este el trece de enero de dos mil veinticinco.</w:t>
      </w:r>
    </w:p>
  </w:footnote>
  <w:footnote w:id="2">
    <w:p w:rsidR="00473105" w:rsidRDefault="00D45B19">
      <w:pPr>
        <w:spacing w:line="240" w:lineRule="auto"/>
        <w:rPr>
          <w:i/>
          <w:sz w:val="18"/>
          <w:szCs w:val="18"/>
        </w:rPr>
      </w:pPr>
      <w:r>
        <w:rPr>
          <w:vertAlign w:val="superscript"/>
        </w:rPr>
        <w:footnoteRef/>
      </w:r>
      <w:r>
        <w:rPr>
          <w:sz w:val="20"/>
        </w:rPr>
        <w:t xml:space="preserve"> </w:t>
      </w:r>
      <w:hyperlink r:id="rId1">
        <w:r>
          <w:rPr>
            <w:i/>
            <w:color w:val="467886"/>
            <w:sz w:val="18"/>
            <w:szCs w:val="18"/>
            <w:u w:val="single"/>
          </w:rPr>
          <w:t>https://opendatacharter.net/principles-es/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105" w:rsidRDefault="00473105">
    <w:pPr>
      <w:widowControl w:val="0"/>
      <w:pBdr>
        <w:top w:val="nil"/>
        <w:left w:val="nil"/>
        <w:bottom w:val="nil"/>
        <w:right w:val="nil"/>
        <w:between w:val="nil"/>
      </w:pBdr>
      <w:spacing w:line="276" w:lineRule="auto"/>
      <w:jc w:val="left"/>
    </w:pPr>
  </w:p>
  <w:tbl>
    <w:tblPr>
      <w:tblStyle w:val="afb"/>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473105">
      <w:trPr>
        <w:trHeight w:val="144"/>
        <w:jc w:val="right"/>
      </w:trPr>
      <w:tc>
        <w:tcPr>
          <w:tcW w:w="2727" w:type="dxa"/>
        </w:tcPr>
        <w:p w:rsidR="00473105" w:rsidRDefault="00D45B19">
          <w:pPr>
            <w:tabs>
              <w:tab w:val="right" w:pos="8838"/>
            </w:tabs>
            <w:ind w:left="-74" w:right="-105"/>
            <w:rPr>
              <w:b/>
            </w:rPr>
          </w:pPr>
          <w:r>
            <w:rPr>
              <w:b/>
            </w:rPr>
            <w:t>Recurso de Revisión:</w:t>
          </w:r>
        </w:p>
      </w:tc>
      <w:tc>
        <w:tcPr>
          <w:tcW w:w="3402" w:type="dxa"/>
        </w:tcPr>
        <w:p w:rsidR="00473105" w:rsidRDefault="00D45B19">
          <w:pPr>
            <w:tabs>
              <w:tab w:val="right" w:pos="8838"/>
            </w:tabs>
            <w:ind w:left="-74" w:right="-105"/>
          </w:pPr>
          <w:r>
            <w:t>00272/INFOEM/IP/RR/2025 y acumulado</w:t>
          </w:r>
        </w:p>
      </w:tc>
    </w:tr>
    <w:tr w:rsidR="00473105">
      <w:trPr>
        <w:trHeight w:val="283"/>
        <w:jc w:val="right"/>
      </w:trPr>
      <w:tc>
        <w:tcPr>
          <w:tcW w:w="2727" w:type="dxa"/>
        </w:tcPr>
        <w:p w:rsidR="00473105" w:rsidRDefault="00D45B19">
          <w:pPr>
            <w:tabs>
              <w:tab w:val="right" w:pos="8838"/>
            </w:tabs>
            <w:ind w:left="-74" w:right="-105"/>
            <w:rPr>
              <w:b/>
            </w:rPr>
          </w:pPr>
          <w:r>
            <w:rPr>
              <w:b/>
            </w:rPr>
            <w:t>Sujeto Obligado:</w:t>
          </w:r>
        </w:p>
      </w:tc>
      <w:tc>
        <w:tcPr>
          <w:tcW w:w="3402" w:type="dxa"/>
        </w:tcPr>
        <w:p w:rsidR="00473105" w:rsidRDefault="00D45B19">
          <w:pPr>
            <w:tabs>
              <w:tab w:val="left" w:pos="2834"/>
              <w:tab w:val="right" w:pos="8838"/>
            </w:tabs>
            <w:ind w:left="-108" w:right="-105"/>
          </w:pPr>
          <w:r>
            <w:t>Ayuntamiento de Otzolotepec</w:t>
          </w:r>
        </w:p>
      </w:tc>
    </w:tr>
    <w:tr w:rsidR="00473105">
      <w:trPr>
        <w:trHeight w:val="283"/>
        <w:jc w:val="right"/>
      </w:trPr>
      <w:tc>
        <w:tcPr>
          <w:tcW w:w="2727" w:type="dxa"/>
        </w:tcPr>
        <w:p w:rsidR="00473105" w:rsidRDefault="00D45B19">
          <w:pPr>
            <w:tabs>
              <w:tab w:val="right" w:pos="8838"/>
            </w:tabs>
            <w:ind w:left="-74" w:right="-105"/>
            <w:rPr>
              <w:b/>
            </w:rPr>
          </w:pPr>
          <w:r>
            <w:rPr>
              <w:b/>
            </w:rPr>
            <w:t>Comisionada Ponente:</w:t>
          </w:r>
        </w:p>
      </w:tc>
      <w:tc>
        <w:tcPr>
          <w:tcW w:w="3402" w:type="dxa"/>
        </w:tcPr>
        <w:p w:rsidR="00473105" w:rsidRDefault="00D45B19">
          <w:pPr>
            <w:tabs>
              <w:tab w:val="right" w:pos="8838"/>
            </w:tabs>
            <w:ind w:left="-108" w:right="-105"/>
          </w:pPr>
          <w:r>
            <w:t>Sharon Cristina Morales Martínez</w:t>
          </w:r>
        </w:p>
      </w:tc>
    </w:tr>
  </w:tbl>
  <w:p w:rsidR="00473105" w:rsidRDefault="00D45B19">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031BB57C" wp14:editId="590E1360">
          <wp:simplePos x="0" y="0"/>
          <wp:positionH relativeFrom="margin">
            <wp:posOffset>-995033</wp:posOffset>
          </wp:positionH>
          <wp:positionV relativeFrom="margin">
            <wp:posOffset>-1782433</wp:posOffset>
          </wp:positionV>
          <wp:extent cx="8426450" cy="10972800"/>
          <wp:effectExtent l="0" t="0" r="0" b="0"/>
          <wp:wrapNone/>
          <wp:docPr id="21596448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105" w:rsidRDefault="00473105">
    <w:pPr>
      <w:widowControl w:val="0"/>
      <w:pBdr>
        <w:top w:val="nil"/>
        <w:left w:val="nil"/>
        <w:bottom w:val="nil"/>
        <w:right w:val="nil"/>
        <w:between w:val="nil"/>
      </w:pBdr>
      <w:spacing w:line="276" w:lineRule="auto"/>
      <w:jc w:val="left"/>
      <w:rPr>
        <w:color w:val="000000"/>
        <w:sz w:val="14"/>
        <w:szCs w:val="14"/>
      </w:rPr>
    </w:pPr>
  </w:p>
  <w:tbl>
    <w:tblPr>
      <w:tblStyle w:val="afc"/>
      <w:tblW w:w="6660" w:type="dxa"/>
      <w:tblInd w:w="2552" w:type="dxa"/>
      <w:tblLayout w:type="fixed"/>
      <w:tblLook w:val="0400" w:firstRow="0" w:lastRow="0" w:firstColumn="0" w:lastColumn="0" w:noHBand="0" w:noVBand="1"/>
    </w:tblPr>
    <w:tblGrid>
      <w:gridCol w:w="283"/>
      <w:gridCol w:w="6377"/>
    </w:tblGrid>
    <w:tr w:rsidR="00473105">
      <w:trPr>
        <w:trHeight w:val="1435"/>
      </w:trPr>
      <w:tc>
        <w:tcPr>
          <w:tcW w:w="283" w:type="dxa"/>
          <w:shd w:val="clear" w:color="auto" w:fill="auto"/>
        </w:tcPr>
        <w:p w:rsidR="00473105" w:rsidRDefault="00473105">
          <w:pPr>
            <w:tabs>
              <w:tab w:val="right" w:pos="4273"/>
            </w:tabs>
            <w:rPr>
              <w:rFonts w:ascii="Garamond" w:eastAsia="Garamond" w:hAnsi="Garamond" w:cs="Garamond"/>
            </w:rPr>
          </w:pPr>
        </w:p>
      </w:tc>
      <w:tc>
        <w:tcPr>
          <w:tcW w:w="6377" w:type="dxa"/>
          <w:shd w:val="clear" w:color="auto" w:fill="auto"/>
        </w:tcPr>
        <w:p w:rsidR="00473105" w:rsidRDefault="00473105">
          <w:pPr>
            <w:widowControl w:val="0"/>
            <w:pBdr>
              <w:top w:val="nil"/>
              <w:left w:val="nil"/>
              <w:bottom w:val="nil"/>
              <w:right w:val="nil"/>
              <w:between w:val="nil"/>
            </w:pBdr>
            <w:spacing w:line="276" w:lineRule="auto"/>
            <w:jc w:val="left"/>
            <w:rPr>
              <w:rFonts w:ascii="Garamond" w:eastAsia="Garamond" w:hAnsi="Garamond" w:cs="Garamond"/>
            </w:rPr>
          </w:pPr>
        </w:p>
        <w:tbl>
          <w:tblPr>
            <w:tblStyle w:val="afd"/>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473105">
            <w:trPr>
              <w:trHeight w:val="144"/>
            </w:trPr>
            <w:tc>
              <w:tcPr>
                <w:tcW w:w="2727" w:type="dxa"/>
              </w:tcPr>
              <w:p w:rsidR="00473105" w:rsidRDefault="00D45B19">
                <w:pPr>
                  <w:tabs>
                    <w:tab w:val="right" w:pos="8838"/>
                  </w:tabs>
                  <w:ind w:left="-74" w:right="-105"/>
                  <w:rPr>
                    <w:b/>
                  </w:rPr>
                </w:pPr>
                <w:bookmarkStart w:id="0" w:name="_heading=h.vx1227" w:colFirst="0" w:colLast="0"/>
                <w:bookmarkEnd w:id="0"/>
                <w:r>
                  <w:rPr>
                    <w:b/>
                  </w:rPr>
                  <w:t>Recurso de Revisión:</w:t>
                </w:r>
              </w:p>
            </w:tc>
            <w:tc>
              <w:tcPr>
                <w:tcW w:w="3402" w:type="dxa"/>
              </w:tcPr>
              <w:p w:rsidR="00473105" w:rsidRDefault="00D45B19">
                <w:pPr>
                  <w:tabs>
                    <w:tab w:val="right" w:pos="8838"/>
                  </w:tabs>
                  <w:ind w:left="-74" w:right="-105"/>
                </w:pPr>
                <w:r>
                  <w:t>00272/INFOEM/IP/RR/2025 y acumulado</w:t>
                </w:r>
              </w:p>
            </w:tc>
            <w:tc>
              <w:tcPr>
                <w:tcW w:w="3402" w:type="dxa"/>
              </w:tcPr>
              <w:p w:rsidR="00473105" w:rsidRDefault="00473105">
                <w:pPr>
                  <w:tabs>
                    <w:tab w:val="right" w:pos="8838"/>
                  </w:tabs>
                  <w:ind w:left="-74" w:right="-105"/>
                </w:pPr>
              </w:p>
            </w:tc>
          </w:tr>
          <w:tr w:rsidR="00473105">
            <w:trPr>
              <w:trHeight w:val="144"/>
            </w:trPr>
            <w:tc>
              <w:tcPr>
                <w:tcW w:w="2727" w:type="dxa"/>
              </w:tcPr>
              <w:p w:rsidR="00473105" w:rsidRDefault="00D45B19">
                <w:pPr>
                  <w:tabs>
                    <w:tab w:val="right" w:pos="8838"/>
                  </w:tabs>
                  <w:ind w:left="-74" w:right="-105"/>
                  <w:rPr>
                    <w:b/>
                  </w:rPr>
                </w:pPr>
                <w:bookmarkStart w:id="1" w:name="_heading=h.3fwokq0" w:colFirst="0" w:colLast="0"/>
                <w:bookmarkEnd w:id="1"/>
                <w:r>
                  <w:rPr>
                    <w:b/>
                  </w:rPr>
                  <w:t>Recurrente:</w:t>
                </w:r>
              </w:p>
            </w:tc>
            <w:tc>
              <w:tcPr>
                <w:tcW w:w="3402" w:type="dxa"/>
              </w:tcPr>
              <w:p w:rsidR="00473105" w:rsidRDefault="00CB34AA">
                <w:pPr>
                  <w:tabs>
                    <w:tab w:val="left" w:pos="3122"/>
                    <w:tab w:val="right" w:pos="8838"/>
                  </w:tabs>
                  <w:ind w:left="-105" w:right="-105"/>
                </w:pPr>
                <w:r>
                  <w:t>XXXXXXXXX XXXXXXXXXXXX</w:t>
                </w:r>
              </w:p>
            </w:tc>
            <w:tc>
              <w:tcPr>
                <w:tcW w:w="3402" w:type="dxa"/>
              </w:tcPr>
              <w:p w:rsidR="00473105" w:rsidRDefault="00473105">
                <w:pPr>
                  <w:tabs>
                    <w:tab w:val="left" w:pos="3122"/>
                    <w:tab w:val="right" w:pos="8838"/>
                  </w:tabs>
                  <w:ind w:left="-105" w:right="-105"/>
                </w:pPr>
              </w:p>
            </w:tc>
          </w:tr>
          <w:tr w:rsidR="00473105">
            <w:trPr>
              <w:trHeight w:val="283"/>
            </w:trPr>
            <w:tc>
              <w:tcPr>
                <w:tcW w:w="2727" w:type="dxa"/>
              </w:tcPr>
              <w:p w:rsidR="00473105" w:rsidRDefault="00D45B19">
                <w:pPr>
                  <w:tabs>
                    <w:tab w:val="right" w:pos="8838"/>
                  </w:tabs>
                  <w:ind w:left="-74" w:right="-105"/>
                  <w:rPr>
                    <w:b/>
                  </w:rPr>
                </w:pPr>
                <w:r>
                  <w:rPr>
                    <w:b/>
                  </w:rPr>
                  <w:t>Sujeto Obligado:</w:t>
                </w:r>
              </w:p>
            </w:tc>
            <w:tc>
              <w:tcPr>
                <w:tcW w:w="3402" w:type="dxa"/>
              </w:tcPr>
              <w:p w:rsidR="00473105" w:rsidRDefault="00D45B19">
                <w:pPr>
                  <w:tabs>
                    <w:tab w:val="left" w:pos="2834"/>
                    <w:tab w:val="right" w:pos="8838"/>
                  </w:tabs>
                  <w:ind w:left="-108" w:right="-105"/>
                </w:pPr>
                <w:r>
                  <w:t>Ayuntamiento de Otzolotepec</w:t>
                </w:r>
              </w:p>
            </w:tc>
            <w:tc>
              <w:tcPr>
                <w:tcW w:w="3402" w:type="dxa"/>
              </w:tcPr>
              <w:p w:rsidR="00473105" w:rsidRDefault="00473105">
                <w:pPr>
                  <w:tabs>
                    <w:tab w:val="left" w:pos="2834"/>
                    <w:tab w:val="right" w:pos="8838"/>
                  </w:tabs>
                  <w:ind w:left="-108" w:right="-105"/>
                </w:pPr>
              </w:p>
            </w:tc>
          </w:tr>
          <w:tr w:rsidR="00473105">
            <w:trPr>
              <w:trHeight w:val="283"/>
            </w:trPr>
            <w:tc>
              <w:tcPr>
                <w:tcW w:w="2727" w:type="dxa"/>
              </w:tcPr>
              <w:p w:rsidR="00473105" w:rsidRDefault="00D45B19">
                <w:pPr>
                  <w:tabs>
                    <w:tab w:val="right" w:pos="8838"/>
                  </w:tabs>
                  <w:ind w:left="-74" w:right="-105"/>
                  <w:rPr>
                    <w:b/>
                  </w:rPr>
                </w:pPr>
                <w:r>
                  <w:rPr>
                    <w:b/>
                  </w:rPr>
                  <w:t>Comisionada Ponente:</w:t>
                </w:r>
              </w:p>
            </w:tc>
            <w:tc>
              <w:tcPr>
                <w:tcW w:w="3402" w:type="dxa"/>
              </w:tcPr>
              <w:p w:rsidR="00473105" w:rsidRDefault="00D45B19">
                <w:pPr>
                  <w:tabs>
                    <w:tab w:val="right" w:pos="8838"/>
                  </w:tabs>
                  <w:ind w:left="-108" w:right="-105"/>
                </w:pPr>
                <w:r>
                  <w:t>Sharon Cristina Morales Martínez</w:t>
                </w:r>
              </w:p>
            </w:tc>
            <w:tc>
              <w:tcPr>
                <w:tcW w:w="3402" w:type="dxa"/>
              </w:tcPr>
              <w:p w:rsidR="00473105" w:rsidRDefault="00473105">
                <w:pPr>
                  <w:tabs>
                    <w:tab w:val="right" w:pos="8838"/>
                  </w:tabs>
                  <w:ind w:left="-108" w:right="-105"/>
                </w:pPr>
              </w:p>
            </w:tc>
          </w:tr>
        </w:tbl>
        <w:p w:rsidR="00473105" w:rsidRDefault="00473105">
          <w:pPr>
            <w:tabs>
              <w:tab w:val="right" w:pos="8838"/>
            </w:tabs>
            <w:ind w:left="-28"/>
            <w:rPr>
              <w:rFonts w:ascii="Arial" w:eastAsia="Arial" w:hAnsi="Arial" w:cs="Arial"/>
              <w:b/>
            </w:rPr>
          </w:pPr>
        </w:p>
      </w:tc>
    </w:tr>
  </w:tbl>
  <w:p w:rsidR="00473105" w:rsidRDefault="00B436CF">
    <w:pPr>
      <w:pBdr>
        <w:top w:val="nil"/>
        <w:left w:val="nil"/>
        <w:bottom w:val="nil"/>
        <w:right w:val="nil"/>
        <w:between w:val="nil"/>
      </w:pBdr>
      <w:tabs>
        <w:tab w:val="center" w:pos="4419"/>
        <w:tab w:val="right" w:pos="8838"/>
        <w:tab w:val="left" w:pos="2957"/>
      </w:tabs>
      <w:rPr>
        <w:color w:val="000000"/>
      </w:rPr>
    </w:pPr>
    <w:r>
      <w:rPr>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650400"/>
    <w:multiLevelType w:val="multilevel"/>
    <w:tmpl w:val="593474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61F0D27"/>
    <w:multiLevelType w:val="multilevel"/>
    <w:tmpl w:val="73CE129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6CC06398"/>
    <w:multiLevelType w:val="multilevel"/>
    <w:tmpl w:val="F0E2A3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15:restartNumberingAfterBreak="0">
    <w:nsid w:val="7EAD01AC"/>
    <w:multiLevelType w:val="multilevel"/>
    <w:tmpl w:val="A426F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105"/>
    <w:rsid w:val="00051B2F"/>
    <w:rsid w:val="000942C4"/>
    <w:rsid w:val="002B3BF7"/>
    <w:rsid w:val="00473105"/>
    <w:rsid w:val="004E5F26"/>
    <w:rsid w:val="00847559"/>
    <w:rsid w:val="008E3054"/>
    <w:rsid w:val="00B436CF"/>
    <w:rsid w:val="00CB34AA"/>
    <w:rsid w:val="00D45B19"/>
    <w:rsid w:val="00E65E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B892078-D9AC-4B41-8DDA-A1C299C9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b/>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8"/>
    <w:pPr>
      <w:spacing w:line="240" w:lineRule="auto"/>
    </w:pPr>
    <w:tblPr>
      <w:tblStyleRowBandSize w:val="1"/>
      <w:tblStyleColBandSize w:val="1"/>
      <w:tblCellMar>
        <w:left w:w="108" w:type="dxa"/>
        <w:right w:w="108" w:type="dxa"/>
      </w:tblCellMar>
    </w:tblPr>
  </w:style>
  <w:style w:type="table" w:customStyle="1" w:styleId="a0">
    <w:basedOn w:val="TableNormal8"/>
    <w:tblPr>
      <w:tblStyleRowBandSize w:val="1"/>
      <w:tblStyleColBandSize w:val="1"/>
      <w:tblCellMar>
        <w:left w:w="115" w:type="dxa"/>
        <w:right w:w="115" w:type="dxa"/>
      </w:tblCellMar>
    </w:tblPr>
  </w:style>
  <w:style w:type="table" w:customStyle="1" w:styleId="a1">
    <w:basedOn w:val="TableNormal8"/>
    <w:pPr>
      <w:spacing w:line="240" w:lineRule="auto"/>
    </w:pPr>
    <w:tblPr>
      <w:tblStyleRowBandSize w:val="1"/>
      <w:tblStyleColBandSize w:val="1"/>
      <w:tblCellMar>
        <w:left w:w="108" w:type="dxa"/>
        <w:right w:w="108" w:type="dxa"/>
      </w:tblCellMar>
    </w:tblPr>
  </w:style>
  <w:style w:type="table" w:customStyle="1" w:styleId="a2">
    <w:basedOn w:val="TableNormal8"/>
    <w:pPr>
      <w:spacing w:line="240" w:lineRule="auto"/>
    </w:pPr>
    <w:tblPr>
      <w:tblStyleRowBandSize w:val="1"/>
      <w:tblStyleColBandSize w:val="1"/>
      <w:tblCellMar>
        <w:left w:w="108" w:type="dxa"/>
        <w:right w:w="108" w:type="dxa"/>
      </w:tblCellMar>
    </w:tblPr>
  </w:style>
  <w:style w:type="table" w:customStyle="1" w:styleId="a3">
    <w:basedOn w:val="TableNormal8"/>
    <w:pPr>
      <w:spacing w:line="240" w:lineRule="auto"/>
    </w:pPr>
    <w:tblPr>
      <w:tblStyleRowBandSize w:val="1"/>
      <w:tblStyleColBandSize w:val="1"/>
      <w:tblCellMar>
        <w:left w:w="108" w:type="dxa"/>
        <w:right w:w="108" w:type="dxa"/>
      </w:tblCellMar>
    </w:tblPr>
  </w:style>
  <w:style w:type="table" w:customStyle="1" w:styleId="a4">
    <w:basedOn w:val="TableNormal8"/>
    <w:pPr>
      <w:spacing w:line="240" w:lineRule="auto"/>
    </w:pPr>
    <w:tblPr>
      <w:tblStyleRowBandSize w:val="1"/>
      <w:tblStyleColBandSize w:val="1"/>
      <w:tblCellMar>
        <w:left w:w="108" w:type="dxa"/>
        <w:right w:w="108" w:type="dxa"/>
      </w:tblCellMar>
    </w:tblPr>
  </w:style>
  <w:style w:type="character" w:styleId="nfasissutil">
    <w:name w:val="Subtle Emphasis"/>
    <w:basedOn w:val="Fuentedeprrafopredeter"/>
    <w:uiPriority w:val="19"/>
    <w:qFormat/>
    <w:rsid w:val="00E41B75"/>
    <w:rPr>
      <w:i/>
      <w:iCs/>
      <w:color w:val="404040" w:themeColor="text1" w:themeTint="BF"/>
    </w:rPr>
  </w:style>
  <w:style w:type="table" w:customStyle="1" w:styleId="a5">
    <w:basedOn w:val="TableNormal7"/>
    <w:tblPr>
      <w:tblStyleRowBandSize w:val="1"/>
      <w:tblStyleColBandSize w:val="1"/>
      <w:tblCellMar>
        <w:left w:w="115" w:type="dxa"/>
        <w:right w:w="115" w:type="dxa"/>
      </w:tblCellMar>
    </w:tblPr>
  </w:style>
  <w:style w:type="table" w:customStyle="1" w:styleId="a6">
    <w:basedOn w:val="TableNormal7"/>
    <w:pPr>
      <w:spacing w:line="240" w:lineRule="auto"/>
    </w:pPr>
    <w:tblPr>
      <w:tblStyleRowBandSize w:val="1"/>
      <w:tblStyleColBandSize w:val="1"/>
      <w:tblCellMar>
        <w:left w:w="108" w:type="dxa"/>
        <w:right w:w="108" w:type="dxa"/>
      </w:tblCellMar>
    </w:tblPr>
  </w:style>
  <w:style w:type="table" w:customStyle="1" w:styleId="a7">
    <w:basedOn w:val="TableNormal7"/>
    <w:pPr>
      <w:spacing w:line="240" w:lineRule="auto"/>
    </w:pPr>
    <w:tblPr>
      <w:tblStyleRowBandSize w:val="1"/>
      <w:tblStyleColBandSize w:val="1"/>
      <w:tblCellMar>
        <w:left w:w="108" w:type="dxa"/>
        <w:right w:w="108" w:type="dxa"/>
      </w:tblCellMar>
    </w:tblPr>
  </w:style>
  <w:style w:type="table" w:customStyle="1" w:styleId="a8">
    <w:basedOn w:val="TableNormal7"/>
    <w:pPr>
      <w:spacing w:line="240" w:lineRule="auto"/>
    </w:pPr>
    <w:tblPr>
      <w:tblStyleRowBandSize w:val="1"/>
      <w:tblStyleColBandSize w:val="1"/>
      <w:tblCellMar>
        <w:left w:w="108" w:type="dxa"/>
        <w:right w:w="108" w:type="dxa"/>
      </w:tblCellMar>
    </w:tblPr>
  </w:style>
  <w:style w:type="table" w:customStyle="1" w:styleId="a9">
    <w:basedOn w:val="TableNormal6"/>
    <w:pPr>
      <w:spacing w:line="240" w:lineRule="auto"/>
    </w:pPr>
    <w:tblPr>
      <w:tblStyleRowBandSize w:val="1"/>
      <w:tblStyleColBandSize w:val="1"/>
      <w:tblCellMar>
        <w:left w:w="108" w:type="dxa"/>
        <w:right w:w="108" w:type="dxa"/>
      </w:tblCellMar>
    </w:tblPr>
  </w:style>
  <w:style w:type="table" w:customStyle="1" w:styleId="aa">
    <w:basedOn w:val="TableNormal6"/>
    <w:pPr>
      <w:spacing w:line="240" w:lineRule="auto"/>
    </w:pPr>
    <w:tblPr>
      <w:tblStyleRowBandSize w:val="1"/>
      <w:tblStyleColBandSize w:val="1"/>
      <w:tblCellMar>
        <w:left w:w="108" w:type="dxa"/>
        <w:right w:w="108" w:type="dxa"/>
      </w:tblCellMar>
    </w:tblPr>
  </w:style>
  <w:style w:type="table" w:customStyle="1" w:styleId="ab">
    <w:basedOn w:val="TableNormal6"/>
    <w:pPr>
      <w:spacing w:line="240" w:lineRule="auto"/>
    </w:pPr>
    <w:tblPr>
      <w:tblStyleRowBandSize w:val="1"/>
      <w:tblStyleColBandSize w:val="1"/>
      <w:tblCellMar>
        <w:left w:w="108" w:type="dxa"/>
        <w:right w:w="108" w:type="dxa"/>
      </w:tblCellMar>
    </w:tblPr>
  </w:style>
  <w:style w:type="table" w:customStyle="1" w:styleId="ac">
    <w:basedOn w:val="TableNormal6"/>
    <w:pPr>
      <w:spacing w:line="240" w:lineRule="auto"/>
    </w:pPr>
    <w:tblPr>
      <w:tblStyleRowBandSize w:val="1"/>
      <w:tblStyleColBandSize w:val="1"/>
      <w:tblCellMar>
        <w:left w:w="108" w:type="dxa"/>
        <w:right w:w="108" w:type="dxa"/>
      </w:tblCellMar>
    </w:tblPr>
  </w:style>
  <w:style w:type="table" w:customStyle="1" w:styleId="ad">
    <w:basedOn w:val="TableNormal6"/>
    <w:pPr>
      <w:spacing w:line="240" w:lineRule="auto"/>
    </w:pPr>
    <w:tblPr>
      <w:tblStyleRowBandSize w:val="1"/>
      <w:tblStyleColBandSize w:val="1"/>
      <w:tblCellMar>
        <w:left w:w="108" w:type="dxa"/>
        <w:right w:w="108" w:type="dxa"/>
      </w:tblCellMar>
    </w:tblPr>
  </w:style>
  <w:style w:type="table" w:customStyle="1" w:styleId="ae">
    <w:basedOn w:val="TableNormal6"/>
    <w:pPr>
      <w:spacing w:line="240" w:lineRule="auto"/>
    </w:pPr>
    <w:tblPr>
      <w:tblStyleRowBandSize w:val="1"/>
      <w:tblStyleColBandSize w:val="1"/>
      <w:tblCellMar>
        <w:left w:w="108" w:type="dxa"/>
        <w:right w:w="108" w:type="dxa"/>
      </w:tblCellMar>
    </w:tblPr>
  </w:style>
  <w:style w:type="table" w:customStyle="1" w:styleId="af">
    <w:basedOn w:val="TableNormal6"/>
    <w:pPr>
      <w:spacing w:line="240" w:lineRule="auto"/>
    </w:pPr>
    <w:tblPr>
      <w:tblStyleRowBandSize w:val="1"/>
      <w:tblStyleColBandSize w:val="1"/>
      <w:tblCellMar>
        <w:left w:w="108" w:type="dxa"/>
        <w:right w:w="108" w:type="dxa"/>
      </w:tblCellMar>
    </w:tblPr>
  </w:style>
  <w:style w:type="table" w:customStyle="1" w:styleId="af0">
    <w:basedOn w:val="TableNormal6"/>
    <w:pPr>
      <w:spacing w:line="240" w:lineRule="auto"/>
    </w:pPr>
    <w:tblPr>
      <w:tblStyleRowBandSize w:val="1"/>
      <w:tblStyleColBandSize w:val="1"/>
      <w:tblCellMar>
        <w:left w:w="108" w:type="dxa"/>
        <w:right w:w="108" w:type="dxa"/>
      </w:tblCellMar>
    </w:tblPr>
  </w:style>
  <w:style w:type="table" w:customStyle="1" w:styleId="af1">
    <w:basedOn w:val="TableNormal6"/>
    <w:pPr>
      <w:spacing w:line="240" w:lineRule="auto"/>
    </w:pPr>
    <w:tblPr>
      <w:tblStyleRowBandSize w:val="1"/>
      <w:tblStyleColBandSize w:val="1"/>
      <w:tblCellMar>
        <w:left w:w="108" w:type="dxa"/>
        <w:right w:w="108" w:type="dxa"/>
      </w:tblCellMar>
    </w:tblPr>
  </w:style>
  <w:style w:type="table" w:customStyle="1" w:styleId="af2">
    <w:basedOn w:val="TableNormal6"/>
    <w:pPr>
      <w:spacing w:line="240" w:lineRule="auto"/>
    </w:pPr>
    <w:tblPr>
      <w:tblStyleRowBandSize w:val="1"/>
      <w:tblStyleColBandSize w:val="1"/>
      <w:tblCellMar>
        <w:left w:w="108" w:type="dxa"/>
        <w:right w:w="108" w:type="dxa"/>
      </w:tblCellMar>
    </w:tblPr>
  </w:style>
  <w:style w:type="table" w:customStyle="1" w:styleId="af3">
    <w:basedOn w:val="TableNormal6"/>
    <w:pPr>
      <w:spacing w:line="240" w:lineRule="auto"/>
    </w:pPr>
    <w:tblPr>
      <w:tblStyleRowBandSize w:val="1"/>
      <w:tblStyleColBandSize w:val="1"/>
      <w:tblCellMar>
        <w:left w:w="108" w:type="dxa"/>
        <w:right w:w="108" w:type="dxa"/>
      </w:tblCellMar>
    </w:tblPr>
  </w:style>
  <w:style w:type="table" w:customStyle="1" w:styleId="af4">
    <w:basedOn w:val="TableNormal6"/>
    <w:pPr>
      <w:spacing w:line="240" w:lineRule="auto"/>
    </w:pPr>
    <w:tblPr>
      <w:tblStyleRowBandSize w:val="1"/>
      <w:tblStyleColBandSize w:val="1"/>
      <w:tblCellMar>
        <w:left w:w="108" w:type="dxa"/>
        <w:right w:w="108" w:type="dxa"/>
      </w:tblCellMar>
    </w:tblPr>
  </w:style>
  <w:style w:type="table" w:customStyle="1" w:styleId="af5">
    <w:basedOn w:val="TableNormal2"/>
    <w:pPr>
      <w:spacing w:line="240" w:lineRule="auto"/>
    </w:pPr>
    <w:tblPr>
      <w:tblStyleRowBandSize w:val="1"/>
      <w:tblStyleColBandSize w:val="1"/>
      <w:tblCellMar>
        <w:left w:w="108" w:type="dxa"/>
        <w:right w:w="108" w:type="dxa"/>
      </w:tblCellMar>
    </w:tblPr>
  </w:style>
  <w:style w:type="table" w:customStyle="1" w:styleId="af6">
    <w:basedOn w:val="TableNormal2"/>
    <w:pPr>
      <w:spacing w:line="240" w:lineRule="auto"/>
    </w:pPr>
    <w:tblPr>
      <w:tblStyleRowBandSize w:val="1"/>
      <w:tblStyleColBandSize w:val="1"/>
      <w:tblCellMar>
        <w:left w:w="108" w:type="dxa"/>
        <w:right w:w="108" w:type="dxa"/>
      </w:tblCellMar>
    </w:tblPr>
  </w:style>
  <w:style w:type="table" w:customStyle="1" w:styleId="af7">
    <w:basedOn w:val="TableNormal2"/>
    <w:pPr>
      <w:spacing w:line="240" w:lineRule="auto"/>
    </w:pPr>
    <w:tblPr>
      <w:tblStyleRowBandSize w:val="1"/>
      <w:tblStyleColBandSize w:val="1"/>
      <w:tblCellMar>
        <w:left w:w="108" w:type="dxa"/>
        <w:right w:w="108" w:type="dxa"/>
      </w:tblCellMar>
    </w:tblPr>
  </w:style>
  <w:style w:type="table" w:customStyle="1" w:styleId="af8">
    <w:basedOn w:val="TableNormal2"/>
    <w:pPr>
      <w:spacing w:line="240" w:lineRule="auto"/>
    </w:pPr>
    <w:tblPr>
      <w:tblStyleRowBandSize w:val="1"/>
      <w:tblStyleColBandSize w:val="1"/>
      <w:tblCellMar>
        <w:left w:w="108" w:type="dxa"/>
        <w:right w:w="108" w:type="dxa"/>
      </w:tblCellMar>
    </w:tblPr>
  </w:style>
  <w:style w:type="table" w:customStyle="1" w:styleId="af9">
    <w:basedOn w:val="TableNormal2"/>
    <w:pPr>
      <w:spacing w:line="240" w:lineRule="auto"/>
    </w:pPr>
    <w:tblPr>
      <w:tblStyleRowBandSize w:val="1"/>
      <w:tblStyleColBandSize w:val="1"/>
      <w:tblCellMar>
        <w:left w:w="108" w:type="dxa"/>
        <w:right w:w="108" w:type="dxa"/>
      </w:tblCellMar>
    </w:tblPr>
  </w:style>
  <w:style w:type="table" w:customStyle="1" w:styleId="afa">
    <w:basedOn w:val="TableNormal2"/>
    <w:pPr>
      <w:spacing w:line="240" w:lineRule="auto"/>
    </w:pPr>
    <w:tblPr>
      <w:tblStyleRowBandSize w:val="1"/>
      <w:tblStyleColBandSize w:val="1"/>
      <w:tblCellMar>
        <w:left w:w="108" w:type="dxa"/>
        <w:right w:w="108" w:type="dxa"/>
      </w:tblCellMar>
    </w:tblPr>
  </w:style>
  <w:style w:type="table" w:customStyle="1" w:styleId="afb">
    <w:basedOn w:val="TableNormal0"/>
    <w:pPr>
      <w:spacing w:line="240" w:lineRule="auto"/>
    </w:pPr>
    <w:tblPr>
      <w:tblStyleRowBandSize w:val="1"/>
      <w:tblStyleColBandSize w:val="1"/>
      <w:tblCellMar>
        <w:left w:w="108" w:type="dxa"/>
        <w:right w:w="108" w:type="dxa"/>
      </w:tblCellMar>
    </w:tblPr>
  </w:style>
  <w:style w:type="table" w:customStyle="1" w:styleId="afc">
    <w:basedOn w:val="TableNormal0"/>
    <w:pPr>
      <w:spacing w:line="240" w:lineRule="auto"/>
    </w:pPr>
    <w:tblPr>
      <w:tblStyleRowBandSize w:val="1"/>
      <w:tblStyleColBandSize w:val="1"/>
      <w:tblCellMar>
        <w:left w:w="108" w:type="dxa"/>
        <w:right w:w="108" w:type="dxa"/>
      </w:tblCellMar>
    </w:tblPr>
  </w:style>
  <w:style w:type="table" w:customStyle="1" w:styleId="afd">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opendatacharter.net/principl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MeVabfmCCLIaOv+X2fRRb1J2tg==">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7099</Words>
  <Characters>39049</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6</cp:revision>
  <cp:lastPrinted>2025-02-20T16:30:00Z</cp:lastPrinted>
  <dcterms:created xsi:type="dcterms:W3CDTF">2025-02-17T22:31:00Z</dcterms:created>
  <dcterms:modified xsi:type="dcterms:W3CDTF">2025-03-19T16:38:00Z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