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D97" w:rsidRDefault="0019616D">
      <w:pPr>
        <w:spacing w:before="120" w:after="0" w:line="360" w:lineRule="auto"/>
        <w:ind w:right="49"/>
        <w:jc w:val="both"/>
        <w:rPr>
          <w:rFonts w:ascii="Palatino Linotype" w:eastAsia="Palatino Linotype" w:hAnsi="Palatino Linotype" w:cs="Palatino Linotype"/>
          <w:strik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tres de diciembre de dos mil veinticinco.</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Visto </w:t>
      </w:r>
      <w:r>
        <w:rPr>
          <w:rFonts w:ascii="Palatino Linotype" w:eastAsia="Palatino Linotype" w:hAnsi="Palatino Linotype" w:cs="Palatino Linotype"/>
        </w:rPr>
        <w:t xml:space="preserve">el expediente relativo al recurso de revisión </w:t>
      </w:r>
      <w:r>
        <w:rPr>
          <w:rFonts w:ascii="Palatino Linotype" w:eastAsia="Palatino Linotype" w:hAnsi="Palatino Linotype" w:cs="Palatino Linotype"/>
          <w:b/>
          <w:bCs/>
        </w:rPr>
        <w:t>06074/INFOEM/IP/RR/2025</w:t>
      </w:r>
      <w:r>
        <w:rPr>
          <w:rFonts w:ascii="Palatino Linotype" w:eastAsia="Palatino Linotype" w:hAnsi="Palatino Linotype" w:cs="Palatino Linotype"/>
        </w:rPr>
        <w:t>, interpuesto por</w:t>
      </w:r>
      <w:r>
        <w:rPr>
          <w:rFonts w:ascii="Palatino Linotype" w:eastAsia="Palatino Linotype" w:hAnsi="Palatino Linotype" w:cs="Palatino Linotype"/>
          <w:b/>
          <w:bCs/>
        </w:rPr>
        <w:t xml:space="preserve"> una persona usuaria del sistema SAIMEX</w:t>
      </w:r>
      <w:r>
        <w:rPr>
          <w:rFonts w:ascii="Palatino Linotype" w:eastAsia="Palatino Linotype" w:hAnsi="Palatino Linotype" w:cs="Palatino Linotype"/>
        </w:rPr>
        <w:t xml:space="preserve">, en lo sucesivo se le denominara </w:t>
      </w:r>
      <w:r>
        <w:rPr>
          <w:rFonts w:ascii="Palatino Linotype" w:eastAsia="Palatino Linotype" w:hAnsi="Palatino Linotype" w:cs="Palatino Linotype"/>
          <w:b/>
          <w:bCs/>
        </w:rPr>
        <w:t>LA PARTE RECURRENTE</w:t>
      </w:r>
      <w:r>
        <w:rPr>
          <w:rFonts w:ascii="Palatino Linotype" w:eastAsia="Palatino Linotype" w:hAnsi="Palatino Linotype" w:cs="Palatino Linotype"/>
        </w:rPr>
        <w:t xml:space="preserve">, en contra de la respuesta a la solicitud de información con número de folio </w:t>
      </w:r>
      <w:r>
        <w:rPr>
          <w:rFonts w:ascii="Palatino Linotype" w:eastAsia="Palatino Linotype" w:hAnsi="Palatino Linotype" w:cs="Palatino Linotype"/>
          <w:b/>
          <w:bCs/>
        </w:rPr>
        <w:t>02093/TOLUCA/IP/2025</w:t>
      </w:r>
      <w:r>
        <w:rPr>
          <w:rFonts w:ascii="Palatino Linotype" w:eastAsia="Palatino Linotype" w:hAnsi="Palatino Linotype" w:cs="Palatino Linotype"/>
        </w:rPr>
        <w:t xml:space="preserve">, por parte del </w:t>
      </w:r>
      <w:r>
        <w:rPr>
          <w:rFonts w:ascii="Palatino Linotype" w:eastAsia="Palatino Linotype" w:hAnsi="Palatino Linotype" w:cs="Palatino Linotype"/>
          <w:b/>
          <w:bCs/>
        </w:rPr>
        <w:t>Ayuntamiento de Toluca</w:t>
      </w:r>
      <w:r>
        <w:rPr>
          <w:rFonts w:ascii="Palatino Linotype" w:eastAsia="Palatino Linotype" w:hAnsi="Palatino Linotype" w:cs="Palatino Linotype"/>
        </w:rPr>
        <w:t>, en lo sucesivo</w:t>
      </w:r>
      <w:r>
        <w:rPr>
          <w:rFonts w:ascii="Palatino Linotype" w:eastAsia="Palatino Linotype" w:hAnsi="Palatino Linotype" w:cs="Palatino Linotype"/>
          <w:b/>
          <w:bCs/>
        </w:rPr>
        <w:t xml:space="preserve"> EL SUJETO OBLIGADO; </w:t>
      </w:r>
      <w:r>
        <w:rPr>
          <w:rFonts w:ascii="Palatino Linotype" w:eastAsia="Palatino Linotype" w:hAnsi="Palatino Linotype" w:cs="Palatino Linotype"/>
        </w:rPr>
        <w:t xml:space="preserve">se procede a dictar la presente resolución, con base en lo siguiente.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b/>
          <w:bCs/>
        </w:rPr>
        <w:t>A N T E C E D E N T E S</w:t>
      </w:r>
    </w:p>
    <w:p w:rsidR="00467D97" w:rsidRDefault="00467D97">
      <w:pPr>
        <w:spacing w:after="0" w:line="360" w:lineRule="auto"/>
        <w:ind w:right="49"/>
        <w:jc w:val="center"/>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bCs/>
        </w:rPr>
        <w:t>1.</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SOLICITUD DE INFORMACIÓN. </w:t>
      </w:r>
      <w:r>
        <w:rPr>
          <w:rFonts w:ascii="Palatino Linotype" w:eastAsia="Palatino Linotype" w:hAnsi="Palatino Linotype" w:cs="Palatino Linotype"/>
        </w:rPr>
        <w:t>Con fecha siete de abril de dos mil</w:t>
      </w:r>
      <w:r>
        <w:rPr>
          <w:rFonts w:ascii="Palatino Linotype" w:eastAsia="Palatino Linotype" w:hAnsi="Palatino Linotype" w:cs="Palatino Linotype"/>
        </w:rPr>
        <w:t xml:space="preserve"> veinticinco, </w:t>
      </w:r>
      <w:r>
        <w:rPr>
          <w:rFonts w:ascii="Palatino Linotype" w:eastAsia="Palatino Linotype" w:hAnsi="Palatino Linotype" w:cs="Palatino Linotype"/>
          <w:b/>
          <w:bCs/>
        </w:rPr>
        <w:t>LA PARTE RECURRENTE</w:t>
      </w:r>
      <w:r>
        <w:rPr>
          <w:rFonts w:ascii="Palatino Linotype" w:eastAsia="Palatino Linotype" w:hAnsi="Palatino Linotype" w:cs="Palatino Linotype"/>
        </w:rPr>
        <w:t>, presentó a través del Sistema de Acceso a la Información Mexiquense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ante </w:t>
      </w:r>
      <w:r>
        <w:rPr>
          <w:rFonts w:ascii="Palatino Linotype" w:eastAsia="Palatino Linotype" w:hAnsi="Palatino Linotype" w:cs="Palatino Linotype"/>
          <w:b/>
          <w:bCs/>
        </w:rPr>
        <w:t>EL SUJETO OBLIGADO</w:t>
      </w:r>
      <w:r>
        <w:rPr>
          <w:rFonts w:ascii="Palatino Linotype" w:eastAsia="Palatino Linotype" w:hAnsi="Palatino Linotype" w:cs="Palatino Linotype"/>
        </w:rPr>
        <w:t>, solicitud de acceso a la información pública, registrada bajo el número de expediente</w:t>
      </w:r>
      <w:r>
        <w:rPr>
          <w:rFonts w:ascii="Verdana" w:eastAsia="Verdana" w:hAnsi="Verdana" w:cs="Verdana"/>
          <w:b/>
          <w:bCs/>
        </w:rPr>
        <w:t> </w:t>
      </w:r>
      <w:r>
        <w:rPr>
          <w:rFonts w:ascii="Palatino Linotype" w:eastAsia="Palatino Linotype" w:hAnsi="Palatino Linotype" w:cs="Palatino Linotype"/>
          <w:b/>
          <w:bCs/>
        </w:rPr>
        <w:t>02093/TOLUCA/IP/2025</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mediante la</w:t>
      </w:r>
      <w:r>
        <w:rPr>
          <w:rFonts w:ascii="Palatino Linotype" w:eastAsia="Palatino Linotype" w:hAnsi="Palatino Linotype" w:cs="Palatino Linotype"/>
        </w:rPr>
        <w:t xml:space="preserve"> cual solicitó la siguiente información:</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276" w:lineRule="auto"/>
        <w:ind w:left="709" w:right="758"/>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“Cunatos policias tiene actualmente su municipio y con cuantos policias se recibio la administración 2025 , el sueldo de los policias, el nombre de los mandos policiales, su estudios y curriculum, cuantas patrulla </w:t>
      </w:r>
      <w:r>
        <w:rPr>
          <w:rFonts w:ascii="Palatino Linotype" w:eastAsia="Palatino Linotype" w:hAnsi="Palatino Linotype" w:cs="Palatino Linotype"/>
          <w:i/>
          <w:iCs/>
        </w:rPr>
        <w:t>recibio la administración con marca, modelo, submarca, dotación de gasolina y factura y con los mismos datos las patrullas que tienen en la actual administración.” (Sic).</w:t>
      </w:r>
    </w:p>
    <w:p w:rsidR="00467D97" w:rsidRDefault="00467D97">
      <w:pPr>
        <w:spacing w:after="0" w:line="276" w:lineRule="auto"/>
        <w:ind w:left="709" w:right="758"/>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Modalidad de entrega: A través del SAIMEX.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bCs/>
        </w:rPr>
        <w:t xml:space="preserve">siete de mayo </w:t>
      </w:r>
      <w:r>
        <w:rPr>
          <w:rFonts w:ascii="Palatino Linotype" w:eastAsia="Palatino Linotype" w:hAnsi="Palatino Linotype" w:cs="Palatino Linotype"/>
          <w:b/>
          <w:bCs/>
        </w:rPr>
        <w:t>de dos mil veinticinco</w:t>
      </w:r>
      <w:r>
        <w:rPr>
          <w:rFonts w:ascii="Palatino Linotype" w:eastAsia="Palatino Linotype" w:hAnsi="Palatino Linotype" w:cs="Palatino Linotype"/>
        </w:rPr>
        <w:t xml:space="preserv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otorgó, a través del SAIMEX, respuesta a la solicitud de acceso a la información, la cual fue del conocimiento de las partes.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b/>
          <w:bCs/>
        </w:rPr>
        <w:t xml:space="preserve">3. DEL RECURSO DE REVISIÓN. </w:t>
      </w:r>
      <w:r>
        <w:rPr>
          <w:rFonts w:ascii="Palatino Linotype" w:eastAsia="Palatino Linotype" w:hAnsi="Palatino Linotype" w:cs="Palatino Linotype"/>
        </w:rPr>
        <w:t>Inconforme con la respuesta del</w:t>
      </w:r>
      <w:r>
        <w:rPr>
          <w:rFonts w:ascii="Palatino Linotype" w:eastAsia="Palatino Linotype" w:hAnsi="Palatino Linotype" w:cs="Palatino Linotype"/>
          <w:b/>
          <w:bCs/>
        </w:rPr>
        <w:t xml:space="preserve"> SUJETO OBLIGADO, </w:t>
      </w:r>
      <w:r>
        <w:rPr>
          <w:rFonts w:ascii="Palatino Linotype" w:eastAsia="Palatino Linotype" w:hAnsi="Palatino Linotype" w:cs="Palatino Linotype"/>
        </w:rPr>
        <w:t xml:space="preserve">se tuvo </w:t>
      </w:r>
      <w:r>
        <w:rPr>
          <w:rFonts w:ascii="Palatino Linotype" w:eastAsia="Palatino Linotype" w:hAnsi="Palatino Linotype" w:cs="Palatino Linotype"/>
        </w:rPr>
        <w:t>por presentado</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bCs/>
        </w:rPr>
        <w:t>veintisiete de mayo de dos mil veinticinco</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el recurso de revisión, el cual fue registrado</w:t>
      </w:r>
      <w:r>
        <w:rPr>
          <w:rFonts w:ascii="Palatino Linotype" w:eastAsia="Palatino Linotype" w:hAnsi="Palatino Linotype" w:cs="Palatino Linotype"/>
          <w:b/>
          <w:bCs/>
        </w:rPr>
        <w:t xml:space="preserve"> </w:t>
      </w:r>
      <w:r>
        <w:rPr>
          <w:rFonts w:ascii="Palatino Linotype" w:eastAsia="Palatino Linotype" w:hAnsi="Palatino Linotype" w:cs="Palatino Linotype"/>
        </w:rPr>
        <w:t>en el sistema electrónico con el expediente número</w:t>
      </w:r>
      <w:r>
        <w:rPr>
          <w:rFonts w:ascii="Palatino Linotype" w:eastAsia="Palatino Linotype" w:hAnsi="Palatino Linotype" w:cs="Palatino Linotype"/>
          <w:b/>
          <w:bCs/>
        </w:rPr>
        <w:t xml:space="preserve"> 06074/INFOEM/IP/RR/2025</w:t>
      </w:r>
      <w:r>
        <w:rPr>
          <w:rFonts w:ascii="Palatino Linotype" w:eastAsia="Palatino Linotype" w:hAnsi="Palatino Linotype" w:cs="Palatino Linotype"/>
        </w:rPr>
        <w:t>, en el cual manifiesta, lo siguiente:</w:t>
      </w:r>
    </w:p>
    <w:p w:rsidR="00467D97" w:rsidRDefault="00467D97">
      <w:pPr>
        <w:spacing w:after="0" w:line="360" w:lineRule="auto"/>
        <w:ind w:right="-234"/>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276" w:lineRule="auto"/>
        <w:ind w:lef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r>
        <w:rPr>
          <w:rFonts w:ascii="Palatino Linotype" w:eastAsia="Palatino Linotype" w:hAnsi="Palatino Linotype" w:cs="Palatino Linotype"/>
          <w:i/>
          <w:iCs/>
        </w:rPr>
        <w:t>“La respuesta esta incompleta” [sic]</w:t>
      </w:r>
    </w:p>
    <w:p w:rsidR="00467D97" w:rsidRDefault="00467D97">
      <w:pPr>
        <w:tabs>
          <w:tab w:val="left" w:pos="8222"/>
        </w:tabs>
        <w:spacing w:after="0" w:line="276" w:lineRule="auto"/>
        <w:ind w:left="567" w:right="616"/>
        <w:jc w:val="both"/>
        <w:rPr>
          <w:rFonts w:ascii="Palatino Linotype" w:eastAsia="Palatino Linotype" w:hAnsi="Palatino Linotype" w:cs="Palatino Linotype"/>
          <w:i/>
          <w:iCs/>
        </w:rPr>
      </w:pPr>
    </w:p>
    <w:p w:rsidR="00467D97" w:rsidRDefault="0019616D">
      <w:pPr>
        <w:pBdr>
          <w:top w:val="nil"/>
          <w:left w:val="nil"/>
          <w:bottom w:val="nil"/>
          <w:right w:val="nil"/>
          <w:between w:val="nil"/>
        </w:pBdr>
        <w:spacing w:after="0" w:line="276" w:lineRule="auto"/>
        <w:ind w:left="567"/>
        <w:rPr>
          <w:rFonts w:ascii="Palatino Linotype" w:eastAsia="Palatino Linotype" w:hAnsi="Palatino Linotype" w:cs="Palatino Linotype"/>
          <w:i/>
          <w:iCs/>
        </w:rPr>
      </w:pPr>
      <w:r>
        <w:rPr>
          <w:rFonts w:ascii="Palatino Linotype" w:eastAsia="Palatino Linotype" w:hAnsi="Palatino Linotype" w:cs="Palatino Linotype"/>
          <w:b/>
          <w:bCs/>
          <w:i/>
          <w:iCs/>
        </w:rPr>
        <w:t>Razones o Motivos de Inconformidad</w:t>
      </w:r>
      <w:r>
        <w:rPr>
          <w:rFonts w:ascii="Palatino Linotype" w:eastAsia="Palatino Linotype" w:hAnsi="Palatino Linotype" w:cs="Palatino Linotype"/>
          <w:i/>
          <w:iCs/>
        </w:rPr>
        <w:t>: “la entrega de la informaicón esta incompleta se solicita se entregue completa.” [sic]</w:t>
      </w:r>
    </w:p>
    <w:p w:rsidR="00467D97" w:rsidRDefault="00467D97">
      <w:pPr>
        <w:spacing w:after="0" w:line="360" w:lineRule="auto"/>
        <w:ind w:left="567"/>
        <w:jc w:val="both"/>
        <w:rPr>
          <w:rFonts w:ascii="Palatino Linotype" w:eastAsia="Palatino Linotype" w:hAnsi="Palatino Linotype" w:cs="Palatino Linotype"/>
          <w:b/>
          <w:b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4. TURNO. </w:t>
      </w:r>
      <w:r>
        <w:rPr>
          <w:rFonts w:ascii="Palatino Linotype" w:eastAsia="Palatino Linotype" w:hAnsi="Palatino Linotype" w:cs="Palatino Linotype"/>
        </w:rPr>
        <w:t xml:space="preserve">De conformidad con el artículo 185 fracción I de la Ley de Transparencia y Acceso a </w:t>
      </w:r>
      <w:r>
        <w:rPr>
          <w:rFonts w:ascii="Palatino Linotype" w:eastAsia="Palatino Linotype" w:hAnsi="Palatino Linotype" w:cs="Palatino Linotype"/>
        </w:rPr>
        <w:t>la Información Pública del Estado de México y Municipios vigente, el presente recurso de revisión se turnó por el sistema electrónico del Instituto de Transparencia, Acceso a la Información Pública y Protección de Datos Personales del Estado de México y Mu</w:t>
      </w:r>
      <w:r>
        <w:rPr>
          <w:rFonts w:ascii="Palatino Linotype" w:eastAsia="Palatino Linotype" w:hAnsi="Palatino Linotype" w:cs="Palatino Linotype"/>
        </w:rPr>
        <w:t xml:space="preserve">nicipios, a la Comisionada </w:t>
      </w:r>
      <w:r>
        <w:rPr>
          <w:rFonts w:ascii="Palatino Linotype" w:eastAsia="Palatino Linotype" w:hAnsi="Palatino Linotype" w:cs="Palatino Linotype"/>
          <w:b/>
          <w:bCs/>
        </w:rPr>
        <w:t xml:space="preserve">Guadalupe Ramírez Peña, </w:t>
      </w:r>
      <w:r>
        <w:rPr>
          <w:rFonts w:ascii="Palatino Linotype" w:eastAsia="Palatino Linotype" w:hAnsi="Palatino Linotype" w:cs="Palatino Linotype"/>
        </w:rPr>
        <w:t>a efecto de que analizara sobre su admisión o su desechamiento.</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bCs/>
        </w:rPr>
        <w:t xml:space="preserve"> treinta de mayo de dos mil veinticinco</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este Instituto de Transparencia, Acceso a la Informac</w:t>
      </w:r>
      <w:r>
        <w:rPr>
          <w:rFonts w:ascii="Palatino Linotype" w:eastAsia="Palatino Linotype" w:hAnsi="Palatino Linotype" w:cs="Palatino Linotype"/>
        </w:rPr>
        <w:t>ión Pública y Protección de Datos Personales del Estado de México y Municipios, admitió a trámite el recurso de revisión que ahora se resuelve, dando un plazo máximo de siete días hábiles para que las partes manifestaran lo que a su derecho resultara conve</w:t>
      </w:r>
      <w:r>
        <w:rPr>
          <w:rFonts w:ascii="Palatino Linotype" w:eastAsia="Palatino Linotype" w:hAnsi="Palatino Linotype" w:cs="Palatino Linotype"/>
        </w:rPr>
        <w:t xml:space="preserve">niente, ofrecieran pruebas, formularan alegatos y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presentará su informe justificado.</w:t>
      </w: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6. MANIFESTACIONES</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 xml:space="preserve">en fecha </w:t>
      </w:r>
      <w:r>
        <w:rPr>
          <w:rFonts w:ascii="Palatino Linotype" w:eastAsia="Palatino Linotype" w:hAnsi="Palatino Linotype" w:cs="Palatino Linotype"/>
          <w:b/>
          <w:bCs/>
        </w:rPr>
        <w:t>diez de junio de dos mil veinticinco</w:t>
      </w:r>
      <w:r>
        <w:rPr>
          <w:rFonts w:ascii="Palatino Linotype" w:eastAsia="Palatino Linotype" w:hAnsi="Palatino Linotype" w:cs="Palatino Linotype"/>
        </w:rPr>
        <w:t>, rindió su informe justificado, a través del cual ratificó su respu</w:t>
      </w:r>
      <w:r>
        <w:rPr>
          <w:rFonts w:ascii="Palatino Linotype" w:eastAsia="Palatino Linotype" w:hAnsi="Palatino Linotype" w:cs="Palatino Linotype"/>
        </w:rPr>
        <w:t xml:space="preserve">esta inicial.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Los documentos se hicieron del conocimiento de la parte Recurrente el </w:t>
      </w:r>
      <w:r>
        <w:rPr>
          <w:rFonts w:ascii="Palatino Linotype" w:eastAsia="Palatino Linotype" w:hAnsi="Palatino Linotype" w:cs="Palatino Linotype"/>
          <w:b/>
          <w:bCs/>
        </w:rPr>
        <w:t xml:space="preserve">veintisiete de noviembre de dos mil veinticinco. </w:t>
      </w:r>
    </w:p>
    <w:p w:rsidR="00467D97" w:rsidRDefault="00467D97">
      <w:pPr>
        <w:spacing w:after="0" w:line="360" w:lineRule="auto"/>
        <w:jc w:val="both"/>
        <w:rPr>
          <w:rFonts w:ascii="Palatino Linotype" w:eastAsia="Palatino Linotype" w:hAnsi="Palatino Linotype" w:cs="Palatino Linotype"/>
          <w:b/>
          <w:b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parte Recurrente no realizó manifestaciones. </w:t>
      </w:r>
    </w:p>
    <w:p w:rsidR="00467D97" w:rsidRDefault="00467D97">
      <w:pPr>
        <w:spacing w:after="0" w:line="360" w:lineRule="auto"/>
        <w:jc w:val="both"/>
        <w:rPr>
          <w:rFonts w:ascii="Palatino Linotype" w:eastAsia="Palatino Linotype" w:hAnsi="Palatino Linotype" w:cs="Palatino Linotype"/>
        </w:rPr>
      </w:pPr>
    </w:p>
    <w:p w:rsidR="00467D97" w:rsidRDefault="0019616D">
      <w:pPr>
        <w:numPr>
          <w:ilvl w:val="0"/>
          <w:numId w:val="2"/>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bCs/>
        </w:rPr>
        <w:t>AMPLIACIÓN DE PLAZO:</w:t>
      </w:r>
      <w:r>
        <w:rPr>
          <w:rFonts w:ascii="Palatino Linotype" w:eastAsia="Palatino Linotype" w:hAnsi="Palatino Linotype" w:cs="Palatino Linotype"/>
        </w:rPr>
        <w:t xml:space="preserve"> En fecha </w:t>
      </w:r>
      <w:r>
        <w:rPr>
          <w:rFonts w:ascii="Palatino Linotype" w:eastAsia="Palatino Linotype" w:hAnsi="Palatino Linotype" w:cs="Palatino Linotype"/>
          <w:b/>
          <w:bCs/>
        </w:rPr>
        <w:t>veintisiete de noviembre de noviembre de dos mil veinticinco</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w:t>
      </w:r>
      <w:r>
        <w:rPr>
          <w:rFonts w:ascii="Palatino Linotype" w:eastAsia="Palatino Linotype" w:hAnsi="Palatino Linotype" w:cs="Palatino Linotype"/>
        </w:rPr>
        <w:t>ución.</w:t>
      </w:r>
    </w:p>
    <w:p w:rsidR="00467D97" w:rsidRDefault="00467D97">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w:t>
      </w:r>
      <w:r>
        <w:rPr>
          <w:rFonts w:ascii="Palatino Linotype" w:eastAsia="Palatino Linotype" w:hAnsi="Palatino Linotype" w:cs="Palatino Linotype"/>
        </w:rPr>
        <w:t>icas y humanas del personal encargado de la proyección de las resoluciones a dichos medios de impugnación.</w:t>
      </w:r>
    </w:p>
    <w:p w:rsidR="00467D97" w:rsidRDefault="00467D97">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w:t>
      </w:r>
      <w:r>
        <w:rPr>
          <w:rFonts w:ascii="Palatino Linotype" w:eastAsia="Palatino Linotype" w:hAnsi="Palatino Linotype" w:cs="Palatino Linotype"/>
        </w:rPr>
        <w:t>lidad de asuntos conforme a los parámetros establecidos por diversos órganos jurisdiccionales federales, aplicables también en procedimientos análogos, como el que nos ocupa.</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w:t>
      </w:r>
      <w:r>
        <w:rPr>
          <w:rFonts w:ascii="Palatino Linotype" w:eastAsia="Palatino Linotype" w:hAnsi="Palatino Linotype" w:cs="Palatino Linotype"/>
        </w:rPr>
        <w:t>ericana sobre Derechos Humanos, los recursos deben ser sencillos y resolverse en el menor tiempo posible, tomando en consideración la dilación total del procedimiento; esto es, en un plazo razonable.</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w:t>
      </w:r>
      <w:r>
        <w:rPr>
          <w:rFonts w:ascii="Palatino Linotype" w:eastAsia="Palatino Linotype" w:hAnsi="Palatino Linotype" w:cs="Palatino Linotype"/>
        </w:rPr>
        <w:t xml:space="preserve">les en las leyes, de manera general, sin que pudiera prever la variada gama de casos que son resueltos por los órganos jurisdiccionales o cuasi jurisdiccionales, tanto por la complejidad de los hechos, como por el número de casos que conocen.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Por ello, e</w:t>
      </w:r>
      <w:r>
        <w:rPr>
          <w:rFonts w:ascii="Palatino Linotype" w:eastAsia="Palatino Linotype" w:hAnsi="Palatino Linotype" w:cs="Palatino Linotype"/>
        </w:rPr>
        <w:t xml:space="preserve">xcepcionalmente, si un asunto es resuelto con posterioridad a los plazos señalados por la norma debe analizarse la razonabilidad del tiempo necesario para su resolución, atentos a los siguientes criterios: </w:t>
      </w:r>
    </w:p>
    <w:p w:rsidR="00467D97" w:rsidRDefault="00467D97">
      <w:pPr>
        <w:spacing w:after="0" w:line="360" w:lineRule="auto"/>
        <w:jc w:val="both"/>
        <w:rPr>
          <w:rFonts w:ascii="Palatino Linotype" w:eastAsia="Palatino Linotype" w:hAnsi="Palatino Linotype" w:cs="Palatino Linotype"/>
        </w:rPr>
      </w:pPr>
    </w:p>
    <w:p w:rsidR="00467D97" w:rsidRDefault="0019616D">
      <w:pPr>
        <w:numPr>
          <w:ilvl w:val="0"/>
          <w:numId w:val="3"/>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rsidR="00467D97" w:rsidRDefault="0019616D">
      <w:pPr>
        <w:numPr>
          <w:ilvl w:val="0"/>
          <w:numId w:val="3"/>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467D97" w:rsidRDefault="0019616D">
      <w:pPr>
        <w:numPr>
          <w:ilvl w:val="0"/>
          <w:numId w:val="3"/>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Conducta de la Autoridad: </w:t>
      </w:r>
      <w:r>
        <w:rPr>
          <w:rFonts w:ascii="Palatino Linotype" w:eastAsia="Palatino Linotype" w:hAnsi="Palatino Linotype" w:cs="Palatino Linotype"/>
        </w:rPr>
        <w:t>Las Acciones u omisiones realizadas en el procedimiento. Así como si la autoridad actuó con la debida diligencia.</w:t>
      </w:r>
    </w:p>
    <w:p w:rsidR="00467D97" w:rsidRDefault="0019616D">
      <w:pPr>
        <w:numPr>
          <w:ilvl w:val="0"/>
          <w:numId w:val="3"/>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afectación generada en la situación jurídica de la persona involucrada en el proceso: Violación a sus derechos humanos.</w:t>
      </w:r>
    </w:p>
    <w:p w:rsidR="00467D97" w:rsidRDefault="00467D97">
      <w:pPr>
        <w:spacing w:after="0" w:line="360" w:lineRule="auto"/>
        <w:ind w:left="927"/>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w:t>
      </w:r>
      <w:r>
        <w:rPr>
          <w:rFonts w:ascii="Palatino Linotype" w:eastAsia="Palatino Linotype" w:hAnsi="Palatino Linotype" w:cs="Palatino Linotype"/>
        </w:rPr>
        <w:t>do se trate de un asunto excepcional, por alguna o todas las características mencionadas; o bien, cuando el ingreso de asuntos al órgano jurisdiccional o cuasi jurisdiccional respectivo supere notoriamente al que podría considerarse normal, debe concluirse</w:t>
      </w:r>
      <w:r>
        <w:rPr>
          <w:rFonts w:ascii="Palatino Linotype" w:eastAsia="Palatino Linotype" w:hAnsi="Palatino Linotype" w:cs="Palatino Linotype"/>
        </w:rPr>
        <w:t xml:space="preserve"> que es una excluyente de responsabilidad en relación con la actuación del funcionario, como ha acontecido en el caso que nos ocupa.</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w:t>
      </w:r>
      <w:r>
        <w:rPr>
          <w:rFonts w:ascii="Palatino Linotype" w:eastAsia="Palatino Linotype" w:hAnsi="Palatino Linotype" w:cs="Palatino Linotype"/>
        </w:rPr>
        <w:t xml:space="preserve">la Nación de rubro </w:t>
      </w:r>
      <w:r>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w:t>
      </w:r>
      <w:r>
        <w:rPr>
          <w:rFonts w:ascii="Palatino Linotype" w:eastAsia="Palatino Linotype" w:hAnsi="Palatino Linotype" w:cs="Palatino Linotype"/>
        </w:rPr>
        <w:t>inario Judicial de la Federación con el registro digital 205635.</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w:t>
      </w:r>
      <w:r>
        <w:rPr>
          <w:rFonts w:ascii="Palatino Linotype" w:eastAsia="Palatino Linotype" w:hAnsi="Palatino Linotype" w:cs="Palatino Linotype"/>
        </w:rPr>
        <w:t xml:space="preserve"> de los recursos materiales y humanos con que cuenta este Instituto para atender la enorme demanda de usuarios que acuden para que se les garantice su Derecho de acceso a la información Pública y Protección de Datos Personales, aunado a la complejidad de l</w:t>
      </w:r>
      <w:r>
        <w:rPr>
          <w:rFonts w:ascii="Palatino Linotype" w:eastAsia="Palatino Linotype" w:hAnsi="Palatino Linotype" w:cs="Palatino Linotype"/>
        </w:rPr>
        <w:t xml:space="preserve">os hechos a los que se refieren, así como al volumen del expediente, la extensión de los escritos y pruebas aportadas y desahogadas por las partes; lo que impide la tramitación de los recursos dentro de los términos legales previamente establecidos por la </w:t>
      </w:r>
      <w:r>
        <w:rPr>
          <w:rFonts w:ascii="Palatino Linotype" w:eastAsia="Palatino Linotype" w:hAnsi="Palatino Linotype" w:cs="Palatino Linotype"/>
        </w:rPr>
        <w:t>Ley, por tratarse de causas de fuerza mayor.</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b/>
          <w:bCs/>
        </w:rPr>
        <w:t xml:space="preserve"> </w:t>
      </w:r>
      <w:r>
        <w:rPr>
          <w:rFonts w:ascii="Palatino Linotype" w:eastAsia="Palatino Linotype" w:hAnsi="Palatino Linotype" w:cs="Palatino Linotype"/>
          <w:b/>
          <w:bCs/>
          <w:i/>
          <w:iCs/>
        </w:rPr>
        <w:t>“PLAZ</w:t>
      </w:r>
      <w:r>
        <w:rPr>
          <w:rFonts w:ascii="Palatino Linotype" w:eastAsia="Palatino Linotype" w:hAnsi="Palatino Linotype" w:cs="Palatino Linotype"/>
          <w:b/>
          <w:bCs/>
          <w:i/>
          <w:iCs/>
        </w:rPr>
        <w:t>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467D97" w:rsidRDefault="0019616D">
      <w:pP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b/>
          <w:bCs/>
          <w:i/>
          <w:iCs/>
        </w:rPr>
        <w:t>“PLAZO RAZONABLE PARA RESOLVER. CONCEPTO Y ELEME</w:t>
      </w:r>
      <w:r>
        <w:rPr>
          <w:rFonts w:ascii="Palatino Linotype" w:eastAsia="Palatino Linotype" w:hAnsi="Palatino Linotype" w:cs="Palatino Linotype"/>
          <w:b/>
          <w:bCs/>
          <w:i/>
          <w:iCs/>
        </w:rPr>
        <w:t>NTOS QUE LO INTEGRAN A LA LUZ DEL DERECHO INTERNACIONAL DE LOS DERECHOS HUMANOS</w:t>
      </w:r>
      <w:r>
        <w:rPr>
          <w:rFonts w:ascii="Palatino Linotype" w:eastAsia="Palatino Linotype" w:hAnsi="Palatino Linotype" w:cs="Palatino Linotype"/>
          <w:i/>
          <w:iCs/>
        </w:rPr>
        <w:t>.”</w:t>
      </w:r>
      <w:r>
        <w:rPr>
          <w:rFonts w:ascii="Palatino Linotype" w:eastAsia="Palatino Linotype" w:hAnsi="Palatino Linotype" w:cs="Palatino Linotype"/>
        </w:rPr>
        <w:t>, visible en el Seminario Judicial de la Federación y su gaceta, con el registro digital 2002350.</w:t>
      </w:r>
    </w:p>
    <w:p w:rsidR="00467D97" w:rsidRDefault="00467D97">
      <w:pPr>
        <w:spacing w:after="0" w:line="360" w:lineRule="auto"/>
        <w:ind w:left="567" w:right="616"/>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7. CIERRE DE INSTRUCCIÓN. </w:t>
      </w:r>
      <w:r>
        <w:rPr>
          <w:rFonts w:ascii="Palatino Linotype" w:eastAsia="Palatino Linotype" w:hAnsi="Palatino Linotype" w:cs="Palatino Linotype"/>
        </w:rPr>
        <w:t xml:space="preserve">El </w:t>
      </w:r>
      <w:r>
        <w:rPr>
          <w:rFonts w:ascii="Palatino Linotype" w:eastAsia="Palatino Linotype" w:hAnsi="Palatino Linotype" w:cs="Palatino Linotype"/>
          <w:b/>
          <w:bCs/>
        </w:rPr>
        <w:t>tres de diciembre de dos mil</w:t>
      </w:r>
      <w:r>
        <w:rPr>
          <w:rFonts w:ascii="Palatino Linotype" w:eastAsia="Palatino Linotype" w:hAnsi="Palatino Linotype" w:cs="Palatino Linotype"/>
          <w:b/>
          <w:bCs/>
        </w:rPr>
        <w:t xml:space="preserve"> veinticinco</w:t>
      </w:r>
      <w:r>
        <w:rPr>
          <w:rFonts w:ascii="Palatino Linotype" w:eastAsia="Palatino Linotype" w:hAnsi="Palatino Linotype" w:cs="Palatino Linotype"/>
        </w:rPr>
        <w:t xml:space="preserve"> al no existir diligencias pendientes por desahogar, se notificó el acuerdo por medio del cual se declaró cerrada la instrucción y se determinó pasar el expediente a resolución, en términos del artículo 185 fracción VI y VIII de la Ley de Trans</w:t>
      </w:r>
      <w:r>
        <w:rPr>
          <w:rFonts w:ascii="Palatino Linotype" w:eastAsia="Palatino Linotype" w:hAnsi="Palatino Linotype" w:cs="Palatino Linotype"/>
        </w:rPr>
        <w:t>parencia y Acceso a la Información Pública del Estado de México y Municipios, iniciando el término legal para dictar resolución definitiva del asunto.</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w:t>
      </w:r>
      <w:r>
        <w:rPr>
          <w:rFonts w:ascii="Palatino Linotype" w:eastAsia="Palatino Linotype" w:hAnsi="Palatino Linotype" w:cs="Palatino Linotype"/>
        </w:rPr>
        <w:t>e desahogo, se emite la Resolución que conforme a Derecho proceda, de acuerdo con los siguientes:</w:t>
      </w:r>
    </w:p>
    <w:p w:rsidR="00467D97" w:rsidRDefault="00467D97">
      <w:pPr>
        <w:spacing w:after="0" w:line="360" w:lineRule="auto"/>
        <w:jc w:val="both"/>
        <w:rPr>
          <w:rFonts w:ascii="Palatino Linotype" w:eastAsia="Palatino Linotype" w:hAnsi="Palatino Linotype" w:cs="Palatino Linotype"/>
        </w:rPr>
      </w:pPr>
    </w:p>
    <w:p w:rsidR="00467D97" w:rsidRDefault="0019616D">
      <w:pPr>
        <w:widowControl w:val="0"/>
        <w:spacing w:after="0"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C O N S I D E R A N D O S</w:t>
      </w:r>
    </w:p>
    <w:p w:rsidR="00467D97" w:rsidRDefault="00467D97">
      <w:pPr>
        <w:widowControl w:val="0"/>
        <w:spacing w:after="0" w:line="360" w:lineRule="auto"/>
        <w:jc w:val="center"/>
        <w:rPr>
          <w:rFonts w:ascii="Palatino Linotype" w:eastAsia="Palatino Linotype" w:hAnsi="Palatino Linotype" w:cs="Palatino Linotype"/>
          <w:b/>
          <w:b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w:t>
      </w:r>
      <w:r>
        <w:rPr>
          <w:rFonts w:ascii="Palatino Linotype" w:eastAsia="Palatino Linotype" w:hAnsi="Palatino Linotype" w:cs="Palatino Linotype"/>
        </w:rPr>
        <w:t>e México y Municipios, es competente para conocer y resolver el presente recurso de revisión interpuesto por la parte recurrente, conforme a lo dispuesto en los artículos 6, apartado A de la Constitución Política de los Estados Unidos Mexicanos</w:t>
      </w:r>
      <w:r>
        <w:t xml:space="preserve"> </w:t>
      </w:r>
      <w:r>
        <w:rPr>
          <w:rFonts w:ascii="Palatino Linotype" w:eastAsia="Palatino Linotype" w:hAnsi="Palatino Linotype" w:cs="Palatino Linotype"/>
        </w:rPr>
        <w:t xml:space="preserve">5 párrafos </w:t>
      </w:r>
      <w:r>
        <w:rPr>
          <w:rFonts w:ascii="Palatino Linotype" w:eastAsia="Palatino Linotype" w:hAnsi="Palatino Linotype" w:cs="Palatino Linotype"/>
        </w:rPr>
        <w:t>trigésimo noveno, cuadragésimo y cuadragésimo primero fracciones IV y V de la Constitución Política del Estado Libre y Soberano de México; Transitorio Cuarto, párrafo segundo del Decreto número 198 de la “LXII” Legislatura del Estado de México; y 185 de la</w:t>
      </w:r>
      <w:r>
        <w:rPr>
          <w:rFonts w:ascii="Palatino Linotype" w:eastAsia="Palatino Linotype" w:hAnsi="Palatino Linotype" w:cs="Palatino Linotype"/>
        </w:rPr>
        <w:t xml:space="preserve"> Ley Transparencia y Acceso a la Información Pública del Estado de México y Municipios; 9, fracciones I y XXIII y 11 del Reglamento Interior del Instituto de Transparencia, Acceso a la Información Pública y Protección de Datos Personales del Estado de Méxi</w:t>
      </w:r>
      <w:r>
        <w:rPr>
          <w:rFonts w:ascii="Palatino Linotype" w:eastAsia="Palatino Linotype" w:hAnsi="Palatino Linotype" w:cs="Palatino Linotype"/>
        </w:rPr>
        <w:t>co y Municipios.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w:t>
      </w:r>
      <w:r>
        <w:rPr>
          <w:rFonts w:ascii="Palatino Linotype" w:eastAsia="Palatino Linotype" w:hAnsi="Palatino Linotype" w:cs="Palatino Linotype"/>
        </w:rPr>
        <w:t>os artículos 178 y 180 de la Ley de Transparencia y Acceso a la Información Pública del Estado de México y Municipios.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w:t>
      </w:r>
      <w:r>
        <w:rPr>
          <w:rFonts w:ascii="Palatino Linotype" w:eastAsia="Palatino Linotype" w:hAnsi="Palatino Linotype" w:cs="Palatino Linotype"/>
        </w:rPr>
        <w:t>Acceso a la Información Pública del Estado de México y Municipios, contados a partir de la fecha en que</w:t>
      </w:r>
      <w:r>
        <w:rPr>
          <w:rFonts w:ascii="Palatino Linotype" w:eastAsia="Palatino Linotype" w:hAnsi="Palatino Linotype" w:cs="Palatino Linotype"/>
          <w:b/>
          <w:bCs/>
        </w:rPr>
        <w:t xml:space="preserve"> EL SUJETO OBLIGADO </w:t>
      </w:r>
      <w:r>
        <w:rPr>
          <w:rFonts w:ascii="Palatino Linotype" w:eastAsia="Palatino Linotype" w:hAnsi="Palatino Linotype" w:cs="Palatino Linotype"/>
        </w:rPr>
        <w:t xml:space="preserve">emitió la respuesta, toda vez que esta fue pronunciada el día </w:t>
      </w:r>
      <w:r>
        <w:rPr>
          <w:rFonts w:ascii="Palatino Linotype" w:eastAsia="Palatino Linotype" w:hAnsi="Palatino Linotype" w:cs="Palatino Linotype"/>
          <w:b/>
          <w:bCs/>
        </w:rPr>
        <w:t>siete de mayo de dos mil veinticinco</w:t>
      </w:r>
      <w:r>
        <w:rPr>
          <w:rFonts w:ascii="Palatino Linotype" w:eastAsia="Palatino Linotype" w:hAnsi="Palatino Linotype" w:cs="Palatino Linotype"/>
        </w:rPr>
        <w:t>, mientras que el recurso de revisi</w:t>
      </w:r>
      <w:r>
        <w:rPr>
          <w:rFonts w:ascii="Palatino Linotype" w:eastAsia="Palatino Linotype" w:hAnsi="Palatino Linotype" w:cs="Palatino Linotype"/>
        </w:rPr>
        <w:t xml:space="preserve">ón se tuvo por presentado en fecha </w:t>
      </w:r>
      <w:r>
        <w:rPr>
          <w:rFonts w:ascii="Palatino Linotype" w:eastAsia="Palatino Linotype" w:hAnsi="Palatino Linotype" w:cs="Palatino Linotype"/>
          <w:b/>
          <w:bCs/>
        </w:rPr>
        <w:t>veintisiete de mayo de dos mil veinticinco</w:t>
      </w:r>
      <w:r>
        <w:rPr>
          <w:rFonts w:ascii="Palatino Linotype" w:eastAsia="Palatino Linotype" w:hAnsi="Palatino Linotype" w:cs="Palatino Linotype"/>
        </w:rPr>
        <w:t xml:space="preserve">, es decir, al décimo cuarto día hábil de haber recibido la respuesta.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Ahora bien, del análisis efectuado se advierte que resulta procedente la interposición del recurso y se co</w:t>
      </w:r>
      <w:r>
        <w:rPr>
          <w:rFonts w:ascii="Palatino Linotype" w:eastAsia="Palatino Linotype" w:hAnsi="Palatino Linotype" w:cs="Palatino Linotype"/>
        </w:rPr>
        <w:t>ncluye la acreditación plena de todos y cada uno de los elementos formales exigidos por el artículo 180 de la Ley de Transparencia y Acceso a la Información Pública del Estado de México y Municipios en vigor, en atención a que fue presentado mediante el fo</w:t>
      </w:r>
      <w:r>
        <w:rPr>
          <w:rFonts w:ascii="Palatino Linotype" w:eastAsia="Palatino Linotype" w:hAnsi="Palatino Linotype" w:cs="Palatino Linotype"/>
        </w:rPr>
        <w:t xml:space="preserve">rmato visible </w:t>
      </w:r>
      <w:r>
        <w:rPr>
          <w:rFonts w:ascii="Palatino Linotype" w:eastAsia="Palatino Linotype" w:hAnsi="Palatino Linotype" w:cs="Palatino Linotype"/>
          <w:b/>
          <w:bCs/>
        </w:rPr>
        <w:t xml:space="preserve">EL SAIMEX.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resulta procedente la interposición del recurso, según lo aducido por </w:t>
      </w:r>
      <w:r>
        <w:rPr>
          <w:rFonts w:ascii="Palatino Linotype" w:eastAsia="Palatino Linotype" w:hAnsi="Palatino Linotype" w:cs="Palatino Linotype"/>
          <w:b/>
          <w:bCs/>
        </w:rPr>
        <w:t>LA PARTE RECURRENTE</w:t>
      </w:r>
      <w:r>
        <w:rPr>
          <w:rFonts w:ascii="Palatino Linotype" w:eastAsia="Palatino Linotype" w:hAnsi="Palatino Linotype" w:cs="Palatino Linotype"/>
        </w:rPr>
        <w:t xml:space="preserve"> en sus razones o motivos de inconformidad, de acuerdo al artículo 179, fracción V de la Ley de Transparencia y Acceso a la Inf</w:t>
      </w:r>
      <w:r>
        <w:rPr>
          <w:rFonts w:ascii="Palatino Linotype" w:eastAsia="Palatino Linotype" w:hAnsi="Palatino Linotype" w:cs="Palatino Linotype"/>
        </w:rPr>
        <w:t>ormación Pública del Estado de México y Municipios; que a la letra dice:</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179</w:t>
      </w:r>
      <w:r>
        <w:rPr>
          <w:rFonts w:ascii="Palatino Linotype" w:eastAsia="Palatino Linotype" w:hAnsi="Palatino Linotype" w:cs="Palatino Linotype"/>
          <w:i/>
          <w:iCs/>
        </w:rPr>
        <w:t>. El recurso de revisión es un medio de protección que la Ley otorga a los particulares, para hacer valer su derecho de acceso a la información pública, y procederá en contra de las siguientes causas:</w:t>
      </w:r>
    </w:p>
    <w:p w:rsidR="00467D97" w:rsidRDefault="001961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iCs/>
        </w:rPr>
      </w:pPr>
      <w:r>
        <w:rPr>
          <w:rFonts w:ascii="Palatino Linotype" w:eastAsia="Palatino Linotype" w:hAnsi="Palatino Linotype" w:cs="Palatino Linotype"/>
          <w:i/>
          <w:iCs/>
        </w:rPr>
        <w:t>V. La entrega de información incompleta</w:t>
      </w:r>
    </w:p>
    <w:p w:rsidR="00467D97" w:rsidRDefault="0019616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Tercero.</w:t>
      </w:r>
      <w:r>
        <w:rPr>
          <w:rFonts w:ascii="Palatino Linotype" w:eastAsia="Palatino Linotype" w:hAnsi="Palatino Linotype" w:cs="Palatino Linotype"/>
          <w:b/>
          <w:bCs/>
        </w:rPr>
        <w:t xml:space="preserve"> Materia de Revisión</w:t>
      </w:r>
      <w:r>
        <w:rPr>
          <w:rFonts w:ascii="Palatino Linotype" w:eastAsia="Palatino Linotype" w:hAnsi="Palatino Linotype" w:cs="Palatino Linotype"/>
        </w:rPr>
        <w:t>: De las constancias que integran el expediente electrónico se advierte que el tema sobre el que este Instituto se pronunciará será en determinar si se actualiza la fracción V del artículo 179 de la Ley de Transparencia y Acceso a la In</w:t>
      </w:r>
      <w:r>
        <w:rPr>
          <w:rFonts w:ascii="Palatino Linotype" w:eastAsia="Palatino Linotype" w:hAnsi="Palatino Linotype" w:cs="Palatino Linotype"/>
        </w:rPr>
        <w:t xml:space="preserve">formación Pública del Estado de México y Municipios.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Estudio de fondo del asunto. </w:t>
      </w:r>
      <w:r>
        <w:rPr>
          <w:rFonts w:ascii="Palatino Linotype" w:eastAsia="Palatino Linotype" w:hAnsi="Palatino Linotype" w:cs="Palatino Linotype"/>
        </w:rPr>
        <w:t>Es conveniente analizar si la respuesta del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cumple con los requisitos y procedimientos del derecho de acceso a la información pública, en atención </w:t>
      </w:r>
      <w:r>
        <w:rPr>
          <w:rFonts w:ascii="Palatino Linotype" w:eastAsia="Palatino Linotype" w:hAnsi="Palatino Linotype" w:cs="Palatino Linotype"/>
        </w:rPr>
        <w:t>a que en la Ley de Transparencia y Acceso a la Información Pública del Estado de México y Municipios en su artículo 4, que dice que toda la información generada, obtenida, adquirida, transformada, administrada o en posesión de los sujetos obligados es públ</w:t>
      </w:r>
      <w:r>
        <w:rPr>
          <w:rFonts w:ascii="Palatino Linotype" w:eastAsia="Palatino Linotype" w:hAnsi="Palatino Linotype" w:cs="Palatino Linotype"/>
        </w:rPr>
        <w:t>ica y accesible de manera permanente a cualquier persona, privilegiando el principio de máxima publicidad, como así lo establece dicha determinación, que a continuación se transcribe para un mejor entendimiento:</w:t>
      </w:r>
    </w:p>
    <w:p w:rsidR="00467D97" w:rsidRDefault="00467D97">
      <w:pPr>
        <w:spacing w:after="0" w:line="360" w:lineRule="auto"/>
        <w:jc w:val="both"/>
        <w:rPr>
          <w:rFonts w:ascii="Palatino Linotype" w:eastAsia="Palatino Linotype" w:hAnsi="Palatino Linotype" w:cs="Palatino Linotype"/>
        </w:rPr>
      </w:pPr>
    </w:p>
    <w:p w:rsidR="00467D97" w:rsidRDefault="0019616D">
      <w:pPr>
        <w:tabs>
          <w:tab w:val="left" w:pos="851"/>
        </w:tabs>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4</w:t>
      </w:r>
      <w:r>
        <w:rPr>
          <w:rFonts w:ascii="Palatino Linotype" w:eastAsia="Palatino Linotype" w:hAnsi="Palatino Linotype" w:cs="Palatino Linotype"/>
          <w:i/>
          <w:iCs/>
        </w:rPr>
        <w:t xml:space="preserve">. El derecho humano de acceso a </w:t>
      </w:r>
      <w:r>
        <w:rPr>
          <w:rFonts w:ascii="Palatino Linotype" w:eastAsia="Palatino Linotype" w:hAnsi="Palatino Linotype" w:cs="Palatino Linotype"/>
          <w:i/>
          <w:iCs/>
        </w:rPr>
        <w:t xml:space="preserve">la información pública es la prerrogativa de las personas para buscar, difundir, investigar, recabar, recibir y solicitar información pública, sin necesidad de acreditar personalidad ni interés jurídico. </w:t>
      </w:r>
    </w:p>
    <w:p w:rsidR="00467D97" w:rsidRDefault="0019616D">
      <w:pPr>
        <w:tabs>
          <w:tab w:val="left" w:pos="851"/>
        </w:tabs>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Toda la información generada, obtenida, adquirida, </w:t>
      </w:r>
      <w:r>
        <w:rPr>
          <w:rFonts w:ascii="Palatino Linotype" w:eastAsia="Palatino Linotype" w:hAnsi="Palatino Linotype" w:cs="Palatino Linotype"/>
          <w:b/>
          <w:bCs/>
          <w:i/>
          <w:iCs/>
        </w:rPr>
        <w:t>transformada, administrada o en posesión de los sujetos obligados es pública y accesible de manera permanente a cualquier persona</w:t>
      </w:r>
      <w:r>
        <w:rPr>
          <w:rFonts w:ascii="Palatino Linotype" w:eastAsia="Palatino Linotype" w:hAnsi="Palatino Linotype" w:cs="Palatino Linotype"/>
          <w:i/>
          <w:iCs/>
        </w:rPr>
        <w:t xml:space="preserve">, en los términos y condiciones que se establezcan en los tratados internacionales de los que el Estado mexicano sea parte, en </w:t>
      </w:r>
      <w:r>
        <w:rPr>
          <w:rFonts w:ascii="Palatino Linotype" w:eastAsia="Palatino Linotype" w:hAnsi="Palatino Linotype" w:cs="Palatino Linotype"/>
          <w:i/>
          <w:iCs/>
        </w:rPr>
        <w:t xml:space="preserve">la Ley General, la presente Ley y demás disposiciones de la materia, privilegiando el principio de máxima publicidad de la información. Solo podrá ser clasificada excepcionalmente Ley de Transparencia y Acceso a la Información Pública del Estado de México </w:t>
      </w:r>
      <w:r>
        <w:rPr>
          <w:rFonts w:ascii="Palatino Linotype" w:eastAsia="Palatino Linotype" w:hAnsi="Palatino Linotype" w:cs="Palatino Linotype"/>
          <w:i/>
          <w:iCs/>
        </w:rPr>
        <w:t>y Municipios 29 como reservada temporalmente por razones de interés público, en los términos de las causas legítimas y estrictamente necesarias previstas por esta Ley.</w:t>
      </w:r>
    </w:p>
    <w:p w:rsidR="00467D97" w:rsidRDefault="0019616D">
      <w:pPr>
        <w:tabs>
          <w:tab w:val="left" w:pos="851"/>
        </w:tabs>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Los sujetos obligados deben poner en práctica, políticas y programas de acceso a la info</w:t>
      </w:r>
      <w:r>
        <w:rPr>
          <w:rFonts w:ascii="Palatino Linotype" w:eastAsia="Palatino Linotype" w:hAnsi="Palatino Linotype" w:cs="Palatino Linotype"/>
          <w:b/>
          <w:bCs/>
          <w:i/>
          <w:iCs/>
        </w:rPr>
        <w:t>rmación que se apeguen a criterios de publicidad, veracidad, oportunidad, precisión y suficiencia en beneficio de los solicitantes</w:t>
      </w:r>
      <w:r>
        <w:rPr>
          <w:rFonts w:ascii="Palatino Linotype" w:eastAsia="Palatino Linotype" w:hAnsi="Palatino Linotype" w:cs="Palatino Linotype"/>
          <w:i/>
          <w:iCs/>
        </w:rPr>
        <w:t>.”(Sic)</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w:t>
      </w:r>
      <w:r>
        <w:rPr>
          <w:rFonts w:ascii="Palatino Linotype" w:eastAsia="Palatino Linotype" w:hAnsi="Palatino Linotype" w:cs="Palatino Linotype"/>
        </w:rPr>
        <w:t>pública que se les hagan de su conocimiento y proporcionar la información pública que obren en su poder conforme el estado que se encuentra y no hacer un procesamiento de la misma, ni presentarla conforme al interés del solicitante; como así lo establece e</w:t>
      </w:r>
      <w:r>
        <w:rPr>
          <w:rFonts w:ascii="Palatino Linotype" w:eastAsia="Palatino Linotype" w:hAnsi="Palatino Linotype" w:cs="Palatino Linotype"/>
        </w:rPr>
        <w:t>l artículo 12 de la Ley de Transparencia y Acceso a la Información Pública del Estado de México y Municipios, que a la letra dice:</w:t>
      </w:r>
    </w:p>
    <w:p w:rsidR="00467D97" w:rsidRDefault="00467D97">
      <w:pPr>
        <w:spacing w:after="0" w:line="276" w:lineRule="auto"/>
        <w:ind w:left="567" w:right="616"/>
        <w:jc w:val="both"/>
        <w:rPr>
          <w:rFonts w:ascii="Palatino Linotype" w:eastAsia="Palatino Linotype" w:hAnsi="Palatino Linotype" w:cs="Palatino Linotype"/>
        </w:rPr>
      </w:pP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12.-</w:t>
      </w:r>
      <w:r>
        <w:rPr>
          <w:rFonts w:ascii="Palatino Linotype" w:eastAsia="Palatino Linotype" w:hAnsi="Palatino Linotype" w:cs="Palatino Linotype"/>
          <w:i/>
          <w:iCs/>
        </w:rPr>
        <w:t xml:space="preserve"> Quienes generen, recopilen, administren, manejen, procesen, archiven o conserven información pública serán re</w:t>
      </w:r>
      <w:r>
        <w:rPr>
          <w:rFonts w:ascii="Palatino Linotype" w:eastAsia="Palatino Linotype" w:hAnsi="Palatino Linotype" w:cs="Palatino Linotype"/>
          <w:i/>
          <w:iCs/>
        </w:rPr>
        <w:t xml:space="preserve">sponsables de la misma en los términos de las disposiciones jurídicas aplicables. </w:t>
      </w:r>
    </w:p>
    <w:p w:rsidR="00467D97" w:rsidRDefault="00467D97">
      <w:pPr>
        <w:spacing w:after="0" w:line="276" w:lineRule="auto"/>
        <w:ind w:left="567" w:right="616"/>
        <w:jc w:val="both"/>
        <w:rPr>
          <w:rFonts w:ascii="Palatino Linotype" w:eastAsia="Palatino Linotype" w:hAnsi="Palatino Linotype" w:cs="Palatino Linotype"/>
          <w:i/>
          <w:iCs/>
        </w:rPr>
      </w:pP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iCs/>
        </w:rPr>
        <w:t xml:space="preserve">.” </w:t>
      </w:r>
    </w:p>
    <w:p w:rsidR="00467D97" w:rsidRDefault="00467D97">
      <w:pPr>
        <w:spacing w:after="0" w:line="360" w:lineRule="auto"/>
        <w:ind w:right="-93"/>
        <w:jc w:val="both"/>
        <w:rPr>
          <w:rFonts w:ascii="Palatino Linotype" w:eastAsia="Palatino Linotype" w:hAnsi="Palatino Linotype" w:cs="Palatino Linotype"/>
        </w:rPr>
      </w:pPr>
    </w:p>
    <w:p w:rsidR="00467D97" w:rsidRDefault="0019616D">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w:t>
      </w:r>
      <w:r>
        <w:rPr>
          <w:rFonts w:ascii="Palatino Linotype" w:eastAsia="Palatino Linotype" w:hAnsi="Palatino Linotype" w:cs="Palatino Linotype"/>
        </w:rPr>
        <w:t>jeto obligado que genere, recopile, administre, procese, archive, posea o conserven, son responsables de la misma teniendo a su vez la obligación de proporcionar la información que se les requiera sin necesidad de resumirla, efectuar procedimientos para ob</w:t>
      </w:r>
      <w:r>
        <w:rPr>
          <w:rFonts w:ascii="Palatino Linotype" w:eastAsia="Palatino Linotype" w:hAnsi="Palatino Linotype" w:cs="Palatino Linotype"/>
        </w:rPr>
        <w:t>tenerla, calcular y practicar investigaciones; en otras palabras, que los Sujetos Obligados sólo se concretarán a proporcionar la información solicitada que tengan en su poder en el estado que se encuentran, sin necesidad de concretarse al interés o términ</w:t>
      </w:r>
      <w:r>
        <w:rPr>
          <w:rFonts w:ascii="Palatino Linotype" w:eastAsia="Palatino Linotype" w:hAnsi="Palatino Linotype" w:cs="Palatino Linotype"/>
        </w:rPr>
        <w:t>os específicos del solicitante.</w:t>
      </w:r>
    </w:p>
    <w:p w:rsidR="00467D97" w:rsidRDefault="00467D97">
      <w:pPr>
        <w:spacing w:after="0" w:line="360" w:lineRule="auto"/>
        <w:ind w:right="-93"/>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bCs/>
        </w:rPr>
        <w:t xml:space="preserve"> </w:t>
      </w:r>
    </w:p>
    <w:p w:rsidR="00467D97" w:rsidRDefault="00467D97">
      <w:pPr>
        <w:spacing w:after="0" w:line="276" w:lineRule="auto"/>
        <w:ind w:left="851" w:right="850"/>
        <w:jc w:val="both"/>
        <w:rPr>
          <w:rFonts w:ascii="Palatino Linotype" w:eastAsia="Palatino Linotype" w:hAnsi="Palatino Linotype" w:cs="Palatino Linotype"/>
        </w:rPr>
      </w:pP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No existe obligación de elaborar documentos ad hoc</w:t>
      </w:r>
      <w:r>
        <w:rPr>
          <w:rFonts w:ascii="Palatino Linotype" w:eastAsia="Palatino Linotype" w:hAnsi="Palatino Linotype" w:cs="Palatino Linotype"/>
          <w:b/>
          <w:bCs/>
          <w:i/>
          <w:iCs/>
        </w:rPr>
        <w:t xml:space="preserve"> para atender las solicitudes de acceso a la información.</w:t>
      </w:r>
      <w:r>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w:t>
      </w:r>
      <w:r>
        <w:rPr>
          <w:rFonts w:ascii="Palatino Linotype" w:eastAsia="Palatino Linotype" w:hAnsi="Palatino Linotype" w:cs="Palatino Linotype"/>
          <w:i/>
          <w:iCs/>
        </w:rPr>
        <w:t>jetos obligados deberán otorgar acceso a los documentos que se encuentren en sus archivos o que estén obligados a documentar, de acuerdo con sus facultades, competencias o funciones, conforme a las características físicas de la información o del lugar dond</w:t>
      </w:r>
      <w:r>
        <w:rPr>
          <w:rFonts w:ascii="Palatino Linotype" w:eastAsia="Palatino Linotype" w:hAnsi="Palatino Linotype" w:cs="Palatino Linotype"/>
          <w:i/>
          <w:iCs/>
        </w:rPr>
        <w:t>e se encuentre. Por lo anterior, los sujetos obligados deben garantizar el derecho de acceso a la información del particular, proporcionando la información con la que cuentan en el formato en que la misma obre en sus archivos; sin necesidad de elaborar doc</w:t>
      </w:r>
      <w:r>
        <w:rPr>
          <w:rFonts w:ascii="Palatino Linotype" w:eastAsia="Palatino Linotype" w:hAnsi="Palatino Linotype" w:cs="Palatino Linotype"/>
          <w:i/>
          <w:iCs/>
        </w:rPr>
        <w:t xml:space="preserve">umentos ad hoc para atender las solicitudes de información”. </w:t>
      </w:r>
    </w:p>
    <w:p w:rsidR="00467D97" w:rsidRDefault="00467D97">
      <w:pPr>
        <w:spacing w:after="0" w:line="360" w:lineRule="auto"/>
        <w:ind w:right="-93"/>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w:t>
      </w:r>
      <w:r>
        <w:rPr>
          <w:rFonts w:ascii="Palatino Linotype" w:eastAsia="Palatino Linotype" w:hAnsi="Palatino Linotype" w:cs="Palatino Linotype"/>
        </w:rPr>
        <w:t>l ejercicio de sus atribuciones; por consiguiente, la información pública se encuentra a disposición de cualquier persona, lo que implica que es deber de los Sujetos Obligados, garantizar el Derecho de Acceso a la Información Pública.</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w:t>
      </w:r>
      <w:r>
        <w:rPr>
          <w:rFonts w:ascii="Palatino Linotype" w:eastAsia="Palatino Linotype" w:hAnsi="Palatino Linotype" w:cs="Palatino Linotype"/>
        </w:rPr>
        <w:t>se trate de información reservada o clasificada, que difundirla pondría en riesgo la seguridad jurídica y física del titular de la información, debiendo tener audacia los Sujetos Obligados para cuidar esta información a través del acuerdo clasificatorio de</w:t>
      </w:r>
      <w:r>
        <w:rPr>
          <w:rFonts w:ascii="Palatino Linotype" w:eastAsia="Palatino Linotype" w:hAnsi="Palatino Linotype" w:cs="Palatino Linotype"/>
        </w:rPr>
        <w:t>l comité de transparencia y la versión pública que emita el servidor público habilitado de cada Sujeto Obligado; como así se establece en la Ley de Transparencia y Acceso a la Información Pública del Estado de México y Municipios.</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w:t>
      </w:r>
      <w:r>
        <w:rPr>
          <w:rFonts w:ascii="Palatino Linotype" w:eastAsia="Palatino Linotype" w:hAnsi="Palatino Linotype" w:cs="Palatino Linotype"/>
        </w:rPr>
        <w:t xml:space="preserve">o de acceso a la información pública, consiste en que la información solicitada conste en un documento en cualquiera de sus formas, a saber: expedientes, reportes, estudios, actas, resoluciones, oficios, correspondencia, acuerdos, directivas, directrices, </w:t>
      </w:r>
      <w:r>
        <w:rPr>
          <w:rFonts w:ascii="Palatino Linotype" w:eastAsia="Palatino Linotype" w:hAnsi="Palatino Linotype" w:cs="Palatino Linotype"/>
        </w:rPr>
        <w:t>circulares, contratos, convenios, instructivos, notas, memorandos, estadísticas o bien, cualquier otro registro que documente el ejercicio de las facultades, funciones y competencias de los Sujetos Obligados; los que, podrán estar en cualquier medio, sea e</w:t>
      </w:r>
      <w:r>
        <w:rPr>
          <w:rFonts w:ascii="Palatino Linotype" w:eastAsia="Palatino Linotype" w:hAnsi="Palatino Linotype" w:cs="Palatino Linotype"/>
        </w:rPr>
        <w:t xml:space="preserve">scrito, impreso, sonoro, visual, electrónico, informático u holográfico de conformidad con el artículo 3, fracción XI de la Ley de la materia, el cual señala lo siguiente: </w:t>
      </w:r>
    </w:p>
    <w:p w:rsidR="00467D97" w:rsidRDefault="00467D97">
      <w:pPr>
        <w:spacing w:after="0" w:line="360" w:lineRule="auto"/>
        <w:ind w:left="851" w:right="899"/>
        <w:jc w:val="both"/>
        <w:rPr>
          <w:rFonts w:ascii="Palatino Linotype" w:eastAsia="Palatino Linotype" w:hAnsi="Palatino Linotype" w:cs="Palatino Linotype"/>
          <w:i/>
          <w:iCs/>
        </w:rPr>
      </w:pPr>
    </w:p>
    <w:p w:rsidR="00467D97" w:rsidRDefault="0019616D">
      <w:pPr>
        <w:spacing w:after="0" w:line="276" w:lineRule="auto"/>
        <w:ind w:left="851" w:right="899"/>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 xml:space="preserve">Artículo 3. </w:t>
      </w:r>
      <w:r>
        <w:rPr>
          <w:rFonts w:ascii="Palatino Linotype" w:eastAsia="Palatino Linotype" w:hAnsi="Palatino Linotype" w:cs="Palatino Linotype"/>
          <w:i/>
          <w:iCs/>
        </w:rPr>
        <w:t>Para los efectos de la presente Ley se entenderá por:</w:t>
      </w:r>
    </w:p>
    <w:p w:rsidR="00467D97" w:rsidRDefault="0019616D">
      <w:pPr>
        <w:spacing w:after="0" w:line="276" w:lineRule="auto"/>
        <w:ind w:left="851" w:right="899"/>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line="276" w:lineRule="auto"/>
        <w:ind w:left="851" w:right="899"/>
        <w:jc w:val="both"/>
        <w:rPr>
          <w:rFonts w:ascii="Palatino Linotype" w:eastAsia="Palatino Linotype" w:hAnsi="Palatino Linotype" w:cs="Palatino Linotype"/>
          <w:i/>
          <w:iCs/>
        </w:rPr>
      </w:pPr>
      <w:r>
        <w:rPr>
          <w:rFonts w:ascii="Palatino Linotype" w:eastAsia="Palatino Linotype" w:hAnsi="Palatino Linotype" w:cs="Palatino Linotype"/>
          <w:b/>
          <w:bCs/>
          <w:i/>
          <w:iCs/>
        </w:rPr>
        <w:t>XI. Documento:</w:t>
      </w:r>
      <w:r>
        <w:rPr>
          <w:rFonts w:ascii="Palatino Linotype" w:eastAsia="Palatino Linotype" w:hAnsi="Palatino Linotype" w:cs="Palatino Linotype"/>
          <w:i/>
          <w:iCs/>
        </w:rPr>
        <w:t xml:space="preserve"> Los expedientes, reportes, estudios, actas</w:t>
      </w:r>
      <w:r>
        <w:rPr>
          <w:rFonts w:ascii="Palatino Linotype" w:eastAsia="Palatino Linotype" w:hAnsi="Palatino Linotype" w:cs="Palatino Linotype"/>
          <w:b/>
          <w:bCs/>
          <w:i/>
          <w:iCs/>
        </w:rPr>
        <w:t>,</w:t>
      </w:r>
      <w:r>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iCs/>
        </w:rPr>
        <w:t>as de los sujetos obligados, sus servidores públicos e integrantes, sin importar su fuente o fecha de elaboración. Los documentos podrán estar en cualquier medio, sea escrito, impreso, sonoro, visual, electrónico, informático u holográfico…” (Sic)</w:t>
      </w: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w:t>
      </w:r>
      <w:r>
        <w:rPr>
          <w:rFonts w:ascii="Palatino Linotype" w:eastAsia="Palatino Linotype" w:hAnsi="Palatino Linotype" w:cs="Palatino Linotype"/>
        </w:rPr>
        <w:t>plicable, el Criterio de interpretación en el orden administrativo número 0002-11, emitido por Acuerdo del Pleno del Instituto de Transparencia y Acceso a la Información Pública del Estado de México y Municipios; publicado en el Periódico Oficial del Gobie</w:t>
      </w:r>
      <w:r>
        <w:rPr>
          <w:rFonts w:ascii="Palatino Linotype" w:eastAsia="Palatino Linotype" w:hAnsi="Palatino Linotype" w:cs="Palatino Linotype"/>
        </w:rPr>
        <w:t>rno del Estado Libre y Soberano de México “Gaceta del Gobierno”, el diecinueve de octubre de dos mil once, cuyo rubro y texto refieren lo siguiente:</w:t>
      </w:r>
    </w:p>
    <w:p w:rsidR="00467D97" w:rsidRDefault="00467D97">
      <w:pPr>
        <w:spacing w:after="0" w:line="360" w:lineRule="auto"/>
        <w:ind w:left="851" w:right="899"/>
        <w:jc w:val="both"/>
        <w:rPr>
          <w:rFonts w:ascii="Palatino Linotype" w:eastAsia="Palatino Linotype" w:hAnsi="Palatino Linotype" w:cs="Palatino Linotype"/>
        </w:rPr>
      </w:pPr>
    </w:p>
    <w:p w:rsidR="00467D97" w:rsidRDefault="0019616D">
      <w:pPr>
        <w:spacing w:after="0" w:line="276" w:lineRule="auto"/>
        <w:ind w:left="851" w:right="899"/>
        <w:jc w:val="both"/>
        <w:rPr>
          <w:rFonts w:ascii="Palatino Linotype" w:eastAsia="Palatino Linotype" w:hAnsi="Palatino Linotype" w:cs="Palatino Linotype"/>
          <w:b/>
          <w:bCs/>
          <w:i/>
          <w:iCs/>
        </w:rPr>
      </w:pPr>
      <w:r>
        <w:rPr>
          <w:rFonts w:ascii="Palatino Linotype" w:eastAsia="Palatino Linotype" w:hAnsi="Palatino Linotype" w:cs="Palatino Linotype"/>
          <w:b/>
          <w:bCs/>
        </w:rPr>
        <w:t>“</w:t>
      </w:r>
      <w:r>
        <w:rPr>
          <w:rFonts w:ascii="Palatino Linotype" w:eastAsia="Palatino Linotype" w:hAnsi="Palatino Linotype" w:cs="Palatino Linotype"/>
          <w:b/>
          <w:bCs/>
          <w:i/>
          <w:iCs/>
        </w:rPr>
        <w:t>CRITERIO 0002-11</w:t>
      </w:r>
    </w:p>
    <w:p w:rsidR="00467D97" w:rsidRDefault="0019616D">
      <w:pPr>
        <w:spacing w:after="0" w:line="276" w:lineRule="auto"/>
        <w:ind w:left="851" w:right="899"/>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w:t>
      </w:r>
      <w:r>
        <w:rPr>
          <w:rFonts w:ascii="Palatino Linotype" w:eastAsia="Palatino Linotype" w:hAnsi="Palatino Linotype" w:cs="Palatino Linotype"/>
          <w:b/>
          <w:bCs/>
          <w:i/>
          <w:iCs/>
        </w:rPr>
        <w:t>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w:t>
      </w:r>
      <w:r>
        <w:rPr>
          <w:rFonts w:ascii="Palatino Linotype" w:eastAsia="Palatino Linotype" w:hAnsi="Palatino Linotype" w:cs="Palatino Linotype"/>
          <w:i/>
          <w:iCs/>
        </w:rPr>
        <w:t>umentos públicos, administrados, generados o en posesión de los órganos u organismos públicos, en virtud del ejercicio de sus funciones de derecho público, sin importar su fuente, soporte o fecha de elaboración.</w:t>
      </w:r>
    </w:p>
    <w:p w:rsidR="00467D97" w:rsidRDefault="0019616D">
      <w:pPr>
        <w:spacing w:after="0" w:line="276" w:lineRule="auto"/>
        <w:ind w:left="851" w:right="899"/>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w:t>
      </w:r>
      <w:r>
        <w:rPr>
          <w:rFonts w:ascii="Palatino Linotype" w:eastAsia="Palatino Linotype" w:hAnsi="Palatino Linotype" w:cs="Palatino Linotype"/>
          <w:i/>
          <w:iCs/>
        </w:rPr>
        <w:t>e refiere a que se cumplan cualquiera de los siguientes tres supuestos:</w:t>
      </w:r>
    </w:p>
    <w:p w:rsidR="00467D97" w:rsidRDefault="0019616D">
      <w:pPr>
        <w:spacing w:after="0" w:line="276" w:lineRule="auto"/>
        <w:ind w:left="851" w:right="899"/>
        <w:jc w:val="both"/>
        <w:rPr>
          <w:rFonts w:ascii="Palatino Linotype" w:eastAsia="Palatino Linotype" w:hAnsi="Palatino Linotype" w:cs="Palatino Linotype"/>
          <w:i/>
          <w:iCs/>
        </w:rPr>
      </w:pPr>
      <w:r>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rsidR="00467D97" w:rsidRDefault="0019616D">
      <w:pPr>
        <w:spacing w:after="0" w:line="276" w:lineRule="auto"/>
        <w:ind w:left="851" w:right="89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2) Que se trate de i</w:t>
      </w:r>
      <w:r>
        <w:rPr>
          <w:rFonts w:ascii="Palatino Linotype" w:eastAsia="Palatino Linotype" w:hAnsi="Palatino Linotype" w:cs="Palatino Linotype"/>
          <w:b/>
          <w:bCs/>
          <w:i/>
          <w:iCs/>
        </w:rPr>
        <w:t>nformación registrada en cualquier soporte documental, que en ejercicio de las atribuciones conferidas, sea administrada por los Sujetos Obligados, y</w:t>
      </w:r>
    </w:p>
    <w:p w:rsidR="00467D97" w:rsidRDefault="0019616D">
      <w:pPr>
        <w:spacing w:after="0" w:line="276" w:lineRule="auto"/>
        <w:ind w:left="851" w:right="89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3) Que se trate de información registrada en cualquier soporte documental, que en ejercicio de las atribuc</w:t>
      </w:r>
      <w:r>
        <w:rPr>
          <w:rFonts w:ascii="Palatino Linotype" w:eastAsia="Palatino Linotype" w:hAnsi="Palatino Linotype" w:cs="Palatino Linotype"/>
          <w:b/>
          <w:bCs/>
          <w:i/>
          <w:iCs/>
        </w:rPr>
        <w:t>iones conferidas, se encuentre en posesión de los Sujetos Obligados.” (Sic)</w:t>
      </w:r>
    </w:p>
    <w:p w:rsidR="00467D97" w:rsidRDefault="00467D97">
      <w:pPr>
        <w:spacing w:after="0" w:line="360" w:lineRule="auto"/>
        <w:jc w:val="both"/>
        <w:rPr>
          <w:rFonts w:ascii="Palatino Linotype" w:eastAsia="Palatino Linotype" w:hAnsi="Palatino Linotype" w:cs="Palatino Linotype"/>
        </w:rPr>
      </w:pPr>
    </w:p>
    <w:p w:rsidR="00467D97" w:rsidRDefault="00467D97">
      <w:pPr>
        <w:spacing w:after="0" w:line="360" w:lineRule="auto"/>
        <w:jc w:val="both"/>
        <w:rPr>
          <w:rFonts w:ascii="Palatino Linotype" w:eastAsia="Palatino Linotype" w:hAnsi="Palatino Linotype" w:cs="Palatino Linotype"/>
        </w:rPr>
      </w:pPr>
    </w:p>
    <w:p w:rsidR="00467D97" w:rsidRDefault="00467D97">
      <w:pPr>
        <w:spacing w:after="0" w:line="360" w:lineRule="auto"/>
        <w:jc w:val="both"/>
        <w:rPr>
          <w:rFonts w:ascii="Palatino Linotype" w:eastAsia="Palatino Linotype" w:hAnsi="Palatino Linotype" w:cs="Palatino Linotype"/>
        </w:rPr>
      </w:pPr>
    </w:p>
    <w:p w:rsidR="00467D97" w:rsidRDefault="00467D97">
      <w:pPr>
        <w:spacing w:after="0" w:line="360" w:lineRule="auto"/>
        <w:jc w:val="both"/>
        <w:rPr>
          <w:rFonts w:ascii="Palatino Linotype" w:eastAsia="Palatino Linotype" w:hAnsi="Palatino Linotype" w:cs="Palatino Linotype"/>
        </w:rPr>
      </w:pP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 lo anterior, es de destacar la información que obra dentro del expediente electrónico, la cual por cuestiones de técnica jurídica se resumen en el siguiente cuadro de an</w:t>
      </w:r>
      <w:r>
        <w:rPr>
          <w:rFonts w:ascii="Palatino Linotype" w:eastAsia="Palatino Linotype" w:hAnsi="Palatino Linotype" w:cs="Palatino Linotype"/>
        </w:rPr>
        <w:t xml:space="preserve">álisis: </w:t>
      </w:r>
    </w:p>
    <w:p w:rsidR="00467D97" w:rsidRDefault="00467D97">
      <w:pPr>
        <w:spacing w:after="0" w:line="360" w:lineRule="auto"/>
        <w:jc w:val="both"/>
        <w:rPr>
          <w:rFonts w:ascii="Palatino Linotype" w:eastAsia="Palatino Linotype" w:hAnsi="Palatino Linotype" w:cs="Palatino Linotype"/>
        </w:rPr>
      </w:pPr>
    </w:p>
    <w:tbl>
      <w:tblPr>
        <w:tblStyle w:val="a2"/>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
        <w:gridCol w:w="2656"/>
        <w:gridCol w:w="2977"/>
        <w:gridCol w:w="2879"/>
      </w:tblGrid>
      <w:tr w:rsidR="00467D97">
        <w:tc>
          <w:tcPr>
            <w:tcW w:w="316" w:type="dxa"/>
            <w:tcBorders>
              <w:top w:val="nil"/>
              <w:left w:val="nil"/>
            </w:tcBorders>
          </w:tcPr>
          <w:p w:rsidR="00467D97" w:rsidRDefault="00467D97">
            <w:pPr>
              <w:jc w:val="both"/>
              <w:rPr>
                <w:rFonts w:ascii="Palatino Linotype" w:eastAsia="Palatino Linotype" w:hAnsi="Palatino Linotype" w:cs="Palatino Linotype"/>
                <w:sz w:val="20"/>
                <w:szCs w:val="20"/>
              </w:rPr>
            </w:pPr>
          </w:p>
        </w:tc>
        <w:tc>
          <w:tcPr>
            <w:tcW w:w="2656" w:type="dxa"/>
            <w:shd w:val="clear" w:color="auto" w:fill="DEEBF6"/>
          </w:tcPr>
          <w:p w:rsidR="00467D97" w:rsidRDefault="0019616D">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Requerimiento</w:t>
            </w:r>
          </w:p>
        </w:tc>
        <w:tc>
          <w:tcPr>
            <w:tcW w:w="2977" w:type="dxa"/>
            <w:shd w:val="clear" w:color="auto" w:fill="DEEBF6"/>
          </w:tcPr>
          <w:p w:rsidR="00467D97" w:rsidRDefault="0019616D">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Respuesta</w:t>
            </w:r>
          </w:p>
        </w:tc>
        <w:tc>
          <w:tcPr>
            <w:tcW w:w="2879" w:type="dxa"/>
            <w:shd w:val="clear" w:color="auto" w:fill="DEEBF6"/>
          </w:tcPr>
          <w:p w:rsidR="00467D97" w:rsidRDefault="0019616D">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Observaciones</w:t>
            </w:r>
          </w:p>
        </w:tc>
      </w:tr>
      <w:tr w:rsidR="00467D97">
        <w:tc>
          <w:tcPr>
            <w:tcW w:w="316" w:type="dxa"/>
            <w:shd w:val="clear" w:color="auto" w:fill="DEEBF6"/>
          </w:tcPr>
          <w:p w:rsidR="00467D97" w:rsidRDefault="0019616D">
            <w:pPr>
              <w:jc w:val="both"/>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1</w:t>
            </w:r>
          </w:p>
        </w:tc>
        <w:tc>
          <w:tcPr>
            <w:tcW w:w="2656"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Número de policías que tiene actualmente su municipio.</w:t>
            </w:r>
          </w:p>
        </w:tc>
        <w:tc>
          <w:tcPr>
            <w:tcW w:w="2977"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Coordinador Administrativo. Refirió que se cuenta con 2114 policías actualmente. </w:t>
            </w:r>
          </w:p>
        </w:tc>
        <w:tc>
          <w:tcPr>
            <w:tcW w:w="2879" w:type="dxa"/>
          </w:tcPr>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Colmó</w:t>
            </w:r>
          </w:p>
        </w:tc>
      </w:tr>
      <w:tr w:rsidR="00467D97">
        <w:tc>
          <w:tcPr>
            <w:tcW w:w="316" w:type="dxa"/>
            <w:shd w:val="clear" w:color="auto" w:fill="DEEBF6"/>
          </w:tcPr>
          <w:p w:rsidR="00467D97" w:rsidRDefault="0019616D">
            <w:pPr>
              <w:jc w:val="both"/>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2</w:t>
            </w:r>
          </w:p>
        </w:tc>
        <w:tc>
          <w:tcPr>
            <w:tcW w:w="2656"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Número de policías se recibieron en la administración 2025.</w:t>
            </w:r>
          </w:p>
        </w:tc>
        <w:tc>
          <w:tcPr>
            <w:tcW w:w="2977"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Coordinador Administrativo. Informó que, se recibieron 2114 policías al inicio del 2025. </w:t>
            </w:r>
          </w:p>
        </w:tc>
        <w:tc>
          <w:tcPr>
            <w:tcW w:w="2879" w:type="dxa"/>
          </w:tcPr>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Colmó</w:t>
            </w:r>
          </w:p>
        </w:tc>
      </w:tr>
      <w:tr w:rsidR="00467D97">
        <w:tc>
          <w:tcPr>
            <w:tcW w:w="316" w:type="dxa"/>
            <w:shd w:val="clear" w:color="auto" w:fill="DEEBF6"/>
          </w:tcPr>
          <w:p w:rsidR="00467D97" w:rsidRDefault="0019616D">
            <w:pPr>
              <w:jc w:val="both"/>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3</w:t>
            </w:r>
          </w:p>
        </w:tc>
        <w:tc>
          <w:tcPr>
            <w:tcW w:w="2656"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Sueldo de los policías</w:t>
            </w:r>
          </w:p>
        </w:tc>
        <w:tc>
          <w:tcPr>
            <w:tcW w:w="2977"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Coordinador Administrativo. Refirió que el sueldo es de $17, 375.64</w:t>
            </w:r>
          </w:p>
        </w:tc>
        <w:tc>
          <w:tcPr>
            <w:tcW w:w="2879" w:type="dxa"/>
          </w:tcPr>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col</w:t>
            </w:r>
            <w:r>
              <w:rPr>
                <w:rFonts w:ascii="Palatino Linotype" w:eastAsia="Palatino Linotype" w:hAnsi="Palatino Linotype" w:cs="Palatino Linotype"/>
                <w:sz w:val="20"/>
                <w:szCs w:val="20"/>
              </w:rPr>
              <w:t>mó</w:t>
            </w:r>
          </w:p>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refirió si era sueldo bruto o neto.</w:t>
            </w:r>
          </w:p>
        </w:tc>
      </w:tr>
      <w:tr w:rsidR="00467D97">
        <w:tc>
          <w:tcPr>
            <w:tcW w:w="316" w:type="dxa"/>
            <w:shd w:val="clear" w:color="auto" w:fill="DEEBF6"/>
          </w:tcPr>
          <w:p w:rsidR="00467D97" w:rsidRDefault="0019616D">
            <w:pPr>
              <w:jc w:val="both"/>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4</w:t>
            </w:r>
          </w:p>
        </w:tc>
        <w:tc>
          <w:tcPr>
            <w:tcW w:w="2656"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Nombre de los mandos policiales, sus estudios y currículo.</w:t>
            </w:r>
          </w:p>
        </w:tc>
        <w:tc>
          <w:tcPr>
            <w:tcW w:w="2977"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Dirección General de Seguridad. Mencionó que la información era reservada. </w:t>
            </w:r>
          </w:p>
        </w:tc>
        <w:tc>
          <w:tcPr>
            <w:tcW w:w="2879" w:type="dxa"/>
          </w:tcPr>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colmó</w:t>
            </w:r>
          </w:p>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debe proporcionar la información solicitada</w:t>
            </w:r>
          </w:p>
        </w:tc>
      </w:tr>
      <w:tr w:rsidR="00467D97">
        <w:tc>
          <w:tcPr>
            <w:tcW w:w="316" w:type="dxa"/>
            <w:shd w:val="clear" w:color="auto" w:fill="DEEBF6"/>
          </w:tcPr>
          <w:p w:rsidR="00467D97" w:rsidRDefault="0019616D">
            <w:pPr>
              <w:jc w:val="both"/>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5</w:t>
            </w:r>
          </w:p>
        </w:tc>
        <w:tc>
          <w:tcPr>
            <w:tcW w:w="2656"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Número de patrulla recibió la administración con </w:t>
            </w:r>
            <w:r>
              <w:rPr>
                <w:rFonts w:ascii="Palatino Linotype" w:eastAsia="Palatino Linotype" w:hAnsi="Palatino Linotype" w:cs="Palatino Linotype"/>
                <w:sz w:val="20"/>
                <w:szCs w:val="20"/>
                <w:u w:val="single"/>
              </w:rPr>
              <w:t>marca</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u w:val="single"/>
              </w:rPr>
              <w:t>modelo</w:t>
            </w:r>
            <w:r>
              <w:rPr>
                <w:rFonts w:ascii="Palatino Linotype" w:eastAsia="Palatino Linotype" w:hAnsi="Palatino Linotype" w:cs="Palatino Linotype"/>
                <w:sz w:val="20"/>
                <w:szCs w:val="20"/>
              </w:rPr>
              <w:t>, submarca, dotación de gasolina y factura y con los mismos datos las patrullas que tienen en la actual administración.</w:t>
            </w:r>
          </w:p>
        </w:tc>
        <w:tc>
          <w:tcPr>
            <w:tcW w:w="2977" w:type="dxa"/>
          </w:tcPr>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Coordinador Administrativo. Señaló que las patrullas que se recibieron al </w:t>
            </w:r>
            <w:r>
              <w:rPr>
                <w:rFonts w:ascii="Palatino Linotype" w:eastAsia="Palatino Linotype" w:hAnsi="Palatino Linotype" w:cs="Palatino Linotype"/>
                <w:sz w:val="20"/>
                <w:szCs w:val="20"/>
              </w:rPr>
              <w:t xml:space="preserve">inicio del 2025 fueron 309. </w:t>
            </w:r>
          </w:p>
          <w:p w:rsidR="00467D97" w:rsidRDefault="00467D97">
            <w:pPr>
              <w:jc w:val="both"/>
              <w:rPr>
                <w:rFonts w:ascii="Palatino Linotype" w:eastAsia="Palatino Linotype" w:hAnsi="Palatino Linotype" w:cs="Palatino Linotype"/>
                <w:sz w:val="20"/>
                <w:szCs w:val="20"/>
              </w:rPr>
            </w:pPr>
          </w:p>
          <w:p w:rsidR="00467D97" w:rsidRDefault="0019616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Refirió que las patrullas que hay actualmente son 523</w:t>
            </w:r>
          </w:p>
        </w:tc>
        <w:tc>
          <w:tcPr>
            <w:tcW w:w="2879" w:type="dxa"/>
          </w:tcPr>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Parcialmente.</w:t>
            </w:r>
          </w:p>
          <w:p w:rsidR="00467D97" w:rsidRDefault="00467D97">
            <w:pPr>
              <w:jc w:val="center"/>
              <w:rPr>
                <w:rFonts w:ascii="Palatino Linotype" w:eastAsia="Palatino Linotype" w:hAnsi="Palatino Linotype" w:cs="Palatino Linotype"/>
                <w:sz w:val="20"/>
                <w:szCs w:val="20"/>
              </w:rPr>
            </w:pPr>
          </w:p>
          <w:p w:rsidR="00467D97" w:rsidRDefault="0019616D">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proporcionó toda la información solicitada respecto a las patrullas que se recibieron y tampoco se remitieron las facturas así como lo relativo a la ga</w:t>
            </w:r>
            <w:r>
              <w:rPr>
                <w:rFonts w:ascii="Palatino Linotype" w:eastAsia="Palatino Linotype" w:hAnsi="Palatino Linotype" w:cs="Palatino Linotype"/>
                <w:sz w:val="20"/>
                <w:szCs w:val="20"/>
              </w:rPr>
              <w:t>solina.</w:t>
            </w:r>
          </w:p>
        </w:tc>
      </w:tr>
    </w:tbl>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lo que respecta a los requerimientos relacionados con el </w:t>
      </w:r>
      <w:r>
        <w:rPr>
          <w:rFonts w:ascii="Palatino Linotype" w:eastAsia="Palatino Linotype" w:hAnsi="Palatino Linotype" w:cs="Palatino Linotype"/>
          <w:b/>
          <w:bCs/>
        </w:rPr>
        <w:t>número de policías que tiene actualmente el municipio y el número de policías que se recibieron en la Administración 2025</w:t>
      </w:r>
      <w:r>
        <w:rPr>
          <w:rFonts w:ascii="Palatino Linotype" w:eastAsia="Palatino Linotype" w:hAnsi="Palatino Linotype" w:cs="Palatino Linotype"/>
        </w:rPr>
        <w:t xml:space="preserve">, en respuesta, el Coordinador Administrativo señaló que actualmente se cuenta con 2114 policías y que se recibieron 2114 policías al inicio del dos mil veinticinco.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considera que estos requerimientos se tienen por </w:t>
      </w:r>
      <w:r>
        <w:rPr>
          <w:rFonts w:ascii="Palatino Linotype" w:eastAsia="Palatino Linotype" w:hAnsi="Palatino Linotype" w:cs="Palatino Linotype"/>
          <w:b/>
          <w:bCs/>
        </w:rPr>
        <w:t xml:space="preserve">colmados </w:t>
      </w:r>
      <w:r>
        <w:rPr>
          <w:rFonts w:ascii="Palatino Linotype" w:eastAsia="Palatino Linotype" w:hAnsi="Palatino Linotype" w:cs="Palatino Linotype"/>
        </w:rPr>
        <w:t>en razón de</w:t>
      </w:r>
      <w:r>
        <w:rPr>
          <w:rFonts w:ascii="Palatino Linotype" w:eastAsia="Palatino Linotype" w:hAnsi="Palatino Linotype" w:cs="Palatino Linotype"/>
        </w:rPr>
        <w:t xml:space="preserve"> que, el Sujeto Obligado proporcionó la información solicitada y la que obra en sus archivos.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al </w:t>
      </w:r>
      <w:r>
        <w:rPr>
          <w:rFonts w:ascii="Palatino Linotype" w:eastAsia="Palatino Linotype" w:hAnsi="Palatino Linotype" w:cs="Palatino Linotype"/>
          <w:b/>
          <w:bCs/>
        </w:rPr>
        <w:t>sueldo de los policías</w:t>
      </w:r>
      <w:r>
        <w:rPr>
          <w:rFonts w:ascii="Palatino Linotype" w:eastAsia="Palatino Linotype" w:hAnsi="Palatino Linotype" w:cs="Palatino Linotype"/>
        </w:rPr>
        <w:t>, de conformidad con el artículo 147 de la Constitución Política del Estado Libre y Soberano de México, los trabajad</w:t>
      </w:r>
      <w:r>
        <w:rPr>
          <w:rFonts w:ascii="Palatino Linotype" w:eastAsia="Palatino Linotype" w:hAnsi="Palatino Linotype" w:cs="Palatino Linotype"/>
        </w:rPr>
        <w:t xml:space="preserve">ores al servicio del Estado, como los miembros de los Ayuntamientos, recibirán una remuneración adecuada e irrenunciable por el desempeño de su empleo, cargo o comisión que será determinada en el presupuesto de egresos que corresponda.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orden de ideas, el artículo 3, fracción XXXII del Código Financiero del Estado de México y Municipios establece que la remuneración consiste en los pagos hechos por concepto de sueldo, compensaciones, gratificaciones, habitación, primas, comisiones,</w:t>
      </w:r>
      <w:r>
        <w:rPr>
          <w:rFonts w:ascii="Palatino Linotype" w:eastAsia="Palatino Linotype" w:hAnsi="Palatino Linotype" w:cs="Palatino Linotype"/>
        </w:rPr>
        <w:t xml:space="preserve"> prestaciones en especie y cualquier otra percepción o prestación que se entregue al servidor por su trabajo.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Da la misma manera, el Anexo IV.5 Glosario de Términos, del Manual para la Planeación, Programación y Presupuesto de Egresos Municipal, establec</w:t>
      </w:r>
      <w:r>
        <w:rPr>
          <w:rFonts w:ascii="Palatino Linotype" w:eastAsia="Palatino Linotype" w:hAnsi="Palatino Linotype" w:cs="Palatino Linotype"/>
        </w:rPr>
        <w:t>e que la remuneración es la percepción de un trabajador o retribución monetaria que se da en pago por su servicio o actividad desarrollada.</w:t>
      </w:r>
    </w:p>
    <w:p w:rsidR="00467D97" w:rsidRDefault="00467D97">
      <w:pPr>
        <w:spacing w:after="0" w:line="360" w:lineRule="auto"/>
        <w:ind w:right="843"/>
        <w:jc w:val="both"/>
        <w:rPr>
          <w:rFonts w:ascii="Palatino Linotype" w:eastAsia="Palatino Linotype" w:hAnsi="Palatino Linotype" w:cs="Palatino Linotype"/>
          <w:i/>
          <w:i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del Trabajo de los Servidores Públicos del Estado y Municipios, en su artículo 220 K, fraccion</w:t>
      </w:r>
      <w:r>
        <w:rPr>
          <w:rFonts w:ascii="Palatino Linotype" w:eastAsia="Palatino Linotype" w:hAnsi="Palatino Linotype" w:cs="Palatino Linotype"/>
        </w:rPr>
        <w:t xml:space="preserve">es II y IV, establece que: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220 K</w:t>
      </w:r>
      <w:r>
        <w:rPr>
          <w:rFonts w:ascii="Palatino Linotype" w:eastAsia="Palatino Linotype" w:hAnsi="Palatino Linotype" w:cs="Palatino Linotype"/>
          <w:i/>
          <w:iCs/>
        </w:rPr>
        <w:t>.- La institución o dependencia pública tiene la obligación de conservar y exhibir en el proceso los documentos que a continuación se precisan:</w:t>
      </w: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II. Recibos de pagos de salarios o las constancias documentales del</w:t>
      </w:r>
      <w:r>
        <w:rPr>
          <w:rFonts w:ascii="Palatino Linotype" w:eastAsia="Palatino Linotype" w:hAnsi="Palatino Linotype" w:cs="Palatino Linotype"/>
          <w:i/>
          <w:iCs/>
        </w:rPr>
        <w:t xml:space="preserve"> pago de salario cuando sea por depósito o mediante información electrónica;</w:t>
      </w: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IV. Recibos o las constancias de deposito o del medio de información magnética o electrónica que sean utilizadas para el pago de salarios, prima vacacional, aguinaldo y demás pr</w:t>
      </w:r>
      <w:r>
        <w:rPr>
          <w:rFonts w:ascii="Palatino Linotype" w:eastAsia="Palatino Linotype" w:hAnsi="Palatino Linotype" w:cs="Palatino Linotype"/>
          <w:i/>
          <w:iCs/>
        </w:rPr>
        <w:t xml:space="preserve">estaciones establecidas en la presente ley; </w:t>
      </w: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del precepto normativo se advierte que entre los documentos que tiene la obligación de conservar el Sujeto Obligado, se encuentran los recibos de pago de salarios o las constancias documentales del pag</w:t>
      </w:r>
      <w:r>
        <w:rPr>
          <w:rFonts w:ascii="Palatino Linotype" w:eastAsia="Palatino Linotype" w:hAnsi="Palatino Linotype" w:cs="Palatino Linotype"/>
        </w:rPr>
        <w:t xml:space="preserve">o de sueldos, cuando sea por depósito o mediante información electrónica; así como los recibos o constancias de depósito o del medio de información magnética o electrónica </w:t>
      </w:r>
      <w:r>
        <w:rPr>
          <w:rFonts w:ascii="Palatino Linotype" w:eastAsia="Palatino Linotype" w:hAnsi="Palatino Linotype" w:cs="Palatino Linotype"/>
          <w:b/>
          <w:bCs/>
          <w:u w:val="single"/>
        </w:rPr>
        <w:t>que sean utilizadas para el pago de salarios, prima vacacional, aguinaldo y demás pr</w:t>
      </w:r>
      <w:r>
        <w:rPr>
          <w:rFonts w:ascii="Palatino Linotype" w:eastAsia="Palatino Linotype" w:hAnsi="Palatino Linotype" w:cs="Palatino Linotype"/>
          <w:b/>
          <w:bCs/>
          <w:u w:val="single"/>
        </w:rPr>
        <w:t>estaciones.</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que hace a nuestra materia, el artículo 92, fracción VIII, de la Ley de Transparencia y Acceso a la Información Pública del Estado de México y Municipios, establece que los Sujetos Obligados deberán poner a disposición del público de man</w:t>
      </w:r>
      <w:r>
        <w:rPr>
          <w:rFonts w:ascii="Palatino Linotype" w:eastAsia="Palatino Linotype" w:hAnsi="Palatino Linotype" w:cs="Palatino Linotype"/>
        </w:rPr>
        <w:t xml:space="preserve">era permanente y actualizada, las remuneraciones brutas y netas de todos los servidores públicos, que incluya todas las percepciones, entre las cuales, se encuentran los sueldos, prestaciones, gratificaciones, primas, comisiones, dietas, bonos, estímulos, </w:t>
      </w:r>
      <w:r>
        <w:rPr>
          <w:rFonts w:ascii="Palatino Linotype" w:eastAsia="Palatino Linotype" w:hAnsi="Palatino Linotype" w:cs="Palatino Linotype"/>
        </w:rPr>
        <w:t xml:space="preserve">ingresos, entre otros, tal como se aprecia a continuación: </w:t>
      </w:r>
    </w:p>
    <w:p w:rsidR="00467D97" w:rsidRDefault="00467D97">
      <w:pPr>
        <w:spacing w:after="0"/>
        <w:ind w:left="567" w:right="843"/>
        <w:jc w:val="center"/>
        <w:rPr>
          <w:rFonts w:ascii="Palatino Linotype" w:eastAsia="Palatino Linotype" w:hAnsi="Palatino Linotype" w:cs="Palatino Linotype"/>
          <w:b/>
          <w:bCs/>
          <w:i/>
          <w:iCs/>
        </w:rPr>
      </w:pPr>
    </w:p>
    <w:p w:rsidR="00467D97" w:rsidRDefault="0019616D">
      <w:pPr>
        <w:spacing w:after="0"/>
        <w:ind w:left="567" w:right="843"/>
        <w:jc w:val="center"/>
        <w:rPr>
          <w:rFonts w:ascii="Palatino Linotype" w:eastAsia="Palatino Linotype" w:hAnsi="Palatino Linotype" w:cs="Palatino Linotype"/>
          <w:b/>
          <w:bCs/>
          <w:i/>
          <w:iCs/>
        </w:rPr>
      </w:pPr>
      <w:r>
        <w:rPr>
          <w:rFonts w:ascii="Palatino Linotype" w:eastAsia="Palatino Linotype" w:hAnsi="Palatino Linotype" w:cs="Palatino Linotype"/>
          <w:b/>
          <w:bCs/>
          <w:i/>
          <w:iCs/>
        </w:rPr>
        <w:t>Ley de Transparencia y Acceso a la Información Pública del Estado de México y Municipios</w:t>
      </w:r>
    </w:p>
    <w:p w:rsidR="00467D97" w:rsidRDefault="00467D97">
      <w:pPr>
        <w:spacing w:after="0"/>
        <w:ind w:left="567" w:right="843"/>
        <w:jc w:val="both"/>
        <w:rPr>
          <w:rFonts w:ascii="Palatino Linotype" w:eastAsia="Palatino Linotype" w:hAnsi="Palatino Linotype" w:cs="Palatino Linotype"/>
          <w:i/>
          <w:iCs/>
        </w:rPr>
      </w:pP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92.</w:t>
      </w:r>
      <w:r>
        <w:rPr>
          <w:rFonts w:ascii="Palatino Linotype" w:eastAsia="Palatino Linotype" w:hAnsi="Palatino Linotype" w:cs="Palatino Linotype"/>
          <w:i/>
          <w:iCs/>
        </w:rPr>
        <w:t xml:space="preserve"> Los sujetos obligados deberán poner a disposición del público de manera permanente y actuali</w:t>
      </w:r>
      <w:r>
        <w:rPr>
          <w:rFonts w:ascii="Palatino Linotype" w:eastAsia="Palatino Linotype" w:hAnsi="Palatino Linotype" w:cs="Palatino Linotype"/>
          <w:i/>
          <w:iCs/>
        </w:rPr>
        <w:t>zada de forma sencilla, precisa y entendible, en los respectivos medios electrónicos, de acuerdo con sus facultades, atribuciones, funciones u objeto social, según corresponda, la información, por lo menos, de los temas, documentos y políticas que a contin</w:t>
      </w:r>
      <w:r>
        <w:rPr>
          <w:rFonts w:ascii="Palatino Linotype" w:eastAsia="Palatino Linotype" w:hAnsi="Palatino Linotype" w:cs="Palatino Linotype"/>
          <w:i/>
          <w:iCs/>
        </w:rPr>
        <w:t>uación se señalan:</w:t>
      </w: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VIII. La remuneración bruta y neta de todos los servidores públicos de base o de confianza, de todas las percepciones, incluyendo sueldos, prestaciones, gratificaciones, primas, comisiones, dietas, bonos, estímulos, ingresos y sistemas</w:t>
      </w:r>
      <w:r>
        <w:rPr>
          <w:rFonts w:ascii="Palatino Linotype" w:eastAsia="Palatino Linotype" w:hAnsi="Palatino Linotype" w:cs="Palatino Linotype"/>
          <w:i/>
          <w:iCs/>
        </w:rPr>
        <w:t xml:space="preserve"> de compensación, señalando la periodicidad de dicha remuneración;</w:t>
      </w:r>
    </w:p>
    <w:p w:rsidR="00467D97" w:rsidRDefault="00467D97">
      <w:pPr>
        <w:spacing w:after="0" w:line="360" w:lineRule="auto"/>
        <w:ind w:right="134"/>
        <w:jc w:val="both"/>
        <w:rPr>
          <w:rFonts w:ascii="Palatino Linotype" w:eastAsia="Palatino Linotype" w:hAnsi="Palatino Linotype" w:cs="Palatino Linotype"/>
        </w:rPr>
      </w:pPr>
    </w:p>
    <w:p w:rsidR="00467D97" w:rsidRDefault="0019616D">
      <w:pPr>
        <w:spacing w:after="0" w:line="360" w:lineRule="auto"/>
        <w:ind w:right="134"/>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w:t>
      </w:r>
      <w:r>
        <w:rPr>
          <w:rFonts w:ascii="Palatino Linotype" w:eastAsia="Palatino Linotype" w:hAnsi="Palatino Linotype" w:cs="Palatino Linotype"/>
        </w:rPr>
        <w:t xml:space="preserve">situación que constriñe a los sujetos obligados a poner a disposición de los particulares esta información de manera actualizada y permanente.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 que respecta a este punto, el Coordinador Administrativo refirió que el sueldo era de $17,375.64 no obsta</w:t>
      </w:r>
      <w:r>
        <w:rPr>
          <w:rFonts w:ascii="Palatino Linotype" w:eastAsia="Palatino Linotype" w:hAnsi="Palatino Linotype" w:cs="Palatino Linotype"/>
        </w:rPr>
        <w:t>nte no señaló si se trataba de sueldo bruto o neto, de tal manera que, al no existir certeza respecto a la remuneración que reciben estos servidores públicos, resulta dable ordenar la entrega del sueldo bruto y neto que reciben los policías, al siete de ab</w:t>
      </w:r>
      <w:r>
        <w:rPr>
          <w:rFonts w:ascii="Palatino Linotype" w:eastAsia="Palatino Linotype" w:hAnsi="Palatino Linotype" w:cs="Palatino Linotype"/>
        </w:rPr>
        <w:t xml:space="preserve">ril de dos mil veinticinco.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bookmarkStart w:id="1" w:name="_heading=h.4x2989qjfaqy" w:colFirst="0" w:colLast="0"/>
      <w:bookmarkEnd w:id="1"/>
      <w:r>
        <w:rPr>
          <w:rFonts w:ascii="Palatino Linotype" w:eastAsia="Palatino Linotype" w:hAnsi="Palatino Linotype" w:cs="Palatino Linotype"/>
        </w:rPr>
        <w:t xml:space="preserve">En lo que respecta al </w:t>
      </w:r>
      <w:r>
        <w:rPr>
          <w:rFonts w:ascii="Palatino Linotype" w:eastAsia="Palatino Linotype" w:hAnsi="Palatino Linotype" w:cs="Palatino Linotype"/>
          <w:b/>
          <w:bCs/>
        </w:rPr>
        <w:t>nombre de los mandos policiales, sus estudios y currículo</w:t>
      </w:r>
      <w:r>
        <w:rPr>
          <w:rFonts w:ascii="Palatino Linotype" w:eastAsia="Palatino Linotype" w:hAnsi="Palatino Linotype" w:cs="Palatino Linotype"/>
        </w:rPr>
        <w:t>, en principio, es de señalar que, en atención al artículo 13 de la Ley de Transparencia se la Entidad, se considera que, el requerimiento relacion</w:t>
      </w:r>
      <w:r>
        <w:rPr>
          <w:rFonts w:ascii="Palatino Linotype" w:eastAsia="Palatino Linotype" w:hAnsi="Palatino Linotype" w:cs="Palatino Linotype"/>
        </w:rPr>
        <w:t xml:space="preserve">ado con el </w:t>
      </w:r>
      <w:r>
        <w:rPr>
          <w:rFonts w:ascii="Palatino Linotype" w:eastAsia="Palatino Linotype" w:hAnsi="Palatino Linotype" w:cs="Palatino Linotype"/>
          <w:i/>
          <w:iCs/>
        </w:rPr>
        <w:t>“nombre de los mandos policiales”</w:t>
      </w:r>
      <w:r>
        <w:rPr>
          <w:rFonts w:ascii="Palatino Linotype" w:eastAsia="Palatino Linotype" w:hAnsi="Palatino Linotype" w:cs="Palatino Linotype"/>
        </w:rPr>
        <w:t xml:space="preserve">, se trata de mandos medios y superiores;  ahora bien, el Sujeto Obligado señaló que la información era reservada, situación por la que, es indispensable realizar las siguientes precisiones. </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con inf</w:t>
      </w:r>
      <w:r>
        <w:rPr>
          <w:rFonts w:ascii="Palatino Linotype" w:eastAsia="Palatino Linotype" w:hAnsi="Palatino Linotype" w:cs="Palatino Linotype"/>
        </w:rPr>
        <w:t xml:space="preserve">ormación de la </w:t>
      </w:r>
      <w:r>
        <w:rPr>
          <w:rFonts w:ascii="Palatino Linotype" w:eastAsia="Palatino Linotype" w:hAnsi="Palatino Linotype" w:cs="Palatino Linotype"/>
          <w:b/>
          <w:bCs/>
        </w:rPr>
        <w:t>Dirección de Seguridad Pública del Ayuntamiento o su equivalente,</w:t>
      </w:r>
      <w:r>
        <w:rPr>
          <w:rFonts w:ascii="Palatino Linotype" w:eastAsia="Palatino Linotype" w:hAnsi="Palatino Linotype" w:cs="Palatino Linotype"/>
        </w:rPr>
        <w:t xml:space="preserve"> la cual ponga en riesgo los integrantes de las corporaciones policiacas, esto es que derivado de las funciones encomendadas en términos del artículo 21 párrafo noveno de la Co</w:t>
      </w:r>
      <w:r>
        <w:rPr>
          <w:rFonts w:ascii="Palatino Linotype" w:eastAsia="Palatino Linotype" w:hAnsi="Palatino Linotype" w:cs="Palatino Linotype"/>
        </w:rPr>
        <w:t xml:space="preserve">nstitución Política de los Estados Unidos Mexicanos, de las cuales comprende la prevención de los delitos, investigación y persecución para hacerla efectiva; deberá testarse sólo el nombre de los servidores públicos de la Policía Municipal </w:t>
      </w:r>
      <w:r>
        <w:rPr>
          <w:rFonts w:ascii="Palatino Linotype" w:eastAsia="Palatino Linotype" w:hAnsi="Palatino Linotype" w:cs="Palatino Linotype"/>
          <w:b/>
          <w:bCs/>
          <w:u w:val="single"/>
        </w:rPr>
        <w:t>que desempeñen funciones operativas</w:t>
      </w:r>
      <w:r>
        <w:rPr>
          <w:rFonts w:ascii="Palatino Linotype" w:eastAsia="Palatino Linotype" w:hAnsi="Palatino Linotype" w:cs="Palatino Linotype"/>
          <w:u w:val="single"/>
        </w:rPr>
        <w:t>.</w:t>
      </w:r>
    </w:p>
    <w:p w:rsidR="00467D97" w:rsidRDefault="00467D97">
      <w:pPr>
        <w:pBdr>
          <w:top w:val="nil"/>
          <w:left w:val="nil"/>
          <w:bottom w:val="nil"/>
          <w:right w:val="nil"/>
          <w:between w:val="nil"/>
        </w:pBd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la información </w:t>
      </w:r>
      <w:r>
        <w:rPr>
          <w:rFonts w:ascii="Palatino Linotype" w:eastAsia="Palatino Linotype" w:hAnsi="Palatino Linotype" w:cs="Palatino Linotype"/>
          <w:b/>
          <w:bCs/>
        </w:rPr>
        <w:t>de los elementos que realizan funciones operativas; su nombre debe ser protegido</w:t>
      </w:r>
      <w:r>
        <w:rPr>
          <w:rFonts w:ascii="Palatino Linotype" w:eastAsia="Palatino Linotype" w:hAnsi="Palatino Linotype" w:cs="Palatino Linotype"/>
        </w:rPr>
        <w:t xml:space="preserve"> con la finalidad de evitar la identificación de las personas al amparo de la protección a la vida, salud y se</w:t>
      </w:r>
      <w:r>
        <w:rPr>
          <w:rFonts w:ascii="Palatino Linotype" w:eastAsia="Palatino Linotype" w:hAnsi="Palatino Linotype" w:cs="Palatino Linotype"/>
        </w:rPr>
        <w:t>guridad; porque los miembros de las instituciones policiales o que realizan actividades operativas en materia de seguridad pública, se encuentran en un régimen de excepción a diferencia de los servidores públicos con funciones administrativas, ello obedece</w:t>
      </w:r>
      <w:r>
        <w:rPr>
          <w:rFonts w:ascii="Palatino Linotype" w:eastAsia="Palatino Linotype" w:hAnsi="Palatino Linotype" w:cs="Palatino Linotype"/>
        </w:rPr>
        <w:t xml:space="preserve"> a que el sólo ejercicio de las funciones que tienen encomendadas lleva implícito el riesgo a su integridad, toda vez que son responsables de procurar el orden, la estabilidad y la defensa de la sociedad a la que pertenecen, lo que se traduce en la prevenc</w:t>
      </w:r>
      <w:r>
        <w:rPr>
          <w:rFonts w:ascii="Palatino Linotype" w:eastAsia="Palatino Linotype" w:hAnsi="Palatino Linotype" w:cs="Palatino Linotype"/>
        </w:rPr>
        <w:t>ión de delitos y combate a los delincuentes.</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w:t>
      </w:r>
      <w:r>
        <w:rPr>
          <w:rFonts w:ascii="Palatino Linotype" w:eastAsia="Palatino Linotype" w:hAnsi="Palatino Linotype" w:cs="Palatino Linotype"/>
        </w:rPr>
        <w:t>ado de México y Municipios, que a su vez se vincula con la diversa del artículo 113 fracción V de la Ley General de Transparencia y Acceso a la Información Pública, así como los requisitos previstos por los numerales Vigésimo tercero y Trigésimo tercero, d</w:t>
      </w:r>
      <w:r>
        <w:rPr>
          <w:rFonts w:ascii="Palatino Linotype" w:eastAsia="Palatino Linotype" w:hAnsi="Palatino Linotype" w:cs="Palatino Linotype"/>
        </w:rPr>
        <w:t>e los Lineamientos generales en materia de clasificación y desclasificación de la información, así como para la elaboración de versiones públicas, al aplicar la prueba de daño correspondiente.</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Como se ha referido es procedente la clasificación de la infor</w:t>
      </w:r>
      <w:r>
        <w:rPr>
          <w:rFonts w:ascii="Palatino Linotype" w:eastAsia="Palatino Linotype" w:hAnsi="Palatino Linotype" w:cs="Palatino Linotype"/>
        </w:rPr>
        <w:t>mación como reservada, con el fin de no poner en riesgo su vida, salud y seguridad, dado que los hace identificables, y para no comprometer el cumplimiento de los objetivos en materia de seguridad pública, o bien, la consecución de la investigación de prob</w:t>
      </w:r>
      <w:r>
        <w:rPr>
          <w:rFonts w:ascii="Palatino Linotype" w:eastAsia="Palatino Linotype" w:hAnsi="Palatino Linotype" w:cs="Palatino Linotype"/>
        </w:rPr>
        <w:t>ables hechos delictivos y/o faltas administrativas; así como evitar que células delictivas neutralizar las acciones en materia de seguridad pública para la preservación del orden y la paz pública, por lo que, no se trata de una medida desproporcional, ni e</w:t>
      </w:r>
      <w:r>
        <w:rPr>
          <w:rFonts w:ascii="Palatino Linotype" w:eastAsia="Palatino Linotype" w:hAnsi="Palatino Linotype" w:cs="Palatino Linotype"/>
        </w:rPr>
        <w:t>xcesiva.</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467D97" w:rsidRDefault="00467D97">
      <w:pPr>
        <w:spacing w:after="0" w:line="360" w:lineRule="auto"/>
      </w:pPr>
    </w:p>
    <w:p w:rsidR="00467D97" w:rsidRDefault="0019616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marco, cabe señalar </w:t>
      </w:r>
      <w:r>
        <w:rPr>
          <w:rFonts w:ascii="Palatino Linotype" w:eastAsia="Palatino Linotype" w:hAnsi="Palatino Linotype" w:cs="Palatino Linotype"/>
        </w:rPr>
        <w:t>que, si bien es cierto este Instituto de Transparencia, Acceso a la Información Pública y Protección de Datos Personales del Estado de México y Municipios tiene la misión de garantizar el derecho de acceso a la información pública de los particulares; tamb</w:t>
      </w:r>
      <w:r>
        <w:rPr>
          <w:rFonts w:ascii="Palatino Linotype" w:eastAsia="Palatino Linotype" w:hAnsi="Palatino Linotype" w:cs="Palatino Linotype"/>
        </w:rPr>
        <w:t xml:space="preserve">ién lo es que debe cuidar la protección de datos personales y sobre todo cuando traen implícito que se ponga en riesgo la vida o integridad de una persona, resulta necesario traer por analogía, el criterio de interpretación histórico 06/09, emitido por el </w:t>
      </w:r>
      <w:r>
        <w:rPr>
          <w:rFonts w:ascii="Palatino Linotype" w:eastAsia="Palatino Linotype" w:hAnsi="Palatino Linotype" w:cs="Palatino Linotype"/>
        </w:rPr>
        <w:t>entonces Instituto Federal de Acceso a la Información y Protección de Datos ahora Instituto Nacional de Transparencia, Acceso a la Información y Protección de Datos Personales, INAI, que establece lo siguiente:</w:t>
      </w:r>
    </w:p>
    <w:p w:rsidR="00467D97" w:rsidRDefault="00467D97">
      <w:pPr>
        <w:pBdr>
          <w:top w:val="nil"/>
          <w:left w:val="nil"/>
          <w:bottom w:val="nil"/>
          <w:right w:val="nil"/>
          <w:between w:val="nil"/>
        </w:pBdr>
        <w:spacing w:after="0" w:line="360" w:lineRule="auto"/>
        <w:jc w:val="both"/>
      </w:pPr>
    </w:p>
    <w:p w:rsidR="00467D97" w:rsidRDefault="0019616D">
      <w:pPr>
        <w:pBdr>
          <w:top w:val="nil"/>
          <w:left w:val="nil"/>
          <w:bottom w:val="nil"/>
          <w:right w:val="nil"/>
          <w:between w:val="nil"/>
        </w:pBdr>
        <w:spacing w:after="0"/>
        <w:ind w:left="567" w:right="616"/>
        <w:jc w:val="both"/>
      </w:pPr>
      <w:r>
        <w:rPr>
          <w:rFonts w:ascii="Palatino Linotype" w:eastAsia="Palatino Linotype" w:hAnsi="Palatino Linotype" w:cs="Palatino Linotype"/>
          <w:b/>
          <w:bCs/>
          <w:i/>
          <w:iCs/>
        </w:rPr>
        <w:t>Nombres de servidores públicos dedicados a actividades en materia de seguridad, por excepción pueden considerarse información reservada.</w:t>
      </w:r>
      <w:r>
        <w:rPr>
          <w:rFonts w:ascii="Palatino Linotype" w:eastAsia="Palatino Linotype" w:hAnsi="Palatino Linotype" w:cs="Palatino Linotype"/>
          <w:i/>
          <w:iCs/>
        </w:rPr>
        <w:t xml:space="preserve"> De conformidad con el artículo 7, fracciones I y III de la Ley Federal de Transparencia y Acceso a la Información Públi</w:t>
      </w:r>
      <w:r>
        <w:rPr>
          <w:rFonts w:ascii="Palatino Linotype" w:eastAsia="Palatino Linotype" w:hAnsi="Palatino Linotype" w:cs="Palatino Linotype"/>
          <w:i/>
          <w:iCs/>
        </w:rPr>
        <w:t>ca Gubernamental el nombre de los servidores públicos es información de naturaleza pública. No obstante lo anterior, el mismo precepto establece la posibilidad de que existan excepciones a las obligaciones ahí establecidas cuando la información actualice a</w:t>
      </w:r>
      <w:r>
        <w:rPr>
          <w:rFonts w:ascii="Palatino Linotype" w:eastAsia="Palatino Linotype" w:hAnsi="Palatino Linotype" w:cs="Palatino Linotype"/>
          <w:i/>
          <w:iCs/>
        </w:rPr>
        <w:t>lgunos de los supuestos de reserva o confidencialidad previstos en los artículos 13, 14 y 18 de la citada ley. En este sentido, se debe señalar que existen funciones a cargo de servidores públicos, tendientes a garantizar de manera directa la seguridad nac</w:t>
      </w:r>
      <w:r>
        <w:rPr>
          <w:rFonts w:ascii="Palatino Linotype" w:eastAsia="Palatino Linotype" w:hAnsi="Palatino Linotype" w:cs="Palatino Linotype"/>
          <w:i/>
          <w:iCs/>
        </w:rPr>
        <w:t>ional y pública, a través de acciones preventivas y correctivas encaminadas a combatir a la delincuencia en sus diferentes manifestaciones. Así, es pertinente señalar que en el artículo 13, fracción I de la ley de referencia se establece que podrá clasific</w:t>
      </w:r>
      <w:r>
        <w:rPr>
          <w:rFonts w:ascii="Palatino Linotype" w:eastAsia="Palatino Linotype" w:hAnsi="Palatino Linotype" w:cs="Palatino Linotype"/>
          <w:i/>
          <w:iCs/>
        </w:rPr>
        <w:t>arse aquella información cuya difusión pueda comprometer la seguridad nacional y pública. En este orden de ideas, una de las formas en que la delincuencia puede llegar a poner en riesgo la seguridad del país es precisamente anulando, impidiendo u obstaculi</w:t>
      </w:r>
      <w:r>
        <w:rPr>
          <w:rFonts w:ascii="Palatino Linotype" w:eastAsia="Palatino Linotype" w:hAnsi="Palatino Linotype" w:cs="Palatino Linotype"/>
          <w:i/>
          <w:iCs/>
        </w:rPr>
        <w:t xml:space="preserve">zando la actuación de los servidores públicos que realizan funciones de carácter operativo, mediante el conocimiento de dicha situación, por lo que la reserva de la relación de los nombres y las funciones que desempeñan los servidores públicos que prestan </w:t>
      </w:r>
      <w:r>
        <w:rPr>
          <w:rFonts w:ascii="Palatino Linotype" w:eastAsia="Palatino Linotype" w:hAnsi="Palatino Linotype" w:cs="Palatino Linotype"/>
          <w:i/>
          <w:iCs/>
        </w:rPr>
        <w:t>sus servicios en áreas de seguridad nacional o pública, puede llegar a constituirse en un componente fundamental en el esfuerzo que realiza el Estado Mexicano para garantizar la seguridad del país en sus diferentes vertientes.</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De dicho criterio, se despre</w:t>
      </w:r>
      <w:r>
        <w:rPr>
          <w:rFonts w:ascii="Palatino Linotype" w:eastAsia="Palatino Linotype" w:hAnsi="Palatino Linotype" w:cs="Palatino Linotype"/>
        </w:rPr>
        <w:t>nde que existen funciones a cargo de servidores públicos, tendentes a garantizar de manera directa la seguridad pública, a través de acciones preventivas y correctivas, encaminadas a combatir a la delincuencia en sus diferentes manifestaciones; por lo que,</w:t>
      </w:r>
      <w:r>
        <w:rPr>
          <w:rFonts w:ascii="Palatino Linotype" w:eastAsia="Palatino Linotype" w:hAnsi="Palatino Linotype" w:cs="Palatino Linotype"/>
        </w:rPr>
        <w:t xml:space="preserve"> una forma en que la delincuencia puede llegar a poner en riesgo la seguridad del País, Estado y Municipio, anulando, impidiendo u obstaculizando la actuación de los servidores públicos que realizan </w:t>
      </w:r>
      <w:r>
        <w:rPr>
          <w:rFonts w:ascii="Palatino Linotype" w:eastAsia="Palatino Linotype" w:hAnsi="Palatino Linotype" w:cs="Palatino Linotype"/>
          <w:b/>
          <w:bCs/>
        </w:rPr>
        <w:t>funciones de carácter operativo.</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conforme lo</w:t>
      </w:r>
      <w:r>
        <w:rPr>
          <w:rFonts w:ascii="Palatino Linotype" w:eastAsia="Palatino Linotype" w:hAnsi="Palatino Linotype" w:cs="Palatino Linotype"/>
        </w:rPr>
        <w:t xml:space="preserve"> anterior, se tiene que, únicamente para el caso de servidores públicos adscritos a la Dirección de Seguridad Pública que realicen funciones de carácter operativo, su nombre será clasificado, situación que no aplica con servidores públicos cuyo cargo es me</w:t>
      </w:r>
      <w:r>
        <w:rPr>
          <w:rFonts w:ascii="Palatino Linotype" w:eastAsia="Palatino Linotype" w:hAnsi="Palatino Linotype" w:cs="Palatino Linotype"/>
        </w:rPr>
        <w:t xml:space="preserve">ramente administrativo.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señalar que tal como se mencionó, la información susceptible de ser clasificada como reservada es el </w:t>
      </w:r>
      <w:r>
        <w:rPr>
          <w:rFonts w:ascii="Palatino Linotype" w:eastAsia="Palatino Linotype" w:hAnsi="Palatino Linotype" w:cs="Palatino Linotype"/>
          <w:b/>
          <w:bCs/>
          <w:u w:val="single"/>
        </w:rPr>
        <w:t>nombre</w:t>
      </w:r>
      <w:r>
        <w:rPr>
          <w:rFonts w:ascii="Palatino Linotype" w:eastAsia="Palatino Linotype" w:hAnsi="Palatino Linotype" w:cs="Palatino Linotype"/>
        </w:rPr>
        <w:t xml:space="preserve"> para servidores públicos que ostenten cargos operativos, no así diversos documentos como comprobantes</w:t>
      </w:r>
      <w:r>
        <w:rPr>
          <w:rFonts w:ascii="Palatino Linotype" w:eastAsia="Palatino Linotype" w:hAnsi="Palatino Linotype" w:cs="Palatino Linotype"/>
        </w:rPr>
        <w:t xml:space="preserve"> de estudio o información curricular, en los cuales únicamente se deberá realizar la versión pública, en la que se proteja el nombre.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lo que respecta a su </w:t>
      </w:r>
      <w:r>
        <w:rPr>
          <w:rFonts w:ascii="Palatino Linotype" w:eastAsia="Palatino Linotype" w:hAnsi="Palatino Linotype" w:cs="Palatino Linotype"/>
          <w:b/>
          <w:bCs/>
        </w:rPr>
        <w:t>Currículum Vitae</w:t>
      </w:r>
      <w:r>
        <w:rPr>
          <w:rFonts w:ascii="Palatino Linotype" w:eastAsia="Palatino Linotype" w:hAnsi="Palatino Linotype" w:cs="Palatino Linotype"/>
        </w:rPr>
        <w:t xml:space="preserve">, es de destacar que el concepto </w:t>
      </w:r>
      <w:r>
        <w:rPr>
          <w:rFonts w:ascii="Palatino Linotype" w:eastAsia="Palatino Linotype" w:hAnsi="Palatino Linotype" w:cs="Palatino Linotype"/>
          <w:i/>
          <w:iCs/>
        </w:rPr>
        <w:t xml:space="preserve">“Currículum” </w:t>
      </w:r>
      <w:r>
        <w:rPr>
          <w:rFonts w:ascii="Palatino Linotype" w:eastAsia="Palatino Linotype" w:hAnsi="Palatino Linotype" w:cs="Palatino Linotype"/>
        </w:rPr>
        <w:t>corresponde a una locu</w:t>
      </w:r>
      <w:r>
        <w:rPr>
          <w:rFonts w:ascii="Palatino Linotype" w:eastAsia="Palatino Linotype" w:hAnsi="Palatino Linotype" w:cs="Palatino Linotype"/>
        </w:rPr>
        <w:t xml:space="preserve">ción latina cuyo significado es </w:t>
      </w:r>
      <w:r>
        <w:rPr>
          <w:rFonts w:ascii="Palatino Linotype" w:eastAsia="Palatino Linotype" w:hAnsi="Palatino Linotype" w:cs="Palatino Linotype"/>
          <w:i/>
          <w:iCs/>
        </w:rPr>
        <w:t xml:space="preserve">“carrera de vida”, Se usa como locución nominal masculina para designar la relación de los datos personales, formación académica, actividad laboral y méritos de una persona.” </w:t>
      </w:r>
    </w:p>
    <w:p w:rsidR="00467D97" w:rsidRDefault="00467D97">
      <w:pPr>
        <w:spacing w:after="0" w:line="360" w:lineRule="auto"/>
        <w:ind w:right="-7"/>
        <w:jc w:val="both"/>
        <w:rPr>
          <w:rFonts w:ascii="Palatino Linotype" w:eastAsia="Palatino Linotype" w:hAnsi="Palatino Linotype" w:cs="Palatino Linotype"/>
          <w:i/>
          <w:iCs/>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De la interpretación a esta definición se despr</w:t>
      </w:r>
      <w:r>
        <w:rPr>
          <w:rFonts w:ascii="Palatino Linotype" w:eastAsia="Palatino Linotype" w:hAnsi="Palatino Linotype" w:cs="Palatino Linotype"/>
        </w:rPr>
        <w:t xml:space="preserve">ende que el currículum vitae o </w:t>
      </w:r>
      <w:r>
        <w:rPr>
          <w:rFonts w:ascii="Palatino Linotype" w:eastAsia="Palatino Linotype" w:hAnsi="Palatino Linotype" w:cs="Palatino Linotype"/>
          <w:b/>
          <w:bCs/>
          <w:u w:val="single"/>
        </w:rPr>
        <w:t>ficha curricular</w:t>
      </w:r>
      <w:r>
        <w:rPr>
          <w:rFonts w:ascii="Palatino Linotype" w:eastAsia="Palatino Linotype" w:hAnsi="Palatino Linotype" w:cs="Palatino Linotype"/>
        </w:rPr>
        <w:t xml:space="preserve"> está relacionado con la hoja de vida o carrera de vida de una persona, donde se podría apreciar la preparación académica y laboral que tiene, además de los méritos obtenidos tal y como podrían ser cursos, cer</w:t>
      </w:r>
      <w:r>
        <w:rPr>
          <w:rFonts w:ascii="Palatino Linotype" w:eastAsia="Palatino Linotype" w:hAnsi="Palatino Linotype" w:cs="Palatino Linotype"/>
        </w:rPr>
        <w:t>tificaciones o capacitaciones.</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Por su lado, la Real Academia Española, lo define como a continuación se cita: </w:t>
      </w:r>
      <w:r>
        <w:rPr>
          <w:rFonts w:ascii="Palatino Linotype" w:eastAsia="Palatino Linotype" w:hAnsi="Palatino Linotype" w:cs="Palatino Linotype"/>
          <w:i/>
          <w:iCs/>
        </w:rPr>
        <w:t xml:space="preserve">“Relación de los títulos, honores, cargos, trabajos realizados, datos biográficos, etc, que califican a una persona” </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Desde esta perspectiva, a través del currículum vitae o </w:t>
      </w:r>
      <w:r>
        <w:rPr>
          <w:rFonts w:ascii="Palatino Linotype" w:eastAsia="Palatino Linotype" w:hAnsi="Palatino Linotype" w:cs="Palatino Linotype"/>
          <w:b/>
          <w:bCs/>
          <w:u w:val="single"/>
        </w:rPr>
        <w:t>ficha curricular</w:t>
      </w:r>
      <w:r>
        <w:rPr>
          <w:rFonts w:ascii="Palatino Linotype" w:eastAsia="Palatino Linotype" w:hAnsi="Palatino Linotype" w:cs="Palatino Linotype"/>
        </w:rPr>
        <w:t xml:space="preserve"> la persona solicitante puede advertir los estudios realizados o bien el nivel académico, así como la experiencia laboral de los servidores públicos que se encuentran adscritos al </w:t>
      </w:r>
      <w:r>
        <w:rPr>
          <w:rFonts w:ascii="Palatino Linotype" w:eastAsia="Palatino Linotype" w:hAnsi="Palatino Linotype" w:cs="Palatino Linotype"/>
          <w:b/>
          <w:bCs/>
        </w:rPr>
        <w:t>Suje</w:t>
      </w:r>
      <w:r>
        <w:rPr>
          <w:rFonts w:ascii="Palatino Linotype" w:eastAsia="Palatino Linotype" w:hAnsi="Palatino Linotype" w:cs="Palatino Linotype"/>
          <w:b/>
          <w:bCs/>
        </w:rPr>
        <w:t>to Obligado</w:t>
      </w:r>
      <w:r>
        <w:rPr>
          <w:rFonts w:ascii="Palatino Linotype" w:eastAsia="Palatino Linotype" w:hAnsi="Palatino Linotype" w:cs="Palatino Linotype"/>
        </w:rPr>
        <w:t>, información que es de carácter público de conformidad con el criterio 03/2009, emitido por el entonces Instituto Nacional de Transparencia Acceso a la Información Pública y Protección de Datos Personales (INAI), que establece que una de las fo</w:t>
      </w:r>
      <w:r>
        <w:rPr>
          <w:rFonts w:ascii="Palatino Linotype" w:eastAsia="Palatino Linotype" w:hAnsi="Palatino Linotype" w:cs="Palatino Linotype"/>
        </w:rPr>
        <w:t>rmas en que los ciudadanos puedan evaluar las aptitudes de los servidores públicos para desempeñar el cargo público que les ha sido encomendado, es mediante la publicidad de ciertos datos contenidos en los currículos, o bien en las solicitudes de empleo, e</w:t>
      </w:r>
      <w:r>
        <w:rPr>
          <w:rFonts w:ascii="Palatino Linotype" w:eastAsia="Palatino Linotype" w:hAnsi="Palatino Linotype" w:cs="Palatino Linotype"/>
        </w:rPr>
        <w:t>l cual, para mayor ilustración se transcribe a continuación:</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ind w:left="567" w:right="56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Curriculum Vitae de servidores públicos.</w:t>
      </w:r>
      <w:r>
        <w:rPr>
          <w:rFonts w:ascii="Palatino Linotype" w:eastAsia="Palatino Linotype" w:hAnsi="Palatino Linotype" w:cs="Palatino Linotype"/>
          <w:i/>
          <w:iCs/>
        </w:rPr>
        <w:t xml:space="preserve"> Es obligación de los sujetos obligados otorgar acceso a versiones públicas de los mismos ante una solicitud de acceso. Uno de los objetivos de la Ley F</w:t>
      </w:r>
      <w:r>
        <w:rPr>
          <w:rFonts w:ascii="Palatino Linotype" w:eastAsia="Palatino Linotype" w:hAnsi="Palatino Linotype" w:cs="Palatino Linotype"/>
          <w:i/>
          <w:iCs/>
        </w:rPr>
        <w:t>ederal de Transparencia y Acceso a la Información Pública Gubernamental, de acuerdo con su artículo 4, fracción IV, es favorecer la rendición de cuentas a las personas, de manera que puedan valorar el desempeño de los sujetos obligados. Si bien en el curri</w:t>
      </w:r>
      <w:r>
        <w:rPr>
          <w:rFonts w:ascii="Palatino Linotype" w:eastAsia="Palatino Linotype" w:hAnsi="Palatino Linotype" w:cs="Palatino Linotype"/>
          <w:i/>
          <w:iCs/>
        </w:rPr>
        <w:t>culum vitae se describe información de una persona relacionada con su formación académica, trayectoria profesional, datos de contacto, datos biográficos, entre otros, los cuales constituyen datos personales, de acuerdo con lo previsto en el artículo 3, fra</w:t>
      </w:r>
      <w:r>
        <w:rPr>
          <w:rFonts w:ascii="Palatino Linotype" w:eastAsia="Palatino Linotype" w:hAnsi="Palatino Linotype" w:cs="Palatino Linotype"/>
          <w:i/>
          <w:iCs/>
        </w:rPr>
        <w:t>cción II de la Ley Federal de Transparencia y Acceso a la Información Pública Gubernamental, y en consecuencia, representan información confidencial, en términos de lo establecido en el artículo 18, fracción II de la Ley Federal de Transparencia y Acceso a</w:t>
      </w:r>
      <w:r>
        <w:rPr>
          <w:rFonts w:ascii="Palatino Linotype" w:eastAsia="Palatino Linotype" w:hAnsi="Palatino Linotype" w:cs="Palatino Linotype"/>
          <w:i/>
          <w:iCs/>
        </w:rPr>
        <w:t xml:space="preserve"> la Información Pública Gubernamental, tratándose del curriculum vitae de un servidor público, una de las formas en que los ciudadanos pueden evaluar sus aptitudes para desempeñar el cargo público que le ha sido encomendado, es mediante la publicidad de ci</w:t>
      </w:r>
      <w:r>
        <w:rPr>
          <w:rFonts w:ascii="Palatino Linotype" w:eastAsia="Palatino Linotype" w:hAnsi="Palatino Linotype" w:cs="Palatino Linotype"/>
          <w:i/>
          <w:iCs/>
        </w:rPr>
        <w:t>ertos datos de los ahí contenidos. En esa tesitura, entre los datos personales del curriculum vitae de un servidor público susceptibles de hacerse del conocimiento público, ante una solicitud de acceso, se encuentran los relativos a su trayectoria académic</w:t>
      </w:r>
      <w:r>
        <w:rPr>
          <w:rFonts w:ascii="Palatino Linotype" w:eastAsia="Palatino Linotype" w:hAnsi="Palatino Linotype" w:cs="Palatino Linotype"/>
          <w:i/>
          <w:iCs/>
        </w:rPr>
        <w:t xml:space="preserve">a, profesional, laboral, así como todos aquellos que acrediten su capacidad, habilidades o pericia para ocupar el cargo público.” </w:t>
      </w:r>
    </w:p>
    <w:p w:rsidR="00467D97" w:rsidRDefault="00467D97">
      <w:pPr>
        <w:spacing w:after="0" w:line="360" w:lineRule="auto"/>
        <w:ind w:left="567" w:right="560"/>
        <w:jc w:val="both"/>
        <w:rPr>
          <w:rFonts w:ascii="Palatino Linotype" w:eastAsia="Palatino Linotype" w:hAnsi="Palatino Linotype" w:cs="Palatino Linotype"/>
          <w:i/>
          <w:iCs/>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Del cual se advierte que si bien en el currículum vitae se describe información de una persona relacionada con su formación académica, trayectoria profesional y datos de contacto entre otros que pudieran constituir datos personales; tratándose de servidore</w:t>
      </w:r>
      <w:r>
        <w:rPr>
          <w:rFonts w:ascii="Palatino Linotype" w:eastAsia="Palatino Linotype" w:hAnsi="Palatino Linotype" w:cs="Palatino Linotype"/>
        </w:rPr>
        <w:t>s públicos, el conocimiento de los mismos por los gobernados contribuye a la evaluación de sus aptitudes de acuerdo a su nivel profesional y laboral, para el desempeño de sus funciones en el cargo que ostenten, razón que resulta suficiente para que sean de</w:t>
      </w:r>
      <w:r>
        <w:rPr>
          <w:rFonts w:ascii="Palatino Linotype" w:eastAsia="Palatino Linotype" w:hAnsi="Palatino Linotype" w:cs="Palatino Linotype"/>
        </w:rPr>
        <w:t xml:space="preserve"> conocimiento público y si bien es cierto que no existe disposición legal que ordene de manera expresa que el sujeto obligado, deba contar en sus archivos con un documento denominado “currículum vitae” de sus servidores públicos, también lo es que para el </w:t>
      </w:r>
      <w:r>
        <w:rPr>
          <w:rFonts w:ascii="Palatino Linotype" w:eastAsia="Palatino Linotype" w:hAnsi="Palatino Linotype" w:cs="Palatino Linotype"/>
        </w:rPr>
        <w:t>desempeño de un empleo, cargo o comisión en el servicio público sí es requisito, entre otros, presentar una solicitud del empleo, como se desprende del artículo 47 fracción I de la Ley del Trabajo para los Servidores Públicos del Estado y Municipios.</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rPr>
        <w:t xml:space="preserve">lo que es posible determinar que, el currículum vítae o la </w:t>
      </w:r>
      <w:r>
        <w:rPr>
          <w:rFonts w:ascii="Palatino Linotype" w:eastAsia="Palatino Linotype" w:hAnsi="Palatino Linotype" w:cs="Palatino Linotype"/>
          <w:b/>
          <w:bCs/>
          <w:u w:val="single"/>
        </w:rPr>
        <w:t xml:space="preserve">ficha curricular </w:t>
      </w:r>
      <w:r>
        <w:rPr>
          <w:rFonts w:ascii="Palatino Linotype" w:eastAsia="Palatino Linotype" w:hAnsi="Palatino Linotype" w:cs="Palatino Linotype"/>
        </w:rPr>
        <w:t>contiene información relacionada con la trayectoria académica, profesional y laboral, por medio del cual se acredita la capacidad, habilidades, experiencia o pericia de una persona</w:t>
      </w:r>
      <w:r>
        <w:rPr>
          <w:rFonts w:ascii="Palatino Linotype" w:eastAsia="Palatino Linotype" w:hAnsi="Palatino Linotype" w:cs="Palatino Linotype"/>
        </w:rPr>
        <w:t xml:space="preserve"> para ocupar un cargo, puesto o comisión, que permitan realizar una comparación de las actividades que ha realizado con las que habrá de desarrollar, y determinar si cumple con el perfil del cargo a ocupar.</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En esa tesitura, debe apuntarse que la informaci</w:t>
      </w:r>
      <w:r>
        <w:rPr>
          <w:rFonts w:ascii="Palatino Linotype" w:eastAsia="Palatino Linotype" w:hAnsi="Palatino Linotype" w:cs="Palatino Linotype"/>
        </w:rPr>
        <w:t xml:space="preserve">ón curricular constituye una obligación de transparencia, pues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w:t>
      </w:r>
      <w:r>
        <w:rPr>
          <w:rFonts w:ascii="Palatino Linotype" w:eastAsia="Palatino Linotype" w:hAnsi="Palatino Linotype" w:cs="Palatino Linotype"/>
        </w:rPr>
        <w:t xml:space="preserve">icos, ello con la finalidad de enaltecer los principios de máxima publicidad, transparencia y certeza, como lo estipula  el artículo 92, fracción XXI de la ley aplicable a la materia, que es del tenor literal siguiente: </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ind w:left="567" w:right="56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Artículo 92.</w:t>
      </w:r>
      <w:r>
        <w:rPr>
          <w:rFonts w:ascii="Palatino Linotype" w:eastAsia="Palatino Linotype" w:hAnsi="Palatino Linotype" w:cs="Palatino Linotype"/>
          <w:i/>
          <w:iCs/>
        </w:rPr>
        <w:t xml:space="preserve"> Los sujetos obligad</w:t>
      </w:r>
      <w:r>
        <w:rPr>
          <w:rFonts w:ascii="Palatino Linotype" w:eastAsia="Palatino Linotype" w:hAnsi="Palatino Linotype" w:cs="Palatino Linotype"/>
          <w:i/>
          <w:iCs/>
        </w:rPr>
        <w:t>os deberán poner a disposición del público de manera permanente y actualizada de forma sencilla, precisa y entendible, en los respectivos medios electrónicos, de acuerdo con sus facultades, atribuciones, funciones u objeto social, según corresponda, la inf</w:t>
      </w:r>
      <w:r>
        <w:rPr>
          <w:rFonts w:ascii="Palatino Linotype" w:eastAsia="Palatino Linotype" w:hAnsi="Palatino Linotype" w:cs="Palatino Linotype"/>
          <w:i/>
          <w:iCs/>
        </w:rPr>
        <w:t>ormación, por lo menos, de los temas, documentos y políticas que a continuación se señalan:</w:t>
      </w:r>
    </w:p>
    <w:p w:rsidR="00467D97" w:rsidRDefault="0019616D">
      <w:pPr>
        <w:spacing w:after="0"/>
        <w:ind w:left="567" w:right="-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560"/>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XXI. La información curricular, desde el nivel de jefe de departamento o equivalente, hasta el titular del sujeto obligado, así como, en su caso, las sanciones </w:t>
      </w:r>
      <w:r>
        <w:rPr>
          <w:rFonts w:ascii="Palatino Linotype" w:eastAsia="Palatino Linotype" w:hAnsi="Palatino Linotype" w:cs="Palatino Linotype"/>
          <w:b/>
          <w:bCs/>
          <w:i/>
          <w:iCs/>
        </w:rPr>
        <w:t>administrativas de que haya sido objeto;</w:t>
      </w:r>
    </w:p>
    <w:p w:rsidR="00467D97" w:rsidRDefault="0019616D">
      <w:pPr>
        <w:spacing w:after="0"/>
        <w:ind w:left="567" w:right="560"/>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w:t>
      </w:r>
    </w:p>
    <w:p w:rsidR="00467D97" w:rsidRDefault="00467D97">
      <w:pPr>
        <w:spacing w:after="0" w:line="360" w:lineRule="auto"/>
        <w:ind w:left="567"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Como se aprecia de lo anterior, lo sujetos obligados deben publicar la información curricular desde el nivel del jefe de departamento o equivalente hasta el titular del Sujeto Obligado. </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tabs>
          <w:tab w:val="left" w:pos="993"/>
        </w:tabs>
        <w:spacing w:after="0"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al </w:t>
      </w:r>
      <w:r>
        <w:rPr>
          <w:rFonts w:ascii="Palatino Linotype" w:eastAsia="Palatino Linotype" w:hAnsi="Palatino Linotype" w:cs="Palatino Linotype"/>
          <w:b/>
          <w:bCs/>
        </w:rPr>
        <w:t>grado escolar</w:t>
      </w:r>
      <w:r>
        <w:rPr>
          <w:rFonts w:ascii="Palatino Linotype" w:eastAsia="Palatino Linotype" w:hAnsi="Palatino Linotype" w:cs="Palatino Linotype"/>
        </w:rPr>
        <w:t>, al otorgar una expresión documental, es información que se puede advertir en distintos documentos como lo es la ficha curricular o los documentos comprobatorios de grados de estudio, situación por la que, no resulta necesario que el Sujeto O</w:t>
      </w:r>
      <w:r>
        <w:rPr>
          <w:rFonts w:ascii="Palatino Linotype" w:eastAsia="Palatino Linotype" w:hAnsi="Palatino Linotype" w:cs="Palatino Linotype"/>
        </w:rPr>
        <w:t xml:space="preserve">bligado deba generar un documento, en el que se especifique la escolaridad de los servidores públicos, pues basta con la entrega de un documento que dé cuenta de esta información para tener por colmado dicho requerimiento.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Título prof</w:t>
      </w:r>
      <w:r>
        <w:rPr>
          <w:rFonts w:ascii="Palatino Linotype" w:eastAsia="Palatino Linotype" w:hAnsi="Palatino Linotype" w:cs="Palatino Linotype"/>
        </w:rPr>
        <w:t>esional, certificado de estudios u homólogo corresponde al documento expedido por instituciones del Estado o descentralizadas y, por instituciones particulares que tenga reconocimiento de validez oficial de estudios, a favor de la persona que esté en proce</w:t>
      </w:r>
      <w:r>
        <w:rPr>
          <w:rFonts w:ascii="Palatino Linotype" w:eastAsia="Palatino Linotype" w:hAnsi="Palatino Linotype" w:cs="Palatino Linotype"/>
        </w:rPr>
        <w:t>so o haya concluido los estudios correspondientes o demostrado tener los conocimientos necesarios de conformidad con esta Ley y otras disposiciones aplicables y, para su obtención es  indispensable acreditar que se han cumplido los requisitos académicos pr</w:t>
      </w:r>
      <w:r>
        <w:rPr>
          <w:rFonts w:ascii="Palatino Linotype" w:eastAsia="Palatino Linotype" w:hAnsi="Palatino Linotype" w:cs="Palatino Linotype"/>
        </w:rPr>
        <w:t>evistos por las leyes aplicables; lo anterior de conformidad con los artículos 1° y 8° de la Ley Reglamentaria del Artículo 5° Constitucional, Relativo al Ejercicio de las Profesiones en la Ciudad de México.</w:t>
      </w:r>
    </w:p>
    <w:p w:rsidR="00467D97" w:rsidRDefault="00467D97">
      <w:pPr>
        <w:spacing w:after="0" w:line="360" w:lineRule="auto"/>
        <w:jc w:val="both"/>
        <w:rPr>
          <w:rFonts w:ascii="Palatino Linotype" w:eastAsia="Palatino Linotype" w:hAnsi="Palatino Linotype" w:cs="Palatino Linotype"/>
          <w:b/>
          <w:b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respeto, es necesario señalar que la cédula </w:t>
      </w:r>
      <w:r>
        <w:rPr>
          <w:rFonts w:ascii="Palatino Linotype" w:eastAsia="Palatino Linotype" w:hAnsi="Palatino Linotype" w:cs="Palatino Linotype"/>
        </w:rPr>
        <w:t>profesional, es aquel documento con validez legal, para certificar o demostrar que efectivamente una persona está calificado para ejercer la profesión para la cual se ha preparado y ha recibido un título profesional, conforme a lo referido en la página ofi</w:t>
      </w:r>
      <w:r>
        <w:rPr>
          <w:rFonts w:ascii="Palatino Linotype" w:eastAsia="Palatino Linotype" w:hAnsi="Palatino Linotype" w:cs="Palatino Linotype"/>
        </w:rPr>
        <w:t xml:space="preserve">cial de la Secretaría de Educación Pública, en la liga </w:t>
      </w:r>
      <w:hyperlink r:id="rId8">
        <w:r>
          <w:rPr>
            <w:rFonts w:ascii="Palatino Linotype" w:eastAsia="Palatino Linotype" w:hAnsi="Palatino Linotype" w:cs="Palatino Linotype"/>
            <w:u w:val="single"/>
          </w:rPr>
          <w:t>http://consultatucedula.mx/</w:t>
        </w:r>
      </w:hyperlink>
      <w:r>
        <w:rPr>
          <w:rFonts w:ascii="Palatino Linotype" w:eastAsia="Palatino Linotype" w:hAnsi="Palatino Linotype" w:cs="Palatino Linotype"/>
        </w:rPr>
        <w:t>.</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los documentos que dan cuenta de la preparación académica, sirven como medios de identificación, para que a</w:t>
      </w:r>
      <w:r>
        <w:rPr>
          <w:rFonts w:ascii="Palatino Linotype" w:eastAsia="Palatino Linotype" w:hAnsi="Palatino Linotype" w:cs="Palatino Linotype"/>
        </w:rPr>
        <w:t xml:space="preserve"> su titular lo relacionen con el nivel de estudios con que cuenta, tales como el título y cédula profesional o bien, un certificado de estudios, independientemente de que estos sean o no medios de identificación oficiales.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debe tenerse presente qu</w:t>
      </w:r>
      <w:r>
        <w:rPr>
          <w:rFonts w:ascii="Palatino Linotype" w:eastAsia="Palatino Linotype" w:hAnsi="Palatino Linotype" w:cs="Palatino Linotype"/>
        </w:rPr>
        <w:t xml:space="preserve">e la naturaleza del título profesional o bien, del certificado, consiste en la de ser documentos de identificación para que a sus titulares, los acrediten como profesionales o expertos en algún área de estudio o conocimiento frente a terceros; por lo que, </w:t>
      </w:r>
      <w:r>
        <w:rPr>
          <w:rFonts w:ascii="Palatino Linotype" w:eastAsia="Palatino Linotype" w:hAnsi="Palatino Linotype" w:cs="Palatino Linotype"/>
        </w:rPr>
        <w:t xml:space="preserve">proporcionar dicha información abona a la transparencia y a la rendición de cuentas, pues sirven a la ciudadanía para comprobar que las personas que se desempeñan como servidores públicos tienen el perfil idóneo, la capacidad, las habilidades y la pericia </w:t>
      </w:r>
      <w:r>
        <w:rPr>
          <w:rFonts w:ascii="Palatino Linotype" w:eastAsia="Palatino Linotype" w:hAnsi="Palatino Linotype" w:cs="Palatino Linotype"/>
        </w:rPr>
        <w:t>para desarrollar las actividades y atribuciones que se deriven de su encargo.</w:t>
      </w:r>
    </w:p>
    <w:p w:rsidR="00467D97" w:rsidRDefault="00467D97">
      <w:pPr>
        <w:spacing w:after="0" w:line="360" w:lineRule="auto"/>
        <w:jc w:val="both"/>
        <w:rPr>
          <w:rFonts w:ascii="Palatino Linotype" w:eastAsia="Palatino Linotype" w:hAnsi="Palatino Linotype" w:cs="Palatino Linotype"/>
          <w:b/>
          <w:bCs/>
        </w:rPr>
      </w:pPr>
    </w:p>
    <w:p w:rsidR="00467D97" w:rsidRDefault="00467D97">
      <w:pPr>
        <w:spacing w:after="0" w:line="360" w:lineRule="auto"/>
        <w:jc w:val="both"/>
        <w:rPr>
          <w:rFonts w:ascii="Palatino Linotype" w:eastAsia="Palatino Linotype" w:hAnsi="Palatino Linotype" w:cs="Palatino Linotype"/>
          <w:b/>
          <w:b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considera que, el Sujeto Obligado deberá hacer entrega del documento donde conste el nombre de los mandos policiales, documento donde conste su último grado de estudios y su información curricular.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toda vez que la normati</w:t>
      </w:r>
      <w:r>
        <w:rPr>
          <w:rFonts w:ascii="Palatino Linotype" w:eastAsia="Palatino Linotype" w:hAnsi="Palatino Linotype" w:cs="Palatino Linotype"/>
        </w:rPr>
        <w:t>vidad aplicable al caso concreto no establece de manera precisa como una obligación para contar con el documento que acredite el grado de estudios, para el caso de que no se llegara a localizar información por no haberse generado, bastará con que así se ha</w:t>
      </w:r>
      <w:r>
        <w:rPr>
          <w:rFonts w:ascii="Palatino Linotype" w:eastAsia="Palatino Linotype" w:hAnsi="Palatino Linotype" w:cs="Palatino Linotype"/>
        </w:rPr>
        <w:t xml:space="preserve">ga del conocimiento de la persona solicitante para tener por colmado su derecho de acceso a la información, en términos de lo dispuesto por el artículo 19, párrafo segundo de la Ley de Transparencia y Acceso a la Información Pública del Estado de México y </w:t>
      </w:r>
      <w:r>
        <w:rPr>
          <w:rFonts w:ascii="Palatino Linotype" w:eastAsia="Palatino Linotype" w:hAnsi="Palatino Linotype" w:cs="Palatino Linotype"/>
        </w:rPr>
        <w:t>Municipios, a saber:</w:t>
      </w:r>
    </w:p>
    <w:p w:rsidR="00467D97" w:rsidRDefault="0019616D">
      <w:pPr>
        <w:spacing w:before="120" w:after="120" w:line="360" w:lineRule="auto"/>
        <w:ind w:left="860" w:right="900"/>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19</w:t>
      </w:r>
      <w:r>
        <w:rPr>
          <w:rFonts w:ascii="Palatino Linotype" w:eastAsia="Palatino Linotype" w:hAnsi="Palatino Linotype" w:cs="Palatino Linotype"/>
          <w:i/>
          <w:iCs/>
        </w:rPr>
        <w:t>…</w:t>
      </w:r>
    </w:p>
    <w:p w:rsidR="00467D97" w:rsidRDefault="0019616D">
      <w:pPr>
        <w:spacing w:before="120" w:after="120" w:line="360" w:lineRule="auto"/>
        <w:ind w:left="860" w:right="900"/>
        <w:jc w:val="both"/>
        <w:rPr>
          <w:rFonts w:ascii="Palatino Linotype" w:eastAsia="Palatino Linotype" w:hAnsi="Palatino Linotype" w:cs="Palatino Linotype"/>
          <w:i/>
          <w:iCs/>
        </w:rPr>
      </w:pPr>
      <w:r>
        <w:rPr>
          <w:rFonts w:ascii="Palatino Linotype" w:eastAsia="Palatino Linotype" w:hAnsi="Palatino Linotype" w:cs="Palatino Linotype"/>
          <w:i/>
          <w:iCs/>
        </w:rPr>
        <w:t>En los casos en que ciertas facultades, competencias o funciones no se hayan ejercido, se debe motivar la respuesta en función de las causas que motiven tal circunstancia.”</w:t>
      </w:r>
    </w:p>
    <w:p w:rsidR="00467D97" w:rsidRDefault="0019616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improcedente, en tal supuesto, la entrega</w:t>
      </w:r>
      <w:r>
        <w:rPr>
          <w:rFonts w:ascii="Palatino Linotype" w:eastAsia="Palatino Linotype" w:hAnsi="Palatino Linotype" w:cs="Palatino Linotype"/>
        </w:rPr>
        <w:t xml:space="preserve"> de documento alguno, o en su caso, el Acuerdo de Inexistencia, toda vez que el pronunciamiento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declararía en automática la inexistencia de la información solicitada de modo que no existe obligación de justificar o allegar pruebas, y po</w:t>
      </w:r>
      <w:r>
        <w:rPr>
          <w:rFonts w:ascii="Palatino Linotype" w:eastAsia="Palatino Linotype" w:hAnsi="Palatino Linotype" w:cs="Palatino Linotype"/>
        </w:rPr>
        <w:t>r ende no tiene aplicación lo estatuido en el artículo 49, fracción XIII de la Ley de Transparencia y Acceso a la Información Pública del Estado de México y Municipios.</w:t>
      </w: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su nombre podrá encontrarse en su currículum vitae o su comprobante d</w:t>
      </w:r>
      <w:r>
        <w:rPr>
          <w:rFonts w:ascii="Palatino Linotype" w:eastAsia="Palatino Linotype" w:hAnsi="Palatino Linotype" w:cs="Palatino Linotype"/>
        </w:rPr>
        <w:t xml:space="preserve">e estudio.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al </w:t>
      </w:r>
      <w:r>
        <w:rPr>
          <w:rFonts w:ascii="Palatino Linotype" w:eastAsia="Palatino Linotype" w:hAnsi="Palatino Linotype" w:cs="Palatino Linotype"/>
          <w:b/>
          <w:bCs/>
        </w:rPr>
        <w:t xml:space="preserve">número de patrullas que recibió la administración y con los que se cuentan actualmente con modelo, marca, submarca, dotación de gasolina y facturas, </w:t>
      </w:r>
      <w:r>
        <w:rPr>
          <w:rFonts w:ascii="Palatino Linotype" w:eastAsia="Palatino Linotype" w:hAnsi="Palatino Linotype" w:cs="Palatino Linotype"/>
        </w:rPr>
        <w:t>el Coordinador Administrativo señaló que las patrullas que se recibiero</w:t>
      </w:r>
      <w:r>
        <w:rPr>
          <w:rFonts w:ascii="Palatino Linotype" w:eastAsia="Palatino Linotype" w:hAnsi="Palatino Linotype" w:cs="Palatino Linotype"/>
        </w:rPr>
        <w:t xml:space="preserve">n al inicio del 2025 fueron 309 y que a la fecha de la solicitud de información se contaban con 523.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remitió un listado donde se advierten datos como: número progresivo, número de inventario, descripción, marca, modelo, factura, fecha de a</w:t>
      </w:r>
      <w:r>
        <w:rPr>
          <w:rFonts w:ascii="Palatino Linotype" w:eastAsia="Palatino Linotype" w:hAnsi="Palatino Linotype" w:cs="Palatino Linotype"/>
        </w:rPr>
        <w:t xml:space="preserve">dquisición, razón social y costo, de las patrullas con la que cuenta la actual administración. </w:t>
      </w:r>
    </w:p>
    <w:p w:rsidR="00467D97" w:rsidRDefault="0019616D">
      <w:pPr>
        <w:spacing w:after="0" w:line="360" w:lineRule="auto"/>
        <w:jc w:val="both"/>
        <w:rPr>
          <w:rFonts w:ascii="Palatino Linotype" w:eastAsia="Palatino Linotype" w:hAnsi="Palatino Linotype" w:cs="Palatino Linotype"/>
          <w:b/>
          <w:bCs/>
          <w:u w:val="single"/>
        </w:rPr>
      </w:pPr>
      <w:r>
        <w:rPr>
          <w:rFonts w:ascii="Palatino Linotype" w:eastAsia="Palatino Linotype" w:hAnsi="Palatino Linotype" w:cs="Palatino Linotype"/>
        </w:rPr>
        <w:t xml:space="preserve">En ese sentido, en lo que respecta a </w:t>
      </w:r>
      <w:r>
        <w:rPr>
          <w:rFonts w:ascii="Palatino Linotype" w:eastAsia="Palatino Linotype" w:hAnsi="Palatino Linotype" w:cs="Palatino Linotype"/>
          <w:b/>
          <w:bCs/>
        </w:rPr>
        <w:t>las patrullas con las que cuenta la actual administración</w:t>
      </w:r>
      <w:r>
        <w:rPr>
          <w:rFonts w:ascii="Palatino Linotype" w:eastAsia="Palatino Linotype" w:hAnsi="Palatino Linotype" w:cs="Palatino Linotype"/>
        </w:rPr>
        <w:t xml:space="preserve">, se advierte que el Sujeto Obligado </w:t>
      </w:r>
      <w:r>
        <w:rPr>
          <w:rFonts w:ascii="Palatino Linotype" w:eastAsia="Palatino Linotype" w:hAnsi="Palatino Linotype" w:cs="Palatino Linotype"/>
          <w:b/>
          <w:bCs/>
          <w:u w:val="single"/>
        </w:rPr>
        <w:t xml:space="preserve">no proporcionó la información relacionada con la dotación de gasolina y las facturas.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con las</w:t>
      </w:r>
      <w:r>
        <w:rPr>
          <w:rFonts w:ascii="Palatino Linotype" w:eastAsia="Palatino Linotype" w:hAnsi="Palatino Linotype" w:cs="Palatino Linotype"/>
          <w:b/>
          <w:bCs/>
        </w:rPr>
        <w:t xml:space="preserve"> patrullas que recibió</w:t>
      </w:r>
      <w:r>
        <w:rPr>
          <w:rFonts w:ascii="Palatino Linotype" w:eastAsia="Palatino Linotype" w:hAnsi="Palatino Linotype" w:cs="Palatino Linotype"/>
        </w:rPr>
        <w:t xml:space="preserve">, el Sujeto Obligado únicamente proporcionó el número que se recibieron, pero fue omiso en proporcionar lo que fue solicitado.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lo que corresponde al parque vehicular, es indispensable traer a colación lo que establece la Ley Orgánica Municipal del Estado de México que precisa lo siguiente: </w:t>
      </w:r>
    </w:p>
    <w:p w:rsidR="00467D97" w:rsidRDefault="00467D97">
      <w:pPr>
        <w:spacing w:after="0" w:line="276" w:lineRule="auto"/>
        <w:ind w:right="899"/>
        <w:jc w:val="both"/>
        <w:rPr>
          <w:rFonts w:ascii="Palatino Linotype" w:eastAsia="Palatino Linotype" w:hAnsi="Palatino Linotype" w:cs="Palatino Linotype"/>
        </w:rPr>
      </w:pP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91.-</w:t>
      </w:r>
      <w:r>
        <w:rPr>
          <w:rFonts w:ascii="Palatino Linotype" w:eastAsia="Palatino Linotype" w:hAnsi="Palatino Linotype" w:cs="Palatino Linotype"/>
          <w:i/>
          <w:iCs/>
        </w:rPr>
        <w:t xml:space="preserve"> La Secretaría del Ayuntamiento estará a cargo de un Secreta</w:t>
      </w:r>
      <w:r>
        <w:rPr>
          <w:rFonts w:ascii="Palatino Linotype" w:eastAsia="Palatino Linotype" w:hAnsi="Palatino Linotype" w:cs="Palatino Linotype"/>
          <w:i/>
          <w:iCs/>
        </w:rPr>
        <w:t xml:space="preserve">rio, el que, sin ser miembro del mismo, deberá ser nombrado por el propio Ayuntamiento a propuesta del Presidente Municipal como lo marca el artículo 31 de la presente ley. </w:t>
      </w: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Sus faltas temporales serán cubiertas por quien designe el Ayuntamiento y sus atri</w:t>
      </w:r>
      <w:r>
        <w:rPr>
          <w:rFonts w:ascii="Palatino Linotype" w:eastAsia="Palatino Linotype" w:hAnsi="Palatino Linotype" w:cs="Palatino Linotype"/>
          <w:i/>
          <w:iCs/>
        </w:rPr>
        <w:t>buciones son las siguientes:</w:t>
      </w: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line="276" w:lineRule="auto"/>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 Elaborar con la intervención del síndico el inventario general de los </w:t>
      </w:r>
      <w:r>
        <w:rPr>
          <w:rFonts w:ascii="Palatino Linotype" w:eastAsia="Palatino Linotype" w:hAnsi="Palatino Linotype" w:cs="Palatino Linotype"/>
          <w:b/>
          <w:bCs/>
          <w:i/>
          <w:iCs/>
          <w:u w:val="single"/>
        </w:rPr>
        <w:t>bienes muebles</w:t>
      </w:r>
      <w:r>
        <w:rPr>
          <w:rFonts w:ascii="Palatino Linotype" w:eastAsia="Palatino Linotype" w:hAnsi="Palatino Linotype" w:cs="Palatino Linotype"/>
          <w:i/>
          <w:iCs/>
        </w:rPr>
        <w:t xml:space="preserve"> e inmuebles municipales, así como la integración del sistema de información inmobiliaria, que contemple los bienes del dominio público y privado, en un término que no exceda de un año contado a partir de la instalación del ayuntamiento y presentarlo al ca</w:t>
      </w:r>
      <w:r>
        <w:rPr>
          <w:rFonts w:ascii="Palatino Linotype" w:eastAsia="Palatino Linotype" w:hAnsi="Palatino Linotype" w:cs="Palatino Linotype"/>
          <w:i/>
          <w:iCs/>
        </w:rPr>
        <w:t>bildo para su conocimiento y opinión.</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a lo anterior, la Secretaría del Ayuntamiento elabora con la intervención del síndico el inventario general de bienes muebles, siendo que el documento en el que podría obrar la información requerida es, de</w:t>
      </w:r>
      <w:r>
        <w:rPr>
          <w:rFonts w:ascii="Palatino Linotype" w:eastAsia="Palatino Linotype" w:hAnsi="Palatino Linotype" w:cs="Palatino Linotype"/>
        </w:rPr>
        <w:t xml:space="preserve"> manera enunciativa más no limitativa el Inventario de Bienes Muebles, como se observa a continuación:</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612286" cy="1248313"/>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612286" cy="1248313"/>
                    </a:xfrm>
                    <a:prstGeom prst="rect">
                      <a:avLst/>
                    </a:prstGeom>
                    <a:ln/>
                  </pic:spPr>
                </pic:pic>
              </a:graphicData>
            </a:graphic>
          </wp:inline>
        </w:drawing>
      </w:r>
    </w:p>
    <w:p w:rsidR="00467D97" w:rsidRDefault="0019616D">
      <w:pPr>
        <w:spacing w:after="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903665" cy="1448129"/>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03665" cy="1448129"/>
                    </a:xfrm>
                    <a:prstGeom prst="rect">
                      <a:avLst/>
                    </a:prstGeom>
                    <a:ln/>
                  </pic:spPr>
                </pic:pic>
              </a:graphicData>
            </a:graphic>
          </wp:inline>
        </w:drawing>
      </w: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es menester referir la integración del inventario de Bienes Muebles.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612130" cy="3606800"/>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2130" cy="36068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-85723</wp:posOffset>
                </wp:positionH>
                <wp:positionV relativeFrom="paragraph">
                  <wp:posOffset>1958339</wp:posOffset>
                </wp:positionV>
                <wp:extent cx="4505325" cy="314325"/>
                <wp:effectExtent l="0" t="0" r="0" b="0"/>
                <wp:wrapNone/>
                <wp:docPr id="47" name=""/>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miter lim="800000"/>
                          <a:headEnd type="none" w="sm" len="sm"/>
                          <a:tailEnd type="none" w="sm" len="sm"/>
                        </a:ln>
                      </wps:spPr>
                      <wps:txbx>
                        <w:txbxContent>
                          <w:p w:rsidR="00467D97" w:rsidRDefault="00467D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-85723</wp:posOffset>
                </wp:positionH>
                <wp:positionV relativeFrom="paragraph">
                  <wp:posOffset>1958339</wp:posOffset>
                </wp:positionV>
                <wp:extent cx="4505325" cy="314325"/>
                <wp:effectExtent b="0" l="0" r="0" t="0"/>
                <wp:wrapNone/>
                <wp:docPr id="4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4505325" cy="3143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-7616</wp:posOffset>
                </wp:positionH>
                <wp:positionV relativeFrom="paragraph">
                  <wp:posOffset>2214245</wp:posOffset>
                </wp:positionV>
                <wp:extent cx="5657850" cy="314325"/>
                <wp:effectExtent l="0" t="0" r="0" b="0"/>
                <wp:wrapNone/>
                <wp:docPr id="45" name=""/>
                <wp:cNvGraphicFramePr/>
                <a:graphic xmlns:a="http://schemas.openxmlformats.org/drawingml/2006/main">
                  <a:graphicData uri="http://schemas.microsoft.com/office/word/2010/wordprocessingShape">
                    <wps:wsp>
                      <wps:cNvSpPr/>
                      <wps:spPr>
                        <a:xfrm>
                          <a:off x="2555175" y="3660938"/>
                          <a:ext cx="5581650" cy="238125"/>
                        </a:xfrm>
                        <a:prstGeom prst="rect">
                          <a:avLst/>
                        </a:prstGeom>
                        <a:noFill/>
                        <a:ln w="38100" cap="flat" cmpd="sng">
                          <a:solidFill>
                            <a:srgbClr val="FF0000"/>
                          </a:solidFill>
                          <a:prstDash val="solid"/>
                          <a:miter lim="800000"/>
                          <a:headEnd type="none" w="sm" len="sm"/>
                          <a:tailEnd type="none" w="sm" len="sm"/>
                        </a:ln>
                      </wps:spPr>
                      <wps:txbx>
                        <w:txbxContent>
                          <w:p w:rsidR="00467D97" w:rsidRDefault="00467D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-7616</wp:posOffset>
                </wp:positionH>
                <wp:positionV relativeFrom="paragraph">
                  <wp:posOffset>2214245</wp:posOffset>
                </wp:positionV>
                <wp:extent cx="5657850" cy="314325"/>
                <wp:effectExtent b="0" l="0" r="0" t="0"/>
                <wp:wrapNone/>
                <wp:docPr id="4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657850" cy="3143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-70483</wp:posOffset>
                </wp:positionH>
                <wp:positionV relativeFrom="paragraph">
                  <wp:posOffset>3166745</wp:posOffset>
                </wp:positionV>
                <wp:extent cx="4505325" cy="314325"/>
                <wp:effectExtent l="0" t="0" r="0" b="0"/>
                <wp:wrapNone/>
                <wp:docPr id="49" name=""/>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miter lim="800000"/>
                          <a:headEnd type="none" w="sm" len="sm"/>
                          <a:tailEnd type="none" w="sm" len="sm"/>
                        </a:ln>
                      </wps:spPr>
                      <wps:txbx>
                        <w:txbxContent>
                          <w:p w:rsidR="00467D97" w:rsidRDefault="00467D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-70483</wp:posOffset>
                </wp:positionH>
                <wp:positionV relativeFrom="paragraph">
                  <wp:posOffset>3166745</wp:posOffset>
                </wp:positionV>
                <wp:extent cx="4505325" cy="314325"/>
                <wp:effectExtent b="0" l="0" r="0" t="0"/>
                <wp:wrapNone/>
                <wp:docPr id="49"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4505325" cy="3143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1908</wp:posOffset>
                </wp:positionH>
                <wp:positionV relativeFrom="paragraph">
                  <wp:posOffset>2519045</wp:posOffset>
                </wp:positionV>
                <wp:extent cx="5648325" cy="314325"/>
                <wp:effectExtent l="0" t="0" r="0" b="0"/>
                <wp:wrapNone/>
                <wp:docPr id="48" name=""/>
                <wp:cNvGraphicFramePr/>
                <a:graphic xmlns:a="http://schemas.openxmlformats.org/drawingml/2006/main">
                  <a:graphicData uri="http://schemas.microsoft.com/office/word/2010/wordprocessingShape">
                    <wps:wsp>
                      <wps:cNvSpPr/>
                      <wps:spPr>
                        <a:xfrm>
                          <a:off x="2559938" y="3660938"/>
                          <a:ext cx="5572125" cy="238125"/>
                        </a:xfrm>
                        <a:prstGeom prst="rect">
                          <a:avLst/>
                        </a:prstGeom>
                        <a:noFill/>
                        <a:ln w="38100" cap="flat" cmpd="sng">
                          <a:solidFill>
                            <a:srgbClr val="FF0000"/>
                          </a:solidFill>
                          <a:prstDash val="solid"/>
                          <a:miter lim="800000"/>
                          <a:headEnd type="none" w="sm" len="sm"/>
                          <a:tailEnd type="none" w="sm" len="sm"/>
                        </a:ln>
                      </wps:spPr>
                      <wps:txbx>
                        <w:txbxContent>
                          <w:p w:rsidR="00467D97" w:rsidRDefault="00467D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1908</wp:posOffset>
                </wp:positionH>
                <wp:positionV relativeFrom="paragraph">
                  <wp:posOffset>2519045</wp:posOffset>
                </wp:positionV>
                <wp:extent cx="5648325" cy="314325"/>
                <wp:effectExtent b="0" l="0" r="0" t="0"/>
                <wp:wrapNone/>
                <wp:docPr id="4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648325" cy="314325"/>
                        </a:xfrm>
                        <a:prstGeom prst="rect"/>
                        <a:ln/>
                      </pic:spPr>
                    </pic:pic>
                  </a:graphicData>
                </a:graphic>
              </wp:anchor>
            </w:drawing>
          </mc:Fallback>
        </mc:AlternateContent>
      </w: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414411" cy="1494813"/>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414411" cy="1494813"/>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-70483</wp:posOffset>
                </wp:positionH>
                <wp:positionV relativeFrom="paragraph">
                  <wp:posOffset>351790</wp:posOffset>
                </wp:positionV>
                <wp:extent cx="4505325" cy="314325"/>
                <wp:effectExtent l="0" t="0" r="0" b="0"/>
                <wp:wrapNone/>
                <wp:docPr id="50" name=""/>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miter lim="800000"/>
                          <a:headEnd type="none" w="sm" len="sm"/>
                          <a:tailEnd type="none" w="sm" len="sm"/>
                        </a:ln>
                      </wps:spPr>
                      <wps:txbx>
                        <w:txbxContent>
                          <w:p w:rsidR="00467D97" w:rsidRDefault="00467D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-70483</wp:posOffset>
                </wp:positionH>
                <wp:positionV relativeFrom="paragraph">
                  <wp:posOffset>351790</wp:posOffset>
                </wp:positionV>
                <wp:extent cx="4505325" cy="314325"/>
                <wp:effectExtent b="0" l="0" r="0" t="0"/>
                <wp:wrapNone/>
                <wp:docPr id="50"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4505325" cy="31432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-70483</wp:posOffset>
                </wp:positionH>
                <wp:positionV relativeFrom="paragraph">
                  <wp:posOffset>-52702</wp:posOffset>
                </wp:positionV>
                <wp:extent cx="4505325" cy="314325"/>
                <wp:effectExtent l="0" t="0" r="0" b="0"/>
                <wp:wrapNone/>
                <wp:docPr id="46" name=""/>
                <wp:cNvGraphicFramePr/>
                <a:graphic xmlns:a="http://schemas.openxmlformats.org/drawingml/2006/main">
                  <a:graphicData uri="http://schemas.microsoft.com/office/word/2010/wordprocessingShape">
                    <wps:wsp>
                      <wps:cNvSpPr/>
                      <wps:spPr>
                        <a:xfrm>
                          <a:off x="3131438" y="3660938"/>
                          <a:ext cx="4429125" cy="238125"/>
                        </a:xfrm>
                        <a:prstGeom prst="rect">
                          <a:avLst/>
                        </a:prstGeom>
                        <a:noFill/>
                        <a:ln w="38100" cap="flat" cmpd="sng">
                          <a:solidFill>
                            <a:srgbClr val="FF0000"/>
                          </a:solidFill>
                          <a:prstDash val="solid"/>
                          <a:miter lim="800000"/>
                          <a:headEnd type="none" w="sm" len="sm"/>
                          <a:tailEnd type="none" w="sm" len="sm"/>
                        </a:ln>
                      </wps:spPr>
                      <wps:txbx>
                        <w:txbxContent>
                          <w:p w:rsidR="00467D97" w:rsidRDefault="00467D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-70483</wp:posOffset>
                </wp:positionH>
                <wp:positionV relativeFrom="paragraph">
                  <wp:posOffset>-52702</wp:posOffset>
                </wp:positionV>
                <wp:extent cx="4505325" cy="314325"/>
                <wp:effectExtent b="0" l="0" r="0" t="0"/>
                <wp:wrapNone/>
                <wp:docPr id="4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505325" cy="314325"/>
                        </a:xfrm>
                        <a:prstGeom prst="rect"/>
                        <a:ln/>
                      </pic:spPr>
                    </pic:pic>
                  </a:graphicData>
                </a:graphic>
              </wp:anchor>
            </w:drawing>
          </mc:Fallback>
        </mc:AlternateConten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en lo que respecta con lo solicitado; el </w:t>
      </w:r>
      <w:r>
        <w:rPr>
          <w:rFonts w:ascii="Palatino Linotype" w:eastAsia="Palatino Linotype" w:hAnsi="Palatino Linotype" w:cs="Palatino Linotype"/>
          <w:b/>
          <w:bCs/>
        </w:rPr>
        <w:t>inventario de bienes muebles</w:t>
      </w:r>
      <w:r>
        <w:rPr>
          <w:rFonts w:ascii="Palatino Linotype" w:eastAsia="Palatino Linotype" w:hAnsi="Palatino Linotype" w:cs="Palatino Linotype"/>
        </w:rPr>
        <w:t xml:space="preserve"> da cuenta, no sólo de los vehículos con los que cuenta el Ayuntamiento, sino también, del </w:t>
      </w:r>
      <w:r>
        <w:rPr>
          <w:rFonts w:ascii="Palatino Linotype" w:eastAsia="Palatino Linotype" w:hAnsi="Palatino Linotype" w:cs="Palatino Linotype"/>
          <w:b/>
          <w:bCs/>
        </w:rPr>
        <w:t>número de placa, marca y modelo, la fecha de movimiento del alta</w:t>
      </w:r>
      <w:r>
        <w:rPr>
          <w:rFonts w:ascii="Palatino Linotype" w:eastAsia="Palatino Linotype" w:hAnsi="Palatino Linotype" w:cs="Palatino Linotype"/>
          <w:b/>
          <w:bCs/>
        </w:rPr>
        <w:t xml:space="preserve"> y el nombre del resguardatario</w:t>
      </w:r>
      <w:r>
        <w:rPr>
          <w:rFonts w:ascii="Palatino Linotype" w:eastAsia="Palatino Linotype" w:hAnsi="Palatino Linotype" w:cs="Palatino Linotype"/>
        </w:rPr>
        <w:t xml:space="preserve">, la cual es información que desea conocer el solicitante. </w:t>
      </w:r>
    </w:p>
    <w:p w:rsidR="00467D97" w:rsidRDefault="00467D97">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p>
    <w:p w:rsidR="00467D97" w:rsidRDefault="0019616D">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entonces, al tratarse de vehículos propiedad del Ayuntamiento, previamente inventariados, es importante remitirnos a lo dispuesto por el artículo 92, fracción X</w:t>
      </w:r>
      <w:r>
        <w:rPr>
          <w:rFonts w:ascii="Palatino Linotype" w:eastAsia="Palatino Linotype" w:hAnsi="Palatino Linotype" w:cs="Palatino Linotype"/>
        </w:rPr>
        <w:t>XXVIII de la Ley de Transparencia y Acceso a la Información Pública del Estado de México y Municipios que en su texto y sentido literal establece:</w:t>
      </w:r>
    </w:p>
    <w:p w:rsidR="00467D97" w:rsidRDefault="00467D97">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i/>
          <w:iCs/>
        </w:rPr>
      </w:pPr>
    </w:p>
    <w:p w:rsidR="00467D97" w:rsidRDefault="0019616D">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Pr>
          <w:rFonts w:ascii="Palatino Linotype" w:eastAsia="Palatino Linotype" w:hAnsi="Palatino Linotype" w:cs="Palatino Linotype"/>
          <w:i/>
          <w:iCs/>
        </w:rPr>
        <w:t>social, según corresponda, la información, por lo menos, de los temas, documentos y políticas que a continuación se señalan:</w:t>
      </w:r>
    </w:p>
    <w:p w:rsidR="00467D97" w:rsidRDefault="0019616D">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i/>
          <w:iCs/>
        </w:rPr>
      </w:pPr>
      <w:r>
        <w:rPr>
          <w:rFonts w:ascii="Palatino Linotype" w:eastAsia="Palatino Linotype" w:hAnsi="Palatino Linotype" w:cs="Palatino Linotype"/>
          <w:i/>
          <w:iCs/>
        </w:rPr>
        <w:t>XXXVIII. El inventario de bienes muebles e inmuebles en posesión y propiedad;</w:t>
      </w:r>
    </w:p>
    <w:p w:rsidR="00467D97" w:rsidRDefault="00467D97">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rPr>
      </w:pPr>
    </w:p>
    <w:p w:rsidR="00467D97" w:rsidRDefault="0019616D">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 la marca, modelo y color, la </w:t>
      </w:r>
      <w:r>
        <w:rPr>
          <w:rFonts w:ascii="Palatino Linotype" w:eastAsia="Palatino Linotype" w:hAnsi="Palatino Linotype" w:cs="Palatino Linotype"/>
        </w:rPr>
        <w:t>Norma Oficial Mexicana NOM-001-SSP-2008, para la determinación, asignación e instalación del número de identificación vehicular, define que al año modelo como el periodo comprendido entre el inicio de la producción de determinado tipo de vehículo y el 31 d</w:t>
      </w:r>
      <w:r>
        <w:rPr>
          <w:rFonts w:ascii="Palatino Linotype" w:eastAsia="Palatino Linotype" w:hAnsi="Palatino Linotype" w:cs="Palatino Linotype"/>
        </w:rPr>
        <w:t xml:space="preserve">e diciembre del año calendario con que dicho fabricante designe el modelo en cuestión. </w:t>
      </w:r>
    </w:p>
    <w:p w:rsidR="00467D97" w:rsidRDefault="00467D97">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p>
    <w:p w:rsidR="00467D97" w:rsidRDefault="0019616D">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otro lado, el Manual Único de Contabilidad Gubernamental para las Dependencias y Entidades Públicas del Gobierno y Municipios 2025, establece que el Clasificador p</w:t>
      </w:r>
      <w:r>
        <w:rPr>
          <w:rFonts w:ascii="Palatino Linotype" w:eastAsia="Palatino Linotype" w:hAnsi="Palatino Linotype" w:cs="Palatino Linotype"/>
        </w:rPr>
        <w:t>or objeto de gasto, permite una clasificación de las erogaciones a través de criterios contables que permiten un adecuado registro de las operaciones, además de que constituye un elemento del sistema general de cuentas donde cada componente destaca aspecto</w:t>
      </w:r>
      <w:r>
        <w:rPr>
          <w:rFonts w:ascii="Palatino Linotype" w:eastAsia="Palatino Linotype" w:hAnsi="Palatino Linotype" w:cs="Palatino Linotype"/>
        </w:rPr>
        <w:t xml:space="preserve">s del presupuesto y suministra información que atiende a diferentes necesidades lo cual permite el vínculo con la contabilidad.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acuerdo al nivel de desagregación del Clasificador por Objeto del Gasto Estatal y Municipal, se encuentra el capítulo de ga</w:t>
      </w:r>
      <w:r>
        <w:rPr>
          <w:rFonts w:ascii="Palatino Linotype" w:eastAsia="Palatino Linotype" w:hAnsi="Palatino Linotype" w:cs="Palatino Linotype"/>
        </w:rPr>
        <w:t>sto 2000 MATERIALES Y SUMINISTROS el cual agrupa las asignaciones destinadas a la adquisición de toda clase de insumos y suministros requeridos para la prestación de bienes y servicios públicos y para el desempeño de las actividades administrativas.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w:t>
      </w:r>
      <w:r>
        <w:rPr>
          <w:rFonts w:ascii="Palatino Linotype" w:eastAsia="Palatino Linotype" w:hAnsi="Palatino Linotype" w:cs="Palatino Linotype"/>
        </w:rPr>
        <w:t>o de dicho capítulo se encuentran los siguientes conceptos y partidas: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276" w:lineRule="auto"/>
        <w:ind w:left="567" w:right="900"/>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2600 COMBUSTIBLES, LUBRICANTES Y ADITIVOS. </w:t>
      </w:r>
    </w:p>
    <w:p w:rsidR="00467D97" w:rsidRDefault="0019616D">
      <w:pPr>
        <w:spacing w:after="0" w:line="276" w:lineRule="auto"/>
        <w:ind w:left="567" w:right="900"/>
        <w:jc w:val="both"/>
        <w:rPr>
          <w:rFonts w:ascii="Palatino Linotype" w:eastAsia="Palatino Linotype" w:hAnsi="Palatino Linotype" w:cs="Palatino Linotype"/>
          <w:i/>
          <w:iCs/>
        </w:rPr>
      </w:pPr>
      <w:r>
        <w:rPr>
          <w:rFonts w:ascii="Palatino Linotype" w:eastAsia="Palatino Linotype" w:hAnsi="Palatino Linotype" w:cs="Palatino Linotype"/>
          <w:b/>
          <w:bCs/>
          <w:i/>
          <w:iCs/>
        </w:rPr>
        <w:t>Asignaciones destinadas a la adquisición de combustibles</w:t>
      </w:r>
      <w:r>
        <w:rPr>
          <w:rFonts w:ascii="Palatino Linotype" w:eastAsia="Palatino Linotype" w:hAnsi="Palatino Linotype" w:cs="Palatino Linotype"/>
          <w:i/>
          <w:iCs/>
        </w:rPr>
        <w:t xml:space="preserve">, lubricantes y aditivos de todo tipo, necesarios para el funcionamiento de vehículos de transporte terrestres, aéreos, marítimos, lacustres y fluviales; así como de maquinaria y equipo. </w:t>
      </w:r>
    </w:p>
    <w:p w:rsidR="00467D97" w:rsidRDefault="00467D97">
      <w:pPr>
        <w:spacing w:after="0" w:line="276" w:lineRule="auto"/>
        <w:ind w:left="567" w:right="900"/>
        <w:jc w:val="both"/>
        <w:rPr>
          <w:rFonts w:ascii="Palatino Linotype" w:eastAsia="Palatino Linotype" w:hAnsi="Palatino Linotype" w:cs="Palatino Linotype"/>
          <w:i/>
          <w:iCs/>
        </w:rPr>
      </w:pPr>
    </w:p>
    <w:p w:rsidR="00467D97" w:rsidRDefault="0019616D">
      <w:pPr>
        <w:spacing w:after="0" w:line="276" w:lineRule="auto"/>
        <w:ind w:left="567" w:right="900"/>
        <w:jc w:val="both"/>
        <w:rPr>
          <w:rFonts w:ascii="Palatino Linotype" w:eastAsia="Palatino Linotype" w:hAnsi="Palatino Linotype" w:cs="Palatino Linotype"/>
          <w:i/>
          <w:iCs/>
        </w:rPr>
      </w:pPr>
      <w:r>
        <w:rPr>
          <w:rFonts w:ascii="Palatino Linotype" w:eastAsia="Palatino Linotype" w:hAnsi="Palatino Linotype" w:cs="Palatino Linotype"/>
          <w:b/>
          <w:bCs/>
          <w:i/>
          <w:iCs/>
          <w:u w:val="single"/>
        </w:rPr>
        <w:t>2610 Combustibles</w:t>
      </w:r>
      <w:r>
        <w:rPr>
          <w:rFonts w:ascii="Palatino Linotype" w:eastAsia="Palatino Linotype" w:hAnsi="Palatino Linotype" w:cs="Palatino Linotype"/>
          <w:i/>
          <w:iCs/>
        </w:rPr>
        <w:t xml:space="preserve">, lubricantes y aditivos. Asignaciones destinadas </w:t>
      </w:r>
      <w:r>
        <w:rPr>
          <w:rFonts w:ascii="Palatino Linotype" w:eastAsia="Palatino Linotype" w:hAnsi="Palatino Linotype" w:cs="Palatino Linotype"/>
          <w:i/>
          <w:iCs/>
        </w:rPr>
        <w:t>a la adquisición de productos derivados del petróleo (</w:t>
      </w:r>
      <w:r>
        <w:rPr>
          <w:rFonts w:ascii="Palatino Linotype" w:eastAsia="Palatino Linotype" w:hAnsi="Palatino Linotype" w:cs="Palatino Linotype"/>
          <w:b/>
          <w:bCs/>
          <w:i/>
          <w:iCs/>
        </w:rPr>
        <w:t>como gasolina</w:t>
      </w:r>
      <w:r>
        <w:rPr>
          <w:rFonts w:ascii="Palatino Linotype" w:eastAsia="Palatino Linotype" w:hAnsi="Palatino Linotype" w:cs="Palatino Linotype"/>
          <w:i/>
          <w:iCs/>
        </w:rPr>
        <w:t>, diesel, leña, etc.), aceites y grasas lubricantes para el uso en equipo de transporte e industrial y regeneración de aceite usado. Incluye el etanol y el biogás, entre otros. Excluye el p</w:t>
      </w:r>
      <w:r>
        <w:rPr>
          <w:rFonts w:ascii="Palatino Linotype" w:eastAsia="Palatino Linotype" w:hAnsi="Palatino Linotype" w:cs="Palatino Linotype"/>
          <w:i/>
          <w:iCs/>
        </w:rPr>
        <w:t xml:space="preserve">etróleo crudo y gas natural, así como los combustibles utilizados como materia prima. </w:t>
      </w:r>
    </w:p>
    <w:p w:rsidR="00467D97" w:rsidRDefault="00467D97">
      <w:pPr>
        <w:spacing w:after="0" w:line="276" w:lineRule="auto"/>
        <w:ind w:left="567" w:right="900"/>
        <w:jc w:val="both"/>
        <w:rPr>
          <w:rFonts w:ascii="Palatino Linotype" w:eastAsia="Palatino Linotype" w:hAnsi="Palatino Linotype" w:cs="Palatino Linotype"/>
          <w:i/>
          <w:iCs/>
        </w:rPr>
      </w:pPr>
    </w:p>
    <w:p w:rsidR="00467D97" w:rsidRDefault="0019616D">
      <w:pPr>
        <w:spacing w:after="0" w:line="276" w:lineRule="auto"/>
        <w:ind w:left="567" w:right="900"/>
        <w:jc w:val="both"/>
        <w:rPr>
          <w:rFonts w:ascii="Palatino Linotype" w:eastAsia="Palatino Linotype" w:hAnsi="Palatino Linotype" w:cs="Palatino Linotype"/>
          <w:i/>
          <w:iCs/>
        </w:rPr>
      </w:pPr>
      <w:r>
        <w:rPr>
          <w:rFonts w:ascii="Palatino Linotype" w:eastAsia="Palatino Linotype" w:hAnsi="Palatino Linotype" w:cs="Palatino Linotype"/>
          <w:b/>
          <w:bCs/>
          <w:i/>
          <w:iCs/>
        </w:rPr>
        <w:t>2611 Combustibles,</w:t>
      </w:r>
      <w:r>
        <w:rPr>
          <w:rFonts w:ascii="Palatino Linotype" w:eastAsia="Palatino Linotype" w:hAnsi="Palatino Linotype" w:cs="Palatino Linotype"/>
          <w:i/>
          <w:iCs/>
        </w:rPr>
        <w:t xml:space="preserve"> lubricantes y aditivos. </w:t>
      </w:r>
      <w:r>
        <w:rPr>
          <w:rFonts w:ascii="Palatino Linotype" w:eastAsia="Palatino Linotype" w:hAnsi="Palatino Linotype" w:cs="Palatino Linotype"/>
          <w:b/>
          <w:bCs/>
          <w:i/>
          <w:iCs/>
        </w:rPr>
        <w:t>Asignaciones destinadas a la adquisición de toda clase de combustibles,</w:t>
      </w:r>
      <w:r>
        <w:rPr>
          <w:rFonts w:ascii="Palatino Linotype" w:eastAsia="Palatino Linotype" w:hAnsi="Palatino Linotype" w:cs="Palatino Linotype"/>
          <w:i/>
          <w:iCs/>
        </w:rPr>
        <w:t xml:space="preserve"> en estado líquido o gaseoso, crudos o refinados, así </w:t>
      </w:r>
      <w:r>
        <w:rPr>
          <w:rFonts w:ascii="Palatino Linotype" w:eastAsia="Palatino Linotype" w:hAnsi="Palatino Linotype" w:cs="Palatino Linotype"/>
          <w:i/>
          <w:iCs/>
        </w:rPr>
        <w:t xml:space="preserve">como de lubricantes y aditivos, </w:t>
      </w:r>
      <w:r>
        <w:rPr>
          <w:rFonts w:ascii="Palatino Linotype" w:eastAsia="Palatino Linotype" w:hAnsi="Palatino Linotype" w:cs="Palatino Linotype"/>
          <w:b/>
          <w:bCs/>
          <w:i/>
          <w:iCs/>
        </w:rPr>
        <w:t xml:space="preserve">requeridos para el funcionamiento de vehículos </w:t>
      </w:r>
      <w:r>
        <w:rPr>
          <w:rFonts w:ascii="Palatino Linotype" w:eastAsia="Palatino Linotype" w:hAnsi="Palatino Linotype" w:cs="Palatino Linotype"/>
          <w:i/>
          <w:iCs/>
        </w:rPr>
        <w:t>y equipos de transporte terrestre, aéreo o lacustre, así como, para maquinaria, equipo de producción, Plantas de emergencia, servicios administrativos y elaboración de alimentos</w:t>
      </w:r>
      <w:r>
        <w:rPr>
          <w:rFonts w:ascii="Palatino Linotype" w:eastAsia="Palatino Linotype" w:hAnsi="Palatino Linotype" w:cs="Palatino Linotype"/>
          <w:i/>
          <w:iCs/>
        </w:rPr>
        <w:t>.”</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manera, se advierte que para el ejercicio del presupuesto, para las dependencias se prevén asignaciones destinas a la adquisición de combustible como gasolina para el suministro y funcionamiento de los vehículos que conforman su parque vehicula</w:t>
      </w:r>
      <w:r>
        <w:rPr>
          <w:rFonts w:ascii="Palatino Linotype" w:eastAsia="Palatino Linotype" w:hAnsi="Palatino Linotype" w:cs="Palatino Linotype"/>
        </w:rPr>
        <w:t xml:space="preserve">r.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 mayor abundamiento, el Manual Único de Contabilidad Gubernamental para las Dependencias y Entidades Públicas del Gobierno y Municipios del Estado de México tiene como objetivo el proporcionar a las entidades de la administración pública Estatal y Mu</w:t>
      </w:r>
      <w:r>
        <w:rPr>
          <w:rFonts w:ascii="Palatino Linotype" w:eastAsia="Palatino Linotype" w:hAnsi="Palatino Linotype" w:cs="Palatino Linotype"/>
        </w:rPr>
        <w:t xml:space="preserve">nicipal, los elementos necesarios que les permitan contabilizar sus operaciones al establecer los criterios en materia de contabilidad gubernamental, por lo que, el instrumento básico para su operación es el Catálogo de Cuentas, el cual agrupa un conjunto </w:t>
      </w:r>
      <w:r>
        <w:rPr>
          <w:rFonts w:ascii="Palatino Linotype" w:eastAsia="Palatino Linotype" w:hAnsi="Palatino Linotype" w:cs="Palatino Linotype"/>
        </w:rPr>
        <w:t>de conceptos homogéneos, cuya ordenación facilita distinguir y formar agrupaciones generales y de orden particular; mientras que el Instructivo para el manejo de las cuentas, describe, en forma detallada, los distintos conceptos de cargo y abono por los qu</w:t>
      </w:r>
      <w:r>
        <w:rPr>
          <w:rFonts w:ascii="Palatino Linotype" w:eastAsia="Palatino Linotype" w:hAnsi="Palatino Linotype" w:cs="Palatino Linotype"/>
        </w:rPr>
        <w:t>e cada cuenta deberá ser afectada, indicando el número respectivo, su denominación, clasificación y naturaleza, así como la representatividad de su saldo; de igual manera, la Guía Contabilizadora contiene la descripción detallada de las principales operaci</w:t>
      </w:r>
      <w:r>
        <w:rPr>
          <w:rFonts w:ascii="Palatino Linotype" w:eastAsia="Palatino Linotype" w:hAnsi="Palatino Linotype" w:cs="Palatino Linotype"/>
        </w:rPr>
        <w:t>ones, además de mencionar los documentos fuente que respaldan cada operación, señalando su periodicidad durante un ejercicio e incluye las cuentas a afectar, tanto contable como presupuestalmente. Es así, como el Clasificador por objeto de gasto, establece</w:t>
      </w:r>
      <w:r>
        <w:rPr>
          <w:rFonts w:ascii="Palatino Linotype" w:eastAsia="Palatino Linotype" w:hAnsi="Palatino Linotype" w:cs="Palatino Linotype"/>
        </w:rPr>
        <w:t xml:space="preserve"> la partida y el concepto del tema que nos ocupa, como quedó precisado.</w:t>
      </w:r>
    </w:p>
    <w:p w:rsidR="00467D97" w:rsidRDefault="00467D97">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resulta importante contextualizar la información solicitada por el ahora Recurrente, para ello, el Glosario de Términos Hacendarios que emite el Instituto Hacendario del Est</w:t>
      </w:r>
      <w:r>
        <w:rPr>
          <w:rFonts w:ascii="Palatino Linotype" w:eastAsia="Palatino Linotype" w:hAnsi="Palatino Linotype" w:cs="Palatino Linotype"/>
        </w:rPr>
        <w:t xml:space="preserve">ado de México, define como </w:t>
      </w:r>
      <w:r>
        <w:rPr>
          <w:rFonts w:ascii="Palatino Linotype" w:eastAsia="Palatino Linotype" w:hAnsi="Palatino Linotype" w:cs="Palatino Linotype"/>
          <w:i/>
          <w:iCs/>
        </w:rPr>
        <w:t>“factura” al</w:t>
      </w:r>
      <w:r>
        <w:rPr>
          <w:rFonts w:ascii="Palatino Linotype" w:eastAsia="Palatino Linotype" w:hAnsi="Palatino Linotype" w:cs="Palatino Linotype"/>
          <w:b/>
          <w:bCs/>
          <w:i/>
          <w:iCs/>
        </w:rPr>
        <w:t xml:space="preserve"> documento fiscal que emite la persona física o moral para comprobar la venta o adquisición de un bien y/o servicio.</w:t>
      </w:r>
    </w:p>
    <w:p w:rsidR="00467D97" w:rsidRDefault="00467D9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En ese sentido, es de señalar que cuando las facturas amparan las erogaciones que se realizan con erario público tienen naturaleza pública, pues constituyen un medio, de manera enunciativa más no limitativa de evidencia del gasto desglosado realizado con r</w:t>
      </w:r>
      <w:r>
        <w:rPr>
          <w:rFonts w:ascii="Palatino Linotype" w:eastAsia="Palatino Linotype" w:hAnsi="Palatino Linotype" w:cs="Palatino Linotype"/>
        </w:rPr>
        <w:t xml:space="preserve">ecursos públicos. </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Código Financiero del Estado de México, establece en su artículo 344 lo siguiente: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344.-</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u w:val="single"/>
        </w:rPr>
        <w:t>Los Entes Públicos, a través de cualquiera de sus unidades administrativas</w:t>
      </w:r>
      <w:r>
        <w:rPr>
          <w:rFonts w:ascii="Palatino Linotype" w:eastAsia="Palatino Linotype" w:hAnsi="Palatino Linotype" w:cs="Palatino Linotype"/>
          <w:i/>
          <w:iCs/>
        </w:rPr>
        <w:t>, de acuerdo con su naturaleza jurídica y según c</w:t>
      </w:r>
      <w:r>
        <w:rPr>
          <w:rFonts w:ascii="Palatino Linotype" w:eastAsia="Palatino Linotype" w:hAnsi="Palatino Linotype" w:cs="Palatino Linotype"/>
          <w:i/>
          <w:iCs/>
        </w:rPr>
        <w:t xml:space="preserve">orresponda, </w:t>
      </w:r>
      <w:r>
        <w:rPr>
          <w:rFonts w:ascii="Palatino Linotype" w:eastAsia="Palatino Linotype" w:hAnsi="Palatino Linotype" w:cs="Palatino Linotype"/>
          <w:b/>
          <w:bCs/>
          <w:i/>
          <w:iCs/>
          <w:u w:val="single"/>
        </w:rPr>
        <w:t>registrarán contablemente el efecto patrimonial y presupuestal de las operaciones financieras que realicen, en el momento en que ocurran, con base en el sistema y políticas de registro establecidas</w:t>
      </w:r>
      <w:r>
        <w:rPr>
          <w:rFonts w:ascii="Palatino Linotype" w:eastAsia="Palatino Linotype" w:hAnsi="Palatino Linotype" w:cs="Palatino Linotype"/>
          <w:i/>
          <w:iCs/>
        </w:rPr>
        <w:t>, en el caso de los Municipios</w:t>
      </w:r>
      <w:r>
        <w:rPr>
          <w:rFonts w:ascii="Palatino Linotype" w:eastAsia="Palatino Linotype" w:hAnsi="Palatino Linotype" w:cs="Palatino Linotype"/>
          <w:b/>
          <w:bCs/>
          <w:i/>
          <w:iCs/>
          <w:u w:val="single"/>
        </w:rPr>
        <w:t xml:space="preserve">, se hará por la </w:t>
      </w:r>
      <w:r>
        <w:rPr>
          <w:rFonts w:ascii="Palatino Linotype" w:eastAsia="Palatino Linotype" w:hAnsi="Palatino Linotype" w:cs="Palatino Linotype"/>
          <w:b/>
          <w:bCs/>
          <w:i/>
          <w:iCs/>
          <w:u w:val="single"/>
        </w:rPr>
        <w:t>Tesorería.</w:t>
      </w:r>
      <w:r>
        <w:rPr>
          <w:rFonts w:ascii="Palatino Linotype" w:eastAsia="Palatino Linotype" w:hAnsi="Palatino Linotype" w:cs="Palatino Linotype"/>
          <w:i/>
          <w:iCs/>
        </w:rPr>
        <w:t xml:space="preserve"> </w:t>
      </w:r>
    </w:p>
    <w:p w:rsidR="00467D97" w:rsidRDefault="00467D97">
      <w:pPr>
        <w:spacing w:after="0"/>
        <w:ind w:left="567" w:right="843"/>
        <w:jc w:val="both"/>
        <w:rPr>
          <w:rFonts w:ascii="Palatino Linotype" w:eastAsia="Palatino Linotype" w:hAnsi="Palatino Linotype" w:cs="Palatino Linotype"/>
          <w:i/>
          <w:iCs/>
        </w:rPr>
      </w:pP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b/>
          <w:bCs/>
          <w:i/>
          <w:iCs/>
          <w:u w:val="single"/>
        </w:rPr>
        <w:t>Todo registro contable y presupuestal deberá estar soportado con los documentos comprobatorios originales o en medios electrónicos, los que deberán permanecer en custodia y conservación</w:t>
      </w:r>
      <w:r>
        <w:rPr>
          <w:rFonts w:ascii="Palatino Linotype" w:eastAsia="Palatino Linotype" w:hAnsi="Palatino Linotype" w:cs="Palatino Linotype"/>
          <w:i/>
          <w:iCs/>
        </w:rPr>
        <w:t xml:space="preserve"> de los Entes Públicos a través de las unidades administra</w:t>
      </w:r>
      <w:r>
        <w:rPr>
          <w:rFonts w:ascii="Palatino Linotype" w:eastAsia="Palatino Linotype" w:hAnsi="Palatino Linotype" w:cs="Palatino Linotype"/>
          <w:i/>
          <w:iCs/>
        </w:rPr>
        <w:t>tivas que ejercieron el gasto y a disposición de los Órganos de Fiscalización locales y federales, según corresponda, así como de los órganos internos de control, por un término de cinco años, contados a partir del ejercicio presupuestal siguiente al que c</w:t>
      </w:r>
      <w:r>
        <w:rPr>
          <w:rFonts w:ascii="Palatino Linotype" w:eastAsia="Palatino Linotype" w:hAnsi="Palatino Linotype" w:cs="Palatino Linotype"/>
          <w:i/>
          <w:iCs/>
        </w:rPr>
        <w:t xml:space="preserve">orresponda, en el caso de los Municipios, dicha obligación corresponderá a la Tesorería. </w:t>
      </w:r>
    </w:p>
    <w:p w:rsidR="00467D97" w:rsidRDefault="00467D97">
      <w:pPr>
        <w:spacing w:after="0"/>
        <w:ind w:left="567" w:right="843"/>
        <w:jc w:val="both"/>
        <w:rPr>
          <w:rFonts w:ascii="Palatino Linotype" w:eastAsia="Palatino Linotype" w:hAnsi="Palatino Linotype" w:cs="Palatino Linotype"/>
          <w:i/>
          <w:iCs/>
        </w:rPr>
      </w:pPr>
    </w:p>
    <w:p w:rsidR="00467D97" w:rsidRDefault="0019616D">
      <w:pPr>
        <w:spacing w:after="0"/>
        <w:ind w:left="567" w:right="843"/>
        <w:jc w:val="both"/>
        <w:rPr>
          <w:rFonts w:ascii="Palatino Linotype" w:eastAsia="Palatino Linotype" w:hAnsi="Palatino Linotype" w:cs="Palatino Linotype"/>
          <w:i/>
          <w:iCs/>
        </w:rPr>
      </w:pPr>
      <w:r>
        <w:rPr>
          <w:rFonts w:ascii="Palatino Linotype" w:eastAsia="Palatino Linotype" w:hAnsi="Palatino Linotype" w:cs="Palatino Linotype"/>
          <w:i/>
          <w:iCs/>
        </w:rPr>
        <w:t>Tratándose de documentos de carácter histórico, se estará a lo dispuesto por la legislación de la materia.</w:t>
      </w:r>
    </w:p>
    <w:p w:rsidR="00467D97" w:rsidRDefault="00467D97">
      <w:pPr>
        <w:spacing w:after="0" w:line="360" w:lineRule="auto"/>
        <w:ind w:right="49"/>
        <w:jc w:val="both"/>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así que, los entes públicos deberán registrar contable</w:t>
      </w:r>
      <w:r>
        <w:rPr>
          <w:rFonts w:ascii="Palatino Linotype" w:eastAsia="Palatino Linotype" w:hAnsi="Palatino Linotype" w:cs="Palatino Linotype"/>
        </w:rPr>
        <w:t>mente las operaciones financieras que realicen, el cual deberá estar soportado con los documentos comprobatorios originales o en medios electrónicos, sin embargo, si bien es cierto, el Código Financiero del Estado de México y Municipios establece la obliga</w:t>
      </w:r>
      <w:r>
        <w:rPr>
          <w:rFonts w:ascii="Palatino Linotype" w:eastAsia="Palatino Linotype" w:hAnsi="Palatino Linotype" w:cs="Palatino Linotype"/>
        </w:rPr>
        <w:t xml:space="preserve">ción de llevar registros contables y presupuestales, también lo es que no define qué se debe entender por estos, por lo que, de conformidad con el </w:t>
      </w:r>
      <w:r>
        <w:rPr>
          <w:rFonts w:ascii="Palatino Linotype" w:eastAsia="Palatino Linotype" w:hAnsi="Palatino Linotype" w:cs="Palatino Linotype"/>
          <w:i/>
          <w:iCs/>
        </w:rPr>
        <w:t>Glosario de Términos Administrativos</w:t>
      </w:r>
      <w:r>
        <w:rPr>
          <w:rFonts w:ascii="Palatino Linotype" w:eastAsia="Palatino Linotype" w:hAnsi="Palatino Linotype" w:cs="Palatino Linotype"/>
        </w:rPr>
        <w:t xml:space="preserve"> y el </w:t>
      </w:r>
      <w:r>
        <w:rPr>
          <w:rFonts w:ascii="Palatino Linotype" w:eastAsia="Palatino Linotype" w:hAnsi="Palatino Linotype" w:cs="Palatino Linotype"/>
          <w:i/>
          <w:iCs/>
        </w:rPr>
        <w:t>Glosario de Términos para el Proceso de Planeación, Programación, P</w:t>
      </w:r>
      <w:r>
        <w:rPr>
          <w:rFonts w:ascii="Palatino Linotype" w:eastAsia="Palatino Linotype" w:hAnsi="Palatino Linotype" w:cs="Palatino Linotype"/>
          <w:i/>
          <w:iCs/>
        </w:rPr>
        <w:t>resupuestación y Evaluación en la Administración Pública</w:t>
      </w:r>
      <w:r>
        <w:rPr>
          <w:rFonts w:ascii="Palatino Linotype" w:eastAsia="Palatino Linotype" w:hAnsi="Palatino Linotype" w:cs="Palatino Linotype"/>
        </w:rPr>
        <w:t xml:space="preserve">, definen los registros como: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ind w:left="567" w:right="560"/>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Registro contable. </w:t>
      </w:r>
      <w:r>
        <w:rPr>
          <w:rFonts w:ascii="Palatino Linotype" w:eastAsia="Palatino Linotype" w:hAnsi="Palatino Linotype" w:cs="Palatino Linotype"/>
          <w:i/>
          <w:iCs/>
        </w:rPr>
        <w:t xml:space="preserve">Asiento que se realiza en los libros de contabilidad de las actividades relacionadas con el ingreso y egreso de un ente económico. </w:t>
      </w:r>
    </w:p>
    <w:p w:rsidR="00467D97" w:rsidRDefault="00467D97">
      <w:pPr>
        <w:spacing w:after="0"/>
        <w:ind w:left="567" w:right="560"/>
        <w:jc w:val="both"/>
        <w:rPr>
          <w:rFonts w:ascii="Palatino Linotype" w:eastAsia="Palatino Linotype" w:hAnsi="Palatino Linotype" w:cs="Palatino Linotype"/>
          <w:i/>
          <w:iCs/>
        </w:rPr>
      </w:pPr>
    </w:p>
    <w:p w:rsidR="00467D97" w:rsidRDefault="0019616D">
      <w:pPr>
        <w:spacing w:after="0"/>
        <w:ind w:left="567" w:right="560"/>
        <w:jc w:val="both"/>
        <w:rPr>
          <w:rFonts w:ascii="Palatino Linotype" w:eastAsia="Palatino Linotype" w:hAnsi="Palatino Linotype" w:cs="Palatino Linotype"/>
          <w:i/>
          <w:iCs/>
        </w:rPr>
      </w:pPr>
      <w:r>
        <w:rPr>
          <w:rFonts w:ascii="Palatino Linotype" w:eastAsia="Palatino Linotype" w:hAnsi="Palatino Linotype" w:cs="Palatino Linotype"/>
          <w:b/>
          <w:bCs/>
          <w:i/>
          <w:iCs/>
        </w:rPr>
        <w:t>Registro Presupu</w:t>
      </w:r>
      <w:r>
        <w:rPr>
          <w:rFonts w:ascii="Palatino Linotype" w:eastAsia="Palatino Linotype" w:hAnsi="Palatino Linotype" w:cs="Palatino Linotype"/>
          <w:b/>
          <w:bCs/>
          <w:i/>
          <w:iCs/>
        </w:rPr>
        <w:t xml:space="preserve">estario. </w:t>
      </w:r>
      <w:r>
        <w:rPr>
          <w:rFonts w:ascii="Palatino Linotype" w:eastAsia="Palatino Linotype" w:hAnsi="Palatino Linotype" w:cs="Palatino Linotype"/>
          <w:i/>
          <w:iCs/>
        </w:rPr>
        <w:t xml:space="preserve">Asiento contable de las erogaciones realizadas por las dependencias y entidades con relación a la asignación, modificación y ejercicio de los recursos presupuestarios que se les hayan autorizado.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colige que los entes fiscalizables cuentan con una unidad administrativa que registra contablemente el efecto patrimonial y presupuestal de las operaciones financieras que realizan y por lo general, se encuentran en las denomin</w:t>
      </w:r>
      <w:r>
        <w:rPr>
          <w:rFonts w:ascii="Palatino Linotype" w:eastAsia="Palatino Linotype" w:hAnsi="Palatino Linotype" w:cs="Palatino Linotype"/>
        </w:rPr>
        <w:t xml:space="preserve">adas </w:t>
      </w:r>
      <w:r>
        <w:rPr>
          <w:rFonts w:ascii="Palatino Linotype" w:eastAsia="Palatino Linotype" w:hAnsi="Palatino Linotype" w:cs="Palatino Linotype"/>
          <w:i/>
          <w:iCs/>
        </w:rPr>
        <w:t xml:space="preserve">pólizas contables </w:t>
      </w:r>
      <w:r>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rsidR="00467D97" w:rsidRDefault="00467D97">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p>
    <w:p w:rsidR="00467D97" w:rsidRDefault="0019616D">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En lo que corresponde al presente asunto, se considera que las facturas solicitadas, se tratan de las obtenidas por la compra de los vehículos y la dotación de gasolina, por lo que, el Sujeto Obligado habrá de hacer entrega de estos documentos. </w:t>
      </w:r>
    </w:p>
    <w:p w:rsidR="00467D97" w:rsidRDefault="00467D97">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p>
    <w:p w:rsidR="00467D97" w:rsidRDefault="0019616D">
      <w:pPr>
        <w:pBdr>
          <w:top w:val="nil"/>
          <w:left w:val="nil"/>
          <w:bottom w:val="nil"/>
          <w:right w:val="nil"/>
          <w:between w:val="nil"/>
        </w:pBdr>
        <w:tabs>
          <w:tab w:val="left" w:pos="42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lo an</w:t>
      </w:r>
      <w:r>
        <w:rPr>
          <w:rFonts w:ascii="Palatino Linotype" w:eastAsia="Palatino Linotype" w:hAnsi="Palatino Linotype" w:cs="Palatino Linotype"/>
        </w:rPr>
        <w:t>terior, se considera que, el Sujeto Obligado deberá proporcionar la información que no remitió en respuesta, para dar cumplimiento cabal a lo solicitado por el Recurrente.</w:t>
      </w:r>
      <w:r>
        <w:rPr>
          <w:rFonts w:ascii="Palatino Linotype" w:eastAsia="Palatino Linotype" w:hAnsi="Palatino Linotype" w:cs="Palatino Linotype"/>
          <w:i/>
          <w:iCs/>
        </w:rPr>
        <w:t xml:space="preserve"> </w:t>
      </w:r>
    </w:p>
    <w:p w:rsidR="00467D97" w:rsidRDefault="00467D97">
      <w:pPr>
        <w:spacing w:after="0" w:line="360" w:lineRule="auto"/>
        <w:jc w:val="both"/>
        <w:rPr>
          <w:rFonts w:ascii="Palatino Linotype" w:eastAsia="Palatino Linotype" w:hAnsi="Palatino Linotype" w:cs="Palatino Linotype"/>
          <w:i/>
          <w:i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es de mencionar que, los sujetos obligados deben seguir el procedim</w:t>
      </w:r>
      <w:r>
        <w:rPr>
          <w:rFonts w:ascii="Palatino Linotype" w:eastAsia="Palatino Linotype" w:hAnsi="Palatino Linotype" w:cs="Palatino Linotype"/>
        </w:rPr>
        <w:t>iento para la atención a las solicitudes de acceso a la información, establecido en los artículos 151, 159, 160, 162, 163, 164, 165 y 166, de la Ley de Transparencia y Acceso a la Información Pública del Estado de México y Municipios, el cual es el siguien</w:t>
      </w:r>
      <w:r>
        <w:rPr>
          <w:rFonts w:ascii="Palatino Linotype" w:eastAsia="Palatino Linotype" w:hAnsi="Palatino Linotype" w:cs="Palatino Linotype"/>
        </w:rPr>
        <w:t>te:</w:t>
      </w:r>
    </w:p>
    <w:p w:rsidR="00467D97" w:rsidRDefault="00467D97">
      <w:pPr>
        <w:spacing w:after="0" w:line="360" w:lineRule="auto"/>
        <w:jc w:val="both"/>
        <w:rPr>
          <w:rFonts w:ascii="Palatino Linotype" w:eastAsia="Palatino Linotype" w:hAnsi="Palatino Linotype" w:cs="Palatino Linotype"/>
        </w:rPr>
      </w:pPr>
    </w:p>
    <w:p w:rsidR="00467D97" w:rsidRDefault="0019616D">
      <w:pPr>
        <w:numPr>
          <w:ilvl w:val="0"/>
          <w:numId w:val="1"/>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Las Unidades de Transparencia de los Sujetos Obligados deben garantizar las medidas y condiciones de accesibilidad para que toda persona puede ejercer el derecho de acceso a la información; por lo que, son las responsables de hacer las notificaciones </w:t>
      </w:r>
      <w:r>
        <w:rPr>
          <w:rFonts w:ascii="Palatino Linotype" w:eastAsia="Palatino Linotype" w:hAnsi="Palatino Linotype" w:cs="Palatino Linotype"/>
        </w:rPr>
        <w:t>correspondientes, además de llevar a cabo de todas las gestiones necesarias para facilitar el acceso de la información;</w:t>
      </w:r>
    </w:p>
    <w:p w:rsidR="00467D97" w:rsidRDefault="0019616D">
      <w:pPr>
        <w:numPr>
          <w:ilvl w:val="0"/>
          <w:numId w:val="1"/>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podrán requerirle a los Solicitantes, que complementen, corrijan o amplíen su solicitud de información, cuando res</w:t>
      </w:r>
      <w:r>
        <w:rPr>
          <w:rFonts w:ascii="Palatino Linotype" w:eastAsia="Palatino Linotype" w:hAnsi="Palatino Linotype" w:cs="Palatino Linotype"/>
        </w:rPr>
        <w:t>ulten los datos proporcionados insuficientes, incorrectos, incompletos o erróneos; solicitar dicha aclaración, interrumpirá el plazo para dar respuesta y comenzará a computarse el día siguiente al desahogo de esta.</w:t>
      </w:r>
    </w:p>
    <w:p w:rsidR="00467D97" w:rsidRDefault="0019616D">
      <w:pPr>
        <w:numPr>
          <w:ilvl w:val="0"/>
          <w:numId w:val="1"/>
        </w:num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respuestas a los requerimientos infor</w:t>
      </w:r>
      <w:r>
        <w:rPr>
          <w:rFonts w:ascii="Palatino Linotype" w:eastAsia="Palatino Linotype" w:hAnsi="Palatino Linotype" w:cs="Palatino Linotype"/>
        </w:rPr>
        <w:t xml:space="preserve">mativos deberán notificarse al interesado en el menor tiempo posible, que no podrá exceder </w:t>
      </w:r>
      <w:r>
        <w:rPr>
          <w:rFonts w:ascii="Palatino Linotype" w:eastAsia="Palatino Linotype" w:hAnsi="Palatino Linotype" w:cs="Palatino Linotype"/>
          <w:b/>
          <w:bCs/>
        </w:rPr>
        <w:t>quince días, contados a partir del día siguiente a la presentación de ésta.</w:t>
      </w:r>
      <w:r>
        <w:rPr>
          <w:rFonts w:ascii="Palatino Linotype" w:eastAsia="Palatino Linotype" w:hAnsi="Palatino Linotype" w:cs="Palatino Linotype"/>
        </w:rPr>
        <w:t xml:space="preserve"> Excepcionalmente, el plazo referido podrá ampliarse por siete días hábiles más, cuando ex</w:t>
      </w:r>
      <w:r>
        <w:rPr>
          <w:rFonts w:ascii="Palatino Linotype" w:eastAsia="Palatino Linotype" w:hAnsi="Palatino Linotype" w:cs="Palatino Linotype"/>
        </w:rPr>
        <w:t>istan razones fundadas y motivadas, a través del Comité de Transparencia;</w:t>
      </w:r>
    </w:p>
    <w:p w:rsidR="00467D97" w:rsidRDefault="0019616D">
      <w:pPr>
        <w:numPr>
          <w:ilvl w:val="0"/>
          <w:numId w:val="1"/>
        </w:numPr>
        <w:spacing w:after="0" w:line="360" w:lineRule="auto"/>
        <w:jc w:val="both"/>
        <w:rPr>
          <w:rFonts w:ascii="Palatino Linotype" w:eastAsia="Palatino Linotype" w:hAnsi="Palatino Linotype" w:cs="Palatino Linotype"/>
          <w:b/>
          <w:bCs/>
          <w:u w:val="single"/>
        </w:rPr>
      </w:pPr>
      <w:r>
        <w:rPr>
          <w:rFonts w:ascii="Palatino Linotype" w:eastAsia="Palatino Linotype" w:hAnsi="Palatino Linotype" w:cs="Palatino Linotype"/>
          <w:b/>
          <w:bCs/>
          <w:u w:val="single"/>
        </w:rPr>
        <w:t>Las Unidades de Transparencia garantizarán que las solicitudes se turnen a todas las áreas competentes que cuenten con la información o deban tenerla de acuerdo con sus facultades, f</w:t>
      </w:r>
      <w:r>
        <w:rPr>
          <w:rFonts w:ascii="Palatino Linotype" w:eastAsia="Palatino Linotype" w:hAnsi="Palatino Linotype" w:cs="Palatino Linotype"/>
          <w:b/>
          <w:bCs/>
          <w:u w:val="single"/>
        </w:rPr>
        <w:t>unciones y atribuciones, para que realicen una búsqueda exhaustiva y razonable de la documentación solicitada, con el fin de que proporcionen las expresiones documentales que se encuentren en sus archivos o que estén constreñidos a elaborar;</w:t>
      </w:r>
    </w:p>
    <w:p w:rsidR="00467D97" w:rsidRDefault="0019616D">
      <w:pPr>
        <w:numPr>
          <w:ilvl w:val="0"/>
          <w:numId w:val="1"/>
        </w:num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El acceso se d</w:t>
      </w:r>
      <w:r>
        <w:rPr>
          <w:rFonts w:ascii="Palatino Linotype" w:eastAsia="Palatino Linotype" w:hAnsi="Palatino Linotype" w:cs="Palatino Linotype"/>
        </w:rPr>
        <w:t>ará en la modalidad de entrega y en su caso, de envío elegido por el solicitante, cuando no pueda entregarse en dicha modalidad, el Sujeto Obligado deberá ofrecer otras; por lo cual, deberá fundamentar y motivar la necesidad de modificar el medio de entreg</w:t>
      </w:r>
      <w:r>
        <w:rPr>
          <w:rFonts w:ascii="Palatino Linotype" w:eastAsia="Palatino Linotype" w:hAnsi="Palatino Linotype" w:cs="Palatino Linotype"/>
        </w:rPr>
        <w:t>a, y</w:t>
      </w:r>
    </w:p>
    <w:p w:rsidR="00467D97" w:rsidRDefault="0019616D">
      <w:pPr>
        <w:numPr>
          <w:ilvl w:val="0"/>
          <w:numId w:val="1"/>
        </w:num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w:t>
      </w:r>
      <w:r>
        <w:rPr>
          <w:rFonts w:ascii="Palatino Linotype" w:eastAsia="Palatino Linotype" w:hAnsi="Palatino Linotype" w:cs="Palatino Linotype"/>
        </w:rPr>
        <w:t>o no mayor a treinta días hábiles; por lo que, una vez trascurrida dicha temporalidad, los Sujetos Obligados darán por concluida la solicitud y procederán de ser el caso, a la destrucción del material.</w:t>
      </w:r>
    </w:p>
    <w:p w:rsidR="00467D97" w:rsidRDefault="00467D97">
      <w:pPr>
        <w:spacing w:after="0" w:line="360" w:lineRule="auto"/>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tal manera que, la Unidad de Transparencia turnó l</w:t>
      </w:r>
      <w:r>
        <w:rPr>
          <w:rFonts w:ascii="Palatino Linotype" w:eastAsia="Palatino Linotype" w:hAnsi="Palatino Linotype" w:cs="Palatino Linotype"/>
        </w:rPr>
        <w:t>a solicitud de información a todas las áreas competentes que pudieran contar con la información o deban tenerla de acuerdo con sus facultades, funciones y atribuciones, para que realizarán una búsqueda exhaustiva y razonable de la documentación solicitada,</w:t>
      </w:r>
      <w:r>
        <w:rPr>
          <w:rFonts w:ascii="Palatino Linotype" w:eastAsia="Palatino Linotype" w:hAnsi="Palatino Linotype" w:cs="Palatino Linotype"/>
        </w:rPr>
        <w:t xml:space="preserve"> como lo es, la Coordinación Administrativa y la Dirección General de Seguridad y Protección.  </w:t>
      </w:r>
    </w:p>
    <w:p w:rsidR="00467D97" w:rsidRDefault="00467D97">
      <w:pPr>
        <w:spacing w:after="0"/>
        <w:ind w:right="560"/>
        <w:jc w:val="both"/>
        <w:rPr>
          <w:rFonts w:ascii="Palatino Linotype" w:eastAsia="Palatino Linotype" w:hAnsi="Palatino Linotype" w:cs="Palatino Linotype"/>
          <w:i/>
          <w:iCs/>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considera que el Sujeto Obligado atendió lo establecido en el artículo 162 de la Ley de Transparencia de la Entidad, pues turnó la solicitud a todas las unidades administrativas competentes y, en consecuencia fue restrictivo en garantizar a </w:t>
      </w:r>
      <w:r>
        <w:rPr>
          <w:rFonts w:ascii="Palatino Linotype" w:eastAsia="Palatino Linotype" w:hAnsi="Palatino Linotype" w:cs="Palatino Linotype"/>
        </w:rPr>
        <w:t>la parte Recurrente su derecho de acceso a la información.</w:t>
      </w:r>
    </w:p>
    <w:p w:rsidR="00467D97" w:rsidRDefault="00467D97">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dicho, se considera que los agravios hechos valer por la parte Recurrente devienen </w:t>
      </w:r>
      <w:r>
        <w:rPr>
          <w:rFonts w:ascii="Palatino Linotype" w:eastAsia="Palatino Linotype" w:hAnsi="Palatino Linotype" w:cs="Palatino Linotype"/>
          <w:b/>
          <w:bCs/>
        </w:rPr>
        <w:t xml:space="preserve">FUNDADOS </w:t>
      </w:r>
      <w:r>
        <w:rPr>
          <w:rFonts w:ascii="Palatino Linotype" w:eastAsia="Palatino Linotype" w:hAnsi="Palatino Linotype" w:cs="Palatino Linotype"/>
        </w:rPr>
        <w:t xml:space="preserve">y, por ende, este Organismo Garante determina </w:t>
      </w:r>
      <w:r>
        <w:rPr>
          <w:rFonts w:ascii="Palatino Linotype" w:eastAsia="Palatino Linotype" w:hAnsi="Palatino Linotype" w:cs="Palatino Linotype"/>
          <w:b/>
          <w:bCs/>
        </w:rPr>
        <w:t>ORDENAR</w:t>
      </w:r>
      <w:r>
        <w:rPr>
          <w:rFonts w:ascii="Palatino Linotype" w:eastAsia="Palatino Linotype" w:hAnsi="Palatino Linotype" w:cs="Palatino Linotype"/>
        </w:rPr>
        <w:t xml:space="preserve"> al Sujeto Obligado, la entrega, de se</w:t>
      </w:r>
      <w:r>
        <w:rPr>
          <w:rFonts w:ascii="Palatino Linotype" w:eastAsia="Palatino Linotype" w:hAnsi="Palatino Linotype" w:cs="Palatino Linotype"/>
        </w:rPr>
        <w:t>r el caso, en versión pública del documento donde conste lo siguiente:</w:t>
      </w:r>
    </w:p>
    <w:p w:rsidR="00467D97" w:rsidRDefault="00467D97">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rsidR="00467D97" w:rsidRDefault="0019616D">
      <w:pPr>
        <w:numPr>
          <w:ilvl w:val="0"/>
          <w:numId w:val="6"/>
        </w:numPr>
        <w:pBdr>
          <w:top w:val="nil"/>
          <w:left w:val="nil"/>
          <w:bottom w:val="nil"/>
          <w:right w:val="nil"/>
          <w:between w:val="nil"/>
        </w:pBd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rPr>
        <w:t xml:space="preserve">Sueldo bruto y neto del personal operativo adscrito a la Dirección General de Seguridad y Protección al siete de abril de dos mil veinticinco. </w:t>
      </w:r>
    </w:p>
    <w:p w:rsidR="00467D97" w:rsidRDefault="0019616D">
      <w:pPr>
        <w:numPr>
          <w:ilvl w:val="0"/>
          <w:numId w:val="6"/>
        </w:numPr>
        <w:pBdr>
          <w:top w:val="nil"/>
          <w:left w:val="nil"/>
          <w:bottom w:val="nil"/>
          <w:right w:val="nil"/>
          <w:between w:val="nil"/>
        </w:pBd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rPr>
        <w:t xml:space="preserve">Nombre de los mandos policiales, último </w:t>
      </w:r>
      <w:r>
        <w:rPr>
          <w:rFonts w:ascii="Palatino Linotype" w:eastAsia="Palatino Linotype" w:hAnsi="Palatino Linotype" w:cs="Palatino Linotype"/>
        </w:rPr>
        <w:t xml:space="preserve">grado de estudios y su información curricular, al siete de abril de dos mil veinticinco. </w:t>
      </w:r>
    </w:p>
    <w:p w:rsidR="00467D97" w:rsidRDefault="0019616D">
      <w:pPr>
        <w:numPr>
          <w:ilvl w:val="0"/>
          <w:numId w:val="6"/>
        </w:numPr>
        <w:pBdr>
          <w:top w:val="nil"/>
          <w:left w:val="nil"/>
          <w:bottom w:val="nil"/>
          <w:right w:val="nil"/>
          <w:between w:val="nil"/>
        </w:pBd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rPr>
        <w:t xml:space="preserve">Marca, modelo, submarca y gasolina asignada de las patrullas que recibió la actual administración.  </w:t>
      </w:r>
    </w:p>
    <w:p w:rsidR="00467D97" w:rsidRDefault="0019616D">
      <w:pPr>
        <w:numPr>
          <w:ilvl w:val="0"/>
          <w:numId w:val="6"/>
        </w:numPr>
        <w:pBdr>
          <w:top w:val="nil"/>
          <w:left w:val="nil"/>
          <w:bottom w:val="nil"/>
          <w:right w:val="nil"/>
          <w:between w:val="nil"/>
        </w:pBd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rPr>
        <w:t>Gasolina asignada de las patrullas con las que se cuenta al siete</w:t>
      </w:r>
      <w:r>
        <w:rPr>
          <w:rFonts w:ascii="Palatino Linotype" w:eastAsia="Palatino Linotype" w:hAnsi="Palatino Linotype" w:cs="Palatino Linotype"/>
        </w:rPr>
        <w:t xml:space="preserve"> de abril de dos mil veinticinco. </w:t>
      </w:r>
    </w:p>
    <w:p w:rsidR="00467D97" w:rsidRDefault="0019616D">
      <w:pPr>
        <w:numPr>
          <w:ilvl w:val="0"/>
          <w:numId w:val="6"/>
        </w:numPr>
        <w:pBdr>
          <w:top w:val="nil"/>
          <w:left w:val="nil"/>
          <w:bottom w:val="nil"/>
          <w:right w:val="nil"/>
          <w:between w:val="nil"/>
        </w:pBdr>
        <w:spacing w:after="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rPr>
        <w:t xml:space="preserve">Facturas de los vehículos y de la gasolina asignada a las patrullas que recibió la actual administración y con las que cuenta el Ayuntamiento al siete de abril de dos mil veinticinco.   </w:t>
      </w:r>
    </w:p>
    <w:p w:rsidR="00467D97" w:rsidRDefault="00467D97">
      <w:pPr>
        <w:pBdr>
          <w:top w:val="nil"/>
          <w:left w:val="nil"/>
          <w:bottom w:val="nil"/>
          <w:right w:val="nil"/>
          <w:between w:val="nil"/>
        </w:pBdr>
        <w:spacing w:after="0"/>
        <w:ind w:left="567" w:right="560"/>
        <w:jc w:val="both"/>
        <w:rPr>
          <w:rFonts w:ascii="Palatino Linotype" w:eastAsia="Palatino Linotype" w:hAnsi="Palatino Linotype" w:cs="Palatino Linotype"/>
          <w:i/>
          <w:iCs/>
        </w:rPr>
      </w:pPr>
    </w:p>
    <w:p w:rsidR="00467D97" w:rsidRDefault="0019616D">
      <w:pPr>
        <w:pBdr>
          <w:top w:val="nil"/>
          <w:left w:val="nil"/>
          <w:bottom w:val="nil"/>
          <w:right w:val="nil"/>
          <w:between w:val="nil"/>
        </w:pBdr>
        <w:ind w:left="567" w:right="560"/>
        <w:jc w:val="both"/>
        <w:rPr>
          <w:rFonts w:ascii="Palatino Linotype" w:eastAsia="Palatino Linotype" w:hAnsi="Palatino Linotype" w:cs="Palatino Linotype"/>
          <w:i/>
          <w:iCs/>
        </w:rPr>
      </w:pPr>
      <w:r>
        <w:rPr>
          <w:rFonts w:ascii="Palatino Linotype" w:eastAsia="Palatino Linotype" w:hAnsi="Palatino Linotype" w:cs="Palatino Linotype"/>
          <w:i/>
          <w:iCs/>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iCs/>
        </w:rPr>
        <w:t xml:space="preserve"> supriman o eliminen</w:t>
      </w:r>
      <w:r>
        <w:rPr>
          <w:rFonts w:ascii="Palatino Linotype" w:eastAsia="Palatino Linotype" w:hAnsi="Palatino Linotype" w:cs="Palatino Linotype"/>
          <w:b/>
          <w:bCs/>
          <w:i/>
          <w:iCs/>
        </w:rPr>
        <w:t>,</w:t>
      </w:r>
      <w:r>
        <w:rPr>
          <w:rFonts w:ascii="Palatino Linotype" w:eastAsia="Palatino Linotype" w:hAnsi="Palatino Linotype" w:cs="Palatino Linotype"/>
          <w:i/>
          <w:iCs/>
        </w:rPr>
        <w:t xml:space="preserve"> y  se ponga a disposición de la parte Recurrente, en términos de los artículos 49, fracción VIII,  de la Ley de Transparencia y Acceso a la Información Pública del Estado de México y Municipios.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Quinto. Versión Pública. </w:t>
      </w:r>
      <w:r>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Pr>
          <w:rFonts w:ascii="Palatino Linotype" w:eastAsia="Palatino Linotype" w:hAnsi="Palatino Linotype" w:cs="Palatino Linotype"/>
        </w:rPr>
        <w:t>n ese sentido, el Sujeto Obligado tendrá que elaborar la versión pública de los documentos que vaya a entregar para dar cumplimiento a esta resolución a fin de satisfacer el derecho de acceso a la información pública del recurrente sin menoscabar el derech</w:t>
      </w:r>
      <w:r>
        <w:rPr>
          <w:rFonts w:ascii="Palatino Linotype" w:eastAsia="Palatino Linotype" w:hAnsi="Palatino Linotype" w:cs="Palatino Linotype"/>
        </w:rPr>
        <w:t>o a la protección de los datos personales de terceros.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necesario pronunciarse respecto de, la fotografía y firma de los servidores públicos, al tenor de lo siguiente: </w:t>
      </w:r>
    </w:p>
    <w:p w:rsidR="00467D97" w:rsidRDefault="00467D97">
      <w:pPr>
        <w:spacing w:after="0" w:line="360" w:lineRule="auto"/>
        <w:jc w:val="both"/>
        <w:rPr>
          <w:rFonts w:ascii="Palatino Linotype" w:eastAsia="Palatino Linotype" w:hAnsi="Palatino Linotype" w:cs="Palatino Linotype"/>
        </w:rPr>
      </w:pPr>
    </w:p>
    <w:p w:rsidR="00467D97" w:rsidRDefault="0019616D">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Firma de servidores públicos.</w:t>
      </w:r>
      <w:r>
        <w:rPr>
          <w:rFonts w:ascii="Palatino Linotype" w:eastAsia="Palatino Linotype" w:hAnsi="Palatino Linotype" w:cs="Palatino Linotype"/>
        </w:rPr>
        <w:t xml:space="preserve"> </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bookmarkStart w:id="2" w:name="_heading=h.gt049gw6aym" w:colFirst="0" w:colLast="0"/>
      <w:bookmarkEnd w:id="2"/>
      <w:r>
        <w:rPr>
          <w:rFonts w:ascii="Palatino Linotype" w:eastAsia="Palatino Linotype" w:hAnsi="Palatino Linotype" w:cs="Palatino Linotype"/>
        </w:rPr>
        <w:t>Tocante al tema de la firma, al tratarse de la escritura gráfica o grafo manuscrito que representa al nombre y apellido(s), o título, que una persona escribe de su propia mano, que tiene fines de identificación, jurídicos, representativos y diplomáticos, a</w:t>
      </w:r>
      <w:r>
        <w:rPr>
          <w:rFonts w:ascii="Palatino Linotype" w:eastAsia="Palatino Linotype" w:hAnsi="Palatino Linotype" w:cs="Palatino Linotype"/>
        </w:rPr>
        <w:t xml:space="preserve"> través de los cuales es posible identificar o hacer identificable a su titular, constituye un dato personal que debe ser protegido, sin embargo, en el caso de los servidores públicos, dicho dato es público cuando, en ejercicio de las atribuciones que les </w:t>
      </w:r>
      <w:r>
        <w:rPr>
          <w:rFonts w:ascii="Palatino Linotype" w:eastAsia="Palatino Linotype" w:hAnsi="Palatino Linotype" w:cs="Palatino Linotype"/>
        </w:rPr>
        <w:t>fueron conferidas, emiten un acto de autoridad, siendo la firma el medio por el cual se le da validez a dicho acto.</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orientador 02-19 emitido por el Instituto Nacional de Transparencia, Acceso a la Información y Protección</w:t>
      </w:r>
      <w:r>
        <w:rPr>
          <w:rFonts w:ascii="Palatino Linotype" w:eastAsia="Palatino Linotype" w:hAnsi="Palatino Linotype" w:cs="Palatino Linotype"/>
        </w:rPr>
        <w:t xml:space="preserve"> de Datos Personales, INAI, el cual refiere:</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ind w:left="567" w:right="-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Firma y rúbrica de servidores públicos.</w:t>
      </w:r>
      <w:r>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w:t>
      </w:r>
      <w:r>
        <w:rPr>
          <w:rFonts w:ascii="Palatino Linotype" w:eastAsia="Palatino Linotype" w:hAnsi="Palatino Linotype" w:cs="Palatino Linotype"/>
          <w:i/>
          <w:iCs/>
        </w:rPr>
        <w:t>ridas, la firma o rúbrica mediante la cual se valida dicho acto es pública.”</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Contexto que en el presente asunto no se actualiza por no realizarse en ejercicio de sus funciones de derecho público; toda vez que el título profesional o el certificado de estu</w:t>
      </w:r>
      <w:r>
        <w:rPr>
          <w:rFonts w:ascii="Palatino Linotype" w:eastAsia="Palatino Linotype" w:hAnsi="Palatino Linotype" w:cs="Palatino Linotype"/>
        </w:rPr>
        <w:t>dios corresponden a documentos emitidos por instituciones del Estado, Autónomas, Descentralizadas y Particulares, que tengan reconocimiento de validez oficial de estudios, a favor de una persona que haya concluido sus estudios correspondientes o demostrado</w:t>
      </w:r>
      <w:r>
        <w:rPr>
          <w:rFonts w:ascii="Palatino Linotype" w:eastAsia="Palatino Linotype" w:hAnsi="Palatino Linotype" w:cs="Palatino Linotype"/>
        </w:rPr>
        <w:t xml:space="preserve"> tener determinados conocimientos, en términos de los artículos 1° y 8° de la Ley Reglamentaria del Artículo 5° Constitucional, Relativo al Ejercicio de las Profesiones en la Ciudad de México.</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su parte la cédula profesional, es el documento que toda p</w:t>
      </w:r>
      <w:r>
        <w:rPr>
          <w:rFonts w:ascii="Palatino Linotype" w:eastAsia="Palatino Linotype" w:hAnsi="Palatino Linotype" w:cs="Palatino Linotype"/>
        </w:rPr>
        <w:t>ersona a quien legalmente se le haya expedido título profesional o grado académico equivalente, podrá obtener con</w:t>
      </w:r>
      <w:r>
        <w:rPr>
          <w:rFonts w:ascii="Palatino Linotype" w:eastAsia="Palatino Linotype" w:hAnsi="Palatino Linotype" w:cs="Palatino Linotype"/>
          <w:b/>
          <w:bCs/>
        </w:rPr>
        <w:t xml:space="preserve"> </w:t>
      </w:r>
      <w:r>
        <w:rPr>
          <w:rFonts w:ascii="Palatino Linotype" w:eastAsia="Palatino Linotype" w:hAnsi="Palatino Linotype" w:cs="Palatino Linotype"/>
        </w:rPr>
        <w:t>efectos de patente; esta es otorgada por la Dirección General de Profesiones, para identidad en todas las actividades profesionales, de confor</w:t>
      </w:r>
      <w:r>
        <w:rPr>
          <w:rFonts w:ascii="Palatino Linotype" w:eastAsia="Palatino Linotype" w:hAnsi="Palatino Linotype" w:cs="Palatino Linotype"/>
        </w:rPr>
        <w:t xml:space="preserve">midad con los artículos 3° y 23, fracción IV de la Ley Reglamentaria del Artículo 5° Constitucional, Relativo al Ejercicio de las Profesiones en la Ciudad de México. </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Así, los documentos que dan cuenta de la preparación académica sirven como medios de ide</w:t>
      </w:r>
      <w:r>
        <w:rPr>
          <w:rFonts w:ascii="Palatino Linotype" w:eastAsia="Palatino Linotype" w:hAnsi="Palatino Linotype" w:cs="Palatino Linotype"/>
        </w:rPr>
        <w:t xml:space="preserve">ntificación, para que a su titular lo relacionen con el nivel de estudios con que cuenta independientemente de que estos sean o no medios de identificación oficiales. </w:t>
      </w:r>
    </w:p>
    <w:p w:rsidR="00467D97" w:rsidRDefault="00467D97">
      <w:pPr>
        <w:spacing w:after="0" w:line="360" w:lineRule="auto"/>
        <w:ind w:right="-7"/>
        <w:jc w:val="both"/>
        <w:rPr>
          <w:rFonts w:ascii="Palatino Linotype" w:eastAsia="Palatino Linotype" w:hAnsi="Palatino Linotype" w:cs="Palatino Linotype"/>
        </w:rPr>
      </w:pPr>
    </w:p>
    <w:p w:rsidR="00467D97" w:rsidRDefault="0019616D">
      <w:pP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Luego entonces, no es necesario que el ciudadano acceda a dicho dato personal, ya que actualiza la fracción I, del artículo 143 de la Ley de Transparencia y Acceso a la Información Pública del Estado de México y Municipios.</w:t>
      </w:r>
    </w:p>
    <w:p w:rsidR="00467D97" w:rsidRDefault="00467D97">
      <w:pPr>
        <w:spacing w:after="0" w:line="360" w:lineRule="auto"/>
        <w:jc w:val="both"/>
        <w:rPr>
          <w:rFonts w:ascii="Palatino Linotype" w:eastAsia="Palatino Linotype" w:hAnsi="Palatino Linotype" w:cs="Palatino Linotype"/>
        </w:rPr>
      </w:pPr>
    </w:p>
    <w:p w:rsidR="00467D97" w:rsidRDefault="0019616D">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Pr>
          <w:rFonts w:ascii="Palatino Linotype" w:eastAsia="Palatino Linotype" w:hAnsi="Palatino Linotype" w:cs="Palatino Linotype"/>
          <w:b/>
          <w:bCs/>
        </w:rPr>
        <w:t>Fotografías de los servidores p</w:t>
      </w:r>
      <w:r>
        <w:rPr>
          <w:rFonts w:ascii="Palatino Linotype" w:eastAsia="Palatino Linotype" w:hAnsi="Palatino Linotype" w:cs="Palatino Linotype"/>
          <w:b/>
          <w:bCs/>
        </w:rPr>
        <w:t>úblicos.</w:t>
      </w:r>
    </w:p>
    <w:p w:rsidR="00467D97" w:rsidRDefault="00467D9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bCs/>
        </w:rPr>
      </w:pPr>
    </w:p>
    <w:p w:rsidR="00467D97" w:rsidRDefault="001961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las fotografías, es preciso señalar que estas dan cuenta de las características físicas de los servidores públicos; por lo que, no debe perderse de vista que la imagen personal es la apariencia física, la cual puede ser captada </w:t>
      </w:r>
      <w:r>
        <w:rPr>
          <w:rFonts w:ascii="Palatino Linotype" w:eastAsia="Palatino Linotype" w:hAnsi="Palatino Linotype" w:cs="Palatino Linotype"/>
        </w:rPr>
        <w:t>en dibujo, pintura, escultura, fotografía, y video; la imagen así captada puede ser reproducida, publicada y divulgada por diversos medios, desde volantes impresos de la forma más rudimentaria, hasta filmaciones y fotografías transmitidas por televisión ci</w:t>
      </w:r>
      <w:r>
        <w:rPr>
          <w:rFonts w:ascii="Palatino Linotype" w:eastAsia="Palatino Linotype" w:hAnsi="Palatino Linotype" w:cs="Palatino Linotype"/>
        </w:rPr>
        <w:t>ne, video, correo electrónico o Internet.</w:t>
      </w:r>
    </w:p>
    <w:p w:rsidR="00467D97" w:rsidRDefault="00467D9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w:t>
      </w:r>
      <w:r>
        <w:rPr>
          <w:rFonts w:ascii="Palatino Linotype" w:eastAsia="Palatino Linotype" w:hAnsi="Palatino Linotype" w:cs="Palatino Linotype"/>
        </w:rPr>
        <w:t xml:space="preserve">omo sujeto individual; lo que en el presente caso, acreditaría e identificaría a una persona como servidor público, por lo que es posible advertir que existe cierto interés público, cuando la fotografía obra en documentos de servidores públicos vinculados </w:t>
      </w:r>
      <w:r>
        <w:rPr>
          <w:rFonts w:ascii="Palatino Linotype" w:eastAsia="Palatino Linotype" w:hAnsi="Palatino Linotype" w:cs="Palatino Linotype"/>
        </w:rPr>
        <w:t>con el cumplimiento de disposiciones legales.</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w:t>
      </w:r>
      <w:r>
        <w:rPr>
          <w:rFonts w:ascii="Palatino Linotype" w:eastAsia="Palatino Linotype" w:hAnsi="Palatino Linotype" w:cs="Palatino Linotype"/>
        </w:rPr>
        <w:t xml:space="preserve"> documentos con los cuales se rinde cuentas a la ciudadanía, por ejemplo cuando se cubre el perfil de puesto; además cuando se brinda servicios a la ciudadanía, es de relevancia conocer e identificar a todos sus trabajadores, no importa el nivel o rango (c</w:t>
      </w:r>
      <w:r>
        <w:rPr>
          <w:rFonts w:ascii="Palatino Linotype" w:eastAsia="Palatino Linotype" w:hAnsi="Palatino Linotype" w:cs="Palatino Linotype"/>
        </w:rPr>
        <w:t>on excepción del personal operativo en materia de seguridad, respecto del cual el Pleno de este Instituto ya se ha pronunciado en el sentido de que la información que los haga identificados o identificables debe clasificarse como reservada).</w:t>
      </w: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sentid</w:t>
      </w:r>
      <w:r>
        <w:rPr>
          <w:rFonts w:ascii="Palatino Linotype" w:eastAsia="Palatino Linotype" w:hAnsi="Palatino Linotype" w:cs="Palatino Linotype"/>
        </w:rPr>
        <w:t xml:space="preserve">o, resultan aplicables por analogía, los Criterios 15/17 y 1/13 del Instituto Nacional de Transparencia y Acceso a la Información Pública y Protección de Datos Personales, en los cuales se esgrimen argumentos, que, si bien no refieren de manera específica </w:t>
      </w:r>
      <w:r>
        <w:rPr>
          <w:rFonts w:ascii="Palatino Linotype" w:eastAsia="Palatino Linotype" w:hAnsi="Palatino Linotype" w:cs="Palatino Linotype"/>
        </w:rPr>
        <w:t>a fotografías de servidores públicos, sí establecen un criterio para que este dato personal pueda ser considerado como público, cuando se pretende acreditar que una persona es servidor público.</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Debe tenerse presente que el actuar de los servidores público</w:t>
      </w:r>
      <w:r>
        <w:rPr>
          <w:rFonts w:ascii="Palatino Linotype" w:eastAsia="Palatino Linotype" w:hAnsi="Palatino Linotype" w:cs="Palatino Linotype"/>
        </w:rPr>
        <w:t xml:space="preserve">s incide de manera específica en los derechos de los particulares, pues el acto de un servidor público en ejercicio de sus funciones, de manera directa genera derechos y obligaciones pues se considera un acto administrativo o acto de autoridad, por lo que </w:t>
      </w:r>
      <w:r>
        <w:rPr>
          <w:rFonts w:ascii="Palatino Linotype" w:eastAsia="Palatino Linotype" w:hAnsi="Palatino Linotype" w:cs="Palatino Linotype"/>
        </w:rPr>
        <w:t>es primordial, que estos trabajadores se identifiquen ante la ciudadanía, por lo que otorgar acceso a los documentos que obran en los archivos de los sujetos obligados y que además están directamente relacionados con el cumplimiento de disposiciones normat</w:t>
      </w:r>
      <w:r>
        <w:rPr>
          <w:rFonts w:ascii="Palatino Linotype" w:eastAsia="Palatino Linotype" w:hAnsi="Palatino Linotype" w:cs="Palatino Linotype"/>
        </w:rPr>
        <w:t xml:space="preserve">ivas o el ejercicio de funciones revisten un interés público.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w:t>
      </w:r>
      <w:r>
        <w:rPr>
          <w:rFonts w:ascii="Palatino Linotype" w:eastAsia="Palatino Linotype" w:hAnsi="Palatino Linotype" w:cs="Palatino Linotype"/>
        </w:rPr>
        <w:t xml:space="preserve"> deben ser consideradas un dato personal, que no puede ser clasificado como confidencial, pues en este caso, es superado por el interés público de conocer si en realidad, la persona que se ostenta en carácter de servidor público, se encuentra en ese encarg</w:t>
      </w:r>
      <w:r>
        <w:rPr>
          <w:rFonts w:ascii="Palatino Linotype" w:eastAsia="Palatino Linotype" w:hAnsi="Palatino Linotype" w:cs="Palatino Linotype"/>
        </w:rPr>
        <w:t>o, si realiza las funciones o si cumple con los requisitos legales; sin que se considere como factor diferenciador para determinar la publicidad o clasificación el cargo o nivel jerárquico en el que se desempeñe el servidor público.</w:t>
      </w: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acuerdo con el argum</w:t>
      </w:r>
      <w:r>
        <w:rPr>
          <w:rFonts w:ascii="Palatino Linotype" w:eastAsia="Palatino Linotype" w:hAnsi="Palatino Linotype" w:cs="Palatino Linotype"/>
        </w:rPr>
        <w:t>ento planteado, la determinación de esta resolución deja sin efectos el criterio adoptado anteriormente por el Pleno de este Instituto, con número 03/2019, en el que solo se consideraban como públicas las fotografías de mandos medios y/o superiores.</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w:t>
      </w:r>
      <w:r>
        <w:rPr>
          <w:rFonts w:ascii="Palatino Linotype" w:eastAsia="Palatino Linotype" w:hAnsi="Palatino Linotype" w:cs="Palatino Linotype"/>
        </w:rPr>
        <w:t>rme a lo anterior, las fotografías de servidores públicos sin importar el nivel o rango guardan la naturaleza de públicas (con excepción del personal operativo en materia de seguridad) y no procede su clasificación, en términos del artículo 143, fracción I</w:t>
      </w:r>
      <w:r>
        <w:rPr>
          <w:rFonts w:ascii="Palatino Linotype" w:eastAsia="Palatino Linotype" w:hAnsi="Palatino Linotype" w:cs="Palatino Linotype"/>
        </w:rPr>
        <w:t xml:space="preserve">, de la Ley de Transparencia y Acceso a la Información Pública del Estado de México y Municipios, por lo que en la versión pública que se ordena, no podrá clasificarse esa información. </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derivado de la información que se ordena entregar exis</w:t>
      </w:r>
      <w:r>
        <w:rPr>
          <w:rFonts w:ascii="Palatino Linotype" w:eastAsia="Palatino Linotype" w:hAnsi="Palatino Linotype" w:cs="Palatino Linotype"/>
        </w:rPr>
        <w:t xml:space="preserve">te información de la </w:t>
      </w:r>
      <w:r>
        <w:rPr>
          <w:rFonts w:ascii="Palatino Linotype" w:eastAsia="Palatino Linotype" w:hAnsi="Palatino Linotype" w:cs="Palatino Linotype"/>
          <w:b/>
          <w:bCs/>
        </w:rPr>
        <w:t>Comisaria de Seguridad Pública Municipal</w:t>
      </w:r>
      <w:r>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w:t>
      </w:r>
      <w:r>
        <w:rPr>
          <w:rFonts w:ascii="Palatino Linotype" w:eastAsia="Palatino Linotype" w:hAnsi="Palatino Linotype" w:cs="Palatino Linotype"/>
        </w:rPr>
        <w:t xml:space="preserve"> de los Estados Unidos Mexicanos, de las cuales comprende la prevención de los delitos, investigación y persecución para hacerla efectiva, lo cual permite a esta Ponencia proteger los datos de los servidores públicos que integran dicha Dirección, por lo qu</w:t>
      </w:r>
      <w:r>
        <w:rPr>
          <w:rFonts w:ascii="Palatino Linotype" w:eastAsia="Palatino Linotype" w:hAnsi="Palatino Linotype" w:cs="Palatino Linotype"/>
        </w:rPr>
        <w:t xml:space="preserve">e deberá testarse de igual manera sólo el nombre de los servidores públicos de la Policía Municipal </w:t>
      </w:r>
      <w:r>
        <w:rPr>
          <w:rFonts w:ascii="Palatino Linotype" w:eastAsia="Palatino Linotype" w:hAnsi="Palatino Linotype" w:cs="Palatino Linotype"/>
          <w:b/>
          <w:bCs/>
        </w:rPr>
        <w:t>que desempeñen funciones operativas</w:t>
      </w:r>
      <w:r>
        <w:rPr>
          <w:rFonts w:ascii="Palatino Linotype" w:eastAsia="Palatino Linotype" w:hAnsi="Palatino Linotype" w:cs="Palatino Linotype"/>
        </w:rPr>
        <w:t>.</w:t>
      </w:r>
    </w:p>
    <w:p w:rsidR="00467D97" w:rsidRDefault="00467D97">
      <w:pPr>
        <w:pBdr>
          <w:top w:val="nil"/>
          <w:left w:val="nil"/>
          <w:bottom w:val="nil"/>
          <w:right w:val="nil"/>
          <w:between w:val="nil"/>
        </w:pBd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la información </w:t>
      </w:r>
      <w:r>
        <w:rPr>
          <w:rFonts w:ascii="Palatino Linotype" w:eastAsia="Palatino Linotype" w:hAnsi="Palatino Linotype" w:cs="Palatino Linotype"/>
          <w:b/>
          <w:bCs/>
        </w:rPr>
        <w:t>de los elementos que realizan funciones operativas, entre ellos su nombre debe ser protegido</w:t>
      </w:r>
      <w:r>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w:t>
      </w:r>
      <w:r>
        <w:rPr>
          <w:rFonts w:ascii="Palatino Linotype" w:eastAsia="Palatino Linotype" w:hAnsi="Palatino Linotype" w:cs="Palatino Linotype"/>
        </w:rPr>
        <w:t>ciales o que realizan actividades operativas en materia de seguridad pública, se encuentran en un régimen de excepción a diferencia de los servidores públicos con funciones administrativas, ello obedece a que el sólo ejercicio de las funciones que tienen e</w:t>
      </w:r>
      <w:r>
        <w:rPr>
          <w:rFonts w:ascii="Palatino Linotype" w:eastAsia="Palatino Linotype" w:hAnsi="Palatino Linotype" w:cs="Palatino Linotype"/>
        </w:rPr>
        <w:t>ncomendadas lleva implícito el riesgo a su integridad, toda vez que son responsables de procurar el orden, la estabilidad y la defensa de la sociedad a la que pertenecen, lo que se traduce en la prevención de delitos y combate a los delincuentes.</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Es impor</w:t>
      </w:r>
      <w:r>
        <w:rPr>
          <w:rFonts w:ascii="Palatino Linotype" w:eastAsia="Palatino Linotype" w:hAnsi="Palatino Linotype" w:cs="Palatino Linotype"/>
        </w:rPr>
        <w:t>tante mencionar que la causal de reserva antes señalada, puede ubicarse en los supuestos previstos por los artículos 140 fracción IV de la Ley de Transparencia y  Acceso a la Información Pública del Estado de México y Municipios, que a su vez se vincula co</w:t>
      </w:r>
      <w:r>
        <w:rPr>
          <w:rFonts w:ascii="Palatino Linotype" w:eastAsia="Palatino Linotype" w:hAnsi="Palatino Linotype" w:cs="Palatino Linotype"/>
        </w:rPr>
        <w:t>n la diversa del artículo 113 fracción V de la Ley General de Transparencia y Acceso a la Información Pública, así como los requisitos previstos por los numerales Vigésimo tercero y Trigésimo tercero, de los Lineamientos generales en materia de clasificaci</w:t>
      </w:r>
      <w:r>
        <w:rPr>
          <w:rFonts w:ascii="Palatino Linotype" w:eastAsia="Palatino Linotype" w:hAnsi="Palatino Linotype" w:cs="Palatino Linotype"/>
        </w:rPr>
        <w:t>ón y desclasificación de la información, así como para la elaboración de versiones públicas, al aplicar la prueba de daño correspondiente.</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w:t>
      </w:r>
      <w:r>
        <w:rPr>
          <w:rFonts w:ascii="Palatino Linotype" w:eastAsia="Palatino Linotype" w:hAnsi="Palatino Linotype" w:cs="Palatino Linotype"/>
        </w:rPr>
        <w:t>ad pública, o bien, la consecución de la investigación de probables hechos delictivos y/o faltas administrativas; así como evitar que células delictivas neutralizar las acciones en materia de seguridad pública para la preservación del orden y la paz públic</w:t>
      </w:r>
      <w:r>
        <w:rPr>
          <w:rFonts w:ascii="Palatino Linotype" w:eastAsia="Palatino Linotype" w:hAnsi="Palatino Linotype" w:cs="Palatino Linotype"/>
        </w:rPr>
        <w:t>a, por lo que, no se trata de una medida desproporcional, ni excesiva.</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w:t>
      </w:r>
      <w:r>
        <w:rPr>
          <w:rFonts w:ascii="Palatino Linotype" w:eastAsia="Palatino Linotype" w:hAnsi="Palatino Linotype" w:cs="Palatino Linotype"/>
        </w:rPr>
        <w:t>dos en los lineamientos citados.</w:t>
      </w:r>
    </w:p>
    <w:p w:rsidR="00467D97" w:rsidRDefault="00467D97">
      <w:pPr>
        <w:spacing w:after="0" w:line="360" w:lineRule="auto"/>
      </w:pPr>
    </w:p>
    <w:p w:rsidR="00467D97" w:rsidRDefault="0019616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w:t>
      </w:r>
      <w:r>
        <w:rPr>
          <w:rFonts w:ascii="Palatino Linotype" w:eastAsia="Palatino Linotype" w:hAnsi="Palatino Linotype" w:cs="Palatino Linotype"/>
        </w:rPr>
        <w:t xml:space="preserve">o de acceso a la información pública de los particulares; también lo es que debe cuidar la protección de datos personales y sobre todo cuando traen implícito que se ponga en riesgo la vida o integridad de una persona, resulta necesario traer por analogía, </w:t>
      </w:r>
      <w:r>
        <w:rPr>
          <w:rFonts w:ascii="Palatino Linotype" w:eastAsia="Palatino Linotype" w:hAnsi="Palatino Linotype" w:cs="Palatino Linotype"/>
        </w:rPr>
        <w:t>el criterio de interpretación histórico 06/09, emitido por el entonces Instituto Federal de Acceso a la Información y Protección de Datos ahora Instituto Nacional de Transparencia, Acceso a la Información y Protección de Datos Personales, INAI, que estable</w:t>
      </w:r>
      <w:r>
        <w:rPr>
          <w:rFonts w:ascii="Palatino Linotype" w:eastAsia="Palatino Linotype" w:hAnsi="Palatino Linotype" w:cs="Palatino Linotype"/>
        </w:rPr>
        <w:t>ce lo siguiente:</w:t>
      </w:r>
    </w:p>
    <w:p w:rsidR="00467D97" w:rsidRDefault="00467D97">
      <w:pPr>
        <w:pBdr>
          <w:top w:val="nil"/>
          <w:left w:val="nil"/>
          <w:bottom w:val="nil"/>
          <w:right w:val="nil"/>
          <w:between w:val="nil"/>
        </w:pBdr>
        <w:spacing w:after="0" w:line="360" w:lineRule="auto"/>
        <w:jc w:val="both"/>
      </w:pPr>
    </w:p>
    <w:p w:rsidR="00467D97" w:rsidRDefault="0019616D">
      <w:pPr>
        <w:pBdr>
          <w:top w:val="nil"/>
          <w:left w:val="nil"/>
          <w:bottom w:val="nil"/>
          <w:right w:val="nil"/>
          <w:between w:val="nil"/>
        </w:pBdr>
        <w:spacing w:after="0"/>
        <w:ind w:left="567" w:right="616"/>
        <w:jc w:val="both"/>
      </w:pPr>
      <w:r>
        <w:rPr>
          <w:rFonts w:ascii="Palatino Linotype" w:eastAsia="Palatino Linotype" w:hAnsi="Palatino Linotype" w:cs="Palatino Linotype"/>
          <w:b/>
          <w:bCs/>
          <w:i/>
          <w:iCs/>
        </w:rPr>
        <w:t>Nombres de servidores públicos dedicados a actividades en materia de seguridad, por excepción pueden considerarse información reservada.</w:t>
      </w:r>
      <w:r>
        <w:rPr>
          <w:rFonts w:ascii="Palatino Linotype" w:eastAsia="Palatino Linotype" w:hAnsi="Palatino Linotype" w:cs="Palatino Linotype"/>
          <w:i/>
          <w:iCs/>
        </w:rPr>
        <w:t xml:space="preserve"> De conformidad con el artículo 7, fracciones I y III de la Ley Federal de Transparencia y Acceso a la</w:t>
      </w:r>
      <w:r>
        <w:rPr>
          <w:rFonts w:ascii="Palatino Linotype" w:eastAsia="Palatino Linotype" w:hAnsi="Palatino Linotype" w:cs="Palatino Linotype"/>
          <w:i/>
          <w:iCs/>
        </w:rPr>
        <w:t xml:space="preserve"> Información Pública Gubernamental el nombre de los servidores públicos es información de naturaleza pública. No obstante lo anterior, el mismo precepto establece la posibilidad de que existan excepciones a las obligaciones ahí establecidas cuando la infor</w:t>
      </w:r>
      <w:r>
        <w:rPr>
          <w:rFonts w:ascii="Palatino Linotype" w:eastAsia="Palatino Linotype" w:hAnsi="Palatino Linotype" w:cs="Palatino Linotype"/>
          <w:i/>
          <w:iCs/>
        </w:rPr>
        <w:t>mación actualice algunos de los supuestos de reserva o confidencialidad previstos en los artículos 13, 14 y 18 de la citada ley. En este sentido, se debe señalar que existen funciones a cargo de servidores públicos, tendientes a garantizar de manera direct</w:t>
      </w:r>
      <w:r>
        <w:rPr>
          <w:rFonts w:ascii="Palatino Linotype" w:eastAsia="Palatino Linotype" w:hAnsi="Palatino Linotype" w:cs="Palatino Linotype"/>
          <w:i/>
          <w:iCs/>
        </w:rPr>
        <w:t xml:space="preserve">a la seguridad nacional y pública, a través de acciones preventivas y correctivas encaminadas a combatir a la delincuencia en sus diferentes manifestaciones. Así, es pertinente señalar que en el artículo 13, fracción I de la ley de referencia se establece </w:t>
      </w:r>
      <w:r>
        <w:rPr>
          <w:rFonts w:ascii="Palatino Linotype" w:eastAsia="Palatino Linotype" w:hAnsi="Palatino Linotype" w:cs="Palatino Linotype"/>
          <w:i/>
          <w:iCs/>
        </w:rPr>
        <w:t>que podrá clasificarse aquella información cuya difusión pueda comprometer la seguridad nacional y pública. En este orden de ideas, una de las formas en que la delincuencia puede llegar a poner en riesgo la seguridad del país es precisamente anulando, impi</w:t>
      </w:r>
      <w:r>
        <w:rPr>
          <w:rFonts w:ascii="Palatino Linotype" w:eastAsia="Palatino Linotype" w:hAnsi="Palatino Linotype" w:cs="Palatino Linotype"/>
          <w:i/>
          <w:iCs/>
        </w:rPr>
        <w:t>diendo u obstaculizando la actuación de los servidores públicos que realizan funciones de carácter operativo, mediante el conocimiento de dicha situación, por lo que la reserva de la relación de los nombres y las funciones que desempeñan los servidores púb</w:t>
      </w:r>
      <w:r>
        <w:rPr>
          <w:rFonts w:ascii="Palatino Linotype" w:eastAsia="Palatino Linotype" w:hAnsi="Palatino Linotype" w:cs="Palatino Linotype"/>
          <w:i/>
          <w:iCs/>
        </w:rPr>
        <w:t>licos que prestan sus servicios en áreas de seguridad nacional o pública, puede llegar a constituirse en un componente fundamental en el esfuerzo que realiza el Estado Mexicano para garantizar la seguridad del país en sus diferentes vertientes.</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De dicho c</w:t>
      </w:r>
      <w:r>
        <w:rPr>
          <w:rFonts w:ascii="Palatino Linotype" w:eastAsia="Palatino Linotype" w:hAnsi="Palatino Linotype" w:cs="Palatino Linotype"/>
        </w:rPr>
        <w:t>riterio, se desprende que existen funciones a cargo de servidores públicos, tendentes a garantizar de manera directa la seguridad pública, a través de acciones preventivas y correctivas, encaminadas a combatir a la delincuencia en sus diferentes manifestac</w:t>
      </w:r>
      <w:r>
        <w:rPr>
          <w:rFonts w:ascii="Palatino Linotype" w:eastAsia="Palatino Linotype" w:hAnsi="Palatino Linotype" w:cs="Palatino Linotype"/>
        </w:rPr>
        <w:t xml:space="preserve">iones; por lo que, una forma en que la delincuencia puede llegar a poner en riesgo la seguridad del País, Estado y Municipio, anulando, impidiendo u obstaculizando la actuación de los servidores públicos que realizan </w:t>
      </w:r>
      <w:r>
        <w:rPr>
          <w:rFonts w:ascii="Palatino Linotype" w:eastAsia="Palatino Linotype" w:hAnsi="Palatino Linotype" w:cs="Palatino Linotype"/>
          <w:b/>
          <w:bCs/>
        </w:rPr>
        <w:t>funciones de carácter operativo.</w:t>
      </w:r>
    </w:p>
    <w:p w:rsidR="00467D97" w:rsidRDefault="00467D97">
      <w:pPr>
        <w:spacing w:after="0" w:line="360" w:lineRule="auto"/>
        <w:rPr>
          <w:rFonts w:ascii="Palatino Linotype" w:eastAsia="Palatino Linotype" w:hAnsi="Palatino Linotype" w:cs="Palatino Linotype"/>
        </w:rPr>
      </w:pPr>
    </w:p>
    <w:p w:rsidR="00467D97" w:rsidRDefault="0019616D">
      <w:pPr>
        <w:pBdr>
          <w:top w:val="nil"/>
          <w:left w:val="nil"/>
          <w:bottom w:val="nil"/>
          <w:right w:val="nil"/>
          <w:between w:val="nil"/>
        </w:pBdr>
        <w:spacing w:after="0" w:line="360" w:lineRule="auto"/>
        <w:jc w:val="both"/>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467D97" w:rsidRDefault="00467D97">
      <w:pPr>
        <w:spacing w:after="0" w:line="360" w:lineRule="auto"/>
      </w:pPr>
    </w:p>
    <w:p w:rsidR="00467D97" w:rsidRDefault="0019616D">
      <w:pPr>
        <w:pBdr>
          <w:top w:val="nil"/>
          <w:left w:val="nil"/>
          <w:bottom w:val="nil"/>
          <w:right w:val="nil"/>
          <w:between w:val="nil"/>
        </w:pBdr>
        <w:spacing w:after="0"/>
        <w:ind w:left="567" w:right="616"/>
        <w:jc w:val="both"/>
      </w:pPr>
      <w:r>
        <w:rPr>
          <w:rFonts w:ascii="Palatino Linotype" w:eastAsia="Palatino Linotype" w:hAnsi="Palatino Linotype" w:cs="Palatino Linotype"/>
          <w:b/>
          <w:bCs/>
          <w:i/>
          <w:iCs/>
        </w:rPr>
        <w:t>DERECHO A LA INFORMACIÓN. SU EJERCICIO SE ENCUENTRA LIMITADO TANTO POR LOS INTERESES NACIONALES Y DE LA SOC</w:t>
      </w:r>
      <w:r>
        <w:rPr>
          <w:rFonts w:ascii="Palatino Linotype" w:eastAsia="Palatino Linotype" w:hAnsi="Palatino Linotype" w:cs="Palatino Linotype"/>
          <w:b/>
          <w:bCs/>
          <w:i/>
          <w:iCs/>
        </w:rPr>
        <w:t xml:space="preserve">IEDAD, COMO POR LOS DERECHOS DE TERCEROS. </w:t>
      </w:r>
      <w:r>
        <w:rPr>
          <w:rFonts w:ascii="Palatino Linotype" w:eastAsia="Palatino Linotype" w:hAnsi="Palatino Linotype" w:cs="Palatino Linotype"/>
          <w:i/>
          <w:iCs/>
        </w:rPr>
        <w:t>El derecho a la información consagrado en la última parte del artículo 6o. de la Constitución Federal no es absoluto, sino que, como toda garantía, se halla sujeto a limitaciones o excepciones que se sustentan, fun</w:t>
      </w:r>
      <w:r>
        <w:rPr>
          <w:rFonts w:ascii="Palatino Linotype" w:eastAsia="Palatino Linotype" w:hAnsi="Palatino Linotype" w:cs="Palatino Linotype"/>
          <w:i/>
          <w:iCs/>
        </w:rPr>
        <w:t>damentalmente, en la protección de la seguridad nacional y en el respeto tanto a los intereses de la sociedad como a los derechos de los gobernados, limitaciones que, incluso, han dado origen a la figura jurídica del secreto de información que se conoce en</w:t>
      </w:r>
      <w:r>
        <w:rPr>
          <w:rFonts w:ascii="Palatino Linotype" w:eastAsia="Palatino Linotype" w:hAnsi="Palatino Linotype" w:cs="Palatino Linotype"/>
          <w:i/>
          <w:iCs/>
        </w:rPr>
        <w:t xml:space="preserve"> la doctrina como "reserva de información" o "secreto burocrático". En estas condiciones, al encontrarse obligado el Estado, como sujeto pasivo de la citada garantía, a velar por dichos intereses, con apego a las normas constitucionales y legales, el menci</w:t>
      </w:r>
      <w:r>
        <w:rPr>
          <w:rFonts w:ascii="Palatino Linotype" w:eastAsia="Palatino Linotype" w:hAnsi="Palatino Linotype" w:cs="Palatino Linotype"/>
          <w:i/>
          <w:iCs/>
        </w:rPr>
        <w:t>onado derecho no puede ser garantizado indiscriminadamente, sino que el respeto a su ejercicio encuentra excepciones que lo regulan y a su vez lo garantizan, en atención a la materia a que se refiera; así, en cuanto a la seguridad nacional, se tienen norma</w:t>
      </w:r>
      <w:r>
        <w:rPr>
          <w:rFonts w:ascii="Palatino Linotype" w:eastAsia="Palatino Linotype" w:hAnsi="Palatino Linotype" w:cs="Palatino Linotype"/>
          <w:i/>
          <w:iCs/>
        </w:rPr>
        <w:t xml:space="preserve">s que, por un lado, </w:t>
      </w:r>
      <w:r>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iCs/>
        </w:rPr>
        <w:t xml:space="preserve"> por lo que hace al interés social, </w:t>
      </w:r>
      <w:r>
        <w:rPr>
          <w:rFonts w:ascii="Palatino Linotype" w:eastAsia="Palatino Linotype" w:hAnsi="Palatino Linotype" w:cs="Palatino Linotype"/>
          <w:i/>
          <w:iCs/>
        </w:rPr>
        <w:t xml:space="preserve">se cuenta con normas que tienden a proteger la averiguación de los delitos, la salud y la moral públicas, </w:t>
      </w:r>
      <w:r>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p>
    <w:p w:rsidR="00467D97" w:rsidRDefault="00467D97">
      <w:pPr>
        <w:spacing w:after="0"/>
        <w:ind w:left="567" w:right="616"/>
      </w:pPr>
    </w:p>
    <w:p w:rsidR="00467D97" w:rsidRDefault="0019616D">
      <w:pPr>
        <w:pBdr>
          <w:top w:val="nil"/>
          <w:left w:val="nil"/>
          <w:bottom w:val="nil"/>
          <w:right w:val="nil"/>
          <w:between w:val="nil"/>
        </w:pBdr>
        <w:spacing w:after="0"/>
        <w:ind w:left="567" w:right="616"/>
        <w:jc w:val="both"/>
      </w:pPr>
      <w:r>
        <w:rPr>
          <w:rFonts w:ascii="Palatino Linotype" w:eastAsia="Palatino Linotype" w:hAnsi="Palatino Linotype" w:cs="Palatino Linotype"/>
          <w:b/>
          <w:bCs/>
          <w:i/>
          <w:iCs/>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iCs/>
        </w:rPr>
        <w:t xml:space="preserve"> El Tribunal en Pleno de la Suprema Corte de Justicia de la Nación en la tesis P. LX/2000</w:t>
      </w:r>
      <w:r>
        <w:rPr>
          <w:rFonts w:ascii="Palatino Linotype" w:eastAsia="Palatino Linotype" w:hAnsi="Palatino Linotype" w:cs="Palatino Linotype"/>
          <w:i/>
          <w:iCs/>
        </w:rPr>
        <w:t xml:space="preserve"> de rubro: "DERECHO A LA INFORMACIÓN. SU EJERCICIO SE ENCUENTRA LIMITADO TANTO POR LOS INTERESES NACIONALES Y DE LA SOCIEDAD, COMO POR LOS DERECHOS DE TERCEROS.", publicada en el Semanario Judicial de la Federación y su Gaceta, Novena Época, Tomo XI, abril</w:t>
      </w:r>
      <w:r>
        <w:rPr>
          <w:rFonts w:ascii="Palatino Linotype" w:eastAsia="Palatino Linotype" w:hAnsi="Palatino Linotype" w:cs="Palatino Linotype"/>
          <w:i/>
          <w:iCs/>
        </w:rPr>
        <w:t xml:space="preserve"> de 2000, página 74, estableció que el ejercicio del derecho a la información no es irrestricto, sino que tiene límites que se sustentan en la protección de la seguridad nacional y en el respeto a los intereses de la sociedad y a los derechos de los gobern</w:t>
      </w:r>
      <w:r>
        <w:rPr>
          <w:rFonts w:ascii="Palatino Linotype" w:eastAsia="Palatino Linotype" w:hAnsi="Palatino Linotype" w:cs="Palatino Linotype"/>
          <w:i/>
          <w:iCs/>
        </w:rPr>
        <w:t>ados, en atención a la materia de que se trate. En ese sentido, el citado precepto, al remitir a diversas normas ordinarias que establezcan restricciones a la información, no viola la garantía de acceso a la información contenida en el artículo 6o. de la C</w:t>
      </w:r>
      <w:r>
        <w:rPr>
          <w:rFonts w:ascii="Palatino Linotype" w:eastAsia="Palatino Linotype" w:hAnsi="Palatino Linotype" w:cs="Palatino Linotype"/>
          <w:i/>
          <w:iCs/>
        </w:rPr>
        <w:t xml:space="preserve">onstitución Política de los Estados Unidos Mexicanos, porque es jurídicamente adecuado que en las leyes reguladoras de cada materia, </w:t>
      </w:r>
      <w:r>
        <w:rPr>
          <w:rFonts w:ascii="Palatino Linotype" w:eastAsia="Palatino Linotype" w:hAnsi="Palatino Linotype" w:cs="Palatino Linotype"/>
          <w:b/>
          <w:bCs/>
          <w:i/>
          <w:iCs/>
        </w:rPr>
        <w:t>el legislador federal o local establezca las restricciones correspondientes y clasifique a determinados datos como confiden</w:t>
      </w:r>
      <w:r>
        <w:rPr>
          <w:rFonts w:ascii="Palatino Linotype" w:eastAsia="Palatino Linotype" w:hAnsi="Palatino Linotype" w:cs="Palatino Linotype"/>
          <w:b/>
          <w:bCs/>
          <w:i/>
          <w:iCs/>
        </w:rPr>
        <w:t>ciales o reservados, con la condición de que tales límites atiendan a intereses públicos o de los particulares y encuentren justificación racional en función del bien jurídico a proteger, es decir, que exista proporcionalidad y congruencia entre el derecho</w:t>
      </w:r>
      <w:r>
        <w:rPr>
          <w:rFonts w:ascii="Palatino Linotype" w:eastAsia="Palatino Linotype" w:hAnsi="Palatino Linotype" w:cs="Palatino Linotype"/>
          <w:b/>
          <w:bCs/>
          <w:i/>
          <w:iCs/>
        </w:rPr>
        <w:t xml:space="preserve"> fundamental de que se trata y la razón que motive la restricción legislativa correspondiente</w:t>
      </w:r>
      <w:r>
        <w:rPr>
          <w:rFonts w:ascii="Palatino Linotype" w:eastAsia="Palatino Linotype" w:hAnsi="Palatino Linotype" w:cs="Palatino Linotype"/>
          <w:i/>
          <w:iCs/>
        </w:rPr>
        <w:t>, la cual debe ser adecuada y necesaria para alcanzar el fin perseguido, de manera que las ventajas obtenidas con la reserva compensen el sacrificio que ésta impli</w:t>
      </w:r>
      <w:r>
        <w:rPr>
          <w:rFonts w:ascii="Palatino Linotype" w:eastAsia="Palatino Linotype" w:hAnsi="Palatino Linotype" w:cs="Palatino Linotype"/>
          <w:i/>
          <w:iCs/>
        </w:rPr>
        <w:t>que para los titulares de la garantía individual mencionada o para la sociedad en general.</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con lo que señalan los artículos 3 fracciones IX, XX, XXI y XLV, 91, 132 fracciones II y III, y 143 de la Ley de Transparencia y Acceso </w:t>
      </w:r>
      <w:r>
        <w:rPr>
          <w:rFonts w:ascii="Palatino Linotype" w:eastAsia="Palatino Linotype" w:hAnsi="Palatino Linotype" w:cs="Palatino Linotype"/>
        </w:rPr>
        <w:t>a la Información Pública del Estado de México y Municipios que establecen:</w:t>
      </w:r>
    </w:p>
    <w:p w:rsidR="00467D97" w:rsidRDefault="00467D97">
      <w:pPr>
        <w:spacing w:after="0" w:line="360" w:lineRule="auto"/>
        <w:ind w:right="50"/>
        <w:jc w:val="both"/>
        <w:rPr>
          <w:rFonts w:ascii="Palatino Linotype" w:eastAsia="Palatino Linotype" w:hAnsi="Palatino Linotype" w:cs="Palatino Linotype"/>
        </w:rPr>
      </w:pP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3.</w:t>
      </w:r>
      <w:r>
        <w:rPr>
          <w:rFonts w:ascii="Palatino Linotype" w:eastAsia="Palatino Linotype" w:hAnsi="Palatino Linotype" w:cs="Palatino Linotype"/>
          <w:i/>
          <w:iCs/>
        </w:rPr>
        <w:t xml:space="preserve"> Para los efectos de la presente Ley se entenderá por:</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IX. Datos personales: La información concerniente a una persona, identificada o identificable según lo dispuesto por la Ley de Protección de Datos Personales del Estado de México;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XX. Información clasificada: Aquella considerada por la presente Ley como r</w:t>
      </w:r>
      <w:r>
        <w:rPr>
          <w:rFonts w:ascii="Palatino Linotype" w:eastAsia="Palatino Linotype" w:hAnsi="Palatino Linotype" w:cs="Palatino Linotype"/>
          <w:i/>
          <w:iCs/>
        </w:rPr>
        <w:t>eservada o confidencial;</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XXI. Información confidencial: Se considera como información confidencial los secretos bancario, fiduciario, industrial, comercial, fiscal, bursátil y postal, cuya titularidad corresponda a particulares, sujetos de derecho internac</w:t>
      </w:r>
      <w:r>
        <w:rPr>
          <w:rFonts w:ascii="Palatino Linotype" w:eastAsia="Palatino Linotype" w:hAnsi="Palatino Linotype" w:cs="Palatino Linotype"/>
          <w:i/>
          <w:iCs/>
        </w:rPr>
        <w:t>ional o a sujetos obligados cuando no involucren el ejercicio de recursos públicos;</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XLV. Versión pública: Documento en el que se elimine, suprime o borra la información clasificada como reservada o confidencial para permitir su acceso.</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91.</w:t>
      </w:r>
      <w:r>
        <w:rPr>
          <w:rFonts w:ascii="Palatino Linotype" w:eastAsia="Palatino Linotype" w:hAnsi="Palatino Linotype" w:cs="Palatino Linotype"/>
          <w:i/>
          <w:iCs/>
        </w:rPr>
        <w:t xml:space="preserve"> El </w:t>
      </w:r>
      <w:r>
        <w:rPr>
          <w:rFonts w:ascii="Palatino Linotype" w:eastAsia="Palatino Linotype" w:hAnsi="Palatino Linotype" w:cs="Palatino Linotype"/>
          <w:i/>
          <w:iCs/>
        </w:rPr>
        <w:t>acceso a la información pública será restringido excepcionalmente, cuando ésta sea clasificada como reservada o confidencial.</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132.</w:t>
      </w:r>
      <w:r>
        <w:rPr>
          <w:rFonts w:ascii="Palatino Linotype" w:eastAsia="Palatino Linotype" w:hAnsi="Palatino Linotype" w:cs="Palatino Linotype"/>
          <w:i/>
          <w:iCs/>
        </w:rPr>
        <w:t xml:space="preserve"> La clasificación de la información se llevará a cabo en el momento en que:</w:t>
      </w:r>
    </w:p>
    <w:p w:rsidR="00467D97" w:rsidRDefault="0019616D">
      <w:pPr>
        <w:tabs>
          <w:tab w:val="left" w:pos="1134"/>
        </w:tabs>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 Se reciba una solicitud de acceso a la</w:t>
      </w:r>
      <w:r>
        <w:rPr>
          <w:rFonts w:ascii="Palatino Linotype" w:eastAsia="Palatino Linotype" w:hAnsi="Palatino Linotype" w:cs="Palatino Linotype"/>
          <w:i/>
          <w:iCs/>
        </w:rPr>
        <w:t xml:space="preserve"> información;</w:t>
      </w:r>
    </w:p>
    <w:p w:rsidR="00467D97" w:rsidRDefault="0019616D">
      <w:pPr>
        <w:tabs>
          <w:tab w:val="left" w:pos="1134"/>
        </w:tabs>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 Se determine mediante resolución de autoridad competente; o</w:t>
      </w:r>
    </w:p>
    <w:p w:rsidR="00467D97" w:rsidRDefault="0019616D">
      <w:pPr>
        <w:tabs>
          <w:tab w:val="left" w:pos="1134"/>
        </w:tabs>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III. Se generen versiones públicas para dar cumplimiento a las obligaciones de transparencia previstas en esta Ley.</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143</w:t>
      </w:r>
      <w:r>
        <w:rPr>
          <w:rFonts w:ascii="Palatino Linotype" w:eastAsia="Palatino Linotype" w:hAnsi="Palatino Linotype" w:cs="Palatino Linotype"/>
          <w:i/>
          <w:iCs/>
        </w:rPr>
        <w:t>. Para los efectos de esta Ley se considera in</w:t>
      </w:r>
      <w:r>
        <w:rPr>
          <w:rFonts w:ascii="Palatino Linotype" w:eastAsia="Palatino Linotype" w:hAnsi="Palatino Linotype" w:cs="Palatino Linotype"/>
          <w:i/>
          <w:iCs/>
        </w:rPr>
        <w:t>formación confidencial, la clasificada como tal, de manera permanente, por su naturaleza, cuando:</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 Se refiera a la información privada y los datos personales concernientes a una persona física o jurídico colectiva identificada o identificable;</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 Los se</w:t>
      </w:r>
      <w:r>
        <w:rPr>
          <w:rFonts w:ascii="Palatino Linotype" w:eastAsia="Palatino Linotype" w:hAnsi="Palatino Linotype" w:cs="Palatino Linotype"/>
          <w:i/>
          <w:iCs/>
        </w:rPr>
        <w:t>cretos bancario, fiduciario, industrial, comercial, fiscal, bursátil y postal, cuya titularidad corresponda a particulares, sujetos de derecho internacional o a sujetos obligados cuando no involucren el ejercicio de recursos públicos; y</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III. La que presenten los particulares a los sujetos obligados, de conformidad con lo dispuesto por las leyes o los tratados internacionales.</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La información confidencial no estará sujeta a temporalidad alguna y sólo podrán tener acceso a ella los titulares</w:t>
      </w:r>
      <w:r>
        <w:rPr>
          <w:rFonts w:ascii="Palatino Linotype" w:eastAsia="Palatino Linotype" w:hAnsi="Palatino Linotype" w:cs="Palatino Linotype"/>
          <w:i/>
          <w:iCs/>
        </w:rPr>
        <w:t xml:space="preserve"> de la misma, sus representantes y los servidores públicos facultados para ello.</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No se considerará confidencial la información que se encuentre en los registros públicos o en fuentes de acceso público, ni tampoco la que sea considerada por la presente ley </w:t>
      </w:r>
      <w:r>
        <w:rPr>
          <w:rFonts w:ascii="Palatino Linotype" w:eastAsia="Palatino Linotype" w:hAnsi="Palatino Linotype" w:cs="Palatino Linotype"/>
          <w:i/>
          <w:iCs/>
        </w:rPr>
        <w:t>como información pública.”</w:t>
      </w:r>
    </w:p>
    <w:p w:rsidR="00467D97" w:rsidRDefault="00467D97">
      <w:pPr>
        <w:spacing w:after="0"/>
        <w:ind w:left="567" w:right="616"/>
        <w:jc w:val="both"/>
        <w:rPr>
          <w:rFonts w:ascii="Palatino Linotype" w:eastAsia="Palatino Linotype" w:hAnsi="Palatino Linotype" w:cs="Palatino Linotype"/>
          <w:i/>
          <w:i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w:t>
      </w:r>
      <w:r>
        <w:rPr>
          <w:rFonts w:ascii="Palatino Linotype" w:eastAsia="Palatino Linotype" w:hAnsi="Palatino Linotype" w:cs="Palatino Linotype"/>
        </w:rPr>
        <w:t xml:space="preserve"> Acceso a la Información Pública y Protección de Datos Personales, tienen por objeto establecer los criterios con base en los cuales los sujetos obligados clasificarán como reservada o confidencial la información que posean, desclasificarán y generarán, en</w:t>
      </w:r>
      <w:r>
        <w:rPr>
          <w:rFonts w:ascii="Palatino Linotype" w:eastAsia="Palatino Linotype" w:hAnsi="Palatino Linotype" w:cs="Palatino Linotype"/>
        </w:rPr>
        <w:t xml:space="preserve"> su caso, versiones públicas de expedientes o documentos que contengan partes o secciones clasificadas.</w:t>
      </w:r>
    </w:p>
    <w:p w:rsidR="00467D97" w:rsidRDefault="00467D97">
      <w:pPr>
        <w:spacing w:after="0"/>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es de destacar que los artículos Quincuagésimo, Quincuagésimo primero, Quincuagésimo segundo, de los Lineamientos Generales en Materia d</w:t>
      </w:r>
      <w:r>
        <w:rPr>
          <w:rFonts w:ascii="Palatino Linotype" w:eastAsia="Palatino Linotype" w:hAnsi="Palatino Linotype" w:cs="Palatino Linotype"/>
        </w:rPr>
        <w:t>e Clasificación y Desclasificación de la Información, así como para la Elaboración de Versiones Públicas señalan las formalidades que deberá llevar el acuerdo de clasificación que deberá emitir el Sujeto Obligado, siendo estas las siguientes: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Quincuagésimo</w:t>
      </w:r>
      <w:r>
        <w:rPr>
          <w:rFonts w:ascii="Palatino Linotype" w:eastAsia="Palatino Linotype" w:hAnsi="Palatino Linotype" w:cs="Palatino Linotype"/>
          <w:i/>
          <w:iCs/>
        </w:rPr>
        <w:t>. Los titulares de las áreas de los sujetos obligados podrán establecer sus propios modelos o formatos para la elaboración de versiones públicas de documentos o expedientes, siempre y cuando cumplan lo establecido en los presentes Lineamientos</w:t>
      </w:r>
      <w:r>
        <w:rPr>
          <w:rFonts w:ascii="Palatino Linotype" w:eastAsia="Palatino Linotype" w:hAnsi="Palatino Linotype" w:cs="Palatino Linotype"/>
          <w:i/>
          <w:iCs/>
        </w:rPr>
        <w:t xml:space="preserve">, así como en las correspondientes Leyes Generales.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Quincuagésimo primero.</w:t>
      </w:r>
      <w:r>
        <w:rPr>
          <w:rFonts w:ascii="Palatino Linotype" w:eastAsia="Palatino Linotype" w:hAnsi="Palatino Linotype" w:cs="Palatino Linotype"/>
          <w:i/>
          <w:iCs/>
        </w:rPr>
        <w:t xml:space="preserve"> Toda acta del Comité de Transparencia deberá contener: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El número de sesión y fecha;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El nombre del área que solicitó la clasificación de información;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III. La fundamentació</w:t>
      </w:r>
      <w:r>
        <w:rPr>
          <w:rFonts w:ascii="Palatino Linotype" w:eastAsia="Palatino Linotype" w:hAnsi="Palatino Linotype" w:cs="Palatino Linotype"/>
          <w:i/>
          <w:iCs/>
        </w:rPr>
        <w:t xml:space="preserve">n legal y motivación correspondiente;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La resolución o resoluciones aprobadas; y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 La rúbrica o firma digital de cada integrante del Comité de Transparencia.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Las resoluciones del Comité en las que se haya determinado confirmar o modificar la clasifi</w:t>
      </w:r>
      <w:r>
        <w:rPr>
          <w:rFonts w:ascii="Palatino Linotype" w:eastAsia="Palatino Linotype" w:hAnsi="Palatino Linotype" w:cs="Palatino Linotype"/>
          <w:i/>
          <w:iCs/>
        </w:rPr>
        <w:t xml:space="preserve">cación de información pública como reservada, deberán incluir, cuando menos: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 Los motivos y razonamientos que sustenten la confirmación o modificación de la prueba de daño;</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 Descripción de las partes o secciones reservadas, en caso de clasificación p</w:t>
      </w:r>
      <w:r>
        <w:rPr>
          <w:rFonts w:ascii="Palatino Linotype" w:eastAsia="Palatino Linotype" w:hAnsi="Palatino Linotype" w:cs="Palatino Linotype"/>
          <w:i/>
          <w:iCs/>
        </w:rPr>
        <w:t xml:space="preserve">arcial;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El periodo por el que mantendrá su clasificación y fecha de expiración; y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El nombre del titular y área encargada de realizar la versión pública del documento, en su caso.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En los casos en que se clasifique la información como reservada s</w:t>
      </w:r>
      <w:r>
        <w:rPr>
          <w:rFonts w:ascii="Palatino Linotype" w:eastAsia="Palatino Linotype" w:hAnsi="Palatino Linotype" w:cs="Palatino Linotype"/>
          <w:i/>
          <w:iCs/>
        </w:rPr>
        <w:t xml:space="preserve">iempre se entregará o anexará la prueba de daño con la respuesta al solicitante. </w:t>
      </w: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w:t>
      </w:r>
      <w:r>
        <w:rPr>
          <w:rFonts w:ascii="Palatino Linotype" w:eastAsia="Palatino Linotype" w:hAnsi="Palatino Linotype" w:cs="Palatino Linotype"/>
          <w:i/>
          <w:iCs/>
        </w:rPr>
        <w:t xml:space="preserve"> protegidos, de conformidad con el lineamiento trigésimo octavo.</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Quincuagésimo segundo.</w:t>
      </w:r>
      <w:r>
        <w:rPr>
          <w:rFonts w:ascii="Palatino Linotype" w:eastAsia="Palatino Linotype" w:hAnsi="Palatino Linotype" w:cs="Palatino Linotype"/>
          <w:i/>
          <w:iCs/>
        </w:rPr>
        <w:t xml:space="preserve"> Para la clasificación y elaboración de versiones públicas de documentos que contengan información clasificada como reservada o confidencial, las áreas de los sujetos ob</w:t>
      </w:r>
      <w:r>
        <w:rPr>
          <w:rFonts w:ascii="Palatino Linotype" w:eastAsia="Palatino Linotype" w:hAnsi="Palatino Linotype" w:cs="Palatino Linotype"/>
          <w:i/>
          <w:iCs/>
        </w:rPr>
        <w:t>ligados deberán tomar las medidas pertinentes tendientes a asegurar que el espacio utilizado para testar la información no podrá ser empleado para la sobreposición de contenido distinto al autorizado por el Comité.</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En el caso específico de la clasificación</w:t>
      </w:r>
      <w:r>
        <w:rPr>
          <w:rFonts w:ascii="Palatino Linotype" w:eastAsia="Palatino Linotype" w:hAnsi="Palatino Linotype" w:cs="Palatino Linotype"/>
          <w:i/>
          <w:iCs/>
        </w:rPr>
        <w:t xml:space="preserve"> y elaboración de versiones públicas de documentos que contengan información confidencial, las áreas de los sujetos obligados deberán: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 Fijar la fecha en que se elaboró la versión pública y la fecha en la cual el Comité de Transparencia confirmó dicha v</w:t>
      </w:r>
      <w:r>
        <w:rPr>
          <w:rFonts w:ascii="Palatino Linotype" w:eastAsia="Palatino Linotype" w:hAnsi="Palatino Linotype" w:cs="Palatino Linotype"/>
          <w:i/>
          <w:iCs/>
        </w:rPr>
        <w:t>ersión;</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 Señalar dentro del documento el tipo de información confidencial que fue testada en cada caso específico, de conformidad con el lineamiento trigésimo octavo; y</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III. Señalar las personas o instancias autorizadas a acceder a la información clasif</w:t>
      </w:r>
      <w:r>
        <w:rPr>
          <w:rFonts w:ascii="Palatino Linotype" w:eastAsia="Palatino Linotype" w:hAnsi="Palatino Linotype" w:cs="Palatino Linotype"/>
          <w:i/>
          <w:iCs/>
        </w:rPr>
        <w:t>icada.</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rsidR="00467D97" w:rsidRDefault="00467D97">
      <w:pPr>
        <w:spacing w:after="0" w:line="360" w:lineRule="auto"/>
        <w:jc w:val="both"/>
        <w:rPr>
          <w:rFonts w:ascii="Palatino Linotype" w:eastAsia="Palatino Linotype" w:hAnsi="Palatino Linotype" w:cs="Palatino Linotype"/>
        </w:rPr>
      </w:pPr>
    </w:p>
    <w:p w:rsidR="00467D97" w:rsidRDefault="0019616D">
      <w:pPr>
        <w:pBdr>
          <w:top w:val="nil"/>
          <w:left w:val="nil"/>
          <w:bottom w:val="nil"/>
          <w:right w:val="nil"/>
          <w:between w:val="nil"/>
        </w:pBd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Quincuagésimo cuarto.</w:t>
      </w:r>
      <w:r>
        <w:rPr>
          <w:rFonts w:ascii="Palatino Linotype" w:eastAsia="Palatino Linotype" w:hAnsi="Palatino Linotype" w:cs="Palatino Linotype"/>
          <w:i/>
          <w:iCs/>
        </w:rPr>
        <w:t xml:space="preserve"> Cuando el Comité de Transparencia confirme la clasificación de docum</w:t>
      </w:r>
      <w:r>
        <w:rPr>
          <w:rFonts w:ascii="Palatino Linotype" w:eastAsia="Palatino Linotype" w:hAnsi="Palatino Linotype" w:cs="Palatino Linotype"/>
          <w:i/>
          <w:iCs/>
        </w:rPr>
        <w:t>entos reservados y/o confidenciales, sea total o parcialmente; se deberá anexar al expediente la resolución que determinó la clasificación o, en su defecto, identificar en la carátula del expediente del cual formen parte, la fecha y sesión del Comité de Tr</w:t>
      </w:r>
      <w:r>
        <w:rPr>
          <w:rFonts w:ascii="Palatino Linotype" w:eastAsia="Palatino Linotype" w:hAnsi="Palatino Linotype" w:cs="Palatino Linotype"/>
          <w:i/>
          <w:iCs/>
        </w:rPr>
        <w:t xml:space="preserve">ansparencia en la que se confirmó dicha clasificación.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Quincuagésimo quinto.</w:t>
      </w:r>
      <w:r>
        <w:rPr>
          <w:rFonts w:ascii="Palatino Linotype" w:eastAsia="Palatino Linotype" w:hAnsi="Palatino Linotype" w:cs="Palatino Linotype"/>
          <w:i/>
          <w:iCs/>
        </w:rPr>
        <w:t xml:space="preserve"> Cada área del sujeto obligado podrá designar formalmente a una o más personas como responsables del testado, que sean encargadas de la adecuada elaboración o supervisión de las v</w:t>
      </w:r>
      <w:r>
        <w:rPr>
          <w:rFonts w:ascii="Palatino Linotype" w:eastAsia="Palatino Linotype" w:hAnsi="Palatino Linotype" w:cs="Palatino Linotype"/>
          <w:i/>
          <w:iCs/>
        </w:rPr>
        <w:t>ersiones públicas de los documentos o expedientes, verificando que cumplan con los requisitos señalados en las Leyes Generales, los presentes Lineamientos y demás normativa aplicable antes de su confirmación por el Comité de Transparencia.</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Quincuagésim</w:t>
      </w:r>
      <w:r>
        <w:rPr>
          <w:rFonts w:ascii="Palatino Linotype" w:eastAsia="Palatino Linotype" w:hAnsi="Palatino Linotype" w:cs="Palatino Linotype"/>
          <w:b/>
          <w:bCs/>
          <w:i/>
          <w:iCs/>
        </w:rPr>
        <w:t>o séptimo.</w:t>
      </w:r>
      <w:r>
        <w:rPr>
          <w:rFonts w:ascii="Palatino Linotype" w:eastAsia="Palatino Linotype" w:hAnsi="Palatino Linotype" w:cs="Palatino Linotype"/>
          <w:i/>
          <w:iCs/>
        </w:rPr>
        <w:t xml:space="preserve"> Se considera, en principio, como información pública y no podrá omitirse de las versiones públicas la siguiente: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 La relativa a las Obligaciones de Transparencia que contempla el Título V de la Ley General y las demás disposiciones legales ap</w:t>
      </w:r>
      <w:r>
        <w:rPr>
          <w:rFonts w:ascii="Palatino Linotype" w:eastAsia="Palatino Linotype" w:hAnsi="Palatino Linotype" w:cs="Palatino Linotype"/>
          <w:i/>
          <w:iCs/>
        </w:rPr>
        <w:t xml:space="preserve">licables;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II. El nombre de los integrantes de los sujetos obligados en los documentos, y sus firmas autógrafas o digitales, cuando sean utilizados en el ejercicio de las facultades conferidas para el desempeño del servicio público, y</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Lo ante</w:t>
      </w:r>
      <w:r>
        <w:rPr>
          <w:rFonts w:ascii="Palatino Linotype" w:eastAsia="Palatino Linotype" w:hAnsi="Palatino Linotype" w:cs="Palatino Linotype"/>
          <w:i/>
          <w:iCs/>
        </w:rPr>
        <w:t xml:space="preserve">rior, siempre y cuando no se acredite alguna causal de clasificación, prevista en las leyes o en los tratados internacionales suscritas por el Estado mexicano.  </w:t>
      </w:r>
    </w:p>
    <w:p w:rsidR="00467D97" w:rsidRDefault="0019616D">
      <w:pPr>
        <w:spacing w:after="0"/>
        <w:ind w:left="567" w:right="616"/>
        <w:jc w:val="both"/>
        <w:rPr>
          <w:rFonts w:ascii="Palatino Linotype" w:eastAsia="Palatino Linotype" w:hAnsi="Palatino Linotype" w:cs="Palatino Linotype"/>
          <w:i/>
          <w:iCs/>
        </w:rPr>
      </w:pPr>
      <w:r>
        <w:rPr>
          <w:rFonts w:ascii="Palatino Linotype" w:eastAsia="Palatino Linotype" w:hAnsi="Palatino Linotype" w:cs="Palatino Linotype"/>
          <w:i/>
          <w:iCs/>
        </w:rPr>
        <w:t>Quincuagésimo octavo. Los sujetos obligados garantizarán que los sistemas o medios empleados p</w:t>
      </w:r>
      <w:r>
        <w:rPr>
          <w:rFonts w:ascii="Palatino Linotype" w:eastAsia="Palatino Linotype" w:hAnsi="Palatino Linotype" w:cs="Palatino Linotype"/>
          <w:i/>
          <w:iCs/>
        </w:rPr>
        <w:t>ara eliminar la información en las versiones públicas sean irreversibles, de tal forma que no permitan su recuperación o la visualización de la misma.”</w:t>
      </w:r>
    </w:p>
    <w:p w:rsidR="00467D97" w:rsidRDefault="00467D97">
      <w:pPr>
        <w:spacing w:after="0" w:line="360" w:lineRule="auto"/>
        <w:ind w:left="567" w:right="616"/>
        <w:jc w:val="both"/>
        <w:rPr>
          <w:rFonts w:ascii="Palatino Linotype" w:eastAsia="Palatino Linotype" w:hAnsi="Palatino Linotype" w:cs="Palatino Linotype"/>
          <w:i/>
          <w:iCs/>
        </w:rPr>
      </w:pPr>
    </w:p>
    <w:p w:rsidR="00467D97" w:rsidRDefault="0019616D">
      <w:pPr>
        <w:spacing w:after="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Este Instituto advierte la información ordenada puede contener especificaciones técnicas de las patrull</w:t>
      </w:r>
      <w:r>
        <w:rPr>
          <w:rFonts w:ascii="Palatino Linotype" w:eastAsia="Palatino Linotype" w:hAnsi="Palatino Linotype" w:cs="Palatino Linotype"/>
        </w:rPr>
        <w:t>as, por lo que proporcionar las características o especificaciones de los equipos o armamento adquiridos o arrendados, revelaría la nueva tecnología, sistemas  y componentes, con los que cuenta la Dirección de Seguridad Pública para el combate a la delincu</w:t>
      </w:r>
      <w:r>
        <w:rPr>
          <w:rFonts w:ascii="Palatino Linotype" w:eastAsia="Palatino Linotype" w:hAnsi="Palatino Linotype" w:cs="Palatino Linotype"/>
        </w:rPr>
        <w:t xml:space="preserve">encia en el Municipio, pues al proporcionar información sobre el </w:t>
      </w:r>
      <w:r>
        <w:rPr>
          <w:rFonts w:ascii="Palatino Linotype" w:eastAsia="Palatino Linotype" w:hAnsi="Palatino Linotype" w:cs="Palatino Linotype"/>
          <w:b/>
          <w:bCs/>
        </w:rPr>
        <w:t>armamento,  blindaje y radios con los que cuentan dicha área,</w:t>
      </w:r>
      <w:r>
        <w:rPr>
          <w:rFonts w:ascii="Palatino Linotype" w:eastAsia="Palatino Linotype" w:hAnsi="Palatino Linotype" w:cs="Palatino Linotype"/>
        </w:rPr>
        <w:t xml:space="preserve"> se estaría dando cuenta de los aparatos que se utilizan para estar en comunicación los policías municipales, así como, las caract</w:t>
      </w:r>
      <w:r>
        <w:rPr>
          <w:rFonts w:ascii="Palatino Linotype" w:eastAsia="Palatino Linotype" w:hAnsi="Palatino Linotype" w:cs="Palatino Linotype"/>
        </w:rPr>
        <w:t>erísticas del equipo y armamento especial, con el que cuentan el personal o los vehículos, y que es utilizado para mantener la seguridad dentro del territorio del Municipio.</w:t>
      </w:r>
    </w:p>
    <w:p w:rsidR="00467D97" w:rsidRDefault="00467D97">
      <w:pPr>
        <w:spacing w:after="0" w:line="360" w:lineRule="auto"/>
        <w:ind w:right="-93"/>
        <w:jc w:val="both"/>
        <w:rPr>
          <w:rFonts w:ascii="Palatino Linotype" w:eastAsia="Palatino Linotype" w:hAnsi="Palatino Linotype" w:cs="Palatino Linotype"/>
        </w:rPr>
      </w:pPr>
    </w:p>
    <w:p w:rsidR="00467D97" w:rsidRDefault="0019616D">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Inclusive, dar a conocer las especificaciones y características de dicho equipamiento, podría ocasionar que los entes delincuenciales busquen allegarse de instrumentos para disminuir o destruir estos, con el fin de aumentar la inseguridad, pues podría ser </w:t>
      </w:r>
      <w:r>
        <w:rPr>
          <w:rFonts w:ascii="Palatino Linotype" w:eastAsia="Palatino Linotype" w:hAnsi="Palatino Linotype" w:cs="Palatino Linotype"/>
        </w:rPr>
        <w:t>utilizada dicha información para buscar las debilidades de las mismas y poderse aprovechar de dichas situaciones para realizar diversos delitos, lo cual va en detrimento de la paz y orden social.</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Conforme a lo anterior, se puede colegir que proporcionar l</w:t>
      </w:r>
      <w:r>
        <w:rPr>
          <w:rFonts w:ascii="Palatino Linotype" w:eastAsia="Palatino Linotype" w:hAnsi="Palatino Linotype" w:cs="Palatino Linotype"/>
        </w:rPr>
        <w:t xml:space="preserve">a información en análisis compromete la seguridad pública, al poner en peligro las funciones a cargo del Municipio, </w:t>
      </w:r>
      <w:r>
        <w:t xml:space="preserve"> </w:t>
      </w:r>
      <w:r>
        <w:rPr>
          <w:rFonts w:ascii="Palatino Linotype" w:eastAsia="Palatino Linotype" w:hAnsi="Palatino Linotype" w:cs="Palatino Linotype"/>
        </w:rPr>
        <w:t>tendientes a preservar y resguardar la vida, la salud, la integridad y el ejercicio de los derechos de las personas, así como para el mante</w:t>
      </w:r>
      <w:r>
        <w:rPr>
          <w:rFonts w:ascii="Palatino Linotype" w:eastAsia="Palatino Linotype" w:hAnsi="Palatino Linotype" w:cs="Palatino Linotype"/>
        </w:rPr>
        <w:t xml:space="preserve">nimiento del orden público, toda vez </w:t>
      </w:r>
      <w:r>
        <w:rPr>
          <w:rFonts w:ascii="Palatino Linotype" w:eastAsia="Palatino Linotype" w:hAnsi="Palatino Linotype" w:cs="Palatino Linotype"/>
          <w:b/>
          <w:bCs/>
        </w:rPr>
        <w:t xml:space="preserve">que da cuenta de las tecnologías, componentes y sistemas del equipo y armamento utilizado por la Dirección General de Seguridad Ciudadana </w:t>
      </w:r>
      <w:r>
        <w:rPr>
          <w:rFonts w:ascii="Palatino Linotype" w:eastAsia="Palatino Linotype" w:hAnsi="Palatino Linotype" w:cs="Palatino Linotype"/>
        </w:rPr>
        <w:t xml:space="preserve">y por lo tanto, acredita la causal de clasificación prevista en el artículo 140, </w:t>
      </w:r>
      <w:r>
        <w:rPr>
          <w:rFonts w:ascii="Palatino Linotype" w:eastAsia="Palatino Linotype" w:hAnsi="Palatino Linotype" w:cs="Palatino Linotype"/>
        </w:rPr>
        <w:t>fracción I de la Ley de Transparencia y Acceso a la Información Pública del Estado de México</w:t>
      </w:r>
      <w:r>
        <w:rPr>
          <w:rFonts w:ascii="Palatino Linotype" w:eastAsia="Palatino Linotype" w:hAnsi="Palatino Linotype" w:cs="Palatino Linotype"/>
          <w:b/>
          <w:bCs/>
        </w:rPr>
        <w:t>.</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entonces que, la entrega de documentos en su versión pública debe acompañarse necesariamente del Acuerdo del Comité de Transparencia que la sustente, el cual </w:t>
      </w:r>
      <w:r>
        <w:rPr>
          <w:rFonts w:ascii="Palatino Linotype" w:eastAsia="Palatino Linotype" w:hAnsi="Palatino Linotype" w:cs="Palatino Linotype"/>
        </w:rPr>
        <w:t xml:space="preserve">debe estar debidamente fundado y motivado y, deberá exponer los fundamentos y razonamientos que llevaron al Sujeto Obligado a testar, suprimir o eliminar datos de dicho soporte documental, ya que de no hacerlo, lo entregado no tendría un sustento jurídico </w:t>
      </w:r>
      <w:r>
        <w:rPr>
          <w:rFonts w:ascii="Palatino Linotype" w:eastAsia="Palatino Linotype" w:hAnsi="Palatino Linotype" w:cs="Palatino Linotype"/>
        </w:rPr>
        <w:t>ni resultaría ser una versión pública, sino más bien una documentación ilegible, incompleta o tachada; ya que, el no justificar las causas o motivos por las que no se aprecian determinados datos -ya sea porque se testan o suprimen- deja al solicitante en e</w:t>
      </w:r>
      <w:r>
        <w:rPr>
          <w:rFonts w:ascii="Palatino Linotype" w:eastAsia="Palatino Linotype" w:hAnsi="Palatino Linotype" w:cs="Palatino Linotype"/>
        </w:rPr>
        <w:t>stado de incertidumbre, al no conocer o comprender por qué no aparecen en la documentación respectiva.</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como, en mérito de lo expuesto en líneas anteriores, resultan fundadas las razones o motivos de inconformidad hechos valer por la parte </w:t>
      </w:r>
      <w:r>
        <w:rPr>
          <w:rFonts w:ascii="Palatino Linotype" w:eastAsia="Palatino Linotype" w:hAnsi="Palatino Linotype" w:cs="Palatino Linotype"/>
          <w:b/>
          <w:bCs/>
        </w:rPr>
        <w:t>RECURRENT</w:t>
      </w:r>
      <w:r>
        <w:rPr>
          <w:rFonts w:ascii="Palatino Linotype" w:eastAsia="Palatino Linotype" w:hAnsi="Palatino Linotype" w:cs="Palatino Linotype"/>
          <w:b/>
          <w:bCs/>
        </w:rPr>
        <w: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bCs/>
        </w:rPr>
        <w:t>06074/INFOEM/IP/RR/2025</w:t>
      </w:r>
      <w:r>
        <w:rPr>
          <w:rFonts w:ascii="Palatino Linotype" w:eastAsia="Palatino Linotype" w:hAnsi="Palatino Linotype" w:cs="Palatino Linotype"/>
        </w:rPr>
        <w:t xml:space="preserve">; por ello, y con fundamento en la fracción IV del numeral 186 de la Ley de Transparencia y Acceso a la Información Pública del Estado de México y Municipios, por lo que se </w:t>
      </w:r>
      <w:r>
        <w:rPr>
          <w:rFonts w:ascii="Palatino Linotype" w:eastAsia="Palatino Linotype" w:hAnsi="Palatino Linotype" w:cs="Palatino Linotype"/>
          <w:b/>
          <w:bCs/>
        </w:rPr>
        <w:t xml:space="preserve">MODIFICA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bCs/>
        </w:rPr>
        <w:t>S</w:t>
      </w:r>
      <w:r>
        <w:rPr>
          <w:rFonts w:ascii="Palatino Linotype" w:eastAsia="Palatino Linotype" w:hAnsi="Palatino Linotype" w:cs="Palatino Linotype"/>
          <w:b/>
          <w:bCs/>
        </w:rPr>
        <w:t xml:space="preserve">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bCs/>
        </w:rPr>
        <w:t>02093/TOLUCA/IP/2024.</w:t>
      </w:r>
      <w:r>
        <w:rPr>
          <w:rFonts w:ascii="Palatino Linotype" w:eastAsia="Palatino Linotype" w:hAnsi="Palatino Linotype" w:cs="Palatino Linotype"/>
        </w:rPr>
        <w:t xml:space="preserve">  </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w:t>
      </w:r>
      <w:r>
        <w:rPr>
          <w:rFonts w:ascii="Palatino Linotype" w:eastAsia="Palatino Linotype" w:hAnsi="Palatino Linotype" w:cs="Palatino Linotype"/>
        </w:rPr>
        <w:t>erano de México; Transitorio Cuarto, párrafo segundo del Decreto número 198 de la “LXII” Legislatura del Estado de México; 2, fracción II; 29, 36 fracciones I y II; 176, 178, 181, 185, fracción I, 186 y 188 de la Ley de Transparencia y Acceso a la Informac</w:t>
      </w:r>
      <w:r>
        <w:rPr>
          <w:rFonts w:ascii="Palatino Linotype" w:eastAsia="Palatino Linotype" w:hAnsi="Palatino Linotype" w:cs="Palatino Linotype"/>
        </w:rPr>
        <w:t>ión Pública del Estado de México y Municipios, este Pleno:</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ind w:left="1080"/>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467D97" w:rsidRDefault="00467D97">
      <w:pPr>
        <w:spacing w:after="0" w:line="360" w:lineRule="auto"/>
        <w:ind w:left="1080"/>
        <w:rPr>
          <w:rFonts w:ascii="Palatino Linotype" w:eastAsia="Palatino Linotype" w:hAnsi="Palatino Linotype" w:cs="Palatino Linotype"/>
          <w:b/>
          <w:bCs/>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 xml:space="preserve">Resultan parcialmente fundados los motivos de inconformidad hechos valer por </w:t>
      </w:r>
      <w:r>
        <w:rPr>
          <w:rFonts w:ascii="Palatino Linotype" w:eastAsia="Palatino Linotype" w:hAnsi="Palatino Linotype" w:cs="Palatino Linotype"/>
          <w:b/>
          <w:bCs/>
        </w:rPr>
        <w:t>LA PARTE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bCs/>
        </w:rPr>
        <w:t>06074/INFOEM/IP/RR/2025</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por lo que, en término</w:t>
      </w:r>
      <w:r>
        <w:rPr>
          <w:rFonts w:ascii="Palatino Linotype" w:eastAsia="Palatino Linotype" w:hAnsi="Palatino Linotype" w:cs="Palatino Linotype"/>
        </w:rPr>
        <w:t xml:space="preserve">s del considerando </w:t>
      </w: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bCs/>
        </w:rPr>
        <w:t xml:space="preserve">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bCs/>
        </w:rPr>
        <w:t>EL</w:t>
      </w:r>
      <w:r>
        <w:rPr>
          <w:rFonts w:ascii="Palatino Linotype" w:eastAsia="Palatino Linotype" w:hAnsi="Palatino Linotype" w:cs="Palatino Linotype"/>
        </w:rPr>
        <w:t xml:space="preserve"> </w:t>
      </w:r>
      <w:r>
        <w:rPr>
          <w:rFonts w:ascii="Palatino Linotype" w:eastAsia="Palatino Linotype" w:hAnsi="Palatino Linotype" w:cs="Palatino Linotype"/>
          <w:b/>
          <w:bCs/>
        </w:rPr>
        <w:t>SUJETO OBLIGADO</w:t>
      </w:r>
      <w:r>
        <w:rPr>
          <w:rFonts w:ascii="Palatino Linotype" w:eastAsia="Palatino Linotype" w:hAnsi="Palatino Linotype" w:cs="Palatino Linotype"/>
        </w:rPr>
        <w:t>.</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bCs/>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entregue, a</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bCs/>
        </w:rPr>
        <w:t>vía Sistema de Acceso a la Información Mexiquense</w:t>
      </w:r>
      <w:r>
        <w:rPr>
          <w:rFonts w:ascii="Palatino Linotype" w:eastAsia="Palatino Linotype" w:hAnsi="Palatino Linotype" w:cs="Palatino Linotype"/>
        </w:rPr>
        <w:t>, en términos de los</w:t>
      </w:r>
      <w:r>
        <w:rPr>
          <w:rFonts w:ascii="Palatino Linotype" w:eastAsia="Palatino Linotype" w:hAnsi="Palatino Linotype" w:cs="Palatino Linotype"/>
          <w:b/>
          <w:bCs/>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bCs/>
        </w:rPr>
        <w:t>Cuarto y Quinto</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de ser el caso, en versión pública, el documento donde conste lo siguiente:</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numPr>
          <w:ilvl w:val="0"/>
          <w:numId w:val="7"/>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 xml:space="preserve">Sueldo bruto y neto del personal operativo adscrito a la Dirección General de Seguridad y Protección al siete de abril de dos mil veinticinco. </w:t>
      </w:r>
    </w:p>
    <w:p w:rsidR="00467D97" w:rsidRDefault="0019616D">
      <w:pPr>
        <w:numPr>
          <w:ilvl w:val="0"/>
          <w:numId w:val="7"/>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 xml:space="preserve">Nombre de los mandos policiales, último grado de estudios y su información curricular, al siete de abril de dos mil veinticinco. </w:t>
      </w:r>
    </w:p>
    <w:p w:rsidR="00467D97" w:rsidRDefault="0019616D">
      <w:pPr>
        <w:numPr>
          <w:ilvl w:val="0"/>
          <w:numId w:val="7"/>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 xml:space="preserve">Marca, modelo, submarca y gasolina asignada de las patrullas que recibió la actual administración.  </w:t>
      </w:r>
    </w:p>
    <w:p w:rsidR="00467D97" w:rsidRDefault="0019616D">
      <w:pPr>
        <w:numPr>
          <w:ilvl w:val="0"/>
          <w:numId w:val="7"/>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 xml:space="preserve">Gasolina asignada de las </w:t>
      </w:r>
      <w:r>
        <w:rPr>
          <w:rFonts w:ascii="Palatino Linotype" w:eastAsia="Palatino Linotype" w:hAnsi="Palatino Linotype" w:cs="Palatino Linotype"/>
        </w:rPr>
        <w:t xml:space="preserve">patrullas con las que se cuenta al siete de abril de dos mil veinticinco. </w:t>
      </w:r>
    </w:p>
    <w:p w:rsidR="00467D97" w:rsidRDefault="0019616D">
      <w:pPr>
        <w:numPr>
          <w:ilvl w:val="0"/>
          <w:numId w:val="7"/>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Facturas de los vehículos y de la gasolina asignada a las patrullas que recibió la actual administración y con las que cuenta el Ayuntamiento al siete de abril de dos mil veinticinc</w:t>
      </w:r>
      <w:r>
        <w:rPr>
          <w:rFonts w:ascii="Palatino Linotype" w:eastAsia="Palatino Linotype" w:hAnsi="Palatino Linotype" w:cs="Palatino Linotype"/>
        </w:rPr>
        <w:t xml:space="preserve">o.   </w:t>
      </w:r>
    </w:p>
    <w:p w:rsidR="00467D97" w:rsidRDefault="00467D97">
      <w:pPr>
        <w:pBdr>
          <w:top w:val="nil"/>
          <w:left w:val="nil"/>
          <w:bottom w:val="nil"/>
          <w:right w:val="nil"/>
          <w:between w:val="nil"/>
        </w:pBdr>
        <w:spacing w:after="0"/>
        <w:ind w:left="567" w:right="560"/>
        <w:jc w:val="both"/>
        <w:rPr>
          <w:rFonts w:ascii="Palatino Linotype" w:eastAsia="Palatino Linotype" w:hAnsi="Palatino Linotype" w:cs="Palatino Linotype"/>
          <w:i/>
          <w:iCs/>
        </w:rPr>
      </w:pPr>
    </w:p>
    <w:p w:rsidR="00467D97" w:rsidRDefault="0019616D">
      <w:pPr>
        <w:pBdr>
          <w:top w:val="nil"/>
          <w:left w:val="nil"/>
          <w:bottom w:val="nil"/>
          <w:right w:val="nil"/>
          <w:between w:val="nil"/>
        </w:pBdr>
        <w:ind w:left="567" w:right="560"/>
        <w:jc w:val="both"/>
        <w:rPr>
          <w:rFonts w:ascii="Palatino Linotype" w:eastAsia="Palatino Linotype" w:hAnsi="Palatino Linotype" w:cs="Palatino Linotype"/>
          <w:i/>
          <w:iCs/>
        </w:rPr>
      </w:pPr>
      <w:r>
        <w:rPr>
          <w:rFonts w:ascii="Palatino Linotype" w:eastAsia="Palatino Linotype" w:hAnsi="Palatino Linotype" w:cs="Palatino Linotype"/>
          <w:i/>
          <w:iCs/>
        </w:rPr>
        <w:t>Para la entrega en versión pública, deberá emitir el Acuerdo del Comité de Transparencia en términos de la Ley de Transparencia y Acceso a la Información Pública del Estado de México y Municipios, en el que funde y motive las razones sobre los datos</w:t>
      </w:r>
      <w:r>
        <w:rPr>
          <w:rFonts w:ascii="Palatino Linotype" w:eastAsia="Palatino Linotype" w:hAnsi="Palatino Linotype" w:cs="Palatino Linotype"/>
          <w:i/>
          <w:iCs/>
        </w:rPr>
        <w:t xml:space="preserve"> que se supriman o eliminen</w:t>
      </w:r>
      <w:r>
        <w:rPr>
          <w:rFonts w:ascii="Palatino Linotype" w:eastAsia="Palatino Linotype" w:hAnsi="Palatino Linotype" w:cs="Palatino Linotype"/>
          <w:b/>
          <w:bCs/>
          <w:i/>
          <w:iCs/>
        </w:rPr>
        <w:t>,</w:t>
      </w:r>
      <w:r>
        <w:rPr>
          <w:rFonts w:ascii="Palatino Linotype" w:eastAsia="Palatino Linotype" w:hAnsi="Palatino Linotype" w:cs="Palatino Linotype"/>
          <w:i/>
          <w:iCs/>
        </w:rPr>
        <w:t xml:space="preserve"> y  se ponga a disposición de la parte Recurrente, en términos de los artículos 49, fracción VIII,  de la Ley de Transparencia y Acceso a la Información Pública del Estado de México y Municipios.</w:t>
      </w:r>
    </w:p>
    <w:p w:rsidR="00467D97" w:rsidRDefault="0019616D">
      <w:pPr>
        <w:pBdr>
          <w:top w:val="nil"/>
          <w:left w:val="nil"/>
          <w:bottom w:val="nil"/>
          <w:right w:val="nil"/>
          <w:between w:val="nil"/>
        </w:pBdr>
        <w:ind w:left="567" w:right="56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En el supuesto de que el Sujeto </w:t>
      </w:r>
      <w:r>
        <w:rPr>
          <w:rFonts w:ascii="Palatino Linotype" w:eastAsia="Palatino Linotype" w:hAnsi="Palatino Linotype" w:cs="Palatino Linotype"/>
          <w:i/>
          <w:iCs/>
        </w:rPr>
        <w:t xml:space="preserve">Obligado no cuente con la información que se ordena entregar en el punto b), relacionado con el </w:t>
      </w:r>
      <w:r>
        <w:rPr>
          <w:rFonts w:ascii="Palatino Linotype" w:eastAsia="Palatino Linotype" w:hAnsi="Palatino Linotype" w:cs="Palatino Linotype"/>
          <w:b/>
          <w:bCs/>
          <w:i/>
          <w:iCs/>
        </w:rPr>
        <w:t>último grado de estudio</w:t>
      </w:r>
      <w:r>
        <w:rPr>
          <w:rFonts w:ascii="Palatino Linotype" w:eastAsia="Palatino Linotype" w:hAnsi="Palatino Linotype" w:cs="Palatino Linotype"/>
          <w:i/>
          <w:iCs/>
        </w:rPr>
        <w:t>s, bastará con que así lo haga del conocimiento de la parte Recurrente, de manera clara y precisa, en términos del artículo 19, párrafo s</w:t>
      </w:r>
      <w:r>
        <w:rPr>
          <w:rFonts w:ascii="Palatino Linotype" w:eastAsia="Palatino Linotype" w:hAnsi="Palatino Linotype" w:cs="Palatino Linotype"/>
          <w:i/>
          <w:iCs/>
        </w:rPr>
        <w:t xml:space="preserve">egundo de la Ley de Transparencia y Acceso a la Información pública del Estado de México y Municipios para tener por colmado el requerimiento de información. </w:t>
      </w:r>
    </w:p>
    <w:p w:rsidR="00467D97" w:rsidRDefault="00467D97">
      <w:pPr>
        <w:spacing w:after="0" w:line="360" w:lineRule="auto"/>
        <w:ind w:right="51"/>
        <w:jc w:val="both"/>
        <w:rPr>
          <w:rFonts w:ascii="Palatino Linotype" w:eastAsia="Palatino Linotype" w:hAnsi="Palatino Linotype" w:cs="Palatino Linotype"/>
          <w:strik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bCs/>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Notifíquese vía SAIMEX </w:t>
      </w:r>
      <w:r>
        <w:rPr>
          <w:rFonts w:ascii="Palatino Linotype" w:eastAsia="Palatino Linotype" w:hAnsi="Palatino Linotype" w:cs="Palatino Linotype"/>
        </w:rPr>
        <w:t>la presente resolución al T</w:t>
      </w:r>
      <w:r>
        <w:rPr>
          <w:rFonts w:ascii="Palatino Linotype" w:eastAsia="Palatino Linotype" w:hAnsi="Palatino Linotype" w:cs="Palatino Linotype"/>
          <w:b/>
          <w:bCs/>
        </w:rPr>
        <w:t xml:space="preserve">itular de la Unidad de Transparencia </w:t>
      </w:r>
      <w:r>
        <w:rPr>
          <w:rFonts w:ascii="Palatino Linotype" w:eastAsia="Palatino Linotype" w:hAnsi="Palatino Linotype" w:cs="Palatino Linotype"/>
        </w:rPr>
        <w:t xml:space="preserve">del </w:t>
      </w:r>
      <w:r>
        <w:rPr>
          <w:rFonts w:ascii="Palatino Linotype" w:eastAsia="Palatino Linotype" w:hAnsi="Palatino Linotype" w:cs="Palatino Linotype"/>
          <w:b/>
          <w:bCs/>
        </w:rPr>
        <w:t>SUJETO OBLIGADO</w:t>
      </w:r>
      <w:r>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w:t>
      </w:r>
      <w:r>
        <w:rPr>
          <w:rFonts w:ascii="Palatino Linotype" w:eastAsia="Palatino Linotype" w:hAnsi="Palatino Linotype" w:cs="Palatino Linotype"/>
        </w:rPr>
        <w:t>iles, e informe a este Instituto en un plazo de tres días hábiles siguientes sobre el cumplimiento dado a la presente y, se le apercibe que en caso de negarse a cumplir la presente resolución o hacerlo de manera parcial, se le impondrá una medida de apremi</w:t>
      </w:r>
      <w:r>
        <w:rPr>
          <w:rFonts w:ascii="Palatino Linotype" w:eastAsia="Palatino Linotype" w:hAnsi="Palatino Linotype" w:cs="Palatino Linotype"/>
        </w:rPr>
        <w:t>o de conformidad con lo previsto en los artículos 198, 200, fracción III; 214, 215 y 216 de la Ley  de Transparencia y Acceso a la Información Pública del Estado de México y Municipios.</w:t>
      </w:r>
    </w:p>
    <w:p w:rsidR="00467D97" w:rsidRDefault="00467D97">
      <w:pPr>
        <w:spacing w:after="0" w:line="360" w:lineRule="auto"/>
        <w:ind w:right="49"/>
        <w:jc w:val="both"/>
        <w:rPr>
          <w:rFonts w:ascii="Palatino Linotype" w:eastAsia="Palatino Linotype" w:hAnsi="Palatino Linotype" w:cs="Palatino Linotype"/>
        </w:rPr>
      </w:pPr>
    </w:p>
    <w:p w:rsidR="00467D97" w:rsidRDefault="0019616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Notifíquese vía SAIMEX </w:t>
      </w:r>
      <w:r>
        <w:rPr>
          <w:rFonts w:ascii="Palatino Linotype" w:eastAsia="Palatino Linotype" w:hAnsi="Palatino Linotype" w:cs="Palatino Linotype"/>
        </w:rPr>
        <w:t xml:space="preserve">a la parte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la presente reso</w:t>
      </w:r>
      <w:r>
        <w:rPr>
          <w:rFonts w:ascii="Palatino Linotype" w:eastAsia="Palatino Linotype" w:hAnsi="Palatino Linotype" w:cs="Palatino Linotype"/>
        </w:rPr>
        <w:t xml:space="preserve">lución, así como, que de conformidad con lo establecido en el artículo 196 de la Ley de Transparencia y Acceso a la Información Pública del Estado de México y Municipios, en caso de que considere que le causa algún perjuicio podrá impugnarla vía Juicio de </w:t>
      </w:r>
      <w:r>
        <w:rPr>
          <w:rFonts w:ascii="Palatino Linotype" w:eastAsia="Palatino Linotype" w:hAnsi="Palatino Linotype" w:cs="Palatino Linotype"/>
        </w:rPr>
        <w:t>Amparo en los términos de las leyes aplicables.</w:t>
      </w:r>
    </w:p>
    <w:p w:rsidR="00467D97" w:rsidRDefault="00467D97">
      <w:pPr>
        <w:spacing w:after="0" w:line="360" w:lineRule="auto"/>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bCs/>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w:t>
      </w:r>
      <w:r>
        <w:rPr>
          <w:rFonts w:ascii="Palatino Linotype" w:eastAsia="Palatino Linotype" w:hAnsi="Palatino Linotype" w:cs="Palatino Linotype"/>
        </w:rPr>
        <w:t>otivada, podrá solicitar una ampliación de plazo para el cumplimiento de la presente resolución.</w:t>
      </w:r>
    </w:p>
    <w:p w:rsidR="00467D97" w:rsidRDefault="00467D97">
      <w:pPr>
        <w:pBdr>
          <w:top w:val="nil"/>
          <w:left w:val="nil"/>
          <w:bottom w:val="nil"/>
          <w:right w:val="nil"/>
          <w:between w:val="nil"/>
        </w:pBdr>
        <w:spacing w:after="0" w:line="360" w:lineRule="auto"/>
        <w:jc w:val="both"/>
        <w:rPr>
          <w:rFonts w:ascii="Palatino Linotype" w:eastAsia="Palatino Linotype" w:hAnsi="Palatino Linotype" w:cs="Palatino Linotype"/>
        </w:rPr>
      </w:pPr>
    </w:p>
    <w:p w:rsidR="00467D97" w:rsidRDefault="0019616D">
      <w:pPr>
        <w:spacing w:after="0" w:line="360" w:lineRule="auto"/>
        <w:ind w:right="49"/>
        <w:jc w:val="both"/>
        <w:rPr>
          <w:rFonts w:ascii="Palatino Linotype" w:eastAsia="Palatino Linotype" w:hAnsi="Palatino Linotype" w:cs="Palatino Linotype"/>
        </w:rPr>
      </w:pPr>
      <w:bookmarkStart w:id="4" w:name="_heading=h.f7f44m6u1f52" w:colFirst="0" w:colLast="0"/>
      <w:bookmarkEnd w:id="4"/>
      <w:r>
        <w:rPr>
          <w:rFonts w:ascii="Palatino Linotype" w:eastAsia="Palatino Linotype" w:hAnsi="Palatino Linotype" w:cs="Palatino Linotype"/>
        </w:rPr>
        <w:t>ASÍ LO RESUELVE, POR UNANIMIDAD DE VOTOS, EL PLENO DEL INSTITUTO DE TRANSPARENCIA, ACCESO A LA INFORMACIÓN PÚBLICA Y PROTECCIÓN DE DATOS PERSONALES DEL ESTADO</w:t>
      </w:r>
      <w:r>
        <w:rPr>
          <w:rFonts w:ascii="Palatino Linotype" w:eastAsia="Palatino Linotype" w:hAnsi="Palatino Linotype" w:cs="Palatino Linotype"/>
        </w:rPr>
        <w:t xml:space="preserve"> DE MÉXICO Y MUNICIPIOS, CONFORMADO POR LOS COMISIONADOS JOSÉ MARTÍNEZ VILCHIS, EMITIENDO VOTO PARTICULAR, MARÍA DEL ROSARIO MEJÍA AYALA, EMITIENDO VOTO PARTICULAR, SHARON CRISTINA MORALES MARTÍNEZ, LUIS GUSTAVO PARRA NORIEGA, EMITIENDO VOTO PARTICULAR Y G</w:t>
      </w:r>
      <w:r>
        <w:rPr>
          <w:rFonts w:ascii="Palatino Linotype" w:eastAsia="Palatino Linotype" w:hAnsi="Palatino Linotype" w:cs="Palatino Linotype"/>
        </w:rPr>
        <w:t>UADALUPE RAMÍREZ PEÑA, EMITIENDO VOTO PARTICULAR; EN LA CUADRAGÉSIMA TERCERA SESIÓN ORDINARIA CELEBRADA EL TRES DE DICIEMBRE DE DOS MIL VEINTICINCO, ANTE EL SECRETARIO TÉCNICO DEL PLENO ALEXIS TAPIA RAMÍREZ.</w:t>
      </w: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spacing w:after="0" w:line="360" w:lineRule="auto"/>
        <w:ind w:right="49"/>
        <w:jc w:val="both"/>
        <w:rPr>
          <w:rFonts w:ascii="Palatino Linotype" w:eastAsia="Palatino Linotype" w:hAnsi="Palatino Linotype" w:cs="Palatino Linotype"/>
        </w:rPr>
      </w:pPr>
    </w:p>
    <w:p w:rsidR="00467D97" w:rsidRDefault="00467D97">
      <w:pPr>
        <w:pBdr>
          <w:top w:val="nil"/>
          <w:left w:val="nil"/>
          <w:bottom w:val="nil"/>
          <w:right w:val="nil"/>
          <w:between w:val="nil"/>
        </w:pBdr>
        <w:spacing w:after="0" w:line="360" w:lineRule="auto"/>
        <w:jc w:val="both"/>
        <w:rPr>
          <w:rFonts w:ascii="Palatino Linotype" w:eastAsia="Palatino Linotype" w:hAnsi="Palatino Linotype" w:cs="Palatino Linotype"/>
        </w:rPr>
      </w:pPr>
    </w:p>
    <w:p w:rsidR="00467D97" w:rsidRDefault="00467D97">
      <w:pPr>
        <w:spacing w:after="0" w:line="360" w:lineRule="auto"/>
        <w:jc w:val="both"/>
        <w:rPr>
          <w:rFonts w:ascii="Palatino Linotype" w:eastAsia="Palatino Linotype" w:hAnsi="Palatino Linotype" w:cs="Palatino Linotype"/>
          <w:b/>
          <w:bCs/>
        </w:rPr>
      </w:pPr>
    </w:p>
    <w:sectPr w:rsidR="00467D97">
      <w:headerReference w:type="default"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9616D">
      <w:pPr>
        <w:spacing w:after="0" w:line="240" w:lineRule="auto"/>
      </w:pPr>
      <w:r>
        <w:separator/>
      </w:r>
    </w:p>
  </w:endnote>
  <w:endnote w:type="continuationSeparator" w:id="0">
    <w:p w:rsidR="00000000" w:rsidRDefault="0019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CFCECD7-27AD-4ACB-97D4-7030572BAA02}"/>
    <w:embedBold r:id="rId2" w:fontKey="{D4EF4CCA-8DC9-4EAE-B548-A0A117A23C7A}"/>
    <w:embedItalic r:id="rId3" w:fontKey="{DCA70550-AF72-4612-8A88-2623608FD9AE}"/>
    <w:embedBoldItalic r:id="rId4" w:fontKey="{FAE3D946-4831-4481-B1FF-CF6AF6C7207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357D06A-CC24-44F1-83B6-79738DE34EED}"/>
  </w:font>
  <w:font w:name="Calibri">
    <w:panose1 w:val="020F0502020204030204"/>
    <w:charset w:val="00"/>
    <w:family w:val="swiss"/>
    <w:pitch w:val="variable"/>
    <w:sig w:usb0="E4002EFF" w:usb1="C200247B" w:usb2="00000009" w:usb3="00000000" w:csb0="000001FF" w:csb1="00000000"/>
    <w:embedRegular r:id="rId6" w:fontKey="{55818023-B713-4FFD-8FE8-A98623E20D56}"/>
    <w:embedBold r:id="rId7" w:fontKey="{C73B3D4C-FBE0-45F0-A758-52C14E07A280}"/>
  </w:font>
  <w:font w:name="Segoe UI">
    <w:panose1 w:val="020B0502040204020203"/>
    <w:charset w:val="00"/>
    <w:family w:val="roman"/>
    <w:notTrueType/>
    <w:pitch w:val="default"/>
    <w:embedRegular r:id="rId8" w:fontKey="{3E069725-C0BC-4D01-8983-0DE6D29E06BD}"/>
  </w:font>
  <w:font w:name="Georgia">
    <w:panose1 w:val="02040502050405020303"/>
    <w:charset w:val="00"/>
    <w:family w:val="auto"/>
    <w:pitch w:val="default"/>
    <w:embedItalic r:id="rId9" w:fontKey="{B6284DC2-3943-40B7-AB0D-0F95727CFD8C}"/>
  </w:font>
  <w:font w:name="Verdana">
    <w:panose1 w:val="020B0604030504040204"/>
    <w:charset w:val="00"/>
    <w:family w:val="swiss"/>
    <w:pitch w:val="variable"/>
    <w:sig w:usb0="A00006FF" w:usb1="4000205B" w:usb2="00000010" w:usb3="00000000" w:csb0="0000019F" w:csb1="00000000"/>
    <w:embedBold r:id="rId10" w:fontKey="{699F75FF-6C58-4B7F-AD27-092167A37A6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D50328D6-78EB-4AF4-A22F-CDA82BF0CFA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D97" w:rsidRDefault="0019616D">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53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54</w:t>
    </w:r>
    <w:r>
      <w:rPr>
        <w:rFonts w:ascii="Arial" w:eastAsia="Arial" w:hAnsi="Arial" w:cs="Arial"/>
        <w:b/>
        <w:bCs/>
        <w:color w:val="000000"/>
        <w:sz w:val="20"/>
        <w:szCs w:val="20"/>
      </w:rPr>
      <w:fldChar w:fldCharType="end"/>
    </w:r>
  </w:p>
  <w:p w:rsidR="00467D97" w:rsidRDefault="00467D9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D97" w:rsidRDefault="0019616D">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54</w:t>
    </w:r>
    <w:r>
      <w:rPr>
        <w:rFonts w:ascii="Arial" w:eastAsia="Arial" w:hAnsi="Arial" w:cs="Arial"/>
        <w:b/>
        <w:bCs/>
        <w:color w:val="000000"/>
        <w:sz w:val="20"/>
        <w:szCs w:val="20"/>
      </w:rPr>
      <w:fldChar w:fldCharType="end"/>
    </w:r>
  </w:p>
  <w:p w:rsidR="00467D97" w:rsidRDefault="00467D9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9616D">
      <w:pPr>
        <w:spacing w:after="0" w:line="240" w:lineRule="auto"/>
      </w:pPr>
      <w:r>
        <w:separator/>
      </w:r>
    </w:p>
  </w:footnote>
  <w:footnote w:type="continuationSeparator" w:id="0">
    <w:p w:rsidR="00000000" w:rsidRDefault="00196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D97" w:rsidRDefault="00467D97">
    <w:pPr>
      <w:widowControl w:val="0"/>
      <w:pBdr>
        <w:top w:val="nil"/>
        <w:left w:val="nil"/>
        <w:bottom w:val="nil"/>
        <w:right w:val="nil"/>
        <w:between w:val="nil"/>
      </w:pBdr>
      <w:spacing w:after="0" w:line="276" w:lineRule="auto"/>
      <w:rPr>
        <w:rFonts w:ascii="Palatino Linotype" w:eastAsia="Palatino Linotype" w:hAnsi="Palatino Linotype" w:cs="Palatino Linotype"/>
        <w:b/>
        <w:bCs/>
      </w:rPr>
    </w:pPr>
  </w:p>
  <w:tbl>
    <w:tblPr>
      <w:tblStyle w:val="a3"/>
      <w:tblW w:w="6162" w:type="dxa"/>
      <w:tblInd w:w="2830" w:type="dxa"/>
      <w:tblLayout w:type="fixed"/>
      <w:tblLook w:val="0400" w:firstRow="0" w:lastRow="0" w:firstColumn="0" w:lastColumn="0" w:noHBand="0" w:noVBand="1"/>
    </w:tblPr>
    <w:tblGrid>
      <w:gridCol w:w="2977"/>
      <w:gridCol w:w="3185"/>
    </w:tblGrid>
    <w:tr w:rsidR="00467D97">
      <w:trPr>
        <w:trHeight w:val="246"/>
      </w:trPr>
      <w:tc>
        <w:tcPr>
          <w:tcW w:w="2977" w:type="dxa"/>
        </w:tcPr>
        <w:p w:rsidR="00467D97" w:rsidRDefault="0019616D">
          <w:pPr>
            <w:spacing w:after="12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185" w:type="dxa"/>
        </w:tcPr>
        <w:p w:rsidR="00467D97" w:rsidRDefault="0019616D">
          <w:pPr>
            <w:spacing w:after="120"/>
            <w:ind w:left="-486" w:right="214" w:firstLine="378"/>
            <w:jc w:val="right"/>
            <w:rPr>
              <w:rFonts w:ascii="Palatino Linotype" w:eastAsia="Palatino Linotype" w:hAnsi="Palatino Linotype" w:cs="Palatino Linotype"/>
            </w:rPr>
          </w:pPr>
          <w:r>
            <w:rPr>
              <w:rFonts w:ascii="Palatino Linotype" w:eastAsia="Palatino Linotype" w:hAnsi="Palatino Linotype" w:cs="Palatino Linotype"/>
            </w:rPr>
            <w:t>06074/INFOEM/IP/RR/2025</w:t>
          </w:r>
        </w:p>
      </w:tc>
    </w:tr>
    <w:tr w:rsidR="00467D97">
      <w:trPr>
        <w:trHeight w:val="212"/>
      </w:trPr>
      <w:tc>
        <w:tcPr>
          <w:tcW w:w="2977" w:type="dxa"/>
        </w:tcPr>
        <w:p w:rsidR="00467D97" w:rsidRDefault="0019616D">
          <w:pPr>
            <w:spacing w:after="12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185" w:type="dxa"/>
        </w:tcPr>
        <w:p w:rsidR="00467D97" w:rsidRDefault="00467D97">
          <w:pPr>
            <w:spacing w:after="120"/>
            <w:ind w:left="-486" w:firstLine="378"/>
            <w:jc w:val="right"/>
            <w:rPr>
              <w:rFonts w:ascii="Palatino Linotype" w:eastAsia="Palatino Linotype" w:hAnsi="Palatino Linotype" w:cs="Palatino Linotype"/>
            </w:rPr>
          </w:pPr>
        </w:p>
      </w:tc>
    </w:tr>
    <w:tr w:rsidR="00467D97">
      <w:trPr>
        <w:trHeight w:val="264"/>
      </w:trPr>
      <w:tc>
        <w:tcPr>
          <w:tcW w:w="2977" w:type="dxa"/>
        </w:tcPr>
        <w:p w:rsidR="00467D97" w:rsidRDefault="0019616D">
          <w:pPr>
            <w:spacing w:after="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185" w:type="dxa"/>
        </w:tcPr>
        <w:p w:rsidR="00467D97" w:rsidRDefault="0019616D">
          <w:pPr>
            <w:spacing w:after="0"/>
            <w:ind w:left="-495" w:right="214" w:firstLine="245"/>
            <w:jc w:val="right"/>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467D97">
      <w:trPr>
        <w:trHeight w:val="373"/>
      </w:trPr>
      <w:tc>
        <w:tcPr>
          <w:tcW w:w="2977" w:type="dxa"/>
        </w:tcPr>
        <w:p w:rsidR="00467D97" w:rsidRDefault="0019616D">
          <w:pPr>
            <w:tabs>
              <w:tab w:val="left" w:pos="4892"/>
            </w:tabs>
            <w:spacing w:after="12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185" w:type="dxa"/>
        </w:tcPr>
        <w:p w:rsidR="00467D97" w:rsidRDefault="0019616D">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467D97" w:rsidRDefault="0019616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-657223</wp:posOffset>
          </wp:positionH>
          <wp:positionV relativeFrom="paragraph">
            <wp:posOffset>-1333498</wp:posOffset>
          </wp:positionV>
          <wp:extent cx="7809876" cy="10165823"/>
          <wp:effectExtent l="0" t="0" r="0" b="0"/>
          <wp:wrapNone/>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D97" w:rsidRDefault="00467D97">
    <w:pPr>
      <w:widowControl w:val="0"/>
      <w:pBdr>
        <w:top w:val="nil"/>
        <w:left w:val="nil"/>
        <w:bottom w:val="nil"/>
        <w:right w:val="nil"/>
        <w:between w:val="nil"/>
      </w:pBdr>
      <w:spacing w:after="0" w:line="276" w:lineRule="auto"/>
      <w:rPr>
        <w:color w:val="000000"/>
      </w:rPr>
    </w:pPr>
  </w:p>
  <w:tbl>
    <w:tblPr>
      <w:tblStyle w:val="a4"/>
      <w:tblW w:w="6587" w:type="dxa"/>
      <w:tblInd w:w="2405" w:type="dxa"/>
      <w:tblLayout w:type="fixed"/>
      <w:tblLook w:val="0400" w:firstRow="0" w:lastRow="0" w:firstColumn="0" w:lastColumn="0" w:noHBand="0" w:noVBand="1"/>
    </w:tblPr>
    <w:tblGrid>
      <w:gridCol w:w="2977"/>
      <w:gridCol w:w="3610"/>
    </w:tblGrid>
    <w:tr w:rsidR="00467D97">
      <w:trPr>
        <w:trHeight w:val="246"/>
      </w:trPr>
      <w:tc>
        <w:tcPr>
          <w:tcW w:w="2977" w:type="dxa"/>
        </w:tcPr>
        <w:p w:rsidR="00467D97" w:rsidRDefault="0019616D">
          <w:pPr>
            <w:spacing w:after="12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610" w:type="dxa"/>
        </w:tcPr>
        <w:p w:rsidR="00467D97" w:rsidRDefault="0019616D">
          <w:pPr>
            <w:spacing w:after="120"/>
            <w:ind w:left="-486" w:right="214" w:firstLine="486"/>
            <w:jc w:val="right"/>
            <w:rPr>
              <w:rFonts w:ascii="Palatino Linotype" w:eastAsia="Palatino Linotype" w:hAnsi="Palatino Linotype" w:cs="Palatino Linotype"/>
            </w:rPr>
          </w:pPr>
          <w:r>
            <w:rPr>
              <w:rFonts w:ascii="Palatino Linotype" w:eastAsia="Palatino Linotype" w:hAnsi="Palatino Linotype" w:cs="Palatino Linotype"/>
            </w:rPr>
            <w:t>06074/INFOEM/IP/RR/2025</w:t>
          </w:r>
        </w:p>
      </w:tc>
    </w:tr>
    <w:tr w:rsidR="00467D97">
      <w:trPr>
        <w:trHeight w:val="212"/>
      </w:trPr>
      <w:tc>
        <w:tcPr>
          <w:tcW w:w="2977" w:type="dxa"/>
        </w:tcPr>
        <w:p w:rsidR="00467D97" w:rsidRDefault="0019616D">
          <w:pPr>
            <w:spacing w:after="12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610" w:type="dxa"/>
        </w:tcPr>
        <w:p w:rsidR="00467D97" w:rsidRDefault="00467D97">
          <w:pPr>
            <w:spacing w:after="120"/>
            <w:ind w:left="-486" w:right="214" w:firstLine="567"/>
            <w:jc w:val="right"/>
            <w:rPr>
              <w:rFonts w:ascii="Palatino Linotype" w:eastAsia="Palatino Linotype" w:hAnsi="Palatino Linotype" w:cs="Palatino Linotype"/>
            </w:rPr>
          </w:pPr>
        </w:p>
      </w:tc>
    </w:tr>
    <w:tr w:rsidR="00467D97">
      <w:trPr>
        <w:trHeight w:val="305"/>
      </w:trPr>
      <w:tc>
        <w:tcPr>
          <w:tcW w:w="2977" w:type="dxa"/>
        </w:tcPr>
        <w:p w:rsidR="00467D97" w:rsidRDefault="0019616D">
          <w:pPr>
            <w:spacing w:after="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610" w:type="dxa"/>
        </w:tcPr>
        <w:p w:rsidR="00467D97" w:rsidRDefault="0019616D">
          <w:pPr>
            <w:spacing w:after="0"/>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467D97">
      <w:trPr>
        <w:trHeight w:val="373"/>
      </w:trPr>
      <w:tc>
        <w:tcPr>
          <w:tcW w:w="2977" w:type="dxa"/>
        </w:tcPr>
        <w:p w:rsidR="00467D97" w:rsidRDefault="0019616D">
          <w:pPr>
            <w:tabs>
              <w:tab w:val="left" w:pos="4892"/>
            </w:tabs>
            <w:spacing w:after="120"/>
            <w:ind w:right="204"/>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610" w:type="dxa"/>
        </w:tcPr>
        <w:p w:rsidR="00467D97" w:rsidRDefault="0019616D">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467D97" w:rsidRDefault="0019616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-781048</wp:posOffset>
          </wp:positionH>
          <wp:positionV relativeFrom="paragraph">
            <wp:posOffset>-1476373</wp:posOffset>
          </wp:positionV>
          <wp:extent cx="7809876" cy="10165823"/>
          <wp:effectExtent l="0" t="0" r="0" b="0"/>
          <wp:wrapNone/>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A1560"/>
    <w:multiLevelType w:val="multilevel"/>
    <w:tmpl w:val="8A7AEBF2"/>
    <w:lvl w:ilvl="0">
      <w:start w:val="7"/>
      <w:numFmt w:val="decimal"/>
      <w:lvlText w:val="%1."/>
      <w:lvlJc w:val="left"/>
      <w:pPr>
        <w:ind w:left="144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913031"/>
    <w:multiLevelType w:val="multilevel"/>
    <w:tmpl w:val="F81A8E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C23153B"/>
    <w:multiLevelType w:val="multilevel"/>
    <w:tmpl w:val="4666354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1F4569"/>
    <w:multiLevelType w:val="multilevel"/>
    <w:tmpl w:val="1038A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F02195"/>
    <w:multiLevelType w:val="multilevel"/>
    <w:tmpl w:val="17DCB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7B6568"/>
    <w:multiLevelType w:val="multilevel"/>
    <w:tmpl w:val="38161B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D063371"/>
    <w:multiLevelType w:val="multilevel"/>
    <w:tmpl w:val="699CF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D97"/>
    <w:rsid w:val="0019616D"/>
    <w:rsid w:val="00467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5F8F1F-BA78-4C64-B9D5-4E98F759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4826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2655"/>
  </w:style>
  <w:style w:type="paragraph" w:styleId="Piedepgina">
    <w:name w:val="footer"/>
    <w:basedOn w:val="Normal"/>
    <w:link w:val="PiedepginaCar"/>
    <w:uiPriority w:val="99"/>
    <w:unhideWhenUsed/>
    <w:rsid w:val="004826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265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9C284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rsid w:val="008909E8"/>
  </w:style>
  <w:style w:type="table" w:styleId="Tablaconcuadrcula">
    <w:name w:val="Table Grid"/>
    <w:basedOn w:val="Tablanormal"/>
    <w:uiPriority w:val="39"/>
    <w:rsid w:val="007A3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A39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3906"/>
    <w:rPr>
      <w:rFonts w:ascii="Segoe UI" w:hAnsi="Segoe UI" w:cs="Segoe UI"/>
      <w:sz w:val="18"/>
      <w:szCs w:val="1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consultatucedula.mx/"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hekfM3VR3GEzg8QvH1N9XMNZCg==">CgMxLjAyDmguNHgyOTg5cWpmYXF5Mg1oLmd0MDQ5Z3c2YXltMgloLjFmb2I5dGUyDmguZjdmNDRtNnUxZjUyOAByITFoeGpkcjJtRkVaNmxrd2pKU18wd2dldHItYnNTUUU2SQ==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14485</Words>
  <Characters>79669</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dcterms:created xsi:type="dcterms:W3CDTF">2026-01-13T19:52:00Z</dcterms:created>
  <dcterms:modified xsi:type="dcterms:W3CDTF">2026-01-13T19:52:00Z</dcterms:modified>
</cp:coreProperties>
</file>