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B3F" w:rsidRDefault="00325B3F">
      <w:pPr>
        <w:widowControl w:val="0"/>
        <w:pBdr>
          <w:top w:val="nil"/>
          <w:left w:val="nil"/>
          <w:bottom w:val="nil"/>
          <w:right w:val="nil"/>
          <w:between w:val="nil"/>
        </w:pBdr>
        <w:spacing w:after="0" w:line="276" w:lineRule="auto"/>
        <w:jc w:val="left"/>
      </w:pPr>
      <w:bookmarkStart w:id="0" w:name="_GoBack"/>
      <w:bookmarkEnd w:id="0"/>
    </w:p>
    <w:p w:rsidR="00325B3F" w:rsidRDefault="00736E4A">
      <w:pPr>
        <w:keepNext/>
        <w:keepLines/>
        <w:pBdr>
          <w:top w:val="nil"/>
          <w:left w:val="nil"/>
          <w:bottom w:val="nil"/>
          <w:right w:val="nil"/>
          <w:between w:val="nil"/>
        </w:pBdr>
        <w:spacing w:after="0" w:line="360" w:lineRule="auto"/>
        <w:jc w:val="center"/>
        <w:rPr>
          <w:color w:val="000000"/>
        </w:rPr>
      </w:pPr>
      <w:r>
        <w:rPr>
          <w:color w:val="000000"/>
        </w:rPr>
        <w:t>RESOLUCIÓN DEL RECURSO DE REVISIÓN 00036/INFOEM/IP/RR/2025</w:t>
      </w:r>
    </w:p>
    <w:sdt>
      <w:sdtPr>
        <w:id w:val="986063187"/>
        <w:docPartObj>
          <w:docPartGallery w:val="Table of Contents"/>
          <w:docPartUnique/>
        </w:docPartObj>
      </w:sdtPr>
      <w:sdtEndPr/>
      <w:sdtContent>
        <w:p w:rsidR="00325B3F" w:rsidRDefault="00736E4A">
          <w:pPr>
            <w:pBdr>
              <w:top w:val="nil"/>
              <w:left w:val="nil"/>
              <w:bottom w:val="nil"/>
              <w:right w:val="nil"/>
              <w:between w:val="nil"/>
            </w:pBdr>
            <w:tabs>
              <w:tab w:val="right" w:pos="8921"/>
            </w:tabs>
            <w:spacing w:after="100"/>
            <w:rPr>
              <w:rFonts w:ascii="Cambria" w:eastAsia="Cambria" w:hAnsi="Cambria" w:cs="Cambria"/>
              <w:color w:val="000000"/>
              <w:sz w:val="24"/>
              <w:szCs w:val="24"/>
            </w:rPr>
          </w:pPr>
          <w:r>
            <w:fldChar w:fldCharType="begin"/>
          </w:r>
          <w:r>
            <w:instrText xml:space="preserve"> TOC \h \u \z \t "Heading 1,1,Heading 2,2,Heading 3,3,"</w:instrText>
          </w:r>
          <w:r>
            <w:fldChar w:fldCharType="separate"/>
          </w:r>
          <w:hyperlink w:anchor="_heading=h.3znysh7">
            <w:r>
              <w:rPr>
                <w:color w:val="000000"/>
              </w:rPr>
              <w:t>A N T E C E D E N T E S</w:t>
            </w:r>
            <w:r>
              <w:rPr>
                <w:color w:val="000000"/>
              </w:rPr>
              <w:tab/>
              <w:t>2</w:t>
            </w:r>
          </w:hyperlink>
        </w:p>
        <w:p w:rsidR="00325B3F" w:rsidRDefault="00DF6428">
          <w:pPr>
            <w:pBdr>
              <w:top w:val="nil"/>
              <w:left w:val="nil"/>
              <w:bottom w:val="nil"/>
              <w:right w:val="nil"/>
              <w:between w:val="nil"/>
            </w:pBdr>
            <w:tabs>
              <w:tab w:val="right" w:pos="8921"/>
            </w:tabs>
            <w:spacing w:after="100"/>
            <w:ind w:left="220"/>
            <w:rPr>
              <w:rFonts w:ascii="Cambria" w:eastAsia="Cambria" w:hAnsi="Cambria" w:cs="Cambria"/>
              <w:color w:val="000000"/>
              <w:sz w:val="24"/>
              <w:szCs w:val="24"/>
            </w:rPr>
          </w:pPr>
          <w:hyperlink w:anchor="_heading=h.2et92p0">
            <w:r w:rsidR="00736E4A">
              <w:rPr>
                <w:color w:val="000000"/>
              </w:rPr>
              <w:t>I. Presentación de la solicitud de información</w:t>
            </w:r>
            <w:r w:rsidR="00736E4A">
              <w:rPr>
                <w:color w:val="000000"/>
              </w:rPr>
              <w:tab/>
              <w:t>2</w:t>
            </w:r>
          </w:hyperlink>
        </w:p>
        <w:p w:rsidR="00325B3F" w:rsidRDefault="00DF6428">
          <w:pPr>
            <w:pBdr>
              <w:top w:val="nil"/>
              <w:left w:val="nil"/>
              <w:bottom w:val="nil"/>
              <w:right w:val="nil"/>
              <w:between w:val="nil"/>
            </w:pBdr>
            <w:tabs>
              <w:tab w:val="right" w:pos="8921"/>
            </w:tabs>
            <w:spacing w:after="100"/>
            <w:ind w:left="220"/>
            <w:rPr>
              <w:rFonts w:ascii="Cambria" w:eastAsia="Cambria" w:hAnsi="Cambria" w:cs="Cambria"/>
              <w:color w:val="000000"/>
              <w:sz w:val="24"/>
              <w:szCs w:val="24"/>
            </w:rPr>
          </w:pPr>
          <w:hyperlink w:anchor="_heading=h.tyjcwt">
            <w:r w:rsidR="00736E4A">
              <w:rPr>
                <w:color w:val="000000"/>
              </w:rPr>
              <w:t>II. Respuesta del Sujeto Obligado</w:t>
            </w:r>
            <w:r w:rsidR="00736E4A">
              <w:rPr>
                <w:color w:val="000000"/>
              </w:rPr>
              <w:tab/>
              <w:t>2</w:t>
            </w:r>
          </w:hyperlink>
        </w:p>
        <w:p w:rsidR="00325B3F" w:rsidRDefault="00DF6428">
          <w:pPr>
            <w:pBdr>
              <w:top w:val="nil"/>
              <w:left w:val="nil"/>
              <w:bottom w:val="nil"/>
              <w:right w:val="nil"/>
              <w:between w:val="nil"/>
            </w:pBdr>
            <w:tabs>
              <w:tab w:val="right" w:pos="8921"/>
            </w:tabs>
            <w:spacing w:after="100"/>
            <w:ind w:left="220"/>
            <w:rPr>
              <w:rFonts w:ascii="Cambria" w:eastAsia="Cambria" w:hAnsi="Cambria" w:cs="Cambria"/>
              <w:color w:val="000000"/>
              <w:sz w:val="24"/>
              <w:szCs w:val="24"/>
            </w:rPr>
          </w:pPr>
          <w:hyperlink w:anchor="_heading=h.3dy6vkm">
            <w:r w:rsidR="00736E4A">
              <w:rPr>
                <w:color w:val="000000"/>
              </w:rPr>
              <w:t>III. Interposición del Recurso de Revisión</w:t>
            </w:r>
            <w:r w:rsidR="00736E4A">
              <w:rPr>
                <w:color w:val="000000"/>
              </w:rPr>
              <w:tab/>
              <w:t>3</w:t>
            </w:r>
          </w:hyperlink>
        </w:p>
        <w:p w:rsidR="00325B3F" w:rsidRDefault="00DF6428">
          <w:pPr>
            <w:pBdr>
              <w:top w:val="nil"/>
              <w:left w:val="nil"/>
              <w:bottom w:val="nil"/>
              <w:right w:val="nil"/>
              <w:between w:val="nil"/>
            </w:pBdr>
            <w:tabs>
              <w:tab w:val="right" w:pos="8921"/>
            </w:tabs>
            <w:spacing w:after="100"/>
            <w:ind w:left="220"/>
            <w:rPr>
              <w:rFonts w:ascii="Cambria" w:eastAsia="Cambria" w:hAnsi="Cambria" w:cs="Cambria"/>
              <w:color w:val="000000"/>
              <w:sz w:val="24"/>
              <w:szCs w:val="24"/>
            </w:rPr>
          </w:pPr>
          <w:hyperlink w:anchor="_heading=h.1t3h5sf">
            <w:r w:rsidR="00736E4A">
              <w:rPr>
                <w:color w:val="000000"/>
              </w:rPr>
              <w:t>IV. Trámite del Recurso de Revisión ante este Instituto</w:t>
            </w:r>
            <w:r w:rsidR="00736E4A">
              <w:rPr>
                <w:color w:val="000000"/>
              </w:rPr>
              <w:tab/>
              <w:t>4</w:t>
            </w:r>
          </w:hyperlink>
        </w:p>
        <w:p w:rsidR="00325B3F" w:rsidRDefault="00DF6428">
          <w:pPr>
            <w:pBdr>
              <w:top w:val="nil"/>
              <w:left w:val="nil"/>
              <w:bottom w:val="nil"/>
              <w:right w:val="nil"/>
              <w:between w:val="nil"/>
            </w:pBdr>
            <w:tabs>
              <w:tab w:val="right" w:pos="8921"/>
            </w:tabs>
            <w:spacing w:after="100"/>
            <w:rPr>
              <w:rFonts w:ascii="Cambria" w:eastAsia="Cambria" w:hAnsi="Cambria" w:cs="Cambria"/>
              <w:color w:val="000000"/>
              <w:sz w:val="24"/>
              <w:szCs w:val="24"/>
            </w:rPr>
          </w:pPr>
          <w:hyperlink w:anchor="_heading=h.4d34og8">
            <w:r w:rsidR="00736E4A">
              <w:rPr>
                <w:color w:val="000000"/>
              </w:rPr>
              <w:t>C O N S I D E R A N D O S</w:t>
            </w:r>
            <w:r w:rsidR="00736E4A">
              <w:rPr>
                <w:color w:val="000000"/>
              </w:rPr>
              <w:tab/>
              <w:t>5</w:t>
            </w:r>
          </w:hyperlink>
        </w:p>
        <w:p w:rsidR="00325B3F" w:rsidRDefault="00DF6428">
          <w:pPr>
            <w:pBdr>
              <w:top w:val="nil"/>
              <w:left w:val="nil"/>
              <w:bottom w:val="nil"/>
              <w:right w:val="nil"/>
              <w:between w:val="nil"/>
            </w:pBdr>
            <w:tabs>
              <w:tab w:val="right" w:pos="8921"/>
            </w:tabs>
            <w:spacing w:after="100"/>
            <w:ind w:left="220"/>
            <w:rPr>
              <w:rFonts w:ascii="Cambria" w:eastAsia="Cambria" w:hAnsi="Cambria" w:cs="Cambria"/>
              <w:color w:val="000000"/>
              <w:sz w:val="24"/>
              <w:szCs w:val="24"/>
            </w:rPr>
          </w:pPr>
          <w:hyperlink w:anchor="_heading=h.2s8eyo1">
            <w:r w:rsidR="00736E4A">
              <w:rPr>
                <w:color w:val="000000"/>
              </w:rPr>
              <w:t>PRIMERO. Competencia</w:t>
            </w:r>
            <w:r w:rsidR="00736E4A">
              <w:rPr>
                <w:color w:val="000000"/>
              </w:rPr>
              <w:tab/>
              <w:t>5</w:t>
            </w:r>
          </w:hyperlink>
        </w:p>
        <w:p w:rsidR="00325B3F" w:rsidRDefault="00DF6428">
          <w:pPr>
            <w:pBdr>
              <w:top w:val="nil"/>
              <w:left w:val="nil"/>
              <w:bottom w:val="nil"/>
              <w:right w:val="nil"/>
              <w:between w:val="nil"/>
            </w:pBdr>
            <w:tabs>
              <w:tab w:val="right" w:pos="8921"/>
            </w:tabs>
            <w:spacing w:after="100"/>
            <w:ind w:left="220"/>
            <w:rPr>
              <w:rFonts w:ascii="Cambria" w:eastAsia="Cambria" w:hAnsi="Cambria" w:cs="Cambria"/>
              <w:color w:val="000000"/>
              <w:sz w:val="24"/>
              <w:szCs w:val="24"/>
            </w:rPr>
          </w:pPr>
          <w:hyperlink w:anchor="_heading=h.17dp8vu">
            <w:r w:rsidR="00736E4A">
              <w:rPr>
                <w:color w:val="000000"/>
              </w:rPr>
              <w:t>SEGUNDO. Causales de improcedencia</w:t>
            </w:r>
            <w:r w:rsidR="00736E4A">
              <w:rPr>
                <w:color w:val="000000"/>
              </w:rPr>
              <w:tab/>
              <w:t>6</w:t>
            </w:r>
          </w:hyperlink>
        </w:p>
        <w:p w:rsidR="00325B3F" w:rsidRDefault="00DF6428">
          <w:pPr>
            <w:pBdr>
              <w:top w:val="nil"/>
              <w:left w:val="nil"/>
              <w:bottom w:val="nil"/>
              <w:right w:val="nil"/>
              <w:between w:val="nil"/>
            </w:pBdr>
            <w:tabs>
              <w:tab w:val="right" w:pos="8921"/>
            </w:tabs>
            <w:spacing w:after="100"/>
            <w:ind w:left="220"/>
            <w:rPr>
              <w:rFonts w:ascii="Cambria" w:eastAsia="Cambria" w:hAnsi="Cambria" w:cs="Cambria"/>
              <w:color w:val="000000"/>
              <w:sz w:val="24"/>
              <w:szCs w:val="24"/>
            </w:rPr>
          </w:pPr>
          <w:hyperlink w:anchor="_heading=h.3rdcrjn">
            <w:r w:rsidR="00736E4A">
              <w:rPr>
                <w:color w:val="000000"/>
              </w:rPr>
              <w:t>TERCERO. Causales de sobreseimiento</w:t>
            </w:r>
            <w:r w:rsidR="00736E4A">
              <w:rPr>
                <w:color w:val="000000"/>
              </w:rPr>
              <w:tab/>
              <w:t>7</w:t>
            </w:r>
          </w:hyperlink>
        </w:p>
        <w:p w:rsidR="00325B3F" w:rsidRDefault="00DF6428">
          <w:pPr>
            <w:pBdr>
              <w:top w:val="nil"/>
              <w:left w:val="nil"/>
              <w:bottom w:val="nil"/>
              <w:right w:val="nil"/>
              <w:between w:val="nil"/>
            </w:pBdr>
            <w:tabs>
              <w:tab w:val="right" w:pos="8921"/>
            </w:tabs>
            <w:spacing w:after="100"/>
            <w:ind w:left="220"/>
            <w:rPr>
              <w:rFonts w:ascii="Cambria" w:eastAsia="Cambria" w:hAnsi="Cambria" w:cs="Cambria"/>
              <w:color w:val="000000"/>
              <w:sz w:val="24"/>
              <w:szCs w:val="24"/>
            </w:rPr>
          </w:pPr>
          <w:hyperlink w:anchor="_heading=h.26in1rg">
            <w:r w:rsidR="00736E4A">
              <w:rPr>
                <w:color w:val="000000"/>
              </w:rPr>
              <w:t>CUARTO. Decisión</w:t>
            </w:r>
            <w:r w:rsidR="00736E4A">
              <w:rPr>
                <w:color w:val="000000"/>
              </w:rPr>
              <w:tab/>
              <w:t>9</w:t>
            </w:r>
          </w:hyperlink>
        </w:p>
        <w:p w:rsidR="00325B3F" w:rsidRDefault="00DF6428">
          <w:pPr>
            <w:pBdr>
              <w:top w:val="nil"/>
              <w:left w:val="nil"/>
              <w:bottom w:val="nil"/>
              <w:right w:val="nil"/>
              <w:between w:val="nil"/>
            </w:pBdr>
            <w:tabs>
              <w:tab w:val="right" w:pos="8921"/>
            </w:tabs>
            <w:spacing w:after="100"/>
            <w:rPr>
              <w:rFonts w:ascii="Cambria" w:eastAsia="Cambria" w:hAnsi="Cambria" w:cs="Cambria"/>
              <w:color w:val="000000"/>
              <w:sz w:val="24"/>
              <w:szCs w:val="24"/>
            </w:rPr>
          </w:pPr>
          <w:hyperlink w:anchor="_heading=h.lnxbz9">
            <w:r w:rsidR="00736E4A">
              <w:rPr>
                <w:color w:val="000000"/>
              </w:rPr>
              <w:t>R E S U E L V E</w:t>
            </w:r>
            <w:r w:rsidR="00736E4A">
              <w:rPr>
                <w:color w:val="000000"/>
              </w:rPr>
              <w:tab/>
              <w:t>10</w:t>
            </w:r>
          </w:hyperlink>
        </w:p>
        <w:p w:rsidR="00325B3F" w:rsidRDefault="00736E4A">
          <w:pPr>
            <w:spacing w:after="0" w:line="360" w:lineRule="auto"/>
          </w:pPr>
          <w:r>
            <w:fldChar w:fldCharType="end"/>
          </w:r>
        </w:p>
      </w:sdtContent>
    </w:sdt>
    <w:p w:rsidR="00325B3F" w:rsidRDefault="00325B3F">
      <w:pPr>
        <w:tabs>
          <w:tab w:val="left" w:pos="8931"/>
        </w:tabs>
        <w:spacing w:after="0" w:line="360" w:lineRule="auto"/>
      </w:pPr>
    </w:p>
    <w:p w:rsidR="00325B3F" w:rsidRDefault="00325B3F">
      <w:pPr>
        <w:tabs>
          <w:tab w:val="left" w:pos="8931"/>
        </w:tabs>
        <w:spacing w:after="0" w:line="360" w:lineRule="auto"/>
      </w:pPr>
    </w:p>
    <w:p w:rsidR="00325B3F" w:rsidRDefault="00325B3F">
      <w:pPr>
        <w:tabs>
          <w:tab w:val="left" w:pos="8931"/>
        </w:tabs>
        <w:spacing w:after="0" w:line="360" w:lineRule="auto"/>
      </w:pPr>
    </w:p>
    <w:p w:rsidR="00325B3F" w:rsidRDefault="00325B3F">
      <w:pPr>
        <w:tabs>
          <w:tab w:val="left" w:pos="8931"/>
        </w:tabs>
        <w:spacing w:after="0" w:line="360" w:lineRule="auto"/>
      </w:pPr>
    </w:p>
    <w:p w:rsidR="00325B3F" w:rsidRDefault="00325B3F">
      <w:pPr>
        <w:tabs>
          <w:tab w:val="left" w:pos="8931"/>
        </w:tabs>
        <w:spacing w:after="0" w:line="360" w:lineRule="auto"/>
      </w:pPr>
    </w:p>
    <w:p w:rsidR="00325B3F" w:rsidRDefault="00325B3F">
      <w:pPr>
        <w:tabs>
          <w:tab w:val="left" w:pos="8931"/>
        </w:tabs>
        <w:spacing w:after="0" w:line="360" w:lineRule="auto"/>
      </w:pPr>
    </w:p>
    <w:p w:rsidR="00325B3F" w:rsidRDefault="00325B3F">
      <w:pPr>
        <w:tabs>
          <w:tab w:val="left" w:pos="8931"/>
        </w:tabs>
        <w:spacing w:after="0" w:line="360" w:lineRule="auto"/>
      </w:pPr>
    </w:p>
    <w:p w:rsidR="00325B3F" w:rsidRDefault="00325B3F">
      <w:pPr>
        <w:tabs>
          <w:tab w:val="left" w:pos="8931"/>
        </w:tabs>
        <w:spacing w:after="0" w:line="360" w:lineRule="auto"/>
      </w:pPr>
    </w:p>
    <w:p w:rsidR="00325B3F" w:rsidRDefault="00325B3F">
      <w:pPr>
        <w:tabs>
          <w:tab w:val="left" w:pos="8931"/>
        </w:tabs>
        <w:spacing w:after="0" w:line="360" w:lineRule="auto"/>
      </w:pPr>
    </w:p>
    <w:p w:rsidR="00325B3F" w:rsidRDefault="00325B3F">
      <w:pPr>
        <w:tabs>
          <w:tab w:val="left" w:pos="8931"/>
        </w:tabs>
        <w:spacing w:after="0" w:line="360" w:lineRule="auto"/>
      </w:pPr>
    </w:p>
    <w:p w:rsidR="00325B3F" w:rsidRDefault="00325B3F">
      <w:pPr>
        <w:tabs>
          <w:tab w:val="left" w:pos="8931"/>
        </w:tabs>
        <w:spacing w:after="0" w:line="360" w:lineRule="auto"/>
      </w:pPr>
    </w:p>
    <w:p w:rsidR="00325B3F" w:rsidRDefault="00325B3F">
      <w:pPr>
        <w:tabs>
          <w:tab w:val="left" w:pos="8931"/>
        </w:tabs>
        <w:spacing w:after="0" w:line="360" w:lineRule="auto"/>
      </w:pPr>
    </w:p>
    <w:p w:rsidR="00325B3F" w:rsidRDefault="00325B3F">
      <w:pPr>
        <w:tabs>
          <w:tab w:val="left" w:pos="8931"/>
        </w:tabs>
        <w:spacing w:after="0" w:line="360" w:lineRule="auto"/>
      </w:pPr>
    </w:p>
    <w:p w:rsidR="00325B3F" w:rsidRDefault="00325B3F">
      <w:pPr>
        <w:tabs>
          <w:tab w:val="left" w:pos="8931"/>
        </w:tabs>
        <w:spacing w:after="0" w:line="360" w:lineRule="auto"/>
      </w:pPr>
    </w:p>
    <w:p w:rsidR="00325B3F" w:rsidRDefault="00325B3F">
      <w:pPr>
        <w:tabs>
          <w:tab w:val="left" w:pos="8931"/>
        </w:tabs>
        <w:spacing w:after="0" w:line="360" w:lineRule="auto"/>
      </w:pPr>
    </w:p>
    <w:p w:rsidR="00325B3F" w:rsidRDefault="00736E4A">
      <w:pPr>
        <w:tabs>
          <w:tab w:val="left" w:pos="8931"/>
        </w:tabs>
        <w:spacing w:after="0" w:line="360" w:lineRule="auto"/>
      </w:pPr>
      <w:r>
        <w:t xml:space="preserve">Resolución del Pleno del Instituto de Transparencia, Acceso a la Información Pública y Protección de Datos Personales del Estado de México y Municipios, con domicilio en Metepec, Estado de México, de fecha veintinueve de enero de dos mil veinticinco. </w:t>
      </w:r>
    </w:p>
    <w:p w:rsidR="00325B3F" w:rsidRDefault="00325B3F">
      <w:pPr>
        <w:spacing w:after="0" w:line="360" w:lineRule="auto"/>
        <w:rPr>
          <w:b/>
        </w:rPr>
      </w:pPr>
    </w:p>
    <w:p w:rsidR="00325B3F" w:rsidRDefault="00736E4A">
      <w:pPr>
        <w:spacing w:after="0" w:line="360" w:lineRule="auto"/>
        <w:rPr>
          <w:color w:val="0D0D0D"/>
        </w:rPr>
      </w:pPr>
      <w:r>
        <w:rPr>
          <w:b/>
        </w:rPr>
        <w:t xml:space="preserve">VISTO </w:t>
      </w:r>
      <w:r>
        <w:t xml:space="preserve">el expediente electrónico conformado con motivo del Recurso de Revisión 00036/INFOEM/IP/RR/2025, interpuesto por la persona </w:t>
      </w:r>
      <w:r>
        <w:rPr>
          <w:color w:val="0D0D0D"/>
        </w:rPr>
        <w:t xml:space="preserve">Recurrente o Particular, en contra de la respuesta del Sujeto Obligado, Ayuntamiento de </w:t>
      </w:r>
      <w:proofErr w:type="spellStart"/>
      <w:r>
        <w:t>Temamatla</w:t>
      </w:r>
      <w:proofErr w:type="spellEnd"/>
      <w:r>
        <w:t>,</w:t>
      </w:r>
      <w:r>
        <w:rPr>
          <w:color w:val="0D0D0D"/>
        </w:rPr>
        <w:t xml:space="preserve"> a la solicitud de acceso a la información pública </w:t>
      </w:r>
      <w:r>
        <w:t>01198/TEMAMATL/IP/2024</w:t>
      </w:r>
      <w:r>
        <w:rPr>
          <w:color w:val="000000"/>
        </w:rPr>
        <w:t xml:space="preserve">, </w:t>
      </w:r>
      <w:r>
        <w:rPr>
          <w:color w:val="0D0D0D"/>
        </w:rPr>
        <w:t>se emite la presente Resolución, con base en los Antecedentes y Considerandos que se exponen a continuación:</w:t>
      </w:r>
    </w:p>
    <w:p w:rsidR="00325B3F" w:rsidRDefault="00325B3F">
      <w:pPr>
        <w:spacing w:after="0" w:line="360" w:lineRule="auto"/>
        <w:rPr>
          <w:b/>
        </w:rPr>
      </w:pPr>
    </w:p>
    <w:p w:rsidR="00325B3F" w:rsidRDefault="00736E4A">
      <w:pPr>
        <w:pStyle w:val="Ttulo1"/>
        <w:spacing w:before="0" w:after="0" w:line="360" w:lineRule="auto"/>
        <w:jc w:val="center"/>
        <w:rPr>
          <w:sz w:val="22"/>
          <w:szCs w:val="22"/>
        </w:rPr>
      </w:pPr>
      <w:bookmarkStart w:id="1" w:name="_heading=h.3znysh7" w:colFirst="0" w:colLast="0"/>
      <w:bookmarkEnd w:id="1"/>
      <w:r>
        <w:rPr>
          <w:sz w:val="22"/>
          <w:szCs w:val="22"/>
        </w:rPr>
        <w:t>A N T E C E D E N T E S</w:t>
      </w:r>
    </w:p>
    <w:p w:rsidR="00325B3F" w:rsidRDefault="00325B3F">
      <w:pPr>
        <w:spacing w:after="0" w:line="360" w:lineRule="auto"/>
        <w:jc w:val="center"/>
        <w:rPr>
          <w:b/>
        </w:rPr>
      </w:pPr>
    </w:p>
    <w:p w:rsidR="00325B3F" w:rsidRDefault="00736E4A">
      <w:pPr>
        <w:pStyle w:val="Ttulo2"/>
        <w:spacing w:before="0" w:after="0" w:line="360" w:lineRule="auto"/>
        <w:rPr>
          <w:sz w:val="22"/>
          <w:szCs w:val="22"/>
        </w:rPr>
      </w:pPr>
      <w:bookmarkStart w:id="2" w:name="_heading=h.2et92p0" w:colFirst="0" w:colLast="0"/>
      <w:bookmarkEnd w:id="2"/>
      <w:r>
        <w:rPr>
          <w:sz w:val="22"/>
          <w:szCs w:val="22"/>
        </w:rPr>
        <w:t>I. Presentación de la solicitud de información</w:t>
      </w:r>
    </w:p>
    <w:p w:rsidR="00325B3F" w:rsidRDefault="00325B3F">
      <w:pPr>
        <w:tabs>
          <w:tab w:val="left" w:pos="567"/>
        </w:tabs>
        <w:spacing w:after="0" w:line="360" w:lineRule="auto"/>
      </w:pPr>
    </w:p>
    <w:p w:rsidR="00325B3F" w:rsidRDefault="00736E4A">
      <w:pPr>
        <w:spacing w:after="0" w:line="360" w:lineRule="auto"/>
      </w:pPr>
      <w:r>
        <w:t xml:space="preserve">El seis de diciembre de dos mil veinticuatro, el Particular presentó una solicitud de acceso a la información pública, a través del Sistema de Acceso a la Información Mexiquense (SAIMEX), ante el Ayuntamiento de </w:t>
      </w:r>
      <w:proofErr w:type="spellStart"/>
      <w:r>
        <w:t>Temamatla</w:t>
      </w:r>
      <w:proofErr w:type="spellEnd"/>
      <w:r>
        <w:t xml:space="preserve">, en los siguientes términos: </w:t>
      </w:r>
    </w:p>
    <w:p w:rsidR="00325B3F" w:rsidRDefault="00325B3F">
      <w:pPr>
        <w:spacing w:after="0" w:line="360" w:lineRule="auto"/>
      </w:pPr>
    </w:p>
    <w:p w:rsidR="00325B3F" w:rsidRDefault="00736E4A">
      <w:pPr>
        <w:tabs>
          <w:tab w:val="left" w:pos="4667"/>
        </w:tabs>
        <w:spacing w:after="0" w:line="360" w:lineRule="auto"/>
        <w:ind w:left="567" w:right="567"/>
        <w:rPr>
          <w:b/>
          <w:i/>
          <w:sz w:val="20"/>
          <w:szCs w:val="20"/>
        </w:rPr>
      </w:pPr>
      <w:r>
        <w:rPr>
          <w:b/>
          <w:i/>
          <w:sz w:val="20"/>
          <w:szCs w:val="20"/>
        </w:rPr>
        <w:t>“DESCRIPCIÓN CLARA Y PRECISA DE LA INFORMACIÓN SOLICITADA.</w:t>
      </w:r>
    </w:p>
    <w:p w:rsidR="00325B3F" w:rsidRDefault="00736E4A">
      <w:pPr>
        <w:tabs>
          <w:tab w:val="left" w:pos="4667"/>
        </w:tabs>
        <w:spacing w:after="0" w:line="360" w:lineRule="auto"/>
        <w:ind w:left="567" w:right="567"/>
        <w:rPr>
          <w:i/>
          <w:sz w:val="20"/>
          <w:szCs w:val="20"/>
        </w:rPr>
      </w:pPr>
      <w:proofErr w:type="gramStart"/>
      <w:r>
        <w:rPr>
          <w:i/>
          <w:sz w:val="20"/>
          <w:szCs w:val="20"/>
        </w:rPr>
        <w:t>solicito</w:t>
      </w:r>
      <w:proofErr w:type="gramEnd"/>
      <w:r>
        <w:rPr>
          <w:i/>
          <w:sz w:val="20"/>
          <w:szCs w:val="20"/>
        </w:rPr>
        <w:t xml:space="preserve"> la balanza de </w:t>
      </w:r>
      <w:proofErr w:type="spellStart"/>
      <w:r>
        <w:rPr>
          <w:i/>
          <w:sz w:val="20"/>
          <w:szCs w:val="20"/>
        </w:rPr>
        <w:t>comprobacion</w:t>
      </w:r>
      <w:proofErr w:type="spellEnd"/>
      <w:r>
        <w:rPr>
          <w:i/>
          <w:sz w:val="20"/>
          <w:szCs w:val="20"/>
        </w:rPr>
        <w:t xml:space="preserve"> detallada al 01 de diciembre de 2024”</w:t>
      </w:r>
      <w:r>
        <w:rPr>
          <w:i/>
          <w:sz w:val="18"/>
          <w:szCs w:val="18"/>
        </w:rPr>
        <w:t xml:space="preserve"> </w:t>
      </w:r>
      <w:r>
        <w:rPr>
          <w:i/>
          <w:sz w:val="20"/>
          <w:szCs w:val="20"/>
        </w:rPr>
        <w:t xml:space="preserve">(Sic) </w:t>
      </w:r>
    </w:p>
    <w:p w:rsidR="00325B3F" w:rsidRDefault="00325B3F">
      <w:pPr>
        <w:tabs>
          <w:tab w:val="left" w:pos="4667"/>
        </w:tabs>
        <w:spacing w:after="0" w:line="360" w:lineRule="auto"/>
        <w:ind w:left="567" w:right="567"/>
        <w:rPr>
          <w:b/>
          <w:i/>
          <w:sz w:val="20"/>
          <w:szCs w:val="20"/>
        </w:rPr>
      </w:pPr>
    </w:p>
    <w:p w:rsidR="00325B3F" w:rsidRDefault="00736E4A">
      <w:pPr>
        <w:tabs>
          <w:tab w:val="left" w:pos="4667"/>
        </w:tabs>
        <w:spacing w:after="0" w:line="360" w:lineRule="auto"/>
        <w:ind w:left="567" w:right="567"/>
        <w:rPr>
          <w:b/>
          <w:i/>
          <w:sz w:val="20"/>
          <w:szCs w:val="20"/>
        </w:rPr>
      </w:pPr>
      <w:r>
        <w:rPr>
          <w:b/>
          <w:i/>
          <w:sz w:val="20"/>
          <w:szCs w:val="20"/>
        </w:rPr>
        <w:t>“MODALIDAD DE ENTREGA</w:t>
      </w:r>
    </w:p>
    <w:p w:rsidR="00325B3F" w:rsidRDefault="00736E4A">
      <w:pPr>
        <w:spacing w:after="0" w:line="360" w:lineRule="auto"/>
        <w:ind w:left="567" w:right="567"/>
        <w:rPr>
          <w:i/>
          <w:sz w:val="20"/>
          <w:szCs w:val="20"/>
        </w:rPr>
      </w:pPr>
      <w:r>
        <w:rPr>
          <w:i/>
          <w:sz w:val="20"/>
          <w:szCs w:val="20"/>
        </w:rPr>
        <w:t>A través del SAIMEX”</w:t>
      </w:r>
    </w:p>
    <w:p w:rsidR="00325B3F" w:rsidRDefault="00325B3F">
      <w:pPr>
        <w:spacing w:after="0" w:line="360" w:lineRule="auto"/>
      </w:pPr>
    </w:p>
    <w:p w:rsidR="00325B3F" w:rsidRDefault="00736E4A">
      <w:pPr>
        <w:pStyle w:val="Ttulo2"/>
        <w:spacing w:before="0" w:after="0" w:line="360" w:lineRule="auto"/>
        <w:rPr>
          <w:sz w:val="22"/>
          <w:szCs w:val="22"/>
        </w:rPr>
      </w:pPr>
      <w:bookmarkStart w:id="3" w:name="_heading=h.tyjcwt" w:colFirst="0" w:colLast="0"/>
      <w:bookmarkEnd w:id="3"/>
      <w:r>
        <w:rPr>
          <w:sz w:val="22"/>
          <w:szCs w:val="22"/>
        </w:rPr>
        <w:t>II. Respuesta del Sujeto Obligado</w:t>
      </w:r>
    </w:p>
    <w:p w:rsidR="00325B3F" w:rsidRDefault="00325B3F">
      <w:pPr>
        <w:spacing w:after="0" w:line="360" w:lineRule="auto"/>
        <w:rPr>
          <w:b/>
        </w:rPr>
      </w:pPr>
    </w:p>
    <w:p w:rsidR="00325B3F" w:rsidRDefault="00736E4A">
      <w:pPr>
        <w:spacing w:after="0" w:line="360" w:lineRule="auto"/>
      </w:pPr>
      <w:r>
        <w:lastRenderedPageBreak/>
        <w:t>El veintiséis de diciembre de dos mil veinticuatro, el Sujeto Obligado notificó, a través del Sistema de Acceso a la Información Mexiquense (SAIMEX), la respuesta a la solicitud de acceso a la información pública, a través del oficio número MT/TESORERIAMPAL/OI/1198/2024, del dieciséis de diciembre de dos mil veinticuatro, suscrito por la Tesorera Municipal y dirigido a la Titular de la Unidad de Transparencia, por medio del cual mencionó lo siguiente:</w:t>
      </w:r>
    </w:p>
    <w:p w:rsidR="00325B3F" w:rsidRDefault="00325B3F">
      <w:pPr>
        <w:spacing w:after="0" w:line="360" w:lineRule="auto"/>
      </w:pPr>
    </w:p>
    <w:p w:rsidR="00325B3F" w:rsidRDefault="00736E4A">
      <w:pPr>
        <w:spacing w:after="0" w:line="360" w:lineRule="auto"/>
        <w:ind w:left="567" w:right="567"/>
        <w:rPr>
          <w:i/>
          <w:sz w:val="20"/>
          <w:szCs w:val="20"/>
        </w:rPr>
      </w:pPr>
      <w:r>
        <w:rPr>
          <w:i/>
          <w:sz w:val="20"/>
          <w:szCs w:val="20"/>
        </w:rPr>
        <w:t>“…Esta dirección propone la consulta directa derivado de la cantidad, volumen, los recursos materiales y humanos con que cuenta esta dirección son limitados, así como el cambio de administración y la entrega recepción…</w:t>
      </w:r>
    </w:p>
    <w:p w:rsidR="00325B3F" w:rsidRDefault="00736E4A">
      <w:pPr>
        <w:spacing w:after="0" w:line="360" w:lineRule="auto"/>
        <w:ind w:left="567" w:right="567"/>
        <w:rPr>
          <w:i/>
          <w:sz w:val="20"/>
          <w:szCs w:val="20"/>
        </w:rPr>
      </w:pPr>
      <w:r>
        <w:rPr>
          <w:i/>
          <w:sz w:val="20"/>
          <w:szCs w:val="20"/>
        </w:rPr>
        <w:t>…”</w:t>
      </w:r>
    </w:p>
    <w:p w:rsidR="00325B3F" w:rsidRDefault="00325B3F">
      <w:pPr>
        <w:spacing w:after="0" w:line="360" w:lineRule="auto"/>
      </w:pPr>
    </w:p>
    <w:p w:rsidR="00325B3F" w:rsidRDefault="00736E4A">
      <w:pPr>
        <w:pStyle w:val="Ttulo2"/>
        <w:spacing w:before="0" w:after="0" w:line="360" w:lineRule="auto"/>
        <w:rPr>
          <w:sz w:val="22"/>
          <w:szCs w:val="22"/>
        </w:rPr>
      </w:pPr>
      <w:bookmarkStart w:id="4" w:name="_heading=h.3dy6vkm" w:colFirst="0" w:colLast="0"/>
      <w:bookmarkEnd w:id="4"/>
      <w:r>
        <w:rPr>
          <w:sz w:val="22"/>
          <w:szCs w:val="22"/>
        </w:rPr>
        <w:t>III. Interposición del Recurso de Revisión</w:t>
      </w:r>
    </w:p>
    <w:p w:rsidR="00325B3F" w:rsidRDefault="00325B3F">
      <w:pPr>
        <w:spacing w:after="0" w:line="360" w:lineRule="auto"/>
        <w:rPr>
          <w:b/>
        </w:rPr>
      </w:pPr>
    </w:p>
    <w:p w:rsidR="00325B3F" w:rsidRDefault="00736E4A">
      <w:pPr>
        <w:spacing w:after="0" w:line="360" w:lineRule="auto"/>
      </w:pPr>
      <w:r>
        <w:t>El trece de enero de dos mil veinticinco, se recibió en este Instituto, a través del Sistema de Acceso a la Información Mexiquense (SAIMEX), el Recurso de Revisión interpuesto por la persona Recurrente, en contra de la respuesta por el Sujeto Obligado, a la solicitud de información, (ya que se bien se registró el treinta de diciembre de dos mil veinticuatro, también es que fue inhábil), en los siguientes términos:</w:t>
      </w:r>
    </w:p>
    <w:p w:rsidR="00325B3F" w:rsidRDefault="00325B3F">
      <w:pPr>
        <w:spacing w:after="0" w:line="360" w:lineRule="auto"/>
      </w:pPr>
    </w:p>
    <w:p w:rsidR="00325B3F" w:rsidRDefault="00736E4A">
      <w:pPr>
        <w:spacing w:after="0" w:line="360" w:lineRule="auto"/>
        <w:ind w:left="567" w:right="567"/>
        <w:rPr>
          <w:i/>
          <w:sz w:val="20"/>
          <w:szCs w:val="20"/>
        </w:rPr>
      </w:pPr>
      <w:r>
        <w:rPr>
          <w:b/>
          <w:i/>
          <w:sz w:val="20"/>
          <w:szCs w:val="20"/>
        </w:rPr>
        <w:t>ACTO IMPUGNADO</w:t>
      </w:r>
    </w:p>
    <w:p w:rsidR="00325B3F" w:rsidRDefault="00736E4A">
      <w:pPr>
        <w:spacing w:after="0" w:line="360" w:lineRule="auto"/>
        <w:ind w:left="567" w:right="567"/>
        <w:rPr>
          <w:i/>
          <w:sz w:val="20"/>
          <w:szCs w:val="20"/>
        </w:rPr>
      </w:pPr>
      <w:r>
        <w:rPr>
          <w:i/>
          <w:sz w:val="20"/>
          <w:szCs w:val="20"/>
        </w:rPr>
        <w:t>ESPUESTA DE SOLICITUD” (Sic.)</w:t>
      </w:r>
    </w:p>
    <w:p w:rsidR="00325B3F" w:rsidRDefault="00325B3F">
      <w:pPr>
        <w:spacing w:after="0" w:line="360" w:lineRule="auto"/>
        <w:ind w:left="567" w:right="567"/>
        <w:rPr>
          <w:i/>
          <w:sz w:val="20"/>
          <w:szCs w:val="20"/>
        </w:rPr>
      </w:pPr>
    </w:p>
    <w:p w:rsidR="00325B3F" w:rsidRDefault="00736E4A">
      <w:pPr>
        <w:spacing w:after="0" w:line="360" w:lineRule="auto"/>
        <w:ind w:left="567" w:right="567"/>
        <w:rPr>
          <w:b/>
          <w:i/>
          <w:sz w:val="20"/>
          <w:szCs w:val="20"/>
        </w:rPr>
      </w:pPr>
      <w:r>
        <w:rPr>
          <w:b/>
          <w:i/>
          <w:sz w:val="20"/>
          <w:szCs w:val="20"/>
        </w:rPr>
        <w:t>RAZONES O MOTIVOS DE LA INCONFORMIDAD</w:t>
      </w:r>
    </w:p>
    <w:p w:rsidR="00325B3F" w:rsidRDefault="00736E4A">
      <w:pPr>
        <w:spacing w:after="0" w:line="360" w:lineRule="auto"/>
        <w:ind w:left="567" w:right="567" w:firstLine="32"/>
        <w:rPr>
          <w:i/>
          <w:sz w:val="20"/>
          <w:szCs w:val="20"/>
        </w:rPr>
      </w:pPr>
      <w:r>
        <w:rPr>
          <w:i/>
          <w:sz w:val="20"/>
          <w:szCs w:val="20"/>
        </w:rPr>
        <w:t xml:space="preserve">EL SERVIDOR PUBLICO AGOTA SU TIEMPO DE RESPUESTA EVADIENDO SU RESPONSABILIDAD, AUNADO A QUE MANIFIESTA UNA FECHA PARA CONSULTA DIRECTA DE UN PERIODO QUE YA NI SIQUIERA CORRESPONDE A SU GESTION, ENTORPECIENDO ESTO NUEVAMENTE CON EL ACCESO A LA INFORMACION </w:t>
      </w:r>
      <w:r>
        <w:rPr>
          <w:i/>
          <w:sz w:val="20"/>
          <w:szCs w:val="20"/>
        </w:rPr>
        <w:lastRenderedPageBreak/>
        <w:t>PUBLICA, SOLICITO LA INFORMACION ME SEA ENTREGA A TRAVES DE ESTA PLATAFORMA”</w:t>
      </w:r>
      <w:r>
        <w:rPr>
          <w:i/>
          <w:sz w:val="18"/>
          <w:szCs w:val="18"/>
        </w:rPr>
        <w:t xml:space="preserve"> </w:t>
      </w:r>
      <w:r>
        <w:rPr>
          <w:i/>
          <w:sz w:val="20"/>
          <w:szCs w:val="20"/>
        </w:rPr>
        <w:t>(Sic.)</w:t>
      </w:r>
    </w:p>
    <w:p w:rsidR="00325B3F" w:rsidRDefault="00325B3F">
      <w:pPr>
        <w:spacing w:after="0" w:line="360" w:lineRule="auto"/>
      </w:pPr>
    </w:p>
    <w:p w:rsidR="00325B3F" w:rsidRDefault="00736E4A">
      <w:pPr>
        <w:pStyle w:val="Ttulo2"/>
        <w:spacing w:before="0" w:after="0" w:line="360" w:lineRule="auto"/>
        <w:rPr>
          <w:sz w:val="22"/>
          <w:szCs w:val="22"/>
        </w:rPr>
      </w:pPr>
      <w:bookmarkStart w:id="5" w:name="_heading=h.1t3h5sf" w:colFirst="0" w:colLast="0"/>
      <w:bookmarkEnd w:id="5"/>
      <w:r>
        <w:rPr>
          <w:sz w:val="22"/>
          <w:szCs w:val="22"/>
        </w:rPr>
        <w:t>IV. Trámite del Recurso de Revisión ante este Instituto</w:t>
      </w:r>
    </w:p>
    <w:p w:rsidR="00325B3F" w:rsidRDefault="00325B3F">
      <w:pPr>
        <w:spacing w:after="0" w:line="360" w:lineRule="auto"/>
        <w:rPr>
          <w:b/>
        </w:rPr>
      </w:pPr>
    </w:p>
    <w:p w:rsidR="00325B3F" w:rsidRDefault="00736E4A">
      <w:pPr>
        <w:spacing w:after="0" w:line="360" w:lineRule="auto"/>
      </w:pPr>
      <w:r>
        <w:rPr>
          <w:b/>
        </w:rPr>
        <w:t>a) Turno del Medio de Impugnación.</w:t>
      </w:r>
      <w:r>
        <w:t xml:space="preserve"> El trece de enero de dos mil veinticinco, el Sistema de Acceso a la Información Mexiquense (SAIMEX), asignó el número de expediente </w:t>
      </w:r>
      <w:r>
        <w:rPr>
          <w:b/>
        </w:rPr>
        <w:t>00036/INFOEM/IP/RR/2025</w:t>
      </w:r>
      <w: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rsidR="00325B3F" w:rsidRDefault="00325B3F">
      <w:pPr>
        <w:spacing w:after="0" w:line="360" w:lineRule="auto"/>
        <w:rPr>
          <w:b/>
        </w:rPr>
      </w:pPr>
    </w:p>
    <w:p w:rsidR="00325B3F" w:rsidRDefault="00736E4A">
      <w:pPr>
        <w:spacing w:after="0" w:line="360" w:lineRule="auto"/>
      </w:pPr>
      <w:r>
        <w:rPr>
          <w:b/>
        </w:rPr>
        <w:t xml:space="preserve">b) Admisión del Recurso de Revisión. </w:t>
      </w:r>
      <w:r>
        <w:t>El quince de enero de dos mil veinticinco,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rsidR="00325B3F" w:rsidRDefault="00325B3F">
      <w:pPr>
        <w:spacing w:after="0" w:line="360" w:lineRule="auto"/>
      </w:pPr>
    </w:p>
    <w:p w:rsidR="00325B3F" w:rsidRDefault="00736E4A">
      <w:pPr>
        <w:spacing w:after="0" w:line="360" w:lineRule="auto"/>
      </w:pPr>
      <w:r>
        <w:rPr>
          <w:b/>
        </w:rPr>
        <w:t xml:space="preserve">c) Informe Justificado o Manifestaciones. </w:t>
      </w:r>
      <w:r>
        <w:t>Las partes fueron omisas en emitir manifestaciones o alegatos.</w:t>
      </w:r>
    </w:p>
    <w:p w:rsidR="00325B3F" w:rsidRDefault="00325B3F">
      <w:pPr>
        <w:spacing w:after="0" w:line="360" w:lineRule="auto"/>
      </w:pPr>
    </w:p>
    <w:p w:rsidR="00325B3F" w:rsidRDefault="00736E4A">
      <w:pPr>
        <w:spacing w:line="360" w:lineRule="auto"/>
        <w:rPr>
          <w:i/>
        </w:rPr>
      </w:pPr>
      <w:r>
        <w:rPr>
          <w:b/>
        </w:rPr>
        <w:t xml:space="preserve">d) Recurso de Revisión Desistido. </w:t>
      </w:r>
      <w:r>
        <w:t xml:space="preserve">El veintitrés de enero de dos mil veinticinco, el Recurrente, a través del Sistema de Acceso a la Información Mexiquense (SAIMEX), se desistió del Recurso de Revisión, al precisar lo siguiente </w:t>
      </w:r>
      <w:r>
        <w:rPr>
          <w:i/>
        </w:rPr>
        <w:t xml:space="preserve">“ya no es necesaria la </w:t>
      </w:r>
      <w:proofErr w:type="spellStart"/>
      <w:r>
        <w:rPr>
          <w:i/>
        </w:rPr>
        <w:t>informacion</w:t>
      </w:r>
      <w:proofErr w:type="spellEnd"/>
      <w:r>
        <w:rPr>
          <w:i/>
        </w:rPr>
        <w:t>”.</w:t>
      </w:r>
    </w:p>
    <w:p w:rsidR="00325B3F" w:rsidRDefault="00736E4A">
      <w:pPr>
        <w:spacing w:after="0" w:line="360" w:lineRule="auto"/>
      </w:pPr>
      <w:r>
        <w:rPr>
          <w:b/>
        </w:rPr>
        <w:lastRenderedPageBreak/>
        <w:t>e) Cierre de instrucción.</w:t>
      </w:r>
      <w:r>
        <w:t xml:space="preserve"> El veintisiete de enero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rsidR="00325B3F" w:rsidRDefault="00325B3F">
      <w:pPr>
        <w:spacing w:after="0" w:line="360" w:lineRule="auto"/>
      </w:pPr>
    </w:p>
    <w:p w:rsidR="00325B3F" w:rsidRDefault="00736E4A">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rsidR="00325B3F" w:rsidRDefault="00325B3F">
      <w:pPr>
        <w:spacing w:after="0" w:line="360" w:lineRule="auto"/>
        <w:rPr>
          <w:b/>
          <w:color w:val="000000"/>
        </w:rPr>
      </w:pPr>
    </w:p>
    <w:p w:rsidR="00325B3F" w:rsidRDefault="00736E4A">
      <w:pPr>
        <w:pStyle w:val="Ttulo1"/>
        <w:spacing w:before="0" w:after="0" w:line="360" w:lineRule="auto"/>
        <w:jc w:val="center"/>
        <w:rPr>
          <w:sz w:val="22"/>
          <w:szCs w:val="22"/>
        </w:rPr>
      </w:pPr>
      <w:bookmarkStart w:id="6" w:name="_heading=h.4d34og8" w:colFirst="0" w:colLast="0"/>
      <w:bookmarkEnd w:id="6"/>
      <w:r>
        <w:rPr>
          <w:sz w:val="22"/>
          <w:szCs w:val="22"/>
        </w:rPr>
        <w:t>C O N S I D E R A N D O S</w:t>
      </w:r>
    </w:p>
    <w:p w:rsidR="00325B3F" w:rsidRDefault="00325B3F">
      <w:pPr>
        <w:spacing w:after="0" w:line="360" w:lineRule="auto"/>
        <w:jc w:val="center"/>
        <w:rPr>
          <w:b/>
          <w:color w:val="000000"/>
        </w:rPr>
      </w:pPr>
    </w:p>
    <w:p w:rsidR="00325B3F" w:rsidRDefault="00736E4A">
      <w:pPr>
        <w:pStyle w:val="Ttulo2"/>
        <w:spacing w:before="0" w:after="0" w:line="360" w:lineRule="auto"/>
        <w:rPr>
          <w:sz w:val="22"/>
          <w:szCs w:val="22"/>
        </w:rPr>
      </w:pPr>
      <w:bookmarkStart w:id="7" w:name="_heading=h.2s8eyo1" w:colFirst="0" w:colLast="0"/>
      <w:bookmarkEnd w:id="7"/>
      <w:r>
        <w:rPr>
          <w:sz w:val="22"/>
          <w:szCs w:val="22"/>
        </w:rPr>
        <w:t>PRIMERO. Competencia</w:t>
      </w:r>
    </w:p>
    <w:p w:rsidR="00325B3F" w:rsidRDefault="00325B3F">
      <w:pPr>
        <w:spacing w:after="0" w:line="360" w:lineRule="auto"/>
        <w:rPr>
          <w:b/>
          <w:color w:val="000000"/>
        </w:rPr>
      </w:pPr>
    </w:p>
    <w:p w:rsidR="00325B3F" w:rsidRDefault="00736E4A">
      <w:pPr>
        <w:spacing w:after="0" w:line="360" w:lineRule="auto"/>
      </w:pPr>
      <w:bookmarkStart w:id="8" w:name="_heading=h.30j0zll" w:colFirst="0" w:colLast="0"/>
      <w:bookmarkEnd w:id="8"/>
      <w: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325B3F" w:rsidRDefault="00736E4A">
      <w:pPr>
        <w:pStyle w:val="Ttulo2"/>
        <w:spacing w:before="0" w:after="0" w:line="360" w:lineRule="auto"/>
        <w:rPr>
          <w:sz w:val="22"/>
          <w:szCs w:val="22"/>
        </w:rPr>
      </w:pPr>
      <w:bookmarkStart w:id="9" w:name="_heading=h.17dp8vu" w:colFirst="0" w:colLast="0"/>
      <w:bookmarkEnd w:id="9"/>
      <w:r>
        <w:rPr>
          <w:sz w:val="22"/>
          <w:szCs w:val="22"/>
        </w:rPr>
        <w:lastRenderedPageBreak/>
        <w:t xml:space="preserve">SEGUNDO. Causales de improcedencia </w:t>
      </w:r>
    </w:p>
    <w:p w:rsidR="00325B3F" w:rsidRDefault="00325B3F">
      <w:pPr>
        <w:spacing w:after="0" w:line="360" w:lineRule="auto"/>
        <w:rPr>
          <w:color w:val="000000"/>
        </w:rPr>
      </w:pPr>
    </w:p>
    <w:p w:rsidR="00325B3F" w:rsidRDefault="00736E4A">
      <w:pPr>
        <w:spacing w:after="0" w:line="360" w:lineRule="auto"/>
        <w:rPr>
          <w:color w:val="000000"/>
        </w:rPr>
      </w:pPr>
      <w:r>
        <w:rPr>
          <w:color w:val="000000"/>
        </w:rPr>
        <w:t xml:space="preserve">De las constancias que forma parte del Recurso de Revisión que se analiza, se advierte que previo al estudio del fondo de la </w:t>
      </w:r>
      <w:proofErr w:type="spellStart"/>
      <w:r>
        <w:rPr>
          <w:i/>
          <w:color w:val="000000"/>
        </w:rPr>
        <w:t>litis</w:t>
      </w:r>
      <w:proofErr w:type="spellEnd"/>
      <w:r>
        <w:rPr>
          <w:color w:val="000000"/>
        </w:rPr>
        <w:t>, es necesario estudiar las causales de improcedencia y sobreseimiento que se adviertan, para determinar lo que en Derecho proceda.</w:t>
      </w:r>
    </w:p>
    <w:p w:rsidR="00325B3F" w:rsidRDefault="00325B3F">
      <w:pPr>
        <w:spacing w:after="0" w:line="360" w:lineRule="auto"/>
        <w:rPr>
          <w:color w:val="000000"/>
        </w:rPr>
      </w:pPr>
    </w:p>
    <w:p w:rsidR="00325B3F" w:rsidRDefault="00736E4A">
      <w:pPr>
        <w:spacing w:after="0" w:line="360" w:lineRule="auto"/>
        <w:rPr>
          <w:b/>
        </w:rPr>
      </w:pPr>
      <w:r>
        <w:rPr>
          <w:b/>
        </w:rPr>
        <w:t>Causales de improcedencia</w:t>
      </w:r>
    </w:p>
    <w:p w:rsidR="00325B3F" w:rsidRDefault="00325B3F">
      <w:pPr>
        <w:spacing w:after="0" w:line="360" w:lineRule="auto"/>
      </w:pPr>
    </w:p>
    <w:p w:rsidR="00325B3F" w:rsidRDefault="00736E4A">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325B3F" w:rsidRDefault="00325B3F">
      <w:pPr>
        <w:spacing w:after="0" w:line="360" w:lineRule="auto"/>
        <w:rPr>
          <w:color w:val="000000"/>
        </w:rPr>
      </w:pPr>
    </w:p>
    <w:p w:rsidR="00325B3F" w:rsidRDefault="00736E4A">
      <w:pPr>
        <w:spacing w:after="0" w:line="360" w:lineRule="auto"/>
      </w:pPr>
      <w:r>
        <w:rPr>
          <w:color w:val="000000"/>
        </w:rPr>
        <w:t>En el presente caso, </w:t>
      </w:r>
      <w:r>
        <w:rPr>
          <w:b/>
          <w:color w:val="000000"/>
        </w:rPr>
        <w:t>no se actualiza ninguna de las causales de improcedencia</w:t>
      </w:r>
      <w:r>
        <w:rPr>
          <w:color w:val="000000"/>
        </w:rP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 </w:t>
      </w:r>
      <w:r>
        <w:t xml:space="preserve">Por lo cual, se actualiza la causal de procedencia del Recurso de Revisión señalada en el artículo 179, fracción VIII, de la Ley en cita, pues la persona Recurrente se inconformó de </w:t>
      </w:r>
      <w:r>
        <w:rPr>
          <w:color w:val="000000"/>
        </w:rPr>
        <w:t>con la entrega o puesta a disposición de información en una modalidad distinta a la solicitada.</w:t>
      </w:r>
    </w:p>
    <w:p w:rsidR="00325B3F" w:rsidRDefault="00736E4A">
      <w:pPr>
        <w:pStyle w:val="Ttulo2"/>
        <w:rPr>
          <w:sz w:val="22"/>
          <w:szCs w:val="22"/>
        </w:rPr>
      </w:pPr>
      <w:bookmarkStart w:id="10" w:name="_heading=h.3rdcrjn" w:colFirst="0" w:colLast="0"/>
      <w:bookmarkEnd w:id="10"/>
      <w:r>
        <w:rPr>
          <w:sz w:val="22"/>
          <w:szCs w:val="22"/>
        </w:rPr>
        <w:lastRenderedPageBreak/>
        <w:t>TERCERO. Causales de sobreseimiento</w:t>
      </w:r>
    </w:p>
    <w:p w:rsidR="00325B3F" w:rsidRDefault="00325B3F">
      <w:pPr>
        <w:spacing w:after="0" w:line="360" w:lineRule="auto"/>
        <w:rPr>
          <w:b/>
          <w:color w:val="0D0D0D"/>
        </w:rPr>
      </w:pPr>
    </w:p>
    <w:p w:rsidR="00325B3F" w:rsidRDefault="00736E4A">
      <w:pPr>
        <w:spacing w:after="0" w:line="360" w:lineRule="auto"/>
      </w:pPr>
      <w:r>
        <w:t xml:space="preserve">Por ser de previo y especial pronunciamiento, este Instituto analiza si se actualiza alguna causal de sobreseimiento. </w:t>
      </w:r>
    </w:p>
    <w:p w:rsidR="00325B3F" w:rsidRDefault="00325B3F">
      <w:pPr>
        <w:spacing w:after="0" w:line="360" w:lineRule="auto"/>
      </w:pPr>
    </w:p>
    <w:p w:rsidR="00325B3F" w:rsidRDefault="00736E4A">
      <w:pPr>
        <w:spacing w:after="0" w:line="360" w:lineRule="auto"/>
      </w:pPr>
      <w:r>
        <w:t xml:space="preserve">El artículo 192 de la </w:t>
      </w:r>
      <w:r>
        <w:rPr>
          <w:color w:val="000000"/>
        </w:rPr>
        <w:t xml:space="preserve">Ley Transparencia y Acceso a la Información Pública del Estado de México y Municipios, señala las causales por las cuales se puede sobreseer en todo o en parte el Recurso de Revisión; así, </w:t>
      </w:r>
      <w:r>
        <w:t>del análisis realizado por este Instituto, se advierte que</w:t>
      </w:r>
      <w:r>
        <w:rPr>
          <w:b/>
        </w:rPr>
        <w:t xml:space="preserve"> no se configuran las causales establecidas en las fracciones II, III, IV y V, </w:t>
      </w:r>
      <w:r>
        <w:t>toda vez que no hay constancias en el expediente en que se actúa, de que el Recurrente haya fallecido, sobreviniera alguna causal de improcedencia, que el Sujeto Obligado hubiese modificado o revocado el acto impugnado o bien, haya quedado sin materia.</w:t>
      </w:r>
    </w:p>
    <w:p w:rsidR="00325B3F" w:rsidRDefault="00325B3F">
      <w:pPr>
        <w:widowControl w:val="0"/>
        <w:spacing w:after="0" w:line="360" w:lineRule="auto"/>
      </w:pPr>
    </w:p>
    <w:p w:rsidR="00325B3F" w:rsidRDefault="00736E4A">
      <w:pPr>
        <w:spacing w:after="0" w:line="360" w:lineRule="auto"/>
        <w:rPr>
          <w:color w:val="FF0000"/>
        </w:rPr>
      </w:pPr>
      <w:r>
        <w:t>No obstante, por lo que hace a la hipótesis prevista en la fracción I, a saber, que el Solicitante se haya desistido del Medio de Impugnación, se colige que la persona Recurrente, realizó dicha acción de manera expresa en el presente Recurso de Revisión, a través del Sistema de Acceso a la Información Mexiquense (SAIMEX), el veintitrés de enero de dos mil veinticinco, como se observa a continuación:</w:t>
      </w:r>
      <w:r>
        <w:rPr>
          <w:color w:val="FF0000"/>
        </w:rPr>
        <w:t xml:space="preserve">   </w:t>
      </w:r>
    </w:p>
    <w:p w:rsidR="00325B3F" w:rsidRDefault="00325B3F">
      <w:pPr>
        <w:spacing w:after="0" w:line="360" w:lineRule="auto"/>
      </w:pPr>
    </w:p>
    <w:p w:rsidR="00325B3F" w:rsidRDefault="00736E4A">
      <w:pPr>
        <w:spacing w:after="0" w:line="360" w:lineRule="auto"/>
        <w:jc w:val="center"/>
      </w:pPr>
      <w:r>
        <w:rPr>
          <w:noProof/>
        </w:rPr>
        <w:drawing>
          <wp:inline distT="0" distB="0" distL="0" distR="0">
            <wp:extent cx="1990675" cy="2175012"/>
            <wp:effectExtent l="0" t="0" r="0" b="0"/>
            <wp:docPr id="1157577160" name="image2.png" descr="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10;&#10;Descripción generada automáticamente"/>
                    <pic:cNvPicPr preferRelativeResize="0"/>
                  </pic:nvPicPr>
                  <pic:blipFill>
                    <a:blip r:embed="rId7"/>
                    <a:srcRect r="60026" b="596"/>
                    <a:stretch>
                      <a:fillRect/>
                    </a:stretch>
                  </pic:blipFill>
                  <pic:spPr>
                    <a:xfrm>
                      <a:off x="0" y="0"/>
                      <a:ext cx="1990675" cy="2175012"/>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1828800</wp:posOffset>
                </wp:positionH>
                <wp:positionV relativeFrom="paragraph">
                  <wp:posOffset>1892300</wp:posOffset>
                </wp:positionV>
                <wp:extent cx="1952625" cy="276225"/>
                <wp:effectExtent l="0" t="0" r="0" b="0"/>
                <wp:wrapNone/>
                <wp:docPr id="1157577159" name="Rectángulo 1157577159"/>
                <wp:cNvGraphicFramePr/>
                <a:graphic xmlns:a="http://schemas.openxmlformats.org/drawingml/2006/main">
                  <a:graphicData uri="http://schemas.microsoft.com/office/word/2010/wordprocessingShape">
                    <wps:wsp>
                      <wps:cNvSpPr/>
                      <wps:spPr>
                        <a:xfrm>
                          <a:off x="4383975" y="3656175"/>
                          <a:ext cx="1924050" cy="247650"/>
                        </a:xfrm>
                        <a:prstGeom prst="rect">
                          <a:avLst/>
                        </a:prstGeom>
                        <a:noFill/>
                        <a:ln w="28575" cap="flat" cmpd="sng">
                          <a:solidFill>
                            <a:schemeClr val="dk1"/>
                          </a:solidFill>
                          <a:prstDash val="solid"/>
                          <a:round/>
                          <a:headEnd type="none" w="sm" len="sm"/>
                          <a:tailEnd type="none" w="sm" len="sm"/>
                        </a:ln>
                      </wps:spPr>
                      <wps:txbx>
                        <w:txbxContent>
                          <w:p w:rsidR="00325B3F" w:rsidRDefault="00325B3F">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1828800</wp:posOffset>
                </wp:positionH>
                <wp:positionV relativeFrom="paragraph">
                  <wp:posOffset>1892300</wp:posOffset>
                </wp:positionV>
                <wp:extent cx="1952625" cy="276225"/>
                <wp:effectExtent b="0" l="0" r="0" t="0"/>
                <wp:wrapNone/>
                <wp:docPr id="115757715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952625" cy="276225"/>
                        </a:xfrm>
                        <a:prstGeom prst="rect"/>
                        <a:ln/>
                      </pic:spPr>
                    </pic:pic>
                  </a:graphicData>
                </a:graphic>
              </wp:anchor>
            </w:drawing>
          </mc:Fallback>
        </mc:AlternateContent>
      </w:r>
    </w:p>
    <w:p w:rsidR="00325B3F" w:rsidRDefault="00736E4A">
      <w:pPr>
        <w:spacing w:after="0" w:line="360" w:lineRule="auto"/>
        <w:rPr>
          <w:b/>
        </w:rPr>
      </w:pPr>
      <w:r>
        <w:rPr>
          <w:color w:val="000000"/>
        </w:rPr>
        <w:lastRenderedPageBreak/>
        <w:t xml:space="preserve">De lo anterior, se aprecia que el Particular </w:t>
      </w:r>
      <w:r>
        <w:rPr>
          <w:b/>
          <w:color w:val="000000"/>
        </w:rPr>
        <w:t>manifestó expresamente su voluntad de desistirse del Recurso de Revisión 00036/INFOEM/IP/RR/2025</w:t>
      </w:r>
      <w:r>
        <w:rPr>
          <w:b/>
        </w:rPr>
        <w:t xml:space="preserve">, al precisar que ya no necesita la información y seleccionar dicho paso, por medio del Sistema de Acceso a la Información Mexiquense (SAIMEX), </w:t>
      </w:r>
      <w:r>
        <w:t>por lo que, se estima que se actualiza el supuesto previsto en el artículo 192, fracción I, de la Ley de la materia; además, resulta aplicable la Jurisprudencia número 1a./J. 65/2005, Semanario Judicial de la Federación y su Gaceta, Novena Época, Tomo XXII, julio de dos mil cinco, página ciento sesenta y uno, que establece lo siguiente:</w:t>
      </w:r>
    </w:p>
    <w:p w:rsidR="00325B3F" w:rsidRDefault="00325B3F">
      <w:pPr>
        <w:spacing w:after="0" w:line="360" w:lineRule="auto"/>
      </w:pPr>
    </w:p>
    <w:p w:rsidR="00325B3F" w:rsidRDefault="00736E4A">
      <w:pPr>
        <w:spacing w:after="0" w:line="360" w:lineRule="auto"/>
        <w:ind w:left="567" w:right="567"/>
        <w:rPr>
          <w:i/>
          <w:sz w:val="20"/>
          <w:szCs w:val="20"/>
        </w:rPr>
      </w:pPr>
      <w:r>
        <w:rPr>
          <w:i/>
          <w:sz w:val="20"/>
          <w:szCs w:val="20"/>
        </w:rPr>
        <w:t>“</w:t>
      </w:r>
      <w:r>
        <w:rPr>
          <w:b/>
          <w:i/>
          <w:sz w:val="20"/>
          <w:szCs w:val="20"/>
        </w:rPr>
        <w:t>DESISTIMIENTO DE LA INSTANCIA. SURTE EFECTOS DESDE EL MOMENTO EN QUE SE PRESENTA EL ESCRITO CORRESPONDIENTE.</w:t>
      </w:r>
      <w:r>
        <w:rPr>
          <w:i/>
          <w:sz w:val="20"/>
          <w:szCs w:val="20"/>
        </w:rPr>
        <w:t xml:space="preserve"> </w:t>
      </w:r>
    </w:p>
    <w:p w:rsidR="00325B3F" w:rsidRDefault="00736E4A">
      <w:pPr>
        <w:spacing w:after="0" w:line="360" w:lineRule="auto"/>
        <w:ind w:left="567" w:right="567"/>
        <w:rPr>
          <w:i/>
          <w:sz w:val="20"/>
          <w:szCs w:val="20"/>
        </w:rPr>
      </w:pPr>
      <w:r>
        <w:rPr>
          <w:i/>
          <w:sz w:val="20"/>
          <w:szCs w:val="20"/>
        </w:rPr>
        <w:t>Los órganos jurisdiccionales tienen conocimiento de las pretensiones de las partes sólo a partir de que la promoción respectiva es presentada y, en tal virtud, en ese momento surge la obligación de atender la petición correspondiente.  Por ello, puede considerarse que las promociones de las partes surten efecto desde el momento en que se presentan y no hasta que son acordadas por el tribunal o hasta que se notifique a la contraparte el acuerdo respectivo.  De esta manera, cuando se presenta el escrito de desistimiento de la instancia, se hace saber al juzgador la intención del actor de destruir los efectos jurídicos generados con la demanda, y como el efecto que produce el desistimiento es que las cosas vuelvan al estado que tenían antes de su presentación, desde ese momento desaparece cualquier efecto jurídico que pudiera haberse generado con la demanda, esto es, todos los derechos y las obligaciones derivados de la manifestación de la voluntad de demandar se destruyen, como si nunca se hubiera presentado la demanda ni hubiera existido el juicio;  ello con independencia de que exija la ratificación de la mencionada promoción y ésta se haga con posterioridad, ya que en estos casos, por igualdad de razón, los efectos del desistimiento se retrotraen a la fecha de presentación del escrito ante la autoridad jurisdiccional.”</w:t>
      </w:r>
    </w:p>
    <w:p w:rsidR="00325B3F" w:rsidRDefault="00325B3F">
      <w:pPr>
        <w:spacing w:after="0" w:line="360" w:lineRule="auto"/>
      </w:pPr>
    </w:p>
    <w:p w:rsidR="00325B3F" w:rsidRDefault="00736E4A">
      <w:pPr>
        <w:spacing w:after="0" w:line="360" w:lineRule="auto"/>
      </w:pPr>
      <w:r>
        <w:t xml:space="preserve">Así, se puede colegir que cuando la persona Recurrente presente un escrito de desistimiento, le hace saber a este Instituto la intención de destruir los efectos jurídicos generados con el </w:t>
      </w:r>
      <w:r>
        <w:lastRenderedPageBreak/>
        <w:t>Recurso de Revisión, situación que genera el efecto de que las cosas vuelvan al estado que tenía la solicitud de información antes de la presentación del Medio de Impugnación y por lo cual, desaparece cualquier efecto jurídico que pudiera haberse generado con este, es decir, todos los derechos y obligaciones de las partes.</w:t>
      </w:r>
    </w:p>
    <w:p w:rsidR="00325B3F" w:rsidRDefault="00736E4A">
      <w:pPr>
        <w:pStyle w:val="Ttulo2"/>
        <w:spacing w:after="0"/>
        <w:rPr>
          <w:sz w:val="22"/>
          <w:szCs w:val="22"/>
        </w:rPr>
      </w:pPr>
      <w:bookmarkStart w:id="11" w:name="_heading=h.26in1rg" w:colFirst="0" w:colLast="0"/>
      <w:bookmarkEnd w:id="11"/>
      <w:r>
        <w:rPr>
          <w:sz w:val="22"/>
          <w:szCs w:val="22"/>
        </w:rPr>
        <w:t>CUARTO. Decisión</w:t>
      </w:r>
    </w:p>
    <w:p w:rsidR="00325B3F" w:rsidRDefault="00325B3F">
      <w:pPr>
        <w:spacing w:after="0" w:line="360" w:lineRule="auto"/>
        <w:rPr>
          <w:b/>
        </w:rPr>
      </w:pPr>
    </w:p>
    <w:p w:rsidR="00325B3F" w:rsidRDefault="00736E4A">
      <w:pPr>
        <w:widowControl w:val="0"/>
        <w:spacing w:after="0" w:line="360" w:lineRule="auto"/>
      </w:pPr>
      <w:r>
        <w:t xml:space="preserve">Así, toda vez que este Instituto constató que el Recurrente se desistió por la vía idónea para realizar dicha acción, a saber, por el Sistema de Acceso a la Información Mexiquense (SAIMEX), resulta procedente </w:t>
      </w:r>
      <w:r>
        <w:rPr>
          <w:b/>
        </w:rPr>
        <w:t xml:space="preserve">SOBRESEER </w:t>
      </w:r>
      <w:r>
        <w:t>el Recurso de Revisión con número 00036/INFOEM/IP/RR/2025</w:t>
      </w:r>
      <w:r>
        <w:rPr>
          <w:b/>
        </w:rPr>
        <w:t xml:space="preserve">, </w:t>
      </w:r>
      <w:r>
        <w:t>al actualizarse el supuesto previsto en el artículo 192, fracción I, de la Ley de Transparencia y Acceso a la Información Pública del Estado de México y Municipios, en relación con el 186, fracción I de ese ordenamiento legal.</w:t>
      </w:r>
    </w:p>
    <w:p w:rsidR="00325B3F" w:rsidRDefault="00325B3F">
      <w:pPr>
        <w:spacing w:after="0" w:line="360" w:lineRule="auto"/>
        <w:rPr>
          <w:b/>
        </w:rPr>
      </w:pPr>
    </w:p>
    <w:p w:rsidR="00325B3F" w:rsidRDefault="00736E4A">
      <w:pPr>
        <w:spacing w:after="0" w:line="360" w:lineRule="auto"/>
        <w:rPr>
          <w:b/>
        </w:rPr>
      </w:pPr>
      <w:r>
        <w:rPr>
          <w:b/>
        </w:rPr>
        <w:t>Términos de la Resolución para conocimiento del Particular</w:t>
      </w:r>
    </w:p>
    <w:p w:rsidR="00325B3F" w:rsidRDefault="00325B3F">
      <w:pPr>
        <w:spacing w:after="0" w:line="360" w:lineRule="auto"/>
        <w:rPr>
          <w:b/>
        </w:rPr>
      </w:pPr>
    </w:p>
    <w:p w:rsidR="00325B3F" w:rsidRDefault="00736E4A">
      <w:pPr>
        <w:spacing w:after="0" w:line="360" w:lineRule="auto"/>
      </w:pPr>
      <w:r>
        <w:t xml:space="preserve">Se le hace del conocimiento a la persona Recurrente que, en el presente caso, al desistirse del Medio de Impugnación, se actualiza la causal de sobreseimiento, establecida en el artículo 192, fracción I, de la Ley de Transparencia y Acceso a la Información Pública del Estado de México y Municipios. </w:t>
      </w:r>
    </w:p>
    <w:p w:rsidR="00325B3F" w:rsidRDefault="00325B3F">
      <w:pPr>
        <w:spacing w:after="0" w:line="360" w:lineRule="auto"/>
      </w:pPr>
    </w:p>
    <w:p w:rsidR="00325B3F" w:rsidRDefault="00736E4A">
      <w:pPr>
        <w:spacing w:after="0" w:line="360" w:lineRule="auto"/>
        <w:rPr>
          <w:color w:val="000000"/>
        </w:rPr>
      </w:pPr>
      <w:r>
        <w:rPr>
          <w:color w:val="000000"/>
        </w:rPr>
        <w:t>Finalmente, se le informa que la labor del Instituto de Transparencia, Acceso a la Información Pública y Protección de Datos Personales del Estado de México y Municipios, es apoyar a la población a acceder a la información pública y garantizar la protección de los datos personales.</w:t>
      </w:r>
    </w:p>
    <w:p w:rsidR="00325B3F" w:rsidRDefault="00325B3F">
      <w:pPr>
        <w:spacing w:after="0" w:line="360" w:lineRule="auto"/>
      </w:pPr>
    </w:p>
    <w:p w:rsidR="00325B3F" w:rsidRDefault="00736E4A">
      <w:pPr>
        <w:spacing w:after="0" w:line="360" w:lineRule="auto"/>
      </w:pPr>
      <w:r>
        <w:t>Por lo expuesto y fundado, este Pleno:</w:t>
      </w:r>
    </w:p>
    <w:p w:rsidR="00325B3F" w:rsidRDefault="00736E4A">
      <w:pPr>
        <w:pStyle w:val="Ttulo1"/>
        <w:spacing w:before="0" w:after="0" w:line="360" w:lineRule="auto"/>
        <w:jc w:val="center"/>
        <w:rPr>
          <w:sz w:val="22"/>
          <w:szCs w:val="22"/>
        </w:rPr>
      </w:pPr>
      <w:bookmarkStart w:id="12" w:name="_heading=h.lnxbz9" w:colFirst="0" w:colLast="0"/>
      <w:bookmarkEnd w:id="12"/>
      <w:r>
        <w:rPr>
          <w:sz w:val="22"/>
          <w:szCs w:val="22"/>
        </w:rPr>
        <w:lastRenderedPageBreak/>
        <w:t>R E S U E L V E</w:t>
      </w:r>
    </w:p>
    <w:p w:rsidR="00325B3F" w:rsidRDefault="00325B3F">
      <w:pPr>
        <w:spacing w:after="0" w:line="360" w:lineRule="auto"/>
      </w:pPr>
    </w:p>
    <w:p w:rsidR="00325B3F" w:rsidRDefault="00736E4A">
      <w:pPr>
        <w:spacing w:after="0" w:line="360" w:lineRule="auto"/>
      </w:pPr>
      <w:r>
        <w:rPr>
          <w:b/>
        </w:rPr>
        <w:t xml:space="preserve">PRIMERO. </w:t>
      </w:r>
      <w:r>
        <w:t xml:space="preserve">Se </w:t>
      </w:r>
      <w:r>
        <w:rPr>
          <w:b/>
        </w:rPr>
        <w:t xml:space="preserve">SOBRESEE </w:t>
      </w:r>
      <w:r>
        <w:t>el Recurso de Revisión número 00036/INFOEM/IP/RR/2025, en términos del artículo 192, fracción I, de la Ley de Transparencia y Acceso a la Información Pública del Estado de México y Municipios, por haberse desistido expresamente el Recurrente, de conformidad con lo establecido en el Considerando TERCERO y CUARTO de la presente Resolución.</w:t>
      </w:r>
    </w:p>
    <w:p w:rsidR="00325B3F" w:rsidRDefault="00325B3F">
      <w:pPr>
        <w:spacing w:after="0" w:line="360" w:lineRule="auto"/>
      </w:pPr>
    </w:p>
    <w:p w:rsidR="00325B3F" w:rsidRDefault="00736E4A">
      <w:pPr>
        <w:spacing w:after="0" w:line="360" w:lineRule="auto"/>
        <w:rPr>
          <w:b/>
        </w:rPr>
      </w:pPr>
      <w:r>
        <w:rPr>
          <w:b/>
        </w:rPr>
        <w:t>SEGUNDO.</w:t>
      </w:r>
      <w:r>
        <w:t xml:space="preserve"> </w:t>
      </w:r>
      <w:r>
        <w:rPr>
          <w:b/>
        </w:rPr>
        <w:t xml:space="preserve">NOTIFÍQUESE POR SAIMEX </w:t>
      </w:r>
      <w:r>
        <w:t>la presente resolución</w:t>
      </w:r>
      <w:r>
        <w:rPr>
          <w:b/>
        </w:rPr>
        <w:t xml:space="preserve"> </w:t>
      </w:r>
      <w:r>
        <w:t>al Titular de la Unidad de Transparencia del Sujeto Obligado.</w:t>
      </w:r>
    </w:p>
    <w:p w:rsidR="00325B3F" w:rsidRDefault="00325B3F">
      <w:pPr>
        <w:spacing w:after="0" w:line="360" w:lineRule="auto"/>
        <w:rPr>
          <w:b/>
        </w:rPr>
      </w:pPr>
    </w:p>
    <w:p w:rsidR="00325B3F" w:rsidRDefault="00736E4A">
      <w:pPr>
        <w:spacing w:after="0" w:line="360" w:lineRule="auto"/>
        <w:ind w:right="-93"/>
      </w:pPr>
      <w:r>
        <w:rPr>
          <w:b/>
        </w:rPr>
        <w:t>TERCERO.</w:t>
      </w:r>
      <w:r>
        <w:t xml:space="preserve"> </w:t>
      </w:r>
      <w:r>
        <w:rPr>
          <w:b/>
        </w:rPr>
        <w:t>NOTIFÍQUESE POR SAIMEX</w:t>
      </w:r>
      <w:r>
        <w:t xml:space="preserve"> a la persona Recurrente la presente Resolución</w:t>
      </w:r>
      <w:r>
        <w:rPr>
          <w:color w:val="000000"/>
        </w:rPr>
        <w:t>,</w:t>
      </w:r>
      <w:r>
        <w:t xml:space="preserve"> asimismo, se hace de su conocimiento que de conformidad con lo establecido en el artículo 196 de la Ley de Transparencia y Acceso a la Información Pública del Estado de México y Municipios, podrá promover el Municipios, podrá promover el Juicio de Amparo en los términos de las leyes aplicables.</w:t>
      </w:r>
    </w:p>
    <w:p w:rsidR="00325B3F" w:rsidRDefault="00325B3F">
      <w:pPr>
        <w:spacing w:after="0" w:line="360" w:lineRule="auto"/>
      </w:pPr>
    </w:p>
    <w:p w:rsidR="00325B3F" w:rsidRDefault="00736E4A">
      <w:pPr>
        <w:spacing w:after="0" w:line="360" w:lineRule="auto"/>
        <w:rPr>
          <w:b/>
        </w:rPr>
      </w:pPr>
      <w:r>
        <w:t>ASÍ LO RESUELVE, POR </w:t>
      </w:r>
      <w:r>
        <w:rPr>
          <w:b/>
        </w:rPr>
        <w:t>UNANIMIDAD</w:t>
      </w:r>
      <w: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DE ENERO DE DOS MIL VEINTICINCO, ANTE EL SECRETARIO TÉCNICO DEL PLENO, ALEXIS TAPIA RAMÍREZ.</w:t>
      </w:r>
    </w:p>
    <w:p w:rsidR="00325B3F" w:rsidRDefault="00325B3F">
      <w:pPr>
        <w:spacing w:after="0" w:line="360" w:lineRule="auto"/>
      </w:pPr>
    </w:p>
    <w:p w:rsidR="00325B3F" w:rsidRDefault="00325B3F">
      <w:pPr>
        <w:spacing w:after="0" w:line="360" w:lineRule="auto"/>
      </w:pPr>
    </w:p>
    <w:p w:rsidR="00325B3F" w:rsidRDefault="00325B3F">
      <w:pPr>
        <w:spacing w:after="0" w:line="360" w:lineRule="auto"/>
        <w:rPr>
          <w:color w:val="000000"/>
        </w:rPr>
      </w:pPr>
    </w:p>
    <w:p w:rsidR="00325B3F" w:rsidRDefault="00325B3F">
      <w:pPr>
        <w:spacing w:after="0" w:line="360" w:lineRule="auto"/>
        <w:rPr>
          <w:color w:val="000000"/>
        </w:rPr>
      </w:pPr>
    </w:p>
    <w:p w:rsidR="00325B3F" w:rsidRDefault="00325B3F">
      <w:pPr>
        <w:tabs>
          <w:tab w:val="right" w:pos="8931"/>
        </w:tabs>
        <w:spacing w:after="0" w:line="360" w:lineRule="auto"/>
      </w:pPr>
    </w:p>
    <w:p w:rsidR="00325B3F" w:rsidRDefault="00325B3F">
      <w:pPr>
        <w:tabs>
          <w:tab w:val="right" w:pos="8931"/>
        </w:tabs>
        <w:spacing w:after="0" w:line="360" w:lineRule="auto"/>
      </w:pPr>
    </w:p>
    <w:p w:rsidR="00325B3F" w:rsidRDefault="00325B3F">
      <w:pPr>
        <w:spacing w:after="0" w:line="360" w:lineRule="auto"/>
      </w:pPr>
    </w:p>
    <w:p w:rsidR="00325B3F" w:rsidRDefault="00325B3F">
      <w:pPr>
        <w:spacing w:after="0" w:line="360" w:lineRule="auto"/>
      </w:pPr>
    </w:p>
    <w:sectPr w:rsidR="00325B3F">
      <w:headerReference w:type="even" r:id="rId9"/>
      <w:headerReference w:type="default" r:id="rId10"/>
      <w:footerReference w:type="even" r:id="rId11"/>
      <w:footerReference w:type="default" r:id="rId12"/>
      <w:headerReference w:type="first" r:id="rId13"/>
      <w:footerReference w:type="first" r:id="rId14"/>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428" w:rsidRDefault="00DF6428">
      <w:pPr>
        <w:spacing w:after="0" w:line="240" w:lineRule="auto"/>
      </w:pPr>
      <w:r>
        <w:separator/>
      </w:r>
    </w:p>
  </w:endnote>
  <w:endnote w:type="continuationSeparator" w:id="0">
    <w:p w:rsidR="00DF6428" w:rsidRDefault="00DF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3F" w:rsidRDefault="00736E4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F053DB">
      <w:rPr>
        <w:b/>
        <w:color w:val="000000"/>
        <w:sz w:val="24"/>
        <w:szCs w:val="24"/>
      </w:rPr>
      <w:fldChar w:fldCharType="separate"/>
    </w:r>
    <w:r w:rsidR="00F053DB">
      <w:rPr>
        <w:b/>
        <w:noProof/>
        <w:color w:val="000000"/>
        <w:sz w:val="24"/>
        <w:szCs w:val="24"/>
      </w:rPr>
      <w:t>11</w:t>
    </w:r>
    <w:r>
      <w:rPr>
        <w:b/>
        <w:color w:val="000000"/>
        <w:sz w:val="24"/>
        <w:szCs w:val="24"/>
      </w:rPr>
      <w:fldChar w:fldCharType="end"/>
    </w:r>
  </w:p>
  <w:p w:rsidR="00325B3F" w:rsidRDefault="00325B3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3F" w:rsidRDefault="00736E4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053DB">
      <w:rPr>
        <w:b/>
        <w:noProof/>
        <w:color w:val="000000"/>
        <w:sz w:val="24"/>
        <w:szCs w:val="24"/>
      </w:rPr>
      <w:t>10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053DB">
      <w:rPr>
        <w:b/>
        <w:noProof/>
        <w:color w:val="000000"/>
        <w:sz w:val="24"/>
        <w:szCs w:val="24"/>
      </w:rPr>
      <w:t>11</w:t>
    </w:r>
    <w:r>
      <w:rPr>
        <w:b/>
        <w:color w:val="000000"/>
        <w:sz w:val="24"/>
        <w:szCs w:val="24"/>
      </w:rPr>
      <w:fldChar w:fldCharType="end"/>
    </w:r>
  </w:p>
  <w:p w:rsidR="00325B3F" w:rsidRDefault="00325B3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3F" w:rsidRDefault="00736E4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053D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053DB">
      <w:rPr>
        <w:b/>
        <w:noProof/>
        <w:color w:val="000000"/>
        <w:sz w:val="24"/>
        <w:szCs w:val="24"/>
      </w:rPr>
      <w:t>11</w:t>
    </w:r>
    <w:r>
      <w:rPr>
        <w:b/>
        <w:color w:val="000000"/>
        <w:sz w:val="24"/>
        <w:szCs w:val="24"/>
      </w:rPr>
      <w:fldChar w:fldCharType="end"/>
    </w:r>
  </w:p>
  <w:p w:rsidR="00325B3F" w:rsidRDefault="00325B3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428" w:rsidRDefault="00DF6428">
      <w:pPr>
        <w:spacing w:after="0" w:line="240" w:lineRule="auto"/>
      </w:pPr>
      <w:r>
        <w:separator/>
      </w:r>
    </w:p>
  </w:footnote>
  <w:footnote w:type="continuationSeparator" w:id="0">
    <w:p w:rsidR="00DF6428" w:rsidRDefault="00DF6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3F" w:rsidRDefault="00325B3F">
    <w:pPr>
      <w:widowControl w:val="0"/>
      <w:pBdr>
        <w:top w:val="nil"/>
        <w:left w:val="nil"/>
        <w:bottom w:val="nil"/>
        <w:right w:val="nil"/>
        <w:between w:val="nil"/>
      </w:pBdr>
      <w:spacing w:after="0" w:line="276" w:lineRule="auto"/>
      <w:jc w:val="left"/>
      <w:rPr>
        <w:color w:val="000000"/>
      </w:rPr>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325B3F">
      <w:trPr>
        <w:trHeight w:val="132"/>
      </w:trPr>
      <w:tc>
        <w:tcPr>
          <w:tcW w:w="0" w:type="auto"/>
        </w:tcPr>
        <w:p w:rsidR="00325B3F" w:rsidRDefault="00736E4A">
          <w:pPr>
            <w:tabs>
              <w:tab w:val="right" w:pos="8838"/>
            </w:tabs>
            <w:ind w:right="-105"/>
            <w:rPr>
              <w:b/>
            </w:rPr>
          </w:pPr>
          <w:r>
            <w:rPr>
              <w:b/>
            </w:rPr>
            <w:t>Recurso de Revisión:</w:t>
          </w:r>
        </w:p>
      </w:tc>
      <w:tc>
        <w:tcPr>
          <w:tcW w:w="0" w:type="auto"/>
        </w:tcPr>
        <w:p w:rsidR="00325B3F" w:rsidRDefault="00736E4A">
          <w:pPr>
            <w:tabs>
              <w:tab w:val="right" w:pos="8838"/>
            </w:tabs>
            <w:ind w:left="-28" w:right="-32"/>
          </w:pPr>
          <w:r>
            <w:t>03846/INFOEM/IP/RR/2020</w:t>
          </w:r>
        </w:p>
      </w:tc>
    </w:tr>
    <w:tr w:rsidR="00325B3F">
      <w:trPr>
        <w:trHeight w:val="261"/>
      </w:trPr>
      <w:tc>
        <w:tcPr>
          <w:tcW w:w="0" w:type="auto"/>
        </w:tcPr>
        <w:p w:rsidR="00325B3F" w:rsidRDefault="00736E4A">
          <w:pPr>
            <w:tabs>
              <w:tab w:val="right" w:pos="8838"/>
            </w:tabs>
            <w:ind w:right="-105"/>
            <w:rPr>
              <w:b/>
            </w:rPr>
          </w:pPr>
          <w:r>
            <w:rPr>
              <w:b/>
            </w:rPr>
            <w:t>Sujeto Obligado:</w:t>
          </w:r>
        </w:p>
      </w:tc>
      <w:tc>
        <w:tcPr>
          <w:tcW w:w="0" w:type="auto"/>
        </w:tcPr>
        <w:p w:rsidR="00325B3F" w:rsidRDefault="00736E4A">
          <w:pPr>
            <w:tabs>
              <w:tab w:val="right" w:pos="8838"/>
            </w:tabs>
            <w:ind w:right="-32"/>
          </w:pPr>
          <w:r>
            <w:t xml:space="preserve">Ayuntamiento de </w:t>
          </w:r>
          <w:proofErr w:type="spellStart"/>
          <w:r>
            <w:t>Temascalcingo</w:t>
          </w:r>
          <w:proofErr w:type="spellEnd"/>
        </w:p>
      </w:tc>
    </w:tr>
    <w:tr w:rsidR="00325B3F">
      <w:trPr>
        <w:trHeight w:val="261"/>
      </w:trPr>
      <w:tc>
        <w:tcPr>
          <w:tcW w:w="0" w:type="auto"/>
        </w:tcPr>
        <w:p w:rsidR="00325B3F" w:rsidRDefault="00736E4A">
          <w:pPr>
            <w:tabs>
              <w:tab w:val="right" w:pos="8838"/>
            </w:tabs>
            <w:ind w:right="-105"/>
            <w:rPr>
              <w:b/>
            </w:rPr>
          </w:pPr>
          <w:r>
            <w:rPr>
              <w:b/>
            </w:rPr>
            <w:t>Comisionado Ponente:</w:t>
          </w:r>
        </w:p>
      </w:tc>
      <w:tc>
        <w:tcPr>
          <w:tcW w:w="0" w:type="auto"/>
        </w:tcPr>
        <w:p w:rsidR="00325B3F" w:rsidRDefault="00736E4A">
          <w:pPr>
            <w:tabs>
              <w:tab w:val="right" w:pos="8838"/>
            </w:tabs>
            <w:ind w:right="-32"/>
            <w:rPr>
              <w:b/>
            </w:rPr>
          </w:pPr>
          <w:r>
            <w:t>Luis Gustavo Parra Noriega</w:t>
          </w:r>
        </w:p>
      </w:tc>
    </w:tr>
  </w:tbl>
  <w:p w:rsidR="00325B3F" w:rsidRDefault="00DF6428">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3F" w:rsidRDefault="00DF6428">
    <w:pPr>
      <w:widowControl w:val="0"/>
      <w:pBdr>
        <w:top w:val="nil"/>
        <w:left w:val="nil"/>
        <w:bottom w:val="nil"/>
        <w:right w:val="nil"/>
        <w:between w:val="nil"/>
      </w:pBdr>
      <w:spacing w:after="0" w:line="276" w:lineRule="auto"/>
      <w:jc w:val="left"/>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margin-left:-85.35pt;margin-top:-137.45pt;width:663.5pt;height:12in;z-index:-251659776;mso-position-horizontal:absolute;mso-position-horizontal-relative:margin;mso-position-vertical:absolute;mso-position-vertical-relative:margin">
          <v:imagedata r:id="rId1" o:title="image1"/>
          <w10:wrap anchorx="margin" anchory="margin"/>
        </v:shape>
      </w:pict>
    </w:r>
  </w:p>
  <w:tbl>
    <w:tblPr>
      <w:tblStyle w:val="a0"/>
      <w:tblW w:w="6662"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325B3F">
      <w:trPr>
        <w:trHeight w:val="138"/>
      </w:trPr>
      <w:tc>
        <w:tcPr>
          <w:tcW w:w="2693" w:type="dxa"/>
          <w:vAlign w:val="center"/>
        </w:tcPr>
        <w:p w:rsidR="00325B3F" w:rsidRDefault="00325B3F">
          <w:pPr>
            <w:tabs>
              <w:tab w:val="right" w:pos="8838"/>
            </w:tabs>
            <w:ind w:left="-108" w:right="-105"/>
            <w:jc w:val="left"/>
            <w:rPr>
              <w:b/>
            </w:rPr>
          </w:pPr>
        </w:p>
        <w:p w:rsidR="00325B3F" w:rsidRDefault="00736E4A">
          <w:pPr>
            <w:tabs>
              <w:tab w:val="right" w:pos="8838"/>
            </w:tabs>
            <w:ind w:left="-108" w:right="-105"/>
            <w:jc w:val="left"/>
            <w:rPr>
              <w:b/>
            </w:rPr>
          </w:pPr>
          <w:r>
            <w:rPr>
              <w:b/>
            </w:rPr>
            <w:t>Recurso de Revisión:</w:t>
          </w:r>
        </w:p>
      </w:tc>
      <w:tc>
        <w:tcPr>
          <w:tcW w:w="3969" w:type="dxa"/>
        </w:tcPr>
        <w:p w:rsidR="00325B3F" w:rsidRDefault="00325B3F">
          <w:pPr>
            <w:tabs>
              <w:tab w:val="right" w:pos="8838"/>
            </w:tabs>
            <w:ind w:right="57"/>
          </w:pPr>
        </w:p>
        <w:p w:rsidR="00325B3F" w:rsidRDefault="00736E4A">
          <w:pPr>
            <w:tabs>
              <w:tab w:val="right" w:pos="8838"/>
            </w:tabs>
            <w:ind w:right="57"/>
          </w:pPr>
          <w:r>
            <w:t>00036/INFOEM/IP/RR/2025</w:t>
          </w:r>
        </w:p>
      </w:tc>
    </w:tr>
    <w:tr w:rsidR="00325B3F">
      <w:trPr>
        <w:trHeight w:val="273"/>
      </w:trPr>
      <w:tc>
        <w:tcPr>
          <w:tcW w:w="2693" w:type="dxa"/>
        </w:tcPr>
        <w:p w:rsidR="00325B3F" w:rsidRDefault="00736E4A">
          <w:pPr>
            <w:tabs>
              <w:tab w:val="right" w:pos="8838"/>
            </w:tabs>
            <w:ind w:left="-108" w:right="-105"/>
            <w:rPr>
              <w:b/>
            </w:rPr>
          </w:pPr>
          <w:r>
            <w:rPr>
              <w:b/>
            </w:rPr>
            <w:t>Sujeto Obligado:</w:t>
          </w:r>
        </w:p>
      </w:tc>
      <w:tc>
        <w:tcPr>
          <w:tcW w:w="3969" w:type="dxa"/>
        </w:tcPr>
        <w:p w:rsidR="00325B3F" w:rsidRDefault="00736E4A">
          <w:pPr>
            <w:tabs>
              <w:tab w:val="right" w:pos="8838"/>
            </w:tabs>
            <w:ind w:right="180"/>
          </w:pPr>
          <w:r>
            <w:t xml:space="preserve">Ayuntamiento de </w:t>
          </w:r>
          <w:proofErr w:type="spellStart"/>
          <w:r>
            <w:t>Temamatla</w:t>
          </w:r>
          <w:proofErr w:type="spellEnd"/>
        </w:p>
      </w:tc>
    </w:tr>
    <w:tr w:rsidR="00325B3F">
      <w:trPr>
        <w:trHeight w:val="273"/>
      </w:trPr>
      <w:tc>
        <w:tcPr>
          <w:tcW w:w="2693" w:type="dxa"/>
        </w:tcPr>
        <w:p w:rsidR="00325B3F" w:rsidRDefault="00736E4A">
          <w:pPr>
            <w:tabs>
              <w:tab w:val="right" w:pos="8838"/>
            </w:tabs>
            <w:ind w:left="-108" w:right="-105"/>
            <w:rPr>
              <w:b/>
            </w:rPr>
          </w:pPr>
          <w:r>
            <w:rPr>
              <w:b/>
            </w:rPr>
            <w:t>Comisionado Ponente:</w:t>
          </w:r>
        </w:p>
      </w:tc>
      <w:tc>
        <w:tcPr>
          <w:tcW w:w="3969" w:type="dxa"/>
        </w:tcPr>
        <w:p w:rsidR="00325B3F" w:rsidRDefault="00736E4A">
          <w:pPr>
            <w:tabs>
              <w:tab w:val="right" w:pos="8838"/>
            </w:tabs>
            <w:ind w:right="-170"/>
          </w:pPr>
          <w:r>
            <w:t>Luis Gustavo Parra Noriega</w:t>
          </w:r>
        </w:p>
        <w:p w:rsidR="00325B3F" w:rsidRDefault="00325B3F">
          <w:pPr>
            <w:tabs>
              <w:tab w:val="right" w:pos="8838"/>
            </w:tabs>
            <w:ind w:right="-170"/>
            <w:rPr>
              <w:b/>
            </w:rPr>
          </w:pPr>
        </w:p>
      </w:tc>
    </w:tr>
  </w:tbl>
  <w:p w:rsidR="00325B3F" w:rsidRDefault="00325B3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3F" w:rsidRDefault="00325B3F">
    <w:pPr>
      <w:widowControl w:val="0"/>
      <w:pBdr>
        <w:top w:val="nil"/>
        <w:left w:val="nil"/>
        <w:bottom w:val="nil"/>
        <w:right w:val="nil"/>
        <w:between w:val="nil"/>
      </w:pBdr>
      <w:spacing w:after="0" w:line="276" w:lineRule="auto"/>
      <w:jc w:val="left"/>
      <w:rPr>
        <w:color w:val="000000"/>
      </w:rPr>
    </w:pPr>
  </w:p>
  <w:tbl>
    <w:tblPr>
      <w:tblStyle w:val="a1"/>
      <w:tblW w:w="6379"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551"/>
      <w:gridCol w:w="3828"/>
    </w:tblGrid>
    <w:tr w:rsidR="00325B3F">
      <w:trPr>
        <w:trHeight w:val="132"/>
      </w:trPr>
      <w:tc>
        <w:tcPr>
          <w:tcW w:w="2551" w:type="dxa"/>
        </w:tcPr>
        <w:p w:rsidR="00325B3F" w:rsidRDefault="00736E4A">
          <w:pPr>
            <w:tabs>
              <w:tab w:val="right" w:pos="8838"/>
            </w:tabs>
            <w:ind w:right="-105"/>
            <w:rPr>
              <w:b/>
            </w:rPr>
          </w:pPr>
          <w:r>
            <w:rPr>
              <w:b/>
            </w:rPr>
            <w:t>Recurso de Revisión:</w:t>
          </w:r>
        </w:p>
      </w:tc>
      <w:tc>
        <w:tcPr>
          <w:tcW w:w="3828" w:type="dxa"/>
        </w:tcPr>
        <w:p w:rsidR="00325B3F" w:rsidRDefault="00736E4A">
          <w:r>
            <w:t>00036/INFOEM/IP/RR/2025</w:t>
          </w:r>
        </w:p>
      </w:tc>
    </w:tr>
    <w:tr w:rsidR="00325B3F">
      <w:trPr>
        <w:trHeight w:val="132"/>
      </w:trPr>
      <w:tc>
        <w:tcPr>
          <w:tcW w:w="2551" w:type="dxa"/>
          <w:shd w:val="clear" w:color="auto" w:fill="auto"/>
        </w:tcPr>
        <w:p w:rsidR="00325B3F" w:rsidRDefault="00736E4A">
          <w:pPr>
            <w:tabs>
              <w:tab w:val="left" w:pos="1875"/>
            </w:tabs>
            <w:ind w:right="-105"/>
            <w:rPr>
              <w:b/>
            </w:rPr>
          </w:pPr>
          <w:r>
            <w:rPr>
              <w:b/>
            </w:rPr>
            <w:t>Recurrente:</w:t>
          </w:r>
          <w:r>
            <w:rPr>
              <w:b/>
            </w:rPr>
            <w:tab/>
          </w:r>
        </w:p>
      </w:tc>
      <w:tc>
        <w:tcPr>
          <w:tcW w:w="3828" w:type="dxa"/>
          <w:shd w:val="clear" w:color="auto" w:fill="auto"/>
        </w:tcPr>
        <w:p w:rsidR="00325B3F" w:rsidRDefault="00325B3F">
          <w:pPr>
            <w:tabs>
              <w:tab w:val="right" w:pos="8838"/>
            </w:tabs>
            <w:ind w:right="-111"/>
          </w:pPr>
        </w:p>
      </w:tc>
    </w:tr>
    <w:tr w:rsidR="00325B3F">
      <w:trPr>
        <w:trHeight w:val="261"/>
      </w:trPr>
      <w:tc>
        <w:tcPr>
          <w:tcW w:w="2551" w:type="dxa"/>
        </w:tcPr>
        <w:p w:rsidR="00325B3F" w:rsidRDefault="00736E4A">
          <w:pPr>
            <w:tabs>
              <w:tab w:val="right" w:pos="8838"/>
            </w:tabs>
            <w:ind w:right="-105"/>
            <w:rPr>
              <w:b/>
            </w:rPr>
          </w:pPr>
          <w:r>
            <w:rPr>
              <w:b/>
            </w:rPr>
            <w:t>Sujeto Obligado:</w:t>
          </w:r>
        </w:p>
      </w:tc>
      <w:tc>
        <w:tcPr>
          <w:tcW w:w="3828" w:type="dxa"/>
        </w:tcPr>
        <w:p w:rsidR="00325B3F" w:rsidRDefault="00736E4A">
          <w:r>
            <w:t xml:space="preserve">Ayuntamiento de </w:t>
          </w:r>
          <w:proofErr w:type="spellStart"/>
          <w:r>
            <w:t>Temamatla</w:t>
          </w:r>
          <w:proofErr w:type="spellEnd"/>
        </w:p>
      </w:tc>
    </w:tr>
    <w:tr w:rsidR="00325B3F">
      <w:trPr>
        <w:trHeight w:val="261"/>
      </w:trPr>
      <w:tc>
        <w:tcPr>
          <w:tcW w:w="2551" w:type="dxa"/>
        </w:tcPr>
        <w:p w:rsidR="00325B3F" w:rsidRDefault="00736E4A">
          <w:pPr>
            <w:tabs>
              <w:tab w:val="right" w:pos="8838"/>
            </w:tabs>
            <w:ind w:right="-105"/>
            <w:rPr>
              <w:b/>
            </w:rPr>
          </w:pPr>
          <w:r>
            <w:rPr>
              <w:b/>
            </w:rPr>
            <w:t>Comisionado Ponente:</w:t>
          </w:r>
        </w:p>
      </w:tc>
      <w:tc>
        <w:tcPr>
          <w:tcW w:w="3828" w:type="dxa"/>
        </w:tcPr>
        <w:p w:rsidR="00325B3F" w:rsidRDefault="00736E4A">
          <w:pPr>
            <w:tabs>
              <w:tab w:val="right" w:pos="8838"/>
            </w:tabs>
            <w:ind w:right="-32"/>
            <w:rPr>
              <w:b/>
            </w:rPr>
          </w:pPr>
          <w:r>
            <w:t>Luis Gustavo Parra Noriega</w:t>
          </w:r>
        </w:p>
      </w:tc>
    </w:tr>
  </w:tbl>
  <w:p w:rsidR="00325B3F" w:rsidRDefault="00DF6428">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3F"/>
    <w:rsid w:val="002B238F"/>
    <w:rsid w:val="002F782C"/>
    <w:rsid w:val="00325B3F"/>
    <w:rsid w:val="00736E4A"/>
    <w:rsid w:val="00DF6428"/>
    <w:rsid w:val="00F053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361C29E-D48D-48D6-8749-4CE81AD9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D98"/>
    <w:rPr>
      <w:color w:val="000000" w:themeColor="text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0"/>
    <w:pPr>
      <w:spacing w:after="0" w:line="240" w:lineRule="auto"/>
    </w:pPr>
    <w:tblPr>
      <w:tblStyleRowBandSize w:val="1"/>
      <w:tblStyleColBandSize w:val="1"/>
      <w:tblCellMar>
        <w:left w:w="108" w:type="dxa"/>
        <w:right w:w="108" w:type="dxa"/>
      </w:tblCellMar>
    </w:tblPr>
  </w:style>
  <w:style w:type="table" w:customStyle="1" w:styleId="3">
    <w:name w:val="3"/>
    <w:basedOn w:val="TableNormal0"/>
    <w:pPr>
      <w:spacing w:after="0" w:line="240" w:lineRule="auto"/>
    </w:pPr>
    <w:tblPr>
      <w:tblStyleRowBandSize w:val="1"/>
      <w:tblStyleColBandSize w:val="1"/>
      <w:tblCellMar>
        <w:left w:w="108" w:type="dxa"/>
        <w:right w:w="108" w:type="dxa"/>
      </w:tblCellMar>
    </w:tblPr>
  </w:style>
  <w:style w:type="table" w:customStyle="1" w:styleId="2">
    <w:name w:val="2"/>
    <w:basedOn w:val="TableNormal0"/>
    <w:pPr>
      <w:spacing w:after="0" w:line="240" w:lineRule="auto"/>
    </w:pPr>
    <w:tblPr>
      <w:tblStyleRowBandSize w:val="1"/>
      <w:tblStyleColBandSize w:val="1"/>
      <w:tblCellMar>
        <w:left w:w="108" w:type="dxa"/>
        <w:right w:w="108" w:type="dxa"/>
      </w:tblCellMar>
    </w:tblPr>
  </w:style>
  <w:style w:type="table" w:customStyle="1" w:styleId="1">
    <w:name w:val="1"/>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UnresolvedMention">
    <w:name w:val="Unresolved Mention"/>
    <w:basedOn w:val="Fuentedeprrafopredeter"/>
    <w:uiPriority w:val="99"/>
    <w:semiHidden/>
    <w:unhideWhenUsed/>
    <w:rsid w:val="00DB277C"/>
    <w:rPr>
      <w:color w:val="605E5C"/>
      <w:shd w:val="clear" w:color="auto" w:fill="E1DFDD"/>
    </w:rPr>
  </w:style>
  <w:style w:type="paragraph" w:styleId="NormalWeb">
    <w:name w:val="Normal (Web)"/>
    <w:basedOn w:val="Normal"/>
    <w:uiPriority w:val="99"/>
    <w:semiHidden/>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B81B55"/>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B81B55"/>
    <w:pPr>
      <w:spacing w:after="100"/>
    </w:pPr>
  </w:style>
  <w:style w:type="paragraph" w:styleId="TDC2">
    <w:name w:val="toc 2"/>
    <w:basedOn w:val="Normal"/>
    <w:next w:val="Normal"/>
    <w:autoRedefine/>
    <w:uiPriority w:val="39"/>
    <w:unhideWhenUsed/>
    <w:rsid w:val="00B81B55"/>
    <w:pPr>
      <w:spacing w:after="100"/>
      <w:ind w:left="220"/>
    </w:p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kxaPlNM8iNsM3zFrtvU/jwp1mg==">CgMxLjAyCWguM3pueXNoNzIJaC4yZXQ5MnAwMghoLnR5amN3dDIJaC4zZHk2dmttMgloLjF0M2g1c2YyCWguNGQzNG9nODIJaC4yczhleW8xMgloLjMwajB6bGwyCWguMTdkcDh2dTIJaC4zcmRjcmpuMgloLjI2aW4xcmcyCGgubG54Yno5OAByITFORWMxeDNBbFRNb0JzRTV3alhXWU9sc0FhU3RBZ3dGTQ==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2339</Words>
  <Characters>12869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2025-01-31T15:23:00Z</cp:lastPrinted>
  <dcterms:created xsi:type="dcterms:W3CDTF">2025-01-31T15:23:00Z</dcterms:created>
  <dcterms:modified xsi:type="dcterms:W3CDTF">2025-01-31T15:34:00Z</dcterms:modified>
</cp:coreProperties>
</file>