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b w:val="1"/>
          <w:sz w:val="22"/>
          <w:szCs w:val="22"/>
        </w:rPr>
      </w:pPr>
      <w:bookmarkStart w:colFirst="0" w:colLast="0" w:name="_heading=h.1fob9te"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w:t>
      </w:r>
      <w:r w:rsidDel="00000000" w:rsidR="00000000" w:rsidRPr="00000000">
        <w:rPr>
          <w:rFonts w:ascii="Palatino Linotype" w:cs="Palatino Linotype" w:eastAsia="Palatino Linotype" w:hAnsi="Palatino Linotype"/>
          <w:b w:val="1"/>
          <w:sz w:val="22"/>
          <w:szCs w:val="22"/>
          <w:rtl w:val="0"/>
        </w:rPr>
        <w:t xml:space="preserve">a trece de agosto de dos mil veinticinco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tl w:val="0"/>
        </w:rPr>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2"/>
          <w:szCs w:val="22"/>
        </w:rPr>
      </w:pPr>
      <w:bookmarkStart w:colFirst="0" w:colLast="0" w:name="_heading=h.4d34og8" w:id="1"/>
      <w:bookmarkEnd w:id="1"/>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sz w:val="22"/>
          <w:szCs w:val="22"/>
          <w:rtl w:val="0"/>
        </w:rPr>
        <w:t xml:space="preserve">06609/INFOEM/IP/RR/2025</w:t>
      </w:r>
      <w:r w:rsidDel="00000000" w:rsidR="00000000" w:rsidRPr="00000000">
        <w:rPr>
          <w:rFonts w:ascii="Palatino Linotype" w:cs="Palatino Linotype" w:eastAsia="Palatino Linotype" w:hAnsi="Palatino Linotype"/>
          <w:sz w:val="22"/>
          <w:szCs w:val="22"/>
          <w:rtl w:val="0"/>
        </w:rPr>
        <w:t xml:space="preserve">, interpuesto por</w:t>
      </w:r>
      <w:r w:rsidDel="00000000" w:rsidR="00000000" w:rsidRPr="00000000">
        <w:rPr>
          <w:rFonts w:ascii="Palatino Linotype" w:cs="Palatino Linotype" w:eastAsia="Palatino Linotype" w:hAnsi="Palatino Linotype"/>
          <w:b w:val="1"/>
          <w:sz w:val="22"/>
          <w:szCs w:val="22"/>
          <w:rtl w:val="0"/>
        </w:rPr>
        <w:t xml:space="preserve"> XXXXX XXXXXX XXXXXXX,</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sz w:val="22"/>
          <w:szCs w:val="22"/>
          <w:rtl w:val="0"/>
        </w:rPr>
        <w:t xml:space="preserve"> 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por parte del</w:t>
      </w:r>
      <w:r w:rsidDel="00000000" w:rsidR="00000000" w:rsidRPr="00000000">
        <w:rPr>
          <w:rFonts w:ascii="Palatino Linotype" w:cs="Palatino Linotype" w:eastAsia="Palatino Linotype" w:hAnsi="Palatino Linotype"/>
          <w:b w:val="1"/>
          <w:sz w:val="22"/>
          <w:szCs w:val="22"/>
          <w:rtl w:val="0"/>
        </w:rPr>
        <w:t xml:space="preserve"> Ayuntamiento de Naucalpan de Juárez</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siete de mayo de dos mil veinticinco,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en lo subsecuente el SAIMEX, formuló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sz w:val="22"/>
          <w:szCs w:val="22"/>
          <w:rtl w:val="0"/>
        </w:rPr>
        <w:t xml:space="preserve">  00428/NAUCALPA/IP/2025, </w:t>
      </w:r>
      <w:r w:rsidDel="00000000" w:rsidR="00000000" w:rsidRPr="00000000">
        <w:rPr>
          <w:rFonts w:ascii="Palatino Linotype" w:cs="Palatino Linotype" w:eastAsia="Palatino Linotype" w:hAnsi="Palatino Linotype"/>
          <w:sz w:val="22"/>
          <w:szCs w:val="22"/>
          <w:rtl w:val="0"/>
        </w:rPr>
        <w:t xml:space="preserve">mediante la cual requirió la información siguiente</w:t>
      </w:r>
    </w:p>
    <w:p w:rsidR="00000000" w:rsidDel="00000000" w:rsidP="00000000" w:rsidRDefault="00000000" w:rsidRPr="00000000" w14:paraId="00000005">
      <w:pPr>
        <w:spacing w:after="240" w:before="240" w:lineRule="auto"/>
        <w:ind w:left="567" w:right="616" w:firstLine="0"/>
        <w:jc w:val="both"/>
        <w:rPr>
          <w:rFonts w:ascii="Palatino Linotype" w:cs="Palatino Linotype" w:eastAsia="Palatino Linotype" w:hAnsi="Palatino Linotype"/>
          <w:i w:val="1"/>
          <w:sz w:val="22"/>
          <w:szCs w:val="22"/>
        </w:rPr>
      </w:pPr>
      <w:bookmarkStart w:colFirst="0" w:colLast="0" w:name="_heading=h.gjdgxs" w:id="2"/>
      <w:bookmarkEnd w:id="2"/>
      <w:r w:rsidDel="00000000" w:rsidR="00000000" w:rsidRPr="00000000">
        <w:rPr>
          <w:rFonts w:ascii="Palatino Linotype" w:cs="Palatino Linotype" w:eastAsia="Palatino Linotype" w:hAnsi="Palatino Linotype"/>
          <w:i w:val="1"/>
          <w:sz w:val="22"/>
          <w:szCs w:val="22"/>
          <w:rtl w:val="0"/>
        </w:rPr>
        <w:t xml:space="preserve">“solicito copia simple digitalizada a través del sistema electrónico saimex de los comprobantes de todos los pagos realizados mediante cheque o transferencia electrónica a particulares durante el mes de abril de 2025." (Sic) </w:t>
      </w:r>
    </w:p>
    <w:p w:rsidR="00000000" w:rsidDel="00000000" w:rsidP="00000000" w:rsidRDefault="00000000" w:rsidRPr="00000000" w14:paraId="00000006">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(SAIMEX).</w:t>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left" w:leader="none" w:pos="142"/>
          <w:tab w:val="left" w:leader="none" w:pos="284"/>
        </w:tabs>
        <w:spacing w:after="240" w:before="240" w:line="360" w:lineRule="auto"/>
        <w:jc w:val="both"/>
        <w:rPr>
          <w:rFonts w:ascii="Palatino Linotype" w:cs="Palatino Linotype" w:eastAsia="Palatino Linotype" w:hAnsi="Palatino Linotype"/>
        </w:rPr>
      </w:pPr>
      <w:bookmarkStart w:colFirst="0" w:colLast="0" w:name="_heading=h.3dy6vkm" w:id="3"/>
      <w:bookmarkEnd w:id="3"/>
      <w:r w:rsidDel="00000000" w:rsidR="00000000" w:rsidRPr="00000000">
        <w:rPr>
          <w:rFonts w:ascii="Palatino Linotype" w:cs="Palatino Linotype" w:eastAsia="Palatino Linotype" w:hAnsi="Palatino Linotype"/>
          <w:b w:val="1"/>
          <w:sz w:val="22"/>
          <w:szCs w:val="22"/>
          <w:rtl w:val="0"/>
        </w:rPr>
        <w:t xml:space="preserve">2. Prorroga.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veintisiete de mayo de dos mil veinticinco,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solicitó prórroga</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a través del Sistema de Acceso a la Información Mexiquense, en lo subsecuente el SAIMEX, para dar atención a solicitud de acceso a información pública, bajo los siguientes términos:</w:t>
      </w:r>
    </w:p>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left" w:leader="none" w:pos="142"/>
          <w:tab w:val="left" w:leader="none" w:pos="284"/>
        </w:tabs>
        <w:spacing w:after="240" w:before="240" w:lineRule="auto"/>
        <w:ind w:left="567"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rtl w:val="0"/>
        </w:rPr>
        <w:t xml:space="preserve">De conformidad con el artículo 163 de la Ley de Transparencia y Acceso a la Información Pública del Estado de México y Municipios, teniendo en consideración los siguientes preceptos. De acuerdo con la programación de actividades del área, cargas de trabajo, el número de personas implicadas en el proceso, pero sobre todo con la finalidad de contar con expresiones documentales que den respuesta a la solicitud. Este proceso se programó para su atención en fecha posterior al vencimiento de la misma. CT/NAU/ACTA-EXT-019/2025/247 (sic)</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left" w:leader="none" w:pos="142"/>
          <w:tab w:val="left" w:leader="none" w:pos="284"/>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refiere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que nos ocupa y derivado de las constancias que obran en los expedientes, se advierte que </w:t>
      </w:r>
      <w:r w:rsidDel="00000000" w:rsidR="00000000" w:rsidRPr="00000000">
        <w:rPr>
          <w:rFonts w:ascii="Palatino Linotype" w:cs="Palatino Linotype" w:eastAsia="Palatino Linotype" w:hAnsi="Palatino Linotype"/>
          <w:b w:val="1"/>
          <w:rtl w:val="0"/>
        </w:rPr>
        <w:t xml:space="preserve">NO </w:t>
      </w:r>
      <w:r w:rsidDel="00000000" w:rsidR="00000000" w:rsidRPr="00000000">
        <w:rPr>
          <w:rFonts w:ascii="Palatino Linotype" w:cs="Palatino Linotype" w:eastAsia="Palatino Linotype" w:hAnsi="Palatino Linotype"/>
          <w:rtl w:val="0"/>
        </w:rPr>
        <w:t xml:space="preserve">se observaron las formalidades que establece la Ley de la materia, pues no se anexó la resolución mediante la cual el Comité de Transparencia aprobó la ampliación del plazo.</w:t>
      </w:r>
    </w:p>
    <w:p w:rsidR="00000000" w:rsidDel="00000000" w:rsidP="00000000" w:rsidRDefault="00000000" w:rsidRPr="00000000" w14:paraId="0000000A">
      <w:pPr>
        <w:pBdr>
          <w:top w:space="0" w:sz="0" w:val="nil"/>
          <w:left w:space="0" w:sz="0" w:val="nil"/>
          <w:bottom w:space="0" w:sz="0" w:val="nil"/>
          <w:right w:space="0" w:sz="0" w:val="nil"/>
          <w:between w:space="0" w:sz="0" w:val="nil"/>
        </w:pBdr>
        <w:tabs>
          <w:tab w:val="left" w:leader="none" w:pos="142"/>
          <w:tab w:val="left" w:leader="none" w:pos="284"/>
        </w:tabs>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3.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cuatro de junio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 SAIMEX, sustancialmente en los términos siguientes:</w:t>
      </w:r>
      <w:r w:rsidDel="00000000" w:rsidR="00000000" w:rsidRPr="00000000">
        <w:rPr>
          <w:rtl w:val="0"/>
        </w:rPr>
      </w:r>
    </w:p>
    <w:p w:rsidR="00000000" w:rsidDel="00000000" w:rsidP="00000000" w:rsidRDefault="00000000" w:rsidRPr="00000000" w14:paraId="0000000B">
      <w:pPr>
        <w:spacing w:after="240" w:before="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C">
      <w:pPr>
        <w:spacing w:after="240" w:before="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remite respuesta a la solicitud de información.” (Sic)</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Adjunto a la respuesta,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entregó el archivo electrónico que contiene la información siguiente:</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76"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line="276" w:lineRule="auto"/>
        <w:ind w:left="567" w:right="49" w:hanging="283"/>
        <w:jc w:val="both"/>
        <w:rPr>
          <w:rFonts w:ascii="Palatino Linotype" w:cs="Palatino Linotype" w:eastAsia="Palatino Linotype" w:hAnsi="Palatino Linotype"/>
          <w:b w:val="1"/>
          <w:i w:val="1"/>
          <w:sz w:val="22"/>
          <w:szCs w:val="22"/>
        </w:rPr>
      </w:pPr>
      <w:bookmarkStart w:colFirst="0" w:colLast="0" w:name="_heading=h.d4glb5f6fj5d" w:id="4"/>
      <w:bookmarkEnd w:id="4"/>
      <w:r w:rsidDel="00000000" w:rsidR="00000000" w:rsidRPr="00000000">
        <w:rPr>
          <w:rFonts w:ascii="Palatino Linotype" w:cs="Palatino Linotype" w:eastAsia="Palatino Linotype" w:hAnsi="Palatino Linotype"/>
          <w:sz w:val="22"/>
          <w:szCs w:val="22"/>
          <w:rtl w:val="0"/>
        </w:rPr>
        <w:t xml:space="preserve">Oficio número TM/2120/2025 de fecha treinta de mayo de dos mil veinticinco, suscrito y signado por la Tesorera Municipal, en el que de manera sustantiva informó que después de una búsqueda exhaustiva en los registros y expedientes que obran en la Tesorería Municipal se hace entrega de las transferencias realizadas a particulares en el mes de abril de dos mil veinticinco. </w:t>
      </w:r>
      <w:r w:rsidDel="00000000" w:rsidR="00000000" w:rsidRPr="00000000">
        <w:rPr>
          <w:rtl w:val="0"/>
        </w:rPr>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pacing w:line="276" w:lineRule="auto"/>
        <w:ind w:left="567" w:right="49" w:hanging="283"/>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sz w:val="22"/>
          <w:szCs w:val="22"/>
          <w:rtl w:val="0"/>
        </w:rPr>
        <w:t xml:space="preserve">Acuerdo CT/NAU/ACTA-EXT-018/2025/259 en el que se confirmó la clasificación de  los datos personales contenidos en las transferencias bancarias; así como, cheques de caja emitidos en el mes de abril de dos mil veinticinco. </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ind w:left="567" w:right="4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pacing w:line="276" w:lineRule="auto"/>
        <w:ind w:left="567" w:right="49" w:hanging="283"/>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sz w:val="22"/>
          <w:szCs w:val="22"/>
          <w:rtl w:val="0"/>
        </w:rPr>
        <w:t xml:space="preserve">Versión pública de las transferencias bancarias y cheques de caja realizados en el periodo solicitado </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76" w:lineRule="auto"/>
        <w:ind w:right="49"/>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4.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sz w:val="22"/>
          <w:szCs w:val="22"/>
          <w:rtl w:val="0"/>
        </w:rPr>
        <w:t xml:space="preserve"> cinco de junio de dos mil veinticinco,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de la siguiente manera:</w:t>
      </w:r>
      <w:r w:rsidDel="00000000" w:rsidR="00000000" w:rsidRPr="00000000">
        <w:rPr>
          <w:rtl w:val="0"/>
        </w:rPr>
      </w:r>
    </w:p>
    <w:p w:rsidR="00000000" w:rsidDel="00000000" w:rsidP="00000000" w:rsidRDefault="00000000" w:rsidRPr="00000000" w14:paraId="00000015">
      <w:pPr>
        <w:tabs>
          <w:tab w:val="left" w:leader="none" w:pos="2745"/>
        </w:tabs>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Acto impugnado: </w:t>
      </w:r>
      <w:r w:rsidDel="00000000" w:rsidR="00000000" w:rsidRPr="00000000">
        <w:rPr>
          <w:rFonts w:ascii="Palatino Linotype" w:cs="Palatino Linotype" w:eastAsia="Palatino Linotype" w:hAnsi="Palatino Linotype"/>
          <w:i w:val="1"/>
          <w:sz w:val="22"/>
          <w:szCs w:val="22"/>
          <w:rtl w:val="0"/>
        </w:rPr>
        <w:t xml:space="preserve">“RESPUESTA A LA SOLICITUD 00428/NAUCALPA/IP/2025.” (Sic)</w:t>
      </w:r>
      <w:r w:rsidDel="00000000" w:rsidR="00000000" w:rsidRPr="00000000">
        <w:rPr>
          <w:rtl w:val="0"/>
        </w:rPr>
      </w:r>
    </w:p>
    <w:p w:rsidR="00000000" w:rsidDel="00000000" w:rsidP="00000000" w:rsidRDefault="00000000" w:rsidRPr="00000000" w14:paraId="00000016">
      <w:pPr>
        <w:spacing w:line="276" w:lineRule="auto"/>
        <w:ind w:left="567" w:right="900" w:firstLine="0"/>
        <w:jc w:val="both"/>
        <w:rPr>
          <w:rFonts w:ascii="Palatino Linotype" w:cs="Palatino Linotype" w:eastAsia="Palatino Linotype" w:hAnsi="Palatino Linotype"/>
          <w:i w:val="1"/>
          <w:sz w:val="22"/>
          <w:szCs w:val="22"/>
        </w:rPr>
      </w:pPr>
      <w:bookmarkStart w:colFirst="0" w:colLast="0" w:name="_heading=h.30j0zll" w:id="5"/>
      <w:bookmarkEnd w:id="5"/>
      <w:r w:rsidDel="00000000" w:rsidR="00000000" w:rsidRPr="00000000">
        <w:rPr>
          <w:rFonts w:ascii="Palatino Linotype" w:cs="Palatino Linotype" w:eastAsia="Palatino Linotype" w:hAnsi="Palatino Linotype"/>
          <w:b w:val="1"/>
          <w:sz w:val="22"/>
          <w:szCs w:val="22"/>
          <w:rtl w:val="0"/>
        </w:rPr>
        <w:t xml:space="preserve">b) Razones o motivos de inconformidad</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“EN LA INFORMACION REMITIDA A ESTE SOLICITANTE, EL SUJETO OBLIGADO COLOCÓ CINTAS NEGRAS QUE CUBREN EL NOMBRE O RAZON SOCIAL DE LOS BENEFICIARIOS DEL PAGO DE CHEQUES, A PESAR DE QUE SE TRATA DE INFORMACIÓN PÚBLICA, LA CUAL TENGO DERECHO A CONOCER. POR LO ANTERIOR, SOLICITO SE REVOQUE LA RESPUESTA ENTREGADA Y SE ORDENE QUE SE PONGA A LA VISTA DEL SOLICITANTE LA INFORMACIÓN SEÑALADA.” (Sic)</w:t>
      </w:r>
    </w:p>
    <w:p w:rsidR="00000000" w:rsidDel="00000000" w:rsidP="00000000" w:rsidRDefault="00000000" w:rsidRPr="00000000" w14:paraId="00000017">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8">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19">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diez de junio de dos mil veinticinco,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1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bookmarkStart w:colFirst="0" w:colLast="0" w:name="_heading=h.2s8eyo1" w:id="6"/>
      <w:bookmarkEnd w:id="6"/>
      <w:r w:rsidDel="00000000" w:rsidR="00000000" w:rsidRPr="00000000">
        <w:rPr>
          <w:rFonts w:ascii="Palatino Linotype" w:cs="Palatino Linotype" w:eastAsia="Palatino Linotype" w:hAnsi="Palatino Linotype"/>
          <w:b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De las constancias que integran el expediente en que se actúa, se advierte que, durante el periodo de manifestaciones,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rindió informe justificado el </w:t>
      </w:r>
      <w:r w:rsidDel="00000000" w:rsidR="00000000" w:rsidRPr="00000000">
        <w:rPr>
          <w:rFonts w:ascii="Palatino Linotype" w:cs="Palatino Linotype" w:eastAsia="Palatino Linotype" w:hAnsi="Palatino Linotype"/>
          <w:b w:val="1"/>
          <w:sz w:val="22"/>
          <w:szCs w:val="22"/>
          <w:rtl w:val="0"/>
        </w:rPr>
        <w:t xml:space="preserve">trece de junio de dos mil veinticinco, </w:t>
      </w:r>
      <w:r w:rsidDel="00000000" w:rsidR="00000000" w:rsidRPr="00000000">
        <w:rPr>
          <w:rFonts w:ascii="Palatino Linotype" w:cs="Palatino Linotype" w:eastAsia="Palatino Linotype" w:hAnsi="Palatino Linotype"/>
          <w:sz w:val="22"/>
          <w:szCs w:val="22"/>
          <w:rtl w:val="0"/>
        </w:rPr>
        <w:t xml:space="preserve">a través del documento electrónico que contienen la información siguiente:</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tabs>
          <w:tab w:val="left" w:leader="none" w:pos="426"/>
        </w:tabs>
        <w:spacing w:line="360" w:lineRule="auto"/>
        <w:ind w:left="360" w:right="49"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RR.6609-2025.pdf: </w:t>
      </w:r>
      <w:r w:rsidDel="00000000" w:rsidR="00000000" w:rsidRPr="00000000">
        <w:rPr>
          <w:rFonts w:ascii="Palatino Linotype" w:cs="Palatino Linotype" w:eastAsia="Palatino Linotype" w:hAnsi="Palatino Linotype"/>
          <w:sz w:val="22"/>
          <w:szCs w:val="22"/>
          <w:rtl w:val="0"/>
        </w:rPr>
        <w:t xml:space="preserve">Oficio número TM/2248/2025 de fecha once de junio de dos mil veinticinco, suscrito y singado por la Tesorera Municipal en el que en su parte sustantiva ratifica la respuesta inicial. </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Documento que, el </w:t>
      </w:r>
      <w:r w:rsidDel="00000000" w:rsidR="00000000" w:rsidRPr="00000000">
        <w:rPr>
          <w:rFonts w:ascii="Palatino Linotype" w:cs="Palatino Linotype" w:eastAsia="Palatino Linotype" w:hAnsi="Palatino Linotype"/>
          <w:b w:val="1"/>
          <w:sz w:val="22"/>
          <w:szCs w:val="22"/>
          <w:rtl w:val="0"/>
        </w:rPr>
        <w:t xml:space="preserve">seis de agosto de dos mil veinticinco</w:t>
      </w:r>
      <w:r w:rsidDel="00000000" w:rsidR="00000000" w:rsidRPr="00000000">
        <w:rPr>
          <w:rFonts w:ascii="Palatino Linotype" w:cs="Palatino Linotype" w:eastAsia="Palatino Linotype" w:hAnsi="Palatino Linotype"/>
          <w:sz w:val="22"/>
          <w:szCs w:val="22"/>
          <w:rtl w:val="0"/>
        </w:rPr>
        <w:t xml:space="preserve"> fue puesto a la vista de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para efecto de que hiciera valer sus manifestaciones o rindiera alegatos que conforme a derecho resultaran procedentes; no obstante, fue omisa en ejercer dicha prerrogativa.</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7. Ampliación del término para resolver</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seis de agosto de dos mil veinticinco</w:t>
      </w:r>
      <w:r w:rsidDel="00000000" w:rsidR="00000000" w:rsidRPr="00000000">
        <w:rPr>
          <w:rFonts w:ascii="Palatino Linotype" w:cs="Palatino Linotype" w:eastAsia="Palatino Linotype" w:hAnsi="Palatino Linotype"/>
          <w:sz w:val="22"/>
          <w:szCs w:val="22"/>
          <w:rtl w:val="0"/>
        </w:rPr>
        <w:t xml:space="preserve">, se amplió el término para resolver el recurso de revisión en términos del artículo 181 párrafo tercero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8.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sz w:val="22"/>
          <w:szCs w:val="22"/>
          <w:rtl w:val="0"/>
        </w:rPr>
        <w:t xml:space="preserve">doce de agosto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5">
      <w:pPr>
        <w:widowControl w:val="0"/>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2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8">
      <w:pPr>
        <w:spacing w:line="360" w:lineRule="auto"/>
        <w:jc w:val="both"/>
        <w:rPr>
          <w:rFonts w:ascii="Palatino Linotype" w:cs="Palatino Linotype" w:eastAsia="Palatino Linotype" w:hAnsi="Palatino Linotype"/>
          <w:sz w:val="22"/>
          <w:szCs w:val="22"/>
        </w:rPr>
      </w:pPr>
      <w:bookmarkStart w:colFirst="0" w:colLast="0" w:name="_heading=h.tyjcwt" w:id="7"/>
      <w:bookmarkEnd w:id="7"/>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la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cuatro de junio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tuvo por presentado el </w:t>
      </w:r>
      <w:r w:rsidDel="00000000" w:rsidR="00000000" w:rsidRPr="00000000">
        <w:rPr>
          <w:rFonts w:ascii="Palatino Linotype" w:cs="Palatino Linotype" w:eastAsia="Palatino Linotype" w:hAnsi="Palatino Linotype"/>
          <w:b w:val="1"/>
          <w:sz w:val="22"/>
          <w:szCs w:val="22"/>
          <w:rtl w:val="0"/>
        </w:rPr>
        <w:t xml:space="preserve">cinco de junio de dos mil veinticinco</w:t>
      </w:r>
      <w:r w:rsidDel="00000000" w:rsidR="00000000" w:rsidRPr="00000000">
        <w:rPr>
          <w:rFonts w:ascii="Palatino Linotype" w:cs="Palatino Linotype" w:eastAsia="Palatino Linotype" w:hAnsi="Palatino Linotype"/>
          <w:sz w:val="22"/>
          <w:szCs w:val="22"/>
          <w:rtl w:val="0"/>
        </w:rPr>
        <w:t xml:space="preserve"> esto es, al </w:t>
      </w:r>
      <w:r w:rsidDel="00000000" w:rsidR="00000000" w:rsidRPr="00000000">
        <w:rPr>
          <w:rFonts w:ascii="Palatino Linotype" w:cs="Palatino Linotype" w:eastAsia="Palatino Linotype" w:hAnsi="Palatino Linotype"/>
          <w:b w:val="1"/>
          <w:sz w:val="22"/>
          <w:szCs w:val="22"/>
          <w:u w:val="single"/>
          <w:rtl w:val="0"/>
        </w:rPr>
        <w:t xml:space="preserve">primer </w:t>
      </w:r>
      <w:r w:rsidDel="00000000" w:rsidR="00000000" w:rsidRPr="00000000">
        <w:rPr>
          <w:rFonts w:ascii="Palatino Linotype" w:cs="Palatino Linotype" w:eastAsia="Palatino Linotype" w:hAnsi="Palatino Linotype"/>
          <w:sz w:val="22"/>
          <w:szCs w:val="22"/>
          <w:rtl w:val="0"/>
        </w:rPr>
        <w:t xml:space="preserve">día hábil siguiente a aquel </w:t>
      </w:r>
      <w:r w:rsidDel="00000000" w:rsidR="00000000" w:rsidRPr="00000000">
        <w:rPr>
          <w:rFonts w:ascii="Palatino Linotype" w:cs="Palatino Linotype" w:eastAsia="Palatino Linotype" w:hAnsi="Palatino Linotype"/>
          <w:b w:val="1"/>
          <w:sz w:val="22"/>
          <w:szCs w:val="22"/>
          <w:rtl w:val="0"/>
        </w:rPr>
        <w:t xml:space="preserve">en que se tuvo conocimiento de la respuesta impugnada</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se concluye que el presente recurso de revisión se encuentra dentro de los márgenes temporales previstos en las disposiciones legales referidas.</w:t>
      </w:r>
    </w:p>
    <w:p w:rsidR="00000000" w:rsidDel="00000000" w:rsidP="00000000" w:rsidRDefault="00000000" w:rsidRPr="00000000" w14:paraId="0000002C">
      <w:pPr>
        <w:tabs>
          <w:tab w:val="left" w:leader="none" w:pos="7938"/>
        </w:tabs>
        <w:spacing w:line="360" w:lineRule="auto"/>
        <w:jc w:val="both"/>
        <w:rPr>
          <w:rFonts w:ascii="Palatino Linotype" w:cs="Palatino Linotype" w:eastAsia="Palatino Linotype" w:hAnsi="Palatino Linotype"/>
          <w:sz w:val="22"/>
          <w:szCs w:val="22"/>
        </w:rPr>
      </w:pPr>
      <w:bookmarkStart w:colFirst="0" w:colLast="0" w:name="_heading=h.3znysh7" w:id="8"/>
      <w:bookmarkEnd w:id="8"/>
      <w:r w:rsidDel="00000000" w:rsidR="00000000" w:rsidRPr="00000000">
        <w:rPr>
          <w:rFonts w:ascii="Palatino Linotype" w:cs="Palatino Linotype" w:eastAsia="Palatino Linotype" w:hAnsi="Palatino Linotype"/>
          <w:sz w:val="22"/>
          <w:szCs w:val="22"/>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2D">
      <w:pPr>
        <w:tabs>
          <w:tab w:val="left" w:leader="none" w:pos="7938"/>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al artículo 179, fracción </w:t>
      </w:r>
      <w:r w:rsidDel="00000000" w:rsidR="00000000" w:rsidRPr="00000000">
        <w:rPr>
          <w:rFonts w:ascii="Palatino Linotype" w:cs="Palatino Linotype" w:eastAsia="Palatino Linotype" w:hAnsi="Palatino Linotype"/>
          <w:b w:val="1"/>
          <w:sz w:val="22"/>
          <w:szCs w:val="22"/>
          <w:rtl w:val="0"/>
        </w:rPr>
        <w:t xml:space="preserve">II</w:t>
      </w:r>
      <w:r w:rsidDel="00000000" w:rsidR="00000000" w:rsidRPr="00000000">
        <w:rPr>
          <w:rFonts w:ascii="Palatino Linotype" w:cs="Palatino Linotype" w:eastAsia="Palatino Linotype" w:hAnsi="Palatino Linotype"/>
          <w:sz w:val="22"/>
          <w:szCs w:val="22"/>
          <w:rtl w:val="0"/>
        </w:rPr>
        <w:t xml:space="preserve"> del ordenamiento legal citado, que a la letra dice: </w:t>
      </w:r>
    </w:p>
    <w:p w:rsidR="00000000" w:rsidDel="00000000" w:rsidP="00000000" w:rsidRDefault="00000000" w:rsidRPr="00000000" w14:paraId="0000002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0">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1">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2">
      <w:pPr>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La clasificación de la información;”</w:t>
      </w:r>
    </w:p>
    <w:p w:rsidR="00000000" w:rsidDel="00000000" w:rsidP="00000000" w:rsidRDefault="00000000" w:rsidRPr="00000000" w14:paraId="00000033">
      <w:pPr>
        <w:ind w:left="567" w:firstLine="0"/>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34">
      <w:pPr>
        <w:ind w:left="567" w:right="900" w:firstLine="0"/>
        <w:jc w:val="right"/>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35">
      <w:pPr>
        <w:ind w:left="567" w:right="900" w:firstLine="0"/>
        <w:jc w:val="right"/>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36">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sz w:val="22"/>
          <w:szCs w:val="22"/>
          <w:rtl w:val="0"/>
        </w:rPr>
        <w:t xml:space="preserve">verificar si la respuesta es adecuada y suficiente para satisfacer el derecho de acceso a la información pública de la parte 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la información.</w:t>
      </w:r>
      <w:r w:rsidDel="00000000" w:rsidR="00000000" w:rsidRPr="00000000">
        <w:rPr>
          <w:rtl w:val="0"/>
        </w:rPr>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Antes de entrar al análisis de los pronunciamientos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3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A">
      <w:pP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r w:rsidDel="00000000" w:rsidR="00000000" w:rsidRPr="00000000">
        <w:rPr>
          <w:rtl w:val="0"/>
        </w:rPr>
      </w:r>
    </w:p>
    <w:p w:rsidR="00000000" w:rsidDel="00000000" w:rsidP="00000000" w:rsidRDefault="00000000" w:rsidRPr="00000000" w14:paraId="0000003B">
      <w:pP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tl w:val="0"/>
        </w:rPr>
      </w:r>
    </w:p>
    <w:p w:rsidR="00000000" w:rsidDel="00000000" w:rsidP="00000000" w:rsidRDefault="00000000" w:rsidRPr="00000000" w14:paraId="0000003C">
      <w:pP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r w:rsidDel="00000000" w:rsidR="00000000" w:rsidRPr="00000000">
        <w:rPr>
          <w:rtl w:val="0"/>
        </w:rPr>
      </w:r>
    </w:p>
    <w:p w:rsidR="00000000" w:rsidDel="00000000" w:rsidP="00000000" w:rsidRDefault="00000000" w:rsidRPr="00000000" w14:paraId="0000003D">
      <w:pP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3E">
      <w:pPr>
        <w:spacing w:line="276" w:lineRule="auto"/>
        <w:ind w:left="851" w:right="90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3F">
      <w:pPr>
        <w:spacing w:line="276" w:lineRule="auto"/>
        <w:ind w:left="851" w:right="90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240" w:before="24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240" w:before="24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240" w:before="240"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 Para tal efecto, los sujetos obligados contarán con las facultades suficientes para su atención.</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240" w:before="24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240" w:before="240" w:lineRule="auto"/>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240" w:before="24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Se establecerán mecanismos de acceso a la información pública y procedimientos de revisión expeditos que se sustanciarán ante las instancias competentes en los términos que fija esta Constitución y las leyes.</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240" w:before="240" w:lineRule="auto"/>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40" w:before="240" w:lineRule="auto"/>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240" w:before="240" w:lineRule="auto"/>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r w:rsidDel="00000000" w:rsidR="00000000" w:rsidRPr="00000000">
        <w:rPr>
          <w:rtl w:val="0"/>
        </w:rPr>
      </w:r>
    </w:p>
    <w:p w:rsidR="00000000" w:rsidDel="00000000" w:rsidP="00000000" w:rsidRDefault="00000000" w:rsidRPr="00000000" w14:paraId="00000049">
      <w:pPr>
        <w:spacing w:line="276" w:lineRule="auto"/>
        <w:ind w:left="851" w:right="851"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C">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4D">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E">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4F">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0">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5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4">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5">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6">
      <w:pP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57">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8">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59">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A">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orientador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5B">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5C">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5D">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5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3">
      <w:pPr>
        <w:spacing w:line="360" w:lineRule="auto"/>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4">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65">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6">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67">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A">
      <w:pP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6B">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6C">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6D">
      <w:pP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6E">
      <w:pP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6F">
      <w:pP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7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ahí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sz w:val="22"/>
          <w:szCs w:val="22"/>
          <w:vertAlign w:val="superscript"/>
        </w:rPr>
        <w:footnoteReference w:customMarkFollows="0" w:id="1"/>
      </w:r>
      <w:r w:rsidDel="00000000" w:rsidR="00000000" w:rsidRPr="00000000">
        <w:rPr>
          <w:rFonts w:ascii="Palatino Linotype" w:cs="Palatino Linotype" w:eastAsia="Palatino Linotype" w:hAnsi="Palatino Linotype"/>
          <w:sz w:val="22"/>
          <w:szCs w:val="22"/>
          <w:rtl w:val="0"/>
        </w:rPr>
        <w:t xml:space="preserve">, como pudiera tratarse de aquella relacionada con las obligaciones de transparencia señaladas en los artículos 92 y 100 de la Ley de la Materia.</w:t>
      </w:r>
    </w:p>
    <w:p w:rsidR="00000000" w:rsidDel="00000000" w:rsidP="00000000" w:rsidRDefault="00000000" w:rsidRPr="00000000" w14:paraId="00000071">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de las solicitudes de información, motivo de los recursos de revisión que ahora se resuelven,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consistente en lo siguiente:</w:t>
      </w:r>
    </w:p>
    <w:p w:rsidR="00000000" w:rsidDel="00000000" w:rsidP="00000000" w:rsidRDefault="00000000" w:rsidRPr="00000000" w14:paraId="000000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360" w:lineRule="auto"/>
        <w:ind w:left="720" w:right="51"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Comprobantes de todos los pagos realizados mediante cheque o transferencia electrónica a particulares durante el mes de abril de dos mil veinticinco. </w:t>
      </w:r>
    </w:p>
    <w:p w:rsidR="00000000" w:rsidDel="00000000" w:rsidP="00000000" w:rsidRDefault="00000000" w:rsidRPr="00000000" w14:paraId="00000073">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su respuesta,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través de la Tesorera Municipal remitió versión pública de las transferencias realizadas a particulares en el mes de abril de dos mil veinticinco; asimismo, entregó el acuerdo en el que se confirmó la clasificación de los datos personales contenidos en las transferencias bancarias; así como, en los cheques de caja emitidos. </w:t>
      </w:r>
    </w:p>
    <w:p w:rsidR="00000000" w:rsidDel="00000000" w:rsidP="00000000" w:rsidRDefault="00000000" w:rsidRPr="00000000" w14:paraId="00000074">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al no estar conforme con los términos de las respuestas emitidas,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presentó los recursos de revisión que se resuelven, donde señaló en lo medular su inconformidad respecto a las cintas negras que cubren el nombre o razón social de los beneficiarios del pago de cheques.</w:t>
      </w:r>
    </w:p>
    <w:p w:rsidR="00000000" w:rsidDel="00000000" w:rsidP="00000000" w:rsidRDefault="00000000" w:rsidRPr="00000000" w14:paraId="00000075">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Durante el periodo de manifestaciones,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por conducto de la Tesorería Municipal rindió su informe justificado en el que, en su parte sustantiva, ratifica la respuesta inicial; mientras que,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omitió rendir manifestaciones, como señaló anteriormente. </w:t>
      </w:r>
    </w:p>
    <w:p w:rsidR="00000000" w:rsidDel="00000000" w:rsidP="00000000" w:rsidRDefault="00000000" w:rsidRPr="00000000" w14:paraId="00000076">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Acotado lo anterior, al</w:t>
      </w:r>
      <w:r w:rsidDel="00000000" w:rsidR="00000000" w:rsidRPr="00000000">
        <w:rPr>
          <w:rFonts w:ascii="Palatino Linotype" w:cs="Palatino Linotype" w:eastAsia="Palatino Linotype" w:hAnsi="Palatino Linotype"/>
          <w:b w:val="1"/>
          <w:rtl w:val="0"/>
        </w:rPr>
        <w:t xml:space="preserve"> no haberse impugnado respecto de las transferencias electrónicas mediante las cuales se realizaron pagos durante el mes de abril de dos mil veinticinco</w:t>
      </w:r>
      <w:r w:rsidDel="00000000" w:rsidR="00000000" w:rsidRPr="00000000">
        <w:rPr>
          <w:rFonts w:ascii="Palatino Linotype" w:cs="Palatino Linotype" w:eastAsia="Palatino Linotype" w:hAnsi="Palatino Linotype"/>
          <w:rtl w:val="0"/>
        </w:rPr>
        <w:t xml:space="preserve">, no pueden producirse efectos jurídicos tendentes a revocar, confirmar o modificar el acto reclamado, ya que, sobre dicha parte de la solicitud, la misma se encuentra satisfecha por la parte </w:t>
      </w:r>
      <w:r w:rsidDel="00000000" w:rsidR="00000000" w:rsidRPr="00000000">
        <w:rPr>
          <w:rFonts w:ascii="Palatino Linotype" w:cs="Palatino Linotype" w:eastAsia="Palatino Linotype" w:hAnsi="Palatino Linotype"/>
          <w:b w:val="1"/>
          <w:rtl w:val="0"/>
        </w:rPr>
        <w:t xml:space="preserve">Recurrente.</w:t>
      </w:r>
    </w:p>
    <w:p w:rsidR="00000000" w:rsidDel="00000000" w:rsidP="00000000" w:rsidRDefault="00000000" w:rsidRPr="00000000" w14:paraId="0000007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debido a que cuando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impugna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este no expresa Razón o Motivo de Inconformidad en contra de todos los rubros solicitados, dichos rubros deben declararse atendidos, pues se entiende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7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A">
      <w:pPr>
        <w:spacing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7B">
      <w:pPr>
        <w:spacing w:line="276"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Consecuentemente, se insiste, ante la falta de impugnación en contra de todos los puntos de la solicitud, los no controvertidos deben declararse consentidos.</w:t>
      </w:r>
    </w:p>
    <w:p w:rsidR="00000000" w:rsidDel="00000000" w:rsidP="00000000" w:rsidRDefault="00000000" w:rsidRPr="00000000" w14:paraId="0000007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sustenta con lo plasmado en el criterio 01/20 emitido por el entonces Instituto Nacional de Transparencia, Acceso a la Información, y Protección de Datos Personales, INAI, que lleva por rubro y texto los siguientes: </w:t>
      </w:r>
    </w:p>
    <w:p w:rsidR="00000000" w:rsidDel="00000000" w:rsidP="00000000" w:rsidRDefault="00000000" w:rsidRPr="00000000" w14:paraId="0000007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Actos consentidos tácitamente. Improcedencia de su análisis. </w:t>
      </w:r>
      <w:r w:rsidDel="00000000" w:rsidR="00000000" w:rsidRPr="00000000">
        <w:rPr>
          <w:rFonts w:ascii="Palatino Linotype" w:cs="Palatino Linotype" w:eastAsia="Palatino Linotype" w:hAnsi="Palatino Linotype"/>
          <w:i w:val="1"/>
          <w:rtl w:val="0"/>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360" w:lineRule="auto"/>
        <w:ind w:left="567"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aplicable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83">
      <w:pPr>
        <w:spacing w:line="360" w:lineRule="auto"/>
        <w:ind w:left="851" w:right="900" w:firstLine="0"/>
        <w:jc w:val="both"/>
        <w:rPr>
          <w:rFonts w:ascii="Palatino Linotype" w:cs="Palatino Linotype" w:eastAsia="Palatino Linotype" w:hAnsi="Palatino Linotype"/>
          <w:b w:val="1"/>
          <w:i w:val="1"/>
          <w:smallCaps w:val="1"/>
        </w:rPr>
      </w:pPr>
      <w:r w:rsidDel="00000000" w:rsidR="00000000" w:rsidRPr="00000000">
        <w:rPr>
          <w:rtl w:val="0"/>
        </w:rPr>
      </w:r>
    </w:p>
    <w:p w:rsidR="00000000" w:rsidDel="00000000" w:rsidP="00000000" w:rsidRDefault="00000000" w:rsidRPr="00000000" w14:paraId="00000084">
      <w:pPr>
        <w:tabs>
          <w:tab w:val="left" w:leader="none" w:pos="851"/>
          <w:tab w:val="left" w:leader="none" w:pos="1276"/>
        </w:tabs>
        <w:spacing w:line="276" w:lineRule="auto"/>
        <w:ind w:left="567"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mallCaps w:val="1"/>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ese sentido, atendiendo los motivos de inconformidad, </w:t>
      </w:r>
      <w:r w:rsidDel="00000000" w:rsidR="00000000" w:rsidRPr="00000000">
        <w:rPr>
          <w:rFonts w:ascii="Palatino Linotype" w:cs="Palatino Linotype" w:eastAsia="Palatino Linotype" w:hAnsi="Palatino Linotype"/>
          <w:b w:val="1"/>
          <w:rtl w:val="0"/>
        </w:rPr>
        <w:t xml:space="preserve">en el presente asunto únicamente se procederá al análisis de los cheques de caja proporcionados a efecto de determinar si es procedente la clasificación de los beneficiarios.</w:t>
      </w:r>
    </w:p>
    <w:p w:rsidR="00000000" w:rsidDel="00000000" w:rsidP="00000000" w:rsidRDefault="00000000" w:rsidRPr="00000000" w14:paraId="0000008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rsidR="00000000" w:rsidDel="00000000" w:rsidP="00000000" w:rsidRDefault="00000000" w:rsidRPr="00000000" w14:paraId="0000008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rsidR="00000000" w:rsidDel="00000000" w:rsidP="00000000" w:rsidRDefault="00000000" w:rsidRPr="00000000" w14:paraId="00000089">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rsidR="00000000" w:rsidDel="00000000" w:rsidP="00000000" w:rsidRDefault="00000000" w:rsidRPr="00000000" w14:paraId="0000008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rsidR="00000000" w:rsidDel="00000000" w:rsidP="00000000" w:rsidRDefault="00000000" w:rsidRPr="00000000" w14:paraId="0000008B">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línea de pensamiento, derivado del análisis de las constancias que obran en el expediente electrónico en el que se actúa, se advirtió que la Unidad de Transparencia, turnó la solicitud de información a la Tesorería Municipal cuyo servidor público habilitado no niega la existencia de la información solicitada, sino por el contrario, se encuentra encaminado a atender el requerimiento de información, por ello es que, una vez analizado, proporcionó los cheques de caja emitidos en el mes de abril de dos mil veinticinco, información que si bien se traduce en lo solicitado, fue motivo del recurso de revisión que ahora se resuelve, al haberse testado el nombre de los beneficiarios.</w:t>
      </w:r>
    </w:p>
    <w:p w:rsidR="00000000" w:rsidDel="00000000" w:rsidP="00000000" w:rsidRDefault="00000000" w:rsidRPr="00000000" w14:paraId="0000008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debe decirse que por regla general, toda la información que generen, administren y/o posean los Sujetos Obligados, es considerada información pública, pues al ser entes que ejercen recursos públicos tienen la obligación de rendir cuentas y asumir responsabilidades ante los ciudadanos derivado del ejercicio de sus atribuciones, garantizando así el Derecho humano de acceso a la información pública, sin embargo, dicho derecho puede ser restringido de manera excepcional por razones de interés público, en los términos de las causas legítimas y estrictamente necesarias previstas por la Ley, a través de la clasificación de la información como confidencial o reservada, como se desprende del artículo 91 de la Ley de Transparencia y Acceso a la Información Pública del Estado de México y Municipios, que es del tenor literal siguiente:</w:t>
      </w:r>
    </w:p>
    <w:p w:rsidR="00000000" w:rsidDel="00000000" w:rsidP="00000000" w:rsidRDefault="00000000" w:rsidRPr="00000000" w14:paraId="0000008D">
      <w:pPr>
        <w:spacing w:after="120" w:before="12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 “Artículo 91. </w:t>
      </w:r>
      <w:r w:rsidDel="00000000" w:rsidR="00000000" w:rsidRPr="00000000">
        <w:rPr>
          <w:rFonts w:ascii="Palatino Linotype" w:cs="Palatino Linotype" w:eastAsia="Palatino Linotype" w:hAnsi="Palatino Linotype"/>
          <w:i w:val="1"/>
          <w:rtl w:val="0"/>
        </w:rPr>
        <w:t xml:space="preserve">El acceso a la información pública será restringido  excepcionalmente, cuando ésta sea clasificada como reservada o confidencial.”</w:t>
      </w:r>
    </w:p>
    <w:p w:rsidR="00000000" w:rsidDel="00000000" w:rsidP="00000000" w:rsidRDefault="00000000" w:rsidRPr="00000000" w14:paraId="0000008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es importante mencionar que </w:t>
      </w:r>
      <w:r w:rsidDel="00000000" w:rsidR="00000000" w:rsidRPr="00000000">
        <w:rPr>
          <w:rFonts w:ascii="Palatino Linotype" w:cs="Palatino Linotype" w:eastAsia="Palatino Linotype" w:hAnsi="Palatino Linotype"/>
          <w:b w:val="1"/>
          <w:u w:val="single"/>
          <w:rtl w:val="0"/>
        </w:rPr>
        <w:t xml:space="preserve">la restricción al derecho de acceso a la información implica necesariamente una clasificación</w:t>
      </w:r>
      <w:r w:rsidDel="00000000" w:rsidR="00000000" w:rsidRPr="00000000">
        <w:rPr>
          <w:rFonts w:ascii="Palatino Linotype" w:cs="Palatino Linotype" w:eastAsia="Palatino Linotype" w:hAnsi="Palatino Linotype"/>
          <w:rtl w:val="0"/>
        </w:rPr>
        <w:t xml:space="preserve">, la cual debe entenderse como el proceso mediante el cual un Sujeto Obligado determina que la información en su poder, actualiza alguno de los supuestos de reserva o confidencialidad, de conformidad con las normas aplicables.</w:t>
      </w:r>
    </w:p>
    <w:p w:rsidR="00000000" w:rsidDel="00000000" w:rsidP="00000000" w:rsidRDefault="00000000" w:rsidRPr="00000000" w14:paraId="0000008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Debe decirse que la Ley de Transparencia y Acceso a la Información Pública del Estado de México y Municipios, define como </w:t>
      </w:r>
      <w:r w:rsidDel="00000000" w:rsidR="00000000" w:rsidRPr="00000000">
        <w:rPr>
          <w:rFonts w:ascii="Palatino Linotype" w:cs="Palatino Linotype" w:eastAsia="Palatino Linotype" w:hAnsi="Palatino Linotype"/>
          <w:b w:val="1"/>
          <w:rtl w:val="0"/>
        </w:rPr>
        <w:t xml:space="preserve">información reservada </w:t>
      </w:r>
      <w:r w:rsidDel="00000000" w:rsidR="00000000" w:rsidRPr="00000000">
        <w:rPr>
          <w:rFonts w:ascii="Palatino Linotype" w:cs="Palatino Linotype" w:eastAsia="Palatino Linotype" w:hAnsi="Palatino Linotype"/>
          <w:rtl w:val="0"/>
        </w:rPr>
        <w:t xml:space="preserve">a la información pública clasificada con este carácter de manera temporal por las disposiciones de la Ley de la Materia, cuya divulgación puede causar daños a las  seguridad pública, cuyos supuestos se encuentran establecidos en el en el artículo 140 de la Ley de Transparencia y Acceso a la Información Pública del Estado de México y Municipios; y como </w:t>
      </w:r>
      <w:r w:rsidDel="00000000" w:rsidR="00000000" w:rsidRPr="00000000">
        <w:rPr>
          <w:rFonts w:ascii="Palatino Linotype" w:cs="Palatino Linotype" w:eastAsia="Palatino Linotype" w:hAnsi="Palatino Linotype"/>
          <w:b w:val="1"/>
          <w:rtl w:val="0"/>
        </w:rPr>
        <w:t xml:space="preserve">información confidencial</w:t>
      </w:r>
      <w:r w:rsidDel="00000000" w:rsidR="00000000" w:rsidRPr="00000000">
        <w:rPr>
          <w:rFonts w:ascii="Palatino Linotype" w:cs="Palatino Linotype" w:eastAsia="Palatino Linotype" w:hAnsi="Palatino Linotype"/>
          <w:rtl w:val="0"/>
        </w:rPr>
        <w:t xml:space="preserve">, la relacionada con los secretos bancario, fiduciario, industrial, comercial, fiscal, bursátil y postal, cuya titularidad corresponda a particulares, sujetos de derecho internacional o sujetos obligados cuando no involucren el ejercicio de recursos públicos, así como la información privada contenida en documentos públicos o privados que refiera a la vida privada y/o los datos personales, que no son de acceso público, cuyos supuestos se encuentran en el artículo 143 de la Ley de Transparencia y Acceso a la Información Pública del Estado de México y Municipios.</w:t>
      </w:r>
    </w:p>
    <w:p w:rsidR="00000000" w:rsidDel="00000000" w:rsidP="00000000" w:rsidRDefault="00000000" w:rsidRPr="00000000" w14:paraId="00000090">
      <w:pPr>
        <w:spacing w:after="280" w:before="28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es de precisar que la clasificación de la información no se da por el simple mandato de la Ley, sino que es necesario que los Sujetos Obligados, cuando clasifiquen algún documento o información, ya sea todo o en parte, atiendan lo dispuesto por la Ley de la materia, siendo que dicha clasificación es un trabajo en conjunto tanto de los Servidores Públicos Habilitados, de las Unidades de Transparencia y del Comité de Transparencia de los Sujetos Obligados,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rsidR="00000000" w:rsidDel="00000000" w:rsidP="00000000" w:rsidRDefault="00000000" w:rsidRPr="00000000" w14:paraId="0000009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w:t>
      </w:r>
      <w:r w:rsidDel="00000000" w:rsidR="00000000" w:rsidRPr="00000000">
        <w:rPr>
          <w:rFonts w:ascii="Palatino Linotype" w:cs="Palatino Linotype" w:eastAsia="Palatino Linotype" w:hAnsi="Palatino Linotype"/>
          <w:b w:val="1"/>
          <w:u w:val="single"/>
          <w:rtl w:val="0"/>
        </w:rPr>
        <w:t xml:space="preserve">debe acompañarse necesariamente del Acuerdo del Comité de Transparencia</w:t>
      </w:r>
      <w:r w:rsidDel="00000000" w:rsidR="00000000" w:rsidRPr="00000000">
        <w:rPr>
          <w:rFonts w:ascii="Palatino Linotype" w:cs="Palatino Linotype" w:eastAsia="Palatino Linotype" w:hAnsi="Palatino Linotype"/>
          <w:rtl w:val="0"/>
        </w:rPr>
        <w:t xml:space="preserve">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 </w:t>
      </w:r>
    </w:p>
    <w:p w:rsidR="00000000" w:rsidDel="00000000" w:rsidP="00000000" w:rsidRDefault="00000000" w:rsidRPr="00000000" w14:paraId="0000009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en el presente asunto  si bien es cierto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parte del acuerdo en el que se aprobó la clasificación de los datos contenidos en los cheques de caja, también lo es que en el mismo se advierte que solo se hizo referencia a los datos que se clasificaron, sin que se hayan motivado las circunstancias que determinan la clasificación, y con ello vulneró el Derecho de acceso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al no justificar de manera fundada y motivada la clasificación de los datos que fueron eliminados.</w:t>
      </w:r>
    </w:p>
    <w:p w:rsidR="00000000" w:rsidDel="00000000" w:rsidP="00000000" w:rsidRDefault="00000000" w:rsidRPr="00000000" w14:paraId="0000009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si bien se remitieron los cheques emitidos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el periodo solicitado, no escapa de la óptica de este Organismo Garante, que en los mismos se clasificó el nombres de los beneficiarios y firmas de quienes autorizan el cheque. </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es de señalar que, si bien el nombre como atributo de la personalidad que hace a una persona física o jurídico colectiva identificable tiene el carácter de confidencial también lo que, que en un en el régimen de excepciones, en los casos en los que el nombre se relaciona con el ejercicio de recursos públicos, el nombre, denominación o razón social de quien recibe recursos públicos debe darse a conocer.</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del </w:t>
      </w:r>
      <w:r w:rsidDel="00000000" w:rsidR="00000000" w:rsidRPr="00000000">
        <w:rPr>
          <w:rFonts w:ascii="Palatino Linotype" w:cs="Palatino Linotype" w:eastAsia="Palatino Linotype" w:hAnsi="Palatino Linotype"/>
          <w:b w:val="1"/>
          <w:sz w:val="22"/>
          <w:szCs w:val="22"/>
          <w:rtl w:val="0"/>
        </w:rPr>
        <w:t xml:space="preserve">nombre de las personas físicas</w:t>
      </w:r>
      <w:r w:rsidDel="00000000" w:rsidR="00000000" w:rsidRPr="00000000">
        <w:rPr>
          <w:rFonts w:ascii="Palatino Linotype" w:cs="Palatino Linotype" w:eastAsia="Palatino Linotype" w:hAnsi="Palatino Linotype"/>
          <w:sz w:val="22"/>
          <w:szCs w:val="22"/>
          <w:rtl w:val="0"/>
        </w:rPr>
        <w:t xml:space="preserve"> o los </w:t>
      </w:r>
      <w:r w:rsidDel="00000000" w:rsidR="00000000" w:rsidRPr="00000000">
        <w:rPr>
          <w:rFonts w:ascii="Palatino Linotype" w:cs="Palatino Linotype" w:eastAsia="Palatino Linotype" w:hAnsi="Palatino Linotype"/>
          <w:b w:val="1"/>
          <w:sz w:val="22"/>
          <w:szCs w:val="22"/>
          <w:rtl w:val="0"/>
        </w:rPr>
        <w:t xml:space="preserve">representantes legales de las personas morales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en su calidad de proveedores, contratistas o prestadores de servicios, y la firma y rúbrica de estos</w:t>
      </w:r>
      <w:r w:rsidDel="00000000" w:rsidR="00000000" w:rsidRPr="00000000">
        <w:rPr>
          <w:rFonts w:ascii="Palatino Linotype" w:cs="Palatino Linotype" w:eastAsia="Palatino Linotype" w:hAnsi="Palatino Linotype"/>
          <w:sz w:val="22"/>
          <w:szCs w:val="22"/>
          <w:rtl w:val="0"/>
        </w:rPr>
        <w:t xml:space="preserve">, que reciban recursos públicos, los Sujetos Obligados tienen el deber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a quien se le hayan otorgado recursos públicos  no conservan el carácter de confidencial y por tanto no deben ser testados.</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360" w:lineRule="auto"/>
        <w:ind w:right="50"/>
        <w:jc w:val="both"/>
        <w:rPr>
          <w:sz w:val="22"/>
          <w:szCs w:val="22"/>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Argumentación que guarda sustento en lo estipulado por el artículo 23 de la Ley de Transparencia y Acceso a la Información Pública del Estado de México y Municipios en su penúltimo párrafo, mismo que es del tenor literal siguiente:</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120" w:lineRule="auto"/>
        <w:ind w:left="851" w:right="902"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23.</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120" w:before="120" w:lineRule="auto"/>
        <w:ind w:left="851" w:right="902"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280" w:before="280"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Asimismo, resulta aplicable el contenido del criterio de interpretación 01/19 emitido por el Instituto Nacional de Transparencia, Acceso a la Información, y Protección de Datos Personales, INAI, que lleva por rubro y texto los siguientes</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“Datos de identificación del representante o apoderado legal.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Naturaleza jurídica. El nombre, la </w:t>
      </w:r>
      <w:r w:rsidDel="00000000" w:rsidR="00000000" w:rsidRPr="00000000">
        <w:rPr>
          <w:rFonts w:ascii="Palatino Linotype" w:cs="Palatino Linotype" w:eastAsia="Palatino Linotype" w:hAnsi="Palatino Linotype"/>
          <w:b w:val="1"/>
          <w:i w:val="1"/>
          <w:sz w:val="22"/>
          <w:szCs w:val="22"/>
          <w:u w:val="single"/>
          <w:rtl w:val="0"/>
        </w:rPr>
        <w:t xml:space="preserve">firma y la rúbrica</w:t>
      </w:r>
      <w:r w:rsidDel="00000000" w:rsidR="00000000" w:rsidRPr="00000000">
        <w:rPr>
          <w:rFonts w:ascii="Palatino Linotype" w:cs="Palatino Linotype" w:eastAsia="Palatino Linotype" w:hAnsi="Palatino Linotype"/>
          <w:i w:val="1"/>
          <w:sz w:val="22"/>
          <w:szCs w:val="22"/>
          <w:rtl w:val="0"/>
        </w:rPr>
        <w:t xml:space="preserve"> de una persona física, que actúe como representante o apoderado legal de un tercero que haya celebrado un acto jurídico, con algún sujeto obligado, </w:t>
      </w:r>
      <w:r w:rsidDel="00000000" w:rsidR="00000000" w:rsidRPr="00000000">
        <w:rPr>
          <w:rFonts w:ascii="Palatino Linotype" w:cs="Palatino Linotype" w:eastAsia="Palatino Linotype" w:hAnsi="Palatino Linotype"/>
          <w:b w:val="1"/>
          <w:i w:val="1"/>
          <w:sz w:val="22"/>
          <w:szCs w:val="22"/>
          <w:u w:val="single"/>
          <w:rtl w:val="0"/>
        </w:rPr>
        <w:t xml:space="preserve">es información pública</w:t>
      </w:r>
      <w:r w:rsidDel="00000000" w:rsidR="00000000" w:rsidRPr="00000000">
        <w:rPr>
          <w:rFonts w:ascii="Palatino Linotype" w:cs="Palatino Linotype" w:eastAsia="Palatino Linotype" w:hAnsi="Palatino Linotype"/>
          <w:b w:val="1"/>
          <w:i w:val="1"/>
          <w:sz w:val="22"/>
          <w:szCs w:val="22"/>
          <w:rtl w:val="0"/>
        </w:rPr>
        <w:t xml:space="preserve">, en razón de que tales datos fueron proporcionados con el objeto de expresar el consentimiento obligacional del tercero y otorgar validez a dicho instrumento jurídico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76" w:lineRule="auto"/>
        <w:ind w:right="902"/>
        <w:jc w:val="both"/>
        <w:rPr>
          <w:sz w:val="22"/>
          <w:szCs w:val="22"/>
        </w:rPr>
      </w:pPr>
      <w:r w:rsidDel="00000000" w:rsidR="00000000" w:rsidRPr="00000000">
        <w:rPr>
          <w:rtl w:val="0"/>
        </w:rPr>
      </w:r>
    </w:p>
    <w:p w:rsidR="00000000" w:rsidDel="00000000" w:rsidP="00000000" w:rsidRDefault="00000000" w:rsidRPr="00000000" w14:paraId="0000009F">
      <w:pPr>
        <w:spacing w:line="360" w:lineRule="auto"/>
        <w:jc w:val="both"/>
        <w:rPr>
          <w:rFonts w:ascii="Palatino Linotype" w:cs="Palatino Linotype" w:eastAsia="Palatino Linotype" w:hAnsi="Palatino Linotype"/>
          <w:sz w:val="22"/>
          <w:szCs w:val="22"/>
        </w:rPr>
      </w:pPr>
      <w:bookmarkStart w:colFirst="0" w:colLast="0" w:name="_heading=h.1y810tw" w:id="9"/>
      <w:bookmarkEnd w:id="9"/>
      <w:r w:rsidDel="00000000" w:rsidR="00000000" w:rsidRPr="00000000">
        <w:rPr>
          <w:rFonts w:ascii="Palatino Linotype" w:cs="Palatino Linotype" w:eastAsia="Palatino Linotype" w:hAnsi="Palatino Linotype"/>
          <w:sz w:val="22"/>
          <w:szCs w:val="22"/>
          <w:rtl w:val="0"/>
        </w:rPr>
        <w:t xml:space="preserve">Por consiguiente, el Pleno de este Instituto determina dable ordenar la entrega en versión pública correcta los cheques de caja proporcionados en respuesta, en los términos señalados en los Considerando Quinto. </w:t>
      </w:r>
    </w:p>
    <w:p w:rsidR="00000000" w:rsidDel="00000000" w:rsidP="00000000" w:rsidRDefault="00000000" w:rsidRPr="00000000" w14:paraId="000000A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1">
      <w:pPr>
        <w:spacing w:after="0" w:line="360" w:lineRule="auto"/>
        <w:ind w:right="51"/>
        <w:jc w:val="both"/>
        <w:rPr>
          <w:rFonts w:ascii="Palatino Linotype" w:cs="Palatino Linotype" w:eastAsia="Palatino Linotype" w:hAnsi="Palatino Linotype"/>
          <w:sz w:val="22"/>
          <w:szCs w:val="22"/>
        </w:rPr>
      </w:pPr>
      <w:bookmarkStart w:colFirst="0" w:colLast="0" w:name="_heading=h.lnxbz9" w:id="10"/>
      <w:bookmarkEnd w:id="10"/>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sin menoscabar el derecho a la protección de los datos personales de terceros.</w:t>
      </w:r>
    </w:p>
    <w:p w:rsidR="00000000" w:rsidDel="00000000" w:rsidP="00000000" w:rsidRDefault="00000000" w:rsidRPr="00000000" w14:paraId="000000A2">
      <w:pPr>
        <w:spacing w:after="0"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3">
      <w:pPr>
        <w:spacing w:after="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a lo que señalan los artículos 3, fracciones IX, XX, XXXII, XLV; 6, 137 y 143 fracción I, de la Ley de Transparencia y Acceso a la Información Pública del Estado de México y Municipios vigente, que se leen como sigue:</w:t>
      </w:r>
    </w:p>
    <w:p w:rsidR="00000000" w:rsidDel="00000000" w:rsidP="00000000" w:rsidRDefault="00000000" w:rsidRPr="00000000" w14:paraId="000000A4">
      <w:pPr>
        <w:spacing w:after="0"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5">
      <w:pPr>
        <w:spacing w:line="276" w:lineRule="auto"/>
        <w:ind w:left="992" w:right="104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3. Para los efectos de la presente Ley se entenderá por:</w:t>
      </w:r>
    </w:p>
    <w:p w:rsidR="00000000" w:rsidDel="00000000" w:rsidP="00000000" w:rsidRDefault="00000000" w:rsidRPr="00000000" w14:paraId="000000A6">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información concerniente a una persona, identificada o identificable</w:t>
      </w:r>
      <w:r w:rsidDel="00000000" w:rsidR="00000000" w:rsidRPr="00000000">
        <w:rPr>
          <w:rFonts w:ascii="Palatino Linotype" w:cs="Palatino Linotype" w:eastAsia="Palatino Linotype" w:hAnsi="Palatino Linotype"/>
          <w:i w:val="1"/>
          <w:sz w:val="22"/>
          <w:szCs w:val="22"/>
          <w:rtl w:val="0"/>
        </w:rPr>
        <w:t xml:space="preserve"> según lo dispuesto por la Ley de Protección de Datos Personales del Estado de México;</w:t>
      </w:r>
    </w:p>
    <w:p w:rsidR="00000000" w:rsidDel="00000000" w:rsidP="00000000" w:rsidRDefault="00000000" w:rsidRPr="00000000" w14:paraId="000000A7">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0A8">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0A9">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0AA">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B">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0AC">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D">
      <w:pPr>
        <w:spacing w:line="276" w:lineRule="auto"/>
        <w:ind w:left="992" w:right="104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0AE">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AF">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jurídica colectiva identificada o identificable;</w:t>
      </w:r>
    </w:p>
    <w:p w:rsidR="00000000" w:rsidDel="00000000" w:rsidP="00000000" w:rsidRDefault="00000000" w:rsidRPr="00000000" w14:paraId="000000B0">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B1">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 </w:t>
      </w:r>
    </w:p>
    <w:p w:rsidR="00000000" w:rsidDel="00000000" w:rsidP="00000000" w:rsidRDefault="00000000" w:rsidRPr="00000000" w14:paraId="000000B2">
      <w:pPr>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3">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proceder a testar los datos personales que se encuentren contenidos en los documentos a entregar para satisfacer el derecho de acceso a la información pública de la parte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0B4">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5">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0B6">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0B8">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0BA">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B">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C">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BD">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p>
    <w:p w:rsidR="00000000" w:rsidDel="00000000" w:rsidP="00000000" w:rsidRDefault="00000000" w:rsidRPr="00000000" w14:paraId="000000BE">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sz w:val="22"/>
          <w:szCs w:val="22"/>
          <w:rtl w:val="0"/>
        </w:rPr>
        <w:t xml:space="preserve">, la cual tendrá los fundamentos y argumentos en que se basa dicha propuesta…” </w:t>
      </w:r>
    </w:p>
    <w:p w:rsidR="00000000" w:rsidDel="00000000" w:rsidP="00000000" w:rsidRDefault="00000000" w:rsidRPr="00000000" w14:paraId="000000BF">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0C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0C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4">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sz w:val="22"/>
          <w:szCs w:val="22"/>
          <w:rtl w:val="0"/>
        </w:rPr>
        <w:t xml:space="preserve"> deberá contener un razonamiento lógico en el que demuestre que la información se encuentra en alguna o algunas de las hipótesis previstas en la presente Ley.”</w:t>
      </w:r>
    </w:p>
    <w:p w:rsidR="00000000" w:rsidDel="00000000" w:rsidP="00000000" w:rsidRDefault="00000000" w:rsidRPr="00000000" w14:paraId="000000C5">
      <w:pPr>
        <w:spacing w:line="360" w:lineRule="auto"/>
        <w:ind w:right="5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6">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el </w:t>
      </w:r>
      <w:r w:rsidDel="00000000" w:rsidR="00000000" w:rsidRPr="00000000">
        <w:rPr>
          <w:rFonts w:ascii="Palatino Linotype" w:cs="Palatino Linotype" w:eastAsia="Palatino Linotype" w:hAnsi="Palatino Linotype"/>
          <w:b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360" w:lineRule="auto"/>
        <w:ind w:right="50"/>
        <w:jc w:val="both"/>
        <w:rPr>
          <w:sz w:val="22"/>
          <w:szCs w:val="22"/>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el artículo 23 de la Ley de Transparencia y Acceso a la Información Pública del Estado de México y Municipios en su penúltimo párrafo, mismo que es del tenor literal siguiente:</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120" w:lineRule="auto"/>
        <w:ind w:left="851" w:right="902"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23.</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120" w:before="120" w:lineRule="auto"/>
        <w:ind w:left="851" w:right="902"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Del="00000000" w:rsidR="00000000" w:rsidRPr="00000000">
        <w:rPr>
          <w:rtl w:val="0"/>
        </w:rPr>
      </w:r>
    </w:p>
    <w:p w:rsidR="00000000" w:rsidDel="00000000" w:rsidP="00000000" w:rsidRDefault="00000000" w:rsidRPr="00000000" w14:paraId="000000C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rsidR="00000000" w:rsidDel="00000000" w:rsidP="00000000" w:rsidRDefault="00000000" w:rsidRPr="00000000" w14:paraId="000000CE">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F">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000000" w:rsidDel="00000000" w:rsidP="00000000" w:rsidRDefault="00000000" w:rsidRPr="00000000" w14:paraId="000000D0">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1">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encuentra sustento en el criterio 10/17 emitido por el Instituto Nacional de Transparencia y Acceso a la Información Pública del Estado de México y Municipios, que a la letra dicen:</w:t>
      </w:r>
    </w:p>
    <w:p w:rsidR="00000000" w:rsidDel="00000000" w:rsidP="00000000" w:rsidRDefault="00000000" w:rsidRPr="00000000" w14:paraId="000000D2">
      <w:pPr>
        <w:spacing w:line="276"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sz w:val="22"/>
          <w:szCs w:val="22"/>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000000" w:rsidDel="00000000" w:rsidP="00000000" w:rsidRDefault="00000000" w:rsidRPr="00000000" w14:paraId="000000D3">
      <w:pPr>
        <w:ind w:left="851" w:right="899" w:firstLine="0"/>
        <w:jc w:val="center"/>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D4">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rsidR="00000000" w:rsidDel="00000000" w:rsidP="00000000" w:rsidRDefault="00000000" w:rsidRPr="00000000" w14:paraId="000000D5">
      <w:pPr>
        <w:spacing w:line="276" w:lineRule="auto"/>
        <w:ind w:left="851" w:right="113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6">
      <w:pPr>
        <w:spacing w:line="276"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sz w:val="22"/>
          <w:szCs w:val="22"/>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000000" w:rsidDel="00000000" w:rsidP="00000000" w:rsidRDefault="00000000" w:rsidRPr="00000000" w14:paraId="000000D7">
      <w:pPr>
        <w:spacing w:line="360" w:lineRule="auto"/>
        <w:ind w:left="851" w:right="113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8">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000000" w:rsidDel="00000000" w:rsidP="00000000" w:rsidRDefault="00000000" w:rsidRPr="00000000" w14:paraId="000000D9">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A">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las personas físicas que reciben recursos públicos de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rsidR="00000000" w:rsidDel="00000000" w:rsidP="00000000" w:rsidRDefault="00000000" w:rsidRPr="00000000" w14:paraId="000000DB">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se destaca que la versión pública que elabore el</w:t>
      </w:r>
      <w:r w:rsidDel="00000000" w:rsidR="00000000" w:rsidRPr="00000000">
        <w:rPr>
          <w:rFonts w:ascii="Palatino Linotype" w:cs="Palatino Linotype" w:eastAsia="Palatino Linotype" w:hAnsi="Palatino Linotype"/>
          <w:b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sz w:val="22"/>
          <w:szCs w:val="22"/>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2"/>
          <w:szCs w:val="22"/>
          <w:rtl w:val="0"/>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0DD">
      <w:pPr>
        <w:ind w:left="709" w:right="70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Versión pública:</w:t>
      </w:r>
      <w:r w:rsidDel="00000000" w:rsidR="00000000" w:rsidRPr="00000000">
        <w:rPr>
          <w:rFonts w:ascii="Palatino Linotype" w:cs="Palatino Linotype" w:eastAsia="Palatino Linotype" w:hAnsi="Palatino Linotype"/>
          <w:i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2"/>
          <w:szCs w:val="22"/>
          <w:u w:val="single"/>
          <w:rtl w:val="0"/>
        </w:rPr>
        <w:t xml:space="preserve">fundando y motivando la</w:t>
      </w:r>
      <w:r w:rsidDel="00000000" w:rsidR="00000000" w:rsidRPr="00000000">
        <w:rPr>
          <w:rFonts w:ascii="Palatino Linotype" w:cs="Palatino Linotype" w:eastAsia="Palatino Linotype" w:hAnsi="Palatino Linotype"/>
          <w:i w:val="1"/>
          <w:sz w:val="22"/>
          <w:szCs w:val="22"/>
          <w:rtl w:val="0"/>
        </w:rPr>
        <w:t xml:space="preserve"> reserva o </w:t>
      </w:r>
      <w:r w:rsidDel="00000000" w:rsidR="00000000" w:rsidRPr="00000000">
        <w:rPr>
          <w:rFonts w:ascii="Palatino Linotype" w:cs="Palatino Linotype" w:eastAsia="Palatino Linotype" w:hAnsi="Palatino Linotype"/>
          <w:b w:val="1"/>
          <w:i w:val="1"/>
          <w:sz w:val="22"/>
          <w:szCs w:val="22"/>
          <w:u w:val="single"/>
          <w:rtl w:val="0"/>
        </w:rPr>
        <w:t xml:space="preserve">confidencialidad</w:t>
      </w:r>
      <w:r w:rsidDel="00000000" w:rsidR="00000000" w:rsidRPr="00000000">
        <w:rPr>
          <w:rFonts w:ascii="Palatino Linotype" w:cs="Palatino Linotype" w:eastAsia="Palatino Linotype" w:hAnsi="Palatino Linotype"/>
          <w:i w:val="1"/>
          <w:sz w:val="22"/>
          <w:szCs w:val="22"/>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del Comité de Transparencia, el órgano garante </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competente, o en cumplimiento a una sentencia del Poder Judicial; o</w:t>
      </w: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line="276" w:lineRule="auto"/>
        <w:ind w:right="709"/>
        <w:jc w:val="both"/>
        <w:rPr>
          <w:sz w:val="22"/>
          <w:szCs w:val="22"/>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line="276" w:lineRule="auto"/>
        <w:ind w:left="709" w:right="709" w:firstLine="0"/>
        <w:jc w:val="center"/>
        <w:rPr>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line="276" w:lineRule="auto"/>
        <w:ind w:left="709" w:right="70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ELEMENTOS PARA LA CLASIFICACIÓN</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w:t>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r w:rsidDel="00000000" w:rsidR="00000000" w:rsidRPr="00000000">
        <w:rPr>
          <w:rtl w:val="0"/>
        </w:rPr>
      </w:r>
    </w:p>
    <w:p w:rsidR="00000000" w:rsidDel="00000000" w:rsidP="00000000" w:rsidRDefault="00000000" w:rsidRPr="00000000" w14:paraId="0000010D">
      <w:pPr>
        <w:jc w:val="both"/>
        <w:rPr>
          <w:sz w:val="22"/>
          <w:szCs w:val="22"/>
        </w:rPr>
      </w:pPr>
      <w:r w:rsidDel="00000000" w:rsidR="00000000" w:rsidRPr="00000000">
        <w:rPr>
          <w:rtl w:val="0"/>
        </w:rPr>
      </w:r>
    </w:p>
    <w:p w:rsidR="00000000" w:rsidDel="00000000" w:rsidP="00000000" w:rsidRDefault="00000000" w:rsidRPr="00000000" w14:paraId="0000010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10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0">
      <w:pPr>
        <w:shd w:fill="ffffff" w:val="clea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noveno, cuadragésimo y cuadragésimo primero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11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sz w:val="22"/>
          <w:szCs w:val="22"/>
          <w:rtl w:val="0"/>
        </w:rPr>
        <w:t xml:space="preserve">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06609/INFOEM/IP/RR/2025</w:t>
      </w:r>
      <w:r w:rsidDel="00000000" w:rsidR="00000000" w:rsidRPr="00000000">
        <w:rPr>
          <w:rFonts w:ascii="Palatino Linotype" w:cs="Palatino Linotype" w:eastAsia="Palatino Linotype" w:hAnsi="Palatino Linotype"/>
          <w:sz w:val="22"/>
          <w:szCs w:val="22"/>
          <w:rtl w:val="0"/>
        </w:rPr>
        <w:t xml:space="preserve">; por lo que, en términos de </w:t>
      </w:r>
      <w:r w:rsidDel="00000000" w:rsidR="00000000" w:rsidRPr="00000000">
        <w:rPr>
          <w:rFonts w:ascii="Palatino Linotype" w:cs="Palatino Linotype" w:eastAsia="Palatino Linotype" w:hAnsi="Palatino Linotype"/>
          <w:b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tl w:val="0"/>
        </w:rPr>
      </w:r>
    </w:p>
    <w:p w:rsidR="00000000" w:rsidDel="00000000" w:rsidP="00000000" w:rsidRDefault="00000000" w:rsidRPr="00000000" w14:paraId="00000115">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Ordena</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términos de los Considerandos </w:t>
      </w:r>
      <w:r w:rsidDel="00000000" w:rsidR="00000000" w:rsidRPr="00000000">
        <w:rPr>
          <w:rFonts w:ascii="Palatino Linotype" w:cs="Palatino Linotype" w:eastAsia="Palatino Linotype" w:hAnsi="Palatino Linotype"/>
          <w:b w:val="1"/>
          <w:sz w:val="22"/>
          <w:szCs w:val="22"/>
          <w:rtl w:val="0"/>
        </w:rPr>
        <w:t xml:space="preserve">Cuarto y Quinto </w:t>
      </w:r>
      <w:r w:rsidDel="00000000" w:rsidR="00000000" w:rsidRPr="00000000">
        <w:rPr>
          <w:rFonts w:ascii="Palatino Linotype" w:cs="Palatino Linotype" w:eastAsia="Palatino Linotype" w:hAnsi="Palatino Linotype"/>
          <w:sz w:val="22"/>
          <w:szCs w:val="22"/>
          <w:rtl w:val="0"/>
        </w:rPr>
        <w:t xml:space="preserve">de esta resolución</w:t>
      </w:r>
      <w:r w:rsidDel="00000000" w:rsidR="00000000" w:rsidRPr="00000000">
        <w:rPr>
          <w:rFonts w:ascii="Palatino Linotype" w:cs="Palatino Linotype" w:eastAsia="Palatino Linotype" w:hAnsi="Palatino Linotype"/>
          <w:b w:val="1"/>
          <w:sz w:val="22"/>
          <w:szCs w:val="22"/>
          <w:rtl w:val="0"/>
        </w:rPr>
        <w:t xml:space="preserve">, haga entrega vía SAIMEX</w:t>
      </w:r>
      <w:r w:rsidDel="00000000" w:rsidR="00000000" w:rsidRPr="00000000">
        <w:rPr>
          <w:rFonts w:ascii="Palatino Linotype" w:cs="Palatino Linotype" w:eastAsia="Palatino Linotype" w:hAnsi="Palatino Linotype"/>
          <w:sz w:val="22"/>
          <w:szCs w:val="22"/>
          <w:rtl w:val="0"/>
        </w:rPr>
        <w:t xml:space="preserve">, en versión pública correcta, la siguiente información:</w:t>
      </w:r>
    </w:p>
    <w:p w:rsidR="00000000" w:rsidDel="00000000" w:rsidP="00000000" w:rsidRDefault="00000000" w:rsidRPr="00000000" w14:paraId="00000116">
      <w:pPr>
        <w:numPr>
          <w:ilvl w:val="0"/>
          <w:numId w:val="2"/>
        </w:numPr>
        <w:pBdr>
          <w:top w:space="0" w:sz="0" w:val="nil"/>
          <w:left w:space="0" w:sz="0" w:val="nil"/>
          <w:bottom w:space="0" w:sz="0" w:val="nil"/>
          <w:right w:space="0" w:sz="0" w:val="nil"/>
          <w:between w:space="0" w:sz="0" w:val="nil"/>
        </w:pBdr>
        <w:spacing w:line="276" w:lineRule="auto"/>
        <w:ind w:left="720" w:right="616"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Cheques de caja emitidos por el Sujeto Obligado en el mes de abril de dos mil veinticinco, remitidos en respuesta a la solicitud de información. </w:t>
      </w:r>
    </w:p>
    <w:p w:rsidR="00000000" w:rsidDel="00000000" w:rsidP="00000000" w:rsidRDefault="00000000" w:rsidRPr="00000000" w14:paraId="00000117">
      <w:pPr>
        <w:spacing w:line="276"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8">
      <w:pPr>
        <w:tabs>
          <w:tab w:val="left" w:leader="none" w:pos="8222"/>
        </w:tabs>
        <w:spacing w:line="276" w:lineRule="auto"/>
        <w:ind w:left="426" w:right="61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y  se ponga a disposición de la parte Recurrente, en términos de los artículos 49, fracción VIII,  de la Ley de Transparencia y Acceso a la Información Pública del Estado de México y Municipios.</w:t>
      </w:r>
    </w:p>
    <w:p w:rsidR="00000000" w:rsidDel="00000000" w:rsidP="00000000" w:rsidRDefault="00000000" w:rsidRPr="00000000" w14:paraId="0000011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000000" w:rsidDel="00000000" w:rsidP="00000000" w:rsidRDefault="00000000" w:rsidRPr="00000000" w14:paraId="0000011A">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Notifíquese a través del SAIMEX, </w:t>
      </w:r>
      <w:r w:rsidDel="00000000" w:rsidR="00000000" w:rsidRPr="00000000">
        <w:rPr>
          <w:rFonts w:ascii="Palatino Linotype" w:cs="Palatino Linotype" w:eastAsia="Palatino Linotype" w:hAnsi="Palatino Linotype"/>
          <w:sz w:val="22"/>
          <w:szCs w:val="22"/>
          <w:rtl w:val="0"/>
        </w:rPr>
        <w:t xml:space="preserve">al Titular de la Unidad de Transparencia que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11B">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vía SAIMEX, </w:t>
      </w:r>
      <w:r w:rsidDel="00000000" w:rsidR="00000000" w:rsidRPr="00000000">
        <w:rPr>
          <w:rFonts w:ascii="Palatino Linotype" w:cs="Palatino Linotype" w:eastAsia="Palatino Linotype" w:hAnsi="Palatino Linotype"/>
          <w:sz w:val="22"/>
          <w:szCs w:val="22"/>
          <w:rtl w:val="0"/>
        </w:rPr>
        <w:t xml:space="preserve">a</w:t>
      </w:r>
      <w:r w:rsidDel="00000000" w:rsidR="00000000" w:rsidRPr="00000000">
        <w:rPr>
          <w:rFonts w:ascii="Palatino Linotype" w:cs="Palatino Linotype" w:eastAsia="Palatino Linotype" w:hAnsi="Palatino Linotype"/>
          <w:b w:val="1"/>
          <w:sz w:val="22"/>
          <w:szCs w:val="22"/>
          <w:rtl w:val="0"/>
        </w:rPr>
        <w:t xml:space="preserve"> la parte Recurrente</w:t>
      </w:r>
      <w:r w:rsidDel="00000000" w:rsidR="00000000" w:rsidRPr="00000000">
        <w:rPr>
          <w:rFonts w:ascii="Palatino Linotype" w:cs="Palatino Linotype" w:eastAsia="Palatino Linotype" w:hAnsi="Palatino Linotype"/>
          <w:sz w:val="22"/>
          <w:szCs w:val="22"/>
          <w:rtl w:val="0"/>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rsidR="00000000" w:rsidDel="00000000" w:rsidP="00000000" w:rsidRDefault="00000000" w:rsidRPr="00000000" w14:paraId="0000011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TRECE DE AGOSTO DE DOS MIL VEINTICINCO, ANTE EL SECRETARIO TÉCNICO DEL PLENO ALEXIS TAPIA RAMÍREZ. </w:t>
      </w:r>
    </w:p>
    <w:p w:rsidR="00000000" w:rsidDel="00000000" w:rsidP="00000000" w:rsidRDefault="00000000" w:rsidRPr="00000000" w14:paraId="0000011D">
      <w:pPr>
        <w:rPr>
          <w:rFonts w:ascii="Palatino Linotype" w:cs="Palatino Linotype" w:eastAsia="Palatino Linotype" w:hAnsi="Palatino Linotype"/>
          <w:sz w:val="22"/>
          <w:szCs w:val="22"/>
        </w:rPr>
      </w:pPr>
      <w:bookmarkStart w:colFirst="0" w:colLast="0" w:name="_heading=h.17dp8vu" w:id="11"/>
      <w:bookmarkEnd w:id="11"/>
      <w:r w:rsidDel="00000000" w:rsidR="00000000" w:rsidRPr="00000000">
        <w:rPr>
          <w:rtl w:val="0"/>
        </w:rPr>
      </w:r>
    </w:p>
    <w:p w:rsidR="00000000" w:rsidDel="00000000" w:rsidP="00000000" w:rsidRDefault="00000000" w:rsidRPr="00000000" w14:paraId="0000011E">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F">
      <w:pPr>
        <w:spacing w:line="360" w:lineRule="auto"/>
        <w:jc w:val="both"/>
        <w:rPr>
          <w:rFonts w:ascii="Palatino Linotype" w:cs="Palatino Linotype" w:eastAsia="Palatino Linotype" w:hAnsi="Palatino Linotype"/>
          <w:sz w:val="22"/>
          <w:szCs w:val="22"/>
        </w:rPr>
      </w:pPr>
      <w:bookmarkStart w:colFirst="0" w:colLast="0" w:name="_heading=h.3rdcrjn" w:id="12"/>
      <w:bookmarkEnd w:id="12"/>
      <w:r w:rsidDel="00000000" w:rsidR="00000000" w:rsidRPr="00000000">
        <w:rPr>
          <w:rtl w:val="0"/>
        </w:rPr>
      </w:r>
    </w:p>
    <w:p w:rsidR="00000000" w:rsidDel="00000000" w:rsidP="00000000" w:rsidRDefault="00000000" w:rsidRPr="00000000" w14:paraId="0000012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2">
      <w:pPr>
        <w:spacing w:line="360" w:lineRule="auto"/>
        <w:jc w:val="both"/>
        <w:rPr>
          <w:rFonts w:ascii="Palatino Linotype" w:cs="Palatino Linotype" w:eastAsia="Palatino Linotype" w:hAnsi="Palatino Linotype"/>
          <w:sz w:val="22"/>
          <w:szCs w:val="22"/>
        </w:rPr>
      </w:pPr>
      <w:bookmarkStart w:colFirst="0" w:colLast="0" w:name="_heading=h.1t3h5sf" w:id="13"/>
      <w:bookmarkEnd w:id="13"/>
      <w:r w:rsidDel="00000000" w:rsidR="00000000" w:rsidRPr="00000000">
        <w:rPr>
          <w:rtl w:val="0"/>
        </w:rPr>
      </w:r>
    </w:p>
    <w:p w:rsidR="00000000" w:rsidDel="00000000" w:rsidP="00000000" w:rsidRDefault="00000000" w:rsidRPr="00000000" w14:paraId="0000012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7">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38">
      <w:pPr>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mbria" w:cs="Cambria" w:eastAsia="Cambria" w:hAnsi="Cambria"/>
          <w:color w:val="000000"/>
          <w:sz w:val="20"/>
          <w:szCs w:val="20"/>
          <w:rtl w:val="0"/>
        </w:rPr>
        <w:t xml:space="preserve"> (…)</w:t>
      </w:r>
    </w:p>
  </w:footnote>
  <w:footnote w:id="1">
    <w:p w:rsidR="00000000" w:rsidDel="00000000" w:rsidP="00000000" w:rsidRDefault="00000000" w:rsidRPr="00000000" w14:paraId="00000139">
      <w:pP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A">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-1080105</wp:posOffset>
          </wp:positionH>
          <wp:positionV relativeFrom="paragraph">
            <wp:posOffset>-488280</wp:posOffset>
          </wp:positionV>
          <wp:extent cx="7809865" cy="10165715"/>
          <wp:effectExtent b="0" l="0" r="0" t="0"/>
          <wp:wrapNone/>
          <wp:docPr id="4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7087.0" w:type="dxa"/>
      <w:jc w:val="left"/>
      <w:tblInd w:w="3261.0" w:type="dxa"/>
      <w:tblLayout w:type="fixed"/>
      <w:tblLook w:val="0400"/>
    </w:tblPr>
    <w:tblGrid>
      <w:gridCol w:w="2489"/>
      <w:gridCol w:w="4598"/>
      <w:tblGridChange w:id="0">
        <w:tblGrid>
          <w:gridCol w:w="2489"/>
          <w:gridCol w:w="4598"/>
        </w:tblGrid>
      </w:tblGridChange>
    </w:tblGrid>
    <w:tr>
      <w:trPr>
        <w:cantSplit w:val="0"/>
        <w:tblHeader w:val="0"/>
      </w:trPr>
      <w:tc>
        <w:tcPr>
          <w:shd w:fill="auto" w:val="clear"/>
        </w:tcPr>
        <w:p w:rsidR="00000000" w:rsidDel="00000000" w:rsidP="00000000" w:rsidRDefault="00000000" w:rsidRPr="00000000" w14:paraId="0000013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3C">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06609/INFOEM/IP/RR/2025</w:t>
          </w:r>
        </w:p>
      </w:tc>
    </w:tr>
    <w:tr>
      <w:trPr>
        <w:cantSplit w:val="0"/>
        <w:trHeight w:val="228" w:hRule="atLeast"/>
        <w:tblHeader w:val="0"/>
      </w:trPr>
      <w:tc>
        <w:tcPr>
          <w:shd w:fill="auto" w:val="clear"/>
          <w:vAlign w:val="center"/>
        </w:tcPr>
        <w:p w:rsidR="00000000" w:rsidDel="00000000" w:rsidP="00000000" w:rsidRDefault="00000000" w:rsidRPr="00000000" w14:paraId="0000013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3E">
          <w:pPr>
            <w:ind w:left="-45" w:right="158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Naucalpan de Juárez</w:t>
          </w:r>
        </w:p>
      </w:tc>
    </w:tr>
    <w:tr>
      <w:trPr>
        <w:cantSplit w:val="0"/>
        <w:tblHeader w:val="0"/>
      </w:trPr>
      <w:tc>
        <w:tcPr>
          <w:shd w:fill="auto" w:val="clear"/>
          <w:vAlign w:val="center"/>
        </w:tcPr>
        <w:p w:rsidR="00000000" w:rsidDel="00000000" w:rsidP="00000000" w:rsidRDefault="00000000" w:rsidRPr="00000000" w14:paraId="0000013F">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40">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41">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-1079484</wp:posOffset>
          </wp:positionH>
          <wp:positionV relativeFrom="paragraph">
            <wp:posOffset>-328912</wp:posOffset>
          </wp:positionV>
          <wp:extent cx="7809865" cy="10165715"/>
          <wp:effectExtent b="0" l="0" r="0" t="0"/>
          <wp:wrapNone/>
          <wp:docPr id="4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6945.0" w:type="dxa"/>
      <w:jc w:val="left"/>
      <w:tblInd w:w="3261.0" w:type="dxa"/>
      <w:tblLayout w:type="fixed"/>
      <w:tblLook w:val="0400"/>
    </w:tblPr>
    <w:tblGrid>
      <w:gridCol w:w="2551"/>
      <w:gridCol w:w="4394"/>
      <w:tblGridChange w:id="0">
        <w:tblGrid>
          <w:gridCol w:w="2551"/>
          <w:gridCol w:w="4394"/>
        </w:tblGrid>
      </w:tblGridChange>
    </w:tblGrid>
    <w:tr>
      <w:trPr>
        <w:cantSplit w:val="0"/>
        <w:tblHeader w:val="0"/>
      </w:trPr>
      <w:tc>
        <w:tcPr>
          <w:shd w:fill="auto" w:val="clear"/>
          <w:vAlign w:val="center"/>
        </w:tcPr>
        <w:p w:rsidR="00000000" w:rsidDel="00000000" w:rsidP="00000000" w:rsidRDefault="00000000" w:rsidRPr="00000000" w14:paraId="0000014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44">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06609/INFOEM/IP/RR/2025</w:t>
          </w:r>
        </w:p>
      </w:tc>
    </w:tr>
    <w:tr>
      <w:trPr>
        <w:cantSplit w:val="0"/>
        <w:trHeight w:val="130" w:hRule="atLeast"/>
        <w:tblHeader w:val="0"/>
      </w:trPr>
      <w:tc>
        <w:tcPr>
          <w:shd w:fill="auto" w:val="clear"/>
          <w:vAlign w:val="center"/>
        </w:tcPr>
        <w:p w:rsidR="00000000" w:rsidDel="00000000" w:rsidP="00000000" w:rsidRDefault="00000000" w:rsidRPr="00000000" w14:paraId="0000014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46">
          <w:pPr>
            <w:ind w:left="-45" w:right="1444"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 XXXXXX XXXXXXX</w:t>
          </w:r>
        </w:p>
      </w:tc>
    </w:tr>
    <w:tr>
      <w:trPr>
        <w:cantSplit w:val="0"/>
        <w:trHeight w:val="228" w:hRule="atLeast"/>
        <w:tblHeader w:val="0"/>
      </w:trPr>
      <w:tc>
        <w:tcPr>
          <w:shd w:fill="auto" w:val="clear"/>
          <w:vAlign w:val="center"/>
        </w:tcPr>
        <w:p w:rsidR="00000000" w:rsidDel="00000000" w:rsidP="00000000" w:rsidRDefault="00000000" w:rsidRPr="00000000" w14:paraId="0000014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48">
          <w:pPr>
            <w:ind w:left="-45" w:right="158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Naucalpan de Juárez</w:t>
          </w:r>
        </w:p>
      </w:tc>
    </w:tr>
    <w:tr>
      <w:trPr>
        <w:cantSplit w:val="0"/>
        <w:tblHeader w:val="0"/>
      </w:trPr>
      <w:tc>
        <w:tcPr>
          <w:shd w:fill="auto" w:val="clear"/>
          <w:vAlign w:val="center"/>
        </w:tcPr>
        <w:p w:rsidR="00000000" w:rsidDel="00000000" w:rsidP="00000000" w:rsidRDefault="00000000" w:rsidRPr="00000000" w14:paraId="0000014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4A">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table" w:styleId="16" w:customStyle="1">
    <w:name w:val="16"/>
    <w:basedOn w:val="TableNormal10"/>
    <w:tblPr>
      <w:tblStyleRowBandSize w:val="1"/>
      <w:tblStyleColBandSize w:val="1"/>
      <w:tblCellMar>
        <w:left w:w="115.0" w:type="dxa"/>
        <w:right w:w="115.0" w:type="dxa"/>
      </w:tblCellMar>
    </w:tblPr>
  </w:style>
  <w:style w:type="table" w:styleId="15" w:customStyle="1">
    <w:name w:val="15"/>
    <w:basedOn w:val="TableNormal10"/>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FE2A5A"/>
    <w:pPr>
      <w:tabs>
        <w:tab w:val="center" w:pos="4419"/>
        <w:tab w:val="right" w:pos="8838"/>
      </w:tabs>
    </w:pPr>
    <w:rPr>
      <w:lang w:val="es-ES"/>
    </w:rPr>
  </w:style>
  <w:style w:type="character" w:styleId="EncabezadoCar" w:customStyle="1">
    <w:name w:val="Encabezado Car"/>
    <w:basedOn w:val="Fuentedeprrafopredeter"/>
    <w:link w:val="Encabezado"/>
    <w:uiPriority w:val="99"/>
    <w:rsid w:val="00FE2A5A"/>
  </w:style>
  <w:style w:type="paragraph" w:styleId="Piedepgina">
    <w:name w:val="footer"/>
    <w:basedOn w:val="Normal"/>
    <w:link w:val="PiedepginaCar"/>
    <w:uiPriority w:val="99"/>
    <w:unhideWhenUsed w:val="1"/>
    <w:rsid w:val="00FE2A5A"/>
    <w:pPr>
      <w:tabs>
        <w:tab w:val="center" w:pos="4419"/>
        <w:tab w:val="right" w:pos="8838"/>
      </w:tabs>
    </w:pPr>
    <w:rPr>
      <w:lang w:val="es-ES"/>
    </w:rPr>
  </w:style>
  <w:style w:type="character" w:styleId="PiedepginaCar" w:customStyle="1">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FE2A5A"/>
    <w:pPr>
      <w:ind w:left="720"/>
      <w:contextualSpacing w:val="1"/>
    </w:pPr>
    <w:rPr>
      <w:lang w:val="es-ES"/>
    </w:rPr>
  </w:style>
  <w:style w:type="table" w:styleId="Tablaconcuadrcula">
    <w:name w:val="Table Grid"/>
    <w:basedOn w:val="Tablanormal"/>
    <w:uiPriority w:val="39"/>
    <w:rsid w:val="0051350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9012F5"/>
    <w:pPr>
      <w:spacing w:after="100" w:afterAutospacing="1" w:before="100" w:beforeAutospacing="1"/>
    </w:pPr>
    <w:rPr>
      <w:lang w:val="es-ES"/>
    </w:rPr>
  </w:style>
  <w:style w:type="table" w:styleId="14" w:customStyle="1">
    <w:name w:val="14"/>
    <w:basedOn w:val="TableNormal10"/>
    <w:tblPr>
      <w:tblStyleRowBandSize w:val="1"/>
      <w:tblStyleColBandSize w:val="1"/>
      <w:tblCellMar>
        <w:left w:w="115.0" w:type="dxa"/>
        <w:right w:w="115.0" w:type="dxa"/>
      </w:tblCellMar>
    </w:tblPr>
  </w:style>
  <w:style w:type="table" w:styleId="13" w:customStyle="1">
    <w:name w:val="13"/>
    <w:basedOn w:val="TableNormal10"/>
    <w:tblPr>
      <w:tblStyleRowBandSize w:val="1"/>
      <w:tblStyleColBandSize w:val="1"/>
      <w:tblCellMar>
        <w:left w:w="115.0" w:type="dxa"/>
        <w:right w:w="115.0" w:type="dxa"/>
      </w:tblCellMar>
    </w:tblPr>
  </w:style>
  <w:style w:type="character" w:styleId="apple-tab-span" w:customStyle="1">
    <w:name w:val="apple-tab-span"/>
    <w:basedOn w:val="Fuentedeprrafopredeter"/>
    <w:rsid w:val="00355FC9"/>
  </w:style>
  <w:style w:type="table" w:styleId="12" w:customStyle="1">
    <w:name w:val="12"/>
    <w:basedOn w:val="TableNormal20"/>
    <w:tblPr>
      <w:tblStyleRowBandSize w:val="1"/>
      <w:tblStyleColBandSize w:val="1"/>
      <w:tblCellMar>
        <w:left w:w="115.0" w:type="dxa"/>
        <w:right w:w="115.0" w:type="dxa"/>
      </w:tblCellMar>
    </w:tblPr>
  </w:style>
  <w:style w:type="table" w:styleId="11" w:customStyle="1">
    <w:name w:val="11"/>
    <w:basedOn w:val="TableNormal20"/>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F759CF"/>
    <w:rPr>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val="1"/>
    <w:qFormat w:val="1"/>
    <w:rsid w:val="00F759CF"/>
    <w:rPr>
      <w:vertAlign w:val="superscript"/>
    </w:rPr>
  </w:style>
  <w:style w:type="table" w:styleId="10" w:customStyle="1">
    <w:name w:val="10"/>
    <w:basedOn w:val="TableNormal30"/>
    <w:tblPr>
      <w:tblStyleRowBandSize w:val="1"/>
      <w:tblStyleColBandSize w:val="1"/>
      <w:tblCellMar>
        <w:left w:w="115.0" w:type="dxa"/>
        <w:right w:w="115.0" w:type="dxa"/>
      </w:tblCellMar>
    </w:tblPr>
  </w:style>
  <w:style w:type="table" w:styleId="9" w:customStyle="1">
    <w:name w:val="9"/>
    <w:basedOn w:val="TableNormal30"/>
    <w:tblPr>
      <w:tblStyleRowBandSize w:val="1"/>
      <w:tblStyleColBandSize w:val="1"/>
      <w:tblCellMar>
        <w:left w:w="115.0" w:type="dxa"/>
        <w:right w:w="115.0" w:type="dxa"/>
      </w:tblCellMar>
    </w:tbl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283BF5"/>
    <w:rPr>
      <w:lang w:val="es-ES"/>
    </w:rPr>
  </w:style>
  <w:style w:type="table" w:styleId="8" w:customStyle="1">
    <w:name w:val="8"/>
    <w:basedOn w:val="TableNormal4"/>
    <w:tblPr>
      <w:tblStyleRowBandSize w:val="1"/>
      <w:tblStyleColBandSize w:val="1"/>
      <w:tblCellMar>
        <w:left w:w="115.0" w:type="dxa"/>
        <w:right w:w="115.0" w:type="dxa"/>
      </w:tblCellMar>
    </w:tblPr>
  </w:style>
  <w:style w:type="table" w:styleId="7" w:customStyle="1">
    <w:name w:val="7"/>
    <w:basedOn w:val="TableNormal4"/>
    <w:tblPr>
      <w:tblStyleRowBandSize w:val="1"/>
      <w:tblStyleColBandSize w:val="1"/>
      <w:tblCellMar>
        <w:left w:w="115.0" w:type="dxa"/>
        <w:right w:w="115.0" w:type="dxa"/>
      </w:tblCellMar>
    </w:tblPr>
  </w:style>
  <w:style w:type="table" w:styleId="6" w:customStyle="1">
    <w:name w:val="6"/>
    <w:basedOn w:val="TableNormal5"/>
    <w:tblPr>
      <w:tblStyleRowBandSize w:val="1"/>
      <w:tblStyleColBandSize w:val="1"/>
      <w:tblCellMar>
        <w:left w:w="115.0" w:type="dxa"/>
        <w:right w:w="115.0" w:type="dxa"/>
      </w:tblCellMar>
    </w:tblPr>
  </w:style>
  <w:style w:type="table" w:styleId="5" w:customStyle="1">
    <w:name w:val="5"/>
    <w:basedOn w:val="TableNormal5"/>
    <w:tblPr>
      <w:tblStyleRowBandSize w:val="1"/>
      <w:tblStyleColBandSize w:val="1"/>
      <w:tblCellMar>
        <w:left w:w="115.0" w:type="dxa"/>
        <w:right w:w="115.0" w:type="dxa"/>
      </w:tblCellMar>
    </w:tblPr>
  </w:style>
  <w:style w:type="paragraph" w:styleId="Listaconvietas3">
    <w:name w:val="List Bullet 3"/>
    <w:basedOn w:val="Normal"/>
    <w:uiPriority w:val="99"/>
    <w:unhideWhenUsed w:val="1"/>
    <w:rsid w:val="0077142E"/>
    <w:pPr>
      <w:numPr>
        <w:numId w:val="5"/>
      </w:numPr>
      <w:contextualSpacing w:val="1"/>
    </w:pPr>
  </w:style>
  <w:style w:type="table" w:styleId="4" w:customStyle="1">
    <w:name w:val="4"/>
    <w:basedOn w:val="TableNormal6"/>
    <w:tblPr>
      <w:tblStyleRowBandSize w:val="1"/>
      <w:tblStyleColBandSize w:val="1"/>
      <w:tblCellMar>
        <w:left w:w="115.0" w:type="dxa"/>
        <w:right w:w="115.0" w:type="dxa"/>
      </w:tblCellMar>
    </w:tblPr>
  </w:style>
  <w:style w:type="table" w:styleId="3" w:customStyle="1">
    <w:name w:val="3"/>
    <w:basedOn w:val="TableNormal6"/>
    <w:tblPr>
      <w:tblStyleRowBandSize w:val="1"/>
      <w:tblStyleColBandSize w:val="1"/>
      <w:tblCellMar>
        <w:left w:w="115.0" w:type="dxa"/>
        <w:right w:w="115.0" w:type="dxa"/>
      </w:tblCellMar>
    </w:tblPr>
  </w:style>
  <w:style w:type="table" w:styleId="2" w:customStyle="1">
    <w:name w:val="2"/>
    <w:basedOn w:val="TableNormal7"/>
    <w:tblPr>
      <w:tblStyleRowBandSize w:val="1"/>
      <w:tblStyleColBandSize w:val="1"/>
      <w:tblCellMar>
        <w:left w:w="115.0" w:type="dxa"/>
        <w:right w:w="115.0" w:type="dxa"/>
      </w:tblCellMar>
    </w:tblPr>
  </w:style>
  <w:style w:type="table" w:styleId="1" w:customStyle="1">
    <w:name w:val="1"/>
    <w:basedOn w:val="TableNormal7"/>
    <w:tblPr>
      <w:tblStyleRowBandSize w:val="1"/>
      <w:tblStyleColBandSize w:val="1"/>
      <w:tblCellMar>
        <w:left w:w="115.0" w:type="dxa"/>
        <w:right w:w="115.0" w:type="dxa"/>
      </w:tblCellMar>
    </w:tblPr>
  </w:style>
  <w:style w:type="paragraph" w:styleId="Listaconvietas2">
    <w:name w:val="List Bullet 2"/>
    <w:basedOn w:val="Normal"/>
    <w:uiPriority w:val="99"/>
    <w:unhideWhenUsed w:val="1"/>
    <w:rsid w:val="00B910CA"/>
    <w:pPr>
      <w:tabs>
        <w:tab w:val="num" w:pos="720"/>
      </w:tabs>
      <w:ind w:left="720" w:hanging="720"/>
      <w:contextualSpacing w:val="1"/>
    </w:pPr>
  </w:style>
  <w:style w:type="paragraph" w:styleId="Textodeglobo">
    <w:name w:val="Balloon Text"/>
    <w:basedOn w:val="Normal"/>
    <w:link w:val="TextodegloboCar"/>
    <w:uiPriority w:val="99"/>
    <w:semiHidden w:val="1"/>
    <w:unhideWhenUsed w:val="1"/>
    <w:rsid w:val="003B3B2A"/>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3B3B2A"/>
    <w:rPr>
      <w:rFonts w:ascii="Segoe UI" w:cs="Segoe UI" w:hAnsi="Segoe UI"/>
      <w:sz w:val="18"/>
      <w:szCs w:val="18"/>
    </w:rPr>
  </w:style>
  <w:style w:type="character" w:styleId="Hipervnculovisitado">
    <w:name w:val="FollowedHyperlink"/>
    <w:basedOn w:val="Fuentedeprrafopredeter"/>
    <w:uiPriority w:val="99"/>
    <w:semiHidden w:val="1"/>
    <w:unhideWhenUsed w:val="1"/>
    <w:rsid w:val="00E9311B"/>
    <w:rPr>
      <w:color w:val="800080" w:themeColor="followedHyperlink"/>
      <w:u w:val="single"/>
    </w:rPr>
  </w:style>
  <w:style w:type="table" w:styleId="a" w:customStyle="1">
    <w:basedOn w:val="TableNormal3"/>
    <w:tblPr>
      <w:tblStyleRowBandSize w:val="1"/>
      <w:tblStyleColBandSize w:val="1"/>
      <w:tblCellMar>
        <w:left w:w="115.0" w:type="dxa"/>
        <w:right w:w="115.0" w:type="dxa"/>
      </w:tblCellMar>
    </w:tblPr>
  </w:style>
  <w:style w:type="table" w:styleId="a0" w:customStyle="1">
    <w:basedOn w:val="TableNormal3"/>
    <w:tblPr>
      <w:tblStyleRowBandSize w:val="1"/>
      <w:tblStyleColBandSize w:val="1"/>
      <w:tblCellMar>
        <w:left w:w="115.0" w:type="dxa"/>
        <w:right w:w="115.0" w:type="dxa"/>
      </w:tblCellMar>
    </w:tblPr>
  </w:style>
  <w:style w:type="table" w:styleId="a1" w:customStyle="1">
    <w:basedOn w:val="TableNormal2"/>
    <w:tblPr>
      <w:tblStyleRowBandSize w:val="1"/>
      <w:tblStyleColBandSize w:val="1"/>
      <w:tblCellMar>
        <w:left w:w="115.0" w:type="dxa"/>
        <w:right w:w="115.0" w:type="dxa"/>
      </w:tblCellMar>
    </w:tblPr>
  </w:style>
  <w:style w:type="table" w:styleId="a2" w:customStyle="1">
    <w:basedOn w:val="TableNormal2"/>
    <w:tblPr>
      <w:tblStyleRowBandSize w:val="1"/>
      <w:tblStyleColBandSize w:val="1"/>
      <w:tblCellMar>
        <w:left w:w="115.0" w:type="dxa"/>
        <w:right w:w="115.0" w:type="dxa"/>
      </w:tblCellMar>
    </w:tblPr>
  </w:style>
  <w:style w:type="table" w:styleId="a3" w:customStyle="1">
    <w:basedOn w:val="TableNormal1"/>
    <w:tblPr>
      <w:tblStyleRowBandSize w:val="1"/>
      <w:tblStyleColBandSize w:val="1"/>
      <w:tblCellMar>
        <w:left w:w="115.0" w:type="dxa"/>
        <w:right w:w="115.0" w:type="dxa"/>
      </w:tblCellMar>
    </w:tblPr>
  </w:style>
  <w:style w:type="table" w:styleId="a4" w:customStyle="1">
    <w:basedOn w:val="TableNormal1"/>
    <w:tblPr>
      <w:tblStyleRowBandSize w:val="1"/>
      <w:tblStyleColBandSize w:val="1"/>
      <w:tblCellMar>
        <w:left w:w="115.0" w:type="dxa"/>
        <w:right w:w="115.0" w:type="dxa"/>
      </w:tblCellMar>
    </w:tblPr>
  </w:style>
  <w:style w:type="character" w:styleId="Refdecomentario">
    <w:name w:val="annotation reference"/>
    <w:basedOn w:val="Fuentedeprrafopredeter"/>
    <w:uiPriority w:val="99"/>
    <w:semiHidden w:val="1"/>
    <w:unhideWhenUsed w:val="1"/>
    <w:rsid w:val="00C552ED"/>
    <w:rPr>
      <w:sz w:val="16"/>
      <w:szCs w:val="16"/>
    </w:rPr>
  </w:style>
  <w:style w:type="paragraph" w:styleId="Textocomentario">
    <w:name w:val="annotation text"/>
    <w:basedOn w:val="Normal"/>
    <w:link w:val="TextocomentarioCar"/>
    <w:uiPriority w:val="99"/>
    <w:semiHidden w:val="1"/>
    <w:unhideWhenUsed w:val="1"/>
    <w:rsid w:val="00C552ED"/>
    <w:rPr>
      <w:sz w:val="20"/>
      <w:szCs w:val="20"/>
    </w:rPr>
  </w:style>
  <w:style w:type="character" w:styleId="TextocomentarioCar" w:customStyle="1">
    <w:name w:val="Texto comentario Car"/>
    <w:basedOn w:val="Fuentedeprrafopredeter"/>
    <w:link w:val="Textocomentario"/>
    <w:uiPriority w:val="99"/>
    <w:semiHidden w:val="1"/>
    <w:rsid w:val="00C552ED"/>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C552ED"/>
    <w:rPr>
      <w:b w:val="1"/>
      <w:bCs w:val="1"/>
    </w:rPr>
  </w:style>
  <w:style w:type="character" w:styleId="AsuntodelcomentarioCar" w:customStyle="1">
    <w:name w:val="Asunto del comentario Car"/>
    <w:basedOn w:val="TextocomentarioCar"/>
    <w:link w:val="Asuntodelcomentario"/>
    <w:uiPriority w:val="99"/>
    <w:semiHidden w:val="1"/>
    <w:rsid w:val="00C552ED"/>
    <w:rPr>
      <w:b w:val="1"/>
      <w:bCs w:val="1"/>
      <w:sz w:val="20"/>
      <w:szCs w:val="20"/>
    </w:rPr>
  </w:style>
  <w:style w:type="table" w:styleId="a5" w:customStyle="1">
    <w:basedOn w:val="TableNormal0"/>
    <w:tblPr>
      <w:tblStyleRowBandSize w:val="1"/>
      <w:tblStyleColBandSize w:val="1"/>
      <w:tblCellMar>
        <w:left w:w="108.0" w:type="dxa"/>
        <w:right w:w="108.0" w:type="dxa"/>
      </w:tblCellMar>
    </w:tblPr>
  </w:style>
  <w:style w:type="table" w:styleId="a6" w:customStyle="1">
    <w:basedOn w:val="TableNormal0"/>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MEPvSYv1+2HpXoS9nupc3CBaZg==">CgMxLjAyCWguMWZvYjl0ZTIJaC40ZDM0b2c4MghoLmdqZGd4czIJaC4zZHk2dmttMg5oLmQ0Z2xiNWY2Zmo1ZDIJaC4zMGowemxsMgloLjJzOGV5bzEyCGgudHlqY3d0MgloLjN6bnlzaDcyCWguMXk4MTB0dzIIaC5sbnhiejkyCWguMTdkcDh2dTIJaC4zcmRjcmpuMgloLjF0M2g1c2Y4AHIhMWtpY1VySGVJdkNxTTVnZkkwbnA0ZWhyOWVRMC1IcXp1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2025-09-04T21:29:00Z</dcterms:created>
  <dc:creator>USUARIO</dc:creator>
</cp:coreProperties>
</file>