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8D1" w:rsidRPr="00CB269F" w:rsidRDefault="000D1B23" w:rsidP="00CB269F">
      <w:pPr>
        <w:spacing w:line="360" w:lineRule="auto"/>
        <w:jc w:val="both"/>
        <w:rPr>
          <w:rFonts w:ascii="Palatino Linotype" w:eastAsia="Palatino Linotype" w:hAnsi="Palatino Linotype" w:cs="Palatino Linotype"/>
          <w:color w:val="000000" w:themeColor="text1"/>
        </w:rPr>
      </w:pPr>
      <w:bookmarkStart w:id="0" w:name="_GoBack"/>
      <w:bookmarkEnd w:id="0"/>
      <w:r w:rsidRPr="00CB269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B269F">
        <w:rPr>
          <w:rFonts w:ascii="Palatino Linotype" w:eastAsia="Palatino Linotype" w:hAnsi="Palatino Linotype" w:cs="Palatino Linotype"/>
          <w:b/>
          <w:color w:val="000000" w:themeColor="text1"/>
        </w:rPr>
        <w:t>de fecha</w:t>
      </w:r>
      <w:r w:rsidRPr="00CB269F">
        <w:rPr>
          <w:rFonts w:ascii="Palatino Linotype" w:eastAsia="Palatino Linotype" w:hAnsi="Palatino Linotype" w:cs="Palatino Linotype"/>
          <w:color w:val="000000" w:themeColor="text1"/>
        </w:rPr>
        <w:t xml:space="preserve">  </w:t>
      </w:r>
      <w:r w:rsidR="00C35E3B">
        <w:rPr>
          <w:rFonts w:ascii="Palatino Linotype" w:eastAsia="Palatino Linotype" w:hAnsi="Palatino Linotype" w:cs="Palatino Linotype"/>
          <w:b/>
          <w:color w:val="000000" w:themeColor="text1"/>
        </w:rPr>
        <w:t>uno (01)</w:t>
      </w:r>
      <w:r w:rsidRPr="00CB269F">
        <w:rPr>
          <w:rFonts w:ascii="Palatino Linotype" w:eastAsia="Palatino Linotype" w:hAnsi="Palatino Linotype" w:cs="Palatino Linotype"/>
          <w:b/>
          <w:color w:val="000000" w:themeColor="text1"/>
        </w:rPr>
        <w:t xml:space="preserve"> de octubre de dos mil veinticinco.</w:t>
      </w: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spacing w:line="360" w:lineRule="auto"/>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b/>
          <w:color w:val="000000" w:themeColor="text1"/>
        </w:rPr>
        <w:t>VISTO</w:t>
      </w:r>
      <w:r w:rsidRPr="00CB269F">
        <w:rPr>
          <w:rFonts w:ascii="Palatino Linotype" w:eastAsia="Palatino Linotype" w:hAnsi="Palatino Linotype" w:cs="Palatino Linotype"/>
          <w:color w:val="000000" w:themeColor="text1"/>
        </w:rPr>
        <w:t xml:space="preserve"> el expediente electrónico formado con motivo del recurso de revisión </w:t>
      </w:r>
      <w:r w:rsidRPr="00CB269F">
        <w:rPr>
          <w:rFonts w:ascii="Palatino Linotype" w:eastAsia="Palatino Linotype" w:hAnsi="Palatino Linotype" w:cs="Palatino Linotype"/>
          <w:b/>
          <w:color w:val="000000" w:themeColor="text1"/>
        </w:rPr>
        <w:t xml:space="preserve">07903/INFOEM/IP/RR/2025, </w:t>
      </w:r>
      <w:r w:rsidRPr="00CB269F">
        <w:rPr>
          <w:rFonts w:ascii="Palatino Linotype" w:eastAsia="Palatino Linotype" w:hAnsi="Palatino Linotype" w:cs="Palatino Linotype"/>
          <w:color w:val="000000" w:themeColor="text1"/>
        </w:rPr>
        <w:t>promovido por</w:t>
      </w:r>
      <w:r w:rsidRPr="00CB269F">
        <w:rPr>
          <w:rFonts w:ascii="Palatino Linotype" w:eastAsia="Palatino Linotype" w:hAnsi="Palatino Linotype" w:cs="Palatino Linotype"/>
          <w:b/>
          <w:color w:val="000000" w:themeColor="text1"/>
        </w:rPr>
        <w:t xml:space="preserve"> </w:t>
      </w:r>
      <w:r w:rsidR="00E967DA">
        <w:rPr>
          <w:rFonts w:ascii="Palatino Linotype" w:eastAsia="Palatino Linotype" w:hAnsi="Palatino Linotype" w:cs="Palatino Linotype"/>
          <w:b/>
          <w:color w:val="000000" w:themeColor="text1"/>
        </w:rPr>
        <w:t>XXXX</w:t>
      </w:r>
      <w:r w:rsidRPr="00CB269F">
        <w:rPr>
          <w:rFonts w:ascii="Palatino Linotype" w:eastAsia="Palatino Linotype" w:hAnsi="Palatino Linotype" w:cs="Palatino Linotype"/>
          <w:color w:val="000000" w:themeColor="text1"/>
        </w:rPr>
        <w:t xml:space="preserve">, a quien en lo sucesivo se le identificará como </w:t>
      </w:r>
      <w:r w:rsidRPr="00CB269F">
        <w:rPr>
          <w:rFonts w:ascii="Palatino Linotype" w:eastAsia="Palatino Linotype" w:hAnsi="Palatino Linotype" w:cs="Palatino Linotype"/>
          <w:b/>
          <w:color w:val="000000" w:themeColor="text1"/>
        </w:rPr>
        <w:t>el RECURRENTE</w:t>
      </w:r>
      <w:r w:rsidRPr="00CB269F">
        <w:rPr>
          <w:rFonts w:ascii="Palatino Linotype" w:eastAsia="Palatino Linotype" w:hAnsi="Palatino Linotype" w:cs="Palatino Linotype"/>
          <w:color w:val="000000" w:themeColor="text1"/>
        </w:rPr>
        <w:t xml:space="preserve">, en contra de la respuesta del  </w:t>
      </w:r>
      <w:r w:rsidRPr="00CB269F">
        <w:rPr>
          <w:rFonts w:ascii="Palatino Linotype" w:eastAsia="Palatino Linotype" w:hAnsi="Palatino Linotype" w:cs="Palatino Linotype"/>
          <w:b/>
          <w:color w:val="000000" w:themeColor="text1"/>
        </w:rPr>
        <w:t xml:space="preserve">Organismo Público Descentralizado para la Prestación de los Servicios de Agua Potable, Alcantarillado y Saneamiento de Teoloyucan, </w:t>
      </w:r>
      <w:r w:rsidRPr="00CB269F">
        <w:rPr>
          <w:rFonts w:ascii="Palatino Linotype" w:eastAsia="Palatino Linotype" w:hAnsi="Palatino Linotype" w:cs="Palatino Linotype"/>
          <w:color w:val="000000" w:themeColor="text1"/>
        </w:rPr>
        <w:t>en adelante el</w:t>
      </w:r>
      <w:r w:rsidRPr="00CB269F">
        <w:rPr>
          <w:rFonts w:ascii="Palatino Linotype" w:eastAsia="Palatino Linotype" w:hAnsi="Palatino Linotype" w:cs="Palatino Linotype"/>
          <w:b/>
          <w:color w:val="000000" w:themeColor="text1"/>
        </w:rPr>
        <w:t xml:space="preserve"> SUJETO OBLIGADO</w:t>
      </w:r>
      <w:r w:rsidRPr="00CB269F">
        <w:rPr>
          <w:rFonts w:ascii="Palatino Linotype" w:eastAsia="Palatino Linotype" w:hAnsi="Palatino Linotype" w:cs="Palatino Linotype"/>
          <w:color w:val="000000" w:themeColor="text1"/>
        </w:rPr>
        <w:t>, se procede a dictar la presente resolución, con base en los siguientes:</w:t>
      </w:r>
    </w:p>
    <w:p w:rsidR="001418D1" w:rsidRPr="00CB269F" w:rsidRDefault="001418D1" w:rsidP="00CB269F">
      <w:pPr>
        <w:spacing w:line="360" w:lineRule="auto"/>
        <w:jc w:val="both"/>
        <w:rPr>
          <w:rFonts w:ascii="Palatino Linotype" w:eastAsia="Palatino Linotype" w:hAnsi="Palatino Linotype" w:cs="Palatino Linotype"/>
          <w:b/>
          <w:color w:val="000000" w:themeColor="text1"/>
        </w:rPr>
      </w:pPr>
    </w:p>
    <w:p w:rsidR="001418D1" w:rsidRPr="00CB269F" w:rsidRDefault="000D1B23" w:rsidP="00CB269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B269F">
        <w:rPr>
          <w:rFonts w:ascii="Palatino Linotype" w:eastAsia="Palatino Linotype" w:hAnsi="Palatino Linotype" w:cs="Palatino Linotype"/>
          <w:b/>
          <w:color w:val="000000" w:themeColor="text1"/>
          <w:sz w:val="24"/>
          <w:szCs w:val="24"/>
        </w:rPr>
        <w:t>A N T E C E D E N T E S</w:t>
      </w:r>
    </w:p>
    <w:p w:rsidR="001418D1" w:rsidRPr="00CB269F" w:rsidRDefault="001418D1" w:rsidP="00CB269F">
      <w:pPr>
        <w:rPr>
          <w:rFonts w:ascii="Palatino Linotype" w:eastAsia="Palatino Linotype" w:hAnsi="Palatino Linotype" w:cs="Palatino Linotype"/>
          <w:color w:val="000000" w:themeColor="text1"/>
        </w:rPr>
      </w:pPr>
    </w:p>
    <w:p w:rsidR="001418D1" w:rsidRPr="00CB269F" w:rsidRDefault="000D1B23" w:rsidP="00CB269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El día</w:t>
      </w:r>
      <w:r w:rsidRPr="00CB269F">
        <w:rPr>
          <w:rFonts w:ascii="Palatino Linotype" w:eastAsia="Palatino Linotype" w:hAnsi="Palatino Linotype" w:cs="Palatino Linotype"/>
          <w:b/>
          <w:color w:val="000000" w:themeColor="text1"/>
        </w:rPr>
        <w:t xml:space="preserve"> dieciocho se junio de dos mil veinticinco, </w:t>
      </w:r>
      <w:r w:rsidRPr="00CB269F">
        <w:rPr>
          <w:rFonts w:ascii="Palatino Linotype" w:eastAsia="Palatino Linotype" w:hAnsi="Palatino Linotype" w:cs="Palatino Linotype"/>
          <w:color w:val="000000" w:themeColor="text1"/>
        </w:rPr>
        <w:t xml:space="preserve">se presentó ante el </w:t>
      </w:r>
      <w:r w:rsidRPr="00CB269F">
        <w:rPr>
          <w:rFonts w:ascii="Palatino Linotype" w:eastAsia="Palatino Linotype" w:hAnsi="Palatino Linotype" w:cs="Palatino Linotype"/>
          <w:b/>
          <w:color w:val="000000" w:themeColor="text1"/>
        </w:rPr>
        <w:t>SUJETO OBLIGADO</w:t>
      </w:r>
      <w:r w:rsidRPr="00CB269F">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CB269F">
        <w:rPr>
          <w:rFonts w:ascii="Palatino Linotype" w:eastAsia="Palatino Linotype" w:hAnsi="Palatino Linotype" w:cs="Palatino Linotype"/>
          <w:b/>
          <w:color w:val="000000" w:themeColor="text1"/>
        </w:rPr>
        <w:t xml:space="preserve"> 00152/OPDTEOLOYUCAN/IP/2025; </w:t>
      </w:r>
      <w:r w:rsidRPr="00CB269F">
        <w:rPr>
          <w:rFonts w:ascii="Palatino Linotype" w:eastAsia="Palatino Linotype" w:hAnsi="Palatino Linotype" w:cs="Palatino Linotype"/>
          <w:color w:val="000000" w:themeColor="text1"/>
        </w:rPr>
        <w:t>en la que se solicitó la siguiente información:</w:t>
      </w:r>
    </w:p>
    <w:p w:rsidR="001418D1" w:rsidRPr="00CB269F" w:rsidRDefault="001418D1" w:rsidP="00CB26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i/>
          <w:color w:val="000000" w:themeColor="text1"/>
        </w:rPr>
        <w:t>“solicito la relacion dela hora de entrada y salida de los servidores publico el ciudadano Agustín velazquez carranza ,la ciudadana marielena pino mendiola . el ciudadano jesus evaristo viquez soto del reloj checador del los meses enero ,mes de febrero, mes de marzo y mes de mayo2025.”</w:t>
      </w:r>
    </w:p>
    <w:p w:rsidR="00E967DA" w:rsidRDefault="00E967DA" w:rsidP="00CB26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Se eligió como modalidad de entrega de la información: el  Sistema de Acceso a la Información</w:t>
      </w:r>
      <w:r w:rsidRPr="00CB269F">
        <w:rPr>
          <w:rFonts w:ascii="Palatino Linotype" w:eastAsia="Palatino Linotype" w:hAnsi="Palatino Linotype" w:cs="Palatino Linotype"/>
          <w:b/>
          <w:color w:val="000000" w:themeColor="text1"/>
        </w:rPr>
        <w:t>.</w:t>
      </w:r>
    </w:p>
    <w:p w:rsidR="001418D1" w:rsidRPr="00CB269F" w:rsidRDefault="000D1B23" w:rsidP="00CB269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lastRenderedPageBreak/>
        <w:t xml:space="preserve">El </w:t>
      </w:r>
      <w:r w:rsidRPr="00CB269F">
        <w:rPr>
          <w:rFonts w:ascii="Palatino Linotype" w:eastAsia="Palatino Linotype" w:hAnsi="Palatino Linotype" w:cs="Palatino Linotype"/>
          <w:b/>
          <w:color w:val="000000" w:themeColor="text1"/>
        </w:rPr>
        <w:t>veintiséis de junio de dos mil veinticinco</w:t>
      </w:r>
      <w:r w:rsidRPr="00CB269F">
        <w:rPr>
          <w:rFonts w:ascii="Palatino Linotype" w:eastAsia="Palatino Linotype" w:hAnsi="Palatino Linotype" w:cs="Palatino Linotype"/>
          <w:color w:val="000000" w:themeColor="text1"/>
        </w:rPr>
        <w:t xml:space="preserve">, el </w:t>
      </w:r>
      <w:r w:rsidRPr="00CB269F">
        <w:rPr>
          <w:rFonts w:ascii="Palatino Linotype" w:eastAsia="Palatino Linotype" w:hAnsi="Palatino Linotype" w:cs="Palatino Linotype"/>
          <w:b/>
          <w:color w:val="000000" w:themeColor="text1"/>
        </w:rPr>
        <w:t>SUJETO OBLIGADO,</w:t>
      </w:r>
      <w:r w:rsidRPr="00CB269F">
        <w:rPr>
          <w:rFonts w:ascii="Palatino Linotype" w:eastAsia="Palatino Linotype" w:hAnsi="Palatino Linotype" w:cs="Palatino Linotype"/>
          <w:color w:val="000000" w:themeColor="text1"/>
        </w:rPr>
        <w:t xml:space="preserve"> dio respuesta a través de un archivo electrónico en formato en formato pdf, cuyo contenido grosso modo es el siguiente</w:t>
      </w:r>
      <w:r w:rsidR="00C35E3B">
        <w:rPr>
          <w:rFonts w:ascii="Palatino Linotype" w:eastAsia="Palatino Linotype" w:hAnsi="Palatino Linotype" w:cs="Palatino Linotype"/>
          <w:color w:val="000000" w:themeColor="text1"/>
        </w:rPr>
        <w:t>:</w:t>
      </w:r>
      <w:r w:rsidRPr="00CB269F">
        <w:rPr>
          <w:rFonts w:ascii="Palatino Linotype" w:eastAsia="Palatino Linotype" w:hAnsi="Palatino Linotype" w:cs="Palatino Linotype"/>
          <w:color w:val="000000" w:themeColor="text1"/>
        </w:rPr>
        <w:t xml:space="preserve"> </w:t>
      </w:r>
    </w:p>
    <w:p w:rsidR="001418D1" w:rsidRPr="00CB269F" w:rsidRDefault="000D1B23" w:rsidP="00CB269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 xml:space="preserve">00152-OPDTEOLOYUCAN-IP-2025-RESPUESTA.pdf: </w:t>
      </w:r>
      <w:r w:rsidRPr="00CB269F">
        <w:rPr>
          <w:rFonts w:ascii="Palatino Linotype" w:eastAsia="Palatino Linotype" w:hAnsi="Palatino Linotype" w:cs="Palatino Linotype"/>
          <w:i/>
          <w:color w:val="000000" w:themeColor="text1"/>
        </w:rPr>
        <w:t xml:space="preserve">oficio de la Encargada de Recursos Humanos, mediante el cual informa que la información solicitada es de control interno y que no puede ser entregada. </w:t>
      </w:r>
    </w:p>
    <w:p w:rsidR="001418D1" w:rsidRPr="00CB269F" w:rsidRDefault="001418D1" w:rsidP="00CB269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1418D1" w:rsidRPr="00CB269F" w:rsidRDefault="000D1B23" w:rsidP="00CB269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El</w:t>
      </w:r>
      <w:r w:rsidRPr="00CB269F">
        <w:rPr>
          <w:rFonts w:ascii="Palatino Linotype" w:eastAsia="Palatino Linotype" w:hAnsi="Palatino Linotype" w:cs="Palatino Linotype"/>
          <w:b/>
          <w:color w:val="000000" w:themeColor="text1"/>
        </w:rPr>
        <w:t xml:space="preserve"> treinta de junio de dos mil veinticinco</w:t>
      </w:r>
      <w:r w:rsidRPr="00CB269F">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1418D1" w:rsidRPr="00CB269F" w:rsidRDefault="001418D1" w:rsidP="00CB269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CB269F">
        <w:rPr>
          <w:rFonts w:ascii="Palatino Linotype" w:eastAsia="Palatino Linotype" w:hAnsi="Palatino Linotype" w:cs="Palatino Linotype"/>
          <w:b/>
          <w:color w:val="000000" w:themeColor="text1"/>
        </w:rPr>
        <w:t xml:space="preserve"> Acto impugnado: </w:t>
      </w:r>
      <w:r w:rsidRPr="00CB269F">
        <w:rPr>
          <w:rFonts w:ascii="Palatino Linotype" w:eastAsia="Palatino Linotype" w:hAnsi="Palatino Linotype" w:cs="Palatino Linotype"/>
          <w:i/>
          <w:color w:val="000000" w:themeColor="text1"/>
        </w:rPr>
        <w:t>“se niega el o la encargada de recursos humanos a dar información.”</w:t>
      </w:r>
    </w:p>
    <w:p w:rsidR="001418D1" w:rsidRPr="00CB269F" w:rsidRDefault="001418D1" w:rsidP="00CB269F">
      <w:pPr>
        <w:pBdr>
          <w:top w:val="nil"/>
          <w:left w:val="nil"/>
          <w:bottom w:val="nil"/>
          <w:right w:val="nil"/>
          <w:between w:val="nil"/>
        </w:pBdr>
        <w:jc w:val="both"/>
        <w:rPr>
          <w:rFonts w:ascii="Palatino Linotype" w:eastAsia="Palatino Linotype" w:hAnsi="Palatino Linotype" w:cs="Palatino Linotype"/>
          <w:i/>
          <w:color w:val="000000" w:themeColor="text1"/>
        </w:rPr>
      </w:pPr>
    </w:p>
    <w:p w:rsidR="001418D1" w:rsidRPr="00CB269F" w:rsidRDefault="000D1B23" w:rsidP="00CB269F">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1fob9te" w:colFirst="0" w:colLast="0"/>
      <w:bookmarkEnd w:id="3"/>
      <w:r w:rsidRPr="00CB269F">
        <w:rPr>
          <w:rFonts w:ascii="Palatino Linotype" w:eastAsia="Palatino Linotype" w:hAnsi="Palatino Linotype" w:cs="Palatino Linotype"/>
          <w:b/>
          <w:color w:val="000000" w:themeColor="text1"/>
        </w:rPr>
        <w:t xml:space="preserve">Razones o Motivos de inconformidad: </w:t>
      </w:r>
      <w:r w:rsidRPr="00CB269F">
        <w:rPr>
          <w:rFonts w:ascii="Palatino Linotype" w:eastAsia="Palatino Linotype" w:hAnsi="Palatino Linotype" w:cs="Palatino Linotype"/>
          <w:i/>
          <w:color w:val="000000" w:themeColor="text1"/>
        </w:rPr>
        <w:t>“de acuerdo a la ley federal de trabajo establece jornadas de trabajo teniendo un horario de entrada y de salida para poder gozar de su quincena no debe de contar con incidencias , faltas, y de ser así deben de justificarse , para no tener un descuento de acuerdo a las ley de transparencia estas negando y aculatando información que protege el trabajado de acuerdo a las ley de servidores públicos esta incurriendo a una situación , misma que te hago responsable a la encargada de recursos humanos x cubrir dicha información.”</w:t>
      </w:r>
    </w:p>
    <w:p w:rsidR="001418D1" w:rsidRPr="00CB269F" w:rsidRDefault="001418D1" w:rsidP="00CB26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CB269F">
        <w:rPr>
          <w:rFonts w:ascii="Palatino Linotype" w:eastAsia="Palatino Linotype" w:hAnsi="Palatino Linotype" w:cs="Palatino Linotype"/>
          <w:b/>
          <w:color w:val="000000" w:themeColor="text1"/>
        </w:rPr>
        <w:t>uno de julio de dos mil veinticinco</w:t>
      </w:r>
      <w:r w:rsidRPr="00CB269F">
        <w:rPr>
          <w:rFonts w:ascii="Palatino Linotype" w:eastAsia="Palatino Linotype" w:hAnsi="Palatino Linotype" w:cs="Palatino Linotype"/>
          <w:color w:val="000000" w:themeColor="text1"/>
        </w:rPr>
        <w:t xml:space="preserve">, puso a disposición de las partes el expediente electrónico vía </w:t>
      </w:r>
      <w:r w:rsidRPr="00CB269F">
        <w:rPr>
          <w:rFonts w:ascii="Palatino Linotype" w:eastAsia="Palatino Linotype" w:hAnsi="Palatino Linotype" w:cs="Palatino Linotype"/>
          <w:b/>
          <w:color w:val="000000" w:themeColor="text1"/>
        </w:rPr>
        <w:t xml:space="preserve">SAIMEX </w:t>
      </w:r>
      <w:r w:rsidRPr="00CB269F">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CB269F">
        <w:rPr>
          <w:rFonts w:ascii="Palatino Linotype" w:eastAsia="Palatino Linotype" w:hAnsi="Palatino Linotype" w:cs="Palatino Linotype"/>
          <w:b/>
          <w:color w:val="000000" w:themeColor="text1"/>
        </w:rPr>
        <w:t>SUJETO OBLIGADO</w:t>
      </w:r>
      <w:r w:rsidRPr="00CB269F">
        <w:rPr>
          <w:rFonts w:ascii="Palatino Linotype" w:eastAsia="Palatino Linotype" w:hAnsi="Palatino Linotype" w:cs="Palatino Linotype"/>
          <w:color w:val="000000" w:themeColor="text1"/>
        </w:rPr>
        <w:t xml:space="preserve"> presentará el Informe Justificado procedente.</w:t>
      </w:r>
    </w:p>
    <w:p w:rsidR="001418D1" w:rsidRPr="00CB269F" w:rsidRDefault="001418D1" w:rsidP="00CB269F">
      <w:pPr>
        <w:rPr>
          <w:rFonts w:ascii="Palatino Linotype" w:eastAsia="Palatino Linotype" w:hAnsi="Palatino Linotype" w:cs="Palatino Linotype"/>
          <w:color w:val="000000" w:themeColor="text1"/>
        </w:rPr>
      </w:pPr>
    </w:p>
    <w:p w:rsidR="001418D1" w:rsidRPr="00CB269F"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lastRenderedPageBreak/>
        <w:t>De lo anterior, el</w:t>
      </w:r>
      <w:r w:rsidRPr="00CB269F">
        <w:rPr>
          <w:rFonts w:ascii="Palatino Linotype" w:eastAsia="Palatino Linotype" w:hAnsi="Palatino Linotype" w:cs="Palatino Linotype"/>
          <w:b/>
          <w:color w:val="000000" w:themeColor="text1"/>
        </w:rPr>
        <w:t xml:space="preserve"> diez de julio de dos mil veinticinco, </w:t>
      </w:r>
      <w:r w:rsidRPr="00CB269F">
        <w:rPr>
          <w:rFonts w:ascii="Palatino Linotype" w:eastAsia="Palatino Linotype" w:hAnsi="Palatino Linotype" w:cs="Palatino Linotype"/>
          <w:color w:val="000000" w:themeColor="text1"/>
        </w:rPr>
        <w:t xml:space="preserve">el </w:t>
      </w:r>
      <w:r w:rsidRPr="00CB269F">
        <w:rPr>
          <w:rFonts w:ascii="Palatino Linotype" w:eastAsia="Palatino Linotype" w:hAnsi="Palatino Linotype" w:cs="Palatino Linotype"/>
          <w:b/>
          <w:color w:val="000000" w:themeColor="text1"/>
        </w:rPr>
        <w:t xml:space="preserve">RECURRENTE </w:t>
      </w:r>
      <w:r w:rsidRPr="00CB269F">
        <w:rPr>
          <w:rFonts w:ascii="Palatino Linotype" w:eastAsia="Palatino Linotype" w:hAnsi="Palatino Linotype" w:cs="Palatino Linotype"/>
          <w:color w:val="000000" w:themeColor="text1"/>
        </w:rPr>
        <w:t>entrego un archivo electrónico en formato pdf, cuyo conten</w:t>
      </w:r>
      <w:r w:rsidR="00C35E3B">
        <w:rPr>
          <w:rFonts w:ascii="Palatino Linotype" w:eastAsia="Palatino Linotype" w:hAnsi="Palatino Linotype" w:cs="Palatino Linotype"/>
          <w:color w:val="000000" w:themeColor="text1"/>
        </w:rPr>
        <w:t>ido grosso modo es el siguiente:</w:t>
      </w:r>
      <w:r w:rsidRPr="00CB269F">
        <w:rPr>
          <w:rFonts w:ascii="Palatino Linotype" w:eastAsia="Palatino Linotype" w:hAnsi="Palatino Linotype" w:cs="Palatino Linotype"/>
          <w:color w:val="000000" w:themeColor="text1"/>
        </w:rPr>
        <w:t xml:space="preserve">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 xml:space="preserve">RESP-ODP-00152.pdf: </w:t>
      </w:r>
      <w:r w:rsidRPr="00CB269F">
        <w:rPr>
          <w:rFonts w:ascii="Palatino Linotype" w:eastAsia="Palatino Linotype" w:hAnsi="Palatino Linotype" w:cs="Palatino Linotype"/>
          <w:i/>
          <w:color w:val="000000" w:themeColor="text1"/>
        </w:rPr>
        <w:t xml:space="preserve">oficio de la Encargada de Recursos Humanos, mediante el cual informa que lo solicitado es información limitada, toda vez  que proporcionar el horario de trabajo podría vulnerar la seguridad de los servidores públicos, sin embargo refiere que un ejercicio de máxima publicidad proporciona la listas de horarios de entrada y salida del primer trimestre, informando que el horario de todo el personal administrativo es de 9:00 a 18:00 horas.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Al documento se anexan las listas del reloj checador de los servidores públicos del uno de enero al treinta y uno de mayo de dos mil veinticinco.</w:t>
      </w:r>
      <w:r w:rsidRPr="00CB269F">
        <w:rPr>
          <w:rFonts w:ascii="Palatino Linotype" w:eastAsia="Palatino Linotype" w:hAnsi="Palatino Linotype" w:cs="Palatino Linotype"/>
          <w:i/>
          <w:color w:val="000000" w:themeColor="text1"/>
        </w:rPr>
        <w:t xml:space="preserve"> </w:t>
      </w:r>
    </w:p>
    <w:p w:rsidR="001418D1" w:rsidRDefault="001418D1" w:rsidP="00CB269F">
      <w:pPr>
        <w:pBdr>
          <w:top w:val="nil"/>
          <w:left w:val="nil"/>
          <w:bottom w:val="nil"/>
          <w:right w:val="nil"/>
          <w:between w:val="nil"/>
        </w:pBdr>
        <w:jc w:val="both"/>
        <w:rPr>
          <w:rFonts w:ascii="Palatino Linotype" w:eastAsia="Palatino Linotype" w:hAnsi="Palatino Linotype" w:cs="Palatino Linotype"/>
          <w:i/>
          <w:color w:val="000000" w:themeColor="text1"/>
        </w:rPr>
      </w:pPr>
    </w:p>
    <w:p w:rsidR="00C35E3B" w:rsidRPr="00CB269F" w:rsidRDefault="00C35E3B" w:rsidP="00CB269F">
      <w:pPr>
        <w:pBdr>
          <w:top w:val="nil"/>
          <w:left w:val="nil"/>
          <w:bottom w:val="nil"/>
          <w:right w:val="nil"/>
          <w:between w:val="nil"/>
        </w:pBdr>
        <w:jc w:val="both"/>
        <w:rPr>
          <w:rFonts w:ascii="Palatino Linotype" w:eastAsia="Palatino Linotype" w:hAnsi="Palatino Linotype" w:cs="Palatino Linotype"/>
          <w:i/>
          <w:color w:val="000000" w:themeColor="text1"/>
        </w:rPr>
      </w:pPr>
    </w:p>
    <w:p w:rsidR="001418D1" w:rsidRPr="00CB269F"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color w:val="000000" w:themeColor="text1"/>
        </w:rPr>
        <w:t xml:space="preserve">Por su parte del </w:t>
      </w:r>
      <w:r w:rsidRPr="00CB269F">
        <w:rPr>
          <w:rFonts w:ascii="Palatino Linotype" w:eastAsia="Palatino Linotype" w:hAnsi="Palatino Linotype" w:cs="Palatino Linotype"/>
          <w:b/>
          <w:color w:val="000000" w:themeColor="text1"/>
        </w:rPr>
        <w:t xml:space="preserve">RECURRENTE </w:t>
      </w:r>
      <w:r w:rsidRPr="00CB269F">
        <w:rPr>
          <w:rFonts w:ascii="Palatino Linotype" w:eastAsia="Palatino Linotype" w:hAnsi="Palatino Linotype" w:cs="Palatino Linotype"/>
          <w:color w:val="000000" w:themeColor="text1"/>
        </w:rPr>
        <w:t xml:space="preserve">dejo de realizar manifestaciones que a su derecho conviniera y asistiera. </w:t>
      </w:r>
    </w:p>
    <w:p w:rsidR="001418D1" w:rsidRPr="00CB269F" w:rsidRDefault="001418D1" w:rsidP="00CB269F">
      <w:pPr>
        <w:pBdr>
          <w:top w:val="nil"/>
          <w:left w:val="nil"/>
          <w:bottom w:val="nil"/>
          <w:right w:val="nil"/>
          <w:between w:val="nil"/>
        </w:pBdr>
        <w:jc w:val="both"/>
        <w:rPr>
          <w:rFonts w:ascii="Palatino Linotype" w:eastAsia="Palatino Linotype" w:hAnsi="Palatino Linotype" w:cs="Palatino Linotype"/>
          <w:i/>
          <w:color w:val="000000" w:themeColor="text1"/>
        </w:rPr>
      </w:pPr>
    </w:p>
    <w:p w:rsidR="001418D1" w:rsidRPr="00CB269F"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El </w:t>
      </w:r>
      <w:r w:rsidRPr="00CB269F">
        <w:rPr>
          <w:rFonts w:ascii="Palatino Linotype" w:eastAsia="Palatino Linotype" w:hAnsi="Palatino Linotype" w:cs="Palatino Linotype"/>
          <w:b/>
          <w:color w:val="000000" w:themeColor="text1"/>
        </w:rPr>
        <w:t>nueve de septiembre de dos mil veinticinco</w:t>
      </w:r>
      <w:r w:rsidRPr="00CB269F">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w:t>
      </w:r>
      <w:r w:rsidR="00CB269F" w:rsidRPr="00CB269F">
        <w:rPr>
          <w:rFonts w:ascii="Palatino Linotype" w:eastAsia="Palatino Linotype" w:hAnsi="Palatino Linotype" w:cs="Palatino Linotype"/>
          <w:color w:val="000000" w:themeColor="text1"/>
        </w:rPr>
        <w:t xml:space="preserve"> Estado de México y Municipios.</w:t>
      </w:r>
    </w:p>
    <w:p w:rsidR="001418D1" w:rsidRPr="00CB269F" w:rsidRDefault="001418D1" w:rsidP="00CB26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18D1" w:rsidRPr="00C35E3B"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B269F">
        <w:rPr>
          <w:rFonts w:ascii="Palatino Linotype" w:eastAsia="Palatino Linotype" w:hAnsi="Palatino Linotype" w:cs="Palatino Linotype"/>
          <w:color w:val="000000" w:themeColor="text1"/>
        </w:rPr>
        <w:t>Finalmente, la Comisionada Ponente mediante acuerdo de fecha</w:t>
      </w:r>
      <w:r w:rsidRPr="00CB269F">
        <w:rPr>
          <w:rFonts w:ascii="Palatino Linotype" w:eastAsia="Palatino Linotype" w:hAnsi="Palatino Linotype" w:cs="Palatino Linotype"/>
          <w:b/>
          <w:color w:val="000000" w:themeColor="text1"/>
        </w:rPr>
        <w:t xml:space="preserve"> </w:t>
      </w:r>
      <w:r w:rsidRPr="00CB269F">
        <w:rPr>
          <w:rFonts w:ascii="Palatino Linotype" w:eastAsia="Palatino Linotype" w:hAnsi="Palatino Linotype" w:cs="Palatino Linotype"/>
          <w:b/>
          <w:color w:val="000000" w:themeColor="text1"/>
          <w:highlight w:val="white"/>
        </w:rPr>
        <w:t>quince de septiembre de dos mil veinticinco</w:t>
      </w:r>
      <w:r w:rsidRPr="00CB269F">
        <w:rPr>
          <w:rFonts w:ascii="Palatino Linotype" w:eastAsia="Palatino Linotype" w:hAnsi="Palatino Linotype" w:cs="Palatino Linotype"/>
          <w:color w:val="000000" w:themeColor="text1"/>
          <w:highlight w:val="white"/>
        </w:rPr>
        <w:t>, decretó el cierre de instrucción d</w:t>
      </w:r>
      <w:r w:rsidRPr="00CB269F">
        <w:rPr>
          <w:rFonts w:ascii="Palatino Linotype" w:eastAsia="Palatino Linotype" w:hAnsi="Palatino Linotype" w:cs="Palatino Linotype"/>
          <w:color w:val="000000" w:themeColor="text1"/>
        </w:rPr>
        <w:t>e los expedientes, por lo que no habi</w:t>
      </w:r>
      <w:r w:rsidR="00CB269F">
        <w:rPr>
          <w:rFonts w:ascii="Palatino Linotype" w:eastAsia="Palatino Linotype" w:hAnsi="Palatino Linotype" w:cs="Palatino Linotype"/>
          <w:color w:val="000000" w:themeColor="text1"/>
        </w:rPr>
        <w:t>endo más que hacer constar, y</w:t>
      </w:r>
      <w:r w:rsidR="00C35E3B">
        <w:rPr>
          <w:rFonts w:ascii="Palatino Linotype" w:eastAsia="Palatino Linotype" w:hAnsi="Palatino Linotype" w:cs="Palatino Linotype"/>
          <w:color w:val="000000" w:themeColor="text1"/>
        </w:rPr>
        <w:t xml:space="preserve"> -------------------------------------------------------------</w:t>
      </w:r>
    </w:p>
    <w:p w:rsidR="00C35E3B" w:rsidRDefault="00C35E3B" w:rsidP="00C35E3B">
      <w:pPr>
        <w:pStyle w:val="Prrafodelista"/>
        <w:rPr>
          <w:rFonts w:ascii="Palatino Linotype" w:eastAsia="Palatino Linotype" w:hAnsi="Palatino Linotype" w:cs="Palatino Linotype"/>
          <w:b/>
          <w:color w:val="000000" w:themeColor="text1"/>
        </w:rPr>
      </w:pPr>
    </w:p>
    <w:p w:rsidR="00C35E3B" w:rsidRDefault="00C35E3B" w:rsidP="00C35E3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35E3B" w:rsidRDefault="00C35E3B" w:rsidP="00C35E3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35E3B" w:rsidRPr="00CB269F" w:rsidRDefault="00C35E3B" w:rsidP="00C35E3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418D1" w:rsidRPr="00CB269F" w:rsidRDefault="001418D1" w:rsidP="00CB269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418D1" w:rsidRPr="00CB269F" w:rsidRDefault="000D1B23" w:rsidP="00CB269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B269F">
        <w:rPr>
          <w:rFonts w:ascii="Palatino Linotype" w:eastAsia="Palatino Linotype" w:hAnsi="Palatino Linotype" w:cs="Palatino Linotype"/>
          <w:b/>
          <w:color w:val="000000" w:themeColor="text1"/>
        </w:rPr>
        <w:lastRenderedPageBreak/>
        <w:t>C O N S I D E R A N D O</w:t>
      </w:r>
    </w:p>
    <w:p w:rsidR="001418D1" w:rsidRPr="00CB269F" w:rsidRDefault="001418D1" w:rsidP="00CB269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1418D1" w:rsidRPr="00CB269F" w:rsidRDefault="000D1B23" w:rsidP="00CB269F">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CB269F">
        <w:rPr>
          <w:rFonts w:ascii="Palatino Linotype" w:eastAsia="Palatino Linotype" w:hAnsi="Palatino Linotype" w:cs="Palatino Linotype"/>
          <w:b/>
          <w:color w:val="000000" w:themeColor="text1"/>
          <w:sz w:val="24"/>
          <w:szCs w:val="24"/>
        </w:rPr>
        <w:t>PRIMERO. De la competencia</w:t>
      </w:r>
    </w:p>
    <w:p w:rsidR="001418D1" w:rsidRPr="00CB269F"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418D1" w:rsidRPr="00CB269F" w:rsidRDefault="001418D1" w:rsidP="00CB269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418D1" w:rsidRPr="00CB269F" w:rsidRDefault="000D1B23" w:rsidP="00CB269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CB269F">
        <w:rPr>
          <w:rFonts w:ascii="Palatino Linotype" w:eastAsia="Palatino Linotype" w:hAnsi="Palatino Linotype" w:cs="Palatino Linotype"/>
          <w:b/>
          <w:color w:val="000000" w:themeColor="text1"/>
          <w:sz w:val="24"/>
          <w:szCs w:val="24"/>
        </w:rPr>
        <w:t>SEGUNDO. De la oportunidad y procedencia.</w:t>
      </w:r>
    </w:p>
    <w:p w:rsidR="001418D1" w:rsidRPr="00CB269F"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El medio de impugnación fue presentado a través del </w:t>
      </w:r>
      <w:r w:rsidRPr="00CB269F">
        <w:rPr>
          <w:rFonts w:ascii="Palatino Linotype" w:eastAsia="Palatino Linotype" w:hAnsi="Palatino Linotype" w:cs="Palatino Linotype"/>
          <w:b/>
          <w:color w:val="000000" w:themeColor="text1"/>
        </w:rPr>
        <w:t>SAIMEX,</w:t>
      </w:r>
      <w:r w:rsidRPr="00CB269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B269F">
        <w:rPr>
          <w:rFonts w:ascii="Palatino Linotype" w:eastAsia="Palatino Linotype" w:hAnsi="Palatino Linotype" w:cs="Palatino Linotype"/>
          <w:b/>
          <w:color w:val="000000" w:themeColor="text1"/>
        </w:rPr>
        <w:t>SUJETO OBLIGADO</w:t>
      </w:r>
      <w:r w:rsidRPr="00CB269F">
        <w:rPr>
          <w:rFonts w:ascii="Palatino Linotype" w:eastAsia="Palatino Linotype" w:hAnsi="Palatino Linotype" w:cs="Palatino Linotype"/>
          <w:color w:val="000000" w:themeColor="text1"/>
        </w:rPr>
        <w:t xml:space="preserve"> entregó su respuesta el </w:t>
      </w:r>
      <w:r w:rsidRPr="00CB269F">
        <w:rPr>
          <w:rFonts w:ascii="Palatino Linotype" w:eastAsia="Palatino Linotype" w:hAnsi="Palatino Linotype" w:cs="Palatino Linotype"/>
          <w:b/>
          <w:color w:val="000000" w:themeColor="text1"/>
        </w:rPr>
        <w:t>diecinueve de junio de dos mil veinticinco</w:t>
      </w:r>
      <w:r w:rsidRPr="00CB269F">
        <w:rPr>
          <w:rFonts w:ascii="Palatino Linotype" w:eastAsia="Palatino Linotype" w:hAnsi="Palatino Linotype" w:cs="Palatino Linotype"/>
          <w:color w:val="000000" w:themeColor="text1"/>
        </w:rPr>
        <w:t xml:space="preserve">, de tal forma que el plazo para interponer el recurso de revisión transcurrió del día </w:t>
      </w:r>
      <w:r w:rsidRPr="00CB269F">
        <w:rPr>
          <w:rFonts w:ascii="Palatino Linotype" w:eastAsia="Palatino Linotype" w:hAnsi="Palatino Linotype" w:cs="Palatino Linotype"/>
          <w:b/>
          <w:color w:val="000000" w:themeColor="text1"/>
        </w:rPr>
        <w:t>veinte de junio al diez de julio de dos mil veinticinco</w:t>
      </w:r>
      <w:r w:rsidRPr="00CB269F">
        <w:rPr>
          <w:rFonts w:ascii="Palatino Linotype" w:eastAsia="Palatino Linotype" w:hAnsi="Palatino Linotype" w:cs="Palatino Linotype"/>
          <w:color w:val="000000" w:themeColor="text1"/>
        </w:rPr>
        <w:t xml:space="preserve">; en consecuencia, el ahora </w:t>
      </w:r>
      <w:r w:rsidRPr="00CB269F">
        <w:rPr>
          <w:rFonts w:ascii="Palatino Linotype" w:eastAsia="Palatino Linotype" w:hAnsi="Palatino Linotype" w:cs="Palatino Linotype"/>
          <w:b/>
          <w:color w:val="000000" w:themeColor="text1"/>
        </w:rPr>
        <w:t>RECURRENTE</w:t>
      </w:r>
      <w:r w:rsidRPr="00CB269F">
        <w:rPr>
          <w:rFonts w:ascii="Palatino Linotype" w:eastAsia="Palatino Linotype" w:hAnsi="Palatino Linotype" w:cs="Palatino Linotype"/>
          <w:color w:val="000000" w:themeColor="text1"/>
        </w:rPr>
        <w:t xml:space="preserve"> presentó su inconformidad el día </w:t>
      </w:r>
      <w:r w:rsidRPr="00CB269F">
        <w:rPr>
          <w:rFonts w:ascii="Palatino Linotype" w:eastAsia="Palatino Linotype" w:hAnsi="Palatino Linotype" w:cs="Palatino Linotype"/>
          <w:b/>
          <w:color w:val="000000" w:themeColor="text1"/>
        </w:rPr>
        <w:t>diecinueve de junio de dos mil veinticinco</w:t>
      </w:r>
      <w:r w:rsidRPr="00CB269F">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1418D1" w:rsidRPr="00CB269F" w:rsidRDefault="001418D1" w:rsidP="00CB269F">
      <w:pPr>
        <w:spacing w:line="360" w:lineRule="auto"/>
        <w:rPr>
          <w:rFonts w:ascii="Palatino Linotype" w:eastAsia="Palatino Linotype" w:hAnsi="Palatino Linotype" w:cs="Palatino Linotype"/>
          <w:color w:val="000000" w:themeColor="text1"/>
        </w:rPr>
      </w:pPr>
    </w:p>
    <w:p w:rsidR="001418D1" w:rsidRPr="00CB269F" w:rsidRDefault="000D1B23" w:rsidP="00CB26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keepNext/>
        <w:keepLines/>
        <w:spacing w:line="360" w:lineRule="auto"/>
        <w:rPr>
          <w:rFonts w:ascii="Palatino Linotype" w:eastAsia="Palatino Linotype" w:hAnsi="Palatino Linotype" w:cs="Palatino Linotype"/>
          <w:b/>
          <w:color w:val="000000" w:themeColor="text1"/>
        </w:rPr>
      </w:pPr>
      <w:bookmarkStart w:id="6" w:name="_heading=h.3dy6vkm" w:colFirst="0" w:colLast="0"/>
      <w:bookmarkEnd w:id="6"/>
      <w:r w:rsidRPr="00CB269F">
        <w:rPr>
          <w:rFonts w:ascii="Palatino Linotype" w:eastAsia="Palatino Linotype" w:hAnsi="Palatino Linotype" w:cs="Palatino Linotype"/>
          <w:b/>
          <w:color w:val="000000" w:themeColor="text1"/>
        </w:rPr>
        <w:t>TERCERO. De las causales de sobreseimiento.</w:t>
      </w: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 xml:space="preserve">“Artículo 179. </w:t>
      </w:r>
      <w:r w:rsidRPr="00CB269F">
        <w:rPr>
          <w:rFonts w:ascii="Palatino Linotype" w:eastAsia="Palatino Linotype" w:hAnsi="Palatino Linotype" w:cs="Palatino Linotype"/>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I. La negativa a la información solicitada;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II. La clasificación de la información;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III. La declaración de inexistencia de la información;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IV. La declaración de incompetencia por el sujeto obligado;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V. La entrega de información incompleta;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VI. La entrega de información que no corresponda con lo solicitado;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VII. La falta de respuesta a una solicitud de acceso a la información;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VIII. La notificación, entrega o puesta a disposición de información en una modalidad o formato distinto al solicitado;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lastRenderedPageBreak/>
        <w:t xml:space="preserve">IX. La entrega o puesta a disposición de información en un formato incomprensible y/o no accesible para el solicitante;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 Los costos o tiempos de entrega de la información;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XI. La falta de trámite a una solicitud;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XII. La negativa a permitir la consulta directa de la información;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XIII. La falta, deficiencia o insuficiencia de la fundamentación y/o motivación en la respuesta; y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XIV. La orientación a un trámite específico.</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w:t>
      </w:r>
    </w:p>
    <w:p w:rsidR="001418D1" w:rsidRPr="00CB269F" w:rsidRDefault="001418D1" w:rsidP="00CB269F">
      <w:pPr>
        <w:jc w:val="both"/>
        <w:rPr>
          <w:rFonts w:ascii="Palatino Linotype" w:eastAsia="Palatino Linotype" w:hAnsi="Palatino Linotype" w:cs="Palatino Linotype"/>
          <w:i/>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1418D1" w:rsidRPr="00CB269F" w:rsidRDefault="001418D1" w:rsidP="00CB269F">
      <w:pPr>
        <w:tabs>
          <w:tab w:val="left" w:pos="4962"/>
        </w:tabs>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Además, conforme al Diccionario de Transparencia y Acceso a la Información Pública y la página oficial de este Instituto (</w:t>
      </w:r>
      <w:hyperlink r:id="rId8" w:anchor="queEsRRdeIP">
        <w:r w:rsidRPr="00CB269F">
          <w:rPr>
            <w:rFonts w:ascii="Palatino Linotype" w:eastAsia="Palatino Linotype" w:hAnsi="Palatino Linotype" w:cs="Palatino Linotype"/>
            <w:color w:val="000000" w:themeColor="text1"/>
          </w:rPr>
          <w:t>https://www.infoem.org.mx/es/content/informacion-publica#queEsRRdeIP</w:t>
        </w:r>
      </w:hyperlink>
      <w:r w:rsidRPr="00CB269F">
        <w:rPr>
          <w:rFonts w:ascii="Palatino Linotype" w:eastAsia="Palatino Linotype" w:hAnsi="Palatino Linotype" w:cs="Palatino Linotype"/>
          <w:color w:val="000000" w:themeColor="text1"/>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B269F">
        <w:rPr>
          <w:rFonts w:ascii="Palatino Linotype" w:eastAsia="Palatino Linotype" w:hAnsi="Palatino Linotype" w:cs="Palatino Linotype"/>
          <w:color w:val="000000" w:themeColor="text1"/>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CB269F">
        <w:rPr>
          <w:rFonts w:ascii="Palatino Linotype" w:eastAsia="Palatino Linotype" w:hAnsi="Palatino Linotype" w:cs="Palatino Linotype"/>
          <w:b/>
          <w:i/>
          <w:color w:val="000000" w:themeColor="text1"/>
          <w:u w:val="single"/>
        </w:rPr>
        <w:t>de la contestación realizada por los Sujetos Obligados a una solicitud de información específica.</w:t>
      </w: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lastRenderedPageBreak/>
        <w:t>De manera preliminar en el caso concreto conviene analizar si se actualiza alguna de las causales de sobreseimiento del recurso de revisión.</w:t>
      </w:r>
    </w:p>
    <w:p w:rsidR="001418D1" w:rsidRPr="00CB269F"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En esa línea, se debe de analizar la información solicitada y las respuestas proporcionadas por 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 xml:space="preserve">mediante el siguiente cuadro. </w:t>
      </w:r>
    </w:p>
    <w:p w:rsidR="001418D1" w:rsidRPr="00CB269F" w:rsidRDefault="000D1B23" w:rsidP="00CB269F">
      <w:pPr>
        <w:spacing w:line="360" w:lineRule="auto"/>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 </w:t>
      </w:r>
    </w:p>
    <w:tbl>
      <w:tblPr>
        <w:tblStyle w:val="a"/>
        <w:tblW w:w="90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410"/>
        <w:gridCol w:w="2277"/>
        <w:gridCol w:w="2001"/>
      </w:tblGrid>
      <w:tr w:rsidR="00CB269F" w:rsidRPr="00CB269F" w:rsidTr="00C35E3B">
        <w:trPr>
          <w:jc w:val="center"/>
        </w:trPr>
        <w:tc>
          <w:tcPr>
            <w:tcW w:w="2405" w:type="dxa"/>
          </w:tcPr>
          <w:p w:rsidR="001418D1" w:rsidRPr="00CB269F" w:rsidRDefault="000D1B23" w:rsidP="00C35E3B">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Información Solicitada</w:t>
            </w:r>
          </w:p>
        </w:tc>
        <w:tc>
          <w:tcPr>
            <w:tcW w:w="2410" w:type="dxa"/>
          </w:tcPr>
          <w:p w:rsidR="001418D1" w:rsidRPr="00CB269F" w:rsidRDefault="000D1B23" w:rsidP="00C35E3B">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Respuesta Inicial</w:t>
            </w:r>
          </w:p>
        </w:tc>
        <w:tc>
          <w:tcPr>
            <w:tcW w:w="2277" w:type="dxa"/>
          </w:tcPr>
          <w:p w:rsidR="001418D1" w:rsidRPr="00CB269F" w:rsidRDefault="000D1B23" w:rsidP="00C35E3B">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Manifestaciones</w:t>
            </w:r>
          </w:p>
        </w:tc>
        <w:tc>
          <w:tcPr>
            <w:tcW w:w="2001" w:type="dxa"/>
          </w:tcPr>
          <w:p w:rsidR="001418D1" w:rsidRPr="00CB269F" w:rsidRDefault="000D1B23" w:rsidP="00C35E3B">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Colma</w:t>
            </w:r>
          </w:p>
        </w:tc>
      </w:tr>
      <w:tr w:rsidR="00CB269F" w:rsidRPr="00CB269F" w:rsidTr="00C35E3B">
        <w:trPr>
          <w:jc w:val="center"/>
        </w:trPr>
        <w:tc>
          <w:tcPr>
            <w:tcW w:w="2405" w:type="dxa"/>
          </w:tcPr>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Relación de la hora de entrada y salida de los servidores publico Agustín Velázquez Carranza, Marielena Pino Mendiola y Jesús Evaristo Víquez Soto, del reloj checador de los meses enero, febrero, marzo y mayo2025,</w:t>
            </w:r>
          </w:p>
          <w:p w:rsidR="001418D1" w:rsidRPr="00CB269F" w:rsidRDefault="001418D1" w:rsidP="00CB269F">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410" w:type="dxa"/>
          </w:tcPr>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 xml:space="preserve">00152-OPDTEOLOYUCAN-IP-2025-RESPUESTA.pdf: </w:t>
            </w:r>
            <w:r w:rsidRPr="00CB269F">
              <w:rPr>
                <w:rFonts w:ascii="Palatino Linotype" w:eastAsia="Palatino Linotype" w:hAnsi="Palatino Linotype" w:cs="Palatino Linotype"/>
                <w:i/>
                <w:color w:val="000000" w:themeColor="text1"/>
              </w:rPr>
              <w:t xml:space="preserve">oficio de la Encargada de Recursos Humanos, mediante el cual informa que la información solicitada es de control interno y que no puede ser entregada. </w:t>
            </w:r>
          </w:p>
          <w:p w:rsidR="001418D1" w:rsidRPr="00CB269F" w:rsidRDefault="001418D1" w:rsidP="00CB269F">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277" w:type="dxa"/>
          </w:tcPr>
          <w:p w:rsidR="001418D1" w:rsidRPr="00CB269F" w:rsidRDefault="001418D1" w:rsidP="00CB269F">
            <w:pPr>
              <w:pBdr>
                <w:left w:val="nil"/>
                <w:bottom w:val="nil"/>
                <w:right w:val="nil"/>
                <w:between w:val="nil"/>
              </w:pBdr>
              <w:jc w:val="both"/>
              <w:rPr>
                <w:rFonts w:ascii="Palatino Linotype" w:eastAsia="Palatino Linotype" w:hAnsi="Palatino Linotype" w:cs="Palatino Linotype"/>
                <w:i/>
                <w:color w:val="000000" w:themeColor="text1"/>
              </w:rPr>
            </w:pPr>
          </w:p>
          <w:p w:rsidR="001418D1" w:rsidRPr="00CB269F" w:rsidRDefault="000D1B23" w:rsidP="00CB269F">
            <w:pPr>
              <w:pBdr>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 xml:space="preserve">RESP-ODP-00152.pdf: </w:t>
            </w:r>
            <w:r w:rsidRPr="00CB269F">
              <w:rPr>
                <w:rFonts w:ascii="Palatino Linotype" w:eastAsia="Palatino Linotype" w:hAnsi="Palatino Linotype" w:cs="Palatino Linotype"/>
                <w:i/>
                <w:color w:val="000000" w:themeColor="text1"/>
              </w:rPr>
              <w:t xml:space="preserve">oficio de la Encargada de Recursos Humanos, mediante el cual informa que lo solicitado es información limitada, toda vez  que proporcionar el horario de trabajo podría vulnerar la seguridad de los servidores públicos, sin embargo refiere que un ejercicio de máxima publicidad proporciona la listas de horarios de entrada y salida del primer trimestre, informando que el horario de todo el personal </w:t>
            </w:r>
            <w:r w:rsidRPr="00CB269F">
              <w:rPr>
                <w:rFonts w:ascii="Palatino Linotype" w:eastAsia="Palatino Linotype" w:hAnsi="Palatino Linotype" w:cs="Palatino Linotype"/>
                <w:i/>
                <w:color w:val="000000" w:themeColor="text1"/>
              </w:rPr>
              <w:lastRenderedPageBreak/>
              <w:t xml:space="preserve">administrativo es de 9:00 a 18:00 horas. </w:t>
            </w:r>
          </w:p>
          <w:p w:rsidR="001418D1" w:rsidRPr="00CB269F" w:rsidRDefault="000D1B23" w:rsidP="00CB269F">
            <w:pPr>
              <w:pBdr>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Al documento se anexan las listas del reloj checador de los servidores públicos del uno de enero al treinta y uno de mayo de dos mil veinticinco.</w:t>
            </w:r>
            <w:r w:rsidRPr="00CB269F">
              <w:rPr>
                <w:rFonts w:ascii="Palatino Linotype" w:eastAsia="Palatino Linotype" w:hAnsi="Palatino Linotype" w:cs="Palatino Linotype"/>
                <w:i/>
                <w:color w:val="000000" w:themeColor="text1"/>
              </w:rPr>
              <w:t xml:space="preserve"> </w:t>
            </w:r>
          </w:p>
          <w:p w:rsidR="001418D1" w:rsidRPr="00CB269F" w:rsidRDefault="001418D1" w:rsidP="00CB269F">
            <w:pPr>
              <w:pBdr>
                <w:left w:val="nil"/>
                <w:bottom w:val="nil"/>
                <w:right w:val="nil"/>
                <w:between w:val="nil"/>
              </w:pBdr>
              <w:jc w:val="both"/>
              <w:rPr>
                <w:rFonts w:ascii="Palatino Linotype" w:eastAsia="Palatino Linotype" w:hAnsi="Palatino Linotype" w:cs="Palatino Linotype"/>
                <w:i/>
                <w:color w:val="000000" w:themeColor="text1"/>
              </w:rPr>
            </w:pPr>
          </w:p>
        </w:tc>
        <w:tc>
          <w:tcPr>
            <w:tcW w:w="2001" w:type="dxa"/>
          </w:tcPr>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lastRenderedPageBreak/>
              <w:t xml:space="preserve">Colma en la etapa de manifestaciones, toda vez que se remite la relación de asistencia de los servidores públicos de los meses de enero, febrero, marzo y mayo de dos mil veinticinco.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Así mismo, se informa que el horario del personal administrativo es de  9:00 a 18:00 horas. </w:t>
            </w:r>
          </w:p>
        </w:tc>
      </w:tr>
    </w:tbl>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De la tabla anterior, se debe de precisar que 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 xml:space="preserve">colmo el derecho de acceso a la información del </w:t>
      </w:r>
      <w:r w:rsidRPr="00CB269F">
        <w:rPr>
          <w:rFonts w:ascii="Palatino Linotype" w:eastAsia="Palatino Linotype" w:hAnsi="Palatino Linotype" w:cs="Palatino Linotype"/>
          <w:b/>
          <w:color w:val="000000" w:themeColor="text1"/>
        </w:rPr>
        <w:t xml:space="preserve">RECURRENTE </w:t>
      </w:r>
      <w:r w:rsidRPr="00CB269F">
        <w:rPr>
          <w:rFonts w:ascii="Palatino Linotype" w:eastAsia="Palatino Linotype" w:hAnsi="Palatino Linotype" w:cs="Palatino Linotype"/>
          <w:color w:val="000000" w:themeColor="text1"/>
        </w:rPr>
        <w:t>al remitir la información solicitada en la etapa de manifestaciones.</w:t>
      </w: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En esa línea, se tiene que 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dio atención a la solicitud de información por medio de la Coordinación de Recursos Humanos</w:t>
      </w:r>
      <w:r w:rsidRPr="00CB269F">
        <w:rPr>
          <w:rFonts w:ascii="Palatino Linotype" w:eastAsia="Palatino Linotype" w:hAnsi="Palatino Linotype" w:cs="Palatino Linotype"/>
          <w:b/>
          <w:color w:val="000000" w:themeColor="text1"/>
        </w:rPr>
        <w:t xml:space="preserve"> </w:t>
      </w:r>
      <w:r w:rsidRPr="00CB269F">
        <w:rPr>
          <w:rFonts w:ascii="Palatino Linotype" w:eastAsia="Palatino Linotype" w:hAnsi="Palatino Linotype" w:cs="Palatino Linotype"/>
          <w:color w:val="000000" w:themeColor="text1"/>
        </w:rPr>
        <w:t xml:space="preserve">del </w:t>
      </w:r>
      <w:r w:rsidRPr="00CB269F">
        <w:rPr>
          <w:rFonts w:ascii="Palatino Linotype" w:eastAsia="Palatino Linotype" w:hAnsi="Palatino Linotype" w:cs="Palatino Linotype"/>
          <w:b/>
          <w:color w:val="000000" w:themeColor="text1"/>
        </w:rPr>
        <w:t xml:space="preserve">Organismo Público Descentralizado para la Prestación de los Servicios de Agua Potable, Alcantarillado y Saneamiento de Teoloyucan, </w:t>
      </w:r>
      <w:r w:rsidRPr="00CB269F">
        <w:rPr>
          <w:rFonts w:ascii="Palatino Linotype" w:eastAsia="Palatino Linotype" w:hAnsi="Palatino Linotype" w:cs="Palatino Linotype"/>
          <w:color w:val="000000" w:themeColor="text1"/>
        </w:rPr>
        <w:t xml:space="preserve">área que de acuerdo con el Reglamento Interior del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 xml:space="preserve">tiene las siguientes funciones. </w:t>
      </w:r>
    </w:p>
    <w:p w:rsidR="001418D1" w:rsidRPr="00CB269F" w:rsidRDefault="000D1B23" w:rsidP="00CB269F">
      <w:pP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Artículo 50.- La Coordinación de Recursos Humanos, quien responderá directamente del desempeño de sus funciones ante la Subdirección de Administración y Finanzas, la cual tendrá las siguientes atribuciones y facultades: </w:t>
      </w:r>
    </w:p>
    <w:p w:rsidR="001418D1" w:rsidRPr="00CB269F" w:rsidRDefault="000D1B23" w:rsidP="00CB269F">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Planear y supervisar las funciones y actividades de las unidades administrativas que integran al Área de Recursos Humanos del Organismo, para el logro eficaz del objetivo general de esta dependencia;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II. Coordinar las actividades de sus unidades administrativas y verificar que estas se lleven a cabo de manera adecuada, a fin de lograr el cumplimiento de las metas establecidas en el Plan de Desarrollo del Organismo;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lastRenderedPageBreak/>
        <w:t xml:space="preserve">III. Instrumentar la participación de las unidades administrativas en los programas de capacitación y desarrollo del personal, coordinar los estudios necesarios sobre análisis y evaluación de puestos, políticas de sueldos, salarios e incentivos;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IV. Verificar que el personal que ingresa al Organismo cumpla con todos los requisitos establecidos y de acuerdo al perfil del puesto;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V. Integrar y actualizar de manera adecuada y oportuna los expedientes del personal; de acuerdo a la normatividad aplicable;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VI. Mantener actualizada la plantilla del personal, el control de plazas vacantes y ocupadas, de acuerdo al Presupuesto del Capítulo 1000, Servicios Personales;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VII. Mantener un estricto control del ejercicio Presupuestal del Capítulo 1000, Servicios Personales.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 xml:space="preserve">VIII. Realizar los movimientos de personal, que instruya el Director General o Directora General;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IX. Elaborar los contratos del personal adscrito al Organismo de acuerdo a las vigencias requeridas, así como supervisar las renovaciones de los mismos.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 xml:space="preserve">X. Operar el sistema de nóminas y remuneraciones y efectuar el pago del salario de los servidores públicos;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XI. Integrar la información para la declaración mensual de ISR por retenciones de sueldos y salarios;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 xml:space="preserve">XII. Efectuar la correcta retención y entero del ISR en todos los pagos de sueldos y salarios, así como generar el timbrado de nómina ante la autoridad fiscal correspondiente;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XIII. Realizar y supervisar las descripciones de puestos de nueva creación y que se encuentren actualizadas;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XIV. Gestionar y/o proponer la firma de convenios con las diferentes instituciones educativas, a efecto de que los alumnos lleven a cabo el Servicio Social y Prácticas Profesionales en el Organismo;</w:t>
      </w:r>
      <w:r w:rsidRPr="00CB269F">
        <w:rPr>
          <w:rFonts w:ascii="Palatino Linotype" w:hAnsi="Palatino Linotype"/>
          <w:i/>
          <w:color w:val="000000" w:themeColor="text1"/>
        </w:rPr>
        <w:t xml:space="preserve">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XV. Gestionar para que se efectué el pago por concepto de las cuotas y aportaciones que se realicen ante el ISSEMYM conforme a la Normatividad establecida.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XVI. Supervisar y realizar metodología para detección de necesidades de capacitación, así como la elaboración, implementación, integración, ejecución del Programa Anual de Capacitación;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XVII. Tramitar el alta, baja y en general las modificaciones en el ISSEMYM y presentar las liquidaciones correspondientes;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XVIII. Dar cumplimiento a las sentencias de pensiones alimenticias emitidas por los juzgados.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XIX. Emitir las credenciales de identificación del personal;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XX. Emitir constancias laborales al personal;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XXI. Elaboración de finiquitos al personal que cause baja;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 xml:space="preserve">XXII. Promover y difundir los cursos de capacitación; </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lastRenderedPageBreak/>
        <w:t>XXIII. Las demás que le confiera su jefe inmediato, las leyes, reglamentos y demás disposiciones jurídicas y normativas aplicables.</w:t>
      </w:r>
    </w:p>
    <w:p w:rsidR="001418D1"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C35E3B" w:rsidRPr="00CB269F" w:rsidRDefault="00C35E3B"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De lo anterior, se tiene que el área de la Coordinación de Recursos Humanos, es el área habilitada del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 xml:space="preserve">para dar atención a la solicitud de información, toda vez que en quien la documentación de la nómina así como de los descuentos, situación por la cual se colige que debe de contar con la relación de entradas y salidas que checan los servidores públicos por el desempeño de su jornada laboral. </w:t>
      </w: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En esa línea, también se debe de mencionar que el </w:t>
      </w:r>
      <w:r w:rsidRPr="00CB269F">
        <w:rPr>
          <w:rFonts w:ascii="Palatino Linotype" w:eastAsia="Palatino Linotype" w:hAnsi="Palatino Linotype" w:cs="Palatino Linotype"/>
          <w:b/>
          <w:color w:val="000000" w:themeColor="text1"/>
        </w:rPr>
        <w:t xml:space="preserve">SUEJETO OBLIGADO </w:t>
      </w:r>
      <w:r w:rsidRPr="00CB269F">
        <w:rPr>
          <w:rFonts w:ascii="Palatino Linotype" w:eastAsia="Palatino Linotype" w:hAnsi="Palatino Linotype" w:cs="Palatino Linotype"/>
          <w:color w:val="000000" w:themeColor="text1"/>
        </w:rPr>
        <w:t xml:space="preserve">desde la respuesta inicial acepto contar con la información solicitada, toda vez que informo que la misma no podía ser entregada por resguardar la integridad y seguridad de los servidores públicos. </w:t>
      </w:r>
    </w:p>
    <w:p w:rsidR="001418D1" w:rsidRPr="00CB269F"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De lo anterior se debe de mencionar, que de la información remita no se observa que la misma pudiera contener información que afecte la seguridad de los servidores públicos, toda vez que no es integrada por datos que deban de ser considerados como confidenciales o reservados, situación por la cual se desestima la respuesta proporcionada inicialmente por la Coordinación de Recursos Humanos. </w:t>
      </w:r>
    </w:p>
    <w:p w:rsidR="001418D1" w:rsidRPr="00CB269F"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Sin embargo, se debe de referir que en la etapa de manifestaciones 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 xml:space="preserve">remitió la relación de asistencias de los servidores públicos referidos en la solicitud de información, de los meses de enero, febrero, marzo y mayo de dos mil veinticinco, tal y como se muestra en las siguientes capturas de pantalla. </w:t>
      </w:r>
    </w:p>
    <w:p w:rsidR="001418D1" w:rsidRPr="00CB269F" w:rsidRDefault="000D1B23" w:rsidP="00CB269F">
      <w:pPr>
        <w:pBdr>
          <w:top w:val="nil"/>
          <w:left w:val="nil"/>
          <w:bottom w:val="nil"/>
          <w:right w:val="nil"/>
          <w:between w:val="nil"/>
        </w:pBdr>
        <w:jc w:val="center"/>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noProof/>
          <w:color w:val="000000" w:themeColor="text1"/>
          <w:lang w:val="es-MX"/>
        </w:rPr>
        <w:lastRenderedPageBreak/>
        <w:drawing>
          <wp:inline distT="0" distB="0" distL="0" distR="0">
            <wp:extent cx="3281277" cy="201859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281277" cy="2018591"/>
                    </a:xfrm>
                    <a:prstGeom prst="rect">
                      <a:avLst/>
                    </a:prstGeom>
                    <a:ln/>
                  </pic:spPr>
                </pic:pic>
              </a:graphicData>
            </a:graphic>
          </wp:inline>
        </w:drawing>
      </w:r>
      <w:r w:rsidRPr="00CB269F">
        <w:rPr>
          <w:rFonts w:ascii="Palatino Linotype" w:eastAsia="Palatino Linotype" w:hAnsi="Palatino Linotype" w:cs="Palatino Linotype"/>
          <w:noProof/>
          <w:color w:val="000000" w:themeColor="text1"/>
          <w:lang w:val="es-MX"/>
        </w:rPr>
        <w:drawing>
          <wp:inline distT="0" distB="0" distL="0" distR="0">
            <wp:extent cx="3045748" cy="3082277"/>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045748" cy="3082277"/>
                    </a:xfrm>
                    <a:prstGeom prst="rect">
                      <a:avLst/>
                    </a:prstGeom>
                    <a:ln/>
                  </pic:spPr>
                </pic:pic>
              </a:graphicData>
            </a:graphic>
          </wp:inline>
        </w:drawing>
      </w:r>
    </w:p>
    <w:p w:rsidR="00CB269F" w:rsidRDefault="000D1B23" w:rsidP="00CB269F">
      <w:pPr>
        <w:spacing w:line="360" w:lineRule="auto"/>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 </w:t>
      </w: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En esa línea, se tiene que 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 xml:space="preserve">modifico su respuesta inicial al adjuntar los documentos que dan cuenta de que la información solicitada por el </w:t>
      </w:r>
      <w:r w:rsidRPr="00CB269F">
        <w:rPr>
          <w:rFonts w:ascii="Palatino Linotype" w:eastAsia="Palatino Linotype" w:hAnsi="Palatino Linotype" w:cs="Palatino Linotype"/>
          <w:b/>
          <w:color w:val="000000" w:themeColor="text1"/>
        </w:rPr>
        <w:t xml:space="preserve">RECURRENTE. </w:t>
      </w:r>
    </w:p>
    <w:p w:rsidR="001418D1" w:rsidRPr="00CB269F"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7" w:name="_heading=h.4nqsvpoihkry" w:colFirst="0" w:colLast="0"/>
      <w:bookmarkEnd w:id="7"/>
      <w:r w:rsidRPr="00CB269F">
        <w:rPr>
          <w:rFonts w:ascii="Palatino Linotype" w:eastAsia="Palatino Linotype" w:hAnsi="Palatino Linotype" w:cs="Palatino Linotype"/>
          <w:color w:val="000000" w:themeColor="text1"/>
        </w:rPr>
        <w:t xml:space="preserve">De lo anterior, se determina que el derecho de acceso a la información del </w:t>
      </w:r>
      <w:r w:rsidRPr="00CB269F">
        <w:rPr>
          <w:rFonts w:ascii="Palatino Linotype" w:eastAsia="Palatino Linotype" w:hAnsi="Palatino Linotype" w:cs="Palatino Linotype"/>
          <w:b/>
          <w:color w:val="000000" w:themeColor="text1"/>
        </w:rPr>
        <w:t xml:space="preserve">RECURRENTE </w:t>
      </w:r>
      <w:r w:rsidRPr="00CB269F">
        <w:rPr>
          <w:rFonts w:ascii="Palatino Linotype" w:eastAsia="Palatino Linotype" w:hAnsi="Palatino Linotype" w:cs="Palatino Linotype"/>
          <w:color w:val="000000" w:themeColor="text1"/>
        </w:rPr>
        <w:t xml:space="preserve">fue colmado, toda vez que 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 xml:space="preserve">remitido la información solicitada. </w:t>
      </w: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lastRenderedPageBreak/>
        <w:t xml:space="preserve">Finalmente,  se dejan a salvo los derechos del </w:t>
      </w:r>
      <w:r w:rsidRPr="00CB269F">
        <w:rPr>
          <w:rFonts w:ascii="Palatino Linotype" w:eastAsia="Palatino Linotype" w:hAnsi="Palatino Linotype" w:cs="Palatino Linotype"/>
          <w:b/>
          <w:color w:val="000000" w:themeColor="text1"/>
        </w:rPr>
        <w:t xml:space="preserve">RECURRENTE </w:t>
      </w:r>
      <w:r w:rsidRPr="00CB269F">
        <w:rPr>
          <w:rFonts w:ascii="Palatino Linotype" w:eastAsia="Palatino Linotype" w:hAnsi="Palatino Linotype" w:cs="Palatino Linotype"/>
          <w:color w:val="000000" w:themeColor="text1"/>
        </w:rPr>
        <w:t xml:space="preserve">para emita nuevas solicitudes de información a la Organismo Público Descentralizado para la Prestación de los Servicios de Agua Potable, Alcantarillado y Saneamiento de Teoloyucan,  de los temas que sean de su interés. </w:t>
      </w:r>
    </w:p>
    <w:p w:rsidR="001418D1" w:rsidRPr="00CB269F"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el </w:t>
      </w:r>
      <w:r w:rsidRPr="00CB269F">
        <w:rPr>
          <w:rFonts w:ascii="Palatino Linotype" w:eastAsia="Palatino Linotype" w:hAnsi="Palatino Linotype" w:cs="Palatino Linotype"/>
          <w:b/>
          <w:color w:val="000000" w:themeColor="text1"/>
        </w:rPr>
        <w:t xml:space="preserve">SUJETO OBLIGADO </w:t>
      </w:r>
      <w:r w:rsidRPr="00CB269F">
        <w:rPr>
          <w:rFonts w:ascii="Palatino Linotype" w:eastAsia="Palatino Linotype" w:hAnsi="Palatino Linotype" w:cs="Palatino Linotype"/>
          <w:color w:val="000000" w:themeColor="text1"/>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1418D1" w:rsidRPr="00CB269F" w:rsidRDefault="000D1B23" w:rsidP="00CB269F">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Artículo 192.</w:t>
      </w:r>
      <w:r w:rsidRPr="00CB269F">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1418D1" w:rsidRPr="00CB269F" w:rsidRDefault="001418D1" w:rsidP="00CB269F">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1418D1" w:rsidRPr="00CB269F" w:rsidRDefault="000D1B23" w:rsidP="00CB269F">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b/>
          <w:i/>
          <w:color w:val="000000" w:themeColor="text1"/>
        </w:rPr>
        <w:t xml:space="preserve">III. </w:t>
      </w:r>
      <w:r w:rsidRPr="00CB269F">
        <w:rPr>
          <w:rFonts w:ascii="Palatino Linotype" w:eastAsia="Palatino Linotype" w:hAnsi="Palatino Linotype" w:cs="Palatino Linotype"/>
          <w:i/>
          <w:color w:val="000000" w:themeColor="text1"/>
        </w:rPr>
        <w:t xml:space="preserve">El sujeto obligado responsable del acto lo </w:t>
      </w:r>
      <w:r w:rsidRPr="00CB269F">
        <w:rPr>
          <w:rFonts w:ascii="Palatino Linotype" w:eastAsia="Palatino Linotype" w:hAnsi="Palatino Linotype" w:cs="Palatino Linotype"/>
          <w:b/>
          <w:i/>
          <w:color w:val="000000" w:themeColor="text1"/>
        </w:rPr>
        <w:t>modifique</w:t>
      </w:r>
      <w:r w:rsidRPr="00CB269F">
        <w:rPr>
          <w:rFonts w:ascii="Palatino Linotype" w:eastAsia="Palatino Linotype" w:hAnsi="Palatino Linotype" w:cs="Palatino Linotype"/>
          <w:i/>
          <w:color w:val="000000" w:themeColor="text1"/>
        </w:rPr>
        <w:t xml:space="preserve"> o </w:t>
      </w:r>
      <w:r w:rsidRPr="00CB269F">
        <w:rPr>
          <w:rFonts w:ascii="Palatino Linotype" w:eastAsia="Palatino Linotype" w:hAnsi="Palatino Linotype" w:cs="Palatino Linotype"/>
          <w:b/>
          <w:i/>
          <w:color w:val="000000" w:themeColor="text1"/>
        </w:rPr>
        <w:t>revoque</w:t>
      </w:r>
      <w:r w:rsidRPr="00CB269F">
        <w:rPr>
          <w:rFonts w:ascii="Palatino Linotype" w:eastAsia="Palatino Linotype" w:hAnsi="Palatino Linotype" w:cs="Palatino Linotype"/>
          <w:i/>
          <w:color w:val="000000" w:themeColor="text1"/>
        </w:rPr>
        <w:t xml:space="preserve"> de tal manera que el recurso de revisión quede sin materia; “</w:t>
      </w:r>
    </w:p>
    <w:p w:rsidR="001418D1" w:rsidRPr="00CB269F" w:rsidRDefault="001418D1" w:rsidP="00CB269F">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Siendo el </w:t>
      </w:r>
      <w:r w:rsidRPr="00CB269F">
        <w:rPr>
          <w:rFonts w:ascii="Palatino Linotype" w:eastAsia="Palatino Linotype" w:hAnsi="Palatino Linotype" w:cs="Palatino Linotype"/>
          <w:i/>
          <w:color w:val="000000" w:themeColor="text1"/>
        </w:rPr>
        <w:t>sobreseimiento</w:t>
      </w:r>
      <w:r w:rsidRPr="00CB269F">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i/>
          <w:color w:val="000000" w:themeColor="text1"/>
        </w:rPr>
        <w:t>“</w:t>
      </w:r>
      <w:r w:rsidRPr="00CB269F">
        <w:rPr>
          <w:rFonts w:ascii="Palatino Linotype" w:eastAsia="Palatino Linotype" w:hAnsi="Palatino Linotype" w:cs="Palatino Linotype"/>
          <w:b/>
          <w:i/>
          <w:color w:val="000000" w:themeColor="text1"/>
        </w:rPr>
        <w:t>SOBRESEIMIENTO, NO PERMITE ENTRAR AL ESTUDIO DE LAS CUESTIONES DE FONDO</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1418D1" w:rsidRPr="00CB269F" w:rsidRDefault="001418D1" w:rsidP="00CB269F">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1418D1" w:rsidRPr="00CB269F" w:rsidRDefault="000D1B23" w:rsidP="00CB269F">
      <w:pPr>
        <w:pBdr>
          <w:top w:val="nil"/>
          <w:left w:val="nil"/>
          <w:bottom w:val="nil"/>
          <w:right w:val="nil"/>
          <w:between w:val="nil"/>
        </w:pBdr>
        <w:spacing w:before="120"/>
        <w:jc w:val="both"/>
        <w:rPr>
          <w:rFonts w:ascii="Palatino Linotype" w:eastAsia="Palatino Linotype" w:hAnsi="Palatino Linotype" w:cs="Palatino Linotype"/>
          <w:b/>
          <w:i/>
          <w:color w:val="000000" w:themeColor="text1"/>
        </w:rPr>
      </w:pPr>
      <w:r w:rsidRPr="00CB269F">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1418D1" w:rsidRPr="00CB269F" w:rsidRDefault="000D1B23" w:rsidP="00CB269F">
      <w:pPr>
        <w:pBdr>
          <w:top w:val="nil"/>
          <w:left w:val="nil"/>
          <w:bottom w:val="nil"/>
          <w:right w:val="nil"/>
          <w:between w:val="nil"/>
        </w:pBdr>
        <w:jc w:val="both"/>
        <w:rPr>
          <w:rFonts w:ascii="Palatino Linotype" w:eastAsia="Palatino Linotype" w:hAnsi="Palatino Linotype" w:cs="Palatino Linotype"/>
          <w:i/>
          <w:color w:val="000000" w:themeColor="text1"/>
        </w:rPr>
      </w:pPr>
      <w:r w:rsidRPr="00CB269F">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B269F">
        <w:rPr>
          <w:rFonts w:ascii="Palatino Linotype" w:eastAsia="Palatino Linotype" w:hAnsi="Palatino Linotype" w:cs="Palatino Linotype"/>
          <w:color w:val="000000" w:themeColor="text1"/>
        </w:rPr>
        <w:tab/>
      </w: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bookmarkStart w:id="8" w:name="_heading=h.17dp8vu" w:colFirst="0" w:colLast="0"/>
      <w:bookmarkEnd w:id="8"/>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Sobresee el recurso de revisión </w:t>
      </w:r>
      <w:r w:rsidRPr="00CB269F">
        <w:rPr>
          <w:rFonts w:ascii="Palatino Linotype" w:eastAsia="Palatino Linotype" w:hAnsi="Palatino Linotype" w:cs="Palatino Linotype"/>
          <w:b/>
          <w:color w:val="000000" w:themeColor="text1"/>
        </w:rPr>
        <w:t>07903/INFOEM/IP/RR/2025</w:t>
      </w:r>
      <w:r w:rsidRPr="00CB269F">
        <w:rPr>
          <w:rFonts w:ascii="Palatino Linotype" w:eastAsia="Palatino Linotype" w:hAnsi="Palatino Linotype" w:cs="Palatino Linotype"/>
          <w:color w:val="000000" w:themeColor="text1"/>
        </w:rPr>
        <w:t>, que ha sido materia del presente fallo.</w:t>
      </w:r>
    </w:p>
    <w:p w:rsidR="001418D1" w:rsidRPr="00CB269F"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color w:val="000000" w:themeColor="text1"/>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w:t>
      </w:r>
      <w:r w:rsidRPr="00CB269F">
        <w:rPr>
          <w:rFonts w:ascii="Palatino Linotype" w:eastAsia="Palatino Linotype" w:hAnsi="Palatino Linotype" w:cs="Palatino Linotype"/>
          <w:color w:val="000000" w:themeColor="text1"/>
        </w:rPr>
        <w:lastRenderedPageBreak/>
        <w:t>Transparencia y Acceso a la Información Pública del Estado de México y Municipios, este Pleno:</w:t>
      </w:r>
    </w:p>
    <w:p w:rsidR="001418D1" w:rsidRPr="00CB269F" w:rsidRDefault="001418D1" w:rsidP="00CB269F">
      <w:pPr>
        <w:pBdr>
          <w:top w:val="nil"/>
          <w:left w:val="nil"/>
          <w:bottom w:val="nil"/>
          <w:right w:val="nil"/>
          <w:between w:val="nil"/>
        </w:pBdr>
        <w:rPr>
          <w:rFonts w:ascii="Palatino Linotype" w:eastAsia="Palatino Linotype" w:hAnsi="Palatino Linotype" w:cs="Palatino Linotype"/>
          <w:color w:val="000000" w:themeColor="text1"/>
        </w:rPr>
      </w:pPr>
    </w:p>
    <w:p w:rsidR="001418D1" w:rsidRPr="00CB269F" w:rsidRDefault="000D1B23" w:rsidP="00CB269F">
      <w:pPr>
        <w:keepNext/>
        <w:keepLines/>
        <w:spacing w:line="360" w:lineRule="auto"/>
        <w:jc w:val="center"/>
        <w:rPr>
          <w:rFonts w:ascii="Palatino Linotype" w:eastAsia="Palatino Linotype" w:hAnsi="Palatino Linotype" w:cs="Palatino Linotype"/>
          <w:b/>
          <w:color w:val="000000" w:themeColor="text1"/>
        </w:rPr>
      </w:pPr>
      <w:bookmarkStart w:id="9" w:name="_heading=h.3rdcrjn" w:colFirst="0" w:colLast="0"/>
      <w:bookmarkEnd w:id="9"/>
      <w:r w:rsidRPr="00CB269F">
        <w:rPr>
          <w:rFonts w:ascii="Palatino Linotype" w:eastAsia="Palatino Linotype" w:hAnsi="Palatino Linotype" w:cs="Palatino Linotype"/>
          <w:b/>
          <w:color w:val="000000" w:themeColor="text1"/>
        </w:rPr>
        <w:t>R E S O L U T I V O S</w:t>
      </w:r>
    </w:p>
    <w:p w:rsidR="001418D1" w:rsidRPr="00CB269F" w:rsidRDefault="001418D1" w:rsidP="00CB269F">
      <w:pPr>
        <w:rPr>
          <w:rFonts w:ascii="Palatino Linotype" w:eastAsia="Palatino Linotype" w:hAnsi="Palatino Linotype" w:cs="Palatino Linotype"/>
          <w:color w:val="000000" w:themeColor="text1"/>
        </w:rPr>
      </w:pPr>
    </w:p>
    <w:p w:rsidR="001418D1" w:rsidRPr="00CB269F" w:rsidRDefault="000D1B23" w:rsidP="00CB269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color w:val="000000" w:themeColor="text1"/>
        </w:rPr>
      </w:pPr>
      <w:r w:rsidRPr="00CB269F">
        <w:rPr>
          <w:rFonts w:ascii="Palatino Linotype" w:eastAsia="Palatino Linotype" w:hAnsi="Palatino Linotype" w:cs="Palatino Linotype"/>
          <w:b/>
          <w:color w:val="000000" w:themeColor="text1"/>
        </w:rPr>
        <w:t xml:space="preserve">PRIMERO. </w:t>
      </w:r>
      <w:r w:rsidRPr="00CB269F">
        <w:rPr>
          <w:rFonts w:ascii="Palatino Linotype" w:eastAsia="Palatino Linotype" w:hAnsi="Palatino Linotype" w:cs="Palatino Linotype"/>
          <w:color w:val="000000" w:themeColor="text1"/>
        </w:rPr>
        <w:t xml:space="preserve">Se </w:t>
      </w:r>
      <w:r w:rsidRPr="00CB269F">
        <w:rPr>
          <w:rFonts w:ascii="Palatino Linotype" w:eastAsia="Palatino Linotype" w:hAnsi="Palatino Linotype" w:cs="Palatino Linotype"/>
          <w:b/>
          <w:color w:val="000000" w:themeColor="text1"/>
        </w:rPr>
        <w:t>SOBRESEE</w:t>
      </w:r>
      <w:r w:rsidRPr="00CB269F">
        <w:rPr>
          <w:rFonts w:ascii="Palatino Linotype" w:eastAsia="Palatino Linotype" w:hAnsi="Palatino Linotype" w:cs="Palatino Linotype"/>
          <w:color w:val="000000" w:themeColor="text1"/>
        </w:rPr>
        <w:t xml:space="preserve"> el recurso de revisión número </w:t>
      </w:r>
      <w:r w:rsidRPr="00CB269F">
        <w:rPr>
          <w:rFonts w:ascii="Palatino Linotype" w:eastAsia="Palatino Linotype" w:hAnsi="Palatino Linotype" w:cs="Palatino Linotype"/>
          <w:b/>
          <w:color w:val="000000" w:themeColor="text1"/>
        </w:rPr>
        <w:t>07903/INFOEM/IP/RR/2025,</w:t>
      </w:r>
      <w:r w:rsidRPr="00CB269F">
        <w:rPr>
          <w:rFonts w:ascii="Palatino Linotype" w:eastAsia="Palatino Linotype" w:hAnsi="Palatino Linotype" w:cs="Palatino Linotype"/>
          <w:color w:val="000000" w:themeColor="text1"/>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CB269F">
        <w:rPr>
          <w:rFonts w:ascii="Palatino Linotype" w:eastAsia="Palatino Linotype" w:hAnsi="Palatino Linotype" w:cs="Palatino Linotype"/>
          <w:b/>
          <w:color w:val="000000" w:themeColor="text1"/>
        </w:rPr>
        <w:t>TERCERO</w:t>
      </w:r>
      <w:r w:rsidRPr="00CB269F">
        <w:rPr>
          <w:rFonts w:ascii="Palatino Linotype" w:eastAsia="Palatino Linotype" w:hAnsi="Palatino Linotype" w:cs="Palatino Linotype"/>
          <w:color w:val="000000" w:themeColor="text1"/>
        </w:rPr>
        <w:t xml:space="preserve"> de la presente resolución.</w:t>
      </w:r>
    </w:p>
    <w:p w:rsidR="001418D1" w:rsidRPr="00CB269F" w:rsidRDefault="000D1B23" w:rsidP="00CB269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b/>
          <w:color w:val="000000" w:themeColor="text1"/>
        </w:rPr>
        <w:t xml:space="preserve">SEGUNDO. Notifíquese, </w:t>
      </w:r>
      <w:r w:rsidRPr="00CB269F">
        <w:rPr>
          <w:rFonts w:ascii="Palatino Linotype" w:eastAsia="Palatino Linotype" w:hAnsi="Palatino Linotype" w:cs="Palatino Linotype"/>
          <w:color w:val="000000" w:themeColor="text1"/>
        </w:rPr>
        <w:t>vía</w:t>
      </w:r>
      <w:r w:rsidRPr="00CB269F">
        <w:rPr>
          <w:rFonts w:ascii="Palatino Linotype" w:eastAsia="Palatino Linotype" w:hAnsi="Palatino Linotype" w:cs="Palatino Linotype"/>
          <w:b/>
          <w:color w:val="000000" w:themeColor="text1"/>
        </w:rPr>
        <w:t xml:space="preserve"> SAIMEX,</w:t>
      </w:r>
      <w:r w:rsidRPr="00CB269F">
        <w:rPr>
          <w:rFonts w:ascii="Palatino Linotype" w:eastAsia="Palatino Linotype" w:hAnsi="Palatino Linotype" w:cs="Palatino Linotype"/>
          <w:color w:val="000000" w:themeColor="text1"/>
        </w:rPr>
        <w:t xml:space="preserve"> al Responsable de la Unidad de Transparencia del </w:t>
      </w:r>
      <w:r w:rsidRPr="00CB269F">
        <w:rPr>
          <w:rFonts w:ascii="Palatino Linotype" w:eastAsia="Palatino Linotype" w:hAnsi="Palatino Linotype" w:cs="Palatino Linotype"/>
          <w:b/>
          <w:color w:val="000000" w:themeColor="text1"/>
        </w:rPr>
        <w:t>Sujeto Obligado</w:t>
      </w:r>
      <w:r w:rsidRPr="00CB269F">
        <w:rPr>
          <w:rFonts w:ascii="Palatino Linotype" w:eastAsia="Palatino Linotype" w:hAnsi="Palatino Linotype" w:cs="Palatino Linotype"/>
          <w:color w:val="000000" w:themeColor="text1"/>
        </w:rPr>
        <w:t xml:space="preserve"> la presente resolución, para su conocimiento.</w:t>
      </w:r>
    </w:p>
    <w:p w:rsidR="001418D1" w:rsidRPr="00CB269F" w:rsidRDefault="000D1B23" w:rsidP="00CB269F">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b/>
          <w:color w:val="000000" w:themeColor="text1"/>
        </w:rPr>
        <w:t xml:space="preserve">TERCERO. Notifíquese </w:t>
      </w:r>
      <w:r w:rsidRPr="00CB269F">
        <w:rPr>
          <w:rFonts w:ascii="Palatino Linotype" w:eastAsia="Palatino Linotype" w:hAnsi="Palatino Linotype" w:cs="Palatino Linotype"/>
          <w:color w:val="000000" w:themeColor="text1"/>
        </w:rPr>
        <w:t>a</w:t>
      </w:r>
      <w:r w:rsidRPr="00CB269F">
        <w:rPr>
          <w:rFonts w:ascii="Palatino Linotype" w:eastAsia="Palatino Linotype" w:hAnsi="Palatino Linotype" w:cs="Palatino Linotype"/>
          <w:b/>
          <w:color w:val="000000" w:themeColor="text1"/>
        </w:rPr>
        <w:t xml:space="preserve"> EL RECURRENTE</w:t>
      </w:r>
      <w:r w:rsidRPr="00CB269F">
        <w:rPr>
          <w:rFonts w:ascii="Palatino Linotype" w:eastAsia="Palatino Linotype" w:hAnsi="Palatino Linotype" w:cs="Palatino Linotype"/>
          <w:color w:val="000000" w:themeColor="text1"/>
        </w:rPr>
        <w:t xml:space="preserve"> la presente resolución, vía </w:t>
      </w:r>
      <w:r w:rsidR="00CB269F">
        <w:rPr>
          <w:rFonts w:ascii="Palatino Linotype" w:eastAsia="Palatino Linotype" w:hAnsi="Palatino Linotype" w:cs="Palatino Linotype"/>
          <w:b/>
          <w:color w:val="000000" w:themeColor="text1"/>
        </w:rPr>
        <w:t>SAIMEX.</w:t>
      </w:r>
    </w:p>
    <w:p w:rsidR="001418D1" w:rsidRPr="00CB269F" w:rsidRDefault="001418D1" w:rsidP="00CB269F">
      <w:pPr>
        <w:widowControl w:val="0"/>
        <w:pBdr>
          <w:top w:val="nil"/>
          <w:left w:val="nil"/>
          <w:bottom w:val="nil"/>
          <w:right w:val="nil"/>
          <w:between w:val="nil"/>
        </w:pBdr>
        <w:tabs>
          <w:tab w:val="left" w:pos="1701"/>
        </w:tabs>
        <w:spacing w:after="240" w:line="360" w:lineRule="auto"/>
        <w:jc w:val="both"/>
        <w:rPr>
          <w:rFonts w:ascii="Palatino Linotype" w:eastAsia="Palatino Linotype" w:hAnsi="Palatino Linotype" w:cs="Palatino Linotype"/>
          <w:color w:val="000000" w:themeColor="text1"/>
        </w:rPr>
      </w:pPr>
    </w:p>
    <w:p w:rsidR="001418D1" w:rsidRPr="00CB269F" w:rsidRDefault="000D1B23" w:rsidP="00CB269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CB269F">
        <w:rPr>
          <w:rFonts w:ascii="Palatino Linotype" w:eastAsia="Palatino Linotype" w:hAnsi="Palatino Linotype" w:cs="Palatino Linotype"/>
          <w:b/>
          <w:color w:val="000000" w:themeColor="text1"/>
        </w:rPr>
        <w:t xml:space="preserve">CUARTO. </w:t>
      </w:r>
      <w:r w:rsidRPr="00CB269F">
        <w:rPr>
          <w:rFonts w:ascii="Palatino Linotype" w:eastAsia="Palatino Linotype" w:hAnsi="Palatino Linotype" w:cs="Palatino Linotype"/>
          <w:color w:val="000000" w:themeColor="text1"/>
        </w:rPr>
        <w:t xml:space="preserve">Se hace del conocimiento de </w:t>
      </w:r>
      <w:r w:rsidRPr="00CB269F">
        <w:rPr>
          <w:rFonts w:ascii="Palatino Linotype" w:eastAsia="Palatino Linotype" w:hAnsi="Palatino Linotype" w:cs="Palatino Linotype"/>
          <w:b/>
          <w:color w:val="000000" w:themeColor="text1"/>
        </w:rPr>
        <w:t>EL RECURRENTE</w:t>
      </w:r>
      <w:r w:rsidRPr="00CB269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CB269F" w:rsidRDefault="00CB269F" w:rsidP="00CB269F">
      <w:pPr>
        <w:tabs>
          <w:tab w:val="left" w:pos="5387"/>
        </w:tabs>
        <w:spacing w:line="360" w:lineRule="auto"/>
        <w:ind w:right="49"/>
        <w:jc w:val="both"/>
        <w:rPr>
          <w:rFonts w:ascii="Palatino Linotype" w:eastAsia="Palatino Linotype" w:hAnsi="Palatino Linotype" w:cs="Palatino Linotype"/>
        </w:rPr>
      </w:pPr>
      <w:bookmarkStart w:id="10" w:name="_heading=h.x9yucfu72zyz" w:colFirst="0" w:colLast="0"/>
      <w:bookmarkEnd w:id="10"/>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rPr>
        <w:lastRenderedPageBreak/>
        <w:t xml:space="preserve">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C35E3B" w:rsidRDefault="00C35E3B" w:rsidP="00CB269F">
      <w:pPr>
        <w:tabs>
          <w:tab w:val="left" w:pos="5387"/>
        </w:tabs>
        <w:spacing w:line="360" w:lineRule="auto"/>
        <w:ind w:right="49"/>
        <w:jc w:val="both"/>
        <w:rPr>
          <w:rFonts w:ascii="Palatino Linotype" w:eastAsia="Palatino Linotype" w:hAnsi="Palatino Linotype" w:cs="Palatino Linotype"/>
        </w:rPr>
      </w:pPr>
    </w:p>
    <w:p w:rsidR="00C35E3B" w:rsidRDefault="00C35E3B" w:rsidP="00CB269F">
      <w:pPr>
        <w:tabs>
          <w:tab w:val="left" w:pos="5387"/>
        </w:tabs>
        <w:spacing w:line="360" w:lineRule="auto"/>
        <w:ind w:right="49"/>
        <w:jc w:val="both"/>
        <w:rPr>
          <w:rFonts w:ascii="Palatino Linotype" w:eastAsia="Palatino Linotype" w:hAnsi="Palatino Linotype" w:cs="Palatino Linotype"/>
        </w:rPr>
      </w:pPr>
    </w:p>
    <w:p w:rsidR="00C35E3B" w:rsidRDefault="00C35E3B" w:rsidP="00CB269F">
      <w:pPr>
        <w:tabs>
          <w:tab w:val="left" w:pos="5387"/>
        </w:tabs>
        <w:spacing w:line="360" w:lineRule="auto"/>
        <w:ind w:right="49"/>
        <w:jc w:val="both"/>
        <w:rPr>
          <w:rFonts w:ascii="Palatino Linotype" w:eastAsia="Palatino Linotype" w:hAnsi="Palatino Linotype" w:cs="Palatino Linotype"/>
        </w:rPr>
      </w:pPr>
    </w:p>
    <w:p w:rsidR="00C35E3B" w:rsidRDefault="00C35E3B" w:rsidP="00CB269F">
      <w:pPr>
        <w:tabs>
          <w:tab w:val="left" w:pos="5387"/>
        </w:tabs>
        <w:spacing w:line="360" w:lineRule="auto"/>
        <w:ind w:right="49"/>
        <w:jc w:val="both"/>
        <w:rPr>
          <w:rFonts w:ascii="Palatino Linotype" w:eastAsia="Palatino Linotype" w:hAnsi="Palatino Linotype" w:cs="Palatino Linotype"/>
        </w:rPr>
      </w:pPr>
    </w:p>
    <w:p w:rsidR="00C35E3B" w:rsidRDefault="00C35E3B" w:rsidP="00CB269F">
      <w:pPr>
        <w:tabs>
          <w:tab w:val="left" w:pos="5387"/>
        </w:tabs>
        <w:spacing w:line="360" w:lineRule="auto"/>
        <w:ind w:right="49"/>
        <w:jc w:val="both"/>
        <w:rPr>
          <w:rFonts w:ascii="Palatino Linotype" w:eastAsia="Palatino Linotype" w:hAnsi="Palatino Linotype" w:cs="Palatino Linotype"/>
        </w:rPr>
      </w:pPr>
    </w:p>
    <w:p w:rsidR="00C35E3B" w:rsidRDefault="00C35E3B" w:rsidP="00CB269F">
      <w:pPr>
        <w:tabs>
          <w:tab w:val="left" w:pos="5387"/>
        </w:tabs>
        <w:spacing w:line="360" w:lineRule="auto"/>
        <w:ind w:right="49"/>
        <w:jc w:val="both"/>
        <w:rPr>
          <w:rFonts w:ascii="Palatino Linotype" w:eastAsia="Palatino Linotype" w:hAnsi="Palatino Linotype" w:cs="Palatino Linotype"/>
        </w:rPr>
      </w:pPr>
    </w:p>
    <w:p w:rsidR="00C35E3B" w:rsidRDefault="00C35E3B" w:rsidP="00CB269F">
      <w:pPr>
        <w:tabs>
          <w:tab w:val="left" w:pos="5387"/>
        </w:tabs>
        <w:spacing w:line="360" w:lineRule="auto"/>
        <w:ind w:right="49"/>
        <w:jc w:val="both"/>
        <w:rPr>
          <w:rFonts w:ascii="Palatino Linotype" w:eastAsia="Palatino Linotype" w:hAnsi="Palatino Linotype" w:cs="Palatino Linotype"/>
        </w:rPr>
      </w:pPr>
    </w:p>
    <w:p w:rsidR="00C35E3B" w:rsidRPr="00444783" w:rsidRDefault="00C35E3B" w:rsidP="00CB269F">
      <w:pPr>
        <w:tabs>
          <w:tab w:val="left" w:pos="5387"/>
        </w:tabs>
        <w:spacing w:line="360" w:lineRule="auto"/>
        <w:ind w:right="49"/>
        <w:jc w:val="both"/>
        <w:rPr>
          <w:rFonts w:ascii="Palatino Linotype" w:eastAsia="Palatino Linotype" w:hAnsi="Palatino Linotype" w:cs="Palatino Linotype"/>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spacing w:line="360" w:lineRule="auto"/>
        <w:jc w:val="both"/>
        <w:rPr>
          <w:rFonts w:ascii="Palatino Linotype" w:eastAsia="Palatino Linotype" w:hAnsi="Palatino Linotype" w:cs="Palatino Linotype"/>
          <w:color w:val="000000" w:themeColor="text1"/>
        </w:rPr>
      </w:pPr>
    </w:p>
    <w:p w:rsidR="001418D1" w:rsidRPr="00CB269F" w:rsidRDefault="001418D1" w:rsidP="00CB269F">
      <w:pPr>
        <w:rPr>
          <w:rFonts w:ascii="Palatino Linotype" w:eastAsia="Palatino Linotype" w:hAnsi="Palatino Linotype" w:cs="Palatino Linotype"/>
          <w:color w:val="000000" w:themeColor="text1"/>
        </w:rPr>
      </w:pPr>
    </w:p>
    <w:p w:rsidR="001418D1" w:rsidRPr="00CB269F" w:rsidRDefault="001418D1" w:rsidP="00CB269F">
      <w:pPr>
        <w:rPr>
          <w:rFonts w:ascii="Palatino Linotype" w:eastAsia="Palatino Linotype" w:hAnsi="Palatino Linotype" w:cs="Palatino Linotype"/>
          <w:color w:val="000000" w:themeColor="text1"/>
        </w:rPr>
      </w:pPr>
    </w:p>
    <w:p w:rsidR="001418D1" w:rsidRPr="00CB269F" w:rsidRDefault="001418D1" w:rsidP="00CB269F">
      <w:pPr>
        <w:rPr>
          <w:rFonts w:ascii="Palatino Linotype" w:eastAsia="Palatino Linotype" w:hAnsi="Palatino Linotype" w:cs="Palatino Linotype"/>
          <w:color w:val="000000" w:themeColor="text1"/>
        </w:rPr>
      </w:pPr>
    </w:p>
    <w:p w:rsidR="001418D1" w:rsidRPr="00CB269F" w:rsidRDefault="001418D1" w:rsidP="00CB269F">
      <w:pPr>
        <w:rPr>
          <w:rFonts w:ascii="Palatino Linotype" w:hAnsi="Palatino Linotype"/>
          <w:color w:val="000000" w:themeColor="text1"/>
        </w:rPr>
      </w:pPr>
    </w:p>
    <w:p w:rsidR="001418D1" w:rsidRPr="00CB269F" w:rsidRDefault="001418D1" w:rsidP="00CB269F">
      <w:pPr>
        <w:rPr>
          <w:rFonts w:ascii="Palatino Linotype" w:hAnsi="Palatino Linotype"/>
          <w:color w:val="000000" w:themeColor="text1"/>
        </w:rPr>
      </w:pPr>
    </w:p>
    <w:p w:rsidR="001418D1" w:rsidRPr="00CB269F" w:rsidRDefault="001418D1" w:rsidP="00CB269F">
      <w:pPr>
        <w:rPr>
          <w:rFonts w:ascii="Palatino Linotype" w:hAnsi="Palatino Linotype"/>
          <w:color w:val="000000" w:themeColor="text1"/>
        </w:rPr>
      </w:pPr>
    </w:p>
    <w:p w:rsidR="001418D1" w:rsidRPr="00CB269F" w:rsidRDefault="001418D1" w:rsidP="00CB269F">
      <w:pPr>
        <w:rPr>
          <w:rFonts w:ascii="Palatino Linotype" w:hAnsi="Palatino Linotype"/>
          <w:color w:val="000000" w:themeColor="text1"/>
        </w:rPr>
      </w:pPr>
    </w:p>
    <w:p w:rsidR="001418D1" w:rsidRPr="00CB269F" w:rsidRDefault="001418D1" w:rsidP="00CB269F">
      <w:pPr>
        <w:rPr>
          <w:rFonts w:ascii="Palatino Linotype" w:hAnsi="Palatino Linotype"/>
          <w:color w:val="000000" w:themeColor="text1"/>
        </w:rPr>
      </w:pPr>
    </w:p>
    <w:sectPr w:rsidR="001418D1" w:rsidRPr="00CB269F" w:rsidSect="00C35E3B">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DEB" w:rsidRDefault="00965DEB">
      <w:r>
        <w:separator/>
      </w:r>
    </w:p>
  </w:endnote>
  <w:endnote w:type="continuationSeparator" w:id="0">
    <w:p w:rsidR="00965DEB" w:rsidRDefault="0096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D1" w:rsidRDefault="000D1B2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67D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67D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1418D1" w:rsidRDefault="001418D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D1" w:rsidRDefault="000D1B2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67D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67D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1418D1" w:rsidRDefault="001418D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DEB" w:rsidRDefault="00965DEB">
      <w:r>
        <w:separator/>
      </w:r>
    </w:p>
  </w:footnote>
  <w:footnote w:type="continuationSeparator" w:id="0">
    <w:p w:rsidR="00965DEB" w:rsidRDefault="0096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D1" w:rsidRDefault="00965DE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080" w:type="dxa"/>
      <w:tblInd w:w="1843" w:type="dxa"/>
      <w:tblLayout w:type="fixed"/>
      <w:tblLook w:val="0400" w:firstRow="0" w:lastRow="0" w:firstColumn="0" w:lastColumn="0" w:noHBand="0" w:noVBand="1"/>
    </w:tblPr>
    <w:tblGrid>
      <w:gridCol w:w="2976"/>
      <w:gridCol w:w="5104"/>
    </w:tblGrid>
    <w:tr w:rsidR="001418D1" w:rsidTr="00C35E3B">
      <w:trPr>
        <w:trHeight w:val="227"/>
      </w:trPr>
      <w:tc>
        <w:tcPr>
          <w:tcW w:w="2976" w:type="dxa"/>
          <w:vAlign w:val="center"/>
        </w:tcPr>
        <w:p w:rsidR="001418D1" w:rsidRPr="00CB269F" w:rsidRDefault="000D1B23" w:rsidP="00CB269F">
          <w:pPr>
            <w:ind w:right="34"/>
            <w:jc w:val="right"/>
            <w:rPr>
              <w:rFonts w:ascii="Palatino Linotype" w:eastAsia="Palatino Linotype" w:hAnsi="Palatino Linotype" w:cs="Palatino Linotype"/>
              <w:b/>
            </w:rPr>
          </w:pPr>
          <w:r w:rsidRPr="00CB269F">
            <w:rPr>
              <w:rFonts w:ascii="Palatino Linotype" w:eastAsia="Palatino Linotype" w:hAnsi="Palatino Linotype" w:cs="Palatino Linotype"/>
              <w:b/>
            </w:rPr>
            <w:t>Recurso de Revisión:</w:t>
          </w:r>
        </w:p>
      </w:tc>
      <w:tc>
        <w:tcPr>
          <w:tcW w:w="5104" w:type="dxa"/>
          <w:vAlign w:val="center"/>
        </w:tcPr>
        <w:p w:rsidR="001418D1" w:rsidRPr="00CB269F" w:rsidRDefault="000D1B23" w:rsidP="00CB269F">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CB269F">
            <w:rPr>
              <w:rFonts w:ascii="Palatino Linotype" w:eastAsia="Palatino Linotype" w:hAnsi="Palatino Linotype" w:cs="Palatino Linotype"/>
              <w:color w:val="000000"/>
            </w:rPr>
            <w:t>07903/INFOEM/IP/RR/2025</w:t>
          </w:r>
        </w:p>
      </w:tc>
    </w:tr>
    <w:tr w:rsidR="001418D1" w:rsidTr="00C35E3B">
      <w:trPr>
        <w:trHeight w:val="242"/>
      </w:trPr>
      <w:tc>
        <w:tcPr>
          <w:tcW w:w="2976" w:type="dxa"/>
          <w:vAlign w:val="center"/>
        </w:tcPr>
        <w:p w:rsidR="001418D1" w:rsidRDefault="000D1B23" w:rsidP="00CB269F">
          <w:pPr>
            <w:ind w:right="34"/>
            <w:jc w:val="right"/>
            <w:rPr>
              <w:rFonts w:ascii="Palatino Linotype" w:eastAsia="Palatino Linotype" w:hAnsi="Palatino Linotype" w:cs="Palatino Linotype"/>
              <w:b/>
            </w:rPr>
          </w:pPr>
          <w:r w:rsidRPr="00CB269F">
            <w:rPr>
              <w:rFonts w:ascii="Palatino Linotype" w:eastAsia="Palatino Linotype" w:hAnsi="Palatino Linotype" w:cs="Palatino Linotype"/>
              <w:b/>
            </w:rPr>
            <w:t>Sujeto Obligado:</w:t>
          </w:r>
        </w:p>
        <w:p w:rsidR="00CB269F" w:rsidRDefault="00CB269F" w:rsidP="00CB269F">
          <w:pPr>
            <w:ind w:right="34"/>
            <w:jc w:val="right"/>
            <w:rPr>
              <w:rFonts w:ascii="Palatino Linotype" w:eastAsia="Palatino Linotype" w:hAnsi="Palatino Linotype" w:cs="Palatino Linotype"/>
              <w:b/>
            </w:rPr>
          </w:pPr>
        </w:p>
        <w:p w:rsidR="00CB269F" w:rsidRPr="00CB269F" w:rsidRDefault="00CB269F" w:rsidP="00CB269F">
          <w:pPr>
            <w:ind w:right="34"/>
            <w:jc w:val="right"/>
            <w:rPr>
              <w:rFonts w:ascii="Palatino Linotype" w:eastAsia="Palatino Linotype" w:hAnsi="Palatino Linotype" w:cs="Palatino Linotype"/>
              <w:b/>
            </w:rPr>
          </w:pPr>
        </w:p>
      </w:tc>
      <w:tc>
        <w:tcPr>
          <w:tcW w:w="5104" w:type="dxa"/>
          <w:vAlign w:val="center"/>
        </w:tcPr>
        <w:p w:rsidR="001418D1" w:rsidRPr="00CB269F" w:rsidRDefault="000D1B23" w:rsidP="00CB269F">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CB269F">
            <w:rPr>
              <w:rFonts w:ascii="Palatino Linotype" w:eastAsia="Palatino Linotype" w:hAnsi="Palatino Linotype" w:cs="Palatino Linotype"/>
              <w:color w:val="000000"/>
            </w:rPr>
            <w:t>Organismo Público Descentralizado para la Prestación de los Servicios de Agua Potable, Alcantarillado y Saneamiento de Teoloyucan</w:t>
          </w:r>
        </w:p>
      </w:tc>
    </w:tr>
    <w:tr w:rsidR="001418D1" w:rsidTr="00C35E3B">
      <w:trPr>
        <w:trHeight w:val="342"/>
      </w:trPr>
      <w:tc>
        <w:tcPr>
          <w:tcW w:w="2976" w:type="dxa"/>
          <w:vAlign w:val="center"/>
        </w:tcPr>
        <w:p w:rsidR="001418D1" w:rsidRPr="00CB269F" w:rsidRDefault="000D1B23" w:rsidP="00CB269F">
          <w:pPr>
            <w:ind w:right="34"/>
            <w:jc w:val="right"/>
            <w:rPr>
              <w:rFonts w:ascii="Palatino Linotype" w:eastAsia="Palatino Linotype" w:hAnsi="Palatino Linotype" w:cs="Palatino Linotype"/>
              <w:b/>
            </w:rPr>
          </w:pPr>
          <w:r w:rsidRPr="00CB269F">
            <w:rPr>
              <w:rFonts w:ascii="Palatino Linotype" w:eastAsia="Palatino Linotype" w:hAnsi="Palatino Linotype" w:cs="Palatino Linotype"/>
              <w:b/>
            </w:rPr>
            <w:t>Comisionada Ponente:</w:t>
          </w:r>
        </w:p>
      </w:tc>
      <w:tc>
        <w:tcPr>
          <w:tcW w:w="5104" w:type="dxa"/>
          <w:vAlign w:val="center"/>
        </w:tcPr>
        <w:p w:rsidR="001418D1" w:rsidRPr="00CB269F" w:rsidRDefault="000D1B23" w:rsidP="00CB269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B269F">
            <w:rPr>
              <w:rFonts w:ascii="Palatino Linotype" w:eastAsia="Palatino Linotype" w:hAnsi="Palatino Linotype" w:cs="Palatino Linotype"/>
              <w:color w:val="000000"/>
            </w:rPr>
            <w:t>María del Rosario Mejía Ayala</w:t>
          </w:r>
        </w:p>
      </w:tc>
    </w:tr>
  </w:tbl>
  <w:p w:rsidR="001418D1" w:rsidRDefault="00965DE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938" w:type="dxa"/>
      <w:tblInd w:w="1843" w:type="dxa"/>
      <w:tblLayout w:type="fixed"/>
      <w:tblLook w:val="0400" w:firstRow="0" w:lastRow="0" w:firstColumn="0" w:lastColumn="0" w:noHBand="0" w:noVBand="1"/>
    </w:tblPr>
    <w:tblGrid>
      <w:gridCol w:w="2977"/>
      <w:gridCol w:w="4961"/>
    </w:tblGrid>
    <w:tr w:rsidR="001418D1" w:rsidTr="00C35E3B">
      <w:trPr>
        <w:trHeight w:val="227"/>
      </w:trPr>
      <w:tc>
        <w:tcPr>
          <w:tcW w:w="2977" w:type="dxa"/>
          <w:vAlign w:val="center"/>
        </w:tcPr>
        <w:p w:rsidR="001418D1" w:rsidRPr="00CB269F" w:rsidRDefault="000D1B23" w:rsidP="00CB269F">
          <w:pPr>
            <w:jc w:val="right"/>
            <w:rPr>
              <w:rFonts w:ascii="Palatino Linotype" w:eastAsia="Palatino Linotype" w:hAnsi="Palatino Linotype" w:cs="Palatino Linotype"/>
              <w:b/>
            </w:rPr>
          </w:pPr>
          <w:r w:rsidRPr="00CB269F">
            <w:rPr>
              <w:rFonts w:ascii="Palatino Linotype" w:eastAsia="Palatino Linotype" w:hAnsi="Palatino Linotype" w:cs="Palatino Linotype"/>
              <w:b/>
            </w:rPr>
            <w:t>Recurso de Revisión:</w:t>
          </w:r>
        </w:p>
      </w:tc>
      <w:tc>
        <w:tcPr>
          <w:tcW w:w="4961" w:type="dxa"/>
          <w:vAlign w:val="center"/>
        </w:tcPr>
        <w:p w:rsidR="001418D1" w:rsidRPr="00CB269F" w:rsidRDefault="000D1B23" w:rsidP="00CB269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B269F">
            <w:rPr>
              <w:rFonts w:ascii="Palatino Linotype" w:eastAsia="Palatino Linotype" w:hAnsi="Palatino Linotype" w:cs="Palatino Linotype"/>
              <w:color w:val="000000"/>
            </w:rPr>
            <w:t>07903/INFOEM/IP/RR/2025</w:t>
          </w:r>
        </w:p>
      </w:tc>
    </w:tr>
    <w:tr w:rsidR="001418D1" w:rsidTr="00C35E3B">
      <w:trPr>
        <w:trHeight w:val="242"/>
      </w:trPr>
      <w:tc>
        <w:tcPr>
          <w:tcW w:w="2977" w:type="dxa"/>
          <w:vAlign w:val="center"/>
        </w:tcPr>
        <w:p w:rsidR="001418D1" w:rsidRPr="00CB269F" w:rsidRDefault="000D1B23" w:rsidP="00CB269F">
          <w:pPr>
            <w:jc w:val="right"/>
            <w:rPr>
              <w:rFonts w:ascii="Palatino Linotype" w:eastAsia="Palatino Linotype" w:hAnsi="Palatino Linotype" w:cs="Palatino Linotype"/>
              <w:b/>
            </w:rPr>
          </w:pPr>
          <w:r w:rsidRPr="00CB269F">
            <w:rPr>
              <w:rFonts w:ascii="Palatino Linotype" w:eastAsia="Palatino Linotype" w:hAnsi="Palatino Linotype" w:cs="Palatino Linotype"/>
              <w:b/>
            </w:rPr>
            <w:t>Recurrente:</w:t>
          </w:r>
        </w:p>
      </w:tc>
      <w:tc>
        <w:tcPr>
          <w:tcW w:w="4961" w:type="dxa"/>
        </w:tcPr>
        <w:p w:rsidR="001418D1" w:rsidRPr="00CB269F" w:rsidRDefault="00E967DA" w:rsidP="00CB269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r w:rsidR="000D1B23" w:rsidRPr="00CB269F">
            <w:rPr>
              <w:rFonts w:ascii="Palatino Linotype" w:eastAsia="Palatino Linotype" w:hAnsi="Palatino Linotype" w:cs="Palatino Linotype"/>
              <w:color w:val="000000"/>
            </w:rPr>
            <w:t> </w:t>
          </w:r>
        </w:p>
      </w:tc>
    </w:tr>
    <w:tr w:rsidR="001418D1" w:rsidTr="00C35E3B">
      <w:trPr>
        <w:trHeight w:val="342"/>
      </w:trPr>
      <w:tc>
        <w:tcPr>
          <w:tcW w:w="2977" w:type="dxa"/>
          <w:vAlign w:val="center"/>
        </w:tcPr>
        <w:p w:rsidR="001418D1" w:rsidRDefault="000D1B23" w:rsidP="00CB269F">
          <w:pPr>
            <w:jc w:val="right"/>
            <w:rPr>
              <w:rFonts w:ascii="Palatino Linotype" w:eastAsia="Palatino Linotype" w:hAnsi="Palatino Linotype" w:cs="Palatino Linotype"/>
              <w:b/>
            </w:rPr>
          </w:pPr>
          <w:r w:rsidRPr="00CB269F">
            <w:rPr>
              <w:rFonts w:ascii="Palatino Linotype" w:eastAsia="Palatino Linotype" w:hAnsi="Palatino Linotype" w:cs="Palatino Linotype"/>
              <w:b/>
            </w:rPr>
            <w:t>Sujeto Obligado:</w:t>
          </w:r>
        </w:p>
        <w:p w:rsidR="00CB269F" w:rsidRDefault="00CB269F" w:rsidP="00CB269F">
          <w:pPr>
            <w:jc w:val="right"/>
            <w:rPr>
              <w:rFonts w:ascii="Palatino Linotype" w:eastAsia="Palatino Linotype" w:hAnsi="Palatino Linotype" w:cs="Palatino Linotype"/>
              <w:b/>
            </w:rPr>
          </w:pPr>
        </w:p>
        <w:p w:rsidR="00CB269F" w:rsidRPr="00CB269F" w:rsidRDefault="00CB269F" w:rsidP="00CB269F">
          <w:pPr>
            <w:jc w:val="right"/>
            <w:rPr>
              <w:rFonts w:ascii="Palatino Linotype" w:eastAsia="Palatino Linotype" w:hAnsi="Palatino Linotype" w:cs="Palatino Linotype"/>
              <w:b/>
            </w:rPr>
          </w:pPr>
        </w:p>
      </w:tc>
      <w:tc>
        <w:tcPr>
          <w:tcW w:w="4961" w:type="dxa"/>
          <w:vAlign w:val="center"/>
        </w:tcPr>
        <w:p w:rsidR="001418D1" w:rsidRPr="00CB269F" w:rsidRDefault="000D1B23" w:rsidP="00CB269F">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CB269F">
            <w:rPr>
              <w:rFonts w:ascii="Palatino Linotype" w:eastAsia="Palatino Linotype" w:hAnsi="Palatino Linotype" w:cs="Palatino Linotype"/>
              <w:color w:val="000000"/>
            </w:rPr>
            <w:t>Organismo Público Descentralizado para la Prestación de los Servicios de Agua Potable, Alcantarillado y Saneamiento de Teoloyucan</w:t>
          </w:r>
        </w:p>
      </w:tc>
    </w:tr>
    <w:tr w:rsidR="001418D1" w:rsidTr="00C35E3B">
      <w:trPr>
        <w:trHeight w:val="342"/>
      </w:trPr>
      <w:tc>
        <w:tcPr>
          <w:tcW w:w="2977" w:type="dxa"/>
          <w:vAlign w:val="center"/>
        </w:tcPr>
        <w:p w:rsidR="001418D1" w:rsidRPr="00CB269F" w:rsidRDefault="000D1B23" w:rsidP="00CB269F">
          <w:pPr>
            <w:jc w:val="right"/>
            <w:rPr>
              <w:rFonts w:ascii="Palatino Linotype" w:eastAsia="Palatino Linotype" w:hAnsi="Palatino Linotype" w:cs="Palatino Linotype"/>
              <w:b/>
            </w:rPr>
          </w:pPr>
          <w:r w:rsidRPr="00CB269F">
            <w:rPr>
              <w:rFonts w:ascii="Palatino Linotype" w:eastAsia="Palatino Linotype" w:hAnsi="Palatino Linotype" w:cs="Palatino Linotype"/>
              <w:b/>
            </w:rPr>
            <w:t>Comisionada Ponente:</w:t>
          </w:r>
        </w:p>
      </w:tc>
      <w:tc>
        <w:tcPr>
          <w:tcW w:w="4961" w:type="dxa"/>
          <w:vAlign w:val="center"/>
        </w:tcPr>
        <w:p w:rsidR="001418D1" w:rsidRPr="00CB269F" w:rsidRDefault="000D1B23" w:rsidP="00CB269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B269F">
            <w:rPr>
              <w:rFonts w:ascii="Palatino Linotype" w:eastAsia="Palatino Linotype" w:hAnsi="Palatino Linotype" w:cs="Palatino Linotype"/>
              <w:color w:val="000000"/>
            </w:rPr>
            <w:t>María del Rosario Mejía Ayala</w:t>
          </w:r>
        </w:p>
      </w:tc>
    </w:tr>
  </w:tbl>
  <w:p w:rsidR="001418D1" w:rsidRDefault="00965DE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E5B02"/>
    <w:multiLevelType w:val="multilevel"/>
    <w:tmpl w:val="5B623A8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367A1C06"/>
    <w:multiLevelType w:val="multilevel"/>
    <w:tmpl w:val="B44444E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7D5621A7"/>
    <w:multiLevelType w:val="multilevel"/>
    <w:tmpl w:val="5C5805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D1"/>
    <w:rsid w:val="000D1B23"/>
    <w:rsid w:val="001418D1"/>
    <w:rsid w:val="00233630"/>
    <w:rsid w:val="0024650E"/>
    <w:rsid w:val="00965DEB"/>
    <w:rsid w:val="00C35E3B"/>
    <w:rsid w:val="00CB269F"/>
    <w:rsid w:val="00D726DB"/>
    <w:rsid w:val="00E967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4A91E6-DB94-47AD-9472-6744F2B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D4C19"/>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9D4C19"/>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C1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C19"/>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9D4C19"/>
    <w:pPr>
      <w:tabs>
        <w:tab w:val="center" w:pos="4419"/>
        <w:tab w:val="right" w:pos="8838"/>
      </w:tabs>
    </w:pPr>
  </w:style>
  <w:style w:type="character" w:customStyle="1" w:styleId="PiedepginaCar">
    <w:name w:val="Pie de página Car"/>
    <w:basedOn w:val="Fuentedeprrafopredeter"/>
    <w:link w:val="Piedepgina"/>
    <w:uiPriority w:val="99"/>
    <w:rsid w:val="009D4C19"/>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xs1iL0drddGpTpOp//2VwQ2g==">CgMxLjAyCGguZ2pkZ3hzMgloLjMwajB6bGwyCWguMWZvYjl0ZTIJaC4yZXQ5MnAwMghoLnR5amN3dDIJaC4zZHk2dmttMg5oLjRucXN2cG9paGtyeTIJaC4xN2RwOHZ1MgloLjNyZGNyam4yDmgueDl5dWNmdTcyenl6OAByITEtOXEzYmxHeE5OQnJqQW9jOHN0ZUJpVkJfMnhONGRhZQ==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3485</Words>
  <Characters>19172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2025-10-03T00:11:00Z</cp:lastPrinted>
  <dcterms:created xsi:type="dcterms:W3CDTF">2025-09-10T02:03:00Z</dcterms:created>
  <dcterms:modified xsi:type="dcterms:W3CDTF">2025-11-06T19:42:00Z</dcterms:modified>
</cp:coreProperties>
</file>