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8A5" w:rsidRPr="0060338D" w:rsidRDefault="00DA2561" w:rsidP="0060338D">
      <w:pPr>
        <w:tabs>
          <w:tab w:val="left" w:pos="0"/>
        </w:tabs>
        <w:spacing w:line="360" w:lineRule="auto"/>
        <w:jc w:val="both"/>
        <w:rPr>
          <w:rFonts w:ascii="Palatino Linotype" w:eastAsia="Palatino Linotype" w:hAnsi="Palatino Linotype" w:cs="Palatino Linotype"/>
          <w:b/>
          <w:color w:val="000000" w:themeColor="text1"/>
        </w:rPr>
      </w:pPr>
      <w:bookmarkStart w:id="0" w:name="_heading=h.sre9h05q4v0b" w:colFirst="0" w:colLast="0"/>
      <w:bookmarkStart w:id="1" w:name="_GoBack"/>
      <w:bookmarkEnd w:id="0"/>
      <w:bookmarkEnd w:id="1"/>
      <w:r w:rsidRPr="0060338D">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60338D">
        <w:rPr>
          <w:rFonts w:ascii="Palatino Linotype" w:eastAsia="Palatino Linotype" w:hAnsi="Palatino Linotype" w:cs="Palatino Linotype"/>
          <w:b/>
          <w:color w:val="000000" w:themeColor="text1"/>
        </w:rPr>
        <w:t>de fecha</w:t>
      </w:r>
      <w:r w:rsidRPr="0060338D">
        <w:rPr>
          <w:rFonts w:ascii="Palatino Linotype" w:eastAsia="Palatino Linotype" w:hAnsi="Palatino Linotype" w:cs="Palatino Linotype"/>
          <w:color w:val="000000" w:themeColor="text1"/>
        </w:rPr>
        <w:t xml:space="preserve"> </w:t>
      </w:r>
      <w:r w:rsidR="00EA0D5D">
        <w:rPr>
          <w:rFonts w:ascii="Palatino Linotype" w:eastAsia="Palatino Linotype" w:hAnsi="Palatino Linotype" w:cs="Palatino Linotype"/>
          <w:b/>
          <w:color w:val="000000" w:themeColor="text1"/>
        </w:rPr>
        <w:t>uno (01)</w:t>
      </w:r>
      <w:r w:rsidRPr="0060338D">
        <w:rPr>
          <w:rFonts w:ascii="Palatino Linotype" w:eastAsia="Palatino Linotype" w:hAnsi="Palatino Linotype" w:cs="Palatino Linotype"/>
          <w:b/>
          <w:color w:val="000000" w:themeColor="text1"/>
        </w:rPr>
        <w:t xml:space="preserve"> de octubre de dos mil veinticinco.</w:t>
      </w:r>
    </w:p>
    <w:p w:rsidR="00FB78A5" w:rsidRPr="0060338D" w:rsidRDefault="00FB78A5" w:rsidP="0060338D">
      <w:pPr>
        <w:tabs>
          <w:tab w:val="left" w:pos="0"/>
        </w:tabs>
        <w:spacing w:line="360" w:lineRule="auto"/>
        <w:jc w:val="both"/>
        <w:rPr>
          <w:rFonts w:ascii="Palatino Linotype" w:eastAsia="Palatino Linotype" w:hAnsi="Palatino Linotype" w:cs="Palatino Linotype"/>
          <w:color w:val="000000" w:themeColor="text1"/>
        </w:rPr>
      </w:pPr>
      <w:bookmarkStart w:id="2" w:name="_heading=h.88buvjcefob9" w:colFirst="0" w:colLast="0"/>
      <w:bookmarkEnd w:id="2"/>
    </w:p>
    <w:p w:rsidR="00FB78A5" w:rsidRPr="0060338D" w:rsidRDefault="00FB78A5" w:rsidP="0060338D">
      <w:pPr>
        <w:tabs>
          <w:tab w:val="left" w:pos="567"/>
        </w:tabs>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spacing w:line="360" w:lineRule="auto"/>
        <w:jc w:val="both"/>
        <w:rPr>
          <w:rFonts w:ascii="Palatino Linotype" w:eastAsia="Palatino Linotype" w:hAnsi="Palatino Linotype" w:cs="Palatino Linotype"/>
          <w:color w:val="000000" w:themeColor="text1"/>
        </w:rPr>
      </w:pPr>
      <w:bookmarkStart w:id="3" w:name="_heading=h.gjdgxs" w:colFirst="0" w:colLast="0"/>
      <w:bookmarkEnd w:id="3"/>
      <w:r w:rsidRPr="0060338D">
        <w:rPr>
          <w:rFonts w:ascii="Palatino Linotype" w:eastAsia="Palatino Linotype" w:hAnsi="Palatino Linotype" w:cs="Palatino Linotype"/>
          <w:b/>
          <w:color w:val="000000" w:themeColor="text1"/>
        </w:rPr>
        <w:t>VISTO</w:t>
      </w:r>
      <w:r w:rsidRPr="0060338D">
        <w:rPr>
          <w:rFonts w:ascii="Palatino Linotype" w:eastAsia="Palatino Linotype" w:hAnsi="Palatino Linotype" w:cs="Palatino Linotype"/>
          <w:color w:val="000000" w:themeColor="text1"/>
        </w:rPr>
        <w:t xml:space="preserve"> el expediente electrónico formado con motivo del recurso de revisión </w:t>
      </w:r>
      <w:r w:rsidRPr="0060338D">
        <w:rPr>
          <w:rFonts w:ascii="Palatino Linotype" w:eastAsia="Palatino Linotype" w:hAnsi="Palatino Linotype" w:cs="Palatino Linotype"/>
          <w:b/>
          <w:color w:val="000000" w:themeColor="text1"/>
        </w:rPr>
        <w:t>09898/INFOEM/IP/RR/2025</w:t>
      </w:r>
      <w:r w:rsidRPr="0060338D">
        <w:rPr>
          <w:rFonts w:ascii="Palatino Linotype" w:eastAsia="Palatino Linotype" w:hAnsi="Palatino Linotype" w:cs="Palatino Linotype"/>
          <w:color w:val="000000" w:themeColor="text1"/>
        </w:rPr>
        <w:t>,</w:t>
      </w:r>
      <w:r w:rsidRPr="0060338D">
        <w:rPr>
          <w:rFonts w:ascii="Palatino Linotype" w:eastAsia="Palatino Linotype" w:hAnsi="Palatino Linotype" w:cs="Palatino Linotype"/>
          <w:b/>
          <w:color w:val="000000" w:themeColor="text1"/>
        </w:rPr>
        <w:t xml:space="preserve"> </w:t>
      </w:r>
      <w:r w:rsidRPr="0060338D">
        <w:rPr>
          <w:rFonts w:ascii="Palatino Linotype" w:eastAsia="Palatino Linotype" w:hAnsi="Palatino Linotype" w:cs="Palatino Linotype"/>
          <w:color w:val="000000" w:themeColor="text1"/>
        </w:rPr>
        <w:t xml:space="preserve">promovido por </w:t>
      </w:r>
      <w:r w:rsidR="00DD58E7">
        <w:rPr>
          <w:rFonts w:ascii="Palatino Linotype" w:eastAsia="Palatino Linotype" w:hAnsi="Palatino Linotype" w:cs="Palatino Linotype"/>
          <w:b/>
          <w:color w:val="000000" w:themeColor="text1"/>
        </w:rPr>
        <w:t>XXXX</w:t>
      </w:r>
      <w:r w:rsidRPr="0060338D">
        <w:rPr>
          <w:rFonts w:ascii="Palatino Linotype" w:eastAsia="Palatino Linotype" w:hAnsi="Palatino Linotype" w:cs="Palatino Linotype"/>
          <w:color w:val="000000" w:themeColor="text1"/>
        </w:rPr>
        <w:t>, a quien en lo sucesivo se le identificará como la parte</w:t>
      </w:r>
      <w:r w:rsidRPr="0060338D">
        <w:rPr>
          <w:rFonts w:ascii="Palatino Linotype" w:eastAsia="Palatino Linotype" w:hAnsi="Palatino Linotype" w:cs="Palatino Linotype"/>
          <w:b/>
          <w:color w:val="000000" w:themeColor="text1"/>
        </w:rPr>
        <w:t xml:space="preserve"> RECURRENTE</w:t>
      </w:r>
      <w:r w:rsidRPr="0060338D">
        <w:rPr>
          <w:rFonts w:ascii="Palatino Linotype" w:eastAsia="Palatino Linotype" w:hAnsi="Palatino Linotype" w:cs="Palatino Linotype"/>
          <w:color w:val="000000" w:themeColor="text1"/>
        </w:rPr>
        <w:t xml:space="preserve">, en contra de la respuesta del </w:t>
      </w:r>
      <w:r w:rsidRPr="0060338D">
        <w:rPr>
          <w:rFonts w:ascii="Palatino Linotype" w:eastAsia="Palatino Linotype" w:hAnsi="Palatino Linotype" w:cs="Palatino Linotype"/>
          <w:b/>
          <w:color w:val="000000" w:themeColor="text1"/>
        </w:rPr>
        <w:t xml:space="preserve">Ayuntamiento de Metepec, </w:t>
      </w:r>
      <w:r w:rsidRPr="0060338D">
        <w:rPr>
          <w:rFonts w:ascii="Palatino Linotype" w:eastAsia="Palatino Linotype" w:hAnsi="Palatino Linotype" w:cs="Palatino Linotype"/>
          <w:color w:val="000000" w:themeColor="text1"/>
        </w:rPr>
        <w:t>en adelante el</w:t>
      </w:r>
      <w:r w:rsidRPr="0060338D">
        <w:rPr>
          <w:rFonts w:ascii="Palatino Linotype" w:eastAsia="Palatino Linotype" w:hAnsi="Palatino Linotype" w:cs="Palatino Linotype"/>
          <w:b/>
          <w:color w:val="000000" w:themeColor="text1"/>
        </w:rPr>
        <w:t xml:space="preserve"> SUJETO OBLIGADO</w:t>
      </w:r>
      <w:r w:rsidRPr="0060338D">
        <w:rPr>
          <w:rFonts w:ascii="Palatino Linotype" w:eastAsia="Palatino Linotype" w:hAnsi="Palatino Linotype" w:cs="Palatino Linotype"/>
          <w:color w:val="000000" w:themeColor="text1"/>
        </w:rPr>
        <w:t>, se procede a dictar la presente resolución, con base en los siguientes:</w:t>
      </w:r>
    </w:p>
    <w:p w:rsidR="00FB78A5" w:rsidRPr="0060338D" w:rsidRDefault="00FB78A5" w:rsidP="0060338D">
      <w:pP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pStyle w:val="Ttulo1"/>
        <w:tabs>
          <w:tab w:val="left" w:pos="567"/>
        </w:tabs>
        <w:spacing w:before="0" w:line="360" w:lineRule="auto"/>
        <w:jc w:val="center"/>
        <w:rPr>
          <w:b w:val="0"/>
          <w:color w:val="000000" w:themeColor="text1"/>
        </w:rPr>
      </w:pPr>
      <w:bookmarkStart w:id="4" w:name="_heading=h.30j0zll" w:colFirst="0" w:colLast="0"/>
      <w:bookmarkEnd w:id="4"/>
      <w:r w:rsidRPr="0060338D">
        <w:rPr>
          <w:color w:val="000000" w:themeColor="text1"/>
        </w:rPr>
        <w:t>A N T E C E D E N T E S</w:t>
      </w:r>
    </w:p>
    <w:p w:rsidR="00FB78A5" w:rsidRPr="0060338D" w:rsidRDefault="00FB78A5" w:rsidP="0060338D">
      <w:pPr>
        <w:pStyle w:val="Ttulo1"/>
        <w:tabs>
          <w:tab w:val="left" w:pos="567"/>
        </w:tabs>
        <w:spacing w:before="0" w:line="360" w:lineRule="auto"/>
        <w:jc w:val="center"/>
        <w:rPr>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El </w:t>
      </w:r>
      <w:r w:rsidRPr="0060338D">
        <w:rPr>
          <w:rFonts w:ascii="Palatino Linotype" w:eastAsia="Palatino Linotype" w:hAnsi="Palatino Linotype" w:cs="Palatino Linotype"/>
          <w:b/>
          <w:color w:val="000000" w:themeColor="text1"/>
        </w:rPr>
        <w:t xml:space="preserve">ocho de julio de dos mil veinticinco, </w:t>
      </w:r>
      <w:r w:rsidRPr="0060338D">
        <w:rPr>
          <w:rFonts w:ascii="Palatino Linotype" w:eastAsia="Palatino Linotype" w:hAnsi="Palatino Linotype" w:cs="Palatino Linotype"/>
          <w:color w:val="000000" w:themeColor="text1"/>
        </w:rPr>
        <w:t xml:space="preserve">se presentó ante el </w:t>
      </w:r>
      <w:r w:rsidRPr="0060338D">
        <w:rPr>
          <w:rFonts w:ascii="Palatino Linotype" w:eastAsia="Palatino Linotype" w:hAnsi="Palatino Linotype" w:cs="Palatino Linotype"/>
          <w:b/>
          <w:color w:val="000000" w:themeColor="text1"/>
        </w:rPr>
        <w:t>SUJETO OBLIGADO</w:t>
      </w:r>
      <w:r w:rsidRPr="0060338D">
        <w:rPr>
          <w:rFonts w:ascii="Palatino Linotype" w:eastAsia="Palatino Linotype" w:hAnsi="Palatino Linotype" w:cs="Palatino Linotype"/>
          <w:color w:val="000000" w:themeColor="text1"/>
        </w:rPr>
        <w:t xml:space="preserve"> vía SAIMEX, la solicitud de información pública registrada con el número</w:t>
      </w:r>
      <w:r w:rsidRPr="0060338D">
        <w:rPr>
          <w:rFonts w:ascii="Palatino Linotype" w:eastAsia="Palatino Linotype" w:hAnsi="Palatino Linotype" w:cs="Palatino Linotype"/>
          <w:b/>
          <w:color w:val="000000" w:themeColor="text1"/>
        </w:rPr>
        <w:t xml:space="preserve"> 00276/METEPEC/IP/2025; </w:t>
      </w:r>
      <w:r w:rsidR="00EA0D5D">
        <w:rPr>
          <w:rFonts w:ascii="Palatino Linotype" w:eastAsia="Palatino Linotype" w:hAnsi="Palatino Linotype" w:cs="Palatino Linotype"/>
          <w:color w:val="000000" w:themeColor="text1"/>
        </w:rPr>
        <w:t>en la que</w:t>
      </w:r>
      <w:r w:rsidRPr="0060338D">
        <w:rPr>
          <w:rFonts w:ascii="Palatino Linotype" w:eastAsia="Palatino Linotype" w:hAnsi="Palatino Linotype" w:cs="Palatino Linotype"/>
          <w:color w:val="000000" w:themeColor="text1"/>
        </w:rPr>
        <w:t xml:space="preserve"> se solicitó la siguiente información:</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FB78A5" w:rsidRPr="0060338D" w:rsidRDefault="00DA2561" w:rsidP="0060338D">
      <w:pPr>
        <w:pBdr>
          <w:top w:val="nil"/>
          <w:left w:val="nil"/>
          <w:bottom w:val="nil"/>
          <w:right w:val="nil"/>
          <w:between w:val="nil"/>
        </w:pBdr>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“solicito copia simple digitalizada a traves del sistema electrónico saimex de la nomina de trabajadores sindicalizados, la de confianza, lista de raya o eventuales, mandos medios y superiores correspondientes a la primera y segunda quincena del mes de junio de 2025.” (Sic)</w:t>
      </w:r>
    </w:p>
    <w:p w:rsidR="00FB78A5" w:rsidRDefault="00FB78A5" w:rsidP="0060338D">
      <w:pPr>
        <w:pBdr>
          <w:top w:val="nil"/>
          <w:left w:val="nil"/>
          <w:bottom w:val="nil"/>
          <w:right w:val="nil"/>
          <w:between w:val="nil"/>
        </w:pBdr>
        <w:jc w:val="both"/>
        <w:rPr>
          <w:rFonts w:ascii="Palatino Linotype" w:eastAsia="Palatino Linotype" w:hAnsi="Palatino Linotype" w:cs="Palatino Linotype"/>
          <w:i/>
          <w:color w:val="000000" w:themeColor="text1"/>
        </w:rPr>
      </w:pPr>
    </w:p>
    <w:p w:rsidR="00EA0D5D" w:rsidRPr="0060338D" w:rsidRDefault="00EA0D5D" w:rsidP="0060338D">
      <w:pPr>
        <w:pBdr>
          <w:top w:val="nil"/>
          <w:left w:val="nil"/>
          <w:bottom w:val="nil"/>
          <w:right w:val="nil"/>
          <w:between w:val="nil"/>
        </w:pBdr>
        <w:jc w:val="both"/>
        <w:rPr>
          <w:rFonts w:ascii="Palatino Linotype" w:eastAsia="Palatino Linotype" w:hAnsi="Palatino Linotype" w:cs="Palatino Linotype"/>
          <w:i/>
          <w:color w:val="000000" w:themeColor="text1"/>
        </w:rPr>
      </w:pPr>
    </w:p>
    <w:p w:rsidR="00FB78A5" w:rsidRPr="0060338D" w:rsidRDefault="00DA2561" w:rsidP="0060338D">
      <w:pPr>
        <w:numPr>
          <w:ilvl w:val="0"/>
          <w:numId w:val="2"/>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Se eligió como modalidad de entrega de la información: A través del </w:t>
      </w:r>
      <w:r w:rsidRPr="0060338D">
        <w:rPr>
          <w:rFonts w:ascii="Palatino Linotype" w:eastAsia="Palatino Linotype" w:hAnsi="Palatino Linotype" w:cs="Palatino Linotype"/>
          <w:b/>
          <w:color w:val="000000" w:themeColor="text1"/>
        </w:rPr>
        <w:t>SAIMEX.</w:t>
      </w:r>
    </w:p>
    <w:p w:rsidR="00FB78A5" w:rsidRPr="0060338D" w:rsidRDefault="00FB78A5" w:rsidP="0060338D">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lastRenderedPageBreak/>
        <w:t>El once de agosto de dos mil veinticinco, el</w:t>
      </w:r>
      <w:r w:rsidRPr="0060338D">
        <w:rPr>
          <w:rFonts w:ascii="Palatino Linotype" w:eastAsia="Palatino Linotype" w:hAnsi="Palatino Linotype" w:cs="Palatino Linotype"/>
          <w:b/>
          <w:color w:val="000000" w:themeColor="text1"/>
        </w:rPr>
        <w:t xml:space="preserve"> SUJETO OBLIGADO </w:t>
      </w:r>
      <w:r w:rsidRPr="0060338D">
        <w:rPr>
          <w:rFonts w:ascii="Palatino Linotype" w:eastAsia="Palatino Linotype" w:hAnsi="Palatino Linotype" w:cs="Palatino Linotype"/>
          <w:color w:val="000000" w:themeColor="text1"/>
        </w:rPr>
        <w:t>notificó una prórroga para atender la solicitud de información, en los siguientes términos:</w:t>
      </w:r>
    </w:p>
    <w:p w:rsidR="00FB78A5" w:rsidRPr="0060338D" w:rsidRDefault="00FB78A5" w:rsidP="0060338D">
      <w:pPr>
        <w:rPr>
          <w:rFonts w:ascii="Palatino Linotype" w:eastAsia="Palatino Linotype" w:hAnsi="Palatino Linotype" w:cs="Palatino Linotype"/>
          <w:color w:val="000000" w:themeColor="text1"/>
        </w:rPr>
      </w:pPr>
    </w:p>
    <w:p w:rsidR="00FB78A5" w:rsidRDefault="00DA2561" w:rsidP="0060338D">
      <w:pPr>
        <w:pBdr>
          <w:top w:val="nil"/>
          <w:left w:val="nil"/>
          <w:bottom w:val="nil"/>
          <w:right w:val="nil"/>
          <w:between w:val="nil"/>
        </w:pBdr>
        <w:tabs>
          <w:tab w:val="left" w:pos="2410"/>
        </w:tabs>
        <w:spacing w:line="360" w:lineRule="auto"/>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“SOLICITA PRORROGA EL SERVIDOR PUBLICO HABILITADO” (Sic)</w:t>
      </w:r>
    </w:p>
    <w:p w:rsidR="00EA0D5D" w:rsidRPr="0060338D" w:rsidRDefault="00EA0D5D" w:rsidP="0060338D">
      <w:pPr>
        <w:pBdr>
          <w:top w:val="nil"/>
          <w:left w:val="nil"/>
          <w:bottom w:val="nil"/>
          <w:right w:val="nil"/>
          <w:between w:val="nil"/>
        </w:pBdr>
        <w:tabs>
          <w:tab w:val="left" w:pos="2410"/>
        </w:tabs>
        <w:spacing w:line="360" w:lineRule="auto"/>
        <w:jc w:val="both"/>
        <w:rPr>
          <w:rFonts w:ascii="Palatino Linotype" w:eastAsia="Palatino Linotype" w:hAnsi="Palatino Linotype" w:cs="Palatino Linotype"/>
          <w:i/>
          <w:color w:val="000000" w:themeColor="text1"/>
        </w:rPr>
      </w:pPr>
    </w:p>
    <w:p w:rsidR="00FB78A5" w:rsidRPr="0060338D" w:rsidRDefault="00DA2561" w:rsidP="0060338D">
      <w:pPr>
        <w:numPr>
          <w:ilvl w:val="0"/>
          <w:numId w:val="2"/>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El </w:t>
      </w:r>
      <w:r w:rsidRPr="0060338D">
        <w:rPr>
          <w:rFonts w:ascii="Palatino Linotype" w:eastAsia="Palatino Linotype" w:hAnsi="Palatino Linotype" w:cs="Palatino Linotype"/>
          <w:b/>
          <w:color w:val="000000" w:themeColor="text1"/>
        </w:rPr>
        <w:t>veintiuno de agosto de dos mil veinticinco</w:t>
      </w:r>
      <w:r w:rsidRPr="0060338D">
        <w:rPr>
          <w:rFonts w:ascii="Palatino Linotype" w:eastAsia="Palatino Linotype" w:hAnsi="Palatino Linotype" w:cs="Palatino Linotype"/>
          <w:color w:val="000000" w:themeColor="text1"/>
        </w:rPr>
        <w:t xml:space="preserve">, el </w:t>
      </w:r>
      <w:r w:rsidRPr="0060338D">
        <w:rPr>
          <w:rFonts w:ascii="Palatino Linotype" w:eastAsia="Palatino Linotype" w:hAnsi="Palatino Linotype" w:cs="Palatino Linotype"/>
          <w:b/>
          <w:color w:val="000000" w:themeColor="text1"/>
        </w:rPr>
        <w:t>SUJETO OBLIGADO,</w:t>
      </w:r>
      <w:r w:rsidRPr="0060338D">
        <w:rPr>
          <w:rFonts w:ascii="Palatino Linotype" w:eastAsia="Palatino Linotype" w:hAnsi="Palatino Linotype" w:cs="Palatino Linotype"/>
          <w:color w:val="000000" w:themeColor="text1"/>
        </w:rPr>
        <w:t xml:space="preserve"> dio respuesta a la solicitud de información en el tenor siguiente:</w:t>
      </w:r>
    </w:p>
    <w:p w:rsidR="00FB78A5" w:rsidRPr="0060338D" w:rsidRDefault="00DA2561" w:rsidP="0060338D">
      <w:p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176,177 y 178 de la Ley de Transparencia y Acceso a la Información Pública del Estado de México y Municipios. Sin más por el momento, me despido de usted, reiterando estar a sus órdenes. ATENTAMENTE GERARDO ARTURO OZUNA MARTINEZ DIRECTOR DE TRANSPARENCIA Y GOBIERNO ABIERTO” (Sic)</w:t>
      </w:r>
    </w:p>
    <w:p w:rsidR="00FB78A5" w:rsidRPr="0060338D" w:rsidRDefault="00FB78A5" w:rsidP="0060338D">
      <w:p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rPr>
      </w:pPr>
    </w:p>
    <w:p w:rsidR="00FB78A5" w:rsidRPr="0060338D" w:rsidRDefault="00DA2561" w:rsidP="0060338D">
      <w:pPr>
        <w:pBdr>
          <w:top w:val="nil"/>
          <w:left w:val="nil"/>
          <w:bottom w:val="nil"/>
          <w:right w:val="nil"/>
          <w:between w:val="nil"/>
        </w:pBdr>
        <w:tabs>
          <w:tab w:val="left" w:pos="0"/>
        </w:tabs>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b/>
          <w:color w:val="000000" w:themeColor="text1"/>
        </w:rPr>
        <w:t>Archivos electrónicos adjuntos:</w:t>
      </w:r>
    </w:p>
    <w:p w:rsidR="00FB78A5" w:rsidRPr="0060338D" w:rsidRDefault="00FB78A5" w:rsidP="0060338D">
      <w:pPr>
        <w:rPr>
          <w:rFonts w:ascii="Palatino Linotype" w:eastAsia="Palatino Linotype" w:hAnsi="Palatino Linotype" w:cs="Palatino Linotype"/>
          <w:b/>
          <w:color w:val="000000" w:themeColor="text1"/>
        </w:rPr>
      </w:pPr>
    </w:p>
    <w:p w:rsidR="00FB78A5" w:rsidRPr="0060338D" w:rsidRDefault="00B20835" w:rsidP="0060338D">
      <w:pPr>
        <w:jc w:val="both"/>
        <w:rPr>
          <w:rFonts w:ascii="Palatino Linotype" w:eastAsia="Palatino Linotype" w:hAnsi="Palatino Linotype" w:cs="Palatino Linotype"/>
          <w:color w:val="000000" w:themeColor="text1"/>
        </w:rPr>
      </w:pPr>
      <w:hyperlink r:id="rId8">
        <w:r w:rsidR="00DA2561" w:rsidRPr="0060338D">
          <w:rPr>
            <w:rFonts w:ascii="Palatino Linotype" w:eastAsia="Palatino Linotype" w:hAnsi="Palatino Linotype" w:cs="Palatino Linotype"/>
            <w:b/>
            <w:color w:val="000000" w:themeColor="text1"/>
          </w:rPr>
          <w:t>276o_2025.pdf</w:t>
        </w:r>
      </w:hyperlink>
      <w:r w:rsidR="00DA2561" w:rsidRPr="0060338D">
        <w:rPr>
          <w:rFonts w:ascii="Palatino Linotype" w:eastAsia="Palatino Linotype" w:hAnsi="Palatino Linotype" w:cs="Palatino Linotype"/>
          <w:color w:val="000000" w:themeColor="text1"/>
        </w:rPr>
        <w:t>: Oficio suscrito por el Director de Administración, por medio del cual, refirió que la Subdirección de Recursos Humanos señaló que después de realizar una búsqueda exhaustiva en sus archivos físicos y electrónicos, la información solicitada se trata de un formato contenido en el módulo 4 que se remite al OSFEM de conformidad con lo establecido en el artículo 48 de la Ley de Fiscalización Superior del Estado de México. Y al no estar dentro de las facultades y funciones otorgadas a la Dirección, la de elaborar los informes trimestrales que remiten al OSFEM, la información requerida no obra en sus archivos.</w:t>
      </w:r>
    </w:p>
    <w:p w:rsidR="00FB78A5" w:rsidRDefault="00DA2561" w:rsidP="0060338D">
      <w:pPr>
        <w:numPr>
          <w:ilvl w:val="0"/>
          <w:numId w:val="2"/>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lastRenderedPageBreak/>
        <w:t xml:space="preserve">El </w:t>
      </w:r>
      <w:r w:rsidRPr="0060338D">
        <w:rPr>
          <w:rFonts w:ascii="Palatino Linotype" w:eastAsia="Palatino Linotype" w:hAnsi="Palatino Linotype" w:cs="Palatino Linotype"/>
          <w:b/>
          <w:color w:val="000000" w:themeColor="text1"/>
        </w:rPr>
        <w:t>veintidós de agosto de dos mil veinticinco</w:t>
      </w:r>
      <w:r w:rsidRPr="0060338D">
        <w:rPr>
          <w:rFonts w:ascii="Palatino Linotype" w:eastAsia="Palatino Linotype" w:hAnsi="Palatino Linotype" w:cs="Palatino Linotype"/>
          <w:color w:val="000000" w:themeColor="text1"/>
        </w:rPr>
        <w:t xml:space="preserve">, el </w:t>
      </w:r>
      <w:r w:rsidRPr="0060338D">
        <w:rPr>
          <w:rFonts w:ascii="Palatino Linotype" w:eastAsia="Palatino Linotype" w:hAnsi="Palatino Linotype" w:cs="Palatino Linotype"/>
          <w:b/>
          <w:color w:val="000000" w:themeColor="text1"/>
        </w:rPr>
        <w:t>RECURRENTE</w:t>
      </w:r>
      <w:r w:rsidRPr="0060338D">
        <w:rPr>
          <w:rFonts w:ascii="Palatino Linotype" w:eastAsia="Palatino Linotype" w:hAnsi="Palatino Linotype" w:cs="Palatino Linotype"/>
          <w:color w:val="000000" w:themeColor="text1"/>
        </w:rPr>
        <w:t xml:space="preserve"> interpuso el recurso de revisión en contra de la respuesta, manifestando las siguientes razones o motivos de inconformidad:</w:t>
      </w:r>
    </w:p>
    <w:p w:rsidR="00DD58E7" w:rsidRPr="0060338D" w:rsidRDefault="00DD58E7" w:rsidP="00DD58E7">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FB78A5" w:rsidRPr="00EA0D5D" w:rsidRDefault="00DA2561" w:rsidP="00EA0D5D">
      <w:pPr>
        <w:pStyle w:val="Prrafodelista"/>
        <w:numPr>
          <w:ilvl w:val="0"/>
          <w:numId w:val="8"/>
        </w:numPr>
        <w:pBdr>
          <w:top w:val="nil"/>
          <w:left w:val="nil"/>
          <w:bottom w:val="nil"/>
          <w:right w:val="nil"/>
          <w:between w:val="nil"/>
        </w:pBdr>
        <w:jc w:val="both"/>
        <w:rPr>
          <w:rFonts w:ascii="Palatino Linotype" w:eastAsia="Palatino Linotype" w:hAnsi="Palatino Linotype" w:cs="Palatino Linotype"/>
          <w:i/>
          <w:color w:val="000000" w:themeColor="text1"/>
        </w:rPr>
      </w:pPr>
      <w:bookmarkStart w:id="5" w:name="_heading=h.1fob9te" w:colFirst="0" w:colLast="0"/>
      <w:bookmarkEnd w:id="5"/>
      <w:r w:rsidRPr="00EA0D5D">
        <w:rPr>
          <w:rFonts w:ascii="Palatino Linotype" w:eastAsia="Palatino Linotype" w:hAnsi="Palatino Linotype" w:cs="Palatino Linotype"/>
          <w:b/>
          <w:color w:val="000000" w:themeColor="text1"/>
        </w:rPr>
        <w:t>Acto impugnado</w:t>
      </w:r>
      <w:r w:rsidRPr="00EA0D5D">
        <w:rPr>
          <w:rFonts w:ascii="Palatino Linotype" w:eastAsia="Palatino Linotype" w:hAnsi="Palatino Linotype" w:cs="Palatino Linotype"/>
          <w:color w:val="000000" w:themeColor="text1"/>
        </w:rPr>
        <w:t xml:space="preserve">: </w:t>
      </w:r>
      <w:r w:rsidRPr="00EA0D5D">
        <w:rPr>
          <w:rFonts w:ascii="Palatino Linotype" w:eastAsia="Palatino Linotype" w:hAnsi="Palatino Linotype" w:cs="Palatino Linotype"/>
          <w:i/>
          <w:color w:val="000000" w:themeColor="text1"/>
        </w:rPr>
        <w:t>“RESPUESTA A LA SOLICITUD 00276/METEPEC/IP/2025” (Sic.)</w:t>
      </w:r>
    </w:p>
    <w:p w:rsidR="00FB78A5" w:rsidRPr="0060338D" w:rsidRDefault="00FB78A5" w:rsidP="0060338D">
      <w:pPr>
        <w:pBdr>
          <w:top w:val="nil"/>
          <w:left w:val="nil"/>
          <w:bottom w:val="nil"/>
          <w:right w:val="nil"/>
          <w:between w:val="nil"/>
        </w:pBdr>
        <w:jc w:val="both"/>
        <w:rPr>
          <w:rFonts w:ascii="Palatino Linotype" w:eastAsia="Palatino Linotype" w:hAnsi="Palatino Linotype" w:cs="Palatino Linotype"/>
          <w:b/>
          <w:i/>
          <w:color w:val="000000" w:themeColor="text1"/>
        </w:rPr>
      </w:pPr>
    </w:p>
    <w:p w:rsidR="00FB78A5" w:rsidRPr="00EA0D5D" w:rsidRDefault="00DA2561" w:rsidP="00EA0D5D">
      <w:pPr>
        <w:pStyle w:val="Prrafodelista"/>
        <w:numPr>
          <w:ilvl w:val="0"/>
          <w:numId w:val="8"/>
        </w:numPr>
        <w:jc w:val="both"/>
        <w:rPr>
          <w:rFonts w:ascii="Palatino Linotype" w:eastAsia="Palatino Linotype" w:hAnsi="Palatino Linotype" w:cs="Palatino Linotype"/>
          <w:color w:val="000000" w:themeColor="text1"/>
        </w:rPr>
      </w:pPr>
      <w:bookmarkStart w:id="6" w:name="_heading=h.3znysh7" w:colFirst="0" w:colLast="0"/>
      <w:bookmarkEnd w:id="6"/>
      <w:r w:rsidRPr="00EA0D5D">
        <w:rPr>
          <w:rFonts w:ascii="Palatino Linotype" w:eastAsia="Palatino Linotype" w:hAnsi="Palatino Linotype" w:cs="Palatino Linotype"/>
          <w:b/>
          <w:color w:val="000000" w:themeColor="text1"/>
        </w:rPr>
        <w:t>Razones o Motivos de inconformidad:</w:t>
      </w:r>
      <w:r w:rsidRPr="00EA0D5D">
        <w:rPr>
          <w:rFonts w:ascii="Palatino Linotype" w:eastAsia="Palatino Linotype" w:hAnsi="Palatino Linotype" w:cs="Palatino Linotype"/>
          <w:b/>
          <w:i/>
          <w:color w:val="000000" w:themeColor="text1"/>
        </w:rPr>
        <w:t xml:space="preserve"> </w:t>
      </w:r>
      <w:r w:rsidRPr="00EA0D5D">
        <w:rPr>
          <w:rFonts w:ascii="Palatino Linotype" w:eastAsia="Palatino Linotype" w:hAnsi="Palatino Linotype" w:cs="Palatino Linotype"/>
          <w:i/>
          <w:color w:val="000000" w:themeColor="text1"/>
        </w:rPr>
        <w:t>“LA RESPUESTA DEL SUJETO OBLIGADO A LA PRESENTE SOLICITUD ES UNA NEGATIVA A LLEVAR A CABO LA ENTREGA DE LA INFORMACIÓN SOLICITADA, POR LO CUAL SOLICITO SE REVOQUE LA RESPUESTA DEL SUJETO OBLIGADO Y SE ORDENE LA ENTREGA DE LA INFORMACIÓN PÚBLICA REQUERIDA.” (Sic.)</w:t>
      </w:r>
    </w:p>
    <w:p w:rsidR="00FB78A5" w:rsidRPr="0060338D" w:rsidRDefault="00FB78A5" w:rsidP="0060338D">
      <w:pPr>
        <w:spacing w:line="360" w:lineRule="auto"/>
        <w:rPr>
          <w:rFonts w:ascii="Palatino Linotype" w:eastAsia="Palatino Linotype" w:hAnsi="Palatino Linotype" w:cs="Palatino Linotype"/>
          <w:i/>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del </w:t>
      </w:r>
      <w:r w:rsidRPr="0060338D">
        <w:rPr>
          <w:rFonts w:ascii="Palatino Linotype" w:eastAsia="Palatino Linotype" w:hAnsi="Palatino Linotype" w:cs="Palatino Linotype"/>
          <w:b/>
          <w:color w:val="000000" w:themeColor="text1"/>
        </w:rPr>
        <w:t>veinticinco de agosto de agosto de dos mil veinticinco</w:t>
      </w:r>
      <w:r w:rsidRPr="0060338D">
        <w:rPr>
          <w:rFonts w:ascii="Palatino Linotype" w:eastAsia="Palatino Linotype" w:hAnsi="Palatino Linotype" w:cs="Palatino Linotype"/>
          <w:color w:val="000000" w:themeColor="text1"/>
        </w:rPr>
        <w:t xml:space="preserve">, puso a disposición de las partes el expediente electrónico vía </w:t>
      </w:r>
      <w:r w:rsidRPr="0060338D">
        <w:rPr>
          <w:rFonts w:ascii="Palatino Linotype" w:eastAsia="Palatino Linotype" w:hAnsi="Palatino Linotype" w:cs="Palatino Linotype"/>
          <w:b/>
          <w:color w:val="000000" w:themeColor="text1"/>
        </w:rPr>
        <w:t xml:space="preserve">SAIMEX </w:t>
      </w:r>
      <w:r w:rsidRPr="0060338D">
        <w:rPr>
          <w:rFonts w:ascii="Palatino Linotype" w:eastAsia="Palatino Linotype" w:hAnsi="Palatino Linotype" w:cs="Palatino Linotype"/>
          <w:color w:val="000000" w:themeColor="text1"/>
        </w:rPr>
        <w:t xml:space="preserve">a efecto de que en un plazo máximo de siete días manifestara lo que a su derecho conviniera, ofreciera pruebas y alegatos según corresponda a los casos concretos, y el </w:t>
      </w:r>
      <w:r w:rsidRPr="0060338D">
        <w:rPr>
          <w:rFonts w:ascii="Palatino Linotype" w:eastAsia="Palatino Linotype" w:hAnsi="Palatino Linotype" w:cs="Palatino Linotype"/>
          <w:b/>
          <w:color w:val="000000" w:themeColor="text1"/>
        </w:rPr>
        <w:t>SUJETO OBLIGADO</w:t>
      </w:r>
      <w:r w:rsidRPr="0060338D">
        <w:rPr>
          <w:rFonts w:ascii="Palatino Linotype" w:eastAsia="Palatino Linotype" w:hAnsi="Palatino Linotype" w:cs="Palatino Linotype"/>
          <w:color w:val="000000" w:themeColor="text1"/>
        </w:rPr>
        <w:t xml:space="preserve"> presentará el Informe Justificado procedente.</w:t>
      </w:r>
    </w:p>
    <w:p w:rsidR="00FB78A5" w:rsidRPr="0060338D" w:rsidRDefault="00FB78A5" w:rsidP="0060338D">
      <w:pPr>
        <w:rPr>
          <w:rFonts w:ascii="Palatino Linotype" w:eastAsia="Palatino Linotype" w:hAnsi="Palatino Linotype" w:cs="Palatino Linotype"/>
          <w:color w:val="000000" w:themeColor="text1"/>
        </w:rPr>
      </w:pPr>
    </w:p>
    <w:p w:rsidR="00FB78A5" w:rsidRPr="0060338D" w:rsidRDefault="00DA2561" w:rsidP="0060338D">
      <w:pPr>
        <w:numPr>
          <w:ilvl w:val="0"/>
          <w:numId w:val="2"/>
        </w:numPr>
        <w:spacing w:line="360" w:lineRule="auto"/>
        <w:jc w:val="both"/>
        <w:rPr>
          <w:rFonts w:ascii="Palatino Linotype" w:eastAsia="Palatino Linotype" w:hAnsi="Palatino Linotype" w:cs="Palatino Linotype"/>
          <w:color w:val="000000" w:themeColor="text1"/>
        </w:rPr>
      </w:pPr>
      <w:bookmarkStart w:id="7" w:name="_heading=h.2et92p0" w:colFirst="0" w:colLast="0"/>
      <w:bookmarkEnd w:id="7"/>
      <w:r w:rsidRPr="0060338D">
        <w:rPr>
          <w:rFonts w:ascii="Palatino Linotype" w:eastAsia="Palatino Linotype" w:hAnsi="Palatino Linotype" w:cs="Palatino Linotype"/>
          <w:color w:val="000000" w:themeColor="text1"/>
        </w:rPr>
        <w:t xml:space="preserve">El veintisiete de agosto de dos mil veinticinco, el </w:t>
      </w:r>
      <w:r w:rsidRPr="0060338D">
        <w:rPr>
          <w:rFonts w:ascii="Palatino Linotype" w:eastAsia="Palatino Linotype" w:hAnsi="Palatino Linotype" w:cs="Palatino Linotype"/>
          <w:b/>
          <w:color w:val="000000" w:themeColor="text1"/>
        </w:rPr>
        <w:t xml:space="preserve">SUJETO OBLIGADO </w:t>
      </w:r>
      <w:r w:rsidRPr="0060338D">
        <w:rPr>
          <w:rFonts w:ascii="Palatino Linotype" w:eastAsia="Palatino Linotype" w:hAnsi="Palatino Linotype" w:cs="Palatino Linotype"/>
          <w:color w:val="000000" w:themeColor="text1"/>
        </w:rPr>
        <w:t xml:space="preserve">rindió el informe justificado correspondiente por medio del archivo electrónico denominado 276-NM.PDF, consistente en un oficio suscrito por el Director de Transparencia, por medio del cual, requirió al Director de Administración dar atención al recurso de revisión </w:t>
      </w:r>
      <w:r w:rsidRPr="0060338D">
        <w:rPr>
          <w:rFonts w:ascii="Palatino Linotype" w:eastAsia="Palatino Linotype" w:hAnsi="Palatino Linotype" w:cs="Palatino Linotype"/>
          <w:b/>
          <w:color w:val="000000" w:themeColor="text1"/>
        </w:rPr>
        <w:t>09898/INFOEM/IP/RR/2025</w:t>
      </w:r>
      <w:r w:rsidRPr="0060338D">
        <w:rPr>
          <w:rFonts w:ascii="Palatino Linotype" w:eastAsia="Palatino Linotype" w:hAnsi="Palatino Linotype" w:cs="Palatino Linotype"/>
          <w:color w:val="000000" w:themeColor="text1"/>
        </w:rPr>
        <w:t>.</w:t>
      </w:r>
    </w:p>
    <w:p w:rsidR="00FB78A5" w:rsidRPr="0060338D" w:rsidRDefault="00FB78A5" w:rsidP="0060338D">
      <w:pPr>
        <w:rPr>
          <w:rFonts w:ascii="Palatino Linotype" w:eastAsia="Palatino Linotype" w:hAnsi="Palatino Linotype" w:cs="Palatino Linotype"/>
          <w:color w:val="000000" w:themeColor="text1"/>
        </w:rPr>
      </w:pPr>
    </w:p>
    <w:p w:rsidR="00FB78A5" w:rsidRPr="0060338D" w:rsidRDefault="00DA2561" w:rsidP="0060338D">
      <w:pPr>
        <w:numPr>
          <w:ilvl w:val="0"/>
          <w:numId w:val="2"/>
        </w:numP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Por su parte, el</w:t>
      </w:r>
      <w:r w:rsidRPr="0060338D">
        <w:rPr>
          <w:rFonts w:ascii="Palatino Linotype" w:eastAsia="Palatino Linotype" w:hAnsi="Palatino Linotype" w:cs="Palatino Linotype"/>
          <w:b/>
          <w:color w:val="000000" w:themeColor="text1"/>
        </w:rPr>
        <w:t xml:space="preserve"> RECURRENTE </w:t>
      </w:r>
      <w:r w:rsidRPr="0060338D">
        <w:rPr>
          <w:rFonts w:ascii="Palatino Linotype" w:eastAsia="Palatino Linotype" w:hAnsi="Palatino Linotype" w:cs="Palatino Linotype"/>
          <w:color w:val="000000" w:themeColor="text1"/>
        </w:rPr>
        <w:t xml:space="preserve">dejó de realizar manifestaciones que a su derecho conviniera y asistiera. </w:t>
      </w: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color w:val="000000" w:themeColor="text1"/>
        </w:rPr>
        <w:lastRenderedPageBreak/>
        <w:t xml:space="preserve">Finalmente, mediante acuerdo del </w:t>
      </w:r>
      <w:r w:rsidRPr="0060338D">
        <w:rPr>
          <w:rFonts w:ascii="Palatino Linotype" w:eastAsia="Palatino Linotype" w:hAnsi="Palatino Linotype" w:cs="Palatino Linotype"/>
          <w:b/>
          <w:color w:val="000000" w:themeColor="text1"/>
        </w:rPr>
        <w:t>veintisiete de agosto</w:t>
      </w:r>
      <w:r w:rsidRPr="0060338D">
        <w:rPr>
          <w:rFonts w:ascii="Palatino Linotype" w:eastAsia="Palatino Linotype" w:hAnsi="Palatino Linotype" w:cs="Palatino Linotype"/>
          <w:color w:val="000000" w:themeColor="text1"/>
        </w:rPr>
        <w:t xml:space="preserve"> </w:t>
      </w:r>
      <w:r w:rsidRPr="0060338D">
        <w:rPr>
          <w:rFonts w:ascii="Palatino Linotype" w:eastAsia="Palatino Linotype" w:hAnsi="Palatino Linotype" w:cs="Palatino Linotype"/>
          <w:b/>
          <w:color w:val="000000" w:themeColor="text1"/>
        </w:rPr>
        <w:t>de dos mil veinticinco</w:t>
      </w:r>
      <w:r w:rsidRPr="0060338D">
        <w:rPr>
          <w:rFonts w:ascii="Palatino Linotype" w:eastAsia="Palatino Linotype" w:hAnsi="Palatino Linotype" w:cs="Palatino Linotype"/>
          <w:color w:val="000000" w:themeColor="text1"/>
        </w:rPr>
        <w:t>, se decretó el cierre de instrucción, por lo que no habiendo más q</w:t>
      </w:r>
      <w:r w:rsidR="00EA0D5D">
        <w:rPr>
          <w:rFonts w:ascii="Palatino Linotype" w:eastAsia="Palatino Linotype" w:hAnsi="Palatino Linotype" w:cs="Palatino Linotype"/>
          <w:color w:val="000000" w:themeColor="text1"/>
        </w:rPr>
        <w:t>ue hacer constar, y</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FB78A5" w:rsidRPr="0060338D" w:rsidRDefault="00DA2561" w:rsidP="0060338D">
      <w:pPr>
        <w:pStyle w:val="Ttulo1"/>
        <w:tabs>
          <w:tab w:val="left" w:pos="567"/>
        </w:tabs>
        <w:spacing w:before="0" w:line="360" w:lineRule="auto"/>
        <w:jc w:val="center"/>
        <w:rPr>
          <w:color w:val="000000" w:themeColor="text1"/>
        </w:rPr>
      </w:pPr>
      <w:bookmarkStart w:id="8" w:name="_heading=h.tyjcwt" w:colFirst="0" w:colLast="0"/>
      <w:bookmarkEnd w:id="8"/>
      <w:r w:rsidRPr="0060338D">
        <w:rPr>
          <w:color w:val="000000" w:themeColor="text1"/>
        </w:rPr>
        <w:t>C O N S I D E R A N D O</w:t>
      </w:r>
    </w:p>
    <w:p w:rsidR="00FB78A5" w:rsidRPr="0060338D" w:rsidRDefault="00FB78A5" w:rsidP="0060338D">
      <w:pPr>
        <w:spacing w:line="360" w:lineRule="auto"/>
        <w:rPr>
          <w:rFonts w:ascii="Palatino Linotype" w:eastAsia="Palatino Linotype" w:hAnsi="Palatino Linotype" w:cs="Palatino Linotype"/>
          <w:color w:val="000000" w:themeColor="text1"/>
        </w:rPr>
      </w:pPr>
    </w:p>
    <w:p w:rsidR="00FB78A5" w:rsidRPr="0060338D" w:rsidRDefault="00DA2561" w:rsidP="0060338D">
      <w:pPr>
        <w:pStyle w:val="Ttulo1"/>
        <w:tabs>
          <w:tab w:val="left" w:pos="567"/>
        </w:tabs>
        <w:spacing w:before="0" w:line="360" w:lineRule="auto"/>
        <w:rPr>
          <w:color w:val="000000" w:themeColor="text1"/>
        </w:rPr>
      </w:pPr>
      <w:bookmarkStart w:id="9" w:name="_heading=h.3dy6vkm" w:colFirst="0" w:colLast="0"/>
      <w:bookmarkEnd w:id="9"/>
      <w:r w:rsidRPr="0060338D">
        <w:rPr>
          <w:color w:val="000000" w:themeColor="text1"/>
        </w:rPr>
        <w:t>PRIMERO. De la competencia</w:t>
      </w:r>
    </w:p>
    <w:p w:rsidR="00FB78A5" w:rsidRPr="0060338D" w:rsidRDefault="00DA2561" w:rsidP="0060338D">
      <w:pPr>
        <w:numPr>
          <w:ilvl w:val="0"/>
          <w:numId w:val="2"/>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 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rsidR="00FB78A5" w:rsidRPr="0060338D" w:rsidRDefault="00FB78A5" w:rsidP="0060338D">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pStyle w:val="Ttulo2"/>
        <w:spacing w:before="0" w:line="360" w:lineRule="auto"/>
        <w:rPr>
          <w:color w:val="000000" w:themeColor="text1"/>
        </w:rPr>
      </w:pPr>
      <w:bookmarkStart w:id="10" w:name="_heading=h.1t3h5sf" w:colFirst="0" w:colLast="0"/>
      <w:bookmarkEnd w:id="10"/>
      <w:r w:rsidRPr="0060338D">
        <w:rPr>
          <w:color w:val="000000" w:themeColor="text1"/>
        </w:rPr>
        <w:t>SEGUNDO. De la oportunidad y procedencia.</w:t>
      </w: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 El medio de impugnación fue presentado a través del </w:t>
      </w:r>
      <w:r w:rsidRPr="0060338D">
        <w:rPr>
          <w:rFonts w:ascii="Palatino Linotype" w:eastAsia="Palatino Linotype" w:hAnsi="Palatino Linotype" w:cs="Palatino Linotype"/>
          <w:b/>
          <w:color w:val="000000" w:themeColor="text1"/>
        </w:rPr>
        <w:t>SAIMEX,</w:t>
      </w:r>
      <w:r w:rsidRPr="0060338D">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60338D">
        <w:rPr>
          <w:rFonts w:ascii="Palatino Linotype" w:eastAsia="Palatino Linotype" w:hAnsi="Palatino Linotype" w:cs="Palatino Linotype"/>
          <w:b/>
          <w:color w:val="000000" w:themeColor="text1"/>
        </w:rPr>
        <w:t>SUJETO OBLIGADO</w:t>
      </w:r>
      <w:r w:rsidRPr="0060338D">
        <w:rPr>
          <w:rFonts w:ascii="Palatino Linotype" w:eastAsia="Palatino Linotype" w:hAnsi="Palatino Linotype" w:cs="Palatino Linotype"/>
          <w:color w:val="000000" w:themeColor="text1"/>
        </w:rPr>
        <w:t xml:space="preserve"> entregó su respuesta el </w:t>
      </w:r>
      <w:r w:rsidRPr="0060338D">
        <w:rPr>
          <w:rFonts w:ascii="Palatino Linotype" w:eastAsia="Palatino Linotype" w:hAnsi="Palatino Linotype" w:cs="Palatino Linotype"/>
          <w:b/>
          <w:color w:val="000000" w:themeColor="text1"/>
        </w:rPr>
        <w:t>veintiuno de agosto de dos mil veinticinco</w:t>
      </w:r>
      <w:r w:rsidRPr="0060338D">
        <w:rPr>
          <w:rFonts w:ascii="Palatino Linotype" w:eastAsia="Palatino Linotype" w:hAnsi="Palatino Linotype" w:cs="Palatino Linotype"/>
          <w:color w:val="000000" w:themeColor="text1"/>
        </w:rPr>
        <w:t xml:space="preserve">, de tal forma que el plazo para interponer el recurso de revisión transcurrió del </w:t>
      </w:r>
      <w:r w:rsidRPr="0060338D">
        <w:rPr>
          <w:rFonts w:ascii="Palatino Linotype" w:eastAsia="Palatino Linotype" w:hAnsi="Palatino Linotype" w:cs="Palatino Linotype"/>
          <w:b/>
          <w:color w:val="000000" w:themeColor="text1"/>
        </w:rPr>
        <w:t>veintidós de agosto al once de septiembre de dos mil veinticinco</w:t>
      </w:r>
      <w:r w:rsidRPr="0060338D">
        <w:rPr>
          <w:rFonts w:ascii="Palatino Linotype" w:eastAsia="Palatino Linotype" w:hAnsi="Palatino Linotype" w:cs="Palatino Linotype"/>
          <w:color w:val="000000" w:themeColor="text1"/>
        </w:rPr>
        <w:t xml:space="preserve">; en consecuencia, el ahora </w:t>
      </w:r>
      <w:r w:rsidRPr="0060338D">
        <w:rPr>
          <w:rFonts w:ascii="Palatino Linotype" w:eastAsia="Palatino Linotype" w:hAnsi="Palatino Linotype" w:cs="Palatino Linotype"/>
          <w:b/>
          <w:color w:val="000000" w:themeColor="text1"/>
        </w:rPr>
        <w:t>RECURRENTE</w:t>
      </w:r>
      <w:r w:rsidRPr="0060338D">
        <w:rPr>
          <w:rFonts w:ascii="Palatino Linotype" w:eastAsia="Palatino Linotype" w:hAnsi="Palatino Linotype" w:cs="Palatino Linotype"/>
          <w:color w:val="000000" w:themeColor="text1"/>
        </w:rPr>
        <w:t xml:space="preserve"> presentó su </w:t>
      </w:r>
      <w:r w:rsidRPr="0060338D">
        <w:rPr>
          <w:rFonts w:ascii="Palatino Linotype" w:eastAsia="Palatino Linotype" w:hAnsi="Palatino Linotype" w:cs="Palatino Linotype"/>
          <w:color w:val="000000" w:themeColor="text1"/>
        </w:rPr>
        <w:lastRenderedPageBreak/>
        <w:t xml:space="preserve">inconformidad el </w:t>
      </w:r>
      <w:r w:rsidRPr="0060338D">
        <w:rPr>
          <w:rFonts w:ascii="Palatino Linotype" w:eastAsia="Palatino Linotype" w:hAnsi="Palatino Linotype" w:cs="Palatino Linotype"/>
          <w:b/>
          <w:color w:val="000000" w:themeColor="text1"/>
        </w:rPr>
        <w:t>veintidós de agosto de dos mil veinticinco</w:t>
      </w:r>
      <w:r w:rsidRPr="0060338D">
        <w:rPr>
          <w:rFonts w:ascii="Palatino Linotype" w:eastAsia="Palatino Linotype" w:hAnsi="Palatino Linotype" w:cs="Palatino Linotype"/>
          <w:color w:val="000000" w:themeColor="text1"/>
        </w:rPr>
        <w:t>; por lo que se estima que la inconformidad se presentó dentro del lapso legalmente establecido para tal efecto.</w:t>
      </w:r>
    </w:p>
    <w:p w:rsidR="00FB78A5" w:rsidRPr="0060338D" w:rsidRDefault="00FB78A5" w:rsidP="0060338D">
      <w:pPr>
        <w:pBdr>
          <w:top w:val="nil"/>
          <w:left w:val="nil"/>
          <w:bottom w:val="nil"/>
          <w:right w:val="nil"/>
          <w:between w:val="nil"/>
        </w:pBdr>
        <w:rPr>
          <w:rFonts w:ascii="Palatino Linotype" w:eastAsia="Palatino Linotype" w:hAnsi="Palatino Linotype" w:cs="Palatino Linotype"/>
          <w:color w:val="000000" w:themeColor="text1"/>
        </w:rPr>
      </w:pPr>
    </w:p>
    <w:p w:rsidR="00FB78A5" w:rsidRPr="0060338D" w:rsidRDefault="00DA2561" w:rsidP="0060338D">
      <w:pPr>
        <w:numPr>
          <w:ilvl w:val="0"/>
          <w:numId w:val="2"/>
        </w:numPr>
        <w:spacing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color w:val="000000" w:themeColor="text1"/>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B78A5" w:rsidRPr="0060338D" w:rsidRDefault="00FB78A5" w:rsidP="0060338D">
      <w:pPr>
        <w:spacing w:line="360" w:lineRule="auto"/>
        <w:rPr>
          <w:rFonts w:ascii="Palatino Linotype" w:eastAsia="Palatino Linotype" w:hAnsi="Palatino Linotype" w:cs="Palatino Linotype"/>
          <w:color w:val="000000" w:themeColor="text1"/>
        </w:rPr>
      </w:pPr>
    </w:p>
    <w:p w:rsidR="00FB78A5" w:rsidRPr="0060338D" w:rsidRDefault="00DA2561" w:rsidP="0060338D">
      <w:pPr>
        <w:pStyle w:val="Ttulo1"/>
        <w:spacing w:before="0" w:line="360" w:lineRule="auto"/>
        <w:rPr>
          <w:color w:val="000000" w:themeColor="text1"/>
        </w:rPr>
      </w:pPr>
      <w:r w:rsidRPr="0060338D">
        <w:rPr>
          <w:color w:val="000000" w:themeColor="text1"/>
        </w:rPr>
        <w:t xml:space="preserve">TERCERO. Del planteamiento de la </w:t>
      </w:r>
      <w:r w:rsidRPr="0060338D">
        <w:rPr>
          <w:i/>
          <w:color w:val="000000" w:themeColor="text1"/>
        </w:rPr>
        <w:t>Litis</w:t>
      </w:r>
      <w:r w:rsidRPr="0060338D">
        <w:rPr>
          <w:color w:val="000000" w:themeColor="text1"/>
        </w:rPr>
        <w:t>.</w:t>
      </w: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color w:val="000000" w:themeColor="text1"/>
        </w:rPr>
        <w:t xml:space="preserve">La parte </w:t>
      </w:r>
      <w:r w:rsidRPr="0060338D">
        <w:rPr>
          <w:rFonts w:ascii="Palatino Linotype" w:eastAsia="Palatino Linotype" w:hAnsi="Palatino Linotype" w:cs="Palatino Linotype"/>
          <w:b/>
          <w:color w:val="000000" w:themeColor="text1"/>
        </w:rPr>
        <w:t>RECURRENTE</w:t>
      </w:r>
      <w:r w:rsidRPr="0060338D">
        <w:rPr>
          <w:rFonts w:ascii="Palatino Linotype" w:eastAsia="Palatino Linotype" w:hAnsi="Palatino Linotype" w:cs="Palatino Linotype"/>
          <w:color w:val="000000" w:themeColor="text1"/>
        </w:rPr>
        <w:t xml:space="preserve"> solicitó la nómina de los servidores públicos adscritos Ayuntamiento de Metepec (sindicalizados, de confianza, lista de raya o eventuales y mandos medios y superiores) correspondiente a la primera y segunda quincena de junio de 2025.</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El </w:t>
      </w:r>
      <w:r w:rsidRPr="0060338D">
        <w:rPr>
          <w:rFonts w:ascii="Palatino Linotype" w:eastAsia="Palatino Linotype" w:hAnsi="Palatino Linotype" w:cs="Palatino Linotype"/>
          <w:b/>
          <w:color w:val="000000" w:themeColor="text1"/>
        </w:rPr>
        <w:t xml:space="preserve">SUJETO OBLIGADO </w:t>
      </w:r>
      <w:r w:rsidRPr="0060338D">
        <w:rPr>
          <w:rFonts w:ascii="Palatino Linotype" w:eastAsia="Palatino Linotype" w:hAnsi="Palatino Linotype" w:cs="Palatino Linotype"/>
          <w:color w:val="000000" w:themeColor="text1"/>
        </w:rPr>
        <w:t xml:space="preserve">emitió respuesta en términos del </w:t>
      </w:r>
      <w:r w:rsidRPr="0060338D">
        <w:rPr>
          <w:rFonts w:ascii="Palatino Linotype" w:eastAsia="Palatino Linotype" w:hAnsi="Palatino Linotype" w:cs="Palatino Linotype"/>
          <w:b/>
          <w:color w:val="000000" w:themeColor="text1"/>
        </w:rPr>
        <w:t>párrafo 3</w:t>
      </w:r>
      <w:r w:rsidRPr="0060338D">
        <w:rPr>
          <w:rFonts w:ascii="Palatino Linotype" w:eastAsia="Palatino Linotype" w:hAnsi="Palatino Linotype" w:cs="Palatino Linotype"/>
          <w:color w:val="000000" w:themeColor="text1"/>
        </w:rPr>
        <w:t xml:space="preserve"> de la presente resolución.</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color w:val="000000" w:themeColor="text1"/>
        </w:rPr>
        <w:t xml:space="preserve">Posteriormente, el </w:t>
      </w:r>
      <w:r w:rsidRPr="0060338D">
        <w:rPr>
          <w:rFonts w:ascii="Palatino Linotype" w:eastAsia="Palatino Linotype" w:hAnsi="Palatino Linotype" w:cs="Palatino Linotype"/>
          <w:b/>
          <w:color w:val="000000" w:themeColor="text1"/>
        </w:rPr>
        <w:t xml:space="preserve">RECURRENTE </w:t>
      </w:r>
      <w:r w:rsidRPr="0060338D">
        <w:rPr>
          <w:rFonts w:ascii="Palatino Linotype" w:eastAsia="Palatino Linotype" w:hAnsi="Palatino Linotype" w:cs="Palatino Linotype"/>
          <w:color w:val="000000" w:themeColor="text1"/>
        </w:rPr>
        <w:t xml:space="preserve">interpuso recurso de revisión en el que se inconformó por la </w:t>
      </w:r>
      <w:r w:rsidRPr="0060338D">
        <w:rPr>
          <w:rFonts w:ascii="Palatino Linotype" w:eastAsia="Palatino Linotype" w:hAnsi="Palatino Linotype" w:cs="Palatino Linotype"/>
          <w:b/>
          <w:color w:val="000000" w:themeColor="text1"/>
        </w:rPr>
        <w:t>negativa de la información solicitada.</w:t>
      </w:r>
    </w:p>
    <w:p w:rsidR="00FB78A5" w:rsidRPr="0060338D" w:rsidRDefault="00FB78A5" w:rsidP="0060338D">
      <w:pPr>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color w:val="000000" w:themeColor="text1"/>
        </w:rPr>
        <w:t xml:space="preserve">En dichas condiciones, la </w:t>
      </w:r>
      <w:r w:rsidRPr="0060338D">
        <w:rPr>
          <w:rFonts w:ascii="Palatino Linotype" w:eastAsia="Palatino Linotype" w:hAnsi="Palatino Linotype" w:cs="Palatino Linotype"/>
          <w:i/>
          <w:color w:val="000000" w:themeColor="text1"/>
        </w:rPr>
        <w:t>Litis</w:t>
      </w:r>
      <w:r w:rsidRPr="0060338D">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60338D">
        <w:rPr>
          <w:rFonts w:ascii="Palatino Linotype" w:eastAsia="Palatino Linotype" w:hAnsi="Palatino Linotype" w:cs="Palatino Linotype"/>
          <w:b/>
          <w:color w:val="000000" w:themeColor="text1"/>
        </w:rPr>
        <w:t xml:space="preserve">fracción I </w:t>
      </w:r>
      <w:r w:rsidRPr="0060338D">
        <w:rPr>
          <w:rFonts w:ascii="Palatino Linotype" w:eastAsia="Palatino Linotype" w:hAnsi="Palatino Linotype" w:cs="Palatino Linotype"/>
          <w:color w:val="000000" w:themeColor="text1"/>
        </w:rPr>
        <w:t>de la Ley</w:t>
      </w:r>
      <w:r w:rsidRPr="0060338D">
        <w:rPr>
          <w:rFonts w:ascii="Palatino Linotype" w:eastAsia="Palatino Linotype" w:hAnsi="Palatino Linotype" w:cs="Palatino Linotype"/>
          <w:b/>
          <w:color w:val="000000" w:themeColor="text1"/>
        </w:rPr>
        <w:t xml:space="preserve"> de Transparencia y Acceso a la Información Pública del Estado de </w:t>
      </w:r>
      <w:r w:rsidRPr="0060338D">
        <w:rPr>
          <w:rFonts w:ascii="Palatino Linotype" w:eastAsia="Palatino Linotype" w:hAnsi="Palatino Linotype" w:cs="Palatino Linotype"/>
          <w:color w:val="000000" w:themeColor="text1"/>
        </w:rPr>
        <w:t>México</w:t>
      </w:r>
      <w:r w:rsidRPr="0060338D">
        <w:rPr>
          <w:rFonts w:ascii="Palatino Linotype" w:eastAsia="Palatino Linotype" w:hAnsi="Palatino Linotype" w:cs="Palatino Linotype"/>
          <w:b/>
          <w:color w:val="000000" w:themeColor="text1"/>
        </w:rPr>
        <w:t xml:space="preserve"> y Municipios</w:t>
      </w:r>
      <w:r w:rsidRPr="0060338D">
        <w:rPr>
          <w:rFonts w:ascii="Palatino Linotype" w:eastAsia="Palatino Linotype" w:hAnsi="Palatino Linotype" w:cs="Palatino Linotype"/>
          <w:color w:val="000000" w:themeColor="text1"/>
        </w:rPr>
        <w:t xml:space="preserve">; fracción que determina la hipótesis jurídica relativa a </w:t>
      </w:r>
      <w:r w:rsidRPr="0060338D">
        <w:rPr>
          <w:rFonts w:ascii="Palatino Linotype" w:eastAsia="Palatino Linotype" w:hAnsi="Palatino Linotype" w:cs="Palatino Linotype"/>
          <w:b/>
          <w:color w:val="000000" w:themeColor="text1"/>
        </w:rPr>
        <w:t>la negativa de la información solicitada.</w:t>
      </w:r>
    </w:p>
    <w:p w:rsidR="00FB78A5" w:rsidRPr="0060338D" w:rsidRDefault="00DA2561" w:rsidP="0060338D">
      <w:pPr>
        <w:pStyle w:val="Ttulo1"/>
        <w:spacing w:before="0" w:line="360" w:lineRule="auto"/>
        <w:rPr>
          <w:color w:val="000000" w:themeColor="text1"/>
        </w:rPr>
      </w:pPr>
      <w:r w:rsidRPr="0060338D">
        <w:rPr>
          <w:color w:val="000000" w:themeColor="text1"/>
        </w:rPr>
        <w:lastRenderedPageBreak/>
        <w:t>CUARTO. Del estudio y resolución del asunto.</w:t>
      </w: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Acotada la </w:t>
      </w:r>
      <w:r w:rsidRPr="0060338D">
        <w:rPr>
          <w:rFonts w:ascii="Palatino Linotype" w:eastAsia="Palatino Linotype" w:hAnsi="Palatino Linotype" w:cs="Palatino Linotype"/>
          <w:i/>
          <w:color w:val="000000" w:themeColor="text1"/>
        </w:rPr>
        <w:t>Litis</w:t>
      </w:r>
      <w:r w:rsidRPr="0060338D">
        <w:rPr>
          <w:rFonts w:ascii="Palatino Linotype" w:eastAsia="Palatino Linotype" w:hAnsi="Palatino Linotype" w:cs="Palatino Linotype"/>
          <w:color w:val="000000" w:themeColor="text1"/>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FB78A5" w:rsidRPr="0060338D" w:rsidRDefault="00FB78A5" w:rsidP="0060338D">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FB78A5" w:rsidRPr="0060338D" w:rsidRDefault="00FB78A5" w:rsidP="0060338D">
      <w:pPr>
        <w:spacing w:line="360" w:lineRule="auto"/>
        <w:jc w:val="both"/>
        <w:rPr>
          <w:rFonts w:ascii="Palatino Linotype" w:eastAsia="Palatino Linotype" w:hAnsi="Palatino Linotype" w:cs="Palatino Linotype"/>
          <w:color w:val="000000" w:themeColor="text1"/>
        </w:rPr>
      </w:pPr>
    </w:p>
    <w:p w:rsidR="00FB78A5"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w:t>
      </w:r>
      <w:r w:rsidRPr="0060338D">
        <w:rPr>
          <w:rFonts w:ascii="Palatino Linotype" w:eastAsia="Palatino Linotype" w:hAnsi="Palatino Linotype" w:cs="Palatino Linotype"/>
          <w:color w:val="000000" w:themeColor="text1"/>
        </w:rPr>
        <w:lastRenderedPageBreak/>
        <w:t>que derive del ejercicio de sus facultades, competencias o funciones desde su origen la eventual publicidad y reutilización de la información que generen.</w:t>
      </w:r>
    </w:p>
    <w:p w:rsidR="00EA0D5D" w:rsidRPr="0060338D" w:rsidRDefault="00EA0D5D" w:rsidP="00EA0D5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Acotada la Litis del presente asunto, se reiterar la información solicitada por la parte </w:t>
      </w:r>
      <w:r w:rsidRPr="0060338D">
        <w:rPr>
          <w:rFonts w:ascii="Palatino Linotype" w:eastAsia="Palatino Linotype" w:hAnsi="Palatino Linotype" w:cs="Palatino Linotype"/>
          <w:b/>
          <w:color w:val="000000" w:themeColor="text1"/>
        </w:rPr>
        <w:t xml:space="preserve">RECURRENTE </w:t>
      </w:r>
      <w:r w:rsidRPr="0060338D">
        <w:rPr>
          <w:rFonts w:ascii="Palatino Linotype" w:eastAsia="Palatino Linotype" w:hAnsi="Palatino Linotype" w:cs="Palatino Linotype"/>
          <w:color w:val="000000" w:themeColor="text1"/>
        </w:rPr>
        <w:t xml:space="preserve">y la respuesta emitida por el </w:t>
      </w:r>
      <w:r w:rsidRPr="0060338D">
        <w:rPr>
          <w:rFonts w:ascii="Palatino Linotype" w:eastAsia="Palatino Linotype" w:hAnsi="Palatino Linotype" w:cs="Palatino Linotype"/>
          <w:b/>
          <w:color w:val="000000" w:themeColor="text1"/>
        </w:rPr>
        <w:t>SUJETO OBLIGADO</w:t>
      </w:r>
      <w:r w:rsidRPr="0060338D">
        <w:rPr>
          <w:rFonts w:ascii="Palatino Linotype" w:eastAsia="Palatino Linotype" w:hAnsi="Palatino Linotype" w:cs="Palatino Linotype"/>
          <w:color w:val="000000" w:themeColor="text1"/>
        </w:rPr>
        <w:t>, mediante el siguiente cuadro descriptivo</w:t>
      </w:r>
    </w:p>
    <w:p w:rsidR="00FB78A5" w:rsidRPr="0060338D" w:rsidRDefault="00FB78A5" w:rsidP="0060338D">
      <w:pPr>
        <w:pBdr>
          <w:top w:val="nil"/>
          <w:left w:val="nil"/>
          <w:bottom w:val="nil"/>
          <w:right w:val="nil"/>
          <w:between w:val="nil"/>
        </w:pBdr>
        <w:rPr>
          <w:rFonts w:ascii="Palatino Linotype" w:eastAsia="Palatino Linotype" w:hAnsi="Palatino Linotype" w:cs="Palatino Linotype"/>
          <w:color w:val="000000" w:themeColor="text1"/>
        </w:rPr>
      </w:pPr>
    </w:p>
    <w:tbl>
      <w:tblPr>
        <w:tblStyle w:val="ac"/>
        <w:tblW w:w="94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260"/>
        <w:gridCol w:w="2927"/>
      </w:tblGrid>
      <w:tr w:rsidR="0060338D" w:rsidRPr="0060338D" w:rsidTr="00EA0D5D">
        <w:tc>
          <w:tcPr>
            <w:tcW w:w="3256" w:type="dxa"/>
            <w:shd w:val="clear" w:color="auto" w:fill="D9D9D9"/>
          </w:tcPr>
          <w:p w:rsidR="00FB78A5" w:rsidRPr="0060338D" w:rsidRDefault="00DA2561" w:rsidP="0060338D">
            <w:pPr>
              <w:spacing w:line="360" w:lineRule="auto"/>
              <w:jc w:val="center"/>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b/>
                <w:color w:val="000000" w:themeColor="text1"/>
              </w:rPr>
              <w:t>Información solicitada</w:t>
            </w:r>
          </w:p>
        </w:tc>
        <w:tc>
          <w:tcPr>
            <w:tcW w:w="3260" w:type="dxa"/>
            <w:shd w:val="clear" w:color="auto" w:fill="D9D9D9"/>
          </w:tcPr>
          <w:p w:rsidR="00FB78A5" w:rsidRPr="0060338D" w:rsidRDefault="00DA2561" w:rsidP="0060338D">
            <w:pPr>
              <w:spacing w:line="360" w:lineRule="auto"/>
              <w:jc w:val="center"/>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b/>
                <w:color w:val="000000" w:themeColor="text1"/>
              </w:rPr>
              <w:t>Respuesta</w:t>
            </w:r>
          </w:p>
        </w:tc>
        <w:tc>
          <w:tcPr>
            <w:tcW w:w="2927" w:type="dxa"/>
            <w:shd w:val="clear" w:color="auto" w:fill="D9D9D9"/>
          </w:tcPr>
          <w:p w:rsidR="00FB78A5" w:rsidRPr="0060338D" w:rsidRDefault="00DA2561" w:rsidP="0060338D">
            <w:pPr>
              <w:spacing w:line="360" w:lineRule="auto"/>
              <w:jc w:val="center"/>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b/>
                <w:color w:val="000000" w:themeColor="text1"/>
              </w:rPr>
              <w:t>Comentario</w:t>
            </w:r>
          </w:p>
        </w:tc>
      </w:tr>
      <w:tr w:rsidR="0060338D" w:rsidRPr="0060338D" w:rsidTr="00EA0D5D">
        <w:tc>
          <w:tcPr>
            <w:tcW w:w="3256" w:type="dxa"/>
          </w:tcPr>
          <w:p w:rsidR="00FB78A5" w:rsidRPr="0060338D" w:rsidRDefault="00DA2561" w:rsidP="0060338D">
            <w:pPr>
              <w:pBdr>
                <w:top w:val="nil"/>
                <w:left w:val="nil"/>
                <w:bottom w:val="nil"/>
                <w:right w:val="nil"/>
                <w:between w:val="nil"/>
              </w:pBdr>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color w:val="000000" w:themeColor="text1"/>
              </w:rPr>
              <w:t>Nómina de los servidores públicos (sindicalizados, de confianza, lista de raya o eventuales y mandos medios y superiores) adscritos al Ayuntamiento de Metepec, correspondiente a la primera y segunda quincena de junio de 2025.</w:t>
            </w:r>
          </w:p>
        </w:tc>
        <w:tc>
          <w:tcPr>
            <w:tcW w:w="3260" w:type="dxa"/>
          </w:tcPr>
          <w:p w:rsidR="00FB78A5" w:rsidRPr="0060338D" w:rsidRDefault="00DA2561" w:rsidP="0060338D">
            <w:pPr>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La Subdirección de Recursos Humanos señaló que la información solicitada se trata de un formato contenido en el módulo 4 que se remite al OSFEM. Y al no estar dentro de las facultades y funciones otorgadas a la Dirección a su cargo, la de elaborar los informes trimestrales que remiten al OSFEM, la información requerida no obra en sus archivos.</w:t>
            </w:r>
          </w:p>
        </w:tc>
        <w:tc>
          <w:tcPr>
            <w:tcW w:w="2927" w:type="dxa"/>
          </w:tcPr>
          <w:p w:rsidR="00FB78A5" w:rsidRPr="0060338D" w:rsidRDefault="00DA2561" w:rsidP="0060338D">
            <w:pPr>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La respuesta emitida </w:t>
            </w:r>
            <w:r w:rsidRPr="0060338D">
              <w:rPr>
                <w:rFonts w:ascii="Palatino Linotype" w:eastAsia="Palatino Linotype" w:hAnsi="Palatino Linotype" w:cs="Palatino Linotype"/>
                <w:b/>
                <w:color w:val="000000" w:themeColor="text1"/>
              </w:rPr>
              <w:t xml:space="preserve">no colma </w:t>
            </w:r>
            <w:r w:rsidRPr="0060338D">
              <w:rPr>
                <w:rFonts w:ascii="Palatino Linotype" w:eastAsia="Palatino Linotype" w:hAnsi="Palatino Linotype" w:cs="Palatino Linotype"/>
                <w:color w:val="000000" w:themeColor="text1"/>
              </w:rPr>
              <w:t>el requerimiento de información, ya que no se proporcionó la información requerida.</w:t>
            </w:r>
          </w:p>
        </w:tc>
      </w:tr>
    </w:tbl>
    <w:p w:rsidR="00FB78A5" w:rsidRPr="0060338D" w:rsidRDefault="00FB78A5" w:rsidP="0060338D">
      <w:pPr>
        <w:pBdr>
          <w:top w:val="nil"/>
          <w:left w:val="nil"/>
          <w:bottom w:val="nil"/>
          <w:right w:val="nil"/>
          <w:between w:val="nil"/>
        </w:pBdr>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color w:val="000000" w:themeColor="text1"/>
        </w:rPr>
        <w:lastRenderedPageBreak/>
        <w:t xml:space="preserve">En consecuencia, el </w:t>
      </w:r>
      <w:r w:rsidRPr="0060338D">
        <w:rPr>
          <w:rFonts w:ascii="Palatino Linotype" w:eastAsia="Palatino Linotype" w:hAnsi="Palatino Linotype" w:cs="Palatino Linotype"/>
          <w:b/>
          <w:color w:val="000000" w:themeColor="text1"/>
        </w:rPr>
        <w:t xml:space="preserve">RECURRENTE </w:t>
      </w:r>
      <w:r w:rsidRPr="0060338D">
        <w:rPr>
          <w:rFonts w:ascii="Palatino Linotype" w:eastAsia="Palatino Linotype" w:hAnsi="Palatino Linotype" w:cs="Palatino Linotype"/>
          <w:color w:val="000000" w:themeColor="text1"/>
        </w:rPr>
        <w:t xml:space="preserve">interpuso recurso de revisión en el que se inconformó por </w:t>
      </w:r>
      <w:r w:rsidRPr="0060338D">
        <w:rPr>
          <w:rFonts w:ascii="Palatino Linotype" w:eastAsia="Palatino Linotype" w:hAnsi="Palatino Linotype" w:cs="Palatino Linotype"/>
          <w:b/>
          <w:color w:val="000000" w:themeColor="text1"/>
        </w:rPr>
        <w:t>la negativa de la información solicitada.</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color w:val="000000" w:themeColor="text1"/>
        </w:rPr>
        <w:t xml:space="preserve">En atención a lo expuesto, es necesario señalar que se obvia el análisis de la competencia por parte del </w:t>
      </w:r>
      <w:r w:rsidRPr="0060338D">
        <w:rPr>
          <w:rFonts w:ascii="Palatino Linotype" w:eastAsia="Palatino Linotype" w:hAnsi="Palatino Linotype" w:cs="Palatino Linotype"/>
          <w:b/>
          <w:color w:val="000000" w:themeColor="text1"/>
        </w:rPr>
        <w:t>SUJETO OBLIGADO</w:t>
      </w:r>
      <w:r w:rsidRPr="0060338D">
        <w:rPr>
          <w:rFonts w:ascii="Palatino Linotype" w:eastAsia="Palatino Linotype" w:hAnsi="Palatino Linotype" w:cs="Palatino Linotype"/>
          <w:color w:val="000000" w:themeColor="text1"/>
        </w:rPr>
        <w:t>, para generar, administrar o poseer la información solicitada, dado que éste ha asumido la misma, tan es así que manifestó que “</w:t>
      </w:r>
      <w:r w:rsidRPr="0060338D">
        <w:rPr>
          <w:rFonts w:ascii="Palatino Linotype" w:eastAsia="Palatino Linotype" w:hAnsi="Palatino Linotype" w:cs="Palatino Linotype"/>
          <w:i/>
          <w:color w:val="000000" w:themeColor="text1"/>
        </w:rPr>
        <w:t>se trata de un formato contenido en el módulo 4 que se remite al OSFEM”.</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Ahora bien, el hecho de que el</w:t>
      </w:r>
      <w:r w:rsidRPr="0060338D">
        <w:rPr>
          <w:rFonts w:ascii="Palatino Linotype" w:eastAsia="Palatino Linotype" w:hAnsi="Palatino Linotype" w:cs="Palatino Linotype"/>
          <w:b/>
          <w:color w:val="000000" w:themeColor="text1"/>
        </w:rPr>
        <w:t xml:space="preserve"> SUJETO OBLIGADO</w:t>
      </w:r>
      <w:r w:rsidRPr="0060338D">
        <w:rPr>
          <w:rFonts w:ascii="Palatino Linotype" w:eastAsia="Palatino Linotype" w:hAnsi="Palatino Linotype" w:cs="Palatino Linotype"/>
          <w:color w:val="000000" w:themeColor="text1"/>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FB78A5" w:rsidRPr="0060338D" w:rsidRDefault="00DA2561" w:rsidP="0060338D">
      <w:pPr>
        <w:shd w:val="clear" w:color="auto" w:fill="FFFFFF"/>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w:t>
      </w:r>
      <w:r w:rsidRPr="0060338D">
        <w:rPr>
          <w:rFonts w:ascii="Palatino Linotype" w:eastAsia="Palatino Linotype" w:hAnsi="Palatino Linotype" w:cs="Palatino Linotype"/>
          <w:b/>
          <w:i/>
          <w:color w:val="000000" w:themeColor="text1"/>
        </w:rPr>
        <w:t>Artículo 12.</w:t>
      </w:r>
      <w:r w:rsidRPr="0060338D">
        <w:rPr>
          <w:rFonts w:ascii="Palatino Linotype" w:eastAsia="Palatino Linotype" w:hAnsi="Palatino Linotype" w:cs="Palatino Linotype"/>
          <w:i/>
          <w:color w:val="000000" w:themeColor="text1"/>
        </w:rPr>
        <w:t> Quienes generen, recopilen, administren, manejen, procesen, archiven o conserven información pública serán responsables de la misma en los términos de las disposiciones jurídicas aplicables.</w:t>
      </w:r>
    </w:p>
    <w:p w:rsidR="00FB78A5" w:rsidRPr="0060338D" w:rsidRDefault="00FB78A5" w:rsidP="0060338D">
      <w:pPr>
        <w:shd w:val="clear" w:color="auto" w:fill="FFFFFF"/>
        <w:jc w:val="both"/>
        <w:rPr>
          <w:rFonts w:ascii="Palatino Linotype" w:eastAsia="Palatino Linotype" w:hAnsi="Palatino Linotype" w:cs="Palatino Linotype"/>
          <w:color w:val="000000" w:themeColor="text1"/>
        </w:rPr>
      </w:pPr>
    </w:p>
    <w:p w:rsidR="00FB78A5" w:rsidRPr="0060338D" w:rsidRDefault="00DA2561" w:rsidP="0060338D">
      <w:pPr>
        <w:shd w:val="clear" w:color="auto" w:fill="FFFFFF"/>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Precisado lo anterior, resulta conveniente mencionar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w:t>
      </w:r>
      <w:r w:rsidRPr="0060338D">
        <w:rPr>
          <w:rFonts w:ascii="Palatino Linotype" w:eastAsia="Palatino Linotype" w:hAnsi="Palatino Linotype" w:cs="Palatino Linotype"/>
          <w:color w:val="000000" w:themeColor="text1"/>
        </w:rPr>
        <w:lastRenderedPageBreak/>
        <w:t>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FB78A5" w:rsidRPr="0060338D" w:rsidRDefault="00DA2561" w:rsidP="0060338D">
      <w:pPr>
        <w:pBdr>
          <w:top w:val="nil"/>
          <w:left w:val="nil"/>
          <w:bottom w:val="nil"/>
          <w:right w:val="nil"/>
          <w:between w:val="nil"/>
        </w:pBdr>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b/>
          <w:i/>
          <w:color w:val="000000" w:themeColor="text1"/>
        </w:rPr>
        <w:t xml:space="preserve">“NÓMINA </w:t>
      </w:r>
      <w:r w:rsidRPr="0060338D">
        <w:rPr>
          <w:rFonts w:ascii="Palatino Linotype" w:eastAsia="Palatino Linotype" w:hAnsi="Palatino Linotype" w:cs="Palatino Linotype"/>
          <w:i/>
          <w:color w:val="000000" w:themeColor="text1"/>
        </w:rPr>
        <w:t>Listado general de los trabajadores de una institución, en</w:t>
      </w:r>
      <w:r w:rsidRPr="0060338D">
        <w:rPr>
          <w:rFonts w:ascii="Palatino Linotype" w:eastAsia="Palatino Linotype" w:hAnsi="Palatino Linotype" w:cs="Palatino Linotype"/>
          <w:b/>
          <w:i/>
          <w:color w:val="000000" w:themeColor="text1"/>
        </w:rPr>
        <w:t xml:space="preserve"> </w:t>
      </w:r>
      <w:r w:rsidRPr="0060338D">
        <w:rPr>
          <w:rFonts w:ascii="Palatino Linotype" w:eastAsia="Palatino Linotype" w:hAnsi="Palatino Linotype" w:cs="Palatino Linotype"/>
          <w:i/>
          <w:color w:val="000000" w:themeColor="text1"/>
        </w:rPr>
        <w:t>el cual se asientan las percepciones brutas, deducciones y</w:t>
      </w:r>
      <w:r w:rsidRPr="0060338D">
        <w:rPr>
          <w:rFonts w:ascii="Palatino Linotype" w:eastAsia="Palatino Linotype" w:hAnsi="Palatino Linotype" w:cs="Palatino Linotype"/>
          <w:b/>
          <w:i/>
          <w:color w:val="000000" w:themeColor="text1"/>
        </w:rPr>
        <w:t xml:space="preserve"> </w:t>
      </w:r>
      <w:r w:rsidRPr="0060338D">
        <w:rPr>
          <w:rFonts w:ascii="Palatino Linotype" w:eastAsia="Palatino Linotype" w:hAnsi="Palatino Linotype" w:cs="Palatino Linotype"/>
          <w:i/>
          <w:color w:val="000000" w:themeColor="text1"/>
        </w:rPr>
        <w:t>alcance neto de las mismas; la nómina es utilizada para</w:t>
      </w:r>
      <w:r w:rsidRPr="0060338D">
        <w:rPr>
          <w:rFonts w:ascii="Palatino Linotype" w:eastAsia="Palatino Linotype" w:hAnsi="Palatino Linotype" w:cs="Palatino Linotype"/>
          <w:b/>
          <w:i/>
          <w:color w:val="000000" w:themeColor="text1"/>
        </w:rPr>
        <w:t xml:space="preserve"> </w:t>
      </w:r>
      <w:r w:rsidRPr="0060338D">
        <w:rPr>
          <w:rFonts w:ascii="Palatino Linotype" w:eastAsia="Palatino Linotype" w:hAnsi="Palatino Linotype" w:cs="Palatino Linotype"/>
          <w:i/>
          <w:color w:val="000000" w:themeColor="text1"/>
        </w:rPr>
        <w:t>efectuar los pagos periódicos (semanales, quincenales o</w:t>
      </w:r>
      <w:r w:rsidRPr="0060338D">
        <w:rPr>
          <w:rFonts w:ascii="Palatino Linotype" w:eastAsia="Palatino Linotype" w:hAnsi="Palatino Linotype" w:cs="Palatino Linotype"/>
          <w:b/>
          <w:i/>
          <w:color w:val="000000" w:themeColor="text1"/>
        </w:rPr>
        <w:t xml:space="preserve"> </w:t>
      </w:r>
      <w:r w:rsidRPr="0060338D">
        <w:rPr>
          <w:rFonts w:ascii="Palatino Linotype" w:eastAsia="Palatino Linotype" w:hAnsi="Palatino Linotype" w:cs="Palatino Linotype"/>
          <w:i/>
          <w:color w:val="000000" w:themeColor="text1"/>
        </w:rPr>
        <w:t>mensuales) a los trabajadores por concepto de sueldos y</w:t>
      </w:r>
      <w:r w:rsidRPr="0060338D">
        <w:rPr>
          <w:rFonts w:ascii="Palatino Linotype" w:eastAsia="Palatino Linotype" w:hAnsi="Palatino Linotype" w:cs="Palatino Linotype"/>
          <w:b/>
          <w:i/>
          <w:color w:val="000000" w:themeColor="text1"/>
        </w:rPr>
        <w:t xml:space="preserve"> </w:t>
      </w:r>
      <w:r w:rsidRPr="0060338D">
        <w:rPr>
          <w:rFonts w:ascii="Palatino Linotype" w:eastAsia="Palatino Linotype" w:hAnsi="Palatino Linotype" w:cs="Palatino Linotype"/>
          <w:i/>
          <w:color w:val="000000" w:themeColor="text1"/>
        </w:rPr>
        <w:t>salarios.”</w:t>
      </w:r>
    </w:p>
    <w:p w:rsidR="00FB78A5" w:rsidRPr="0060338D" w:rsidRDefault="00FB78A5" w:rsidP="0060338D">
      <w:pP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Con base a lo anterior, conviene a traer lo establecido por el artículo 804, fracción II, de la Ley Federal de Trabajo, el cual a la letra establece: </w:t>
      </w:r>
    </w:p>
    <w:p w:rsidR="00FB78A5" w:rsidRPr="0060338D" w:rsidRDefault="00DA2561" w:rsidP="0060338D">
      <w:pPr>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w:t>
      </w:r>
      <w:r w:rsidRPr="0060338D">
        <w:rPr>
          <w:rFonts w:ascii="Palatino Linotype" w:eastAsia="Palatino Linotype" w:hAnsi="Palatino Linotype" w:cs="Palatino Linotype"/>
          <w:b/>
          <w:i/>
          <w:color w:val="000000" w:themeColor="text1"/>
        </w:rPr>
        <w:t>Artículo 804.-</w:t>
      </w:r>
      <w:r w:rsidRPr="0060338D">
        <w:rPr>
          <w:rFonts w:ascii="Palatino Linotype" w:eastAsia="Palatino Linotype" w:hAnsi="Palatino Linotype" w:cs="Palatino Linotype"/>
          <w:i/>
          <w:color w:val="000000" w:themeColor="text1"/>
        </w:rPr>
        <w:t xml:space="preserve"> </w:t>
      </w:r>
      <w:r w:rsidRPr="0060338D">
        <w:rPr>
          <w:rFonts w:ascii="Palatino Linotype" w:eastAsia="Palatino Linotype" w:hAnsi="Palatino Linotype" w:cs="Palatino Linotype"/>
          <w:b/>
          <w:i/>
          <w:color w:val="000000" w:themeColor="text1"/>
        </w:rPr>
        <w:t>El patrón tiene obligación de conservar y exhibir en juicio los documentos que a continuación se precisan</w:t>
      </w:r>
      <w:r w:rsidRPr="0060338D">
        <w:rPr>
          <w:rFonts w:ascii="Palatino Linotype" w:eastAsia="Palatino Linotype" w:hAnsi="Palatino Linotype" w:cs="Palatino Linotype"/>
          <w:i/>
          <w:color w:val="000000" w:themeColor="text1"/>
        </w:rPr>
        <w:t>:</w:t>
      </w:r>
    </w:p>
    <w:p w:rsidR="00FB78A5" w:rsidRPr="0060338D" w:rsidRDefault="00FB78A5" w:rsidP="0060338D">
      <w:pPr>
        <w:jc w:val="both"/>
        <w:rPr>
          <w:rFonts w:ascii="Palatino Linotype" w:eastAsia="Palatino Linotype" w:hAnsi="Palatino Linotype" w:cs="Palatino Linotype"/>
          <w:i/>
          <w:color w:val="000000" w:themeColor="text1"/>
        </w:rPr>
      </w:pPr>
    </w:p>
    <w:p w:rsidR="00FB78A5" w:rsidRPr="0060338D" w:rsidRDefault="00DA2561" w:rsidP="0060338D">
      <w:pPr>
        <w:jc w:val="both"/>
        <w:rPr>
          <w:rFonts w:ascii="Palatino Linotype" w:eastAsia="Palatino Linotype" w:hAnsi="Palatino Linotype" w:cs="Palatino Linotype"/>
          <w:b/>
          <w:i/>
          <w:color w:val="000000" w:themeColor="text1"/>
        </w:rPr>
      </w:pPr>
      <w:r w:rsidRPr="0060338D">
        <w:rPr>
          <w:rFonts w:ascii="Palatino Linotype" w:eastAsia="Palatino Linotype" w:hAnsi="Palatino Linotype" w:cs="Palatino Linotype"/>
          <w:b/>
          <w:i/>
          <w:color w:val="000000" w:themeColor="text1"/>
        </w:rPr>
        <w:t>II.</w:t>
      </w:r>
      <w:r w:rsidRPr="0060338D">
        <w:rPr>
          <w:rFonts w:ascii="Palatino Linotype" w:eastAsia="Palatino Linotype" w:hAnsi="Palatino Linotype" w:cs="Palatino Linotype"/>
          <w:i/>
          <w:color w:val="000000" w:themeColor="text1"/>
        </w:rPr>
        <w:t xml:space="preserve"> </w:t>
      </w:r>
      <w:r w:rsidRPr="0060338D">
        <w:rPr>
          <w:rFonts w:ascii="Palatino Linotype" w:eastAsia="Palatino Linotype" w:hAnsi="Palatino Linotype" w:cs="Palatino Linotype"/>
          <w:b/>
          <w:i/>
          <w:color w:val="000000" w:themeColor="text1"/>
        </w:rPr>
        <w:t>Listas de raya o nómina de personal</w:t>
      </w:r>
      <w:r w:rsidRPr="0060338D">
        <w:rPr>
          <w:rFonts w:ascii="Palatino Linotype" w:eastAsia="Palatino Linotype" w:hAnsi="Palatino Linotype" w:cs="Palatino Linotype"/>
          <w:i/>
          <w:color w:val="000000" w:themeColor="text1"/>
        </w:rPr>
        <w:t xml:space="preserve">, </w:t>
      </w:r>
      <w:r w:rsidRPr="0060338D">
        <w:rPr>
          <w:rFonts w:ascii="Palatino Linotype" w:eastAsia="Palatino Linotype" w:hAnsi="Palatino Linotype" w:cs="Palatino Linotype"/>
          <w:b/>
          <w:i/>
          <w:color w:val="000000" w:themeColor="text1"/>
        </w:rPr>
        <w:t xml:space="preserve">cuando se lleven en el centro de trabajo; o recibos de pagos de salarios; </w:t>
      </w:r>
    </w:p>
    <w:p w:rsidR="00FB78A5" w:rsidRPr="0060338D" w:rsidRDefault="00DA2561" w:rsidP="0060338D">
      <w:pPr>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w:t>
      </w:r>
    </w:p>
    <w:p w:rsidR="00FB78A5" w:rsidRPr="0060338D" w:rsidRDefault="00DA2561" w:rsidP="0060338D">
      <w:pPr>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 xml:space="preserve">Los documentos señalados en la fracción I deberán conservarse mientras dure la relación laboral y hasta un año después; </w:t>
      </w:r>
      <w:r w:rsidRPr="0060338D">
        <w:rPr>
          <w:rFonts w:ascii="Palatino Linotype" w:eastAsia="Palatino Linotype" w:hAnsi="Palatino Linotype" w:cs="Palatino Linotype"/>
          <w:b/>
          <w:i/>
          <w:color w:val="000000" w:themeColor="text1"/>
        </w:rPr>
        <w:t>los señalados en las fracciones II, III y IV, durante el último año y un año después de que se extinga la relación laboral</w:t>
      </w:r>
      <w:r w:rsidRPr="0060338D">
        <w:rPr>
          <w:rFonts w:ascii="Palatino Linotype" w:eastAsia="Palatino Linotype" w:hAnsi="Palatino Linotype" w:cs="Palatino Linotype"/>
          <w:i/>
          <w:color w:val="000000" w:themeColor="text1"/>
        </w:rPr>
        <w:t>; y los mencionados en la fracción V, conforme lo señalen las Leyes que los rijan.”</w:t>
      </w:r>
    </w:p>
    <w:p w:rsidR="00FB78A5" w:rsidRPr="0060338D" w:rsidRDefault="00FB78A5" w:rsidP="0060338D">
      <w:pP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lastRenderedPageBreak/>
        <w:t>En ese contexto, tratándose de servidores públicos de los Municipios la Ley del Trabajo de los Servidores Públicos del Estado y Municipios, en su artículo 220-K, establece lo siguiente:</w:t>
      </w:r>
    </w:p>
    <w:p w:rsidR="00FB78A5" w:rsidRPr="0060338D" w:rsidRDefault="00DA2561" w:rsidP="0060338D">
      <w:pPr>
        <w:tabs>
          <w:tab w:val="left" w:pos="9072"/>
        </w:tabs>
        <w:spacing w:before="240"/>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b/>
          <w:i/>
          <w:color w:val="000000" w:themeColor="text1"/>
        </w:rPr>
        <w:t>“ARTÍCULO 220 K.-</w:t>
      </w:r>
      <w:r w:rsidRPr="0060338D">
        <w:rPr>
          <w:rFonts w:ascii="Palatino Linotype" w:eastAsia="Palatino Linotype" w:hAnsi="Palatino Linotype" w:cs="Palatino Linotype"/>
          <w:i/>
          <w:color w:val="000000" w:themeColor="text1"/>
        </w:rPr>
        <w:t xml:space="preserve"> La </w:t>
      </w:r>
      <w:r w:rsidRPr="0060338D">
        <w:rPr>
          <w:rFonts w:ascii="Palatino Linotype" w:eastAsia="Palatino Linotype" w:hAnsi="Palatino Linotype" w:cs="Palatino Linotype"/>
          <w:b/>
          <w:i/>
          <w:color w:val="000000" w:themeColor="text1"/>
        </w:rPr>
        <w:t>institución o dependencia pública tiene la obligación de conservar y exhibir en el proceso los documentos que a continuación</w:t>
      </w:r>
      <w:r w:rsidRPr="0060338D">
        <w:rPr>
          <w:rFonts w:ascii="Palatino Linotype" w:eastAsia="Palatino Linotype" w:hAnsi="Palatino Linotype" w:cs="Palatino Linotype"/>
          <w:i/>
          <w:color w:val="000000" w:themeColor="text1"/>
        </w:rPr>
        <w:t xml:space="preserve"> </w:t>
      </w:r>
      <w:r w:rsidRPr="0060338D">
        <w:rPr>
          <w:rFonts w:ascii="Palatino Linotype" w:eastAsia="Palatino Linotype" w:hAnsi="Palatino Linotype" w:cs="Palatino Linotype"/>
          <w:b/>
          <w:i/>
          <w:color w:val="000000" w:themeColor="text1"/>
        </w:rPr>
        <w:t>se precisan</w:t>
      </w:r>
      <w:r w:rsidRPr="0060338D">
        <w:rPr>
          <w:rFonts w:ascii="Palatino Linotype" w:eastAsia="Palatino Linotype" w:hAnsi="Palatino Linotype" w:cs="Palatino Linotype"/>
          <w:i/>
          <w:color w:val="000000" w:themeColor="text1"/>
        </w:rPr>
        <w:t>:</w:t>
      </w:r>
    </w:p>
    <w:p w:rsidR="00FB78A5" w:rsidRPr="0060338D" w:rsidRDefault="00DA2561" w:rsidP="0060338D">
      <w:pPr>
        <w:tabs>
          <w:tab w:val="left" w:pos="9072"/>
        </w:tabs>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w:t>
      </w:r>
    </w:p>
    <w:p w:rsidR="00FB78A5" w:rsidRPr="0060338D" w:rsidRDefault="00DA2561" w:rsidP="0060338D">
      <w:pPr>
        <w:tabs>
          <w:tab w:val="left" w:pos="9072"/>
        </w:tabs>
        <w:jc w:val="both"/>
        <w:rPr>
          <w:rFonts w:ascii="Palatino Linotype" w:eastAsia="Palatino Linotype" w:hAnsi="Palatino Linotype" w:cs="Palatino Linotype"/>
          <w:b/>
          <w:i/>
          <w:color w:val="000000" w:themeColor="text1"/>
        </w:rPr>
      </w:pPr>
      <w:r w:rsidRPr="0060338D">
        <w:rPr>
          <w:rFonts w:ascii="Palatino Linotype" w:eastAsia="Palatino Linotype" w:hAnsi="Palatino Linotype" w:cs="Palatino Linotype"/>
          <w:i/>
          <w:color w:val="000000" w:themeColor="text1"/>
        </w:rPr>
        <w:t xml:space="preserve">II. </w:t>
      </w:r>
      <w:r w:rsidRPr="0060338D">
        <w:rPr>
          <w:rFonts w:ascii="Palatino Linotype" w:eastAsia="Palatino Linotype" w:hAnsi="Palatino Linotype" w:cs="Palatino Linotype"/>
          <w:b/>
          <w:i/>
          <w:color w:val="000000" w:themeColor="text1"/>
        </w:rPr>
        <w:t>Recibos de pagos de salarios o</w:t>
      </w:r>
      <w:r w:rsidRPr="0060338D">
        <w:rPr>
          <w:rFonts w:ascii="Palatino Linotype" w:eastAsia="Palatino Linotype" w:hAnsi="Palatino Linotype" w:cs="Palatino Linotype"/>
          <w:i/>
          <w:color w:val="000000" w:themeColor="text1"/>
        </w:rPr>
        <w:t xml:space="preserve"> </w:t>
      </w:r>
      <w:r w:rsidRPr="0060338D">
        <w:rPr>
          <w:rFonts w:ascii="Palatino Linotype" w:eastAsia="Palatino Linotype" w:hAnsi="Palatino Linotype" w:cs="Palatino Linotype"/>
          <w:b/>
          <w:i/>
          <w:color w:val="000000" w:themeColor="text1"/>
        </w:rPr>
        <w:t>las constancias documentales del pago de salario</w:t>
      </w:r>
      <w:r w:rsidRPr="0060338D">
        <w:rPr>
          <w:rFonts w:ascii="Palatino Linotype" w:eastAsia="Palatino Linotype" w:hAnsi="Palatino Linotype" w:cs="Palatino Linotype"/>
          <w:i/>
          <w:color w:val="000000" w:themeColor="text1"/>
        </w:rPr>
        <w:t xml:space="preserve"> </w:t>
      </w:r>
      <w:r w:rsidRPr="0060338D">
        <w:rPr>
          <w:rFonts w:ascii="Palatino Linotype" w:eastAsia="Palatino Linotype" w:hAnsi="Palatino Linotype" w:cs="Palatino Linotype"/>
          <w:b/>
          <w:i/>
          <w:color w:val="000000" w:themeColor="text1"/>
        </w:rPr>
        <w:t xml:space="preserve">cuando </w:t>
      </w:r>
      <w:r w:rsidRPr="0060338D">
        <w:rPr>
          <w:rFonts w:ascii="Palatino Linotype" w:eastAsia="Palatino Linotype" w:hAnsi="Palatino Linotype" w:cs="Palatino Linotype"/>
          <w:b/>
          <w:i/>
          <w:color w:val="000000" w:themeColor="text1"/>
          <w:u w:val="single"/>
        </w:rPr>
        <w:t>sea por depósito o mediante información electrónica</w:t>
      </w:r>
      <w:r w:rsidRPr="0060338D">
        <w:rPr>
          <w:rFonts w:ascii="Palatino Linotype" w:eastAsia="Palatino Linotype" w:hAnsi="Palatino Linotype" w:cs="Palatino Linotype"/>
          <w:b/>
          <w:i/>
          <w:color w:val="000000" w:themeColor="text1"/>
        </w:rPr>
        <w:t>;</w:t>
      </w:r>
    </w:p>
    <w:p w:rsidR="00FB78A5" w:rsidRPr="0060338D" w:rsidRDefault="00DA2561" w:rsidP="0060338D">
      <w:pPr>
        <w:tabs>
          <w:tab w:val="left" w:pos="9072"/>
        </w:tabs>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w:t>
      </w:r>
    </w:p>
    <w:p w:rsidR="00FB78A5" w:rsidRPr="0060338D" w:rsidRDefault="00DA2561" w:rsidP="0060338D">
      <w:pPr>
        <w:tabs>
          <w:tab w:val="left" w:pos="9072"/>
        </w:tabs>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FB78A5" w:rsidRPr="0060338D" w:rsidRDefault="00DA2561" w:rsidP="0060338D">
      <w:pPr>
        <w:tabs>
          <w:tab w:val="left" w:pos="9072"/>
        </w:tabs>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FB78A5" w:rsidRPr="0060338D" w:rsidRDefault="00FB78A5" w:rsidP="0060338D">
      <w:pP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60338D">
        <w:rPr>
          <w:rFonts w:ascii="Palatino Linotype" w:eastAsia="Palatino Linotype" w:hAnsi="Palatino Linotype" w:cs="Palatino Linotype"/>
          <w:b/>
          <w:color w:val="000000" w:themeColor="text1"/>
        </w:rPr>
        <w:t>SUJETO OBLIGADO</w:t>
      </w:r>
      <w:r w:rsidRPr="0060338D">
        <w:rPr>
          <w:rFonts w:ascii="Palatino Linotype" w:eastAsia="Palatino Linotype" w:hAnsi="Palatino Linotype" w:cs="Palatino Linotype"/>
          <w:color w:val="000000" w:themeColor="text1"/>
        </w:rPr>
        <w:t>, es considerado como ente fiscalizable, como así lo señala el artículo 4 fracción II de la Ley de Fiscalización Superior del Estado de México, el cual señala:</w:t>
      </w:r>
    </w:p>
    <w:p w:rsidR="00FB78A5" w:rsidRPr="0060338D" w:rsidRDefault="00DA2561" w:rsidP="0060338D">
      <w:pPr>
        <w:spacing w:before="240"/>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lastRenderedPageBreak/>
        <w:t>“Artículo 4.- Son sujetos de fiscalización:</w:t>
      </w:r>
    </w:p>
    <w:p w:rsidR="00FB78A5" w:rsidRPr="0060338D" w:rsidRDefault="00DA2561" w:rsidP="0060338D">
      <w:pPr>
        <w:numPr>
          <w:ilvl w:val="1"/>
          <w:numId w:val="3"/>
        </w:numPr>
        <w:pBdr>
          <w:top w:val="nil"/>
          <w:left w:val="nil"/>
          <w:bottom w:val="nil"/>
          <w:right w:val="nil"/>
          <w:between w:val="nil"/>
        </w:pBdr>
        <w:spacing w:before="240"/>
        <w:ind w:left="0" w:firstLine="0"/>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 xml:space="preserve">Los Poderes Públicos del Estado; </w:t>
      </w:r>
    </w:p>
    <w:p w:rsidR="00FB78A5" w:rsidRPr="0060338D" w:rsidRDefault="00DA2561" w:rsidP="0060338D">
      <w:pPr>
        <w:pBdr>
          <w:top w:val="nil"/>
          <w:left w:val="nil"/>
          <w:bottom w:val="nil"/>
          <w:right w:val="nil"/>
          <w:between w:val="nil"/>
        </w:pBdr>
        <w:jc w:val="both"/>
        <w:rPr>
          <w:rFonts w:ascii="Palatino Linotype" w:eastAsia="Palatino Linotype" w:hAnsi="Palatino Linotype" w:cs="Palatino Linotype"/>
          <w:b/>
          <w:i/>
          <w:color w:val="000000" w:themeColor="text1"/>
        </w:rPr>
      </w:pPr>
      <w:r w:rsidRPr="0060338D">
        <w:rPr>
          <w:rFonts w:ascii="Palatino Linotype" w:eastAsia="Palatino Linotype" w:hAnsi="Palatino Linotype" w:cs="Palatino Linotype"/>
          <w:b/>
          <w:i/>
          <w:color w:val="000000" w:themeColor="text1"/>
        </w:rPr>
        <w:t xml:space="preserve">II. Los municipios del Estado de México; </w:t>
      </w:r>
    </w:p>
    <w:p w:rsidR="00FB78A5" w:rsidRPr="0060338D" w:rsidRDefault="00DA2561" w:rsidP="0060338D">
      <w:pPr>
        <w:pBdr>
          <w:top w:val="nil"/>
          <w:left w:val="nil"/>
          <w:bottom w:val="nil"/>
          <w:right w:val="nil"/>
          <w:between w:val="nil"/>
        </w:pBdr>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 xml:space="preserve">III. Los organismos autónomos; </w:t>
      </w:r>
    </w:p>
    <w:p w:rsidR="00FB78A5" w:rsidRPr="0060338D" w:rsidRDefault="00DA2561" w:rsidP="0060338D">
      <w:pPr>
        <w:pBdr>
          <w:top w:val="nil"/>
          <w:left w:val="nil"/>
          <w:bottom w:val="nil"/>
          <w:right w:val="nil"/>
          <w:between w:val="nil"/>
        </w:pBdr>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 xml:space="preserve">IV. Los organismos auxiliares; </w:t>
      </w:r>
    </w:p>
    <w:p w:rsidR="00FB78A5" w:rsidRPr="0060338D" w:rsidRDefault="00DA2561" w:rsidP="0060338D">
      <w:pPr>
        <w:pBdr>
          <w:top w:val="nil"/>
          <w:left w:val="nil"/>
          <w:bottom w:val="nil"/>
          <w:right w:val="nil"/>
          <w:between w:val="nil"/>
        </w:pBdr>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V. Los fideicomisos previstos en el artículo 3 fracción XVII del Código Financiero del Estado de México y Municipios, y aquellos que manejen recursos del Estado, Municipios, o en su caso provenientes de la federación;</w:t>
      </w:r>
      <w:r w:rsidRPr="0060338D">
        <w:rPr>
          <w:rFonts w:ascii="Palatino Linotype" w:eastAsia="Palatino Linotype" w:hAnsi="Palatino Linotype" w:cs="Palatino Linotype"/>
          <w:color w:val="000000" w:themeColor="text1"/>
        </w:rPr>
        <w:t xml:space="preserve"> </w:t>
      </w:r>
    </w:p>
    <w:p w:rsidR="00FB78A5" w:rsidRPr="0060338D" w:rsidRDefault="00DA2561" w:rsidP="0060338D">
      <w:pPr>
        <w:pBdr>
          <w:top w:val="nil"/>
          <w:left w:val="nil"/>
          <w:bottom w:val="nil"/>
          <w:right w:val="nil"/>
          <w:between w:val="nil"/>
        </w:pBdr>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FB78A5" w:rsidRPr="0060338D" w:rsidRDefault="00FB78A5" w:rsidP="0060338D">
      <w:pP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Establecido lo anterior, el Órgano Superior de Fiscalización del Estado de México (OSFEM), emite anualmente una herramienta para elaborar y presentar los </w:t>
      </w:r>
      <w:r w:rsidRPr="0060338D">
        <w:rPr>
          <w:rFonts w:ascii="Palatino Linotype" w:eastAsia="Palatino Linotype" w:hAnsi="Palatino Linotype" w:cs="Palatino Linotype"/>
          <w:b/>
          <w:color w:val="000000" w:themeColor="text1"/>
        </w:rPr>
        <w:t xml:space="preserve">informes trimestrales, </w:t>
      </w:r>
      <w:r w:rsidRPr="0060338D">
        <w:rPr>
          <w:rFonts w:ascii="Palatino Linotype" w:eastAsia="Palatino Linotype" w:hAnsi="Palatino Linotype" w:cs="Palatino Linotype"/>
          <w:color w:val="000000" w:themeColor="text1"/>
        </w:rPr>
        <w:t>denominado “Políticas para la Integración del Informe Trimestral de los Sujetos de Fiscalización Municipales”, cuyo objetivo es establecer las especificaciones necesarias para que las entidades fiscales elaboren y presentes los referidos informes.</w:t>
      </w:r>
    </w:p>
    <w:p w:rsidR="00FB78A5" w:rsidRPr="0060338D" w:rsidRDefault="00FB78A5" w:rsidP="0060338D">
      <w:pP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rsidR="00FB78A5" w:rsidRPr="0060338D" w:rsidRDefault="00FB78A5" w:rsidP="0060338D">
      <w:pP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La integración del I</w:t>
      </w:r>
      <w:r w:rsidRPr="0060338D">
        <w:rPr>
          <w:rFonts w:ascii="Palatino Linotype" w:eastAsia="Palatino Linotype" w:hAnsi="Palatino Linotype" w:cs="Palatino Linotype"/>
          <w:b/>
          <w:color w:val="000000" w:themeColor="text1"/>
        </w:rPr>
        <w:t>nforme Trimestral se entregará de manera física al Órgano Superior de Fiscalización del Estado de México</w:t>
      </w:r>
      <w:r w:rsidRPr="0060338D">
        <w:rPr>
          <w:rFonts w:ascii="Palatino Linotype" w:eastAsia="Palatino Linotype" w:hAnsi="Palatino Linotype" w:cs="Palatino Linotype"/>
          <w:color w:val="000000" w:themeColor="text1"/>
        </w:rPr>
        <w:t>, y estará compuesto de la siguiente manera:</w:t>
      </w:r>
    </w:p>
    <w:p w:rsidR="00FB78A5" w:rsidRPr="0060338D" w:rsidRDefault="00DA2561" w:rsidP="0060338D">
      <w:pPr>
        <w:numPr>
          <w:ilvl w:val="1"/>
          <w:numId w:val="2"/>
        </w:numPr>
        <w:pBdr>
          <w:top w:val="nil"/>
          <w:left w:val="nil"/>
          <w:bottom w:val="nil"/>
          <w:right w:val="nil"/>
          <w:between w:val="nil"/>
        </w:pBdr>
        <w:tabs>
          <w:tab w:val="left" w:pos="426"/>
        </w:tabs>
        <w:spacing w:before="240"/>
        <w:ind w:left="0" w:firstLine="0"/>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lastRenderedPageBreak/>
        <w:t>Información impresa; e</w:t>
      </w:r>
    </w:p>
    <w:p w:rsidR="00FB78A5" w:rsidRPr="0060338D" w:rsidRDefault="00DA2561" w:rsidP="0060338D">
      <w:pPr>
        <w:numPr>
          <w:ilvl w:val="1"/>
          <w:numId w:val="2"/>
        </w:numPr>
        <w:pBdr>
          <w:top w:val="nil"/>
          <w:left w:val="nil"/>
          <w:bottom w:val="nil"/>
          <w:right w:val="nil"/>
          <w:between w:val="nil"/>
        </w:pBdr>
        <w:tabs>
          <w:tab w:val="left" w:pos="426"/>
        </w:tabs>
        <w:ind w:left="0" w:firstLine="0"/>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Información en medio de almacenamiento electrónico.</w:t>
      </w:r>
    </w:p>
    <w:p w:rsidR="00FB78A5" w:rsidRPr="0060338D" w:rsidRDefault="00FB78A5" w:rsidP="0060338D">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rPr>
      </w:pPr>
    </w:p>
    <w:p w:rsidR="00FB78A5" w:rsidRPr="0060338D" w:rsidRDefault="00DA2561" w:rsidP="0060338D">
      <w:pPr>
        <w:numPr>
          <w:ilvl w:val="0"/>
          <w:numId w:val="2"/>
        </w:numP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rsidR="00FB78A5" w:rsidRPr="0060338D" w:rsidRDefault="00DA2561" w:rsidP="0060338D">
      <w:pPr>
        <w:numPr>
          <w:ilvl w:val="1"/>
          <w:numId w:val="2"/>
        </w:numPr>
        <w:pBdr>
          <w:top w:val="nil"/>
          <w:left w:val="nil"/>
          <w:bottom w:val="nil"/>
          <w:right w:val="nil"/>
          <w:between w:val="nil"/>
        </w:pBdr>
        <w:tabs>
          <w:tab w:val="left" w:pos="426"/>
        </w:tabs>
        <w:spacing w:before="240"/>
        <w:ind w:left="0" w:firstLine="0"/>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Módulo 1: Información contable y financiera;</w:t>
      </w:r>
    </w:p>
    <w:p w:rsidR="00FB78A5" w:rsidRPr="0060338D" w:rsidRDefault="00DA2561" w:rsidP="0060338D">
      <w:pPr>
        <w:numPr>
          <w:ilvl w:val="1"/>
          <w:numId w:val="2"/>
        </w:numPr>
        <w:pBdr>
          <w:top w:val="nil"/>
          <w:left w:val="nil"/>
          <w:bottom w:val="nil"/>
          <w:right w:val="nil"/>
          <w:between w:val="nil"/>
        </w:pBdr>
        <w:tabs>
          <w:tab w:val="left" w:pos="426"/>
        </w:tabs>
        <w:ind w:left="0" w:firstLine="0"/>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Módulo 2: Información presupuestaria;</w:t>
      </w:r>
    </w:p>
    <w:p w:rsidR="00FB78A5" w:rsidRPr="0060338D" w:rsidRDefault="00DA2561" w:rsidP="0060338D">
      <w:pPr>
        <w:numPr>
          <w:ilvl w:val="1"/>
          <w:numId w:val="2"/>
        </w:numPr>
        <w:pBdr>
          <w:top w:val="nil"/>
          <w:left w:val="nil"/>
          <w:bottom w:val="nil"/>
          <w:right w:val="nil"/>
          <w:between w:val="nil"/>
        </w:pBdr>
        <w:tabs>
          <w:tab w:val="left" w:pos="426"/>
        </w:tabs>
        <w:ind w:left="0" w:firstLine="0"/>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Módulo 3: Información programática; y</w:t>
      </w:r>
    </w:p>
    <w:p w:rsidR="00FB78A5" w:rsidRPr="0060338D" w:rsidRDefault="00DA2561" w:rsidP="0060338D">
      <w:pPr>
        <w:numPr>
          <w:ilvl w:val="1"/>
          <w:numId w:val="2"/>
        </w:numPr>
        <w:pBdr>
          <w:top w:val="nil"/>
          <w:left w:val="nil"/>
          <w:bottom w:val="nil"/>
          <w:right w:val="nil"/>
          <w:between w:val="nil"/>
        </w:pBdr>
        <w:tabs>
          <w:tab w:val="left" w:pos="426"/>
        </w:tabs>
        <w:ind w:left="0" w:firstLine="0"/>
        <w:jc w:val="both"/>
        <w:rPr>
          <w:rFonts w:ascii="Palatino Linotype" w:eastAsia="Palatino Linotype" w:hAnsi="Palatino Linotype" w:cs="Palatino Linotype"/>
          <w:b/>
          <w:i/>
          <w:color w:val="000000" w:themeColor="text1"/>
        </w:rPr>
      </w:pPr>
      <w:r w:rsidRPr="0060338D">
        <w:rPr>
          <w:rFonts w:ascii="Palatino Linotype" w:eastAsia="Palatino Linotype" w:hAnsi="Palatino Linotype" w:cs="Palatino Linotype"/>
          <w:b/>
          <w:i/>
          <w:color w:val="000000" w:themeColor="text1"/>
        </w:rPr>
        <w:t>Módulo 4: Información administrativa.</w:t>
      </w:r>
    </w:p>
    <w:p w:rsidR="00FB78A5" w:rsidRPr="0060338D" w:rsidRDefault="00FB78A5" w:rsidP="0060338D">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themeColor="text1"/>
        </w:rPr>
      </w:pPr>
    </w:p>
    <w:p w:rsidR="00FB78A5" w:rsidRPr="0060338D" w:rsidRDefault="00DA2561" w:rsidP="0060338D">
      <w:pPr>
        <w:numPr>
          <w:ilvl w:val="0"/>
          <w:numId w:val="2"/>
        </w:numP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Siendo de especial interés, para el presente asunto, el contenido del Módulo 4, sobre ‘Información Administrativa’; que de acuerdo con las </w:t>
      </w:r>
      <w:r w:rsidRPr="0060338D">
        <w:rPr>
          <w:rFonts w:ascii="Palatino Linotype" w:eastAsia="Palatino Linotype" w:hAnsi="Palatino Linotype" w:cs="Palatino Linotype"/>
          <w:b/>
          <w:color w:val="000000" w:themeColor="text1"/>
        </w:rPr>
        <w:t>“Políticas para la Integración del Informe Trimestral de los Sujetos de Fiscalización Municipales”</w:t>
      </w:r>
      <w:r w:rsidRPr="0060338D">
        <w:rPr>
          <w:rFonts w:ascii="Palatino Linotype" w:eastAsia="Palatino Linotype" w:hAnsi="Palatino Linotype" w:cs="Palatino Linotype"/>
          <w:color w:val="000000" w:themeColor="text1"/>
        </w:rPr>
        <w:t>, se compondrá de los siguientes documentos:</w:t>
      </w:r>
    </w:p>
    <w:p w:rsidR="00FB78A5" w:rsidRPr="0060338D" w:rsidRDefault="00FB78A5" w:rsidP="0060338D">
      <w:pP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object w:dxaOrig="4770" w:dyaOrig="3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4pt;height:189.5pt;mso-width-percent:0;mso-height-percent:0;mso-width-percent:0;mso-height-percent:0" o:ole="" o:bordertopcolor="this" o:borderleftcolor="this" o:borderbottomcolor="this" o:borderrightcolor="this">
            <v:imagedata r:id="rId9" o:title=""/>
            <w10:bordertop type="single" width="8"/>
            <w10:borderleft type="single" width="8"/>
            <w10:borderbottom type="single" width="8"/>
            <w10:borderright type="single" width="8"/>
          </v:shape>
          <o:OLEObject Type="Embed" ProgID="PBrush" ShapeID="_x0000_i1025" DrawAspect="Content" ObjectID="_1823954544" r:id="rId10"/>
        </w:object>
      </w:r>
    </w:p>
    <w:p w:rsidR="00FB78A5" w:rsidRPr="0060338D" w:rsidRDefault="00FB78A5" w:rsidP="0060338D">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p>
    <w:p w:rsidR="00FB78A5" w:rsidRPr="0060338D" w:rsidRDefault="00DA2561" w:rsidP="0060338D">
      <w:pPr>
        <w:numPr>
          <w:ilvl w:val="0"/>
          <w:numId w:val="2"/>
        </w:numP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En lo que corresponde al Submódulo de </w:t>
      </w:r>
      <w:r w:rsidRPr="0060338D">
        <w:rPr>
          <w:rFonts w:ascii="Palatino Linotype" w:eastAsia="Palatino Linotype" w:hAnsi="Palatino Linotype" w:cs="Palatino Linotype"/>
          <w:b/>
          <w:color w:val="000000" w:themeColor="text1"/>
        </w:rPr>
        <w:t>‘Nómina y Comprobantes Fiscales’,</w:t>
      </w:r>
      <w:r w:rsidRPr="0060338D">
        <w:rPr>
          <w:rFonts w:ascii="Palatino Linotype" w:eastAsia="Palatino Linotype" w:hAnsi="Palatino Linotype" w:cs="Palatino Linotype"/>
          <w:color w:val="000000" w:themeColor="text1"/>
        </w:rPr>
        <w:t xml:space="preserve"> se advierte que el </w:t>
      </w:r>
      <w:r w:rsidRPr="0060338D">
        <w:rPr>
          <w:rFonts w:ascii="Palatino Linotype" w:eastAsia="Palatino Linotype" w:hAnsi="Palatino Linotype" w:cs="Palatino Linotype"/>
          <w:b/>
          <w:color w:val="000000" w:themeColor="text1"/>
        </w:rPr>
        <w:t>SUJETO OBLIGADO,</w:t>
      </w:r>
      <w:r w:rsidRPr="0060338D">
        <w:rPr>
          <w:rFonts w:ascii="Palatino Linotype" w:eastAsia="Palatino Linotype" w:hAnsi="Palatino Linotype" w:cs="Palatino Linotype"/>
          <w:color w:val="000000" w:themeColor="text1"/>
        </w:rPr>
        <w:t xml:space="preserve"> deberá integrar, en formato </w:t>
      </w:r>
      <w:r w:rsidRPr="0060338D">
        <w:rPr>
          <w:rFonts w:ascii="Palatino Linotype" w:eastAsia="Palatino Linotype" w:hAnsi="Palatino Linotype" w:cs="Palatino Linotype"/>
          <w:i/>
          <w:color w:val="000000" w:themeColor="text1"/>
        </w:rPr>
        <w:t>.pdf</w:t>
      </w:r>
      <w:r w:rsidRPr="0060338D">
        <w:rPr>
          <w:rFonts w:ascii="Palatino Linotype" w:eastAsia="Palatino Linotype" w:hAnsi="Palatino Linotype" w:cs="Palatino Linotype"/>
          <w:color w:val="000000" w:themeColor="text1"/>
        </w:rPr>
        <w:t xml:space="preserve">, y de forma </w:t>
      </w:r>
      <w:r w:rsidRPr="0060338D">
        <w:rPr>
          <w:rFonts w:ascii="Palatino Linotype" w:eastAsia="Palatino Linotype" w:hAnsi="Palatino Linotype" w:cs="Palatino Linotype"/>
          <w:color w:val="000000" w:themeColor="text1"/>
        </w:rPr>
        <w:lastRenderedPageBreak/>
        <w:t xml:space="preserve">quincenal, el documento titulado </w:t>
      </w:r>
      <w:r w:rsidRPr="0060338D">
        <w:rPr>
          <w:rFonts w:ascii="Palatino Linotype" w:eastAsia="Palatino Linotype" w:hAnsi="Palatino Linotype" w:cs="Palatino Linotype"/>
          <w:b/>
          <w:color w:val="000000" w:themeColor="text1"/>
        </w:rPr>
        <w:t>Conciliación de Nómina Mensual</w:t>
      </w:r>
      <w:r w:rsidRPr="0060338D">
        <w:rPr>
          <w:rFonts w:ascii="Palatino Linotype" w:eastAsia="Palatino Linotype" w:hAnsi="Palatino Linotype" w:cs="Palatino Linotype"/>
          <w:color w:val="000000" w:themeColor="text1"/>
        </w:rPr>
        <w:t>; tal como lo establece el mapa de integración del Submódulo en comento:</w:t>
      </w:r>
    </w:p>
    <w:p w:rsidR="00FB78A5" w:rsidRPr="0060338D" w:rsidRDefault="00FB78A5" w:rsidP="0060338D">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rsidR="00FB78A5" w:rsidRPr="0060338D" w:rsidRDefault="00DA2561" w:rsidP="0060338D">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object w:dxaOrig="7650" w:dyaOrig="2205">
          <v:shape id="_x0000_i1026" type="#_x0000_t75" alt="" style="width:382.4pt;height:110.05pt;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6" DrawAspect="Content" ObjectID="_1823954545" r:id="rId12"/>
        </w:object>
      </w:r>
      <w:r w:rsidRPr="0060338D">
        <w:rPr>
          <w:rFonts w:ascii="Palatino Linotype" w:hAnsi="Palatino Linotype"/>
          <w:noProof/>
          <w:color w:val="000000" w:themeColor="text1"/>
          <w:lang w:val="es-MX"/>
        </w:rPr>
        <mc:AlternateContent>
          <mc:Choice Requires="wpg">
            <w:drawing>
              <wp:anchor distT="0" distB="0" distL="114300" distR="114300" simplePos="0" relativeHeight="251658240" behindDoc="0" locked="0" layoutInCell="1" hidden="0" allowOverlap="1">
                <wp:simplePos x="0" y="0"/>
                <wp:positionH relativeFrom="column">
                  <wp:posOffset>730250</wp:posOffset>
                </wp:positionH>
                <wp:positionV relativeFrom="paragraph">
                  <wp:posOffset>463550</wp:posOffset>
                </wp:positionV>
                <wp:extent cx="4508500" cy="273050"/>
                <wp:effectExtent l="0" t="0" r="0" b="0"/>
                <wp:wrapNone/>
                <wp:docPr id="73" name="Rectángulo 73"/>
                <wp:cNvGraphicFramePr/>
                <a:graphic xmlns:a="http://schemas.openxmlformats.org/drawingml/2006/main">
                  <a:graphicData uri="http://schemas.microsoft.com/office/word/2010/wordprocessingShape">
                    <wps:wsp>
                      <wps:cNvSpPr/>
                      <wps:spPr>
                        <a:xfrm>
                          <a:off x="3120325" y="3672050"/>
                          <a:ext cx="4451350" cy="215900"/>
                        </a:xfrm>
                        <a:prstGeom prst="rect">
                          <a:avLst/>
                        </a:prstGeom>
                        <a:noFill/>
                        <a:ln w="19050" cap="flat" cmpd="sng">
                          <a:solidFill>
                            <a:srgbClr val="FF0000"/>
                          </a:solidFill>
                          <a:prstDash val="solid"/>
                          <a:miter lim="800000"/>
                          <a:headEnd type="none" w="sm" len="sm"/>
                          <a:tailEnd type="none" w="sm" len="sm"/>
                        </a:ln>
                      </wps:spPr>
                      <wps:txbx>
                        <w:txbxContent>
                          <w:p w:rsidR="00FB78A5" w:rsidRDefault="00FB78A5">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730250</wp:posOffset>
                </wp:positionH>
                <wp:positionV relativeFrom="paragraph">
                  <wp:posOffset>463550</wp:posOffset>
                </wp:positionV>
                <wp:extent cx="4508500" cy="273050"/>
                <wp:effectExtent b="0" l="0" r="0" t="0"/>
                <wp:wrapNone/>
                <wp:docPr id="73"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4508500" cy="273050"/>
                        </a:xfrm>
                        <a:prstGeom prst="rect"/>
                        <a:ln/>
                      </pic:spPr>
                    </pic:pic>
                  </a:graphicData>
                </a:graphic>
              </wp:anchor>
            </w:drawing>
          </mc:Fallback>
        </mc:AlternateContent>
      </w:r>
    </w:p>
    <w:p w:rsidR="00FB78A5" w:rsidRPr="0060338D" w:rsidRDefault="00FB78A5" w:rsidP="0060338D">
      <w:pPr>
        <w:pBdr>
          <w:top w:val="nil"/>
          <w:left w:val="nil"/>
          <w:bottom w:val="nil"/>
          <w:right w:val="nil"/>
          <w:between w:val="nil"/>
        </w:pBdr>
        <w:tabs>
          <w:tab w:val="left" w:pos="426"/>
        </w:tabs>
        <w:spacing w:line="360" w:lineRule="auto"/>
        <w:rPr>
          <w:rFonts w:ascii="Palatino Linotype" w:eastAsia="Palatino Linotype" w:hAnsi="Palatino Linotype" w:cs="Palatino Linotype"/>
          <w:color w:val="000000" w:themeColor="text1"/>
        </w:rPr>
      </w:pPr>
    </w:p>
    <w:p w:rsidR="00FB78A5" w:rsidRPr="0060338D" w:rsidRDefault="00DA2561" w:rsidP="0060338D">
      <w:pPr>
        <w:numPr>
          <w:ilvl w:val="0"/>
          <w:numId w:val="2"/>
        </w:numP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Al respecto, conviene referir que la </w:t>
      </w:r>
      <w:r w:rsidRPr="0060338D">
        <w:rPr>
          <w:rFonts w:ascii="Palatino Linotype" w:eastAsia="Palatino Linotype" w:hAnsi="Palatino Linotype" w:cs="Palatino Linotype"/>
          <w:b/>
          <w:color w:val="000000" w:themeColor="text1"/>
        </w:rPr>
        <w:t>Conciliación de Nómina Mensual</w:t>
      </w:r>
      <w:r w:rsidRPr="0060338D">
        <w:rPr>
          <w:rFonts w:ascii="Palatino Linotype" w:eastAsia="Palatino Linotype" w:hAnsi="Palatino Linotype" w:cs="Palatino Linotype"/>
          <w:color w:val="000000" w:themeColor="text1"/>
        </w:rPr>
        <w:t xml:space="preserve"> es un documento en el que se detalla, entre otros, </w:t>
      </w:r>
      <w:r w:rsidRPr="0060338D">
        <w:rPr>
          <w:rFonts w:ascii="Palatino Linotype" w:eastAsia="Palatino Linotype" w:hAnsi="Palatino Linotype" w:cs="Palatino Linotype"/>
          <w:b/>
          <w:color w:val="000000" w:themeColor="text1"/>
        </w:rPr>
        <w:t>el nombre, puesto funcional, área de adscripción, categoría, así como todas las percepciones brutas y netas  y deducciones que recibe cada servidor público que labora en la entidad</w:t>
      </w:r>
      <w:r w:rsidRPr="0060338D">
        <w:rPr>
          <w:rFonts w:ascii="Palatino Linotype" w:eastAsia="Palatino Linotype" w:hAnsi="Palatino Linotype" w:cs="Palatino Linotype"/>
          <w:b/>
          <w:color w:val="000000" w:themeColor="text1"/>
          <w:vertAlign w:val="superscript"/>
        </w:rPr>
        <w:footnoteReference w:id="1"/>
      </w:r>
      <w:r w:rsidRPr="0060338D">
        <w:rPr>
          <w:rFonts w:ascii="Palatino Linotype" w:eastAsia="Palatino Linotype" w:hAnsi="Palatino Linotype" w:cs="Palatino Linotype"/>
          <w:color w:val="000000" w:themeColor="text1"/>
        </w:rPr>
        <w:t xml:space="preserve">. </w:t>
      </w:r>
    </w:p>
    <w:p w:rsidR="00FB78A5" w:rsidRPr="0060338D" w:rsidRDefault="00FB78A5" w:rsidP="0060338D">
      <w:pP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rsidR="00FB78A5" w:rsidRPr="0060338D" w:rsidRDefault="00FB78A5" w:rsidP="0060338D">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rsidR="00FB78A5" w:rsidRPr="0060338D" w:rsidRDefault="00DA2561" w:rsidP="0060338D">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object w:dxaOrig="7635" w:dyaOrig="4320">
          <v:shape id="_x0000_i1027" type="#_x0000_t75" alt="" style="width:381.75pt;height:3in;mso-width-percent:0;mso-height-percent:0;mso-width-percent:0;mso-height-percent:0"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Brush" ShapeID="_x0000_i1027" DrawAspect="Content" ObjectID="_1823954546" r:id="rId21"/>
        </w:object>
      </w:r>
      <w:r w:rsidRPr="0060338D">
        <w:rPr>
          <w:rFonts w:ascii="Palatino Linotype" w:hAnsi="Palatino Linotype"/>
          <w:noProof/>
          <w:color w:val="000000" w:themeColor="text1"/>
          <w:lang w:val="es-MX"/>
        </w:rPr>
        <mc:AlternateContent>
          <mc:Choice Requires="wpg">
            <w:drawing>
              <wp:anchor distT="0" distB="0" distL="114300" distR="114300" simplePos="0" relativeHeight="251659264" behindDoc="0" locked="0" layoutInCell="1" hidden="0" allowOverlap="1">
                <wp:simplePos x="0" y="0"/>
                <wp:positionH relativeFrom="column">
                  <wp:posOffset>3502025</wp:posOffset>
                </wp:positionH>
                <wp:positionV relativeFrom="paragraph">
                  <wp:posOffset>428626</wp:posOffset>
                </wp:positionV>
                <wp:extent cx="585275" cy="1487267"/>
                <wp:effectExtent l="0" t="0" r="0" b="0"/>
                <wp:wrapNone/>
                <wp:docPr id="72" name="Rectángulo 72"/>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rsidR="00FB78A5" w:rsidRDefault="00FB78A5">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3502025</wp:posOffset>
                </wp:positionH>
                <wp:positionV relativeFrom="paragraph">
                  <wp:posOffset>428626</wp:posOffset>
                </wp:positionV>
                <wp:extent cx="585275" cy="1487267"/>
                <wp:effectExtent b="0" l="0" r="0" t="0"/>
                <wp:wrapNone/>
                <wp:docPr id="72"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585275" cy="1487267"/>
                        </a:xfrm>
                        <a:prstGeom prst="rect"/>
                        <a:ln/>
                      </pic:spPr>
                    </pic:pic>
                  </a:graphicData>
                </a:graphic>
              </wp:anchor>
            </w:drawing>
          </mc:Fallback>
        </mc:AlternateContent>
      </w:r>
      <w:r w:rsidRPr="0060338D">
        <w:rPr>
          <w:rFonts w:ascii="Palatino Linotype" w:hAnsi="Palatino Linotype"/>
          <w:noProof/>
          <w:color w:val="000000" w:themeColor="text1"/>
          <w:lang w:val="es-MX"/>
        </w:rPr>
        <mc:AlternateContent>
          <mc:Choice Requires="wpg">
            <w:drawing>
              <wp:anchor distT="0" distB="0" distL="114300" distR="114300" simplePos="0" relativeHeight="251660288" behindDoc="0" locked="0" layoutInCell="1" hidden="0" allowOverlap="1">
                <wp:simplePos x="0" y="0"/>
                <wp:positionH relativeFrom="column">
                  <wp:posOffset>2549526</wp:posOffset>
                </wp:positionH>
                <wp:positionV relativeFrom="paragraph">
                  <wp:posOffset>403226</wp:posOffset>
                </wp:positionV>
                <wp:extent cx="465430" cy="1487267"/>
                <wp:effectExtent l="0" t="0" r="0" b="0"/>
                <wp:wrapNone/>
                <wp:docPr id="75" name="Rectángulo 75"/>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rsidR="00FB78A5" w:rsidRDefault="00FB78A5">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2549526</wp:posOffset>
                </wp:positionH>
                <wp:positionV relativeFrom="paragraph">
                  <wp:posOffset>403226</wp:posOffset>
                </wp:positionV>
                <wp:extent cx="465430" cy="1487267"/>
                <wp:effectExtent b="0" l="0" r="0" t="0"/>
                <wp:wrapNone/>
                <wp:docPr id="75"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465430" cy="1487267"/>
                        </a:xfrm>
                        <a:prstGeom prst="rect"/>
                        <a:ln/>
                      </pic:spPr>
                    </pic:pic>
                  </a:graphicData>
                </a:graphic>
              </wp:anchor>
            </w:drawing>
          </mc:Fallback>
        </mc:AlternateContent>
      </w:r>
    </w:p>
    <w:p w:rsidR="00FB78A5" w:rsidRPr="0060338D" w:rsidRDefault="00DA2561" w:rsidP="0060338D">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object w:dxaOrig="7665" w:dyaOrig="4500">
          <v:shape id="_x0000_i1028" type="#_x0000_t75" alt="" style="width:383.1pt;height:224.85pt;mso-width-percent:0;mso-height-percent:0;mso-width-percent:0;mso-height-percent:0"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Brush" ShapeID="_x0000_i1028" DrawAspect="Content" ObjectID="_1823954547" r:id="rId23"/>
        </w:object>
      </w:r>
    </w:p>
    <w:p w:rsidR="00FB78A5" w:rsidRPr="0060338D" w:rsidRDefault="00DA2561" w:rsidP="0060338D">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object w:dxaOrig="7680" w:dyaOrig="2400">
          <v:shape id="_x0000_i1029" type="#_x0000_t75" alt="" style="width:383.75pt;height:120.25pt;mso-width-percent:0;mso-height-percent:0;mso-width-percent:0;mso-height-percent:0" o:ole="" o:bordertopcolor="this" o:borderleftcolor="this" o:borderbottomcolor="this" o:borderrightcolor="this">
            <v:imagedata r:id="rId24" o:title=""/>
            <w10:bordertop type="single" width="8"/>
            <w10:borderleft type="single" width="8"/>
            <w10:borderbottom type="single" width="8"/>
            <w10:borderright type="single" width="8"/>
          </v:shape>
          <o:OLEObject Type="Embed" ProgID="PBrush" ShapeID="_x0000_i1029" DrawAspect="Content" ObjectID="_1823954548" r:id="rId25"/>
        </w:object>
      </w: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lastRenderedPageBreak/>
        <w:t xml:space="preserve">De las imágenes anteriores, podemos identificar a la </w:t>
      </w:r>
      <w:r w:rsidRPr="0060338D">
        <w:rPr>
          <w:rFonts w:ascii="Palatino Linotype" w:eastAsia="Palatino Linotype" w:hAnsi="Palatino Linotype" w:cs="Palatino Linotype"/>
          <w:b/>
          <w:color w:val="000000" w:themeColor="text1"/>
        </w:rPr>
        <w:t>Conciliación de Nómina Mensual</w:t>
      </w:r>
      <w:r w:rsidRPr="0060338D">
        <w:rPr>
          <w:rFonts w:ascii="Palatino Linotype" w:eastAsia="Palatino Linotype" w:hAnsi="Palatino Linotype" w:cs="Palatino Linotype"/>
          <w:color w:val="000000" w:themeColor="text1"/>
        </w:rPr>
        <w:t xml:space="preserve"> como el documento que puede satisfacer los requerimientos del Particular, pues como se ha analizado en párrafos previos, </w:t>
      </w:r>
      <w:r w:rsidRPr="0060338D">
        <w:rPr>
          <w:rFonts w:ascii="Palatino Linotype" w:eastAsia="Palatino Linotype" w:hAnsi="Palatino Linotype" w:cs="Palatino Linotype"/>
          <w:b/>
          <w:color w:val="000000" w:themeColor="text1"/>
        </w:rPr>
        <w:t>la Conciliación de Nómina de los servidores públicos consiste en el conjunto de percepciones y deducciones que se generan con motivo de la relación laboral</w:t>
      </w:r>
      <w:r w:rsidRPr="0060338D">
        <w:rPr>
          <w:rFonts w:ascii="Palatino Linotype" w:eastAsia="Palatino Linotype" w:hAnsi="Palatino Linotype" w:cs="Palatino Linotype"/>
          <w:color w:val="000000" w:themeColor="text1"/>
        </w:rPr>
        <w:t xml:space="preserve">, asimismo </w:t>
      </w:r>
      <w:r w:rsidRPr="0060338D">
        <w:rPr>
          <w:rFonts w:ascii="Palatino Linotype" w:eastAsia="Palatino Linotype" w:hAnsi="Palatino Linotype" w:cs="Palatino Linotype"/>
          <w:b/>
          <w:color w:val="000000" w:themeColor="text1"/>
        </w:rPr>
        <w:t xml:space="preserve">contiene la </w:t>
      </w:r>
      <w:r w:rsidRPr="0060338D">
        <w:rPr>
          <w:rFonts w:ascii="Palatino Linotype" w:eastAsia="Palatino Linotype" w:hAnsi="Palatino Linotype" w:cs="Palatino Linotype"/>
          <w:color w:val="000000" w:themeColor="text1"/>
        </w:rPr>
        <w:t>fecha de alta y fecha de baja de los servidores públicos;</w:t>
      </w:r>
      <w:r w:rsidRPr="0060338D">
        <w:rPr>
          <w:rFonts w:ascii="Palatino Linotype" w:eastAsia="Palatino Linotype" w:hAnsi="Palatino Linotype" w:cs="Palatino Linotype"/>
          <w:b/>
          <w:color w:val="000000" w:themeColor="text1"/>
        </w:rPr>
        <w:t xml:space="preserve"> su nombre; puesto; área de adscripción </w:t>
      </w:r>
      <w:r w:rsidRPr="0060338D">
        <w:rPr>
          <w:rFonts w:ascii="Palatino Linotype" w:eastAsia="Palatino Linotype" w:hAnsi="Palatino Linotype" w:cs="Palatino Linotype"/>
          <w:color w:val="000000" w:themeColor="text1"/>
        </w:rPr>
        <w:t>y</w:t>
      </w:r>
      <w:r w:rsidRPr="0060338D">
        <w:rPr>
          <w:rFonts w:ascii="Palatino Linotype" w:eastAsia="Palatino Linotype" w:hAnsi="Palatino Linotype" w:cs="Palatino Linotype"/>
          <w:b/>
          <w:color w:val="000000" w:themeColor="text1"/>
        </w:rPr>
        <w:t xml:space="preserve"> categoría.</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En atención a lo anterior, se ratifica que el </w:t>
      </w:r>
      <w:r w:rsidRPr="0060338D">
        <w:rPr>
          <w:rFonts w:ascii="Palatino Linotype" w:eastAsia="Palatino Linotype" w:hAnsi="Palatino Linotype" w:cs="Palatino Linotype"/>
          <w:b/>
          <w:color w:val="000000" w:themeColor="text1"/>
        </w:rPr>
        <w:t>SUJETO OBLIGADO</w:t>
      </w:r>
      <w:r w:rsidRPr="0060338D">
        <w:rPr>
          <w:rFonts w:ascii="Palatino Linotype" w:eastAsia="Palatino Linotype" w:hAnsi="Palatino Linotype" w:cs="Palatino Linotype"/>
          <w:color w:val="000000" w:themeColor="text1"/>
        </w:rPr>
        <w:t xml:space="preserve"> cuenta con la obligación de generar los documentos en donde conste la información requerida por el Particular, siendo el documento idóneo, la </w:t>
      </w:r>
      <w:r w:rsidRPr="0060338D">
        <w:rPr>
          <w:rFonts w:ascii="Palatino Linotype" w:eastAsia="Palatino Linotype" w:hAnsi="Palatino Linotype" w:cs="Palatino Linotype"/>
          <w:b/>
          <w:color w:val="000000" w:themeColor="text1"/>
        </w:rPr>
        <w:t>Conciliación de Nómina</w:t>
      </w:r>
      <w:r w:rsidRPr="0060338D">
        <w:rPr>
          <w:rFonts w:ascii="Palatino Linotype" w:eastAsia="Palatino Linotype" w:hAnsi="Palatino Linotype" w:cs="Palatino Linotype"/>
          <w:color w:val="000000" w:themeColor="text1"/>
        </w:rPr>
        <w:t xml:space="preserve">. </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Ahora bien, </w:t>
      </w:r>
      <w:r w:rsidRPr="0060338D">
        <w:rPr>
          <w:rFonts w:ascii="Palatino Linotype" w:eastAsia="Palatino Linotype" w:hAnsi="Palatino Linotype" w:cs="Palatino Linotype"/>
          <w:b/>
          <w:color w:val="000000" w:themeColor="text1"/>
        </w:rPr>
        <w:t>relativo a la lista de raya,</w:t>
      </w:r>
      <w:r w:rsidRPr="0060338D">
        <w:rPr>
          <w:rFonts w:ascii="Palatino Linotype" w:eastAsia="Palatino Linotype" w:hAnsi="Palatino Linotype" w:cs="Palatino Linotype"/>
          <w:color w:val="000000" w:themeColor="text1"/>
        </w:rPr>
        <w:t xml:space="preserve"> consisten en un registro contable que contienen la relación de los trabajadores, en los que se asientan sus remuneraciones; sin embargo, en las listas de raya únicamente se encuentran los trabajadores contratados por determinado tiempo; lo anterior, conforme al artículo 804, fracción II de la Ley Federal de Trabajo señala que el patrón tiene la obligación de conservar y en su caso exhibir en juicio los documentos consistentes en </w:t>
      </w:r>
      <w:r w:rsidRPr="0060338D">
        <w:rPr>
          <w:rFonts w:ascii="Palatino Linotype" w:eastAsia="Palatino Linotype" w:hAnsi="Palatino Linotype" w:cs="Palatino Linotype"/>
          <w:b/>
          <w:color w:val="000000" w:themeColor="text1"/>
        </w:rPr>
        <w:t>las listas de raya o nómina de personal</w:t>
      </w:r>
      <w:r w:rsidRPr="0060338D">
        <w:rPr>
          <w:rFonts w:ascii="Palatino Linotype" w:eastAsia="Palatino Linotype" w:hAnsi="Palatino Linotype" w:cs="Palatino Linotype"/>
          <w:color w:val="000000" w:themeColor="text1"/>
        </w:rPr>
        <w:t>, cuando se lleven en el centro de trabajo o recibos de pagos de salarios.</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color w:val="000000" w:themeColor="text1"/>
        </w:rPr>
        <w:t xml:space="preserve">En ese orden de ideas, el artículo 50 de la Ley del Trabajo de los Servidores Públicos del Estado y Municipios, señala que el servidor público que se </w:t>
      </w:r>
      <w:r w:rsidRPr="0060338D">
        <w:rPr>
          <w:rFonts w:ascii="Palatino Linotype" w:eastAsia="Palatino Linotype" w:hAnsi="Palatino Linotype" w:cs="Palatino Linotype"/>
          <w:b/>
          <w:color w:val="000000" w:themeColor="text1"/>
        </w:rPr>
        <w:t xml:space="preserve">encuentre en la lista de raya, </w:t>
      </w:r>
      <w:r w:rsidRPr="0060338D">
        <w:rPr>
          <w:rFonts w:ascii="Palatino Linotype" w:eastAsia="Palatino Linotype" w:hAnsi="Palatino Linotype" w:cs="Palatino Linotype"/>
          <w:color w:val="000000" w:themeColor="text1"/>
        </w:rPr>
        <w:t>se obliga a cumplir con los deberes inherentes al puesto especificado en el contrato, nombramiento o formato único de Movimiento de Personal.</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B78A5" w:rsidRPr="00EA0D5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color w:val="000000" w:themeColor="text1"/>
        </w:rPr>
        <w:lastRenderedPageBreak/>
        <w:t xml:space="preserve">Así, se concluye que el </w:t>
      </w:r>
      <w:r w:rsidRPr="0060338D">
        <w:rPr>
          <w:rFonts w:ascii="Palatino Linotype" w:eastAsia="Palatino Linotype" w:hAnsi="Palatino Linotype" w:cs="Palatino Linotype"/>
          <w:b/>
          <w:color w:val="000000" w:themeColor="text1"/>
        </w:rPr>
        <w:t>SUJETO OBLIGADO</w:t>
      </w:r>
      <w:r w:rsidRPr="0060338D">
        <w:rPr>
          <w:rFonts w:ascii="Palatino Linotype" w:eastAsia="Palatino Linotype" w:hAnsi="Palatino Linotype" w:cs="Palatino Linotype"/>
          <w:color w:val="000000" w:themeColor="text1"/>
        </w:rPr>
        <w:t xml:space="preserve"> podría contar con personal temporal que sea remunerado, a través de la lista de raya.</w:t>
      </w:r>
    </w:p>
    <w:p w:rsidR="00EA0D5D" w:rsidRPr="0060338D" w:rsidRDefault="00EA0D5D" w:rsidP="00EA0D5D">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color w:val="000000" w:themeColor="text1"/>
        </w:rPr>
        <w:t xml:space="preserve">Motivo por el cual, analizadas las constancias que forman el expediente electrónico, </w:t>
      </w:r>
      <w:r w:rsidRPr="0060338D">
        <w:rPr>
          <w:rFonts w:ascii="Palatino Linotype" w:eastAsia="Palatino Linotype" w:hAnsi="Palatino Linotype" w:cs="Palatino Linotype"/>
          <w:b/>
          <w:color w:val="000000" w:themeColor="text1"/>
        </w:rPr>
        <w:t>resultan fundadas</w:t>
      </w:r>
      <w:r w:rsidRPr="0060338D">
        <w:rPr>
          <w:rFonts w:ascii="Palatino Linotype" w:eastAsia="Palatino Linotype" w:hAnsi="Palatino Linotype" w:cs="Palatino Linotype"/>
          <w:color w:val="000000" w:themeColor="text1"/>
        </w:rPr>
        <w:t xml:space="preserve"> las razones o motivos de inconformidad hechos valer por el </w:t>
      </w:r>
      <w:r w:rsidRPr="0060338D">
        <w:rPr>
          <w:rFonts w:ascii="Palatino Linotype" w:eastAsia="Palatino Linotype" w:hAnsi="Palatino Linotype" w:cs="Palatino Linotype"/>
          <w:b/>
          <w:color w:val="000000" w:themeColor="text1"/>
        </w:rPr>
        <w:t>RECURRENTE</w:t>
      </w:r>
      <w:r w:rsidRPr="0060338D">
        <w:rPr>
          <w:rFonts w:ascii="Palatino Linotype" w:eastAsia="Palatino Linotype" w:hAnsi="Palatino Linotype" w:cs="Palatino Linotype"/>
          <w:color w:val="000000" w:themeColor="text1"/>
        </w:rPr>
        <w:t xml:space="preserve"> dentro del recurso de revisión </w:t>
      </w:r>
      <w:r w:rsidRPr="0060338D">
        <w:rPr>
          <w:rFonts w:ascii="Palatino Linotype" w:eastAsia="Palatino Linotype" w:hAnsi="Palatino Linotype" w:cs="Palatino Linotype"/>
          <w:b/>
          <w:color w:val="000000" w:themeColor="text1"/>
        </w:rPr>
        <w:t>09898/INFOEM/IP/RR/2025,</w:t>
      </w:r>
      <w:r w:rsidRPr="0060338D">
        <w:rPr>
          <w:rFonts w:ascii="Palatino Linotype" w:eastAsia="Palatino Linotype" w:hAnsi="Palatino Linotype" w:cs="Palatino Linotype"/>
          <w:color w:val="000000" w:themeColor="text1"/>
        </w:rPr>
        <w:t xml:space="preserve"> por ello, y con fundamento en la fracción III del numeral 186 de la Ley de Transparencia y Acceso a la Información Pública del Estado de México y Municipios, se </w:t>
      </w:r>
      <w:r w:rsidRPr="0060338D">
        <w:rPr>
          <w:rFonts w:ascii="Palatino Linotype" w:eastAsia="Palatino Linotype" w:hAnsi="Palatino Linotype" w:cs="Palatino Linotype"/>
          <w:b/>
          <w:color w:val="000000" w:themeColor="text1"/>
        </w:rPr>
        <w:t xml:space="preserve">REVOCA </w:t>
      </w:r>
      <w:r w:rsidRPr="0060338D">
        <w:rPr>
          <w:rFonts w:ascii="Palatino Linotype" w:eastAsia="Palatino Linotype" w:hAnsi="Palatino Linotype" w:cs="Palatino Linotype"/>
          <w:color w:val="000000" w:themeColor="text1"/>
        </w:rPr>
        <w:t xml:space="preserve">la respuesta del </w:t>
      </w:r>
      <w:r w:rsidRPr="0060338D">
        <w:rPr>
          <w:rFonts w:ascii="Palatino Linotype" w:eastAsia="Palatino Linotype" w:hAnsi="Palatino Linotype" w:cs="Palatino Linotype"/>
          <w:b/>
          <w:color w:val="000000" w:themeColor="text1"/>
        </w:rPr>
        <w:t>SUJETO OBLIGADO</w:t>
      </w:r>
      <w:r w:rsidRPr="0060338D">
        <w:rPr>
          <w:rFonts w:ascii="Palatino Linotype" w:eastAsia="Palatino Linotype" w:hAnsi="Palatino Linotype" w:cs="Palatino Linotype"/>
          <w:color w:val="000000" w:themeColor="text1"/>
        </w:rPr>
        <w:t xml:space="preserve"> y se ordena, en versión pública, </w:t>
      </w:r>
      <w:r w:rsidRPr="0060338D">
        <w:rPr>
          <w:rFonts w:ascii="Palatino Linotype" w:eastAsia="Palatino Linotype" w:hAnsi="Palatino Linotype" w:cs="Palatino Linotype"/>
          <w:b/>
          <w:color w:val="000000" w:themeColor="text1"/>
        </w:rPr>
        <w:t>de la primera y segunda quincena de junio de 2025,</w:t>
      </w:r>
      <w:r w:rsidRPr="0060338D">
        <w:rPr>
          <w:rFonts w:ascii="Palatino Linotype" w:eastAsia="Palatino Linotype" w:hAnsi="Palatino Linotype" w:cs="Palatino Linotype"/>
          <w:color w:val="000000" w:themeColor="text1"/>
        </w:rPr>
        <w:t xml:space="preserve"> lo siguiente:</w:t>
      </w:r>
    </w:p>
    <w:p w:rsidR="00FB78A5" w:rsidRPr="0060338D" w:rsidRDefault="00DA2561" w:rsidP="0060338D">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b/>
          <w:color w:val="000000" w:themeColor="text1"/>
        </w:rPr>
        <w:t>La conciliación de nómina de todos los Servidores Públicos; y</w:t>
      </w:r>
    </w:p>
    <w:p w:rsidR="00FB78A5" w:rsidRPr="0060338D" w:rsidRDefault="00DA2561" w:rsidP="0060338D">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b/>
          <w:color w:val="000000" w:themeColor="text1"/>
        </w:rPr>
        <w:t>La lista de raya del personal eventual contratado por el SUJETO OBLIGADO.</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color w:val="000000" w:themeColor="text1"/>
        </w:rPr>
        <w:t xml:space="preserve">Para el supuesto de que no se haya generado información relativa la </w:t>
      </w:r>
      <w:r w:rsidRPr="0060338D">
        <w:rPr>
          <w:rFonts w:ascii="Palatino Linotype" w:eastAsia="Palatino Linotype" w:hAnsi="Palatino Linotype" w:cs="Palatino Linotype"/>
          <w:b/>
          <w:color w:val="000000" w:themeColor="text1"/>
        </w:rPr>
        <w:t xml:space="preserve">lista de raya </w:t>
      </w:r>
      <w:r w:rsidRPr="0060338D">
        <w:rPr>
          <w:rFonts w:ascii="Palatino Linotype" w:eastAsia="Palatino Linotype" w:hAnsi="Palatino Linotype" w:cs="Palatino Linotype"/>
          <w:color w:val="000000" w:themeColor="text1"/>
        </w:rPr>
        <w:t xml:space="preserve">en el periodo referido, bastará con que el </w:t>
      </w:r>
      <w:r w:rsidRPr="0060338D">
        <w:rPr>
          <w:rFonts w:ascii="Palatino Linotype" w:eastAsia="Palatino Linotype" w:hAnsi="Palatino Linotype" w:cs="Palatino Linotype"/>
          <w:b/>
          <w:color w:val="000000" w:themeColor="text1"/>
        </w:rPr>
        <w:t>SUJETO OBLIGADO</w:t>
      </w:r>
      <w:r w:rsidRPr="0060338D">
        <w:rPr>
          <w:rFonts w:ascii="Palatino Linotype" w:eastAsia="Palatino Linotype" w:hAnsi="Palatino Linotype" w:cs="Palatino Linotype"/>
          <w:color w:val="000000" w:themeColor="text1"/>
        </w:rPr>
        <w:t xml:space="preserve"> lo haga del conocimiento de la parte </w:t>
      </w:r>
      <w:r w:rsidRPr="0060338D">
        <w:rPr>
          <w:rFonts w:ascii="Palatino Linotype" w:eastAsia="Palatino Linotype" w:hAnsi="Palatino Linotype" w:cs="Palatino Linotype"/>
          <w:b/>
          <w:color w:val="000000" w:themeColor="text1"/>
        </w:rPr>
        <w:t>RECURRENTE</w:t>
      </w:r>
      <w:r w:rsidRPr="0060338D">
        <w:rPr>
          <w:rFonts w:ascii="Palatino Linotype" w:eastAsia="Palatino Linotype" w:hAnsi="Palatino Linotype" w:cs="Palatino Linotype"/>
          <w:color w:val="000000" w:themeColor="text1"/>
        </w:rPr>
        <w:t>, en términos del segundo párrafo del artículo 19 de la Ley de Transparencia Local.</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color w:val="000000" w:themeColor="text1"/>
        </w:rPr>
        <w:t xml:space="preserve">Ahora bien, es importante señalar que el artículo 4, párrafo segundo de la Ley de Transparencia y Acceso a la Información Pública del Estado de México y Municipios, dispone lo siguiente: </w:t>
      </w:r>
    </w:p>
    <w:p w:rsidR="00FB78A5" w:rsidRPr="0060338D" w:rsidRDefault="00DA2561" w:rsidP="0060338D">
      <w:pPr>
        <w:tabs>
          <w:tab w:val="left" w:pos="426"/>
          <w:tab w:val="left" w:pos="567"/>
        </w:tabs>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w:t>
      </w:r>
      <w:r w:rsidRPr="0060338D">
        <w:rPr>
          <w:rFonts w:ascii="Palatino Linotype" w:eastAsia="Palatino Linotype" w:hAnsi="Palatino Linotype" w:cs="Palatino Linotype"/>
          <w:b/>
          <w:i/>
          <w:color w:val="000000" w:themeColor="text1"/>
        </w:rPr>
        <w:t>Artículo 4. …</w:t>
      </w:r>
    </w:p>
    <w:p w:rsidR="00FB78A5" w:rsidRPr="0060338D" w:rsidRDefault="00DA2561" w:rsidP="0060338D">
      <w:pPr>
        <w:tabs>
          <w:tab w:val="left" w:pos="426"/>
          <w:tab w:val="left" w:pos="567"/>
        </w:tabs>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sidRPr="0060338D">
        <w:rPr>
          <w:rFonts w:ascii="Palatino Linotype" w:eastAsia="Palatino Linotype" w:hAnsi="Palatino Linotype" w:cs="Palatino Linotype"/>
          <w:i/>
          <w:color w:val="000000" w:themeColor="text1"/>
        </w:rPr>
        <w:lastRenderedPageBreak/>
        <w:t>principio de máxima publicidad de la información. Solo podrá ser clasificada excepcionalmente como reservada temporalmente por razones de interés público, en los términos de las causas legítimas y estrictamente necesarias previstas por esta Ley.”</w:t>
      </w:r>
    </w:p>
    <w:p w:rsidR="00FB78A5" w:rsidRPr="0060338D" w:rsidRDefault="00FB78A5" w:rsidP="0060338D">
      <w:pPr>
        <w:tabs>
          <w:tab w:val="left" w:pos="426"/>
          <w:tab w:val="left" w:pos="567"/>
        </w:tabs>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color w:val="000000" w:themeColor="text1"/>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FB78A5" w:rsidRPr="0060338D" w:rsidRDefault="00FB78A5" w:rsidP="0060338D">
      <w:pP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spacing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color w:val="000000" w:themeColor="text1"/>
        </w:rPr>
        <w:t xml:space="preserve">Así,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rsidR="00FB78A5" w:rsidRPr="0060338D" w:rsidRDefault="00FB78A5" w:rsidP="0060338D">
      <w:pP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color w:val="000000" w:themeColor="text1"/>
        </w:rPr>
        <w:t xml:space="preserve">Como apoyo a lo anterior, es aplicable el Criterio 03-17, emitido por el Instituto Nacional de Transparencia, Acceso a la Información y Protección de Datos Personales, que dice: </w:t>
      </w:r>
    </w:p>
    <w:p w:rsidR="00FB78A5" w:rsidRPr="0060338D" w:rsidRDefault="00DA2561" w:rsidP="0060338D">
      <w:pPr>
        <w:tabs>
          <w:tab w:val="left" w:pos="426"/>
          <w:tab w:val="left" w:pos="567"/>
        </w:tabs>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b/>
          <w:i/>
          <w:color w:val="000000" w:themeColor="text1"/>
        </w:rPr>
        <w:t>“No existe obligación de elaborar documentos ad hoc para atender las solicitudes de acceso a la información.</w:t>
      </w:r>
      <w:r w:rsidRPr="0060338D">
        <w:rPr>
          <w:rFonts w:ascii="Palatino Linotype" w:eastAsia="Palatino Linotype" w:hAnsi="Palatino Linotype" w:cs="Palatino Linotype"/>
          <w:i/>
          <w:color w:val="000000" w:themeColor="text1"/>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FB78A5" w:rsidRPr="0060338D" w:rsidRDefault="00FB78A5" w:rsidP="0060338D">
      <w:pPr>
        <w:tabs>
          <w:tab w:val="left" w:pos="426"/>
          <w:tab w:val="left" w:pos="567"/>
        </w:tabs>
        <w:jc w:val="both"/>
        <w:rPr>
          <w:rFonts w:ascii="Palatino Linotype" w:eastAsia="Palatino Linotype" w:hAnsi="Palatino Linotype" w:cs="Palatino Linotype"/>
          <w:i/>
          <w:color w:val="000000" w:themeColor="text1"/>
        </w:rPr>
      </w:pPr>
    </w:p>
    <w:p w:rsidR="00FB78A5" w:rsidRPr="0060338D" w:rsidRDefault="00DA2561" w:rsidP="0060338D">
      <w:pPr>
        <w:tabs>
          <w:tab w:val="left" w:pos="426"/>
          <w:tab w:val="left" w:pos="567"/>
        </w:tabs>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lastRenderedPageBreak/>
        <w:t xml:space="preserve">Resoluciones: </w:t>
      </w:r>
    </w:p>
    <w:p w:rsidR="00FB78A5" w:rsidRPr="0060338D" w:rsidRDefault="00DA2561" w:rsidP="0060338D">
      <w:pPr>
        <w:tabs>
          <w:tab w:val="left" w:pos="426"/>
          <w:tab w:val="left" w:pos="567"/>
        </w:tabs>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 xml:space="preserve">RRA 0050/16. Instituto Nacional para la Evaluación de la Educación. 13 julio de 2016. Por unanimidad. Comisionado Ponente: Francisco Javier Acuña Llamas. </w:t>
      </w:r>
    </w:p>
    <w:p w:rsidR="00FB78A5" w:rsidRPr="0060338D" w:rsidRDefault="00DA2561" w:rsidP="0060338D">
      <w:pPr>
        <w:tabs>
          <w:tab w:val="left" w:pos="426"/>
          <w:tab w:val="left" w:pos="567"/>
        </w:tabs>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 xml:space="preserve">RRA 0310/16. Instituto Nacional de Transparencia, Acceso a la Información y Protección de Datos Personales. 10 de agosto de 2016. Por unanimidad. Comisionada Ponente. Areli Cano Guadiana. </w:t>
      </w:r>
    </w:p>
    <w:p w:rsidR="00FB78A5" w:rsidRPr="0060338D" w:rsidRDefault="00DA2561" w:rsidP="0060338D">
      <w:pPr>
        <w:tabs>
          <w:tab w:val="left" w:pos="426"/>
          <w:tab w:val="left" w:pos="567"/>
        </w:tabs>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RRA 1889/16. Secretaría de Hacienda y Crédito Público. 05 de octubre de 2016. Por unanimidad. Comisionada Ponente. Ximena Puente de la Mora.”</w:t>
      </w:r>
    </w:p>
    <w:p w:rsidR="00FB78A5" w:rsidRPr="0060338D" w:rsidRDefault="00FB78A5" w:rsidP="0060338D">
      <w:pPr>
        <w:tabs>
          <w:tab w:val="left" w:pos="426"/>
          <w:tab w:val="left" w:pos="567"/>
        </w:tabs>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spacing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color w:val="000000" w:themeColor="text1"/>
        </w:rPr>
        <w:t xml:space="preserve">Asimos,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FB78A5" w:rsidRPr="0060338D" w:rsidRDefault="00FB78A5" w:rsidP="0060338D">
      <w:pP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spacing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color w:val="000000" w:themeColor="text1"/>
        </w:rPr>
        <w:t xml:space="preserve">En esta misma tesitura, es de subrayar que el derecho de acceso a la información pública, consiste en que la información solicitada conste en un soporte documental en cualquiera de sus formas, a saber: expedientes, reportes, estudios, actas, resoluciones, </w:t>
      </w:r>
      <w:r w:rsidRPr="0060338D">
        <w:rPr>
          <w:rFonts w:ascii="Palatino Linotype" w:eastAsia="Palatino Linotype" w:hAnsi="Palatino Linotype" w:cs="Palatino Linotype"/>
          <w:b/>
          <w:color w:val="000000" w:themeColor="text1"/>
          <w:u w:val="single"/>
        </w:rPr>
        <w:t>oficios,</w:t>
      </w:r>
      <w:r w:rsidRPr="0060338D">
        <w:rPr>
          <w:rFonts w:ascii="Palatino Linotype" w:eastAsia="Palatino Linotype" w:hAnsi="Palatino Linotype" w:cs="Palatino Linotype"/>
          <w:color w:val="000000" w:themeColor="text1"/>
        </w:rPr>
        <w:t xml:space="preserve">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FB78A5" w:rsidRPr="0060338D" w:rsidRDefault="00DA2561" w:rsidP="0060338D">
      <w:pPr>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b/>
          <w:i/>
          <w:color w:val="000000" w:themeColor="text1"/>
        </w:rPr>
        <w:t>“Artículo 3.</w:t>
      </w:r>
      <w:r w:rsidRPr="0060338D">
        <w:rPr>
          <w:rFonts w:ascii="Palatino Linotype" w:eastAsia="Palatino Linotype" w:hAnsi="Palatino Linotype" w:cs="Palatino Linotype"/>
          <w:i/>
          <w:color w:val="000000" w:themeColor="text1"/>
        </w:rPr>
        <w:t xml:space="preserve"> Para los efectos de la presente Ley se entenderá por: </w:t>
      </w:r>
    </w:p>
    <w:p w:rsidR="00FB78A5" w:rsidRPr="0060338D" w:rsidRDefault="00DA2561" w:rsidP="0060338D">
      <w:pPr>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 xml:space="preserve">(…) </w:t>
      </w:r>
    </w:p>
    <w:p w:rsidR="00FB78A5" w:rsidRPr="0060338D" w:rsidRDefault="00DA2561" w:rsidP="0060338D">
      <w:pPr>
        <w:jc w:val="both"/>
        <w:rPr>
          <w:rFonts w:ascii="Palatino Linotype" w:eastAsia="Palatino Linotype" w:hAnsi="Palatino Linotype" w:cs="Palatino Linotype"/>
          <w:b/>
          <w:i/>
          <w:color w:val="000000" w:themeColor="text1"/>
        </w:rPr>
      </w:pPr>
      <w:r w:rsidRPr="0060338D">
        <w:rPr>
          <w:rFonts w:ascii="Palatino Linotype" w:eastAsia="Palatino Linotype" w:hAnsi="Palatino Linotype" w:cs="Palatino Linotype"/>
          <w:b/>
          <w:i/>
          <w:color w:val="000000" w:themeColor="text1"/>
        </w:rPr>
        <w:t>XI. Documento:</w:t>
      </w:r>
      <w:r w:rsidRPr="0060338D">
        <w:rPr>
          <w:rFonts w:ascii="Palatino Linotype" w:eastAsia="Palatino Linotype" w:hAnsi="Palatino Linotype" w:cs="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w:t>
      </w:r>
      <w:r w:rsidRPr="0060338D">
        <w:rPr>
          <w:rFonts w:ascii="Palatino Linotype" w:eastAsia="Palatino Linotype" w:hAnsi="Palatino Linotype" w:cs="Palatino Linotype"/>
          <w:i/>
          <w:color w:val="000000" w:themeColor="text1"/>
        </w:rPr>
        <w:lastRenderedPageBreak/>
        <w:t xml:space="preserve">o fecha de elaboración. </w:t>
      </w:r>
      <w:r w:rsidRPr="0060338D">
        <w:rPr>
          <w:rFonts w:ascii="Palatino Linotype" w:eastAsia="Palatino Linotype" w:hAnsi="Palatino Linotype" w:cs="Palatino Linotype"/>
          <w:b/>
          <w:i/>
          <w:color w:val="000000" w:themeColor="text1"/>
        </w:rPr>
        <w:t xml:space="preserve">Los documentos podrán estar en cualquier medio, sea escrito, impreso, sonoro, visual, electrónico, informático u holográfico; </w:t>
      </w:r>
    </w:p>
    <w:p w:rsidR="00FB78A5" w:rsidRPr="0060338D" w:rsidRDefault="00DA2561" w:rsidP="0060338D">
      <w:pPr>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w:t>
      </w:r>
    </w:p>
    <w:p w:rsidR="00FB78A5" w:rsidRPr="0060338D" w:rsidRDefault="00FB78A5" w:rsidP="0060338D">
      <w:pP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spacing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color w:val="000000" w:themeColor="text1"/>
        </w:rPr>
        <w:t>Siendo 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FB78A5" w:rsidRPr="0060338D" w:rsidRDefault="00DA2561" w:rsidP="0060338D">
      <w:pPr>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rsidR="00FB78A5" w:rsidRPr="0060338D" w:rsidRDefault="00FB78A5" w:rsidP="0060338D">
      <w:pPr>
        <w:rPr>
          <w:rFonts w:ascii="Palatino Linotype" w:eastAsia="Palatino Linotype" w:hAnsi="Palatino Linotype" w:cs="Palatino Linotype"/>
          <w:color w:val="000000" w:themeColor="text1"/>
        </w:rPr>
      </w:pPr>
    </w:p>
    <w:p w:rsidR="00FB78A5" w:rsidRPr="0060338D" w:rsidRDefault="00DA2561" w:rsidP="0060338D">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b/>
          <w:color w:val="000000" w:themeColor="text1"/>
        </w:rPr>
        <w:t>QUINTO. VERSIÓN PÚBLICA.</w:t>
      </w:r>
    </w:p>
    <w:p w:rsidR="00FB78A5" w:rsidRPr="0060338D" w:rsidRDefault="00DA2561" w:rsidP="0060338D">
      <w:pPr>
        <w:keepNext/>
        <w:keepLines/>
        <w:numPr>
          <w:ilvl w:val="0"/>
          <w:numId w:val="5"/>
        </w:numPr>
        <w:spacing w:line="360" w:lineRule="auto"/>
        <w:ind w:left="0" w:firstLine="0"/>
        <w:rPr>
          <w:rFonts w:ascii="Palatino Linotype" w:eastAsia="Palatino Linotype" w:hAnsi="Palatino Linotype" w:cs="Palatino Linotype"/>
          <w:b/>
          <w:color w:val="000000" w:themeColor="text1"/>
        </w:rPr>
      </w:pPr>
      <w:bookmarkStart w:id="11" w:name="_heading=h.3zdbcjghuwan" w:colFirst="0" w:colLast="0"/>
      <w:bookmarkEnd w:id="11"/>
      <w:r w:rsidRPr="0060338D">
        <w:rPr>
          <w:rFonts w:ascii="Palatino Linotype" w:eastAsia="Palatino Linotype" w:hAnsi="Palatino Linotype" w:cs="Palatino Linotype"/>
          <w:b/>
          <w:color w:val="000000" w:themeColor="text1"/>
        </w:rPr>
        <w:t xml:space="preserve">Nociones generales. </w:t>
      </w: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Debe destacarse que, debido a la naturaleza de la información solicitada</w:t>
      </w:r>
      <w:r w:rsidRPr="0060338D">
        <w:rPr>
          <w:rFonts w:ascii="Palatino Linotype" w:eastAsia="Palatino Linotype" w:hAnsi="Palatino Linotype" w:cs="Palatino Linotype"/>
          <w:b/>
          <w:color w:val="000000" w:themeColor="text1"/>
        </w:rPr>
        <w:t xml:space="preserve">, </w:t>
      </w:r>
      <w:r w:rsidRPr="0060338D">
        <w:rPr>
          <w:rFonts w:ascii="Palatino Linotype" w:eastAsia="Palatino Linotype" w:hAnsi="Palatino Linotype" w:cs="Palatino Linotype"/>
          <w:color w:val="000000" w:themeColor="text1"/>
        </w:rPr>
        <w:t xml:space="preserve">eventualmente pudiera obrar datos personales susceptibles de protegerse, el </w:t>
      </w:r>
      <w:r w:rsidRPr="0060338D">
        <w:rPr>
          <w:rFonts w:ascii="Palatino Linotype" w:eastAsia="Palatino Linotype" w:hAnsi="Palatino Linotype" w:cs="Palatino Linotype"/>
          <w:b/>
          <w:color w:val="000000" w:themeColor="text1"/>
        </w:rPr>
        <w:t xml:space="preserve">Sujeto Obligado </w:t>
      </w:r>
      <w:r w:rsidRPr="0060338D">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lastRenderedPageBreak/>
        <w:t>No pasa desapercibido para este Órgano Garante que los Sujetos Obligados</w:t>
      </w:r>
      <w:r w:rsidRPr="0060338D">
        <w:rPr>
          <w:rFonts w:ascii="Palatino Linotype" w:eastAsia="Palatino Linotype" w:hAnsi="Palatino Linotype" w:cs="Palatino Linotype"/>
          <w:b/>
          <w:color w:val="000000" w:themeColor="text1"/>
        </w:rPr>
        <w:t xml:space="preserve"> </w:t>
      </w:r>
      <w:r w:rsidRPr="0060338D">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FB78A5" w:rsidRPr="0060338D" w:rsidRDefault="00FB78A5" w:rsidP="0060338D">
      <w:pPr>
        <w:spacing w:line="360" w:lineRule="auto"/>
        <w:jc w:val="both"/>
        <w:rPr>
          <w:rFonts w:ascii="Palatino Linotype" w:eastAsia="Palatino Linotype" w:hAnsi="Palatino Linotype" w:cs="Palatino Linotype"/>
          <w:color w:val="000000" w:themeColor="text1"/>
        </w:rPr>
      </w:pPr>
    </w:p>
    <w:tbl>
      <w:tblPr>
        <w:tblStyle w:val="ad"/>
        <w:tblW w:w="9633"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944"/>
      </w:tblGrid>
      <w:tr w:rsidR="0060338D" w:rsidRPr="0060338D" w:rsidTr="00EA0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FB78A5" w:rsidRPr="0060338D" w:rsidRDefault="00DA2561" w:rsidP="0060338D">
            <w:pPr>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color w:val="000000" w:themeColor="text1"/>
                <w:sz w:val="24"/>
                <w:szCs w:val="24"/>
              </w:rPr>
              <w:t>a) Requisitos previos.</w:t>
            </w:r>
          </w:p>
        </w:tc>
        <w:tc>
          <w:tcPr>
            <w:tcW w:w="6944" w:type="dxa"/>
          </w:tcPr>
          <w:p w:rsidR="00FB78A5" w:rsidRPr="0060338D" w:rsidRDefault="00DA2561" w:rsidP="0060338D">
            <w:pPr>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b w:val="0"/>
                <w:color w:val="000000" w:themeColor="text1"/>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FB78A5" w:rsidRPr="0060338D" w:rsidRDefault="00DA2561" w:rsidP="0060338D">
            <w:pPr>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b w:val="0"/>
                <w:color w:val="000000" w:themeColor="text1"/>
                <w:sz w:val="24"/>
                <w:szCs w:val="24"/>
              </w:rPr>
              <w:t>Al hacerlo tienen que precisar de qué información se trata, señalando el supuesto de clasificación (confidencialidad o reserva).</w:t>
            </w:r>
          </w:p>
          <w:p w:rsidR="00FB78A5" w:rsidRPr="0060338D" w:rsidRDefault="00DA2561" w:rsidP="0060338D">
            <w:pPr>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b w:val="0"/>
                <w:color w:val="000000" w:themeColor="text1"/>
                <w:sz w:val="24"/>
                <w:szCs w:val="24"/>
              </w:rPr>
              <w:t>Además, se debe señalar el procedimiento, de los tres que establecen los artículos 132 y 106 de la Ley Estatal y General, respectivamente.</w:t>
            </w:r>
          </w:p>
          <w:p w:rsidR="00FB78A5" w:rsidRPr="0060338D" w:rsidRDefault="00DA2561" w:rsidP="0060338D">
            <w:pPr>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b w:val="0"/>
                <w:color w:val="000000" w:themeColor="text1"/>
                <w:sz w:val="24"/>
                <w:szCs w:val="24"/>
              </w:rPr>
              <w:t xml:space="preserve">El último de estos requisitos previos consiste en que no se pueden emitir acuerdos de carácter general ni particular, esto es, </w:t>
            </w:r>
            <w:r w:rsidRPr="0060338D">
              <w:rPr>
                <w:rFonts w:ascii="Palatino Linotype" w:eastAsia="Palatino Linotype" w:hAnsi="Palatino Linotype" w:cs="Palatino Linotype"/>
                <w:b w:val="0"/>
                <w:color w:val="000000" w:themeColor="text1"/>
                <w:sz w:val="24"/>
                <w:szCs w:val="24"/>
                <w:u w:val="single"/>
              </w:rPr>
              <w:t>no se puede hacer un acuerdo para clasificar de manera general todos los documentos de un expediente o área, sin</w:t>
            </w:r>
            <w:r w:rsidRPr="0060338D">
              <w:rPr>
                <w:rFonts w:ascii="Palatino Linotype" w:eastAsia="Palatino Linotype" w:hAnsi="Palatino Linotype" w:cs="Palatino Linotype"/>
                <w:b w:val="0"/>
                <w:color w:val="000000" w:themeColor="text1"/>
                <w:sz w:val="24"/>
                <w:szCs w:val="24"/>
              </w:rPr>
              <w:t xml:space="preserve"> individualizar su análisis y tampoco se puede hacer un acuerdo por cada dato que se vaya a clasificar dentro de un documento con diez datos, por ejemplo, susceptibles de ser clasificados.</w:t>
            </w:r>
          </w:p>
        </w:tc>
      </w:tr>
      <w:tr w:rsidR="0060338D" w:rsidRPr="0060338D" w:rsidTr="00EA0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FB78A5" w:rsidRPr="0060338D" w:rsidRDefault="00DA2561" w:rsidP="0060338D">
            <w:pPr>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color w:val="000000" w:themeColor="text1"/>
                <w:sz w:val="24"/>
                <w:szCs w:val="24"/>
              </w:rPr>
              <w:t>b) Supuestos de clasificación.</w:t>
            </w:r>
          </w:p>
        </w:tc>
        <w:tc>
          <w:tcPr>
            <w:tcW w:w="6944" w:type="dxa"/>
          </w:tcPr>
          <w:p w:rsidR="00FB78A5" w:rsidRPr="0060338D" w:rsidRDefault="00DA2561" w:rsidP="0060338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color w:val="000000" w:themeColor="text1"/>
                <w:sz w:val="24"/>
                <w:szCs w:val="24"/>
              </w:rPr>
              <w:t>Las disposiciones constitucionales y legales en la materia establecen los dos supuestos generales para clasificar la información: por reserva y por confidencialidad.</w:t>
            </w:r>
          </w:p>
          <w:p w:rsidR="00FB78A5" w:rsidRPr="0060338D" w:rsidRDefault="00DA2561" w:rsidP="0060338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color w:val="000000" w:themeColor="text1"/>
                <w:sz w:val="24"/>
                <w:szCs w:val="24"/>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w:t>
            </w:r>
            <w:r w:rsidRPr="0060338D">
              <w:rPr>
                <w:rFonts w:ascii="Palatino Linotype" w:eastAsia="Palatino Linotype" w:hAnsi="Palatino Linotype" w:cs="Palatino Linotype"/>
                <w:color w:val="000000" w:themeColor="text1"/>
                <w:sz w:val="24"/>
                <w:szCs w:val="24"/>
              </w:rPr>
              <w:lastRenderedPageBreak/>
              <w:t>debe realizarse de manera restrictiva y limitada, por lo que debe acreditarse que se cumple con esta condición y no se pueden ampliar las excepciones o supuestos de clasificación aduciendo analogía o mayoría de razón.</w:t>
            </w:r>
          </w:p>
          <w:p w:rsidR="00FB78A5" w:rsidRPr="0060338D" w:rsidRDefault="00DA2561" w:rsidP="0060338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color w:val="000000" w:themeColor="text1"/>
                <w:sz w:val="24"/>
                <w:szCs w:val="24"/>
              </w:rPr>
              <w:t xml:space="preserve">El </w:t>
            </w:r>
            <w:r w:rsidRPr="0060338D">
              <w:rPr>
                <w:rFonts w:ascii="Palatino Linotype" w:eastAsia="Palatino Linotype" w:hAnsi="Palatino Linotype" w:cs="Palatino Linotype"/>
                <w:b/>
                <w:color w:val="000000" w:themeColor="text1"/>
                <w:sz w:val="24"/>
                <w:szCs w:val="24"/>
              </w:rPr>
              <w:t>Sujeto Obligado</w:t>
            </w:r>
            <w:r w:rsidRPr="0060338D">
              <w:rPr>
                <w:rFonts w:ascii="Palatino Linotype" w:eastAsia="Palatino Linotype" w:hAnsi="Palatino Linotype" w:cs="Palatino Linotype"/>
                <w:color w:val="000000" w:themeColor="text1"/>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0338D" w:rsidRPr="0060338D" w:rsidTr="00EA0D5D">
        <w:tc>
          <w:tcPr>
            <w:cnfStyle w:val="001000000000" w:firstRow="0" w:lastRow="0" w:firstColumn="1" w:lastColumn="0" w:oddVBand="0" w:evenVBand="0" w:oddHBand="0" w:evenHBand="0" w:firstRowFirstColumn="0" w:firstRowLastColumn="0" w:lastRowFirstColumn="0" w:lastRowLastColumn="0"/>
            <w:tcW w:w="2689" w:type="dxa"/>
          </w:tcPr>
          <w:p w:rsidR="00FB78A5" w:rsidRPr="0060338D" w:rsidRDefault="00DA2561" w:rsidP="0060338D">
            <w:pPr>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color w:val="000000" w:themeColor="text1"/>
                <w:sz w:val="24"/>
                <w:szCs w:val="24"/>
              </w:rPr>
              <w:t>c) Formalidades para emitir el acuerdo de clasificación.</w:t>
            </w:r>
          </w:p>
        </w:tc>
        <w:tc>
          <w:tcPr>
            <w:tcW w:w="6944" w:type="dxa"/>
          </w:tcPr>
          <w:p w:rsidR="00FB78A5" w:rsidRPr="0060338D" w:rsidRDefault="00DA2561" w:rsidP="0060338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color w:val="000000" w:themeColor="text1"/>
                <w:sz w:val="24"/>
                <w:szCs w:val="24"/>
              </w:rPr>
              <w:t xml:space="preserve">El Comité de Transparencia, según lo dispuesto en los artículos cuenta con las facultades para aprobar, modificar o revocar la clasificación de la información que haya propuesto. </w:t>
            </w:r>
          </w:p>
          <w:p w:rsidR="00FB78A5" w:rsidRPr="0060338D" w:rsidRDefault="00DA2561" w:rsidP="0060338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color w:val="000000" w:themeColor="text1"/>
                <w:sz w:val="24"/>
                <w:szCs w:val="24"/>
              </w:rPr>
              <w:t xml:space="preserve">Es necesario que </w:t>
            </w:r>
            <w:r w:rsidRPr="0060338D">
              <w:rPr>
                <w:rFonts w:ascii="Palatino Linotype" w:eastAsia="Palatino Linotype" w:hAnsi="Palatino Linotype" w:cs="Palatino Linotype"/>
                <w:b/>
                <w:color w:val="000000" w:themeColor="text1"/>
                <w:sz w:val="24"/>
                <w:szCs w:val="24"/>
                <w:u w:val="single"/>
              </w:rPr>
              <w:t>el acto reúna con los requisitos elementales</w:t>
            </w:r>
            <w:r w:rsidRPr="0060338D">
              <w:rPr>
                <w:rFonts w:ascii="Palatino Linotype" w:eastAsia="Palatino Linotype" w:hAnsi="Palatino Linotype" w:cs="Palatino Linotype"/>
                <w:color w:val="000000" w:themeColor="text1"/>
                <w:sz w:val="24"/>
                <w:szCs w:val="24"/>
              </w:rPr>
              <w:t>, entre ellos, que la autoridad que va a emitir el acto de autoridad sea la legalmente facultada para ello.</w:t>
            </w:r>
          </w:p>
          <w:p w:rsidR="00FB78A5" w:rsidRPr="0060338D" w:rsidRDefault="00DA2561" w:rsidP="0060338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color w:val="000000" w:themeColor="text1"/>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0338D" w:rsidRPr="0060338D" w:rsidTr="00EA0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FB78A5" w:rsidRPr="0060338D" w:rsidRDefault="00FB78A5" w:rsidP="0060338D">
            <w:pPr>
              <w:rPr>
                <w:rFonts w:ascii="Palatino Linotype" w:eastAsia="Palatino Linotype" w:hAnsi="Palatino Linotype" w:cs="Palatino Linotype"/>
                <w:color w:val="000000" w:themeColor="text1"/>
                <w:sz w:val="24"/>
                <w:szCs w:val="24"/>
              </w:rPr>
            </w:pPr>
          </w:p>
          <w:p w:rsidR="00FB78A5" w:rsidRPr="0060338D" w:rsidRDefault="00DA2561" w:rsidP="0060338D">
            <w:pPr>
              <w:jc w:val="both"/>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color w:val="000000" w:themeColor="text1"/>
                <w:sz w:val="24"/>
                <w:szCs w:val="24"/>
              </w:rPr>
              <w:t xml:space="preserve">d) Requisitos de fondo del acuerdo de clasificación. </w:t>
            </w:r>
          </w:p>
        </w:tc>
        <w:tc>
          <w:tcPr>
            <w:tcW w:w="6944" w:type="dxa"/>
          </w:tcPr>
          <w:p w:rsidR="00FB78A5" w:rsidRPr="0060338D" w:rsidRDefault="00DA2561" w:rsidP="0060338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color w:val="000000" w:themeColor="text1"/>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0338D">
              <w:rPr>
                <w:rFonts w:ascii="Palatino Linotype" w:eastAsia="Palatino Linotype" w:hAnsi="Palatino Linotype" w:cs="Palatino Linotype"/>
                <w:b/>
                <w:color w:val="000000" w:themeColor="text1"/>
                <w:sz w:val="24"/>
                <w:szCs w:val="24"/>
              </w:rPr>
              <w:t>Sujetos Obligados</w:t>
            </w:r>
            <w:r w:rsidRPr="0060338D">
              <w:rPr>
                <w:rFonts w:ascii="Palatino Linotype" w:eastAsia="Palatino Linotype" w:hAnsi="Palatino Linotype" w:cs="Palatino Linotype"/>
                <w:color w:val="000000" w:themeColor="text1"/>
                <w:sz w:val="24"/>
                <w:szCs w:val="24"/>
              </w:rPr>
              <w:t xml:space="preserve">, por lo que deberán fundar y motivar debidamente la clasificación. </w:t>
            </w:r>
          </w:p>
          <w:p w:rsidR="00FB78A5" w:rsidRPr="0060338D" w:rsidRDefault="00DA2561" w:rsidP="0060338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color w:val="000000" w:themeColor="text1"/>
                <w:sz w:val="24"/>
                <w:szCs w:val="24"/>
              </w:rPr>
              <w:t xml:space="preserve">De lo anterior, se desprende que para una correcta </w:t>
            </w:r>
            <w:r w:rsidRPr="0060338D">
              <w:rPr>
                <w:rFonts w:ascii="Palatino Linotype" w:eastAsia="Palatino Linotype" w:hAnsi="Palatino Linotype" w:cs="Palatino Linotype"/>
                <w:b/>
                <w:color w:val="000000" w:themeColor="text1"/>
                <w:sz w:val="24"/>
                <w:szCs w:val="24"/>
              </w:rPr>
              <w:t>clasificación total o parcial</w:t>
            </w:r>
            <w:r w:rsidRPr="0060338D">
              <w:rPr>
                <w:rFonts w:ascii="Palatino Linotype" w:eastAsia="Palatino Linotype" w:hAnsi="Palatino Linotype" w:cs="Palatino Linotype"/>
                <w:color w:val="000000" w:themeColor="text1"/>
                <w:sz w:val="24"/>
                <w:szCs w:val="24"/>
              </w:rPr>
              <w:t xml:space="preserve">, esto es determinar los datos que se suprimen en las versiones públicas, es necesario fundar y motivar, de manera </w:t>
            </w:r>
            <w:r w:rsidRPr="0060338D">
              <w:rPr>
                <w:rFonts w:ascii="Palatino Linotype" w:eastAsia="Palatino Linotype" w:hAnsi="Palatino Linotype" w:cs="Palatino Linotype"/>
                <w:color w:val="000000" w:themeColor="text1"/>
                <w:sz w:val="24"/>
                <w:szCs w:val="24"/>
              </w:rPr>
              <w:lastRenderedPageBreak/>
              <w:t>correcta, la clasificación; considerando que todo acto que la autoridad pronuncie en el ejercicio de sus atribuciones, debe expresar los fundamentos legales que le dieron origen y las razones por las que se deben aplicar al caso concreto.</w:t>
            </w:r>
          </w:p>
          <w:p w:rsidR="00FB78A5" w:rsidRPr="0060338D" w:rsidRDefault="00DA2561" w:rsidP="0060338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color w:val="000000" w:themeColor="text1"/>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FB78A5" w:rsidRPr="0060338D" w:rsidRDefault="00DA2561" w:rsidP="0060338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color w:val="000000" w:themeColor="text1"/>
                <w:sz w:val="24"/>
                <w:szCs w:val="24"/>
              </w:rPr>
              <w:t>En ese mismo sentido, el numeral trigésimo tercero fracción V de los Lineamientos Generales, precisa que para motivar la clasificación se deben acreditar las circunstancias de tiempo, modo y lugar.</w:t>
            </w:r>
          </w:p>
          <w:p w:rsidR="00FB78A5" w:rsidRPr="0060338D" w:rsidRDefault="00DA2561" w:rsidP="0060338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color w:val="000000" w:themeColor="text1"/>
                <w:sz w:val="24"/>
                <w:szCs w:val="24"/>
              </w:rPr>
              <w:t xml:space="preserve">Ahora bien, </w:t>
            </w:r>
            <w:r w:rsidRPr="0060338D">
              <w:rPr>
                <w:rFonts w:ascii="Palatino Linotype" w:eastAsia="Palatino Linotype" w:hAnsi="Palatino Linotype" w:cs="Palatino Linotype"/>
                <w:b/>
                <w:color w:val="000000" w:themeColor="text1"/>
                <w:sz w:val="24"/>
                <w:szCs w:val="24"/>
                <w:u w:val="single"/>
              </w:rPr>
              <w:t>para cada caso además de fundar y motivar</w:t>
            </w:r>
            <w:r w:rsidRPr="0060338D">
              <w:rPr>
                <w:rFonts w:ascii="Palatino Linotype" w:eastAsia="Palatino Linotype" w:hAnsi="Palatino Linotype" w:cs="Palatino Linotype"/>
                <w:color w:val="000000" w:themeColor="text1"/>
                <w:sz w:val="24"/>
                <w:szCs w:val="24"/>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0338D" w:rsidRPr="0060338D" w:rsidTr="00EA0D5D">
        <w:tc>
          <w:tcPr>
            <w:cnfStyle w:val="001000000000" w:firstRow="0" w:lastRow="0" w:firstColumn="1" w:lastColumn="0" w:oddVBand="0" w:evenVBand="0" w:oddHBand="0" w:evenHBand="0" w:firstRowFirstColumn="0" w:firstRowLastColumn="0" w:lastRowFirstColumn="0" w:lastRowLastColumn="0"/>
            <w:tcW w:w="2689" w:type="dxa"/>
          </w:tcPr>
          <w:p w:rsidR="00FB78A5" w:rsidRPr="0060338D" w:rsidRDefault="00DA2561" w:rsidP="0060338D">
            <w:pPr>
              <w:jc w:val="both"/>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b w:val="0"/>
                <w:color w:val="000000" w:themeColor="text1"/>
                <w:sz w:val="24"/>
                <w:szCs w:val="24"/>
              </w:rPr>
              <w:t>e</w:t>
            </w:r>
            <w:r w:rsidRPr="0060338D">
              <w:rPr>
                <w:rFonts w:ascii="Palatino Linotype" w:eastAsia="Palatino Linotype" w:hAnsi="Palatino Linotype" w:cs="Palatino Linotype"/>
                <w:color w:val="000000" w:themeColor="text1"/>
                <w:sz w:val="24"/>
                <w:szCs w:val="24"/>
              </w:rPr>
              <w:t xml:space="preserve">) Condiciones especiales de la clasificación de la información como confidencial. </w:t>
            </w:r>
          </w:p>
        </w:tc>
        <w:tc>
          <w:tcPr>
            <w:tcW w:w="6944" w:type="dxa"/>
          </w:tcPr>
          <w:p w:rsidR="00FB78A5" w:rsidRPr="0060338D" w:rsidRDefault="00DA2561" w:rsidP="0060338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w:t>
            </w:r>
          </w:p>
          <w:p w:rsidR="00FB78A5" w:rsidRPr="0060338D" w:rsidRDefault="00DA2561" w:rsidP="0060338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color w:val="000000" w:themeColor="text1"/>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FB78A5" w:rsidRPr="0060338D" w:rsidRDefault="00DA2561" w:rsidP="0060338D">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60338D">
              <w:rPr>
                <w:rFonts w:ascii="Palatino Linotype" w:eastAsia="Palatino Linotype" w:hAnsi="Palatino Linotype" w:cs="Palatino Linotype"/>
                <w:color w:val="000000" w:themeColor="text1"/>
                <w:sz w:val="24"/>
                <w:szCs w:val="24"/>
              </w:rPr>
              <w:t xml:space="preserve">Pero si la información que se pretende clasificar como confidencial no se encuentra en los supuestos de los artículos señalados y es posible, se deberá consultar al titular de los </w:t>
            </w:r>
            <w:r w:rsidRPr="0060338D">
              <w:rPr>
                <w:rFonts w:ascii="Palatino Linotype" w:eastAsia="Palatino Linotype" w:hAnsi="Palatino Linotype" w:cs="Palatino Linotype"/>
                <w:color w:val="000000" w:themeColor="text1"/>
                <w:sz w:val="24"/>
                <w:szCs w:val="24"/>
              </w:rPr>
              <w:lastRenderedPageBreak/>
              <w:t>datos si permite o no el acceso. De no ser posible, la realización de la consulta, procede, fundando y motivando, la clasificación.</w:t>
            </w:r>
          </w:p>
        </w:tc>
      </w:tr>
    </w:tbl>
    <w:p w:rsidR="00FB78A5" w:rsidRPr="0060338D" w:rsidRDefault="00FB78A5" w:rsidP="0060338D">
      <w:pPr>
        <w:tabs>
          <w:tab w:val="left" w:pos="426"/>
        </w:tabs>
        <w:spacing w:line="360" w:lineRule="auto"/>
        <w:jc w:val="both"/>
        <w:rPr>
          <w:rFonts w:ascii="Palatino Linotype" w:eastAsia="Palatino Linotype" w:hAnsi="Palatino Linotype" w:cs="Palatino Linotype"/>
          <w:b/>
          <w:color w:val="000000" w:themeColor="text1"/>
        </w:rPr>
      </w:pPr>
    </w:p>
    <w:p w:rsidR="00FB78A5" w:rsidRPr="0060338D" w:rsidRDefault="00DA2561" w:rsidP="0060338D">
      <w:pPr>
        <w:numPr>
          <w:ilvl w:val="0"/>
          <w:numId w:val="4"/>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b/>
          <w:color w:val="000000" w:themeColor="text1"/>
        </w:rPr>
        <w:t>Del análisis de los datos susceptibles de ser protegidos en la nómina.</w:t>
      </w: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Bajo lo anterior, es importante analizar los datos personales susceptibles de ser protegidos, que pudieran estar contenidos en los documentos donde obra lo requerido, tales como </w:t>
      </w:r>
      <w:r w:rsidRPr="0060338D">
        <w:rPr>
          <w:rFonts w:ascii="Palatino Linotype" w:eastAsia="Palatino Linotype" w:hAnsi="Palatino Linotype" w:cs="Palatino Linotype"/>
          <w:b/>
          <w:color w:val="000000" w:themeColor="text1"/>
        </w:rPr>
        <w:t xml:space="preserve">Registro Federal de Contribuyentes (RFC), </w:t>
      </w:r>
      <w:r w:rsidRPr="0060338D">
        <w:rPr>
          <w:rFonts w:ascii="Palatino Linotype" w:eastAsia="Palatino Linotype" w:hAnsi="Palatino Linotype" w:cs="Palatino Linotype"/>
          <w:color w:val="000000" w:themeColor="text1"/>
        </w:rPr>
        <w:t xml:space="preserve">la </w:t>
      </w:r>
      <w:r w:rsidRPr="0060338D">
        <w:rPr>
          <w:rFonts w:ascii="Palatino Linotype" w:eastAsia="Palatino Linotype" w:hAnsi="Palatino Linotype" w:cs="Palatino Linotype"/>
          <w:b/>
          <w:color w:val="000000" w:themeColor="text1"/>
        </w:rPr>
        <w:t>Clave Única de Registro de Población (CURP)</w:t>
      </w:r>
      <w:r w:rsidRPr="0060338D">
        <w:rPr>
          <w:rFonts w:ascii="Palatino Linotype" w:eastAsia="Palatino Linotype" w:hAnsi="Palatino Linotype" w:cs="Palatino Linotype"/>
          <w:color w:val="000000" w:themeColor="text1"/>
        </w:rPr>
        <w:t xml:space="preserve">, la </w:t>
      </w:r>
      <w:r w:rsidRPr="0060338D">
        <w:rPr>
          <w:rFonts w:ascii="Palatino Linotype" w:eastAsia="Palatino Linotype" w:hAnsi="Palatino Linotype" w:cs="Palatino Linotype"/>
          <w:b/>
          <w:color w:val="000000" w:themeColor="text1"/>
        </w:rPr>
        <w:t xml:space="preserve">Clave de ISSEMyM </w:t>
      </w:r>
      <w:r w:rsidRPr="0060338D">
        <w:rPr>
          <w:rFonts w:ascii="Palatino Linotype" w:eastAsia="Palatino Linotype" w:hAnsi="Palatino Linotype" w:cs="Palatino Linotype"/>
          <w:color w:val="000000" w:themeColor="text1"/>
        </w:rPr>
        <w:t xml:space="preserve">u análogos, </w:t>
      </w:r>
      <w:r w:rsidRPr="0060338D">
        <w:rPr>
          <w:rFonts w:ascii="Palatino Linotype" w:eastAsia="Palatino Linotype" w:hAnsi="Palatino Linotype" w:cs="Palatino Linotype"/>
          <w:b/>
          <w:color w:val="000000" w:themeColor="text1"/>
        </w:rPr>
        <w:t xml:space="preserve">préstamos o descuentos </w:t>
      </w:r>
      <w:r w:rsidRPr="0060338D">
        <w:rPr>
          <w:rFonts w:ascii="Palatino Linotype" w:eastAsia="Palatino Linotype" w:hAnsi="Palatino Linotype" w:cs="Palatino Linotype"/>
          <w:color w:val="000000" w:themeColor="text1"/>
        </w:rPr>
        <w:t xml:space="preserve">realizados al servidor público y la </w:t>
      </w:r>
      <w:r w:rsidRPr="0060338D">
        <w:rPr>
          <w:rFonts w:ascii="Palatino Linotype" w:eastAsia="Palatino Linotype" w:hAnsi="Palatino Linotype" w:cs="Palatino Linotype"/>
          <w:b/>
          <w:color w:val="000000" w:themeColor="text1"/>
        </w:rPr>
        <w:t>clave interbancaria de depósito.</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1"/>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b/>
          <w:color w:val="000000" w:themeColor="text1"/>
        </w:rPr>
        <w:t>Del Registro Federal de Contribuyentes.</w:t>
      </w: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lastRenderedPageBreak/>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rsidR="00FB78A5" w:rsidRPr="0060338D" w:rsidRDefault="00FB78A5" w:rsidP="0060338D">
      <w:pPr>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rsidR="00FB78A5" w:rsidRPr="0060338D" w:rsidRDefault="00FB78A5" w:rsidP="0060338D">
      <w:pPr>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En el mismo sentido, resulta aplicable el Criterio 19/17 emitido por el Instituto Nacional de Transparencia, Acceso a la Información, y Protección de Datos Personales, en el cual se señala lo siguiente:</w:t>
      </w:r>
    </w:p>
    <w:p w:rsidR="00FB78A5" w:rsidRPr="0060338D" w:rsidRDefault="00DA2561" w:rsidP="0060338D">
      <w:pPr>
        <w:shd w:val="clear" w:color="auto" w:fill="FFFFFF"/>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b/>
          <w:i/>
          <w:color w:val="000000" w:themeColor="text1"/>
        </w:rPr>
        <w:t>REGISTRO FEDERAL DE CONTRIBUYENTES (RFC) DE PERSONAS FÍSICAS.</w:t>
      </w:r>
      <w:r w:rsidRPr="0060338D">
        <w:rPr>
          <w:rFonts w:ascii="Palatino Linotype" w:eastAsia="Palatino Linotype" w:hAnsi="Palatino Linotype" w:cs="Palatino Linotype"/>
          <w:i/>
          <w:color w:val="000000" w:themeColor="text1"/>
        </w:rPr>
        <w:t xml:space="preserve"> “El RFC es una clave de carácter fiscal, única e irrepetible, que permite identificar al titular, su edad y fecha de nacimiento, por lo que es un dato personal de carácter confidencial.”</w:t>
      </w:r>
    </w:p>
    <w:p w:rsidR="00FB78A5" w:rsidRDefault="00FB78A5" w:rsidP="0060338D">
      <w:pPr>
        <w:shd w:val="clear" w:color="auto" w:fill="FFFFFF"/>
        <w:jc w:val="both"/>
        <w:rPr>
          <w:rFonts w:ascii="Palatino Linotype" w:eastAsia="Palatino Linotype" w:hAnsi="Palatino Linotype" w:cs="Palatino Linotype"/>
          <w:i/>
          <w:color w:val="000000" w:themeColor="text1"/>
        </w:rPr>
      </w:pPr>
    </w:p>
    <w:p w:rsidR="00EA0D5D" w:rsidRPr="0060338D" w:rsidRDefault="00EA0D5D" w:rsidP="0060338D">
      <w:pPr>
        <w:shd w:val="clear" w:color="auto" w:fill="FFFFFF"/>
        <w:jc w:val="both"/>
        <w:rPr>
          <w:rFonts w:ascii="Palatino Linotype" w:eastAsia="Palatino Linotype" w:hAnsi="Palatino Linotype" w:cs="Palatino Linotype"/>
          <w:i/>
          <w:color w:val="000000" w:themeColor="text1"/>
        </w:rPr>
      </w:pPr>
    </w:p>
    <w:p w:rsidR="00FB78A5" w:rsidRPr="0060338D" w:rsidRDefault="00DA2561" w:rsidP="0060338D">
      <w:pPr>
        <w:tabs>
          <w:tab w:val="left" w:pos="426"/>
        </w:tabs>
        <w:spacing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b/>
          <w:color w:val="000000" w:themeColor="text1"/>
        </w:rPr>
        <w:t>b) De la Clave Única de Registro de Población.</w:t>
      </w: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noProof/>
          <w:color w:val="000000" w:themeColor="text1"/>
          <w:lang w:val="es-MX"/>
        </w:rPr>
        <w:lastRenderedPageBreak/>
        <w:drawing>
          <wp:inline distT="0" distB="0" distL="0" distR="0">
            <wp:extent cx="4795317" cy="3951341"/>
            <wp:effectExtent l="12700" t="12700" r="12700" b="12700"/>
            <wp:docPr id="78" name="image7.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Aplicación&#10;&#10;Descripción generada automáticamente"/>
                    <pic:cNvPicPr preferRelativeResize="0"/>
                  </pic:nvPicPr>
                  <pic:blipFill>
                    <a:blip r:embed="rId26"/>
                    <a:srcRect l="25746" t="8269" r="41253" b="18081"/>
                    <a:stretch>
                      <a:fillRect/>
                    </a:stretch>
                  </pic:blipFill>
                  <pic:spPr>
                    <a:xfrm>
                      <a:off x="0" y="0"/>
                      <a:ext cx="4795317" cy="3951341"/>
                    </a:xfrm>
                    <a:prstGeom prst="rect">
                      <a:avLst/>
                    </a:prstGeom>
                    <a:ln w="12700">
                      <a:solidFill>
                        <a:srgbClr val="000000"/>
                      </a:solidFill>
                      <a:prstDash val="solid"/>
                    </a:ln>
                  </pic:spPr>
                </pic:pic>
              </a:graphicData>
            </a:graphic>
          </wp:inline>
        </w:drawing>
      </w:r>
    </w:p>
    <w:p w:rsidR="00FB78A5" w:rsidRPr="0060338D" w:rsidRDefault="00FB78A5" w:rsidP="0060338D">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Es 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Entre las características de la CURP, se encuentra:</w:t>
      </w:r>
    </w:p>
    <w:p w:rsidR="00FB78A5" w:rsidRPr="0060338D" w:rsidRDefault="00DA2561" w:rsidP="0060338D">
      <w:pPr>
        <w:tabs>
          <w:tab w:val="left" w:pos="426"/>
          <w:tab w:val="left" w:pos="567"/>
        </w:tabs>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b/>
          <w:i/>
          <w:color w:val="000000" w:themeColor="text1"/>
        </w:rPr>
        <w:t xml:space="preserve">Composición. </w:t>
      </w:r>
      <w:r w:rsidRPr="0060338D">
        <w:rPr>
          <w:rFonts w:ascii="Palatino Linotype" w:eastAsia="Palatino Linotype" w:hAnsi="Palatino Linotype" w:cs="Palatino Linotype"/>
          <w:i/>
          <w:color w:val="000000" w:themeColor="text1"/>
        </w:rPr>
        <w:t>Alfanumérica.</w:t>
      </w:r>
    </w:p>
    <w:p w:rsidR="00FB78A5" w:rsidRPr="0060338D" w:rsidRDefault="00DA2561" w:rsidP="0060338D">
      <w:pPr>
        <w:tabs>
          <w:tab w:val="left" w:pos="426"/>
          <w:tab w:val="left" w:pos="567"/>
        </w:tabs>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b/>
          <w:i/>
          <w:color w:val="000000" w:themeColor="text1"/>
        </w:rPr>
        <w:t xml:space="preserve">Longitud. </w:t>
      </w:r>
      <w:r w:rsidRPr="0060338D">
        <w:rPr>
          <w:rFonts w:ascii="Palatino Linotype" w:eastAsia="Palatino Linotype" w:hAnsi="Palatino Linotype" w:cs="Palatino Linotype"/>
          <w:i/>
          <w:color w:val="000000" w:themeColor="text1"/>
        </w:rPr>
        <w:t xml:space="preserve"> 18 caracteres.</w:t>
      </w:r>
    </w:p>
    <w:p w:rsidR="00FB78A5" w:rsidRPr="0060338D" w:rsidRDefault="00DA2561" w:rsidP="0060338D">
      <w:pPr>
        <w:tabs>
          <w:tab w:val="left" w:pos="426"/>
          <w:tab w:val="left" w:pos="567"/>
        </w:tabs>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b/>
          <w:i/>
          <w:color w:val="000000" w:themeColor="text1"/>
        </w:rPr>
        <w:t xml:space="preserve">Naturaleza. </w:t>
      </w:r>
      <w:r w:rsidRPr="0060338D">
        <w:rPr>
          <w:rFonts w:ascii="Palatino Linotype" w:eastAsia="Palatino Linotype" w:hAnsi="Palatino Linotype" w:cs="Palatino Linotype"/>
          <w:i/>
          <w:color w:val="000000" w:themeColor="text1"/>
        </w:rPr>
        <w:t>Biunívoca.</w:t>
      </w:r>
    </w:p>
    <w:p w:rsidR="00FB78A5" w:rsidRPr="0060338D" w:rsidRDefault="00DA2561" w:rsidP="0060338D">
      <w:pPr>
        <w:tabs>
          <w:tab w:val="left" w:pos="426"/>
          <w:tab w:val="left" w:pos="567"/>
        </w:tabs>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b/>
          <w:i/>
          <w:color w:val="000000" w:themeColor="text1"/>
        </w:rPr>
        <w:t xml:space="preserve">Universalidad. </w:t>
      </w:r>
      <w:r w:rsidRPr="0060338D">
        <w:rPr>
          <w:rFonts w:ascii="Palatino Linotype" w:eastAsia="Palatino Linotype" w:hAnsi="Palatino Linotype" w:cs="Palatino Linotype"/>
          <w:i/>
          <w:color w:val="000000" w:themeColor="text1"/>
        </w:rPr>
        <w:t>Se asigna a todas las personas que conforman la población.</w:t>
      </w:r>
    </w:p>
    <w:p w:rsidR="00FB78A5" w:rsidRPr="0060338D" w:rsidRDefault="00DA2561" w:rsidP="0060338D">
      <w:pPr>
        <w:tabs>
          <w:tab w:val="left" w:pos="142"/>
          <w:tab w:val="left" w:pos="284"/>
          <w:tab w:val="left" w:pos="426"/>
        </w:tabs>
        <w:jc w:val="both"/>
        <w:rPr>
          <w:rFonts w:ascii="Palatino Linotype" w:eastAsia="Palatino Linotype" w:hAnsi="Palatino Linotype" w:cs="Palatino Linotype"/>
          <w:b/>
          <w:i/>
          <w:color w:val="000000" w:themeColor="text1"/>
        </w:rPr>
      </w:pPr>
      <w:r w:rsidRPr="0060338D">
        <w:rPr>
          <w:rFonts w:ascii="Palatino Linotype" w:eastAsia="Palatino Linotype" w:hAnsi="Palatino Linotype" w:cs="Palatino Linotype"/>
          <w:b/>
          <w:i/>
          <w:color w:val="000000" w:themeColor="text1"/>
        </w:rPr>
        <w:t xml:space="preserve">Verificabilidad. En su estructura existen elementos que permiten comprobar si fue conformada correctamente o no, así como fecha de nacimiento, sexo, identificad federativa </w:t>
      </w:r>
      <w:r w:rsidRPr="0060338D">
        <w:rPr>
          <w:rFonts w:ascii="Palatino Linotype" w:eastAsia="Palatino Linotype" w:hAnsi="Palatino Linotype" w:cs="Palatino Linotype"/>
          <w:b/>
          <w:i/>
          <w:color w:val="000000" w:themeColor="text1"/>
        </w:rPr>
        <w:lastRenderedPageBreak/>
        <w:t>de nacimiento y las primeras composiciones de la clave, conformadas por la letra inicial y primera vocal interna del primer apellido, la letra inicial del segundo apellido y la primera letra del nombre.</w:t>
      </w:r>
    </w:p>
    <w:p w:rsidR="00FB78A5" w:rsidRDefault="00FB78A5" w:rsidP="0060338D">
      <w:pPr>
        <w:tabs>
          <w:tab w:val="left" w:pos="142"/>
          <w:tab w:val="left" w:pos="284"/>
          <w:tab w:val="left" w:pos="426"/>
        </w:tabs>
        <w:jc w:val="both"/>
        <w:rPr>
          <w:rFonts w:ascii="Palatino Linotype" w:eastAsia="Palatino Linotype" w:hAnsi="Palatino Linotype" w:cs="Palatino Linotype"/>
          <w:i/>
          <w:color w:val="000000" w:themeColor="text1"/>
        </w:rPr>
      </w:pPr>
    </w:p>
    <w:p w:rsidR="00EA0D5D" w:rsidRPr="0060338D" w:rsidRDefault="00EA0D5D" w:rsidP="0060338D">
      <w:pPr>
        <w:tabs>
          <w:tab w:val="left" w:pos="142"/>
          <w:tab w:val="left" w:pos="284"/>
          <w:tab w:val="left" w:pos="426"/>
        </w:tabs>
        <w:jc w:val="both"/>
        <w:rPr>
          <w:rFonts w:ascii="Palatino Linotype" w:eastAsia="Palatino Linotype" w:hAnsi="Palatino Linotype" w:cs="Palatino Linotype"/>
          <w:i/>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rsidR="00FB78A5" w:rsidRPr="0060338D" w:rsidRDefault="00FB78A5" w:rsidP="0060338D">
      <w:pPr>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Ante ello, resulta aplicable el Criterio 18/17 emitido por el Instituto Nacional de Transparencia, Acceso a la Información y Protección de Datos Personales, que a la literalidad señala:</w:t>
      </w:r>
    </w:p>
    <w:p w:rsidR="00FB78A5" w:rsidRPr="0060338D" w:rsidRDefault="00DA2561" w:rsidP="0060338D">
      <w:pPr>
        <w:shd w:val="clear" w:color="auto" w:fill="FFFFFF"/>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b/>
          <w:i/>
          <w:color w:val="000000" w:themeColor="text1"/>
        </w:rPr>
        <w:t>CLAVE ÚNICA DE REGISTRO DE POBLACIÓN (CURP). “</w:t>
      </w:r>
      <w:r w:rsidRPr="0060338D">
        <w:rPr>
          <w:rFonts w:ascii="Palatino Linotype" w:eastAsia="Palatino Linotype" w:hAnsi="Palatino Linotype" w:cs="Palatino Linotype"/>
          <w:i/>
          <w:color w:val="000000" w:themeColor="text1"/>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B78A5" w:rsidRPr="0060338D" w:rsidRDefault="00FB78A5" w:rsidP="0060338D">
      <w:pPr>
        <w:tabs>
          <w:tab w:val="left" w:pos="426"/>
        </w:tabs>
        <w:jc w:val="both"/>
        <w:rPr>
          <w:rFonts w:ascii="Palatino Linotype" w:eastAsia="Palatino Linotype" w:hAnsi="Palatino Linotype" w:cs="Palatino Linotype"/>
          <w:color w:val="000000" w:themeColor="text1"/>
        </w:rPr>
      </w:pPr>
    </w:p>
    <w:p w:rsidR="00FB78A5" w:rsidRPr="0060338D" w:rsidRDefault="00DA2561" w:rsidP="0060338D">
      <w:pPr>
        <w:tabs>
          <w:tab w:val="left" w:pos="426"/>
        </w:tabs>
        <w:spacing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b/>
          <w:color w:val="000000" w:themeColor="text1"/>
        </w:rPr>
        <w:lastRenderedPageBreak/>
        <w:t>c) De la clave de identificación del Instituto de Seguridad Social del Estado de México y Municipios.</w:t>
      </w: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rsidR="00FB78A5" w:rsidRPr="0060338D" w:rsidRDefault="00FB78A5" w:rsidP="0060338D">
      <w:pPr>
        <w:pBdr>
          <w:top w:val="nil"/>
          <w:left w:val="nil"/>
          <w:bottom w:val="nil"/>
          <w:right w:val="nil"/>
          <w:between w:val="nil"/>
        </w:pBdr>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Entre los elementos que integra la credencial expedida se encuentra la Clave ISSEMyM, la cual permite identificar al servidor público que actualmente labora o laboró en alguna institución pública y que tenga vigente su derecho a recibir las prestaciones.</w:t>
      </w:r>
    </w:p>
    <w:p w:rsidR="00FB78A5" w:rsidRPr="0060338D" w:rsidRDefault="00FB78A5" w:rsidP="0060338D">
      <w:pPr>
        <w:pBdr>
          <w:top w:val="nil"/>
          <w:left w:val="nil"/>
          <w:bottom w:val="nil"/>
          <w:right w:val="nil"/>
          <w:between w:val="nil"/>
        </w:pBdr>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w:t>
      </w:r>
      <w:r w:rsidRPr="0060338D">
        <w:rPr>
          <w:rFonts w:ascii="Palatino Linotype" w:eastAsia="Palatino Linotype" w:hAnsi="Palatino Linotype" w:cs="Palatino Linotype"/>
          <w:color w:val="000000" w:themeColor="text1"/>
        </w:rPr>
        <w:lastRenderedPageBreak/>
        <w:t>funciones desempeñadas por los servidores públicos, por el contrario su exhibición si provoca una transgresión a la vida pública e intimidad de la persona.</w:t>
      </w:r>
    </w:p>
    <w:p w:rsidR="00FB78A5" w:rsidRPr="0060338D" w:rsidRDefault="00FB78A5" w:rsidP="0060338D">
      <w:pPr>
        <w:jc w:val="both"/>
        <w:rPr>
          <w:rFonts w:ascii="Palatino Linotype" w:eastAsia="Palatino Linotype" w:hAnsi="Palatino Linotype" w:cs="Palatino Linotype"/>
          <w:color w:val="000000" w:themeColor="text1"/>
        </w:rPr>
      </w:pPr>
    </w:p>
    <w:p w:rsidR="00FB78A5" w:rsidRPr="0060338D" w:rsidRDefault="00DA2561" w:rsidP="0060338D">
      <w:pPr>
        <w:tabs>
          <w:tab w:val="left" w:pos="426"/>
        </w:tabs>
        <w:spacing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b/>
          <w:color w:val="000000" w:themeColor="text1"/>
        </w:rPr>
        <w:t>d) Préstamos o descuentos de carácter personal.</w:t>
      </w: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color w:val="000000" w:themeColor="text1"/>
        </w:rPr>
        <w:t>Para entender los límites y alcances de esta restricción, es oportuno traer a colación lo establecido por el artículo 84 de la Ley del Trabajo de los Servidores Públicos del Estado y Municipios, el cual señala que:</w:t>
      </w:r>
    </w:p>
    <w:p w:rsidR="00FB78A5" w:rsidRPr="0060338D" w:rsidRDefault="00DA2561" w:rsidP="0060338D">
      <w:pPr>
        <w:tabs>
          <w:tab w:val="left" w:pos="426"/>
        </w:tabs>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b/>
          <w:i/>
          <w:color w:val="000000" w:themeColor="text1"/>
        </w:rPr>
        <w:t>“ARTÍCULO 84.</w:t>
      </w:r>
      <w:r w:rsidRPr="0060338D">
        <w:rPr>
          <w:rFonts w:ascii="Palatino Linotype" w:eastAsia="Palatino Linotype" w:hAnsi="Palatino Linotype" w:cs="Palatino Linotype"/>
          <w:i/>
          <w:color w:val="000000" w:themeColor="text1"/>
        </w:rPr>
        <w:t xml:space="preserve"> Sólo podrán hacerse retenciones, descuentos o deducciones al sueldo de los servidores públicos por concepto de: </w:t>
      </w:r>
    </w:p>
    <w:p w:rsidR="00FB78A5" w:rsidRPr="0060338D" w:rsidRDefault="00DA2561" w:rsidP="0060338D">
      <w:pPr>
        <w:tabs>
          <w:tab w:val="left" w:pos="426"/>
        </w:tabs>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b/>
          <w:i/>
          <w:color w:val="000000" w:themeColor="text1"/>
        </w:rPr>
        <w:t>I.</w:t>
      </w:r>
      <w:r w:rsidRPr="0060338D">
        <w:rPr>
          <w:rFonts w:ascii="Palatino Linotype" w:eastAsia="Palatino Linotype" w:hAnsi="Palatino Linotype" w:cs="Palatino Linotype"/>
          <w:i/>
          <w:color w:val="000000" w:themeColor="text1"/>
        </w:rPr>
        <w:t xml:space="preserve"> Gravámenes fiscales relacionados con el sueldo; </w:t>
      </w:r>
    </w:p>
    <w:p w:rsidR="00FB78A5" w:rsidRPr="0060338D" w:rsidRDefault="00DA2561" w:rsidP="0060338D">
      <w:pPr>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b/>
          <w:i/>
          <w:color w:val="000000" w:themeColor="text1"/>
        </w:rPr>
        <w:t>II.</w:t>
      </w:r>
      <w:r w:rsidRPr="0060338D">
        <w:rPr>
          <w:rFonts w:ascii="Palatino Linotype" w:eastAsia="Palatino Linotype" w:hAnsi="Palatino Linotype" w:cs="Palatino Linotype"/>
          <w:i/>
          <w:color w:val="000000" w:themeColor="text1"/>
        </w:rPr>
        <w:t xml:space="preserve"> Deudas contraídas con las instituciones públicas o dependencias por concepto de anticipos de sueldo, pagos hechos con exceso, errores o pérdidas debidamente comprobados; </w:t>
      </w:r>
    </w:p>
    <w:p w:rsidR="00FB78A5" w:rsidRPr="0060338D" w:rsidRDefault="00DA2561" w:rsidP="0060338D">
      <w:pPr>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b/>
          <w:i/>
          <w:color w:val="000000" w:themeColor="text1"/>
        </w:rPr>
        <w:t>III.</w:t>
      </w:r>
      <w:r w:rsidRPr="0060338D">
        <w:rPr>
          <w:rFonts w:ascii="Palatino Linotype" w:eastAsia="Palatino Linotype" w:hAnsi="Palatino Linotype" w:cs="Palatino Linotype"/>
          <w:i/>
          <w:color w:val="000000" w:themeColor="text1"/>
        </w:rPr>
        <w:t xml:space="preserve"> Cuotas sindicales; </w:t>
      </w:r>
    </w:p>
    <w:p w:rsidR="00FB78A5" w:rsidRPr="0060338D" w:rsidRDefault="00DA2561" w:rsidP="0060338D">
      <w:pPr>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b/>
          <w:i/>
          <w:color w:val="000000" w:themeColor="text1"/>
        </w:rPr>
        <w:t>IV.</w:t>
      </w:r>
      <w:r w:rsidRPr="0060338D">
        <w:rPr>
          <w:rFonts w:ascii="Palatino Linotype" w:eastAsia="Palatino Linotype" w:hAnsi="Palatino Linotype" w:cs="Palatino Linotype"/>
          <w:i/>
          <w:color w:val="000000" w:themeColor="text1"/>
        </w:rPr>
        <w:t xml:space="preserve"> Cuotas de aportación a fondos para la constitución de cooperativas y de cajas de ahorro, siempre que el servidor público hubiese manifestado previamente, de manera expresa, su conformidad; </w:t>
      </w:r>
    </w:p>
    <w:p w:rsidR="00FB78A5" w:rsidRPr="0060338D" w:rsidRDefault="00DA2561" w:rsidP="0060338D">
      <w:pPr>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b/>
          <w:i/>
          <w:color w:val="000000" w:themeColor="text1"/>
        </w:rPr>
        <w:t>V.</w:t>
      </w:r>
      <w:r w:rsidRPr="0060338D">
        <w:rPr>
          <w:rFonts w:ascii="Palatino Linotype" w:eastAsia="Palatino Linotype" w:hAnsi="Palatino Linotype" w:cs="Palatino Linotype"/>
          <w:i/>
          <w:color w:val="000000" w:themeColor="text1"/>
        </w:rPr>
        <w:t xml:space="preserve"> Descuentos ordenados por el Instituto de Seguridad Social del Estado de México y Municipios, con motivo de cuotas y obligaciones contraídas con éste por los servidores públicos; </w:t>
      </w:r>
    </w:p>
    <w:p w:rsidR="00FB78A5" w:rsidRPr="0060338D" w:rsidRDefault="00DA2561" w:rsidP="0060338D">
      <w:pPr>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b/>
          <w:i/>
          <w:color w:val="000000" w:themeColor="text1"/>
        </w:rPr>
        <w:t>VI.</w:t>
      </w:r>
      <w:r w:rsidRPr="0060338D">
        <w:rPr>
          <w:rFonts w:ascii="Palatino Linotype" w:eastAsia="Palatino Linotype" w:hAnsi="Palatino Linotype" w:cs="Palatino Linotype"/>
          <w:i/>
          <w:color w:val="000000" w:themeColor="text1"/>
        </w:rPr>
        <w:t xml:space="preserve"> Obligaciones a cargo del servidor público con las que haya consentido, derivadas de la adquisición o del uso de habitaciones consideradas como de interés social; </w:t>
      </w:r>
    </w:p>
    <w:p w:rsidR="00FB78A5" w:rsidRPr="0060338D" w:rsidRDefault="00DA2561" w:rsidP="0060338D">
      <w:pPr>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b/>
          <w:i/>
          <w:color w:val="000000" w:themeColor="text1"/>
        </w:rPr>
        <w:t>VII.</w:t>
      </w:r>
      <w:r w:rsidRPr="0060338D">
        <w:rPr>
          <w:rFonts w:ascii="Palatino Linotype" w:eastAsia="Palatino Linotype" w:hAnsi="Palatino Linotype" w:cs="Palatino Linotype"/>
          <w:i/>
          <w:color w:val="000000" w:themeColor="text1"/>
        </w:rPr>
        <w:t xml:space="preserve"> Faltas de puntualidad o de asistencia injustificadas; </w:t>
      </w:r>
    </w:p>
    <w:p w:rsidR="00FB78A5" w:rsidRPr="0060338D" w:rsidRDefault="00DA2561" w:rsidP="0060338D">
      <w:pPr>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b/>
          <w:i/>
          <w:color w:val="000000" w:themeColor="text1"/>
        </w:rPr>
        <w:t>VIII.</w:t>
      </w:r>
      <w:r w:rsidRPr="0060338D">
        <w:rPr>
          <w:rFonts w:ascii="Palatino Linotype" w:eastAsia="Palatino Linotype" w:hAnsi="Palatino Linotype" w:cs="Palatino Linotype"/>
          <w:i/>
          <w:color w:val="000000" w:themeColor="text1"/>
        </w:rPr>
        <w:t xml:space="preserve"> Pensiones alimenticias ordenadas por la autoridad judicial; o </w:t>
      </w:r>
    </w:p>
    <w:p w:rsidR="00FB78A5" w:rsidRPr="0060338D" w:rsidRDefault="00DA2561" w:rsidP="0060338D">
      <w:pPr>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b/>
          <w:i/>
          <w:color w:val="000000" w:themeColor="text1"/>
        </w:rPr>
        <w:t>IX.</w:t>
      </w:r>
      <w:r w:rsidRPr="0060338D">
        <w:rPr>
          <w:rFonts w:ascii="Palatino Linotype" w:eastAsia="Palatino Linotype" w:hAnsi="Palatino Linotype" w:cs="Palatino Linotype"/>
          <w:i/>
          <w:color w:val="000000" w:themeColor="text1"/>
        </w:rPr>
        <w:t xml:space="preserve"> Cualquier otro convenido con instituciones de servicios y aceptado por el servidor público. </w:t>
      </w:r>
    </w:p>
    <w:p w:rsidR="00FB78A5" w:rsidRPr="0060338D" w:rsidRDefault="00FB78A5" w:rsidP="0060338D">
      <w:pPr>
        <w:jc w:val="both"/>
        <w:rPr>
          <w:rFonts w:ascii="Palatino Linotype" w:eastAsia="Palatino Linotype" w:hAnsi="Palatino Linotype" w:cs="Palatino Linotype"/>
          <w:color w:val="000000" w:themeColor="text1"/>
        </w:rPr>
      </w:pPr>
    </w:p>
    <w:p w:rsidR="00FB78A5" w:rsidRPr="0060338D" w:rsidRDefault="00DA2561" w:rsidP="0060338D">
      <w:pPr>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i/>
          <w:color w:val="000000" w:themeColor="text1"/>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FB78A5" w:rsidRDefault="00FB78A5" w:rsidP="0060338D">
      <w:pPr>
        <w:jc w:val="both"/>
        <w:rPr>
          <w:rFonts w:ascii="Palatino Linotype" w:eastAsia="Palatino Linotype" w:hAnsi="Palatino Linotype" w:cs="Palatino Linotype"/>
          <w:b/>
          <w:color w:val="000000" w:themeColor="text1"/>
        </w:rPr>
      </w:pPr>
    </w:p>
    <w:p w:rsidR="00EA0D5D" w:rsidRPr="0060338D" w:rsidRDefault="00EA0D5D" w:rsidP="0060338D">
      <w:pPr>
        <w:jc w:val="both"/>
        <w:rPr>
          <w:rFonts w:ascii="Palatino Linotype" w:eastAsia="Palatino Linotype" w:hAnsi="Palatino Linotype" w:cs="Palatino Linotype"/>
          <w:b/>
          <w:color w:val="000000" w:themeColor="text1"/>
        </w:rPr>
      </w:pPr>
    </w:p>
    <w:p w:rsidR="00FB78A5" w:rsidRPr="0060338D" w:rsidRDefault="00DA2561" w:rsidP="0060338D">
      <w:pPr>
        <w:numPr>
          <w:ilvl w:val="0"/>
          <w:numId w:val="2"/>
        </w:numPr>
        <w:spacing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color w:val="000000" w:themeColor="text1"/>
        </w:rPr>
        <w:t xml:space="preserve">Como se observa, la Ley en mérito establece claramente cuáles son los descuentos o gravámenes que se relacionan con las obligaciones adquiridas como servidores públicos y </w:t>
      </w:r>
      <w:r w:rsidRPr="0060338D">
        <w:rPr>
          <w:rFonts w:ascii="Palatino Linotype" w:eastAsia="Palatino Linotype" w:hAnsi="Palatino Linotype" w:cs="Palatino Linotype"/>
          <w:color w:val="000000" w:themeColor="text1"/>
        </w:rPr>
        <w:lastRenderedPageBreak/>
        <w:t>aquellos que únicamente inciden en su vida privada. De este modo, los descuentos que no se relacionen con el gasto público o con el ejercicio de sus funciones, es información de carácter confidencial.</w:t>
      </w:r>
    </w:p>
    <w:p w:rsidR="00FB78A5" w:rsidRPr="0060338D" w:rsidRDefault="00FB78A5" w:rsidP="0060338D">
      <w:pPr>
        <w:jc w:val="both"/>
        <w:rPr>
          <w:rFonts w:ascii="Palatino Linotype" w:eastAsia="Palatino Linotype" w:hAnsi="Palatino Linotype" w:cs="Palatino Linotype"/>
          <w:b/>
          <w:color w:val="000000" w:themeColor="text1"/>
        </w:rPr>
      </w:pPr>
    </w:p>
    <w:p w:rsidR="00FB78A5" w:rsidRPr="0060338D" w:rsidRDefault="00DA2561" w:rsidP="0060338D">
      <w:pPr>
        <w:numPr>
          <w:ilvl w:val="0"/>
          <w:numId w:val="2"/>
        </w:numPr>
        <w:spacing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FB78A5" w:rsidRPr="0060338D" w:rsidRDefault="00FB78A5" w:rsidP="0060338D">
      <w:pPr>
        <w:pBdr>
          <w:top w:val="nil"/>
          <w:left w:val="nil"/>
          <w:bottom w:val="nil"/>
          <w:right w:val="nil"/>
          <w:between w:val="nil"/>
        </w:pBdr>
        <w:rPr>
          <w:rFonts w:ascii="Palatino Linotype" w:eastAsia="Palatino Linotype" w:hAnsi="Palatino Linotype" w:cs="Palatino Linotype"/>
          <w:b/>
          <w:color w:val="000000" w:themeColor="text1"/>
        </w:rPr>
      </w:pPr>
    </w:p>
    <w:p w:rsidR="00FB78A5" w:rsidRPr="0060338D" w:rsidRDefault="00DA2561" w:rsidP="0060338D">
      <w:pPr>
        <w:numPr>
          <w:ilvl w:val="0"/>
          <w:numId w:val="7"/>
        </w:numPr>
        <w:pBdr>
          <w:top w:val="nil"/>
          <w:left w:val="nil"/>
          <w:bottom w:val="nil"/>
          <w:right w:val="nil"/>
          <w:between w:val="nil"/>
        </w:pBdr>
        <w:shd w:val="clear" w:color="auto" w:fill="FFFFFF"/>
        <w:ind w:left="0" w:firstLine="0"/>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color w:val="000000" w:themeColor="text1"/>
        </w:rPr>
        <w:t>Del nombre de policías.</w:t>
      </w:r>
    </w:p>
    <w:p w:rsidR="00FB78A5" w:rsidRPr="00DD58E7" w:rsidRDefault="00DA2561" w:rsidP="00DD58E7">
      <w:pPr>
        <w:pStyle w:val="Prrafodelista"/>
        <w:numPr>
          <w:ilvl w:val="0"/>
          <w:numId w:val="2"/>
        </w:numPr>
        <w:shd w:val="clear" w:color="auto" w:fill="FFFFFF"/>
        <w:rPr>
          <w:rFonts w:ascii="Palatino Linotype" w:eastAsia="Palatino Linotype" w:hAnsi="Palatino Linotype" w:cs="Palatino Linotype"/>
          <w:color w:val="000000" w:themeColor="text1"/>
        </w:rPr>
      </w:pPr>
      <w:r w:rsidRPr="00DD58E7">
        <w:rPr>
          <w:rFonts w:ascii="Palatino Linotype" w:eastAsia="Palatino Linotype" w:hAnsi="Palatino Linotype" w:cs="Palatino Linotype"/>
          <w:color w:val="000000" w:themeColor="text1"/>
        </w:rPr>
        <w:t>En atención a que se observa que la información de la que se requiere acceso contiene información de los elementos de seguridad pública, es necesario señalar que las condiciones en las cuales se deberá entregar la información solicitada adquieren una especial naturaleza.</w:t>
      </w:r>
    </w:p>
    <w:p w:rsidR="00FB78A5" w:rsidRPr="0060338D" w:rsidRDefault="00DA2561" w:rsidP="0060338D">
      <w:pP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color w:val="000000" w:themeColor="text1"/>
        </w:rPr>
        <w:t> </w:t>
      </w:r>
    </w:p>
    <w:p w:rsidR="00FB78A5" w:rsidRPr="0060338D" w:rsidRDefault="00DA2561" w:rsidP="0060338D">
      <w:pPr>
        <w:numPr>
          <w:ilvl w:val="0"/>
          <w:numId w:val="2"/>
        </w:num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En efecto,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rsidR="00FB78A5" w:rsidRPr="0060338D" w:rsidRDefault="00DA2561" w:rsidP="00EA0D5D">
      <w:pP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w:t>
      </w:r>
      <w:r w:rsidRPr="0060338D">
        <w:rPr>
          <w:rFonts w:ascii="Palatino Linotype" w:eastAsia="Palatino Linotype" w:hAnsi="Palatino Linotype" w:cs="Palatino Linotype"/>
          <w:b/>
          <w:i/>
          <w:color w:val="000000" w:themeColor="text1"/>
        </w:rPr>
        <w:t>“Artículo 140.</w:t>
      </w:r>
      <w:r w:rsidRPr="0060338D">
        <w:rPr>
          <w:rFonts w:ascii="Palatino Linotype" w:eastAsia="Palatino Linotype" w:hAnsi="Palatino Linotype" w:cs="Palatino Linotype"/>
          <w:i/>
          <w:color w:val="000000" w:themeColor="text1"/>
        </w:rPr>
        <w:t> El acceso a la información pública será restringido excepcionalmente, cuando por razones de interés público, ésta sea clasificada como reservada, conforme a los criterios siguientes:</w:t>
      </w:r>
    </w:p>
    <w:p w:rsidR="00FB78A5" w:rsidRPr="0060338D" w:rsidRDefault="00DA2561" w:rsidP="0060338D">
      <w:pPr>
        <w:pBdr>
          <w:top w:val="nil"/>
          <w:left w:val="nil"/>
          <w:bottom w:val="nil"/>
          <w:right w:val="nil"/>
          <w:between w:val="nil"/>
        </w:pBdr>
        <w:shd w:val="clear" w:color="auto" w:fill="FFFFFF"/>
        <w:spacing w:before="240" w:after="240"/>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I. Comprometa la seguridad pública y cuente con un propósito genuino y un efecto demostrable;</w:t>
      </w:r>
    </w:p>
    <w:p w:rsidR="00FB78A5" w:rsidRPr="0060338D" w:rsidRDefault="00DA2561" w:rsidP="0060338D">
      <w:pPr>
        <w:pBdr>
          <w:top w:val="nil"/>
          <w:left w:val="nil"/>
          <w:bottom w:val="nil"/>
          <w:right w:val="nil"/>
          <w:between w:val="nil"/>
        </w:pBdr>
        <w:shd w:val="clear" w:color="auto" w:fill="FFFFFF"/>
        <w:spacing w:before="240" w:after="240"/>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II. Pueda menoscabar la conducción de las negociaciones y relaciones internacionales;</w:t>
      </w:r>
    </w:p>
    <w:p w:rsidR="00FB78A5" w:rsidRPr="0060338D" w:rsidRDefault="00DA2561" w:rsidP="0060338D">
      <w:pPr>
        <w:pBdr>
          <w:top w:val="nil"/>
          <w:left w:val="nil"/>
          <w:bottom w:val="nil"/>
          <w:right w:val="nil"/>
          <w:between w:val="nil"/>
        </w:pBdr>
        <w:shd w:val="clear" w:color="auto" w:fill="FFFFFF"/>
        <w:spacing w:before="240" w:after="240"/>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FB78A5" w:rsidRPr="0060338D" w:rsidRDefault="00DA2561" w:rsidP="0060338D">
      <w:pPr>
        <w:pBdr>
          <w:top w:val="nil"/>
          <w:left w:val="nil"/>
          <w:bottom w:val="nil"/>
          <w:right w:val="nil"/>
          <w:between w:val="nil"/>
        </w:pBdr>
        <w:shd w:val="clear" w:color="auto" w:fill="FFFFFF"/>
        <w:spacing w:before="240" w:after="240"/>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i/>
          <w:color w:val="000000" w:themeColor="text1"/>
        </w:rPr>
        <w:t>IV. Ponga en riesgo la vida, la seguridad o la salud de una persona física;</w:t>
      </w:r>
    </w:p>
    <w:p w:rsidR="00FB78A5" w:rsidRPr="0060338D" w:rsidRDefault="00DA2561" w:rsidP="0060338D">
      <w:pPr>
        <w:pBdr>
          <w:top w:val="nil"/>
          <w:left w:val="nil"/>
          <w:bottom w:val="nil"/>
          <w:right w:val="nil"/>
          <w:between w:val="nil"/>
        </w:pBdr>
        <w:shd w:val="clear" w:color="auto" w:fill="FFFFFF"/>
        <w:spacing w:before="240" w:after="240"/>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 (…)”</w:t>
      </w:r>
    </w:p>
    <w:p w:rsidR="00FB78A5" w:rsidRPr="00DD58E7" w:rsidRDefault="00DA2561" w:rsidP="00DD58E7">
      <w:pPr>
        <w:pStyle w:val="Prrafodelista"/>
        <w:numPr>
          <w:ilvl w:val="0"/>
          <w:numId w:val="2"/>
        </w:numPr>
        <w:shd w:val="clear" w:color="auto" w:fill="FFFFFF"/>
        <w:jc w:val="both"/>
        <w:rPr>
          <w:rFonts w:ascii="Palatino Linotype" w:eastAsia="Palatino Linotype" w:hAnsi="Palatino Linotype" w:cs="Palatino Linotype"/>
          <w:color w:val="000000" w:themeColor="text1"/>
        </w:rPr>
      </w:pPr>
      <w:r w:rsidRPr="00DD58E7">
        <w:rPr>
          <w:rFonts w:ascii="Palatino Linotype" w:eastAsia="Palatino Linotype" w:hAnsi="Palatino Linotype" w:cs="Palatino Linotype"/>
          <w:color w:val="000000" w:themeColor="text1"/>
        </w:rPr>
        <w:lastRenderedPageBreak/>
        <w:t>En este contexto, este Pleno considera que dar a conocer los nombres de servidores públicos que realizan funciones en materia de seguridad, tal como es el caso de los policías, los vuelve identificables y posiblemente reconocibles para grupos delictivos; así, dicha información puede ser utilizada para </w:t>
      </w:r>
      <w:r w:rsidRPr="00DD58E7">
        <w:rPr>
          <w:rFonts w:ascii="Palatino Linotype" w:eastAsia="Palatino Linotype" w:hAnsi="Palatino Linotype" w:cs="Palatino Linotype"/>
          <w:b/>
          <w:color w:val="000000" w:themeColor="text1"/>
        </w:rPr>
        <w:t>vulnerar la vida, seguridad o salud de dichos elementos, incluso la de sus familias o entorno social, </w:t>
      </w:r>
      <w:r w:rsidRPr="00DD58E7">
        <w:rPr>
          <w:rFonts w:ascii="Palatino Linotype" w:eastAsia="Palatino Linotype" w:hAnsi="Palatino Linotype" w:cs="Palatino Linotype"/>
          <w:color w:val="000000" w:themeColor="text1"/>
        </w:rPr>
        <w:t>demás, de que aumenta el riesgo de que personas ajenas a los intereses institucionales e intenten realizar actos tendientes a inhibir o entrometerse en las funciones de los policías municipales, lo cual causaría una vulneración a la seguridad municipal.</w:t>
      </w:r>
    </w:p>
    <w:p w:rsidR="00FB78A5" w:rsidRPr="0060338D" w:rsidRDefault="00DA2561" w:rsidP="0060338D">
      <w:pP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color w:val="000000" w:themeColor="text1"/>
        </w:rPr>
        <w:t> </w:t>
      </w:r>
    </w:p>
    <w:p w:rsidR="00FB78A5" w:rsidRPr="0060338D" w:rsidRDefault="00DA2561" w:rsidP="0060338D">
      <w:pPr>
        <w:numPr>
          <w:ilvl w:val="0"/>
          <w:numId w:val="2"/>
        </w:num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En ese sentido, el proporcionar el nombre de los elementos policiales operativos en la nómina general de la Dirección de Seguridad Pública y Vialidad Municipal, pone en riesgo de manera directa la vida y la seguridad de dicho servidor, siendo obligación de la Institución protegerla en todo momento para salvaguarda de sus integrantes.</w:t>
      </w:r>
    </w:p>
    <w:p w:rsidR="00FB78A5" w:rsidRPr="0060338D" w:rsidRDefault="00DA2561" w:rsidP="0060338D">
      <w:pP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color w:val="000000" w:themeColor="text1"/>
        </w:rPr>
        <w:t> </w:t>
      </w:r>
    </w:p>
    <w:p w:rsidR="00FB78A5" w:rsidRPr="0060338D" w:rsidRDefault="00DA2561" w:rsidP="0060338D">
      <w:pPr>
        <w:numPr>
          <w:ilvl w:val="0"/>
          <w:numId w:val="2"/>
        </w:num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rsidR="00FB78A5" w:rsidRPr="0060338D" w:rsidRDefault="00DA2561" w:rsidP="0060338D">
      <w:pP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color w:val="000000" w:themeColor="text1"/>
        </w:rPr>
        <w:t> </w:t>
      </w:r>
    </w:p>
    <w:p w:rsidR="00FB78A5" w:rsidRPr="0060338D" w:rsidRDefault="00DA2561" w:rsidP="0060338D">
      <w:pPr>
        <w:numPr>
          <w:ilvl w:val="0"/>
          <w:numId w:val="2"/>
        </w:num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60338D">
        <w:rPr>
          <w:rFonts w:ascii="Palatino Linotype" w:eastAsia="Palatino Linotype" w:hAnsi="Palatino Linotype" w:cs="Palatino Linotype"/>
          <w:b/>
          <w:color w:val="000000" w:themeColor="text1"/>
        </w:rPr>
        <w:t> SUJETO OBLIGADO</w:t>
      </w:r>
      <w:r w:rsidRPr="0060338D">
        <w:rPr>
          <w:rFonts w:ascii="Palatino Linotype" w:eastAsia="Palatino Linotype" w:hAnsi="Palatino Linotype" w:cs="Palatino Linotype"/>
          <w:color w:val="000000" w:themeColor="text1"/>
        </w:rPr>
        <w:t>, colocando en inminente riesgo la vida de todos los integrantes, menoscabando así las actividades de prevención del delito y combate a la delincuencia.</w:t>
      </w:r>
    </w:p>
    <w:p w:rsidR="00FB78A5" w:rsidRPr="0060338D" w:rsidRDefault="00DA2561" w:rsidP="0060338D">
      <w:pP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color w:val="000000" w:themeColor="text1"/>
        </w:rPr>
        <w:t> </w:t>
      </w:r>
    </w:p>
    <w:p w:rsidR="00FB78A5" w:rsidRPr="0060338D" w:rsidRDefault="00DA2561" w:rsidP="0060338D">
      <w:pPr>
        <w:numPr>
          <w:ilvl w:val="0"/>
          <w:numId w:val="2"/>
        </w:num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rsidR="00FB78A5" w:rsidRPr="0060338D" w:rsidRDefault="00DA2561" w:rsidP="0060338D">
      <w:pP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color w:val="000000" w:themeColor="text1"/>
        </w:rPr>
        <w:t> </w:t>
      </w:r>
    </w:p>
    <w:p w:rsidR="00FB78A5" w:rsidRPr="0060338D" w:rsidRDefault="00DA2561" w:rsidP="0060338D">
      <w:pPr>
        <w:numPr>
          <w:ilvl w:val="0"/>
          <w:numId w:val="2"/>
        </w:num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lastRenderedPageBreak/>
        <w:t>El dar el nombre de los servidores públicos operativos de la Dirección de Seguridad Pública y Vialidad Municipal pone en riesgo sus vidas y seguridad, ya que pueden ser identificarles, provocando que se utilice la información para amenazar, intimidar o extorsionar al integrante.</w:t>
      </w:r>
    </w:p>
    <w:p w:rsidR="00FB78A5" w:rsidRPr="0060338D" w:rsidRDefault="00DA2561" w:rsidP="0060338D">
      <w:pPr>
        <w:shd w:val="clear" w:color="auto" w:fill="FFFFFF"/>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w:t>
      </w:r>
    </w:p>
    <w:p w:rsidR="00FB78A5" w:rsidRPr="0060338D" w:rsidRDefault="00DA2561" w:rsidP="0060338D">
      <w:pPr>
        <w:numPr>
          <w:ilvl w:val="0"/>
          <w:numId w:val="2"/>
        </w:num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rsidR="00FB78A5" w:rsidRPr="0060338D" w:rsidRDefault="00DA2561" w:rsidP="0060338D">
      <w:pPr>
        <w:shd w:val="clear" w:color="auto" w:fill="FFFFFF"/>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w:t>
      </w:r>
    </w:p>
    <w:p w:rsidR="00FB78A5" w:rsidRPr="0060338D" w:rsidRDefault="00DA2561" w:rsidP="0060338D">
      <w:pPr>
        <w:numPr>
          <w:ilvl w:val="0"/>
          <w:numId w:val="2"/>
        </w:num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rsidR="00FB78A5" w:rsidRPr="0060338D" w:rsidRDefault="00DA2561" w:rsidP="0060338D">
      <w:pPr>
        <w:shd w:val="clear" w:color="auto" w:fill="FFFFFF"/>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w:t>
      </w:r>
    </w:p>
    <w:p w:rsidR="00FB78A5" w:rsidRDefault="00DA2561" w:rsidP="0060338D">
      <w:pPr>
        <w:numPr>
          <w:ilvl w:val="0"/>
          <w:numId w:val="2"/>
        </w:num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Por lo que, el derecho a la vida y seguridad nacional tiene una-primacía que el derecho al acceso a la información, por lo que el bien jurídico a salvaguardarse primordialmente, es la vida y la seguridad de los servidores públicos encargados de la seguridad pública.</w:t>
      </w:r>
    </w:p>
    <w:p w:rsidR="00DD58E7" w:rsidRDefault="00DD58E7" w:rsidP="00DD58E7">
      <w:pPr>
        <w:pStyle w:val="Prrafodelista"/>
        <w:rPr>
          <w:rFonts w:ascii="Palatino Linotype" w:eastAsia="Palatino Linotype" w:hAnsi="Palatino Linotype" w:cs="Palatino Linotype"/>
          <w:color w:val="000000" w:themeColor="text1"/>
        </w:rPr>
      </w:pPr>
    </w:p>
    <w:p w:rsidR="00DD58E7" w:rsidRPr="00EA0D5D" w:rsidRDefault="00DD58E7" w:rsidP="00DD58E7">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Al respecto, cabe hacer mención que el artículo 81 fracción III de la Ley de Seguridad del Estado de México, establece lo siguiente:</w:t>
      </w:r>
    </w:p>
    <w:p w:rsidR="00FB78A5" w:rsidRPr="0060338D" w:rsidRDefault="00DA2561" w:rsidP="00EA0D5D">
      <w:pP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w:t>
      </w:r>
      <w:r w:rsidRPr="0060338D">
        <w:rPr>
          <w:rFonts w:ascii="Palatino Linotype" w:eastAsia="Palatino Linotype" w:hAnsi="Palatino Linotype" w:cs="Palatino Linotype"/>
          <w:i/>
          <w:color w:val="000000" w:themeColor="text1"/>
        </w:rPr>
        <w:t>“</w:t>
      </w:r>
      <w:r w:rsidRPr="0060338D">
        <w:rPr>
          <w:rFonts w:ascii="Palatino Linotype" w:eastAsia="Palatino Linotype" w:hAnsi="Palatino Linotype" w:cs="Palatino Linotype"/>
          <w:b/>
          <w:i/>
          <w:color w:val="000000" w:themeColor="text1"/>
        </w:rPr>
        <w:t>Artículo 81.-</w:t>
      </w:r>
      <w:r w:rsidRPr="0060338D">
        <w:rPr>
          <w:rFonts w:ascii="Palatino Linotype" w:eastAsia="Palatino Linotype" w:hAnsi="Palatino Linotype" w:cs="Palatino Linotype"/>
          <w:i/>
          <w:color w:val="000000" w:themeColor="text1"/>
        </w:rPr>
        <w:t> </w:t>
      </w:r>
      <w:r w:rsidRPr="0060338D">
        <w:rPr>
          <w:rFonts w:ascii="Palatino Linotype" w:eastAsia="Palatino Linotype" w:hAnsi="Palatino Linotype" w:cs="Palatino Linotype"/>
          <w:b/>
          <w:i/>
          <w:color w:val="000000" w:themeColor="text1"/>
        </w:rPr>
        <w:t xml:space="preserve">Toda información para la seguridad pública generada o en poder de Instituciones de Seguridad Pública o de cualquier instancia del Sistema Estatal debe </w:t>
      </w:r>
      <w:r w:rsidRPr="0060338D">
        <w:rPr>
          <w:rFonts w:ascii="Palatino Linotype" w:eastAsia="Palatino Linotype" w:hAnsi="Palatino Linotype" w:cs="Palatino Linotype"/>
          <w:b/>
          <w:i/>
          <w:color w:val="000000" w:themeColor="text1"/>
        </w:rPr>
        <w:lastRenderedPageBreak/>
        <w:t>registrarse, clasificarse y tratarse de conformidad con las disposiciones aplicables. No obstante lo anterior, esta información se considerará reservada</w:t>
      </w:r>
      <w:r w:rsidRPr="0060338D">
        <w:rPr>
          <w:rFonts w:ascii="Palatino Linotype" w:eastAsia="Palatino Linotype" w:hAnsi="Palatino Linotype" w:cs="Palatino Linotype"/>
          <w:i/>
          <w:color w:val="000000" w:themeColor="text1"/>
        </w:rPr>
        <w:t> en los casos siguientes:</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i/>
          <w:color w:val="000000" w:themeColor="text1"/>
        </w:rPr>
      </w:pPr>
      <w:r w:rsidRPr="0060338D">
        <w:rPr>
          <w:rFonts w:ascii="Palatino Linotype" w:eastAsia="Palatino Linotype" w:hAnsi="Palatino Linotype" w:cs="Palatino Linotype"/>
          <w:b/>
          <w:i/>
          <w:color w:val="000000" w:themeColor="text1"/>
        </w:rPr>
        <w:t>III.</w:t>
      </w:r>
      <w:r w:rsidRPr="0060338D">
        <w:rPr>
          <w:rFonts w:ascii="Palatino Linotype" w:eastAsia="Palatino Linotype" w:hAnsi="Palatino Linotype" w:cs="Palatino Linotype"/>
          <w:i/>
          <w:color w:val="000000" w:themeColor="text1"/>
        </w:rPr>
        <w:t> </w:t>
      </w:r>
      <w:r w:rsidRPr="0060338D">
        <w:rPr>
          <w:rFonts w:ascii="Palatino Linotype" w:eastAsia="Palatino Linotype" w:hAnsi="Palatino Linotype" w:cs="Palatino Linotype"/>
          <w:b/>
          <w:i/>
          <w:color w:val="000000" w:themeColor="text1"/>
        </w:rPr>
        <w:t>La relativa a servidores públicos miembros de las instituciones de seguridad pública, cuya revelación pueda poner en riesgo su vida e integridad física con motivo de sus funciones;</w:t>
      </w:r>
      <w:r w:rsidRPr="0060338D">
        <w:rPr>
          <w:rFonts w:ascii="Palatino Linotype" w:eastAsia="Palatino Linotype" w:hAnsi="Palatino Linotype" w:cs="Palatino Linotype"/>
          <w:i/>
          <w:color w:val="000000" w:themeColor="text1"/>
        </w:rPr>
        <w:t>”</w:t>
      </w:r>
    </w:p>
    <w:p w:rsidR="00FB78A5" w:rsidRDefault="00FB78A5"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p>
    <w:p w:rsidR="00EA0D5D" w:rsidRPr="0060338D" w:rsidRDefault="00EA0D5D"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Argumento que se fortalece con lo estipulado en el criterio número 6-09, del Instituto Nacional de Transparencia, Acceso a la Información y Protección de Datos Personales, antes (INAI)</w:t>
      </w:r>
      <w:r w:rsidRPr="0060338D">
        <w:rPr>
          <w:rFonts w:ascii="Palatino Linotype" w:eastAsia="Palatino Linotype" w:hAnsi="Palatino Linotype" w:cs="Palatino Linotype"/>
          <w:b/>
          <w:color w:val="000000" w:themeColor="text1"/>
        </w:rPr>
        <w:t>, </w:t>
      </w:r>
      <w:r w:rsidRPr="0060338D">
        <w:rPr>
          <w:rFonts w:ascii="Palatino Linotype" w:eastAsia="Palatino Linotype" w:hAnsi="Palatino Linotype" w:cs="Palatino Linotype"/>
          <w:color w:val="000000" w:themeColor="text1"/>
        </w:rPr>
        <w:t>el cual refiere:</w:t>
      </w:r>
    </w:p>
    <w:p w:rsidR="00FB78A5" w:rsidRPr="0060338D" w:rsidRDefault="00DA2561" w:rsidP="0060338D">
      <w:pP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color w:val="000000" w:themeColor="text1"/>
        </w:rPr>
        <w:t> </w:t>
      </w:r>
    </w:p>
    <w:p w:rsidR="00FB78A5" w:rsidRPr="0060338D" w:rsidRDefault="00DA2561" w:rsidP="0060338D">
      <w:pPr>
        <w:pBdr>
          <w:top w:val="nil"/>
          <w:left w:val="nil"/>
          <w:bottom w:val="nil"/>
          <w:right w:val="nil"/>
          <w:between w:val="nil"/>
        </w:pBdr>
        <w:shd w:val="clear" w:color="auto" w:fill="FFFFFF"/>
        <w:jc w:val="center"/>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i/>
          <w:color w:val="000000" w:themeColor="text1"/>
        </w:rPr>
        <w:t>“Criterio 6-09</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i/>
          <w:color w:val="000000" w:themeColor="text1"/>
        </w:rPr>
        <w:t>Nombres de servidores públicos dedicados a actividades en materia de seguridad, por excepción pueden considerarse información reservada. </w:t>
      </w:r>
      <w:r w:rsidRPr="0060338D">
        <w:rPr>
          <w:rFonts w:ascii="Palatino Linotype" w:eastAsia="Palatino Linotype" w:hAnsi="Palatino Linotype" w:cs="Palatino Linotype"/>
          <w:i/>
          <w:color w:val="000000" w:themeColor="text1"/>
        </w:rPr>
        <w:t>De conformidad con el artículo 7, fracciones I y III de la Ley Federal de Transparencia y Acceso a la Información Pública Gubernamental </w:t>
      </w:r>
      <w:r w:rsidRPr="0060338D">
        <w:rPr>
          <w:rFonts w:ascii="Palatino Linotype" w:eastAsia="Palatino Linotype" w:hAnsi="Palatino Linotype" w:cs="Palatino Linotype"/>
          <w:b/>
          <w:i/>
          <w:color w:val="000000" w:themeColor="text1"/>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60338D">
        <w:rPr>
          <w:rFonts w:ascii="Palatino Linotype" w:eastAsia="Palatino Linotype" w:hAnsi="Palatino Linotype" w:cs="Palatino Linotype"/>
          <w:i/>
          <w:color w:val="000000" w:themeColor="text1"/>
        </w:rPr>
        <w:t>.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60338D">
        <w:rPr>
          <w:rFonts w:ascii="Palatino Linotype" w:eastAsia="Palatino Linotype" w:hAnsi="Palatino Linotype" w:cs="Palatino Linotype"/>
          <w:b/>
          <w:i/>
          <w:color w:val="000000" w:themeColor="text1"/>
        </w:rPr>
        <w:t>el artículo 13, fracción I de la ley de referencia se establece que podrá clasificarse aquella información cuya difusión pueda comprometer la seguridad nacional y pública</w:t>
      </w:r>
      <w:r w:rsidRPr="0060338D">
        <w:rPr>
          <w:rFonts w:ascii="Palatino Linotype" w:eastAsia="Palatino Linotype" w:hAnsi="Palatino Linotype" w:cs="Palatino Linotype"/>
          <w:i/>
          <w:color w:val="000000" w:themeColor="text1"/>
        </w:rPr>
        <w:t>.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60338D">
        <w:rPr>
          <w:rFonts w:ascii="Palatino Linotype" w:eastAsia="Palatino Linotype" w:hAnsi="Palatino Linotype" w:cs="Palatino Linotype"/>
          <w:b/>
          <w:i/>
          <w:color w:val="000000" w:themeColor="text1"/>
        </w:rPr>
        <w:t>por lo que la reserva de la relación de los nombres y las funciones que desempeñan los servidores públicos que prestan sus servicios en áreas de seguridad nacional o pública</w:t>
      </w:r>
      <w:r w:rsidRPr="0060338D">
        <w:rPr>
          <w:rFonts w:ascii="Palatino Linotype" w:eastAsia="Palatino Linotype" w:hAnsi="Palatino Linotype" w:cs="Palatino Linotype"/>
          <w:i/>
          <w:color w:val="000000" w:themeColor="text1"/>
        </w:rPr>
        <w:t>, puede llegar a constituirse en un componente fundamental en el esfuerzo que realiza el Estado Mexicano para garantizar la seguridad del país en sus diferentes vertientes”</w:t>
      </w:r>
    </w:p>
    <w:p w:rsidR="00FB78A5" w:rsidRPr="0060338D" w:rsidRDefault="00FB78A5" w:rsidP="0060338D">
      <w:pPr>
        <w:shd w:val="clear" w:color="auto" w:fill="FFFFFF"/>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Precisado lo anterior, se advierte que pretendió clasificar información solicitada, no obstante, la Ley de Transparencia y Acceso a la Información Pública del Estado de México </w:t>
      </w:r>
      <w:r w:rsidRPr="0060338D">
        <w:rPr>
          <w:rFonts w:ascii="Palatino Linotype" w:eastAsia="Palatino Linotype" w:hAnsi="Palatino Linotype" w:cs="Palatino Linotype"/>
          <w:color w:val="000000" w:themeColor="text1"/>
        </w:rPr>
        <w:lastRenderedPageBreak/>
        <w:t>y Municipios señala que para la clasificación formal de la información solicitada, el </w:t>
      </w:r>
      <w:r w:rsidRPr="0060338D">
        <w:rPr>
          <w:rFonts w:ascii="Palatino Linotype" w:eastAsia="Palatino Linotype" w:hAnsi="Palatino Linotype" w:cs="Palatino Linotype"/>
          <w:b/>
          <w:color w:val="000000" w:themeColor="text1"/>
        </w:rPr>
        <w:t>SUJETO OBLIGADO</w:t>
      </w:r>
      <w:r w:rsidRPr="0060338D">
        <w:rPr>
          <w:rFonts w:ascii="Palatino Linotype" w:eastAsia="Palatino Linotype" w:hAnsi="Palatino Linotype" w:cs="Palatino Linotype"/>
          <w:color w:val="000000" w:themeColor="text1"/>
        </w:rPr>
        <w:t>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rsidR="00FB78A5" w:rsidRPr="0060338D" w:rsidRDefault="00DA2561" w:rsidP="0060338D">
      <w:pP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color w:val="000000" w:themeColor="text1"/>
        </w:rPr>
        <w:t> </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i/>
          <w:color w:val="000000" w:themeColor="text1"/>
        </w:rPr>
        <w:t>“Artículo 49</w:t>
      </w:r>
      <w:r w:rsidRPr="0060338D">
        <w:rPr>
          <w:rFonts w:ascii="Palatino Linotype" w:eastAsia="Palatino Linotype" w:hAnsi="Palatino Linotype" w:cs="Palatino Linotype"/>
          <w:i/>
          <w:color w:val="000000" w:themeColor="text1"/>
        </w:rPr>
        <w:t>. Los Comités de Transparencia tendrán las siguientes atribuciones:</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VIII. Aprobar, modificar o revocar la clasificación de la información;</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 </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i/>
          <w:color w:val="000000" w:themeColor="text1"/>
        </w:rPr>
        <w:t>Artículo 132</w:t>
      </w:r>
      <w:r w:rsidRPr="0060338D">
        <w:rPr>
          <w:rFonts w:ascii="Palatino Linotype" w:eastAsia="Palatino Linotype" w:hAnsi="Palatino Linotype" w:cs="Palatino Linotype"/>
          <w:i/>
          <w:color w:val="000000" w:themeColor="text1"/>
        </w:rPr>
        <w:t>. La clasificación de la información se llevará a cabo en el momento en que:</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I. Se reciba una solicitud de acceso a la información;</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II. Se determine mediante resolución de autoridad competente; o</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III. Se generen versiones públicas para dar cumplimiento a las obligaciones de transparencia previstas en esta Ley.”</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 </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i/>
          <w:color w:val="000000" w:themeColor="text1"/>
        </w:rPr>
        <w:t>Cuarto.</w:t>
      </w:r>
      <w:r w:rsidRPr="0060338D">
        <w:rPr>
          <w:rFonts w:ascii="Palatino Linotype" w:eastAsia="Palatino Linotype" w:hAnsi="Palatino Linotype" w:cs="Palatino Linotype"/>
          <w:i/>
          <w:color w:val="000000" w:themeColor="text1"/>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i/>
          <w:color w:val="000000" w:themeColor="text1"/>
        </w:rPr>
        <w:t>Quinto.</w:t>
      </w:r>
      <w:r w:rsidRPr="0060338D">
        <w:rPr>
          <w:rFonts w:ascii="Palatino Linotype" w:eastAsia="Palatino Linotype" w:hAnsi="Palatino Linotype" w:cs="Palatino Linotype"/>
          <w:i/>
          <w:color w:val="000000" w:themeColor="text1"/>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 </w:t>
      </w:r>
      <w:r w:rsidRPr="0060338D">
        <w:rPr>
          <w:rFonts w:ascii="Palatino Linotype" w:eastAsia="Palatino Linotype" w:hAnsi="Palatino Linotype" w:cs="Palatino Linotype"/>
          <w:b/>
          <w:i/>
          <w:color w:val="000000" w:themeColor="text1"/>
        </w:rPr>
        <w:t>Sexto.</w:t>
      </w:r>
      <w:r w:rsidRPr="0060338D">
        <w:rPr>
          <w:rFonts w:ascii="Palatino Linotype" w:eastAsia="Palatino Linotype" w:hAnsi="Palatino Linotype" w:cs="Palatino Linotype"/>
          <w:i/>
          <w:color w:val="000000" w:themeColor="text1"/>
        </w:rPr>
        <w:t> Los Sujetos Obligados no podrán emitir acuerdos de carácter general ni particular que clasifiquen documentos o expedientes como reservados, ni clasificar documentos antes de que se genere la información o cuando éstos no obren en sus archivos.</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 </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lastRenderedPageBreak/>
        <w:t>La clasificación de información se realizará conforme a un análisis caso por caso, mediante la aplicación de la prueba de daño y de interés público.</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 </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i/>
          <w:color w:val="000000" w:themeColor="text1"/>
        </w:rPr>
        <w:t>Séptimo.</w:t>
      </w:r>
      <w:r w:rsidRPr="0060338D">
        <w:rPr>
          <w:rFonts w:ascii="Palatino Linotype" w:eastAsia="Palatino Linotype" w:hAnsi="Palatino Linotype" w:cs="Palatino Linotype"/>
          <w:i/>
          <w:color w:val="000000" w:themeColor="text1"/>
        </w:rPr>
        <w:t> La clasificación de la información se llevará a cabo en el momento en que: I. Se reciba una solicitud de acceso a la información;</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 </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II. Se determine mediante resolución de autoridad competente, o</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III. Se generen versiones públicas para dar cumplimiento a las obligaciones de transparencia previstas en la Ley General, la Ley Federal y las correspondientes de las entidades federativas.</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 </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Los titulares de las áreas deberán revisar la clasificación al momento de la recepción de una solicitud de acceso a la información, para verificar si encuadra en una causal de reserva o de confidencialidad.</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 </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i/>
          <w:color w:val="000000" w:themeColor="text1"/>
        </w:rPr>
        <w:t>Octavo.</w:t>
      </w:r>
      <w:r w:rsidRPr="0060338D">
        <w:rPr>
          <w:rFonts w:ascii="Palatino Linotype" w:eastAsia="Palatino Linotype" w:hAnsi="Palatino Linotype" w:cs="Palatino Linotype"/>
          <w:i/>
          <w:color w:val="000000" w:themeColor="text1"/>
        </w:rPr>
        <w:t> Para fundar la clasificación de la información se debe señalar el artículo, fracción, inciso, párrafo o numeral de la ley o tratado internacional suscrito por el Estado mexicano que expresamente le otorga el carácter de reservada o confidencial.</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Para motivar la clasificación se deberán señalar las razones o circunstancias especiales que lo llevaron a concluir que el caso particular se ajusta al supuesto previsto por la norma legal invocada como fundamento.</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 </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En caso de referirse a información reservada, la motivación de la clasificación también deberá comprender las circunstancias que justifican el establecimiento de determinado plazo de reserva.</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 </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Tratándose de información clasificada como confidencial respecto de la cual se haya determinado su conservación permanente por tener valor histórico, ésta conservará tal carácter de conformidad con la normativa aplicable en materia de archivos.</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 </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 </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i/>
          <w:color w:val="000000" w:themeColor="text1"/>
        </w:rPr>
        <w:t>Décimo</w:t>
      </w:r>
      <w:r w:rsidRPr="0060338D">
        <w:rPr>
          <w:rFonts w:ascii="Palatino Linotype" w:eastAsia="Palatino Linotype" w:hAnsi="Palatino Linotype" w:cs="Palatino Linotype"/>
          <w:i/>
          <w:color w:val="000000" w:themeColor="text1"/>
        </w:rPr>
        <w:t xml:space="preserve">. Los titulares de las áreas, deberán tener conocimiento y llevar un registro del personal que, por la naturaleza de sus atribuciones, tenga acceso a los documentos clasificados. Asimismo, deberán </w:t>
      </w:r>
      <w:r w:rsidRPr="0060338D">
        <w:rPr>
          <w:rFonts w:ascii="Palatino Linotype" w:eastAsia="Palatino Linotype" w:hAnsi="Palatino Linotype" w:cs="Palatino Linotype"/>
          <w:i/>
          <w:color w:val="000000" w:themeColor="text1"/>
        </w:rPr>
        <w:lastRenderedPageBreak/>
        <w:t>asegurarse de que dicho personal cuente con los conocimientos técnicos y legales que le permitan manejar adecuadamente la información clasificada, en los términos de los Lineamientos para la Organización y Conservación de Archivos.</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 </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En ausencia de los titulares de las áreas, la información será clasificada o desclasificada por la persona que lo supla, en términos de la normativa que rija la actuación del sujeto obligado.</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i/>
          <w:color w:val="000000" w:themeColor="text1"/>
        </w:rPr>
        <w:t> </w:t>
      </w:r>
    </w:p>
    <w:p w:rsidR="00FB78A5" w:rsidRPr="0060338D" w:rsidRDefault="00DA2561" w:rsidP="0060338D">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i/>
          <w:color w:val="000000" w:themeColor="text1"/>
        </w:rPr>
        <w:t>Décimo primero</w:t>
      </w:r>
      <w:r w:rsidRPr="0060338D">
        <w:rPr>
          <w:rFonts w:ascii="Palatino Linotype" w:eastAsia="Palatino Linotype" w:hAnsi="Palatino Linotype" w:cs="Palatino Linotype"/>
          <w:i/>
          <w:color w:val="000000" w:themeColor="text1"/>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FB78A5" w:rsidRPr="0060338D" w:rsidRDefault="00FB78A5" w:rsidP="0060338D">
      <w:pPr>
        <w:shd w:val="clear" w:color="auto" w:fill="FFFFFF"/>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En tal contexto se deberá proceder a la clasificación de los nombres de los elementos de policía que realicen actividades operativas en campo.</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Por lo anteriormente expuesto, este Órgano Garante considera fundadas las razones o motivos de inconformidad que plantea el</w:t>
      </w:r>
      <w:r w:rsidRPr="0060338D">
        <w:rPr>
          <w:rFonts w:ascii="Palatino Linotype" w:eastAsia="Palatino Linotype" w:hAnsi="Palatino Linotype" w:cs="Palatino Linotype"/>
          <w:b/>
          <w:color w:val="000000" w:themeColor="text1"/>
        </w:rPr>
        <w:t xml:space="preserve"> RECURRENTE</w:t>
      </w:r>
      <w:r w:rsidRPr="0060338D">
        <w:rPr>
          <w:rFonts w:ascii="Palatino Linotype" w:eastAsia="Palatino Linotype" w:hAnsi="Palatino Linotype" w:cs="Palatino Linotype"/>
          <w:color w:val="000000" w:themeColor="text1"/>
        </w:rPr>
        <w:t xml:space="preserve">, determinando </w:t>
      </w:r>
      <w:r w:rsidRPr="0060338D">
        <w:rPr>
          <w:rFonts w:ascii="Palatino Linotype" w:eastAsia="Palatino Linotype" w:hAnsi="Palatino Linotype" w:cs="Palatino Linotype"/>
          <w:b/>
          <w:color w:val="000000" w:themeColor="text1"/>
        </w:rPr>
        <w:t xml:space="preserve">REVOCAR </w:t>
      </w:r>
      <w:r w:rsidRPr="0060338D">
        <w:rPr>
          <w:rFonts w:ascii="Palatino Linotype" w:eastAsia="Palatino Linotype" w:hAnsi="Palatino Linotype" w:cs="Palatino Linotype"/>
          <w:color w:val="000000" w:themeColor="text1"/>
        </w:rPr>
        <w:t xml:space="preserve">la respuesta del </w:t>
      </w:r>
      <w:r w:rsidRPr="0060338D">
        <w:rPr>
          <w:rFonts w:ascii="Palatino Linotype" w:eastAsia="Palatino Linotype" w:hAnsi="Palatino Linotype" w:cs="Palatino Linotype"/>
          <w:b/>
          <w:color w:val="000000" w:themeColor="text1"/>
        </w:rPr>
        <w:t>SUJETO OBLIGADO</w:t>
      </w:r>
      <w:r w:rsidRPr="0060338D">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60338D">
        <w:rPr>
          <w:rFonts w:ascii="Palatino Linotype" w:eastAsia="Palatino Linotype" w:hAnsi="Palatino Linotype" w:cs="Palatino Linotype"/>
          <w:b/>
          <w:color w:val="000000" w:themeColor="text1"/>
        </w:rPr>
        <w:t>ÓRGANO GARANTE</w:t>
      </w:r>
      <w:r w:rsidRPr="0060338D">
        <w:rPr>
          <w:rFonts w:ascii="Palatino Linotype" w:eastAsia="Palatino Linotype" w:hAnsi="Palatino Linotype" w:cs="Palatino Linotype"/>
          <w:color w:val="000000" w:themeColor="text1"/>
        </w:rPr>
        <w:t xml:space="preserve"> emite los siguientes.</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pStyle w:val="Ttulo1"/>
        <w:spacing w:before="0" w:line="360" w:lineRule="auto"/>
        <w:jc w:val="center"/>
        <w:rPr>
          <w:b w:val="0"/>
          <w:color w:val="000000" w:themeColor="text1"/>
        </w:rPr>
      </w:pPr>
      <w:r w:rsidRPr="0060338D">
        <w:rPr>
          <w:color w:val="000000" w:themeColor="text1"/>
        </w:rPr>
        <w:lastRenderedPageBreak/>
        <w:t>R E S O L U T I V O S</w:t>
      </w:r>
    </w:p>
    <w:p w:rsidR="00FB78A5" w:rsidRPr="0060338D" w:rsidRDefault="00FB78A5" w:rsidP="0060338D">
      <w:pPr>
        <w:spacing w:line="360" w:lineRule="auto"/>
        <w:rPr>
          <w:rFonts w:ascii="Palatino Linotype" w:eastAsia="Palatino Linotype" w:hAnsi="Palatino Linotype" w:cs="Palatino Linotype"/>
          <w:color w:val="000000" w:themeColor="text1"/>
        </w:rPr>
      </w:pPr>
    </w:p>
    <w:p w:rsidR="00FB78A5" w:rsidRPr="0060338D" w:rsidRDefault="00DA2561" w:rsidP="0060338D">
      <w:pP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color w:val="000000" w:themeColor="text1"/>
        </w:rPr>
        <w:t>PRIMERO</w:t>
      </w:r>
      <w:r w:rsidRPr="0060338D">
        <w:rPr>
          <w:rFonts w:ascii="Palatino Linotype" w:eastAsia="Palatino Linotype" w:hAnsi="Palatino Linotype" w:cs="Palatino Linotype"/>
          <w:color w:val="000000" w:themeColor="text1"/>
        </w:rPr>
        <w:t xml:space="preserve">. Resultan fundadas las razones o motivos de inconformidad hechos valer en el Recursos de Revisión </w:t>
      </w:r>
      <w:r w:rsidRPr="0060338D">
        <w:rPr>
          <w:rFonts w:ascii="Palatino Linotype" w:eastAsia="Palatino Linotype" w:hAnsi="Palatino Linotype" w:cs="Palatino Linotype"/>
          <w:b/>
          <w:color w:val="000000" w:themeColor="text1"/>
        </w:rPr>
        <w:t xml:space="preserve">09898/INFOEM/IP/RR/2025 </w:t>
      </w:r>
      <w:r w:rsidRPr="0060338D">
        <w:rPr>
          <w:rFonts w:ascii="Palatino Linotype" w:eastAsia="Palatino Linotype" w:hAnsi="Palatino Linotype" w:cs="Palatino Linotype"/>
          <w:color w:val="000000" w:themeColor="text1"/>
        </w:rPr>
        <w:t xml:space="preserve">en términos del Considerando </w:t>
      </w:r>
      <w:r w:rsidRPr="0060338D">
        <w:rPr>
          <w:rFonts w:ascii="Palatino Linotype" w:eastAsia="Palatino Linotype" w:hAnsi="Palatino Linotype" w:cs="Palatino Linotype"/>
          <w:b/>
          <w:color w:val="000000" w:themeColor="text1"/>
        </w:rPr>
        <w:t xml:space="preserve">CUARTO y QUINTO </w:t>
      </w:r>
      <w:r w:rsidRPr="0060338D">
        <w:rPr>
          <w:rFonts w:ascii="Palatino Linotype" w:eastAsia="Palatino Linotype" w:hAnsi="Palatino Linotype" w:cs="Palatino Linotype"/>
          <w:color w:val="000000" w:themeColor="text1"/>
        </w:rPr>
        <w:t xml:space="preserve">de la presente resolución. </w:t>
      </w:r>
    </w:p>
    <w:p w:rsidR="00FB78A5" w:rsidRPr="0060338D" w:rsidRDefault="00FB78A5" w:rsidP="0060338D">
      <w:pP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spacing w:line="360" w:lineRule="auto"/>
        <w:jc w:val="both"/>
        <w:rPr>
          <w:rFonts w:ascii="Palatino Linotype" w:eastAsia="Palatino Linotype" w:hAnsi="Palatino Linotype" w:cs="Palatino Linotype"/>
          <w:color w:val="000000" w:themeColor="text1"/>
        </w:rPr>
      </w:pPr>
      <w:bookmarkStart w:id="12" w:name="_heading=h.26in1rg" w:colFirst="0" w:colLast="0"/>
      <w:bookmarkEnd w:id="12"/>
      <w:r w:rsidRPr="0060338D">
        <w:rPr>
          <w:rFonts w:ascii="Palatino Linotype" w:eastAsia="Palatino Linotype" w:hAnsi="Palatino Linotype" w:cs="Palatino Linotype"/>
          <w:b/>
          <w:color w:val="000000" w:themeColor="text1"/>
        </w:rPr>
        <w:t xml:space="preserve">SEGUNDO. </w:t>
      </w:r>
      <w:r w:rsidRPr="0060338D">
        <w:rPr>
          <w:rFonts w:ascii="Palatino Linotype" w:eastAsia="Palatino Linotype" w:hAnsi="Palatino Linotype" w:cs="Palatino Linotype"/>
          <w:color w:val="000000" w:themeColor="text1"/>
        </w:rPr>
        <w:t xml:space="preserve">Se </w:t>
      </w:r>
      <w:r w:rsidRPr="0060338D">
        <w:rPr>
          <w:rFonts w:ascii="Palatino Linotype" w:eastAsia="Palatino Linotype" w:hAnsi="Palatino Linotype" w:cs="Palatino Linotype"/>
          <w:b/>
          <w:color w:val="000000" w:themeColor="text1"/>
        </w:rPr>
        <w:t xml:space="preserve">REVOCA </w:t>
      </w:r>
      <w:r w:rsidRPr="0060338D">
        <w:rPr>
          <w:rFonts w:ascii="Palatino Linotype" w:eastAsia="Palatino Linotype" w:hAnsi="Palatino Linotype" w:cs="Palatino Linotype"/>
          <w:color w:val="000000" w:themeColor="text1"/>
        </w:rPr>
        <w:t xml:space="preserve">la respuesta emitida por el </w:t>
      </w:r>
      <w:r w:rsidRPr="0060338D">
        <w:rPr>
          <w:rFonts w:ascii="Palatino Linotype" w:eastAsia="Palatino Linotype" w:hAnsi="Palatino Linotype" w:cs="Palatino Linotype"/>
          <w:b/>
          <w:color w:val="000000" w:themeColor="text1"/>
        </w:rPr>
        <w:t xml:space="preserve">Ayuntamiento de Metepec, </w:t>
      </w:r>
      <w:r w:rsidRPr="0060338D">
        <w:rPr>
          <w:rFonts w:ascii="Palatino Linotype" w:eastAsia="Palatino Linotype" w:hAnsi="Palatino Linotype" w:cs="Palatino Linotype"/>
          <w:color w:val="000000" w:themeColor="text1"/>
        </w:rPr>
        <w:t>a la solicitud de información pública registrada con el número</w:t>
      </w:r>
      <w:r w:rsidRPr="0060338D">
        <w:rPr>
          <w:rFonts w:ascii="Palatino Linotype" w:eastAsia="Palatino Linotype" w:hAnsi="Palatino Linotype" w:cs="Palatino Linotype"/>
          <w:b/>
          <w:color w:val="000000" w:themeColor="text1"/>
        </w:rPr>
        <w:t xml:space="preserve"> 00276/METEPEC/IP/2025</w:t>
      </w:r>
      <w:r w:rsidRPr="0060338D">
        <w:rPr>
          <w:rFonts w:ascii="Palatino Linotype" w:eastAsia="Palatino Linotype" w:hAnsi="Palatino Linotype" w:cs="Palatino Linotype"/>
          <w:color w:val="000000" w:themeColor="text1"/>
        </w:rPr>
        <w:t xml:space="preserve">y se </w:t>
      </w:r>
      <w:r w:rsidRPr="0060338D">
        <w:rPr>
          <w:rFonts w:ascii="Palatino Linotype" w:eastAsia="Palatino Linotype" w:hAnsi="Palatino Linotype" w:cs="Palatino Linotype"/>
          <w:b/>
          <w:color w:val="000000" w:themeColor="text1"/>
        </w:rPr>
        <w:t>ORDENA</w:t>
      </w:r>
      <w:r w:rsidRPr="0060338D">
        <w:rPr>
          <w:rFonts w:ascii="Palatino Linotype" w:eastAsia="Palatino Linotype" w:hAnsi="Palatino Linotype" w:cs="Palatino Linotype"/>
          <w:color w:val="000000" w:themeColor="text1"/>
        </w:rPr>
        <w:t xml:space="preserve"> entregar vía Sistema de Acceso a la Información Mexiquense (SAIMEX), en versión pública,</w:t>
      </w:r>
      <w:r w:rsidRPr="0060338D">
        <w:rPr>
          <w:rFonts w:ascii="Palatino Linotype" w:eastAsia="Palatino Linotype" w:hAnsi="Palatino Linotype" w:cs="Palatino Linotype"/>
          <w:b/>
          <w:color w:val="000000" w:themeColor="text1"/>
        </w:rPr>
        <w:t xml:space="preserve"> de la primera y segunda quincena de junio de 2025,</w:t>
      </w:r>
      <w:r w:rsidRPr="0060338D">
        <w:rPr>
          <w:rFonts w:ascii="Palatino Linotype" w:eastAsia="Palatino Linotype" w:hAnsi="Palatino Linotype" w:cs="Palatino Linotype"/>
          <w:color w:val="000000" w:themeColor="text1"/>
        </w:rPr>
        <w:t xml:space="preserve"> lo siguiente:</w:t>
      </w:r>
    </w:p>
    <w:p w:rsidR="00FB78A5" w:rsidRPr="0060338D" w:rsidRDefault="00FB78A5" w:rsidP="0060338D">
      <w:pPr>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b/>
          <w:color w:val="000000" w:themeColor="text1"/>
        </w:rPr>
        <w:t>La conciliación de nómina de todos los Servidores Públicos; y</w:t>
      </w:r>
    </w:p>
    <w:p w:rsidR="00FB78A5" w:rsidRPr="0060338D" w:rsidRDefault="00DA2561" w:rsidP="0060338D">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b/>
          <w:color w:val="000000" w:themeColor="text1"/>
        </w:rPr>
        <w:t>La lista de raya del personal eventual contratado por el SUJETO OBLIGADO.</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FB78A5" w:rsidRPr="0060338D" w:rsidRDefault="00DA2561" w:rsidP="0060338D">
      <w:pPr>
        <w:spacing w:line="360" w:lineRule="auto"/>
        <w:jc w:val="both"/>
        <w:rPr>
          <w:rFonts w:ascii="Palatino Linotype" w:eastAsia="Palatino Linotype" w:hAnsi="Palatino Linotype" w:cs="Palatino Linotype"/>
          <w:b/>
          <w:color w:val="000000" w:themeColor="text1"/>
        </w:rPr>
      </w:pPr>
      <w:r w:rsidRPr="0060338D">
        <w:rPr>
          <w:rFonts w:ascii="Palatino Linotype" w:eastAsia="Palatino Linotype" w:hAnsi="Palatino Linotype" w:cs="Palatino Linotype"/>
          <w:color w:val="000000" w:themeColor="text1"/>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60338D">
        <w:rPr>
          <w:rFonts w:ascii="Palatino Linotype" w:eastAsia="Palatino Linotype" w:hAnsi="Palatino Linotype" w:cs="Palatino Linotype"/>
          <w:b/>
          <w:color w:val="000000" w:themeColor="text1"/>
        </w:rPr>
        <w:t>RECURRENTE.</w:t>
      </w:r>
    </w:p>
    <w:p w:rsidR="00FB78A5" w:rsidRPr="0060338D" w:rsidRDefault="00FB78A5" w:rsidP="0060338D">
      <w:pPr>
        <w:spacing w:line="360" w:lineRule="auto"/>
        <w:jc w:val="both"/>
        <w:rPr>
          <w:rFonts w:ascii="Palatino Linotype" w:eastAsia="Palatino Linotype" w:hAnsi="Palatino Linotype" w:cs="Palatino Linotype"/>
          <w:b/>
          <w:color w:val="000000" w:themeColor="text1"/>
        </w:rPr>
      </w:pPr>
    </w:p>
    <w:p w:rsidR="00FB78A5" w:rsidRPr="0060338D" w:rsidRDefault="00DA2561" w:rsidP="0060338D">
      <w:pP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color w:val="000000" w:themeColor="text1"/>
        </w:rPr>
        <w:t xml:space="preserve">Para el supuesto de que no se haya generado la información que se ordena en el inciso </w:t>
      </w:r>
      <w:r w:rsidRPr="0060338D">
        <w:rPr>
          <w:rFonts w:ascii="Palatino Linotype" w:eastAsia="Palatino Linotype" w:hAnsi="Palatino Linotype" w:cs="Palatino Linotype"/>
          <w:b/>
          <w:color w:val="000000" w:themeColor="text1"/>
        </w:rPr>
        <w:t>“B”</w:t>
      </w:r>
      <w:r w:rsidRPr="0060338D">
        <w:rPr>
          <w:rFonts w:ascii="Palatino Linotype" w:eastAsia="Palatino Linotype" w:hAnsi="Palatino Linotype" w:cs="Palatino Linotype"/>
          <w:color w:val="000000" w:themeColor="text1"/>
        </w:rPr>
        <w:t xml:space="preserve"> del presente Resolutivo, bastará con que lo haga del conocimiento de la parte </w:t>
      </w:r>
      <w:r w:rsidRPr="0060338D">
        <w:rPr>
          <w:rFonts w:ascii="Palatino Linotype" w:eastAsia="Palatino Linotype" w:hAnsi="Palatino Linotype" w:cs="Palatino Linotype"/>
          <w:b/>
          <w:color w:val="000000" w:themeColor="text1"/>
        </w:rPr>
        <w:lastRenderedPageBreak/>
        <w:t>RECURRENTE,</w:t>
      </w:r>
      <w:r w:rsidRPr="0060338D">
        <w:rPr>
          <w:rFonts w:ascii="Palatino Linotype" w:eastAsia="Palatino Linotype" w:hAnsi="Palatino Linotype" w:cs="Palatino Linotype"/>
          <w:color w:val="000000" w:themeColor="text1"/>
        </w:rPr>
        <w:t xml:space="preserve"> en términos del segundo párrafo del artículo 19 de la Ley de Transparencia Local.</w:t>
      </w:r>
    </w:p>
    <w:p w:rsidR="00FB78A5" w:rsidRPr="0060338D" w:rsidRDefault="00FB78A5" w:rsidP="0060338D">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bookmarkStart w:id="13" w:name="_heading=h.4d34og8" w:colFirst="0" w:colLast="0"/>
      <w:bookmarkEnd w:id="13"/>
    </w:p>
    <w:p w:rsidR="00FB78A5" w:rsidRPr="0060338D" w:rsidRDefault="00DA2561" w:rsidP="0060338D">
      <w:pPr>
        <w:tabs>
          <w:tab w:val="left" w:pos="8080"/>
        </w:tabs>
        <w:spacing w:line="360" w:lineRule="auto"/>
        <w:jc w:val="both"/>
        <w:rPr>
          <w:rFonts w:ascii="Palatino Linotype" w:eastAsia="Palatino Linotype" w:hAnsi="Palatino Linotype" w:cs="Palatino Linotype"/>
          <w:b/>
          <w:color w:val="000000" w:themeColor="text1"/>
        </w:rPr>
      </w:pPr>
      <w:bookmarkStart w:id="14" w:name="_heading=h.lnxbz9" w:colFirst="0" w:colLast="0"/>
      <w:bookmarkEnd w:id="14"/>
      <w:r w:rsidRPr="0060338D">
        <w:rPr>
          <w:rFonts w:ascii="Palatino Linotype" w:eastAsia="Palatino Linotype" w:hAnsi="Palatino Linotype" w:cs="Palatino Linotype"/>
          <w:b/>
          <w:color w:val="000000" w:themeColor="text1"/>
        </w:rPr>
        <w:t xml:space="preserve">TERCERO. NOTIFÍQUESE </w:t>
      </w:r>
      <w:r w:rsidRPr="0060338D">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60338D">
        <w:rPr>
          <w:rFonts w:ascii="Palatino Linotype" w:eastAsia="Palatino Linotype" w:hAnsi="Palatino Linotype" w:cs="Palatino Linotype"/>
          <w:b/>
          <w:color w:val="000000" w:themeColor="text1"/>
        </w:rPr>
        <w:t>dé cumplimiento a lo ordenado dentro del plazo de diez días hábiles,</w:t>
      </w:r>
      <w:r w:rsidRPr="0060338D">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FB78A5" w:rsidRPr="0060338D" w:rsidRDefault="00FB78A5" w:rsidP="0060338D">
      <w:pPr>
        <w:tabs>
          <w:tab w:val="left" w:pos="8080"/>
        </w:tabs>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color w:val="000000" w:themeColor="text1"/>
        </w:rPr>
        <w:t xml:space="preserve">CUARTO. </w:t>
      </w:r>
      <w:r w:rsidRPr="0060338D">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60338D">
        <w:rPr>
          <w:rFonts w:ascii="Palatino Linotype" w:eastAsia="Palatino Linotype" w:hAnsi="Palatino Linotype" w:cs="Palatino Linotype"/>
          <w:b/>
          <w:color w:val="000000" w:themeColor="text1"/>
        </w:rPr>
        <w:t>SUJETO OBLIGADO</w:t>
      </w:r>
      <w:r w:rsidRPr="0060338D">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FB78A5" w:rsidRPr="0060338D" w:rsidRDefault="00FB78A5" w:rsidP="0060338D">
      <w:pPr>
        <w:spacing w:line="360" w:lineRule="auto"/>
        <w:jc w:val="both"/>
        <w:rPr>
          <w:rFonts w:ascii="Palatino Linotype" w:eastAsia="Palatino Linotype" w:hAnsi="Palatino Linotype" w:cs="Palatino Linotype"/>
          <w:color w:val="000000" w:themeColor="text1"/>
        </w:rPr>
      </w:pPr>
    </w:p>
    <w:p w:rsidR="00FB78A5" w:rsidRDefault="00DA2561" w:rsidP="0060338D">
      <w:pPr>
        <w:tabs>
          <w:tab w:val="left" w:pos="8080"/>
        </w:tabs>
        <w:spacing w:line="360" w:lineRule="auto"/>
        <w:jc w:val="both"/>
        <w:rPr>
          <w:rFonts w:ascii="Palatino Linotype" w:eastAsia="Palatino Linotype" w:hAnsi="Palatino Linotype" w:cs="Palatino Linotype"/>
          <w:b/>
          <w:color w:val="000000" w:themeColor="text1"/>
        </w:rPr>
      </w:pPr>
      <w:bookmarkStart w:id="15" w:name="_heading=h.35nkun2" w:colFirst="0" w:colLast="0"/>
      <w:bookmarkEnd w:id="15"/>
      <w:r w:rsidRPr="0060338D">
        <w:rPr>
          <w:rFonts w:ascii="Palatino Linotype" w:eastAsia="Palatino Linotype" w:hAnsi="Palatino Linotype" w:cs="Palatino Linotype"/>
          <w:b/>
          <w:color w:val="000000" w:themeColor="text1"/>
        </w:rPr>
        <w:t xml:space="preserve">QUINTO. </w:t>
      </w:r>
      <w:r w:rsidRPr="0060338D">
        <w:rPr>
          <w:rFonts w:ascii="Palatino Linotype" w:eastAsia="Palatino Linotype" w:hAnsi="Palatino Linotype" w:cs="Palatino Linotype"/>
          <w:color w:val="000000" w:themeColor="text1"/>
        </w:rPr>
        <w:t>Notifíquese al</w:t>
      </w:r>
      <w:r w:rsidRPr="0060338D">
        <w:rPr>
          <w:rFonts w:ascii="Palatino Linotype" w:eastAsia="Palatino Linotype" w:hAnsi="Palatino Linotype" w:cs="Palatino Linotype"/>
          <w:b/>
          <w:color w:val="000000" w:themeColor="text1"/>
        </w:rPr>
        <w:t xml:space="preserve"> RECURRENTE</w:t>
      </w:r>
      <w:r w:rsidRPr="0060338D">
        <w:rPr>
          <w:rFonts w:ascii="Palatino Linotype" w:eastAsia="Palatino Linotype" w:hAnsi="Palatino Linotype" w:cs="Palatino Linotype"/>
          <w:color w:val="000000" w:themeColor="text1"/>
        </w:rPr>
        <w:t xml:space="preserve"> la presente resolución, vía </w:t>
      </w:r>
      <w:r w:rsidRPr="0060338D">
        <w:rPr>
          <w:rFonts w:ascii="Palatino Linotype" w:eastAsia="Palatino Linotype" w:hAnsi="Palatino Linotype" w:cs="Palatino Linotype"/>
          <w:b/>
          <w:color w:val="000000" w:themeColor="text1"/>
        </w:rPr>
        <w:t>SAIMEX.</w:t>
      </w:r>
    </w:p>
    <w:p w:rsidR="0060338D" w:rsidRPr="0060338D" w:rsidRDefault="0060338D" w:rsidP="0060338D">
      <w:pPr>
        <w:tabs>
          <w:tab w:val="left" w:pos="8080"/>
        </w:tabs>
        <w:spacing w:line="360" w:lineRule="auto"/>
        <w:jc w:val="both"/>
        <w:rPr>
          <w:rFonts w:ascii="Palatino Linotype" w:eastAsia="Palatino Linotype" w:hAnsi="Palatino Linotype" w:cs="Palatino Linotype"/>
          <w:color w:val="000000" w:themeColor="text1"/>
        </w:rPr>
      </w:pPr>
    </w:p>
    <w:p w:rsidR="00FB78A5" w:rsidRPr="0060338D" w:rsidRDefault="00DA2561" w:rsidP="0060338D">
      <w:pPr>
        <w:shd w:val="clear" w:color="auto" w:fill="FFFFFF"/>
        <w:spacing w:line="360" w:lineRule="auto"/>
        <w:jc w:val="both"/>
        <w:rPr>
          <w:rFonts w:ascii="Palatino Linotype" w:eastAsia="Palatino Linotype" w:hAnsi="Palatino Linotype" w:cs="Palatino Linotype"/>
          <w:color w:val="000000" w:themeColor="text1"/>
        </w:rPr>
      </w:pPr>
      <w:r w:rsidRPr="0060338D">
        <w:rPr>
          <w:rFonts w:ascii="Palatino Linotype" w:eastAsia="Palatino Linotype" w:hAnsi="Palatino Linotype" w:cs="Palatino Linotype"/>
          <w:b/>
          <w:color w:val="000000" w:themeColor="text1"/>
        </w:rPr>
        <w:t>SEXTO.</w:t>
      </w:r>
      <w:r w:rsidRPr="0060338D">
        <w:rPr>
          <w:rFonts w:ascii="Palatino Linotype" w:eastAsia="Palatino Linotype" w:hAnsi="Palatino Linotype" w:cs="Palatino Linotype"/>
          <w:color w:val="000000" w:themeColor="text1"/>
        </w:rPr>
        <w:t xml:space="preserve"> Se hace del conocimiento del </w:t>
      </w:r>
      <w:r w:rsidRPr="0060338D">
        <w:rPr>
          <w:rFonts w:ascii="Palatino Linotype" w:eastAsia="Palatino Linotype" w:hAnsi="Palatino Linotype" w:cs="Palatino Linotype"/>
          <w:b/>
          <w:color w:val="000000" w:themeColor="text1"/>
        </w:rPr>
        <w:t>RECURRENTE</w:t>
      </w:r>
      <w:r w:rsidRPr="0060338D">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w:t>
      </w:r>
      <w:r w:rsidRPr="0060338D">
        <w:rPr>
          <w:rFonts w:ascii="Palatino Linotype" w:eastAsia="Palatino Linotype" w:hAnsi="Palatino Linotype" w:cs="Palatino Linotype"/>
          <w:color w:val="000000" w:themeColor="text1"/>
        </w:rPr>
        <w:lastRenderedPageBreak/>
        <w:t>algún perjuicio podrá impugnar vía juicio de amparo en los términos de las leyes aplicables.</w:t>
      </w:r>
    </w:p>
    <w:p w:rsidR="00FB78A5" w:rsidRDefault="00FB78A5" w:rsidP="0060338D">
      <w:pPr>
        <w:shd w:val="clear" w:color="auto" w:fill="FFFFFF"/>
        <w:spacing w:line="360" w:lineRule="auto"/>
        <w:jc w:val="both"/>
        <w:rPr>
          <w:rFonts w:ascii="Palatino Linotype" w:eastAsia="Palatino Linotype" w:hAnsi="Palatino Linotype" w:cs="Palatino Linotype"/>
          <w:color w:val="000000" w:themeColor="text1"/>
        </w:rPr>
      </w:pPr>
    </w:p>
    <w:p w:rsidR="0060338D" w:rsidRDefault="0060338D" w:rsidP="0060338D">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620A07">
        <w:rPr>
          <w:rFonts w:ascii="Palatino Linotype" w:eastAsia="Palatino Linotype" w:hAnsi="Palatino Linotype" w:cs="Palatino Linotype"/>
        </w:rPr>
        <w:t xml:space="preserve">EMITIENDO VOTO PARTICULAR  </w:t>
      </w:r>
      <w:r w:rsidRPr="00575AE2">
        <w:rPr>
          <w:rFonts w:ascii="Palatino Linotype" w:eastAsia="Palatino Linotype" w:hAnsi="Palatino Linotype" w:cs="Palatino Linotype"/>
        </w:rPr>
        <w:t>Y GUADALUPE RAMÍREZ PEÑA</w:t>
      </w:r>
      <w:r w:rsidR="00620A07">
        <w:rPr>
          <w:rFonts w:ascii="Palatino Linotype" w:eastAsia="Palatino Linotype" w:hAnsi="Palatino Linotype" w:cs="Palatino Linotype"/>
        </w:rPr>
        <w:t xml:space="preserve"> EMITIENDO VOTO PARTICULAR</w:t>
      </w:r>
      <w:r w:rsidRPr="00575AE2">
        <w:rPr>
          <w:rFonts w:ascii="Palatino Linotype" w:eastAsia="Palatino Linotype" w:hAnsi="Palatino Linotype" w:cs="Palatino Linotype"/>
        </w:rPr>
        <w:t xml:space="preserve">; EN LA TRIGÉSIMA </w:t>
      </w:r>
      <w:r>
        <w:rPr>
          <w:rFonts w:ascii="Palatino Linotype" w:eastAsia="Palatino Linotype" w:hAnsi="Palatino Linotype" w:cs="Palatino Linotype"/>
        </w:rPr>
        <w:t xml:space="preserve">QUINTA </w:t>
      </w:r>
      <w:r w:rsidRPr="00575AE2">
        <w:rPr>
          <w:rFonts w:ascii="Palatino Linotype" w:eastAsia="Palatino Linotype" w:hAnsi="Palatino Linotype" w:cs="Palatino Linotype"/>
        </w:rPr>
        <w:t xml:space="preserve">SESIÓN ORDINARIA, CELEBRADA EL </w:t>
      </w:r>
      <w:r>
        <w:rPr>
          <w:rFonts w:ascii="Palatino Linotype" w:eastAsia="Palatino Linotype" w:hAnsi="Palatino Linotype" w:cs="Palatino Linotype"/>
        </w:rPr>
        <w:t>PRIMERO (01</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OCTUBRE </w:t>
      </w:r>
      <w:r w:rsidRPr="00575AE2">
        <w:rPr>
          <w:rFonts w:ascii="Palatino Linotype" w:eastAsia="Palatino Linotype" w:hAnsi="Palatino Linotype" w:cs="Palatino Linotype"/>
        </w:rPr>
        <w:t>DE DOS MIL VEINTICINCO, ANTE EL SECRETARIO TÉCNICO DEL PLENO ALEXIS TAPIA RAMÍREZ.</w:t>
      </w:r>
    </w:p>
    <w:p w:rsidR="0074593F" w:rsidRDefault="0074593F" w:rsidP="0060338D">
      <w:pPr>
        <w:tabs>
          <w:tab w:val="left" w:pos="5387"/>
        </w:tabs>
        <w:spacing w:line="360" w:lineRule="auto"/>
        <w:ind w:right="49"/>
        <w:jc w:val="both"/>
        <w:rPr>
          <w:rFonts w:ascii="Palatino Linotype" w:eastAsia="Palatino Linotype" w:hAnsi="Palatino Linotype" w:cs="Palatino Linotype"/>
        </w:rPr>
      </w:pPr>
    </w:p>
    <w:p w:rsidR="0074593F" w:rsidRDefault="0074593F" w:rsidP="0060338D">
      <w:pPr>
        <w:tabs>
          <w:tab w:val="left" w:pos="5387"/>
        </w:tabs>
        <w:spacing w:line="360" w:lineRule="auto"/>
        <w:ind w:right="49"/>
        <w:jc w:val="both"/>
        <w:rPr>
          <w:rFonts w:ascii="Palatino Linotype" w:eastAsia="Palatino Linotype" w:hAnsi="Palatino Linotype" w:cs="Palatino Linotype"/>
        </w:rPr>
      </w:pPr>
    </w:p>
    <w:p w:rsidR="00EA0D5D" w:rsidRDefault="00EA0D5D" w:rsidP="0060338D">
      <w:pPr>
        <w:tabs>
          <w:tab w:val="left" w:pos="5387"/>
        </w:tabs>
        <w:spacing w:line="360" w:lineRule="auto"/>
        <w:ind w:right="49"/>
        <w:jc w:val="both"/>
        <w:rPr>
          <w:rFonts w:ascii="Palatino Linotype" w:eastAsia="Palatino Linotype" w:hAnsi="Palatino Linotype" w:cs="Palatino Linotype"/>
        </w:rPr>
      </w:pPr>
    </w:p>
    <w:p w:rsidR="00EA0D5D" w:rsidRDefault="00EA0D5D" w:rsidP="0060338D">
      <w:pPr>
        <w:tabs>
          <w:tab w:val="left" w:pos="5387"/>
        </w:tabs>
        <w:spacing w:line="360" w:lineRule="auto"/>
        <w:ind w:right="49"/>
        <w:jc w:val="both"/>
        <w:rPr>
          <w:rFonts w:ascii="Palatino Linotype" w:eastAsia="Palatino Linotype" w:hAnsi="Palatino Linotype" w:cs="Palatino Linotype"/>
        </w:rPr>
      </w:pPr>
    </w:p>
    <w:p w:rsidR="00EA0D5D" w:rsidRDefault="00EA0D5D" w:rsidP="0060338D">
      <w:pPr>
        <w:tabs>
          <w:tab w:val="left" w:pos="5387"/>
        </w:tabs>
        <w:spacing w:line="360" w:lineRule="auto"/>
        <w:ind w:right="49"/>
        <w:jc w:val="both"/>
        <w:rPr>
          <w:rFonts w:ascii="Palatino Linotype" w:eastAsia="Palatino Linotype" w:hAnsi="Palatino Linotype" w:cs="Palatino Linotype"/>
        </w:rPr>
      </w:pPr>
    </w:p>
    <w:p w:rsidR="00EA0D5D" w:rsidRDefault="00EA0D5D" w:rsidP="0060338D">
      <w:pPr>
        <w:tabs>
          <w:tab w:val="left" w:pos="5387"/>
        </w:tabs>
        <w:spacing w:line="360" w:lineRule="auto"/>
        <w:ind w:right="49"/>
        <w:jc w:val="both"/>
        <w:rPr>
          <w:rFonts w:ascii="Palatino Linotype" w:eastAsia="Palatino Linotype" w:hAnsi="Palatino Linotype" w:cs="Palatino Linotype"/>
        </w:rPr>
      </w:pPr>
    </w:p>
    <w:p w:rsidR="00EA0D5D" w:rsidRDefault="00EA0D5D" w:rsidP="0060338D">
      <w:pPr>
        <w:tabs>
          <w:tab w:val="left" w:pos="5387"/>
        </w:tabs>
        <w:spacing w:line="360" w:lineRule="auto"/>
        <w:ind w:right="49"/>
        <w:jc w:val="both"/>
        <w:rPr>
          <w:rFonts w:ascii="Palatino Linotype" w:eastAsia="Palatino Linotype" w:hAnsi="Palatino Linotype" w:cs="Palatino Linotype"/>
        </w:rPr>
      </w:pPr>
    </w:p>
    <w:p w:rsidR="00EA0D5D" w:rsidRDefault="00EA0D5D" w:rsidP="0060338D">
      <w:pPr>
        <w:tabs>
          <w:tab w:val="left" w:pos="5387"/>
        </w:tabs>
        <w:spacing w:line="360" w:lineRule="auto"/>
        <w:ind w:right="49"/>
        <w:jc w:val="both"/>
        <w:rPr>
          <w:rFonts w:ascii="Palatino Linotype" w:eastAsia="Palatino Linotype" w:hAnsi="Palatino Linotype" w:cs="Palatino Linotype"/>
        </w:rPr>
      </w:pPr>
    </w:p>
    <w:p w:rsidR="00EA0D5D" w:rsidRDefault="00EA0D5D" w:rsidP="0060338D">
      <w:pPr>
        <w:tabs>
          <w:tab w:val="left" w:pos="5387"/>
        </w:tabs>
        <w:spacing w:line="360" w:lineRule="auto"/>
        <w:ind w:right="49"/>
        <w:jc w:val="both"/>
        <w:rPr>
          <w:rFonts w:ascii="Palatino Linotype" w:eastAsia="Palatino Linotype" w:hAnsi="Palatino Linotype" w:cs="Palatino Linotype"/>
        </w:rPr>
      </w:pPr>
    </w:p>
    <w:p w:rsidR="00EA0D5D" w:rsidRDefault="00EA0D5D" w:rsidP="0060338D">
      <w:pPr>
        <w:tabs>
          <w:tab w:val="left" w:pos="5387"/>
        </w:tabs>
        <w:spacing w:line="360" w:lineRule="auto"/>
        <w:ind w:right="49"/>
        <w:jc w:val="both"/>
        <w:rPr>
          <w:rFonts w:ascii="Palatino Linotype" w:eastAsia="Palatino Linotype" w:hAnsi="Palatino Linotype" w:cs="Palatino Linotype"/>
        </w:rPr>
      </w:pPr>
    </w:p>
    <w:p w:rsidR="00EA0D5D" w:rsidRDefault="00EA0D5D" w:rsidP="0060338D">
      <w:pPr>
        <w:tabs>
          <w:tab w:val="left" w:pos="5387"/>
        </w:tabs>
        <w:spacing w:line="360" w:lineRule="auto"/>
        <w:ind w:right="49"/>
        <w:jc w:val="both"/>
        <w:rPr>
          <w:rFonts w:ascii="Palatino Linotype" w:eastAsia="Palatino Linotype" w:hAnsi="Palatino Linotype" w:cs="Palatino Linotype"/>
        </w:rPr>
      </w:pPr>
    </w:p>
    <w:p w:rsidR="0074593F" w:rsidRPr="00444783" w:rsidRDefault="0074593F" w:rsidP="0060338D">
      <w:pPr>
        <w:tabs>
          <w:tab w:val="left" w:pos="5387"/>
        </w:tabs>
        <w:spacing w:line="360" w:lineRule="auto"/>
        <w:ind w:right="49"/>
        <w:jc w:val="both"/>
        <w:rPr>
          <w:rFonts w:ascii="Palatino Linotype" w:eastAsia="Palatino Linotype" w:hAnsi="Palatino Linotype" w:cs="Palatino Linotype"/>
        </w:rPr>
      </w:pPr>
    </w:p>
    <w:p w:rsidR="00FB78A5" w:rsidRPr="0060338D" w:rsidRDefault="00FB78A5" w:rsidP="0060338D">
      <w:pPr>
        <w:pStyle w:val="Ttulo2"/>
        <w:spacing w:before="0" w:line="360" w:lineRule="auto"/>
        <w:rPr>
          <w:b w:val="0"/>
          <w:color w:val="000000" w:themeColor="text1"/>
        </w:rPr>
      </w:pPr>
    </w:p>
    <w:p w:rsidR="00FB78A5" w:rsidRPr="0060338D" w:rsidRDefault="00FB78A5" w:rsidP="0060338D">
      <w:pPr>
        <w:rPr>
          <w:rFonts w:ascii="Palatino Linotype" w:hAnsi="Palatino Linotype"/>
          <w:color w:val="000000" w:themeColor="text1"/>
        </w:rPr>
      </w:pPr>
    </w:p>
    <w:sectPr w:rsidR="00FB78A5" w:rsidRPr="0060338D" w:rsidSect="00EA0D5D">
      <w:headerReference w:type="default" r:id="rId27"/>
      <w:footerReference w:type="default" r:id="rId28"/>
      <w:headerReference w:type="first" r:id="rId29"/>
      <w:footerReference w:type="first" r:id="rId30"/>
      <w:pgSz w:w="12240" w:h="15840"/>
      <w:pgMar w:top="1691" w:right="1041" w:bottom="1701"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835" w:rsidRDefault="00B20835">
      <w:r>
        <w:separator/>
      </w:r>
    </w:p>
  </w:endnote>
  <w:endnote w:type="continuationSeparator" w:id="0">
    <w:p w:rsidR="00B20835" w:rsidRDefault="00B20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A5" w:rsidRDefault="00DA2561">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DD58E7">
      <w:rPr>
        <w:rFonts w:ascii="Palatino Linotype" w:eastAsia="Palatino Linotype" w:hAnsi="Palatino Linotype" w:cs="Palatino Linotype"/>
        <w:b/>
        <w:noProof/>
        <w:color w:val="000000"/>
        <w:sz w:val="22"/>
        <w:szCs w:val="22"/>
      </w:rPr>
      <w:t>2</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DD58E7">
      <w:rPr>
        <w:rFonts w:ascii="Palatino Linotype" w:eastAsia="Palatino Linotype" w:hAnsi="Palatino Linotype" w:cs="Palatino Linotype"/>
        <w:b/>
        <w:noProof/>
        <w:color w:val="000000"/>
        <w:sz w:val="22"/>
        <w:szCs w:val="22"/>
      </w:rPr>
      <w:t>39</w:t>
    </w:r>
    <w:r>
      <w:rPr>
        <w:rFonts w:ascii="Palatino Linotype" w:eastAsia="Palatino Linotype" w:hAnsi="Palatino Linotype" w:cs="Palatino Linotype"/>
        <w:b/>
        <w:color w:val="000000"/>
        <w:sz w:val="22"/>
        <w:szCs w:val="22"/>
      </w:rPr>
      <w:fldChar w:fldCharType="end"/>
    </w:r>
  </w:p>
  <w:p w:rsidR="00FB78A5" w:rsidRDefault="00FB78A5">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rsidR="00FB78A5" w:rsidRDefault="00FB78A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A5" w:rsidRDefault="00DA256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D58E7">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D58E7">
      <w:rPr>
        <w:rFonts w:ascii="Palatino Linotype" w:eastAsia="Palatino Linotype" w:hAnsi="Palatino Linotype" w:cs="Palatino Linotype"/>
        <w:noProof/>
        <w:color w:val="000000"/>
        <w:sz w:val="22"/>
        <w:szCs w:val="22"/>
      </w:rPr>
      <w:t>39</w:t>
    </w:r>
    <w:r>
      <w:rPr>
        <w:rFonts w:ascii="Palatino Linotype" w:eastAsia="Palatino Linotype" w:hAnsi="Palatino Linotype" w:cs="Palatino Linotype"/>
        <w:color w:val="000000"/>
        <w:sz w:val="22"/>
        <w:szCs w:val="22"/>
      </w:rPr>
      <w:fldChar w:fldCharType="end"/>
    </w:r>
  </w:p>
  <w:p w:rsidR="00FB78A5" w:rsidRDefault="00FB78A5">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rsidR="00FB78A5" w:rsidRDefault="00FB78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835" w:rsidRDefault="00B20835">
      <w:r>
        <w:separator/>
      </w:r>
    </w:p>
  </w:footnote>
  <w:footnote w:type="continuationSeparator" w:id="0">
    <w:p w:rsidR="00B20835" w:rsidRDefault="00B20835">
      <w:r>
        <w:continuationSeparator/>
      </w:r>
    </w:p>
  </w:footnote>
  <w:footnote w:id="1">
    <w:p w:rsidR="00FB78A5" w:rsidRDefault="00DA256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e"/>
      <w:tblW w:w="6703"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734"/>
      <w:gridCol w:w="3969"/>
    </w:tblGrid>
    <w:tr w:rsidR="00FB78A5" w:rsidTr="00EA0D5D">
      <w:trPr>
        <w:trHeight w:val="138"/>
      </w:trPr>
      <w:tc>
        <w:tcPr>
          <w:tcW w:w="2734" w:type="dxa"/>
          <w:vAlign w:val="center"/>
        </w:tcPr>
        <w:p w:rsidR="00FB78A5" w:rsidRPr="0060338D" w:rsidRDefault="00DA2561" w:rsidP="0060338D">
          <w:pPr>
            <w:rPr>
              <w:rFonts w:ascii="Palatino Linotype" w:eastAsia="Palatino Linotype" w:hAnsi="Palatino Linotype" w:cs="Palatino Linotype"/>
              <w:b/>
              <w:sz w:val="24"/>
              <w:szCs w:val="24"/>
            </w:rPr>
          </w:pPr>
          <w:r w:rsidRPr="0060338D">
            <w:rPr>
              <w:rFonts w:ascii="Palatino Linotype" w:eastAsia="Palatino Linotype" w:hAnsi="Palatino Linotype" w:cs="Palatino Linotype"/>
              <w:b/>
              <w:sz w:val="24"/>
              <w:szCs w:val="24"/>
            </w:rPr>
            <w:t>Recurso de Revisión:</w:t>
          </w:r>
        </w:p>
      </w:tc>
      <w:tc>
        <w:tcPr>
          <w:tcW w:w="3969" w:type="dxa"/>
          <w:vAlign w:val="center"/>
        </w:tcPr>
        <w:p w:rsidR="00FB78A5" w:rsidRPr="0060338D" w:rsidRDefault="00DA2561" w:rsidP="0060338D">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4"/>
              <w:szCs w:val="24"/>
              <w:highlight w:val="yellow"/>
            </w:rPr>
          </w:pPr>
          <w:r w:rsidRPr="0060338D">
            <w:rPr>
              <w:rFonts w:ascii="Palatino Linotype" w:eastAsia="Palatino Linotype" w:hAnsi="Palatino Linotype" w:cs="Palatino Linotype"/>
              <w:color w:val="000000"/>
              <w:sz w:val="24"/>
              <w:szCs w:val="24"/>
            </w:rPr>
            <w:t>09898/INFOEM/IP/RR/2025</w:t>
          </w:r>
        </w:p>
      </w:tc>
    </w:tr>
    <w:tr w:rsidR="00FB78A5" w:rsidTr="00EA0D5D">
      <w:trPr>
        <w:trHeight w:val="321"/>
      </w:trPr>
      <w:tc>
        <w:tcPr>
          <w:tcW w:w="2734" w:type="dxa"/>
          <w:vAlign w:val="center"/>
        </w:tcPr>
        <w:p w:rsidR="00FB78A5" w:rsidRPr="0060338D" w:rsidRDefault="00DA2561" w:rsidP="0060338D">
          <w:pPr>
            <w:rPr>
              <w:rFonts w:ascii="Palatino Linotype" w:eastAsia="Palatino Linotype" w:hAnsi="Palatino Linotype" w:cs="Palatino Linotype"/>
              <w:b/>
              <w:sz w:val="24"/>
              <w:szCs w:val="24"/>
            </w:rPr>
          </w:pPr>
          <w:r w:rsidRPr="0060338D">
            <w:rPr>
              <w:rFonts w:ascii="Palatino Linotype" w:eastAsia="Palatino Linotype" w:hAnsi="Palatino Linotype" w:cs="Palatino Linotype"/>
              <w:b/>
              <w:sz w:val="24"/>
              <w:szCs w:val="24"/>
            </w:rPr>
            <w:t>Sujeto Obligado:</w:t>
          </w:r>
        </w:p>
      </w:tc>
      <w:tc>
        <w:tcPr>
          <w:tcW w:w="3969" w:type="dxa"/>
          <w:vAlign w:val="center"/>
        </w:tcPr>
        <w:p w:rsidR="00FB78A5" w:rsidRPr="0060338D" w:rsidRDefault="00DA2561" w:rsidP="0060338D">
          <w:pPr>
            <w:rPr>
              <w:rFonts w:ascii="Palatino Linotype" w:eastAsia="Palatino Linotype" w:hAnsi="Palatino Linotype" w:cs="Palatino Linotype"/>
              <w:sz w:val="24"/>
              <w:szCs w:val="24"/>
            </w:rPr>
          </w:pPr>
          <w:r w:rsidRPr="0060338D">
            <w:rPr>
              <w:rFonts w:ascii="Palatino Linotype" w:eastAsia="Palatino Linotype" w:hAnsi="Palatino Linotype" w:cs="Palatino Linotype"/>
              <w:sz w:val="24"/>
              <w:szCs w:val="24"/>
            </w:rPr>
            <w:t>Ayuntamiento de Metepec</w:t>
          </w:r>
        </w:p>
      </w:tc>
    </w:tr>
    <w:tr w:rsidR="00FB78A5" w:rsidTr="00EA0D5D">
      <w:trPr>
        <w:trHeight w:val="321"/>
      </w:trPr>
      <w:tc>
        <w:tcPr>
          <w:tcW w:w="2734" w:type="dxa"/>
          <w:vAlign w:val="center"/>
        </w:tcPr>
        <w:p w:rsidR="00FB78A5" w:rsidRPr="0060338D" w:rsidRDefault="00DA2561" w:rsidP="0060338D">
          <w:pPr>
            <w:rPr>
              <w:rFonts w:ascii="Palatino Linotype" w:eastAsia="Palatino Linotype" w:hAnsi="Palatino Linotype" w:cs="Palatino Linotype"/>
              <w:b/>
              <w:sz w:val="24"/>
              <w:szCs w:val="24"/>
            </w:rPr>
          </w:pPr>
          <w:r w:rsidRPr="0060338D">
            <w:rPr>
              <w:rFonts w:ascii="Palatino Linotype" w:eastAsia="Palatino Linotype" w:hAnsi="Palatino Linotype" w:cs="Palatino Linotype"/>
              <w:b/>
              <w:sz w:val="24"/>
              <w:szCs w:val="24"/>
            </w:rPr>
            <w:t>Comisionada Ponente:</w:t>
          </w:r>
        </w:p>
      </w:tc>
      <w:tc>
        <w:tcPr>
          <w:tcW w:w="3969" w:type="dxa"/>
          <w:vAlign w:val="center"/>
        </w:tcPr>
        <w:p w:rsidR="00FB78A5" w:rsidRPr="0060338D" w:rsidRDefault="00DA2561" w:rsidP="0060338D">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4"/>
              <w:szCs w:val="24"/>
            </w:rPr>
          </w:pPr>
          <w:r w:rsidRPr="0060338D">
            <w:rPr>
              <w:rFonts w:ascii="Palatino Linotype" w:eastAsia="Palatino Linotype" w:hAnsi="Palatino Linotype" w:cs="Palatino Linotype"/>
              <w:color w:val="000000"/>
              <w:sz w:val="24"/>
              <w:szCs w:val="24"/>
            </w:rPr>
            <w:t>María del Rosario Mejía Ayala</w:t>
          </w:r>
        </w:p>
      </w:tc>
    </w:tr>
  </w:tbl>
  <w:p w:rsidR="00FB78A5" w:rsidRDefault="00EA0D5D">
    <w:pPr>
      <w:pBdr>
        <w:top w:val="nil"/>
        <w:left w:val="nil"/>
        <w:bottom w:val="nil"/>
        <w:right w:val="nil"/>
        <w:between w:val="nil"/>
      </w:pBdr>
      <w:tabs>
        <w:tab w:val="center" w:pos="4252"/>
        <w:tab w:val="right" w:pos="8504"/>
      </w:tabs>
      <w:rPr>
        <w:color w:val="000000"/>
      </w:rPr>
    </w:pPr>
    <w:r>
      <w:rPr>
        <w:noProof/>
        <w:lang w:val="es-MX"/>
      </w:rPr>
      <w:drawing>
        <wp:anchor distT="0" distB="0" distL="0" distR="0" simplePos="0" relativeHeight="251658240" behindDoc="1" locked="0" layoutInCell="1" hidden="0" allowOverlap="1">
          <wp:simplePos x="0" y="0"/>
          <wp:positionH relativeFrom="column">
            <wp:posOffset>-1104206</wp:posOffset>
          </wp:positionH>
          <wp:positionV relativeFrom="paragraph">
            <wp:posOffset>-1200378</wp:posOffset>
          </wp:positionV>
          <wp:extent cx="7809876" cy="10165823"/>
          <wp:effectExtent l="0" t="0" r="0" b="0"/>
          <wp:wrapNone/>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rsidR="00FB78A5" w:rsidRDefault="00FB78A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
      <w:tblW w:w="6835" w:type="dxa"/>
      <w:tblInd w:w="368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583"/>
      <w:gridCol w:w="4252"/>
    </w:tblGrid>
    <w:tr w:rsidR="0060338D" w:rsidTr="00EA0D5D">
      <w:trPr>
        <w:trHeight w:val="138"/>
      </w:trPr>
      <w:tc>
        <w:tcPr>
          <w:tcW w:w="2583" w:type="dxa"/>
          <w:vAlign w:val="center"/>
        </w:tcPr>
        <w:p w:rsidR="0060338D" w:rsidRPr="0060338D" w:rsidRDefault="0060338D" w:rsidP="0060338D">
          <w:pPr>
            <w:ind w:right="-156"/>
            <w:rPr>
              <w:rFonts w:ascii="Palatino Linotype" w:eastAsia="Palatino Linotype" w:hAnsi="Palatino Linotype" w:cs="Palatino Linotype"/>
              <w:b/>
              <w:sz w:val="24"/>
              <w:szCs w:val="24"/>
            </w:rPr>
          </w:pPr>
          <w:r w:rsidRPr="0060338D">
            <w:rPr>
              <w:rFonts w:ascii="Palatino Linotype" w:eastAsia="Palatino Linotype" w:hAnsi="Palatino Linotype" w:cs="Palatino Linotype"/>
              <w:b/>
              <w:sz w:val="24"/>
              <w:szCs w:val="24"/>
            </w:rPr>
            <w:t>Recurso de Revisión:</w:t>
          </w:r>
        </w:p>
      </w:tc>
      <w:tc>
        <w:tcPr>
          <w:tcW w:w="4252" w:type="dxa"/>
          <w:vAlign w:val="center"/>
        </w:tcPr>
        <w:p w:rsidR="0060338D" w:rsidRPr="0060338D" w:rsidRDefault="0060338D" w:rsidP="0060338D">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sz w:val="24"/>
              <w:szCs w:val="24"/>
            </w:rPr>
          </w:pPr>
          <w:r w:rsidRPr="0060338D">
            <w:rPr>
              <w:rFonts w:ascii="Palatino Linotype" w:eastAsia="Palatino Linotype" w:hAnsi="Palatino Linotype" w:cs="Palatino Linotype"/>
              <w:color w:val="000000"/>
              <w:sz w:val="24"/>
              <w:szCs w:val="24"/>
            </w:rPr>
            <w:t>09898/INFOEM/IP/RR/2025</w:t>
          </w:r>
        </w:p>
      </w:tc>
    </w:tr>
    <w:tr w:rsidR="0060338D" w:rsidTr="00EA0D5D">
      <w:trPr>
        <w:trHeight w:val="227"/>
      </w:trPr>
      <w:tc>
        <w:tcPr>
          <w:tcW w:w="2583" w:type="dxa"/>
          <w:vAlign w:val="center"/>
        </w:tcPr>
        <w:p w:rsidR="0060338D" w:rsidRPr="0060338D" w:rsidRDefault="0060338D" w:rsidP="0060338D">
          <w:pPr>
            <w:ind w:right="-156"/>
            <w:rPr>
              <w:rFonts w:ascii="Palatino Linotype" w:eastAsia="Palatino Linotype" w:hAnsi="Palatino Linotype" w:cs="Palatino Linotype"/>
              <w:b/>
              <w:sz w:val="24"/>
              <w:szCs w:val="24"/>
            </w:rPr>
          </w:pPr>
          <w:r w:rsidRPr="0060338D">
            <w:rPr>
              <w:rFonts w:ascii="Palatino Linotype" w:eastAsia="Palatino Linotype" w:hAnsi="Palatino Linotype" w:cs="Palatino Linotype"/>
              <w:b/>
              <w:sz w:val="24"/>
              <w:szCs w:val="24"/>
            </w:rPr>
            <w:t>Recurrente:</w:t>
          </w:r>
        </w:p>
      </w:tc>
      <w:tc>
        <w:tcPr>
          <w:tcW w:w="4252" w:type="dxa"/>
          <w:vAlign w:val="center"/>
        </w:tcPr>
        <w:p w:rsidR="0060338D" w:rsidRPr="0060338D" w:rsidRDefault="00DD58E7" w:rsidP="0060338D">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w:t>
          </w:r>
        </w:p>
      </w:tc>
    </w:tr>
    <w:tr w:rsidR="0060338D" w:rsidTr="00EA0D5D">
      <w:trPr>
        <w:trHeight w:val="232"/>
      </w:trPr>
      <w:tc>
        <w:tcPr>
          <w:tcW w:w="2583" w:type="dxa"/>
          <w:vAlign w:val="center"/>
        </w:tcPr>
        <w:p w:rsidR="0060338D" w:rsidRPr="0060338D" w:rsidRDefault="0060338D" w:rsidP="0060338D">
          <w:pPr>
            <w:ind w:right="-156"/>
            <w:rPr>
              <w:rFonts w:ascii="Palatino Linotype" w:eastAsia="Palatino Linotype" w:hAnsi="Palatino Linotype" w:cs="Palatino Linotype"/>
              <w:b/>
              <w:sz w:val="24"/>
              <w:szCs w:val="24"/>
            </w:rPr>
          </w:pPr>
          <w:r w:rsidRPr="0060338D">
            <w:rPr>
              <w:rFonts w:ascii="Palatino Linotype" w:eastAsia="Palatino Linotype" w:hAnsi="Palatino Linotype" w:cs="Palatino Linotype"/>
              <w:b/>
              <w:sz w:val="24"/>
              <w:szCs w:val="24"/>
            </w:rPr>
            <w:t>Sujeto Obligado:</w:t>
          </w:r>
        </w:p>
      </w:tc>
      <w:tc>
        <w:tcPr>
          <w:tcW w:w="4252" w:type="dxa"/>
          <w:vAlign w:val="center"/>
        </w:tcPr>
        <w:p w:rsidR="0060338D" w:rsidRPr="0060338D" w:rsidRDefault="0060338D" w:rsidP="0060338D">
          <w:pPr>
            <w:ind w:right="-73"/>
            <w:jc w:val="both"/>
            <w:rPr>
              <w:rFonts w:ascii="Palatino Linotype" w:eastAsia="Palatino Linotype" w:hAnsi="Palatino Linotype" w:cs="Palatino Linotype"/>
              <w:sz w:val="24"/>
              <w:szCs w:val="24"/>
            </w:rPr>
          </w:pPr>
          <w:r w:rsidRPr="0060338D">
            <w:rPr>
              <w:rFonts w:ascii="Palatino Linotype" w:eastAsia="Palatino Linotype" w:hAnsi="Palatino Linotype" w:cs="Palatino Linotype"/>
              <w:sz w:val="24"/>
              <w:szCs w:val="24"/>
            </w:rPr>
            <w:t>Ayuntamiento de Metepec</w:t>
          </w:r>
        </w:p>
      </w:tc>
    </w:tr>
    <w:tr w:rsidR="0060338D" w:rsidTr="00EA0D5D">
      <w:trPr>
        <w:trHeight w:val="320"/>
      </w:trPr>
      <w:tc>
        <w:tcPr>
          <w:tcW w:w="2583" w:type="dxa"/>
          <w:vAlign w:val="center"/>
        </w:tcPr>
        <w:p w:rsidR="0060338D" w:rsidRPr="0060338D" w:rsidRDefault="0060338D" w:rsidP="0060338D">
          <w:pPr>
            <w:ind w:right="-156"/>
            <w:rPr>
              <w:rFonts w:ascii="Palatino Linotype" w:eastAsia="Palatino Linotype" w:hAnsi="Palatino Linotype" w:cs="Palatino Linotype"/>
              <w:b/>
              <w:sz w:val="24"/>
              <w:szCs w:val="24"/>
            </w:rPr>
          </w:pPr>
          <w:r w:rsidRPr="0060338D">
            <w:rPr>
              <w:rFonts w:ascii="Palatino Linotype" w:eastAsia="Palatino Linotype" w:hAnsi="Palatino Linotype" w:cs="Palatino Linotype"/>
              <w:b/>
              <w:sz w:val="24"/>
              <w:szCs w:val="24"/>
            </w:rPr>
            <w:t>Comisionada Ponente:</w:t>
          </w:r>
        </w:p>
      </w:tc>
      <w:tc>
        <w:tcPr>
          <w:tcW w:w="4252" w:type="dxa"/>
          <w:vAlign w:val="center"/>
        </w:tcPr>
        <w:p w:rsidR="0060338D" w:rsidRPr="0060338D" w:rsidRDefault="0060338D" w:rsidP="0060338D">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sz w:val="24"/>
              <w:szCs w:val="24"/>
            </w:rPr>
          </w:pPr>
          <w:r w:rsidRPr="0060338D">
            <w:rPr>
              <w:rFonts w:ascii="Palatino Linotype" w:eastAsia="Palatino Linotype" w:hAnsi="Palatino Linotype" w:cs="Palatino Linotype"/>
              <w:color w:val="000000"/>
              <w:sz w:val="24"/>
              <w:szCs w:val="24"/>
            </w:rPr>
            <w:t>María del Rosario Mejía Ayala</w:t>
          </w:r>
        </w:p>
      </w:tc>
    </w:tr>
  </w:tbl>
  <w:p w:rsidR="00FB78A5" w:rsidRDefault="00EA0D5D">
    <w:pPr>
      <w:pBdr>
        <w:top w:val="nil"/>
        <w:left w:val="nil"/>
        <w:bottom w:val="nil"/>
        <w:right w:val="nil"/>
        <w:between w:val="nil"/>
      </w:pBdr>
      <w:tabs>
        <w:tab w:val="center" w:pos="4252"/>
        <w:tab w:val="right" w:pos="8504"/>
      </w:tabs>
      <w:rPr>
        <w:color w:val="000000"/>
      </w:rPr>
    </w:pPr>
    <w:r>
      <w:rPr>
        <w:noProof/>
        <w:lang w:val="es-MX"/>
      </w:rPr>
      <w:drawing>
        <wp:anchor distT="0" distB="0" distL="0" distR="0" simplePos="0" relativeHeight="251659264" behindDoc="1" locked="0" layoutInCell="1" hidden="0" allowOverlap="1">
          <wp:simplePos x="0" y="0"/>
          <wp:positionH relativeFrom="column">
            <wp:posOffset>-1034606</wp:posOffset>
          </wp:positionH>
          <wp:positionV relativeFrom="paragraph">
            <wp:posOffset>-1300647</wp:posOffset>
          </wp:positionV>
          <wp:extent cx="7809876" cy="10165823"/>
          <wp:effectExtent l="0" t="0" r="0" b="0"/>
          <wp:wrapNone/>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14:sizeRelH relativeFrom="margin">
            <wp14:pctWidth>0</wp14:pctWidth>
          </wp14:sizeRelH>
          <wp14:sizeRelV relativeFrom="margin">
            <wp14:pctHeight>0</wp14:pctHeight>
          </wp14:sizeRelV>
        </wp:anchor>
      </w:drawing>
    </w:r>
  </w:p>
  <w:p w:rsidR="00FB78A5" w:rsidRDefault="00FB78A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F07A3"/>
    <w:multiLevelType w:val="multilevel"/>
    <w:tmpl w:val="3C8C2D4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946647"/>
    <w:multiLevelType w:val="multilevel"/>
    <w:tmpl w:val="E3A24B3E"/>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856A0A"/>
    <w:multiLevelType w:val="multilevel"/>
    <w:tmpl w:val="7AEC56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F02FCE"/>
    <w:multiLevelType w:val="multilevel"/>
    <w:tmpl w:val="48F2D5B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D951B0"/>
    <w:multiLevelType w:val="multilevel"/>
    <w:tmpl w:val="23C47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E17B4B"/>
    <w:multiLevelType w:val="multilevel"/>
    <w:tmpl w:val="84A4ECE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B7C0935"/>
    <w:multiLevelType w:val="hybridMultilevel"/>
    <w:tmpl w:val="AD284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7383C1E"/>
    <w:multiLevelType w:val="multilevel"/>
    <w:tmpl w:val="FA5EA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
  </w:num>
  <w:num w:numId="3">
    <w:abstractNumId w:val="3"/>
  </w:num>
  <w:num w:numId="4">
    <w:abstractNumId w:val="7"/>
  </w:num>
  <w:num w:numId="5">
    <w:abstractNumId w:val="0"/>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8A5"/>
    <w:rsid w:val="003D4909"/>
    <w:rsid w:val="005B7C67"/>
    <w:rsid w:val="0060338D"/>
    <w:rsid w:val="00620A07"/>
    <w:rsid w:val="0074593F"/>
    <w:rsid w:val="008030FB"/>
    <w:rsid w:val="00B20835"/>
    <w:rsid w:val="00CC6A66"/>
    <w:rsid w:val="00DA2561"/>
    <w:rsid w:val="00DD58E7"/>
    <w:rsid w:val="00EA0D5D"/>
    <w:rsid w:val="00FA3D16"/>
    <w:rsid w:val="00FB78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80BF64-01A6-46E1-A025-9990C0682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line="259" w:lineRule="auto"/>
      <w:outlineLvl w:val="0"/>
    </w:pPr>
    <w:rPr>
      <w:rFonts w:ascii="Palatino Linotype" w:eastAsia="Palatino Linotype" w:hAnsi="Palatino Linotype" w:cs="Palatino Linotype"/>
      <w:b/>
      <w:color w:val="000000"/>
    </w:rPr>
  </w:style>
  <w:style w:type="paragraph" w:styleId="Ttulo2">
    <w:name w:val="heading 2"/>
    <w:basedOn w:val="Normal"/>
    <w:next w:val="Normal"/>
    <w:pPr>
      <w:keepNext/>
      <w:keepLines/>
      <w:spacing w:before="40" w:line="259" w:lineRule="auto"/>
      <w:outlineLvl w:val="1"/>
    </w:pPr>
    <w:rPr>
      <w:rFonts w:ascii="Palatino Linotype" w:eastAsia="Palatino Linotype" w:hAnsi="Palatino Linotype" w:cs="Palatino Linotype"/>
      <w:b/>
      <w:color w:val="000000"/>
    </w:rPr>
  </w:style>
  <w:style w:type="paragraph" w:styleId="Ttulo3">
    <w:name w:val="heading 3"/>
    <w:basedOn w:val="Normal"/>
    <w:next w:val="Normal"/>
    <w:pPr>
      <w:keepNext/>
      <w:keepLines/>
      <w:spacing w:before="40"/>
      <w:outlineLvl w:val="2"/>
    </w:pPr>
    <w:rPr>
      <w:rFonts w:ascii="Calibri" w:eastAsia="Calibri" w:hAnsi="Calibri" w:cs="Calibri"/>
      <w:color w:val="243F61"/>
    </w:rPr>
  </w:style>
  <w:style w:type="paragraph" w:styleId="Ttulo4">
    <w:name w:val="heading 4"/>
    <w:basedOn w:val="Normal"/>
    <w:next w:val="Normal"/>
    <w:pPr>
      <w:keepNext/>
      <w:keepLines/>
      <w:spacing w:before="40"/>
      <w:outlineLvl w:val="3"/>
    </w:pPr>
    <w:rPr>
      <w:rFonts w:ascii="Calibri" w:eastAsia="Calibri" w:hAnsi="Calibri" w:cs="Calibri"/>
      <w:i/>
      <w:color w:val="366091"/>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next w:val="Normal"/>
    <w:uiPriority w:val="39"/>
    <w:unhideWhenUsed/>
    <w:qFormat/>
    <w:rsid w:val="00CD7893"/>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rPr>
  </w:style>
  <w:style w:type="character" w:customStyle="1" w:styleId="stytxtare">
    <w:name w:val="stytxtare"/>
    <w:rsid w:val="005B0EC2"/>
  </w:style>
  <w:style w:type="character" w:customStyle="1" w:styleId="Ttulo4Car">
    <w:name w:val="Título 4 Car"/>
    <w:basedOn w:val="Fuentedeprrafopredeter"/>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rPr>
  </w:style>
  <w:style w:type="character" w:customStyle="1" w:styleId="vidspn">
    <w:name w:val="vid_spn"/>
    <w:basedOn w:val="Fuentedeprrafopredeter"/>
    <w:rsid w:val="006B78BA"/>
  </w:style>
  <w:style w:type="table" w:styleId="Tablanormal1">
    <w:name w:val="Plain Table 1"/>
    <w:basedOn w:val="Tablanormal"/>
    <w:uiPriority w:val="41"/>
    <w:rsid w:val="00BE721C"/>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0E0EF6"/>
    <w:pPr>
      <w:spacing w:before="240" w:after="160" w:line="360" w:lineRule="auto"/>
      <w:ind w:left="851" w:right="851"/>
      <w:jc w:val="both"/>
    </w:pPr>
    <w:rPr>
      <w:rFonts w:ascii="Palatino Linotype" w:eastAsia="Times New Roman" w:hAnsi="Palatino Linotype" w:cs="Arial"/>
      <w:i/>
      <w:sz w:val="22"/>
      <w:szCs w:val="22"/>
      <w:lang w:val="es-MX" w:eastAsia="en-US"/>
    </w:rPr>
  </w:style>
  <w:style w:type="table" w:customStyle="1" w:styleId="Tablanormal12">
    <w:name w:val="Tabla normal 12"/>
    <w:basedOn w:val="Tablanormal"/>
    <w:next w:val="Tablanormal1"/>
    <w:uiPriority w:val="41"/>
    <w:rsid w:val="00F82B3B"/>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Fuentedeprrafopredeter"/>
    <w:rsid w:val="00977AFF"/>
  </w:style>
  <w:style w:type="table" w:customStyle="1" w:styleId="3">
    <w:name w:val="3"/>
    <w:basedOn w:val="TableNormal3"/>
    <w:tblPr>
      <w:tblStyleRowBandSize w:val="1"/>
      <w:tblStyleColBandSize w:val="1"/>
      <w:tblCellMar>
        <w:left w:w="115" w:type="dxa"/>
        <w:right w:w="115" w:type="dxa"/>
      </w:tblCellMar>
    </w:tblPr>
  </w:style>
  <w:style w:type="table" w:customStyle="1" w:styleId="2">
    <w:name w:val="2"/>
    <w:basedOn w:val="TableNormal3"/>
    <w:rPr>
      <w:sz w:val="22"/>
      <w:szCs w:val="22"/>
    </w:rPr>
    <w:tblPr>
      <w:tblStyleRowBandSize w:val="1"/>
      <w:tblStyleColBandSize w:val="1"/>
      <w:tblCellMar>
        <w:left w:w="108" w:type="dxa"/>
        <w:right w:w="108" w:type="dxa"/>
      </w:tblCellMar>
    </w:tblPr>
  </w:style>
  <w:style w:type="table" w:customStyle="1" w:styleId="1">
    <w:name w:val="1"/>
    <w:basedOn w:val="TableNormal3"/>
    <w:rPr>
      <w:sz w:val="22"/>
      <w:szCs w:val="22"/>
    </w:rPr>
    <w:tblPr>
      <w:tblStyleRowBandSize w:val="1"/>
      <w:tblStyleColBandSize w:val="1"/>
      <w:tblCellMar>
        <w:left w:w="108" w:type="dxa"/>
        <w:right w:w="108" w:type="dxa"/>
      </w:tblCellMar>
    </w:tblPr>
  </w:style>
  <w:style w:type="table" w:customStyle="1" w:styleId="a0">
    <w:basedOn w:val="TableNormal3"/>
    <w:tblPr>
      <w:tblStyleRowBandSize w:val="1"/>
      <w:tblStyleColBandSize w:val="1"/>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rPr>
      <w:sz w:val="22"/>
      <w:szCs w:val="22"/>
    </w:rPr>
    <w:tblPr>
      <w:tblStyleRowBandSize w:val="1"/>
      <w:tblStyleColBandSize w:val="1"/>
      <w:tblCellMar>
        <w:left w:w="108" w:type="dxa"/>
        <w:right w:w="108" w:type="dxa"/>
      </w:tblCellMar>
    </w:tblPr>
  </w:style>
  <w:style w:type="table" w:customStyle="1" w:styleId="a3">
    <w:basedOn w:val="TableNormal3"/>
    <w:rPr>
      <w:sz w:val="22"/>
      <w:szCs w:val="22"/>
    </w:rPr>
    <w:tblPr>
      <w:tblStyleRowBandSize w:val="1"/>
      <w:tblStyleColBandSize w:val="1"/>
      <w:tblCellMar>
        <w:left w:w="108" w:type="dxa"/>
        <w:right w:w="108" w:type="dxa"/>
      </w:tblCellMar>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rPr>
      <w:sz w:val="22"/>
      <w:szCs w:val="22"/>
    </w:rPr>
    <w:tblPr>
      <w:tblStyleRowBandSize w:val="1"/>
      <w:tblStyleColBandSize w:val="1"/>
      <w:tblCellMar>
        <w:left w:w="108" w:type="dxa"/>
        <w:right w:w="108" w:type="dxa"/>
      </w:tblCellMar>
    </w:tblPr>
  </w:style>
  <w:style w:type="table" w:customStyle="1" w:styleId="a7">
    <w:basedOn w:val="TableNormal2"/>
    <w:rPr>
      <w:sz w:val="22"/>
      <w:szCs w:val="22"/>
    </w:rPr>
    <w:tblPr>
      <w:tblStyleRowBandSize w:val="1"/>
      <w:tblStyleColBandSize w:val="1"/>
      <w:tblCellMar>
        <w:left w:w="108" w:type="dxa"/>
        <w:right w:w="108" w:type="dxa"/>
      </w:tblCellMar>
    </w:tblPr>
  </w:style>
  <w:style w:type="table" w:customStyle="1" w:styleId="Tablanormal13">
    <w:name w:val="Tabla normal 13"/>
    <w:basedOn w:val="Tablanormal"/>
    <w:next w:val="Tablanormal1"/>
    <w:uiPriority w:val="41"/>
    <w:rsid w:val="00AB673E"/>
    <w:rPr>
      <w:rFonts w:asciiTheme="minorHAnsi" w:eastAsiaTheme="minorHAnsi" w:hAnsiTheme="minorHAnsi" w:cstheme="minorBid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rPr>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rPr>
      <w:sz w:val="22"/>
      <w:szCs w:val="22"/>
    </w:rPr>
    <w:tblPr>
      <w:tblStyleRowBandSize w:val="1"/>
      <w:tblStyleColBandSize w:val="1"/>
      <w:tblCellMar>
        <w:left w:w="108" w:type="dxa"/>
        <w:right w:w="108" w:type="dxa"/>
      </w:tblCellMar>
    </w:tblPr>
  </w:style>
  <w:style w:type="table" w:customStyle="1" w:styleId="ab">
    <w:basedOn w:val="TableNormal1"/>
    <w:rPr>
      <w:sz w:val="22"/>
      <w:szCs w:val="22"/>
    </w:rPr>
    <w:tblPr>
      <w:tblStyleRowBandSize w:val="1"/>
      <w:tblStyleColBandSize w:val="1"/>
      <w:tblCellMar>
        <w:left w:w="108"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rPr>
      <w:sz w:val="22"/>
      <w:szCs w:val="22"/>
    </w:rPr>
    <w:tblPr>
      <w:tblStyleRowBandSize w:val="1"/>
      <w:tblStyleColBandSize w:val="1"/>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e">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
    <w:basedOn w:val="TableNormal0"/>
    <w:rPr>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538194.page"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oleObject" Target="embeddings/oleObject2.bin"/><Relationship Id="rId25" Type="http://schemas.openxmlformats.org/officeDocument/2006/relationships/oleObject" Target="embeddings/oleObject5.bin"/><Relationship Id="rId2" Type="http://schemas.openxmlformats.org/officeDocument/2006/relationships/numbering" Target="numbering.xml"/><Relationship Id="rId20" Type="http://schemas.openxmlformats.org/officeDocument/2006/relationships/image" Target="media/image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oleObject" Target="embeddings/oleObject4.bin"/><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H5NrDvLFEiyTh9q67Jh4V4Kanw==">CgMxLjAyDmguc3JlOWgwNXE0djBiMg5oLjg4YnV2amNlZm9iOTIIaC5namRneHMyCWguMzBqMHpsbDIJaC4xZm9iOXRlMgloLjN6bnlzaDcyCWguMmV0OTJwMDIIaC50eWpjd3QyCWguM2R5NnZrbTIJaC4xdDNoNXNmMg5oLjN6ZGJjamdodXdhbjIJaC4yNmluMXJnMgloLjRkMzRvZzgyCGgubG54Yno5MgloLjM1bmt1bjI4AHIhMTZXQWJ0Qkd4bkxQZHp4NkszcW9hX2NiWWpYd2hMX2p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39</Pages>
  <Words>9980</Words>
  <Characters>54893</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64744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8</cp:revision>
  <cp:lastPrinted>2025-10-03T00:17:00Z</cp:lastPrinted>
  <dcterms:created xsi:type="dcterms:W3CDTF">2025-09-19T00:15:00Z</dcterms:created>
  <dcterms:modified xsi:type="dcterms:W3CDTF">2025-11-06T23:15:00Z</dcterms:modified>
</cp:coreProperties>
</file>