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1637A"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EE4162" w:rsidRPr="00EA21B5">
        <w:rPr>
          <w:rFonts w:ascii="Palatino Linotype" w:eastAsia="Palatino Linotype" w:hAnsi="Palatino Linotype" w:cs="Palatino Linotype"/>
          <w:b/>
          <w:sz w:val="22"/>
          <w:szCs w:val="22"/>
        </w:rPr>
        <w:t>veinte</w:t>
      </w:r>
      <w:r w:rsidRPr="00EA21B5">
        <w:rPr>
          <w:rFonts w:ascii="Palatino Linotype" w:eastAsia="Palatino Linotype" w:hAnsi="Palatino Linotype" w:cs="Palatino Linotype"/>
          <w:b/>
          <w:sz w:val="22"/>
          <w:szCs w:val="22"/>
        </w:rPr>
        <w:t xml:space="preserve"> de </w:t>
      </w:r>
      <w:r w:rsidR="00AA114E" w:rsidRPr="00EA21B5">
        <w:rPr>
          <w:rFonts w:ascii="Palatino Linotype" w:eastAsia="Palatino Linotype" w:hAnsi="Palatino Linotype" w:cs="Palatino Linotype"/>
          <w:b/>
          <w:sz w:val="22"/>
          <w:szCs w:val="22"/>
        </w:rPr>
        <w:t>agosto</w:t>
      </w:r>
      <w:r w:rsidR="0078769C" w:rsidRPr="00EA21B5">
        <w:rPr>
          <w:rFonts w:ascii="Palatino Linotype" w:eastAsia="Palatino Linotype" w:hAnsi="Palatino Linotype" w:cs="Palatino Linotype"/>
          <w:b/>
          <w:sz w:val="22"/>
          <w:szCs w:val="22"/>
        </w:rPr>
        <w:t xml:space="preserve"> de dos mil veinticinco.</w:t>
      </w:r>
    </w:p>
    <w:p w14:paraId="5C2224FF"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24F23723" w14:textId="0A8CFD7D"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VISTO </w:t>
      </w:r>
      <w:r w:rsidRPr="00EA21B5">
        <w:rPr>
          <w:rFonts w:ascii="Palatino Linotype" w:eastAsia="Palatino Linotype" w:hAnsi="Palatino Linotype" w:cs="Palatino Linotype"/>
          <w:sz w:val="22"/>
          <w:szCs w:val="22"/>
        </w:rPr>
        <w:t xml:space="preserve">el expediente relativo al recurso de revisión </w:t>
      </w:r>
      <w:r w:rsidR="00C52D17" w:rsidRPr="00EA21B5">
        <w:rPr>
          <w:rFonts w:ascii="Palatino Linotype" w:eastAsia="Palatino Linotype" w:hAnsi="Palatino Linotype" w:cs="Palatino Linotype"/>
          <w:b/>
          <w:sz w:val="22"/>
          <w:szCs w:val="22"/>
        </w:rPr>
        <w:t>05869/INFOEM/IP/RR/2025</w:t>
      </w:r>
      <w:r w:rsidRPr="00EA21B5">
        <w:rPr>
          <w:rFonts w:ascii="Palatino Linotype" w:eastAsia="Palatino Linotype" w:hAnsi="Palatino Linotype" w:cs="Palatino Linotype"/>
          <w:b/>
          <w:sz w:val="22"/>
          <w:szCs w:val="22"/>
        </w:rPr>
        <w:t xml:space="preserve">, </w:t>
      </w:r>
      <w:r w:rsidRPr="00EA21B5">
        <w:rPr>
          <w:rFonts w:ascii="Palatino Linotype" w:eastAsia="Palatino Linotype" w:hAnsi="Palatino Linotype" w:cs="Palatino Linotype"/>
          <w:sz w:val="22"/>
          <w:szCs w:val="22"/>
        </w:rPr>
        <w:t xml:space="preserve">interpuesto por </w:t>
      </w:r>
      <w:r w:rsidR="00C1339C" w:rsidRPr="00C1339C">
        <w:rPr>
          <w:rFonts w:ascii="Palatino Linotype" w:eastAsia="Palatino Linotype" w:hAnsi="Palatino Linotype" w:cs="Palatino Linotype"/>
          <w:b/>
          <w:sz w:val="22"/>
          <w:szCs w:val="22"/>
        </w:rPr>
        <w:t>XXXXXX XXXX XXXXX</w:t>
      </w:r>
      <w:r w:rsidRPr="00EA21B5">
        <w:rPr>
          <w:rFonts w:ascii="Palatino Linotype" w:eastAsia="Palatino Linotype" w:hAnsi="Palatino Linotype" w:cs="Palatino Linotype"/>
          <w:sz w:val="22"/>
          <w:szCs w:val="22"/>
        </w:rPr>
        <w:t xml:space="preserve">, en lo sucesivo la parte </w:t>
      </w:r>
      <w:r w:rsidRPr="00EA21B5">
        <w:rPr>
          <w:rFonts w:ascii="Palatino Linotype" w:eastAsia="Palatino Linotype" w:hAnsi="Palatino Linotype" w:cs="Palatino Linotype"/>
          <w:b/>
          <w:sz w:val="22"/>
          <w:szCs w:val="22"/>
        </w:rPr>
        <w:t>Recurrente</w:t>
      </w:r>
      <w:r w:rsidRPr="00EA21B5">
        <w:rPr>
          <w:rFonts w:ascii="Palatino Linotype" w:eastAsia="Palatino Linotype" w:hAnsi="Palatino Linotype" w:cs="Palatino Linotype"/>
          <w:sz w:val="22"/>
          <w:szCs w:val="22"/>
        </w:rPr>
        <w:t xml:space="preserve">, en contra de la respuesta a la solicitud de información por parte del </w:t>
      </w:r>
      <w:r w:rsidR="00C52D17" w:rsidRPr="00EA21B5">
        <w:rPr>
          <w:rFonts w:ascii="Palatino Linotype" w:eastAsia="Palatino Linotype" w:hAnsi="Palatino Linotype" w:cs="Palatino Linotype"/>
          <w:b/>
          <w:sz w:val="22"/>
          <w:szCs w:val="22"/>
        </w:rPr>
        <w:t>Ayuntamiento de Chalco</w:t>
      </w:r>
      <w:r w:rsidRPr="00EA21B5">
        <w:rPr>
          <w:rFonts w:ascii="Palatino Linotype" w:eastAsia="Palatino Linotype" w:hAnsi="Palatino Linotype" w:cs="Palatino Linotype"/>
          <w:sz w:val="22"/>
          <w:szCs w:val="22"/>
        </w:rPr>
        <w:t xml:space="preserve">, en lo sucesivo el </w:t>
      </w:r>
      <w:r w:rsidRPr="00EA21B5">
        <w:rPr>
          <w:rFonts w:ascii="Palatino Linotype" w:eastAsia="Palatino Linotype" w:hAnsi="Palatino Linotype" w:cs="Palatino Linotype"/>
          <w:b/>
          <w:sz w:val="22"/>
          <w:szCs w:val="22"/>
        </w:rPr>
        <w:t xml:space="preserve">Sujeto Obligado; </w:t>
      </w:r>
      <w:r w:rsidRPr="00EA21B5">
        <w:rPr>
          <w:rFonts w:ascii="Palatino Linotype" w:eastAsia="Palatino Linotype" w:hAnsi="Palatino Linotype" w:cs="Palatino Linotype"/>
          <w:sz w:val="22"/>
          <w:szCs w:val="22"/>
        </w:rPr>
        <w:t>se procede a dictar la presente resolución, con base en lo siguiente.</w:t>
      </w:r>
    </w:p>
    <w:p w14:paraId="7B39EDC9" w14:textId="77777777" w:rsidR="006B7439" w:rsidRPr="00EA21B5" w:rsidRDefault="006B7439">
      <w:pPr>
        <w:spacing w:line="360" w:lineRule="auto"/>
        <w:ind w:right="49"/>
        <w:jc w:val="both"/>
        <w:rPr>
          <w:rFonts w:ascii="Palatino Linotype" w:eastAsia="Palatino Linotype" w:hAnsi="Palatino Linotype" w:cs="Palatino Linotype"/>
          <w:sz w:val="22"/>
          <w:szCs w:val="22"/>
        </w:rPr>
      </w:pPr>
    </w:p>
    <w:p w14:paraId="7864416F" w14:textId="77777777" w:rsidR="00422AF6" w:rsidRPr="00EA21B5" w:rsidRDefault="0067296C">
      <w:pPr>
        <w:spacing w:line="360" w:lineRule="auto"/>
        <w:ind w:right="49"/>
        <w:jc w:val="center"/>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t>I.</w:t>
      </w:r>
      <w:r w:rsidRPr="00EA21B5">
        <w:rPr>
          <w:rFonts w:ascii="Palatino Linotype" w:eastAsia="Palatino Linotype" w:hAnsi="Palatino Linotype" w:cs="Palatino Linotype"/>
          <w:b/>
          <w:sz w:val="22"/>
          <w:szCs w:val="22"/>
        </w:rPr>
        <w:tab/>
        <w:t>A N T E C E D E N T E S</w:t>
      </w:r>
    </w:p>
    <w:p w14:paraId="392F449F"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656866FE"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1.</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 xml:space="preserve">Solicitud de Acceso a la Información. El </w:t>
      </w:r>
      <w:r w:rsidR="00C52D17" w:rsidRPr="00EA21B5">
        <w:rPr>
          <w:rFonts w:ascii="Palatino Linotype" w:eastAsia="Palatino Linotype" w:hAnsi="Palatino Linotype" w:cs="Palatino Linotype"/>
          <w:b/>
          <w:sz w:val="22"/>
          <w:szCs w:val="22"/>
        </w:rPr>
        <w:t>quince</w:t>
      </w:r>
      <w:r w:rsidRPr="00EA21B5">
        <w:rPr>
          <w:rFonts w:ascii="Palatino Linotype" w:eastAsia="Palatino Linotype" w:hAnsi="Palatino Linotype" w:cs="Palatino Linotype"/>
          <w:b/>
          <w:sz w:val="22"/>
          <w:szCs w:val="22"/>
        </w:rPr>
        <w:t xml:space="preserve"> de </w:t>
      </w:r>
      <w:r w:rsidR="0017685E" w:rsidRPr="00EA21B5">
        <w:rPr>
          <w:rFonts w:ascii="Palatino Linotype" w:eastAsia="Palatino Linotype" w:hAnsi="Palatino Linotype" w:cs="Palatino Linotype"/>
          <w:b/>
          <w:sz w:val="22"/>
          <w:szCs w:val="22"/>
        </w:rPr>
        <w:t>abril</w:t>
      </w:r>
      <w:r w:rsidRPr="00EA21B5">
        <w:rPr>
          <w:rFonts w:ascii="Palatino Linotype" w:eastAsia="Palatino Linotype" w:hAnsi="Palatino Linotype" w:cs="Palatino Linotype"/>
          <w:b/>
          <w:sz w:val="22"/>
          <w:szCs w:val="22"/>
        </w:rPr>
        <w:t xml:space="preserve"> de dos mil veinticinco</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LA PARTE</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RECURRENTE</w:t>
      </w:r>
      <w:r w:rsidRPr="00EA21B5">
        <w:rPr>
          <w:rFonts w:ascii="Palatino Linotype" w:eastAsia="Palatino Linotype" w:hAnsi="Palatino Linotype" w:cs="Palatino Linotype"/>
          <w:sz w:val="22"/>
          <w:szCs w:val="22"/>
        </w:rPr>
        <w:t xml:space="preserve"> formuló solicitud de acceso a información pública a través del </w:t>
      </w:r>
      <w:r w:rsidRPr="00EA21B5">
        <w:rPr>
          <w:rFonts w:ascii="Palatino Linotype" w:eastAsia="Palatino Linotype" w:hAnsi="Palatino Linotype" w:cs="Palatino Linotype"/>
          <w:b/>
          <w:sz w:val="22"/>
          <w:szCs w:val="22"/>
        </w:rPr>
        <w:t>SAIMEX</w:t>
      </w:r>
      <w:r w:rsidR="006B7439" w:rsidRPr="00EA21B5">
        <w:rPr>
          <w:rFonts w:ascii="Palatino Linotype" w:eastAsia="Palatino Linotype" w:hAnsi="Palatino Linotype" w:cs="Palatino Linotype"/>
          <w:b/>
          <w:sz w:val="22"/>
          <w:szCs w:val="22"/>
        </w:rPr>
        <w:t>; sin embargo, al ser día inhá</w:t>
      </w:r>
      <w:r w:rsidR="00C52D17" w:rsidRPr="00EA21B5">
        <w:rPr>
          <w:rFonts w:ascii="Palatino Linotype" w:eastAsia="Palatino Linotype" w:hAnsi="Palatino Linotype" w:cs="Palatino Linotype"/>
          <w:b/>
          <w:sz w:val="22"/>
          <w:szCs w:val="22"/>
        </w:rPr>
        <w:t>bil, se tuvo por presentada el veintiuno</w:t>
      </w:r>
      <w:r w:rsidR="006B7439" w:rsidRPr="00EA21B5">
        <w:rPr>
          <w:rFonts w:ascii="Palatino Linotype" w:eastAsia="Palatino Linotype" w:hAnsi="Palatino Linotype" w:cs="Palatino Linotype"/>
          <w:b/>
          <w:sz w:val="22"/>
          <w:szCs w:val="22"/>
        </w:rPr>
        <w:t xml:space="preserve"> de abril de la misma anualidad</w:t>
      </w:r>
      <w:r w:rsidR="00B94935" w:rsidRPr="00EA21B5">
        <w:rPr>
          <w:rFonts w:ascii="Palatino Linotype" w:eastAsia="Palatino Linotype" w:hAnsi="Palatino Linotype" w:cs="Palatino Linotype"/>
          <w:sz w:val="22"/>
          <w:szCs w:val="22"/>
        </w:rPr>
        <w:t>, en la</w:t>
      </w:r>
      <w:r w:rsidRPr="00EA21B5">
        <w:rPr>
          <w:rFonts w:ascii="Palatino Linotype" w:eastAsia="Palatino Linotype" w:hAnsi="Palatino Linotype" w:cs="Palatino Linotype"/>
          <w:sz w:val="22"/>
          <w:szCs w:val="22"/>
        </w:rPr>
        <w:t xml:space="preserve"> que requirió lo siguiente:</w:t>
      </w:r>
    </w:p>
    <w:p w14:paraId="7144194E"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5C8BA8EA" w14:textId="77777777" w:rsidR="00B94935" w:rsidRPr="00EA21B5" w:rsidRDefault="00C52D17" w:rsidP="00B94935">
      <w:pPr>
        <w:pStyle w:val="Prrafodelista"/>
        <w:numPr>
          <w:ilvl w:val="0"/>
          <w:numId w:val="15"/>
        </w:numPr>
        <w:spacing w:line="360" w:lineRule="auto"/>
        <w:ind w:left="426" w:right="49"/>
        <w:jc w:val="both"/>
        <w:rPr>
          <w:rFonts w:ascii="Palatino Linotype" w:eastAsia="Palatino Linotype" w:hAnsi="Palatino Linotype" w:cs="Palatino Linotype"/>
          <w:b/>
          <w:sz w:val="22"/>
          <w:szCs w:val="22"/>
        </w:rPr>
      </w:pPr>
      <w:bookmarkStart w:id="0" w:name="_heading=h.1fob9te" w:colFirst="0" w:colLast="0"/>
      <w:bookmarkStart w:id="1" w:name="_heading=h.3znysh7" w:colFirst="0" w:colLast="0"/>
      <w:bookmarkEnd w:id="0"/>
      <w:bookmarkEnd w:id="1"/>
      <w:r w:rsidRPr="00EA21B5">
        <w:rPr>
          <w:rFonts w:ascii="Palatino Linotype" w:eastAsia="Palatino Linotype" w:hAnsi="Palatino Linotype" w:cs="Palatino Linotype"/>
          <w:b/>
          <w:sz w:val="22"/>
          <w:szCs w:val="22"/>
        </w:rPr>
        <w:t>00091</w:t>
      </w:r>
      <w:r w:rsidR="00B94935" w:rsidRPr="00EA21B5">
        <w:rPr>
          <w:rFonts w:ascii="Palatino Linotype" w:eastAsia="Palatino Linotype" w:hAnsi="Palatino Linotype" w:cs="Palatino Linotype"/>
          <w:b/>
          <w:sz w:val="22"/>
          <w:szCs w:val="22"/>
        </w:rPr>
        <w:t>/</w:t>
      </w:r>
      <w:r w:rsidRPr="00EA21B5">
        <w:rPr>
          <w:rFonts w:ascii="Palatino Linotype" w:eastAsia="Palatino Linotype" w:hAnsi="Palatino Linotype" w:cs="Palatino Linotype"/>
          <w:b/>
          <w:sz w:val="22"/>
          <w:szCs w:val="22"/>
        </w:rPr>
        <w:t>CHALCO</w:t>
      </w:r>
      <w:r w:rsidR="00B94935" w:rsidRPr="00EA21B5">
        <w:rPr>
          <w:rFonts w:ascii="Palatino Linotype" w:eastAsia="Palatino Linotype" w:hAnsi="Palatino Linotype" w:cs="Palatino Linotype"/>
          <w:b/>
          <w:sz w:val="22"/>
          <w:szCs w:val="22"/>
        </w:rPr>
        <w:t>/IP/2025</w:t>
      </w:r>
    </w:p>
    <w:p w14:paraId="74DC0247" w14:textId="77777777" w:rsidR="00422AF6" w:rsidRPr="00EA21B5" w:rsidRDefault="00B94935" w:rsidP="00ED16F4">
      <w:pPr>
        <w:spacing w:line="360" w:lineRule="auto"/>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sz w:val="22"/>
          <w:szCs w:val="22"/>
        </w:rPr>
        <w:tab/>
      </w:r>
      <w:r w:rsidRPr="00EA21B5">
        <w:rPr>
          <w:rFonts w:ascii="Palatino Linotype" w:eastAsia="Palatino Linotype" w:hAnsi="Palatino Linotype" w:cs="Palatino Linotype"/>
          <w:i/>
          <w:sz w:val="22"/>
          <w:szCs w:val="22"/>
        </w:rPr>
        <w:t>"</w:t>
      </w:r>
      <w:r w:rsidR="00C52D17" w:rsidRPr="00EA21B5">
        <w:rPr>
          <w:rFonts w:ascii="Palatino Linotype" w:hAnsi="Palatino Linotype"/>
          <w:sz w:val="22"/>
          <w:szCs w:val="22"/>
        </w:rPr>
        <w:t xml:space="preserve"> </w:t>
      </w:r>
      <w:r w:rsidR="00C52D17" w:rsidRPr="00EA21B5">
        <w:rPr>
          <w:rFonts w:ascii="Palatino Linotype" w:eastAsia="Palatino Linotype" w:hAnsi="Palatino Linotype" w:cs="Palatino Linotype"/>
          <w:i/>
          <w:sz w:val="22"/>
          <w:szCs w:val="22"/>
        </w:rPr>
        <w:t xml:space="preserve">Nombre completo y recibo de </w:t>
      </w:r>
      <w:proofErr w:type="spellStart"/>
      <w:r w:rsidR="00C52D17" w:rsidRPr="00EA21B5">
        <w:rPr>
          <w:rFonts w:ascii="Palatino Linotype" w:eastAsia="Palatino Linotype" w:hAnsi="Palatino Linotype" w:cs="Palatino Linotype"/>
          <w:i/>
          <w:sz w:val="22"/>
          <w:szCs w:val="22"/>
        </w:rPr>
        <w:t>nomina</w:t>
      </w:r>
      <w:proofErr w:type="spellEnd"/>
      <w:r w:rsidR="00C52D17" w:rsidRPr="00EA21B5">
        <w:rPr>
          <w:rFonts w:ascii="Palatino Linotype" w:eastAsia="Palatino Linotype" w:hAnsi="Palatino Linotype" w:cs="Palatino Linotype"/>
          <w:i/>
          <w:sz w:val="22"/>
          <w:szCs w:val="22"/>
        </w:rPr>
        <w:t xml:space="preserve"> de la presidente municipal de Chalco </w:t>
      </w:r>
      <w:proofErr w:type="spellStart"/>
      <w:r w:rsidR="00C52D17" w:rsidRPr="00EA21B5">
        <w:rPr>
          <w:rFonts w:ascii="Palatino Linotype" w:eastAsia="Palatino Linotype" w:hAnsi="Palatino Linotype" w:cs="Palatino Linotype"/>
          <w:i/>
          <w:sz w:val="22"/>
          <w:szCs w:val="22"/>
        </w:rPr>
        <w:t>asi</w:t>
      </w:r>
      <w:proofErr w:type="spellEnd"/>
      <w:r w:rsidR="00C52D17" w:rsidRPr="00EA21B5">
        <w:rPr>
          <w:rFonts w:ascii="Palatino Linotype" w:eastAsia="Palatino Linotype" w:hAnsi="Palatino Linotype" w:cs="Palatino Linotype"/>
          <w:i/>
          <w:sz w:val="22"/>
          <w:szCs w:val="22"/>
        </w:rPr>
        <w:t xml:space="preserve"> como obras inmediatas destinadas para su desarrollo y mejoramiento en el centro de Chalco </w:t>
      </w:r>
      <w:proofErr w:type="spellStart"/>
      <w:r w:rsidR="00C52D17" w:rsidRPr="00EA21B5">
        <w:rPr>
          <w:rFonts w:ascii="Palatino Linotype" w:eastAsia="Palatino Linotype" w:hAnsi="Palatino Linotype" w:cs="Palatino Linotype"/>
          <w:i/>
          <w:sz w:val="22"/>
          <w:szCs w:val="22"/>
        </w:rPr>
        <w:t>edo</w:t>
      </w:r>
      <w:proofErr w:type="spellEnd"/>
      <w:r w:rsidR="00C52D17" w:rsidRPr="00EA21B5">
        <w:rPr>
          <w:rFonts w:ascii="Palatino Linotype" w:eastAsia="Palatino Linotype" w:hAnsi="Palatino Linotype" w:cs="Palatino Linotype"/>
          <w:i/>
          <w:sz w:val="22"/>
          <w:szCs w:val="22"/>
        </w:rPr>
        <w:t xml:space="preserve"> </w:t>
      </w:r>
      <w:proofErr w:type="spellStart"/>
      <w:r w:rsidR="00C52D17" w:rsidRPr="00EA21B5">
        <w:rPr>
          <w:rFonts w:ascii="Palatino Linotype" w:eastAsia="Palatino Linotype" w:hAnsi="Palatino Linotype" w:cs="Palatino Linotype"/>
          <w:i/>
          <w:sz w:val="22"/>
          <w:szCs w:val="22"/>
        </w:rPr>
        <w:t>mex</w:t>
      </w:r>
      <w:proofErr w:type="spellEnd"/>
      <w:r w:rsidR="00C52D17"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i/>
          <w:sz w:val="22"/>
          <w:szCs w:val="22"/>
        </w:rPr>
        <w:t>”</w:t>
      </w:r>
    </w:p>
    <w:p w14:paraId="375065DD" w14:textId="77777777" w:rsidR="00B94935" w:rsidRPr="00EA21B5" w:rsidRDefault="00B94935" w:rsidP="00B94935">
      <w:pPr>
        <w:spacing w:line="360" w:lineRule="auto"/>
        <w:ind w:left="567" w:right="843"/>
        <w:jc w:val="both"/>
        <w:rPr>
          <w:rFonts w:ascii="Palatino Linotype" w:eastAsia="Palatino Linotype" w:hAnsi="Palatino Linotype" w:cs="Palatino Linotype"/>
          <w:i/>
          <w:sz w:val="22"/>
          <w:szCs w:val="22"/>
        </w:rPr>
      </w:pPr>
    </w:p>
    <w:p w14:paraId="2260A3BB"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Modalidad elegida para la entrega de la información:</w:t>
      </w:r>
      <w:r w:rsidRPr="00EA21B5">
        <w:rPr>
          <w:rFonts w:ascii="Palatino Linotype" w:eastAsia="Palatino Linotype" w:hAnsi="Palatino Linotype" w:cs="Palatino Linotype"/>
          <w:sz w:val="22"/>
          <w:szCs w:val="22"/>
        </w:rPr>
        <w:t xml:space="preserve"> a través del Sistema de Acceso a la Información Mexiquense (SAIMEX).</w:t>
      </w:r>
    </w:p>
    <w:p w14:paraId="70760B9B"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7BA82EDE" w14:textId="77777777" w:rsidR="00C50360" w:rsidRPr="00EA21B5" w:rsidRDefault="0017685E">
      <w:pPr>
        <w:widowControl w:val="0"/>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2</w:t>
      </w:r>
      <w:r w:rsidR="0067296C" w:rsidRPr="00EA21B5">
        <w:rPr>
          <w:rFonts w:ascii="Palatino Linotype" w:eastAsia="Palatino Linotype" w:hAnsi="Palatino Linotype" w:cs="Palatino Linotype"/>
          <w:b/>
          <w:sz w:val="22"/>
          <w:szCs w:val="22"/>
        </w:rPr>
        <w:t>. Respuesta.</w:t>
      </w:r>
      <w:r w:rsidR="0067296C" w:rsidRPr="00EA21B5">
        <w:rPr>
          <w:rFonts w:ascii="Palatino Linotype" w:eastAsia="Palatino Linotype" w:hAnsi="Palatino Linotype" w:cs="Palatino Linotype"/>
          <w:sz w:val="22"/>
          <w:szCs w:val="22"/>
        </w:rPr>
        <w:t xml:space="preserve"> El </w:t>
      </w:r>
      <w:r w:rsidR="00C52D17" w:rsidRPr="00EA21B5">
        <w:rPr>
          <w:rFonts w:ascii="Palatino Linotype" w:eastAsia="Palatino Linotype" w:hAnsi="Palatino Linotype" w:cs="Palatino Linotype"/>
          <w:b/>
          <w:sz w:val="22"/>
          <w:szCs w:val="22"/>
        </w:rPr>
        <w:t>catorce</w:t>
      </w:r>
      <w:r w:rsidR="0067296C" w:rsidRPr="00EA21B5">
        <w:rPr>
          <w:rFonts w:ascii="Palatino Linotype" w:eastAsia="Palatino Linotype" w:hAnsi="Palatino Linotype" w:cs="Palatino Linotype"/>
          <w:sz w:val="22"/>
          <w:szCs w:val="22"/>
        </w:rPr>
        <w:t xml:space="preserve"> </w:t>
      </w:r>
      <w:r w:rsidR="0067296C" w:rsidRPr="00EA21B5">
        <w:rPr>
          <w:rFonts w:ascii="Palatino Linotype" w:eastAsia="Palatino Linotype" w:hAnsi="Palatino Linotype" w:cs="Palatino Linotype"/>
          <w:b/>
          <w:sz w:val="22"/>
          <w:szCs w:val="22"/>
        </w:rPr>
        <w:t xml:space="preserve">de </w:t>
      </w:r>
      <w:r w:rsidR="00C52D17" w:rsidRPr="00EA21B5">
        <w:rPr>
          <w:rFonts w:ascii="Palatino Linotype" w:eastAsia="Palatino Linotype" w:hAnsi="Palatino Linotype" w:cs="Palatino Linotype"/>
          <w:b/>
          <w:sz w:val="22"/>
          <w:szCs w:val="22"/>
        </w:rPr>
        <w:t>mayo</w:t>
      </w:r>
      <w:r w:rsidR="0067296C" w:rsidRPr="00EA21B5">
        <w:rPr>
          <w:rFonts w:ascii="Palatino Linotype" w:eastAsia="Palatino Linotype" w:hAnsi="Palatino Linotype" w:cs="Palatino Linotype"/>
          <w:b/>
          <w:sz w:val="22"/>
          <w:szCs w:val="22"/>
        </w:rPr>
        <w:t xml:space="preserve"> de dos mil veinticinco</w:t>
      </w:r>
      <w:r w:rsidR="0067296C" w:rsidRPr="00EA21B5">
        <w:rPr>
          <w:rFonts w:ascii="Palatino Linotype" w:eastAsia="Palatino Linotype" w:hAnsi="Palatino Linotype" w:cs="Palatino Linotype"/>
          <w:sz w:val="22"/>
          <w:szCs w:val="22"/>
        </w:rPr>
        <w:t>, el Sujeto Obliga</w:t>
      </w:r>
      <w:r w:rsidR="00C50360" w:rsidRPr="00EA21B5">
        <w:rPr>
          <w:rFonts w:ascii="Palatino Linotype" w:eastAsia="Palatino Linotype" w:hAnsi="Palatino Linotype" w:cs="Palatino Linotype"/>
          <w:sz w:val="22"/>
          <w:szCs w:val="22"/>
        </w:rPr>
        <w:t xml:space="preserve">do dio respuesta a la </w:t>
      </w:r>
      <w:r w:rsidR="00C50360" w:rsidRPr="00EA21B5">
        <w:rPr>
          <w:rFonts w:ascii="Palatino Linotype" w:eastAsia="Palatino Linotype" w:hAnsi="Palatino Linotype" w:cs="Palatino Linotype"/>
          <w:sz w:val="22"/>
          <w:szCs w:val="22"/>
        </w:rPr>
        <w:lastRenderedPageBreak/>
        <w:t>solicitud, en los siguientes términos:</w:t>
      </w:r>
    </w:p>
    <w:p w14:paraId="7E1AFAB3" w14:textId="77777777" w:rsidR="00C50360" w:rsidRPr="00EA21B5" w:rsidRDefault="00C50360">
      <w:pPr>
        <w:widowControl w:val="0"/>
        <w:spacing w:line="360" w:lineRule="auto"/>
        <w:jc w:val="both"/>
        <w:rPr>
          <w:rFonts w:ascii="Palatino Linotype" w:eastAsia="Palatino Linotype" w:hAnsi="Palatino Linotype" w:cs="Palatino Linotype"/>
          <w:sz w:val="22"/>
          <w:szCs w:val="22"/>
        </w:rPr>
      </w:pPr>
    </w:p>
    <w:p w14:paraId="6C108F33" w14:textId="77777777" w:rsidR="00C50360" w:rsidRPr="00EA21B5" w:rsidRDefault="00C50360" w:rsidP="00C50360">
      <w:pPr>
        <w:widowControl w:val="0"/>
        <w:spacing w:line="360" w:lineRule="auto"/>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528034" w14:textId="77777777" w:rsidR="00C50360" w:rsidRPr="00EA21B5" w:rsidRDefault="00C50360" w:rsidP="00C50360">
      <w:pPr>
        <w:widowControl w:val="0"/>
        <w:spacing w:line="360" w:lineRule="auto"/>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En seguimiento a la solicitud de información registrada con el número de folio 00091/CHALCO/IP/2025, al respecto le informo que, los responsables de atender su requerimiento de información fueron la Lic. Lidia Vega Luna, Directora de Administración y el Ing. Leonel Miguel Brugada, Director de Obras públicas, quienes emitieron respuesta en los siguientes términos: “Con fundamento en lo que dispone el artículo 12 de la Ley de Transparencia y Acceso a la Información del Estado de México y Municipios, se le refiere que, después de una búsqueda dentro de los archivos físicos y digitales que obran en la Subdirección de Recursos Humanos dependiente de esta Dirección, se informa que el nombre completo de la Presidenta Municipal Constitucional de Chalco es, Abigail Sánchez Martínez, ahora bien, por lo que respecta al recibo de nómina, se envía el recibo de pago de la segunda quincena de abril en formato.PDF, dicha documental se adjunta en Versión Pública la cual fue aprobada a través del Acuerdo CTMCH/ORD/08/SEGUNDO de la Octava Sesión Extraordinaria del Comité de Transparencia Municipal de Chalco 2025-2027.” Por lo que respecta a, obras inmediatas destinadas para su desarrollo y mejoramiento en el centro de Chalco </w:t>
      </w:r>
      <w:proofErr w:type="spellStart"/>
      <w:r w:rsidRPr="00EA21B5">
        <w:rPr>
          <w:rFonts w:ascii="Palatino Linotype" w:eastAsia="Palatino Linotype" w:hAnsi="Palatino Linotype" w:cs="Palatino Linotype"/>
          <w:i/>
          <w:sz w:val="22"/>
          <w:szCs w:val="22"/>
        </w:rPr>
        <w:t>edo</w:t>
      </w:r>
      <w:proofErr w:type="spellEnd"/>
      <w:r w:rsidRPr="00EA21B5">
        <w:rPr>
          <w:rFonts w:ascii="Palatino Linotype" w:eastAsia="Palatino Linotype" w:hAnsi="Palatino Linotype" w:cs="Palatino Linotype"/>
          <w:i/>
          <w:sz w:val="22"/>
          <w:szCs w:val="22"/>
        </w:rPr>
        <w:t xml:space="preserve"> </w:t>
      </w:r>
      <w:proofErr w:type="spellStart"/>
      <w:r w:rsidRPr="00EA21B5">
        <w:rPr>
          <w:rFonts w:ascii="Palatino Linotype" w:eastAsia="Palatino Linotype" w:hAnsi="Palatino Linotype" w:cs="Palatino Linotype"/>
          <w:i/>
          <w:sz w:val="22"/>
          <w:szCs w:val="22"/>
        </w:rPr>
        <w:t>mex</w:t>
      </w:r>
      <w:proofErr w:type="spellEnd"/>
      <w:r w:rsidRPr="00EA21B5">
        <w:rPr>
          <w:rFonts w:ascii="Palatino Linotype" w:eastAsia="Palatino Linotype" w:hAnsi="Palatino Linotype" w:cs="Palatino Linotype"/>
          <w:i/>
          <w:sz w:val="22"/>
          <w:szCs w:val="22"/>
        </w:rPr>
        <w:t xml:space="preserve">.; le informo que, “no se tienen consideradas obras inmediatas, destinadas para el mejoramiento del Centro de Chalco”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w:t>
      </w:r>
      <w:r w:rsidRPr="00EA21B5">
        <w:rPr>
          <w:rFonts w:ascii="Palatino Linotype" w:eastAsia="Palatino Linotype" w:hAnsi="Palatino Linotype" w:cs="Palatino Linotype"/>
          <w:i/>
          <w:sz w:val="22"/>
          <w:szCs w:val="22"/>
        </w:rPr>
        <w:lastRenderedPageBreak/>
        <w:t>respuesta es desfavorable a su solicitud.</w:t>
      </w:r>
    </w:p>
    <w:p w14:paraId="420D1B4A" w14:textId="77777777" w:rsidR="00C50360" w:rsidRPr="00EA21B5" w:rsidRDefault="00C50360" w:rsidP="00C50360">
      <w:pPr>
        <w:widowControl w:val="0"/>
        <w:spacing w:line="360" w:lineRule="auto"/>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ATENTAMENTE</w:t>
      </w:r>
    </w:p>
    <w:p w14:paraId="0BDCBBE7" w14:textId="77777777" w:rsidR="00C50360" w:rsidRPr="00EA21B5" w:rsidRDefault="00C50360" w:rsidP="00C50360">
      <w:pPr>
        <w:widowControl w:val="0"/>
        <w:spacing w:line="360" w:lineRule="auto"/>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LIC. ANA MARÍA MORALES AROCHI” (sic)</w:t>
      </w:r>
    </w:p>
    <w:p w14:paraId="2E21547A" w14:textId="77777777" w:rsidR="00C50360" w:rsidRPr="00EA21B5" w:rsidRDefault="00C50360" w:rsidP="00C50360">
      <w:pPr>
        <w:widowControl w:val="0"/>
        <w:spacing w:line="360" w:lineRule="auto"/>
        <w:jc w:val="both"/>
        <w:rPr>
          <w:rFonts w:ascii="Palatino Linotype" w:eastAsia="Palatino Linotype" w:hAnsi="Palatino Linotype" w:cs="Palatino Linotype"/>
          <w:sz w:val="22"/>
          <w:szCs w:val="22"/>
        </w:rPr>
      </w:pPr>
    </w:p>
    <w:p w14:paraId="4FB291B4" w14:textId="77777777" w:rsidR="00C52D17" w:rsidRPr="00EA21B5" w:rsidRDefault="00C50360">
      <w:pPr>
        <w:widowControl w:val="0"/>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Asimismo, adjuntó </w:t>
      </w:r>
      <w:r w:rsidR="00C52D17" w:rsidRPr="00EA21B5">
        <w:rPr>
          <w:rFonts w:ascii="Palatino Linotype" w:eastAsia="Palatino Linotype" w:hAnsi="Palatino Linotype" w:cs="Palatino Linotype"/>
          <w:sz w:val="22"/>
          <w:szCs w:val="22"/>
        </w:rPr>
        <w:t xml:space="preserve">los documentos electrónicos denominados </w:t>
      </w:r>
      <w:r w:rsidR="00C52D17" w:rsidRPr="00EA21B5">
        <w:rPr>
          <w:rFonts w:ascii="Palatino Linotype" w:eastAsia="Palatino Linotype" w:hAnsi="Palatino Linotype" w:cs="Palatino Linotype"/>
          <w:b/>
          <w:i/>
          <w:sz w:val="22"/>
          <w:szCs w:val="22"/>
        </w:rPr>
        <w:t xml:space="preserve">Recibo de </w:t>
      </w:r>
      <w:proofErr w:type="spellStart"/>
      <w:r w:rsidR="00C52D17" w:rsidRPr="00EA21B5">
        <w:rPr>
          <w:rFonts w:ascii="Palatino Linotype" w:eastAsia="Palatino Linotype" w:hAnsi="Palatino Linotype" w:cs="Palatino Linotype"/>
          <w:b/>
          <w:i/>
          <w:sz w:val="22"/>
          <w:szCs w:val="22"/>
        </w:rPr>
        <w:t>nomina</w:t>
      </w:r>
      <w:proofErr w:type="spellEnd"/>
      <w:r w:rsidR="00C52D17" w:rsidRPr="00EA21B5">
        <w:rPr>
          <w:rFonts w:ascii="Palatino Linotype" w:eastAsia="Palatino Linotype" w:hAnsi="Palatino Linotype" w:cs="Palatino Linotype"/>
          <w:b/>
          <w:i/>
          <w:sz w:val="22"/>
          <w:szCs w:val="22"/>
        </w:rPr>
        <w:t xml:space="preserve"> </w:t>
      </w:r>
      <w:proofErr w:type="gramStart"/>
      <w:r w:rsidR="00C52D17" w:rsidRPr="00EA21B5">
        <w:rPr>
          <w:rFonts w:ascii="Palatino Linotype" w:eastAsia="Palatino Linotype" w:hAnsi="Palatino Linotype" w:cs="Palatino Linotype"/>
          <w:b/>
          <w:i/>
          <w:sz w:val="22"/>
          <w:szCs w:val="22"/>
        </w:rPr>
        <w:t>Presidente</w:t>
      </w:r>
      <w:proofErr w:type="gramEnd"/>
      <w:r w:rsidR="00C52D17" w:rsidRPr="00EA21B5">
        <w:rPr>
          <w:rFonts w:ascii="Palatino Linotype" w:eastAsia="Palatino Linotype" w:hAnsi="Palatino Linotype" w:cs="Palatino Linotype"/>
          <w:b/>
          <w:i/>
          <w:sz w:val="22"/>
          <w:szCs w:val="22"/>
        </w:rPr>
        <w:t xml:space="preserve"> Mpal.pdf; y Octava Sesión Extraordinaria.pdf</w:t>
      </w:r>
      <w:r w:rsidRPr="00EA21B5">
        <w:rPr>
          <w:rFonts w:ascii="Palatino Linotype" w:eastAsia="Palatino Linotype" w:hAnsi="Palatino Linotype" w:cs="Palatino Linotype"/>
          <w:b/>
          <w:i/>
          <w:sz w:val="22"/>
          <w:szCs w:val="22"/>
        </w:rPr>
        <w:t xml:space="preserve">, </w:t>
      </w:r>
      <w:r w:rsidRPr="00EA21B5">
        <w:rPr>
          <w:rFonts w:ascii="Palatino Linotype" w:eastAsia="Palatino Linotype" w:hAnsi="Palatino Linotype" w:cs="Palatino Linotype"/>
          <w:sz w:val="22"/>
          <w:szCs w:val="22"/>
        </w:rPr>
        <w:t>cuyo contenido será analizado en el Considerando Correspondiente.</w:t>
      </w:r>
    </w:p>
    <w:p w14:paraId="108C87E0" w14:textId="77777777" w:rsidR="00C52D17" w:rsidRPr="00EA21B5" w:rsidRDefault="00C52D17">
      <w:pPr>
        <w:widowControl w:val="0"/>
        <w:spacing w:line="360" w:lineRule="auto"/>
        <w:jc w:val="both"/>
        <w:rPr>
          <w:rFonts w:ascii="Palatino Linotype" w:eastAsia="Palatino Linotype" w:hAnsi="Palatino Linotype" w:cs="Palatino Linotype"/>
          <w:sz w:val="22"/>
          <w:szCs w:val="22"/>
        </w:rPr>
      </w:pPr>
    </w:p>
    <w:p w14:paraId="7A455BE9" w14:textId="77777777" w:rsidR="00422AF6" w:rsidRPr="00EA21B5" w:rsidRDefault="0017685E">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3</w:t>
      </w:r>
      <w:r w:rsidR="0067296C" w:rsidRPr="00EA21B5">
        <w:rPr>
          <w:rFonts w:ascii="Palatino Linotype" w:eastAsia="Palatino Linotype" w:hAnsi="Palatino Linotype" w:cs="Palatino Linotype"/>
          <w:b/>
          <w:sz w:val="22"/>
          <w:szCs w:val="22"/>
        </w:rPr>
        <w:t xml:space="preserve">. Del Recurso de Revisión. </w:t>
      </w:r>
      <w:r w:rsidR="0067296C" w:rsidRPr="00EA21B5">
        <w:rPr>
          <w:rFonts w:ascii="Palatino Linotype" w:eastAsia="Palatino Linotype" w:hAnsi="Palatino Linotype" w:cs="Palatino Linotype"/>
          <w:sz w:val="22"/>
          <w:szCs w:val="22"/>
        </w:rPr>
        <w:t>Inconforme con la respuesta del</w:t>
      </w:r>
      <w:r w:rsidR="0067296C" w:rsidRPr="00EA21B5">
        <w:rPr>
          <w:rFonts w:ascii="Palatino Linotype" w:eastAsia="Palatino Linotype" w:hAnsi="Palatino Linotype" w:cs="Palatino Linotype"/>
          <w:b/>
          <w:sz w:val="22"/>
          <w:szCs w:val="22"/>
        </w:rPr>
        <w:t xml:space="preserve"> SUJETO OBLIGADO, </w:t>
      </w:r>
      <w:r w:rsidR="0077331F" w:rsidRPr="00EA21B5">
        <w:rPr>
          <w:rFonts w:ascii="Palatino Linotype" w:eastAsia="Palatino Linotype" w:hAnsi="Palatino Linotype" w:cs="Palatino Linotype"/>
          <w:sz w:val="22"/>
          <w:szCs w:val="22"/>
        </w:rPr>
        <w:t>el</w:t>
      </w:r>
      <w:r w:rsidR="003E1B93" w:rsidRPr="00EA21B5">
        <w:rPr>
          <w:rFonts w:ascii="Palatino Linotype" w:eastAsia="Palatino Linotype" w:hAnsi="Palatino Linotype" w:cs="Palatino Linotype"/>
          <w:sz w:val="22"/>
          <w:szCs w:val="22"/>
        </w:rPr>
        <w:t xml:space="preserve"> </w:t>
      </w:r>
      <w:r w:rsidR="003E1B93" w:rsidRPr="00EA21B5">
        <w:rPr>
          <w:rFonts w:ascii="Palatino Linotype" w:eastAsia="Palatino Linotype" w:hAnsi="Palatino Linotype" w:cs="Palatino Linotype"/>
          <w:b/>
          <w:sz w:val="22"/>
          <w:szCs w:val="22"/>
        </w:rPr>
        <w:t>veint</w:t>
      </w:r>
      <w:r w:rsidR="00494C60" w:rsidRPr="00EA21B5">
        <w:rPr>
          <w:rFonts w:ascii="Palatino Linotype" w:eastAsia="Palatino Linotype" w:hAnsi="Palatino Linotype" w:cs="Palatino Linotype"/>
          <w:b/>
          <w:sz w:val="22"/>
          <w:szCs w:val="22"/>
        </w:rPr>
        <w:t>i</w:t>
      </w:r>
      <w:r w:rsidR="00C50360" w:rsidRPr="00EA21B5">
        <w:rPr>
          <w:rFonts w:ascii="Palatino Linotype" w:eastAsia="Palatino Linotype" w:hAnsi="Palatino Linotype" w:cs="Palatino Linotype"/>
          <w:b/>
          <w:sz w:val="22"/>
          <w:szCs w:val="22"/>
        </w:rPr>
        <w:t>trés</w:t>
      </w:r>
      <w:r w:rsidR="0067296C" w:rsidRPr="00EA21B5">
        <w:rPr>
          <w:rFonts w:ascii="Palatino Linotype" w:eastAsia="Palatino Linotype" w:hAnsi="Palatino Linotype" w:cs="Palatino Linotype"/>
          <w:sz w:val="22"/>
          <w:szCs w:val="22"/>
        </w:rPr>
        <w:t xml:space="preserve"> </w:t>
      </w:r>
      <w:r w:rsidR="0067296C" w:rsidRPr="00EA21B5">
        <w:rPr>
          <w:rFonts w:ascii="Palatino Linotype" w:eastAsia="Palatino Linotype" w:hAnsi="Palatino Linotype" w:cs="Palatino Linotype"/>
          <w:b/>
          <w:sz w:val="22"/>
          <w:szCs w:val="22"/>
        </w:rPr>
        <w:t>de</w:t>
      </w:r>
      <w:r w:rsidR="00C50360" w:rsidRPr="00EA21B5">
        <w:rPr>
          <w:rFonts w:ascii="Palatino Linotype" w:eastAsia="Palatino Linotype" w:hAnsi="Palatino Linotype" w:cs="Palatino Linotype"/>
          <w:b/>
          <w:sz w:val="22"/>
          <w:szCs w:val="22"/>
        </w:rPr>
        <w:t xml:space="preserve"> mayo</w:t>
      </w:r>
      <w:r w:rsidR="0067296C" w:rsidRPr="00EA21B5">
        <w:rPr>
          <w:rFonts w:ascii="Palatino Linotype" w:eastAsia="Palatino Linotype" w:hAnsi="Palatino Linotype" w:cs="Palatino Linotype"/>
          <w:b/>
          <w:sz w:val="22"/>
          <w:szCs w:val="22"/>
        </w:rPr>
        <w:t xml:space="preserve"> de dos mil veinticinco, LA PARTE RECURRENTE </w:t>
      </w:r>
      <w:r w:rsidR="0067296C" w:rsidRPr="00EA21B5">
        <w:rPr>
          <w:rFonts w:ascii="Palatino Linotype" w:eastAsia="Palatino Linotype" w:hAnsi="Palatino Linotype" w:cs="Palatino Linotype"/>
          <w:sz w:val="22"/>
          <w:szCs w:val="22"/>
        </w:rPr>
        <w:t>interpuso el recurso de revisión</w:t>
      </w:r>
      <w:r w:rsidR="00C50360" w:rsidRPr="00EA21B5">
        <w:rPr>
          <w:rFonts w:ascii="Palatino Linotype" w:eastAsia="Palatino Linotype" w:hAnsi="Palatino Linotype" w:cs="Palatino Linotype"/>
          <w:sz w:val="22"/>
          <w:szCs w:val="22"/>
        </w:rPr>
        <w:t xml:space="preserve">, </w:t>
      </w:r>
      <w:r w:rsidR="0067296C" w:rsidRPr="00EA21B5">
        <w:rPr>
          <w:rFonts w:ascii="Palatino Linotype" w:eastAsia="Palatino Linotype" w:hAnsi="Palatino Linotype" w:cs="Palatino Linotype"/>
          <w:sz w:val="22"/>
          <w:szCs w:val="22"/>
        </w:rPr>
        <w:t xml:space="preserve">mediante el cual y manifestó lo siguiente: </w:t>
      </w:r>
    </w:p>
    <w:p w14:paraId="51E3FB0C" w14:textId="77777777" w:rsidR="001624D4" w:rsidRPr="00EA21B5" w:rsidRDefault="001624D4">
      <w:pPr>
        <w:spacing w:line="360" w:lineRule="auto"/>
        <w:jc w:val="both"/>
        <w:rPr>
          <w:rFonts w:ascii="Palatino Linotype" w:eastAsia="Palatino Linotype" w:hAnsi="Palatino Linotype" w:cs="Palatino Linotype"/>
          <w:sz w:val="22"/>
          <w:szCs w:val="22"/>
        </w:rPr>
      </w:pPr>
    </w:p>
    <w:p w14:paraId="3222C983" w14:textId="77777777" w:rsidR="00422AF6" w:rsidRPr="00EA21B5" w:rsidRDefault="0067296C" w:rsidP="00C50360">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Acto Impugnado:</w:t>
      </w:r>
      <w:r w:rsidRPr="00EA21B5">
        <w:rPr>
          <w:rFonts w:ascii="Palatino Linotype" w:eastAsia="Palatino Linotype" w:hAnsi="Palatino Linotype" w:cs="Palatino Linotype"/>
          <w:i/>
          <w:sz w:val="22"/>
          <w:szCs w:val="22"/>
        </w:rPr>
        <w:t xml:space="preserve"> “</w:t>
      </w:r>
      <w:r w:rsidR="00C50360" w:rsidRPr="00EA21B5">
        <w:rPr>
          <w:rFonts w:ascii="Palatino Linotype" w:eastAsia="Palatino Linotype" w:hAnsi="Palatino Linotype" w:cs="Palatino Linotype"/>
          <w:i/>
          <w:sz w:val="22"/>
          <w:szCs w:val="22"/>
        </w:rPr>
        <w:t>NO ME ENTREGO LA INFORMACIÓN SOLICITADA, INFORMACIÓN INCOMPLETA</w:t>
      </w:r>
      <w:r w:rsidRPr="00EA21B5">
        <w:rPr>
          <w:rFonts w:ascii="Palatino Linotype" w:eastAsia="Palatino Linotype" w:hAnsi="Palatino Linotype" w:cs="Palatino Linotype"/>
          <w:i/>
          <w:sz w:val="22"/>
          <w:szCs w:val="22"/>
        </w:rPr>
        <w:t>”</w:t>
      </w:r>
      <w:r w:rsidR="003E1B93" w:rsidRPr="00EA21B5">
        <w:rPr>
          <w:rFonts w:ascii="Palatino Linotype" w:eastAsia="Palatino Linotype" w:hAnsi="Palatino Linotype" w:cs="Palatino Linotype"/>
          <w:i/>
          <w:sz w:val="22"/>
          <w:szCs w:val="22"/>
        </w:rPr>
        <w:t>.</w:t>
      </w:r>
    </w:p>
    <w:p w14:paraId="7B996B5F" w14:textId="77777777" w:rsidR="00422AF6" w:rsidRPr="00EA21B5" w:rsidRDefault="0067296C" w:rsidP="00C50360">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Motivo de inconformidad:</w:t>
      </w:r>
      <w:r w:rsidRPr="00EA21B5">
        <w:rPr>
          <w:rFonts w:ascii="Palatino Linotype" w:eastAsia="Palatino Linotype" w:hAnsi="Palatino Linotype" w:cs="Palatino Linotype"/>
          <w:i/>
          <w:sz w:val="22"/>
          <w:szCs w:val="22"/>
        </w:rPr>
        <w:t xml:space="preserve"> “</w:t>
      </w:r>
      <w:r w:rsidR="00C50360" w:rsidRPr="00EA21B5">
        <w:rPr>
          <w:rFonts w:ascii="Palatino Linotype" w:eastAsia="Palatino Linotype" w:hAnsi="Palatino Linotype" w:cs="Palatino Linotype"/>
          <w:i/>
          <w:sz w:val="22"/>
          <w:szCs w:val="22"/>
        </w:rPr>
        <w:t>NO ME ENTREGO LA INFORMACIÓN SOLICITADA, INFORMACIÓN INCOMPLETA</w:t>
      </w:r>
      <w:r w:rsidR="000873AC"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i/>
          <w:sz w:val="22"/>
          <w:szCs w:val="22"/>
        </w:rPr>
        <w:t>”</w:t>
      </w:r>
      <w:r w:rsidR="003E1B93" w:rsidRPr="00EA21B5">
        <w:rPr>
          <w:rFonts w:ascii="Palatino Linotype" w:eastAsia="Palatino Linotype" w:hAnsi="Palatino Linotype" w:cs="Palatino Linotype"/>
          <w:i/>
          <w:sz w:val="22"/>
          <w:szCs w:val="22"/>
        </w:rPr>
        <w:t>.</w:t>
      </w:r>
    </w:p>
    <w:p w14:paraId="47B911F9" w14:textId="77777777" w:rsidR="001624D4" w:rsidRPr="00EA21B5" w:rsidRDefault="001624D4">
      <w:pPr>
        <w:spacing w:line="360" w:lineRule="auto"/>
        <w:ind w:left="142" w:right="560"/>
        <w:jc w:val="both"/>
        <w:rPr>
          <w:rFonts w:ascii="Palatino Linotype" w:eastAsia="Palatino Linotype" w:hAnsi="Palatino Linotype" w:cs="Palatino Linotype"/>
          <w:i/>
          <w:sz w:val="22"/>
          <w:szCs w:val="22"/>
        </w:rPr>
      </w:pPr>
    </w:p>
    <w:p w14:paraId="21F35E0B" w14:textId="77777777" w:rsidR="00422AF6" w:rsidRPr="00EA21B5" w:rsidRDefault="00B94935">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4</w:t>
      </w:r>
      <w:r w:rsidR="0067296C" w:rsidRPr="00EA21B5">
        <w:rPr>
          <w:rFonts w:ascii="Palatino Linotype" w:eastAsia="Palatino Linotype" w:hAnsi="Palatino Linotype" w:cs="Palatino Linotype"/>
          <w:b/>
          <w:sz w:val="22"/>
          <w:szCs w:val="22"/>
        </w:rPr>
        <w:t xml:space="preserve">. Turno. </w:t>
      </w:r>
      <w:r w:rsidR="0067296C" w:rsidRPr="00EA21B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C52D17" w:rsidRPr="00EA21B5">
        <w:rPr>
          <w:rFonts w:ascii="Palatino Linotype" w:eastAsia="Palatino Linotype" w:hAnsi="Palatino Linotype" w:cs="Palatino Linotype"/>
          <w:b/>
          <w:sz w:val="22"/>
          <w:szCs w:val="22"/>
        </w:rPr>
        <w:t>05869/INFOEM/IP/RR/2025</w:t>
      </w:r>
      <w:r w:rsidR="0067296C" w:rsidRPr="00EA21B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67296C" w:rsidRPr="00EA21B5">
        <w:rPr>
          <w:rFonts w:ascii="Palatino Linotype" w:eastAsia="Palatino Linotype" w:hAnsi="Palatino Linotype" w:cs="Palatino Linotype"/>
          <w:b/>
          <w:sz w:val="22"/>
          <w:szCs w:val="22"/>
        </w:rPr>
        <w:t>Guadalupe Ramírez Peña</w:t>
      </w:r>
      <w:r w:rsidR="0067296C" w:rsidRPr="00EA21B5">
        <w:rPr>
          <w:rFonts w:ascii="Palatino Linotype" w:eastAsia="Palatino Linotype" w:hAnsi="Palatino Linotype" w:cs="Palatino Linotype"/>
          <w:sz w:val="22"/>
          <w:szCs w:val="22"/>
        </w:rPr>
        <w:t>, para su análisis, estudio, elaboración del proyecto y presentación ante el Pleno de este Instituto.</w:t>
      </w:r>
    </w:p>
    <w:p w14:paraId="106B84A5"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07CC6DB6" w14:textId="77777777" w:rsidR="00422AF6" w:rsidRPr="00EA21B5" w:rsidRDefault="00B94935">
      <w:pPr>
        <w:spacing w:line="360" w:lineRule="auto"/>
        <w:jc w:val="both"/>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lastRenderedPageBreak/>
        <w:t>5</w:t>
      </w:r>
      <w:r w:rsidR="0067296C" w:rsidRPr="00EA21B5">
        <w:rPr>
          <w:rFonts w:ascii="Palatino Linotype" w:eastAsia="Palatino Linotype" w:hAnsi="Palatino Linotype" w:cs="Palatino Linotype"/>
          <w:b/>
          <w:sz w:val="22"/>
          <w:szCs w:val="22"/>
        </w:rPr>
        <w:t xml:space="preserve">. Admisión. </w:t>
      </w:r>
      <w:r w:rsidR="0067296C" w:rsidRPr="00EA21B5">
        <w:rPr>
          <w:rFonts w:ascii="Palatino Linotype" w:eastAsia="Palatino Linotype" w:hAnsi="Palatino Linotype" w:cs="Palatino Linotype"/>
          <w:sz w:val="22"/>
          <w:szCs w:val="22"/>
        </w:rPr>
        <w:t xml:space="preserve">El </w:t>
      </w:r>
      <w:r w:rsidR="00C50360" w:rsidRPr="00EA21B5">
        <w:rPr>
          <w:rFonts w:ascii="Palatino Linotype" w:eastAsia="Palatino Linotype" w:hAnsi="Palatino Linotype" w:cs="Palatino Linotype"/>
          <w:b/>
          <w:sz w:val="22"/>
          <w:szCs w:val="22"/>
        </w:rPr>
        <w:t>veintiocho</w:t>
      </w:r>
      <w:r w:rsidR="0067296C" w:rsidRPr="00EA21B5">
        <w:rPr>
          <w:rFonts w:ascii="Palatino Linotype" w:eastAsia="Palatino Linotype" w:hAnsi="Palatino Linotype" w:cs="Palatino Linotype"/>
          <w:sz w:val="22"/>
          <w:szCs w:val="22"/>
        </w:rPr>
        <w:t xml:space="preserve"> </w:t>
      </w:r>
      <w:r w:rsidR="0067296C" w:rsidRPr="00EA21B5">
        <w:rPr>
          <w:rFonts w:ascii="Palatino Linotype" w:eastAsia="Palatino Linotype" w:hAnsi="Palatino Linotype" w:cs="Palatino Linotype"/>
          <w:b/>
          <w:sz w:val="22"/>
          <w:szCs w:val="22"/>
        </w:rPr>
        <w:t xml:space="preserve">de </w:t>
      </w:r>
      <w:r w:rsidR="00EE4162" w:rsidRPr="00EA21B5">
        <w:rPr>
          <w:rFonts w:ascii="Palatino Linotype" w:eastAsia="Palatino Linotype" w:hAnsi="Palatino Linotype" w:cs="Palatino Linotype"/>
          <w:b/>
          <w:sz w:val="22"/>
          <w:szCs w:val="22"/>
        </w:rPr>
        <w:t>mayo</w:t>
      </w:r>
      <w:r w:rsidR="002C08AB" w:rsidRPr="00EA21B5">
        <w:rPr>
          <w:rFonts w:ascii="Palatino Linotype" w:eastAsia="Palatino Linotype" w:hAnsi="Palatino Linotype" w:cs="Palatino Linotype"/>
          <w:b/>
          <w:sz w:val="22"/>
          <w:szCs w:val="22"/>
        </w:rPr>
        <w:t xml:space="preserve"> </w:t>
      </w:r>
      <w:r w:rsidR="0067296C" w:rsidRPr="00EA21B5">
        <w:rPr>
          <w:rFonts w:ascii="Palatino Linotype" w:eastAsia="Palatino Linotype" w:hAnsi="Palatino Linotype" w:cs="Palatino Linotype"/>
          <w:b/>
          <w:sz w:val="22"/>
          <w:szCs w:val="22"/>
        </w:rPr>
        <w:t>de dos mil veinticinco</w:t>
      </w:r>
      <w:r w:rsidR="0067296C" w:rsidRPr="00EA21B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w:t>
      </w:r>
      <w:r w:rsidR="00F06653" w:rsidRPr="00EA21B5">
        <w:rPr>
          <w:rFonts w:ascii="Palatino Linotype" w:eastAsia="Palatino Linotype" w:hAnsi="Palatino Linotype" w:cs="Palatino Linotype"/>
          <w:sz w:val="22"/>
          <w:szCs w:val="22"/>
        </w:rPr>
        <w:t>e México y Municipios, se admitió</w:t>
      </w:r>
      <w:r w:rsidR="0067296C" w:rsidRPr="00EA21B5">
        <w:rPr>
          <w:rFonts w:ascii="Palatino Linotype" w:eastAsia="Palatino Linotype" w:hAnsi="Palatino Linotype" w:cs="Palatino Linotype"/>
          <w:sz w:val="22"/>
          <w:szCs w:val="22"/>
        </w:rPr>
        <w:t xml:space="preserve"> a trámite </w:t>
      </w:r>
      <w:r w:rsidR="00F06653" w:rsidRPr="00EA21B5">
        <w:rPr>
          <w:rFonts w:ascii="Palatino Linotype" w:eastAsia="Palatino Linotype" w:hAnsi="Palatino Linotype" w:cs="Palatino Linotype"/>
          <w:sz w:val="22"/>
          <w:szCs w:val="22"/>
        </w:rPr>
        <w:t>el</w:t>
      </w:r>
      <w:r w:rsidR="0067296C" w:rsidRPr="00EA21B5">
        <w:rPr>
          <w:rFonts w:ascii="Palatino Linotype" w:eastAsia="Palatino Linotype" w:hAnsi="Palatino Linotype" w:cs="Palatino Linotype"/>
          <w:sz w:val="22"/>
          <w:szCs w:val="22"/>
        </w:rPr>
        <w:t xml:space="preserve"> recurso de revisión</w:t>
      </w:r>
      <w:r w:rsidR="0067296C" w:rsidRPr="00EA21B5">
        <w:rPr>
          <w:rFonts w:ascii="Palatino Linotype" w:eastAsia="Palatino Linotype" w:hAnsi="Palatino Linotype" w:cs="Palatino Linotype"/>
          <w:b/>
          <w:sz w:val="22"/>
          <w:szCs w:val="22"/>
        </w:rPr>
        <w:t>.</w:t>
      </w:r>
    </w:p>
    <w:p w14:paraId="48998255" w14:textId="77777777" w:rsidR="00422AF6" w:rsidRPr="00EA21B5" w:rsidRDefault="00422AF6">
      <w:pPr>
        <w:spacing w:line="360" w:lineRule="auto"/>
        <w:jc w:val="both"/>
        <w:rPr>
          <w:rFonts w:ascii="Palatino Linotype" w:eastAsia="Palatino Linotype" w:hAnsi="Palatino Linotype" w:cs="Palatino Linotype"/>
          <w:b/>
          <w:sz w:val="22"/>
          <w:szCs w:val="22"/>
        </w:rPr>
      </w:pPr>
    </w:p>
    <w:p w14:paraId="4429DEF4" w14:textId="77777777" w:rsidR="002C08AB" w:rsidRPr="00EA21B5" w:rsidRDefault="00B94935">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6</w:t>
      </w:r>
      <w:r w:rsidR="0067296C" w:rsidRPr="00EA21B5">
        <w:rPr>
          <w:rFonts w:ascii="Palatino Linotype" w:eastAsia="Palatino Linotype" w:hAnsi="Palatino Linotype" w:cs="Palatino Linotype"/>
          <w:b/>
          <w:sz w:val="22"/>
          <w:szCs w:val="22"/>
        </w:rPr>
        <w:t>. Manifestaciones.</w:t>
      </w:r>
      <w:r w:rsidR="0067296C" w:rsidRPr="00EA21B5">
        <w:rPr>
          <w:rFonts w:ascii="Palatino Linotype" w:eastAsia="Palatino Linotype" w:hAnsi="Palatino Linotype" w:cs="Palatino Linotype"/>
          <w:sz w:val="22"/>
          <w:szCs w:val="22"/>
        </w:rPr>
        <w:t xml:space="preserve"> </w:t>
      </w:r>
      <w:r w:rsidR="000849C2" w:rsidRPr="00EA21B5">
        <w:rPr>
          <w:rFonts w:ascii="Palatino Linotype" w:eastAsia="Palatino Linotype" w:hAnsi="Palatino Linotype" w:cs="Palatino Linotype"/>
          <w:sz w:val="22"/>
          <w:szCs w:val="22"/>
        </w:rPr>
        <w:t>De las constancias que obran en el expediente electrónico d</w:t>
      </w:r>
      <w:r w:rsidR="002C08AB" w:rsidRPr="00EA21B5">
        <w:rPr>
          <w:rFonts w:ascii="Palatino Linotype" w:eastAsia="Palatino Linotype" w:hAnsi="Palatino Linotype" w:cs="Palatino Linotype"/>
          <w:sz w:val="22"/>
          <w:szCs w:val="22"/>
        </w:rPr>
        <w:t>el SAIMEX, se advierte que</w:t>
      </w:r>
      <w:r w:rsidR="000849C2" w:rsidRPr="00EA21B5">
        <w:rPr>
          <w:rFonts w:ascii="Palatino Linotype" w:eastAsia="Palatino Linotype" w:hAnsi="Palatino Linotype" w:cs="Palatino Linotype"/>
          <w:sz w:val="22"/>
          <w:szCs w:val="22"/>
        </w:rPr>
        <w:t xml:space="preserve"> el Sujeto Obligado </w:t>
      </w:r>
      <w:r w:rsidR="002C08AB" w:rsidRPr="00EA21B5">
        <w:rPr>
          <w:rFonts w:ascii="Palatino Linotype" w:eastAsia="Palatino Linotype" w:hAnsi="Palatino Linotype" w:cs="Palatino Linotype"/>
          <w:sz w:val="22"/>
          <w:szCs w:val="22"/>
        </w:rPr>
        <w:t xml:space="preserve">remitió el informe justificado el </w:t>
      </w:r>
      <w:r w:rsidR="00C50360" w:rsidRPr="00EA21B5">
        <w:rPr>
          <w:rFonts w:ascii="Palatino Linotype" w:eastAsia="Palatino Linotype" w:hAnsi="Palatino Linotype" w:cs="Palatino Linotype"/>
          <w:b/>
          <w:sz w:val="22"/>
          <w:szCs w:val="22"/>
        </w:rPr>
        <w:t>seis</w:t>
      </w:r>
      <w:r w:rsidR="002C08AB" w:rsidRPr="00EA21B5">
        <w:rPr>
          <w:rFonts w:ascii="Palatino Linotype" w:eastAsia="Palatino Linotype" w:hAnsi="Palatino Linotype" w:cs="Palatino Linotype"/>
          <w:b/>
          <w:sz w:val="22"/>
          <w:szCs w:val="22"/>
        </w:rPr>
        <w:t xml:space="preserve"> de </w:t>
      </w:r>
      <w:r w:rsidR="00C50360" w:rsidRPr="00EA21B5">
        <w:rPr>
          <w:rFonts w:ascii="Palatino Linotype" w:eastAsia="Palatino Linotype" w:hAnsi="Palatino Linotype" w:cs="Palatino Linotype"/>
          <w:b/>
          <w:sz w:val="22"/>
          <w:szCs w:val="22"/>
        </w:rPr>
        <w:t xml:space="preserve">junio </w:t>
      </w:r>
      <w:r w:rsidR="002C08AB" w:rsidRPr="00EA21B5">
        <w:rPr>
          <w:rFonts w:ascii="Palatino Linotype" w:eastAsia="Palatino Linotype" w:hAnsi="Palatino Linotype" w:cs="Palatino Linotype"/>
          <w:b/>
          <w:sz w:val="22"/>
          <w:szCs w:val="22"/>
        </w:rPr>
        <w:t>de dos mil veinticinco</w:t>
      </w:r>
      <w:r w:rsidR="002C08AB" w:rsidRPr="00EA21B5">
        <w:rPr>
          <w:rFonts w:ascii="Palatino Linotype" w:eastAsia="Palatino Linotype" w:hAnsi="Palatino Linotype" w:cs="Palatino Linotype"/>
          <w:sz w:val="22"/>
          <w:szCs w:val="22"/>
        </w:rPr>
        <w:t xml:space="preserve">, a través del documento electrónico denominado </w:t>
      </w:r>
      <w:r w:rsidR="002C08AB" w:rsidRPr="00EA21B5">
        <w:rPr>
          <w:rFonts w:ascii="Palatino Linotype" w:eastAsia="Palatino Linotype" w:hAnsi="Palatino Linotype" w:cs="Palatino Linotype"/>
          <w:b/>
          <w:sz w:val="22"/>
          <w:szCs w:val="22"/>
        </w:rPr>
        <w:t>Informe Justif</w:t>
      </w:r>
      <w:r w:rsidR="00C50360" w:rsidRPr="00EA21B5">
        <w:rPr>
          <w:rFonts w:ascii="Palatino Linotype" w:eastAsia="Palatino Linotype" w:hAnsi="Palatino Linotype" w:cs="Palatino Linotype"/>
          <w:b/>
          <w:sz w:val="22"/>
          <w:szCs w:val="22"/>
        </w:rPr>
        <w:t>icad SOI 91.pdf</w:t>
      </w:r>
      <w:r w:rsidR="007E794E" w:rsidRPr="00EA21B5">
        <w:rPr>
          <w:rFonts w:ascii="Palatino Linotype" w:eastAsia="Palatino Linotype" w:hAnsi="Palatino Linotype" w:cs="Palatino Linotype"/>
          <w:b/>
          <w:sz w:val="22"/>
          <w:szCs w:val="22"/>
        </w:rPr>
        <w:t>.pdf</w:t>
      </w:r>
      <w:r w:rsidR="002C08AB" w:rsidRPr="00EA21B5">
        <w:rPr>
          <w:rFonts w:ascii="Palatino Linotype" w:eastAsia="Palatino Linotype" w:hAnsi="Palatino Linotype" w:cs="Palatino Linotype"/>
          <w:b/>
          <w:sz w:val="22"/>
          <w:szCs w:val="22"/>
        </w:rPr>
        <w:t xml:space="preserve">, </w:t>
      </w:r>
      <w:r w:rsidR="002C08AB" w:rsidRPr="00EA21B5">
        <w:rPr>
          <w:rFonts w:ascii="Palatino Linotype" w:eastAsia="Palatino Linotype" w:hAnsi="Palatino Linotype" w:cs="Palatino Linotype"/>
          <w:sz w:val="22"/>
          <w:szCs w:val="22"/>
        </w:rPr>
        <w:t xml:space="preserve">cuyo contenido se puso a disposición del Recurrente el </w:t>
      </w:r>
      <w:r w:rsidR="00C50360" w:rsidRPr="00EA21B5">
        <w:rPr>
          <w:rFonts w:ascii="Palatino Linotype" w:eastAsia="Palatino Linotype" w:hAnsi="Palatino Linotype" w:cs="Palatino Linotype"/>
          <w:b/>
          <w:sz w:val="22"/>
          <w:szCs w:val="22"/>
        </w:rPr>
        <w:t>trece</w:t>
      </w:r>
      <w:r w:rsidR="002C08AB" w:rsidRPr="00EA21B5">
        <w:rPr>
          <w:rFonts w:ascii="Palatino Linotype" w:eastAsia="Palatino Linotype" w:hAnsi="Palatino Linotype" w:cs="Palatino Linotype"/>
          <w:b/>
          <w:sz w:val="22"/>
          <w:szCs w:val="22"/>
        </w:rPr>
        <w:t xml:space="preserve"> d</w:t>
      </w:r>
      <w:r w:rsidR="00CA1A88" w:rsidRPr="00EA21B5">
        <w:rPr>
          <w:rFonts w:ascii="Palatino Linotype" w:eastAsia="Palatino Linotype" w:hAnsi="Palatino Linotype" w:cs="Palatino Linotype"/>
          <w:b/>
          <w:sz w:val="22"/>
          <w:szCs w:val="22"/>
        </w:rPr>
        <w:t>e agosto de dos mil veinticinco</w:t>
      </w:r>
      <w:r w:rsidR="00CA1A88" w:rsidRPr="00EA21B5">
        <w:rPr>
          <w:rFonts w:ascii="Palatino Linotype" w:eastAsia="Palatino Linotype" w:hAnsi="Palatino Linotype" w:cs="Palatino Linotype"/>
          <w:sz w:val="22"/>
          <w:szCs w:val="22"/>
        </w:rPr>
        <w:t>; sin embargo, su contenido será analizado en el Considerando correspondiente.</w:t>
      </w:r>
    </w:p>
    <w:p w14:paraId="155B1BF2" w14:textId="77777777" w:rsidR="00C50360" w:rsidRPr="00EA21B5" w:rsidRDefault="00C50360">
      <w:pPr>
        <w:spacing w:line="360" w:lineRule="auto"/>
        <w:jc w:val="both"/>
        <w:rPr>
          <w:rFonts w:ascii="Palatino Linotype" w:eastAsia="Palatino Linotype" w:hAnsi="Palatino Linotype" w:cs="Palatino Linotype"/>
          <w:sz w:val="22"/>
          <w:szCs w:val="22"/>
        </w:rPr>
      </w:pPr>
    </w:p>
    <w:p w14:paraId="634BDC91" w14:textId="77777777" w:rsidR="00C50360" w:rsidRPr="00EA21B5" w:rsidRDefault="00C50360">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Por su parte, el Recurrente </w:t>
      </w:r>
      <w:r w:rsidR="005D201D" w:rsidRPr="00EA21B5">
        <w:rPr>
          <w:rFonts w:ascii="Palatino Linotype" w:eastAsia="Palatino Linotype" w:hAnsi="Palatino Linotype" w:cs="Palatino Linotype"/>
          <w:sz w:val="22"/>
          <w:szCs w:val="22"/>
        </w:rPr>
        <w:t xml:space="preserve">el </w:t>
      </w:r>
      <w:r w:rsidR="005D201D" w:rsidRPr="00EA21B5">
        <w:rPr>
          <w:rFonts w:ascii="Palatino Linotype" w:eastAsia="Palatino Linotype" w:hAnsi="Palatino Linotype" w:cs="Palatino Linotype"/>
          <w:b/>
          <w:sz w:val="22"/>
          <w:szCs w:val="22"/>
        </w:rPr>
        <w:t>dos de junio y trece de agosto de dos mil veinticinco</w:t>
      </w:r>
      <w:r w:rsidR="005D201D" w:rsidRPr="00EA21B5">
        <w:rPr>
          <w:rFonts w:ascii="Palatino Linotype" w:eastAsia="Palatino Linotype" w:hAnsi="Palatino Linotype" w:cs="Palatino Linotype"/>
          <w:sz w:val="22"/>
          <w:szCs w:val="22"/>
        </w:rPr>
        <w:t>, realizó manifestaciones a través de los siguientes documentos:</w:t>
      </w:r>
    </w:p>
    <w:p w14:paraId="705995B8" w14:textId="77777777" w:rsidR="005D201D" w:rsidRPr="00EA21B5" w:rsidRDefault="005D201D">
      <w:pPr>
        <w:spacing w:line="360" w:lineRule="auto"/>
        <w:jc w:val="both"/>
        <w:rPr>
          <w:rFonts w:ascii="Palatino Linotype" w:eastAsia="Palatino Linotype" w:hAnsi="Palatino Linotype" w:cs="Palatino Linotype"/>
          <w:sz w:val="22"/>
          <w:szCs w:val="22"/>
        </w:rPr>
      </w:pPr>
    </w:p>
    <w:p w14:paraId="37D19507" w14:textId="77777777" w:rsidR="005D201D" w:rsidRPr="00EA21B5" w:rsidRDefault="005D201D" w:rsidP="005D201D">
      <w:pPr>
        <w:pStyle w:val="Prrafodelista"/>
        <w:numPr>
          <w:ilvl w:val="0"/>
          <w:numId w:val="21"/>
        </w:numPr>
        <w:spacing w:line="360" w:lineRule="auto"/>
        <w:ind w:left="567"/>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Las respuestas otorgadas no las EMITIERON LAS AREAS RESPONSABLES por lo cual no dan la certeza de que la información sea </w:t>
      </w:r>
      <w:proofErr w:type="spellStart"/>
      <w:r w:rsidRPr="00EA21B5">
        <w:rPr>
          <w:rFonts w:ascii="Palatino Linotype" w:eastAsia="Palatino Linotype" w:hAnsi="Palatino Linotype" w:cs="Palatino Linotype"/>
          <w:b/>
          <w:i/>
          <w:sz w:val="22"/>
          <w:szCs w:val="22"/>
        </w:rPr>
        <w:t>complet</w:t>
      </w:r>
      <w:proofErr w:type="spellEnd"/>
      <w:r w:rsidRPr="00EA21B5">
        <w:rPr>
          <w:rFonts w:ascii="Palatino Linotype" w:eastAsia="Palatino Linotype" w:hAnsi="Palatino Linotype" w:cs="Palatino Linotype"/>
          <w:b/>
          <w:i/>
          <w:sz w:val="22"/>
          <w:szCs w:val="22"/>
        </w:rPr>
        <w:t xml:space="preserve">: </w:t>
      </w:r>
      <w:r w:rsidRPr="00EA21B5">
        <w:rPr>
          <w:rFonts w:ascii="Palatino Linotype" w:eastAsia="Palatino Linotype" w:hAnsi="Palatino Linotype" w:cs="Palatino Linotype"/>
          <w:sz w:val="22"/>
          <w:szCs w:val="22"/>
        </w:rPr>
        <w:t>Documento cuyo contenido no puede ser visualizado.</w:t>
      </w:r>
    </w:p>
    <w:p w14:paraId="7E4EF7A5" w14:textId="77777777" w:rsidR="005D201D" w:rsidRPr="00EA21B5" w:rsidRDefault="005D201D" w:rsidP="005D201D">
      <w:pPr>
        <w:pStyle w:val="Prrafodelista"/>
        <w:numPr>
          <w:ilvl w:val="0"/>
          <w:numId w:val="20"/>
        </w:numPr>
        <w:spacing w:line="360" w:lineRule="auto"/>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Es una gran decepción el leer con que falta de ética tratan de ocultar su negativa a la información.docx: </w:t>
      </w:r>
      <w:r w:rsidRPr="00EA21B5">
        <w:rPr>
          <w:rFonts w:ascii="Palatino Linotype" w:eastAsia="Palatino Linotype" w:hAnsi="Palatino Linotype" w:cs="Palatino Linotype"/>
          <w:sz w:val="22"/>
          <w:szCs w:val="22"/>
        </w:rPr>
        <w:t>Cuyo contenido es el siguiente:</w:t>
      </w:r>
      <w:r w:rsidRPr="00EA21B5">
        <w:rPr>
          <w:rFonts w:ascii="Palatino Linotype" w:hAnsi="Palatino Linotype"/>
          <w:sz w:val="22"/>
          <w:szCs w:val="22"/>
        </w:rPr>
        <w:t xml:space="preserve"> </w:t>
      </w:r>
      <w:r w:rsidRPr="00EA21B5">
        <w:rPr>
          <w:rFonts w:ascii="Palatino Linotype" w:eastAsia="Palatino Linotype" w:hAnsi="Palatino Linotype" w:cs="Palatino Linotype"/>
          <w:i/>
          <w:sz w:val="22"/>
          <w:szCs w:val="22"/>
        </w:rPr>
        <w:t xml:space="preserve">Es una gran decepción el leer con que falta de ética tratan de ocultar su negativa a la información, violan flagrantemente mi derecho al acceso a la información </w:t>
      </w:r>
      <w:proofErr w:type="spellStart"/>
      <w:r w:rsidRPr="00EA21B5">
        <w:rPr>
          <w:rFonts w:ascii="Palatino Linotype" w:eastAsia="Palatino Linotype" w:hAnsi="Palatino Linotype" w:cs="Palatino Linotype"/>
          <w:i/>
          <w:sz w:val="22"/>
          <w:szCs w:val="22"/>
        </w:rPr>
        <w:t>publica</w:t>
      </w:r>
      <w:proofErr w:type="spellEnd"/>
      <w:r w:rsidRPr="00EA21B5">
        <w:rPr>
          <w:rFonts w:ascii="Palatino Linotype" w:eastAsia="Palatino Linotype" w:hAnsi="Palatino Linotype" w:cs="Palatino Linotype"/>
          <w:i/>
          <w:sz w:val="22"/>
          <w:szCs w:val="22"/>
        </w:rPr>
        <w:t xml:space="preserve">, no </w:t>
      </w:r>
      <w:proofErr w:type="spellStart"/>
      <w:r w:rsidRPr="00EA21B5">
        <w:rPr>
          <w:rFonts w:ascii="Palatino Linotype" w:eastAsia="Palatino Linotype" w:hAnsi="Palatino Linotype" w:cs="Palatino Linotype"/>
          <w:i/>
          <w:sz w:val="22"/>
          <w:szCs w:val="22"/>
        </w:rPr>
        <w:t>se</w:t>
      </w:r>
      <w:proofErr w:type="spellEnd"/>
      <w:r w:rsidRPr="00EA21B5">
        <w:rPr>
          <w:rFonts w:ascii="Palatino Linotype" w:eastAsia="Palatino Linotype" w:hAnsi="Palatino Linotype" w:cs="Palatino Linotype"/>
          <w:i/>
          <w:sz w:val="22"/>
          <w:szCs w:val="22"/>
        </w:rPr>
        <w:t xml:space="preserve"> si lo hacen con dolo o lo hacen por ignorancia. MANIFIESTO MI ROTUNDO RECHASO A LA OPACIDAD CON QUE SE MANEJA EL TITULAR DE TRANSPARENCIA Y PIDO SE ME SEA ENTREGADA LA INFORMACION SOLICITADA, EN VERSION PUBLICA DE SER NECESARIO</w:t>
      </w:r>
    </w:p>
    <w:p w14:paraId="367F676F" w14:textId="77777777" w:rsidR="002C08AB" w:rsidRPr="00EA21B5" w:rsidRDefault="002C08AB">
      <w:pPr>
        <w:spacing w:line="360" w:lineRule="auto"/>
        <w:jc w:val="both"/>
        <w:rPr>
          <w:rFonts w:ascii="Palatino Linotype" w:eastAsia="Palatino Linotype" w:hAnsi="Palatino Linotype" w:cs="Palatino Linotype"/>
          <w:sz w:val="22"/>
          <w:szCs w:val="22"/>
        </w:rPr>
      </w:pPr>
    </w:p>
    <w:p w14:paraId="50AFD5C7" w14:textId="77777777" w:rsidR="00286C79" w:rsidRPr="00EA21B5"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lastRenderedPageBreak/>
        <w:t>7</w:t>
      </w:r>
      <w:r w:rsidR="005D201D" w:rsidRPr="00EA21B5">
        <w:rPr>
          <w:rFonts w:ascii="Palatino Linotype" w:eastAsia="Palatino Linotype" w:hAnsi="Palatino Linotype" w:cs="Palatino Linotype"/>
          <w:b/>
          <w:sz w:val="22"/>
          <w:szCs w:val="22"/>
        </w:rPr>
        <w:t>. Ampliación de plazo. El trece</w:t>
      </w:r>
      <w:r w:rsidRPr="00EA21B5">
        <w:rPr>
          <w:rFonts w:ascii="Palatino Linotype" w:eastAsia="Palatino Linotype" w:hAnsi="Palatino Linotype" w:cs="Palatino Linotype"/>
          <w:b/>
          <w:sz w:val="22"/>
          <w:szCs w:val="22"/>
        </w:rPr>
        <w:t xml:space="preserve"> de agosto de dos mil veinticinco</w:t>
      </w:r>
      <w:r w:rsidRPr="00EA21B5">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04A925F0" w14:textId="77777777" w:rsidR="00286C79" w:rsidRPr="00EA21B5"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211837"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8AAE061"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p>
    <w:p w14:paraId="2E6EC062"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9D72C97"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p>
    <w:p w14:paraId="7ED69782"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7F63B2"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772054BD"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E5FD5E4"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2D9D4FCA"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70AC88F"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43BCD710" w14:textId="77777777" w:rsidR="00422AF6" w:rsidRPr="00EA21B5"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a)    Complejidad del asunto:</w:t>
      </w:r>
      <w:r w:rsidRPr="00EA21B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3E9354BC" w14:textId="77777777" w:rsidR="00422AF6" w:rsidRPr="00EA21B5"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b)   Actividad Procesal del interesado</w:t>
      </w:r>
      <w:r w:rsidRPr="00EA21B5">
        <w:rPr>
          <w:rFonts w:ascii="Palatino Linotype" w:eastAsia="Palatino Linotype" w:hAnsi="Palatino Linotype" w:cs="Palatino Linotype"/>
          <w:sz w:val="22"/>
          <w:szCs w:val="22"/>
        </w:rPr>
        <w:t>: Acciones u omisiones del interesado.</w:t>
      </w:r>
    </w:p>
    <w:p w14:paraId="3526748F" w14:textId="77777777" w:rsidR="00422AF6" w:rsidRPr="00EA21B5"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c)  Conducta de la Autoridad:</w:t>
      </w:r>
      <w:r w:rsidRPr="00EA21B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F5257A3" w14:textId="77777777" w:rsidR="00422AF6" w:rsidRPr="00EA21B5"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d) La afectación generada en la situación jurídica de la persona involucrada en el proceso:</w:t>
      </w:r>
      <w:r w:rsidRPr="00EA21B5">
        <w:rPr>
          <w:rFonts w:ascii="Palatino Linotype" w:eastAsia="Palatino Linotype" w:hAnsi="Palatino Linotype" w:cs="Palatino Linotype"/>
          <w:sz w:val="22"/>
          <w:szCs w:val="22"/>
        </w:rPr>
        <w:t xml:space="preserve"> Violación a sus derechos humanos.</w:t>
      </w:r>
    </w:p>
    <w:p w14:paraId="34F8B8D8"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44D80BE3"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4CE001"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p>
    <w:p w14:paraId="333A465A"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EA21B5">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EA21B5">
        <w:rPr>
          <w:rFonts w:ascii="Palatino Linotype" w:eastAsia="Palatino Linotype" w:hAnsi="Palatino Linotype" w:cs="Palatino Linotype"/>
          <w:sz w:val="22"/>
          <w:szCs w:val="22"/>
        </w:rPr>
        <w:t>, visible en la Gaceta del Seminario Judicial de la Federación con el registro digital 205635.</w:t>
      </w:r>
    </w:p>
    <w:p w14:paraId="5DA9C92E"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p>
    <w:p w14:paraId="5597C56C"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7DA6A9"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016F86DA"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E950A6D"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26BDB80A" w14:textId="77777777" w:rsidR="00422AF6" w:rsidRPr="00EA21B5" w:rsidRDefault="0067296C">
      <w:pPr>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EA21B5">
        <w:rPr>
          <w:rFonts w:ascii="Palatino Linotype" w:eastAsia="Palatino Linotype" w:hAnsi="Palatino Linotype" w:cs="Palatino Linotype"/>
          <w:sz w:val="22"/>
          <w:szCs w:val="22"/>
        </w:rPr>
        <w:t xml:space="preserve"> consultable en el Seminario Judicial de la Federación y su gaceta, con el registro digital 2002351.</w:t>
      </w:r>
    </w:p>
    <w:p w14:paraId="574A1EB4" w14:textId="77777777" w:rsidR="00422AF6" w:rsidRPr="00EA21B5" w:rsidRDefault="0067296C">
      <w:pPr>
        <w:spacing w:line="360" w:lineRule="auto"/>
        <w:ind w:left="567" w:right="56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EA21B5">
        <w:rPr>
          <w:rFonts w:ascii="Palatino Linotype" w:eastAsia="Palatino Linotype" w:hAnsi="Palatino Linotype" w:cs="Palatino Linotype"/>
          <w:sz w:val="22"/>
          <w:szCs w:val="22"/>
        </w:rPr>
        <w:t xml:space="preserve"> visible en el Seminario Judicial de la Federación y su gaceta, con el registro digital 2002350.</w:t>
      </w:r>
    </w:p>
    <w:p w14:paraId="5188B106" w14:textId="77777777" w:rsidR="00422AF6" w:rsidRPr="00EA21B5" w:rsidRDefault="00422AF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3FC1C3C" w14:textId="77777777" w:rsidR="00422AF6" w:rsidRPr="00EA21B5" w:rsidRDefault="006729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79D3D03B" w14:textId="77777777" w:rsidR="00286C79" w:rsidRPr="00EA21B5" w:rsidRDefault="00286C7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DE86E9B" w14:textId="746512E0" w:rsidR="00286C79" w:rsidRPr="00EA21B5"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8. Cierre de instrucción</w:t>
      </w:r>
      <w:r w:rsidRPr="00EA21B5">
        <w:rPr>
          <w:rFonts w:ascii="Palatino Linotype" w:eastAsia="Palatino Linotype" w:hAnsi="Palatino Linotype" w:cs="Palatino Linotype"/>
          <w:sz w:val="22"/>
          <w:szCs w:val="22"/>
        </w:rPr>
        <w:t xml:space="preserve">. En fecha </w:t>
      </w:r>
      <w:r w:rsidR="005D201D" w:rsidRPr="00EA21B5">
        <w:rPr>
          <w:rFonts w:ascii="Palatino Linotype" w:eastAsia="Palatino Linotype" w:hAnsi="Palatino Linotype" w:cs="Palatino Linotype"/>
          <w:b/>
          <w:sz w:val="22"/>
          <w:szCs w:val="22"/>
        </w:rPr>
        <w:t>diecinueve</w:t>
      </w:r>
      <w:r w:rsidRPr="00EA21B5">
        <w:rPr>
          <w:rFonts w:ascii="Palatino Linotype" w:eastAsia="Palatino Linotype" w:hAnsi="Palatino Linotype" w:cs="Palatino Linotype"/>
          <w:b/>
          <w:sz w:val="22"/>
          <w:szCs w:val="22"/>
        </w:rPr>
        <w:t xml:space="preserve"> de agosto de dos mil veinticinco</w:t>
      </w:r>
      <w:r w:rsidRPr="00EA21B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566702" w:rsidRPr="00EA21B5">
        <w:rPr>
          <w:rFonts w:ascii="Palatino Linotype" w:eastAsia="Palatino Linotype" w:hAnsi="Palatino Linotype" w:cs="Palatino Linotype"/>
          <w:sz w:val="22"/>
          <w:szCs w:val="22"/>
        </w:rPr>
        <w:t xml:space="preserve">; notificado el veinte de agosto de dos mil veinticinco. </w:t>
      </w:r>
    </w:p>
    <w:p w14:paraId="68E7FDDB" w14:textId="77777777" w:rsidR="00422AF6" w:rsidRPr="00EA21B5" w:rsidRDefault="00422A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02BAB0"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2EC0BCA4"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3311BD17" w14:textId="77777777" w:rsidR="00422AF6" w:rsidRPr="00EA21B5" w:rsidRDefault="0067296C">
      <w:pPr>
        <w:spacing w:line="360" w:lineRule="auto"/>
        <w:ind w:right="49"/>
        <w:jc w:val="center"/>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t>II.</w:t>
      </w:r>
      <w:r w:rsidRPr="00EA21B5">
        <w:rPr>
          <w:rFonts w:ascii="Palatino Linotype" w:eastAsia="Palatino Linotype" w:hAnsi="Palatino Linotype" w:cs="Palatino Linotype"/>
          <w:b/>
          <w:sz w:val="22"/>
          <w:szCs w:val="22"/>
        </w:rPr>
        <w:tab/>
        <w:t>C O N S I D E R A N D O:</w:t>
      </w:r>
    </w:p>
    <w:p w14:paraId="4A8FE935"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0DF26588"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Primero. Competencia.</w:t>
      </w:r>
      <w:r w:rsidRPr="00EA21B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72DCCA1"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Segundo. Oportunidad y Procedibilidad del Recurso de Revisión. </w:t>
      </w:r>
      <w:r w:rsidRPr="00EA21B5">
        <w:rPr>
          <w:rFonts w:ascii="Palatino Linotype" w:eastAsia="Palatino Linotype" w:hAnsi="Palatino Linotype" w:cs="Palatino Linotype"/>
          <w:sz w:val="22"/>
          <w:szCs w:val="22"/>
        </w:rPr>
        <w:t xml:space="preserve">Previo al estudio del fondo del asunto, se procede a analizar los requisitos de oportunidad y procedibilidad que </w:t>
      </w:r>
      <w:r w:rsidRPr="00EA21B5">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230FF523"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363BFF7B" w14:textId="77777777" w:rsidR="00422AF6" w:rsidRPr="00EA21B5" w:rsidRDefault="0067296C">
      <w:pPr>
        <w:spacing w:line="360" w:lineRule="auto"/>
        <w:ind w:left="851" w:right="900"/>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“Artículo 178. </w:t>
      </w:r>
      <w:r w:rsidRPr="00EA21B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6C4DB44" w14:textId="77777777" w:rsidR="00422AF6" w:rsidRPr="00EA21B5" w:rsidRDefault="0067296C">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A21B5">
        <w:rPr>
          <w:rFonts w:ascii="Palatino Linotype" w:eastAsia="Palatino Linotype" w:hAnsi="Palatino Linotype" w:cs="Palatino Linotype"/>
          <w:b/>
          <w:sz w:val="22"/>
          <w:szCs w:val="22"/>
        </w:rPr>
        <w:t>SUJETO OBLIGADO</w:t>
      </w:r>
      <w:r w:rsidRPr="00EA21B5">
        <w:rPr>
          <w:rFonts w:ascii="Palatino Linotype" w:eastAsia="Palatino Linotype" w:hAnsi="Palatino Linotype" w:cs="Palatino Linotype"/>
          <w:sz w:val="22"/>
          <w:szCs w:val="22"/>
        </w:rPr>
        <w:t xml:space="preserve"> remitió la respuesta a la solicitud de información </w:t>
      </w:r>
      <w:r w:rsidR="004718C5" w:rsidRPr="00EA21B5">
        <w:rPr>
          <w:rFonts w:ascii="Palatino Linotype" w:eastAsia="Palatino Linotype" w:hAnsi="Palatino Linotype" w:cs="Palatino Linotype"/>
          <w:sz w:val="22"/>
          <w:szCs w:val="22"/>
        </w:rPr>
        <w:t xml:space="preserve">el día </w:t>
      </w:r>
      <w:r w:rsidR="0077331F" w:rsidRPr="00EA21B5">
        <w:rPr>
          <w:rFonts w:ascii="Palatino Linotype" w:eastAsia="Palatino Linotype" w:hAnsi="Palatino Linotype" w:cs="Palatino Linotype"/>
          <w:b/>
          <w:sz w:val="22"/>
          <w:szCs w:val="22"/>
        </w:rPr>
        <w:t>catorce</w:t>
      </w:r>
      <w:r w:rsidR="00E6083A" w:rsidRPr="00EA21B5">
        <w:rPr>
          <w:rFonts w:ascii="Palatino Linotype" w:eastAsia="Palatino Linotype" w:hAnsi="Palatino Linotype" w:cs="Palatino Linotype"/>
          <w:b/>
          <w:sz w:val="22"/>
          <w:szCs w:val="22"/>
        </w:rPr>
        <w:t xml:space="preserve"> </w:t>
      </w:r>
      <w:r w:rsidRPr="00EA21B5">
        <w:rPr>
          <w:rFonts w:ascii="Palatino Linotype" w:eastAsia="Palatino Linotype" w:hAnsi="Palatino Linotype" w:cs="Palatino Linotype"/>
          <w:b/>
          <w:sz w:val="22"/>
          <w:szCs w:val="22"/>
        </w:rPr>
        <w:t xml:space="preserve">de </w:t>
      </w:r>
      <w:r w:rsidR="0077331F" w:rsidRPr="00EA21B5">
        <w:rPr>
          <w:rFonts w:ascii="Palatino Linotype" w:eastAsia="Palatino Linotype" w:hAnsi="Palatino Linotype" w:cs="Palatino Linotype"/>
          <w:b/>
          <w:sz w:val="22"/>
          <w:szCs w:val="22"/>
        </w:rPr>
        <w:t>mayo</w:t>
      </w:r>
      <w:r w:rsidRPr="00EA21B5">
        <w:rPr>
          <w:rFonts w:ascii="Palatino Linotype" w:eastAsia="Palatino Linotype" w:hAnsi="Palatino Linotype" w:cs="Palatino Linotype"/>
          <w:b/>
          <w:sz w:val="22"/>
          <w:szCs w:val="22"/>
        </w:rPr>
        <w:t xml:space="preserve"> de dos mil veinticinco, </w:t>
      </w:r>
      <w:r w:rsidRPr="00EA21B5">
        <w:rPr>
          <w:rFonts w:ascii="Palatino Linotype" w:eastAsia="Palatino Linotype" w:hAnsi="Palatino Linotype" w:cs="Palatino Linotype"/>
          <w:sz w:val="22"/>
          <w:szCs w:val="22"/>
        </w:rPr>
        <w:t xml:space="preserve">mientras que el recurso de revisión interpuesto por la parte </w:t>
      </w:r>
      <w:r w:rsidRPr="00EA21B5">
        <w:rPr>
          <w:rFonts w:ascii="Palatino Linotype" w:eastAsia="Palatino Linotype" w:hAnsi="Palatino Linotype" w:cs="Palatino Linotype"/>
          <w:b/>
          <w:sz w:val="22"/>
          <w:szCs w:val="22"/>
        </w:rPr>
        <w:t>RECURRENTE</w:t>
      </w:r>
      <w:r w:rsidRPr="00EA21B5">
        <w:rPr>
          <w:rFonts w:ascii="Palatino Linotype" w:eastAsia="Palatino Linotype" w:hAnsi="Palatino Linotype" w:cs="Palatino Linotype"/>
          <w:sz w:val="22"/>
          <w:szCs w:val="22"/>
        </w:rPr>
        <w:t>, se tuv</w:t>
      </w:r>
      <w:r w:rsidR="004718C5" w:rsidRPr="00EA21B5">
        <w:rPr>
          <w:rFonts w:ascii="Palatino Linotype" w:eastAsia="Palatino Linotype" w:hAnsi="Palatino Linotype" w:cs="Palatino Linotype"/>
          <w:sz w:val="22"/>
          <w:szCs w:val="22"/>
        </w:rPr>
        <w:t>o</w:t>
      </w:r>
      <w:r w:rsidRPr="00EA21B5">
        <w:rPr>
          <w:rFonts w:ascii="Palatino Linotype" w:eastAsia="Palatino Linotype" w:hAnsi="Palatino Linotype" w:cs="Palatino Linotype"/>
          <w:sz w:val="22"/>
          <w:szCs w:val="22"/>
        </w:rPr>
        <w:t xml:space="preserve"> por presentado el </w:t>
      </w:r>
      <w:r w:rsidR="0077331F" w:rsidRPr="00EA21B5">
        <w:rPr>
          <w:rFonts w:ascii="Palatino Linotype" w:eastAsia="Palatino Linotype" w:hAnsi="Palatino Linotype" w:cs="Palatino Linotype"/>
          <w:b/>
          <w:sz w:val="22"/>
          <w:szCs w:val="22"/>
        </w:rPr>
        <w:t>veintitrés</w:t>
      </w:r>
      <w:r w:rsidRPr="00EA21B5">
        <w:rPr>
          <w:rFonts w:ascii="Palatino Linotype" w:eastAsia="Palatino Linotype" w:hAnsi="Palatino Linotype" w:cs="Palatino Linotype"/>
          <w:b/>
          <w:sz w:val="22"/>
          <w:szCs w:val="22"/>
        </w:rPr>
        <w:t xml:space="preserve"> de </w:t>
      </w:r>
      <w:r w:rsidR="0077331F" w:rsidRPr="00EA21B5">
        <w:rPr>
          <w:rFonts w:ascii="Palatino Linotype" w:eastAsia="Palatino Linotype" w:hAnsi="Palatino Linotype" w:cs="Palatino Linotype"/>
          <w:b/>
          <w:sz w:val="22"/>
          <w:szCs w:val="22"/>
        </w:rPr>
        <w:t>mayo</w:t>
      </w:r>
      <w:r w:rsidRPr="00EA21B5">
        <w:rPr>
          <w:rFonts w:ascii="Palatino Linotype" w:eastAsia="Palatino Linotype" w:hAnsi="Palatino Linotype" w:cs="Palatino Linotype"/>
          <w:b/>
          <w:sz w:val="22"/>
          <w:szCs w:val="22"/>
        </w:rPr>
        <w:t xml:space="preserve"> del año dos mil veinticinco</w:t>
      </w:r>
      <w:r w:rsidRPr="00EA21B5">
        <w:rPr>
          <w:rFonts w:ascii="Palatino Linotype" w:eastAsia="Palatino Linotype" w:hAnsi="Palatino Linotype" w:cs="Palatino Linotype"/>
          <w:sz w:val="22"/>
          <w:szCs w:val="22"/>
        </w:rPr>
        <w:t xml:space="preserve">; esto es, al </w:t>
      </w:r>
      <w:r w:rsidR="003E6BB6" w:rsidRPr="00EA21B5">
        <w:rPr>
          <w:rFonts w:ascii="Palatino Linotype" w:eastAsia="Palatino Linotype" w:hAnsi="Palatino Linotype" w:cs="Palatino Linotype"/>
          <w:b/>
          <w:sz w:val="22"/>
          <w:szCs w:val="22"/>
        </w:rPr>
        <w:t>séptimo</w:t>
      </w:r>
      <w:r w:rsidRPr="00EA21B5">
        <w:rPr>
          <w:rFonts w:ascii="Palatino Linotype" w:eastAsia="Palatino Linotype" w:hAnsi="Palatino Linotype" w:cs="Palatino Linotype"/>
          <w:b/>
          <w:sz w:val="22"/>
          <w:szCs w:val="22"/>
        </w:rPr>
        <w:t xml:space="preserve"> día hábil </w:t>
      </w:r>
      <w:r w:rsidRPr="00EA21B5">
        <w:rPr>
          <w:rFonts w:ascii="Palatino Linotype" w:eastAsia="Palatino Linotype" w:hAnsi="Palatino Linotype" w:cs="Palatino Linotype"/>
          <w:sz w:val="22"/>
          <w:szCs w:val="22"/>
        </w:rPr>
        <w:t>siguiente al que se tuvo conocimiento de la respuesta respectivamente.</w:t>
      </w:r>
    </w:p>
    <w:p w14:paraId="391C816A"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3E6BB6" w:rsidRPr="00EA21B5">
        <w:rPr>
          <w:rFonts w:ascii="Palatino Linotype" w:eastAsia="Palatino Linotype" w:hAnsi="Palatino Linotype" w:cs="Palatino Linotype"/>
          <w:sz w:val="22"/>
          <w:szCs w:val="22"/>
        </w:rPr>
        <w:t>s en el artículo 179, fracción V</w:t>
      </w:r>
      <w:r w:rsidR="004718C5"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sz w:val="22"/>
          <w:szCs w:val="22"/>
        </w:rPr>
        <w:t>de la ley de la materia, que a la letra dice:</w:t>
      </w:r>
    </w:p>
    <w:p w14:paraId="159DA4D0" w14:textId="77777777" w:rsidR="00422AF6" w:rsidRPr="00EA21B5" w:rsidRDefault="0067296C">
      <w:pPr>
        <w:spacing w:line="360" w:lineRule="auto"/>
        <w:ind w:left="851" w:right="1041"/>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lastRenderedPageBreak/>
        <w:t>“</w:t>
      </w:r>
      <w:r w:rsidRPr="00EA21B5">
        <w:rPr>
          <w:rFonts w:ascii="Palatino Linotype" w:eastAsia="Palatino Linotype" w:hAnsi="Palatino Linotype" w:cs="Palatino Linotype"/>
          <w:b/>
          <w:i/>
          <w:sz w:val="22"/>
          <w:szCs w:val="22"/>
        </w:rPr>
        <w:t xml:space="preserve">Artículo 179. </w:t>
      </w:r>
      <w:r w:rsidRPr="00EA21B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BC88937" w14:textId="77777777" w:rsidR="00F96BBB" w:rsidRPr="00EA21B5" w:rsidRDefault="00F96BBB" w:rsidP="00F96BBB">
      <w:pPr>
        <w:spacing w:line="360" w:lineRule="auto"/>
        <w:ind w:left="851" w:right="1041"/>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3744F206" w14:textId="77777777" w:rsidR="004718C5" w:rsidRPr="00EA21B5" w:rsidRDefault="00F96BBB" w:rsidP="00F96BBB">
      <w:pPr>
        <w:spacing w:line="360" w:lineRule="auto"/>
        <w:ind w:left="851" w:right="1041"/>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V. </w:t>
      </w:r>
      <w:r w:rsidR="003E6BB6" w:rsidRPr="00EA21B5">
        <w:rPr>
          <w:rFonts w:ascii="Palatino Linotype" w:eastAsia="Palatino Linotype" w:hAnsi="Palatino Linotype" w:cs="Palatino Linotype"/>
          <w:i/>
          <w:sz w:val="22"/>
          <w:szCs w:val="22"/>
        </w:rPr>
        <w:t>La entrega de información incompleta</w:t>
      </w:r>
      <w:r w:rsidR="004718C5" w:rsidRPr="00EA21B5">
        <w:rPr>
          <w:rFonts w:ascii="Palatino Linotype" w:eastAsia="Palatino Linotype" w:hAnsi="Palatino Linotype" w:cs="Palatino Linotype"/>
          <w:i/>
          <w:sz w:val="22"/>
          <w:szCs w:val="22"/>
        </w:rPr>
        <w:t xml:space="preserve"> </w:t>
      </w:r>
    </w:p>
    <w:p w14:paraId="6B05B15C" w14:textId="77777777" w:rsidR="00422AF6" w:rsidRPr="00EA21B5" w:rsidRDefault="0067296C" w:rsidP="00F96BBB">
      <w:pPr>
        <w:spacing w:line="360" w:lineRule="auto"/>
        <w:ind w:left="851" w:right="1041"/>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547206D0"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Tercero. Materia de la revisión. </w:t>
      </w:r>
      <w:r w:rsidRPr="00EA21B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A21B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A21B5">
        <w:rPr>
          <w:rFonts w:ascii="Palatino Linotype" w:eastAsia="Palatino Linotype" w:hAnsi="Palatino Linotype" w:cs="Palatino Linotype"/>
          <w:sz w:val="22"/>
          <w:szCs w:val="22"/>
        </w:rPr>
        <w:t xml:space="preserve">de la parte </w:t>
      </w:r>
      <w:r w:rsidRPr="00EA21B5">
        <w:rPr>
          <w:rFonts w:ascii="Palatino Linotype" w:eastAsia="Palatino Linotype" w:hAnsi="Palatino Linotype" w:cs="Palatino Linotype"/>
          <w:b/>
          <w:sz w:val="22"/>
          <w:szCs w:val="22"/>
        </w:rPr>
        <w:t>Recurrente</w:t>
      </w:r>
      <w:r w:rsidRPr="00EA21B5">
        <w:rPr>
          <w:rFonts w:ascii="Palatino Linotype" w:eastAsia="Palatino Linotype" w:hAnsi="Palatino Linotype" w:cs="Palatino Linotype"/>
          <w:sz w:val="22"/>
          <w:szCs w:val="22"/>
        </w:rPr>
        <w:t>, o en su defecto, en caso de ser procedente, ordenar la entrega de información.</w:t>
      </w:r>
    </w:p>
    <w:p w14:paraId="357C4516"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Cuarto. Estudio del asunto. </w:t>
      </w:r>
      <w:r w:rsidRPr="00EA21B5">
        <w:rPr>
          <w:rFonts w:ascii="Palatino Linotype" w:eastAsia="Palatino Linotype" w:hAnsi="Palatino Linotype" w:cs="Palatino Linotype"/>
          <w:sz w:val="22"/>
          <w:szCs w:val="22"/>
        </w:rPr>
        <w:t xml:space="preserve">En principio, es conveniente analizar si la respuesta como el informe justificado del </w:t>
      </w:r>
      <w:r w:rsidRPr="00EA21B5">
        <w:rPr>
          <w:rFonts w:ascii="Palatino Linotype" w:eastAsia="Palatino Linotype" w:hAnsi="Palatino Linotype" w:cs="Palatino Linotype"/>
          <w:b/>
          <w:sz w:val="22"/>
          <w:szCs w:val="22"/>
        </w:rPr>
        <w:t>SUJETO OBLIGADO</w:t>
      </w:r>
      <w:r w:rsidRPr="00EA21B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B732991"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0C0E91F2" w14:textId="77777777" w:rsidR="00422AF6" w:rsidRPr="00EA21B5" w:rsidRDefault="0067296C">
      <w:pPr>
        <w:spacing w:line="276" w:lineRule="auto"/>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Artículo 4</w:t>
      </w:r>
      <w:r w:rsidRPr="00EA21B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01A48B" w14:textId="77777777" w:rsidR="00422AF6" w:rsidRPr="00EA21B5" w:rsidRDefault="0067296C">
      <w:pPr>
        <w:spacing w:line="276" w:lineRule="auto"/>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w:t>
      </w:r>
      <w:r w:rsidRPr="00EA21B5">
        <w:rPr>
          <w:rFonts w:ascii="Palatino Linotype" w:eastAsia="Palatino Linotype" w:hAnsi="Palatino Linotype" w:cs="Palatino Linotype"/>
          <w:b/>
          <w:i/>
          <w:sz w:val="22"/>
          <w:szCs w:val="22"/>
        </w:rPr>
        <w:lastRenderedPageBreak/>
        <w:t>permanente a cualquier persona</w:t>
      </w:r>
      <w:r w:rsidRPr="00EA21B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1221BE" w14:textId="77777777" w:rsidR="00422AF6" w:rsidRPr="00EA21B5" w:rsidRDefault="0067296C">
      <w:pPr>
        <w:spacing w:line="276" w:lineRule="auto"/>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A21B5">
        <w:rPr>
          <w:rFonts w:ascii="Palatino Linotype" w:eastAsia="Palatino Linotype" w:hAnsi="Palatino Linotype" w:cs="Palatino Linotype"/>
          <w:i/>
          <w:sz w:val="22"/>
          <w:szCs w:val="22"/>
        </w:rPr>
        <w:t>.”</w:t>
      </w:r>
    </w:p>
    <w:p w14:paraId="5AA5472B" w14:textId="77777777" w:rsidR="00422AF6" w:rsidRPr="00EA21B5" w:rsidRDefault="00422AF6">
      <w:pPr>
        <w:spacing w:line="276" w:lineRule="auto"/>
        <w:jc w:val="both"/>
        <w:rPr>
          <w:rFonts w:ascii="Palatino Linotype" w:eastAsia="Palatino Linotype" w:hAnsi="Palatino Linotype" w:cs="Palatino Linotype"/>
          <w:sz w:val="22"/>
          <w:szCs w:val="22"/>
        </w:rPr>
      </w:pPr>
    </w:p>
    <w:p w14:paraId="11A831F6"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C916F13"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725F1B65" w14:textId="77777777" w:rsidR="00422AF6" w:rsidRPr="00EA21B5" w:rsidRDefault="0067296C">
      <w:pPr>
        <w:spacing w:line="276" w:lineRule="auto"/>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12.-</w:t>
      </w:r>
      <w:r w:rsidRPr="00EA21B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5AAD652" w14:textId="77777777" w:rsidR="00422AF6" w:rsidRPr="00EA21B5" w:rsidRDefault="00422AF6">
      <w:pPr>
        <w:spacing w:line="276" w:lineRule="auto"/>
        <w:ind w:left="567" w:right="616"/>
        <w:jc w:val="both"/>
        <w:rPr>
          <w:rFonts w:ascii="Palatino Linotype" w:eastAsia="Palatino Linotype" w:hAnsi="Palatino Linotype" w:cs="Palatino Linotype"/>
          <w:i/>
          <w:sz w:val="22"/>
          <w:szCs w:val="22"/>
        </w:rPr>
      </w:pPr>
    </w:p>
    <w:p w14:paraId="45ECDF88" w14:textId="77777777" w:rsidR="00422AF6" w:rsidRPr="00EA21B5" w:rsidRDefault="0067296C">
      <w:pPr>
        <w:spacing w:line="276" w:lineRule="auto"/>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B4832C8" w14:textId="77777777" w:rsidR="00422AF6" w:rsidRPr="00EA21B5" w:rsidRDefault="00422AF6">
      <w:pPr>
        <w:spacing w:line="360" w:lineRule="auto"/>
        <w:ind w:right="-93"/>
        <w:jc w:val="both"/>
        <w:rPr>
          <w:rFonts w:ascii="Palatino Linotype" w:eastAsia="Palatino Linotype" w:hAnsi="Palatino Linotype" w:cs="Palatino Linotype"/>
          <w:sz w:val="22"/>
          <w:szCs w:val="22"/>
        </w:rPr>
      </w:pPr>
    </w:p>
    <w:p w14:paraId="0BD0FC59" w14:textId="77777777" w:rsidR="00422AF6" w:rsidRPr="00EA21B5" w:rsidRDefault="0067296C">
      <w:pPr>
        <w:spacing w:line="360" w:lineRule="auto"/>
        <w:ind w:right="-93"/>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EA21B5">
        <w:rPr>
          <w:rFonts w:ascii="Palatino Linotype" w:eastAsia="Palatino Linotype" w:hAnsi="Palatino Linotype" w:cs="Palatino Linotype"/>
          <w:sz w:val="22"/>
          <w:szCs w:val="22"/>
        </w:rPr>
        <w:lastRenderedPageBreak/>
        <w:t>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B6DA611" w14:textId="77777777" w:rsidR="00422AF6" w:rsidRPr="00EA21B5" w:rsidRDefault="00422AF6">
      <w:pPr>
        <w:spacing w:line="360" w:lineRule="auto"/>
        <w:ind w:right="-93"/>
        <w:jc w:val="both"/>
        <w:rPr>
          <w:rFonts w:ascii="Palatino Linotype" w:eastAsia="Palatino Linotype" w:hAnsi="Palatino Linotype" w:cs="Palatino Linotype"/>
          <w:sz w:val="22"/>
          <w:szCs w:val="22"/>
        </w:rPr>
      </w:pPr>
    </w:p>
    <w:p w14:paraId="6888BBCE" w14:textId="77777777" w:rsidR="00422AF6" w:rsidRPr="00EA21B5" w:rsidRDefault="0067296C">
      <w:pPr>
        <w:spacing w:line="360" w:lineRule="auto"/>
        <w:ind w:right="-93"/>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Sirve de apoyo a lo anterior, el criterio </w:t>
      </w:r>
      <w:r w:rsidR="00375A7D" w:rsidRPr="00EA21B5">
        <w:rPr>
          <w:rFonts w:ascii="Palatino Linotype" w:eastAsia="Palatino Linotype" w:hAnsi="Palatino Linotype" w:cs="Palatino Linotype"/>
          <w:sz w:val="22"/>
          <w:szCs w:val="22"/>
        </w:rPr>
        <w:t xml:space="preserve">orientador </w:t>
      </w:r>
      <w:r w:rsidRPr="00EA21B5">
        <w:rPr>
          <w:rFonts w:ascii="Palatino Linotype" w:eastAsia="Palatino Linotype" w:hAnsi="Palatino Linotype" w:cs="Palatino Linotype"/>
          <w:sz w:val="22"/>
          <w:szCs w:val="22"/>
        </w:rPr>
        <w:t xml:space="preserve">03-17, expuesto por el </w:t>
      </w:r>
      <w:r w:rsidR="00375A7D" w:rsidRPr="00EA21B5">
        <w:rPr>
          <w:rFonts w:ascii="Palatino Linotype" w:eastAsia="Palatino Linotype" w:hAnsi="Palatino Linotype" w:cs="Palatino Linotype"/>
          <w:sz w:val="22"/>
          <w:szCs w:val="22"/>
        </w:rPr>
        <w:t xml:space="preserve">entonces </w:t>
      </w:r>
      <w:r w:rsidRPr="00EA21B5">
        <w:rPr>
          <w:rFonts w:ascii="Palatino Linotype" w:eastAsia="Palatino Linotype" w:hAnsi="Palatino Linotype" w:cs="Palatino Linotype"/>
          <w:sz w:val="22"/>
          <w:szCs w:val="22"/>
        </w:rPr>
        <w:t>Instituto Nacional de Transparencia, Acceso a la Información y Protección de Datos Personales, que dice:</w:t>
      </w:r>
      <w:r w:rsidRPr="00EA21B5">
        <w:rPr>
          <w:rFonts w:ascii="Palatino Linotype" w:eastAsia="Palatino Linotype" w:hAnsi="Palatino Linotype" w:cs="Palatino Linotype"/>
          <w:b/>
          <w:sz w:val="22"/>
          <w:szCs w:val="22"/>
        </w:rPr>
        <w:t xml:space="preserve"> </w:t>
      </w:r>
    </w:p>
    <w:p w14:paraId="6099C1C0" w14:textId="77777777" w:rsidR="00422AF6" w:rsidRPr="00EA21B5" w:rsidRDefault="00422AF6">
      <w:pPr>
        <w:spacing w:line="360" w:lineRule="auto"/>
        <w:jc w:val="both"/>
        <w:rPr>
          <w:rFonts w:ascii="Palatino Linotype" w:eastAsia="Palatino Linotype" w:hAnsi="Palatino Linotype" w:cs="Palatino Linotype"/>
          <w:b/>
          <w:sz w:val="22"/>
          <w:szCs w:val="22"/>
        </w:rPr>
      </w:pPr>
    </w:p>
    <w:p w14:paraId="05AABC85"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No existe obligación de elaborar documentos ad hoc para atender las solicitudes de acceso a la información.</w:t>
      </w:r>
      <w:r w:rsidRPr="00EA21B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20EDEA9" w14:textId="77777777" w:rsidR="00422AF6" w:rsidRPr="00EA21B5" w:rsidRDefault="00422AF6">
      <w:pPr>
        <w:spacing w:line="360" w:lineRule="auto"/>
        <w:ind w:right="-93"/>
        <w:jc w:val="both"/>
        <w:rPr>
          <w:rFonts w:ascii="Palatino Linotype" w:eastAsia="Palatino Linotype" w:hAnsi="Palatino Linotype" w:cs="Palatino Linotype"/>
          <w:sz w:val="22"/>
          <w:szCs w:val="22"/>
        </w:rPr>
      </w:pPr>
    </w:p>
    <w:p w14:paraId="0F80B08C"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019259"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7258469B" w14:textId="77777777" w:rsidR="00422AF6" w:rsidRPr="00EA21B5" w:rsidRDefault="0067296C">
      <w:pP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EA21B5">
        <w:rPr>
          <w:rFonts w:ascii="Palatino Linotype" w:eastAsia="Palatino Linotype" w:hAnsi="Palatino Linotype" w:cs="Palatino Linotype"/>
          <w:sz w:val="22"/>
          <w:szCs w:val="22"/>
        </w:rPr>
        <w:lastRenderedPageBreak/>
        <w:t>Sujeto Obligado; como así se establece en la Ley de Transparencia y Acceso a la Información Pública del Estado de México y Municipios.</w:t>
      </w:r>
    </w:p>
    <w:p w14:paraId="3F99A630" w14:textId="77777777" w:rsidR="00422AF6" w:rsidRPr="00EA21B5" w:rsidRDefault="00422AF6">
      <w:pPr>
        <w:spacing w:line="360" w:lineRule="auto"/>
        <w:ind w:right="49"/>
        <w:jc w:val="both"/>
        <w:rPr>
          <w:rFonts w:ascii="Palatino Linotype" w:eastAsia="Palatino Linotype" w:hAnsi="Palatino Linotype" w:cs="Palatino Linotype"/>
          <w:sz w:val="22"/>
          <w:szCs w:val="22"/>
        </w:rPr>
      </w:pPr>
    </w:p>
    <w:p w14:paraId="04895F46"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18C01F" w14:textId="77777777" w:rsidR="00422AF6" w:rsidRPr="00EA21B5" w:rsidRDefault="00422AF6">
      <w:pPr>
        <w:spacing w:line="360" w:lineRule="auto"/>
        <w:ind w:left="567" w:right="616"/>
        <w:jc w:val="both"/>
        <w:rPr>
          <w:rFonts w:ascii="Palatino Linotype" w:eastAsia="Palatino Linotype" w:hAnsi="Palatino Linotype" w:cs="Palatino Linotype"/>
          <w:i/>
          <w:sz w:val="22"/>
          <w:szCs w:val="22"/>
        </w:rPr>
      </w:pPr>
    </w:p>
    <w:p w14:paraId="418F27E0"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 xml:space="preserve">Artículo 3. </w:t>
      </w:r>
      <w:r w:rsidRPr="00EA21B5">
        <w:rPr>
          <w:rFonts w:ascii="Palatino Linotype" w:eastAsia="Palatino Linotype" w:hAnsi="Palatino Linotype" w:cs="Palatino Linotype"/>
          <w:i/>
          <w:sz w:val="22"/>
          <w:szCs w:val="22"/>
        </w:rPr>
        <w:t>Para los efectos de la presente Ley se entenderá por:</w:t>
      </w:r>
    </w:p>
    <w:p w14:paraId="2BF98236"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1E05102F"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XI. Documento:</w:t>
      </w:r>
      <w:r w:rsidRPr="00EA21B5">
        <w:rPr>
          <w:rFonts w:ascii="Palatino Linotype" w:eastAsia="Palatino Linotype" w:hAnsi="Palatino Linotype" w:cs="Palatino Linotype"/>
          <w:i/>
          <w:sz w:val="22"/>
          <w:szCs w:val="22"/>
        </w:rPr>
        <w:t xml:space="preserve"> Los expedientes, reportes, estudios, actas</w:t>
      </w:r>
      <w:r w:rsidRPr="00EA21B5">
        <w:rPr>
          <w:rFonts w:ascii="Palatino Linotype" w:eastAsia="Palatino Linotype" w:hAnsi="Palatino Linotype" w:cs="Palatino Linotype"/>
          <w:b/>
          <w:i/>
          <w:sz w:val="22"/>
          <w:szCs w:val="22"/>
        </w:rPr>
        <w:t>,</w:t>
      </w:r>
      <w:r w:rsidRPr="00EA21B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34AA840" w14:textId="77777777" w:rsidR="00422AF6" w:rsidRPr="00EA21B5" w:rsidRDefault="00422AF6">
      <w:pPr>
        <w:spacing w:line="360" w:lineRule="auto"/>
        <w:ind w:left="851" w:right="899"/>
        <w:jc w:val="both"/>
        <w:rPr>
          <w:rFonts w:ascii="Palatino Linotype" w:eastAsia="Palatino Linotype" w:hAnsi="Palatino Linotype" w:cs="Palatino Linotype"/>
          <w:sz w:val="22"/>
          <w:szCs w:val="22"/>
        </w:rPr>
      </w:pPr>
    </w:p>
    <w:p w14:paraId="22257C8A" w14:textId="77777777" w:rsidR="00422AF6" w:rsidRPr="00EA21B5" w:rsidRDefault="0067296C">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277315" w14:textId="77777777" w:rsidR="00422AF6" w:rsidRPr="00EA21B5" w:rsidRDefault="00422AF6">
      <w:pPr>
        <w:spacing w:line="360" w:lineRule="auto"/>
        <w:jc w:val="both"/>
        <w:rPr>
          <w:rFonts w:ascii="Palatino Linotype" w:eastAsia="Palatino Linotype" w:hAnsi="Palatino Linotype" w:cs="Palatino Linotype"/>
          <w:sz w:val="22"/>
          <w:szCs w:val="22"/>
        </w:rPr>
      </w:pPr>
    </w:p>
    <w:p w14:paraId="6B76A1E7" w14:textId="77777777" w:rsidR="00422AF6" w:rsidRPr="00EA21B5" w:rsidRDefault="0067296C">
      <w:pPr>
        <w:ind w:left="567" w:right="616"/>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sz w:val="22"/>
          <w:szCs w:val="22"/>
        </w:rPr>
        <w:lastRenderedPageBreak/>
        <w:t>“</w:t>
      </w:r>
      <w:r w:rsidRPr="00EA21B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A21B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2DFA60"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En </w:t>
      </w:r>
      <w:proofErr w:type="gramStart"/>
      <w:r w:rsidRPr="00EA21B5">
        <w:rPr>
          <w:rFonts w:ascii="Palatino Linotype" w:eastAsia="Palatino Linotype" w:hAnsi="Palatino Linotype" w:cs="Palatino Linotype"/>
          <w:i/>
          <w:sz w:val="22"/>
          <w:szCs w:val="22"/>
        </w:rPr>
        <w:t>consecuencia</w:t>
      </w:r>
      <w:proofErr w:type="gramEnd"/>
      <w:r w:rsidRPr="00EA21B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BEB1E9A" w14:textId="77777777" w:rsidR="00422AF6" w:rsidRPr="00EA21B5" w:rsidRDefault="0067296C">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A21B5">
        <w:rPr>
          <w:rFonts w:ascii="Palatino Linotype" w:eastAsia="Palatino Linotype" w:hAnsi="Palatino Linotype" w:cs="Palatino Linotype"/>
          <w:i/>
          <w:sz w:val="22"/>
          <w:szCs w:val="22"/>
        </w:rPr>
        <w:t>que</w:t>
      </w:r>
      <w:proofErr w:type="gramEnd"/>
      <w:r w:rsidRPr="00EA21B5">
        <w:rPr>
          <w:rFonts w:ascii="Palatino Linotype" w:eastAsia="Palatino Linotype" w:hAnsi="Palatino Linotype" w:cs="Palatino Linotype"/>
          <w:i/>
          <w:sz w:val="22"/>
          <w:szCs w:val="22"/>
        </w:rPr>
        <w:t xml:space="preserve"> en ejercicio de las atribuciones conferidas, sea generada por los Sujetos Obligados;</w:t>
      </w:r>
    </w:p>
    <w:p w14:paraId="2601B8BD" w14:textId="77777777" w:rsidR="00422AF6" w:rsidRPr="00EA21B5" w:rsidRDefault="0067296C">
      <w:pPr>
        <w:ind w:left="567" w:right="616"/>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A21B5">
        <w:rPr>
          <w:rFonts w:ascii="Palatino Linotype" w:eastAsia="Palatino Linotype" w:hAnsi="Palatino Linotype" w:cs="Palatino Linotype"/>
          <w:b/>
          <w:i/>
          <w:sz w:val="22"/>
          <w:szCs w:val="22"/>
        </w:rPr>
        <w:t>que</w:t>
      </w:r>
      <w:proofErr w:type="gramEnd"/>
      <w:r w:rsidRPr="00EA21B5">
        <w:rPr>
          <w:rFonts w:ascii="Palatino Linotype" w:eastAsia="Palatino Linotype" w:hAnsi="Palatino Linotype" w:cs="Palatino Linotype"/>
          <w:b/>
          <w:i/>
          <w:sz w:val="22"/>
          <w:szCs w:val="22"/>
        </w:rPr>
        <w:t xml:space="preserve"> en ejercicio de las atribuciones conferidas, sea administrada por los Sujetos Obligados, y</w:t>
      </w:r>
    </w:p>
    <w:p w14:paraId="2B18E661" w14:textId="77777777" w:rsidR="00422AF6" w:rsidRPr="00EA21B5" w:rsidRDefault="0067296C">
      <w:pPr>
        <w:ind w:left="567" w:right="616"/>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A21B5">
        <w:rPr>
          <w:rFonts w:ascii="Palatino Linotype" w:eastAsia="Palatino Linotype" w:hAnsi="Palatino Linotype" w:cs="Palatino Linotype"/>
          <w:b/>
          <w:i/>
          <w:sz w:val="22"/>
          <w:szCs w:val="22"/>
        </w:rPr>
        <w:t>que</w:t>
      </w:r>
      <w:proofErr w:type="gramEnd"/>
      <w:r w:rsidRPr="00EA21B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54AE828" w14:textId="77777777" w:rsidR="00422AF6" w:rsidRPr="00EA21B5" w:rsidRDefault="00422AF6">
      <w:pPr>
        <w:tabs>
          <w:tab w:val="left" w:pos="8647"/>
        </w:tabs>
        <w:spacing w:line="360" w:lineRule="auto"/>
        <w:jc w:val="both"/>
        <w:rPr>
          <w:rFonts w:ascii="Palatino Linotype" w:eastAsia="Palatino Linotype" w:hAnsi="Palatino Linotype" w:cs="Palatino Linotype"/>
          <w:b/>
          <w:sz w:val="22"/>
          <w:szCs w:val="22"/>
        </w:rPr>
      </w:pPr>
    </w:p>
    <w:p w14:paraId="55B94D54" w14:textId="77777777" w:rsidR="004718C5" w:rsidRPr="00EA21B5" w:rsidRDefault="0067296C">
      <w:pPr>
        <w:spacing w:after="240" w:line="360" w:lineRule="auto"/>
        <w:jc w:val="both"/>
        <w:rPr>
          <w:rFonts w:ascii="Palatino Linotype" w:eastAsia="Palatino Linotype" w:hAnsi="Palatino Linotype" w:cs="Palatino Linotype"/>
          <w:b/>
          <w:sz w:val="22"/>
          <w:szCs w:val="22"/>
        </w:rPr>
      </w:pPr>
      <w:r w:rsidRPr="00EA21B5">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C52D17" w:rsidRPr="00EA21B5">
        <w:rPr>
          <w:rFonts w:ascii="Palatino Linotype" w:eastAsia="Palatino Linotype" w:hAnsi="Palatino Linotype" w:cs="Palatino Linotype"/>
          <w:b/>
          <w:sz w:val="22"/>
          <w:szCs w:val="22"/>
        </w:rPr>
        <w:t>Ayuntamiento de Chalco</w:t>
      </w:r>
      <w:r w:rsidR="004718C5" w:rsidRPr="00EA21B5">
        <w:rPr>
          <w:rFonts w:ascii="Palatino Linotype" w:eastAsia="Palatino Linotype" w:hAnsi="Palatino Linotype" w:cs="Palatino Linotype"/>
          <w:b/>
          <w:sz w:val="22"/>
          <w:szCs w:val="22"/>
        </w:rPr>
        <w:t xml:space="preserve"> lo siguiente:</w:t>
      </w:r>
    </w:p>
    <w:p w14:paraId="40D860AA" w14:textId="77777777" w:rsidR="00F96BBB" w:rsidRPr="00EA21B5" w:rsidRDefault="00F96BBB" w:rsidP="00F96BBB">
      <w:pPr>
        <w:pStyle w:val="Prrafodelista"/>
        <w:numPr>
          <w:ilvl w:val="0"/>
          <w:numId w:val="22"/>
        </w:numPr>
        <w:spacing w:line="360" w:lineRule="auto"/>
        <w:ind w:left="851" w:right="843"/>
        <w:jc w:val="both"/>
        <w:rPr>
          <w:rFonts w:ascii="Palatino Linotype" w:hAnsi="Palatino Linotype"/>
          <w:b/>
          <w:sz w:val="22"/>
          <w:szCs w:val="22"/>
        </w:rPr>
      </w:pPr>
      <w:r w:rsidRPr="00EA21B5">
        <w:rPr>
          <w:rFonts w:ascii="Palatino Linotype" w:hAnsi="Palatino Linotype"/>
          <w:b/>
          <w:sz w:val="22"/>
          <w:szCs w:val="22"/>
        </w:rPr>
        <w:t xml:space="preserve">De la </w:t>
      </w:r>
      <w:proofErr w:type="gramStart"/>
      <w:r w:rsidRPr="00EA21B5">
        <w:rPr>
          <w:rFonts w:ascii="Palatino Linotype" w:hAnsi="Palatino Linotype"/>
          <w:b/>
          <w:sz w:val="22"/>
          <w:szCs w:val="22"/>
        </w:rPr>
        <w:t>Presidenta</w:t>
      </w:r>
      <w:proofErr w:type="gramEnd"/>
      <w:r w:rsidRPr="00EA21B5">
        <w:rPr>
          <w:rFonts w:ascii="Palatino Linotype" w:hAnsi="Palatino Linotype"/>
          <w:b/>
          <w:sz w:val="22"/>
          <w:szCs w:val="22"/>
        </w:rPr>
        <w:t xml:space="preserve"> Municipal de la administración 2025-2027:</w:t>
      </w:r>
    </w:p>
    <w:p w14:paraId="480128BB" w14:textId="77777777" w:rsidR="00F96BBB" w:rsidRPr="00EA21B5" w:rsidRDefault="00F96BBB" w:rsidP="00F96BBB">
      <w:pPr>
        <w:pStyle w:val="Prrafodelista"/>
        <w:numPr>
          <w:ilvl w:val="0"/>
          <w:numId w:val="8"/>
        </w:numPr>
        <w:spacing w:line="360" w:lineRule="auto"/>
        <w:ind w:left="1134" w:right="843"/>
        <w:jc w:val="both"/>
        <w:rPr>
          <w:rFonts w:ascii="Palatino Linotype" w:hAnsi="Palatino Linotype"/>
          <w:b/>
          <w:sz w:val="22"/>
          <w:szCs w:val="22"/>
        </w:rPr>
      </w:pPr>
      <w:r w:rsidRPr="00EA21B5">
        <w:rPr>
          <w:rFonts w:ascii="Palatino Linotype" w:hAnsi="Palatino Linotype"/>
          <w:b/>
          <w:sz w:val="22"/>
          <w:szCs w:val="22"/>
        </w:rPr>
        <w:t>Nombre completo; y,</w:t>
      </w:r>
    </w:p>
    <w:p w14:paraId="6F847901" w14:textId="77777777" w:rsidR="00F96BBB" w:rsidRPr="00EA21B5" w:rsidRDefault="00F96BBB" w:rsidP="00F96BBB">
      <w:pPr>
        <w:pStyle w:val="Prrafodelista"/>
        <w:numPr>
          <w:ilvl w:val="0"/>
          <w:numId w:val="8"/>
        </w:numPr>
        <w:spacing w:line="360" w:lineRule="auto"/>
        <w:ind w:left="1134" w:right="843"/>
        <w:jc w:val="both"/>
        <w:rPr>
          <w:rFonts w:ascii="Palatino Linotype" w:hAnsi="Palatino Linotype"/>
          <w:b/>
          <w:sz w:val="22"/>
          <w:szCs w:val="22"/>
        </w:rPr>
      </w:pPr>
      <w:r w:rsidRPr="00EA21B5">
        <w:rPr>
          <w:rFonts w:ascii="Palatino Linotype" w:hAnsi="Palatino Linotype"/>
          <w:b/>
          <w:sz w:val="22"/>
          <w:szCs w:val="22"/>
        </w:rPr>
        <w:t>Recibo de nómina.</w:t>
      </w:r>
    </w:p>
    <w:p w14:paraId="48230ADB" w14:textId="77777777" w:rsidR="00F96BBB" w:rsidRPr="00EA21B5" w:rsidRDefault="00F96BBB" w:rsidP="00F96BBB">
      <w:pPr>
        <w:pStyle w:val="Prrafodelista"/>
        <w:numPr>
          <w:ilvl w:val="0"/>
          <w:numId w:val="22"/>
        </w:numPr>
        <w:spacing w:line="360" w:lineRule="auto"/>
        <w:ind w:left="851" w:right="843"/>
        <w:jc w:val="both"/>
        <w:rPr>
          <w:rFonts w:ascii="Palatino Linotype" w:hAnsi="Palatino Linotype"/>
          <w:b/>
          <w:sz w:val="22"/>
          <w:szCs w:val="22"/>
        </w:rPr>
      </w:pPr>
      <w:r w:rsidRPr="00EA21B5">
        <w:rPr>
          <w:rFonts w:ascii="Palatino Linotype" w:hAnsi="Palatino Linotype"/>
          <w:b/>
          <w:sz w:val="22"/>
          <w:szCs w:val="22"/>
        </w:rPr>
        <w:t>Obras inmediatas destinadas para su desarrollo y mejoramiento en el centro del Municipio.</w:t>
      </w:r>
    </w:p>
    <w:p w14:paraId="03645831" w14:textId="77777777" w:rsidR="005744DE" w:rsidRPr="00EA21B5" w:rsidRDefault="005744DE" w:rsidP="004718C5">
      <w:pPr>
        <w:ind w:left="567" w:right="843"/>
        <w:jc w:val="both"/>
        <w:rPr>
          <w:rFonts w:ascii="Palatino Linotype" w:hAnsi="Palatino Linotype"/>
          <w:i/>
          <w:sz w:val="22"/>
          <w:szCs w:val="22"/>
        </w:rPr>
      </w:pPr>
    </w:p>
    <w:p w14:paraId="3B98011B" w14:textId="77777777" w:rsidR="0023013E" w:rsidRPr="00EA21B5" w:rsidRDefault="00AC27CC" w:rsidP="004058E5">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El Sujeto Obligado en su respuesta entregó </w:t>
      </w:r>
      <w:r w:rsidR="0023013E" w:rsidRPr="00EA21B5">
        <w:rPr>
          <w:rFonts w:ascii="Palatino Linotype" w:hAnsi="Palatino Linotype"/>
          <w:sz w:val="22"/>
          <w:szCs w:val="22"/>
        </w:rPr>
        <w:t>la siguiente información:</w:t>
      </w:r>
    </w:p>
    <w:p w14:paraId="516F3037" w14:textId="77777777" w:rsidR="0023013E" w:rsidRPr="00EA21B5" w:rsidRDefault="0023013E" w:rsidP="00602DE7">
      <w:pPr>
        <w:pStyle w:val="Prrafodelista"/>
        <w:numPr>
          <w:ilvl w:val="0"/>
          <w:numId w:val="23"/>
        </w:num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Recibo de nómina en versión pública de la </w:t>
      </w:r>
      <w:proofErr w:type="gramStart"/>
      <w:r w:rsidRPr="00EA21B5">
        <w:rPr>
          <w:rFonts w:ascii="Palatino Linotype" w:hAnsi="Palatino Linotype"/>
          <w:sz w:val="22"/>
          <w:szCs w:val="22"/>
        </w:rPr>
        <w:t>Presidenta</w:t>
      </w:r>
      <w:proofErr w:type="gramEnd"/>
      <w:r w:rsidRPr="00EA21B5">
        <w:rPr>
          <w:rFonts w:ascii="Palatino Linotype" w:hAnsi="Palatino Linotype"/>
          <w:sz w:val="22"/>
          <w:szCs w:val="22"/>
        </w:rPr>
        <w:t xml:space="preserve"> Municipal, correspondiente a la segunda quincena de abril de dos mil veinticinco</w:t>
      </w:r>
    </w:p>
    <w:p w14:paraId="31998BCB" w14:textId="77777777" w:rsidR="0023013E" w:rsidRPr="00EA21B5" w:rsidRDefault="0023013E" w:rsidP="00602DE7">
      <w:pPr>
        <w:pStyle w:val="Prrafodelista"/>
        <w:numPr>
          <w:ilvl w:val="0"/>
          <w:numId w:val="23"/>
        </w:numPr>
        <w:spacing w:line="360" w:lineRule="auto"/>
        <w:ind w:right="-7"/>
        <w:jc w:val="both"/>
        <w:rPr>
          <w:rFonts w:ascii="Palatino Linotype" w:hAnsi="Palatino Linotype"/>
          <w:sz w:val="22"/>
          <w:szCs w:val="22"/>
        </w:rPr>
      </w:pPr>
      <w:r w:rsidRPr="00EA21B5">
        <w:rPr>
          <w:rFonts w:ascii="Palatino Linotype" w:hAnsi="Palatino Linotype"/>
          <w:sz w:val="22"/>
          <w:szCs w:val="22"/>
        </w:rPr>
        <w:t>Acuerdo del Comité de Transparencia que sustenta la versión pública del Recibo de Nómina;</w:t>
      </w:r>
    </w:p>
    <w:p w14:paraId="6A94AE1B" w14:textId="77777777" w:rsidR="0023013E" w:rsidRPr="00EA21B5" w:rsidRDefault="00602DE7" w:rsidP="00602DE7">
      <w:pPr>
        <w:pStyle w:val="Prrafodelista"/>
        <w:numPr>
          <w:ilvl w:val="0"/>
          <w:numId w:val="23"/>
        </w:numPr>
        <w:spacing w:line="360" w:lineRule="auto"/>
        <w:ind w:right="-7"/>
        <w:jc w:val="both"/>
        <w:rPr>
          <w:rFonts w:ascii="Palatino Linotype" w:hAnsi="Palatino Linotype"/>
          <w:sz w:val="22"/>
          <w:szCs w:val="22"/>
        </w:rPr>
      </w:pPr>
      <w:r w:rsidRPr="00EA21B5">
        <w:rPr>
          <w:rFonts w:ascii="Palatino Linotype" w:hAnsi="Palatino Linotype"/>
          <w:sz w:val="22"/>
          <w:szCs w:val="22"/>
        </w:rPr>
        <w:lastRenderedPageBreak/>
        <w:t>No se tienen consideradas obras inmediatas, destinadas para el mejoramiento del Centro de Chalco</w:t>
      </w:r>
      <w:r w:rsidR="00A13AAF" w:rsidRPr="00EA21B5">
        <w:rPr>
          <w:rFonts w:ascii="Palatino Linotype" w:hAnsi="Palatino Linotype"/>
          <w:sz w:val="22"/>
          <w:szCs w:val="22"/>
        </w:rPr>
        <w:t>;</w:t>
      </w:r>
    </w:p>
    <w:p w14:paraId="64E826F6" w14:textId="77777777" w:rsidR="00A13AAF" w:rsidRPr="00EA21B5" w:rsidRDefault="00A13AAF" w:rsidP="00602DE7">
      <w:pPr>
        <w:pStyle w:val="Prrafodelista"/>
        <w:numPr>
          <w:ilvl w:val="0"/>
          <w:numId w:val="23"/>
        </w:num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El nombre </w:t>
      </w:r>
      <w:r w:rsidR="00255176" w:rsidRPr="00EA21B5">
        <w:rPr>
          <w:rFonts w:ascii="Palatino Linotype" w:hAnsi="Palatino Linotype"/>
          <w:sz w:val="22"/>
          <w:szCs w:val="22"/>
        </w:rPr>
        <w:t xml:space="preserve">completo de la </w:t>
      </w:r>
      <w:proofErr w:type="gramStart"/>
      <w:r w:rsidR="00255176" w:rsidRPr="00EA21B5">
        <w:rPr>
          <w:rFonts w:ascii="Palatino Linotype" w:hAnsi="Palatino Linotype"/>
          <w:sz w:val="22"/>
          <w:szCs w:val="22"/>
        </w:rPr>
        <w:t>Presidenta</w:t>
      </w:r>
      <w:proofErr w:type="gramEnd"/>
      <w:r w:rsidR="00255176" w:rsidRPr="00EA21B5">
        <w:rPr>
          <w:rFonts w:ascii="Palatino Linotype" w:hAnsi="Palatino Linotype"/>
          <w:sz w:val="22"/>
          <w:szCs w:val="22"/>
        </w:rPr>
        <w:t xml:space="preserve"> Municipal </w:t>
      </w:r>
      <w:r w:rsidR="00255176" w:rsidRPr="00EA21B5">
        <w:rPr>
          <w:rFonts w:ascii="Palatino Linotype" w:eastAsia="Palatino Linotype" w:hAnsi="Palatino Linotype" w:cs="Palatino Linotype"/>
          <w:sz w:val="22"/>
          <w:szCs w:val="22"/>
        </w:rPr>
        <w:t xml:space="preserve">es, Abigail Sánchez Martínez; </w:t>
      </w:r>
    </w:p>
    <w:p w14:paraId="392B8D73" w14:textId="77777777" w:rsidR="00255176" w:rsidRPr="00EA21B5" w:rsidRDefault="00255176" w:rsidP="00255176">
      <w:pPr>
        <w:spacing w:line="360" w:lineRule="auto"/>
        <w:ind w:right="-7"/>
        <w:jc w:val="both"/>
        <w:rPr>
          <w:rFonts w:ascii="Palatino Linotype" w:hAnsi="Palatino Linotype"/>
          <w:sz w:val="22"/>
          <w:szCs w:val="22"/>
        </w:rPr>
      </w:pPr>
    </w:p>
    <w:p w14:paraId="56DE45B3" w14:textId="77777777" w:rsidR="00255176" w:rsidRPr="00EA21B5" w:rsidRDefault="00255176" w:rsidP="00255176">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Mediante el informe justificado, el Sujeto Obligado remitió el documento electrónico denominado </w:t>
      </w:r>
      <w:r w:rsidRPr="00EA21B5">
        <w:rPr>
          <w:rFonts w:ascii="Palatino Linotype" w:hAnsi="Palatino Linotype"/>
          <w:b/>
          <w:i/>
          <w:sz w:val="22"/>
          <w:szCs w:val="22"/>
        </w:rPr>
        <w:t xml:space="preserve">Informe Justificad SOI 91.pdf </w:t>
      </w:r>
      <w:r w:rsidRPr="00EA21B5">
        <w:rPr>
          <w:rFonts w:ascii="Palatino Linotype" w:hAnsi="Palatino Linotype"/>
          <w:sz w:val="22"/>
          <w:szCs w:val="22"/>
        </w:rPr>
        <w:t xml:space="preserve">sin número de oficio suscrito por la Titular de la Unidad de Transparencia mediante el cual ratifica la respuesta inicial, argumentando que proporcionó el nombre completo de la </w:t>
      </w:r>
      <w:proofErr w:type="gramStart"/>
      <w:r w:rsidRPr="00EA21B5">
        <w:rPr>
          <w:rFonts w:ascii="Palatino Linotype" w:hAnsi="Palatino Linotype"/>
          <w:sz w:val="22"/>
          <w:szCs w:val="22"/>
        </w:rPr>
        <w:t>Presidenta</w:t>
      </w:r>
      <w:proofErr w:type="gramEnd"/>
      <w:r w:rsidRPr="00EA21B5">
        <w:rPr>
          <w:rFonts w:ascii="Palatino Linotype" w:hAnsi="Palatino Linotype"/>
          <w:sz w:val="22"/>
          <w:szCs w:val="22"/>
        </w:rPr>
        <w:t xml:space="preserve"> Municipal, se entregó el último recibo de nómina y el Director de Obras Públicas señaló que no tiene consideradas obras inmediatas destinadas al mejoramiento del Centro de Chalco.</w:t>
      </w:r>
    </w:p>
    <w:p w14:paraId="2824C476" w14:textId="77777777" w:rsidR="00A13AAF" w:rsidRPr="00EA21B5" w:rsidRDefault="00A13AAF" w:rsidP="00A13AAF">
      <w:pPr>
        <w:pStyle w:val="Prrafodelista"/>
        <w:spacing w:line="360" w:lineRule="auto"/>
        <w:ind w:right="-7"/>
        <w:jc w:val="both"/>
        <w:rPr>
          <w:rFonts w:ascii="Palatino Linotype" w:hAnsi="Palatino Linotype"/>
          <w:sz w:val="22"/>
          <w:szCs w:val="22"/>
        </w:rPr>
      </w:pPr>
    </w:p>
    <w:p w14:paraId="2591B3F1" w14:textId="77777777" w:rsidR="00C06FC1" w:rsidRPr="00EA21B5" w:rsidRDefault="00C06FC1" w:rsidP="00C06FC1">
      <w:pPr>
        <w:spacing w:line="360" w:lineRule="auto"/>
        <w:ind w:right="-7"/>
        <w:jc w:val="both"/>
        <w:rPr>
          <w:rFonts w:ascii="Palatino Linotype" w:hAnsi="Palatino Linotype"/>
          <w:sz w:val="22"/>
          <w:szCs w:val="22"/>
        </w:rPr>
      </w:pPr>
      <w:r w:rsidRPr="00EA21B5">
        <w:rPr>
          <w:rFonts w:ascii="Palatino Linotype" w:hAnsi="Palatino Linotype"/>
          <w:sz w:val="22"/>
          <w:szCs w:val="22"/>
        </w:rPr>
        <w:t>Tal y como se advierte, la pretensión del recurrente es acceder a información relativa a recibo de nómina y obras públicas.</w:t>
      </w:r>
    </w:p>
    <w:p w14:paraId="61B0EC8E" w14:textId="77777777" w:rsidR="00C06FC1" w:rsidRPr="00EA21B5" w:rsidRDefault="00C06FC1" w:rsidP="00C06FC1">
      <w:pPr>
        <w:spacing w:line="360" w:lineRule="auto"/>
        <w:ind w:right="-7"/>
        <w:jc w:val="both"/>
        <w:rPr>
          <w:rFonts w:ascii="Palatino Linotype" w:hAnsi="Palatino Linotype"/>
          <w:sz w:val="22"/>
          <w:szCs w:val="22"/>
        </w:rPr>
      </w:pPr>
    </w:p>
    <w:p w14:paraId="5B6FF2C7" w14:textId="77777777" w:rsidR="00D91F65" w:rsidRPr="00EA21B5" w:rsidRDefault="00C06FC1" w:rsidP="00C06FC1">
      <w:pPr>
        <w:spacing w:line="360" w:lineRule="auto"/>
        <w:ind w:right="-7"/>
        <w:jc w:val="both"/>
        <w:rPr>
          <w:rFonts w:ascii="Palatino Linotype" w:hAnsi="Palatino Linotype"/>
          <w:b/>
          <w:sz w:val="22"/>
          <w:szCs w:val="22"/>
        </w:rPr>
      </w:pPr>
      <w:r w:rsidRPr="00EA21B5">
        <w:rPr>
          <w:rFonts w:ascii="Palatino Linotype" w:hAnsi="Palatino Linotype"/>
          <w:b/>
          <w:sz w:val="22"/>
          <w:szCs w:val="22"/>
        </w:rPr>
        <w:t>Recibo de Nómina</w:t>
      </w:r>
    </w:p>
    <w:p w14:paraId="70C1AB69" w14:textId="77777777" w:rsidR="00D91F65" w:rsidRPr="00EA21B5" w:rsidRDefault="00D91F65" w:rsidP="00C06FC1">
      <w:pPr>
        <w:spacing w:line="360" w:lineRule="auto"/>
        <w:ind w:right="-7"/>
        <w:jc w:val="both"/>
        <w:rPr>
          <w:rFonts w:ascii="Palatino Linotype" w:hAnsi="Palatino Linotype"/>
          <w:sz w:val="22"/>
          <w:szCs w:val="22"/>
        </w:rPr>
      </w:pPr>
    </w:p>
    <w:p w14:paraId="50D9C34B"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 xml:space="preserve">Derivado de la naturaleza de la información requerida, es que resulta conveniente traer a contexto la Ley del Trabajo de los Servidores Públicos del Estado y Municipios, en su artículo 220 K, establece los documentos que tiene la obligación de conservar el </w:t>
      </w:r>
      <w:r w:rsidRPr="00EA21B5">
        <w:rPr>
          <w:rFonts w:ascii="Palatino Linotype" w:hAnsi="Palatino Linotype"/>
          <w:b/>
          <w:bCs/>
          <w:sz w:val="22"/>
          <w:szCs w:val="22"/>
        </w:rPr>
        <w:t>Sujeto Obligado</w:t>
      </w:r>
      <w:r w:rsidRPr="00EA21B5">
        <w:rPr>
          <w:rFonts w:ascii="Palatino Linotype" w:hAnsi="Palatino Linotype"/>
          <w:sz w:val="22"/>
          <w:szCs w:val="22"/>
        </w:rPr>
        <w:t>, entre los que se encuentran los recibos de pagos: </w:t>
      </w:r>
    </w:p>
    <w:p w14:paraId="4D2600AB" w14:textId="77777777" w:rsidR="00D91F65" w:rsidRPr="00EA21B5" w:rsidRDefault="00D91F65" w:rsidP="00D91F65">
      <w:pPr>
        <w:spacing w:line="360" w:lineRule="auto"/>
        <w:rPr>
          <w:rFonts w:ascii="Palatino Linotype" w:hAnsi="Palatino Linotype"/>
          <w:sz w:val="22"/>
          <w:szCs w:val="22"/>
        </w:rPr>
      </w:pPr>
    </w:p>
    <w:p w14:paraId="45F47397"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b/>
          <w:bCs/>
          <w:i/>
          <w:iCs/>
          <w:sz w:val="22"/>
          <w:szCs w:val="22"/>
        </w:rPr>
        <w:t>“ARTÍCULO 220 K.-</w:t>
      </w:r>
      <w:r w:rsidRPr="00EA21B5">
        <w:rPr>
          <w:rFonts w:ascii="Palatino Linotype" w:hAnsi="Palatino Linotype"/>
          <w:i/>
          <w:iCs/>
          <w:sz w:val="22"/>
          <w:szCs w:val="22"/>
        </w:rPr>
        <w:t xml:space="preserve"> La institución o dependencia pública tiene la obligación de conservar y exhibir en el proceso los documentos que a continuación se precisan:</w:t>
      </w:r>
    </w:p>
    <w:p w14:paraId="4E034F08"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w:t>
      </w:r>
    </w:p>
    <w:p w14:paraId="6FFBC450"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b/>
          <w:bCs/>
          <w:i/>
          <w:iCs/>
          <w:sz w:val="22"/>
          <w:szCs w:val="22"/>
        </w:rPr>
        <w:t>II. Recibos de pagos de salarios o las constancias documentales del pago de salario cuando sea por depósito o mediante información electrónica; “</w:t>
      </w:r>
    </w:p>
    <w:p w14:paraId="28A72C2C" w14:textId="77777777" w:rsidR="00D91F65" w:rsidRPr="00EA21B5" w:rsidRDefault="00D91F65" w:rsidP="00D91F65">
      <w:pPr>
        <w:spacing w:line="360" w:lineRule="auto"/>
        <w:rPr>
          <w:rFonts w:ascii="Palatino Linotype" w:hAnsi="Palatino Linotype"/>
          <w:sz w:val="22"/>
          <w:szCs w:val="22"/>
        </w:rPr>
      </w:pPr>
    </w:p>
    <w:p w14:paraId="3056583F"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lastRenderedPageBreak/>
        <w:t>Del anterior precepto legal,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7B842E91" w14:textId="77777777" w:rsidR="00D91F65" w:rsidRPr="00EA21B5" w:rsidRDefault="00D91F65" w:rsidP="00D91F65">
      <w:pPr>
        <w:spacing w:line="360" w:lineRule="auto"/>
        <w:rPr>
          <w:rFonts w:ascii="Palatino Linotype" w:hAnsi="Palatino Linotype"/>
          <w:sz w:val="22"/>
          <w:szCs w:val="22"/>
        </w:rPr>
      </w:pPr>
    </w:p>
    <w:p w14:paraId="18FB6E09"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Aunado a lo anterior, es necesario destacar que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00B8FE67" w14:textId="77777777" w:rsidR="00D91F65" w:rsidRPr="00EA21B5" w:rsidRDefault="00D91F65" w:rsidP="00D91F65">
      <w:pPr>
        <w:spacing w:line="360" w:lineRule="auto"/>
        <w:rPr>
          <w:rFonts w:ascii="Palatino Linotype" w:hAnsi="Palatino Linotype"/>
          <w:sz w:val="22"/>
          <w:szCs w:val="22"/>
        </w:rPr>
      </w:pPr>
    </w:p>
    <w:p w14:paraId="5404728F"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Artículo 342</w:t>
      </w:r>
      <w:r w:rsidRPr="00EA21B5">
        <w:rPr>
          <w:rFonts w:ascii="Palatino Linotype" w:hAnsi="Palatino Linotype"/>
          <w:i/>
          <w:iCs/>
          <w:sz w:val="22"/>
          <w:szCs w:val="22"/>
        </w:rPr>
        <w:t>.-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9ABBA2E"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5C126108" w14:textId="77777777" w:rsidR="00D91F65" w:rsidRPr="00EA21B5" w:rsidRDefault="00D91F65" w:rsidP="00D91F65">
      <w:pPr>
        <w:ind w:left="567" w:right="616"/>
        <w:rPr>
          <w:rFonts w:ascii="Palatino Linotype" w:hAnsi="Palatino Linotype"/>
          <w:sz w:val="22"/>
          <w:szCs w:val="22"/>
        </w:rPr>
      </w:pPr>
    </w:p>
    <w:p w14:paraId="48216671"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b/>
          <w:bCs/>
          <w:i/>
          <w:iCs/>
          <w:sz w:val="22"/>
          <w:szCs w:val="22"/>
        </w:rPr>
        <w:t>Artículo 343.-</w:t>
      </w:r>
      <w:r w:rsidRPr="00EA21B5">
        <w:rPr>
          <w:rFonts w:ascii="Palatino Linotype" w:hAnsi="Palatino Linotype"/>
          <w:i/>
          <w:iCs/>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las normas emitidas por el Consejo Nacional de Armonización Contable.</w:t>
      </w:r>
    </w:p>
    <w:p w14:paraId="4463E487" w14:textId="77777777" w:rsidR="00D91F65" w:rsidRPr="00EA21B5" w:rsidRDefault="00D91F65" w:rsidP="00D91F65">
      <w:pPr>
        <w:ind w:left="567" w:right="616"/>
        <w:rPr>
          <w:rFonts w:ascii="Palatino Linotype" w:hAnsi="Palatino Linotype"/>
          <w:sz w:val="22"/>
          <w:szCs w:val="22"/>
        </w:rPr>
      </w:pPr>
    </w:p>
    <w:p w14:paraId="4742E2F6"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b/>
          <w:bCs/>
          <w:i/>
          <w:iCs/>
          <w:sz w:val="22"/>
          <w:szCs w:val="22"/>
        </w:rPr>
        <w:t>Artículo 344.-</w:t>
      </w:r>
      <w:r w:rsidRPr="00EA21B5">
        <w:rPr>
          <w:rFonts w:ascii="Palatino Linotype" w:hAnsi="Palatino Linotype"/>
          <w:i/>
          <w:iCs/>
          <w:sz w:val="22"/>
          <w:szCs w:val="22"/>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6C09E1FD"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lastRenderedPageBreak/>
        <w:t>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14:paraId="522F92F5"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t>Tratándose de documentos de carácter histórico, se estará a lo dispuesto por la legislación de la materia.</w:t>
      </w:r>
      <w:r w:rsidRPr="00EA21B5">
        <w:rPr>
          <w:rFonts w:ascii="Palatino Linotype" w:hAnsi="Palatino Linotype"/>
          <w:b/>
          <w:bCs/>
          <w:i/>
          <w:iCs/>
          <w:sz w:val="22"/>
          <w:szCs w:val="22"/>
        </w:rPr>
        <w:t> </w:t>
      </w:r>
    </w:p>
    <w:p w14:paraId="06259826" w14:textId="77777777" w:rsidR="00D91F65" w:rsidRPr="00EA21B5" w:rsidRDefault="00D91F65" w:rsidP="00D91F65">
      <w:pPr>
        <w:ind w:left="567" w:right="616"/>
        <w:rPr>
          <w:rFonts w:ascii="Palatino Linotype" w:hAnsi="Palatino Linotype"/>
          <w:sz w:val="22"/>
          <w:szCs w:val="22"/>
        </w:rPr>
      </w:pPr>
    </w:p>
    <w:p w14:paraId="6B4AA6CB"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b/>
          <w:bCs/>
          <w:i/>
          <w:iCs/>
          <w:sz w:val="22"/>
          <w:szCs w:val="22"/>
        </w:rPr>
        <w:t>Artículo 345</w:t>
      </w:r>
      <w:r w:rsidRPr="00EA21B5">
        <w:rPr>
          <w:rFonts w:ascii="Palatino Linotype" w:hAnsi="Palatino Linotype"/>
          <w:i/>
          <w:iCs/>
          <w:sz w:val="22"/>
          <w:szCs w:val="22"/>
        </w:rPr>
        <w:t>.-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29EDB468"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14:paraId="1F2EBA99" w14:textId="77777777" w:rsidR="00D91F65" w:rsidRPr="00EA21B5" w:rsidRDefault="00D91F65" w:rsidP="00D91F65">
      <w:pPr>
        <w:pStyle w:val="NormalWeb"/>
        <w:spacing w:before="0" w:beforeAutospacing="0" w:after="0" w:afterAutospacing="0"/>
        <w:ind w:left="567" w:right="616"/>
        <w:jc w:val="both"/>
        <w:rPr>
          <w:rFonts w:ascii="Palatino Linotype" w:hAnsi="Palatino Linotype"/>
          <w:sz w:val="22"/>
          <w:szCs w:val="22"/>
        </w:rPr>
      </w:pPr>
      <w:r w:rsidRPr="00EA21B5">
        <w:rPr>
          <w:rFonts w:ascii="Palatino Linotype" w:hAnsi="Palatino Linotype"/>
          <w:i/>
          <w:iCs/>
          <w:sz w:val="22"/>
          <w:szCs w:val="22"/>
        </w:rPr>
        <w:t>El plazo señalado en este artículo empezará a contar a partir de la publicación en el Periódico Oficial, del decreto correspondiente.”</w:t>
      </w:r>
    </w:p>
    <w:p w14:paraId="5EB937A0" w14:textId="77777777" w:rsidR="00D91F65" w:rsidRPr="00EA21B5" w:rsidRDefault="00D91F65" w:rsidP="00D91F65">
      <w:pPr>
        <w:spacing w:line="360" w:lineRule="auto"/>
        <w:rPr>
          <w:rFonts w:ascii="Palatino Linotype" w:hAnsi="Palatino Linotype"/>
          <w:sz w:val="22"/>
          <w:szCs w:val="22"/>
        </w:rPr>
      </w:pPr>
    </w:p>
    <w:p w14:paraId="0297F03C"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 xml:space="preserve">De una interpretación sistemática de los artículos transcritos se </w:t>
      </w:r>
      <w:proofErr w:type="gramStart"/>
      <w:r w:rsidRPr="00EA21B5">
        <w:rPr>
          <w:rFonts w:ascii="Palatino Linotype" w:hAnsi="Palatino Linotype"/>
          <w:sz w:val="22"/>
          <w:szCs w:val="22"/>
        </w:rPr>
        <w:t>desprende</w:t>
      </w:r>
      <w:proofErr w:type="gramEnd"/>
      <w:r w:rsidRPr="00EA21B5">
        <w:rPr>
          <w:rFonts w:ascii="Palatino Linotype" w:hAnsi="Palatino Linotype"/>
          <w:sz w:val="22"/>
          <w:szCs w:val="22"/>
        </w:rPr>
        <w:t xml:space="preserv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19E7F1FC" w14:textId="77777777" w:rsidR="00D91F65" w:rsidRPr="00EA21B5" w:rsidRDefault="00D91F65" w:rsidP="00D91F65">
      <w:pPr>
        <w:spacing w:line="360" w:lineRule="auto"/>
        <w:rPr>
          <w:rFonts w:ascii="Palatino Linotype" w:hAnsi="Palatino Linotype"/>
          <w:sz w:val="22"/>
          <w:szCs w:val="22"/>
        </w:rPr>
      </w:pPr>
    </w:p>
    <w:p w14:paraId="723B0F43"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lastRenderedPageBreak/>
        <w:t>Cabe destacar, que el ordenamiento legal en cita establece que todo registro contable y presupuestal deberá estar soportado con los documentos comprobatorios originales, los que deberán permanecer en custodia y conservación de las unidades administrativas competentes.</w:t>
      </w:r>
    </w:p>
    <w:p w14:paraId="5EC56F74" w14:textId="77777777" w:rsidR="00D91F65" w:rsidRPr="00EA21B5" w:rsidRDefault="00D91F65" w:rsidP="00D91F65">
      <w:pPr>
        <w:spacing w:line="360" w:lineRule="auto"/>
        <w:rPr>
          <w:rFonts w:ascii="Palatino Linotype" w:hAnsi="Palatino Linotype"/>
          <w:sz w:val="22"/>
          <w:szCs w:val="22"/>
        </w:rPr>
      </w:pPr>
    </w:p>
    <w:p w14:paraId="5751A78E"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También es importante señalar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295DA6F" w14:textId="77777777" w:rsidR="00D91F65" w:rsidRPr="00EA21B5" w:rsidRDefault="00D91F65" w:rsidP="00D91F65">
      <w:pPr>
        <w:spacing w:line="360" w:lineRule="auto"/>
        <w:rPr>
          <w:rFonts w:ascii="Palatino Linotype" w:hAnsi="Palatino Linotype"/>
          <w:sz w:val="22"/>
          <w:szCs w:val="22"/>
        </w:rPr>
      </w:pPr>
    </w:p>
    <w:p w14:paraId="79E9CB15"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REGISTRO CONTABLE </w:t>
      </w:r>
    </w:p>
    <w:p w14:paraId="1920E116"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Asiento que se realiza en los libros de contabilidad de las actividades relacionadas con el ingreso y egresos de un ente económico.”</w:t>
      </w:r>
    </w:p>
    <w:p w14:paraId="1D67D798" w14:textId="77777777" w:rsidR="00D91F65" w:rsidRPr="00EA21B5" w:rsidRDefault="00D91F65" w:rsidP="00D91F65">
      <w:pPr>
        <w:rPr>
          <w:rFonts w:ascii="Palatino Linotype" w:hAnsi="Palatino Linotype"/>
          <w:sz w:val="22"/>
          <w:szCs w:val="22"/>
        </w:rPr>
      </w:pPr>
    </w:p>
    <w:p w14:paraId="33C6AA73"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REGISTRO PRESUPUESTARIO</w:t>
      </w:r>
    </w:p>
    <w:p w14:paraId="6785DB83"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15431359" w14:textId="77777777" w:rsidR="00D91F65" w:rsidRPr="00EA21B5" w:rsidRDefault="00D91F65" w:rsidP="00D91F65">
      <w:pPr>
        <w:spacing w:line="360" w:lineRule="auto"/>
        <w:rPr>
          <w:rFonts w:ascii="Palatino Linotype" w:hAnsi="Palatino Linotype"/>
          <w:sz w:val="22"/>
          <w:szCs w:val="22"/>
        </w:rPr>
      </w:pPr>
    </w:p>
    <w:p w14:paraId="494A003E"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 xml:space="preserve">Aunado a lo establecido en el Código Financiero del Estado de México y Municipios, el treinta y uno de diciembre de dos mil ocho, se publicó  en el Diario Oficial de la Federación la Ley General de Contabilidad Gubernamental, la cual tiene como objeto establecer los criterios generales que regirán la Contabilidad Gubernamental y la emisión de información financiera de los entes públicos, con el fin de lograr su adecuada armonización, para facilitar a los entes </w:t>
      </w:r>
      <w:r w:rsidRPr="00EA21B5">
        <w:rPr>
          <w:rFonts w:ascii="Palatino Linotype" w:hAnsi="Palatino Linotype"/>
          <w:sz w:val="22"/>
          <w:szCs w:val="22"/>
        </w:rPr>
        <w:lastRenderedPageBreak/>
        <w:t>públicos el registro y la fiscalización de los activos, pasivos, ingresos y gastos y, en general, contribuir a medir la eficacia, economía y eficiencia del gasto e ingreso públicos.</w:t>
      </w:r>
    </w:p>
    <w:p w14:paraId="36F82C3B" w14:textId="77777777" w:rsidR="00D91F65" w:rsidRPr="00EA21B5" w:rsidRDefault="00D91F65" w:rsidP="00D91F65">
      <w:pPr>
        <w:spacing w:line="360" w:lineRule="auto"/>
        <w:rPr>
          <w:rFonts w:ascii="Palatino Linotype" w:hAnsi="Palatino Linotype"/>
          <w:sz w:val="22"/>
          <w:szCs w:val="22"/>
        </w:rPr>
      </w:pPr>
    </w:p>
    <w:p w14:paraId="69C5A7E0" w14:textId="77777777" w:rsidR="00D91F65" w:rsidRPr="00EA21B5" w:rsidRDefault="00D91F65" w:rsidP="00D91F65">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5EC63169" w14:textId="77777777" w:rsidR="00D91F65" w:rsidRPr="00EA21B5" w:rsidRDefault="00D91F65" w:rsidP="00D91F65">
      <w:pPr>
        <w:spacing w:line="360" w:lineRule="auto"/>
        <w:rPr>
          <w:rFonts w:ascii="Palatino Linotype" w:hAnsi="Palatino Linotype"/>
          <w:sz w:val="22"/>
          <w:szCs w:val="22"/>
        </w:rPr>
      </w:pPr>
    </w:p>
    <w:p w14:paraId="74627EB4" w14:textId="77777777" w:rsidR="00D91F65" w:rsidRPr="00EA21B5" w:rsidRDefault="00D91F65" w:rsidP="00D91F65">
      <w:pPr>
        <w:pStyle w:val="NormalWeb"/>
        <w:spacing w:before="0" w:beforeAutospacing="0" w:after="280" w:afterAutospacing="0" w:line="360" w:lineRule="auto"/>
        <w:jc w:val="both"/>
        <w:rPr>
          <w:rFonts w:ascii="Palatino Linotype" w:hAnsi="Palatino Linotype"/>
          <w:sz w:val="22"/>
          <w:szCs w:val="22"/>
        </w:rPr>
      </w:pPr>
      <w:r w:rsidRPr="00EA21B5">
        <w:rPr>
          <w:rFonts w:ascii="Palatino Linotype" w:hAnsi="Palatino Linotype"/>
          <w:sz w:val="22"/>
          <w:szCs w:val="22"/>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1A3BF5F" w14:textId="77777777" w:rsidR="00D91F65" w:rsidRPr="00EA21B5" w:rsidRDefault="00D91F65" w:rsidP="00D91F65">
      <w:pPr>
        <w:pStyle w:val="NormalWeb"/>
        <w:spacing w:before="0" w:beforeAutospacing="0" w:after="0" w:afterAutospacing="0"/>
        <w:ind w:left="851" w:right="822"/>
        <w:jc w:val="center"/>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Criterio 01/2003.</w:t>
      </w:r>
    </w:p>
    <w:p w14:paraId="01F15C48" w14:textId="77777777" w:rsidR="00D91F65" w:rsidRPr="00EA21B5" w:rsidRDefault="00D91F65" w:rsidP="00D91F65">
      <w:pPr>
        <w:rPr>
          <w:rFonts w:ascii="Palatino Linotype" w:hAnsi="Palatino Linotype"/>
          <w:sz w:val="22"/>
          <w:szCs w:val="22"/>
        </w:rPr>
      </w:pPr>
    </w:p>
    <w:p w14:paraId="236DF58D"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 xml:space="preserve">INGRESOS DE LOS SERVIDORES PÚBLICOS. CONSTITUYEN INFORMACIÓN PÚBLICA AÚN Y CUANDO SU DIFUSIÓN PUEDE AFECTAR LA VIDA O LA SEGURIDAD DE AQUELLOS. </w:t>
      </w:r>
      <w:r w:rsidRPr="00EA21B5">
        <w:rPr>
          <w:rFonts w:ascii="Palatino Linotype" w:hAnsi="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EA21B5">
        <w:rPr>
          <w:rFonts w:ascii="Palatino Linotype" w:hAnsi="Palatino Linotype"/>
          <w:i/>
          <w:iCs/>
          <w:sz w:val="22"/>
          <w:szCs w:val="22"/>
        </w:rPr>
        <w:lastRenderedPageBreak/>
        <w:t xml:space="preserve">relativa a las percepciones ordinarias y extraordinaria de los servidores públicos, ello no obsta para reconocer que el legislador estableció en el artículo 7 de ese mismo ordenamiento que la referida información, como una obligación de trasparencia, </w:t>
      </w:r>
      <w:r w:rsidRPr="00EA21B5">
        <w:rPr>
          <w:rFonts w:ascii="Palatino Linotype" w:hAnsi="Palatino Linotype"/>
          <w:b/>
          <w:bCs/>
          <w:i/>
          <w:iCs/>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21B5">
        <w:rPr>
          <w:rFonts w:ascii="Palatino Linotype" w:hAnsi="Palatino Linotype"/>
          <w:i/>
          <w:iCs/>
          <w:sz w:val="22"/>
          <w:szCs w:val="22"/>
        </w:rPr>
        <w:t>…”</w:t>
      </w:r>
    </w:p>
    <w:p w14:paraId="4C71D476" w14:textId="77777777" w:rsidR="00D91F65" w:rsidRPr="00EA21B5" w:rsidRDefault="00D91F65" w:rsidP="00D91F65">
      <w:pPr>
        <w:rPr>
          <w:rFonts w:ascii="Palatino Linotype" w:hAnsi="Palatino Linotype"/>
          <w:sz w:val="22"/>
          <w:szCs w:val="22"/>
        </w:rPr>
      </w:pPr>
    </w:p>
    <w:p w14:paraId="45F080D4"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Criterio 02/2003.</w:t>
      </w:r>
    </w:p>
    <w:p w14:paraId="368B31F6" w14:textId="77777777" w:rsidR="00D91F65" w:rsidRPr="00EA21B5" w:rsidRDefault="00D91F65" w:rsidP="00D91F65">
      <w:pPr>
        <w:rPr>
          <w:rFonts w:ascii="Palatino Linotype" w:hAnsi="Palatino Linotype"/>
          <w:sz w:val="22"/>
          <w:szCs w:val="22"/>
        </w:rPr>
      </w:pPr>
    </w:p>
    <w:p w14:paraId="15088841"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b/>
          <w:bCs/>
          <w:i/>
          <w:iCs/>
          <w:sz w:val="22"/>
          <w:szCs w:val="22"/>
        </w:rPr>
        <w:t>INGRESOS DE LOS SERVIDORES PÚBLICOS, SON INFORMACIÓN PÚBLICA AÚN Y CUANDO CONSTITUYEN DATOS PERSONALES QUE SE REFIEREN AL PATRIMONIO DE AQUÉLLOS</w:t>
      </w:r>
      <w:r w:rsidRPr="00EA21B5">
        <w:rPr>
          <w:rFonts w:ascii="Palatino Linotype" w:hAnsi="Palatino Linotype"/>
          <w:i/>
          <w:iCs/>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A21B5">
        <w:rPr>
          <w:rFonts w:ascii="Palatino Linotype" w:hAnsi="Palatino Linotype"/>
          <w:b/>
          <w:bCs/>
          <w:i/>
          <w:iCs/>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EA21B5">
        <w:rPr>
          <w:rFonts w:ascii="Palatino Linotype" w:hAnsi="Palatino Linotype"/>
          <w:i/>
          <w:iCs/>
          <w:sz w:val="22"/>
          <w:szCs w:val="22"/>
        </w:rPr>
        <w:t>”</w:t>
      </w:r>
    </w:p>
    <w:p w14:paraId="035FEFF2" w14:textId="77777777" w:rsidR="00D91F65" w:rsidRPr="00EA21B5" w:rsidRDefault="00D91F65" w:rsidP="00D91F65">
      <w:pPr>
        <w:pStyle w:val="NormalWeb"/>
        <w:spacing w:before="0" w:beforeAutospacing="0" w:after="0" w:afterAutospacing="0"/>
        <w:ind w:left="567" w:right="567"/>
        <w:jc w:val="both"/>
        <w:rPr>
          <w:rFonts w:ascii="Palatino Linotype" w:hAnsi="Palatino Linotype"/>
          <w:sz w:val="22"/>
          <w:szCs w:val="22"/>
        </w:rPr>
      </w:pPr>
      <w:r w:rsidRPr="00EA21B5">
        <w:rPr>
          <w:rFonts w:ascii="Palatino Linotype" w:hAnsi="Palatino Linotype"/>
          <w:i/>
          <w:iCs/>
          <w:sz w:val="22"/>
          <w:szCs w:val="22"/>
        </w:rPr>
        <w:t>(Énfasis añadido)</w:t>
      </w:r>
    </w:p>
    <w:p w14:paraId="1284D196" w14:textId="77777777" w:rsidR="00D91F65" w:rsidRPr="00EA21B5" w:rsidRDefault="00D91F65" w:rsidP="00D91F65">
      <w:pPr>
        <w:spacing w:after="240" w:line="360" w:lineRule="auto"/>
        <w:ind w:right="49"/>
        <w:jc w:val="both"/>
        <w:rPr>
          <w:rFonts w:ascii="Palatino Linotype" w:hAnsi="Palatino Linotype"/>
          <w:sz w:val="22"/>
          <w:szCs w:val="22"/>
        </w:rPr>
      </w:pPr>
    </w:p>
    <w:p w14:paraId="0C692397" w14:textId="77777777" w:rsidR="00D91F65" w:rsidRPr="00EA21B5" w:rsidRDefault="00D91F65" w:rsidP="00D91F65">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Por lo que, al tratarse del documento que contiene información relativa a las remuneraciones del servidor público por la relación laboral que mantiene con el Ayuntamiento de Chalco, es información de naturaleza pública.</w:t>
      </w:r>
    </w:p>
    <w:p w14:paraId="3886FEE5" w14:textId="77777777" w:rsidR="00D91F65" w:rsidRPr="00EA21B5" w:rsidRDefault="00D91F65" w:rsidP="00D91F65">
      <w:pPr>
        <w:spacing w:line="360" w:lineRule="auto"/>
        <w:jc w:val="both"/>
        <w:rPr>
          <w:rFonts w:ascii="Palatino Linotype" w:eastAsia="Palatino Linotype" w:hAnsi="Palatino Linotype" w:cs="Palatino Linotype"/>
          <w:sz w:val="22"/>
          <w:szCs w:val="22"/>
        </w:rPr>
      </w:pPr>
    </w:p>
    <w:p w14:paraId="2DED6305" w14:textId="77777777" w:rsidR="00D91F65" w:rsidRPr="00EA21B5" w:rsidRDefault="00D91F65" w:rsidP="00D91F65">
      <w:pPr>
        <w:spacing w:line="360" w:lineRule="auto"/>
        <w:jc w:val="both"/>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t>Obras Públicas.</w:t>
      </w:r>
    </w:p>
    <w:p w14:paraId="06FC89C4" w14:textId="77777777" w:rsidR="00C06FC1" w:rsidRPr="00EA21B5" w:rsidRDefault="00C06FC1" w:rsidP="00C06FC1">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 </w:t>
      </w:r>
    </w:p>
    <w:p w14:paraId="213DDA9A" w14:textId="77777777" w:rsidR="005B3916" w:rsidRPr="00EA21B5" w:rsidRDefault="005B3916" w:rsidP="005B391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El </w:t>
      </w:r>
      <w:r w:rsidRPr="00EA21B5">
        <w:rPr>
          <w:rFonts w:ascii="Palatino Linotype" w:eastAsia="Palatino Linotype" w:hAnsi="Palatino Linotype" w:cs="Palatino Linotype"/>
          <w:b/>
          <w:sz w:val="22"/>
          <w:szCs w:val="22"/>
        </w:rPr>
        <w:t xml:space="preserve">Sujeto Obligado </w:t>
      </w:r>
      <w:r w:rsidRPr="00EA21B5">
        <w:rPr>
          <w:rFonts w:ascii="Palatino Linotype" w:eastAsia="Palatino Linotype" w:hAnsi="Palatino Linotype" w:cs="Palatino Linotype"/>
          <w:sz w:val="22"/>
          <w:szCs w:val="22"/>
        </w:rPr>
        <w:t>tiene la facultad para celebrar contratos por la realización de obra pública, estos se realizan en función del Programa Anual de Obra, documento que forma parte del Presupuesto de Egresos Municipal,  cuya versión definitiva se promulga y publica en la "Gaceta Municipal”, por la Presidenta o el Presidente Municipal</w:t>
      </w:r>
      <w:r w:rsidRPr="00EA21B5">
        <w:rPr>
          <w:rFonts w:ascii="Palatino Linotype" w:eastAsia="Palatino Linotype" w:hAnsi="Palatino Linotype" w:cs="Palatino Linotype"/>
          <w:b/>
          <w:sz w:val="22"/>
          <w:szCs w:val="22"/>
        </w:rPr>
        <w:t>,  a más tardar el día veinticinco de febrero de cada año</w:t>
      </w:r>
      <w:r w:rsidRPr="00EA21B5">
        <w:rPr>
          <w:rFonts w:ascii="Palatino Linotype" w:eastAsia="Palatino Linotype" w:hAnsi="Palatino Linotype" w:cs="Palatino Linotype"/>
          <w:sz w:val="22"/>
          <w:szCs w:val="22"/>
        </w:rPr>
        <w:t>,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5CF81AD6" w14:textId="77777777" w:rsidR="005B3916" w:rsidRPr="00EA21B5" w:rsidRDefault="005B3916" w:rsidP="005B3916">
      <w:pPr>
        <w:spacing w:before="120" w:after="120"/>
        <w:ind w:left="851"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Artículo 125</w:t>
      </w:r>
      <w:r w:rsidRPr="00EA21B5">
        <w:rPr>
          <w:rFonts w:ascii="Palatino Linotype" w:eastAsia="Palatino Linotype" w:hAnsi="Palatino Linotype" w:cs="Palatino Linotype"/>
          <w:i/>
          <w:sz w:val="22"/>
          <w:szCs w:val="22"/>
        </w:rPr>
        <w:t>...</w:t>
      </w:r>
    </w:p>
    <w:p w14:paraId="352A7C3A" w14:textId="77777777" w:rsidR="005B3916" w:rsidRPr="00EA21B5" w:rsidRDefault="005B3916" w:rsidP="005B3916">
      <w:pPr>
        <w:spacing w:before="120" w:after="120"/>
        <w:ind w:left="851"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EA21B5">
        <w:rPr>
          <w:rFonts w:ascii="Palatino Linotype" w:eastAsia="Palatino Linotype" w:hAnsi="Palatino Linotype" w:cs="Palatino Linotype"/>
          <w:b/>
          <w:i/>
          <w:sz w:val="22"/>
          <w:szCs w:val="22"/>
        </w:rPr>
        <w:t xml:space="preserve">La </w:t>
      </w:r>
      <w:proofErr w:type="gramStart"/>
      <w:r w:rsidRPr="00EA21B5">
        <w:rPr>
          <w:rFonts w:ascii="Palatino Linotype" w:eastAsia="Palatino Linotype" w:hAnsi="Palatino Linotype" w:cs="Palatino Linotype"/>
          <w:b/>
          <w:i/>
          <w:sz w:val="22"/>
          <w:szCs w:val="22"/>
        </w:rPr>
        <w:t>Presidenta</w:t>
      </w:r>
      <w:proofErr w:type="gramEnd"/>
      <w:r w:rsidRPr="00EA21B5">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39EC99E8" w14:textId="77777777" w:rsidR="005B3916" w:rsidRPr="00EA21B5" w:rsidRDefault="005B3916" w:rsidP="005B3916">
      <w:pPr>
        <w:spacing w:before="120" w:after="120"/>
        <w:ind w:left="851"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351</w:t>
      </w:r>
      <w:r w:rsidRPr="00EA21B5">
        <w:rPr>
          <w:rFonts w:ascii="Palatino Linotype" w:eastAsia="Palatino Linotype" w:hAnsi="Palatino Linotype" w:cs="Palatino Linotype"/>
          <w:i/>
          <w:sz w:val="22"/>
          <w:szCs w:val="22"/>
        </w:rPr>
        <w:t>...</w:t>
      </w:r>
    </w:p>
    <w:p w14:paraId="44D93525" w14:textId="77777777" w:rsidR="005B3916" w:rsidRPr="00EA21B5" w:rsidRDefault="005B3916" w:rsidP="005B3916">
      <w:pPr>
        <w:spacing w:before="120" w:after="120"/>
        <w:ind w:left="851"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EA21B5">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EA21B5">
        <w:rPr>
          <w:rFonts w:ascii="Palatino Linotype" w:eastAsia="Palatino Linotype" w:hAnsi="Palatino Linotype" w:cs="Palatino Linotype"/>
          <w:b/>
          <w:i/>
          <w:sz w:val="22"/>
          <w:szCs w:val="22"/>
        </w:rPr>
        <w:t>a más tardar el 25 de febrero del año para el cual habrá de aplicar dicho presupuesto.”</w:t>
      </w:r>
    </w:p>
    <w:p w14:paraId="5BD89A71" w14:textId="77777777" w:rsidR="005B3916" w:rsidRPr="00EA21B5" w:rsidRDefault="005B3916" w:rsidP="005B3916">
      <w:pPr>
        <w:spacing w:before="120" w:after="120"/>
        <w:ind w:left="851"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“Artículo 47</w:t>
      </w:r>
      <w:r w:rsidRPr="00EA21B5">
        <w:rPr>
          <w:rFonts w:ascii="Palatino Linotype" w:eastAsia="Palatino Linotype" w:hAnsi="Palatino Linotype" w:cs="Palatino Linotype"/>
          <w:i/>
          <w:sz w:val="22"/>
          <w:szCs w:val="22"/>
        </w:rPr>
        <w:t xml:space="preserve">.- Los </w:t>
      </w:r>
      <w:proofErr w:type="gramStart"/>
      <w:r w:rsidRPr="00EA21B5">
        <w:rPr>
          <w:rFonts w:ascii="Palatino Linotype" w:eastAsia="Palatino Linotype" w:hAnsi="Palatino Linotype" w:cs="Palatino Linotype"/>
          <w:i/>
          <w:sz w:val="22"/>
          <w:szCs w:val="22"/>
        </w:rPr>
        <w:t>Presidentes</w:t>
      </w:r>
      <w:proofErr w:type="gramEnd"/>
      <w:r w:rsidRPr="00EA21B5">
        <w:rPr>
          <w:rFonts w:ascii="Palatino Linotype" w:eastAsia="Palatino Linotype" w:hAnsi="Palatino Linotype" w:cs="Palatino Linotype"/>
          <w:i/>
          <w:sz w:val="22"/>
          <w:szCs w:val="22"/>
        </w:rPr>
        <w:t xml:space="preserve"> Municipales y los Síndicos estarán obligados a </w:t>
      </w:r>
      <w:r w:rsidRPr="00EA21B5">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EA21B5">
        <w:rPr>
          <w:rFonts w:ascii="Palatino Linotype" w:eastAsia="Palatino Linotype" w:hAnsi="Palatino Linotype" w:cs="Palatino Linotype"/>
          <w:i/>
          <w:sz w:val="22"/>
          <w:szCs w:val="22"/>
        </w:rPr>
        <w:t>correspondiente.”</w:t>
      </w:r>
    </w:p>
    <w:p w14:paraId="1FA9BE44" w14:textId="77777777" w:rsidR="005B3916" w:rsidRPr="00EA21B5" w:rsidRDefault="005B3916" w:rsidP="005B3916">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Entre los formatos que integran el Presupuesto de Egresos aprobado, de conformidad con el numeral 3.4.1 del Manual para la Planeación, Programación y Presupuesto de Egresos </w:t>
      </w:r>
      <w:r w:rsidRPr="00EA21B5">
        <w:rPr>
          <w:rFonts w:ascii="Palatino Linotype" w:eastAsia="Palatino Linotype" w:hAnsi="Palatino Linotype" w:cs="Palatino Linotype"/>
          <w:sz w:val="22"/>
          <w:szCs w:val="22"/>
        </w:rPr>
        <w:lastRenderedPageBreak/>
        <w:t xml:space="preserve">Municipal, se encuentra el </w:t>
      </w:r>
      <w:r w:rsidRPr="00EA21B5">
        <w:rPr>
          <w:rFonts w:ascii="Palatino Linotype" w:eastAsia="Palatino Linotype" w:hAnsi="Palatino Linotype" w:cs="Palatino Linotype"/>
          <w:b/>
          <w:sz w:val="22"/>
          <w:szCs w:val="22"/>
        </w:rPr>
        <w:t xml:space="preserve">PbRM-07a Programa Anual de Obra </w:t>
      </w:r>
      <w:r w:rsidRPr="00EA21B5">
        <w:rPr>
          <w:rFonts w:ascii="Palatino Linotype" w:eastAsia="Palatino Linotype" w:hAnsi="Palatino Linotype" w:cs="Palatino Linotype"/>
          <w:sz w:val="22"/>
          <w:szCs w:val="22"/>
        </w:rPr>
        <w:t xml:space="preserve">y el </w:t>
      </w:r>
      <w:proofErr w:type="spellStart"/>
      <w:r w:rsidRPr="00EA21B5">
        <w:rPr>
          <w:rFonts w:ascii="Palatino Linotype" w:eastAsia="Palatino Linotype" w:hAnsi="Palatino Linotype" w:cs="Palatino Linotype"/>
          <w:b/>
          <w:sz w:val="22"/>
          <w:szCs w:val="22"/>
        </w:rPr>
        <w:t>PbRM</w:t>
      </w:r>
      <w:proofErr w:type="spellEnd"/>
      <w:r w:rsidRPr="00EA21B5">
        <w:rPr>
          <w:rFonts w:ascii="Palatino Linotype" w:eastAsia="Palatino Linotype" w:hAnsi="Palatino Linotype" w:cs="Palatino Linotype"/>
          <w:b/>
          <w:sz w:val="22"/>
          <w:szCs w:val="22"/>
        </w:rPr>
        <w:t xml:space="preserve"> 07b Programa anual de obra (reparaciones y mantenimientos),</w:t>
      </w:r>
      <w:r w:rsidRPr="00EA21B5">
        <w:rPr>
          <w:rFonts w:ascii="Palatino Linotype" w:eastAsia="Palatino Linotype" w:hAnsi="Palatino Linotype" w:cs="Palatino Linotype"/>
          <w:sz w:val="22"/>
          <w:szCs w:val="22"/>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14:paraId="4DF4E8AE" w14:textId="77777777" w:rsidR="005B3916" w:rsidRPr="00EA21B5" w:rsidRDefault="005B3916" w:rsidP="005B3916">
      <w:pPr>
        <w:spacing w:before="240" w:after="240" w:line="360" w:lineRule="auto"/>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drawing>
          <wp:inline distT="0" distB="0" distL="0" distR="0" wp14:anchorId="4373FB94" wp14:editId="5387454A">
            <wp:extent cx="5040000" cy="2908351"/>
            <wp:effectExtent l="0" t="0" r="0" b="0"/>
            <wp:docPr id="21401318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040000" cy="2908351"/>
                    </a:xfrm>
                    <a:prstGeom prst="rect">
                      <a:avLst/>
                    </a:prstGeom>
                    <a:ln/>
                  </pic:spPr>
                </pic:pic>
              </a:graphicData>
            </a:graphic>
          </wp:inline>
        </w:drawing>
      </w:r>
    </w:p>
    <w:p w14:paraId="478F3AF8" w14:textId="77777777" w:rsidR="005B3916" w:rsidRPr="00EA21B5" w:rsidRDefault="005B3916" w:rsidP="005B3916">
      <w:pPr>
        <w:spacing w:before="240" w:after="240" w:line="360" w:lineRule="auto"/>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lastRenderedPageBreak/>
        <w:drawing>
          <wp:inline distT="0" distB="0" distL="0" distR="0" wp14:anchorId="077A10A3" wp14:editId="70DCEE24">
            <wp:extent cx="4860000" cy="3463257"/>
            <wp:effectExtent l="0" t="0" r="0" b="0"/>
            <wp:docPr id="2140131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860000" cy="3463257"/>
                    </a:xfrm>
                    <a:prstGeom prst="rect">
                      <a:avLst/>
                    </a:prstGeom>
                    <a:ln/>
                  </pic:spPr>
                </pic:pic>
              </a:graphicData>
            </a:graphic>
          </wp:inline>
        </w:drawing>
      </w:r>
    </w:p>
    <w:p w14:paraId="5CD61B2D" w14:textId="77777777" w:rsidR="005B3916" w:rsidRPr="00EA21B5" w:rsidRDefault="005B3916" w:rsidP="005B3916">
      <w:pPr>
        <w:spacing w:before="240" w:after="240" w:line="360" w:lineRule="auto"/>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lastRenderedPageBreak/>
        <w:drawing>
          <wp:inline distT="0" distB="0" distL="0" distR="0" wp14:anchorId="66A8CC5E" wp14:editId="74B52490">
            <wp:extent cx="5040000" cy="3788839"/>
            <wp:effectExtent l="0" t="0" r="0" b="0"/>
            <wp:docPr id="2140131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40000" cy="3788839"/>
                    </a:xfrm>
                    <a:prstGeom prst="rect">
                      <a:avLst/>
                    </a:prstGeom>
                    <a:ln/>
                  </pic:spPr>
                </pic:pic>
              </a:graphicData>
            </a:graphic>
          </wp:inline>
        </w:drawing>
      </w:r>
    </w:p>
    <w:p w14:paraId="1CDD7A72" w14:textId="77777777" w:rsidR="005B3916" w:rsidRPr="00EA21B5" w:rsidRDefault="005B3916" w:rsidP="005B3916">
      <w:pPr>
        <w:spacing w:before="240" w:after="240" w:line="360" w:lineRule="auto"/>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drawing>
          <wp:inline distT="0" distB="0" distL="0" distR="0" wp14:anchorId="64489029" wp14:editId="4ECF6BCE">
            <wp:extent cx="4860000" cy="2765987"/>
            <wp:effectExtent l="0" t="0" r="0" b="0"/>
            <wp:docPr id="21401318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4860000" cy="2765987"/>
                    </a:xfrm>
                    <a:prstGeom prst="rect">
                      <a:avLst/>
                    </a:prstGeom>
                    <a:ln/>
                  </pic:spPr>
                </pic:pic>
              </a:graphicData>
            </a:graphic>
          </wp:inline>
        </w:drawing>
      </w:r>
    </w:p>
    <w:p w14:paraId="77AF2CDF"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De igual forma, el </w:t>
      </w:r>
      <w:r w:rsidRPr="00EA21B5">
        <w:rPr>
          <w:rFonts w:ascii="Palatino Linotype" w:eastAsia="Palatino Linotype" w:hAnsi="Palatino Linotype" w:cs="Palatino Linotype"/>
          <w:b/>
          <w:sz w:val="22"/>
          <w:szCs w:val="22"/>
        </w:rPr>
        <w:t xml:space="preserve">Sujeto Obligado </w:t>
      </w:r>
      <w:r w:rsidRPr="00EA21B5">
        <w:rPr>
          <w:rFonts w:ascii="Palatino Linotype" w:eastAsia="Palatino Linotype" w:hAnsi="Palatino Linotype" w:cs="Palatino Linotype"/>
          <w:sz w:val="22"/>
          <w:szCs w:val="22"/>
        </w:rPr>
        <w:t>se encuentra constreñido a entregar al Órgano Superior de Fiscalización del Estado de México, como parte de los informes trimestrales, el Avance del Programa Anal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16594F77"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avance del programa anual de obras, se encuentra contenida en el Módulo 2 Información Presupuestaria, Submódulo Información Presupuestal (Plataforma Digital), como se muestra a continuación:</w:t>
      </w:r>
    </w:p>
    <w:p w14:paraId="7B4A43CC" w14:textId="77777777" w:rsidR="005B3916" w:rsidRPr="00EA21B5" w:rsidRDefault="005B3916" w:rsidP="005B3916">
      <w:pPr>
        <w:spacing w:before="240" w:after="240" w:line="360" w:lineRule="auto"/>
        <w:ind w:right="49"/>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drawing>
          <wp:inline distT="0" distB="0" distL="0" distR="0" wp14:anchorId="0667A1CB" wp14:editId="50B6A80F">
            <wp:extent cx="5040000" cy="2482935"/>
            <wp:effectExtent l="0" t="0" r="0" b="0"/>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40000" cy="2482935"/>
                    </a:xfrm>
                    <a:prstGeom prst="rect">
                      <a:avLst/>
                    </a:prstGeom>
                    <a:ln/>
                  </pic:spPr>
                </pic:pic>
              </a:graphicData>
            </a:graphic>
          </wp:inline>
        </w:drawing>
      </w:r>
    </w:p>
    <w:p w14:paraId="6B17D275"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lastRenderedPageBreak/>
        <w:drawing>
          <wp:inline distT="0" distB="0" distL="0" distR="0" wp14:anchorId="0A5A33F3" wp14:editId="4187A55A">
            <wp:extent cx="5612130" cy="3495040"/>
            <wp:effectExtent l="0" t="0" r="0" b="0"/>
            <wp:docPr id="21401318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130" cy="3495040"/>
                    </a:xfrm>
                    <a:prstGeom prst="rect">
                      <a:avLst/>
                    </a:prstGeom>
                    <a:ln/>
                  </pic:spPr>
                </pic:pic>
              </a:graphicData>
            </a:graphic>
          </wp:inline>
        </w:drawing>
      </w:r>
      <w:r w:rsidRPr="00EA21B5">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0BDF50C1" wp14:editId="1129B48A">
                <wp:simplePos x="0" y="0"/>
                <wp:positionH relativeFrom="column">
                  <wp:posOffset>647700</wp:posOffset>
                </wp:positionH>
                <wp:positionV relativeFrom="paragraph">
                  <wp:posOffset>2997200</wp:posOffset>
                </wp:positionV>
                <wp:extent cx="4856591" cy="308445"/>
                <wp:effectExtent l="0" t="0" r="0" b="0"/>
                <wp:wrapNone/>
                <wp:docPr id="2140131833" name="Rectángulo 2140131833"/>
                <wp:cNvGraphicFramePr/>
                <a:graphic xmlns:a="http://schemas.openxmlformats.org/drawingml/2006/main">
                  <a:graphicData uri="http://schemas.microsoft.com/office/word/2010/wordprocessingShape">
                    <wps:wsp>
                      <wps:cNvSpPr/>
                      <wps:spPr>
                        <a:xfrm>
                          <a:off x="2936755" y="3644828"/>
                          <a:ext cx="4818491" cy="270345"/>
                        </a:xfrm>
                        <a:prstGeom prst="rect">
                          <a:avLst/>
                        </a:prstGeom>
                        <a:noFill/>
                        <a:ln w="38100" cap="flat" cmpd="sng">
                          <a:solidFill>
                            <a:srgbClr val="C00000"/>
                          </a:solidFill>
                          <a:prstDash val="solid"/>
                          <a:round/>
                          <a:headEnd type="none" w="sm" len="sm"/>
                          <a:tailEnd type="none" w="sm" len="sm"/>
                        </a:ln>
                      </wps:spPr>
                      <wps:txbx>
                        <w:txbxContent>
                          <w:p w14:paraId="298A84B7" w14:textId="77777777" w:rsidR="005B3916" w:rsidRDefault="005B3916" w:rsidP="005B391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5F9CAA3D" id="Rectángulo 2140131833" o:spid="_x0000_s1026" style="position:absolute;left:0;text-align:left;margin-left:51pt;margin-top:236pt;width:382.4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" filled="f" strokecolor="#c00000" strokeweight="3pt">
                <v:stroke startarrowwidth="narrow" startarrowlength="short" endarrowwidth="narrow" endarrowlength="short" joinstyle="round"/>
                <v:textbox inset="2.53958mm,2.53958mm,2.53958mm,2.53958mm">
                  <w:txbxContent>
                    <w:p w:rsidR="005B3916" w:rsidRDefault="005B3916" w:rsidP="005B3916">
                      <w:pPr>
                        <w:textDirection w:val="btLr"/>
                      </w:pPr>
                    </w:p>
                  </w:txbxContent>
                </v:textbox>
              </v:rect>
            </w:pict>
          </mc:Fallback>
        </mc:AlternateContent>
      </w:r>
    </w:p>
    <w:p w14:paraId="0BF1BB55" w14:textId="77777777" w:rsidR="005B3916" w:rsidRPr="00EA21B5" w:rsidRDefault="005B3916" w:rsidP="005B3916">
      <w:pPr>
        <w:spacing w:before="240" w:after="240" w:line="360" w:lineRule="auto"/>
        <w:ind w:right="49"/>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drawing>
          <wp:inline distT="0" distB="0" distL="0" distR="0" wp14:anchorId="07FFBCFF" wp14:editId="79023237">
            <wp:extent cx="5040000" cy="2837067"/>
            <wp:effectExtent l="0" t="0" r="0" b="0"/>
            <wp:docPr id="21401318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040000" cy="2837067"/>
                    </a:xfrm>
                    <a:prstGeom prst="rect">
                      <a:avLst/>
                    </a:prstGeom>
                    <a:ln/>
                  </pic:spPr>
                </pic:pic>
              </a:graphicData>
            </a:graphic>
          </wp:inline>
        </w:drawing>
      </w:r>
    </w:p>
    <w:p w14:paraId="53AC63D9" w14:textId="77777777" w:rsidR="005B3916" w:rsidRPr="00EA21B5" w:rsidRDefault="005B3916" w:rsidP="005B3916">
      <w:pPr>
        <w:spacing w:before="240" w:after="240" w:line="360" w:lineRule="auto"/>
        <w:ind w:right="49"/>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lastRenderedPageBreak/>
        <w:drawing>
          <wp:inline distT="0" distB="0" distL="0" distR="0" wp14:anchorId="644D4EEE" wp14:editId="04D9F07C">
            <wp:extent cx="5040000" cy="2616945"/>
            <wp:effectExtent l="0" t="0" r="0" b="0"/>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40000" cy="2616945"/>
                    </a:xfrm>
                    <a:prstGeom prst="rect">
                      <a:avLst/>
                    </a:prstGeom>
                    <a:ln/>
                  </pic:spPr>
                </pic:pic>
              </a:graphicData>
            </a:graphic>
          </wp:inline>
        </w:drawing>
      </w:r>
    </w:p>
    <w:p w14:paraId="177F6FF9" w14:textId="77777777" w:rsidR="005B3916" w:rsidRPr="00EA21B5" w:rsidRDefault="005B3916" w:rsidP="005B3916">
      <w:pPr>
        <w:spacing w:before="240" w:after="240" w:line="360" w:lineRule="auto"/>
        <w:ind w:right="49"/>
        <w:jc w:val="center"/>
        <w:rPr>
          <w:rFonts w:ascii="Palatino Linotype" w:eastAsia="Palatino Linotype" w:hAnsi="Palatino Linotype" w:cs="Palatino Linotype"/>
          <w:sz w:val="22"/>
          <w:szCs w:val="22"/>
        </w:rPr>
      </w:pPr>
      <w:r w:rsidRPr="00EA21B5">
        <w:rPr>
          <w:rFonts w:ascii="Palatino Linotype" w:eastAsia="Palatino Linotype" w:hAnsi="Palatino Linotype" w:cs="Palatino Linotype"/>
          <w:noProof/>
          <w:sz w:val="22"/>
          <w:szCs w:val="22"/>
        </w:rPr>
        <w:drawing>
          <wp:inline distT="0" distB="0" distL="0" distR="0" wp14:anchorId="37EB675D" wp14:editId="5CE93BF7">
            <wp:extent cx="5040000" cy="1949735"/>
            <wp:effectExtent l="0" t="0" r="0" b="0"/>
            <wp:docPr id="21401318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040000" cy="1949735"/>
                    </a:xfrm>
                    <a:prstGeom prst="rect">
                      <a:avLst/>
                    </a:prstGeom>
                    <a:ln/>
                  </pic:spPr>
                </pic:pic>
              </a:graphicData>
            </a:graphic>
          </wp:inline>
        </w:drawing>
      </w:r>
    </w:p>
    <w:p w14:paraId="0EF76BC4" w14:textId="77777777" w:rsidR="005B3916" w:rsidRPr="00EA21B5" w:rsidRDefault="005B3916" w:rsidP="005B3916">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EA21B5">
        <w:rPr>
          <w:rFonts w:ascii="Palatino Linotype" w:eastAsia="Palatino Linotype" w:hAnsi="Palatino Linotype" w:cs="Palatino Linotype"/>
          <w:b/>
          <w:sz w:val="22"/>
          <w:szCs w:val="22"/>
          <w:u w:val="single"/>
        </w:rPr>
        <w:t>los ayuntamientos de los municipios del Estado</w:t>
      </w:r>
      <w:r w:rsidRPr="00EA21B5">
        <w:rPr>
          <w:rFonts w:ascii="Palatino Linotype" w:eastAsia="Palatino Linotype" w:hAnsi="Palatino Linotype" w:cs="Palatino Linotype"/>
          <w:sz w:val="22"/>
          <w:szCs w:val="22"/>
        </w:rPr>
        <w:t>; los organismos auxiliares y fideicomisos públicos del Estado y municipios; y los tribunales administrativos.</w:t>
      </w:r>
    </w:p>
    <w:p w14:paraId="44EDFC8B" w14:textId="77777777" w:rsidR="005B3916" w:rsidRPr="00EA21B5" w:rsidRDefault="005B3916" w:rsidP="005B3916">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En este tenor, de conformidad con el artículo 12.4 del Libro Décimo Segundo del referido Código, </w:t>
      </w:r>
      <w:r w:rsidRPr="00EA21B5">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w:t>
      </w:r>
      <w:r w:rsidRPr="00EA21B5">
        <w:rPr>
          <w:rFonts w:ascii="Palatino Linotype" w:eastAsia="Palatino Linotype" w:hAnsi="Palatino Linotype" w:cs="Palatino Linotype"/>
          <w:b/>
          <w:sz w:val="22"/>
          <w:szCs w:val="22"/>
          <w:u w:val="single"/>
        </w:rPr>
        <w:t>bienes inmuebles propiedad</w:t>
      </w:r>
      <w:r w:rsidRPr="00EA21B5">
        <w:rPr>
          <w:rFonts w:ascii="Palatino Linotype" w:eastAsia="Palatino Linotype" w:hAnsi="Palatino Linotype" w:cs="Palatino Linotype"/>
          <w:b/>
          <w:sz w:val="22"/>
          <w:szCs w:val="22"/>
        </w:rPr>
        <w:t xml:space="preserve"> </w:t>
      </w:r>
      <w:r w:rsidRPr="00EA21B5">
        <w:rPr>
          <w:rFonts w:ascii="Palatino Linotype" w:eastAsia="Palatino Linotype" w:hAnsi="Palatino Linotype" w:cs="Palatino Linotype"/>
          <w:sz w:val="22"/>
          <w:szCs w:val="22"/>
        </w:rPr>
        <w:t xml:space="preserve">del Estado, de sus dependencias y entidades y </w:t>
      </w:r>
      <w:r w:rsidRPr="00EA21B5">
        <w:rPr>
          <w:rFonts w:ascii="Palatino Linotype" w:eastAsia="Palatino Linotype" w:hAnsi="Palatino Linotype" w:cs="Palatino Linotype"/>
          <w:b/>
          <w:sz w:val="22"/>
          <w:szCs w:val="22"/>
          <w:u w:val="single"/>
        </w:rPr>
        <w:t>de los municipios</w:t>
      </w:r>
      <w:r w:rsidRPr="00EA21B5">
        <w:rPr>
          <w:rFonts w:ascii="Palatino Linotype" w:eastAsia="Palatino Linotype" w:hAnsi="Palatino Linotype" w:cs="Palatino Linotype"/>
          <w:sz w:val="22"/>
          <w:szCs w:val="22"/>
        </w:rPr>
        <w:t xml:space="preserve"> y sus organismos </w:t>
      </w:r>
      <w:r w:rsidRPr="00EA21B5">
        <w:rPr>
          <w:rFonts w:ascii="Palatino Linotype" w:eastAsia="Palatino Linotype" w:hAnsi="Palatino Linotype" w:cs="Palatino Linotype"/>
          <w:b/>
          <w:sz w:val="22"/>
          <w:szCs w:val="22"/>
        </w:rPr>
        <w:t xml:space="preserve">con cargo a recursos públicos estatales o municipales, </w:t>
      </w:r>
      <w:r w:rsidRPr="00EA21B5">
        <w:rPr>
          <w:rFonts w:ascii="Palatino Linotype" w:eastAsia="Palatino Linotype" w:hAnsi="Palatino Linotype" w:cs="Palatino Linotype"/>
          <w:sz w:val="22"/>
          <w:szCs w:val="22"/>
        </w:rPr>
        <w:t xml:space="preserve">quedando comprendidos dentro de la obra pública: </w:t>
      </w:r>
    </w:p>
    <w:p w14:paraId="78FE3F21"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 El mantenimiento, restauración, desmantelamiento o remoción de bienes muebles incorporados o adheridos a un inmueble; </w:t>
      </w:r>
    </w:p>
    <w:p w14:paraId="4CC8BEA3"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14:paraId="4C46518D"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40B35C00"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IV. Los trabajos de infraestructura agropecuaria e hidroagrícola: </w:t>
      </w:r>
    </w:p>
    <w:p w14:paraId="3BDD344E"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302C790A" w14:textId="77777777" w:rsidR="005B3916" w:rsidRPr="00EA21B5" w:rsidRDefault="005B3916" w:rsidP="005B3916">
      <w:pPr>
        <w:spacing w:before="240" w:after="240" w:line="360" w:lineRule="auto"/>
        <w:ind w:left="284"/>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VI. Los demás que tengan por objeto principal alguno de los conceptos a que se refiere el párrafo primero de este artículo, excluyéndose expresamente los trabajos regulados por el Libro Décimo Sexto del Código</w:t>
      </w:r>
      <w:r w:rsidRPr="00EA21B5">
        <w:rPr>
          <w:rFonts w:ascii="Palatino Linotype" w:hAnsi="Palatino Linotype"/>
          <w:i/>
          <w:sz w:val="22"/>
          <w:szCs w:val="22"/>
        </w:rPr>
        <w:t>.</w:t>
      </w:r>
    </w:p>
    <w:p w14:paraId="352C5345" w14:textId="77777777" w:rsidR="005B3916" w:rsidRPr="00EA21B5" w:rsidRDefault="005B3916" w:rsidP="005B3916">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Mientras que el artículo 12.5 del Libro Décimo Segundo, señala que </w:t>
      </w:r>
      <w:r w:rsidRPr="00EA21B5">
        <w:rPr>
          <w:rFonts w:ascii="Palatino Linotype" w:eastAsia="Palatino Linotype" w:hAnsi="Palatino Linotype" w:cs="Palatino Linotype"/>
          <w:b/>
          <w:sz w:val="22"/>
          <w:szCs w:val="22"/>
        </w:rPr>
        <w:t xml:space="preserve">se consideran servicios relacionados con la obra pública, los trabajos que tengan por objeto concebir, diseñar y calcular los elementos que integran </w:t>
      </w:r>
      <w:r w:rsidRPr="00EA21B5">
        <w:rPr>
          <w:rFonts w:ascii="Palatino Linotype" w:eastAsia="Palatino Linotype" w:hAnsi="Palatino Linotype" w:cs="Palatino Linotype"/>
          <w:b/>
          <w:sz w:val="22"/>
          <w:szCs w:val="22"/>
          <w:u w:val="single"/>
        </w:rPr>
        <w:t>un proyecto de obra pública</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 xml:space="preserve">las investigaciones, estudios, asesorías y consultorías que </w:t>
      </w:r>
      <w:r w:rsidRPr="00EA21B5">
        <w:rPr>
          <w:rFonts w:ascii="Palatino Linotype" w:eastAsia="Palatino Linotype" w:hAnsi="Palatino Linotype" w:cs="Palatino Linotype"/>
          <w:b/>
          <w:sz w:val="22"/>
          <w:szCs w:val="22"/>
          <w:u w:val="single"/>
        </w:rPr>
        <w:t>se vinculen con los actos que regula el Libro Décimo Segundo</w:t>
      </w:r>
      <w:r w:rsidRPr="00EA21B5">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0083415B"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466EF7E1"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2A2858F1"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68E8F190"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Los estudios económicos y de planeación de </w:t>
      </w:r>
      <w:proofErr w:type="spellStart"/>
      <w:r w:rsidRPr="00EA21B5">
        <w:rPr>
          <w:rFonts w:ascii="Palatino Linotype" w:eastAsia="Palatino Linotype" w:hAnsi="Palatino Linotype" w:cs="Palatino Linotype"/>
          <w:i/>
          <w:sz w:val="22"/>
          <w:szCs w:val="22"/>
        </w:rPr>
        <w:t>preinversión</w:t>
      </w:r>
      <w:proofErr w:type="spellEnd"/>
      <w:r w:rsidRPr="00EA21B5">
        <w:rPr>
          <w:rFonts w:ascii="Palatino Linotype" w:eastAsia="Palatino Linotype" w:hAnsi="Palatino Linotype" w:cs="Palatino Linotype"/>
          <w:i/>
          <w:sz w:val="22"/>
          <w:szCs w:val="22"/>
        </w:rPr>
        <w:t xml:space="preserve">, factibilidad técnico económica, ecológica o social, de evaluación, adaptación, tenencia de la tierra, financieros, de desarrollo y restitución de la eficiencia de las instalaciones; </w:t>
      </w:r>
    </w:p>
    <w:p w14:paraId="4B87FD40"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3B0B5538"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VI.</w:t>
      </w:r>
      <w:r w:rsidRPr="00EA21B5">
        <w:rPr>
          <w:rFonts w:ascii="Palatino Linotype" w:eastAsia="Palatino Linotype" w:hAnsi="Palatino Linotype" w:cs="Palatino Linotype"/>
          <w:i/>
          <w:sz w:val="22"/>
          <w:szCs w:val="22"/>
        </w:rPr>
        <w:t xml:space="preserve"> Los trabajos de organización, informática, comunicaciones, cibernética y sistemas aplicados a las materias que regulan este Libro; </w:t>
      </w:r>
    </w:p>
    <w:p w14:paraId="3CD11E6F"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w:t>
      </w:r>
      <w:r w:rsidRPr="00EA21B5">
        <w:rPr>
          <w:rFonts w:ascii="Palatino Linotype" w:eastAsia="Palatino Linotype" w:hAnsi="Palatino Linotype" w:cs="Palatino Linotype"/>
          <w:i/>
          <w:sz w:val="22"/>
          <w:szCs w:val="22"/>
        </w:rPr>
        <w:t xml:space="preserve"> Los dictámenes, peritajes, avalúos y auditorías técnico normativas, y estudios aplicables a la obra pública; </w:t>
      </w:r>
    </w:p>
    <w:p w14:paraId="3D89610A"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VIII.</w:t>
      </w:r>
      <w:r w:rsidRPr="00EA21B5">
        <w:rPr>
          <w:rFonts w:ascii="Palatino Linotype" w:eastAsia="Palatino Linotype" w:hAnsi="Palatino Linotype" w:cs="Palatino Linotype"/>
          <w:i/>
          <w:sz w:val="22"/>
          <w:szCs w:val="22"/>
        </w:rPr>
        <w:t xml:space="preserve"> Los estudios que tengan por objeto rehabilitar, corregir, sustituir o incrementar la eficiencia de las instalaciones en un bien inmueble; </w:t>
      </w:r>
    </w:p>
    <w:p w14:paraId="5A5C98DE"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IX.</w:t>
      </w:r>
      <w:r w:rsidRPr="00EA21B5">
        <w:rPr>
          <w:rFonts w:ascii="Palatino Linotype" w:eastAsia="Palatino Linotype" w:hAnsi="Palatino Linotype" w:cs="Palatino Linotype"/>
          <w:i/>
          <w:sz w:val="22"/>
          <w:szCs w:val="22"/>
        </w:rPr>
        <w:t xml:space="preserve"> Los estudios de apoyo tecnológico, incluyendo los de desarrollo y transferencia de tecnología, entre otros; </w:t>
      </w:r>
    </w:p>
    <w:p w14:paraId="2D616D7E"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w:t>
      </w:r>
      <w:r w:rsidRPr="00EA21B5">
        <w:rPr>
          <w:rFonts w:ascii="Palatino Linotype" w:eastAsia="Palatino Linotype" w:hAnsi="Palatino Linotype" w:cs="Palatino Linotype"/>
          <w:i/>
          <w:sz w:val="22"/>
          <w:szCs w:val="22"/>
        </w:rPr>
        <w:t xml:space="preserve"> Los demás que tengan por objeto alguno de los conceptos a que se refiere el párrafo primero de este artículo.</w:t>
      </w:r>
    </w:p>
    <w:p w14:paraId="0DB24362" w14:textId="77777777" w:rsidR="005B3916" w:rsidRPr="00EA21B5" w:rsidRDefault="005B3916" w:rsidP="005B3916">
      <w:pPr>
        <w:tabs>
          <w:tab w:val="left" w:pos="3080"/>
        </w:tabs>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0ACFBA75"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5E30C24A" w14:textId="77777777" w:rsidR="005B3916" w:rsidRPr="00EA21B5" w:rsidRDefault="005B3916" w:rsidP="005B3916">
      <w:pPr>
        <w:spacing w:before="120" w:after="120"/>
        <w:ind w:left="851"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12.20</w:t>
      </w:r>
      <w:r w:rsidRPr="00EA21B5">
        <w:rPr>
          <w:rFonts w:ascii="Palatino Linotype" w:eastAsia="Palatino Linotype" w:hAnsi="Palatino Linotype" w:cs="Palatino Linotype"/>
          <w:i/>
          <w:sz w:val="22"/>
          <w:szCs w:val="22"/>
        </w:rPr>
        <w:t xml:space="preserve">.- Los contratos a que se refiere este Libro, </w:t>
      </w:r>
      <w:r w:rsidRPr="00EA21B5">
        <w:rPr>
          <w:rFonts w:ascii="Palatino Linotype" w:eastAsia="Palatino Linotype" w:hAnsi="Palatino Linotype" w:cs="Palatino Linotype"/>
          <w:b/>
          <w:i/>
          <w:sz w:val="22"/>
          <w:szCs w:val="22"/>
        </w:rPr>
        <w:t xml:space="preserve">se adjudicarán a través de </w:t>
      </w:r>
      <w:r w:rsidRPr="00EA21B5">
        <w:rPr>
          <w:rFonts w:ascii="Palatino Linotype" w:eastAsia="Palatino Linotype" w:hAnsi="Palatino Linotype" w:cs="Palatino Linotype"/>
          <w:b/>
          <w:i/>
          <w:sz w:val="22"/>
          <w:szCs w:val="22"/>
          <w:u w:val="single"/>
        </w:rPr>
        <w:t>licitaciones públicas</w:t>
      </w:r>
      <w:r w:rsidRPr="00EA21B5">
        <w:rPr>
          <w:rFonts w:ascii="Palatino Linotype" w:eastAsia="Palatino Linotype" w:hAnsi="Palatino Linotype" w:cs="Palatino Linotype"/>
          <w:b/>
          <w:i/>
          <w:sz w:val="22"/>
          <w:szCs w:val="22"/>
        </w:rPr>
        <w:t>, mediante convocatoria pública.</w:t>
      </w:r>
      <w:r w:rsidRPr="00EA21B5">
        <w:rPr>
          <w:rFonts w:ascii="Palatino Linotype" w:eastAsia="Palatino Linotype" w:hAnsi="Palatino Linotype" w:cs="Palatino Linotype"/>
          <w:i/>
          <w:sz w:val="22"/>
          <w:szCs w:val="22"/>
        </w:rPr>
        <w:t xml:space="preserve"> </w:t>
      </w:r>
    </w:p>
    <w:p w14:paraId="0F9A7C09" w14:textId="77777777" w:rsidR="005B3916" w:rsidRPr="00EA21B5" w:rsidRDefault="005B3916" w:rsidP="005B3916">
      <w:pPr>
        <w:spacing w:before="120" w:after="120"/>
        <w:ind w:left="851"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12.21</w:t>
      </w:r>
      <w:r w:rsidRPr="00EA21B5">
        <w:rPr>
          <w:rFonts w:ascii="Palatino Linotype" w:eastAsia="Palatino Linotype" w:hAnsi="Palatino Linotype" w:cs="Palatino Linotype"/>
          <w:i/>
          <w:sz w:val="22"/>
          <w:szCs w:val="22"/>
        </w:rPr>
        <w:t xml:space="preserve">.- Las dependencias, entidades y ayuntamientos podrán adjudicar contratos para la ejecución de obra pública o servicios relacionados con la misma. </w:t>
      </w:r>
      <w:r w:rsidRPr="00EA21B5">
        <w:rPr>
          <w:rFonts w:ascii="Palatino Linotype" w:eastAsia="Palatino Linotype" w:hAnsi="Palatino Linotype" w:cs="Palatino Linotype"/>
          <w:b/>
          <w:i/>
          <w:sz w:val="22"/>
          <w:szCs w:val="22"/>
        </w:rPr>
        <w:t>mediante las excepciones al procedimiento de licitación</w:t>
      </w:r>
      <w:r w:rsidRPr="00EA21B5">
        <w:rPr>
          <w:rFonts w:ascii="Palatino Linotype" w:eastAsia="Palatino Linotype" w:hAnsi="Palatino Linotype" w:cs="Palatino Linotype"/>
          <w:i/>
          <w:sz w:val="22"/>
          <w:szCs w:val="22"/>
        </w:rPr>
        <w:t xml:space="preserve"> siguientes: </w:t>
      </w:r>
    </w:p>
    <w:p w14:paraId="34950F01" w14:textId="77777777" w:rsidR="005B3916" w:rsidRPr="00EA21B5" w:rsidRDefault="005B3916" w:rsidP="005B3916">
      <w:pPr>
        <w:spacing w:before="120" w:after="120"/>
        <w:ind w:left="1134"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Invitación restringida</w:t>
      </w:r>
      <w:r w:rsidRPr="00EA21B5">
        <w:rPr>
          <w:rFonts w:ascii="Palatino Linotype" w:eastAsia="Palatino Linotype" w:hAnsi="Palatino Linotype" w:cs="Palatino Linotype"/>
          <w:i/>
          <w:sz w:val="22"/>
          <w:szCs w:val="22"/>
        </w:rPr>
        <w:t xml:space="preserve">; </w:t>
      </w:r>
    </w:p>
    <w:p w14:paraId="556D79DF" w14:textId="77777777" w:rsidR="005B3916" w:rsidRPr="00EA21B5" w:rsidRDefault="005B3916" w:rsidP="005B3916">
      <w:pPr>
        <w:spacing w:before="120" w:after="120"/>
        <w:ind w:left="1134"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Adjudicación directa.”</w:t>
      </w:r>
    </w:p>
    <w:p w14:paraId="63E9380D"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Como se advierte, la normativa contempla como modalidades para la adjudicación de contratos de obra pública y servicios relacionados con la misma la licitación pública, y de manera excepcional a través de invitación restringida y adjudicación directa, cuyas </w:t>
      </w:r>
      <w:r w:rsidRPr="00EA21B5">
        <w:rPr>
          <w:rFonts w:ascii="Palatino Linotype" w:eastAsia="Palatino Linotype" w:hAnsi="Palatino Linotype" w:cs="Palatino Linotype"/>
          <w:sz w:val="22"/>
          <w:szCs w:val="22"/>
        </w:rPr>
        <w:lastRenderedPageBreak/>
        <w:t>formalidades se encuentran previstas en el Reglamento del Libro Décimo Segundo del Código Administrativo del Estado de México, que en su parte conducente dispone lo siguiente:</w:t>
      </w:r>
    </w:p>
    <w:p w14:paraId="051834FA"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Artículo 26</w:t>
      </w:r>
      <w:r w:rsidRPr="00EA21B5">
        <w:rPr>
          <w:rFonts w:ascii="Palatino Linotype" w:eastAsia="Palatino Linotype" w:hAnsi="Palatino Linotype" w:cs="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0CB4FDAA" w14:textId="77777777" w:rsidR="005B3916" w:rsidRPr="00EA21B5" w:rsidRDefault="005B3916" w:rsidP="005B3916">
      <w:pPr>
        <w:spacing w:before="120" w:after="12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w:t>
      </w:r>
    </w:p>
    <w:p w14:paraId="167427F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28.-</w:t>
      </w:r>
      <w:r w:rsidRPr="00EA21B5">
        <w:rPr>
          <w:rFonts w:ascii="Palatino Linotype" w:eastAsia="Palatino Linotype" w:hAnsi="Palatino Linotype" w:cs="Palatino Linotype"/>
          <w:i/>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012F0ED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0558561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28EACAD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Articulo 30</w:t>
      </w:r>
      <w:r w:rsidRPr="00EA21B5">
        <w:rPr>
          <w:rFonts w:ascii="Palatino Linotype" w:eastAsia="Palatino Linotype" w:hAnsi="Palatino Linotype" w:cs="Palatino Linotype"/>
          <w:i/>
          <w:sz w:val="22"/>
          <w:szCs w:val="22"/>
        </w:rPr>
        <w:t xml:space="preserve">.- El procedimiento de licitación pública inicia con la publicación de la convocatoria y concluye con el fallo y adjudicación. Cubrirá las etapas siguientes: </w:t>
      </w:r>
    </w:p>
    <w:p w14:paraId="527407A1" w14:textId="77777777" w:rsidR="005B3916" w:rsidRPr="00EA21B5" w:rsidRDefault="005B3916" w:rsidP="005B3916">
      <w:pPr>
        <w:spacing w:before="120" w:after="12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w:t>
      </w:r>
    </w:p>
    <w:p w14:paraId="4855998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La presentación y apertura de propuestas; </w:t>
      </w:r>
    </w:p>
    <w:p w14:paraId="16EF666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u w:val="single"/>
        </w:rPr>
        <w:t>VII. La evaluación de propuestas</w:t>
      </w:r>
      <w:r w:rsidRPr="00EA21B5">
        <w:rPr>
          <w:rFonts w:ascii="Palatino Linotype" w:eastAsia="Palatino Linotype" w:hAnsi="Palatino Linotype" w:cs="Palatino Linotype"/>
          <w:i/>
          <w:sz w:val="22"/>
          <w:szCs w:val="22"/>
        </w:rPr>
        <w:t xml:space="preserve">; y </w:t>
      </w:r>
    </w:p>
    <w:p w14:paraId="7937294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VIII.</w:t>
      </w:r>
      <w:r w:rsidRPr="00EA21B5">
        <w:rPr>
          <w:rFonts w:ascii="Palatino Linotype" w:eastAsia="Palatino Linotype" w:hAnsi="Palatino Linotype" w:cs="Palatino Linotype"/>
          <w:i/>
          <w:sz w:val="22"/>
          <w:szCs w:val="22"/>
        </w:rPr>
        <w:t xml:space="preserve"> El fallo y adjudicación.</w:t>
      </w:r>
    </w:p>
    <w:p w14:paraId="543819D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0743D65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43</w:t>
      </w:r>
      <w:r w:rsidRPr="00EA21B5">
        <w:rPr>
          <w:rFonts w:ascii="Palatino Linotype" w:eastAsia="Palatino Linotype" w:hAnsi="Palatino Linotype" w:cs="Palatino Linotype"/>
          <w:i/>
          <w:sz w:val="22"/>
          <w:szCs w:val="22"/>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5081EEB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44</w:t>
      </w:r>
      <w:r w:rsidRPr="00EA21B5">
        <w:rPr>
          <w:rFonts w:ascii="Palatino Linotype" w:eastAsia="Palatino Linotype" w:hAnsi="Palatino Linotype" w:cs="Palatino Linotype"/>
          <w:i/>
          <w:sz w:val="22"/>
          <w:szCs w:val="22"/>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23B0B888" w14:textId="77777777" w:rsidR="005B3916" w:rsidRPr="00EA21B5" w:rsidRDefault="005B3916" w:rsidP="005B3916">
      <w:pPr>
        <w:spacing w:before="120" w:after="12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lastRenderedPageBreak/>
        <w:t>...</w:t>
      </w:r>
    </w:p>
    <w:p w14:paraId="4DA3F42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49</w:t>
      </w:r>
      <w:r w:rsidRPr="00EA21B5">
        <w:rPr>
          <w:rFonts w:ascii="Palatino Linotype" w:eastAsia="Palatino Linotype" w:hAnsi="Palatino Linotype" w:cs="Palatino Linotype"/>
          <w:i/>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25DA3F3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 La documentación legal y administrativa; </w:t>
      </w:r>
    </w:p>
    <w:p w14:paraId="40B883B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u w:val="single"/>
        </w:rPr>
        <w:t>II. La propuesta y económica</w:t>
      </w:r>
      <w:r w:rsidRPr="00EA21B5">
        <w:rPr>
          <w:rFonts w:ascii="Palatino Linotype" w:eastAsia="Palatino Linotype" w:hAnsi="Palatino Linotype" w:cs="Palatino Linotype"/>
          <w:i/>
          <w:sz w:val="22"/>
          <w:szCs w:val="22"/>
        </w:rPr>
        <w:t xml:space="preserve">. </w:t>
      </w:r>
    </w:p>
    <w:p w14:paraId="01A1CFB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37A93C0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726F9428"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52.-</w:t>
      </w:r>
      <w:r w:rsidRPr="00EA21B5">
        <w:rPr>
          <w:rFonts w:ascii="Palatino Linotype" w:eastAsia="Palatino Linotype" w:hAnsi="Palatino Linotype" w:cs="Palatino Linotype"/>
          <w:i/>
          <w:sz w:val="22"/>
          <w:szCs w:val="22"/>
        </w:rPr>
        <w:t xml:space="preserve"> El acto de recepción y apertura de propuestas se desarrollará en el orden siguiente: </w:t>
      </w:r>
    </w:p>
    <w:p w14:paraId="3D93A4C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El servidor público que preside el acto tomará lista de los licitantes presentes; </w:t>
      </w:r>
    </w:p>
    <w:p w14:paraId="6424ABC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Al ser nombrados, los licitantes entregarán su propuesta en sobre cerrado; </w:t>
      </w:r>
    </w:p>
    <w:p w14:paraId="6DDEAA16" w14:textId="77777777" w:rsidR="005B3916" w:rsidRPr="00EA21B5" w:rsidRDefault="005B3916" w:rsidP="005B3916">
      <w:pPr>
        <w:spacing w:before="120" w:after="12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El servidor público abrirá el sobre que contiene la propuesta de cada licitante y hará la revisión cuantitativa de los documentos. </w:t>
      </w:r>
      <w:r w:rsidRPr="00EA21B5">
        <w:rPr>
          <w:rFonts w:ascii="Palatino Linotype" w:eastAsia="Palatino Linotype" w:hAnsi="Palatino Linotype" w:cs="Palatino Linotype"/>
          <w:b/>
          <w:i/>
          <w:sz w:val="22"/>
          <w:szCs w:val="22"/>
        </w:rPr>
        <w:t xml:space="preserve">Leerá en voz alta cuando menos el importe total de cada una de las propuestas admitidas. </w:t>
      </w:r>
    </w:p>
    <w:p w14:paraId="1230020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Serán rechazadas las propuestas que no cumplan con todos los requisitos contenidos en las bases de licitación, debiéndose establecer con toda precisión la causa del incumplimiento</w:t>
      </w:r>
      <w:r w:rsidRPr="00EA21B5">
        <w:rPr>
          <w:rFonts w:ascii="Palatino Linotype" w:eastAsia="Palatino Linotype" w:hAnsi="Palatino Linotype" w:cs="Palatino Linotype"/>
          <w:i/>
          <w:sz w:val="22"/>
          <w:szCs w:val="22"/>
        </w:rPr>
        <w:t xml:space="preserve">. Se entregará recibo de la garantía otorgada por los licitantes cuyas propuestas sean admitidas; </w:t>
      </w:r>
    </w:p>
    <w:p w14:paraId="56CBBADC"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60CC79B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b) Se informará a los licitantes fecha y hora de la realización del acto del fallo.</w:t>
      </w:r>
    </w:p>
    <w:p w14:paraId="1F663B9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53</w:t>
      </w:r>
      <w:r w:rsidRPr="00EA21B5">
        <w:rPr>
          <w:rFonts w:ascii="Palatino Linotype" w:eastAsia="Palatino Linotype" w:hAnsi="Palatino Linotype" w:cs="Palatino Linotype"/>
          <w:i/>
          <w:sz w:val="22"/>
          <w:szCs w:val="22"/>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300A09F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Artículo 54.-</w:t>
      </w:r>
      <w:r w:rsidRPr="00EA21B5">
        <w:rPr>
          <w:rFonts w:ascii="Palatino Linotype" w:eastAsia="Palatino Linotype" w:hAnsi="Palatino Linotype" w:cs="Palatino Linotype"/>
          <w:i/>
          <w:sz w:val="22"/>
          <w:szCs w:val="22"/>
        </w:rPr>
        <w:t xml:space="preserve"> Al concluir el acto de recepción y entrega de propuestas, se levantará un acta que contendrá como mínimo: </w:t>
      </w:r>
    </w:p>
    <w:p w14:paraId="0C2C51D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Fecha, lugar y hora en que se llevó a cabo;</w:t>
      </w:r>
    </w:p>
    <w:p w14:paraId="1B4BB50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Nombre del servidor público encargado de presidir el acto y de los demás servidores públicos participantes; </w:t>
      </w:r>
    </w:p>
    <w:p w14:paraId="426C181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Nombre de los licitantes cuyas propuestas fueron desechadas, así como las causas que lo motivaron</w:t>
      </w:r>
      <w:r w:rsidRPr="00EA21B5">
        <w:rPr>
          <w:rFonts w:ascii="Palatino Linotype" w:eastAsia="Palatino Linotype" w:hAnsi="Palatino Linotype" w:cs="Palatino Linotype"/>
          <w:i/>
          <w:sz w:val="22"/>
          <w:szCs w:val="22"/>
        </w:rPr>
        <w:t xml:space="preserve">; </w:t>
      </w:r>
    </w:p>
    <w:p w14:paraId="47E6238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u w:val="single"/>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 xml:space="preserve">Nombre de los licitantes </w:t>
      </w:r>
      <w:r w:rsidRPr="00EA21B5">
        <w:rPr>
          <w:rFonts w:ascii="Palatino Linotype" w:eastAsia="Palatino Linotype" w:hAnsi="Palatino Linotype" w:cs="Palatino Linotype"/>
          <w:b/>
          <w:i/>
          <w:sz w:val="22"/>
          <w:szCs w:val="22"/>
          <w:u w:val="single"/>
        </w:rPr>
        <w:t>cuyas propuestas fueron aceptadas para su análisis cualitativo</w:t>
      </w:r>
      <w:r w:rsidRPr="00EA21B5">
        <w:rPr>
          <w:rFonts w:ascii="Palatino Linotype" w:eastAsia="Palatino Linotype" w:hAnsi="Palatino Linotype" w:cs="Palatino Linotype"/>
          <w:i/>
          <w:sz w:val="22"/>
          <w:szCs w:val="22"/>
          <w:u w:val="single"/>
        </w:rPr>
        <w:t xml:space="preserve">; </w:t>
      </w:r>
    </w:p>
    <w:p w14:paraId="62EE73D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Lugar, fecha y hora en que se llevará a cabo el acto de fallo y adjudicación; y </w:t>
      </w:r>
    </w:p>
    <w:p w14:paraId="70E00CD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Firma de los participantes. </w:t>
      </w:r>
    </w:p>
    <w:p w14:paraId="5E58DA2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A cada uno de los participantes, se entregará copia del acta.</w:t>
      </w:r>
    </w:p>
    <w:p w14:paraId="11B72DB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55.-</w:t>
      </w:r>
      <w:r w:rsidRPr="00EA21B5">
        <w:rPr>
          <w:rFonts w:ascii="Palatino Linotype" w:eastAsia="Palatino Linotype" w:hAnsi="Palatino Linotype" w:cs="Palatino Linotype"/>
          <w:i/>
          <w:sz w:val="22"/>
          <w:szCs w:val="22"/>
        </w:rPr>
        <w:t xml:space="preserve"> La evaluación de las propuestas deberá considerar mínimo: </w:t>
      </w:r>
    </w:p>
    <w:p w14:paraId="3B60B95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La verificación de que los documentos cumplen, sin excepción, con los requisitos y contienen toda la información solicitada; </w:t>
      </w:r>
    </w:p>
    <w:p w14:paraId="08B40B5E"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La suficiente experiencia y capacidad de los profesionales y técnicos para la adecuada dirección y administración de los trabajos. Al realizar la evaluación, se tomará en cuenta: </w:t>
      </w:r>
    </w:p>
    <w:p w14:paraId="7E24BBC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w:t>
      </w:r>
      <w:r w:rsidRPr="00EA21B5">
        <w:rPr>
          <w:rFonts w:ascii="Palatino Linotype" w:eastAsia="Palatino Linotype" w:hAnsi="Palatino Linotype" w:cs="Palatino Linotype"/>
          <w:i/>
          <w:sz w:val="22"/>
          <w:szCs w:val="22"/>
        </w:rPr>
        <w:t xml:space="preserve"> El grado académico y las certificaciones necesarias; </w:t>
      </w:r>
    </w:p>
    <w:p w14:paraId="6245E9E9"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b</w:t>
      </w:r>
      <w:r w:rsidRPr="00EA21B5">
        <w:rPr>
          <w:rFonts w:ascii="Palatino Linotype" w:eastAsia="Palatino Linotype" w:hAnsi="Palatino Linotype" w:cs="Palatino Linotype"/>
          <w:i/>
          <w:sz w:val="22"/>
          <w:szCs w:val="22"/>
        </w:rPr>
        <w:t xml:space="preserve">. La experiencia en obras similares; c. La capacidad profesional o técnica de las personas físicas responsables de la ejecución de los trabajos. </w:t>
      </w:r>
    </w:p>
    <w:p w14:paraId="2F2B774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Lo suficiente y adecuado de la maquinaria y equipo de construcción para desarrollar los trabajos que se convocan, sea arrendado o propiedad del licitante; </w:t>
      </w:r>
    </w:p>
    <w:p w14:paraId="318B73E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La congruencia entre la planeación propuesta por el licitante para el desarrollo y organización de los trabajos y las características, complejidad y magnitud de los mismos; </w:t>
      </w:r>
    </w:p>
    <w:p w14:paraId="4DEB071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La adecuada selección del procedimiento constructivo por el licitante y su congruencia con el programa de ejecución considerado en su propuesta; </w:t>
      </w:r>
    </w:p>
    <w:p w14:paraId="4C7CD05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La evaluación de la capacidad financiera del licitante. Al revisar la declaración fiscal anual o estados financieros dictaminados por contador público certificado independiente, se verificará entre otros: </w:t>
      </w:r>
    </w:p>
    <w:p w14:paraId="6B511CD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w:t>
      </w:r>
      <w:r w:rsidRPr="00EA21B5">
        <w:rPr>
          <w:rFonts w:ascii="Palatino Linotype" w:eastAsia="Palatino Linotype" w:hAnsi="Palatino Linotype" w:cs="Palatino Linotype"/>
          <w:i/>
          <w:sz w:val="22"/>
          <w:szCs w:val="22"/>
        </w:rPr>
        <w:t xml:space="preserve"> La suficiencia del capital de trabajo para sustentar los requerimientos financieros de los trabajos a realizar; </w:t>
      </w:r>
    </w:p>
    <w:p w14:paraId="21CBC39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b.</w:t>
      </w:r>
      <w:r w:rsidRPr="00EA21B5">
        <w:rPr>
          <w:rFonts w:ascii="Palatino Linotype" w:eastAsia="Palatino Linotype" w:hAnsi="Palatino Linotype" w:cs="Palatino Linotype"/>
          <w:i/>
          <w:sz w:val="22"/>
          <w:szCs w:val="22"/>
        </w:rPr>
        <w:t xml:space="preserve"> La capacidad para cumplir sus obligaciones de pago; y </w:t>
      </w:r>
    </w:p>
    <w:p w14:paraId="211B31E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c</w:t>
      </w:r>
      <w:r w:rsidRPr="00EA21B5">
        <w:rPr>
          <w:rFonts w:ascii="Palatino Linotype" w:eastAsia="Palatino Linotype" w:hAnsi="Palatino Linotype" w:cs="Palatino Linotype"/>
          <w:i/>
          <w:sz w:val="22"/>
          <w:szCs w:val="22"/>
        </w:rPr>
        <w:t>. La rentabilidad financiera de la empresa.</w:t>
      </w:r>
    </w:p>
    <w:p w14:paraId="2B57222C"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48C6B9FE"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57</w:t>
      </w:r>
      <w:r w:rsidRPr="00EA21B5">
        <w:rPr>
          <w:rFonts w:ascii="Palatino Linotype" w:eastAsia="Palatino Linotype" w:hAnsi="Palatino Linotype" w:cs="Palatino Linotype"/>
          <w:i/>
          <w:sz w:val="22"/>
          <w:szCs w:val="22"/>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0ADA0E1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58.-</w:t>
      </w:r>
      <w:r w:rsidRPr="00EA21B5">
        <w:rPr>
          <w:rFonts w:ascii="Palatino Linotype" w:eastAsia="Palatino Linotype" w:hAnsi="Palatino Linotype" w:cs="Palatino Linotype"/>
          <w:i/>
          <w:sz w:val="22"/>
          <w:szCs w:val="22"/>
        </w:rPr>
        <w:t xml:space="preserve"> El convocante deberá verificar en las propuestas que consideren precios unitarios, que </w:t>
      </w:r>
    </w:p>
    <w:p w14:paraId="6A5BEA9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w:t>
      </w:r>
      <w:r w:rsidRPr="00EA21B5">
        <w:rPr>
          <w:rFonts w:ascii="Palatino Linotype" w:eastAsia="Palatino Linotype" w:hAnsi="Palatino Linotype" w:cs="Palatino Linotype"/>
          <w:i/>
          <w:sz w:val="22"/>
          <w:szCs w:val="22"/>
        </w:rPr>
        <w:t xml:space="preserve"> En el presupuesto de obra: </w:t>
      </w:r>
    </w:p>
    <w:p w14:paraId="63427E7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Cada uno de los conceptos señale el importe del precio unitario;</w:t>
      </w:r>
    </w:p>
    <w:p w14:paraId="08FA612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086D679E"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Las operaciones aritméticas estén correctas. Cuando una o más operaciones estén equivocadas, se harán las correcciones correspondientes. El monto correcto será el considerado para el análisis comparativo de las propuestas. </w:t>
      </w:r>
    </w:p>
    <w:p w14:paraId="682CBB1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B</w:t>
      </w:r>
      <w:r w:rsidRPr="00EA21B5">
        <w:rPr>
          <w:rFonts w:ascii="Palatino Linotype" w:eastAsia="Palatino Linotype" w:hAnsi="Palatino Linotype" w:cs="Palatino Linotype"/>
          <w:i/>
          <w:sz w:val="22"/>
          <w:szCs w:val="22"/>
        </w:rPr>
        <w:t xml:space="preserve">. El análisis, cálculo e integración de los precios unitarios se haya realizado de acuerdo con lo establecido en este Reglamento y que: </w:t>
      </w:r>
    </w:p>
    <w:p w14:paraId="17123F0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Los análisis de los precios unitarios se integren con costos directos, indirectos, de financiamiento, cargo por utilidad y cargos adicionales; </w:t>
      </w:r>
    </w:p>
    <w:p w14:paraId="3208583E"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Los costos directos comprendan los correspondientes a materiales, mano de obra, maquinaria y equipo de construcción;</w:t>
      </w:r>
    </w:p>
    <w:p w14:paraId="052E098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Los precios de adquisición de los materiales estén dentro de los parámetros de precios de mercado; </w:t>
      </w:r>
    </w:p>
    <w:p w14:paraId="52316DE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Los costos de la mano de obra se hayan obtenido aplicando los factores de salario integrado a los sueldos y salarios del personal, conforme a lo previsto en este Reglamento; </w:t>
      </w:r>
    </w:p>
    <w:p w14:paraId="4D52A85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El cargo por el uso de herramienta menor esté incluido; </w:t>
      </w:r>
    </w:p>
    <w:p w14:paraId="7710CE8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VI.</w:t>
      </w:r>
      <w:r w:rsidRPr="00EA21B5">
        <w:rPr>
          <w:rFonts w:ascii="Palatino Linotype" w:eastAsia="Palatino Linotype" w:hAnsi="Palatino Linotype" w:cs="Palatino Linotype"/>
          <w:i/>
          <w:sz w:val="22"/>
          <w:szCs w:val="22"/>
        </w:rPr>
        <w:t xml:space="preserve"> Los costos horarios por la utilización de la maquinaria y equipo de construcción estén determinados por hora efectiva de trabajo, calculados para cada máquina o equipo; considerando, cuando sea el caso, los accesorios integrados; </w:t>
      </w:r>
    </w:p>
    <w:p w14:paraId="5ACFB801"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C</w:t>
      </w:r>
      <w:r w:rsidRPr="00EA21B5">
        <w:rPr>
          <w:rFonts w:ascii="Palatino Linotype" w:eastAsia="Palatino Linotype" w:hAnsi="Palatino Linotype" w:cs="Palatino Linotype"/>
          <w:i/>
          <w:sz w:val="22"/>
          <w:szCs w:val="22"/>
        </w:rPr>
        <w:t xml:space="preserve">. Los costos directos de los precios unitarios se hayan estructurado y determinado de acuerdo con lo previsto en este Reglamento y que: </w:t>
      </w:r>
    </w:p>
    <w:p w14:paraId="6DD2E99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Los costos de los materiales considerados por el licitante sean coincidentes con la relación de los costos y cumplan las normas de calidad señaladas en las bases de la licitación; </w:t>
      </w:r>
    </w:p>
    <w:p w14:paraId="4F57F68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Los costos de mano de obra considerados por el licitante sean coincidentes con el tabulador de salarios y con los costos que prevalezcan en la zona donde se ejecutarán los trabajos; y</w:t>
      </w:r>
    </w:p>
    <w:p w14:paraId="7C9AA87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543E836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D</w:t>
      </w:r>
      <w:r w:rsidRPr="00EA21B5">
        <w:rPr>
          <w:rFonts w:ascii="Palatino Linotype" w:eastAsia="Palatino Linotype" w:hAnsi="Palatino Linotype" w:cs="Palatino Linotype"/>
          <w:i/>
          <w:sz w:val="22"/>
          <w:szCs w:val="22"/>
        </w:rPr>
        <w:t xml:space="preserve">. Los costos indirectos de los precios unitarios estén integrados de acuerdo con lo previsto en este Reglamento y que: </w:t>
      </w:r>
    </w:p>
    <w:p w14:paraId="7D43BEB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Estén calculados por conceptos con sus importes, determinándose el monto total y su porcentaje sobre el monto del costo directo;</w:t>
      </w:r>
    </w:p>
    <w:p w14:paraId="2AF74F9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6CB50BD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No se incluyan cargos que, por sus características o conforme a las bases de la licitación, deban formen parte de un precio unitario. </w:t>
      </w:r>
    </w:p>
    <w:p w14:paraId="789391CA"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E.</w:t>
      </w:r>
      <w:r w:rsidRPr="00EA21B5">
        <w:rPr>
          <w:rFonts w:ascii="Palatino Linotype" w:eastAsia="Palatino Linotype" w:hAnsi="Palatino Linotype" w:cs="Palatino Linotype"/>
          <w:i/>
          <w:sz w:val="22"/>
          <w:szCs w:val="22"/>
        </w:rPr>
        <w:t xml:space="preserve"> El costo financiero de los precios unitarios se haya estructurado y determinado conforme a lo señalado en este Reglamento y que:</w:t>
      </w:r>
    </w:p>
    <w:p w14:paraId="504CE13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Los ingresos consideren la periodicidad y el plazo de trámite y el pago del o los anticipos y las estimaciones y que éstas incluyan la amortización de los anticipos; </w:t>
      </w:r>
    </w:p>
    <w:p w14:paraId="3068543E"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El costo del financiamiento esté representado por un porcentaje de la suma de los costos directos e indirectos; </w:t>
      </w:r>
    </w:p>
    <w:p w14:paraId="2D74ABE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La tasa de interés aplicable esté definida con base en un indicador económico específico; </w:t>
      </w:r>
    </w:p>
    <w:p w14:paraId="6FF2E36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IV</w:t>
      </w:r>
      <w:r w:rsidRPr="00EA21B5">
        <w:rPr>
          <w:rFonts w:ascii="Palatino Linotype" w:eastAsia="Palatino Linotype" w:hAnsi="Palatino Linotype" w:cs="Palatino Linotype"/>
          <w:i/>
          <w:sz w:val="22"/>
          <w:szCs w:val="22"/>
        </w:rPr>
        <w:t xml:space="preserve">. El costo del financiamiento sea congruente con el programa de ejecución valorizado con montos mensuales; y </w:t>
      </w:r>
    </w:p>
    <w:p w14:paraId="5409D7C1"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El procedimiento para el cálculo del costo por financiamiento aplicado por el licitante corresponda con el de las bases de la licitación. </w:t>
      </w:r>
    </w:p>
    <w:p w14:paraId="18A6E6F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F</w:t>
      </w:r>
      <w:r w:rsidRPr="00EA21B5">
        <w:rPr>
          <w:rFonts w:ascii="Palatino Linotype" w:eastAsia="Palatino Linotype" w:hAnsi="Palatino Linotype" w:cs="Palatino Linotype"/>
          <w:i/>
          <w:sz w:val="22"/>
          <w:szCs w:val="22"/>
        </w:rPr>
        <w:t xml:space="preserve">. El cálculo del cargo por utilidad de los precios unitarios considere la utilidad que el contratista estima debe percibir y las deducciones e impuestos correspondientes, no siendo necesario su desglose. </w:t>
      </w:r>
    </w:p>
    <w:p w14:paraId="55F6B7F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G.</w:t>
      </w:r>
      <w:r w:rsidRPr="00EA21B5">
        <w:rPr>
          <w:rFonts w:ascii="Palatino Linotype" w:eastAsia="Palatino Linotype" w:hAnsi="Palatino Linotype" w:cs="Palatino Linotype"/>
          <w:i/>
          <w:sz w:val="22"/>
          <w:szCs w:val="22"/>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74FC67B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El servidor público responsable de revisar la correcta formulación de los precios unitarios deberá contar con la certificación de conocimientos y habilidades en la materia.</w:t>
      </w:r>
    </w:p>
    <w:p w14:paraId="1223509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6FD76F6B"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62.-</w:t>
      </w:r>
      <w:r w:rsidRPr="00EA21B5">
        <w:rPr>
          <w:rFonts w:ascii="Palatino Linotype" w:eastAsia="Palatino Linotype" w:hAnsi="Palatino Linotype" w:cs="Palatino Linotype"/>
          <w:i/>
          <w:sz w:val="22"/>
          <w:szCs w:val="22"/>
        </w:rPr>
        <w:t xml:space="preserve"> Realizada la evaluación de las propuestas, el convocante emitirá el dictamen que servirá de base para el fallo. El dictamen deberá contener: </w:t>
      </w:r>
    </w:p>
    <w:p w14:paraId="36DA4F69"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La relación sucinta y cronológica de los actos del procedimiento; </w:t>
      </w:r>
    </w:p>
    <w:p w14:paraId="70254C9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Los criterios utilizados para la evaluación de las propuestas;</w:t>
      </w:r>
    </w:p>
    <w:p w14:paraId="61F7B70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III. </w:t>
      </w:r>
      <w:r w:rsidRPr="00EA21B5">
        <w:rPr>
          <w:rFonts w:ascii="Palatino Linotype" w:eastAsia="Palatino Linotype" w:hAnsi="Palatino Linotype" w:cs="Palatino Linotype"/>
          <w:b/>
          <w:i/>
          <w:sz w:val="22"/>
          <w:szCs w:val="22"/>
          <w:u w:val="single"/>
        </w:rPr>
        <w:t>Las razones por las cuales se aceptan o desechan las propuestas presentadas por los licitantes;</w:t>
      </w:r>
    </w:p>
    <w:p w14:paraId="7734C1A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El nombre de los licitantes cuyas propuestas fueron aceptadas por haber cumplido con los requerimientos exigidos;</w:t>
      </w:r>
    </w:p>
    <w:p w14:paraId="3DF551F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El nombre de los licitantes cuyas propuestas hayan sido desechadas como resultado del análisis de las mismas; </w:t>
      </w:r>
    </w:p>
    <w:p w14:paraId="07577E1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La relación de los licitantes cuyas propuestas se calificaron como solventes, ubicándolas de menor a mayor, de acuerdo con sus montos; </w:t>
      </w:r>
    </w:p>
    <w:p w14:paraId="428C81F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w:t>
      </w:r>
      <w:r w:rsidRPr="00EA21B5">
        <w:rPr>
          <w:rFonts w:ascii="Palatino Linotype" w:eastAsia="Palatino Linotype" w:hAnsi="Palatino Linotype" w:cs="Palatino Linotype"/>
          <w:i/>
          <w:sz w:val="22"/>
          <w:szCs w:val="22"/>
        </w:rPr>
        <w:t xml:space="preserve">. La fecha y lugar de elaboración, y </w:t>
      </w:r>
    </w:p>
    <w:p w14:paraId="236272CA"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VIII.</w:t>
      </w:r>
      <w:r w:rsidRPr="00EA21B5">
        <w:rPr>
          <w:rFonts w:ascii="Palatino Linotype" w:eastAsia="Palatino Linotype" w:hAnsi="Palatino Linotype" w:cs="Palatino Linotype"/>
          <w:i/>
          <w:sz w:val="22"/>
          <w:szCs w:val="22"/>
        </w:rPr>
        <w:t xml:space="preserve"> El nombre, firma y cargo de los servidores públicos encargados de su elaboración y aprobación.</w:t>
      </w:r>
    </w:p>
    <w:p w14:paraId="12DA809C"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6384904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69</w:t>
      </w:r>
      <w:r w:rsidRPr="00EA21B5">
        <w:rPr>
          <w:rFonts w:ascii="Palatino Linotype" w:eastAsia="Palatino Linotype" w:hAnsi="Palatino Linotype" w:cs="Palatino Linotype"/>
          <w:i/>
          <w:sz w:val="22"/>
          <w:szCs w:val="22"/>
        </w:rPr>
        <w:t xml:space="preserve">.- Cuando las dependencias, entidades y ayuntamientos determinen optar por las modalidades de invitación restringida o adjudicación directa, deberán respaldar </w:t>
      </w:r>
      <w:r w:rsidRPr="00EA21B5">
        <w:rPr>
          <w:rFonts w:ascii="Palatino Linotype" w:eastAsia="Palatino Linotype" w:hAnsi="Palatino Linotype" w:cs="Palatino Linotype"/>
          <w:i/>
          <w:sz w:val="22"/>
          <w:szCs w:val="22"/>
        </w:rPr>
        <w:lastRenderedPageBreak/>
        <w:t xml:space="preserve">su determinación en un estudio que fundamente su conveniencia por ofrecer mejores condiciones para el Estado de México, tomando en cuenta los siguientes criterios: </w:t>
      </w:r>
    </w:p>
    <w:p w14:paraId="6F9ECE33"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I. </w:t>
      </w:r>
      <w:r w:rsidRPr="00EA21B5">
        <w:rPr>
          <w:rFonts w:ascii="Palatino Linotype" w:eastAsia="Palatino Linotype" w:hAnsi="Palatino Linotype" w:cs="Palatino Linotype"/>
          <w:i/>
          <w:sz w:val="22"/>
          <w:szCs w:val="22"/>
        </w:rPr>
        <w:t xml:space="preserve">Economía, que signifique un menor costo de la obra o servicio; </w:t>
      </w:r>
    </w:p>
    <w:p w14:paraId="3A596A6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Oportunidad, que permita satisfacer la necesidad que se atiende con la obra pública o servicio en el menor lapso posible; </w:t>
      </w:r>
    </w:p>
    <w:p w14:paraId="135385E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Eficacia, que la obra o servicio satisfaga la necesidad que la origina; </w:t>
      </w:r>
    </w:p>
    <w:p w14:paraId="0643AC68"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Eficiencia, que se dé el máximo aprovechamiento de los recursos que la dependencia, entidad o ayuntamiento asigne a la obra o servicio; </w:t>
      </w:r>
    </w:p>
    <w:p w14:paraId="6D39D6F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Imparcialidad, que la adjudicación de la obra o servicio se realice sin favorecer a ninguno de los interesados; </w:t>
      </w:r>
    </w:p>
    <w:p w14:paraId="5EF7A82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Honradez, que garantice una justa prestación para las partes involucradas; </w:t>
      </w:r>
    </w:p>
    <w:p w14:paraId="5DF9C60A"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w:t>
      </w:r>
      <w:r w:rsidRPr="00EA21B5">
        <w:rPr>
          <w:rFonts w:ascii="Palatino Linotype" w:eastAsia="Palatino Linotype" w:hAnsi="Palatino Linotype" w:cs="Palatino Linotype"/>
          <w:i/>
          <w:sz w:val="22"/>
          <w:szCs w:val="22"/>
        </w:rPr>
        <w:t>. Transparencia, que se respeten escrupulosamente en la adjudicación de la obra o servicio los procedimientos establecidos en el Libro y en este Reglamento.</w:t>
      </w:r>
    </w:p>
    <w:p w14:paraId="522F557C" w14:textId="77777777" w:rsidR="005B3916" w:rsidRPr="00EA21B5" w:rsidRDefault="005B3916" w:rsidP="005B3916">
      <w:pPr>
        <w:spacing w:before="120" w:after="12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w:t>
      </w:r>
    </w:p>
    <w:p w14:paraId="7CEF4671"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85</w:t>
      </w:r>
      <w:r w:rsidRPr="00EA21B5">
        <w:rPr>
          <w:rFonts w:ascii="Palatino Linotype" w:eastAsia="Palatino Linotype" w:hAnsi="Palatino Linotype" w:cs="Palatino Linotype"/>
          <w:i/>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026E597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La descripción general de la obra o servicio; </w:t>
      </w:r>
    </w:p>
    <w:p w14:paraId="5E69BEE1"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El informe del procedimiento de licitación pública que fue declarado desierto; </w:t>
      </w:r>
    </w:p>
    <w:p w14:paraId="19CCA97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I. La fecha probable de inicio de los trabajos y el plazo de ejecución de los mismos; </w:t>
      </w:r>
    </w:p>
    <w:p w14:paraId="5B8EF288"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El presupuesto base; </w:t>
      </w:r>
    </w:p>
    <w:p w14:paraId="15FB283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La autorización presupuestal;</w:t>
      </w:r>
    </w:p>
    <w:p w14:paraId="5F43AE6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El nombre y firma del titular del área responsable de la ejecución de los trabajos; y </w:t>
      </w:r>
    </w:p>
    <w:p w14:paraId="4285D9F7"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w:t>
      </w:r>
      <w:r w:rsidRPr="00EA21B5">
        <w:rPr>
          <w:rFonts w:ascii="Palatino Linotype" w:eastAsia="Palatino Linotype" w:hAnsi="Palatino Linotype" w:cs="Palatino Linotype"/>
          <w:i/>
          <w:sz w:val="22"/>
          <w:szCs w:val="22"/>
        </w:rPr>
        <w:t xml:space="preserve">. El formato de caso para el dictamen de procedencia de excepción. </w:t>
      </w:r>
    </w:p>
    <w:p w14:paraId="2407B5F1"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56DBB6E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En ambos procedimientos, el titular de la dependencia, entidad o ayuntamiento emitirá un acuerdo en el que autorice el procedimiento de invitación restringida por excepción </w:t>
      </w:r>
      <w:r w:rsidRPr="00EA21B5">
        <w:rPr>
          <w:rFonts w:ascii="Palatino Linotype" w:eastAsia="Palatino Linotype" w:hAnsi="Palatino Linotype" w:cs="Palatino Linotype"/>
          <w:i/>
          <w:sz w:val="22"/>
          <w:szCs w:val="22"/>
        </w:rPr>
        <w:lastRenderedPageBreak/>
        <w:t xml:space="preserve">a la licitación pública. En este acuerdo, se determinarán los plazos en que se realizarán cada una de las etapas. </w:t>
      </w:r>
    </w:p>
    <w:p w14:paraId="4604289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Articulo 86.-</w:t>
      </w:r>
      <w:r w:rsidRPr="00EA21B5">
        <w:rPr>
          <w:rFonts w:ascii="Palatino Linotype" w:eastAsia="Palatino Linotype" w:hAnsi="Palatino Linotype" w:cs="Palatino Linotype"/>
          <w:i/>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2895E19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18FBB180"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El nombre del convocante; </w:t>
      </w:r>
    </w:p>
    <w:p w14:paraId="0AD540F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El nombre y la ubicación de la obra o servicio; </w:t>
      </w:r>
    </w:p>
    <w:p w14:paraId="3229DF7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El nombre y domicilio del invitado y la referencia a su clave de registro en el catálogo de contratistas; </w:t>
      </w:r>
    </w:p>
    <w:p w14:paraId="0B6E46ED"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La invitación expresa y el señalamiento de las fechas previstas para las etapas del procedimiento; </w:t>
      </w:r>
    </w:p>
    <w:p w14:paraId="20A3A726"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La indicación de que se anexan las bases de la invitación; </w:t>
      </w:r>
    </w:p>
    <w:p w14:paraId="4150275C"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w:t>
      </w:r>
      <w:r w:rsidRPr="00EA21B5">
        <w:rPr>
          <w:rFonts w:ascii="Palatino Linotype" w:eastAsia="Palatino Linotype" w:hAnsi="Palatino Linotype" w:cs="Palatino Linotype"/>
          <w:i/>
          <w:sz w:val="22"/>
          <w:szCs w:val="22"/>
        </w:rPr>
        <w:t xml:space="preserve">. Nombre y firma del servidor público responsable del proceso; </w:t>
      </w:r>
    </w:p>
    <w:p w14:paraId="3B02C3FF"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w:t>
      </w:r>
      <w:r w:rsidRPr="00EA21B5">
        <w:rPr>
          <w:rFonts w:ascii="Palatino Linotype" w:eastAsia="Palatino Linotype" w:hAnsi="Palatino Linotype" w:cs="Palatino Linotype"/>
          <w:i/>
          <w:sz w:val="22"/>
          <w:szCs w:val="22"/>
        </w:rPr>
        <w:t xml:space="preserve">. El origen de los recursos para la realización de la obra o servicio; y </w:t>
      </w:r>
    </w:p>
    <w:p w14:paraId="7425E3BA"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VIII.</w:t>
      </w:r>
      <w:r w:rsidRPr="00EA21B5">
        <w:rPr>
          <w:rFonts w:ascii="Palatino Linotype" w:eastAsia="Palatino Linotype" w:hAnsi="Palatino Linotype" w:cs="Palatino Linotype"/>
          <w:i/>
          <w:sz w:val="22"/>
          <w:szCs w:val="22"/>
        </w:rPr>
        <w:t xml:space="preserve"> El plazo de ejecución de los trabajos, indicando la fecha estimada de inicio de los mismos. </w:t>
      </w:r>
    </w:p>
    <w:p w14:paraId="6C9E4B7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Articulo 87.-</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El procedimiento de invitación restringida seguirá los mismos pasos que el de licitación pública salvo la publicación de la convocatoria</w:t>
      </w:r>
      <w:r w:rsidRPr="00EA21B5">
        <w:rPr>
          <w:rFonts w:ascii="Palatino Linotype" w:eastAsia="Palatino Linotype" w:hAnsi="Palatino Linotype" w:cs="Palatino Linotype"/>
          <w:i/>
          <w:sz w:val="22"/>
          <w:szCs w:val="22"/>
        </w:rPr>
        <w:t>, misma que se sustituye por la invitación señalada en el artículo anterior.</w:t>
      </w:r>
    </w:p>
    <w:p w14:paraId="0FC1AF22"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88.-</w:t>
      </w:r>
      <w:r w:rsidRPr="00EA21B5">
        <w:rPr>
          <w:rFonts w:ascii="Palatino Linotype" w:eastAsia="Palatino Linotype" w:hAnsi="Palatino Linotype" w:cs="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EA21B5">
        <w:rPr>
          <w:rFonts w:ascii="Palatino Linotype" w:eastAsia="Palatino Linotype" w:hAnsi="Palatino Linotype" w:cs="Palatino Linotype"/>
          <w:i/>
          <w:sz w:val="22"/>
          <w:szCs w:val="22"/>
        </w:rPr>
        <w:t>señalo</w:t>
      </w:r>
      <w:proofErr w:type="spellEnd"/>
      <w:r w:rsidRPr="00EA21B5">
        <w:rPr>
          <w:rFonts w:ascii="Palatino Linotype" w:eastAsia="Palatino Linotype" w:hAnsi="Palatino Linotype" w:cs="Palatino Linotype"/>
          <w:i/>
          <w:sz w:val="22"/>
          <w:szCs w:val="22"/>
        </w:rPr>
        <w:t xml:space="preserve"> en el procedimiento de invitación restringida. </w:t>
      </w:r>
    </w:p>
    <w:p w14:paraId="146866EC"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04412EB9"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Artículo 89.</w:t>
      </w:r>
      <w:r w:rsidRPr="00EA21B5">
        <w:rPr>
          <w:rFonts w:ascii="Palatino Linotype" w:eastAsia="Palatino Linotype" w:hAnsi="Palatino Linotype" w:cs="Palatino Linotype"/>
          <w:i/>
          <w:sz w:val="22"/>
          <w:szCs w:val="22"/>
        </w:rPr>
        <w:t>- El titular de la dependencia, entidad o ayuntamiento emitirá un acuerdo en el que autorice el procedimiento de adjudicación directa.</w:t>
      </w:r>
    </w:p>
    <w:p w14:paraId="53AA3185"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433A8BA4" w14:textId="77777777" w:rsidR="005B3916" w:rsidRPr="00EA21B5" w:rsidRDefault="005B3916" w:rsidP="005B3916">
      <w:pPr>
        <w:spacing w:before="120" w:after="12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Articulo 91</w:t>
      </w:r>
      <w:r w:rsidRPr="00EA21B5">
        <w:rPr>
          <w:rFonts w:ascii="Palatino Linotype" w:eastAsia="Palatino Linotype" w:hAnsi="Palatino Linotype" w:cs="Palatino Linotype"/>
          <w:i/>
          <w:sz w:val="22"/>
          <w:szCs w:val="22"/>
        </w:rPr>
        <w:t>.- El convocante recibirá de la persona invitada la documentación de su propuesta para su evaluación la revisará y, en su caso, procederá a formular el contrato correspondiente.”</w:t>
      </w:r>
    </w:p>
    <w:p w14:paraId="380BE1A1"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EA21B5">
        <w:rPr>
          <w:rFonts w:ascii="Palatino Linotype" w:eastAsia="Palatino Linotype" w:hAnsi="Palatino Linotype" w:cs="Palatino Linotype"/>
          <w:b/>
          <w:sz w:val="22"/>
          <w:szCs w:val="22"/>
        </w:rPr>
        <w:t>suscribir el contrato respectivo dentro de los diez días hábiles siguientes al de la notificación del fallo</w:t>
      </w:r>
      <w:r w:rsidRPr="00EA21B5">
        <w:rPr>
          <w:rFonts w:ascii="Palatino Linotype" w:eastAsia="Palatino Linotype" w:hAnsi="Palatino Linotype" w:cs="Palatino Linotype"/>
          <w:sz w:val="22"/>
          <w:szCs w:val="22"/>
        </w:rPr>
        <w:t>.</w:t>
      </w:r>
    </w:p>
    <w:p w14:paraId="3ADBA92B" w14:textId="77777777" w:rsidR="005B3916" w:rsidRPr="00EA21B5" w:rsidRDefault="005B3916" w:rsidP="005B3916">
      <w:pPr>
        <w:spacing w:before="240" w:after="240"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En este tenor, los contratos de obra pública y servicios relacionados con la misma, deben contener, como mínimo los requisitos que establece el artículo 104 del Reglamento del Libro Décimo Segundo del Código Administrativo, a saber:</w:t>
      </w:r>
    </w:p>
    <w:p w14:paraId="17F59BA2"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La autorización presupuestal</w:t>
      </w:r>
      <w:r w:rsidRPr="00EA21B5">
        <w:rPr>
          <w:rFonts w:ascii="Palatino Linotype" w:eastAsia="Palatino Linotype" w:hAnsi="Palatino Linotype" w:cs="Palatino Linotype"/>
          <w:i/>
          <w:sz w:val="22"/>
          <w:szCs w:val="22"/>
        </w:rPr>
        <w:t xml:space="preserve"> para cubrir el compromiso derivado del contrato y sus anexos; </w:t>
      </w:r>
    </w:p>
    <w:p w14:paraId="4460547E"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w:t>
      </w: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La indicación del procedimiento</w:t>
      </w:r>
      <w:r w:rsidRPr="00EA21B5">
        <w:rPr>
          <w:rFonts w:ascii="Palatino Linotype" w:eastAsia="Palatino Linotype" w:hAnsi="Palatino Linotype" w:cs="Palatino Linotype"/>
          <w:i/>
          <w:sz w:val="22"/>
          <w:szCs w:val="22"/>
        </w:rPr>
        <w:t xml:space="preserve"> conforme al cual se adjudicó el contrato;</w:t>
      </w:r>
    </w:p>
    <w:p w14:paraId="3E9639EB"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III.</w:t>
      </w:r>
      <w:r w:rsidRPr="00EA21B5">
        <w:rPr>
          <w:rFonts w:ascii="Palatino Linotype" w:eastAsia="Palatino Linotype" w:hAnsi="Palatino Linotype" w:cs="Palatino Linotype"/>
          <w:i/>
          <w:sz w:val="22"/>
          <w:szCs w:val="22"/>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2438C58A"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IV</w:t>
      </w:r>
      <w:r w:rsidRPr="00EA21B5">
        <w:rPr>
          <w:rFonts w:ascii="Palatino Linotype" w:eastAsia="Palatino Linotype" w:hAnsi="Palatino Linotype" w:cs="Palatino Linotype"/>
          <w:i/>
          <w:sz w:val="22"/>
          <w:szCs w:val="22"/>
        </w:rPr>
        <w:t xml:space="preserve">. El precio a pagar por los trabajos objeto del contrato. En el caso de contratos mixtos, la parte y el monto que se cubrirá sobre la base de precios unitarios y la correspondiente a precio alzado; </w:t>
      </w:r>
    </w:p>
    <w:p w14:paraId="30FEF874"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w:t>
      </w:r>
      <w:r w:rsidRPr="00EA21B5">
        <w:rPr>
          <w:rFonts w:ascii="Palatino Linotype" w:eastAsia="Palatino Linotype" w:hAnsi="Palatino Linotype" w:cs="Palatino Linotype"/>
          <w:i/>
          <w:sz w:val="22"/>
          <w:szCs w:val="22"/>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408E5242"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VI</w:t>
      </w:r>
      <w:r w:rsidRPr="00EA21B5">
        <w:rPr>
          <w:rFonts w:ascii="Palatino Linotype" w:eastAsia="Palatino Linotype" w:hAnsi="Palatino Linotype" w:cs="Palatino Linotype"/>
          <w:i/>
          <w:sz w:val="22"/>
          <w:szCs w:val="22"/>
        </w:rPr>
        <w:t xml:space="preserve">. Porcentajes, número y fechas de las exhibiciones y amortización de los anticipos que se otorguen; </w:t>
      </w:r>
    </w:p>
    <w:p w14:paraId="2EF678D5" w14:textId="77777777" w:rsidR="005B3916" w:rsidRPr="00EA21B5" w:rsidRDefault="005B3916" w:rsidP="005B3916">
      <w:pPr>
        <w:spacing w:before="240" w:after="240"/>
        <w:ind w:left="567" w:right="843"/>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VII. Forma y términos de garantizar la correcta inversión de los anticipos y el cumplimiento del contrato;</w:t>
      </w:r>
    </w:p>
    <w:p w14:paraId="40864877"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VIII</w:t>
      </w:r>
      <w:r w:rsidRPr="00EA21B5">
        <w:rPr>
          <w:rFonts w:ascii="Palatino Linotype" w:eastAsia="Palatino Linotype" w:hAnsi="Palatino Linotype" w:cs="Palatino Linotype"/>
          <w:i/>
          <w:sz w:val="22"/>
          <w:szCs w:val="22"/>
        </w:rPr>
        <w:t xml:space="preserve">. Plazos, forma y lugar de pago de las estimaciones de trabajos ejecutados y, cuando corresponda, de los ajustes de costos; </w:t>
      </w:r>
    </w:p>
    <w:p w14:paraId="7A96C2D6"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IX.</w:t>
      </w:r>
      <w:r w:rsidRPr="00EA21B5">
        <w:rPr>
          <w:rFonts w:ascii="Palatino Linotype" w:eastAsia="Palatino Linotype" w:hAnsi="Palatino Linotype" w:cs="Palatino Linotype"/>
          <w:i/>
          <w:sz w:val="22"/>
          <w:szCs w:val="22"/>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04BD8222"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w:t>
      </w:r>
      <w:r w:rsidRPr="00EA21B5">
        <w:rPr>
          <w:rFonts w:ascii="Palatino Linotype" w:eastAsia="Palatino Linotype" w:hAnsi="Palatino Linotype" w:cs="Palatino Linotype"/>
          <w:i/>
          <w:sz w:val="22"/>
          <w:szCs w:val="22"/>
        </w:rPr>
        <w:t xml:space="preserve">. Términos en que el contratista, en su caso, reintegrará las cantidades que hubiere recibido en exceso por la contratación o durante la ejecución de los trabajos, para lo cual se utilizará el procedimiento que se establezca; </w:t>
      </w:r>
    </w:p>
    <w:p w14:paraId="75360586"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XI</w:t>
      </w:r>
      <w:r w:rsidRPr="00EA21B5">
        <w:rPr>
          <w:rFonts w:ascii="Palatino Linotype" w:eastAsia="Palatino Linotype" w:hAnsi="Palatino Linotype" w:cs="Palatino Linotype"/>
          <w:i/>
          <w:sz w:val="22"/>
          <w:szCs w:val="22"/>
        </w:rPr>
        <w:t xml:space="preserve">. Procedimiento de ajuste de costos que deberá ser el determinado desde las bases de la licitación por el convocante, el cual deberá regir durante la vigencia del contrato; </w:t>
      </w:r>
    </w:p>
    <w:p w14:paraId="347EE835"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XII</w:t>
      </w:r>
      <w:r w:rsidRPr="00EA21B5">
        <w:rPr>
          <w:rFonts w:ascii="Palatino Linotype" w:eastAsia="Palatino Linotype" w:hAnsi="Palatino Linotype" w:cs="Palatino Linotype"/>
          <w:i/>
          <w:sz w:val="22"/>
          <w:szCs w:val="22"/>
        </w:rPr>
        <w:t xml:space="preserve">. Causales y procedimiento mediante los cuales el contratante podrá dar por rescindido el contrato en los términos de este Reglamento; </w:t>
      </w:r>
    </w:p>
    <w:p w14:paraId="039EFCEB"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XIII. </w:t>
      </w:r>
      <w:r w:rsidRPr="00EA21B5">
        <w:rPr>
          <w:rFonts w:ascii="Palatino Linotype" w:eastAsia="Palatino Linotype" w:hAnsi="Palatino Linotype" w:cs="Palatino Linotype"/>
          <w:i/>
          <w:sz w:val="22"/>
          <w:szCs w:val="22"/>
        </w:rPr>
        <w:t>Los procedimientos mediante los cuales las partes resolverán, entre sí, las discrepancias futuras y previsibles sobre problemas específicos de carácter técnico y administrativo;</w:t>
      </w:r>
    </w:p>
    <w:p w14:paraId="055977AD"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XIV</w:t>
      </w:r>
      <w:r w:rsidRPr="00EA21B5">
        <w:rPr>
          <w:rFonts w:ascii="Palatino Linotype" w:eastAsia="Palatino Linotype" w:hAnsi="Palatino Linotype" w:cs="Palatino Linotype"/>
          <w:i/>
          <w:sz w:val="22"/>
          <w:szCs w:val="22"/>
        </w:rPr>
        <w:t xml:space="preserve">. Señalamiento del domicilio en el Estado para oír y recibir notificaciones; y </w:t>
      </w:r>
    </w:p>
    <w:p w14:paraId="5450D315"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 xml:space="preserve">XV. </w:t>
      </w:r>
      <w:r w:rsidRPr="00EA21B5">
        <w:rPr>
          <w:rFonts w:ascii="Palatino Linotype" w:eastAsia="Palatino Linotype" w:hAnsi="Palatino Linotype" w:cs="Palatino Linotype"/>
          <w:i/>
          <w:sz w:val="22"/>
          <w:szCs w:val="22"/>
        </w:rPr>
        <w:t xml:space="preserve">Manifestación de renuncia expresa al fuero que les pudiera corresponder en función de su domicilio presente o futuro en el caso de que no se encuentre en el Estado de México. </w:t>
      </w:r>
    </w:p>
    <w:p w14:paraId="3BBE9F0D" w14:textId="77777777" w:rsidR="005B3916" w:rsidRPr="00EA21B5" w:rsidRDefault="005B3916" w:rsidP="005B3916">
      <w:pPr>
        <w:spacing w:before="240" w:after="240"/>
        <w:ind w:left="567" w:right="843"/>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El contrato deberá firmarse dentro de los diez días hábiles siguientes a la notificación del fallo. Se deberá entregar al contratista una copia del contrato firmado. </w:t>
      </w:r>
    </w:p>
    <w:p w14:paraId="1AE88812" w14:textId="77777777" w:rsidR="005B3916" w:rsidRPr="00EA21B5" w:rsidRDefault="005B3916" w:rsidP="005B3916">
      <w:pPr>
        <w:spacing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Además de lo anterior, no debe perderse de vista que el artículo </w:t>
      </w:r>
      <w:r w:rsidRPr="00EA21B5">
        <w:rPr>
          <w:rFonts w:ascii="Palatino Linotype" w:hAnsi="Palatino Linotype" w:cs="Arial"/>
          <w:sz w:val="22"/>
          <w:szCs w:val="22"/>
        </w:rPr>
        <w:t xml:space="preserve">92, fracción </w:t>
      </w:r>
      <w:r w:rsidRPr="00EA21B5">
        <w:rPr>
          <w:rFonts w:ascii="Palatino Linotype" w:eastAsia="Palatino Linotype" w:hAnsi="Palatino Linotype" w:cs="Palatino Linotype"/>
          <w:sz w:val="22"/>
          <w:szCs w:val="22"/>
        </w:rPr>
        <w:t xml:space="preserve">XIX de la Ley de Transparencia y Acceso a la Información Pública del Estado de México y Municipios, la cual </w:t>
      </w:r>
      <w:r w:rsidRPr="00EA21B5">
        <w:rPr>
          <w:rFonts w:ascii="Palatino Linotype" w:hAnsi="Palatino Linotype" w:cs="Arial"/>
          <w:sz w:val="22"/>
          <w:szCs w:val="22"/>
        </w:rPr>
        <w:lastRenderedPageBreak/>
        <w:t xml:space="preserve">dispone que </w:t>
      </w:r>
      <w:r w:rsidRPr="00EA21B5">
        <w:rPr>
          <w:rFonts w:ascii="Palatino Linotype" w:eastAsia="Palatino Linotype" w:hAnsi="Palatino Linotype" w:cs="Palatino Linotype"/>
          <w:sz w:val="22"/>
          <w:szCs w:val="22"/>
        </w:rPr>
        <w:t xml:space="preserve">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65B8E5EA" w14:textId="77777777" w:rsidR="005B3916" w:rsidRPr="00EA21B5" w:rsidRDefault="005B3916" w:rsidP="005B3916">
      <w:pPr>
        <w:ind w:left="567"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Artículo 92</w:t>
      </w:r>
      <w:r w:rsidRPr="00EA21B5">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5937E0" w14:textId="77777777" w:rsidR="005B3916" w:rsidRPr="00EA21B5" w:rsidRDefault="005B3916" w:rsidP="005B3916">
      <w:pPr>
        <w:tabs>
          <w:tab w:val="left" w:pos="426"/>
        </w:tabs>
        <w:spacing w:before="120" w:after="120"/>
        <w:ind w:left="567"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56C13523" w14:textId="77777777" w:rsidR="005B3916" w:rsidRPr="00EA21B5" w:rsidRDefault="005B3916" w:rsidP="005B3916">
      <w:pPr>
        <w:tabs>
          <w:tab w:val="left" w:pos="426"/>
        </w:tabs>
        <w:spacing w:before="120" w:after="120"/>
        <w:ind w:left="567"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XXIX.</w:t>
      </w:r>
      <w:r w:rsidRPr="00EA21B5">
        <w:rPr>
          <w:rFonts w:ascii="Palatino Linotype" w:eastAsia="Palatino Linotype" w:hAnsi="Palatino Linotype" w:cs="Palatino Linotype"/>
          <w:i/>
          <w:sz w:val="22"/>
          <w:szCs w:val="22"/>
        </w:rPr>
        <w:t xml:space="preserve"> La </w:t>
      </w:r>
      <w:r w:rsidRPr="00EA21B5">
        <w:rPr>
          <w:rFonts w:ascii="Palatino Linotype" w:eastAsia="Palatino Linotype" w:hAnsi="Palatino Linotype" w:cs="Palatino Linotype"/>
          <w:b/>
          <w:i/>
          <w:sz w:val="22"/>
          <w:szCs w:val="22"/>
        </w:rPr>
        <w:t xml:space="preserve">información sobre los procesos y resultados </w:t>
      </w:r>
      <w:r w:rsidRPr="00EA21B5">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EA21B5">
        <w:rPr>
          <w:rFonts w:ascii="Palatino Linotype" w:eastAsia="Palatino Linotype" w:hAnsi="Palatino Linotype" w:cs="Palatino Linotype"/>
          <w:i/>
          <w:sz w:val="22"/>
          <w:szCs w:val="22"/>
          <w:u w:val="single"/>
        </w:rPr>
        <w:t xml:space="preserve">, </w:t>
      </w:r>
      <w:r w:rsidRPr="00EA21B5">
        <w:rPr>
          <w:rFonts w:ascii="Palatino Linotype" w:eastAsia="Palatino Linotype" w:hAnsi="Palatino Linotype" w:cs="Palatino Linotype"/>
          <w:b/>
          <w:i/>
          <w:sz w:val="22"/>
          <w:szCs w:val="22"/>
        </w:rPr>
        <w:t>incluyendo la versión pública</w:t>
      </w:r>
      <w:r w:rsidRPr="00EA21B5">
        <w:rPr>
          <w:rFonts w:ascii="Palatino Linotype" w:eastAsia="Palatino Linotype" w:hAnsi="Palatino Linotype" w:cs="Palatino Linotype"/>
          <w:i/>
          <w:sz w:val="22"/>
          <w:szCs w:val="22"/>
        </w:rPr>
        <w:t xml:space="preserve"> del expediente respectivo y </w:t>
      </w:r>
      <w:r w:rsidRPr="00EA21B5">
        <w:rPr>
          <w:rFonts w:ascii="Palatino Linotype" w:eastAsia="Palatino Linotype" w:hAnsi="Palatino Linotype" w:cs="Palatino Linotype"/>
          <w:b/>
          <w:i/>
          <w:sz w:val="22"/>
          <w:szCs w:val="22"/>
        </w:rPr>
        <w:t>de los contratos celebrados</w:t>
      </w:r>
      <w:r w:rsidRPr="00EA21B5">
        <w:rPr>
          <w:rFonts w:ascii="Palatino Linotype" w:eastAsia="Palatino Linotype" w:hAnsi="Palatino Linotype" w:cs="Palatino Linotype"/>
          <w:i/>
          <w:sz w:val="22"/>
          <w:szCs w:val="22"/>
        </w:rPr>
        <w:t>, que deberán contener, por los menos, lo siguiente:</w:t>
      </w:r>
    </w:p>
    <w:p w14:paraId="4D20525D" w14:textId="77777777" w:rsidR="005B3916" w:rsidRPr="00EA21B5" w:rsidRDefault="005B3916" w:rsidP="005B3916">
      <w:pPr>
        <w:tabs>
          <w:tab w:val="left" w:pos="426"/>
        </w:tabs>
        <w:spacing w:before="120" w:after="120"/>
        <w:ind w:left="993"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a) De licitaciones públicas o procedimientos de invitación restringida:</w:t>
      </w:r>
    </w:p>
    <w:p w14:paraId="6C048622"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w:t>
      </w:r>
      <w:r w:rsidRPr="00EA21B5">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049ACA14"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2)</w:t>
      </w:r>
      <w:r w:rsidRPr="00EA21B5">
        <w:rPr>
          <w:rFonts w:ascii="Palatino Linotype" w:eastAsia="Palatino Linotype" w:hAnsi="Palatino Linotype" w:cs="Palatino Linotype"/>
          <w:i/>
          <w:sz w:val="22"/>
          <w:szCs w:val="22"/>
        </w:rPr>
        <w:t xml:space="preserve"> Los nombres de los participantes o invitados;</w:t>
      </w:r>
    </w:p>
    <w:p w14:paraId="41472154"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3)</w:t>
      </w:r>
      <w:r w:rsidRPr="00EA21B5">
        <w:rPr>
          <w:rFonts w:ascii="Palatino Linotype" w:eastAsia="Palatino Linotype" w:hAnsi="Palatino Linotype" w:cs="Palatino Linotype"/>
          <w:i/>
          <w:sz w:val="22"/>
          <w:szCs w:val="22"/>
        </w:rPr>
        <w:t xml:space="preserve"> El nombre del ganador y las razones que lo justifican;</w:t>
      </w:r>
    </w:p>
    <w:p w14:paraId="60D678F8"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4)</w:t>
      </w:r>
      <w:r w:rsidRPr="00EA21B5">
        <w:rPr>
          <w:rFonts w:ascii="Palatino Linotype" w:eastAsia="Palatino Linotype" w:hAnsi="Palatino Linotype" w:cs="Palatino Linotype"/>
          <w:i/>
          <w:sz w:val="22"/>
          <w:szCs w:val="22"/>
        </w:rPr>
        <w:t xml:space="preserve"> El área solicitante y la responsable de su ejecución;</w:t>
      </w:r>
    </w:p>
    <w:p w14:paraId="1EEB99B0"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5)</w:t>
      </w:r>
      <w:r w:rsidRPr="00EA21B5">
        <w:rPr>
          <w:rFonts w:ascii="Palatino Linotype" w:eastAsia="Palatino Linotype" w:hAnsi="Palatino Linotype" w:cs="Palatino Linotype"/>
          <w:i/>
          <w:sz w:val="22"/>
          <w:szCs w:val="22"/>
        </w:rPr>
        <w:t xml:space="preserve"> Las convocatorias e invitaciones emitidas; </w:t>
      </w:r>
    </w:p>
    <w:p w14:paraId="4F73B560"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6)</w:t>
      </w:r>
      <w:r w:rsidRPr="00EA21B5">
        <w:rPr>
          <w:rFonts w:ascii="Palatino Linotype" w:eastAsia="Palatino Linotype" w:hAnsi="Palatino Linotype" w:cs="Palatino Linotype"/>
          <w:i/>
          <w:sz w:val="22"/>
          <w:szCs w:val="22"/>
        </w:rPr>
        <w:t xml:space="preserve"> Los dictámenes y fallo de adjudicación;</w:t>
      </w:r>
    </w:p>
    <w:p w14:paraId="250205CF"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7) El contrato y, en su caso, sus anexos; </w:t>
      </w:r>
    </w:p>
    <w:p w14:paraId="59A5992F"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8)</w:t>
      </w:r>
      <w:r w:rsidRPr="00EA21B5">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40F288C0"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374FE13"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lastRenderedPageBreak/>
        <w:t>10)</w:t>
      </w:r>
      <w:r w:rsidRPr="00EA21B5">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2A43EDF4"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11)</w:t>
      </w:r>
      <w:r w:rsidRPr="00EA21B5">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0B0C7552"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12)</w:t>
      </w:r>
      <w:r w:rsidRPr="00EA21B5">
        <w:rPr>
          <w:rFonts w:ascii="Palatino Linotype" w:eastAsia="Palatino Linotype" w:hAnsi="Palatino Linotype" w:cs="Palatino Linotype"/>
          <w:i/>
          <w:sz w:val="22"/>
          <w:szCs w:val="22"/>
        </w:rPr>
        <w:t xml:space="preserve"> Los informes de avance físico y financiero sobre las obras o servicios contratados; </w:t>
      </w:r>
    </w:p>
    <w:p w14:paraId="77FD8FCC"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13)</w:t>
      </w:r>
      <w:r w:rsidRPr="00EA21B5">
        <w:rPr>
          <w:rFonts w:ascii="Palatino Linotype" w:eastAsia="Palatino Linotype" w:hAnsi="Palatino Linotype" w:cs="Palatino Linotype"/>
          <w:i/>
          <w:sz w:val="22"/>
          <w:szCs w:val="22"/>
        </w:rPr>
        <w:t xml:space="preserve"> El convenio de terminación; </w:t>
      </w:r>
    </w:p>
    <w:p w14:paraId="55826A1D"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14)</w:t>
      </w:r>
      <w:r w:rsidRPr="00EA21B5">
        <w:rPr>
          <w:rFonts w:ascii="Palatino Linotype" w:eastAsia="Palatino Linotype" w:hAnsi="Palatino Linotype" w:cs="Palatino Linotype"/>
          <w:i/>
          <w:sz w:val="22"/>
          <w:szCs w:val="22"/>
        </w:rPr>
        <w:t xml:space="preserve"> El finiquito.</w:t>
      </w:r>
    </w:p>
    <w:p w14:paraId="072DAEAF" w14:textId="77777777" w:rsidR="005B3916" w:rsidRPr="00EA21B5" w:rsidRDefault="005B3916" w:rsidP="005B3916">
      <w:pPr>
        <w:tabs>
          <w:tab w:val="left" w:pos="426"/>
        </w:tabs>
        <w:spacing w:before="120" w:after="120"/>
        <w:ind w:left="993"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b) De las adjudicaciones directas: </w:t>
      </w:r>
    </w:p>
    <w:p w14:paraId="7E93225F"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w:t>
      </w:r>
      <w:r w:rsidRPr="00EA21B5">
        <w:rPr>
          <w:rFonts w:ascii="Palatino Linotype" w:eastAsia="Palatino Linotype" w:hAnsi="Palatino Linotype" w:cs="Palatino Linotype"/>
          <w:i/>
          <w:sz w:val="22"/>
          <w:szCs w:val="22"/>
        </w:rPr>
        <w:t xml:space="preserve"> La propuesta enviada por el participante; </w:t>
      </w:r>
    </w:p>
    <w:p w14:paraId="6D9A9C8E"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2)</w:t>
      </w:r>
      <w:r w:rsidRPr="00EA21B5">
        <w:rPr>
          <w:rFonts w:ascii="Palatino Linotype" w:eastAsia="Palatino Linotype" w:hAnsi="Palatino Linotype" w:cs="Palatino Linotype"/>
          <w:i/>
          <w:sz w:val="22"/>
          <w:szCs w:val="22"/>
        </w:rPr>
        <w:t xml:space="preserve"> Los motivos y fundamentos legales aplicados para llevarla a cabo;</w:t>
      </w:r>
    </w:p>
    <w:p w14:paraId="5F74F223"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3) La autorización del ejercicio de la opción; </w:t>
      </w:r>
    </w:p>
    <w:p w14:paraId="247A20FA"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4) </w:t>
      </w:r>
      <w:r w:rsidRPr="00EA21B5">
        <w:rPr>
          <w:rFonts w:ascii="Palatino Linotype" w:eastAsia="Palatino Linotype" w:hAnsi="Palatino Linotype" w:cs="Palatino Linotype"/>
          <w:i/>
          <w:sz w:val="22"/>
          <w:szCs w:val="22"/>
        </w:rPr>
        <w:t>En su caso, las cotizaciones consideradas, especificando los nombres de los proveedores y sus montos;</w:t>
      </w:r>
      <w:r w:rsidRPr="00EA21B5">
        <w:rPr>
          <w:rFonts w:ascii="Palatino Linotype" w:eastAsia="Palatino Linotype" w:hAnsi="Palatino Linotype" w:cs="Palatino Linotype"/>
          <w:b/>
          <w:i/>
          <w:sz w:val="22"/>
          <w:szCs w:val="22"/>
        </w:rPr>
        <w:t xml:space="preserve"> </w:t>
      </w:r>
    </w:p>
    <w:p w14:paraId="7C4FDEC0"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5)</w:t>
      </w:r>
      <w:r w:rsidRPr="00EA21B5">
        <w:rPr>
          <w:rFonts w:ascii="Palatino Linotype" w:eastAsia="Palatino Linotype" w:hAnsi="Palatino Linotype" w:cs="Palatino Linotype"/>
          <w:i/>
          <w:sz w:val="22"/>
          <w:szCs w:val="22"/>
        </w:rPr>
        <w:t xml:space="preserve"> El nombre de la persona física o jurídica colectiva adjudicada; </w:t>
      </w:r>
    </w:p>
    <w:p w14:paraId="1F2153FA"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6)</w:t>
      </w:r>
      <w:r w:rsidRPr="00EA21B5">
        <w:rPr>
          <w:rFonts w:ascii="Palatino Linotype" w:eastAsia="Palatino Linotype" w:hAnsi="Palatino Linotype" w:cs="Palatino Linotype"/>
          <w:i/>
          <w:sz w:val="22"/>
          <w:szCs w:val="22"/>
        </w:rPr>
        <w:t xml:space="preserve"> La unidad administrativa solicitante y la responsable de su ejecución; </w:t>
      </w:r>
    </w:p>
    <w:p w14:paraId="5C9F6AC5"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b/>
          <w:i/>
          <w:sz w:val="22"/>
          <w:szCs w:val="22"/>
        </w:rPr>
      </w:pPr>
      <w:r w:rsidRPr="00EA21B5">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6ACFF64F"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8)</w:t>
      </w:r>
      <w:r w:rsidRPr="00EA21B5">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4729205F"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9)</w:t>
      </w:r>
      <w:r w:rsidRPr="00EA21B5">
        <w:rPr>
          <w:rFonts w:ascii="Palatino Linotype" w:eastAsia="Palatino Linotype" w:hAnsi="Palatino Linotype" w:cs="Palatino Linotype"/>
          <w:i/>
          <w:sz w:val="22"/>
          <w:szCs w:val="22"/>
        </w:rPr>
        <w:t xml:space="preserve"> Los informes de avance sobre las obras o servicios contratados; </w:t>
      </w:r>
    </w:p>
    <w:p w14:paraId="0FCBB71A"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10)</w:t>
      </w:r>
      <w:r w:rsidRPr="00EA21B5">
        <w:rPr>
          <w:rFonts w:ascii="Palatino Linotype" w:eastAsia="Palatino Linotype" w:hAnsi="Palatino Linotype" w:cs="Palatino Linotype"/>
          <w:i/>
          <w:sz w:val="22"/>
          <w:szCs w:val="22"/>
        </w:rPr>
        <w:t xml:space="preserve"> El convenio de terminación; y </w:t>
      </w:r>
    </w:p>
    <w:p w14:paraId="153C2B14" w14:textId="77777777" w:rsidR="005B3916" w:rsidRPr="00EA21B5" w:rsidRDefault="005B3916" w:rsidP="005B3916">
      <w:pPr>
        <w:tabs>
          <w:tab w:val="left" w:pos="426"/>
        </w:tabs>
        <w:spacing w:before="120" w:after="120"/>
        <w:ind w:left="1418" w:right="902"/>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11)</w:t>
      </w:r>
      <w:r w:rsidRPr="00EA21B5">
        <w:rPr>
          <w:rFonts w:ascii="Palatino Linotype" w:eastAsia="Palatino Linotype" w:hAnsi="Palatino Linotype" w:cs="Palatino Linotype"/>
          <w:i/>
          <w:sz w:val="22"/>
          <w:szCs w:val="22"/>
        </w:rPr>
        <w:t xml:space="preserve"> El finiquito;”</w:t>
      </w:r>
    </w:p>
    <w:p w14:paraId="404D4E72" w14:textId="77777777" w:rsidR="005B3916" w:rsidRPr="00EA21B5" w:rsidRDefault="005B3916" w:rsidP="005B3916">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70C73D62" w14:textId="77777777" w:rsidR="005B3916" w:rsidRPr="00EA21B5" w:rsidRDefault="005B3916" w:rsidP="005B3916">
      <w:pPr>
        <w:tabs>
          <w:tab w:val="left" w:pos="709"/>
        </w:tabs>
        <w:spacing w:before="240"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 xml:space="preserve">●        </w:t>
      </w:r>
      <w:r w:rsidRPr="00EA21B5">
        <w:rPr>
          <w:rFonts w:ascii="Palatino Linotype" w:eastAsia="Palatino Linotype" w:hAnsi="Palatino Linotype" w:cs="Palatino Linotype"/>
          <w:b/>
          <w:sz w:val="22"/>
          <w:szCs w:val="22"/>
        </w:rPr>
        <w:t xml:space="preserve">Licitación pública: </w:t>
      </w:r>
      <w:r w:rsidRPr="00EA21B5">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68ACDDE" w14:textId="77777777" w:rsidR="005B3916" w:rsidRPr="00EA21B5" w:rsidRDefault="005B3916" w:rsidP="005B3916">
      <w:pPr>
        <w:tabs>
          <w:tab w:val="left" w:pos="709"/>
        </w:tabs>
        <w:spacing w:before="240"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 xml:space="preserve">Invitación restringida: </w:t>
      </w:r>
      <w:r w:rsidRPr="00EA21B5">
        <w:rPr>
          <w:rFonts w:ascii="Palatino Linotype" w:eastAsia="Palatino Linotype" w:hAnsi="Palatino Linotype" w:cs="Palatino Linotype"/>
          <w:sz w:val="22"/>
          <w:szCs w:val="22"/>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6087B77" w14:textId="77777777" w:rsidR="005B3916" w:rsidRPr="00EA21B5" w:rsidRDefault="005B3916" w:rsidP="005B3916">
      <w:pPr>
        <w:tabs>
          <w:tab w:val="left" w:pos="709"/>
        </w:tabs>
        <w:spacing w:before="240"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 xml:space="preserve">Adjudicaciones directas: </w:t>
      </w:r>
      <w:r w:rsidRPr="00EA21B5">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7E755872" w14:textId="77777777" w:rsidR="005B3916" w:rsidRPr="00EA21B5" w:rsidRDefault="005B3916" w:rsidP="005B3916">
      <w:pPr>
        <w:spacing w:after="240" w:line="360" w:lineRule="auto"/>
        <w:jc w:val="both"/>
        <w:rPr>
          <w:rFonts w:ascii="Palatino Linotype" w:eastAsia="Palatino Linotype" w:hAnsi="Palatino Linotype" w:cs="Palatino Linotype"/>
          <w:b/>
          <w:sz w:val="22"/>
          <w:szCs w:val="22"/>
        </w:rPr>
      </w:pPr>
      <w:r w:rsidRPr="00EA21B5">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w:t>
      </w:r>
      <w:r w:rsidRPr="00EA21B5">
        <w:rPr>
          <w:rFonts w:ascii="Palatino Linotype" w:eastAsia="Palatino Linotype" w:hAnsi="Palatino Linotype" w:cs="Palatino Linotype"/>
          <w:sz w:val="22"/>
          <w:szCs w:val="22"/>
        </w:rPr>
        <w:lastRenderedPageBreak/>
        <w:t xml:space="preserve">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EA21B5">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b/>
          <w:sz w:val="22"/>
          <w:szCs w:val="22"/>
        </w:rPr>
        <w:t xml:space="preserve">especificando para cada tipo de procedimiento la materia, pudiendo ser </w:t>
      </w:r>
      <w:r w:rsidRPr="00EA21B5">
        <w:rPr>
          <w:rFonts w:ascii="Palatino Linotype" w:eastAsia="Palatino Linotype" w:hAnsi="Palatino Linotype" w:cs="Palatino Linotype"/>
          <w:b/>
          <w:sz w:val="22"/>
          <w:szCs w:val="22"/>
          <w:u w:val="single"/>
        </w:rPr>
        <w:t>obra pública, servicios relacionados con obra pública</w:t>
      </w:r>
      <w:r w:rsidRPr="00EA21B5">
        <w:rPr>
          <w:rFonts w:ascii="Palatino Linotype" w:eastAsia="Palatino Linotype" w:hAnsi="Palatino Linotype" w:cs="Palatino Linotype"/>
          <w:sz w:val="22"/>
          <w:szCs w:val="22"/>
        </w:rPr>
        <w:t>,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76CF13E8" w14:textId="77777777" w:rsidR="005B3916" w:rsidRPr="00EA21B5" w:rsidRDefault="005B3916" w:rsidP="005B3916">
      <w:pPr>
        <w:spacing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Ahora bien, se determina que el Sujeto Obligado tiene el deber de generar la información relacionada con presupuesto asignado y ejercido, así como el año de ejecución de las obras públicas que se realizan dentro del territorio municipal, así como las que se tienen planeadas para el transcurso del ejercicio fiscal.</w:t>
      </w:r>
    </w:p>
    <w:p w14:paraId="013BAD49" w14:textId="77777777" w:rsidR="00FF2C34" w:rsidRPr="00EA21B5" w:rsidRDefault="005B3916" w:rsidP="00FF2C34">
      <w:pPr>
        <w:spacing w:line="360" w:lineRule="auto"/>
        <w:ind w:right="-7"/>
        <w:jc w:val="both"/>
        <w:rPr>
          <w:rFonts w:ascii="Palatino Linotype" w:hAnsi="Palatino Linotype"/>
          <w:sz w:val="22"/>
          <w:szCs w:val="22"/>
        </w:rPr>
      </w:pPr>
      <w:r w:rsidRPr="00EA21B5">
        <w:rPr>
          <w:rFonts w:ascii="Palatino Linotype" w:hAnsi="Palatino Linotype"/>
          <w:sz w:val="22"/>
          <w:szCs w:val="22"/>
        </w:rPr>
        <w:t>Dicho lo anterior, s</w:t>
      </w:r>
      <w:r w:rsidR="00602DE7" w:rsidRPr="00EA21B5">
        <w:rPr>
          <w:rFonts w:ascii="Palatino Linotype" w:hAnsi="Palatino Linotype"/>
          <w:sz w:val="22"/>
          <w:szCs w:val="22"/>
        </w:rPr>
        <w:t>e tiene que el Sujeto Obligado turnó la solicitud a la Dirección de Administración y la Dirección de Obras Públicas, áreas que cuentan con las siguientes atribuciones:</w:t>
      </w:r>
    </w:p>
    <w:p w14:paraId="697382B0" w14:textId="77777777" w:rsidR="00602DE7" w:rsidRPr="00EA21B5" w:rsidRDefault="00602DE7" w:rsidP="00FF2C34">
      <w:pPr>
        <w:spacing w:line="360" w:lineRule="auto"/>
        <w:ind w:right="-7"/>
        <w:jc w:val="both"/>
        <w:rPr>
          <w:rFonts w:ascii="Palatino Linotype" w:hAnsi="Palatino Linotype"/>
          <w:sz w:val="22"/>
          <w:szCs w:val="22"/>
        </w:rPr>
      </w:pPr>
    </w:p>
    <w:p w14:paraId="0F698A7C" w14:textId="77777777" w:rsidR="00602DE7" w:rsidRPr="00EA21B5" w:rsidRDefault="00602DE7" w:rsidP="00DE20E2">
      <w:pPr>
        <w:ind w:left="567" w:right="843"/>
        <w:jc w:val="center"/>
        <w:rPr>
          <w:rFonts w:ascii="Palatino Linotype" w:hAnsi="Palatino Linotype"/>
          <w:b/>
          <w:i/>
          <w:sz w:val="22"/>
          <w:szCs w:val="22"/>
        </w:rPr>
      </w:pPr>
      <w:r w:rsidRPr="00EA21B5">
        <w:rPr>
          <w:rFonts w:ascii="Palatino Linotype" w:hAnsi="Palatino Linotype"/>
          <w:b/>
          <w:i/>
          <w:sz w:val="22"/>
          <w:szCs w:val="22"/>
        </w:rPr>
        <w:t>CAPÍTULO VI</w:t>
      </w:r>
    </w:p>
    <w:p w14:paraId="5EF26F3E" w14:textId="77777777" w:rsidR="00602DE7" w:rsidRPr="00EA21B5" w:rsidRDefault="00602DE7" w:rsidP="00DE20E2">
      <w:pPr>
        <w:ind w:left="567" w:right="843"/>
        <w:jc w:val="center"/>
        <w:rPr>
          <w:rFonts w:ascii="Palatino Linotype" w:hAnsi="Palatino Linotype"/>
          <w:b/>
          <w:i/>
          <w:sz w:val="22"/>
          <w:szCs w:val="22"/>
        </w:rPr>
      </w:pPr>
      <w:r w:rsidRPr="00EA21B5">
        <w:rPr>
          <w:rFonts w:ascii="Palatino Linotype" w:hAnsi="Palatino Linotype"/>
          <w:b/>
          <w:i/>
          <w:sz w:val="22"/>
          <w:szCs w:val="22"/>
        </w:rPr>
        <w:t>DE LA DIRECCIÓN DE ADMINISTRACIÓN</w:t>
      </w:r>
    </w:p>
    <w:p w14:paraId="15A28035"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35- La Dirección de Administración estará a cargo de un </w:t>
      </w:r>
      <w:proofErr w:type="gramStart"/>
      <w:r w:rsidRPr="00EA21B5">
        <w:rPr>
          <w:rFonts w:ascii="Palatino Linotype" w:hAnsi="Palatino Linotype"/>
          <w:i/>
          <w:sz w:val="22"/>
          <w:szCs w:val="22"/>
        </w:rPr>
        <w:t>Director</w:t>
      </w:r>
      <w:proofErr w:type="gramEnd"/>
      <w:r w:rsidRPr="00EA21B5">
        <w:rPr>
          <w:rFonts w:ascii="Palatino Linotype" w:hAnsi="Palatino Linotype"/>
          <w:i/>
          <w:sz w:val="22"/>
          <w:szCs w:val="22"/>
        </w:rPr>
        <w:t xml:space="preserve"> o Directora, mismo (a) que deberá de ser nombrado por el propio Ayuntamiento a propuesta del C. </w:t>
      </w:r>
      <w:r w:rsidRPr="00EA21B5">
        <w:rPr>
          <w:rFonts w:ascii="Palatino Linotype" w:hAnsi="Palatino Linotype"/>
          <w:i/>
          <w:sz w:val="22"/>
          <w:szCs w:val="22"/>
        </w:rPr>
        <w:lastRenderedPageBreak/>
        <w:t xml:space="preserve">Presidente Municipal conforme a lo establecido en el artículo 31, fracción XVII de la Ley Orgánica Municipal. Sus funciones y atribuciones serán las establecidas en su Manual de Organización; así como en su Reglamento Interno y demás disposiciones legales aplicables en la materia. </w:t>
      </w:r>
    </w:p>
    <w:p w14:paraId="161D2D33" w14:textId="77777777" w:rsidR="00DE20E2" w:rsidRPr="00EA21B5" w:rsidRDefault="00DE20E2" w:rsidP="00DE20E2">
      <w:pPr>
        <w:ind w:left="567" w:right="843"/>
        <w:jc w:val="both"/>
        <w:rPr>
          <w:rFonts w:ascii="Palatino Linotype" w:hAnsi="Palatino Linotype"/>
          <w:i/>
          <w:sz w:val="22"/>
          <w:szCs w:val="22"/>
        </w:rPr>
      </w:pPr>
    </w:p>
    <w:p w14:paraId="785BBCFD"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36- La Dirección de Administración, en apego a las normas aplicables, será la responsable de administrar de manera oportuna, eficaz y eficiente los recursos materiales, parque vehicular y de servicios generales, en conjunto con la gestión y capacitación de los recursos humanos para el cumplimiento de los objetivos y metas establecidas en el Plan de Desarrollo Municipal, en un marco de transparencia y de rendición de cuentas. </w:t>
      </w:r>
    </w:p>
    <w:p w14:paraId="726E3057" w14:textId="77777777" w:rsidR="00DE20E2" w:rsidRPr="00EA21B5" w:rsidRDefault="00DE20E2" w:rsidP="00DE20E2">
      <w:pPr>
        <w:ind w:left="567" w:right="843"/>
        <w:jc w:val="both"/>
        <w:rPr>
          <w:rFonts w:ascii="Palatino Linotype" w:hAnsi="Palatino Linotype"/>
          <w:i/>
          <w:sz w:val="22"/>
          <w:szCs w:val="22"/>
        </w:rPr>
      </w:pPr>
    </w:p>
    <w:p w14:paraId="08417252"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37- Para efectos de contratación de personal, la Dirección de Administración será responsable de implementar mecanismos de control interno que le permitan verificar la correcta integración de los expedientes personales de las personas servidoras públicas aspirantes para ocupar las Titularidades de las Dependencias y Unidades Administrativas Internas del Gobierno de Chalco; ello en apego a lo establecido en la normatividad aplicable. </w:t>
      </w:r>
    </w:p>
    <w:p w14:paraId="51CB58E1" w14:textId="77777777" w:rsidR="00DE20E2" w:rsidRPr="00EA21B5" w:rsidRDefault="00DE20E2" w:rsidP="00DE20E2">
      <w:pPr>
        <w:ind w:left="567" w:right="843"/>
        <w:jc w:val="both"/>
        <w:rPr>
          <w:rFonts w:ascii="Palatino Linotype" w:hAnsi="Palatino Linotype"/>
          <w:i/>
          <w:sz w:val="22"/>
          <w:szCs w:val="22"/>
        </w:rPr>
      </w:pPr>
    </w:p>
    <w:p w14:paraId="011D8636"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38- La Dirección de Administración, será responsable de: </w:t>
      </w:r>
    </w:p>
    <w:p w14:paraId="64B26A41"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I. Promover la integración y ejecución del programa de capacitación para la profesionalización de las servidoras y servidores públicos; </w:t>
      </w:r>
    </w:p>
    <w:p w14:paraId="2BA33900" w14:textId="77777777" w:rsidR="00DE20E2" w:rsidRPr="00EA21B5" w:rsidRDefault="00602DE7" w:rsidP="00DE20E2">
      <w:pPr>
        <w:ind w:left="567" w:right="843"/>
        <w:jc w:val="both"/>
        <w:rPr>
          <w:rFonts w:ascii="Palatino Linotype" w:hAnsi="Palatino Linotype"/>
          <w:b/>
          <w:i/>
          <w:sz w:val="22"/>
          <w:szCs w:val="22"/>
        </w:rPr>
      </w:pPr>
      <w:r w:rsidRPr="00EA21B5">
        <w:rPr>
          <w:rFonts w:ascii="Palatino Linotype" w:hAnsi="Palatino Linotype"/>
          <w:b/>
          <w:i/>
          <w:sz w:val="22"/>
          <w:szCs w:val="22"/>
        </w:rPr>
        <w:t xml:space="preserve">II. Establecer y verificar que se apliquen los procedimientos en materia de personal para la contratación, estímulos, sanciones, permisos, licencias y control de nómina; </w:t>
      </w:r>
    </w:p>
    <w:p w14:paraId="2FCE7DD5"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III. Coordinar las acciones para la conformación del programa anual de adquisiciones; </w:t>
      </w:r>
    </w:p>
    <w:p w14:paraId="1FBE1D23" w14:textId="77777777" w:rsidR="00DE20E2" w:rsidRPr="00EA21B5" w:rsidRDefault="00602DE7" w:rsidP="00DE20E2">
      <w:pPr>
        <w:ind w:left="567" w:right="843"/>
        <w:jc w:val="both"/>
        <w:rPr>
          <w:rFonts w:ascii="Palatino Linotype" w:hAnsi="Palatino Linotype"/>
          <w:b/>
          <w:i/>
          <w:sz w:val="22"/>
          <w:szCs w:val="22"/>
        </w:rPr>
      </w:pPr>
      <w:r w:rsidRPr="00EA21B5">
        <w:rPr>
          <w:rFonts w:ascii="Palatino Linotype" w:hAnsi="Palatino Linotype"/>
          <w:b/>
          <w:i/>
          <w:sz w:val="22"/>
          <w:szCs w:val="22"/>
        </w:rPr>
        <w:t xml:space="preserve">IV. En coordinación con la Dirección de Obras Públicas, emitir un programa de mantenimiento preventivo y correctivo, según sea el caso y en su respectivo ámbito de competencia para los inmuebles propiedad del Gobierno de Chalco; </w:t>
      </w:r>
    </w:p>
    <w:p w14:paraId="5B708980" w14:textId="77777777" w:rsidR="00602DE7"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V. Supervisar el cumplimiento de las normas y disposiciones legales en materia de adquisiciones de bienes o contratación de servicios;</w:t>
      </w:r>
    </w:p>
    <w:p w14:paraId="0757DFC6"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 Coordinar la celebración de concursos y contratos para la adquisición de bienes o servicios necesarios para el desarrollo y cumplimiento de las funciones de las Dependencias Administrativas Centralizadas; </w:t>
      </w:r>
    </w:p>
    <w:p w14:paraId="51307476"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VII. Coordinar y supervisar los mecanismos administrativos para optimizar y racionalizar el gasto correspondiente; </w:t>
      </w:r>
    </w:p>
    <w:p w14:paraId="4AF0C249"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VIII. Coordinar la actualización de los registros y controles de asistencia y puntualidad del personal adscrito a las Dependencias Administrativas; </w:t>
      </w:r>
    </w:p>
    <w:p w14:paraId="115A482F"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lastRenderedPageBreak/>
        <w:t xml:space="preserve">IX. Supervisar el control del parque vehicular del Gobierno de Chalco en cuanto a su asignación, mantenimiento y suministro; así como los diferentes trámites administrativos que requieran en la materia; </w:t>
      </w:r>
    </w:p>
    <w:p w14:paraId="4F8FE87F"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X. Supervisar la actualización de la plantilla de personal de las Dependencias Administrativas para el control del registro interno de movimientos;</w:t>
      </w:r>
    </w:p>
    <w:p w14:paraId="5ED73D88"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XI. Supervisar que las acciones en materia de servicios generales y de apoyo logístico se proporcionen de manera oportuna a las Dependencias Administrativas que lo soliciten; y </w:t>
      </w:r>
    </w:p>
    <w:p w14:paraId="02606BBE"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XII. Las demás inherentes en el ámbito de su competencia. </w:t>
      </w:r>
    </w:p>
    <w:p w14:paraId="481209A0" w14:textId="77777777" w:rsidR="00DE20E2" w:rsidRPr="00EA21B5" w:rsidRDefault="00DE20E2" w:rsidP="00DE20E2">
      <w:pPr>
        <w:ind w:left="567" w:right="843"/>
        <w:jc w:val="both"/>
        <w:rPr>
          <w:rFonts w:ascii="Palatino Linotype" w:hAnsi="Palatino Linotype"/>
          <w:i/>
          <w:sz w:val="22"/>
          <w:szCs w:val="22"/>
        </w:rPr>
      </w:pPr>
    </w:p>
    <w:p w14:paraId="77082267" w14:textId="77777777" w:rsidR="00DE20E2" w:rsidRPr="00EA21B5" w:rsidRDefault="00602DE7" w:rsidP="00DE20E2">
      <w:pPr>
        <w:ind w:left="567" w:right="843"/>
        <w:jc w:val="center"/>
        <w:rPr>
          <w:rFonts w:ascii="Palatino Linotype" w:hAnsi="Palatino Linotype"/>
          <w:b/>
          <w:i/>
          <w:sz w:val="22"/>
          <w:szCs w:val="22"/>
        </w:rPr>
      </w:pPr>
      <w:r w:rsidRPr="00EA21B5">
        <w:rPr>
          <w:rFonts w:ascii="Palatino Linotype" w:hAnsi="Palatino Linotype"/>
          <w:b/>
          <w:i/>
          <w:sz w:val="22"/>
          <w:szCs w:val="22"/>
        </w:rPr>
        <w:t>CAPÍTULO VII</w:t>
      </w:r>
    </w:p>
    <w:p w14:paraId="0E1CD41D" w14:textId="77777777" w:rsidR="00DE20E2" w:rsidRPr="00EA21B5" w:rsidRDefault="00602DE7" w:rsidP="00DE20E2">
      <w:pPr>
        <w:ind w:left="567" w:right="843"/>
        <w:jc w:val="center"/>
        <w:rPr>
          <w:rFonts w:ascii="Palatino Linotype" w:hAnsi="Palatino Linotype"/>
          <w:b/>
          <w:i/>
          <w:sz w:val="22"/>
          <w:szCs w:val="22"/>
        </w:rPr>
      </w:pPr>
      <w:r w:rsidRPr="00EA21B5">
        <w:rPr>
          <w:rFonts w:ascii="Palatino Linotype" w:hAnsi="Palatino Linotype"/>
          <w:b/>
          <w:i/>
          <w:sz w:val="22"/>
          <w:szCs w:val="22"/>
        </w:rPr>
        <w:t>DE LA DIRECCIÓN DE OBRAS PÚBLICAS</w:t>
      </w:r>
    </w:p>
    <w:p w14:paraId="03021868"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39- La Dirección de Obras Públicas estará a cargo de un </w:t>
      </w:r>
      <w:proofErr w:type="gramStart"/>
      <w:r w:rsidRPr="00EA21B5">
        <w:rPr>
          <w:rFonts w:ascii="Palatino Linotype" w:hAnsi="Palatino Linotype"/>
          <w:i/>
          <w:sz w:val="22"/>
          <w:szCs w:val="22"/>
        </w:rPr>
        <w:t>Director</w:t>
      </w:r>
      <w:proofErr w:type="gramEnd"/>
      <w:r w:rsidRPr="00EA21B5">
        <w:rPr>
          <w:rFonts w:ascii="Palatino Linotype" w:hAnsi="Palatino Linotype"/>
          <w:i/>
          <w:sz w:val="22"/>
          <w:szCs w:val="22"/>
        </w:rPr>
        <w:t xml:space="preserve"> o Directora, mismo (a) que deberá de ser nombrado por el propio Ayuntamiento a propuesta del C. Presidente Municipal conforme a lo establecido en el artículo 31, fracción XVII de la Ley Orgánica Municipal. Sus funciones y atribuciones serán las establecidas en el artículo 96 Bis de la Ley Orgánica Municipal, su Manual de Organización; así como en su Reglamento Interno y demás disposiciones legales aplicables en la materia. </w:t>
      </w:r>
    </w:p>
    <w:p w14:paraId="026F0648" w14:textId="77777777" w:rsidR="00DE20E2" w:rsidRPr="00EA21B5" w:rsidRDefault="00DE20E2" w:rsidP="00DE20E2">
      <w:pPr>
        <w:ind w:left="567" w:right="843"/>
        <w:jc w:val="both"/>
        <w:rPr>
          <w:rFonts w:ascii="Palatino Linotype" w:hAnsi="Palatino Linotype"/>
          <w:i/>
          <w:sz w:val="22"/>
          <w:szCs w:val="22"/>
        </w:rPr>
      </w:pPr>
    </w:p>
    <w:p w14:paraId="7850A9FC"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40- Para ser </w:t>
      </w:r>
      <w:proofErr w:type="gramStart"/>
      <w:r w:rsidRPr="00EA21B5">
        <w:rPr>
          <w:rFonts w:ascii="Palatino Linotype" w:hAnsi="Palatino Linotype"/>
          <w:i/>
          <w:sz w:val="22"/>
          <w:szCs w:val="22"/>
        </w:rPr>
        <w:t>Director</w:t>
      </w:r>
      <w:proofErr w:type="gramEnd"/>
      <w:r w:rsidRPr="00EA21B5">
        <w:rPr>
          <w:rFonts w:ascii="Palatino Linotype" w:hAnsi="Palatino Linotype"/>
          <w:i/>
          <w:sz w:val="22"/>
          <w:szCs w:val="22"/>
        </w:rPr>
        <w:t xml:space="preserve"> o Directora de Obras Públicas, se requiere con carácter de obligatorio, atender los requisitos establecidos en los artículos 32 y 96 Ter de la Ley Orgánica Municipal. </w:t>
      </w:r>
    </w:p>
    <w:p w14:paraId="4996115E" w14:textId="77777777" w:rsidR="00DE20E2" w:rsidRPr="00EA21B5" w:rsidRDefault="00DE20E2" w:rsidP="00DE20E2">
      <w:pPr>
        <w:ind w:left="567" w:right="843"/>
        <w:jc w:val="both"/>
        <w:rPr>
          <w:rFonts w:ascii="Palatino Linotype" w:hAnsi="Palatino Linotype"/>
          <w:i/>
          <w:sz w:val="22"/>
          <w:szCs w:val="22"/>
        </w:rPr>
      </w:pPr>
    </w:p>
    <w:p w14:paraId="1D2519D8"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41- La Dirección de Obras Públicas es la encargada de planear, programar, mantener y ejecutar las obras públicas de infraestructura, equipamiento urbano y rural que satisfagan los requerimientos de la sociedad, con la correspondiente participación ciudadana, acciones que conllevan a un desarrollo integral del Municipio para mejorar la calidad de vida de la ciudadanía; con un aprovechamiento óptimo en el manejo de los recursos asignados, cumpliendo con los principios de eficiencia, eficacia, transparencia y rendición de cuentas. </w:t>
      </w:r>
    </w:p>
    <w:p w14:paraId="335D2D04" w14:textId="77777777" w:rsidR="00DE20E2" w:rsidRPr="00EA21B5" w:rsidRDefault="00DE20E2" w:rsidP="00DE20E2">
      <w:pPr>
        <w:ind w:left="567" w:right="843"/>
        <w:jc w:val="both"/>
        <w:rPr>
          <w:rFonts w:ascii="Palatino Linotype" w:hAnsi="Palatino Linotype"/>
          <w:i/>
          <w:sz w:val="22"/>
          <w:szCs w:val="22"/>
        </w:rPr>
      </w:pPr>
    </w:p>
    <w:p w14:paraId="1894B91D"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Artículo 42- La Dirección de Obras Públicas, con fundamento en la Ley Orgánica Municipal; el Libro Décimo Segundo del Código Administrativo del Estado de México; la Ley de Obras Públicas y Servicios Relacionados con las Mismas; así como, sus respectivos Reglamentos y demás disposiciones, tiene las siguientes atribuciones: </w:t>
      </w:r>
    </w:p>
    <w:p w14:paraId="1C8E4C07" w14:textId="77777777" w:rsidR="00DE20E2" w:rsidRPr="00EA21B5" w:rsidRDefault="00602DE7" w:rsidP="00DE20E2">
      <w:pPr>
        <w:ind w:left="567" w:right="843"/>
        <w:jc w:val="both"/>
        <w:rPr>
          <w:rFonts w:ascii="Palatino Linotype" w:hAnsi="Palatino Linotype"/>
          <w:b/>
          <w:i/>
          <w:sz w:val="22"/>
          <w:szCs w:val="22"/>
        </w:rPr>
      </w:pPr>
      <w:r w:rsidRPr="00EA21B5">
        <w:rPr>
          <w:rFonts w:ascii="Palatino Linotype" w:hAnsi="Palatino Linotype"/>
          <w:b/>
          <w:i/>
          <w:sz w:val="22"/>
          <w:szCs w:val="22"/>
        </w:rPr>
        <w:t xml:space="preserve">I. Elaborar los Programas Anuales de Obra; Reparaciones y Mantenimientos, de conformidad con las prioridades, objetivos y lineamientos del Plan de Desarrollo Municipal, los Planes de Desarrollo Federal y Estatal; y los Planes </w:t>
      </w:r>
      <w:r w:rsidRPr="00EA21B5">
        <w:rPr>
          <w:rFonts w:ascii="Palatino Linotype" w:hAnsi="Palatino Linotype"/>
          <w:b/>
          <w:i/>
          <w:sz w:val="22"/>
          <w:szCs w:val="22"/>
        </w:rPr>
        <w:lastRenderedPageBreak/>
        <w:t xml:space="preserve">Metropolitanos, integrando en la medida de lo posible la participación ciudadana; </w:t>
      </w:r>
    </w:p>
    <w:p w14:paraId="1A076EC1" w14:textId="77777777" w:rsidR="00DE20E2" w:rsidRPr="00EA21B5" w:rsidRDefault="00602DE7" w:rsidP="00DE20E2">
      <w:pPr>
        <w:ind w:left="567" w:right="843"/>
        <w:jc w:val="both"/>
        <w:rPr>
          <w:rFonts w:ascii="Palatino Linotype" w:hAnsi="Palatino Linotype"/>
          <w:b/>
          <w:i/>
          <w:sz w:val="22"/>
          <w:szCs w:val="22"/>
        </w:rPr>
      </w:pPr>
      <w:r w:rsidRPr="00EA21B5">
        <w:rPr>
          <w:rFonts w:ascii="Palatino Linotype" w:hAnsi="Palatino Linotype"/>
          <w:b/>
          <w:i/>
          <w:sz w:val="22"/>
          <w:szCs w:val="22"/>
        </w:rPr>
        <w:t xml:space="preserve">II. Ejecutar las Obras Públicas de los Programas Anuales aprobados, por Administración o Contrato; </w:t>
      </w:r>
    </w:p>
    <w:p w14:paraId="2A309D29"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III. Licitar, concursar o asignar, según sea el caso, servicios de obras y las obras públicas aprobadas en los Programas Anuales, de conformidad con la normatividad de la fuente de recursos y los montos aprobados; </w:t>
      </w:r>
    </w:p>
    <w:p w14:paraId="2609E678"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IV. Ejecutar las Reparaciones y Mantenimientos de los Programas Anuales aprobados; </w:t>
      </w:r>
    </w:p>
    <w:p w14:paraId="64DB4263"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V. Supervisar y solicitar</w:t>
      </w:r>
      <w:r w:rsidR="00DE20E2" w:rsidRPr="00EA21B5">
        <w:rPr>
          <w:rFonts w:ascii="Palatino Linotype" w:hAnsi="Palatino Linotype"/>
          <w:i/>
          <w:sz w:val="22"/>
          <w:szCs w:val="22"/>
        </w:rPr>
        <w:t xml:space="preserve"> </w:t>
      </w:r>
      <w:r w:rsidRPr="00EA21B5">
        <w:rPr>
          <w:rFonts w:ascii="Palatino Linotype" w:hAnsi="Palatino Linotype"/>
          <w:i/>
          <w:sz w:val="22"/>
          <w:szCs w:val="22"/>
        </w:rPr>
        <w:t>pruebas</w:t>
      </w:r>
      <w:r w:rsidR="00DE20E2" w:rsidRPr="00EA21B5">
        <w:rPr>
          <w:rFonts w:ascii="Palatino Linotype" w:hAnsi="Palatino Linotype"/>
          <w:i/>
          <w:sz w:val="22"/>
          <w:szCs w:val="22"/>
        </w:rPr>
        <w:t xml:space="preserve"> </w:t>
      </w:r>
      <w:r w:rsidRPr="00EA21B5">
        <w:rPr>
          <w:rFonts w:ascii="Palatino Linotype" w:hAnsi="Palatino Linotype"/>
          <w:i/>
          <w:sz w:val="22"/>
          <w:szCs w:val="22"/>
        </w:rPr>
        <w:t>de control</w:t>
      </w:r>
      <w:r w:rsidR="00DE20E2" w:rsidRPr="00EA21B5">
        <w:rPr>
          <w:rFonts w:ascii="Palatino Linotype" w:hAnsi="Palatino Linotype"/>
          <w:i/>
          <w:sz w:val="22"/>
          <w:szCs w:val="22"/>
        </w:rPr>
        <w:t xml:space="preserve"> </w:t>
      </w:r>
      <w:r w:rsidRPr="00EA21B5">
        <w:rPr>
          <w:rFonts w:ascii="Palatino Linotype" w:hAnsi="Palatino Linotype"/>
          <w:i/>
          <w:sz w:val="22"/>
          <w:szCs w:val="22"/>
        </w:rPr>
        <w:t>de calidad, a fin</w:t>
      </w:r>
      <w:r w:rsidR="00DE20E2" w:rsidRPr="00EA21B5">
        <w:rPr>
          <w:rFonts w:ascii="Palatino Linotype" w:hAnsi="Palatino Linotype"/>
          <w:i/>
          <w:sz w:val="22"/>
          <w:szCs w:val="22"/>
        </w:rPr>
        <w:t xml:space="preserve"> </w:t>
      </w:r>
      <w:r w:rsidRPr="00EA21B5">
        <w:rPr>
          <w:rFonts w:ascii="Palatino Linotype" w:hAnsi="Palatino Linotype"/>
          <w:i/>
          <w:sz w:val="22"/>
          <w:szCs w:val="22"/>
        </w:rPr>
        <w:t>de verificar</w:t>
      </w:r>
      <w:r w:rsidR="00DE20E2" w:rsidRPr="00EA21B5">
        <w:rPr>
          <w:rFonts w:ascii="Palatino Linotype" w:hAnsi="Palatino Linotype"/>
          <w:i/>
          <w:sz w:val="22"/>
          <w:szCs w:val="22"/>
        </w:rPr>
        <w:t xml:space="preserve"> </w:t>
      </w:r>
      <w:r w:rsidRPr="00EA21B5">
        <w:rPr>
          <w:rFonts w:ascii="Palatino Linotype" w:hAnsi="Palatino Linotype"/>
          <w:i/>
          <w:sz w:val="22"/>
          <w:szCs w:val="22"/>
        </w:rPr>
        <w:t xml:space="preserve">que todas </w:t>
      </w:r>
      <w:proofErr w:type="spellStart"/>
      <w:r w:rsidRPr="00EA21B5">
        <w:rPr>
          <w:rFonts w:ascii="Palatino Linotype" w:hAnsi="Palatino Linotype"/>
          <w:i/>
          <w:sz w:val="22"/>
          <w:szCs w:val="22"/>
        </w:rPr>
        <w:t>lasobras</w:t>
      </w:r>
      <w:proofErr w:type="spellEnd"/>
      <w:r w:rsidRPr="00EA21B5">
        <w:rPr>
          <w:rFonts w:ascii="Palatino Linotype" w:hAnsi="Palatino Linotype"/>
          <w:i/>
          <w:sz w:val="22"/>
          <w:szCs w:val="22"/>
        </w:rPr>
        <w:t xml:space="preserve"> del programa anual se ejecuten de conformidad con el proyecto y las especificaciones técnicas respectivas; </w:t>
      </w:r>
    </w:p>
    <w:p w14:paraId="4A8EC407"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 Elaborar las Actas de Entrega Recepción de las Obras concluidas de conformidad con las normas establecidas; </w:t>
      </w:r>
    </w:p>
    <w:p w14:paraId="6203283E"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VII. Elaborar estudios y proyectos de ingeniería vial; </w:t>
      </w:r>
    </w:p>
    <w:p w14:paraId="2E2BBB59"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VIII. Solicitar al Ayuntamiento, por conducto del Ejecutivo Municipal la expropiación de predios cuando por causas de beneficio público sea necesario, apegándose siempre al marco legal aplicable; </w:t>
      </w:r>
    </w:p>
    <w:p w14:paraId="5EBF2397"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IX. Promover la participación de la ciudadanía y la iniciativa privada, en la ejecución de obras públicas; </w:t>
      </w:r>
    </w:p>
    <w:p w14:paraId="65C54506"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X. Evaluar el cumplimiento de los programas anuales de obras públicas y el avance en la consecución de los objetivos del Plan de Desarrollo Municipal en la materia; y </w:t>
      </w:r>
    </w:p>
    <w:p w14:paraId="5BF5E9F8" w14:textId="77777777" w:rsidR="00DE20E2"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 xml:space="preserve">XI. Las demás que establezcan los ordenamientos legales aplicables. </w:t>
      </w:r>
    </w:p>
    <w:p w14:paraId="041DB36D" w14:textId="77777777" w:rsidR="00DE20E2" w:rsidRPr="00EA21B5" w:rsidRDefault="00DE20E2" w:rsidP="00DE20E2">
      <w:pPr>
        <w:ind w:left="567" w:right="843"/>
        <w:jc w:val="both"/>
        <w:rPr>
          <w:rFonts w:ascii="Palatino Linotype" w:hAnsi="Palatino Linotype"/>
          <w:i/>
          <w:sz w:val="22"/>
          <w:szCs w:val="22"/>
        </w:rPr>
      </w:pPr>
    </w:p>
    <w:p w14:paraId="02791865" w14:textId="77777777" w:rsidR="00602DE7" w:rsidRPr="00EA21B5" w:rsidRDefault="00602DE7" w:rsidP="00DE20E2">
      <w:pPr>
        <w:ind w:left="567" w:right="843"/>
        <w:jc w:val="both"/>
        <w:rPr>
          <w:rFonts w:ascii="Palatino Linotype" w:hAnsi="Palatino Linotype"/>
          <w:i/>
          <w:sz w:val="22"/>
          <w:szCs w:val="22"/>
        </w:rPr>
      </w:pPr>
      <w:r w:rsidRPr="00EA21B5">
        <w:rPr>
          <w:rFonts w:ascii="Palatino Linotype" w:hAnsi="Palatino Linotype"/>
          <w:i/>
          <w:sz w:val="22"/>
          <w:szCs w:val="22"/>
        </w:rPr>
        <w:t>Artículo 43- Para el debido y adecuado cumplimiento de sus funciones y atribuciones, la Dirección de Obras Públicas se apoyará de las Unidades Administrativas Internas que establezcan su Manual de Organización.</w:t>
      </w:r>
    </w:p>
    <w:p w14:paraId="7AA98C37" w14:textId="77777777" w:rsidR="00602DE7" w:rsidRPr="00EA21B5" w:rsidRDefault="00602DE7" w:rsidP="00FF2C34">
      <w:pPr>
        <w:spacing w:line="360" w:lineRule="auto"/>
        <w:ind w:right="-7"/>
        <w:jc w:val="both"/>
        <w:rPr>
          <w:rFonts w:ascii="Palatino Linotype" w:hAnsi="Palatino Linotype"/>
          <w:sz w:val="22"/>
          <w:szCs w:val="22"/>
        </w:rPr>
      </w:pPr>
    </w:p>
    <w:p w14:paraId="55751CA8" w14:textId="77777777" w:rsidR="00E165B6" w:rsidRPr="00EA21B5" w:rsidRDefault="00DE20E2" w:rsidP="00FF2C34">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Es así que, de la normatividad que rige al Ayuntamiento de Chalco, se tiene que la Dirección de Administración </w:t>
      </w:r>
      <w:r w:rsidR="00E165B6" w:rsidRPr="00EA21B5">
        <w:rPr>
          <w:rFonts w:ascii="Palatino Linotype" w:hAnsi="Palatino Linotype"/>
          <w:sz w:val="22"/>
          <w:szCs w:val="22"/>
        </w:rPr>
        <w:t xml:space="preserve">tiene la atribución de establecer y verificar que se apliquen los procedimientos en materia de personal para la contratación, estímulos, sanciones, permisos, licencias y </w:t>
      </w:r>
      <w:r w:rsidR="00E165B6" w:rsidRPr="00EA21B5">
        <w:rPr>
          <w:rFonts w:ascii="Palatino Linotype" w:hAnsi="Palatino Linotype"/>
          <w:b/>
          <w:sz w:val="22"/>
          <w:szCs w:val="22"/>
          <w:u w:val="single"/>
        </w:rPr>
        <w:t>control de nómina</w:t>
      </w:r>
      <w:r w:rsidR="00E165B6" w:rsidRPr="00EA21B5">
        <w:rPr>
          <w:rFonts w:ascii="Palatino Linotype" w:hAnsi="Palatino Linotype"/>
          <w:sz w:val="22"/>
          <w:szCs w:val="22"/>
        </w:rPr>
        <w:t>; mientras que en coordinación con la Dirección de Obras Públicas, emitir un programa de mantenimiento preventivo y correctivo, según sea el caso y en su respectivo ámbito de competencia para los inmuebles propiedad del Gobierno de Chalco. Mientras que la Dirección de Obras públicas elaborar el programa anual de obras y ejecutarlo, desarrollando las obras públicas en el municipio de Chalco.</w:t>
      </w:r>
    </w:p>
    <w:p w14:paraId="08D9418F" w14:textId="77777777" w:rsidR="00602DE7" w:rsidRPr="00EA21B5" w:rsidRDefault="00602DE7" w:rsidP="00FF2C34">
      <w:pPr>
        <w:spacing w:line="360" w:lineRule="auto"/>
        <w:ind w:right="-7"/>
        <w:jc w:val="both"/>
        <w:rPr>
          <w:rFonts w:ascii="Palatino Linotype" w:hAnsi="Palatino Linotype"/>
          <w:sz w:val="22"/>
          <w:szCs w:val="22"/>
        </w:rPr>
      </w:pPr>
    </w:p>
    <w:p w14:paraId="11B4CD57" w14:textId="77777777" w:rsidR="002B5B0D" w:rsidRPr="00EA21B5" w:rsidRDefault="00E165B6" w:rsidP="002B5B0D">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 consecuencia, </w:t>
      </w:r>
      <w:r w:rsidR="002B5B0D" w:rsidRPr="00EA21B5">
        <w:rPr>
          <w:rFonts w:ascii="Palatino Linotype" w:eastAsia="Palatino Linotype" w:hAnsi="Palatino Linotype" w:cs="Palatino Linotype"/>
          <w:sz w:val="22"/>
          <w:szCs w:val="22"/>
        </w:rPr>
        <w:t xml:space="preserve">al no haber turnado la solicitud </w:t>
      </w:r>
      <w:r w:rsidRPr="00EA21B5">
        <w:rPr>
          <w:rFonts w:ascii="Palatino Linotype" w:eastAsia="Palatino Linotype" w:hAnsi="Palatino Linotype" w:cs="Palatino Linotype"/>
          <w:sz w:val="22"/>
          <w:szCs w:val="22"/>
        </w:rPr>
        <w:t>a la Dirección de Administración y la Dirección de Obras Públicas siguió el</w:t>
      </w:r>
      <w:r w:rsidR="002B5B0D" w:rsidRPr="00EA21B5">
        <w:rPr>
          <w:rFonts w:ascii="Palatino Linotype" w:eastAsia="Palatino Linotype" w:hAnsi="Palatino Linotype" w:cs="Palatino Linotype"/>
          <w:sz w:val="22"/>
          <w:szCs w:val="22"/>
        </w:rPr>
        <w:t xml:space="preserve"> procedimiento para la atención a las solicitudes de acceso a la información, establecido en los artículos 151, 160, 162, 163, 164, 165 y 166, de la Ley de Transparencia y Acceso a la Información Pública del Estado de México y Municipios: </w:t>
      </w:r>
    </w:p>
    <w:p w14:paraId="60363388" w14:textId="77777777" w:rsidR="002B5B0D" w:rsidRPr="00EA21B5" w:rsidRDefault="002B5B0D" w:rsidP="002B5B0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63D9B3"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3A37415"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30A90B1E"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601C4E4B"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8F48FA1"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w:t>
      </w:r>
      <w:r w:rsidRPr="00EA21B5">
        <w:rPr>
          <w:rFonts w:ascii="Palatino Linotype" w:eastAsia="Palatino Linotype" w:hAnsi="Palatino Linotype" w:cs="Palatino Linotype"/>
          <w:sz w:val="22"/>
          <w:szCs w:val="22"/>
        </w:rPr>
        <w:lastRenderedPageBreak/>
        <w:t xml:space="preserve">ofrecer otras; por lo cual, deberá fundar y motivar la necesidad de modificar el medio de entrega; y </w:t>
      </w:r>
    </w:p>
    <w:p w14:paraId="1936DB0C" w14:textId="77777777" w:rsidR="002B5B0D" w:rsidRPr="00EA21B5" w:rsidRDefault="002B5B0D" w:rsidP="002B5B0D">
      <w:pPr>
        <w:spacing w:after="240" w:line="360" w:lineRule="auto"/>
        <w:ind w:left="284"/>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87E20BE" w14:textId="77777777" w:rsidR="002B5B0D" w:rsidRPr="00EA21B5" w:rsidRDefault="002B5B0D"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 este orden de ideas, se reitera que la Unidad de Transparencia </w:t>
      </w:r>
      <w:r w:rsidR="00E165B6" w:rsidRPr="00EA21B5">
        <w:rPr>
          <w:rFonts w:ascii="Palatino Linotype" w:eastAsia="Palatino Linotype" w:hAnsi="Palatino Linotype" w:cs="Palatino Linotype"/>
          <w:sz w:val="22"/>
          <w:szCs w:val="22"/>
        </w:rPr>
        <w:t xml:space="preserve">se </w:t>
      </w:r>
      <w:r w:rsidRPr="00EA21B5">
        <w:rPr>
          <w:rFonts w:ascii="Palatino Linotype" w:eastAsia="Palatino Linotype" w:hAnsi="Palatino Linotype" w:cs="Palatino Linotype"/>
          <w:sz w:val="22"/>
          <w:szCs w:val="22"/>
        </w:rPr>
        <w:t>turnó la solicitud a la</w:t>
      </w:r>
      <w:r w:rsidR="00E165B6" w:rsidRPr="00EA21B5">
        <w:rPr>
          <w:rFonts w:ascii="Palatino Linotype" w:eastAsia="Palatino Linotype" w:hAnsi="Palatino Linotype" w:cs="Palatino Linotype"/>
          <w:sz w:val="22"/>
          <w:szCs w:val="22"/>
        </w:rPr>
        <w:t xml:space="preserve">s unidades administrativas </w:t>
      </w:r>
      <w:r w:rsidRPr="00EA21B5">
        <w:rPr>
          <w:rFonts w:ascii="Palatino Linotype" w:eastAsia="Palatino Linotype" w:hAnsi="Palatino Linotype" w:cs="Palatino Linotype"/>
          <w:sz w:val="22"/>
          <w:szCs w:val="22"/>
        </w:rPr>
        <w:t>con atribuciones para generar, administrar y poseer la información requerida por el particu</w:t>
      </w:r>
      <w:r w:rsidR="00E165B6" w:rsidRPr="00EA21B5">
        <w:rPr>
          <w:rFonts w:ascii="Palatino Linotype" w:eastAsia="Palatino Linotype" w:hAnsi="Palatino Linotype" w:cs="Palatino Linotype"/>
          <w:sz w:val="22"/>
          <w:szCs w:val="22"/>
        </w:rPr>
        <w:t xml:space="preserve">lar, por lo que, se tiene que </w:t>
      </w:r>
      <w:r w:rsidRPr="00EA21B5">
        <w:rPr>
          <w:rFonts w:ascii="Palatino Linotype" w:eastAsia="Palatino Linotype" w:hAnsi="Palatino Linotype" w:cs="Palatino Linotype"/>
          <w:sz w:val="22"/>
          <w:szCs w:val="22"/>
        </w:rPr>
        <w:t>se acreditó la correcta búsqueda exhaustiva y razonable de la información.</w:t>
      </w:r>
    </w:p>
    <w:p w14:paraId="49BAFA81" w14:textId="77777777" w:rsidR="002B5B0D" w:rsidRPr="00EA21B5" w:rsidRDefault="002B5B0D" w:rsidP="00FF2C34">
      <w:pPr>
        <w:spacing w:line="360" w:lineRule="auto"/>
        <w:ind w:right="-7"/>
        <w:jc w:val="both"/>
        <w:rPr>
          <w:rFonts w:ascii="Palatino Linotype" w:hAnsi="Palatino Linotype"/>
          <w:sz w:val="22"/>
          <w:szCs w:val="22"/>
        </w:rPr>
      </w:pPr>
    </w:p>
    <w:p w14:paraId="25290CC5" w14:textId="77777777" w:rsidR="00FC0385" w:rsidRPr="00EA21B5" w:rsidRDefault="00E165B6" w:rsidP="00FC0385">
      <w:pPr>
        <w:spacing w:line="360" w:lineRule="auto"/>
        <w:ind w:right="-7"/>
        <w:jc w:val="both"/>
        <w:rPr>
          <w:rFonts w:ascii="Palatino Linotype" w:eastAsia="Palatino Linotype" w:hAnsi="Palatino Linotype" w:cs="Palatino Linotype"/>
          <w:sz w:val="22"/>
          <w:szCs w:val="22"/>
        </w:rPr>
      </w:pPr>
      <w:r w:rsidRPr="00EA21B5">
        <w:rPr>
          <w:rFonts w:ascii="Palatino Linotype" w:hAnsi="Palatino Linotype"/>
          <w:sz w:val="22"/>
          <w:szCs w:val="22"/>
        </w:rPr>
        <w:t>En primer momento</w:t>
      </w:r>
      <w:r w:rsidR="00056A9D" w:rsidRPr="00EA21B5">
        <w:rPr>
          <w:rFonts w:ascii="Palatino Linotype" w:hAnsi="Palatino Linotype"/>
          <w:sz w:val="22"/>
          <w:szCs w:val="22"/>
        </w:rPr>
        <w:t xml:space="preserve"> sobre el requerimiento relacionado con las obras inmediatas destinadas para su desarrollo y mejoramiento en el centro de Chalco, el </w:t>
      </w:r>
      <w:proofErr w:type="gramStart"/>
      <w:r w:rsidR="00056A9D" w:rsidRPr="00EA21B5">
        <w:rPr>
          <w:rFonts w:ascii="Palatino Linotype" w:hAnsi="Palatino Linotype"/>
          <w:sz w:val="22"/>
          <w:szCs w:val="22"/>
        </w:rPr>
        <w:t>Director</w:t>
      </w:r>
      <w:proofErr w:type="gramEnd"/>
      <w:r w:rsidR="00056A9D" w:rsidRPr="00EA21B5">
        <w:rPr>
          <w:rFonts w:ascii="Palatino Linotype" w:hAnsi="Palatino Linotype"/>
          <w:sz w:val="22"/>
          <w:szCs w:val="22"/>
        </w:rPr>
        <w:t xml:space="preserve"> de Obras Públicas mencionó que no se tienen consideradas obras inmediatas, destinadas para el mejoramiento del Centro de Chalco</w:t>
      </w:r>
      <w:r w:rsidR="00FC0385" w:rsidRPr="00EA21B5">
        <w:rPr>
          <w:rFonts w:ascii="Palatino Linotype" w:hAnsi="Palatino Linotype"/>
          <w:sz w:val="22"/>
          <w:szCs w:val="22"/>
        </w:rPr>
        <w:t xml:space="preserve">, por tal manifestación, </w:t>
      </w:r>
      <w:r w:rsidR="00FC0385" w:rsidRPr="00EA21B5">
        <w:rPr>
          <w:rFonts w:ascii="Palatino Linotype" w:eastAsia="Palatino Linotype" w:hAnsi="Palatino Linotype" w:cs="Palatino Linotype"/>
          <w:sz w:val="22"/>
          <w:szCs w:val="22"/>
        </w:rPr>
        <w:t xml:space="preserve">nos encontramos ante la presencia de un denominado hecho negativo. </w:t>
      </w:r>
    </w:p>
    <w:p w14:paraId="32DB963E" w14:textId="77777777" w:rsidR="00FC0385" w:rsidRPr="00EA21B5" w:rsidRDefault="00FC0385" w:rsidP="00FC03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D1F969A" w14:textId="77777777" w:rsidR="00FC0385" w:rsidRPr="00EA21B5" w:rsidRDefault="00FC0385" w:rsidP="00FC03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Esto es que, es obvio que la información no puede fácticamente obrar en los archivos del Sujeto Obligado, ya que no puede probarse por ser lógica y materialmente imposible.</w:t>
      </w:r>
    </w:p>
    <w:p w14:paraId="2FE14FC3" w14:textId="77777777" w:rsidR="00FC0385" w:rsidRPr="00EA21B5" w:rsidRDefault="00FC0385" w:rsidP="00FC0385">
      <w:pPr>
        <w:spacing w:line="360" w:lineRule="auto"/>
        <w:jc w:val="both"/>
        <w:rPr>
          <w:rFonts w:ascii="Palatino Linotype" w:eastAsia="Palatino Linotype" w:hAnsi="Palatino Linotype" w:cs="Palatino Linotype"/>
          <w:sz w:val="22"/>
          <w:szCs w:val="22"/>
        </w:rPr>
      </w:pPr>
    </w:p>
    <w:p w14:paraId="71BDC00E" w14:textId="77777777" w:rsidR="00FC0385" w:rsidRPr="00EA21B5" w:rsidRDefault="00FC0385" w:rsidP="00FC0385">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Asimismo, no se trata de un caso por el cual la negación del hecho implique la afirmación del mismo, simplemente se está ante una notoria y evidente inexistencia fáctica de la información solicitada.</w:t>
      </w:r>
    </w:p>
    <w:p w14:paraId="177DDF96" w14:textId="77777777" w:rsidR="00FC0385" w:rsidRPr="00EA21B5" w:rsidRDefault="00FC0385" w:rsidP="00FC0385">
      <w:pPr>
        <w:spacing w:line="360" w:lineRule="auto"/>
        <w:jc w:val="both"/>
        <w:rPr>
          <w:rFonts w:ascii="Palatino Linotype" w:eastAsia="Palatino Linotype" w:hAnsi="Palatino Linotype" w:cs="Palatino Linotype"/>
          <w:sz w:val="22"/>
          <w:szCs w:val="22"/>
        </w:rPr>
      </w:pPr>
    </w:p>
    <w:p w14:paraId="52F732C4" w14:textId="77777777" w:rsidR="00FC0385" w:rsidRPr="00EA21B5" w:rsidRDefault="00FC0385" w:rsidP="00FC0385">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Encontrándonos ante un hecho negativo, destacando entonces que el Pleno de este Organismo Garante, ha sostenido </w:t>
      </w:r>
      <w:proofErr w:type="gramStart"/>
      <w:r w:rsidRPr="00EA21B5">
        <w:rPr>
          <w:rFonts w:ascii="Palatino Linotype" w:eastAsia="Palatino Linotype" w:hAnsi="Palatino Linotype" w:cs="Palatino Linotype"/>
          <w:sz w:val="22"/>
          <w:szCs w:val="22"/>
        </w:rPr>
        <w:t>que</w:t>
      </w:r>
      <w:proofErr w:type="gramEnd"/>
      <w:r w:rsidRPr="00EA21B5">
        <w:rPr>
          <w:rFonts w:ascii="Palatino Linotype" w:eastAsia="Palatino Linotype" w:hAnsi="Palatino Linotype" w:cs="Palatino Linotype"/>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RPr="00EA21B5">
        <w:rPr>
          <w:rFonts w:ascii="Palatino Linotype" w:eastAsia="Palatino Linotype" w:hAnsi="Palatino Linotype" w:cs="Palatino Linotype"/>
          <w:b/>
          <w:i/>
          <w:sz w:val="22"/>
          <w:szCs w:val="22"/>
        </w:rPr>
        <w:t xml:space="preserve">HECHOS NEGATIVOS, NO SON SUSCEPTIBLES DE DEMOSTRACIÓN. </w:t>
      </w:r>
      <w:r w:rsidRPr="00EA21B5">
        <w:rPr>
          <w:rFonts w:ascii="Palatino Linotype" w:eastAsia="Palatino Linotype" w:hAnsi="Palatino Linotype" w:cs="Palatino Linotype"/>
          <w:sz w:val="22"/>
          <w:szCs w:val="22"/>
        </w:rPr>
        <w:t xml:space="preserve"> </w:t>
      </w:r>
      <w:r w:rsidRPr="00EA21B5">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706368A9" w14:textId="77777777" w:rsidR="00FC0385" w:rsidRPr="00EA21B5" w:rsidRDefault="00FC0385" w:rsidP="00FF2C34">
      <w:pPr>
        <w:spacing w:line="360" w:lineRule="auto"/>
        <w:ind w:right="-7"/>
        <w:jc w:val="both"/>
        <w:rPr>
          <w:rFonts w:ascii="Palatino Linotype" w:hAnsi="Palatino Linotype"/>
          <w:sz w:val="22"/>
          <w:szCs w:val="22"/>
        </w:rPr>
      </w:pPr>
    </w:p>
    <w:p w14:paraId="30B304F8" w14:textId="77777777" w:rsidR="00FC0385" w:rsidRPr="00EA21B5" w:rsidRDefault="00FC0385" w:rsidP="00FC0385">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Por lo </w:t>
      </w:r>
      <w:proofErr w:type="gramStart"/>
      <w:r w:rsidRPr="00EA21B5">
        <w:rPr>
          <w:rFonts w:ascii="Palatino Linotype" w:hAnsi="Palatino Linotype"/>
          <w:sz w:val="22"/>
          <w:szCs w:val="22"/>
        </w:rPr>
        <w:t>que</w:t>
      </w:r>
      <w:proofErr w:type="gramEnd"/>
      <w:r w:rsidRPr="00EA21B5">
        <w:rPr>
          <w:rFonts w:ascii="Palatino Linotype" w:hAnsi="Palatino Linotype"/>
          <w:sz w:val="22"/>
          <w:szCs w:val="22"/>
        </w:rPr>
        <w:t xml:space="preserve"> al haber existido un pronunciamiento por parte del Servidor Público Habilitado, proporcionando la información que requirió el particular, </w:t>
      </w:r>
      <w:r w:rsidRPr="00EA21B5">
        <w:rPr>
          <w:rFonts w:ascii="Palatino Linotype" w:eastAsia="Palatino Linotype" w:hAnsi="Palatino Linotype" w:cs="Palatino Linotype"/>
          <w:sz w:val="22"/>
          <w:szCs w:val="22"/>
        </w:rPr>
        <w:t>es que no se puede dudar de la veracidad de la información proporcionada.</w:t>
      </w:r>
    </w:p>
    <w:p w14:paraId="5ED27562" w14:textId="77777777" w:rsidR="00FC0385" w:rsidRPr="00EA21B5" w:rsidRDefault="00FC0385" w:rsidP="00FC03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EE21E5" w14:textId="77777777" w:rsidR="00FC0385" w:rsidRPr="00EA21B5" w:rsidRDefault="00FC0385" w:rsidP="00FC03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2C971A3F" w14:textId="77777777" w:rsidR="00FC0385" w:rsidRPr="00EA21B5" w:rsidRDefault="00FC0385" w:rsidP="00FC0385">
      <w:pPr>
        <w:pBdr>
          <w:top w:val="nil"/>
          <w:left w:val="nil"/>
          <w:bottom w:val="nil"/>
          <w:right w:val="nil"/>
          <w:between w:val="nil"/>
        </w:pBdr>
        <w:ind w:left="720"/>
        <w:rPr>
          <w:rFonts w:ascii="Palatino Linotype" w:eastAsia="Palatino Linotype" w:hAnsi="Palatino Linotype" w:cs="Palatino Linotype"/>
          <w:sz w:val="22"/>
          <w:szCs w:val="22"/>
        </w:rPr>
      </w:pPr>
    </w:p>
    <w:p w14:paraId="3BD6A460" w14:textId="77777777" w:rsidR="00FC0385" w:rsidRPr="00EA21B5" w:rsidRDefault="00FC0385" w:rsidP="00FC0385">
      <w:pPr>
        <w:ind w:left="567" w:right="567"/>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A21B5">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6CC746" w14:textId="77777777" w:rsidR="00FC0385" w:rsidRPr="00EA21B5" w:rsidRDefault="00FC0385" w:rsidP="00FC0385">
      <w:pPr>
        <w:spacing w:line="360" w:lineRule="auto"/>
        <w:ind w:right="567"/>
        <w:jc w:val="both"/>
        <w:rPr>
          <w:rFonts w:ascii="Palatino Linotype" w:eastAsia="Palatino Linotype" w:hAnsi="Palatino Linotype" w:cs="Palatino Linotype"/>
          <w:sz w:val="22"/>
          <w:szCs w:val="22"/>
        </w:rPr>
      </w:pPr>
    </w:p>
    <w:p w14:paraId="4C259E72" w14:textId="77777777" w:rsidR="00FC0385" w:rsidRPr="00EA21B5" w:rsidRDefault="00FC0385" w:rsidP="00FC0385">
      <w:pPr>
        <w:spacing w:line="360" w:lineRule="auto"/>
        <w:ind w:right="-7"/>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Este Órgano Garante carece de facultades para dudar de la veracidad sobre la información proporcionada por el Sujeto Obligado, en consecuencia, debe declararse atendido dicho requerimiento.</w:t>
      </w:r>
    </w:p>
    <w:p w14:paraId="5A3C6955" w14:textId="77777777" w:rsidR="00C841F9" w:rsidRPr="00EA21B5" w:rsidRDefault="00C841F9" w:rsidP="00FF2C34">
      <w:pPr>
        <w:spacing w:line="360" w:lineRule="auto"/>
        <w:ind w:right="-7"/>
        <w:jc w:val="both"/>
        <w:rPr>
          <w:rFonts w:ascii="Palatino Linotype" w:hAnsi="Palatino Linotype"/>
          <w:sz w:val="22"/>
          <w:szCs w:val="22"/>
        </w:rPr>
      </w:pPr>
    </w:p>
    <w:p w14:paraId="5AA1CDA0" w14:textId="77777777" w:rsidR="00056A9D" w:rsidRPr="00EA21B5" w:rsidRDefault="00FC0385" w:rsidP="00FF2C34">
      <w:pPr>
        <w:spacing w:line="360" w:lineRule="auto"/>
        <w:ind w:right="-7"/>
        <w:jc w:val="both"/>
        <w:rPr>
          <w:rFonts w:ascii="Palatino Linotype" w:hAnsi="Palatino Linotype"/>
          <w:sz w:val="22"/>
          <w:szCs w:val="22"/>
        </w:rPr>
      </w:pPr>
      <w:r w:rsidRPr="00EA21B5">
        <w:rPr>
          <w:rFonts w:ascii="Palatino Linotype" w:hAnsi="Palatino Linotype"/>
          <w:sz w:val="22"/>
          <w:szCs w:val="22"/>
        </w:rPr>
        <w:t>Respecto al recibo de nómina</w:t>
      </w:r>
      <w:r w:rsidR="00B101F0" w:rsidRPr="00EA21B5">
        <w:rPr>
          <w:rFonts w:ascii="Palatino Linotype" w:hAnsi="Palatino Linotype"/>
          <w:sz w:val="22"/>
          <w:szCs w:val="22"/>
        </w:rPr>
        <w:t>, el Sujeto Obligado lo entregó en versión pública, clasificando como confidenciales los siguientes elementos:</w:t>
      </w:r>
    </w:p>
    <w:p w14:paraId="0C5A549C" w14:textId="77777777" w:rsidR="00B101F0" w:rsidRPr="00EA21B5" w:rsidRDefault="00B101F0" w:rsidP="00FF2C34">
      <w:pPr>
        <w:spacing w:line="360" w:lineRule="auto"/>
        <w:ind w:right="-7"/>
        <w:jc w:val="both"/>
        <w:rPr>
          <w:rFonts w:ascii="Palatino Linotype" w:hAnsi="Palatino Linotype"/>
          <w:sz w:val="22"/>
          <w:szCs w:val="22"/>
        </w:rPr>
      </w:pPr>
    </w:p>
    <w:p w14:paraId="006CA437" w14:textId="77777777" w:rsidR="00B101F0" w:rsidRPr="00EA21B5" w:rsidRDefault="00B101F0" w:rsidP="00FF2C34">
      <w:pPr>
        <w:spacing w:line="360" w:lineRule="auto"/>
        <w:ind w:right="-7"/>
        <w:jc w:val="both"/>
        <w:rPr>
          <w:rFonts w:ascii="Palatino Linotype" w:hAnsi="Palatino Linotype"/>
          <w:sz w:val="22"/>
          <w:szCs w:val="22"/>
        </w:rPr>
        <w:sectPr w:rsidR="00B101F0" w:rsidRPr="00EA21B5">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pPr>
    </w:p>
    <w:p w14:paraId="62E486A7"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CURP;</w:t>
      </w:r>
    </w:p>
    <w:p w14:paraId="740EA91B"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RFC;</w:t>
      </w:r>
    </w:p>
    <w:p w14:paraId="717A6073"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 xml:space="preserve">Clave </w:t>
      </w:r>
      <w:proofErr w:type="spellStart"/>
      <w:r w:rsidRPr="00EA21B5">
        <w:rPr>
          <w:rFonts w:ascii="Palatino Linotype" w:hAnsi="Palatino Linotype"/>
          <w:b/>
          <w:sz w:val="22"/>
          <w:szCs w:val="22"/>
        </w:rPr>
        <w:t>Issemym</w:t>
      </w:r>
      <w:proofErr w:type="spellEnd"/>
      <w:r w:rsidRPr="00EA21B5">
        <w:rPr>
          <w:rFonts w:ascii="Palatino Linotype" w:hAnsi="Palatino Linotype"/>
          <w:b/>
          <w:sz w:val="22"/>
          <w:szCs w:val="22"/>
        </w:rPr>
        <w:t>;</w:t>
      </w:r>
    </w:p>
    <w:p w14:paraId="7ED30E7D"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Deducciones personales;</w:t>
      </w:r>
    </w:p>
    <w:p w14:paraId="01DFD537"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Folio fiscal;</w:t>
      </w:r>
    </w:p>
    <w:p w14:paraId="03033F94"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Fecha y hora de emisión;</w:t>
      </w:r>
    </w:p>
    <w:p w14:paraId="2EAAC4C5"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Número de serie del CSD;</w:t>
      </w:r>
    </w:p>
    <w:p w14:paraId="684B8649"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Código QR;</w:t>
      </w:r>
    </w:p>
    <w:p w14:paraId="346B9715"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Sello Digital del SAT;</w:t>
      </w:r>
    </w:p>
    <w:p w14:paraId="1E8FBE13" w14:textId="77777777" w:rsidR="00B101F0" w:rsidRPr="00EA21B5" w:rsidRDefault="00B101F0" w:rsidP="00B101F0">
      <w:pPr>
        <w:pStyle w:val="Prrafodelista"/>
        <w:numPr>
          <w:ilvl w:val="0"/>
          <w:numId w:val="24"/>
        </w:numPr>
        <w:spacing w:line="360" w:lineRule="auto"/>
        <w:ind w:right="-7"/>
        <w:jc w:val="both"/>
        <w:rPr>
          <w:rFonts w:ascii="Palatino Linotype" w:hAnsi="Palatino Linotype"/>
          <w:b/>
          <w:sz w:val="22"/>
          <w:szCs w:val="22"/>
        </w:rPr>
      </w:pPr>
      <w:r w:rsidRPr="00EA21B5">
        <w:rPr>
          <w:rFonts w:ascii="Palatino Linotype" w:hAnsi="Palatino Linotype"/>
          <w:b/>
          <w:sz w:val="22"/>
          <w:szCs w:val="22"/>
        </w:rPr>
        <w:t>Cadena Original;</w:t>
      </w:r>
    </w:p>
    <w:p w14:paraId="0B7B9049" w14:textId="77777777" w:rsidR="00B101F0" w:rsidRPr="00EA21B5" w:rsidRDefault="00B101F0" w:rsidP="00FF2C34">
      <w:pPr>
        <w:spacing w:line="360" w:lineRule="auto"/>
        <w:ind w:right="-7"/>
        <w:jc w:val="both"/>
        <w:rPr>
          <w:rFonts w:ascii="Palatino Linotype" w:hAnsi="Palatino Linotype"/>
          <w:sz w:val="22"/>
          <w:szCs w:val="22"/>
        </w:rPr>
        <w:sectPr w:rsidR="00B101F0" w:rsidRPr="00EA21B5" w:rsidSect="00B101F0">
          <w:type w:val="continuous"/>
          <w:pgSz w:w="12240" w:h="15840"/>
          <w:pgMar w:top="2041" w:right="1474" w:bottom="1701" w:left="1701" w:header="709" w:footer="709" w:gutter="0"/>
          <w:pgNumType w:start="1"/>
          <w:cols w:num="2" w:space="720"/>
          <w:titlePg/>
        </w:sectPr>
      </w:pPr>
    </w:p>
    <w:p w14:paraId="1E5AE889" w14:textId="77777777" w:rsidR="00B101F0" w:rsidRPr="00EA21B5" w:rsidRDefault="00B101F0" w:rsidP="00FF2C34">
      <w:pPr>
        <w:spacing w:line="360" w:lineRule="auto"/>
        <w:ind w:right="-7"/>
        <w:jc w:val="both"/>
        <w:rPr>
          <w:rFonts w:ascii="Palatino Linotype" w:hAnsi="Palatino Linotype"/>
          <w:sz w:val="22"/>
          <w:szCs w:val="22"/>
        </w:rPr>
      </w:pPr>
    </w:p>
    <w:p w14:paraId="20978319" w14:textId="77777777" w:rsidR="00B101F0" w:rsidRPr="00EA21B5" w:rsidRDefault="00B101F0" w:rsidP="00B101F0">
      <w:pPr>
        <w:pStyle w:val="Ttulo3"/>
        <w:numPr>
          <w:ilvl w:val="0"/>
          <w:numId w:val="26"/>
        </w:numPr>
        <w:spacing w:before="40" w:after="0"/>
        <w:ind w:left="567" w:hanging="371"/>
        <w:rPr>
          <w:rFonts w:ascii="Palatino Linotype" w:hAnsi="Palatino Linotype"/>
          <w:b w:val="0"/>
          <w:sz w:val="22"/>
          <w:szCs w:val="22"/>
        </w:rPr>
      </w:pPr>
      <w:bookmarkStart w:id="3" w:name="_Toc86917942"/>
      <w:bookmarkStart w:id="4" w:name="_Toc203042493"/>
      <w:r w:rsidRPr="00EA21B5">
        <w:rPr>
          <w:rFonts w:ascii="Palatino Linotype" w:hAnsi="Palatino Linotype"/>
          <w:sz w:val="22"/>
          <w:szCs w:val="22"/>
        </w:rPr>
        <w:t>Clave Única de Registro de Población (CURP).</w:t>
      </w:r>
      <w:bookmarkEnd w:id="3"/>
      <w:bookmarkEnd w:id="4"/>
    </w:p>
    <w:p w14:paraId="6F8D19D1" w14:textId="77777777" w:rsidR="00B101F0" w:rsidRPr="00EA21B5" w:rsidRDefault="00B101F0" w:rsidP="00B101F0">
      <w:pPr>
        <w:pStyle w:val="Prrafodelista"/>
        <w:tabs>
          <w:tab w:val="left" w:pos="709"/>
        </w:tabs>
        <w:spacing w:line="360" w:lineRule="auto"/>
        <w:ind w:left="0" w:right="49"/>
        <w:jc w:val="both"/>
        <w:rPr>
          <w:rFonts w:ascii="Palatino Linotype" w:eastAsia="MS Mincho" w:hAnsi="Palatino Linotype" w:cs="Arial"/>
          <w:iCs/>
          <w:sz w:val="22"/>
          <w:szCs w:val="22"/>
        </w:rPr>
      </w:pPr>
    </w:p>
    <w:p w14:paraId="1324488F" w14:textId="77777777" w:rsidR="00B101F0" w:rsidRPr="00EA21B5" w:rsidRDefault="00B101F0" w:rsidP="00B101F0">
      <w:pPr>
        <w:pStyle w:val="NormalWeb"/>
        <w:spacing w:before="0" w:beforeAutospacing="0" w:after="200" w:afterAutospacing="0" w:line="360" w:lineRule="auto"/>
        <w:jc w:val="both"/>
        <w:rPr>
          <w:rFonts w:ascii="Palatino Linotype" w:hAnsi="Palatino Linotype"/>
          <w:sz w:val="22"/>
          <w:szCs w:val="22"/>
        </w:rPr>
      </w:pPr>
      <w:r w:rsidRPr="00EA21B5">
        <w:rPr>
          <w:rFonts w:ascii="Palatino Linotype" w:hAnsi="Palatino Linotype"/>
          <w:sz w:val="22"/>
          <w:szCs w:val="22"/>
        </w:rPr>
        <w:t>Por cuanto hace a la CURP</w:t>
      </w:r>
      <w:r w:rsidRPr="00EA21B5">
        <w:rPr>
          <w:rFonts w:ascii="Palatino Linotype" w:hAnsi="Palatino Linotype"/>
          <w:b/>
          <w:bCs/>
          <w:sz w:val="22"/>
          <w:szCs w:val="22"/>
        </w:rPr>
        <w:t xml:space="preserve">, </w:t>
      </w:r>
      <w:r w:rsidRPr="00EA21B5">
        <w:rPr>
          <w:rFonts w:ascii="Palatino Linotype" w:hAnsi="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200637F" w14:textId="77777777" w:rsidR="00B101F0" w:rsidRPr="00EA21B5" w:rsidRDefault="00B101F0" w:rsidP="00B101F0">
      <w:pPr>
        <w:pStyle w:val="NormalWeb"/>
        <w:spacing w:before="0" w:beforeAutospacing="0" w:after="200" w:afterAutospacing="0" w:line="360" w:lineRule="auto"/>
        <w:jc w:val="both"/>
        <w:rPr>
          <w:rFonts w:ascii="Palatino Linotype" w:hAnsi="Palatino Linotype"/>
          <w:sz w:val="22"/>
          <w:szCs w:val="22"/>
        </w:rPr>
      </w:pPr>
      <w:r w:rsidRPr="00EA21B5">
        <w:rPr>
          <w:rFonts w:ascii="Palatino Linotype" w:hAnsi="Palatino Linotype"/>
          <w:sz w:val="22"/>
          <w:szCs w:val="22"/>
        </w:rPr>
        <w:t>Lo anterior, tiene sustento en los artículos 86 y 91 de la Ley General de Población, la cual señala lo siguiente:</w:t>
      </w:r>
    </w:p>
    <w:p w14:paraId="13F5FF44" w14:textId="77777777" w:rsidR="00B101F0" w:rsidRPr="00EA21B5" w:rsidRDefault="00B101F0" w:rsidP="00B101F0">
      <w:pPr>
        <w:pStyle w:val="NormalWeb"/>
        <w:spacing w:before="0" w:beforeAutospacing="0" w:after="0" w:afterAutospacing="0"/>
        <w:ind w:left="851" w:right="616"/>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 xml:space="preserve">Artículo 86. </w:t>
      </w:r>
      <w:r w:rsidRPr="00EA21B5">
        <w:rPr>
          <w:rFonts w:ascii="Palatino Linotype" w:hAnsi="Palatino Linotype"/>
          <w:i/>
          <w:iCs/>
          <w:sz w:val="22"/>
          <w:szCs w:val="22"/>
        </w:rPr>
        <w:t>El Registro Nacional de Población tiene como finalidad registrar a cada una de las personas que integran la población del país, con los datos que permitan certificar y acreditar fehacientemente su identidad.</w:t>
      </w:r>
    </w:p>
    <w:p w14:paraId="5F4E9E8E" w14:textId="77777777" w:rsidR="00B101F0" w:rsidRPr="00EA21B5" w:rsidRDefault="00B101F0" w:rsidP="00B101F0">
      <w:pPr>
        <w:pStyle w:val="NormalWeb"/>
        <w:spacing w:before="0" w:beforeAutospacing="0" w:after="0" w:afterAutospacing="0"/>
        <w:ind w:left="851" w:right="616"/>
        <w:jc w:val="both"/>
        <w:rPr>
          <w:rFonts w:ascii="Palatino Linotype" w:hAnsi="Palatino Linotype"/>
          <w:sz w:val="22"/>
          <w:szCs w:val="22"/>
        </w:rPr>
      </w:pPr>
      <w:r w:rsidRPr="00EA21B5">
        <w:rPr>
          <w:rFonts w:ascii="Palatino Linotype" w:hAnsi="Palatino Linotype"/>
          <w:b/>
          <w:bCs/>
          <w:i/>
          <w:iCs/>
          <w:sz w:val="22"/>
          <w:szCs w:val="22"/>
        </w:rPr>
        <w:t>Artículo 91. Al incorporar a una persona en el Registro Nacional de Población</w:t>
      </w:r>
      <w:r w:rsidRPr="00EA21B5">
        <w:rPr>
          <w:rFonts w:ascii="Palatino Linotype" w:hAnsi="Palatino Linotype"/>
          <w:i/>
          <w:iCs/>
          <w:sz w:val="22"/>
          <w:szCs w:val="22"/>
        </w:rPr>
        <w:t xml:space="preserve">, se le asignará una clave </w:t>
      </w:r>
      <w:r w:rsidRPr="00EA21B5">
        <w:rPr>
          <w:rFonts w:ascii="Palatino Linotype" w:hAnsi="Palatino Linotype"/>
          <w:b/>
          <w:bCs/>
          <w:i/>
          <w:iCs/>
          <w:sz w:val="22"/>
          <w:szCs w:val="22"/>
        </w:rPr>
        <w:t>que se denominará Clave Única de Registro de Población</w:t>
      </w:r>
      <w:r w:rsidRPr="00EA21B5">
        <w:rPr>
          <w:rFonts w:ascii="Palatino Linotype" w:hAnsi="Palatino Linotype"/>
          <w:i/>
          <w:iCs/>
          <w:sz w:val="22"/>
          <w:szCs w:val="22"/>
        </w:rPr>
        <w:t xml:space="preserve">. </w:t>
      </w:r>
      <w:r w:rsidRPr="00EA21B5">
        <w:rPr>
          <w:rFonts w:ascii="Palatino Linotype" w:hAnsi="Palatino Linotype"/>
          <w:b/>
          <w:bCs/>
          <w:i/>
          <w:iCs/>
          <w:sz w:val="22"/>
          <w:szCs w:val="22"/>
        </w:rPr>
        <w:t>Esta servirá para</w:t>
      </w:r>
      <w:r w:rsidRPr="00EA21B5">
        <w:rPr>
          <w:rFonts w:ascii="Palatino Linotype" w:hAnsi="Palatino Linotype"/>
          <w:i/>
          <w:iCs/>
          <w:sz w:val="22"/>
          <w:szCs w:val="22"/>
        </w:rPr>
        <w:t xml:space="preserve"> registrarla e </w:t>
      </w:r>
      <w:r w:rsidRPr="00EA21B5">
        <w:rPr>
          <w:rFonts w:ascii="Palatino Linotype" w:hAnsi="Palatino Linotype"/>
          <w:b/>
          <w:bCs/>
          <w:i/>
          <w:iCs/>
          <w:sz w:val="22"/>
          <w:szCs w:val="22"/>
        </w:rPr>
        <w:t>identificarla en forma individual</w:t>
      </w:r>
      <w:r w:rsidRPr="00EA21B5">
        <w:rPr>
          <w:rFonts w:ascii="Palatino Linotype" w:hAnsi="Palatino Linotype"/>
          <w:i/>
          <w:iCs/>
          <w:sz w:val="22"/>
          <w:szCs w:val="22"/>
        </w:rPr>
        <w:t>.” </w:t>
      </w:r>
    </w:p>
    <w:p w14:paraId="66259908" w14:textId="77777777" w:rsidR="00B101F0" w:rsidRPr="00EA21B5" w:rsidRDefault="00B101F0" w:rsidP="00B101F0">
      <w:pPr>
        <w:pStyle w:val="NormalWeb"/>
        <w:spacing w:before="0" w:beforeAutospacing="0" w:after="0" w:afterAutospacing="0"/>
        <w:ind w:left="851" w:right="616"/>
        <w:jc w:val="both"/>
        <w:rPr>
          <w:rFonts w:ascii="Palatino Linotype" w:hAnsi="Palatino Linotype"/>
          <w:sz w:val="22"/>
          <w:szCs w:val="22"/>
        </w:rPr>
      </w:pPr>
      <w:r w:rsidRPr="00EA21B5">
        <w:rPr>
          <w:rFonts w:ascii="Palatino Linotype" w:hAnsi="Palatino Linotype"/>
          <w:sz w:val="22"/>
          <w:szCs w:val="22"/>
        </w:rPr>
        <w:lastRenderedPageBreak/>
        <w:t>(Énfasis añadido)</w:t>
      </w:r>
    </w:p>
    <w:p w14:paraId="4B6CB3E1" w14:textId="77777777" w:rsidR="00B101F0" w:rsidRPr="00EA21B5" w:rsidRDefault="00B101F0" w:rsidP="00B101F0">
      <w:pPr>
        <w:spacing w:line="360" w:lineRule="auto"/>
        <w:jc w:val="both"/>
        <w:rPr>
          <w:rFonts w:ascii="Palatino Linotype" w:hAnsi="Palatino Linotype"/>
          <w:sz w:val="22"/>
          <w:szCs w:val="22"/>
        </w:rPr>
      </w:pPr>
    </w:p>
    <w:p w14:paraId="243D8EC4" w14:textId="77777777" w:rsidR="00B101F0" w:rsidRPr="00EA21B5" w:rsidRDefault="00B101F0" w:rsidP="00B101F0">
      <w:pPr>
        <w:pStyle w:val="NormalWeb"/>
        <w:spacing w:before="0" w:beforeAutospacing="0" w:after="200" w:afterAutospacing="0" w:line="360" w:lineRule="auto"/>
        <w:jc w:val="both"/>
        <w:rPr>
          <w:rFonts w:ascii="Palatino Linotype" w:hAnsi="Palatino Linotype"/>
          <w:sz w:val="22"/>
          <w:szCs w:val="22"/>
        </w:rPr>
      </w:pPr>
      <w:r w:rsidRPr="00EA21B5">
        <w:rPr>
          <w:rFonts w:ascii="Palatino Linotype" w:hAnsi="Palatino Linotype"/>
          <w:sz w:val="22"/>
          <w:szCs w:val="22"/>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689AA861" w14:textId="77777777" w:rsidR="00B101F0" w:rsidRPr="00EA21B5" w:rsidRDefault="00B101F0" w:rsidP="00B101F0">
      <w:pPr>
        <w:pStyle w:val="NormalWeb"/>
        <w:spacing w:before="0" w:beforeAutospacing="0" w:after="200" w:afterAutospacing="0" w:line="360" w:lineRule="auto"/>
        <w:jc w:val="both"/>
        <w:rPr>
          <w:rFonts w:ascii="Palatino Linotype" w:hAnsi="Palatino Linotype"/>
          <w:sz w:val="22"/>
          <w:szCs w:val="22"/>
        </w:rPr>
      </w:pPr>
      <w:r w:rsidRPr="00EA21B5">
        <w:rPr>
          <w:rFonts w:ascii="Palatino Linotype" w:hAnsi="Palatino Linotype"/>
          <w:sz w:val="22"/>
          <w:szCs w:val="22"/>
        </w:rPr>
        <w:t>Al respecto, el entonces INAI, a través del Criterio orientador 18/17 de la Segunda Época, señala literalmente lo siguiente:</w:t>
      </w:r>
    </w:p>
    <w:p w14:paraId="103A6D67" w14:textId="77777777" w:rsidR="00B101F0" w:rsidRPr="00EA21B5" w:rsidRDefault="00B101F0" w:rsidP="00B101F0">
      <w:pPr>
        <w:pStyle w:val="NormalWeb"/>
        <w:spacing w:before="0" w:beforeAutospacing="0" w:after="0" w:afterAutospacing="0"/>
        <w:ind w:left="851" w:right="616"/>
        <w:jc w:val="both"/>
        <w:rPr>
          <w:rFonts w:ascii="Palatino Linotype" w:hAnsi="Palatino Linotype"/>
          <w:sz w:val="22"/>
          <w:szCs w:val="22"/>
        </w:rPr>
      </w:pPr>
      <w:r w:rsidRPr="00EA21B5">
        <w:rPr>
          <w:rFonts w:ascii="Palatino Linotype" w:hAnsi="Palatino Linotype"/>
          <w:i/>
          <w:iCs/>
          <w:sz w:val="22"/>
          <w:szCs w:val="22"/>
        </w:rPr>
        <w:t>“</w:t>
      </w:r>
      <w:r w:rsidRPr="00EA21B5">
        <w:rPr>
          <w:rFonts w:ascii="Palatino Linotype" w:hAnsi="Palatino Linotype"/>
          <w:b/>
          <w:bCs/>
          <w:i/>
          <w:iCs/>
          <w:sz w:val="22"/>
          <w:szCs w:val="22"/>
        </w:rPr>
        <w:t>Clave Única de Registro de Población (CURP).</w:t>
      </w:r>
      <w:r w:rsidRPr="00EA21B5">
        <w:rPr>
          <w:rFonts w:ascii="Palatino Linotype" w:hAnsi="Palatino Linotype"/>
          <w:i/>
          <w:iCs/>
          <w:sz w:val="22"/>
          <w:szCs w:val="22"/>
        </w:rPr>
        <w:t xml:space="preserve"> </w:t>
      </w:r>
      <w:r w:rsidRPr="00EA21B5">
        <w:rPr>
          <w:rFonts w:ascii="Palatino Linotype" w:hAnsi="Palatino Linotype"/>
          <w:b/>
          <w:bCs/>
          <w:i/>
          <w:iCs/>
          <w:sz w:val="22"/>
          <w:szCs w:val="22"/>
        </w:rPr>
        <w:t>La Clave Única de Registro de Población se integra por datos personales que sólo conciernen al particular titular</w:t>
      </w:r>
      <w:r w:rsidRPr="00EA21B5">
        <w:rPr>
          <w:rFonts w:ascii="Palatino Linotype" w:hAnsi="Palatino Linotype"/>
          <w:i/>
          <w:iCs/>
          <w:sz w:val="22"/>
          <w:szCs w:val="22"/>
        </w:rPr>
        <w:t xml:space="preserve"> de la misma, </w:t>
      </w:r>
      <w:r w:rsidRPr="00EA21B5">
        <w:rPr>
          <w:rFonts w:ascii="Palatino Linotype" w:hAnsi="Palatino Linotype"/>
          <w:b/>
          <w:bCs/>
          <w:i/>
          <w:iCs/>
          <w:sz w:val="22"/>
          <w:szCs w:val="22"/>
        </w:rPr>
        <w:t>como lo son su nombre, apellidos, fecha de nacimiento, lugar de nacimiento y sexo</w:t>
      </w:r>
      <w:r w:rsidRPr="00EA21B5">
        <w:rPr>
          <w:rFonts w:ascii="Palatino Linotype" w:hAnsi="Palatino Linotype"/>
          <w:i/>
          <w:iCs/>
          <w:sz w:val="22"/>
          <w:szCs w:val="22"/>
        </w:rPr>
        <w:t xml:space="preserve">. Dichos datos, constituyen información que distingue plenamente a una persona física del resto de los habitantes del país, </w:t>
      </w:r>
      <w:r w:rsidRPr="00EA21B5">
        <w:rPr>
          <w:rFonts w:ascii="Palatino Linotype" w:hAnsi="Palatino Linotype"/>
          <w:b/>
          <w:bCs/>
          <w:i/>
          <w:iCs/>
          <w:sz w:val="22"/>
          <w:szCs w:val="22"/>
        </w:rPr>
        <w:t>por lo que la CURP está considerada como información confidencial</w:t>
      </w:r>
      <w:r w:rsidRPr="00EA21B5">
        <w:rPr>
          <w:rFonts w:ascii="Palatino Linotype" w:hAnsi="Palatino Linotype"/>
          <w:i/>
          <w:iCs/>
          <w:sz w:val="22"/>
          <w:szCs w:val="22"/>
        </w:rPr>
        <w:t>. (Sic)</w:t>
      </w:r>
    </w:p>
    <w:p w14:paraId="2C83CBEE" w14:textId="77777777" w:rsidR="00B101F0" w:rsidRPr="00EA21B5" w:rsidRDefault="00B101F0" w:rsidP="00B101F0">
      <w:pPr>
        <w:pStyle w:val="NormalWeb"/>
        <w:spacing w:before="0" w:beforeAutospacing="0" w:after="0" w:afterAutospacing="0"/>
        <w:ind w:left="851" w:right="616"/>
        <w:jc w:val="both"/>
        <w:rPr>
          <w:rFonts w:ascii="Palatino Linotype" w:hAnsi="Palatino Linotype"/>
          <w:sz w:val="22"/>
          <w:szCs w:val="22"/>
        </w:rPr>
      </w:pPr>
      <w:r w:rsidRPr="00EA21B5">
        <w:rPr>
          <w:rFonts w:ascii="Palatino Linotype" w:hAnsi="Palatino Linotype"/>
          <w:sz w:val="22"/>
          <w:szCs w:val="22"/>
        </w:rPr>
        <w:t>(Énfasis añadido)</w:t>
      </w:r>
    </w:p>
    <w:p w14:paraId="57333630" w14:textId="77777777" w:rsidR="00B101F0" w:rsidRPr="00EA21B5" w:rsidRDefault="00B101F0" w:rsidP="00B101F0">
      <w:pPr>
        <w:spacing w:line="360" w:lineRule="auto"/>
        <w:jc w:val="both"/>
        <w:rPr>
          <w:rFonts w:ascii="Palatino Linotype" w:hAnsi="Palatino Linotype"/>
          <w:sz w:val="22"/>
          <w:szCs w:val="22"/>
        </w:rPr>
      </w:pPr>
    </w:p>
    <w:p w14:paraId="62B2A946" w14:textId="77777777" w:rsidR="00B101F0" w:rsidRPr="00EA21B5" w:rsidRDefault="00B101F0" w:rsidP="00B101F0">
      <w:pPr>
        <w:pStyle w:val="NormalWeb"/>
        <w:spacing w:before="0" w:beforeAutospacing="0" w:after="0" w:afterAutospacing="0" w:line="360" w:lineRule="auto"/>
        <w:jc w:val="both"/>
        <w:rPr>
          <w:rFonts w:ascii="Palatino Linotype" w:hAnsi="Palatino Linotype"/>
          <w:sz w:val="22"/>
          <w:szCs w:val="22"/>
        </w:rPr>
      </w:pPr>
      <w:r w:rsidRPr="00EA21B5">
        <w:rPr>
          <w:rFonts w:ascii="Palatino Linotype" w:hAnsi="Palatino Linotype"/>
          <w:sz w:val="22"/>
          <w:szCs w:val="22"/>
        </w:rPr>
        <w:t>De lo anterior, se desprende que la CURP se encuentra vinculada al nombre y apellidos de la persona, lo que permite identificar fecha y lugar de nacimiento, así como el sexo; datos que únicamente le atañen a su titular.</w:t>
      </w:r>
    </w:p>
    <w:p w14:paraId="7B14DA76" w14:textId="77777777" w:rsidR="00B101F0" w:rsidRPr="00EA21B5" w:rsidRDefault="00B101F0" w:rsidP="00B101F0">
      <w:pPr>
        <w:pStyle w:val="Ttulo3"/>
        <w:keepLines w:val="0"/>
        <w:numPr>
          <w:ilvl w:val="0"/>
          <w:numId w:val="26"/>
        </w:numPr>
        <w:spacing w:before="240" w:after="60" w:line="360" w:lineRule="auto"/>
        <w:jc w:val="both"/>
        <w:rPr>
          <w:rFonts w:ascii="Palatino Linotype" w:hAnsi="Palatino Linotype"/>
          <w:b w:val="0"/>
          <w:sz w:val="22"/>
          <w:szCs w:val="22"/>
        </w:rPr>
      </w:pPr>
      <w:bookmarkStart w:id="5" w:name="_Toc203042494"/>
      <w:r w:rsidRPr="00EA21B5">
        <w:rPr>
          <w:rFonts w:ascii="Palatino Linotype" w:hAnsi="Palatino Linotype"/>
          <w:sz w:val="22"/>
          <w:szCs w:val="22"/>
        </w:rPr>
        <w:t>Registro Federal de Contribuyentes (RFC)</w:t>
      </w:r>
      <w:bookmarkEnd w:id="5"/>
    </w:p>
    <w:p w14:paraId="6A0DE09E" w14:textId="77777777" w:rsidR="00B101F0" w:rsidRPr="00EA21B5" w:rsidRDefault="00B101F0" w:rsidP="00B101F0">
      <w:pPr>
        <w:spacing w:line="360" w:lineRule="auto"/>
        <w:jc w:val="both"/>
        <w:rPr>
          <w:rFonts w:ascii="Palatino Linotype" w:hAnsi="Palatino Linotype"/>
          <w:sz w:val="22"/>
          <w:szCs w:val="22"/>
        </w:rPr>
      </w:pPr>
    </w:p>
    <w:p w14:paraId="316F0210"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hAnsi="Palatino Linotype" w:cs="Tahoma"/>
          <w:sz w:val="22"/>
          <w:szCs w:val="22"/>
        </w:rPr>
        <w:t xml:space="preserve">El RFC es el Registro Federal de Contribuyentes, esta inscripción es realizada por el Servicio de Administración Tributaria, quien entrega una cédula de identificación fiscal en donde </w:t>
      </w:r>
      <w:r w:rsidRPr="00EA21B5">
        <w:rPr>
          <w:rFonts w:ascii="Palatino Linotype" w:hAnsi="Palatino Linotype" w:cs="Tahoma"/>
          <w:sz w:val="22"/>
          <w:szCs w:val="22"/>
        </w:rPr>
        <w:lastRenderedPageBreak/>
        <w:t>consta la clave que asigna este órgano desconcentrado de la Secretaría de Hacienda y Crédito Público, de acuerdo al artículo 27 del Código Fiscal de la Federación.</w:t>
      </w:r>
    </w:p>
    <w:p w14:paraId="0AAEF289"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p>
    <w:p w14:paraId="749B399F"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hAnsi="Palatino Linotype" w:cs="Tahoma"/>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EA21B5">
        <w:rPr>
          <w:rFonts w:ascii="Palatino Linotype" w:hAnsi="Palatino Linotype" w:cs="Tahoma"/>
          <w:sz w:val="22"/>
          <w:szCs w:val="22"/>
        </w:rPr>
        <w:t>homoclave</w:t>
      </w:r>
      <w:proofErr w:type="spellEnd"/>
      <w:r w:rsidRPr="00EA21B5">
        <w:rPr>
          <w:rFonts w:ascii="Palatino Linotype" w:hAnsi="Palatino Linotype" w:cs="Tahoma"/>
          <w:sz w:val="22"/>
          <w:szCs w:val="22"/>
        </w:rPr>
        <w:t xml:space="preserve"> que establece el sistema automático del Servicio de Administración Tributaria.</w:t>
      </w:r>
    </w:p>
    <w:p w14:paraId="01FE9063" w14:textId="77777777" w:rsidR="00B101F0" w:rsidRPr="00EA21B5" w:rsidRDefault="00B101F0" w:rsidP="00B101F0">
      <w:pPr>
        <w:pStyle w:val="Prrafodelista"/>
        <w:spacing w:line="360" w:lineRule="auto"/>
        <w:jc w:val="both"/>
        <w:rPr>
          <w:rFonts w:ascii="Palatino Linotype" w:hAnsi="Palatino Linotype" w:cs="Tahoma"/>
          <w:sz w:val="22"/>
          <w:szCs w:val="22"/>
        </w:rPr>
      </w:pPr>
    </w:p>
    <w:p w14:paraId="1DF5D0C0"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hAnsi="Palatino Linotype" w:cs="Tahoma"/>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A5624B9" w14:textId="77777777" w:rsidR="00B101F0" w:rsidRPr="00EA21B5" w:rsidRDefault="00B101F0" w:rsidP="00B101F0">
      <w:pPr>
        <w:pStyle w:val="Prrafodelista"/>
        <w:spacing w:line="360" w:lineRule="auto"/>
        <w:jc w:val="both"/>
        <w:rPr>
          <w:rFonts w:ascii="Palatino Linotype" w:hAnsi="Palatino Linotype" w:cs="Tahoma"/>
          <w:sz w:val="22"/>
          <w:szCs w:val="22"/>
        </w:rPr>
      </w:pPr>
    </w:p>
    <w:p w14:paraId="55CBCF48"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hAnsi="Palatino Linotype" w:cs="Tahoma"/>
          <w:sz w:val="22"/>
          <w:szCs w:val="22"/>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06DBE396" w14:textId="77777777" w:rsidR="00B101F0" w:rsidRPr="00EA21B5" w:rsidRDefault="00B101F0" w:rsidP="00B101F0">
      <w:pPr>
        <w:pStyle w:val="Prrafodelista"/>
        <w:spacing w:line="360" w:lineRule="auto"/>
        <w:jc w:val="both"/>
        <w:rPr>
          <w:rFonts w:ascii="Palatino Linotype" w:hAnsi="Palatino Linotype" w:cs="Tahoma"/>
          <w:sz w:val="22"/>
          <w:szCs w:val="22"/>
        </w:rPr>
      </w:pPr>
    </w:p>
    <w:p w14:paraId="3CB6B095"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eastAsiaTheme="minorHAnsi"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47A11BB8" w14:textId="77777777" w:rsidR="00B101F0" w:rsidRPr="00EA21B5" w:rsidRDefault="00B101F0" w:rsidP="00B101F0">
      <w:pPr>
        <w:spacing w:line="360" w:lineRule="auto"/>
        <w:contextualSpacing/>
        <w:jc w:val="both"/>
        <w:rPr>
          <w:rFonts w:ascii="Palatino Linotype" w:hAnsi="Palatino Linotype" w:cs="Tahoma"/>
          <w:sz w:val="22"/>
          <w:szCs w:val="22"/>
        </w:rPr>
      </w:pPr>
    </w:p>
    <w:p w14:paraId="0AB148A6" w14:textId="77777777" w:rsidR="00B101F0" w:rsidRPr="00EA21B5" w:rsidRDefault="00B101F0" w:rsidP="00B101F0">
      <w:pPr>
        <w:ind w:left="567"/>
        <w:jc w:val="both"/>
        <w:rPr>
          <w:rFonts w:ascii="Palatino Linotype" w:hAnsi="Palatino Linotype" w:cs="Tahoma"/>
          <w:b/>
          <w:i/>
          <w:sz w:val="22"/>
          <w:szCs w:val="22"/>
        </w:rPr>
      </w:pPr>
      <w:r w:rsidRPr="00EA21B5">
        <w:rPr>
          <w:rFonts w:ascii="Palatino Linotype" w:hAnsi="Palatino Linotype"/>
          <w:b/>
          <w:i/>
          <w:sz w:val="22"/>
          <w:szCs w:val="22"/>
        </w:rPr>
        <w:t xml:space="preserve">Registro Federal de Contribuyentes (RFC) de personas físicas. </w:t>
      </w:r>
    </w:p>
    <w:p w14:paraId="4E3CC3DF" w14:textId="77777777" w:rsidR="00B101F0" w:rsidRPr="00EA21B5" w:rsidRDefault="00B101F0" w:rsidP="00B101F0">
      <w:pPr>
        <w:pStyle w:val="Prrafodelista"/>
        <w:ind w:left="567" w:right="567"/>
        <w:jc w:val="both"/>
        <w:rPr>
          <w:rFonts w:ascii="Palatino Linotype" w:hAnsi="Palatino Linotype" w:cs="Tahoma"/>
          <w:i/>
          <w:sz w:val="22"/>
          <w:szCs w:val="22"/>
        </w:rPr>
      </w:pPr>
      <w:r w:rsidRPr="00EA21B5">
        <w:rPr>
          <w:rFonts w:ascii="Palatino Linotype" w:hAnsi="Palatino Linotype" w:cs="Tahoma"/>
          <w:i/>
          <w:sz w:val="22"/>
          <w:szCs w:val="22"/>
        </w:rPr>
        <w:t>El RFC es una clave de carácter fiscal, única e irrepetible, que permite identificar al titular, su edad y fecha de nacimiento, por lo que es un dato personal de carácter confidencial.</w:t>
      </w:r>
    </w:p>
    <w:p w14:paraId="0C332B5D" w14:textId="77777777" w:rsidR="00B101F0" w:rsidRPr="00EA21B5" w:rsidRDefault="00B101F0" w:rsidP="00B101F0">
      <w:pPr>
        <w:pStyle w:val="Prrafodelista"/>
        <w:spacing w:line="360" w:lineRule="auto"/>
        <w:ind w:left="567" w:right="567"/>
        <w:jc w:val="both"/>
        <w:rPr>
          <w:rFonts w:ascii="Palatino Linotype" w:hAnsi="Palatino Linotype" w:cs="Tahoma"/>
          <w:sz w:val="22"/>
          <w:szCs w:val="22"/>
        </w:rPr>
      </w:pPr>
    </w:p>
    <w:p w14:paraId="22135119" w14:textId="77777777" w:rsidR="00B101F0" w:rsidRPr="00EA21B5" w:rsidRDefault="00B101F0" w:rsidP="00B101F0">
      <w:pPr>
        <w:pStyle w:val="Prrafodelista"/>
        <w:spacing w:line="360" w:lineRule="auto"/>
        <w:ind w:left="0"/>
        <w:jc w:val="both"/>
        <w:rPr>
          <w:rFonts w:ascii="Palatino Linotype" w:hAnsi="Palatino Linotype" w:cs="Tahoma"/>
          <w:sz w:val="22"/>
          <w:szCs w:val="22"/>
        </w:rPr>
      </w:pPr>
      <w:r w:rsidRPr="00EA21B5">
        <w:rPr>
          <w:rFonts w:ascii="Palatino Linotype" w:hAnsi="Palatino Linotype" w:cs="Tahoma"/>
          <w:b/>
          <w:sz w:val="22"/>
          <w:szCs w:val="22"/>
        </w:rPr>
        <w:t>De tal suerte, el Registro Federal de Contribuyentes de las personas físicas no guarda relación con la transparencia de los recursos públicos</w:t>
      </w:r>
      <w:r w:rsidRPr="00EA21B5">
        <w:rPr>
          <w:rFonts w:ascii="Palatino Linotype" w:hAnsi="Palatino Linotype" w:cs="Tahoma"/>
          <w:sz w:val="22"/>
          <w:szCs w:val="22"/>
        </w:rPr>
        <w:t>, así como tampoco con el desempeño laboral que pueda tener una persona.</w:t>
      </w:r>
    </w:p>
    <w:p w14:paraId="5A1AFC67" w14:textId="77777777" w:rsidR="00B101F0" w:rsidRPr="00EA21B5" w:rsidRDefault="00B101F0" w:rsidP="00B101F0">
      <w:pPr>
        <w:pStyle w:val="Ttulo3"/>
        <w:spacing w:line="360" w:lineRule="auto"/>
        <w:jc w:val="both"/>
        <w:rPr>
          <w:rFonts w:ascii="Palatino Linotype" w:hAnsi="Palatino Linotype"/>
          <w:b w:val="0"/>
          <w:sz w:val="22"/>
          <w:szCs w:val="22"/>
        </w:rPr>
      </w:pPr>
      <w:bookmarkStart w:id="6" w:name="_Toc86917943"/>
      <w:bookmarkStart w:id="7" w:name="_Toc203042495"/>
      <w:r w:rsidRPr="00EA21B5">
        <w:rPr>
          <w:rFonts w:ascii="Palatino Linotype" w:hAnsi="Palatino Linotype"/>
          <w:sz w:val="22"/>
          <w:szCs w:val="22"/>
        </w:rPr>
        <w:t>III. Clave ISSEMyM</w:t>
      </w:r>
      <w:bookmarkEnd w:id="6"/>
      <w:bookmarkEnd w:id="7"/>
    </w:p>
    <w:p w14:paraId="5851F0D4" w14:textId="77777777" w:rsidR="00B101F0" w:rsidRPr="00EA21B5" w:rsidRDefault="00B101F0" w:rsidP="00B101F0">
      <w:pPr>
        <w:pStyle w:val="Prrafodelista"/>
        <w:spacing w:line="360" w:lineRule="auto"/>
        <w:ind w:left="0"/>
        <w:jc w:val="both"/>
        <w:rPr>
          <w:rFonts w:ascii="Palatino Linotype" w:hAnsi="Palatino Linotype" w:cs="Tahoma"/>
          <w:bCs/>
          <w:iCs/>
          <w:sz w:val="22"/>
          <w:szCs w:val="22"/>
        </w:rPr>
      </w:pPr>
      <w:r w:rsidRPr="00EA21B5">
        <w:rPr>
          <w:rFonts w:ascii="Palatino Linotype"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A90E70E" w14:textId="77777777" w:rsidR="00B101F0" w:rsidRPr="00EA21B5" w:rsidRDefault="00B101F0" w:rsidP="00B101F0">
      <w:pPr>
        <w:pStyle w:val="Prrafodelista"/>
        <w:spacing w:line="360" w:lineRule="auto"/>
        <w:ind w:left="0"/>
        <w:jc w:val="both"/>
        <w:rPr>
          <w:rFonts w:ascii="Palatino Linotype" w:hAnsi="Palatino Linotype" w:cs="Tahoma"/>
          <w:bCs/>
          <w:iCs/>
          <w:sz w:val="22"/>
          <w:szCs w:val="22"/>
        </w:rPr>
      </w:pPr>
    </w:p>
    <w:p w14:paraId="03FCEF76"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97B4083"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28668F5F"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w:t>
      </w:r>
      <w:r w:rsidRPr="00EA21B5">
        <w:rPr>
          <w:rFonts w:ascii="Palatino Linotype" w:hAnsi="Palatino Linotype" w:cs="Tahoma"/>
          <w:bCs/>
          <w:sz w:val="22"/>
          <w:szCs w:val="22"/>
        </w:rPr>
        <w:lastRenderedPageBreak/>
        <w:t>aunque el trabajador se dé de baja y alta en diversas ocasiones, con motivo de haber trabajado en diferentes instituciones gubernamentales de la Entidad.</w:t>
      </w:r>
    </w:p>
    <w:p w14:paraId="019708AE" w14:textId="77777777" w:rsidR="00B101F0" w:rsidRPr="00EA21B5" w:rsidRDefault="00B101F0" w:rsidP="00B101F0">
      <w:pPr>
        <w:pStyle w:val="Ttulo3"/>
        <w:spacing w:line="360" w:lineRule="auto"/>
        <w:jc w:val="both"/>
        <w:rPr>
          <w:rFonts w:ascii="Palatino Linotype" w:hAnsi="Palatino Linotype"/>
          <w:b w:val="0"/>
          <w:sz w:val="22"/>
          <w:szCs w:val="22"/>
        </w:rPr>
      </w:pPr>
      <w:bookmarkStart w:id="8" w:name="_Toc86917946"/>
      <w:bookmarkStart w:id="9" w:name="_Toc203042496"/>
      <w:r w:rsidRPr="00EA21B5">
        <w:rPr>
          <w:rFonts w:ascii="Palatino Linotype" w:hAnsi="Palatino Linotype"/>
          <w:sz w:val="22"/>
          <w:szCs w:val="22"/>
        </w:rPr>
        <w:t>IV. Deducciones personales</w:t>
      </w:r>
      <w:bookmarkEnd w:id="8"/>
      <w:bookmarkEnd w:id="9"/>
    </w:p>
    <w:p w14:paraId="1A34B489"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72FE9D85"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Es necesario precisar que existen deducciones que se generan con motivo de una decisión libre y voluntaria de los servidores públicos, como son: créditos personales, </w:t>
      </w:r>
      <w:r w:rsidRPr="00EA21B5">
        <w:rPr>
          <w:rFonts w:ascii="Palatino Linotype" w:hAnsi="Palatino Linotype" w:cs="Tahoma"/>
          <w:b/>
          <w:bCs/>
          <w:sz w:val="22"/>
          <w:szCs w:val="22"/>
          <w:u w:val="single"/>
        </w:rPr>
        <w:t>cuotas sindicales y fondo de resistencia del Sindicato Único de Trabajadores de los Poderes, Municipios e Institución Descentralizadas del Estado de México</w:t>
      </w:r>
      <w:r w:rsidRPr="00EA21B5">
        <w:rPr>
          <w:rFonts w:ascii="Palatino Linotype" w:hAnsi="Palatino Linotype" w:cs="Tahoma"/>
          <w:bCs/>
          <w:sz w:val="22"/>
          <w:szCs w:val="22"/>
        </w:rPr>
        <w:t>, seguro de vida, accidentes y enfermedades.</w:t>
      </w:r>
    </w:p>
    <w:p w14:paraId="2CEDF409"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3FB7D11D"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Asimismo, hay otras que se generan con motivo de una sentencia judicial, como es la pensión alimenticia que periódicamente se retira de la cuenta de un empleado, a efecto de que sea entregado a un tercero.  </w:t>
      </w:r>
    </w:p>
    <w:p w14:paraId="09DE2932"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2ADF069B"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90D3EED"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1C33E30A"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Así, dichas deducciones reflejan el destino que un servidor público da a su patrimonio, lo que se aleja de la transparencia y rendición de cuentas.</w:t>
      </w:r>
    </w:p>
    <w:p w14:paraId="0D99C16A"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5E9DBD9F"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64806CDA" w14:textId="77777777" w:rsidR="00B101F0" w:rsidRPr="00EA21B5" w:rsidRDefault="00B101F0" w:rsidP="00B101F0">
      <w:pPr>
        <w:pStyle w:val="Ttulo3"/>
        <w:spacing w:line="360" w:lineRule="auto"/>
        <w:jc w:val="both"/>
        <w:rPr>
          <w:rFonts w:ascii="Palatino Linotype" w:hAnsi="Palatino Linotype"/>
          <w:b w:val="0"/>
          <w:sz w:val="22"/>
          <w:szCs w:val="22"/>
        </w:rPr>
      </w:pPr>
      <w:bookmarkStart w:id="10" w:name="_Toc86917947"/>
      <w:bookmarkStart w:id="11" w:name="_Toc203042497"/>
      <w:r w:rsidRPr="00EA21B5">
        <w:rPr>
          <w:rFonts w:ascii="Palatino Linotype" w:hAnsi="Palatino Linotype"/>
          <w:sz w:val="22"/>
          <w:szCs w:val="22"/>
        </w:rPr>
        <w:lastRenderedPageBreak/>
        <w:t>V. CÓDIGO QR</w:t>
      </w:r>
      <w:bookmarkEnd w:id="10"/>
      <w:bookmarkEnd w:id="11"/>
    </w:p>
    <w:p w14:paraId="2DDCDD35"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En principio, resulta necesario señalar que los comprobantes fiscales digitales por Internet, deben de incluir un código bidimensional conforme al formato </w:t>
      </w:r>
      <w:r w:rsidRPr="00EA21B5">
        <w:rPr>
          <w:rFonts w:ascii="Palatino Linotype" w:hAnsi="Palatino Linotype" w:cs="Tahoma"/>
          <w:bCs/>
          <w:i/>
          <w:sz w:val="22"/>
          <w:szCs w:val="22"/>
        </w:rPr>
        <w:t xml:space="preserve">QR </w:t>
      </w:r>
      <w:proofErr w:type="spellStart"/>
      <w:r w:rsidRPr="00EA21B5">
        <w:rPr>
          <w:rFonts w:ascii="Palatino Linotype" w:hAnsi="Palatino Linotype" w:cs="Tahoma"/>
          <w:bCs/>
          <w:i/>
          <w:sz w:val="22"/>
          <w:szCs w:val="22"/>
        </w:rPr>
        <w:t>Code</w:t>
      </w:r>
      <w:proofErr w:type="spellEnd"/>
      <w:r w:rsidRPr="00EA21B5">
        <w:rPr>
          <w:rFonts w:ascii="Palatino Linotype" w:hAnsi="Palatino Linotype" w:cs="Tahoma"/>
          <w:bCs/>
          <w:i/>
          <w:sz w:val="22"/>
          <w:szCs w:val="22"/>
        </w:rPr>
        <w:t xml:space="preserve"> (Quick Response </w:t>
      </w:r>
      <w:proofErr w:type="spellStart"/>
      <w:r w:rsidRPr="00EA21B5">
        <w:rPr>
          <w:rFonts w:ascii="Palatino Linotype" w:hAnsi="Palatino Linotype" w:cs="Tahoma"/>
          <w:bCs/>
          <w:i/>
          <w:sz w:val="22"/>
          <w:szCs w:val="22"/>
        </w:rPr>
        <w:t>Code</w:t>
      </w:r>
      <w:proofErr w:type="spellEnd"/>
      <w:r w:rsidRPr="00EA21B5">
        <w:rPr>
          <w:rFonts w:ascii="Palatino Linotype" w:hAnsi="Palatino Linotype" w:cs="Tahoma"/>
          <w:bCs/>
          <w:i/>
          <w:sz w:val="22"/>
          <w:szCs w:val="22"/>
        </w:rPr>
        <w:t>)</w:t>
      </w:r>
      <w:r w:rsidRPr="00EA21B5">
        <w:rPr>
          <w:rFonts w:ascii="Palatino Linotype" w:hAnsi="Palatino Linotype" w:cs="Tahoma"/>
          <w:bCs/>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1" w:history="1">
        <w:r w:rsidRPr="00EA21B5">
          <w:rPr>
            <w:rStyle w:val="Hipervnculo"/>
            <w:rFonts w:ascii="Palatino Linotype" w:hAnsi="Palatino Linotype" w:cs="Tahoma"/>
            <w:bCs/>
            <w:color w:val="auto"/>
            <w:sz w:val="22"/>
            <w:szCs w:val="22"/>
          </w:rPr>
          <w:t>http://dof.gob.mx/nota_detalle.php?codigo=5492254&amp;fecha=28/07/2017</w:t>
        </w:r>
      </w:hyperlink>
      <w:r w:rsidRPr="00EA21B5">
        <w:rPr>
          <w:rFonts w:ascii="Palatino Linotype" w:hAnsi="Palatino Linotype" w:cs="Tahoma"/>
          <w:bCs/>
          <w:sz w:val="22"/>
          <w:szCs w:val="22"/>
        </w:rPr>
        <w:t>. Incluso con la captura de dicho código, a través de la aplicación móvil del Servicio de Administración Tributaria, permite el acceso al Registro Federal de Contribuyentes, como del Sujeto Obligado, como de los servidores públicos.</w:t>
      </w:r>
    </w:p>
    <w:p w14:paraId="0D1F1751"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7CCE48D4"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0CCD505"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1D14D8CA"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Hasta este punto, se considera que la información relacionada con los siguientes puntos actualiza una causal de confidencialidad, toda vez que identifica o hace identificable a su titular.</w:t>
      </w:r>
    </w:p>
    <w:p w14:paraId="43CD8B29" w14:textId="77777777" w:rsidR="00B101F0" w:rsidRPr="00EA21B5" w:rsidRDefault="00B101F0" w:rsidP="00B101F0">
      <w:pPr>
        <w:pStyle w:val="Prrafodelista"/>
        <w:spacing w:line="360" w:lineRule="auto"/>
        <w:jc w:val="both"/>
        <w:rPr>
          <w:rFonts w:ascii="Palatino Linotype" w:hAnsi="Palatino Linotype" w:cs="Tahoma"/>
          <w:bCs/>
          <w:sz w:val="22"/>
          <w:szCs w:val="22"/>
        </w:rPr>
      </w:pPr>
    </w:p>
    <w:p w14:paraId="3F606C33" w14:textId="77777777" w:rsidR="00B101F0" w:rsidRPr="00EA21B5" w:rsidRDefault="00B101F0" w:rsidP="00B101F0">
      <w:pPr>
        <w:pStyle w:val="Prrafodelista"/>
        <w:numPr>
          <w:ilvl w:val="0"/>
          <w:numId w:val="25"/>
        </w:numPr>
        <w:spacing w:line="360" w:lineRule="auto"/>
        <w:jc w:val="both"/>
        <w:rPr>
          <w:rFonts w:ascii="Palatino Linotype" w:hAnsi="Palatino Linotype" w:cs="Tahoma"/>
          <w:b/>
          <w:bCs/>
          <w:sz w:val="22"/>
          <w:szCs w:val="22"/>
        </w:rPr>
      </w:pPr>
      <w:r w:rsidRPr="00EA21B5">
        <w:rPr>
          <w:rFonts w:ascii="Palatino Linotype" w:hAnsi="Palatino Linotype" w:cs="Tahoma"/>
          <w:b/>
          <w:bCs/>
          <w:sz w:val="22"/>
          <w:szCs w:val="22"/>
        </w:rPr>
        <w:t>Clave Única de Registro de Población (CURP)</w:t>
      </w:r>
    </w:p>
    <w:p w14:paraId="7123C53A" w14:textId="77777777" w:rsidR="00B101F0" w:rsidRPr="00EA21B5" w:rsidRDefault="00B101F0" w:rsidP="00B101F0">
      <w:pPr>
        <w:pStyle w:val="Prrafodelista"/>
        <w:numPr>
          <w:ilvl w:val="0"/>
          <w:numId w:val="25"/>
        </w:numPr>
        <w:spacing w:line="360" w:lineRule="auto"/>
        <w:jc w:val="both"/>
        <w:rPr>
          <w:rFonts w:ascii="Palatino Linotype" w:hAnsi="Palatino Linotype" w:cs="Tahoma"/>
          <w:b/>
          <w:bCs/>
          <w:sz w:val="22"/>
          <w:szCs w:val="22"/>
        </w:rPr>
      </w:pPr>
      <w:r w:rsidRPr="00EA21B5">
        <w:rPr>
          <w:rFonts w:ascii="Palatino Linotype" w:hAnsi="Palatino Linotype" w:cs="Tahoma"/>
          <w:b/>
          <w:bCs/>
          <w:sz w:val="22"/>
          <w:szCs w:val="22"/>
        </w:rPr>
        <w:t>Clave ISSEMyM</w:t>
      </w:r>
    </w:p>
    <w:p w14:paraId="04524712" w14:textId="77777777" w:rsidR="00B101F0" w:rsidRPr="00EA21B5" w:rsidRDefault="00B101F0" w:rsidP="00B101F0">
      <w:pPr>
        <w:pStyle w:val="Prrafodelista"/>
        <w:numPr>
          <w:ilvl w:val="0"/>
          <w:numId w:val="25"/>
        </w:numPr>
        <w:spacing w:line="360" w:lineRule="auto"/>
        <w:jc w:val="both"/>
        <w:rPr>
          <w:rFonts w:ascii="Palatino Linotype" w:hAnsi="Palatino Linotype" w:cs="Tahoma"/>
          <w:b/>
          <w:bCs/>
          <w:sz w:val="22"/>
          <w:szCs w:val="22"/>
        </w:rPr>
      </w:pPr>
      <w:r w:rsidRPr="00EA21B5">
        <w:rPr>
          <w:rFonts w:ascii="Palatino Linotype" w:hAnsi="Palatino Linotype" w:cs="Tahoma"/>
          <w:b/>
          <w:bCs/>
          <w:sz w:val="22"/>
          <w:szCs w:val="22"/>
        </w:rPr>
        <w:t>Registro Federal de Contribuyentes (RFC)</w:t>
      </w:r>
    </w:p>
    <w:p w14:paraId="637D40E6" w14:textId="77777777" w:rsidR="00B101F0" w:rsidRPr="00EA21B5" w:rsidRDefault="00B101F0" w:rsidP="00B101F0">
      <w:pPr>
        <w:pStyle w:val="Prrafodelista"/>
        <w:numPr>
          <w:ilvl w:val="0"/>
          <w:numId w:val="25"/>
        </w:numPr>
        <w:spacing w:line="360" w:lineRule="auto"/>
        <w:jc w:val="both"/>
        <w:rPr>
          <w:rFonts w:ascii="Palatino Linotype" w:hAnsi="Palatino Linotype" w:cs="Tahoma"/>
          <w:b/>
          <w:bCs/>
          <w:sz w:val="22"/>
          <w:szCs w:val="22"/>
        </w:rPr>
      </w:pPr>
      <w:r w:rsidRPr="00EA21B5">
        <w:rPr>
          <w:rFonts w:ascii="Palatino Linotype" w:hAnsi="Palatino Linotype" w:cs="Tahoma"/>
          <w:b/>
          <w:bCs/>
          <w:sz w:val="22"/>
          <w:szCs w:val="22"/>
        </w:rPr>
        <w:t>Deducciones personales</w:t>
      </w:r>
    </w:p>
    <w:p w14:paraId="572F9CB5" w14:textId="77777777" w:rsidR="00B101F0" w:rsidRPr="00EA21B5" w:rsidRDefault="00B101F0" w:rsidP="00B101F0">
      <w:pPr>
        <w:pStyle w:val="Prrafodelista"/>
        <w:numPr>
          <w:ilvl w:val="0"/>
          <w:numId w:val="25"/>
        </w:numPr>
        <w:spacing w:line="360" w:lineRule="auto"/>
        <w:jc w:val="both"/>
        <w:rPr>
          <w:rFonts w:ascii="Palatino Linotype" w:hAnsi="Palatino Linotype" w:cs="Tahoma"/>
          <w:b/>
          <w:bCs/>
          <w:sz w:val="22"/>
          <w:szCs w:val="22"/>
        </w:rPr>
      </w:pPr>
      <w:r w:rsidRPr="00EA21B5">
        <w:rPr>
          <w:rFonts w:ascii="Palatino Linotype" w:hAnsi="Palatino Linotype" w:cs="Tahoma"/>
          <w:b/>
          <w:bCs/>
          <w:sz w:val="22"/>
          <w:szCs w:val="22"/>
        </w:rPr>
        <w:t>Código QR</w:t>
      </w:r>
    </w:p>
    <w:p w14:paraId="589BADD5" w14:textId="77777777" w:rsidR="00B101F0" w:rsidRPr="00EA21B5" w:rsidRDefault="00B101F0" w:rsidP="00B101F0">
      <w:pPr>
        <w:pBdr>
          <w:top w:val="nil"/>
          <w:left w:val="nil"/>
          <w:bottom w:val="nil"/>
          <w:right w:val="nil"/>
          <w:between w:val="nil"/>
        </w:pBdr>
        <w:spacing w:line="360" w:lineRule="auto"/>
        <w:ind w:right="-150"/>
        <w:jc w:val="both"/>
        <w:rPr>
          <w:rFonts w:ascii="Palatino Linotype" w:hAnsi="Palatino Linotype"/>
          <w:sz w:val="22"/>
          <w:szCs w:val="22"/>
        </w:rPr>
      </w:pPr>
    </w:p>
    <w:p w14:paraId="6768BBAA" w14:textId="77777777" w:rsidR="00B101F0" w:rsidRPr="00EA21B5" w:rsidRDefault="00B101F0" w:rsidP="00B101F0">
      <w:pPr>
        <w:pStyle w:val="Prrafodelista"/>
        <w:spacing w:line="360" w:lineRule="auto"/>
        <w:ind w:left="0"/>
        <w:jc w:val="both"/>
        <w:rPr>
          <w:rFonts w:ascii="Palatino Linotype" w:hAnsi="Palatino Linotype"/>
          <w:sz w:val="22"/>
          <w:szCs w:val="22"/>
        </w:rPr>
      </w:pPr>
      <w:r w:rsidRPr="00EA21B5">
        <w:rPr>
          <w:rFonts w:ascii="Palatino Linotype" w:hAnsi="Palatino Linotype" w:cs="Tahoma"/>
          <w:bCs/>
          <w:sz w:val="22"/>
          <w:szCs w:val="22"/>
        </w:rPr>
        <w:lastRenderedPageBreak/>
        <w:t>Es decir, los elementos enlistados constituyen</w:t>
      </w:r>
      <w:r w:rsidRPr="00EA21B5">
        <w:rPr>
          <w:rFonts w:ascii="Palatino Linotype" w:hAnsi="Palatino Linotype"/>
          <w:sz w:val="22"/>
          <w:szCs w:val="22"/>
        </w:rPr>
        <w:t xml:space="preserv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7F44931"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31A8ADE0"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2F233262" w14:textId="77777777" w:rsidR="00B101F0" w:rsidRPr="00EA21B5" w:rsidRDefault="00B101F0" w:rsidP="00B101F0">
      <w:pPr>
        <w:pBdr>
          <w:top w:val="nil"/>
          <w:left w:val="nil"/>
          <w:bottom w:val="nil"/>
          <w:right w:val="nil"/>
          <w:between w:val="nil"/>
        </w:pBdr>
        <w:spacing w:line="360" w:lineRule="auto"/>
        <w:ind w:right="-150"/>
        <w:jc w:val="both"/>
        <w:rPr>
          <w:rFonts w:ascii="Palatino Linotype" w:hAnsi="Palatino Linotype"/>
          <w:sz w:val="22"/>
          <w:szCs w:val="22"/>
        </w:rPr>
      </w:pPr>
    </w:p>
    <w:p w14:paraId="7450A26E"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Ahora bien, siguiendo con el análisis de los datos que contienen los recibos remitidos, siguen los siguientes:</w:t>
      </w:r>
    </w:p>
    <w:p w14:paraId="54744514"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0B8AF87F" w14:textId="77777777" w:rsidR="00B101F0" w:rsidRPr="00EA21B5" w:rsidRDefault="00B101F0" w:rsidP="00B101F0">
      <w:pPr>
        <w:pStyle w:val="Prrafodelista"/>
        <w:spacing w:line="360" w:lineRule="auto"/>
        <w:ind w:left="0"/>
        <w:jc w:val="both"/>
        <w:rPr>
          <w:rFonts w:ascii="Palatino Linotype" w:hAnsi="Palatino Linotype" w:cs="Tahoma"/>
          <w:b/>
          <w:bCs/>
          <w:sz w:val="22"/>
          <w:szCs w:val="22"/>
        </w:rPr>
      </w:pPr>
      <w:r w:rsidRPr="00EA21B5">
        <w:rPr>
          <w:rFonts w:ascii="Palatino Linotype" w:hAnsi="Palatino Linotype" w:cs="Tahoma"/>
          <w:b/>
          <w:bCs/>
          <w:sz w:val="22"/>
          <w:szCs w:val="22"/>
        </w:rPr>
        <w:t xml:space="preserve">VI. Percepciones. </w:t>
      </w:r>
    </w:p>
    <w:p w14:paraId="6D6BC6A6" w14:textId="77777777" w:rsidR="00B101F0" w:rsidRPr="00EA21B5" w:rsidRDefault="00B101F0" w:rsidP="00B101F0">
      <w:pPr>
        <w:pStyle w:val="Prrafodelista"/>
        <w:spacing w:line="360" w:lineRule="auto"/>
        <w:ind w:left="0"/>
        <w:jc w:val="both"/>
        <w:rPr>
          <w:rFonts w:ascii="Palatino Linotype" w:hAnsi="Palatino Linotype" w:cs="Tahoma"/>
          <w:b/>
          <w:bCs/>
          <w:sz w:val="22"/>
          <w:szCs w:val="22"/>
        </w:rPr>
      </w:pPr>
    </w:p>
    <w:p w14:paraId="5AB0B614"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En el apartado de percepciones de los recibos de nómina, se localizan todos aquellos conceptos que integran el sueldo bruto y neto al que tienen derecho por la prestación de sus servicios los servidores públicos con alguna dependencia pública.</w:t>
      </w:r>
    </w:p>
    <w:p w14:paraId="48460D22"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4272B275" w14:textId="77777777" w:rsidR="00B101F0" w:rsidRPr="00EA21B5" w:rsidRDefault="00B101F0" w:rsidP="00B101F0">
      <w:pPr>
        <w:pStyle w:val="Prrafodelista"/>
        <w:spacing w:line="360" w:lineRule="auto"/>
        <w:ind w:left="0"/>
        <w:jc w:val="both"/>
        <w:rPr>
          <w:rFonts w:ascii="Palatino Linotype" w:hAnsi="Palatino Linotype"/>
          <w:sz w:val="22"/>
          <w:szCs w:val="22"/>
        </w:rPr>
      </w:pPr>
      <w:r w:rsidRPr="00EA21B5">
        <w:rPr>
          <w:rFonts w:ascii="Palatino Linotype" w:hAnsi="Palatino Linotype"/>
          <w:sz w:val="22"/>
          <w:szCs w:val="22"/>
        </w:rPr>
        <w:t>En el contexto de la función pública, el "sueldo" de los servidores públicos es un componente esencial de la transparencia y el derecho a la información pública. La importancia de que los salarios de los servidores públicos sean accesibles al público general se fundamenta en el principio de publicidad de la gestión pública, en la obligación de rendir cuentas, y en el respeto al derecho fundamental de acceso a la información.</w:t>
      </w:r>
    </w:p>
    <w:p w14:paraId="45351BEE" w14:textId="77777777" w:rsidR="00B101F0" w:rsidRPr="00EA21B5" w:rsidRDefault="00B101F0" w:rsidP="00B101F0">
      <w:pPr>
        <w:pStyle w:val="Prrafodelista"/>
        <w:spacing w:line="360" w:lineRule="auto"/>
        <w:ind w:left="0"/>
        <w:jc w:val="both"/>
        <w:rPr>
          <w:rFonts w:ascii="Palatino Linotype" w:hAnsi="Palatino Linotype"/>
          <w:sz w:val="22"/>
          <w:szCs w:val="22"/>
        </w:rPr>
      </w:pPr>
    </w:p>
    <w:p w14:paraId="217D42BE" w14:textId="77777777" w:rsidR="00B101F0" w:rsidRPr="00EA21B5" w:rsidRDefault="00B101F0" w:rsidP="00B101F0">
      <w:pPr>
        <w:spacing w:line="360" w:lineRule="auto"/>
        <w:jc w:val="both"/>
        <w:rPr>
          <w:rFonts w:ascii="Palatino Linotype" w:hAnsi="Palatino Linotype"/>
          <w:sz w:val="22"/>
          <w:szCs w:val="22"/>
        </w:rPr>
      </w:pPr>
      <w:r w:rsidRPr="00EA21B5">
        <w:rPr>
          <w:rFonts w:ascii="Palatino Linotype" w:hAnsi="Palatino Linotype"/>
          <w:sz w:val="22"/>
          <w:szCs w:val="22"/>
        </w:rPr>
        <w:lastRenderedPageBreak/>
        <w:t>Las percepciones salariales de los servidores públicos no solo comprenden el sueldo base, sino todos aquellos conceptos a los que tienen derecho por ser trabajadores o prestar servicios a una institución pública. Esto incluye, pero no se limita a, gratificaciones, bonos, dietas, incentivos, compensaciones adicionales, y cualquier otro tipo de retribución económica. La divulgación de todos estos componentes salariales es crucial para que la ciudadanía pueda tener una visión integral de las condiciones económicas de los servidores públicos. Esta información permite comprobar que los salarios se ajustan a las funciones desempeñadas y que no existen desajustes entre el esfuerzo público y la retribución económica que se recibe. Además, la transparencia en este aspecto es un mecanismo eficaz que contribuye a la creación de una cultura política de integridad, confianza y participación activa de la ciudadanía en los procesos de control democrático.</w:t>
      </w:r>
    </w:p>
    <w:p w14:paraId="5D763F39"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1C64637F"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Es así que, al integrarse de todos los conceptos a lo que tiene derecho el servidor público y que se derivan del erario público, es que es considerada información pública y no es susceptible de clasificarse como confidencial. </w:t>
      </w:r>
    </w:p>
    <w:p w14:paraId="5249C74B" w14:textId="77777777" w:rsidR="00B101F0" w:rsidRPr="00EA21B5" w:rsidRDefault="00B101F0" w:rsidP="00B101F0">
      <w:pPr>
        <w:pStyle w:val="Ttulo3"/>
        <w:spacing w:line="360" w:lineRule="auto"/>
        <w:ind w:left="142" w:right="397"/>
        <w:jc w:val="both"/>
        <w:rPr>
          <w:rFonts w:ascii="Palatino Linotype" w:hAnsi="Palatino Linotype"/>
          <w:b w:val="0"/>
          <w:sz w:val="22"/>
          <w:szCs w:val="22"/>
        </w:rPr>
      </w:pPr>
      <w:bookmarkStart w:id="12" w:name="_Toc86917948"/>
      <w:bookmarkStart w:id="13" w:name="_Toc203042498"/>
      <w:r w:rsidRPr="00EA21B5">
        <w:rPr>
          <w:rFonts w:ascii="Palatino Linotype" w:hAnsi="Palatino Linotype"/>
          <w:sz w:val="22"/>
          <w:szCs w:val="22"/>
        </w:rPr>
        <w:t xml:space="preserve">VII. </w:t>
      </w:r>
      <w:r w:rsidRPr="00EA21B5">
        <w:rPr>
          <w:rFonts w:ascii="Palatino Linotype" w:hAnsi="Palatino Linotype" w:cs="Tahoma"/>
          <w:sz w:val="22"/>
          <w:szCs w:val="22"/>
        </w:rPr>
        <w:t>Sellos digitales del emisor y del Servicio de Administración Tributaria y cadena original del complemento de certificación digital del órgano previamente señalado; así como folio fiscal.</w:t>
      </w:r>
      <w:bookmarkEnd w:id="12"/>
      <w:bookmarkEnd w:id="13"/>
    </w:p>
    <w:p w14:paraId="736F5F03" w14:textId="77777777" w:rsidR="00B101F0" w:rsidRPr="00EA21B5" w:rsidRDefault="00B101F0" w:rsidP="00B101F0">
      <w:pPr>
        <w:spacing w:line="360" w:lineRule="auto"/>
        <w:jc w:val="both"/>
        <w:rPr>
          <w:rFonts w:ascii="Palatino Linotype" w:hAnsi="Palatino Linotype" w:cs="Tahoma"/>
          <w:bCs/>
          <w:sz w:val="22"/>
          <w:szCs w:val="22"/>
        </w:rPr>
      </w:pPr>
    </w:p>
    <w:p w14:paraId="129CDCF8"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 xml:space="preserve">Cuando, de la secuencia de números y letras, </w:t>
      </w:r>
      <w:r w:rsidRPr="00EA21B5">
        <w:rPr>
          <w:rFonts w:ascii="Palatino Linotype" w:hAnsi="Palatino Linotype" w:cs="Tahoma"/>
          <w:b/>
          <w:bCs/>
          <w:sz w:val="22"/>
          <w:szCs w:val="22"/>
        </w:rPr>
        <w:t>no</w:t>
      </w:r>
      <w:r w:rsidRPr="00EA21B5">
        <w:rPr>
          <w:rFonts w:ascii="Palatino Linotype" w:hAnsi="Palatino Linotype" w:cs="Tahoma"/>
          <w:bCs/>
          <w:sz w:val="22"/>
          <w:szCs w:val="22"/>
        </w:rPr>
        <w:t xml:space="preserve"> se advierta un Registro Federal de Contribuyentes o una Clave Única de Registro de Población, que pueda hacer identificable al titular del dato personal, n</w:t>
      </w:r>
      <w:r w:rsidRPr="00EA21B5">
        <w:rPr>
          <w:rFonts w:ascii="Palatino Linotype" w:hAnsi="Palatino Linotype" w:cs="Tahoma"/>
          <w:b/>
          <w:bCs/>
          <w:sz w:val="22"/>
          <w:szCs w:val="22"/>
        </w:rPr>
        <w:t>o puede tenerse como dato personal y por ende información confidencial</w:t>
      </w:r>
      <w:r w:rsidRPr="00EA21B5">
        <w:rPr>
          <w:rFonts w:ascii="Palatino Linotype" w:hAnsi="Palatino Linotype" w:cs="Tahoma"/>
          <w:bCs/>
          <w:sz w:val="22"/>
          <w:szCs w:val="22"/>
        </w:rPr>
        <w:t xml:space="preserve">. Por el contrario, debe considerarse que esta información incluida en los documentos fiscales, constituyen un elemento adicional que permite a cualquier persona verificar la legitimidad del documento entregado en una solicitud de acceso a la información </w:t>
      </w:r>
      <w:r w:rsidRPr="00EA21B5">
        <w:rPr>
          <w:rFonts w:ascii="Palatino Linotype" w:hAnsi="Palatino Linotype" w:cs="Tahoma"/>
          <w:bCs/>
          <w:sz w:val="22"/>
          <w:szCs w:val="22"/>
        </w:rPr>
        <w:lastRenderedPageBreak/>
        <w:t>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6D5D8B5"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74E75D96"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sz w:val="22"/>
          <w:szCs w:val="22"/>
        </w:rPr>
        <w:t>Las cadenas originales y sellos que se agregan a las facturas</w:t>
      </w:r>
      <w:r w:rsidRPr="00EA21B5">
        <w:rPr>
          <w:rFonts w:ascii="Palatino Linotype" w:hAnsi="Palatino Linotype" w:cs="Tahoma"/>
          <w:b/>
          <w:bCs/>
          <w:sz w:val="22"/>
          <w:szCs w:val="22"/>
        </w:rPr>
        <w:t>,</w:t>
      </w:r>
      <w:r w:rsidRPr="00EA21B5">
        <w:rPr>
          <w:rFonts w:ascii="Palatino Linotype" w:hAnsi="Palatino Linotype" w:cs="Tahoma"/>
          <w:bCs/>
          <w:sz w:val="22"/>
          <w:szCs w:val="22"/>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6AFE286B" w14:textId="77777777" w:rsidR="00B101F0" w:rsidRPr="00EA21B5" w:rsidRDefault="00B101F0" w:rsidP="00B101F0">
      <w:pPr>
        <w:spacing w:line="360" w:lineRule="auto"/>
        <w:jc w:val="both"/>
        <w:rPr>
          <w:rFonts w:ascii="Palatino Linotype" w:hAnsi="Palatino Linotype" w:cs="Tahoma"/>
          <w:bCs/>
          <w:sz w:val="22"/>
          <w:szCs w:val="22"/>
        </w:rPr>
      </w:pPr>
      <w:r w:rsidRPr="00EA21B5">
        <w:rPr>
          <w:rFonts w:ascii="Palatino Linotype" w:hAnsi="Palatino Linotype" w:cs="Tahoma"/>
          <w:bCs/>
          <w:sz w:val="22"/>
          <w:szCs w:val="22"/>
        </w:rPr>
        <w:t> </w:t>
      </w:r>
    </w:p>
    <w:p w14:paraId="3361847D"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“Elementos utilizados en la generación de Sellos Digitales:</w:t>
      </w:r>
    </w:p>
    <w:p w14:paraId="3F246D60"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w:t>
      </w:r>
      <w:r w:rsidRPr="00EA21B5">
        <w:rPr>
          <w:rFonts w:ascii="Palatino Linotype" w:eastAsia="Calibri" w:hAnsi="Palatino Linotype" w:cs="Tahoma"/>
          <w:bCs/>
          <w:i/>
          <w:sz w:val="22"/>
          <w:szCs w:val="22"/>
          <w:lang w:eastAsia="en-US"/>
        </w:rPr>
        <w:tab/>
        <w:t>Cadena Original, el elemento a sellar, en este caso de un comprobante fiscal digital a través de Internet.</w:t>
      </w:r>
    </w:p>
    <w:p w14:paraId="7384DE07"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w:t>
      </w:r>
      <w:r w:rsidRPr="00EA21B5">
        <w:rPr>
          <w:rFonts w:ascii="Palatino Linotype" w:eastAsia="Calibri" w:hAnsi="Palatino Linotype" w:cs="Tahoma"/>
          <w:bCs/>
          <w:i/>
          <w:sz w:val="22"/>
          <w:szCs w:val="22"/>
          <w:lang w:eastAsia="en-US"/>
        </w:rPr>
        <w:tab/>
        <w:t>Certificado de Sello Digital y su correspondiente clave privada.</w:t>
      </w:r>
    </w:p>
    <w:p w14:paraId="4B46B0CC"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w:t>
      </w:r>
      <w:r w:rsidRPr="00EA21B5">
        <w:rPr>
          <w:rFonts w:ascii="Palatino Linotype" w:eastAsia="Calibri" w:hAnsi="Palatino Linotype" w:cs="Tahoma"/>
          <w:bCs/>
          <w:i/>
          <w:sz w:val="22"/>
          <w:szCs w:val="22"/>
          <w:lang w:eastAsia="en-US"/>
        </w:rPr>
        <w:tab/>
        <w:t>Algoritmos de criptografía de clave pública para firma electrónica avanzada.</w:t>
      </w:r>
    </w:p>
    <w:p w14:paraId="71F95E7E"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w:t>
      </w:r>
      <w:r w:rsidRPr="00EA21B5">
        <w:rPr>
          <w:rFonts w:ascii="Palatino Linotype" w:eastAsia="Calibri" w:hAnsi="Palatino Linotype" w:cs="Tahoma"/>
          <w:bCs/>
          <w:i/>
          <w:sz w:val="22"/>
          <w:szCs w:val="22"/>
          <w:lang w:eastAsia="en-US"/>
        </w:rPr>
        <w:tab/>
        <w:t>Especificaciones de conversión de la firma electrónica avanzada a Base 64.</w:t>
      </w:r>
    </w:p>
    <w:p w14:paraId="06AB068E"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Para la generación de sellos digitales se utiliza criptografía de clave pública aplicada a una cadena original.</w:t>
      </w:r>
    </w:p>
    <w:p w14:paraId="6A2735F2"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p>
    <w:p w14:paraId="7D4D863D"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Criptografía de la Clave Pública</w:t>
      </w:r>
    </w:p>
    <w:p w14:paraId="2223BFA2" w14:textId="77777777" w:rsidR="00B101F0" w:rsidRPr="00EA21B5" w:rsidRDefault="00B101F0" w:rsidP="00B101F0">
      <w:pPr>
        <w:ind w:left="567" w:right="539"/>
        <w:jc w:val="both"/>
        <w:rPr>
          <w:rFonts w:ascii="Palatino Linotype" w:eastAsia="Calibri" w:hAnsi="Palatino Linotype" w:cs="Tahoma"/>
          <w:bCs/>
          <w:i/>
          <w:sz w:val="22"/>
          <w:szCs w:val="22"/>
          <w:lang w:eastAsia="en-US"/>
        </w:rPr>
      </w:pPr>
      <w:r w:rsidRPr="00EA21B5">
        <w:rPr>
          <w:rFonts w:ascii="Palatino Linotype" w:eastAsia="Calibri" w:hAnsi="Palatino Linotype" w:cs="Tahoma"/>
          <w:bCs/>
          <w:i/>
          <w:sz w:val="22"/>
          <w:szCs w:val="22"/>
          <w:lang w:eastAsia="en-US"/>
        </w:rPr>
        <w:t xml:space="preserve">La criptografía de Clave Pública se basa en la generación de una pareja de números muy grandes relacionados íntimamente entre sí, de tal manera que una operación de </w:t>
      </w:r>
      <w:proofErr w:type="spellStart"/>
      <w:r w:rsidRPr="00EA21B5">
        <w:rPr>
          <w:rFonts w:ascii="Palatino Linotype" w:eastAsia="Calibri" w:hAnsi="Palatino Linotype" w:cs="Tahoma"/>
          <w:bCs/>
          <w:i/>
          <w:sz w:val="22"/>
          <w:szCs w:val="22"/>
          <w:lang w:eastAsia="en-US"/>
        </w:rPr>
        <w:t>encripción</w:t>
      </w:r>
      <w:proofErr w:type="spellEnd"/>
      <w:r w:rsidRPr="00EA21B5">
        <w:rPr>
          <w:rFonts w:ascii="Palatino Linotype" w:eastAsia="Calibri" w:hAnsi="Palatino Linotype" w:cs="Tahoma"/>
          <w:bCs/>
          <w:i/>
          <w:sz w:val="22"/>
          <w:szCs w:val="22"/>
          <w:lang w:eastAsia="en-US"/>
        </w:rPr>
        <w:t xml:space="preserve"> sobre un mensaje tomando como clave de </w:t>
      </w:r>
      <w:proofErr w:type="spellStart"/>
      <w:r w:rsidRPr="00EA21B5">
        <w:rPr>
          <w:rFonts w:ascii="Palatino Linotype" w:eastAsia="Calibri" w:hAnsi="Palatino Linotype" w:cs="Tahoma"/>
          <w:bCs/>
          <w:i/>
          <w:sz w:val="22"/>
          <w:szCs w:val="22"/>
          <w:lang w:eastAsia="en-US"/>
        </w:rPr>
        <w:t>encripción</w:t>
      </w:r>
      <w:proofErr w:type="spellEnd"/>
      <w:r w:rsidRPr="00EA21B5">
        <w:rPr>
          <w:rFonts w:ascii="Palatino Linotype" w:eastAsia="Calibri" w:hAnsi="Palatino Linotype" w:cs="Tahoma"/>
          <w:bCs/>
          <w:i/>
          <w:sz w:val="22"/>
          <w:szCs w:val="22"/>
          <w:lang w:eastAsia="en-US"/>
        </w:rPr>
        <w:t xml:space="preserve"> a uno de los dos números, produce un mensaje alterado en su significado que solo puede ser devuelto a su estado original mediante la operación de </w:t>
      </w:r>
      <w:proofErr w:type="spellStart"/>
      <w:r w:rsidRPr="00EA21B5">
        <w:rPr>
          <w:rFonts w:ascii="Palatino Linotype" w:eastAsia="Calibri" w:hAnsi="Palatino Linotype" w:cs="Tahoma"/>
          <w:bCs/>
          <w:i/>
          <w:sz w:val="22"/>
          <w:szCs w:val="22"/>
          <w:lang w:eastAsia="en-US"/>
        </w:rPr>
        <w:t>desencripción</w:t>
      </w:r>
      <w:proofErr w:type="spellEnd"/>
      <w:r w:rsidRPr="00EA21B5">
        <w:rPr>
          <w:rFonts w:ascii="Palatino Linotype" w:eastAsia="Calibri" w:hAnsi="Palatino Linotype" w:cs="Tahoma"/>
          <w:bCs/>
          <w:i/>
          <w:sz w:val="22"/>
          <w:szCs w:val="22"/>
          <w:lang w:eastAsia="en-US"/>
        </w:rPr>
        <w:t xml:space="preserve"> correspondiente tomando como clave de </w:t>
      </w:r>
      <w:proofErr w:type="spellStart"/>
      <w:r w:rsidRPr="00EA21B5">
        <w:rPr>
          <w:rFonts w:ascii="Palatino Linotype" w:eastAsia="Calibri" w:hAnsi="Palatino Linotype" w:cs="Tahoma"/>
          <w:bCs/>
          <w:i/>
          <w:sz w:val="22"/>
          <w:szCs w:val="22"/>
          <w:lang w:eastAsia="en-US"/>
        </w:rPr>
        <w:t>desencripción</w:t>
      </w:r>
      <w:proofErr w:type="spellEnd"/>
      <w:r w:rsidRPr="00EA21B5">
        <w:rPr>
          <w:rFonts w:ascii="Palatino Linotype" w:eastAsia="Calibri" w:hAnsi="Palatino Linotype" w:cs="Tahoma"/>
          <w:bCs/>
          <w:i/>
          <w:sz w:val="22"/>
          <w:szCs w:val="22"/>
          <w:lang w:eastAsia="en-US"/>
        </w:rPr>
        <w:t xml:space="preserve"> al otro número de la pareja.”</w:t>
      </w:r>
    </w:p>
    <w:p w14:paraId="507B6BDD" w14:textId="77777777" w:rsidR="00B101F0" w:rsidRPr="00EA21B5" w:rsidRDefault="00B101F0" w:rsidP="00B101F0">
      <w:pPr>
        <w:spacing w:line="360" w:lineRule="auto"/>
        <w:jc w:val="both"/>
        <w:rPr>
          <w:rFonts w:ascii="Palatino Linotype" w:hAnsi="Palatino Linotype" w:cs="Tahoma"/>
          <w:bCs/>
          <w:sz w:val="22"/>
          <w:szCs w:val="22"/>
        </w:rPr>
      </w:pPr>
      <w:r w:rsidRPr="00EA21B5">
        <w:rPr>
          <w:rFonts w:ascii="Palatino Linotype" w:hAnsi="Palatino Linotype" w:cs="Tahoma"/>
          <w:bCs/>
          <w:sz w:val="22"/>
          <w:szCs w:val="22"/>
        </w:rPr>
        <w:t> </w:t>
      </w:r>
    </w:p>
    <w:p w14:paraId="29E5D81A"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lastRenderedPageBreak/>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1A0169D"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25907594"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1FB8203" w14:textId="77777777" w:rsidR="00B101F0" w:rsidRPr="00EA21B5" w:rsidRDefault="00B101F0" w:rsidP="00B101F0">
      <w:pPr>
        <w:spacing w:line="360" w:lineRule="auto"/>
        <w:jc w:val="both"/>
        <w:rPr>
          <w:rFonts w:ascii="Palatino Linotype" w:hAnsi="Palatino Linotype" w:cs="Tahoma"/>
          <w:bCs/>
          <w:sz w:val="22"/>
          <w:szCs w:val="22"/>
        </w:rPr>
      </w:pPr>
      <w:r w:rsidRPr="00EA21B5">
        <w:rPr>
          <w:rFonts w:ascii="Palatino Linotype" w:hAnsi="Palatino Linotype" w:cs="Tahoma"/>
          <w:bCs/>
          <w:sz w:val="22"/>
          <w:szCs w:val="22"/>
        </w:rPr>
        <w:t> </w:t>
      </w:r>
    </w:p>
    <w:p w14:paraId="18B77F5D" w14:textId="77777777" w:rsidR="00B101F0" w:rsidRPr="00EA21B5" w:rsidRDefault="00B101F0" w:rsidP="00B101F0">
      <w:pPr>
        <w:spacing w:line="360" w:lineRule="auto"/>
        <w:jc w:val="both"/>
        <w:rPr>
          <w:rFonts w:ascii="Palatino Linotype" w:hAnsi="Palatino Linotype" w:cs="Tahoma"/>
          <w:bCs/>
          <w:sz w:val="22"/>
          <w:szCs w:val="22"/>
        </w:rPr>
      </w:pPr>
      <w:r w:rsidRPr="00EA21B5">
        <w:rPr>
          <w:rFonts w:ascii="Palatino Linotype" w:hAnsi="Palatino Linotype" w:cs="Tahoma"/>
          <w:bCs/>
          <w:noProof/>
          <w:sz w:val="22"/>
          <w:szCs w:val="22"/>
        </w:rPr>
        <w:drawing>
          <wp:inline distT="0" distB="0" distL="0" distR="0" wp14:anchorId="7AAE631F" wp14:editId="0F1D87CA">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2">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529DD732" w14:textId="77777777" w:rsidR="00B101F0" w:rsidRPr="00EA21B5" w:rsidRDefault="00B101F0" w:rsidP="00B101F0">
      <w:pPr>
        <w:spacing w:line="360" w:lineRule="auto"/>
        <w:jc w:val="both"/>
        <w:rPr>
          <w:rFonts w:ascii="Palatino Linotype" w:hAnsi="Palatino Linotype" w:cs="Tahoma"/>
          <w:bCs/>
          <w:sz w:val="22"/>
          <w:szCs w:val="22"/>
        </w:rPr>
      </w:pPr>
    </w:p>
    <w:p w14:paraId="0C556CCA"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r w:rsidRPr="00EA21B5">
        <w:rPr>
          <w:rFonts w:ascii="Palatino Linotype" w:hAnsi="Palatino Linotype" w:cs="Tahoma"/>
          <w:bCs/>
          <w:sz w:val="22"/>
          <w:szCs w:val="22"/>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43B29C5" w14:textId="77777777" w:rsidR="00B101F0" w:rsidRPr="00EA21B5" w:rsidRDefault="00B101F0" w:rsidP="00B101F0">
      <w:pPr>
        <w:pStyle w:val="Prrafodelista"/>
        <w:spacing w:line="360" w:lineRule="auto"/>
        <w:ind w:left="0"/>
        <w:jc w:val="both"/>
        <w:rPr>
          <w:rFonts w:ascii="Palatino Linotype" w:hAnsi="Palatino Linotype" w:cs="Tahoma"/>
          <w:bCs/>
          <w:sz w:val="22"/>
          <w:szCs w:val="22"/>
        </w:rPr>
      </w:pPr>
    </w:p>
    <w:p w14:paraId="2CBE40BC" w14:textId="77777777" w:rsidR="00B101F0" w:rsidRPr="00EA21B5" w:rsidRDefault="00B101F0" w:rsidP="00B101F0">
      <w:pPr>
        <w:pBdr>
          <w:top w:val="nil"/>
          <w:left w:val="nil"/>
          <w:bottom w:val="nil"/>
          <w:right w:val="nil"/>
          <w:between w:val="nil"/>
        </w:pBdr>
        <w:spacing w:line="360" w:lineRule="auto"/>
        <w:ind w:right="-150"/>
        <w:jc w:val="both"/>
        <w:rPr>
          <w:rFonts w:ascii="Palatino Linotype" w:hAnsi="Palatino Linotype" w:cs="Arial"/>
          <w:sz w:val="22"/>
          <w:szCs w:val="22"/>
        </w:rPr>
      </w:pPr>
      <w:r w:rsidRPr="00EA21B5">
        <w:rPr>
          <w:rFonts w:ascii="Palatino Linotype" w:hAnsi="Palatino Linotype" w:cs="Arial"/>
          <w:sz w:val="22"/>
          <w:szCs w:val="22"/>
        </w:rPr>
        <w:lastRenderedPageBreak/>
        <w:t>De lo anteriormente transcrito, se aprecia que la versión pública que remitió el Sujeto Obligado resulta excesiva, pues se pretende clasificar información que es de carácter pública, tal como sellos y cadenas digitales</w:t>
      </w:r>
      <w:r w:rsidR="00591707" w:rsidRPr="00EA21B5">
        <w:rPr>
          <w:rFonts w:ascii="Palatino Linotype" w:hAnsi="Palatino Linotype" w:cs="Arial"/>
          <w:sz w:val="22"/>
          <w:szCs w:val="22"/>
        </w:rPr>
        <w:t>, así como la fecha y hora de emisión</w:t>
      </w:r>
      <w:r w:rsidRPr="00EA21B5">
        <w:rPr>
          <w:rFonts w:ascii="Palatino Linotype" w:hAnsi="Palatino Linotype" w:cs="Arial"/>
          <w:sz w:val="22"/>
          <w:szCs w:val="22"/>
        </w:rPr>
        <w:t>, razón por la que si bien, se relaciona con lo peticionado, es que no satisface en totalidad el derecho del particular.</w:t>
      </w:r>
    </w:p>
    <w:p w14:paraId="19C641CB" w14:textId="77777777" w:rsidR="00B101F0" w:rsidRPr="00EA21B5" w:rsidRDefault="00B101F0" w:rsidP="00FF2C34">
      <w:pPr>
        <w:spacing w:line="360" w:lineRule="auto"/>
        <w:ind w:right="-7"/>
        <w:jc w:val="both"/>
        <w:rPr>
          <w:rFonts w:ascii="Palatino Linotype" w:hAnsi="Palatino Linotype"/>
          <w:sz w:val="22"/>
          <w:szCs w:val="22"/>
        </w:rPr>
      </w:pPr>
    </w:p>
    <w:p w14:paraId="65D6C5E3" w14:textId="77777777" w:rsidR="00591707" w:rsidRPr="00EA21B5" w:rsidRDefault="00591707" w:rsidP="00FF2C34">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En consecuencia, se ORDENA entregar el recibo de nómina remitido en respuesta en una correcta versión pública, para tal efecto, el Sujeto Obligado deberá estar a lo dispuesto en el Considerando Quinto de la presente resolución </w:t>
      </w:r>
    </w:p>
    <w:p w14:paraId="7B7277B1" w14:textId="77777777" w:rsidR="00C841F9" w:rsidRPr="00EA21B5" w:rsidRDefault="00C841F9" w:rsidP="00FF2C34">
      <w:pPr>
        <w:spacing w:line="360" w:lineRule="auto"/>
        <w:ind w:right="-7"/>
        <w:jc w:val="both"/>
        <w:rPr>
          <w:rFonts w:ascii="Palatino Linotype" w:hAnsi="Palatino Linotype"/>
          <w:sz w:val="22"/>
          <w:szCs w:val="22"/>
        </w:rPr>
      </w:pPr>
    </w:p>
    <w:p w14:paraId="7166C685" w14:textId="77777777" w:rsidR="00C841F9" w:rsidRPr="00EA21B5" w:rsidRDefault="00C841F9" w:rsidP="00FF2C34">
      <w:pPr>
        <w:spacing w:line="360" w:lineRule="auto"/>
        <w:ind w:right="-7"/>
        <w:jc w:val="both"/>
        <w:rPr>
          <w:rFonts w:ascii="Palatino Linotype" w:hAnsi="Palatino Linotype"/>
          <w:sz w:val="22"/>
          <w:szCs w:val="22"/>
        </w:rPr>
      </w:pPr>
      <w:r w:rsidRPr="00EA21B5">
        <w:rPr>
          <w:rFonts w:ascii="Palatino Linotype" w:hAnsi="Palatino Linotype"/>
          <w:sz w:val="22"/>
          <w:szCs w:val="22"/>
        </w:rPr>
        <w:t xml:space="preserve">Por último y no menor importante, es de mencionar que el Recurrente solicitó el nombre de la </w:t>
      </w:r>
      <w:proofErr w:type="gramStart"/>
      <w:r w:rsidRPr="00EA21B5">
        <w:rPr>
          <w:rFonts w:ascii="Palatino Linotype" w:hAnsi="Palatino Linotype"/>
          <w:sz w:val="22"/>
          <w:szCs w:val="22"/>
        </w:rPr>
        <w:t>Presidenta</w:t>
      </w:r>
      <w:proofErr w:type="gramEnd"/>
      <w:r w:rsidRPr="00EA21B5">
        <w:rPr>
          <w:rFonts w:ascii="Palatino Linotype" w:hAnsi="Palatino Linotype"/>
          <w:sz w:val="22"/>
          <w:szCs w:val="22"/>
        </w:rPr>
        <w:t xml:space="preserve"> Municipal, información que el Sujeto Obligado proporcionó desde la respuesta y ratificó mediante su informe justificado. Sin embargo, aún y cuando se atendió el requerimiento, es de mencionar que dicho dato se encuentra inmerso también en el recibo de nómina que se está ordenando. </w:t>
      </w:r>
    </w:p>
    <w:p w14:paraId="0EDADB06" w14:textId="77777777" w:rsidR="00C17999" w:rsidRPr="00EA21B5" w:rsidRDefault="00C17999" w:rsidP="00C841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112EA5"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Quinto. Versión Pública. </w:t>
      </w:r>
      <w:r w:rsidRPr="00EA21B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377C5C"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p>
    <w:p w14:paraId="46AA982F"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199D16D9"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p>
    <w:p w14:paraId="3A823928" w14:textId="77777777" w:rsidR="0088533A" w:rsidRPr="00EA21B5" w:rsidRDefault="0088533A" w:rsidP="0088533A">
      <w:pPr>
        <w:spacing w:line="360" w:lineRule="auto"/>
        <w:ind w:right="50"/>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Lo anterior, de conformidad con lo que señalan los artículos 3 fracciones IX, XX, XXI y XLV, 91, 132 fracciones II y III, y 143 de la Ley de Transparencia y Acceso a la Información Pública del Estado de México y Municipios que establecen:</w:t>
      </w:r>
      <w:r w:rsidR="00EA6B80" w:rsidRPr="00EA21B5">
        <w:rPr>
          <w:rFonts w:ascii="Palatino Linotype" w:eastAsia="Palatino Linotype" w:hAnsi="Palatino Linotype" w:cs="Palatino Linotype"/>
          <w:sz w:val="22"/>
          <w:szCs w:val="22"/>
        </w:rPr>
        <w:t xml:space="preserve"> </w:t>
      </w:r>
    </w:p>
    <w:p w14:paraId="30D78175" w14:textId="77777777" w:rsidR="0088533A" w:rsidRPr="00EA21B5" w:rsidRDefault="0088533A" w:rsidP="0088533A">
      <w:pPr>
        <w:spacing w:line="360" w:lineRule="auto"/>
        <w:ind w:right="50"/>
        <w:jc w:val="both"/>
        <w:rPr>
          <w:rFonts w:ascii="Palatino Linotype" w:eastAsia="Palatino Linotype" w:hAnsi="Palatino Linotype" w:cs="Palatino Linotype"/>
          <w:sz w:val="22"/>
          <w:szCs w:val="22"/>
        </w:rPr>
      </w:pPr>
    </w:p>
    <w:p w14:paraId="568E3BBF"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Artículo 3.</w:t>
      </w:r>
      <w:r w:rsidRPr="00EA21B5">
        <w:rPr>
          <w:rFonts w:ascii="Palatino Linotype" w:eastAsia="Palatino Linotype" w:hAnsi="Palatino Linotype" w:cs="Palatino Linotype"/>
          <w:i/>
          <w:sz w:val="22"/>
          <w:szCs w:val="22"/>
        </w:rPr>
        <w:t xml:space="preserve"> Para los efectos de la presente Ley se entenderá por:</w:t>
      </w:r>
    </w:p>
    <w:p w14:paraId="2996EADA"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1DBC6638"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5FAA2E96"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XX. Información clasificada: Aquella considerada por la presente Ley como reservada o confidencial;</w:t>
      </w:r>
    </w:p>
    <w:p w14:paraId="1ECA0BD5"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34ADF7"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802B06D"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0A371B52"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91.</w:t>
      </w:r>
      <w:r w:rsidRPr="00EA21B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F1FC478"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132.</w:t>
      </w:r>
      <w:r w:rsidRPr="00EA21B5">
        <w:rPr>
          <w:rFonts w:ascii="Palatino Linotype" w:eastAsia="Palatino Linotype" w:hAnsi="Palatino Linotype" w:cs="Palatino Linotype"/>
          <w:i/>
          <w:sz w:val="22"/>
          <w:szCs w:val="22"/>
        </w:rPr>
        <w:t xml:space="preserve"> La clasificación de la información se llevará a cabo en el momento en que:</w:t>
      </w:r>
    </w:p>
    <w:p w14:paraId="00C12BD4" w14:textId="77777777" w:rsidR="0088533A" w:rsidRPr="00EA21B5" w:rsidRDefault="0088533A" w:rsidP="0088533A">
      <w:pPr>
        <w:tabs>
          <w:tab w:val="left" w:pos="1134"/>
        </w:tabs>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 Se reciba una solicitud de acceso a la información;</w:t>
      </w:r>
    </w:p>
    <w:p w14:paraId="0DBB1DCA" w14:textId="77777777" w:rsidR="0088533A" w:rsidRPr="00EA21B5" w:rsidRDefault="0088533A" w:rsidP="0088533A">
      <w:pPr>
        <w:tabs>
          <w:tab w:val="left" w:pos="1134"/>
        </w:tabs>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 Se determine mediante resolución de autoridad competente; o</w:t>
      </w:r>
    </w:p>
    <w:p w14:paraId="5E728395" w14:textId="77777777" w:rsidR="0088533A" w:rsidRPr="00EA21B5" w:rsidRDefault="0088533A" w:rsidP="0088533A">
      <w:pPr>
        <w:tabs>
          <w:tab w:val="left" w:pos="1134"/>
        </w:tabs>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A2ECF1E"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20CCAE48"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Artículo 143</w:t>
      </w:r>
      <w:r w:rsidRPr="00EA21B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46C7B6"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1687CDE"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08B0BC4"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14F441B"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48F49AD9"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AE544E8" w14:textId="77777777" w:rsidR="0088533A" w:rsidRPr="00EA21B5" w:rsidRDefault="0088533A" w:rsidP="0088533A">
      <w:pPr>
        <w:ind w:left="567" w:right="616"/>
        <w:jc w:val="both"/>
        <w:rPr>
          <w:rFonts w:ascii="Palatino Linotype" w:eastAsia="Palatino Linotype" w:hAnsi="Palatino Linotype" w:cs="Palatino Linotype"/>
          <w:i/>
          <w:sz w:val="22"/>
          <w:szCs w:val="22"/>
        </w:rPr>
      </w:pPr>
    </w:p>
    <w:p w14:paraId="78915C75"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94EF29" w14:textId="77777777" w:rsidR="0088533A" w:rsidRPr="00EA21B5" w:rsidRDefault="0088533A" w:rsidP="0088533A">
      <w:pPr>
        <w:jc w:val="both"/>
        <w:rPr>
          <w:rFonts w:ascii="Palatino Linotype" w:eastAsia="Palatino Linotype" w:hAnsi="Palatino Linotype" w:cs="Palatino Linotype"/>
          <w:sz w:val="22"/>
          <w:szCs w:val="22"/>
        </w:rPr>
      </w:pPr>
    </w:p>
    <w:p w14:paraId="1BA7DF13"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12259407"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p>
    <w:p w14:paraId="46AC85E4"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 “</w:t>
      </w:r>
      <w:r w:rsidRPr="00EA21B5">
        <w:rPr>
          <w:rFonts w:ascii="Palatino Linotype" w:eastAsia="Palatino Linotype" w:hAnsi="Palatino Linotype" w:cs="Palatino Linotype"/>
          <w:b/>
          <w:i/>
          <w:sz w:val="22"/>
          <w:szCs w:val="22"/>
        </w:rPr>
        <w:t>Quincuagésimo</w:t>
      </w:r>
      <w:r w:rsidRPr="00EA21B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3996241"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Quincuagésimo primero.</w:t>
      </w:r>
      <w:r w:rsidRPr="00EA21B5">
        <w:rPr>
          <w:rFonts w:ascii="Palatino Linotype" w:eastAsia="Palatino Linotype" w:hAnsi="Palatino Linotype" w:cs="Palatino Linotype"/>
          <w:i/>
          <w:sz w:val="22"/>
          <w:szCs w:val="22"/>
        </w:rPr>
        <w:t xml:space="preserve"> Toda acta del Comité de Transparencia deberá contener: </w:t>
      </w:r>
    </w:p>
    <w:p w14:paraId="0E5B3D12"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 El número de sesión y fecha; </w:t>
      </w:r>
    </w:p>
    <w:p w14:paraId="5D428CC4"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 El nombre del área que solicitó la clasificación de información; </w:t>
      </w:r>
    </w:p>
    <w:p w14:paraId="5D1F2201"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III. La fundamentación legal y motivación correspondiente; </w:t>
      </w:r>
    </w:p>
    <w:p w14:paraId="0E68624C"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IV. La resolución o resoluciones aprobadas; y </w:t>
      </w:r>
    </w:p>
    <w:p w14:paraId="558FC098"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V. La rúbrica o firma digital de cada integrante del Comité de Transparencia. </w:t>
      </w:r>
    </w:p>
    <w:p w14:paraId="06DC6FE6"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51BD7484"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 Los motivos y razonamientos que sustenten la confirmación o modificación de la prueba de daño;</w:t>
      </w:r>
    </w:p>
    <w:p w14:paraId="6C2BBB00"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 Descripción de las partes o secciones reservadas, en caso de clasificación parcial; </w:t>
      </w:r>
    </w:p>
    <w:p w14:paraId="64B1E10A"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III. El periodo por el que mantendrá su clasificación y fecha de expiración; y </w:t>
      </w:r>
    </w:p>
    <w:p w14:paraId="17132828"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4F8531B"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5992513"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F3023D0"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Quincuagésimo segundo.</w:t>
      </w:r>
      <w:r w:rsidRPr="00EA21B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4DAE191"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C0C4D04"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EF38E62"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0AA3039"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III. Señalar las personas o instancias autorizadas a acceder a la información clasificada.</w:t>
      </w:r>
    </w:p>
    <w:p w14:paraId="7C08E6D3"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C8C30F9"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p>
    <w:p w14:paraId="293FB845"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0C8CF3A1"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p>
    <w:p w14:paraId="166B22AF" w14:textId="77777777" w:rsidR="0088533A" w:rsidRPr="00EA21B5"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r w:rsidRPr="00EA21B5">
        <w:rPr>
          <w:rFonts w:ascii="Palatino Linotype" w:eastAsia="Palatino Linotype" w:hAnsi="Palatino Linotype" w:cs="Palatino Linotype"/>
          <w:b/>
          <w:i/>
          <w:sz w:val="22"/>
          <w:szCs w:val="22"/>
        </w:rPr>
        <w:t>Quincuagésimo cuarto.</w:t>
      </w:r>
      <w:r w:rsidRPr="00EA21B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w:t>
      </w:r>
      <w:r w:rsidRPr="00EA21B5">
        <w:rPr>
          <w:rFonts w:ascii="Palatino Linotype" w:eastAsia="Palatino Linotype" w:hAnsi="Palatino Linotype" w:cs="Palatino Linotype"/>
          <w:i/>
          <w:sz w:val="22"/>
          <w:szCs w:val="22"/>
        </w:rPr>
        <w:lastRenderedPageBreak/>
        <w:t xml:space="preserve">carátula del expediente del cual formen parte, la fecha y sesión del Comité de Transparencia en la que se confirmó dicha clasificación. </w:t>
      </w:r>
    </w:p>
    <w:p w14:paraId="271E5A15"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Quincuagésimo quinto.</w:t>
      </w:r>
      <w:r w:rsidRPr="00EA21B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EA21B5">
        <w:rPr>
          <w:rFonts w:ascii="Palatino Linotype" w:eastAsia="Palatino Linotype" w:hAnsi="Palatino Linotype" w:cs="Palatino Linotype"/>
          <w:i/>
          <w:sz w:val="22"/>
          <w:szCs w:val="22"/>
        </w:rPr>
        <w:t>testado</w:t>
      </w:r>
      <w:proofErr w:type="spellEnd"/>
      <w:r w:rsidRPr="00EA21B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272AE8C"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w:t>
      </w:r>
    </w:p>
    <w:p w14:paraId="149EFF50"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b/>
          <w:i/>
          <w:sz w:val="22"/>
          <w:szCs w:val="22"/>
        </w:rPr>
        <w:t>Quincuagésimo séptimo.</w:t>
      </w:r>
      <w:r w:rsidRPr="00EA21B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B55A5C"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2583B09"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3DDDAA47"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BDA2FBE"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C6696F0" w14:textId="77777777" w:rsidR="0088533A" w:rsidRPr="00EA21B5" w:rsidRDefault="0088533A" w:rsidP="0088533A">
      <w:pPr>
        <w:ind w:left="567" w:right="616"/>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6B96C67" w14:textId="77777777" w:rsidR="0088533A" w:rsidRPr="00EA21B5" w:rsidRDefault="0088533A" w:rsidP="0088533A">
      <w:pPr>
        <w:spacing w:line="360" w:lineRule="auto"/>
        <w:ind w:left="567" w:right="616"/>
        <w:jc w:val="both"/>
        <w:rPr>
          <w:rFonts w:ascii="Palatino Linotype" w:eastAsia="Palatino Linotype" w:hAnsi="Palatino Linotype" w:cs="Palatino Linotype"/>
          <w:i/>
          <w:sz w:val="22"/>
          <w:szCs w:val="22"/>
        </w:rPr>
      </w:pPr>
    </w:p>
    <w:p w14:paraId="12805E99" w14:textId="77777777" w:rsidR="0088533A" w:rsidRPr="00EA21B5" w:rsidRDefault="0088533A" w:rsidP="0088533A">
      <w:pPr>
        <w:spacing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1B9C961"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lastRenderedPageBreak/>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2F6F781D" w14:textId="77777777" w:rsidR="00422AF6" w:rsidRPr="00EA21B5" w:rsidRDefault="0067296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t>R E S U E L V E:</w:t>
      </w:r>
    </w:p>
    <w:p w14:paraId="625FBD43" w14:textId="77777777" w:rsidR="00422AF6" w:rsidRPr="00EA21B5" w:rsidRDefault="0067296C">
      <w:pPr>
        <w:spacing w:before="240" w:after="240" w:line="360" w:lineRule="auto"/>
        <w:jc w:val="both"/>
        <w:rPr>
          <w:rFonts w:ascii="Palatino Linotype" w:eastAsia="Palatino Linotype" w:hAnsi="Palatino Linotype" w:cs="Palatino Linotype"/>
          <w:b/>
          <w:sz w:val="22"/>
          <w:szCs w:val="22"/>
        </w:rPr>
      </w:pPr>
      <w:r w:rsidRPr="00EA21B5">
        <w:rPr>
          <w:rFonts w:ascii="Palatino Linotype" w:eastAsia="Palatino Linotype" w:hAnsi="Palatino Linotype" w:cs="Palatino Linotype"/>
          <w:b/>
          <w:sz w:val="22"/>
          <w:szCs w:val="22"/>
        </w:rPr>
        <w:t xml:space="preserve">Primero. </w:t>
      </w:r>
      <w:r w:rsidRPr="00EA21B5">
        <w:rPr>
          <w:rFonts w:ascii="Palatino Linotype" w:eastAsia="Palatino Linotype" w:hAnsi="Palatino Linotype" w:cs="Palatino Linotype"/>
          <w:sz w:val="22"/>
          <w:szCs w:val="22"/>
        </w:rPr>
        <w:t>Resultan</w:t>
      </w:r>
      <w:r w:rsidRPr="00EA21B5">
        <w:rPr>
          <w:rFonts w:ascii="Palatino Linotype" w:eastAsia="Palatino Linotype" w:hAnsi="Palatino Linotype" w:cs="Palatino Linotype"/>
          <w:b/>
          <w:sz w:val="22"/>
          <w:szCs w:val="22"/>
        </w:rPr>
        <w:t xml:space="preserve"> </w:t>
      </w:r>
      <w:r w:rsidR="009D7D9D" w:rsidRPr="00EA21B5">
        <w:rPr>
          <w:rFonts w:ascii="Palatino Linotype" w:eastAsia="Palatino Linotype" w:hAnsi="Palatino Linotype" w:cs="Palatino Linotype"/>
          <w:b/>
          <w:sz w:val="22"/>
          <w:szCs w:val="22"/>
        </w:rPr>
        <w:t xml:space="preserve">parcialmente </w:t>
      </w:r>
      <w:r w:rsidR="00E3722B" w:rsidRPr="00EA21B5">
        <w:rPr>
          <w:rFonts w:ascii="Palatino Linotype" w:eastAsia="Palatino Linotype" w:hAnsi="Palatino Linotype" w:cs="Palatino Linotype"/>
          <w:b/>
          <w:sz w:val="22"/>
          <w:szCs w:val="22"/>
        </w:rPr>
        <w:t>fundado</w:t>
      </w:r>
      <w:r w:rsidRPr="00EA21B5">
        <w:rPr>
          <w:rFonts w:ascii="Palatino Linotype" w:eastAsia="Palatino Linotype" w:hAnsi="Palatino Linotype" w:cs="Palatino Linotype"/>
          <w:b/>
          <w:sz w:val="22"/>
          <w:szCs w:val="22"/>
        </w:rPr>
        <w:t xml:space="preserve">s </w:t>
      </w:r>
      <w:r w:rsidRPr="00EA21B5">
        <w:rPr>
          <w:rFonts w:ascii="Palatino Linotype" w:eastAsia="Palatino Linotype" w:hAnsi="Palatino Linotype" w:cs="Palatino Linotype"/>
          <w:sz w:val="22"/>
          <w:szCs w:val="22"/>
        </w:rPr>
        <w:t xml:space="preserve">los motivos de inconformidad hechos valer por </w:t>
      </w:r>
      <w:r w:rsidRPr="00EA21B5">
        <w:rPr>
          <w:rFonts w:ascii="Palatino Linotype" w:eastAsia="Palatino Linotype" w:hAnsi="Palatino Linotype" w:cs="Palatino Linotype"/>
          <w:b/>
          <w:sz w:val="22"/>
          <w:szCs w:val="22"/>
        </w:rPr>
        <w:t>la parte Recurrente</w:t>
      </w:r>
      <w:r w:rsidRPr="00EA21B5">
        <w:rPr>
          <w:rFonts w:ascii="Palatino Linotype" w:eastAsia="Palatino Linotype" w:hAnsi="Palatino Linotype" w:cs="Palatino Linotype"/>
          <w:sz w:val="22"/>
          <w:szCs w:val="22"/>
        </w:rPr>
        <w:t xml:space="preserve"> en </w:t>
      </w:r>
      <w:r w:rsidR="00E3722B" w:rsidRPr="00EA21B5">
        <w:rPr>
          <w:rFonts w:ascii="Palatino Linotype" w:eastAsia="Palatino Linotype" w:hAnsi="Palatino Linotype" w:cs="Palatino Linotype"/>
          <w:sz w:val="22"/>
          <w:szCs w:val="22"/>
        </w:rPr>
        <w:t>el</w:t>
      </w:r>
      <w:r w:rsidRPr="00EA21B5">
        <w:rPr>
          <w:rFonts w:ascii="Palatino Linotype" w:eastAsia="Palatino Linotype" w:hAnsi="Palatino Linotype" w:cs="Palatino Linotype"/>
          <w:sz w:val="22"/>
          <w:szCs w:val="22"/>
        </w:rPr>
        <w:t xml:space="preserve"> Recurso de Revisión</w:t>
      </w:r>
      <w:r w:rsidRPr="00EA21B5">
        <w:rPr>
          <w:rFonts w:ascii="Palatino Linotype" w:eastAsia="Palatino Linotype" w:hAnsi="Palatino Linotype" w:cs="Palatino Linotype"/>
          <w:b/>
          <w:sz w:val="22"/>
          <w:szCs w:val="22"/>
        </w:rPr>
        <w:t xml:space="preserve"> </w:t>
      </w:r>
      <w:r w:rsidR="00C52D17" w:rsidRPr="00EA21B5">
        <w:rPr>
          <w:rFonts w:ascii="Palatino Linotype" w:eastAsia="Palatino Linotype" w:hAnsi="Palatino Linotype" w:cs="Palatino Linotype"/>
          <w:b/>
          <w:sz w:val="22"/>
          <w:szCs w:val="22"/>
        </w:rPr>
        <w:t>05869/INFOEM/IP/RR/2025</w:t>
      </w:r>
      <w:r w:rsidRPr="00EA21B5">
        <w:rPr>
          <w:rFonts w:ascii="Palatino Linotype" w:eastAsia="Palatino Linotype" w:hAnsi="Palatino Linotype" w:cs="Palatino Linotype"/>
          <w:b/>
          <w:sz w:val="22"/>
          <w:szCs w:val="22"/>
        </w:rPr>
        <w:t xml:space="preserve">, </w:t>
      </w:r>
      <w:r w:rsidRPr="00EA21B5">
        <w:rPr>
          <w:rFonts w:ascii="Palatino Linotype" w:eastAsia="Palatino Linotype" w:hAnsi="Palatino Linotype" w:cs="Palatino Linotype"/>
          <w:sz w:val="22"/>
          <w:szCs w:val="22"/>
        </w:rPr>
        <w:t>por lo que</w:t>
      </w:r>
      <w:r w:rsidRPr="00EA21B5">
        <w:rPr>
          <w:rFonts w:ascii="Palatino Linotype" w:eastAsia="Palatino Linotype" w:hAnsi="Palatino Linotype" w:cs="Palatino Linotype"/>
          <w:b/>
          <w:sz w:val="22"/>
          <w:szCs w:val="22"/>
        </w:rPr>
        <w:t xml:space="preserve">, en términos del Considerando Cuarto </w:t>
      </w:r>
      <w:r w:rsidRPr="00EA21B5">
        <w:rPr>
          <w:rFonts w:ascii="Palatino Linotype" w:eastAsia="Palatino Linotype" w:hAnsi="Palatino Linotype" w:cs="Palatino Linotype"/>
          <w:sz w:val="22"/>
          <w:szCs w:val="22"/>
        </w:rPr>
        <w:t>de la presente resolución</w:t>
      </w:r>
      <w:r w:rsidRPr="00EA21B5">
        <w:rPr>
          <w:rFonts w:ascii="Palatino Linotype" w:eastAsia="Palatino Linotype" w:hAnsi="Palatino Linotype" w:cs="Palatino Linotype"/>
          <w:b/>
          <w:sz w:val="22"/>
          <w:szCs w:val="22"/>
        </w:rPr>
        <w:t xml:space="preserve">, se </w:t>
      </w:r>
      <w:r w:rsidR="009D7D9D" w:rsidRPr="00EA21B5">
        <w:rPr>
          <w:rFonts w:ascii="Palatino Linotype" w:eastAsia="Palatino Linotype" w:hAnsi="Palatino Linotype" w:cs="Palatino Linotype"/>
          <w:b/>
          <w:sz w:val="22"/>
          <w:szCs w:val="22"/>
        </w:rPr>
        <w:t>MODIFICA</w:t>
      </w:r>
      <w:r w:rsidR="00D61860" w:rsidRPr="00EA21B5">
        <w:rPr>
          <w:rFonts w:ascii="Palatino Linotype" w:eastAsia="Palatino Linotype" w:hAnsi="Palatino Linotype" w:cs="Palatino Linotype"/>
          <w:b/>
          <w:sz w:val="22"/>
          <w:szCs w:val="22"/>
        </w:rPr>
        <w:t xml:space="preserve"> l</w:t>
      </w:r>
      <w:r w:rsidRPr="00EA21B5">
        <w:rPr>
          <w:rFonts w:ascii="Palatino Linotype" w:eastAsia="Palatino Linotype" w:hAnsi="Palatino Linotype" w:cs="Palatino Linotype"/>
          <w:sz w:val="22"/>
          <w:szCs w:val="22"/>
        </w:rPr>
        <w:t>a respuesta del</w:t>
      </w:r>
      <w:r w:rsidRPr="00EA21B5">
        <w:rPr>
          <w:rFonts w:ascii="Palatino Linotype" w:eastAsia="Palatino Linotype" w:hAnsi="Palatino Linotype" w:cs="Palatino Linotype"/>
          <w:b/>
          <w:sz w:val="22"/>
          <w:szCs w:val="22"/>
        </w:rPr>
        <w:t xml:space="preserve"> Sujeto Obligado.</w:t>
      </w:r>
    </w:p>
    <w:p w14:paraId="0DEC8D2F" w14:textId="77777777" w:rsidR="00422AF6" w:rsidRPr="00EA21B5" w:rsidRDefault="0067296C">
      <w:pPr>
        <w:spacing w:before="240" w:after="240" w:line="360" w:lineRule="auto"/>
        <w:jc w:val="both"/>
        <w:rPr>
          <w:rFonts w:ascii="Palatino Linotype" w:eastAsia="Palatino Linotype" w:hAnsi="Palatino Linotype" w:cs="Palatino Linotype"/>
          <w:b/>
          <w:sz w:val="22"/>
          <w:szCs w:val="22"/>
        </w:rPr>
      </w:pPr>
      <w:bookmarkStart w:id="14" w:name="_heading=h.j3ppyxwlb1s2" w:colFirst="0" w:colLast="0"/>
      <w:bookmarkEnd w:id="14"/>
      <w:r w:rsidRPr="00EA21B5">
        <w:rPr>
          <w:rFonts w:ascii="Palatino Linotype" w:eastAsia="Palatino Linotype" w:hAnsi="Palatino Linotype" w:cs="Palatino Linotype"/>
          <w:b/>
          <w:sz w:val="22"/>
          <w:szCs w:val="22"/>
        </w:rPr>
        <w:t xml:space="preserve">Segundo. Se Ordena al Sujeto Obligado </w:t>
      </w:r>
      <w:proofErr w:type="gramStart"/>
      <w:r w:rsidRPr="00EA21B5">
        <w:rPr>
          <w:rFonts w:ascii="Palatino Linotype" w:eastAsia="Palatino Linotype" w:hAnsi="Palatino Linotype" w:cs="Palatino Linotype"/>
          <w:sz w:val="22"/>
          <w:szCs w:val="22"/>
        </w:rPr>
        <w:t>que</w:t>
      </w:r>
      <w:proofErr w:type="gramEnd"/>
      <w:r w:rsidRPr="00EA21B5">
        <w:rPr>
          <w:rFonts w:ascii="Palatino Linotype" w:eastAsia="Palatino Linotype" w:hAnsi="Palatino Linotype" w:cs="Palatino Linotype"/>
          <w:sz w:val="22"/>
          <w:szCs w:val="22"/>
        </w:rPr>
        <w:t xml:space="preserve"> en términos de los</w:t>
      </w:r>
      <w:r w:rsidRPr="00EA21B5">
        <w:rPr>
          <w:rFonts w:ascii="Palatino Linotype" w:eastAsia="Palatino Linotype" w:hAnsi="Palatino Linotype" w:cs="Palatino Linotype"/>
          <w:b/>
          <w:sz w:val="22"/>
          <w:szCs w:val="22"/>
        </w:rPr>
        <w:t xml:space="preserve"> Considerandos Cuarto y Quinto </w:t>
      </w:r>
      <w:r w:rsidRPr="00EA21B5">
        <w:rPr>
          <w:rFonts w:ascii="Palatino Linotype" w:eastAsia="Palatino Linotype" w:hAnsi="Palatino Linotype" w:cs="Palatino Linotype"/>
          <w:sz w:val="22"/>
          <w:szCs w:val="22"/>
        </w:rPr>
        <w:t xml:space="preserve">de esta resolución, haga entrega a </w:t>
      </w:r>
      <w:r w:rsidRPr="00EA21B5">
        <w:rPr>
          <w:rFonts w:ascii="Palatino Linotype" w:eastAsia="Palatino Linotype" w:hAnsi="Palatino Linotype" w:cs="Palatino Linotype"/>
          <w:b/>
          <w:sz w:val="22"/>
          <w:szCs w:val="22"/>
        </w:rPr>
        <w:t>la parte Recurrente a través del SAIMEX</w:t>
      </w:r>
      <w:r w:rsidR="00FE0BFB" w:rsidRPr="00EA21B5">
        <w:rPr>
          <w:rFonts w:ascii="Palatino Linotype" w:eastAsia="Palatino Linotype" w:hAnsi="Palatino Linotype" w:cs="Palatino Linotype"/>
          <w:b/>
          <w:sz w:val="22"/>
          <w:szCs w:val="22"/>
        </w:rPr>
        <w:t xml:space="preserve">, </w:t>
      </w:r>
      <w:r w:rsidR="00FE0BFB" w:rsidRPr="00EA21B5">
        <w:rPr>
          <w:rFonts w:ascii="Palatino Linotype" w:eastAsia="Palatino Linotype" w:hAnsi="Palatino Linotype" w:cs="Palatino Linotype"/>
          <w:sz w:val="22"/>
          <w:szCs w:val="22"/>
        </w:rPr>
        <w:t>en versión pública,</w:t>
      </w:r>
      <w:r w:rsidRPr="00EA21B5">
        <w:rPr>
          <w:rFonts w:ascii="Palatino Linotype" w:eastAsia="Palatino Linotype" w:hAnsi="Palatino Linotype" w:cs="Palatino Linotype"/>
          <w:sz w:val="22"/>
          <w:szCs w:val="22"/>
        </w:rPr>
        <w:t xml:space="preserve"> </w:t>
      </w:r>
      <w:r w:rsidR="00AB1FF7" w:rsidRPr="00EA21B5">
        <w:rPr>
          <w:rFonts w:ascii="Palatino Linotype" w:eastAsia="Palatino Linotype" w:hAnsi="Palatino Linotype" w:cs="Palatino Linotype"/>
          <w:sz w:val="22"/>
          <w:szCs w:val="22"/>
        </w:rPr>
        <w:t>l</w:t>
      </w:r>
      <w:r w:rsidR="009D7D9D" w:rsidRPr="00EA21B5">
        <w:rPr>
          <w:rFonts w:ascii="Palatino Linotype" w:eastAsia="Palatino Linotype" w:hAnsi="Palatino Linotype" w:cs="Palatino Linotype"/>
          <w:sz w:val="22"/>
          <w:szCs w:val="22"/>
        </w:rPr>
        <w:t>a siguiente información</w:t>
      </w:r>
      <w:r w:rsidRPr="00EA21B5">
        <w:rPr>
          <w:rFonts w:ascii="Palatino Linotype" w:eastAsia="Palatino Linotype" w:hAnsi="Palatino Linotype" w:cs="Palatino Linotype"/>
          <w:sz w:val="22"/>
          <w:szCs w:val="22"/>
        </w:rPr>
        <w:t xml:space="preserve">: </w:t>
      </w:r>
    </w:p>
    <w:p w14:paraId="46F0EF62" w14:textId="77777777" w:rsidR="00CA3787" w:rsidRPr="00EA21B5" w:rsidRDefault="009D7D9D" w:rsidP="00531363">
      <w:pPr>
        <w:pStyle w:val="Prrafodelista"/>
        <w:numPr>
          <w:ilvl w:val="0"/>
          <w:numId w:val="13"/>
        </w:numPr>
        <w:ind w:left="993" w:right="843"/>
        <w:jc w:val="both"/>
        <w:rPr>
          <w:rFonts w:ascii="Palatino Linotype" w:hAnsi="Palatino Linotype"/>
          <w:b/>
          <w:sz w:val="22"/>
          <w:szCs w:val="22"/>
        </w:rPr>
      </w:pPr>
      <w:r w:rsidRPr="00EA21B5">
        <w:rPr>
          <w:rFonts w:ascii="Palatino Linotype" w:hAnsi="Palatino Linotype"/>
          <w:b/>
          <w:sz w:val="22"/>
          <w:szCs w:val="22"/>
        </w:rPr>
        <w:t>Recibo de nómina proporcionado en respuesta a la solicitud</w:t>
      </w:r>
      <w:r w:rsidR="00BC59DC" w:rsidRPr="00EA21B5">
        <w:rPr>
          <w:rFonts w:ascii="Palatino Linotype" w:hAnsi="Palatino Linotype"/>
          <w:b/>
          <w:sz w:val="22"/>
          <w:szCs w:val="22"/>
        </w:rPr>
        <w:t xml:space="preserve"> 00091/CHALCO/IP/2025, </w:t>
      </w:r>
      <w:r w:rsidRPr="00EA21B5">
        <w:rPr>
          <w:rFonts w:ascii="Palatino Linotype" w:hAnsi="Palatino Linotype"/>
          <w:b/>
          <w:sz w:val="22"/>
          <w:szCs w:val="22"/>
        </w:rPr>
        <w:t>en una correcta versión pública.</w:t>
      </w:r>
    </w:p>
    <w:p w14:paraId="241C5BFE" w14:textId="77777777" w:rsidR="00B672B6" w:rsidRPr="00EA21B5" w:rsidRDefault="00B672B6" w:rsidP="00CA3787">
      <w:pPr>
        <w:pStyle w:val="Prrafodelista"/>
        <w:ind w:left="1287" w:right="843"/>
        <w:jc w:val="both"/>
        <w:rPr>
          <w:rFonts w:ascii="Palatino Linotype" w:hAnsi="Palatino Linotype"/>
          <w:b/>
          <w:i/>
          <w:sz w:val="22"/>
          <w:szCs w:val="22"/>
        </w:rPr>
      </w:pPr>
      <w:r w:rsidRPr="00EA21B5">
        <w:rPr>
          <w:rFonts w:ascii="Palatino Linotype" w:hAnsi="Palatino Linotype"/>
          <w:b/>
          <w:i/>
          <w:sz w:val="22"/>
          <w:szCs w:val="22"/>
        </w:rPr>
        <w:t xml:space="preserve"> </w:t>
      </w:r>
    </w:p>
    <w:p w14:paraId="6F01ED7F" w14:textId="77777777" w:rsidR="004E7FF3" w:rsidRPr="00EA21B5" w:rsidRDefault="004E7FF3" w:rsidP="004E7FF3">
      <w:pPr>
        <w:pBdr>
          <w:top w:val="nil"/>
          <w:left w:val="nil"/>
          <w:bottom w:val="nil"/>
          <w:right w:val="nil"/>
          <w:between w:val="nil"/>
        </w:pBdr>
        <w:ind w:left="284" w:right="560"/>
        <w:jc w:val="both"/>
        <w:rPr>
          <w:rFonts w:ascii="Palatino Linotype" w:eastAsia="Palatino Linotype" w:hAnsi="Palatino Linotype" w:cs="Palatino Linotype"/>
          <w:i/>
          <w:sz w:val="22"/>
          <w:szCs w:val="22"/>
        </w:rPr>
      </w:pPr>
      <w:r w:rsidRPr="00EA21B5">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EA21B5">
        <w:rPr>
          <w:rFonts w:ascii="Palatino Linotype" w:eastAsia="Palatino Linotype" w:hAnsi="Palatino Linotype" w:cs="Palatino Linotype"/>
          <w:b/>
          <w:i/>
          <w:sz w:val="22"/>
          <w:szCs w:val="22"/>
        </w:rPr>
        <w:t>,</w:t>
      </w:r>
      <w:r w:rsidRPr="00EA21B5">
        <w:rPr>
          <w:rFonts w:ascii="Palatino Linotype" w:eastAsia="Palatino Linotype" w:hAnsi="Palatino Linotype" w:cs="Palatino Linotype"/>
          <w:i/>
          <w:sz w:val="22"/>
          <w:szCs w:val="22"/>
        </w:rPr>
        <w:t xml:space="preserve"> </w:t>
      </w:r>
      <w:proofErr w:type="gramStart"/>
      <w:r w:rsidRPr="00EA21B5">
        <w:rPr>
          <w:rFonts w:ascii="Palatino Linotype" w:eastAsia="Palatino Linotype" w:hAnsi="Palatino Linotype" w:cs="Palatino Linotype"/>
          <w:i/>
          <w:sz w:val="22"/>
          <w:szCs w:val="22"/>
        </w:rPr>
        <w:t>y  se</w:t>
      </w:r>
      <w:proofErr w:type="gramEnd"/>
      <w:r w:rsidRPr="00EA21B5">
        <w:rPr>
          <w:rFonts w:ascii="Palatino Linotype" w:eastAsia="Palatino Linotype" w:hAnsi="Palatino Linotype" w:cs="Palatino Linotype"/>
          <w:i/>
          <w:sz w:val="22"/>
          <w:szCs w:val="22"/>
        </w:rPr>
        <w:t xml:space="preserve"> ponga a disposición de la parte Recurrente, en términos de los artículos 49, fracción VIII,  de la Ley de Transparencia y Acceso a la Información Pública del Estado de México y Municipios.</w:t>
      </w:r>
    </w:p>
    <w:p w14:paraId="38011341" w14:textId="77777777" w:rsidR="00681746" w:rsidRPr="00EA21B5" w:rsidRDefault="00681746" w:rsidP="004E7FF3">
      <w:pPr>
        <w:pBdr>
          <w:top w:val="nil"/>
          <w:left w:val="nil"/>
          <w:bottom w:val="nil"/>
          <w:right w:val="nil"/>
          <w:between w:val="nil"/>
        </w:pBdr>
        <w:ind w:left="284" w:right="560"/>
        <w:jc w:val="both"/>
        <w:rPr>
          <w:rFonts w:ascii="Palatino Linotype" w:eastAsia="Palatino Linotype" w:hAnsi="Palatino Linotype" w:cs="Palatino Linotype"/>
          <w:i/>
          <w:sz w:val="22"/>
          <w:szCs w:val="22"/>
        </w:rPr>
      </w:pPr>
    </w:p>
    <w:p w14:paraId="1C4C70AB"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Tercero.  Notifíquese vía SAIMEX, </w:t>
      </w:r>
      <w:r w:rsidRPr="00EA21B5">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EA21B5">
        <w:rPr>
          <w:rFonts w:ascii="Palatino Linotype" w:eastAsia="Palatino Linotype" w:hAnsi="Palatino Linotype" w:cs="Palatino Linotype"/>
          <w:sz w:val="22"/>
          <w:szCs w:val="22"/>
        </w:rPr>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8B119C" w14:textId="77777777" w:rsidR="00422AF6" w:rsidRPr="00EA21B5" w:rsidRDefault="0067296C">
      <w:pPr>
        <w:spacing w:before="240" w:after="240" w:line="360" w:lineRule="auto"/>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b/>
          <w:sz w:val="22"/>
          <w:szCs w:val="22"/>
        </w:rPr>
        <w:t xml:space="preserve">Cuarto. </w:t>
      </w:r>
      <w:r w:rsidRPr="00EA21B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A21B5">
        <w:rPr>
          <w:rFonts w:ascii="Palatino Linotype" w:eastAsia="Palatino Linotype" w:hAnsi="Palatino Linotype" w:cs="Palatino Linotype"/>
          <w:b/>
          <w:sz w:val="22"/>
          <w:szCs w:val="22"/>
        </w:rPr>
        <w:t>Sujeto Obligado</w:t>
      </w:r>
      <w:r w:rsidRPr="00EA21B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12F5E11" w14:textId="77777777" w:rsidR="00422AF6" w:rsidRPr="00EA21B5" w:rsidRDefault="0067296C">
      <w:pPr>
        <w:spacing w:line="360" w:lineRule="auto"/>
        <w:jc w:val="both"/>
        <w:rPr>
          <w:rFonts w:ascii="Palatino Linotype" w:eastAsia="Palatino Linotype" w:hAnsi="Palatino Linotype" w:cs="Palatino Linotype"/>
          <w:sz w:val="22"/>
          <w:szCs w:val="22"/>
        </w:rPr>
      </w:pPr>
      <w:bookmarkStart w:id="15" w:name="_heading=h.tyjcwt" w:colFirst="0" w:colLast="0"/>
      <w:bookmarkEnd w:id="15"/>
      <w:r w:rsidRPr="00EA21B5">
        <w:rPr>
          <w:rFonts w:ascii="Palatino Linotype" w:eastAsia="Palatino Linotype" w:hAnsi="Palatino Linotype" w:cs="Palatino Linotype"/>
          <w:b/>
          <w:sz w:val="22"/>
          <w:szCs w:val="22"/>
        </w:rPr>
        <w:t xml:space="preserve">Quinto. Notifíquese vía SAIMEX, </w:t>
      </w:r>
      <w:r w:rsidRPr="00EA21B5">
        <w:rPr>
          <w:rFonts w:ascii="Palatino Linotype" w:eastAsia="Palatino Linotype" w:hAnsi="Palatino Linotype" w:cs="Palatino Linotype"/>
          <w:sz w:val="22"/>
          <w:szCs w:val="22"/>
        </w:rPr>
        <w:t>a</w:t>
      </w:r>
      <w:r w:rsidRPr="00EA21B5">
        <w:rPr>
          <w:rFonts w:ascii="Palatino Linotype" w:eastAsia="Palatino Linotype" w:hAnsi="Palatino Linotype" w:cs="Palatino Linotype"/>
          <w:b/>
          <w:sz w:val="22"/>
          <w:szCs w:val="22"/>
        </w:rPr>
        <w:t xml:space="preserve"> la parte Recurrente</w:t>
      </w:r>
      <w:r w:rsidRPr="00EA21B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7138AE8E" w14:textId="77777777" w:rsidR="002044E8" w:rsidRPr="00EA21B5" w:rsidRDefault="002044E8">
      <w:pPr>
        <w:spacing w:line="360" w:lineRule="auto"/>
        <w:ind w:right="-93"/>
        <w:jc w:val="both"/>
        <w:rPr>
          <w:rFonts w:ascii="Palatino Linotype" w:eastAsia="Palatino Linotype" w:hAnsi="Palatino Linotype" w:cs="Palatino Linotype"/>
          <w:b/>
          <w:sz w:val="22"/>
          <w:szCs w:val="22"/>
        </w:rPr>
      </w:pPr>
      <w:bookmarkStart w:id="16" w:name="_heading=h.zgmzruezwlco" w:colFirst="0" w:colLast="0"/>
      <w:bookmarkStart w:id="17" w:name="_heading=h.jl0dlasot4f" w:colFirst="0" w:colLast="0"/>
      <w:bookmarkEnd w:id="16"/>
      <w:bookmarkEnd w:id="17"/>
    </w:p>
    <w:p w14:paraId="268D6B82" w14:textId="39A30B6F" w:rsidR="00422AF6" w:rsidRPr="00566702" w:rsidRDefault="0067296C">
      <w:pPr>
        <w:spacing w:line="360" w:lineRule="auto"/>
        <w:ind w:right="-93"/>
        <w:jc w:val="both"/>
        <w:rPr>
          <w:rFonts w:ascii="Palatino Linotype" w:eastAsia="Palatino Linotype" w:hAnsi="Palatino Linotype" w:cs="Palatino Linotype"/>
          <w:sz w:val="22"/>
          <w:szCs w:val="22"/>
        </w:rPr>
      </w:pPr>
      <w:r w:rsidRPr="00EA21B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EA21B5" w:rsidRPr="00EA21B5">
        <w:rPr>
          <w:rFonts w:ascii="Palatino Linotype" w:eastAsia="Palatino Linotype" w:hAnsi="Palatino Linotype" w:cs="Palatino Linotype"/>
          <w:sz w:val="22"/>
          <w:szCs w:val="22"/>
        </w:rPr>
        <w:t xml:space="preserve"> </w:t>
      </w:r>
      <w:r w:rsidR="00EA21B5" w:rsidRPr="00EA21B5">
        <w:rPr>
          <w:rFonts w:ascii="Palatino Linotype" w:hAnsi="Palatino Linotype"/>
          <w:sz w:val="22"/>
          <w:szCs w:val="22"/>
        </w:rPr>
        <w:t>(AUSENCIA JUSTIFICADA)</w:t>
      </w:r>
      <w:r w:rsidRPr="00EA21B5">
        <w:rPr>
          <w:rFonts w:ascii="Palatino Linotype" w:eastAsia="Palatino Linotype" w:hAnsi="Palatino Linotype" w:cs="Palatino Linotype"/>
          <w:sz w:val="22"/>
          <w:szCs w:val="22"/>
        </w:rPr>
        <w:t xml:space="preserve">, MARÍA DEL ROSARIO MEJÍA AYALA, SHARON CRISTINA MORALES MARTÍNEZ, LUIS GUSTAVO PARRA NORIEGA Y GUADALUPE RAMÍREZ PEÑA; EN LA VIGÉSIMA </w:t>
      </w:r>
      <w:r w:rsidR="00EE4162" w:rsidRPr="00EA21B5">
        <w:rPr>
          <w:rFonts w:ascii="Palatino Linotype" w:eastAsia="Palatino Linotype" w:hAnsi="Palatino Linotype" w:cs="Palatino Linotype"/>
          <w:sz w:val="22"/>
          <w:szCs w:val="22"/>
        </w:rPr>
        <w:t>NOVENA</w:t>
      </w:r>
      <w:r w:rsidRPr="00EA21B5">
        <w:rPr>
          <w:rFonts w:ascii="Palatino Linotype" w:eastAsia="Palatino Linotype" w:hAnsi="Palatino Linotype" w:cs="Palatino Linotype"/>
          <w:sz w:val="22"/>
          <w:szCs w:val="22"/>
        </w:rPr>
        <w:t xml:space="preserve"> SESIÓN ORDINARIA CELEBRADA EL </w:t>
      </w:r>
      <w:r w:rsidR="00EE4162" w:rsidRPr="00EA21B5">
        <w:rPr>
          <w:rFonts w:ascii="Palatino Linotype" w:eastAsia="Palatino Linotype" w:hAnsi="Palatino Linotype" w:cs="Palatino Linotype"/>
          <w:sz w:val="22"/>
          <w:szCs w:val="22"/>
        </w:rPr>
        <w:t>VEINTE</w:t>
      </w:r>
      <w:r w:rsidRPr="00EA21B5">
        <w:rPr>
          <w:rFonts w:ascii="Palatino Linotype" w:eastAsia="Palatino Linotype" w:hAnsi="Palatino Linotype" w:cs="Palatino Linotype"/>
          <w:sz w:val="22"/>
          <w:szCs w:val="22"/>
        </w:rPr>
        <w:t xml:space="preserve"> DE </w:t>
      </w:r>
      <w:r w:rsidR="00AA114E" w:rsidRPr="00EA21B5">
        <w:rPr>
          <w:rFonts w:ascii="Palatino Linotype" w:eastAsia="Palatino Linotype" w:hAnsi="Palatino Linotype" w:cs="Palatino Linotype"/>
          <w:sz w:val="22"/>
          <w:szCs w:val="22"/>
        </w:rPr>
        <w:t>AGOSTO</w:t>
      </w:r>
      <w:r w:rsidRPr="00EA21B5">
        <w:rPr>
          <w:rFonts w:ascii="Palatino Linotype" w:eastAsia="Palatino Linotype" w:hAnsi="Palatino Linotype" w:cs="Palatino Linotype"/>
          <w:sz w:val="22"/>
          <w:szCs w:val="22"/>
        </w:rPr>
        <w:t xml:space="preserve"> DE DOS MIL VEINTICINCO, ANTE EL SECRETARIO TÉCNICO DEL PLENO ALEXIS TAPIA RAMÍREZ.</w:t>
      </w:r>
    </w:p>
    <w:p w14:paraId="1A621FB0"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41666506"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103E78F7"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47B350C8"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452ED336"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30698E31"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5C80C3E4"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52E7F6B7"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27F0B21C"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57ED97AA"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50E03723"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44B02683"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34C23F8A"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1B0C63B5"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4559D0AC"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21A73FFC"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284E76CC"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65303830" w14:textId="77777777" w:rsidR="00422AF6" w:rsidRPr="00566702" w:rsidRDefault="00422AF6">
      <w:pPr>
        <w:spacing w:line="360" w:lineRule="auto"/>
        <w:ind w:right="-93"/>
        <w:jc w:val="both"/>
        <w:rPr>
          <w:rFonts w:ascii="Palatino Linotype" w:eastAsia="Palatino Linotype" w:hAnsi="Palatino Linotype" w:cs="Palatino Linotype"/>
          <w:sz w:val="22"/>
          <w:szCs w:val="22"/>
        </w:rPr>
      </w:pPr>
    </w:p>
    <w:p w14:paraId="05E87F9A" w14:textId="77777777" w:rsidR="00422AF6" w:rsidRPr="00566702" w:rsidRDefault="00422AF6">
      <w:pPr>
        <w:spacing w:line="360" w:lineRule="auto"/>
        <w:ind w:right="49"/>
        <w:jc w:val="both"/>
        <w:rPr>
          <w:rFonts w:ascii="Palatino Linotype" w:eastAsia="Palatino Linotype" w:hAnsi="Palatino Linotype" w:cs="Palatino Linotype"/>
          <w:sz w:val="22"/>
          <w:szCs w:val="22"/>
        </w:rPr>
      </w:pPr>
    </w:p>
    <w:sectPr w:rsidR="00422AF6" w:rsidRPr="00566702" w:rsidSect="00B101F0">
      <w:type w:val="continuous"/>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3827" w14:textId="77777777" w:rsidR="00A3231F" w:rsidRDefault="00A3231F">
      <w:r>
        <w:separator/>
      </w:r>
    </w:p>
  </w:endnote>
  <w:endnote w:type="continuationSeparator" w:id="0">
    <w:p w14:paraId="74F96235" w14:textId="77777777" w:rsidR="00A3231F" w:rsidRDefault="00A3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D447" w14:textId="77777777" w:rsidR="00602DE7" w:rsidRDefault="0060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A21B5">
      <w:rPr>
        <w:b/>
        <w:noProof/>
        <w:color w:val="000000"/>
      </w:rPr>
      <w:t>16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A21B5">
      <w:rPr>
        <w:b/>
        <w:noProof/>
        <w:color w:val="000000"/>
      </w:rPr>
      <w:t>68</w:t>
    </w:r>
    <w:r>
      <w:rPr>
        <w:b/>
        <w:color w:val="000000"/>
      </w:rPr>
      <w:fldChar w:fldCharType="end"/>
    </w:r>
  </w:p>
  <w:p w14:paraId="206B5FB1" w14:textId="77777777" w:rsidR="00602DE7" w:rsidRDefault="00602DE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8BD0" w14:textId="77777777" w:rsidR="00602DE7" w:rsidRDefault="0060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A21B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A21B5">
      <w:rPr>
        <w:b/>
        <w:noProof/>
        <w:color w:val="000000"/>
      </w:rPr>
      <w:t>68</w:t>
    </w:r>
    <w:r>
      <w:rPr>
        <w:b/>
        <w:color w:val="000000"/>
      </w:rPr>
      <w:fldChar w:fldCharType="end"/>
    </w:r>
  </w:p>
  <w:p w14:paraId="2E58A6A5" w14:textId="77777777" w:rsidR="00602DE7" w:rsidRDefault="00602DE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187D" w14:textId="77777777" w:rsidR="00A3231F" w:rsidRDefault="00A3231F">
      <w:r>
        <w:separator/>
      </w:r>
    </w:p>
  </w:footnote>
  <w:footnote w:type="continuationSeparator" w:id="0">
    <w:p w14:paraId="3362CFC3" w14:textId="77777777" w:rsidR="00A3231F" w:rsidRDefault="00A32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358C" w14:textId="77777777" w:rsidR="00602DE7" w:rsidRDefault="00602DE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D787647" wp14:editId="515E4F6B">
          <wp:simplePos x="0" y="0"/>
          <wp:positionH relativeFrom="column">
            <wp:posOffset>0</wp:posOffset>
          </wp:positionH>
          <wp:positionV relativeFrom="paragraph">
            <wp:posOffset>-401954</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602DE7" w14:paraId="6D1CB8D5" w14:textId="77777777">
      <w:tc>
        <w:tcPr>
          <w:tcW w:w="2551" w:type="dxa"/>
          <w:vAlign w:val="center"/>
        </w:tcPr>
        <w:p w14:paraId="07DB072B"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78AE9EC9"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5E0E7EA0" w14:textId="77777777" w:rsidR="00602DE7" w:rsidRDefault="00602DE7" w:rsidP="006B74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5869</w:t>
          </w:r>
          <w:r w:rsidRPr="00AA114E">
            <w:rPr>
              <w:rFonts w:ascii="Palatino Linotype" w:eastAsia="Palatino Linotype" w:hAnsi="Palatino Linotype" w:cs="Palatino Linotype"/>
              <w:b/>
              <w:color w:val="000000"/>
              <w:sz w:val="22"/>
              <w:szCs w:val="20"/>
            </w:rPr>
            <w:t>/INFOEM/IP/RR/2025</w:t>
          </w:r>
        </w:p>
      </w:tc>
    </w:tr>
    <w:tr w:rsidR="00602DE7" w14:paraId="197108B6" w14:textId="77777777">
      <w:trPr>
        <w:trHeight w:val="217"/>
      </w:trPr>
      <w:tc>
        <w:tcPr>
          <w:tcW w:w="2551" w:type="dxa"/>
          <w:vAlign w:val="center"/>
        </w:tcPr>
        <w:p w14:paraId="01EBB520"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4A9035E9" w14:textId="77777777" w:rsidR="00602DE7" w:rsidRDefault="00602DE7">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Ayuntamiento de Chalco</w:t>
          </w:r>
        </w:p>
      </w:tc>
    </w:tr>
    <w:tr w:rsidR="00602DE7" w14:paraId="4321AC2D" w14:textId="77777777">
      <w:tc>
        <w:tcPr>
          <w:tcW w:w="2551" w:type="dxa"/>
          <w:vAlign w:val="center"/>
        </w:tcPr>
        <w:p w14:paraId="2067E92A"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4D68A8D4"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7DD7080B" w14:textId="77777777" w:rsidR="00602DE7" w:rsidRDefault="00602DE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8E99" w14:textId="77777777" w:rsidR="00602DE7" w:rsidRDefault="00602DE7">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2A199C9B" wp14:editId="3399ACE4">
          <wp:simplePos x="0" y="0"/>
          <wp:positionH relativeFrom="column">
            <wp:posOffset>-929005</wp:posOffset>
          </wp:positionH>
          <wp:positionV relativeFrom="paragraph">
            <wp:posOffset>-644525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602DE7" w14:paraId="55184B19" w14:textId="77777777">
      <w:tc>
        <w:tcPr>
          <w:tcW w:w="2551" w:type="dxa"/>
          <w:vAlign w:val="center"/>
        </w:tcPr>
        <w:p w14:paraId="100967EA"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53E437CD"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753D8B5C" w14:textId="77777777" w:rsidR="00602DE7" w:rsidRDefault="00602DE7" w:rsidP="00C52D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5869</w:t>
          </w:r>
          <w:r w:rsidRPr="00AA114E">
            <w:rPr>
              <w:rFonts w:ascii="Palatino Linotype" w:eastAsia="Palatino Linotype" w:hAnsi="Palatino Linotype" w:cs="Palatino Linotype"/>
              <w:b/>
              <w:color w:val="000000"/>
              <w:sz w:val="22"/>
              <w:szCs w:val="20"/>
            </w:rPr>
            <w:t>/INFOEM/IP/RR/2025</w:t>
          </w:r>
        </w:p>
      </w:tc>
    </w:tr>
    <w:tr w:rsidR="00602DE7" w14:paraId="4119FD6B" w14:textId="77777777">
      <w:tc>
        <w:tcPr>
          <w:tcW w:w="2551" w:type="dxa"/>
          <w:vAlign w:val="center"/>
        </w:tcPr>
        <w:p w14:paraId="2005CF88"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19F758E5" w14:textId="774655F2" w:rsidR="00602DE7" w:rsidRDefault="00C1339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bookmarkStart w:id="2" w:name="_Hlk207897376"/>
          <w:r>
            <w:rPr>
              <w:rFonts w:ascii="Palatino Linotype" w:eastAsia="Palatino Linotype" w:hAnsi="Palatino Linotype" w:cs="Palatino Linotype"/>
              <w:b/>
              <w:color w:val="000000"/>
              <w:sz w:val="20"/>
              <w:szCs w:val="20"/>
            </w:rPr>
            <w:t xml:space="preserve">XXXXXX XXXX XXXXX </w:t>
          </w:r>
          <w:bookmarkEnd w:id="2"/>
        </w:p>
      </w:tc>
    </w:tr>
    <w:tr w:rsidR="00602DE7" w14:paraId="705CCCFE" w14:textId="77777777">
      <w:trPr>
        <w:trHeight w:val="152"/>
      </w:trPr>
      <w:tc>
        <w:tcPr>
          <w:tcW w:w="2551" w:type="dxa"/>
          <w:vAlign w:val="center"/>
        </w:tcPr>
        <w:p w14:paraId="1D1BBC81" w14:textId="77777777" w:rsidR="00602DE7" w:rsidRDefault="00602DE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4C1B510B" w14:textId="77777777" w:rsidR="00602DE7" w:rsidRDefault="00602DE7">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4F00E4F8" w14:textId="77777777" w:rsidR="00602DE7" w:rsidRDefault="00602DE7">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Chalco</w:t>
          </w:r>
        </w:p>
      </w:tc>
    </w:tr>
    <w:tr w:rsidR="00602DE7" w14:paraId="5D276DAA" w14:textId="77777777">
      <w:tc>
        <w:tcPr>
          <w:tcW w:w="2551" w:type="dxa"/>
          <w:vAlign w:val="center"/>
        </w:tcPr>
        <w:p w14:paraId="33311061"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7C4E267C" w14:textId="77777777" w:rsidR="00602DE7" w:rsidRDefault="0060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4CA6EE18" w14:textId="77777777" w:rsidR="00602DE7" w:rsidRDefault="00602DE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834"/>
    <w:multiLevelType w:val="hybridMultilevel"/>
    <w:tmpl w:val="A8FA2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73E69B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ED7D65"/>
    <w:multiLevelType w:val="hybridMultilevel"/>
    <w:tmpl w:val="3220432A"/>
    <w:lvl w:ilvl="0" w:tplc="7E002C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3B04D3"/>
    <w:multiLevelType w:val="hybridMultilevel"/>
    <w:tmpl w:val="643CB8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F6539B8"/>
    <w:multiLevelType w:val="hybridMultilevel"/>
    <w:tmpl w:val="F1141CA4"/>
    <w:lvl w:ilvl="0" w:tplc="080A000D">
      <w:start w:val="1"/>
      <w:numFmt w:val="bullet"/>
      <w:lvlText w:val=""/>
      <w:lvlJc w:val="left"/>
      <w:pPr>
        <w:ind w:left="163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57F2535"/>
    <w:multiLevelType w:val="hybridMultilevel"/>
    <w:tmpl w:val="5C8A76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562F9F"/>
    <w:multiLevelType w:val="hybridMultilevel"/>
    <w:tmpl w:val="8E46A9A8"/>
    <w:lvl w:ilvl="0" w:tplc="E338677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0D0688"/>
    <w:multiLevelType w:val="multilevel"/>
    <w:tmpl w:val="8B84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287627"/>
    <w:multiLevelType w:val="multilevel"/>
    <w:tmpl w:val="1152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3C26A0"/>
    <w:multiLevelType w:val="hybridMultilevel"/>
    <w:tmpl w:val="E18A2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A25E6F"/>
    <w:multiLevelType w:val="multilevel"/>
    <w:tmpl w:val="3C2AA2F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414B0F"/>
    <w:multiLevelType w:val="hybridMultilevel"/>
    <w:tmpl w:val="AAA0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C834718"/>
    <w:multiLevelType w:val="hybridMultilevel"/>
    <w:tmpl w:val="66D0A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3F2499"/>
    <w:multiLevelType w:val="hybridMultilevel"/>
    <w:tmpl w:val="9B4A0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4634C4"/>
    <w:multiLevelType w:val="multilevel"/>
    <w:tmpl w:val="21E2344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5DD11D7"/>
    <w:multiLevelType w:val="multilevel"/>
    <w:tmpl w:val="4CC2203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0E1A61"/>
    <w:multiLevelType w:val="hybridMultilevel"/>
    <w:tmpl w:val="BFE66836"/>
    <w:lvl w:ilvl="0" w:tplc="080A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797130"/>
    <w:multiLevelType w:val="hybridMultilevel"/>
    <w:tmpl w:val="1574698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16C7D3F"/>
    <w:multiLevelType w:val="hybridMultilevel"/>
    <w:tmpl w:val="6B0E5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500AF4"/>
    <w:multiLevelType w:val="hybridMultilevel"/>
    <w:tmpl w:val="D2DA8B8C"/>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7C006997"/>
    <w:multiLevelType w:val="hybridMultilevel"/>
    <w:tmpl w:val="2CD8D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1315FE"/>
    <w:multiLevelType w:val="multilevel"/>
    <w:tmpl w:val="C8E232A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0"/>
  </w:num>
  <w:num w:numId="2">
    <w:abstractNumId w:val="9"/>
  </w:num>
  <w:num w:numId="3">
    <w:abstractNumId w:val="25"/>
  </w:num>
  <w:num w:numId="4">
    <w:abstractNumId w:val="19"/>
  </w:num>
  <w:num w:numId="5">
    <w:abstractNumId w:val="15"/>
  </w:num>
  <w:num w:numId="6">
    <w:abstractNumId w:val="20"/>
  </w:num>
  <w:num w:numId="7">
    <w:abstractNumId w:val="2"/>
  </w:num>
  <w:num w:numId="8">
    <w:abstractNumId w:val="16"/>
  </w:num>
  <w:num w:numId="9">
    <w:abstractNumId w:val="4"/>
  </w:num>
  <w:num w:numId="10">
    <w:abstractNumId w:val="22"/>
  </w:num>
  <w:num w:numId="11">
    <w:abstractNumId w:val="17"/>
  </w:num>
  <w:num w:numId="12">
    <w:abstractNumId w:val="7"/>
  </w:num>
  <w:num w:numId="13">
    <w:abstractNumId w:val="3"/>
  </w:num>
  <w:num w:numId="14">
    <w:abstractNumId w:val="23"/>
  </w:num>
  <w:num w:numId="15">
    <w:abstractNumId w:val="24"/>
  </w:num>
  <w:num w:numId="16">
    <w:abstractNumId w:val="18"/>
  </w:num>
  <w:num w:numId="17">
    <w:abstractNumId w:val="12"/>
  </w:num>
  <w:num w:numId="18">
    <w:abstractNumId w:val="1"/>
  </w:num>
  <w:num w:numId="19">
    <w:abstractNumId w:val="6"/>
  </w:num>
  <w:num w:numId="20">
    <w:abstractNumId w:val="5"/>
  </w:num>
  <w:num w:numId="21">
    <w:abstractNumId w:val="0"/>
  </w:num>
  <w:num w:numId="22">
    <w:abstractNumId w:val="21"/>
  </w:num>
  <w:num w:numId="23">
    <w:abstractNumId w:val="11"/>
  </w:num>
  <w:num w:numId="24">
    <w:abstractNumId w:val="14"/>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F6"/>
    <w:rsid w:val="00000608"/>
    <w:rsid w:val="0000150F"/>
    <w:rsid w:val="000317C0"/>
    <w:rsid w:val="0003640A"/>
    <w:rsid w:val="00054C8F"/>
    <w:rsid w:val="00056A9D"/>
    <w:rsid w:val="000709AF"/>
    <w:rsid w:val="000849C2"/>
    <w:rsid w:val="000873AC"/>
    <w:rsid w:val="000C08F1"/>
    <w:rsid w:val="000D6840"/>
    <w:rsid w:val="000F29F8"/>
    <w:rsid w:val="0010177C"/>
    <w:rsid w:val="001055C2"/>
    <w:rsid w:val="00106F84"/>
    <w:rsid w:val="00110383"/>
    <w:rsid w:val="00113C35"/>
    <w:rsid w:val="001146E4"/>
    <w:rsid w:val="0014233B"/>
    <w:rsid w:val="0014314D"/>
    <w:rsid w:val="001624D4"/>
    <w:rsid w:val="00167D40"/>
    <w:rsid w:val="00171EEE"/>
    <w:rsid w:val="0017685E"/>
    <w:rsid w:val="001834A9"/>
    <w:rsid w:val="001A1CCE"/>
    <w:rsid w:val="001B5846"/>
    <w:rsid w:val="001B7558"/>
    <w:rsid w:val="001C109B"/>
    <w:rsid w:val="001E7890"/>
    <w:rsid w:val="002044E8"/>
    <w:rsid w:val="00207AC3"/>
    <w:rsid w:val="002160C0"/>
    <w:rsid w:val="002177CF"/>
    <w:rsid w:val="0023013E"/>
    <w:rsid w:val="00250ACC"/>
    <w:rsid w:val="002535E9"/>
    <w:rsid w:val="00255176"/>
    <w:rsid w:val="002827E8"/>
    <w:rsid w:val="00286C79"/>
    <w:rsid w:val="002940E1"/>
    <w:rsid w:val="002A7BA3"/>
    <w:rsid w:val="002B5B0D"/>
    <w:rsid w:val="002C08AB"/>
    <w:rsid w:val="002C6E28"/>
    <w:rsid w:val="002C7602"/>
    <w:rsid w:val="002F0356"/>
    <w:rsid w:val="002F1313"/>
    <w:rsid w:val="003038C3"/>
    <w:rsid w:val="00341110"/>
    <w:rsid w:val="00375A7D"/>
    <w:rsid w:val="0039338F"/>
    <w:rsid w:val="003E1B93"/>
    <w:rsid w:val="003E6BB6"/>
    <w:rsid w:val="003F500C"/>
    <w:rsid w:val="004058E5"/>
    <w:rsid w:val="004157A2"/>
    <w:rsid w:val="00422AF6"/>
    <w:rsid w:val="004718C5"/>
    <w:rsid w:val="00476E1C"/>
    <w:rsid w:val="00494C60"/>
    <w:rsid w:val="004A1051"/>
    <w:rsid w:val="004B2EA4"/>
    <w:rsid w:val="004B5DBB"/>
    <w:rsid w:val="004C54A5"/>
    <w:rsid w:val="004D186A"/>
    <w:rsid w:val="004D754A"/>
    <w:rsid w:val="004E0C7B"/>
    <w:rsid w:val="004E0CAE"/>
    <w:rsid w:val="004E7FF3"/>
    <w:rsid w:val="00501A75"/>
    <w:rsid w:val="00566702"/>
    <w:rsid w:val="005744DE"/>
    <w:rsid w:val="005842D0"/>
    <w:rsid w:val="00584AF5"/>
    <w:rsid w:val="00591707"/>
    <w:rsid w:val="005938DD"/>
    <w:rsid w:val="005B3916"/>
    <w:rsid w:val="005D201D"/>
    <w:rsid w:val="00602DE7"/>
    <w:rsid w:val="006379D6"/>
    <w:rsid w:val="00644DAC"/>
    <w:rsid w:val="00645DE2"/>
    <w:rsid w:val="00653524"/>
    <w:rsid w:val="00663C5A"/>
    <w:rsid w:val="0067296C"/>
    <w:rsid w:val="00681746"/>
    <w:rsid w:val="00684422"/>
    <w:rsid w:val="00686EFA"/>
    <w:rsid w:val="00687E30"/>
    <w:rsid w:val="00696D6E"/>
    <w:rsid w:val="006B7439"/>
    <w:rsid w:val="006C680B"/>
    <w:rsid w:val="006D0725"/>
    <w:rsid w:val="006F462A"/>
    <w:rsid w:val="007326B7"/>
    <w:rsid w:val="00767701"/>
    <w:rsid w:val="0077331F"/>
    <w:rsid w:val="007812EC"/>
    <w:rsid w:val="007818A4"/>
    <w:rsid w:val="007868A7"/>
    <w:rsid w:val="0078769C"/>
    <w:rsid w:val="007A3E1B"/>
    <w:rsid w:val="007B483B"/>
    <w:rsid w:val="007B5441"/>
    <w:rsid w:val="007E794E"/>
    <w:rsid w:val="00802E2D"/>
    <w:rsid w:val="00813594"/>
    <w:rsid w:val="00825828"/>
    <w:rsid w:val="00851344"/>
    <w:rsid w:val="008553A7"/>
    <w:rsid w:val="0088533A"/>
    <w:rsid w:val="008A4450"/>
    <w:rsid w:val="008B51C0"/>
    <w:rsid w:val="008D237D"/>
    <w:rsid w:val="008D607E"/>
    <w:rsid w:val="008F0EC3"/>
    <w:rsid w:val="0090604E"/>
    <w:rsid w:val="00923BD9"/>
    <w:rsid w:val="009465AF"/>
    <w:rsid w:val="00956FEC"/>
    <w:rsid w:val="0096173F"/>
    <w:rsid w:val="009713D5"/>
    <w:rsid w:val="009D4B6B"/>
    <w:rsid w:val="009D68F9"/>
    <w:rsid w:val="009D7D9D"/>
    <w:rsid w:val="009E5B2D"/>
    <w:rsid w:val="009F454D"/>
    <w:rsid w:val="00A13AAF"/>
    <w:rsid w:val="00A3231F"/>
    <w:rsid w:val="00A33A05"/>
    <w:rsid w:val="00AA114E"/>
    <w:rsid w:val="00AA4F04"/>
    <w:rsid w:val="00AA5CCF"/>
    <w:rsid w:val="00AA5E65"/>
    <w:rsid w:val="00AB1FF7"/>
    <w:rsid w:val="00AC27CC"/>
    <w:rsid w:val="00AE7630"/>
    <w:rsid w:val="00B101F0"/>
    <w:rsid w:val="00B21CC9"/>
    <w:rsid w:val="00B27B95"/>
    <w:rsid w:val="00B56638"/>
    <w:rsid w:val="00B601D6"/>
    <w:rsid w:val="00B672B6"/>
    <w:rsid w:val="00B86C06"/>
    <w:rsid w:val="00B94935"/>
    <w:rsid w:val="00BB65F1"/>
    <w:rsid w:val="00BC26D6"/>
    <w:rsid w:val="00BC3E7A"/>
    <w:rsid w:val="00BC59DC"/>
    <w:rsid w:val="00BF149E"/>
    <w:rsid w:val="00BF180E"/>
    <w:rsid w:val="00C0251E"/>
    <w:rsid w:val="00C06FC1"/>
    <w:rsid w:val="00C07CBC"/>
    <w:rsid w:val="00C132AD"/>
    <w:rsid w:val="00C1339C"/>
    <w:rsid w:val="00C15B64"/>
    <w:rsid w:val="00C17999"/>
    <w:rsid w:val="00C33B66"/>
    <w:rsid w:val="00C372DF"/>
    <w:rsid w:val="00C42A40"/>
    <w:rsid w:val="00C50360"/>
    <w:rsid w:val="00C52D17"/>
    <w:rsid w:val="00C63C2E"/>
    <w:rsid w:val="00C718CE"/>
    <w:rsid w:val="00C83DA4"/>
    <w:rsid w:val="00C841F9"/>
    <w:rsid w:val="00C863F0"/>
    <w:rsid w:val="00C877E8"/>
    <w:rsid w:val="00C954B2"/>
    <w:rsid w:val="00CA1A88"/>
    <w:rsid w:val="00CA3787"/>
    <w:rsid w:val="00CF4675"/>
    <w:rsid w:val="00D00F27"/>
    <w:rsid w:val="00D12B14"/>
    <w:rsid w:val="00D61860"/>
    <w:rsid w:val="00D6595E"/>
    <w:rsid w:val="00D86ABE"/>
    <w:rsid w:val="00D91F65"/>
    <w:rsid w:val="00DE20E2"/>
    <w:rsid w:val="00E04B31"/>
    <w:rsid w:val="00E1200E"/>
    <w:rsid w:val="00E165B6"/>
    <w:rsid w:val="00E234F3"/>
    <w:rsid w:val="00E3722B"/>
    <w:rsid w:val="00E6083A"/>
    <w:rsid w:val="00E66F70"/>
    <w:rsid w:val="00E751DB"/>
    <w:rsid w:val="00E7583B"/>
    <w:rsid w:val="00E7651B"/>
    <w:rsid w:val="00E854C8"/>
    <w:rsid w:val="00E971CE"/>
    <w:rsid w:val="00EA1F3E"/>
    <w:rsid w:val="00EA21B5"/>
    <w:rsid w:val="00EA4146"/>
    <w:rsid w:val="00EA6B80"/>
    <w:rsid w:val="00EB5D3C"/>
    <w:rsid w:val="00EC2FAC"/>
    <w:rsid w:val="00EC6D62"/>
    <w:rsid w:val="00ED16F4"/>
    <w:rsid w:val="00EE2EB8"/>
    <w:rsid w:val="00EE4162"/>
    <w:rsid w:val="00EF05C1"/>
    <w:rsid w:val="00EF580B"/>
    <w:rsid w:val="00F06653"/>
    <w:rsid w:val="00F20CD6"/>
    <w:rsid w:val="00F22384"/>
    <w:rsid w:val="00F569E4"/>
    <w:rsid w:val="00F6138D"/>
    <w:rsid w:val="00F65AC0"/>
    <w:rsid w:val="00F96BBB"/>
    <w:rsid w:val="00FA7039"/>
    <w:rsid w:val="00FC0385"/>
    <w:rsid w:val="00FE0BFB"/>
    <w:rsid w:val="00FE59DC"/>
    <w:rsid w:val="00FE5ABE"/>
    <w:rsid w:val="00FE7F51"/>
    <w:rsid w:val="00FF2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F9953B"/>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508">
      <w:bodyDiv w:val="1"/>
      <w:marLeft w:val="0"/>
      <w:marRight w:val="0"/>
      <w:marTop w:val="0"/>
      <w:marBottom w:val="0"/>
      <w:divBdr>
        <w:top w:val="none" w:sz="0" w:space="0" w:color="auto"/>
        <w:left w:val="none" w:sz="0" w:space="0" w:color="auto"/>
        <w:bottom w:val="none" w:sz="0" w:space="0" w:color="auto"/>
        <w:right w:val="none" w:sz="0" w:space="0" w:color="auto"/>
      </w:divBdr>
    </w:div>
    <w:div w:id="31002409">
      <w:bodyDiv w:val="1"/>
      <w:marLeft w:val="0"/>
      <w:marRight w:val="0"/>
      <w:marTop w:val="0"/>
      <w:marBottom w:val="0"/>
      <w:divBdr>
        <w:top w:val="none" w:sz="0" w:space="0" w:color="auto"/>
        <w:left w:val="none" w:sz="0" w:space="0" w:color="auto"/>
        <w:bottom w:val="none" w:sz="0" w:space="0" w:color="auto"/>
        <w:right w:val="none" w:sz="0" w:space="0" w:color="auto"/>
      </w:divBdr>
    </w:div>
    <w:div w:id="127281228">
      <w:bodyDiv w:val="1"/>
      <w:marLeft w:val="0"/>
      <w:marRight w:val="0"/>
      <w:marTop w:val="0"/>
      <w:marBottom w:val="0"/>
      <w:divBdr>
        <w:top w:val="none" w:sz="0" w:space="0" w:color="auto"/>
        <w:left w:val="none" w:sz="0" w:space="0" w:color="auto"/>
        <w:bottom w:val="none" w:sz="0" w:space="0" w:color="auto"/>
        <w:right w:val="none" w:sz="0" w:space="0" w:color="auto"/>
      </w:divBdr>
    </w:div>
    <w:div w:id="159007955">
      <w:bodyDiv w:val="1"/>
      <w:marLeft w:val="0"/>
      <w:marRight w:val="0"/>
      <w:marTop w:val="0"/>
      <w:marBottom w:val="0"/>
      <w:divBdr>
        <w:top w:val="none" w:sz="0" w:space="0" w:color="auto"/>
        <w:left w:val="none" w:sz="0" w:space="0" w:color="auto"/>
        <w:bottom w:val="none" w:sz="0" w:space="0" w:color="auto"/>
        <w:right w:val="none" w:sz="0" w:space="0" w:color="auto"/>
      </w:divBdr>
    </w:div>
    <w:div w:id="209388327">
      <w:bodyDiv w:val="1"/>
      <w:marLeft w:val="0"/>
      <w:marRight w:val="0"/>
      <w:marTop w:val="0"/>
      <w:marBottom w:val="0"/>
      <w:divBdr>
        <w:top w:val="none" w:sz="0" w:space="0" w:color="auto"/>
        <w:left w:val="none" w:sz="0" w:space="0" w:color="auto"/>
        <w:bottom w:val="none" w:sz="0" w:space="0" w:color="auto"/>
        <w:right w:val="none" w:sz="0" w:space="0" w:color="auto"/>
      </w:divBdr>
      <w:divsChild>
        <w:div w:id="831069968">
          <w:marLeft w:val="2008"/>
          <w:marRight w:val="899"/>
          <w:marTop w:val="0"/>
          <w:marBottom w:val="101"/>
          <w:divBdr>
            <w:top w:val="none" w:sz="0" w:space="0" w:color="auto"/>
            <w:left w:val="none" w:sz="0" w:space="0" w:color="auto"/>
            <w:bottom w:val="none" w:sz="0" w:space="0" w:color="auto"/>
            <w:right w:val="none" w:sz="0" w:space="0" w:color="auto"/>
          </w:divBdr>
        </w:div>
        <w:div w:id="937907235">
          <w:marLeft w:val="142"/>
          <w:marRight w:val="0"/>
          <w:marTop w:val="0"/>
          <w:marBottom w:val="101"/>
          <w:divBdr>
            <w:top w:val="none" w:sz="0" w:space="0" w:color="auto"/>
            <w:left w:val="none" w:sz="0" w:space="0" w:color="auto"/>
            <w:bottom w:val="none" w:sz="0" w:space="0" w:color="auto"/>
            <w:right w:val="none" w:sz="0" w:space="0" w:color="auto"/>
          </w:divBdr>
        </w:div>
        <w:div w:id="1678117466">
          <w:marLeft w:val="142"/>
          <w:marRight w:val="0"/>
          <w:marTop w:val="0"/>
          <w:marBottom w:val="101"/>
          <w:divBdr>
            <w:top w:val="none" w:sz="0" w:space="0" w:color="auto"/>
            <w:left w:val="none" w:sz="0" w:space="0" w:color="auto"/>
            <w:bottom w:val="none" w:sz="0" w:space="0" w:color="auto"/>
            <w:right w:val="none" w:sz="0" w:space="0" w:color="auto"/>
          </w:divBdr>
        </w:div>
        <w:div w:id="922689946">
          <w:marLeft w:val="1134"/>
          <w:marRight w:val="0"/>
          <w:marTop w:val="0"/>
          <w:marBottom w:val="101"/>
          <w:divBdr>
            <w:top w:val="none" w:sz="0" w:space="0" w:color="auto"/>
            <w:left w:val="none" w:sz="0" w:space="0" w:color="auto"/>
            <w:bottom w:val="none" w:sz="0" w:space="0" w:color="auto"/>
            <w:right w:val="none" w:sz="0" w:space="0" w:color="auto"/>
          </w:divBdr>
        </w:div>
        <w:div w:id="717438264">
          <w:marLeft w:val="1134"/>
          <w:marRight w:val="0"/>
          <w:marTop w:val="0"/>
          <w:marBottom w:val="90"/>
          <w:divBdr>
            <w:top w:val="none" w:sz="0" w:space="0" w:color="auto"/>
            <w:left w:val="none" w:sz="0" w:space="0" w:color="auto"/>
            <w:bottom w:val="none" w:sz="0" w:space="0" w:color="auto"/>
            <w:right w:val="none" w:sz="0" w:space="0" w:color="auto"/>
          </w:divBdr>
        </w:div>
        <w:div w:id="361058649">
          <w:marLeft w:val="1134"/>
          <w:marRight w:val="0"/>
          <w:marTop w:val="0"/>
          <w:marBottom w:val="90"/>
          <w:divBdr>
            <w:top w:val="none" w:sz="0" w:space="0" w:color="auto"/>
            <w:left w:val="none" w:sz="0" w:space="0" w:color="auto"/>
            <w:bottom w:val="none" w:sz="0" w:space="0" w:color="auto"/>
            <w:right w:val="none" w:sz="0" w:space="0" w:color="auto"/>
          </w:divBdr>
        </w:div>
        <w:div w:id="1498837083">
          <w:marLeft w:val="1134"/>
          <w:marRight w:val="0"/>
          <w:marTop w:val="0"/>
          <w:marBottom w:val="90"/>
          <w:divBdr>
            <w:top w:val="none" w:sz="0" w:space="0" w:color="auto"/>
            <w:left w:val="none" w:sz="0" w:space="0" w:color="auto"/>
            <w:bottom w:val="none" w:sz="0" w:space="0" w:color="auto"/>
            <w:right w:val="none" w:sz="0" w:space="0" w:color="auto"/>
          </w:divBdr>
        </w:div>
        <w:div w:id="1873807354">
          <w:marLeft w:val="1134"/>
          <w:marRight w:val="0"/>
          <w:marTop w:val="0"/>
          <w:marBottom w:val="90"/>
          <w:divBdr>
            <w:top w:val="none" w:sz="0" w:space="0" w:color="auto"/>
            <w:left w:val="none" w:sz="0" w:space="0" w:color="auto"/>
            <w:bottom w:val="none" w:sz="0" w:space="0" w:color="auto"/>
            <w:right w:val="none" w:sz="0" w:space="0" w:color="auto"/>
          </w:divBdr>
        </w:div>
        <w:div w:id="2118330463">
          <w:marLeft w:val="1134"/>
          <w:marRight w:val="0"/>
          <w:marTop w:val="0"/>
          <w:marBottom w:val="90"/>
          <w:divBdr>
            <w:top w:val="none" w:sz="0" w:space="0" w:color="auto"/>
            <w:left w:val="none" w:sz="0" w:space="0" w:color="auto"/>
            <w:bottom w:val="none" w:sz="0" w:space="0" w:color="auto"/>
            <w:right w:val="none" w:sz="0" w:space="0" w:color="auto"/>
          </w:divBdr>
        </w:div>
        <w:div w:id="1776057233">
          <w:marLeft w:val="0"/>
          <w:marRight w:val="0"/>
          <w:marTop w:val="0"/>
          <w:marBottom w:val="90"/>
          <w:divBdr>
            <w:top w:val="none" w:sz="0" w:space="0" w:color="auto"/>
            <w:left w:val="none" w:sz="0" w:space="0" w:color="auto"/>
            <w:bottom w:val="none" w:sz="0" w:space="0" w:color="auto"/>
            <w:right w:val="none" w:sz="0" w:space="0" w:color="auto"/>
          </w:divBdr>
        </w:div>
        <w:div w:id="625046997">
          <w:marLeft w:val="0"/>
          <w:marRight w:val="0"/>
          <w:marTop w:val="0"/>
          <w:marBottom w:val="90"/>
          <w:divBdr>
            <w:top w:val="none" w:sz="0" w:space="0" w:color="auto"/>
            <w:left w:val="none" w:sz="0" w:space="0" w:color="auto"/>
            <w:bottom w:val="none" w:sz="0" w:space="0" w:color="auto"/>
            <w:right w:val="none" w:sz="0" w:space="0" w:color="auto"/>
          </w:divBdr>
        </w:div>
        <w:div w:id="132993266">
          <w:marLeft w:val="0"/>
          <w:marRight w:val="0"/>
          <w:marTop w:val="0"/>
          <w:marBottom w:val="90"/>
          <w:divBdr>
            <w:top w:val="none" w:sz="0" w:space="0" w:color="auto"/>
            <w:left w:val="none" w:sz="0" w:space="0" w:color="auto"/>
            <w:bottom w:val="none" w:sz="0" w:space="0" w:color="auto"/>
            <w:right w:val="none" w:sz="0" w:space="0" w:color="auto"/>
          </w:divBdr>
        </w:div>
        <w:div w:id="62333474">
          <w:marLeft w:val="0"/>
          <w:marRight w:val="0"/>
          <w:marTop w:val="0"/>
          <w:marBottom w:val="90"/>
          <w:divBdr>
            <w:top w:val="none" w:sz="0" w:space="0" w:color="auto"/>
            <w:left w:val="none" w:sz="0" w:space="0" w:color="auto"/>
            <w:bottom w:val="none" w:sz="0" w:space="0" w:color="auto"/>
            <w:right w:val="none" w:sz="0" w:space="0" w:color="auto"/>
          </w:divBdr>
        </w:div>
        <w:div w:id="2107578680">
          <w:marLeft w:val="0"/>
          <w:marRight w:val="0"/>
          <w:marTop w:val="0"/>
          <w:marBottom w:val="90"/>
          <w:divBdr>
            <w:top w:val="none" w:sz="0" w:space="0" w:color="auto"/>
            <w:left w:val="none" w:sz="0" w:space="0" w:color="auto"/>
            <w:bottom w:val="none" w:sz="0" w:space="0" w:color="auto"/>
            <w:right w:val="none" w:sz="0" w:space="0" w:color="auto"/>
          </w:divBdr>
        </w:div>
        <w:div w:id="384765357">
          <w:marLeft w:val="0"/>
          <w:marRight w:val="0"/>
          <w:marTop w:val="0"/>
          <w:marBottom w:val="90"/>
          <w:divBdr>
            <w:top w:val="none" w:sz="0" w:space="0" w:color="auto"/>
            <w:left w:val="none" w:sz="0" w:space="0" w:color="auto"/>
            <w:bottom w:val="none" w:sz="0" w:space="0" w:color="auto"/>
            <w:right w:val="none" w:sz="0" w:space="0" w:color="auto"/>
          </w:divBdr>
        </w:div>
        <w:div w:id="1156459453">
          <w:marLeft w:val="0"/>
          <w:marRight w:val="0"/>
          <w:marTop w:val="0"/>
          <w:marBottom w:val="90"/>
          <w:divBdr>
            <w:top w:val="none" w:sz="0" w:space="0" w:color="auto"/>
            <w:left w:val="none" w:sz="0" w:space="0" w:color="auto"/>
            <w:bottom w:val="none" w:sz="0" w:space="0" w:color="auto"/>
            <w:right w:val="none" w:sz="0" w:space="0" w:color="auto"/>
          </w:divBdr>
        </w:div>
        <w:div w:id="133448775">
          <w:marLeft w:val="0"/>
          <w:marRight w:val="0"/>
          <w:marTop w:val="0"/>
          <w:marBottom w:val="90"/>
          <w:divBdr>
            <w:top w:val="none" w:sz="0" w:space="0" w:color="auto"/>
            <w:left w:val="none" w:sz="0" w:space="0" w:color="auto"/>
            <w:bottom w:val="none" w:sz="0" w:space="0" w:color="auto"/>
            <w:right w:val="none" w:sz="0" w:space="0" w:color="auto"/>
          </w:divBdr>
        </w:div>
        <w:div w:id="1774783119">
          <w:marLeft w:val="284"/>
          <w:marRight w:val="899"/>
          <w:marTop w:val="0"/>
          <w:marBottom w:val="90"/>
          <w:divBdr>
            <w:top w:val="none" w:sz="0" w:space="0" w:color="auto"/>
            <w:left w:val="none" w:sz="0" w:space="0" w:color="auto"/>
            <w:bottom w:val="none" w:sz="0" w:space="0" w:color="auto"/>
            <w:right w:val="none" w:sz="0" w:space="0" w:color="auto"/>
          </w:divBdr>
        </w:div>
        <w:div w:id="392853931">
          <w:marLeft w:val="1701"/>
          <w:marRight w:val="899"/>
          <w:marTop w:val="0"/>
          <w:marBottom w:val="90"/>
          <w:divBdr>
            <w:top w:val="none" w:sz="0" w:space="0" w:color="auto"/>
            <w:left w:val="none" w:sz="0" w:space="0" w:color="auto"/>
            <w:bottom w:val="none" w:sz="0" w:space="0" w:color="auto"/>
            <w:right w:val="none" w:sz="0" w:space="0" w:color="auto"/>
          </w:divBdr>
        </w:div>
        <w:div w:id="977882467">
          <w:marLeft w:val="1701"/>
          <w:marRight w:val="899"/>
          <w:marTop w:val="0"/>
          <w:marBottom w:val="90"/>
          <w:divBdr>
            <w:top w:val="none" w:sz="0" w:space="0" w:color="auto"/>
            <w:left w:val="none" w:sz="0" w:space="0" w:color="auto"/>
            <w:bottom w:val="none" w:sz="0" w:space="0" w:color="auto"/>
            <w:right w:val="none" w:sz="0" w:space="0" w:color="auto"/>
          </w:divBdr>
        </w:div>
        <w:div w:id="1527601971">
          <w:marLeft w:val="1700"/>
          <w:marRight w:val="893"/>
          <w:marTop w:val="0"/>
          <w:marBottom w:val="90"/>
          <w:divBdr>
            <w:top w:val="none" w:sz="0" w:space="0" w:color="auto"/>
            <w:left w:val="none" w:sz="0" w:space="0" w:color="auto"/>
            <w:bottom w:val="none" w:sz="0" w:space="0" w:color="auto"/>
            <w:right w:val="none" w:sz="0" w:space="0" w:color="auto"/>
          </w:divBdr>
        </w:div>
        <w:div w:id="1297225945">
          <w:marLeft w:val="1700"/>
          <w:marRight w:val="893"/>
          <w:marTop w:val="0"/>
          <w:marBottom w:val="90"/>
          <w:divBdr>
            <w:top w:val="none" w:sz="0" w:space="0" w:color="auto"/>
            <w:left w:val="none" w:sz="0" w:space="0" w:color="auto"/>
            <w:bottom w:val="none" w:sz="0" w:space="0" w:color="auto"/>
            <w:right w:val="none" w:sz="0" w:space="0" w:color="auto"/>
          </w:divBdr>
        </w:div>
        <w:div w:id="1058431180">
          <w:marLeft w:val="1700"/>
          <w:marRight w:val="893"/>
          <w:marTop w:val="0"/>
          <w:marBottom w:val="90"/>
          <w:divBdr>
            <w:top w:val="none" w:sz="0" w:space="0" w:color="auto"/>
            <w:left w:val="none" w:sz="0" w:space="0" w:color="auto"/>
            <w:bottom w:val="none" w:sz="0" w:space="0" w:color="auto"/>
            <w:right w:val="none" w:sz="0" w:space="0" w:color="auto"/>
          </w:divBdr>
        </w:div>
        <w:div w:id="595527591">
          <w:marLeft w:val="1700"/>
          <w:marRight w:val="893"/>
          <w:marTop w:val="0"/>
          <w:marBottom w:val="90"/>
          <w:divBdr>
            <w:top w:val="none" w:sz="0" w:space="0" w:color="auto"/>
            <w:left w:val="none" w:sz="0" w:space="0" w:color="auto"/>
            <w:bottom w:val="none" w:sz="0" w:space="0" w:color="auto"/>
            <w:right w:val="none" w:sz="0" w:space="0" w:color="auto"/>
          </w:divBdr>
        </w:div>
        <w:div w:id="397022278">
          <w:marLeft w:val="1700"/>
          <w:marRight w:val="893"/>
          <w:marTop w:val="0"/>
          <w:marBottom w:val="90"/>
          <w:divBdr>
            <w:top w:val="none" w:sz="0" w:space="0" w:color="auto"/>
            <w:left w:val="none" w:sz="0" w:space="0" w:color="auto"/>
            <w:bottom w:val="none" w:sz="0" w:space="0" w:color="auto"/>
            <w:right w:val="none" w:sz="0" w:space="0" w:color="auto"/>
          </w:divBdr>
        </w:div>
        <w:div w:id="1527063520">
          <w:marLeft w:val="1700"/>
          <w:marRight w:val="893"/>
          <w:marTop w:val="0"/>
          <w:marBottom w:val="90"/>
          <w:divBdr>
            <w:top w:val="none" w:sz="0" w:space="0" w:color="auto"/>
            <w:left w:val="none" w:sz="0" w:space="0" w:color="auto"/>
            <w:bottom w:val="none" w:sz="0" w:space="0" w:color="auto"/>
            <w:right w:val="none" w:sz="0" w:space="0" w:color="auto"/>
          </w:divBdr>
        </w:div>
        <w:div w:id="1764760232">
          <w:marLeft w:val="1700"/>
          <w:marRight w:val="893"/>
          <w:marTop w:val="0"/>
          <w:marBottom w:val="90"/>
          <w:divBdr>
            <w:top w:val="none" w:sz="0" w:space="0" w:color="auto"/>
            <w:left w:val="none" w:sz="0" w:space="0" w:color="auto"/>
            <w:bottom w:val="none" w:sz="0" w:space="0" w:color="auto"/>
            <w:right w:val="none" w:sz="0" w:space="0" w:color="auto"/>
          </w:divBdr>
        </w:div>
        <w:div w:id="519204345">
          <w:marLeft w:val="1700"/>
          <w:marRight w:val="893"/>
          <w:marTop w:val="0"/>
          <w:marBottom w:val="90"/>
          <w:divBdr>
            <w:top w:val="none" w:sz="0" w:space="0" w:color="auto"/>
            <w:left w:val="none" w:sz="0" w:space="0" w:color="auto"/>
            <w:bottom w:val="none" w:sz="0" w:space="0" w:color="auto"/>
            <w:right w:val="none" w:sz="0" w:space="0" w:color="auto"/>
          </w:divBdr>
        </w:div>
        <w:div w:id="321664269">
          <w:marLeft w:val="1701"/>
          <w:marRight w:val="899"/>
          <w:marTop w:val="0"/>
          <w:marBottom w:val="90"/>
          <w:divBdr>
            <w:top w:val="none" w:sz="0" w:space="0" w:color="auto"/>
            <w:left w:val="none" w:sz="0" w:space="0" w:color="auto"/>
            <w:bottom w:val="none" w:sz="0" w:space="0" w:color="auto"/>
            <w:right w:val="none" w:sz="0" w:space="0" w:color="auto"/>
          </w:divBdr>
        </w:div>
        <w:div w:id="1248224715">
          <w:marLeft w:val="1701"/>
          <w:marRight w:val="899"/>
          <w:marTop w:val="0"/>
          <w:marBottom w:val="101"/>
          <w:divBdr>
            <w:top w:val="none" w:sz="0" w:space="0" w:color="auto"/>
            <w:left w:val="none" w:sz="0" w:space="0" w:color="auto"/>
            <w:bottom w:val="none" w:sz="0" w:space="0" w:color="auto"/>
            <w:right w:val="none" w:sz="0" w:space="0" w:color="auto"/>
          </w:divBdr>
        </w:div>
        <w:div w:id="889077230">
          <w:marLeft w:val="1701"/>
          <w:marRight w:val="899"/>
          <w:marTop w:val="0"/>
          <w:marBottom w:val="101"/>
          <w:divBdr>
            <w:top w:val="none" w:sz="0" w:space="0" w:color="auto"/>
            <w:left w:val="none" w:sz="0" w:space="0" w:color="auto"/>
            <w:bottom w:val="none" w:sz="0" w:space="0" w:color="auto"/>
            <w:right w:val="none" w:sz="0" w:space="0" w:color="auto"/>
          </w:divBdr>
        </w:div>
        <w:div w:id="1954239455">
          <w:marLeft w:val="1701"/>
          <w:marRight w:val="899"/>
          <w:marTop w:val="0"/>
          <w:marBottom w:val="101"/>
          <w:divBdr>
            <w:top w:val="none" w:sz="0" w:space="0" w:color="auto"/>
            <w:left w:val="none" w:sz="0" w:space="0" w:color="auto"/>
            <w:bottom w:val="none" w:sz="0" w:space="0" w:color="auto"/>
            <w:right w:val="none" w:sz="0" w:space="0" w:color="auto"/>
          </w:divBdr>
        </w:div>
        <w:div w:id="563756713">
          <w:marLeft w:val="1701"/>
          <w:marRight w:val="899"/>
          <w:marTop w:val="0"/>
          <w:marBottom w:val="101"/>
          <w:divBdr>
            <w:top w:val="none" w:sz="0" w:space="0" w:color="auto"/>
            <w:left w:val="none" w:sz="0" w:space="0" w:color="auto"/>
            <w:bottom w:val="none" w:sz="0" w:space="0" w:color="auto"/>
            <w:right w:val="none" w:sz="0" w:space="0" w:color="auto"/>
          </w:divBdr>
        </w:div>
        <w:div w:id="1691948491">
          <w:marLeft w:val="1701"/>
          <w:marRight w:val="899"/>
          <w:marTop w:val="0"/>
          <w:marBottom w:val="101"/>
          <w:divBdr>
            <w:top w:val="none" w:sz="0" w:space="0" w:color="auto"/>
            <w:left w:val="none" w:sz="0" w:space="0" w:color="auto"/>
            <w:bottom w:val="none" w:sz="0" w:space="0" w:color="auto"/>
            <w:right w:val="none" w:sz="0" w:space="0" w:color="auto"/>
          </w:divBdr>
        </w:div>
        <w:div w:id="337268331">
          <w:marLeft w:val="1701"/>
          <w:marRight w:val="899"/>
          <w:marTop w:val="0"/>
          <w:marBottom w:val="101"/>
          <w:divBdr>
            <w:top w:val="none" w:sz="0" w:space="0" w:color="auto"/>
            <w:left w:val="none" w:sz="0" w:space="0" w:color="auto"/>
            <w:bottom w:val="none" w:sz="0" w:space="0" w:color="auto"/>
            <w:right w:val="none" w:sz="0" w:space="0" w:color="auto"/>
          </w:divBdr>
        </w:div>
        <w:div w:id="1971325485">
          <w:marLeft w:val="1701"/>
          <w:marRight w:val="899"/>
          <w:marTop w:val="0"/>
          <w:marBottom w:val="101"/>
          <w:divBdr>
            <w:top w:val="none" w:sz="0" w:space="0" w:color="auto"/>
            <w:left w:val="none" w:sz="0" w:space="0" w:color="auto"/>
            <w:bottom w:val="none" w:sz="0" w:space="0" w:color="auto"/>
            <w:right w:val="none" w:sz="0" w:space="0" w:color="auto"/>
          </w:divBdr>
        </w:div>
        <w:div w:id="1798059708">
          <w:marLeft w:val="1701"/>
          <w:marRight w:val="899"/>
          <w:marTop w:val="0"/>
          <w:marBottom w:val="101"/>
          <w:divBdr>
            <w:top w:val="none" w:sz="0" w:space="0" w:color="auto"/>
            <w:left w:val="none" w:sz="0" w:space="0" w:color="auto"/>
            <w:bottom w:val="none" w:sz="0" w:space="0" w:color="auto"/>
            <w:right w:val="none" w:sz="0" w:space="0" w:color="auto"/>
          </w:divBdr>
        </w:div>
        <w:div w:id="1858736981">
          <w:marLeft w:val="1701"/>
          <w:marRight w:val="899"/>
          <w:marTop w:val="0"/>
          <w:marBottom w:val="101"/>
          <w:divBdr>
            <w:top w:val="none" w:sz="0" w:space="0" w:color="auto"/>
            <w:left w:val="none" w:sz="0" w:space="0" w:color="auto"/>
            <w:bottom w:val="none" w:sz="0" w:space="0" w:color="auto"/>
            <w:right w:val="none" w:sz="0" w:space="0" w:color="auto"/>
          </w:divBdr>
        </w:div>
        <w:div w:id="1147355357">
          <w:marLeft w:val="1701"/>
          <w:marRight w:val="899"/>
          <w:marTop w:val="0"/>
          <w:marBottom w:val="101"/>
          <w:divBdr>
            <w:top w:val="none" w:sz="0" w:space="0" w:color="auto"/>
            <w:left w:val="none" w:sz="0" w:space="0" w:color="auto"/>
            <w:bottom w:val="none" w:sz="0" w:space="0" w:color="auto"/>
            <w:right w:val="none" w:sz="0" w:space="0" w:color="auto"/>
          </w:divBdr>
        </w:div>
        <w:div w:id="1806854428">
          <w:marLeft w:val="1701"/>
          <w:marRight w:val="899"/>
          <w:marTop w:val="0"/>
          <w:marBottom w:val="101"/>
          <w:divBdr>
            <w:top w:val="none" w:sz="0" w:space="0" w:color="auto"/>
            <w:left w:val="none" w:sz="0" w:space="0" w:color="auto"/>
            <w:bottom w:val="none" w:sz="0" w:space="0" w:color="auto"/>
            <w:right w:val="none" w:sz="0" w:space="0" w:color="auto"/>
          </w:divBdr>
        </w:div>
        <w:div w:id="1949315085">
          <w:marLeft w:val="1701"/>
          <w:marRight w:val="899"/>
          <w:marTop w:val="0"/>
          <w:marBottom w:val="101"/>
          <w:divBdr>
            <w:top w:val="none" w:sz="0" w:space="0" w:color="auto"/>
            <w:left w:val="none" w:sz="0" w:space="0" w:color="auto"/>
            <w:bottom w:val="none" w:sz="0" w:space="0" w:color="auto"/>
            <w:right w:val="none" w:sz="0" w:space="0" w:color="auto"/>
          </w:divBdr>
        </w:div>
        <w:div w:id="1838154922">
          <w:marLeft w:val="1701"/>
          <w:marRight w:val="899"/>
          <w:marTop w:val="0"/>
          <w:marBottom w:val="101"/>
          <w:divBdr>
            <w:top w:val="none" w:sz="0" w:space="0" w:color="auto"/>
            <w:left w:val="none" w:sz="0" w:space="0" w:color="auto"/>
            <w:bottom w:val="none" w:sz="0" w:space="0" w:color="auto"/>
            <w:right w:val="none" w:sz="0" w:space="0" w:color="auto"/>
          </w:divBdr>
        </w:div>
        <w:div w:id="1832141729">
          <w:marLeft w:val="1701"/>
          <w:marRight w:val="899"/>
          <w:marTop w:val="0"/>
          <w:marBottom w:val="101"/>
          <w:divBdr>
            <w:top w:val="none" w:sz="0" w:space="0" w:color="auto"/>
            <w:left w:val="none" w:sz="0" w:space="0" w:color="auto"/>
            <w:bottom w:val="none" w:sz="0" w:space="0" w:color="auto"/>
            <w:right w:val="none" w:sz="0" w:space="0" w:color="auto"/>
          </w:divBdr>
        </w:div>
        <w:div w:id="395595366">
          <w:marLeft w:val="1701"/>
          <w:marRight w:val="899"/>
          <w:marTop w:val="0"/>
          <w:marBottom w:val="101"/>
          <w:divBdr>
            <w:top w:val="none" w:sz="0" w:space="0" w:color="auto"/>
            <w:left w:val="none" w:sz="0" w:space="0" w:color="auto"/>
            <w:bottom w:val="none" w:sz="0" w:space="0" w:color="auto"/>
            <w:right w:val="none" w:sz="0" w:space="0" w:color="auto"/>
          </w:divBdr>
        </w:div>
        <w:div w:id="757991551">
          <w:marLeft w:val="1701"/>
          <w:marRight w:val="899"/>
          <w:marTop w:val="0"/>
          <w:marBottom w:val="101"/>
          <w:divBdr>
            <w:top w:val="none" w:sz="0" w:space="0" w:color="auto"/>
            <w:left w:val="none" w:sz="0" w:space="0" w:color="auto"/>
            <w:bottom w:val="none" w:sz="0" w:space="0" w:color="auto"/>
            <w:right w:val="none" w:sz="0" w:space="0" w:color="auto"/>
          </w:divBdr>
        </w:div>
      </w:divsChild>
    </w:div>
    <w:div w:id="297299677">
      <w:bodyDiv w:val="1"/>
      <w:marLeft w:val="0"/>
      <w:marRight w:val="0"/>
      <w:marTop w:val="0"/>
      <w:marBottom w:val="0"/>
      <w:divBdr>
        <w:top w:val="none" w:sz="0" w:space="0" w:color="auto"/>
        <w:left w:val="none" w:sz="0" w:space="0" w:color="auto"/>
        <w:bottom w:val="none" w:sz="0" w:space="0" w:color="auto"/>
        <w:right w:val="none" w:sz="0" w:space="0" w:color="auto"/>
      </w:divBdr>
    </w:div>
    <w:div w:id="525294623">
      <w:bodyDiv w:val="1"/>
      <w:marLeft w:val="0"/>
      <w:marRight w:val="0"/>
      <w:marTop w:val="0"/>
      <w:marBottom w:val="0"/>
      <w:divBdr>
        <w:top w:val="none" w:sz="0" w:space="0" w:color="auto"/>
        <w:left w:val="none" w:sz="0" w:space="0" w:color="auto"/>
        <w:bottom w:val="none" w:sz="0" w:space="0" w:color="auto"/>
        <w:right w:val="none" w:sz="0" w:space="0" w:color="auto"/>
      </w:divBdr>
    </w:div>
    <w:div w:id="634993855">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881939350">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892040195">
      <w:bodyDiv w:val="1"/>
      <w:marLeft w:val="0"/>
      <w:marRight w:val="0"/>
      <w:marTop w:val="0"/>
      <w:marBottom w:val="0"/>
      <w:divBdr>
        <w:top w:val="none" w:sz="0" w:space="0" w:color="auto"/>
        <w:left w:val="none" w:sz="0" w:space="0" w:color="auto"/>
        <w:bottom w:val="none" w:sz="0" w:space="0" w:color="auto"/>
        <w:right w:val="none" w:sz="0" w:space="0" w:color="auto"/>
      </w:divBdr>
    </w:div>
    <w:div w:id="899441852">
      <w:bodyDiv w:val="1"/>
      <w:marLeft w:val="0"/>
      <w:marRight w:val="0"/>
      <w:marTop w:val="0"/>
      <w:marBottom w:val="0"/>
      <w:divBdr>
        <w:top w:val="none" w:sz="0" w:space="0" w:color="auto"/>
        <w:left w:val="none" w:sz="0" w:space="0" w:color="auto"/>
        <w:bottom w:val="none" w:sz="0" w:space="0" w:color="auto"/>
        <w:right w:val="none" w:sz="0" w:space="0" w:color="auto"/>
      </w:divBdr>
    </w:div>
    <w:div w:id="1046443562">
      <w:bodyDiv w:val="1"/>
      <w:marLeft w:val="0"/>
      <w:marRight w:val="0"/>
      <w:marTop w:val="0"/>
      <w:marBottom w:val="0"/>
      <w:divBdr>
        <w:top w:val="none" w:sz="0" w:space="0" w:color="auto"/>
        <w:left w:val="none" w:sz="0" w:space="0" w:color="auto"/>
        <w:bottom w:val="none" w:sz="0" w:space="0" w:color="auto"/>
        <w:right w:val="none" w:sz="0" w:space="0" w:color="auto"/>
      </w:divBdr>
    </w:div>
    <w:div w:id="1079257866">
      <w:bodyDiv w:val="1"/>
      <w:marLeft w:val="0"/>
      <w:marRight w:val="0"/>
      <w:marTop w:val="0"/>
      <w:marBottom w:val="0"/>
      <w:divBdr>
        <w:top w:val="none" w:sz="0" w:space="0" w:color="auto"/>
        <w:left w:val="none" w:sz="0" w:space="0" w:color="auto"/>
        <w:bottom w:val="none" w:sz="0" w:space="0" w:color="auto"/>
        <w:right w:val="none" w:sz="0" w:space="0" w:color="auto"/>
      </w:divBdr>
    </w:div>
    <w:div w:id="1094588612">
      <w:bodyDiv w:val="1"/>
      <w:marLeft w:val="0"/>
      <w:marRight w:val="0"/>
      <w:marTop w:val="0"/>
      <w:marBottom w:val="0"/>
      <w:divBdr>
        <w:top w:val="none" w:sz="0" w:space="0" w:color="auto"/>
        <w:left w:val="none" w:sz="0" w:space="0" w:color="auto"/>
        <w:bottom w:val="none" w:sz="0" w:space="0" w:color="auto"/>
        <w:right w:val="none" w:sz="0" w:space="0" w:color="auto"/>
      </w:divBdr>
    </w:div>
    <w:div w:id="1101608025">
      <w:bodyDiv w:val="1"/>
      <w:marLeft w:val="0"/>
      <w:marRight w:val="0"/>
      <w:marTop w:val="0"/>
      <w:marBottom w:val="0"/>
      <w:divBdr>
        <w:top w:val="none" w:sz="0" w:space="0" w:color="auto"/>
        <w:left w:val="none" w:sz="0" w:space="0" w:color="auto"/>
        <w:bottom w:val="none" w:sz="0" w:space="0" w:color="auto"/>
        <w:right w:val="none" w:sz="0" w:space="0" w:color="auto"/>
      </w:divBdr>
    </w:div>
    <w:div w:id="1129938219">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317223524">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444420955">
      <w:bodyDiv w:val="1"/>
      <w:marLeft w:val="0"/>
      <w:marRight w:val="0"/>
      <w:marTop w:val="0"/>
      <w:marBottom w:val="0"/>
      <w:divBdr>
        <w:top w:val="none" w:sz="0" w:space="0" w:color="auto"/>
        <w:left w:val="none" w:sz="0" w:space="0" w:color="auto"/>
        <w:bottom w:val="none" w:sz="0" w:space="0" w:color="auto"/>
        <w:right w:val="none" w:sz="0" w:space="0" w:color="auto"/>
      </w:divBdr>
    </w:div>
    <w:div w:id="1490291442">
      <w:bodyDiv w:val="1"/>
      <w:marLeft w:val="0"/>
      <w:marRight w:val="0"/>
      <w:marTop w:val="0"/>
      <w:marBottom w:val="0"/>
      <w:divBdr>
        <w:top w:val="none" w:sz="0" w:space="0" w:color="auto"/>
        <w:left w:val="none" w:sz="0" w:space="0" w:color="auto"/>
        <w:bottom w:val="none" w:sz="0" w:space="0" w:color="auto"/>
        <w:right w:val="none" w:sz="0" w:space="0" w:color="auto"/>
      </w:divBdr>
    </w:div>
    <w:div w:id="1589122115">
      <w:bodyDiv w:val="1"/>
      <w:marLeft w:val="0"/>
      <w:marRight w:val="0"/>
      <w:marTop w:val="0"/>
      <w:marBottom w:val="0"/>
      <w:divBdr>
        <w:top w:val="none" w:sz="0" w:space="0" w:color="auto"/>
        <w:left w:val="none" w:sz="0" w:space="0" w:color="auto"/>
        <w:bottom w:val="none" w:sz="0" w:space="0" w:color="auto"/>
        <w:right w:val="none" w:sz="0" w:space="0" w:color="auto"/>
      </w:divBdr>
    </w:div>
    <w:div w:id="1652639351">
      <w:bodyDiv w:val="1"/>
      <w:marLeft w:val="0"/>
      <w:marRight w:val="0"/>
      <w:marTop w:val="0"/>
      <w:marBottom w:val="0"/>
      <w:divBdr>
        <w:top w:val="none" w:sz="0" w:space="0" w:color="auto"/>
        <w:left w:val="none" w:sz="0" w:space="0" w:color="auto"/>
        <w:bottom w:val="none" w:sz="0" w:space="0" w:color="auto"/>
        <w:right w:val="none" w:sz="0" w:space="0" w:color="auto"/>
      </w:divBdr>
    </w:div>
    <w:div w:id="1707023684">
      <w:bodyDiv w:val="1"/>
      <w:marLeft w:val="0"/>
      <w:marRight w:val="0"/>
      <w:marTop w:val="0"/>
      <w:marBottom w:val="0"/>
      <w:divBdr>
        <w:top w:val="none" w:sz="0" w:space="0" w:color="auto"/>
        <w:left w:val="none" w:sz="0" w:space="0" w:color="auto"/>
        <w:bottom w:val="none" w:sz="0" w:space="0" w:color="auto"/>
        <w:right w:val="none" w:sz="0" w:space="0" w:color="auto"/>
      </w:divBdr>
    </w:div>
    <w:div w:id="1752892627">
      <w:bodyDiv w:val="1"/>
      <w:marLeft w:val="0"/>
      <w:marRight w:val="0"/>
      <w:marTop w:val="0"/>
      <w:marBottom w:val="0"/>
      <w:divBdr>
        <w:top w:val="none" w:sz="0" w:space="0" w:color="auto"/>
        <w:left w:val="none" w:sz="0" w:space="0" w:color="auto"/>
        <w:bottom w:val="none" w:sz="0" w:space="0" w:color="auto"/>
        <w:right w:val="none" w:sz="0" w:space="0" w:color="auto"/>
      </w:divBdr>
    </w:div>
    <w:div w:id="1766615008">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 w:id="1875120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of.gob.mx/nota_detalle.php?codigo=5492254&amp;fecha=28/07/201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18264</Words>
  <Characters>100455</Characters>
  <Application>Microsoft Office Word</Application>
  <DocSecurity>0</DocSecurity>
  <Lines>837</Lines>
  <Paragraphs>236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2025-08-22T18:52:00Z</cp:lastPrinted>
  <dcterms:created xsi:type="dcterms:W3CDTF">2025-09-04T22:58:00Z</dcterms:created>
  <dcterms:modified xsi:type="dcterms:W3CDTF">2025-09-04T22:58:00Z</dcterms:modified>
</cp:coreProperties>
</file>