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F1" w:rsidRPr="008D558F" w:rsidRDefault="009D3673" w:rsidP="00267735">
      <w:pPr>
        <w:tabs>
          <w:tab w:val="left" w:pos="3465"/>
        </w:tabs>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R</w:t>
      </w:r>
      <w:bookmarkStart w:id="0" w:name="_GoBack"/>
      <w:bookmarkEnd w:id="0"/>
      <w:r w:rsidRPr="008D558F">
        <w:rPr>
          <w:rFonts w:ascii="Palatino Linotype" w:eastAsia="Palatino Linotype" w:hAnsi="Palatino Linotype" w:cs="Palatino Linotype"/>
        </w:rPr>
        <w:t>esolución del Pleno del Instituto de Transparencia, Acceso a la Información Pública y Protección de Datos Personales del Estado de México y Municipios, con domicilio en Metepec, Es</w:t>
      </w:r>
      <w:r w:rsidR="0081462E" w:rsidRPr="008D558F">
        <w:rPr>
          <w:rFonts w:ascii="Palatino Linotype" w:eastAsia="Palatino Linotype" w:hAnsi="Palatino Linotype" w:cs="Palatino Linotype"/>
        </w:rPr>
        <w:t>tado</w:t>
      </w:r>
      <w:r w:rsidR="00C216E0" w:rsidRPr="008D558F">
        <w:rPr>
          <w:rFonts w:ascii="Palatino Linotype" w:eastAsia="Palatino Linotype" w:hAnsi="Palatino Linotype" w:cs="Palatino Linotype"/>
        </w:rPr>
        <w:t xml:space="preserve"> de México; de fecha veinte </w:t>
      </w:r>
      <w:r w:rsidRPr="008D558F">
        <w:rPr>
          <w:rFonts w:ascii="Palatino Linotype" w:eastAsia="Palatino Linotype" w:hAnsi="Palatino Linotype" w:cs="Palatino Linotype"/>
        </w:rPr>
        <w:t xml:space="preserve">de </w:t>
      </w:r>
      <w:r w:rsidR="00C216E0" w:rsidRPr="008D558F">
        <w:rPr>
          <w:rFonts w:ascii="Palatino Linotype" w:eastAsia="Palatino Linotype" w:hAnsi="Palatino Linotype" w:cs="Palatino Linotype"/>
        </w:rPr>
        <w:t xml:space="preserve">marzo </w:t>
      </w:r>
      <w:r w:rsidRPr="008D558F">
        <w:rPr>
          <w:rFonts w:ascii="Palatino Linotype" w:eastAsia="Palatino Linotype" w:hAnsi="Palatino Linotype" w:cs="Palatino Linotype"/>
        </w:rPr>
        <w:t>de dos mil veinticinco.</w:t>
      </w:r>
    </w:p>
    <w:p w:rsidR="00B84DF1" w:rsidRPr="008D558F" w:rsidRDefault="00B84DF1" w:rsidP="00267735">
      <w:pPr>
        <w:tabs>
          <w:tab w:val="left" w:pos="3465"/>
        </w:tabs>
        <w:spacing w:line="360" w:lineRule="auto"/>
        <w:ind w:right="49"/>
        <w:jc w:val="both"/>
        <w:rPr>
          <w:rFonts w:ascii="Palatino Linotype" w:eastAsia="Palatino Linotype" w:hAnsi="Palatino Linotype" w:cs="Palatino Linotype"/>
        </w:rPr>
      </w:pPr>
    </w:p>
    <w:p w:rsidR="00B84DF1" w:rsidRPr="008D558F" w:rsidRDefault="009D3673"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VISTAS </w:t>
      </w:r>
      <w:r w:rsidRPr="008D558F">
        <w:rPr>
          <w:rFonts w:ascii="Palatino Linotype" w:eastAsia="Palatino Linotype" w:hAnsi="Palatino Linotype" w:cs="Palatino Linotype"/>
        </w:rPr>
        <w:t xml:space="preserve">las constancias para resolver el Recurso de Revisión </w:t>
      </w:r>
      <w:r w:rsidR="0081462E" w:rsidRPr="008D558F">
        <w:rPr>
          <w:rFonts w:ascii="Palatino Linotype" w:eastAsia="Palatino Linotype" w:hAnsi="Palatino Linotype" w:cs="Palatino Linotype"/>
          <w:b/>
        </w:rPr>
        <w:t>06493/INFOEM/IP/RR/2024</w:t>
      </w:r>
      <w:r w:rsidRPr="008D558F">
        <w:rPr>
          <w:rFonts w:ascii="Palatino Linotype" w:eastAsia="Palatino Linotype" w:hAnsi="Palatino Linotype" w:cs="Palatino Linotype"/>
          <w:b/>
        </w:rPr>
        <w:t>,</w:t>
      </w:r>
      <w:r w:rsidRPr="008D558F">
        <w:rPr>
          <w:rFonts w:ascii="Palatino Linotype" w:eastAsia="Palatino Linotype" w:hAnsi="Palatino Linotype" w:cs="Palatino Linotype"/>
        </w:rPr>
        <w:t xml:space="preserve"> presentado por </w:t>
      </w:r>
      <w:r w:rsidR="00B3706B">
        <w:rPr>
          <w:rFonts w:ascii="Palatino Linotype" w:eastAsia="Palatino Linotype" w:hAnsi="Palatino Linotype" w:cs="Palatino Linotype"/>
          <w:b/>
        </w:rPr>
        <w:t>XXXX</w:t>
      </w:r>
      <w:r w:rsidRPr="008D558F">
        <w:rPr>
          <w:rFonts w:ascii="Palatino Linotype" w:eastAsia="Palatino Linotype" w:hAnsi="Palatino Linotype" w:cs="Palatino Linotype"/>
          <w:b/>
        </w:rPr>
        <w:t>,</w:t>
      </w:r>
      <w:r w:rsidRPr="008D558F">
        <w:rPr>
          <w:rFonts w:ascii="Palatino Linotype" w:eastAsia="Palatino Linotype" w:hAnsi="Palatino Linotype" w:cs="Palatino Linotype"/>
        </w:rPr>
        <w:t xml:space="preserve"> a quien en lo sucesivo se denominará como </w:t>
      </w:r>
      <w:r w:rsidRPr="008D558F">
        <w:rPr>
          <w:rFonts w:ascii="Palatino Linotype" w:eastAsia="Palatino Linotype" w:hAnsi="Palatino Linotype" w:cs="Palatino Linotype"/>
          <w:b/>
        </w:rPr>
        <w:t>EL RECURRENTE</w:t>
      </w:r>
      <w:r w:rsidRPr="008D558F">
        <w:rPr>
          <w:rFonts w:ascii="Palatino Linotype" w:eastAsia="Palatino Linotype" w:hAnsi="Palatino Linotype" w:cs="Palatino Linotype"/>
        </w:rPr>
        <w:t xml:space="preserve">, en contra de la respuesta otorgada a la solicitud de información con número de folio </w:t>
      </w:r>
      <w:r w:rsidR="0081462E" w:rsidRPr="008D558F">
        <w:rPr>
          <w:rFonts w:ascii="Palatino Linotype" w:eastAsia="Palatino Linotype" w:hAnsi="Palatino Linotype" w:cs="Palatino Linotype"/>
          <w:b/>
        </w:rPr>
        <w:t>00670/SF/IP/2024</w:t>
      </w:r>
      <w:r w:rsidRPr="008D558F">
        <w:rPr>
          <w:rFonts w:ascii="Palatino Linotype" w:eastAsia="Palatino Linotype" w:hAnsi="Palatino Linotype" w:cs="Palatino Linotype"/>
        </w:rPr>
        <w:t>, por parte de</w:t>
      </w:r>
      <w:r w:rsidR="00F916D5" w:rsidRPr="008D558F">
        <w:rPr>
          <w:rFonts w:ascii="Palatino Linotype" w:eastAsia="Palatino Linotype" w:hAnsi="Palatino Linotype" w:cs="Palatino Linotype"/>
        </w:rPr>
        <w:t xml:space="preserve"> </w:t>
      </w:r>
      <w:r w:rsidRPr="008D558F">
        <w:rPr>
          <w:rFonts w:ascii="Palatino Linotype" w:eastAsia="Palatino Linotype" w:hAnsi="Palatino Linotype" w:cs="Palatino Linotype"/>
        </w:rPr>
        <w:t>l</w:t>
      </w:r>
      <w:r w:rsidR="00F916D5" w:rsidRPr="008D558F">
        <w:rPr>
          <w:rFonts w:ascii="Palatino Linotype" w:eastAsia="Palatino Linotype" w:hAnsi="Palatino Linotype" w:cs="Palatino Linotype"/>
        </w:rPr>
        <w:t>a</w:t>
      </w:r>
      <w:r w:rsidRPr="008D558F">
        <w:rPr>
          <w:rFonts w:ascii="Palatino Linotype" w:eastAsia="Palatino Linotype" w:hAnsi="Palatino Linotype" w:cs="Palatino Linotype"/>
        </w:rPr>
        <w:t xml:space="preserve"> </w:t>
      </w:r>
      <w:r w:rsidR="0081462E" w:rsidRPr="008D558F">
        <w:rPr>
          <w:rFonts w:ascii="Palatino Linotype" w:eastAsia="Palatino Linotype" w:hAnsi="Palatino Linotype" w:cs="Palatino Linotype"/>
          <w:b/>
        </w:rPr>
        <w:t>Secretaría de Finanzas</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 xml:space="preserve">en adelante </w:t>
      </w:r>
      <w:r w:rsidRPr="008D558F">
        <w:rPr>
          <w:rFonts w:ascii="Palatino Linotype" w:eastAsia="Palatino Linotype" w:hAnsi="Palatino Linotype" w:cs="Palatino Linotype"/>
          <w:b/>
        </w:rPr>
        <w:t>EL SUJETO OBLIGADO,</w:t>
      </w:r>
      <w:r w:rsidRPr="008D558F">
        <w:rPr>
          <w:rFonts w:ascii="Palatino Linotype" w:eastAsia="Palatino Linotype" w:hAnsi="Palatino Linotype" w:cs="Palatino Linotype"/>
        </w:rPr>
        <w:t xml:space="preserve"> se emite la presente </w:t>
      </w:r>
      <w:r w:rsidR="0081462E" w:rsidRPr="008D558F">
        <w:rPr>
          <w:rFonts w:ascii="Palatino Linotype" w:eastAsia="Palatino Linotype" w:hAnsi="Palatino Linotype" w:cs="Palatino Linotype"/>
        </w:rPr>
        <w:t>R</w:t>
      </w:r>
      <w:r w:rsidRPr="008D558F">
        <w:rPr>
          <w:rFonts w:ascii="Palatino Linotype" w:eastAsia="Palatino Linotype" w:hAnsi="Palatino Linotype" w:cs="Palatino Linotype"/>
        </w:rPr>
        <w:t>esolución con base en los siguientes:</w:t>
      </w:r>
    </w:p>
    <w:p w:rsidR="00B84DF1" w:rsidRPr="008D558F" w:rsidRDefault="00B84DF1" w:rsidP="00267735">
      <w:pPr>
        <w:spacing w:line="360" w:lineRule="auto"/>
        <w:ind w:right="49"/>
        <w:jc w:val="both"/>
        <w:rPr>
          <w:rFonts w:ascii="Palatino Linotype" w:eastAsia="Palatino Linotype" w:hAnsi="Palatino Linotype" w:cs="Palatino Linotype"/>
        </w:rPr>
      </w:pPr>
    </w:p>
    <w:p w:rsidR="00B84DF1" w:rsidRPr="008D558F" w:rsidRDefault="009D3673" w:rsidP="00267735">
      <w:pPr>
        <w:pStyle w:val="Ttulo1"/>
        <w:spacing w:before="0" w:line="360" w:lineRule="auto"/>
        <w:ind w:right="49"/>
        <w:jc w:val="center"/>
        <w:rPr>
          <w:rFonts w:ascii="Palatino Linotype" w:eastAsia="Palatino Linotype" w:hAnsi="Palatino Linotype" w:cs="Palatino Linotype"/>
          <w:b/>
          <w:color w:val="000000"/>
          <w:sz w:val="24"/>
          <w:szCs w:val="24"/>
        </w:rPr>
      </w:pPr>
      <w:bookmarkStart w:id="1" w:name="_heading=h.gjdgxs" w:colFirst="0" w:colLast="0"/>
      <w:bookmarkEnd w:id="1"/>
      <w:r w:rsidRPr="008D558F">
        <w:rPr>
          <w:rFonts w:ascii="Palatino Linotype" w:eastAsia="Palatino Linotype" w:hAnsi="Palatino Linotype" w:cs="Palatino Linotype"/>
          <w:b/>
          <w:color w:val="000000"/>
          <w:sz w:val="24"/>
          <w:szCs w:val="24"/>
        </w:rPr>
        <w:t>A N T E C E D E N T E S</w:t>
      </w:r>
    </w:p>
    <w:p w:rsidR="00B84DF1" w:rsidRPr="008D558F" w:rsidRDefault="00B84DF1" w:rsidP="00267735">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u w:val="single"/>
        </w:rPr>
      </w:pPr>
    </w:p>
    <w:p w:rsidR="00B84DF1" w:rsidRPr="008D558F" w:rsidRDefault="009D3673" w:rsidP="0026773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El día</w:t>
      </w:r>
      <w:r w:rsidRPr="008D558F">
        <w:rPr>
          <w:rFonts w:ascii="Palatino Linotype" w:eastAsia="Palatino Linotype" w:hAnsi="Palatino Linotype" w:cs="Palatino Linotype"/>
          <w:b/>
          <w:color w:val="000000"/>
        </w:rPr>
        <w:t xml:space="preserve"> </w:t>
      </w:r>
      <w:r w:rsidR="0081462E" w:rsidRPr="008D558F">
        <w:rPr>
          <w:rFonts w:ascii="Palatino Linotype" w:eastAsia="Palatino Linotype" w:hAnsi="Palatino Linotype" w:cs="Palatino Linotype"/>
          <w:b/>
          <w:color w:val="000000"/>
        </w:rPr>
        <w:t>diecinueve de septiembre</w:t>
      </w:r>
      <w:r w:rsidRPr="008D558F">
        <w:rPr>
          <w:rFonts w:ascii="Palatino Linotype" w:eastAsia="Palatino Linotype" w:hAnsi="Palatino Linotype" w:cs="Palatino Linotype"/>
          <w:b/>
          <w:color w:val="000000"/>
        </w:rPr>
        <w:t xml:space="preserve"> dos mil veinticuatro</w:t>
      </w:r>
      <w:r w:rsidRPr="008D558F">
        <w:rPr>
          <w:rFonts w:ascii="Palatino Linotype" w:eastAsia="Palatino Linotype" w:hAnsi="Palatino Linotype" w:cs="Palatino Linotype"/>
          <w:color w:val="000000"/>
        </w:rPr>
        <w:t>,</w:t>
      </w:r>
      <w:r w:rsidRPr="008D558F">
        <w:rPr>
          <w:rFonts w:ascii="Palatino Linotype" w:eastAsia="Palatino Linotype" w:hAnsi="Palatino Linotype" w:cs="Palatino Linotype"/>
          <w:b/>
          <w:color w:val="000000"/>
        </w:rPr>
        <w:t xml:space="preserve"> </w:t>
      </w:r>
      <w:r w:rsidRPr="008D558F">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B84DF1" w:rsidRPr="008D558F" w:rsidRDefault="00B84DF1" w:rsidP="0026773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8D558F" w:rsidRDefault="009D3673" w:rsidP="00267735">
      <w:pPr>
        <w:pBdr>
          <w:top w:val="nil"/>
          <w:left w:val="nil"/>
          <w:bottom w:val="nil"/>
          <w:right w:val="nil"/>
          <w:between w:val="nil"/>
        </w:pBdr>
        <w:spacing w:line="360" w:lineRule="auto"/>
        <w:ind w:left="425" w:right="49"/>
        <w:jc w:val="both"/>
        <w:rPr>
          <w:rFonts w:ascii="Palatino Linotype" w:eastAsia="Palatino Linotype" w:hAnsi="Palatino Linotype" w:cs="Palatino Linotype"/>
          <w:i/>
          <w:color w:val="000000"/>
        </w:rPr>
      </w:pPr>
      <w:r w:rsidRPr="008D558F">
        <w:rPr>
          <w:rFonts w:ascii="Palatino Linotype" w:eastAsia="Palatino Linotype" w:hAnsi="Palatino Linotype" w:cs="Palatino Linotype"/>
          <w:i/>
          <w:color w:val="000000"/>
        </w:rPr>
        <w:t>“</w:t>
      </w:r>
      <w:r w:rsidR="0081462E" w:rsidRPr="008D558F">
        <w:rPr>
          <w:rFonts w:ascii="Palatino Linotype" w:eastAsia="Palatino Linotype" w:hAnsi="Palatino Linotype" w:cs="Palatino Linotype"/>
          <w:i/>
          <w:color w:val="000000"/>
        </w:rPr>
        <w:t xml:space="preserve">Se solicita la evidencia documental de todas las MIR autorizadas para los ejercicios 2021 y 2022, así como las MIR al final del ejercicio, donde se observen, de manera evolutiva cada una de las adecuaciones, así como las evidencias de solicitudes por parte de las dependencias y las autorizaciones por parte de la Dirección General durante la estancia en esa dependencia por parte de la C. Luz María Cuero Hernández, Directora </w:t>
      </w:r>
      <w:r w:rsidR="0081462E" w:rsidRPr="008D558F">
        <w:rPr>
          <w:rFonts w:ascii="Palatino Linotype" w:eastAsia="Palatino Linotype" w:hAnsi="Palatino Linotype" w:cs="Palatino Linotype"/>
          <w:i/>
          <w:color w:val="000000"/>
        </w:rPr>
        <w:lastRenderedPageBreak/>
        <w:t>adscrita a la Dirección General de Evaluación del Desempeño Institucional de la Secretaría de Finanzas.</w:t>
      </w:r>
      <w:r w:rsidRPr="008D558F">
        <w:rPr>
          <w:rFonts w:ascii="Palatino Linotype" w:eastAsia="Palatino Linotype" w:hAnsi="Palatino Linotype" w:cs="Palatino Linotype"/>
          <w:i/>
          <w:color w:val="000000"/>
        </w:rPr>
        <w:t>”</w:t>
      </w:r>
    </w:p>
    <w:p w:rsidR="00B84DF1" w:rsidRPr="008D558F" w:rsidRDefault="00B84DF1" w:rsidP="00267735">
      <w:pPr>
        <w:pBdr>
          <w:top w:val="nil"/>
          <w:left w:val="nil"/>
          <w:bottom w:val="nil"/>
          <w:right w:val="nil"/>
          <w:between w:val="nil"/>
        </w:pBdr>
        <w:spacing w:line="360" w:lineRule="auto"/>
        <w:ind w:left="425" w:right="49"/>
        <w:jc w:val="both"/>
        <w:rPr>
          <w:rFonts w:ascii="Palatino Linotype" w:eastAsia="Palatino Linotype" w:hAnsi="Palatino Linotype" w:cs="Palatino Linotype"/>
          <w:color w:val="000000"/>
        </w:rPr>
      </w:pPr>
    </w:p>
    <w:p w:rsidR="00B84DF1" w:rsidRPr="008D558F" w:rsidRDefault="009D3673" w:rsidP="00267735">
      <w:pPr>
        <w:numPr>
          <w:ilvl w:val="0"/>
          <w:numId w:val="2"/>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Se eligió como modalidad de entrega de la información: A través del </w:t>
      </w:r>
      <w:r w:rsidRPr="008D558F">
        <w:rPr>
          <w:rFonts w:ascii="Palatino Linotype" w:eastAsia="Palatino Linotype" w:hAnsi="Palatino Linotype" w:cs="Palatino Linotype"/>
          <w:b/>
          <w:color w:val="000000"/>
        </w:rPr>
        <w:t>SAIMEX.</w:t>
      </w:r>
    </w:p>
    <w:p w:rsidR="00F916D5" w:rsidRPr="008D558F" w:rsidRDefault="00F916D5" w:rsidP="00267735">
      <w:p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color w:val="000000"/>
        </w:rPr>
        <w:t xml:space="preserve">El </w:t>
      </w:r>
      <w:r w:rsidR="0081462E" w:rsidRPr="008D558F">
        <w:rPr>
          <w:rFonts w:ascii="Palatino Linotype" w:eastAsia="Palatino Linotype" w:hAnsi="Palatino Linotype" w:cs="Palatino Linotype"/>
          <w:b/>
          <w:color w:val="000000"/>
        </w:rPr>
        <w:t>siete de octubre</w:t>
      </w:r>
      <w:r w:rsidRPr="008D558F">
        <w:rPr>
          <w:rFonts w:ascii="Palatino Linotype" w:eastAsia="Palatino Linotype" w:hAnsi="Palatino Linotype" w:cs="Palatino Linotype"/>
          <w:b/>
          <w:color w:val="000000"/>
        </w:rPr>
        <w:t xml:space="preserve"> de dos mil veinticuatro</w:t>
      </w:r>
      <w:r w:rsidRPr="008D558F">
        <w:rPr>
          <w:rFonts w:ascii="Palatino Linotype" w:eastAsia="Palatino Linotype" w:hAnsi="Palatino Linotype" w:cs="Palatino Linotype"/>
          <w:color w:val="000000"/>
        </w:rPr>
        <w:t>, el Sujeto Obligado</w:t>
      </w:r>
      <w:r w:rsidRPr="008D558F">
        <w:rPr>
          <w:rFonts w:ascii="Palatino Linotype" w:eastAsia="Palatino Linotype" w:hAnsi="Palatino Linotype" w:cs="Palatino Linotype"/>
          <w:b/>
          <w:color w:val="000000"/>
        </w:rPr>
        <w:t>,</w:t>
      </w:r>
      <w:r w:rsidRPr="008D558F">
        <w:rPr>
          <w:rFonts w:ascii="Palatino Linotype" w:eastAsia="Palatino Linotype" w:hAnsi="Palatino Linotype" w:cs="Palatino Linotype"/>
          <w:color w:val="000000"/>
        </w:rPr>
        <w:t xml:space="preserve"> dio respuesta a través de</w:t>
      </w:r>
      <w:r w:rsidR="0081462E" w:rsidRPr="008D558F">
        <w:rPr>
          <w:rFonts w:ascii="Palatino Linotype" w:eastAsia="Palatino Linotype" w:hAnsi="Palatino Linotype" w:cs="Palatino Linotype"/>
          <w:color w:val="000000"/>
        </w:rPr>
        <w:t xml:space="preserve"> dos</w:t>
      </w:r>
      <w:r w:rsidRPr="008D558F">
        <w:rPr>
          <w:rFonts w:ascii="Palatino Linotype" w:eastAsia="Palatino Linotype" w:hAnsi="Palatino Linotype" w:cs="Palatino Linotype"/>
          <w:color w:val="000000"/>
        </w:rPr>
        <w:t xml:space="preserve"> archivo</w:t>
      </w:r>
      <w:r w:rsidR="0081462E" w:rsidRPr="008D558F">
        <w:rPr>
          <w:rFonts w:ascii="Palatino Linotype" w:eastAsia="Palatino Linotype" w:hAnsi="Palatino Linotype" w:cs="Palatino Linotype"/>
          <w:color w:val="000000"/>
        </w:rPr>
        <w:t>s</w:t>
      </w:r>
      <w:r w:rsidRPr="008D558F">
        <w:rPr>
          <w:rFonts w:ascii="Palatino Linotype" w:eastAsia="Palatino Linotype" w:hAnsi="Palatino Linotype" w:cs="Palatino Linotype"/>
          <w:color w:val="000000"/>
        </w:rPr>
        <w:t xml:space="preserve"> denominado</w:t>
      </w:r>
      <w:r w:rsidR="0081462E" w:rsidRPr="008D558F">
        <w:rPr>
          <w:rFonts w:ascii="Palatino Linotype" w:eastAsia="Palatino Linotype" w:hAnsi="Palatino Linotype" w:cs="Palatino Linotype"/>
          <w:color w:val="000000"/>
        </w:rPr>
        <w:t>s</w:t>
      </w:r>
      <w:r w:rsidRPr="008D558F">
        <w:rPr>
          <w:rFonts w:ascii="Palatino Linotype" w:eastAsia="Palatino Linotype" w:hAnsi="Palatino Linotype" w:cs="Palatino Linotype"/>
          <w:color w:val="000000"/>
        </w:rPr>
        <w:t xml:space="preserve"> </w:t>
      </w:r>
      <w:r w:rsidR="0081462E" w:rsidRPr="008D558F">
        <w:rPr>
          <w:rFonts w:ascii="Palatino Linotype" w:eastAsia="Palatino Linotype" w:hAnsi="Palatino Linotype" w:cs="Palatino Linotype"/>
          <w:b/>
          <w:i/>
          <w:color w:val="000000"/>
        </w:rPr>
        <w:t xml:space="preserve">00670 SSPYP.pdf </w:t>
      </w:r>
      <w:r w:rsidR="0081462E" w:rsidRPr="008D558F">
        <w:rPr>
          <w:rFonts w:ascii="Palatino Linotype" w:eastAsia="Palatino Linotype" w:hAnsi="Palatino Linotype" w:cs="Palatino Linotype"/>
          <w:color w:val="000000"/>
        </w:rPr>
        <w:t>y</w:t>
      </w:r>
      <w:r w:rsidR="0081462E" w:rsidRPr="008D558F">
        <w:rPr>
          <w:rFonts w:ascii="Palatino Linotype" w:eastAsia="Palatino Linotype" w:hAnsi="Palatino Linotype" w:cs="Palatino Linotype"/>
          <w:b/>
          <w:i/>
          <w:color w:val="000000"/>
        </w:rPr>
        <w:t xml:space="preserve"> 00670 SOLICITANTE.pdf</w:t>
      </w:r>
      <w:r w:rsidRPr="008D558F">
        <w:rPr>
          <w:rFonts w:ascii="Palatino Linotype" w:eastAsia="Palatino Linotype" w:hAnsi="Palatino Linotype" w:cs="Palatino Linotype"/>
          <w:color w:val="000000"/>
        </w:rPr>
        <w:t xml:space="preserve">, cuyo contenido de manera general corresponde </w:t>
      </w:r>
      <w:r w:rsidR="0081462E" w:rsidRPr="008D558F">
        <w:rPr>
          <w:rFonts w:ascii="Palatino Linotype" w:eastAsia="Palatino Linotype" w:hAnsi="Palatino Linotype" w:cs="Palatino Linotype"/>
          <w:color w:val="000000"/>
        </w:rPr>
        <w:t>al siguiente:</w:t>
      </w:r>
    </w:p>
    <w:p w:rsidR="0081462E" w:rsidRPr="008D558F" w:rsidRDefault="0081462E" w:rsidP="0026773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color w:val="000000"/>
        </w:rPr>
      </w:pPr>
    </w:p>
    <w:p w:rsidR="0081462E" w:rsidRPr="008D558F" w:rsidRDefault="0081462E" w:rsidP="00267735">
      <w:pPr>
        <w:pStyle w:val="Prrafodelista"/>
        <w:numPr>
          <w:ilvl w:val="0"/>
          <w:numId w:val="6"/>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i/>
          <w:color w:val="000000"/>
        </w:rPr>
        <w:t xml:space="preserve">00670 SSPYP.pdf, </w:t>
      </w:r>
      <w:r w:rsidRPr="008D558F">
        <w:rPr>
          <w:rFonts w:ascii="Palatino Linotype" w:eastAsia="Palatino Linotype" w:hAnsi="Palatino Linotype" w:cs="Palatino Linotype"/>
          <w:color w:val="000000"/>
        </w:rPr>
        <w:t>oficio signado por el Servidor Público Habilitado de la Subsecretaria de Planeación y Presupuesto y, dirigido al Jefe de la UIPPE y Titular de la Unidad de Transparencia de la Secretaria de Finanzas, mediante el cual informa que derivado de la búsqueda realizada en los archivos de la Dirección de Monitoreo y Evaluación de la Dirección General de Evaluación del Desempeño Institucional, no se encontró información sobre las MIR autorizadas por la servidora pública referida en los ejercicios solicitados, en razón de no corresponder a las funciones de la Dirección de Monitoreo y Evaluación, según lo establecido en el Manual General de Organización de la Secretaria de Finanzas.</w:t>
      </w:r>
    </w:p>
    <w:p w:rsidR="0081462E" w:rsidRPr="008D558F" w:rsidRDefault="0081462E" w:rsidP="00267735">
      <w:pPr>
        <w:pBdr>
          <w:top w:val="nil"/>
          <w:left w:val="nil"/>
          <w:bottom w:val="nil"/>
          <w:right w:val="nil"/>
          <w:between w:val="nil"/>
        </w:pBdr>
        <w:tabs>
          <w:tab w:val="left" w:pos="0"/>
        </w:tabs>
        <w:spacing w:line="360" w:lineRule="auto"/>
        <w:ind w:right="49"/>
        <w:jc w:val="both"/>
        <w:rPr>
          <w:rFonts w:ascii="Palatino Linotype" w:hAnsi="Palatino Linotype"/>
        </w:rPr>
      </w:pPr>
    </w:p>
    <w:p w:rsidR="0081462E" w:rsidRPr="008D558F" w:rsidRDefault="0081462E" w:rsidP="00267735">
      <w:pPr>
        <w:pStyle w:val="Prrafodelista"/>
        <w:numPr>
          <w:ilvl w:val="0"/>
          <w:numId w:val="6"/>
        </w:numPr>
        <w:pBdr>
          <w:top w:val="nil"/>
          <w:left w:val="nil"/>
          <w:bottom w:val="nil"/>
          <w:right w:val="nil"/>
          <w:between w:val="nil"/>
        </w:pBdr>
        <w:tabs>
          <w:tab w:val="left" w:pos="0"/>
        </w:tabs>
        <w:spacing w:line="360" w:lineRule="auto"/>
        <w:ind w:right="49"/>
        <w:jc w:val="both"/>
        <w:rPr>
          <w:rFonts w:ascii="Palatino Linotype" w:hAnsi="Palatino Linotype"/>
        </w:rPr>
      </w:pPr>
      <w:r w:rsidRPr="008D558F">
        <w:rPr>
          <w:rFonts w:ascii="Palatino Linotype" w:eastAsia="Palatino Linotype" w:hAnsi="Palatino Linotype" w:cs="Palatino Linotype"/>
          <w:b/>
          <w:i/>
          <w:color w:val="000000"/>
        </w:rPr>
        <w:t xml:space="preserve">00670 SOLICITANTE.pdf, </w:t>
      </w:r>
      <w:r w:rsidR="00AD30C0" w:rsidRPr="008D558F">
        <w:rPr>
          <w:rFonts w:ascii="Palatino Linotype" w:eastAsia="Palatino Linotype" w:hAnsi="Palatino Linotype" w:cs="Palatino Linotype"/>
          <w:color w:val="000000"/>
        </w:rPr>
        <w:t>que corresponde a un oficio signado por el Titular de la Unidad de Transparencia, a través del cual informa al Solicitante la respuesta emitida.</w:t>
      </w:r>
    </w:p>
    <w:p w:rsidR="00B84DF1" w:rsidRPr="008D558F" w:rsidRDefault="009D3673" w:rsidP="0026773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lastRenderedPageBreak/>
        <w:t>El</w:t>
      </w:r>
      <w:r w:rsidRPr="008D558F">
        <w:rPr>
          <w:rFonts w:ascii="Palatino Linotype" w:eastAsia="Palatino Linotype" w:hAnsi="Palatino Linotype" w:cs="Palatino Linotype"/>
          <w:b/>
          <w:color w:val="000000"/>
        </w:rPr>
        <w:t xml:space="preserve"> diecisiete de septiembre dos mil veinticuatro</w:t>
      </w:r>
      <w:r w:rsidRPr="008D558F">
        <w:rPr>
          <w:rFonts w:ascii="Palatino Linotype" w:eastAsia="Palatino Linotype" w:hAnsi="Palatino Linotype" w:cs="Palatino Linotype"/>
          <w:color w:val="000000"/>
        </w:rPr>
        <w:t>, el particular interpuso el recurso de revisión en contra de la respuesta, realizando las siguientes manifestaciones:</w:t>
      </w:r>
    </w:p>
    <w:p w:rsidR="00AD30C0" w:rsidRPr="008D558F" w:rsidRDefault="00AD30C0" w:rsidP="0026773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B84DF1" w:rsidRPr="008D558F" w:rsidRDefault="009D3673" w:rsidP="002677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bookmarkStart w:id="2" w:name="_heading=h.30j0zll" w:colFirst="0" w:colLast="0"/>
      <w:bookmarkEnd w:id="2"/>
      <w:r w:rsidRPr="008D558F">
        <w:rPr>
          <w:rFonts w:ascii="Palatino Linotype" w:eastAsia="Palatino Linotype" w:hAnsi="Palatino Linotype" w:cs="Palatino Linotype"/>
          <w:b/>
          <w:color w:val="000000"/>
        </w:rPr>
        <w:t xml:space="preserve">ACTO IMPUGNADO: </w:t>
      </w:r>
      <w:r w:rsidRPr="008D558F">
        <w:rPr>
          <w:rFonts w:ascii="Palatino Linotype" w:eastAsia="Palatino Linotype" w:hAnsi="Palatino Linotype" w:cs="Palatino Linotype"/>
          <w:i/>
          <w:color w:val="000000"/>
        </w:rPr>
        <w:t>“</w:t>
      </w:r>
      <w:r w:rsidR="00AD30C0" w:rsidRPr="008D558F">
        <w:rPr>
          <w:rFonts w:ascii="Palatino Linotype" w:eastAsia="Palatino Linotype" w:hAnsi="Palatino Linotype" w:cs="Palatino Linotype"/>
          <w:i/>
          <w:color w:val="000000"/>
        </w:rPr>
        <w:t>Se solicita dar atención de la manera en que se describe la solicitud de información.</w:t>
      </w:r>
      <w:r w:rsidRPr="008D558F">
        <w:rPr>
          <w:rFonts w:ascii="Palatino Linotype" w:eastAsia="Palatino Linotype" w:hAnsi="Palatino Linotype" w:cs="Palatino Linotype"/>
          <w:i/>
          <w:color w:val="000000"/>
        </w:rPr>
        <w:t>”</w:t>
      </w:r>
    </w:p>
    <w:p w:rsidR="00AD30C0" w:rsidRPr="008D558F" w:rsidRDefault="00AD30C0" w:rsidP="00267735">
      <w:pPr>
        <w:pBdr>
          <w:top w:val="nil"/>
          <w:left w:val="nil"/>
          <w:bottom w:val="nil"/>
          <w:right w:val="nil"/>
          <w:between w:val="nil"/>
        </w:pBdr>
        <w:spacing w:line="360" w:lineRule="auto"/>
        <w:ind w:left="709" w:right="49"/>
        <w:jc w:val="both"/>
        <w:rPr>
          <w:rFonts w:ascii="Palatino Linotype" w:eastAsia="Palatino Linotype" w:hAnsi="Palatino Linotype" w:cs="Palatino Linotype"/>
          <w:i/>
          <w:color w:val="000000"/>
        </w:rPr>
      </w:pPr>
    </w:p>
    <w:p w:rsidR="00B84DF1" w:rsidRPr="008D558F" w:rsidRDefault="009D3673" w:rsidP="002677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sidRPr="008D558F">
        <w:rPr>
          <w:rFonts w:ascii="Palatino Linotype" w:eastAsia="Palatino Linotype" w:hAnsi="Palatino Linotype" w:cs="Palatino Linotype"/>
          <w:b/>
          <w:color w:val="000000"/>
        </w:rPr>
        <w:t xml:space="preserve">RAZONES O MOTIVOS DE LA INCONFORMIDAD: </w:t>
      </w:r>
      <w:r w:rsidRPr="008D558F">
        <w:rPr>
          <w:rFonts w:ascii="Palatino Linotype" w:eastAsia="Palatino Linotype" w:hAnsi="Palatino Linotype" w:cs="Palatino Linotype"/>
          <w:i/>
          <w:color w:val="000000"/>
        </w:rPr>
        <w:t>“</w:t>
      </w:r>
      <w:r w:rsidR="00AD30C0" w:rsidRPr="008D558F">
        <w:rPr>
          <w:rFonts w:ascii="Palatino Linotype" w:eastAsia="Palatino Linotype" w:hAnsi="Palatino Linotype" w:cs="Palatino Linotype"/>
          <w:i/>
          <w:color w:val="000000"/>
        </w:rPr>
        <w:t>Se solicita dar atención de la manera en que se describe la solicitud de información.</w:t>
      </w:r>
      <w:r w:rsidRPr="008D558F">
        <w:rPr>
          <w:rFonts w:ascii="Palatino Linotype" w:eastAsia="Palatino Linotype" w:hAnsi="Palatino Linotype" w:cs="Palatino Linotype"/>
          <w:i/>
          <w:color w:val="000000"/>
        </w:rPr>
        <w:t>”</w:t>
      </w:r>
    </w:p>
    <w:p w:rsidR="00B84DF1" w:rsidRPr="008D558F" w:rsidRDefault="00B84DF1" w:rsidP="00267735">
      <w:pPr>
        <w:pBdr>
          <w:top w:val="nil"/>
          <w:left w:val="nil"/>
          <w:bottom w:val="nil"/>
          <w:right w:val="nil"/>
          <w:between w:val="nil"/>
        </w:pBdr>
        <w:spacing w:line="360" w:lineRule="auto"/>
        <w:ind w:left="720" w:right="49"/>
        <w:rPr>
          <w:rFonts w:ascii="Palatino Linotype" w:eastAsia="Palatino Linotype" w:hAnsi="Palatino Linotype" w:cs="Palatino Linotype"/>
          <w:i/>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8D558F">
        <w:rPr>
          <w:rFonts w:ascii="Palatino Linotype" w:eastAsia="Palatino Linotype" w:hAnsi="Palatino Linotype" w:cs="Palatino Linotype"/>
        </w:rPr>
        <w:t>manifiesta</w:t>
      </w:r>
      <w:r w:rsidRPr="008D558F">
        <w:rPr>
          <w:rFonts w:ascii="Palatino Linotype" w:eastAsia="Palatino Linotype" w:hAnsi="Palatino Linotype" w:cs="Palatino Linotype"/>
          <w:color w:val="000000"/>
        </w:rPr>
        <w:t xml:space="preserve"> lo que a su derecho conviniera, </w:t>
      </w:r>
      <w:r w:rsidRPr="008D558F">
        <w:rPr>
          <w:rFonts w:ascii="Palatino Linotype" w:eastAsia="Palatino Linotype" w:hAnsi="Palatino Linotype" w:cs="Palatino Linotype"/>
        </w:rPr>
        <w:t>ofreciera</w:t>
      </w:r>
      <w:r w:rsidRPr="008D558F">
        <w:rPr>
          <w:rFonts w:ascii="Palatino Linotype" w:eastAsia="Palatino Linotype" w:hAnsi="Palatino Linotype" w:cs="Palatino Linotype"/>
          <w:color w:val="000000"/>
        </w:rPr>
        <w:t xml:space="preserve"> pruebas y alegatos, y el Sujeto Obligado presentará el Informe Justificado.</w:t>
      </w:r>
    </w:p>
    <w:p w:rsidR="00B84DF1" w:rsidRPr="008D558F" w:rsidRDefault="00B84DF1" w:rsidP="0026773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El Recurrente</w:t>
      </w:r>
      <w:r w:rsidRPr="008D558F">
        <w:rPr>
          <w:rFonts w:ascii="Palatino Linotype" w:eastAsia="Palatino Linotype" w:hAnsi="Palatino Linotype" w:cs="Palatino Linotype"/>
          <w:b/>
          <w:color w:val="000000"/>
        </w:rPr>
        <w:t xml:space="preserve"> </w:t>
      </w:r>
      <w:r w:rsidRPr="008D558F">
        <w:rPr>
          <w:rFonts w:ascii="Palatino Linotype" w:eastAsia="Palatino Linotype" w:hAnsi="Palatino Linotype" w:cs="Palatino Linotype"/>
          <w:color w:val="000000"/>
        </w:rPr>
        <w:t xml:space="preserve">dejó de realizar manifestaciones que a su derecho conviniera y asistiera. Por su parte el Sujeto Obligado, rindió  informe justificado </w:t>
      </w:r>
      <w:r w:rsidR="00A36A65" w:rsidRPr="008D558F">
        <w:rPr>
          <w:rFonts w:ascii="Palatino Linotype" w:eastAsia="Palatino Linotype" w:hAnsi="Palatino Linotype" w:cs="Palatino Linotype"/>
          <w:color w:val="000000"/>
        </w:rPr>
        <w:t>mediante los siguientes archivos:</w:t>
      </w:r>
    </w:p>
    <w:p w:rsidR="00A36A65" w:rsidRPr="008D558F" w:rsidRDefault="00A36A65" w:rsidP="00267735">
      <w:pPr>
        <w:pStyle w:val="Prrafodelista"/>
        <w:spacing w:line="360" w:lineRule="auto"/>
        <w:rPr>
          <w:rFonts w:ascii="Palatino Linotype" w:eastAsia="Palatino Linotype" w:hAnsi="Palatino Linotype" w:cs="Palatino Linotype"/>
          <w:color w:val="000000"/>
        </w:rPr>
      </w:pPr>
    </w:p>
    <w:p w:rsidR="00A36A65" w:rsidRPr="008D558F" w:rsidRDefault="00A36A65" w:rsidP="00267735">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i/>
          <w:color w:val="000000"/>
        </w:rPr>
        <w:t xml:space="preserve">LIGA RR 06493-2024.docx, </w:t>
      </w:r>
      <w:r w:rsidRPr="008D558F">
        <w:rPr>
          <w:rFonts w:ascii="Palatino Linotype" w:eastAsia="Palatino Linotype" w:hAnsi="Palatino Linotype" w:cs="Palatino Linotype"/>
          <w:color w:val="000000"/>
        </w:rPr>
        <w:t>que contiene el enlace de Internet remitido en respuesta, en formato abierto.</w:t>
      </w:r>
    </w:p>
    <w:p w:rsidR="00A36A65" w:rsidRPr="008D558F" w:rsidRDefault="00A36A65" w:rsidP="0026773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A36A65" w:rsidRPr="008D558F" w:rsidRDefault="00A36A65" w:rsidP="00267735">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i/>
          <w:color w:val="000000"/>
        </w:rPr>
        <w:t xml:space="preserve">RR 06493-2024.pdf, </w:t>
      </w:r>
      <w:r w:rsidRPr="008D558F">
        <w:rPr>
          <w:rFonts w:ascii="Palatino Linotype" w:eastAsia="Palatino Linotype" w:hAnsi="Palatino Linotype" w:cs="Palatino Linotype"/>
          <w:color w:val="000000"/>
        </w:rPr>
        <w:t xml:space="preserve">que contiene el informe justificado emitido por el Jefe de la UIPPE y Titular de la Unidad de Transparencia de la Secretaria de </w:t>
      </w:r>
      <w:r w:rsidRPr="008D558F">
        <w:rPr>
          <w:rFonts w:ascii="Palatino Linotype" w:eastAsia="Palatino Linotype" w:hAnsi="Palatino Linotype" w:cs="Palatino Linotype"/>
          <w:color w:val="000000"/>
        </w:rPr>
        <w:lastRenderedPageBreak/>
        <w:t>Finanzas, mediante el cual confirma su respuesta inicial y solicita se confirme la respuesta por resultar infundadas las razones y motivos de inconformidad hechos valer.</w:t>
      </w:r>
    </w:p>
    <w:p w:rsidR="00A36A65" w:rsidRPr="008D558F" w:rsidRDefault="00A36A65" w:rsidP="00267735">
      <w:p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rPr>
      </w:pPr>
    </w:p>
    <w:p w:rsidR="00A36A65" w:rsidRPr="008D558F" w:rsidRDefault="00A36A65" w:rsidP="00267735">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i/>
          <w:color w:val="000000"/>
        </w:rPr>
        <w:t xml:space="preserve">06493 INFOEM IP RR SSPYP.pdf, </w:t>
      </w:r>
      <w:r w:rsidR="00AD753F" w:rsidRPr="008D558F">
        <w:rPr>
          <w:rFonts w:ascii="Palatino Linotype" w:eastAsia="Palatino Linotype" w:hAnsi="Palatino Linotype" w:cs="Palatino Linotype"/>
          <w:color w:val="000000"/>
        </w:rPr>
        <w:t>que corresponde a un oficio signado por el Servidor Público Habilitado de la Subsecretaria de Planeación y Presupuesto, mediante el cual ratifica su respuesta inicial, insistiendo en que se realizó una búsqueda en los archivos de esa Subsecretaria, y no se localizó la información requerida.</w:t>
      </w:r>
    </w:p>
    <w:p w:rsidR="00B84DF1" w:rsidRPr="008D558F" w:rsidRDefault="00B84DF1" w:rsidP="00267735">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bookmarkStart w:id="3" w:name="_heading=h.1fob9te" w:colFirst="0" w:colLast="0"/>
      <w:bookmarkEnd w:id="3"/>
      <w:r w:rsidRPr="008D558F">
        <w:rPr>
          <w:rFonts w:ascii="Palatino Linotype" w:eastAsia="Palatino Linotype" w:hAnsi="Palatino Linotype" w:cs="Palatino Linotype"/>
          <w:color w:val="000000"/>
        </w:rPr>
        <w:t xml:space="preserve">El </w:t>
      </w:r>
      <w:r w:rsidR="00AD753F" w:rsidRPr="008D558F">
        <w:rPr>
          <w:rFonts w:ascii="Palatino Linotype" w:eastAsia="Palatino Linotype" w:hAnsi="Palatino Linotype" w:cs="Palatino Linotype"/>
          <w:b/>
          <w:color w:val="000000"/>
        </w:rPr>
        <w:t>doce de marz</w:t>
      </w:r>
      <w:r w:rsidRPr="008D558F">
        <w:rPr>
          <w:rFonts w:ascii="Palatino Linotype" w:eastAsia="Palatino Linotype" w:hAnsi="Palatino Linotype" w:cs="Palatino Linotype"/>
          <w:b/>
          <w:color w:val="000000"/>
        </w:rPr>
        <w:t>o del año en curso</w:t>
      </w:r>
      <w:r w:rsidRPr="008D558F">
        <w:rPr>
          <w:rFonts w:ascii="Palatino Linotype" w:eastAsia="Palatino Linotype" w:hAnsi="Palatino Linotype" w:cs="Palatino Linotype"/>
          <w:color w:val="000000"/>
        </w:rPr>
        <w:t xml:space="preserve">, se amplió el término para resolver el Recurso de Revisión por un periodo de quince días hábiles adicionales al lapso ordinario. Al respecto 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B84DF1" w:rsidRPr="008D558F" w:rsidRDefault="00B84DF1" w:rsidP="00267735">
      <w:pPr>
        <w:pBdr>
          <w:top w:val="nil"/>
          <w:left w:val="nil"/>
          <w:bottom w:val="nil"/>
          <w:right w:val="nil"/>
          <w:between w:val="nil"/>
        </w:pBdr>
        <w:spacing w:line="360" w:lineRule="auto"/>
        <w:ind w:left="360" w:right="49"/>
        <w:jc w:val="both"/>
        <w:rPr>
          <w:rFonts w:ascii="Palatino Linotype" w:eastAsia="Palatino Linotype" w:hAnsi="Palatino Linotype" w:cs="Palatino Linotype"/>
        </w:rPr>
      </w:pPr>
      <w:bookmarkStart w:id="4" w:name="_heading=h.c4a064s8p7s9" w:colFirst="0" w:colLast="0"/>
      <w:bookmarkEnd w:id="4"/>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lastRenderedPageBreak/>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B84DF1" w:rsidRPr="008D558F" w:rsidRDefault="00B84DF1" w:rsidP="00267735">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84DF1" w:rsidRPr="008D558F" w:rsidRDefault="00B84DF1" w:rsidP="00267735">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AD753F" w:rsidRPr="008D558F" w:rsidRDefault="00AD753F" w:rsidP="00267735">
      <w:pPr>
        <w:pStyle w:val="Prrafodelista"/>
        <w:spacing w:line="360" w:lineRule="auto"/>
        <w:rPr>
          <w:rFonts w:ascii="Palatino Linotype" w:eastAsia="Palatino Linotype" w:hAnsi="Palatino Linotype" w:cs="Palatino Linotype"/>
          <w:color w:val="000000"/>
        </w:rPr>
      </w:pPr>
    </w:p>
    <w:p w:rsidR="00B84DF1" w:rsidRPr="008D558F" w:rsidRDefault="009D3673" w:rsidP="00267735">
      <w:pPr>
        <w:spacing w:line="360" w:lineRule="auto"/>
        <w:ind w:left="708"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a) Complejidad del </w:t>
      </w:r>
      <w:r w:rsidRPr="008D558F">
        <w:rPr>
          <w:rFonts w:ascii="Palatino Linotype" w:eastAsia="Palatino Linotype" w:hAnsi="Palatino Linotype" w:cs="Palatino Linotype"/>
        </w:rPr>
        <w:t>asunto</w:t>
      </w:r>
      <w:r w:rsidRPr="008D558F">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B84DF1" w:rsidRPr="008D558F" w:rsidRDefault="009D3673" w:rsidP="00267735">
      <w:pPr>
        <w:spacing w:line="360" w:lineRule="auto"/>
        <w:ind w:left="708"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b) Actividad Procesal del interesado. Acciones u omisiones del interesado.</w:t>
      </w:r>
    </w:p>
    <w:p w:rsidR="00AD753F" w:rsidRPr="008D558F" w:rsidRDefault="00AD753F" w:rsidP="00267735">
      <w:pPr>
        <w:spacing w:line="360" w:lineRule="auto"/>
        <w:ind w:left="708" w:right="49"/>
        <w:jc w:val="both"/>
        <w:rPr>
          <w:rFonts w:ascii="Palatino Linotype" w:eastAsia="Palatino Linotype" w:hAnsi="Palatino Linotype" w:cs="Palatino Linotype"/>
          <w:color w:val="000000"/>
        </w:rPr>
      </w:pPr>
    </w:p>
    <w:p w:rsidR="00B84DF1" w:rsidRPr="008D558F" w:rsidRDefault="009D3673" w:rsidP="00267735">
      <w:pPr>
        <w:spacing w:line="360" w:lineRule="auto"/>
        <w:ind w:left="708"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c) Conducta de la Autoridad: Las Acciones u omisiones realizadas en el procedimiento. Así como si la autoridad actuó con la debida diligencia. </w:t>
      </w:r>
    </w:p>
    <w:p w:rsidR="00AD753F" w:rsidRPr="008D558F" w:rsidRDefault="00AD753F" w:rsidP="00267735">
      <w:pPr>
        <w:spacing w:line="360" w:lineRule="auto"/>
        <w:ind w:left="708" w:right="49"/>
        <w:jc w:val="both"/>
        <w:rPr>
          <w:rFonts w:ascii="Palatino Linotype" w:eastAsia="Palatino Linotype" w:hAnsi="Palatino Linotype" w:cs="Palatino Linotype"/>
          <w:color w:val="000000"/>
        </w:rPr>
      </w:pPr>
    </w:p>
    <w:p w:rsidR="00B84DF1" w:rsidRPr="008D558F" w:rsidRDefault="009D3673" w:rsidP="00267735">
      <w:pPr>
        <w:spacing w:line="360" w:lineRule="auto"/>
        <w:ind w:left="708"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d) La afectación generada en la situación jurídica de la persona involucrada en el proceso: Violación a sus derechos humanos. </w:t>
      </w:r>
    </w:p>
    <w:p w:rsidR="00B84DF1" w:rsidRPr="008D558F" w:rsidRDefault="00B84DF1" w:rsidP="00267735">
      <w:pPr>
        <w:spacing w:line="360" w:lineRule="auto"/>
        <w:ind w:right="49"/>
        <w:jc w:val="both"/>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B84DF1" w:rsidRPr="008D558F" w:rsidRDefault="00B84DF1" w:rsidP="00267735">
      <w:pPr>
        <w:spacing w:line="360" w:lineRule="auto"/>
        <w:ind w:right="49"/>
        <w:jc w:val="both"/>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8D558F">
        <w:rPr>
          <w:rFonts w:ascii="Palatino Linotype" w:eastAsia="Palatino Linotype" w:hAnsi="Palatino Linotype" w:cs="Palatino Linotype"/>
        </w:rPr>
        <w:t>del rubro</w:t>
      </w:r>
      <w:r w:rsidRPr="008D558F">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8D558F">
        <w:rPr>
          <w:rFonts w:ascii="Palatino Linotype" w:eastAsia="Palatino Linotype" w:hAnsi="Palatino Linotype" w:cs="Palatino Linotype"/>
        </w:rPr>
        <w:t>Semanario</w:t>
      </w:r>
      <w:r w:rsidRPr="008D558F">
        <w:rPr>
          <w:rFonts w:ascii="Palatino Linotype" w:eastAsia="Palatino Linotype" w:hAnsi="Palatino Linotype" w:cs="Palatino Linotype"/>
          <w:color w:val="000000"/>
        </w:rPr>
        <w:t xml:space="preserve"> Judicial de la Federación con el registro digital 205635. </w:t>
      </w:r>
    </w:p>
    <w:p w:rsidR="00B84DF1" w:rsidRPr="008D558F" w:rsidRDefault="00B84DF1" w:rsidP="00267735">
      <w:pPr>
        <w:spacing w:line="360" w:lineRule="auto"/>
        <w:ind w:right="49"/>
        <w:jc w:val="both"/>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8D558F">
        <w:rPr>
          <w:rFonts w:ascii="Palatino Linotype" w:eastAsia="Palatino Linotype" w:hAnsi="Palatino Linotype" w:cs="Palatino Linotype"/>
          <w:color w:val="000000"/>
        </w:rPr>
        <w:lastRenderedPageBreak/>
        <w:t xml:space="preserve">los términos legales previamente establecidos por la Ley, por tratarse de causas de fuerza mayor. </w:t>
      </w:r>
    </w:p>
    <w:p w:rsidR="00B84DF1" w:rsidRPr="008D558F" w:rsidRDefault="00B84DF1" w:rsidP="00267735">
      <w:pPr>
        <w:spacing w:line="360" w:lineRule="auto"/>
        <w:ind w:right="49"/>
        <w:jc w:val="both"/>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C216E0" w:rsidRPr="008D558F" w:rsidRDefault="00C216E0" w:rsidP="00C216E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8D558F" w:rsidRDefault="009D3673" w:rsidP="00267735">
      <w:pPr>
        <w:pBdr>
          <w:top w:val="nil"/>
          <w:left w:val="nil"/>
          <w:bottom w:val="nil"/>
          <w:right w:val="nil"/>
          <w:between w:val="nil"/>
        </w:pBdr>
        <w:spacing w:line="360" w:lineRule="auto"/>
        <w:ind w:left="425" w:right="49"/>
        <w:jc w:val="both"/>
        <w:rPr>
          <w:rFonts w:ascii="Palatino Linotype" w:eastAsia="Palatino Linotype" w:hAnsi="Palatino Linotype" w:cs="Palatino Linotype"/>
          <w:i/>
          <w:color w:val="000000"/>
        </w:rPr>
      </w:pPr>
      <w:r w:rsidRPr="008D558F">
        <w:rPr>
          <w:rFonts w:ascii="Palatino Linotype" w:eastAsia="Palatino Linotype" w:hAnsi="Palatino Linotype" w:cs="Palatino Linotype"/>
          <w:i/>
          <w:color w:val="000000"/>
        </w:rPr>
        <w:t>“PLAZO RAZONABLE PARA RESOLVER. DIMENSIÓN Y EFECTOS DE ESTE CONCEPTO CUANDO SE ADUCE EXCESIVA CARGA DE TRABAJO.” consultable en el Sem</w:t>
      </w:r>
      <w:r w:rsidRPr="008D558F">
        <w:rPr>
          <w:rFonts w:ascii="Palatino Linotype" w:eastAsia="Palatino Linotype" w:hAnsi="Palatino Linotype" w:cs="Palatino Linotype"/>
          <w:i/>
        </w:rPr>
        <w:t>a</w:t>
      </w:r>
      <w:r w:rsidRPr="008D558F">
        <w:rPr>
          <w:rFonts w:ascii="Palatino Linotype" w:eastAsia="Palatino Linotype" w:hAnsi="Palatino Linotype" w:cs="Palatino Linotype"/>
          <w:i/>
          <w:color w:val="000000"/>
        </w:rPr>
        <w:t xml:space="preserve">nario Judicial de la Federación y su gaceta, con el registro digital 2002351. </w:t>
      </w:r>
    </w:p>
    <w:p w:rsidR="00B84DF1" w:rsidRPr="008D558F" w:rsidRDefault="00B84DF1" w:rsidP="00267735">
      <w:pPr>
        <w:spacing w:line="360" w:lineRule="auto"/>
        <w:ind w:left="567" w:right="49"/>
        <w:jc w:val="both"/>
        <w:rPr>
          <w:rFonts w:ascii="Palatino Linotype" w:eastAsia="Palatino Linotype" w:hAnsi="Palatino Linotype" w:cs="Palatino Linotype"/>
          <w:i/>
          <w:color w:val="000000"/>
        </w:rPr>
      </w:pPr>
    </w:p>
    <w:p w:rsidR="00B84DF1" w:rsidRPr="008D558F" w:rsidRDefault="009D3673" w:rsidP="00267735">
      <w:pPr>
        <w:pBdr>
          <w:top w:val="nil"/>
          <w:left w:val="nil"/>
          <w:bottom w:val="nil"/>
          <w:right w:val="nil"/>
          <w:between w:val="nil"/>
        </w:pBdr>
        <w:spacing w:line="360" w:lineRule="auto"/>
        <w:ind w:left="425" w:right="49"/>
        <w:jc w:val="both"/>
        <w:rPr>
          <w:rFonts w:ascii="Palatino Linotype" w:eastAsia="Palatino Linotype" w:hAnsi="Palatino Linotype" w:cs="Palatino Linotype"/>
          <w:i/>
          <w:color w:val="000000"/>
        </w:rPr>
      </w:pPr>
      <w:r w:rsidRPr="008D558F">
        <w:rPr>
          <w:rFonts w:ascii="Palatino Linotype" w:eastAsia="Palatino Linotype" w:hAnsi="Palatino Linotype" w:cs="Palatino Linotype"/>
          <w:i/>
          <w:color w:val="000000"/>
        </w:rPr>
        <w:t>“PLAZO RAZONABLE PARA RESOLVER. CONCEPTO Y ELEMENTOS QUE LO INTEGRAN A LA LUZ DEL DERECHO INTERNACIONAL DE LOS DERECHOS HUMANOS.”, visible en el Sem</w:t>
      </w:r>
      <w:r w:rsidRPr="008D558F">
        <w:rPr>
          <w:rFonts w:ascii="Palatino Linotype" w:eastAsia="Palatino Linotype" w:hAnsi="Palatino Linotype" w:cs="Palatino Linotype"/>
          <w:i/>
        </w:rPr>
        <w:t>a</w:t>
      </w:r>
      <w:r w:rsidRPr="008D558F">
        <w:rPr>
          <w:rFonts w:ascii="Palatino Linotype" w:eastAsia="Palatino Linotype" w:hAnsi="Palatino Linotype" w:cs="Palatino Linotype"/>
          <w:i/>
          <w:color w:val="000000"/>
        </w:rPr>
        <w:t xml:space="preserve">nario Judicial de la Federación y su gaceta, con el registro digital 2002350. </w:t>
      </w:r>
    </w:p>
    <w:p w:rsidR="00B84DF1" w:rsidRPr="008D558F" w:rsidRDefault="00B84DF1" w:rsidP="00267735">
      <w:pPr>
        <w:spacing w:line="360" w:lineRule="auto"/>
        <w:ind w:left="567" w:right="49"/>
        <w:jc w:val="both"/>
        <w:rPr>
          <w:rFonts w:ascii="Palatino Linotype" w:eastAsia="Palatino Linotype" w:hAnsi="Palatino Linotype" w:cs="Palatino Linotype"/>
          <w:i/>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rsidR="00B84DF1" w:rsidRPr="008D558F" w:rsidRDefault="00B84DF1" w:rsidP="00267735">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rPr>
        <w:t xml:space="preserve">Seguidamente mediante acuerdo de </w:t>
      </w:r>
      <w:r w:rsidR="00F97F2C" w:rsidRPr="008D558F">
        <w:rPr>
          <w:rFonts w:ascii="Palatino Linotype" w:eastAsia="Palatino Linotype" w:hAnsi="Palatino Linotype" w:cs="Palatino Linotype"/>
        </w:rPr>
        <w:t>fecha diecisiete de marzo del año en curso</w:t>
      </w:r>
      <w:r w:rsidRPr="008D558F">
        <w:rPr>
          <w:rFonts w:ascii="Palatino Linotype" w:eastAsia="Palatino Linotype" w:hAnsi="Palatino Linotype" w:cs="Palatino Linotype"/>
        </w:rPr>
        <w:t xml:space="preserve">, la Comisionada Ponente dictó el cierre del periodo de </w:t>
      </w:r>
      <w:r w:rsidRPr="008D558F">
        <w:rPr>
          <w:rFonts w:ascii="Palatino Linotype" w:eastAsia="Palatino Linotype" w:hAnsi="Palatino Linotype" w:cs="Palatino Linotype"/>
          <w:color w:val="000000"/>
        </w:rPr>
        <w:t>instrucción</w:t>
      </w:r>
      <w:r w:rsidRPr="008D558F">
        <w:rPr>
          <w:rFonts w:ascii="Palatino Linotype" w:eastAsia="Palatino Linotype" w:hAnsi="Palatino Linotype" w:cs="Palatino Linotype"/>
        </w:rPr>
        <w:t xml:space="preserve"> y, ordenó la resolución que conforme a Derecho proceda, de acuerdo a las siguientes:</w:t>
      </w:r>
    </w:p>
    <w:p w:rsidR="00B84DF1" w:rsidRPr="008D558F" w:rsidRDefault="00B84DF1" w:rsidP="00267735">
      <w:pPr>
        <w:pBdr>
          <w:top w:val="nil"/>
          <w:left w:val="nil"/>
          <w:bottom w:val="nil"/>
          <w:right w:val="nil"/>
          <w:between w:val="nil"/>
        </w:pBdr>
        <w:spacing w:line="360" w:lineRule="auto"/>
        <w:ind w:left="720" w:right="49"/>
        <w:rPr>
          <w:rFonts w:ascii="Palatino Linotype" w:eastAsia="Palatino Linotype" w:hAnsi="Palatino Linotype" w:cs="Palatino Linotype"/>
          <w:b/>
          <w:color w:val="000000"/>
        </w:rPr>
      </w:pPr>
    </w:p>
    <w:p w:rsidR="00B84DF1" w:rsidRPr="008D558F" w:rsidRDefault="009D3673" w:rsidP="00267735">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8D558F">
        <w:rPr>
          <w:rFonts w:ascii="Palatino Linotype" w:eastAsia="Palatino Linotype" w:hAnsi="Palatino Linotype" w:cs="Palatino Linotype"/>
          <w:b/>
          <w:color w:val="000000"/>
        </w:rPr>
        <w:t>C O N S I D E R A C I O N E S</w:t>
      </w:r>
    </w:p>
    <w:p w:rsidR="00B84DF1" w:rsidRPr="008D558F" w:rsidRDefault="00B84DF1" w:rsidP="00267735">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p>
    <w:p w:rsidR="00B84DF1" w:rsidRPr="008D558F" w:rsidRDefault="009D3673" w:rsidP="00267735">
      <w:pPr>
        <w:pStyle w:val="Ttulo2"/>
        <w:spacing w:before="0" w:line="360" w:lineRule="auto"/>
        <w:ind w:right="49"/>
        <w:rPr>
          <w:rFonts w:ascii="Palatino Linotype" w:eastAsia="Palatino Linotype" w:hAnsi="Palatino Linotype" w:cs="Palatino Linotype"/>
          <w:b/>
          <w:color w:val="000000"/>
          <w:sz w:val="24"/>
          <w:szCs w:val="24"/>
        </w:rPr>
      </w:pPr>
      <w:bookmarkStart w:id="5" w:name="_heading=h.3znysh7" w:colFirst="0" w:colLast="0"/>
      <w:bookmarkEnd w:id="5"/>
      <w:r w:rsidRPr="008D558F">
        <w:rPr>
          <w:rFonts w:ascii="Palatino Linotype" w:eastAsia="Palatino Linotype" w:hAnsi="Palatino Linotype" w:cs="Palatino Linotype"/>
          <w:b/>
          <w:color w:val="000000"/>
          <w:sz w:val="24"/>
          <w:szCs w:val="24"/>
        </w:rPr>
        <w:t>PRIMER</w:t>
      </w:r>
      <w:r w:rsidR="00C216E0" w:rsidRPr="008D558F">
        <w:rPr>
          <w:rFonts w:ascii="Palatino Linotype" w:eastAsia="Palatino Linotype" w:hAnsi="Palatino Linotype" w:cs="Palatino Linotype"/>
          <w:b/>
          <w:color w:val="000000"/>
          <w:sz w:val="24"/>
          <w:szCs w:val="24"/>
        </w:rPr>
        <w:t>O</w:t>
      </w:r>
      <w:r w:rsidRPr="008D558F">
        <w:rPr>
          <w:rFonts w:ascii="Palatino Linotype" w:eastAsia="Palatino Linotype" w:hAnsi="Palatino Linotype" w:cs="Palatino Linotype"/>
          <w:b/>
          <w:color w:val="000000"/>
          <w:sz w:val="24"/>
          <w:szCs w:val="24"/>
        </w:rPr>
        <w:t>. Competencia</w:t>
      </w: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535A3" w:rsidRPr="008D558F" w:rsidRDefault="006535A3" w:rsidP="0026773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8D558F" w:rsidRDefault="009D3673" w:rsidP="00267735">
      <w:pPr>
        <w:pStyle w:val="Ttulo2"/>
        <w:spacing w:before="0" w:line="360" w:lineRule="auto"/>
        <w:ind w:right="49"/>
        <w:rPr>
          <w:rFonts w:ascii="Palatino Linotype" w:eastAsia="Palatino Linotype" w:hAnsi="Palatino Linotype" w:cs="Palatino Linotype"/>
          <w:b/>
          <w:color w:val="000000"/>
          <w:sz w:val="24"/>
          <w:szCs w:val="24"/>
        </w:rPr>
      </w:pPr>
      <w:bookmarkStart w:id="6" w:name="_heading=h.2et92p0" w:colFirst="0" w:colLast="0"/>
      <w:bookmarkEnd w:id="6"/>
      <w:r w:rsidRPr="008D558F">
        <w:rPr>
          <w:rFonts w:ascii="Palatino Linotype" w:eastAsia="Palatino Linotype" w:hAnsi="Palatino Linotype" w:cs="Palatino Linotype"/>
          <w:b/>
          <w:color w:val="000000"/>
          <w:sz w:val="24"/>
          <w:szCs w:val="24"/>
        </w:rPr>
        <w:t>SEGUND</w:t>
      </w:r>
      <w:r w:rsidR="00C216E0" w:rsidRPr="008D558F">
        <w:rPr>
          <w:rFonts w:ascii="Palatino Linotype" w:eastAsia="Palatino Linotype" w:hAnsi="Palatino Linotype" w:cs="Palatino Linotype"/>
          <w:b/>
          <w:color w:val="000000"/>
          <w:sz w:val="24"/>
          <w:szCs w:val="24"/>
        </w:rPr>
        <w:t>O</w:t>
      </w:r>
      <w:r w:rsidRPr="008D558F">
        <w:rPr>
          <w:rFonts w:ascii="Palatino Linotype" w:eastAsia="Palatino Linotype" w:hAnsi="Palatino Linotype" w:cs="Palatino Linotype"/>
          <w:b/>
          <w:color w:val="000000"/>
          <w:sz w:val="24"/>
          <w:szCs w:val="24"/>
        </w:rPr>
        <w:t>. Procedencia.</w:t>
      </w: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 xml:space="preserve">Este Órgano Garante considera que el medio de impugnación reúne los requisitos de </w:t>
      </w:r>
      <w:r w:rsidRPr="008D558F">
        <w:rPr>
          <w:rFonts w:ascii="Palatino Linotype" w:eastAsia="Palatino Linotype" w:hAnsi="Palatino Linotype" w:cs="Palatino Linotype"/>
          <w:color w:val="000000"/>
        </w:rPr>
        <w:t>procedencia</w:t>
      </w:r>
      <w:r w:rsidRPr="008D558F">
        <w:rPr>
          <w:rFonts w:ascii="Palatino Linotype" w:eastAsia="Palatino Linotype" w:hAnsi="Palatino Linotype" w:cs="Palatino Linotype"/>
        </w:rPr>
        <w:t xml:space="preserve"> </w:t>
      </w:r>
      <w:r w:rsidRPr="008D558F">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México y Municipios; asimismo no se tiene conocimiento de </w:t>
      </w:r>
      <w:r w:rsidRPr="008D558F">
        <w:rPr>
          <w:rFonts w:ascii="Palatino Linotype" w:eastAsia="Palatino Linotype" w:hAnsi="Palatino Linotype" w:cs="Palatino Linotype"/>
          <w:color w:val="000000"/>
        </w:rPr>
        <w:lastRenderedPageBreak/>
        <w:t>que se encuentre en trámite algún medio de defensa presentado por el Recurrente ante otra instancia.</w:t>
      </w:r>
    </w:p>
    <w:p w:rsidR="00C216E0" w:rsidRPr="008D558F" w:rsidRDefault="00C216E0" w:rsidP="00C216E0">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Consecuencia de lo anterior, este Órgano Garante advierte que el escrito contiene las </w:t>
      </w:r>
      <w:r w:rsidRPr="008D558F">
        <w:rPr>
          <w:rFonts w:ascii="Palatino Linotype" w:eastAsia="Palatino Linotype" w:hAnsi="Palatino Linotype" w:cs="Palatino Linotype"/>
        </w:rPr>
        <w:t>formalidades</w:t>
      </w:r>
      <w:r w:rsidRPr="008D558F">
        <w:rPr>
          <w:rFonts w:ascii="Palatino Linotype" w:eastAsia="Palatino Linotype" w:hAnsi="Palatino Linotype" w:cs="Palatino Linotype"/>
          <w:color w:val="000000"/>
        </w:rPr>
        <w:t xml:space="preserve"> previstas por el artículo 180 último párrafo de la Ley de Transparencia y Acceso a la </w:t>
      </w:r>
      <w:r w:rsidRPr="008D558F">
        <w:rPr>
          <w:rFonts w:ascii="Palatino Linotype" w:eastAsia="Palatino Linotype" w:hAnsi="Palatino Linotype" w:cs="Palatino Linotype"/>
        </w:rPr>
        <w:t>Información</w:t>
      </w:r>
      <w:r w:rsidRPr="008D558F">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B84DF1" w:rsidRPr="008D558F" w:rsidRDefault="00B84DF1" w:rsidP="00267735">
      <w:pPr>
        <w:spacing w:line="360" w:lineRule="auto"/>
        <w:ind w:right="49"/>
        <w:jc w:val="both"/>
        <w:rPr>
          <w:rFonts w:ascii="Palatino Linotype" w:eastAsia="Palatino Linotype" w:hAnsi="Palatino Linotype" w:cs="Palatino Linotype"/>
        </w:rPr>
      </w:pP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B84DF1" w:rsidRPr="008D558F" w:rsidRDefault="00B84DF1" w:rsidP="00267735">
      <w:pPr>
        <w:pBdr>
          <w:top w:val="nil"/>
          <w:left w:val="nil"/>
          <w:bottom w:val="nil"/>
          <w:right w:val="nil"/>
          <w:between w:val="nil"/>
        </w:pBdr>
        <w:spacing w:line="360" w:lineRule="auto"/>
        <w:ind w:right="49"/>
        <w:rPr>
          <w:rFonts w:ascii="Palatino Linotype" w:eastAsia="Palatino Linotype" w:hAnsi="Palatino Linotype" w:cs="Palatino Linotype"/>
          <w:color w:val="000000"/>
        </w:rPr>
      </w:pPr>
    </w:p>
    <w:p w:rsidR="00B84DF1" w:rsidRPr="008D558F" w:rsidRDefault="009D3673" w:rsidP="00267735">
      <w:pPr>
        <w:pStyle w:val="Ttulo1"/>
        <w:spacing w:before="0" w:line="360" w:lineRule="auto"/>
        <w:ind w:right="49"/>
        <w:rPr>
          <w:rFonts w:ascii="Palatino Linotype" w:eastAsia="Palatino Linotype" w:hAnsi="Palatino Linotype" w:cs="Palatino Linotype"/>
          <w:b/>
          <w:color w:val="000000"/>
          <w:sz w:val="24"/>
          <w:szCs w:val="24"/>
        </w:rPr>
      </w:pPr>
      <w:bookmarkStart w:id="7" w:name="_heading=h.tyjcwt" w:colFirst="0" w:colLast="0"/>
      <w:bookmarkEnd w:id="7"/>
      <w:r w:rsidRPr="008D558F">
        <w:rPr>
          <w:rFonts w:ascii="Palatino Linotype" w:eastAsia="Palatino Linotype" w:hAnsi="Palatino Linotype" w:cs="Palatino Linotype"/>
          <w:b/>
          <w:color w:val="000000"/>
          <w:sz w:val="24"/>
          <w:szCs w:val="24"/>
        </w:rPr>
        <w:t>TERCER</w:t>
      </w:r>
      <w:r w:rsidR="00C216E0" w:rsidRPr="008D558F">
        <w:rPr>
          <w:rFonts w:ascii="Palatino Linotype" w:eastAsia="Palatino Linotype" w:hAnsi="Palatino Linotype" w:cs="Palatino Linotype"/>
          <w:b/>
          <w:color w:val="000000"/>
          <w:sz w:val="24"/>
          <w:szCs w:val="24"/>
        </w:rPr>
        <w:t>O</w:t>
      </w:r>
      <w:r w:rsidRPr="008D558F">
        <w:rPr>
          <w:rFonts w:ascii="Palatino Linotype" w:eastAsia="Palatino Linotype" w:hAnsi="Palatino Linotype" w:cs="Palatino Linotype"/>
          <w:b/>
          <w:color w:val="000000"/>
          <w:sz w:val="24"/>
          <w:szCs w:val="24"/>
        </w:rPr>
        <w:t xml:space="preserve">. </w:t>
      </w:r>
      <w:r w:rsidR="00DD370B" w:rsidRPr="008D558F">
        <w:rPr>
          <w:rFonts w:ascii="Palatino Linotype" w:eastAsia="Palatino Linotype" w:hAnsi="Palatino Linotype" w:cs="Palatino Linotype"/>
          <w:b/>
          <w:color w:val="000000"/>
          <w:sz w:val="24"/>
          <w:szCs w:val="24"/>
        </w:rPr>
        <w:t xml:space="preserve">Del planteamiento de la </w:t>
      </w:r>
      <w:r w:rsidR="00DD370B" w:rsidRPr="008D558F">
        <w:rPr>
          <w:rFonts w:ascii="Palatino Linotype" w:eastAsia="Palatino Linotype" w:hAnsi="Palatino Linotype" w:cs="Palatino Linotype"/>
          <w:b/>
          <w:i/>
          <w:color w:val="000000"/>
          <w:sz w:val="24"/>
          <w:szCs w:val="24"/>
        </w:rPr>
        <w:t>Litis</w:t>
      </w:r>
    </w:p>
    <w:p w:rsidR="00B84DF1" w:rsidRPr="008D558F" w:rsidRDefault="009D3673" w:rsidP="0026773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Se solicitó tener acceso, a la información que a continuación se simplifica:</w:t>
      </w:r>
    </w:p>
    <w:p w:rsidR="007D4A48" w:rsidRPr="008D558F" w:rsidRDefault="007D4A48" w:rsidP="0026773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7D4A48" w:rsidRPr="008D558F" w:rsidRDefault="007D4A48" w:rsidP="0026773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b/>
          <w:color w:val="000000"/>
        </w:rPr>
        <w:t>Matrices de Indicadores de Resultados (MIR) autorizadas para los ejercicios 2021 y 2022;</w:t>
      </w:r>
    </w:p>
    <w:p w:rsidR="000F1E77" w:rsidRPr="008D558F" w:rsidRDefault="000F1E77" w:rsidP="00267735">
      <w:pPr>
        <w:pBdr>
          <w:top w:val="nil"/>
          <w:left w:val="nil"/>
          <w:bottom w:val="nil"/>
          <w:right w:val="nil"/>
          <w:between w:val="nil"/>
        </w:pBdr>
        <w:spacing w:line="360" w:lineRule="auto"/>
        <w:ind w:left="1068" w:right="49"/>
        <w:jc w:val="both"/>
        <w:rPr>
          <w:rFonts w:ascii="Palatino Linotype" w:eastAsia="Palatino Linotype" w:hAnsi="Palatino Linotype" w:cs="Palatino Linotype"/>
          <w:b/>
          <w:color w:val="000000"/>
        </w:rPr>
      </w:pPr>
    </w:p>
    <w:p w:rsidR="007D4A48" w:rsidRPr="008D558F" w:rsidRDefault="007D4A48" w:rsidP="0026773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b/>
          <w:color w:val="000000"/>
        </w:rPr>
        <w:t>Las MIR al final del ejercicio, donde se observen, de manera evolutiva cada una de las adecuaciones;</w:t>
      </w:r>
      <w:r w:rsidR="00267735" w:rsidRPr="008D558F">
        <w:rPr>
          <w:rFonts w:ascii="Palatino Linotype" w:eastAsia="Palatino Linotype" w:hAnsi="Palatino Linotype" w:cs="Palatino Linotype"/>
          <w:b/>
          <w:color w:val="000000"/>
        </w:rPr>
        <w:t xml:space="preserve"> y</w:t>
      </w:r>
    </w:p>
    <w:p w:rsidR="003D2130" w:rsidRPr="008D558F" w:rsidRDefault="003D2130" w:rsidP="00267735">
      <w:pPr>
        <w:pBdr>
          <w:top w:val="nil"/>
          <w:left w:val="nil"/>
          <w:bottom w:val="nil"/>
          <w:right w:val="nil"/>
          <w:between w:val="nil"/>
        </w:pBdr>
        <w:spacing w:line="360" w:lineRule="auto"/>
        <w:ind w:left="1068" w:right="49"/>
        <w:jc w:val="both"/>
        <w:rPr>
          <w:rFonts w:ascii="Palatino Linotype" w:eastAsia="Palatino Linotype" w:hAnsi="Palatino Linotype" w:cs="Palatino Linotype"/>
          <w:b/>
          <w:color w:val="000000"/>
        </w:rPr>
      </w:pPr>
    </w:p>
    <w:p w:rsidR="00B84DF1" w:rsidRPr="008D558F" w:rsidRDefault="003D2130" w:rsidP="0026773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b/>
          <w:color w:val="000000"/>
        </w:rPr>
        <w:lastRenderedPageBreak/>
        <w:t>S</w:t>
      </w:r>
      <w:r w:rsidR="007D4A48" w:rsidRPr="008D558F">
        <w:rPr>
          <w:rFonts w:ascii="Palatino Linotype" w:eastAsia="Palatino Linotype" w:hAnsi="Palatino Linotype" w:cs="Palatino Linotype"/>
          <w:b/>
          <w:color w:val="000000"/>
        </w:rPr>
        <w:t>olicitudes por parte de las dependencias y las autorizaciones por parte de la Dirección General durante la estancia en esa dependencia por parte de la C. Luz María Cuero Hernández, Directora adscrita a la Dirección General de Evaluación del Desempeño Institucional de la Secretaría de Finanzas</w:t>
      </w:r>
    </w:p>
    <w:p w:rsidR="00B84DF1" w:rsidRPr="008D558F" w:rsidRDefault="00B84DF1" w:rsidP="00267735">
      <w:pPr>
        <w:pBdr>
          <w:top w:val="nil"/>
          <w:left w:val="nil"/>
          <w:bottom w:val="nil"/>
          <w:right w:val="nil"/>
          <w:between w:val="nil"/>
        </w:pBdr>
        <w:spacing w:line="360" w:lineRule="auto"/>
        <w:ind w:left="778" w:right="49"/>
        <w:jc w:val="both"/>
        <w:rPr>
          <w:rFonts w:ascii="Palatino Linotype" w:eastAsia="Palatino Linotype" w:hAnsi="Palatino Linotype" w:cs="Palatino Linotype"/>
          <w:b/>
          <w:color w:val="000000"/>
        </w:rPr>
      </w:pPr>
    </w:p>
    <w:p w:rsidR="00B84DF1" w:rsidRPr="008D558F" w:rsidRDefault="009D3673" w:rsidP="00267735">
      <w:pPr>
        <w:numPr>
          <w:ilvl w:val="0"/>
          <w:numId w:val="1"/>
        </w:numPr>
        <w:spacing w:line="360" w:lineRule="auto"/>
        <w:ind w:left="0" w:right="49" w:firstLine="0"/>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rPr>
        <w:t>En respuesta, el Sujeto Obligado</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 xml:space="preserve">remitió el oficio ya descrito en el </w:t>
      </w:r>
      <w:r w:rsidR="003D2130" w:rsidRPr="008D558F">
        <w:rPr>
          <w:rFonts w:ascii="Palatino Linotype" w:eastAsia="Palatino Linotype" w:hAnsi="Palatino Linotype" w:cs="Palatino Linotype"/>
        </w:rPr>
        <w:t xml:space="preserve">anterior </w:t>
      </w:r>
      <w:r w:rsidRPr="008D558F">
        <w:rPr>
          <w:rFonts w:ascii="Palatino Linotype" w:eastAsia="Palatino Linotype" w:hAnsi="Palatino Linotype" w:cs="Palatino Linotype"/>
        </w:rPr>
        <w:t>párrafo 2. Inconforme con la respuesta, se interpuso recurso de revisión argumentando de manera general la negativa de entrega de la información.</w:t>
      </w:r>
    </w:p>
    <w:p w:rsidR="00B84DF1" w:rsidRPr="008D558F" w:rsidRDefault="00B84DF1" w:rsidP="00267735">
      <w:pPr>
        <w:spacing w:line="360" w:lineRule="auto"/>
        <w:ind w:right="49"/>
        <w:jc w:val="both"/>
        <w:rPr>
          <w:rFonts w:ascii="Palatino Linotype" w:eastAsia="Palatino Linotype" w:hAnsi="Palatino Linotype" w:cs="Palatino Linotype"/>
          <w:i/>
          <w:color w:val="000000"/>
        </w:rPr>
      </w:pPr>
    </w:p>
    <w:p w:rsidR="00B84DF1" w:rsidRPr="008D558F" w:rsidRDefault="009D3673"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de la Ley de Transparencia y Acceso a la Información Pública del Estado de</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México</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y</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 xml:space="preserve">Municipios; </w:t>
      </w:r>
      <w:r w:rsidRPr="008D558F">
        <w:rPr>
          <w:rFonts w:ascii="Palatino Linotype" w:eastAsia="Palatino Linotype" w:hAnsi="Palatino Linotype" w:cs="Palatino Linotype"/>
          <w:color w:val="000000"/>
        </w:rPr>
        <w:t>fracción que determina la negativa de entrega de la información solicitada</w:t>
      </w:r>
      <w:r w:rsidR="003D2130" w:rsidRPr="008D558F">
        <w:rPr>
          <w:rFonts w:ascii="Palatino Linotype" w:eastAsia="Palatino Linotype" w:hAnsi="Palatino Linotype" w:cs="Palatino Linotype"/>
          <w:color w:val="000000"/>
        </w:rPr>
        <w:t xml:space="preserve"> por no atenderse conforme a lo solicitado</w:t>
      </w:r>
      <w:r w:rsidRPr="008D558F">
        <w:rPr>
          <w:rFonts w:ascii="Palatino Linotype" w:eastAsia="Palatino Linotype" w:hAnsi="Palatino Linotype" w:cs="Palatino Linotype"/>
        </w:rPr>
        <w:t>.</w:t>
      </w:r>
      <w:r w:rsidR="003D2130" w:rsidRPr="008D558F">
        <w:rPr>
          <w:rFonts w:ascii="Palatino Linotype" w:eastAsia="Palatino Linotype" w:hAnsi="Palatino Linotype" w:cs="Palatino Linotype"/>
          <w:color w:val="000000"/>
        </w:rPr>
        <w:t xml:space="preserve"> De modo tal que el presente R</w:t>
      </w:r>
      <w:r w:rsidRPr="008D558F">
        <w:rPr>
          <w:rFonts w:ascii="Palatino Linotype" w:eastAsia="Palatino Linotype" w:hAnsi="Palatino Linotype" w:cs="Palatino Linotype"/>
          <w:color w:val="000000"/>
        </w:rPr>
        <w:t xml:space="preserve">ecurso de </w:t>
      </w:r>
      <w:r w:rsidR="003D2130" w:rsidRPr="008D558F">
        <w:rPr>
          <w:rFonts w:ascii="Palatino Linotype" w:eastAsia="Palatino Linotype" w:hAnsi="Palatino Linotype" w:cs="Palatino Linotype"/>
          <w:color w:val="000000"/>
        </w:rPr>
        <w:t>R</w:t>
      </w:r>
      <w:r w:rsidRPr="008D558F">
        <w:rPr>
          <w:rFonts w:ascii="Palatino Linotype" w:eastAsia="Palatino Linotype" w:hAnsi="Palatino Linotype" w:cs="Palatino Linotype"/>
          <w:color w:val="000000"/>
        </w:rPr>
        <w:t xml:space="preserve">evisión se </w:t>
      </w:r>
      <w:r w:rsidRPr="008D558F">
        <w:rPr>
          <w:rFonts w:ascii="Palatino Linotype" w:eastAsia="Palatino Linotype" w:hAnsi="Palatino Linotype" w:cs="Palatino Linotype"/>
        </w:rPr>
        <w:t>abocará</w:t>
      </w:r>
      <w:r w:rsidRPr="008D558F">
        <w:rPr>
          <w:rFonts w:ascii="Palatino Linotype" w:eastAsia="Palatino Linotype" w:hAnsi="Palatino Linotype" w:cs="Palatino Linotype"/>
          <w:color w:val="000000"/>
        </w:rPr>
        <w:t xml:space="preserve"> en determinar si el Sujeto Obligado con su respuesta ciertamente actualiza la causal de procedencia</w:t>
      </w:r>
      <w:r w:rsidRPr="008D558F">
        <w:rPr>
          <w:rFonts w:ascii="Palatino Linotype" w:eastAsia="Palatino Linotype" w:hAnsi="Palatino Linotype" w:cs="Palatino Linotype"/>
          <w:b/>
          <w:color w:val="000000"/>
        </w:rPr>
        <w:t xml:space="preserve"> </w:t>
      </w:r>
      <w:r w:rsidRPr="008D558F">
        <w:rPr>
          <w:rFonts w:ascii="Palatino Linotype" w:eastAsia="Palatino Linotype" w:hAnsi="Palatino Linotype" w:cs="Palatino Linotype"/>
          <w:color w:val="000000"/>
        </w:rPr>
        <w:t>señalada.</w:t>
      </w:r>
    </w:p>
    <w:p w:rsidR="00B84DF1" w:rsidRPr="008D558F" w:rsidRDefault="00B84DF1" w:rsidP="00267735">
      <w:pPr>
        <w:spacing w:line="360" w:lineRule="auto"/>
        <w:ind w:right="49"/>
        <w:rPr>
          <w:rFonts w:ascii="Palatino Linotype" w:eastAsia="Palatino Linotype" w:hAnsi="Palatino Linotype" w:cs="Palatino Linotype"/>
        </w:rPr>
      </w:pPr>
    </w:p>
    <w:p w:rsidR="00DD370B" w:rsidRPr="008D558F" w:rsidRDefault="00DD370B" w:rsidP="00267735">
      <w:pPr>
        <w:pStyle w:val="Ttulo1"/>
        <w:spacing w:before="0" w:line="360" w:lineRule="auto"/>
        <w:ind w:right="49"/>
        <w:rPr>
          <w:rFonts w:ascii="Palatino Linotype" w:eastAsia="Palatino Linotype" w:hAnsi="Palatino Linotype" w:cs="Palatino Linotype"/>
          <w:b/>
          <w:color w:val="000000"/>
          <w:sz w:val="24"/>
          <w:szCs w:val="24"/>
        </w:rPr>
      </w:pPr>
      <w:r w:rsidRPr="008D558F">
        <w:rPr>
          <w:rFonts w:ascii="Palatino Linotype" w:eastAsia="Palatino Linotype" w:hAnsi="Palatino Linotype" w:cs="Palatino Linotype"/>
          <w:b/>
          <w:color w:val="000000"/>
          <w:sz w:val="24"/>
          <w:szCs w:val="24"/>
        </w:rPr>
        <w:t>CUARTO. Estudio y resolución</w:t>
      </w:r>
    </w:p>
    <w:p w:rsidR="00B84DF1" w:rsidRPr="008D558F" w:rsidRDefault="009D3673" w:rsidP="00267735">
      <w:pPr>
        <w:numPr>
          <w:ilvl w:val="0"/>
          <w:numId w:val="1"/>
        </w:numPr>
        <w:spacing w:line="360" w:lineRule="auto"/>
        <w:ind w:left="0" w:right="49" w:firstLine="0"/>
        <w:jc w:val="both"/>
        <w:rPr>
          <w:rFonts w:ascii="Palatino Linotype" w:eastAsia="Palatino Linotype" w:hAnsi="Palatino Linotype" w:cs="Palatino Linotype"/>
        </w:rPr>
      </w:pPr>
      <w:bookmarkStart w:id="8" w:name="_heading=h.3dy6vkm" w:colFirst="0" w:colLast="0"/>
      <w:bookmarkEnd w:id="8"/>
      <w:r w:rsidRPr="008D558F">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w:t>
      </w:r>
      <w:r w:rsidRPr="008D558F">
        <w:rPr>
          <w:rFonts w:ascii="Palatino Linotype" w:eastAsia="Palatino Linotype" w:hAnsi="Palatino Linotype" w:cs="Palatino Linotype"/>
        </w:rPr>
        <w:lastRenderedPageBreak/>
        <w:t>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55B77" w:rsidRPr="008D558F" w:rsidRDefault="00655B77" w:rsidP="00267735">
      <w:pPr>
        <w:spacing w:line="360" w:lineRule="auto"/>
        <w:ind w:right="49"/>
        <w:jc w:val="both"/>
        <w:rPr>
          <w:rFonts w:ascii="Palatino Linotype" w:eastAsia="Palatino Linotype" w:hAnsi="Palatino Linotype" w:cs="Palatino Linotype"/>
        </w:rPr>
      </w:pPr>
    </w:p>
    <w:p w:rsidR="00B84DF1" w:rsidRPr="008D558F" w:rsidRDefault="009D3673"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D2130" w:rsidRPr="008D558F" w:rsidRDefault="003D2130" w:rsidP="00267735">
      <w:pPr>
        <w:pStyle w:val="Prrafodelista"/>
        <w:spacing w:line="360" w:lineRule="auto"/>
        <w:rPr>
          <w:rFonts w:ascii="Palatino Linotype" w:eastAsia="Palatino Linotype" w:hAnsi="Palatino Linotype" w:cs="Palatino Linotype"/>
        </w:rPr>
      </w:pPr>
    </w:p>
    <w:p w:rsidR="00B84DF1" w:rsidRPr="008D558F" w:rsidRDefault="009D3673"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435EA5" w:rsidRPr="008D558F" w:rsidRDefault="00435EA5" w:rsidP="00267735">
      <w:pPr>
        <w:pStyle w:val="Prrafodelista"/>
        <w:spacing w:line="360" w:lineRule="auto"/>
        <w:rPr>
          <w:rFonts w:ascii="Palatino Linotype" w:eastAsia="Palatino Linotype" w:hAnsi="Palatino Linotype" w:cs="Palatino Linotype"/>
        </w:rPr>
      </w:pPr>
    </w:p>
    <w:p w:rsidR="00B84DF1" w:rsidRPr="008D558F" w:rsidRDefault="009D3673"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lastRenderedPageBreak/>
        <w:t xml:space="preserve">Acotado lo anterior, es dable traer a contexto </w:t>
      </w:r>
      <w:r w:rsidR="00120600" w:rsidRPr="008D558F">
        <w:rPr>
          <w:rFonts w:ascii="Palatino Linotype" w:eastAsia="Palatino Linotype" w:hAnsi="Palatino Linotype" w:cs="Palatino Linotype"/>
        </w:rPr>
        <w:t xml:space="preserve">las respuestas emitida a efecto de determinar si se colma o no el derecho de acceso a la información del hoy </w:t>
      </w:r>
      <w:r w:rsidR="00120600" w:rsidRPr="008D558F">
        <w:rPr>
          <w:rFonts w:ascii="Palatino Linotype" w:eastAsia="Palatino Linotype" w:hAnsi="Palatino Linotype" w:cs="Palatino Linotype"/>
          <w:b/>
        </w:rPr>
        <w:t>RECURRENTE</w:t>
      </w:r>
      <w:r w:rsidR="00120600" w:rsidRPr="008D558F">
        <w:rPr>
          <w:rFonts w:ascii="Palatino Linotype" w:eastAsia="Palatino Linotype" w:hAnsi="Palatino Linotype" w:cs="Palatino Linotype"/>
        </w:rPr>
        <w:t xml:space="preserve">, </w:t>
      </w:r>
    </w:p>
    <w:p w:rsidR="00120600" w:rsidRPr="008D558F" w:rsidRDefault="00120600" w:rsidP="00267735">
      <w:pPr>
        <w:spacing w:line="360" w:lineRule="auto"/>
        <w:ind w:right="49"/>
        <w:jc w:val="both"/>
        <w:rPr>
          <w:rFonts w:ascii="Palatino Linotype" w:eastAsia="Palatino Linotype" w:hAnsi="Palatino Linotype" w:cs="Palatino Linotype"/>
        </w:rPr>
      </w:pPr>
    </w:p>
    <w:tbl>
      <w:tblPr>
        <w:tblStyle w:val="Tablaconcuadrcula"/>
        <w:tblW w:w="0" w:type="auto"/>
        <w:tblLayout w:type="fixed"/>
        <w:tblLook w:val="04A0" w:firstRow="1" w:lastRow="0" w:firstColumn="1" w:lastColumn="0" w:noHBand="0" w:noVBand="1"/>
      </w:tblPr>
      <w:tblGrid>
        <w:gridCol w:w="2405"/>
        <w:gridCol w:w="4543"/>
        <w:gridCol w:w="1880"/>
      </w:tblGrid>
      <w:tr w:rsidR="00120600" w:rsidRPr="008D558F" w:rsidTr="00681C04">
        <w:tc>
          <w:tcPr>
            <w:tcW w:w="2405" w:type="dxa"/>
          </w:tcPr>
          <w:p w:rsidR="00120600" w:rsidRPr="008D558F" w:rsidRDefault="00120600"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Solicitud</w:t>
            </w:r>
          </w:p>
        </w:tc>
        <w:tc>
          <w:tcPr>
            <w:tcW w:w="4543" w:type="dxa"/>
          </w:tcPr>
          <w:p w:rsidR="00120600" w:rsidRPr="008D558F" w:rsidRDefault="00120600"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Respuesta</w:t>
            </w:r>
          </w:p>
        </w:tc>
        <w:tc>
          <w:tcPr>
            <w:tcW w:w="1880" w:type="dxa"/>
          </w:tcPr>
          <w:p w:rsidR="00120600" w:rsidRPr="008D558F" w:rsidRDefault="00120600"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Cumplimiento</w:t>
            </w:r>
          </w:p>
        </w:tc>
      </w:tr>
      <w:tr w:rsidR="00120600" w:rsidRPr="008D558F" w:rsidTr="00681C04">
        <w:tc>
          <w:tcPr>
            <w:tcW w:w="2405" w:type="dxa"/>
          </w:tcPr>
          <w:p w:rsidR="00120600" w:rsidRPr="008D558F" w:rsidRDefault="00120600" w:rsidP="00267735">
            <w:pPr>
              <w:spacing w:line="360" w:lineRule="auto"/>
              <w:ind w:right="51"/>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Matrices de Indicadores de Resultados (MIR) autorizadas para los ejercicios 2021 y 2022.</w:t>
            </w:r>
          </w:p>
          <w:p w:rsidR="00120600" w:rsidRPr="008D558F" w:rsidRDefault="00120600" w:rsidP="00267735">
            <w:pPr>
              <w:spacing w:line="360" w:lineRule="auto"/>
              <w:ind w:right="51"/>
              <w:jc w:val="both"/>
              <w:rPr>
                <w:rFonts w:ascii="Palatino Linotype" w:eastAsia="Palatino Linotype" w:hAnsi="Palatino Linotype" w:cs="Palatino Linotype"/>
              </w:rPr>
            </w:pPr>
          </w:p>
        </w:tc>
        <w:tc>
          <w:tcPr>
            <w:tcW w:w="4543" w:type="dxa"/>
          </w:tcPr>
          <w:p w:rsidR="00120600" w:rsidRPr="008D558F" w:rsidRDefault="00120600"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Se refiere que las MIR autorizadas para los ejercicios 2021 y 2022, publicadas y disponibles para su consulta en el siguiente enlace:</w:t>
            </w:r>
          </w:p>
          <w:p w:rsidR="00120600" w:rsidRPr="008D558F" w:rsidRDefault="00120600" w:rsidP="00267735">
            <w:pPr>
              <w:spacing w:line="360" w:lineRule="auto"/>
              <w:ind w:right="49"/>
              <w:jc w:val="both"/>
              <w:rPr>
                <w:rFonts w:ascii="Palatino Linotype" w:eastAsia="Palatino Linotype" w:hAnsi="Palatino Linotype" w:cs="Palatino Linotype"/>
              </w:rPr>
            </w:pPr>
          </w:p>
          <w:p w:rsidR="00120600" w:rsidRPr="008D558F" w:rsidRDefault="00120600"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https://transparenciafiscal.edomex.gob.mx/MIR</w:t>
            </w:r>
          </w:p>
        </w:tc>
        <w:tc>
          <w:tcPr>
            <w:tcW w:w="1880" w:type="dxa"/>
          </w:tcPr>
          <w:p w:rsidR="00120600" w:rsidRPr="008D558F" w:rsidRDefault="00120600"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Colma</w:t>
            </w:r>
          </w:p>
        </w:tc>
      </w:tr>
    </w:tbl>
    <w:p w:rsidR="00120600" w:rsidRPr="008D558F" w:rsidRDefault="00120600" w:rsidP="00267735">
      <w:pPr>
        <w:spacing w:line="360" w:lineRule="auto"/>
        <w:ind w:right="49"/>
        <w:jc w:val="both"/>
        <w:rPr>
          <w:rFonts w:ascii="Palatino Linotype" w:eastAsia="Palatino Linotype" w:hAnsi="Palatino Linotype" w:cs="Palatino Linotype"/>
        </w:rPr>
      </w:pPr>
    </w:p>
    <w:p w:rsidR="00CC616B" w:rsidRPr="008D558F" w:rsidRDefault="00120600"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Como se desprende</w:t>
      </w:r>
      <w:r w:rsidR="00681C04" w:rsidRPr="008D558F">
        <w:rPr>
          <w:rFonts w:ascii="Palatino Linotype" w:eastAsia="Palatino Linotype" w:hAnsi="Palatino Linotype" w:cs="Palatino Linotype"/>
        </w:rPr>
        <w:t xml:space="preserve"> del cuadro de referencia, se </w:t>
      </w:r>
      <w:r w:rsidR="00CF698F" w:rsidRPr="008D558F">
        <w:rPr>
          <w:rFonts w:ascii="Palatino Linotype" w:eastAsia="Palatino Linotype" w:hAnsi="Palatino Linotype" w:cs="Palatino Linotype"/>
        </w:rPr>
        <w:t xml:space="preserve">tuvo por colmado el rubro en comento; toda vez que si bien es cierto en la respuesta inicial se entregó el enlace en un formato cerrado, consecuentemente en un dato cerrado que no permitía acceder al contenido del enlace de manera directa, también lo es </w:t>
      </w:r>
      <w:r w:rsidR="008311D3" w:rsidRPr="008D558F">
        <w:rPr>
          <w:rFonts w:ascii="Palatino Linotype" w:eastAsia="Palatino Linotype" w:hAnsi="Palatino Linotype" w:cs="Palatino Linotype"/>
        </w:rPr>
        <w:t xml:space="preserve">en un hecho posterior a la interposición del Recurso de Revisión en la etapa de manifestaciones se remitió un archivo en formato </w:t>
      </w:r>
      <w:r w:rsidR="008311D3" w:rsidRPr="008D558F">
        <w:rPr>
          <w:rFonts w:ascii="Palatino Linotype" w:eastAsia="Palatino Linotype" w:hAnsi="Palatino Linotype" w:cs="Palatino Linotype"/>
          <w:i/>
        </w:rPr>
        <w:t>docx</w:t>
      </w:r>
      <w:r w:rsidR="008311D3" w:rsidRPr="008D558F">
        <w:rPr>
          <w:rFonts w:ascii="Palatino Linotype" w:eastAsia="Palatino Linotype" w:hAnsi="Palatino Linotype" w:cs="Palatino Linotype"/>
        </w:rPr>
        <w:t xml:space="preserve"> (Word), del cual se advertía el enlace en </w:t>
      </w:r>
      <w:r w:rsidR="00CC616B" w:rsidRPr="008D558F">
        <w:rPr>
          <w:rFonts w:ascii="Palatino Linotype" w:eastAsia="Palatino Linotype" w:hAnsi="Palatino Linotype" w:cs="Palatino Linotype"/>
        </w:rPr>
        <w:t>datos abiertos, que corresponden aquellos que están disponibles para su libre acceso y uso por parte de cualquier persona, con tan solo dar un clic como lo es en el caso de enlaces; en todo caso los datos cerrados están restringidos para su uso inmediato y directo.</w:t>
      </w:r>
    </w:p>
    <w:p w:rsidR="00CC616B" w:rsidRPr="008D558F" w:rsidRDefault="00CC616B" w:rsidP="00267735">
      <w:pPr>
        <w:pBdr>
          <w:top w:val="nil"/>
          <w:left w:val="nil"/>
          <w:bottom w:val="nil"/>
          <w:right w:val="nil"/>
          <w:between w:val="nil"/>
        </w:pBdr>
        <w:spacing w:line="360" w:lineRule="auto"/>
        <w:ind w:left="720" w:right="-592"/>
        <w:rPr>
          <w:rFonts w:ascii="Palatino Linotype" w:eastAsia="Palatino Linotype" w:hAnsi="Palatino Linotype" w:cs="Palatino Linotype"/>
          <w:b/>
          <w:color w:val="000000"/>
        </w:rPr>
      </w:pPr>
    </w:p>
    <w:p w:rsidR="00CC616B" w:rsidRPr="008D558F" w:rsidRDefault="00CC616B"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lastRenderedPageBreak/>
        <w:t>En ese sentido, de conformidad a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C216E0" w:rsidRPr="008D558F" w:rsidRDefault="00C216E0" w:rsidP="00C216E0">
      <w:pPr>
        <w:spacing w:line="360" w:lineRule="auto"/>
        <w:ind w:right="49"/>
        <w:jc w:val="both"/>
        <w:rPr>
          <w:rFonts w:ascii="Palatino Linotype" w:eastAsia="Palatino Linotype" w:hAnsi="Palatino Linotype" w:cs="Palatino Linotype"/>
        </w:rPr>
      </w:pPr>
    </w:p>
    <w:p w:rsidR="00CC616B" w:rsidRPr="008D558F" w:rsidRDefault="00CC616B" w:rsidP="00267735">
      <w:pPr>
        <w:spacing w:line="360" w:lineRule="auto"/>
        <w:ind w:left="426" w:right="-25"/>
        <w:jc w:val="both"/>
        <w:rPr>
          <w:rFonts w:ascii="Palatino Linotype" w:eastAsia="Palatino Linotype" w:hAnsi="Palatino Linotype" w:cs="Palatino Linotype"/>
          <w:i/>
        </w:rPr>
      </w:pPr>
      <w:r w:rsidRPr="008D558F">
        <w:rPr>
          <w:rFonts w:ascii="Palatino Linotype" w:eastAsia="Palatino Linotype" w:hAnsi="Palatino Linotype" w:cs="Palatino Linotype"/>
          <w:i/>
        </w:rPr>
        <w:t>“Artículo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rsidR="00CC616B" w:rsidRPr="008D558F" w:rsidRDefault="00CC616B" w:rsidP="00267735">
      <w:pPr>
        <w:spacing w:line="360" w:lineRule="auto"/>
        <w:ind w:left="426" w:right="-25"/>
        <w:jc w:val="both"/>
        <w:rPr>
          <w:rFonts w:ascii="Palatino Linotype" w:eastAsia="Palatino Linotype" w:hAnsi="Palatino Linotype" w:cs="Palatino Linotype"/>
          <w:i/>
        </w:rPr>
      </w:pPr>
      <w:r w:rsidRPr="008D558F">
        <w:rPr>
          <w:rFonts w:ascii="Palatino Linotype" w:eastAsia="Palatino Linotype" w:hAnsi="Palatino Linotype" w:cs="Palatino Linotype"/>
          <w:i/>
        </w:rPr>
        <w:t>[…]</w:t>
      </w:r>
    </w:p>
    <w:p w:rsidR="00CC616B" w:rsidRPr="008D558F" w:rsidRDefault="00CC616B" w:rsidP="00267735">
      <w:pPr>
        <w:spacing w:line="360" w:lineRule="auto"/>
        <w:ind w:left="426" w:right="-25"/>
        <w:jc w:val="both"/>
        <w:rPr>
          <w:rFonts w:ascii="Palatino Linotype" w:eastAsia="Palatino Linotype" w:hAnsi="Palatino Linotype" w:cs="Palatino Linotype"/>
          <w:i/>
        </w:rPr>
      </w:pPr>
    </w:p>
    <w:p w:rsidR="00CC616B" w:rsidRPr="008D558F" w:rsidRDefault="00CC616B" w:rsidP="00267735">
      <w:pPr>
        <w:spacing w:line="360" w:lineRule="auto"/>
        <w:ind w:left="426" w:right="-25"/>
        <w:jc w:val="both"/>
        <w:rPr>
          <w:rFonts w:ascii="Palatino Linotype" w:eastAsia="Palatino Linotype" w:hAnsi="Palatino Linotype" w:cs="Palatino Linotype"/>
          <w:i/>
        </w:rPr>
      </w:pPr>
      <w:r w:rsidRPr="008D558F">
        <w:rPr>
          <w:rFonts w:ascii="Palatino Linotype" w:eastAsia="Palatino Linotype" w:hAnsi="Palatino Linotype" w:cs="Palatino Linotype"/>
          <w:i/>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rsidR="00CC616B" w:rsidRPr="008D558F" w:rsidRDefault="00CC616B" w:rsidP="00267735">
      <w:pPr>
        <w:spacing w:line="360" w:lineRule="auto"/>
        <w:ind w:left="426" w:right="-25"/>
        <w:jc w:val="both"/>
        <w:rPr>
          <w:rFonts w:ascii="Palatino Linotype" w:eastAsia="Palatino Linotype" w:hAnsi="Palatino Linotype" w:cs="Palatino Linotype"/>
          <w:i/>
        </w:rPr>
      </w:pPr>
    </w:p>
    <w:p w:rsidR="00CC616B" w:rsidRPr="008D558F" w:rsidRDefault="00CC616B"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lastRenderedPageBreak/>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CC616B" w:rsidRPr="008D558F" w:rsidRDefault="00CC616B" w:rsidP="00267735">
      <w:pPr>
        <w:spacing w:line="360" w:lineRule="auto"/>
        <w:ind w:left="850" w:right="-592"/>
        <w:jc w:val="both"/>
        <w:rPr>
          <w:rFonts w:ascii="Palatino Linotype" w:eastAsia="Palatino Linotype" w:hAnsi="Palatino Linotype" w:cs="Palatino Linotype"/>
        </w:rPr>
      </w:pPr>
      <w:r w:rsidRPr="008D558F">
        <w:rPr>
          <w:rFonts w:ascii="Palatino Linotype" w:eastAsia="Palatino Linotype" w:hAnsi="Palatino Linotype" w:cs="Palatino Linotype"/>
        </w:rPr>
        <w:t>a.</w:t>
      </w:r>
      <w:r w:rsidRPr="008D558F">
        <w:rPr>
          <w:rFonts w:ascii="Palatino Linotype" w:eastAsia="Palatino Linotype" w:hAnsi="Palatino Linotype" w:cs="Palatino Linotype"/>
        </w:rPr>
        <w:tab/>
        <w:t>La fuente</w:t>
      </w:r>
    </w:p>
    <w:p w:rsidR="00CC616B" w:rsidRPr="008D558F" w:rsidRDefault="00CC616B" w:rsidP="00267735">
      <w:pPr>
        <w:spacing w:line="360" w:lineRule="auto"/>
        <w:ind w:left="850" w:right="-592"/>
        <w:jc w:val="both"/>
        <w:rPr>
          <w:rFonts w:ascii="Palatino Linotype" w:eastAsia="Palatino Linotype" w:hAnsi="Palatino Linotype" w:cs="Palatino Linotype"/>
        </w:rPr>
      </w:pPr>
      <w:r w:rsidRPr="008D558F">
        <w:rPr>
          <w:rFonts w:ascii="Palatino Linotype" w:eastAsia="Palatino Linotype" w:hAnsi="Palatino Linotype" w:cs="Palatino Linotype"/>
        </w:rPr>
        <w:t>b.</w:t>
      </w:r>
      <w:r w:rsidRPr="008D558F">
        <w:rPr>
          <w:rFonts w:ascii="Palatino Linotype" w:eastAsia="Palatino Linotype" w:hAnsi="Palatino Linotype" w:cs="Palatino Linotype"/>
        </w:rPr>
        <w:tab/>
        <w:t>El lugar y</w:t>
      </w:r>
    </w:p>
    <w:p w:rsidR="00CC616B" w:rsidRPr="008D558F" w:rsidRDefault="00CC616B" w:rsidP="00267735">
      <w:pPr>
        <w:spacing w:line="360" w:lineRule="auto"/>
        <w:ind w:left="850" w:right="-592"/>
        <w:jc w:val="both"/>
        <w:rPr>
          <w:rFonts w:ascii="Palatino Linotype" w:eastAsia="Palatino Linotype" w:hAnsi="Palatino Linotype" w:cs="Palatino Linotype"/>
        </w:rPr>
      </w:pPr>
      <w:r w:rsidRPr="008D558F">
        <w:rPr>
          <w:rFonts w:ascii="Palatino Linotype" w:eastAsia="Palatino Linotype" w:hAnsi="Palatino Linotype" w:cs="Palatino Linotype"/>
        </w:rPr>
        <w:t>c.</w:t>
      </w:r>
      <w:r w:rsidRPr="008D558F">
        <w:rPr>
          <w:rFonts w:ascii="Palatino Linotype" w:eastAsia="Palatino Linotype" w:hAnsi="Palatino Linotype" w:cs="Palatino Linotype"/>
        </w:rPr>
        <w:tab/>
        <w:t xml:space="preserve">La forma </w:t>
      </w:r>
    </w:p>
    <w:p w:rsidR="00CC616B" w:rsidRPr="008D558F" w:rsidRDefault="00CC616B" w:rsidP="00267735">
      <w:pPr>
        <w:spacing w:line="360" w:lineRule="auto"/>
        <w:ind w:right="-592"/>
        <w:jc w:val="both"/>
        <w:rPr>
          <w:rFonts w:ascii="Palatino Linotype" w:eastAsia="Palatino Linotype" w:hAnsi="Palatino Linotype" w:cs="Palatino Linotype"/>
        </w:rPr>
      </w:pPr>
    </w:p>
    <w:p w:rsidR="00CC616B" w:rsidRPr="008D558F" w:rsidRDefault="00CC616B"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Asimismo, se establece que la fuente de la información deberá ser:</w:t>
      </w:r>
    </w:p>
    <w:p w:rsidR="00CC616B" w:rsidRPr="008D558F" w:rsidRDefault="00CC616B" w:rsidP="00267735">
      <w:pPr>
        <w:spacing w:line="360" w:lineRule="auto"/>
        <w:ind w:left="850" w:right="-25"/>
        <w:jc w:val="both"/>
        <w:rPr>
          <w:rFonts w:ascii="Palatino Linotype" w:eastAsia="Palatino Linotype" w:hAnsi="Palatino Linotype" w:cs="Palatino Linotype"/>
        </w:rPr>
      </w:pPr>
      <w:r w:rsidRPr="008D558F">
        <w:rPr>
          <w:rFonts w:ascii="Palatino Linotype" w:eastAsia="Palatino Linotype" w:hAnsi="Palatino Linotype" w:cs="Palatino Linotype"/>
        </w:rPr>
        <w:t>a.</w:t>
      </w:r>
      <w:r w:rsidRPr="008D558F">
        <w:rPr>
          <w:rFonts w:ascii="Palatino Linotype" w:eastAsia="Palatino Linotype" w:hAnsi="Palatino Linotype" w:cs="Palatino Linotype"/>
        </w:rPr>
        <w:tab/>
        <w:t>Precisa</w:t>
      </w:r>
    </w:p>
    <w:p w:rsidR="00CC616B" w:rsidRPr="008D558F" w:rsidRDefault="00CC616B" w:rsidP="00267735">
      <w:pPr>
        <w:spacing w:line="360" w:lineRule="auto"/>
        <w:ind w:left="850" w:right="-25"/>
        <w:jc w:val="both"/>
        <w:rPr>
          <w:rFonts w:ascii="Palatino Linotype" w:eastAsia="Palatino Linotype" w:hAnsi="Palatino Linotype" w:cs="Palatino Linotype"/>
        </w:rPr>
      </w:pPr>
      <w:r w:rsidRPr="008D558F">
        <w:rPr>
          <w:rFonts w:ascii="Palatino Linotype" w:eastAsia="Palatino Linotype" w:hAnsi="Palatino Linotype" w:cs="Palatino Linotype"/>
        </w:rPr>
        <w:t>b.</w:t>
      </w:r>
      <w:r w:rsidRPr="008D558F">
        <w:rPr>
          <w:rFonts w:ascii="Palatino Linotype" w:eastAsia="Palatino Linotype" w:hAnsi="Palatino Linotype" w:cs="Palatino Linotype"/>
        </w:rPr>
        <w:tab/>
        <w:t>Concreta</w:t>
      </w:r>
    </w:p>
    <w:p w:rsidR="00CC616B" w:rsidRPr="008D558F" w:rsidRDefault="00CC616B" w:rsidP="00267735">
      <w:pPr>
        <w:spacing w:line="360" w:lineRule="auto"/>
        <w:ind w:left="850" w:right="-25"/>
        <w:jc w:val="both"/>
        <w:rPr>
          <w:rFonts w:ascii="Palatino Linotype" w:eastAsia="Palatino Linotype" w:hAnsi="Palatino Linotype" w:cs="Palatino Linotype"/>
        </w:rPr>
      </w:pPr>
      <w:r w:rsidRPr="008D558F">
        <w:rPr>
          <w:rFonts w:ascii="Palatino Linotype" w:eastAsia="Palatino Linotype" w:hAnsi="Palatino Linotype" w:cs="Palatino Linotype"/>
        </w:rPr>
        <w:t>c.</w:t>
      </w:r>
      <w:r w:rsidRPr="008D558F">
        <w:rPr>
          <w:rFonts w:ascii="Palatino Linotype" w:eastAsia="Palatino Linotype" w:hAnsi="Palatino Linotype" w:cs="Palatino Linotype"/>
        </w:rPr>
        <w:tab/>
        <w:t>Y no debe implicar que el solicitante realice una búsqueda en toda la información que se encuentre disponible.</w:t>
      </w:r>
    </w:p>
    <w:p w:rsidR="00CC616B" w:rsidRPr="008D558F" w:rsidRDefault="00CC616B" w:rsidP="00267735">
      <w:pPr>
        <w:spacing w:line="360" w:lineRule="auto"/>
        <w:ind w:right="-592"/>
        <w:jc w:val="both"/>
        <w:rPr>
          <w:rFonts w:ascii="Palatino Linotype" w:eastAsia="Palatino Linotype" w:hAnsi="Palatino Linotype" w:cs="Palatino Linotype"/>
        </w:rPr>
      </w:pPr>
    </w:p>
    <w:p w:rsidR="00CC616B" w:rsidRPr="008D558F" w:rsidRDefault="00435EA5"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1555750</wp:posOffset>
                </wp:positionV>
                <wp:extent cx="5353050" cy="139065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5353050" cy="1390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7B4A7"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22.5pt" to="427.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" strokecolor="black [3200]" strokeweight="1.5pt">
                <v:stroke joinstyle="miter"/>
              </v:line>
            </w:pict>
          </mc:Fallback>
        </mc:AlternateContent>
      </w:r>
      <w:r w:rsidR="00CC616B" w:rsidRPr="008D558F">
        <w:rPr>
          <w:rFonts w:ascii="Palatino Linotype" w:eastAsia="Palatino Linotype" w:hAnsi="Palatino Linotype" w:cs="Palatino Linotype"/>
        </w:rPr>
        <w:t>Imperativos legales que establecen el procedimiento que debe seguir el Sujeto Obligado para que pueda tomarse como válida su orientación sobre la forma en que puede consultar la información requerida, y que, en el caso en concreto, si acontece; toda vez que luego de ingresar</w:t>
      </w:r>
      <w:r w:rsidRPr="008D558F">
        <w:rPr>
          <w:rFonts w:ascii="Palatino Linotype" w:eastAsia="Palatino Linotype" w:hAnsi="Palatino Linotype" w:cs="Palatino Linotype"/>
        </w:rPr>
        <w:t xml:space="preserve"> al enlace entregado, se obtiene el resultado siguiente:</w:t>
      </w:r>
    </w:p>
    <w:p w:rsidR="00435EA5" w:rsidRPr="008D558F" w:rsidRDefault="00435EA5"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noProof/>
          <w:lang w:val="es-MX" w:eastAsia="es-MX"/>
        </w:rPr>
        <w:lastRenderedPageBreak/>
        <w:drawing>
          <wp:inline distT="0" distB="0" distL="0" distR="0" wp14:anchorId="6D7A3836" wp14:editId="3BA779CC">
            <wp:extent cx="5612130" cy="399224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992245"/>
                    </a:xfrm>
                    <a:prstGeom prst="rect">
                      <a:avLst/>
                    </a:prstGeom>
                  </pic:spPr>
                </pic:pic>
              </a:graphicData>
            </a:graphic>
          </wp:inline>
        </w:drawing>
      </w:r>
    </w:p>
    <w:p w:rsidR="00CC616B" w:rsidRPr="008D558F" w:rsidRDefault="00CC616B" w:rsidP="00267735">
      <w:pPr>
        <w:spacing w:line="360" w:lineRule="auto"/>
        <w:ind w:right="-592"/>
        <w:jc w:val="both"/>
        <w:rPr>
          <w:rFonts w:ascii="Palatino Linotype" w:eastAsia="Palatino Linotype" w:hAnsi="Palatino Linotype" w:cs="Palatino Linotype"/>
        </w:rPr>
      </w:pPr>
    </w:p>
    <w:p w:rsidR="00435EA5" w:rsidRPr="008D558F" w:rsidRDefault="00435EA5"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Como se desprende de la captura anterior, ciertamente se dirige a la Matriz de Indicadores por Resultados, que corresponden a las herramientas de planeación y evaluación utilizadas para medir el desempeño de programas, proyectos y políticas del Gobierno Estatal, las cuales permiten visualizar de manera estructurada los objetivos, indicadores, metas y medios de verificación que permiten evaluar el cumplimiento de las acciones implementadas.</w:t>
      </w:r>
    </w:p>
    <w:p w:rsidR="00435EA5" w:rsidRPr="008D558F" w:rsidRDefault="00435EA5" w:rsidP="00267735">
      <w:pPr>
        <w:spacing w:line="360" w:lineRule="auto"/>
        <w:ind w:right="-592"/>
        <w:jc w:val="both"/>
        <w:rPr>
          <w:rFonts w:ascii="Palatino Linotype" w:eastAsia="Palatino Linotype" w:hAnsi="Palatino Linotype" w:cs="Palatino Linotype"/>
        </w:rPr>
      </w:pPr>
    </w:p>
    <w:p w:rsidR="00CC616B" w:rsidRPr="008D558F" w:rsidRDefault="0023609E"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lastRenderedPageBreak/>
        <w:t>Lo anterior encuentra sustento en los dispuesto por la Constitución Política de los Estados Unidos Mexicanos</w:t>
      </w:r>
      <w:r w:rsidR="00B3387E" w:rsidRPr="008D558F">
        <w:rPr>
          <w:rFonts w:ascii="Palatino Linotype" w:eastAsia="Palatino Linotype" w:hAnsi="Palatino Linotype" w:cs="Palatino Linotype"/>
        </w:rPr>
        <w:t xml:space="preserve"> en su artículo 134, en su primer párrafo, como se muestra:</w:t>
      </w:r>
    </w:p>
    <w:p w:rsidR="00B3387E" w:rsidRPr="008D558F" w:rsidRDefault="00B3387E" w:rsidP="00267735">
      <w:pPr>
        <w:pStyle w:val="Prrafodelista"/>
        <w:spacing w:line="360" w:lineRule="auto"/>
        <w:rPr>
          <w:rFonts w:ascii="Palatino Linotype" w:eastAsia="Palatino Linotype" w:hAnsi="Palatino Linotype" w:cs="Palatino Linotype"/>
        </w:rPr>
      </w:pPr>
    </w:p>
    <w:p w:rsidR="00B3387E" w:rsidRPr="008D558F" w:rsidRDefault="00B3387E" w:rsidP="00267735">
      <w:pPr>
        <w:spacing w:line="360" w:lineRule="auto"/>
        <w:ind w:left="284" w:right="191"/>
        <w:jc w:val="both"/>
        <w:rPr>
          <w:rFonts w:ascii="Palatino Linotype" w:eastAsia="Palatino Linotype" w:hAnsi="Palatino Linotype" w:cs="Palatino Linotype"/>
          <w:i/>
        </w:rPr>
      </w:pPr>
      <w:r w:rsidRPr="008D558F">
        <w:rPr>
          <w:rFonts w:ascii="Palatino Linotype" w:eastAsia="Palatino Linotype" w:hAnsi="Palatino Linotype" w:cs="Palatino Linotype"/>
          <w:i/>
        </w:rPr>
        <w:t>“Artículo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rsidR="00B3387E" w:rsidRPr="008D558F" w:rsidRDefault="00B3387E" w:rsidP="00267735">
      <w:pPr>
        <w:spacing w:line="360" w:lineRule="auto"/>
        <w:ind w:left="284" w:right="191"/>
        <w:jc w:val="both"/>
        <w:rPr>
          <w:rFonts w:ascii="Palatino Linotype" w:eastAsia="Palatino Linotype" w:hAnsi="Palatino Linotype" w:cs="Palatino Linotype"/>
          <w:i/>
        </w:rPr>
      </w:pPr>
      <w:r w:rsidRPr="008D558F">
        <w:rPr>
          <w:rFonts w:ascii="Palatino Linotype" w:eastAsia="Palatino Linotype" w:hAnsi="Palatino Linotype" w:cs="Palatino Linotype"/>
          <w:i/>
        </w:rPr>
        <w:t>…”</w:t>
      </w:r>
    </w:p>
    <w:p w:rsidR="008311D3" w:rsidRPr="008D558F" w:rsidRDefault="008311D3" w:rsidP="00267735">
      <w:pPr>
        <w:spacing w:line="360" w:lineRule="auto"/>
        <w:ind w:right="49"/>
        <w:jc w:val="both"/>
        <w:rPr>
          <w:rFonts w:ascii="Palatino Linotype" w:eastAsia="Palatino Linotype" w:hAnsi="Palatino Linotype" w:cs="Palatino Linotype"/>
        </w:rPr>
      </w:pPr>
    </w:p>
    <w:p w:rsidR="00120600" w:rsidRPr="008D558F" w:rsidRDefault="00B21ADF"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 xml:space="preserve">Como se advierte, el precepto transcrito este artículo sienta las bases para la implementación de herramientas como la MIR, que permiten medir el desempeño de los programas públicos. </w:t>
      </w:r>
      <w:r w:rsidR="0021003A" w:rsidRPr="008D558F">
        <w:rPr>
          <w:rFonts w:ascii="Palatino Linotype" w:eastAsia="Palatino Linotype" w:hAnsi="Palatino Linotype" w:cs="Palatino Linotype"/>
        </w:rPr>
        <w:t>Seguidamente sobreviene</w:t>
      </w:r>
      <w:r w:rsidRPr="008D558F">
        <w:rPr>
          <w:rFonts w:ascii="Palatino Linotype" w:eastAsia="Palatino Linotype" w:hAnsi="Palatino Linotype" w:cs="Palatino Linotype"/>
        </w:rPr>
        <w:t xml:space="preserve"> la Ley de Planeación del Estado de México y Municipios, que en sus articulo 5 y 20, establece lo siguiente:</w:t>
      </w:r>
    </w:p>
    <w:p w:rsidR="00B21ADF" w:rsidRPr="008D558F" w:rsidRDefault="00B21ADF" w:rsidP="00267735">
      <w:pPr>
        <w:spacing w:line="360" w:lineRule="auto"/>
        <w:ind w:right="49"/>
        <w:jc w:val="both"/>
        <w:rPr>
          <w:rFonts w:ascii="Palatino Linotype" w:eastAsia="Palatino Linotype" w:hAnsi="Palatino Linotype" w:cs="Palatino Linotype"/>
        </w:rPr>
      </w:pP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t>“Artículo 5.- La planeación democrática tiene por objeto el desarrollo del Estado de México y Municipios, con pleno respeto a la soberanía estatal y a la autonomía municipal, en concordancia con los fines sociales, culturales, económicos, ambientales y políticos que establecen la Constitución Política de los Estados Unidos Mexicanos y la Constitución Política del Estado Libre y Soberano de México.</w:t>
      </w:r>
    </w:p>
    <w:p w:rsidR="0021003A" w:rsidRPr="008D558F" w:rsidRDefault="0021003A" w:rsidP="00267735">
      <w:pPr>
        <w:spacing w:line="360" w:lineRule="auto"/>
        <w:ind w:left="426" w:right="333"/>
        <w:jc w:val="both"/>
        <w:rPr>
          <w:rFonts w:ascii="Palatino Linotype" w:eastAsia="Palatino Linotype" w:hAnsi="Palatino Linotype" w:cs="Palatino Linotype"/>
          <w:i/>
        </w:rPr>
      </w:pP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t>Artículo 20.- Compete a las unidades de información, planeación, programación y evaluación, de las Dependencias en materia de planeación democrática para el desarrollo:</w:t>
      </w: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lastRenderedPageBreak/>
        <w:t>…</w:t>
      </w: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t>VI. Evaluar y dar seguimiento al cumplimiento de los convenios de coordinación y de participación, respecto de las obligaciones a su cargo;</w:t>
      </w: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t>VII. Cumplir con el Plan Nacional de Desarrollo, el Plan de Desarrollo del Estado de México, la Agenda Digital, el Plan de Desarrollo Municipal y los programas que de éstos se deriven;</w:t>
      </w: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t>VIII. Reportar periódicamente los resultados de la ejecución de los planes y programas al Comité de Planeación para el Desarrollo del Estado de México, con base en la coordinación establecida en el Sistema de Planeación Democrática para el Desarrollo del Estado de México y Municipios.</w:t>
      </w:r>
    </w:p>
    <w:p w:rsidR="0021003A" w:rsidRPr="008D558F" w:rsidRDefault="0021003A" w:rsidP="00267735">
      <w:pPr>
        <w:spacing w:line="360" w:lineRule="auto"/>
        <w:ind w:left="426" w:right="333"/>
        <w:jc w:val="both"/>
        <w:rPr>
          <w:rFonts w:ascii="Palatino Linotype" w:eastAsia="Palatino Linotype" w:hAnsi="Palatino Linotype" w:cs="Palatino Linotype"/>
          <w:i/>
        </w:rPr>
      </w:pPr>
      <w:r w:rsidRPr="008D558F">
        <w:rPr>
          <w:rFonts w:ascii="Palatino Linotype" w:eastAsia="Palatino Linotype" w:hAnsi="Palatino Linotype" w:cs="Palatino Linotype"/>
          <w:i/>
        </w:rPr>
        <w:t>…”</w:t>
      </w:r>
    </w:p>
    <w:p w:rsidR="0021003A" w:rsidRPr="008D558F" w:rsidRDefault="0021003A" w:rsidP="00267735">
      <w:pPr>
        <w:spacing w:line="360" w:lineRule="auto"/>
        <w:ind w:right="49"/>
        <w:jc w:val="both"/>
        <w:rPr>
          <w:rFonts w:ascii="Palatino Linotype" w:eastAsia="Palatino Linotype" w:hAnsi="Palatino Linotype" w:cs="Palatino Linotype"/>
        </w:rPr>
      </w:pPr>
    </w:p>
    <w:p w:rsidR="0021003A" w:rsidRPr="008D558F" w:rsidRDefault="0021003A"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Como se observa, los artículos de referencia, establecen que la planeación en el Estado de México debe incluir la definición de objetivos, estrategias, indicadores y metas, lo cual se alinea con la estructura de la MIR; y por otro lado, se señala que los programas sectoriales, institucionales y especiales deben incluir indicadores para medir su desempeño.</w:t>
      </w:r>
    </w:p>
    <w:p w:rsidR="0021003A" w:rsidRPr="008D558F" w:rsidRDefault="0021003A" w:rsidP="00267735">
      <w:pPr>
        <w:spacing w:line="360" w:lineRule="auto"/>
        <w:ind w:right="49"/>
        <w:jc w:val="both"/>
        <w:rPr>
          <w:rFonts w:ascii="Palatino Linotype" w:eastAsia="Palatino Linotype" w:hAnsi="Palatino Linotype" w:cs="Palatino Linotype"/>
        </w:rPr>
      </w:pPr>
    </w:p>
    <w:p w:rsidR="00B21ADF" w:rsidRPr="008D558F" w:rsidRDefault="004E4B9F"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Por otro lado se cuenta con el Plan de Desarrollo del Estado de México, el cual establece los objetivos, estrategias y líneas de acción que deben seguir las dependencias y entidades del gobierno estatal, siendo la MIR una herramienta que permite alinear los programas y proyectos con estos objetivos y medir su avance.</w:t>
      </w:r>
    </w:p>
    <w:p w:rsidR="004E4B9F" w:rsidRPr="008D558F" w:rsidRDefault="004E4B9F" w:rsidP="00267735">
      <w:pPr>
        <w:spacing w:line="360" w:lineRule="auto"/>
        <w:ind w:right="49"/>
        <w:jc w:val="both"/>
        <w:rPr>
          <w:rFonts w:ascii="Palatino Linotype" w:eastAsia="Palatino Linotype" w:hAnsi="Palatino Linotype" w:cs="Palatino Linotype"/>
        </w:rPr>
      </w:pPr>
    </w:p>
    <w:p w:rsidR="00B21ADF" w:rsidRPr="008D558F" w:rsidRDefault="004E4B9F"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lastRenderedPageBreak/>
        <w:t>Luego entonces, se concluye que los preceptos señalados están alineado con los principios de planeación, evaluación y transparencia establecidos en la legislación federal y estatal, lo que garantiza su uso como una herramienta clave para la gestión pública, teniendo por cumplido el rubro de referencia con el contenido en el enlace entregado, que además contempla el lapso temporal requerido por el solicitante; es decir los ejercicios 2021 y 2022.</w:t>
      </w:r>
    </w:p>
    <w:p w:rsidR="004E4B9F" w:rsidRPr="008D558F" w:rsidRDefault="004E4B9F" w:rsidP="00267735">
      <w:pPr>
        <w:pStyle w:val="Prrafodelista"/>
        <w:spacing w:line="360" w:lineRule="auto"/>
        <w:rPr>
          <w:rFonts w:ascii="Palatino Linotype" w:eastAsia="Palatino Linotype" w:hAnsi="Palatino Linotype" w:cs="Palatino Linotype"/>
        </w:rPr>
      </w:pPr>
    </w:p>
    <w:p w:rsidR="000F1E77" w:rsidRPr="008D558F" w:rsidRDefault="000F1E77"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Seguidamente, deviene el siguiente rubro de la solicitud de información:</w:t>
      </w:r>
    </w:p>
    <w:p w:rsidR="000F1E77" w:rsidRPr="008D558F" w:rsidRDefault="000F1E77" w:rsidP="00267735">
      <w:pPr>
        <w:spacing w:line="360" w:lineRule="auto"/>
        <w:ind w:right="49"/>
        <w:jc w:val="both"/>
        <w:rPr>
          <w:rFonts w:ascii="Palatino Linotype" w:eastAsia="Palatino Linotype" w:hAnsi="Palatino Linotype" w:cs="Palatino Linotype"/>
        </w:rPr>
      </w:pPr>
    </w:p>
    <w:tbl>
      <w:tblPr>
        <w:tblStyle w:val="Tablaconcuadrcula"/>
        <w:tblW w:w="0" w:type="auto"/>
        <w:tblLayout w:type="fixed"/>
        <w:tblLook w:val="04A0" w:firstRow="1" w:lastRow="0" w:firstColumn="1" w:lastColumn="0" w:noHBand="0" w:noVBand="1"/>
      </w:tblPr>
      <w:tblGrid>
        <w:gridCol w:w="2405"/>
        <w:gridCol w:w="4543"/>
        <w:gridCol w:w="1880"/>
      </w:tblGrid>
      <w:tr w:rsidR="000F1E77" w:rsidRPr="008D558F" w:rsidTr="007A402E">
        <w:tc>
          <w:tcPr>
            <w:tcW w:w="2405" w:type="dxa"/>
          </w:tcPr>
          <w:p w:rsidR="000F1E77" w:rsidRPr="008D558F" w:rsidRDefault="000F1E77"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Solicitud</w:t>
            </w:r>
          </w:p>
        </w:tc>
        <w:tc>
          <w:tcPr>
            <w:tcW w:w="4543" w:type="dxa"/>
          </w:tcPr>
          <w:p w:rsidR="000F1E77" w:rsidRPr="008D558F" w:rsidRDefault="000F1E77"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Respuesta</w:t>
            </w:r>
          </w:p>
        </w:tc>
        <w:tc>
          <w:tcPr>
            <w:tcW w:w="1880" w:type="dxa"/>
          </w:tcPr>
          <w:p w:rsidR="000F1E77" w:rsidRPr="008D558F" w:rsidRDefault="000F1E77"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Cumplimiento</w:t>
            </w:r>
          </w:p>
        </w:tc>
      </w:tr>
      <w:tr w:rsidR="000F1E77" w:rsidRPr="008D558F" w:rsidTr="007A402E">
        <w:tc>
          <w:tcPr>
            <w:tcW w:w="2405" w:type="dxa"/>
          </w:tcPr>
          <w:p w:rsidR="000F1E77" w:rsidRPr="008D558F" w:rsidRDefault="000F1E77" w:rsidP="00267735">
            <w:pPr>
              <w:spacing w:line="360" w:lineRule="auto"/>
              <w:ind w:right="51"/>
              <w:jc w:val="both"/>
              <w:rPr>
                <w:rFonts w:ascii="Palatino Linotype" w:eastAsia="Palatino Linotype" w:hAnsi="Palatino Linotype" w:cs="Palatino Linotype"/>
              </w:rPr>
            </w:pPr>
            <w:r w:rsidRPr="008D558F">
              <w:rPr>
                <w:rFonts w:ascii="Palatino Linotype" w:eastAsia="Palatino Linotype" w:hAnsi="Palatino Linotype" w:cs="Palatino Linotype"/>
                <w:color w:val="000000"/>
              </w:rPr>
              <w:t>Las MIR al final del ejercicio, donde se observen, de manera evoluti</w:t>
            </w:r>
            <w:r w:rsidR="007A402E" w:rsidRPr="008D558F">
              <w:rPr>
                <w:rFonts w:ascii="Palatino Linotype" w:eastAsia="Palatino Linotype" w:hAnsi="Palatino Linotype" w:cs="Palatino Linotype"/>
                <w:color w:val="000000"/>
              </w:rPr>
              <w:t>va cada una de las adecuaciones.</w:t>
            </w:r>
          </w:p>
        </w:tc>
        <w:tc>
          <w:tcPr>
            <w:tcW w:w="4543" w:type="dxa"/>
          </w:tcPr>
          <w:p w:rsidR="000F1E77" w:rsidRPr="008D558F" w:rsidRDefault="000F1E77"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Se refiere que las MIR autorizadas para los ejercicios 2021 y 2022, publicadas y disponibles para su consulta en el siguiente enlace:</w:t>
            </w:r>
          </w:p>
          <w:p w:rsidR="000F1E77" w:rsidRPr="008D558F" w:rsidRDefault="000F1E77" w:rsidP="00267735">
            <w:pPr>
              <w:spacing w:line="360" w:lineRule="auto"/>
              <w:ind w:right="49"/>
              <w:jc w:val="both"/>
              <w:rPr>
                <w:rFonts w:ascii="Palatino Linotype" w:eastAsia="Palatino Linotype" w:hAnsi="Palatino Linotype" w:cs="Palatino Linotype"/>
              </w:rPr>
            </w:pPr>
          </w:p>
          <w:p w:rsidR="000F1E77" w:rsidRPr="008D558F" w:rsidRDefault="000F1E77"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https://transparenciafiscal.edomex.gob.mx/MIR</w:t>
            </w:r>
          </w:p>
        </w:tc>
        <w:tc>
          <w:tcPr>
            <w:tcW w:w="1880" w:type="dxa"/>
          </w:tcPr>
          <w:p w:rsidR="000F1E77" w:rsidRPr="008D558F" w:rsidRDefault="00DC7C5B"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Parcial</w:t>
            </w:r>
          </w:p>
        </w:tc>
      </w:tr>
    </w:tbl>
    <w:p w:rsidR="00B21ADF" w:rsidRPr="008D558F" w:rsidRDefault="00B21ADF" w:rsidP="00267735">
      <w:pPr>
        <w:spacing w:line="360" w:lineRule="auto"/>
        <w:ind w:right="49"/>
        <w:jc w:val="both"/>
        <w:rPr>
          <w:rFonts w:ascii="Palatino Linotype" w:eastAsia="Palatino Linotype" w:hAnsi="Palatino Linotype" w:cs="Palatino Linotype"/>
        </w:rPr>
      </w:pPr>
    </w:p>
    <w:p w:rsidR="00DC7C5B" w:rsidRPr="008D558F" w:rsidRDefault="00DC7C5B"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 xml:space="preserve">Del rubro de referencia, se tiene por colmado parcialmente ya que si bien no existe un pronunciamiento especifico al requerimiento de mérito, debe tomarse en consideración el enlace entregado; en virtud que las MIR allí publicadas corresponden a las finales de esos ejercicios. Ahora bien en relación la </w:t>
      </w:r>
      <w:r w:rsidRPr="008D558F">
        <w:rPr>
          <w:rFonts w:ascii="Palatino Linotype" w:eastAsia="Palatino Linotype" w:hAnsi="Palatino Linotype" w:cs="Palatino Linotype"/>
          <w:color w:val="000000"/>
        </w:rPr>
        <w:t xml:space="preserve">manera evolutiva de cada una de las adecuaciones, se colige que se refiere a la entrega del soporte documental del cual se pueda analizar cómo han cambiado o se han </w:t>
      </w:r>
      <w:r w:rsidRPr="008D558F">
        <w:rPr>
          <w:rFonts w:ascii="Palatino Linotype" w:eastAsia="Palatino Linotype" w:hAnsi="Palatino Linotype" w:cs="Palatino Linotype"/>
          <w:color w:val="000000"/>
        </w:rPr>
        <w:lastRenderedPageBreak/>
        <w:t xml:space="preserve">ajustado estas matrices a lo largo de esos ejercicios o a las modificaciones que eventualmente hayan sufrido los objetivos, contextos, recursos o necesidades de los programas. </w:t>
      </w:r>
    </w:p>
    <w:p w:rsidR="00267735" w:rsidRPr="008D558F" w:rsidRDefault="00267735" w:rsidP="00267735">
      <w:pPr>
        <w:spacing w:line="360" w:lineRule="auto"/>
        <w:ind w:right="49"/>
        <w:jc w:val="both"/>
        <w:rPr>
          <w:rFonts w:ascii="Palatino Linotype" w:eastAsia="Palatino Linotype" w:hAnsi="Palatino Linotype" w:cs="Palatino Linotype"/>
        </w:rPr>
      </w:pPr>
    </w:p>
    <w:p w:rsidR="00DD370B" w:rsidRPr="008D558F" w:rsidRDefault="00DC7C5B" w:rsidP="00267735">
      <w:pPr>
        <w:numPr>
          <w:ilvl w:val="0"/>
          <w:numId w:val="1"/>
        </w:numPr>
        <w:spacing w:line="360" w:lineRule="auto"/>
        <w:ind w:left="0" w:right="49" w:firstLine="0"/>
        <w:jc w:val="both"/>
        <w:rPr>
          <w:rFonts w:ascii="Palatino Linotype" w:hAnsi="Palatino Linotype"/>
          <w:color w:val="000000" w:themeColor="text1"/>
        </w:rPr>
      </w:pPr>
      <w:r w:rsidRPr="008D558F">
        <w:rPr>
          <w:rFonts w:ascii="Palatino Linotype" w:eastAsia="Palatino Linotype" w:hAnsi="Palatino Linotype" w:cs="Palatino Linotype"/>
          <w:color w:val="000000"/>
        </w:rPr>
        <w:t>Es decir, que corresponde a una acción que implica revisar las versiones históricas de las MIR para identificar las adaptaciones realizadas; contexto que eventualmente debería realizar el particular de propia cuenta, ya que es de recordar que es de explorado derecho, que el acceso a la información pública se colma con la entrega del soporte documental</w:t>
      </w:r>
      <w:r w:rsidR="00DD370B" w:rsidRPr="008D558F">
        <w:rPr>
          <w:rFonts w:ascii="Palatino Linotype" w:eastAsia="Palatino Linotype" w:hAnsi="Palatino Linotype" w:cs="Palatino Linotype"/>
          <w:color w:val="000000"/>
        </w:rPr>
        <w:t>, toda vez que es de explorado derecho, los</w:t>
      </w:r>
      <w:r w:rsidR="00DD370B" w:rsidRPr="008D558F">
        <w:rPr>
          <w:rFonts w:ascii="Palatino Linotype" w:hAnsi="Palatino Linotype" w:cs="Arial"/>
        </w:rPr>
        <w:t xml:space="preserve"> sujetos obligados no se encuentran obligados a </w:t>
      </w:r>
      <w:r w:rsidR="00DD370B" w:rsidRPr="008D558F">
        <w:rPr>
          <w:rFonts w:ascii="Palatino Linotype" w:eastAsia="Palatino Linotype" w:hAnsi="Palatino Linotype" w:cs="Palatino Linotype"/>
          <w:color w:val="000000"/>
        </w:rPr>
        <w:t>generar</w:t>
      </w:r>
      <w:r w:rsidR="00DD370B" w:rsidRPr="008D558F">
        <w:rPr>
          <w:rFonts w:ascii="Palatino Linotype" w:hAnsi="Palatino Linotype" w:cs="Arial"/>
        </w:rPr>
        <w:t xml:space="preserve"> documentos </w:t>
      </w:r>
      <w:r w:rsidR="00DD370B" w:rsidRPr="008D558F">
        <w:rPr>
          <w:rFonts w:ascii="Palatino Linotype" w:hAnsi="Palatino Linotype" w:cs="Arial"/>
          <w:i/>
        </w:rPr>
        <w:t>ad hoc</w:t>
      </w:r>
      <w:r w:rsidR="00DD370B" w:rsidRPr="008D558F">
        <w:rPr>
          <w:rFonts w:ascii="Palatino Linotype" w:hAnsi="Palatino Linotype" w:cs="Arial"/>
        </w:rPr>
        <w:t xml:space="preserve"> para atender las solicitudes de información de los </w:t>
      </w:r>
      <w:r w:rsidR="00DD370B" w:rsidRPr="008D558F">
        <w:rPr>
          <w:rFonts w:ascii="Palatino Linotype" w:hAnsi="Palatino Linotype"/>
          <w:color w:val="000000" w:themeColor="text1"/>
        </w:rPr>
        <w:t>particulares</w:t>
      </w:r>
      <w:r w:rsidR="00DD370B" w:rsidRPr="008D558F">
        <w:rPr>
          <w:rFonts w:ascii="Palatino Linotype" w:hAnsi="Palatino Linotype" w:cs="Arial"/>
        </w:rPr>
        <w:t xml:space="preserve"> conforme a sus intereses particulares, </w:t>
      </w:r>
      <w:r w:rsidR="00DD370B" w:rsidRPr="008D558F">
        <w:rPr>
          <w:rFonts w:ascii="Palatino Linotype" w:eastAsia="MS Mincho" w:hAnsi="Palatino Linotype" w:cs="Arial"/>
        </w:rPr>
        <w:t>c</w:t>
      </w:r>
      <w:r w:rsidR="00DD370B" w:rsidRPr="008D558F">
        <w:rPr>
          <w:rFonts w:ascii="Palatino Linotype" w:hAnsi="Palatino Linotype" w:cs="Arial"/>
        </w:rPr>
        <w:t xml:space="preserve">omo apoyo a lo anterior, es aplicable por analogía el </w:t>
      </w:r>
      <w:r w:rsidR="00DD370B" w:rsidRPr="008D558F">
        <w:rPr>
          <w:rFonts w:ascii="Palatino Linotype" w:hAnsi="Palatino Linotype" w:cs="Arial"/>
          <w:b/>
        </w:rPr>
        <w:t>Criterio 03/17</w:t>
      </w:r>
      <w:r w:rsidR="00DD370B" w:rsidRPr="008D558F">
        <w:rPr>
          <w:rFonts w:ascii="Palatino Linotype" w:hAnsi="Palatino Linotype" w:cs="Arial"/>
        </w:rPr>
        <w:t>, emitido por el Pleno del Instituto Nacional de Transparencia, Acceso a la Información y Protección de Datos Personales (INAI)</w:t>
      </w:r>
      <w:r w:rsidR="00DD370B" w:rsidRPr="008D558F">
        <w:rPr>
          <w:rFonts w:ascii="Palatino Linotype" w:hAnsi="Palatino Linotype" w:cs="Arial"/>
          <w:bCs/>
        </w:rPr>
        <w:t>, que a la letra dice:</w:t>
      </w:r>
    </w:p>
    <w:p w:rsidR="00DD370B" w:rsidRPr="008D558F" w:rsidRDefault="00DD370B" w:rsidP="00267735">
      <w:pPr>
        <w:pStyle w:val="Prrafodelista"/>
        <w:spacing w:line="360" w:lineRule="auto"/>
        <w:rPr>
          <w:rFonts w:ascii="Palatino Linotype" w:hAnsi="Palatino Linotype" w:cs="Arial"/>
          <w:i/>
          <w:lang w:eastAsia="es-MX"/>
        </w:rPr>
      </w:pPr>
    </w:p>
    <w:p w:rsidR="00DD370B" w:rsidRPr="008D558F" w:rsidRDefault="00DD370B" w:rsidP="00267735">
      <w:pPr>
        <w:pStyle w:val="Prrafodelista"/>
        <w:spacing w:line="360" w:lineRule="auto"/>
        <w:ind w:left="567" w:right="618"/>
        <w:jc w:val="both"/>
        <w:rPr>
          <w:rFonts w:ascii="Palatino Linotype" w:hAnsi="Palatino Linotype" w:cs="Arial"/>
          <w:bCs/>
          <w:i/>
        </w:rPr>
      </w:pPr>
      <w:r w:rsidRPr="008D558F">
        <w:rPr>
          <w:rFonts w:ascii="Palatino Linotype" w:hAnsi="Palatino Linotype" w:cs="Arial"/>
          <w:b/>
          <w:bCs/>
          <w:i/>
        </w:rPr>
        <w:t xml:space="preserve">“No existe obligación de elaborar documentos ad hoc para atender las solicitudes de acceso a la información. </w:t>
      </w:r>
      <w:r w:rsidRPr="008D558F">
        <w:rPr>
          <w:rFonts w:ascii="Palatino Linotype" w:hAnsi="Palatino Linotype" w:cs="Arial"/>
          <w:bCs/>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w:t>
      </w:r>
      <w:r w:rsidRPr="008D558F">
        <w:rPr>
          <w:rFonts w:ascii="Palatino Linotype" w:hAnsi="Palatino Linotype" w:cs="Arial"/>
          <w:bCs/>
          <w:i/>
        </w:rPr>
        <w:lastRenderedPageBreak/>
        <w:t>la información con la que cuentan en el formato en que la misma obre en sus archivos; sin necesidad de elaborar documentos ad hoc para atender las solicitudes de información.</w:t>
      </w:r>
    </w:p>
    <w:p w:rsidR="00DD370B" w:rsidRPr="008D558F" w:rsidRDefault="00DD370B" w:rsidP="00267735">
      <w:pPr>
        <w:pStyle w:val="Prrafodelista"/>
        <w:spacing w:line="360" w:lineRule="auto"/>
        <w:ind w:left="567" w:right="618"/>
        <w:jc w:val="both"/>
        <w:rPr>
          <w:rFonts w:ascii="Palatino Linotype" w:hAnsi="Palatino Linotype" w:cs="Arial"/>
          <w:bCs/>
          <w:i/>
        </w:rPr>
      </w:pPr>
    </w:p>
    <w:p w:rsidR="00DD370B" w:rsidRPr="008D558F" w:rsidRDefault="00DD370B" w:rsidP="00267735">
      <w:pPr>
        <w:numPr>
          <w:ilvl w:val="0"/>
          <w:numId w:val="1"/>
        </w:numPr>
        <w:spacing w:line="360" w:lineRule="auto"/>
        <w:ind w:left="0" w:right="49" w:firstLine="0"/>
        <w:jc w:val="both"/>
        <w:rPr>
          <w:rFonts w:ascii="Palatino Linotype" w:hAnsi="Palatino Linotype" w:cs="Arial"/>
          <w:i/>
        </w:rPr>
      </w:pPr>
      <w:r w:rsidRPr="008D558F">
        <w:rPr>
          <w:rFonts w:ascii="Palatino Linotype" w:hAnsi="Palatino Linotype" w:cs="Arial"/>
        </w:rPr>
        <w:t xml:space="preserve">De lo anterior, se desprende, que la información generada, obtenida, adquirida, </w:t>
      </w:r>
      <w:r w:rsidRPr="008D558F">
        <w:rPr>
          <w:rFonts w:ascii="Palatino Linotype" w:eastAsia="Palatino Linotype" w:hAnsi="Palatino Linotype" w:cs="Palatino Linotype"/>
          <w:color w:val="000000"/>
        </w:rPr>
        <w:t>transmitida</w:t>
      </w:r>
      <w:r w:rsidRPr="008D558F">
        <w:rPr>
          <w:rFonts w:ascii="Palatino Linotype" w:hAnsi="Palatino Linotype" w:cs="Arial"/>
        </w:rPr>
        <w:t>, administrada o en posesión de los Sujetos Obligados, será accesible de manera permanente a cualquier persona, privilegiando el principio de máxima publicidad de la información.</w:t>
      </w:r>
    </w:p>
    <w:p w:rsidR="00267735" w:rsidRPr="008D558F" w:rsidRDefault="00267735" w:rsidP="00267735">
      <w:pPr>
        <w:spacing w:line="360" w:lineRule="auto"/>
        <w:ind w:right="49"/>
        <w:jc w:val="both"/>
        <w:rPr>
          <w:rFonts w:ascii="Palatino Linotype" w:hAnsi="Palatino Linotype" w:cs="Arial"/>
          <w:i/>
        </w:rPr>
      </w:pPr>
    </w:p>
    <w:p w:rsidR="00DD370B" w:rsidRPr="008D558F" w:rsidRDefault="00DD370B" w:rsidP="00267735">
      <w:pPr>
        <w:numPr>
          <w:ilvl w:val="0"/>
          <w:numId w:val="1"/>
        </w:numPr>
        <w:spacing w:line="360" w:lineRule="auto"/>
        <w:ind w:left="0" w:right="49" w:firstLine="0"/>
        <w:jc w:val="both"/>
        <w:rPr>
          <w:rFonts w:ascii="Palatino Linotype" w:hAnsi="Palatino Linotype" w:cs="Arial"/>
          <w:i/>
        </w:rPr>
      </w:pPr>
      <w:r w:rsidRPr="008D558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DD370B" w:rsidRPr="008D558F" w:rsidRDefault="00DD370B" w:rsidP="00267735">
      <w:pPr>
        <w:pStyle w:val="Prrafodelista"/>
        <w:spacing w:line="360" w:lineRule="auto"/>
        <w:ind w:left="502" w:right="567"/>
        <w:jc w:val="both"/>
        <w:rPr>
          <w:rFonts w:ascii="Palatino Linotype" w:hAnsi="Palatino Linotype" w:cs="Arial"/>
          <w:i/>
        </w:rPr>
      </w:pPr>
    </w:p>
    <w:p w:rsidR="00DD370B" w:rsidRPr="008D558F" w:rsidRDefault="00DD370B" w:rsidP="00267735">
      <w:pPr>
        <w:pStyle w:val="Prrafodelista"/>
        <w:spacing w:line="360" w:lineRule="auto"/>
        <w:ind w:left="505" w:right="567"/>
        <w:jc w:val="both"/>
        <w:rPr>
          <w:rFonts w:ascii="Palatino Linotype" w:hAnsi="Palatino Linotype" w:cs="Arial"/>
          <w:i/>
        </w:rPr>
      </w:pPr>
      <w:r w:rsidRPr="008D558F">
        <w:rPr>
          <w:rFonts w:ascii="Palatino Linotype" w:hAnsi="Palatino Linotype" w:cs="Arial"/>
          <w:i/>
        </w:rPr>
        <w:t>“</w:t>
      </w:r>
      <w:r w:rsidRPr="008D558F">
        <w:rPr>
          <w:rFonts w:ascii="Palatino Linotype" w:hAnsi="Palatino Linotype" w:cs="Arial"/>
          <w:b/>
          <w:i/>
          <w:color w:val="000000"/>
        </w:rPr>
        <w:t>Artículo 12.</w:t>
      </w:r>
      <w:r w:rsidRPr="008D558F">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rsidR="00DD370B" w:rsidRPr="008D558F" w:rsidRDefault="00DD370B" w:rsidP="00267735">
      <w:pPr>
        <w:pStyle w:val="Prrafodelista"/>
        <w:spacing w:line="360" w:lineRule="auto"/>
        <w:ind w:left="505" w:right="567"/>
        <w:jc w:val="both"/>
        <w:rPr>
          <w:rFonts w:ascii="Palatino Linotype" w:hAnsi="Palatino Linotype" w:cs="Arial"/>
          <w:i/>
        </w:rPr>
      </w:pPr>
      <w:r w:rsidRPr="008D558F">
        <w:rPr>
          <w:rFonts w:ascii="Palatino Linotype" w:hAnsi="Palatino Linotype" w:cs="Arial"/>
          <w:b/>
          <w:i/>
          <w:color w:val="000000"/>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8D558F">
        <w:rPr>
          <w:rFonts w:ascii="Palatino Linotype" w:hAnsi="Palatino Linotype" w:cs="Arial"/>
          <w:b/>
          <w:i/>
          <w:color w:val="000000"/>
          <w:u w:val="single"/>
        </w:rPr>
        <w:lastRenderedPageBreak/>
        <w:t>solicitante; no estarán obligados a generarla, resumirla, efectuar cálculos o practicar investigaciones.</w:t>
      </w:r>
      <w:r w:rsidRPr="008D558F">
        <w:rPr>
          <w:rFonts w:ascii="Palatino Linotype" w:hAnsi="Palatino Linotype" w:cs="Arial"/>
          <w:i/>
        </w:rPr>
        <w:t>”</w:t>
      </w:r>
    </w:p>
    <w:p w:rsidR="00DD370B" w:rsidRPr="008D558F" w:rsidRDefault="00DD370B" w:rsidP="00267735">
      <w:pPr>
        <w:pStyle w:val="Prrafodelista"/>
        <w:spacing w:line="360" w:lineRule="auto"/>
        <w:ind w:left="505" w:right="567"/>
        <w:jc w:val="both"/>
        <w:rPr>
          <w:rFonts w:ascii="Palatino Linotype" w:hAnsi="Palatino Linotype" w:cs="Arial"/>
          <w:color w:val="000000"/>
        </w:rPr>
      </w:pPr>
      <w:r w:rsidRPr="008D558F">
        <w:rPr>
          <w:rFonts w:ascii="Palatino Linotype" w:hAnsi="Palatino Linotype" w:cs="Arial"/>
          <w:color w:val="000000"/>
        </w:rPr>
        <w:t>Énfasis añadido</w:t>
      </w:r>
    </w:p>
    <w:p w:rsidR="00DD370B" w:rsidRPr="008D558F" w:rsidRDefault="00DD370B" w:rsidP="00267735">
      <w:pPr>
        <w:pStyle w:val="Prrafodelista"/>
        <w:spacing w:line="360" w:lineRule="auto"/>
        <w:ind w:left="505" w:right="567"/>
        <w:jc w:val="both"/>
        <w:rPr>
          <w:rFonts w:ascii="Palatino Linotype" w:hAnsi="Palatino Linotype" w:cs="Arial"/>
        </w:rPr>
      </w:pPr>
    </w:p>
    <w:p w:rsidR="00DD370B" w:rsidRPr="008D558F" w:rsidRDefault="00DD370B" w:rsidP="00267735">
      <w:pPr>
        <w:numPr>
          <w:ilvl w:val="0"/>
          <w:numId w:val="1"/>
        </w:numPr>
        <w:spacing w:line="360" w:lineRule="auto"/>
        <w:ind w:left="0" w:right="49" w:firstLine="0"/>
        <w:jc w:val="both"/>
        <w:rPr>
          <w:rFonts w:ascii="Palatino Linotype" w:hAnsi="Palatino Linotype" w:cs="Arial"/>
          <w:color w:val="000000" w:themeColor="text1"/>
        </w:rPr>
      </w:pPr>
      <w:r w:rsidRPr="008D558F">
        <w:rPr>
          <w:rFonts w:ascii="Palatino Linotype" w:hAnsi="Palatino Linotype" w:cs="Arial"/>
          <w:color w:val="000000"/>
        </w:rPr>
        <w:t xml:space="preserve">En síntesis, el derecho de acceso a la información pública se satisface en aquellos casos en </w:t>
      </w:r>
      <w:r w:rsidRPr="008D558F">
        <w:rPr>
          <w:rFonts w:ascii="Palatino Linotype" w:hAnsi="Palatino Linotype" w:cs="Arial"/>
        </w:rPr>
        <w:t>que</w:t>
      </w:r>
      <w:r w:rsidRPr="008D558F">
        <w:rPr>
          <w:rFonts w:ascii="Palatino Linotype" w:hAnsi="Palatino Linotype" w:cs="Arial"/>
          <w:color w:val="000000"/>
        </w:rPr>
        <w:t xml:space="preserve"> </w:t>
      </w:r>
      <w:r w:rsidRPr="008D558F">
        <w:rPr>
          <w:rFonts w:ascii="Palatino Linotype" w:hAnsi="Palatino Linotype" w:cs="Arial"/>
        </w:rPr>
        <w:t>se</w:t>
      </w:r>
      <w:r w:rsidRPr="008D558F">
        <w:rPr>
          <w:rFonts w:ascii="Palatino Linotype" w:hAnsi="Palatino Linotype" w:cs="Arial"/>
          <w:color w:val="000000"/>
        </w:rPr>
        <w:t xml:space="preserve"> entregue el soporte documental en que conste la información pública. </w:t>
      </w:r>
      <w:r w:rsidRPr="008D558F">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8D558F">
        <w:rPr>
          <w:rFonts w:ascii="Palatino Linotype" w:hAnsi="Palatino Linotype" w:cs="Arial"/>
        </w:rPr>
        <w:t>generen</w:t>
      </w:r>
      <w:r w:rsidRPr="008D558F">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267735" w:rsidRPr="008D558F" w:rsidRDefault="00267735" w:rsidP="00267735">
      <w:pPr>
        <w:spacing w:line="360" w:lineRule="auto"/>
        <w:ind w:right="49"/>
        <w:jc w:val="both"/>
        <w:rPr>
          <w:rFonts w:ascii="Palatino Linotype" w:hAnsi="Palatino Linotype" w:cs="Arial"/>
          <w:color w:val="000000" w:themeColor="text1"/>
        </w:rPr>
      </w:pPr>
    </w:p>
    <w:p w:rsidR="00DD370B" w:rsidRPr="008D558F" w:rsidRDefault="00DD370B" w:rsidP="00267735">
      <w:pPr>
        <w:numPr>
          <w:ilvl w:val="0"/>
          <w:numId w:val="1"/>
        </w:numPr>
        <w:spacing w:line="360" w:lineRule="auto"/>
        <w:ind w:left="0" w:right="49" w:firstLine="0"/>
        <w:jc w:val="both"/>
        <w:rPr>
          <w:rFonts w:ascii="Palatino Linotype" w:hAnsi="Palatino Linotype" w:cs="Arial"/>
          <w:color w:val="000000" w:themeColor="text1"/>
        </w:rPr>
      </w:pPr>
      <w:r w:rsidRPr="008D558F">
        <w:rPr>
          <w:rFonts w:ascii="Palatino Linotype" w:hAnsi="Palatino Linotype"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8D558F">
        <w:rPr>
          <w:rFonts w:ascii="Palatino Linotype" w:hAnsi="Palatino Linotype" w:cs="Arial"/>
        </w:rPr>
        <w:t xml:space="preserve">expedientes, reportes, estudios, actas, </w:t>
      </w:r>
      <w:r w:rsidRPr="008D558F">
        <w:rPr>
          <w:rFonts w:ascii="Palatino Linotype" w:hAnsi="Palatino Linotype" w:cs="Arial"/>
          <w:color w:val="000000"/>
        </w:rPr>
        <w:t>resoluciones</w:t>
      </w:r>
      <w:r w:rsidRPr="008D558F">
        <w:rPr>
          <w:rFonts w:ascii="Palatino Linotype" w:hAnsi="Palatino Linotype" w:cs="Arial"/>
        </w:rPr>
        <w:t>, oficios, correspondencia, acuerdos, directivas, directrices, circulares, contratos, convenios, instructivos, notas, memorandos, estadísticas o bien, cualquier otro registro que documente el ejercicio de las facultades, funciones y competencias de los Sujetos Obligados</w:t>
      </w:r>
      <w:r w:rsidRPr="008D558F">
        <w:rPr>
          <w:rFonts w:ascii="Palatino Linotype" w:hAnsi="Palatino Linotype" w:cs="Arial"/>
          <w:color w:val="000000" w:themeColor="text1"/>
        </w:rPr>
        <w:t xml:space="preserve">; los que, </w:t>
      </w:r>
      <w:r w:rsidRPr="008D558F">
        <w:rPr>
          <w:rFonts w:ascii="Palatino Linotype" w:hAnsi="Palatino Linotype" w:cs="Arial"/>
        </w:rPr>
        <w:t>podrán estar en cualquier medio, sea escrito, impreso, sonoro, visual, electrónico, informático u holográfico</w:t>
      </w:r>
      <w:r w:rsidRPr="008D558F">
        <w:rPr>
          <w:rFonts w:ascii="Palatino Linotype" w:hAnsi="Palatino Linotype" w:cs="Arial"/>
          <w:color w:val="000000" w:themeColor="text1"/>
        </w:rPr>
        <w:t xml:space="preserve">, de conformidad con el artículo 3, fracción XI, de la Ley de la materia, el cual dispone lo siguiente: </w:t>
      </w:r>
    </w:p>
    <w:p w:rsidR="00DD370B" w:rsidRPr="008D558F" w:rsidRDefault="00DD370B" w:rsidP="00267735">
      <w:pPr>
        <w:pStyle w:val="Prrafodelista"/>
        <w:spacing w:line="360" w:lineRule="auto"/>
        <w:rPr>
          <w:rFonts w:ascii="Palatino Linotype" w:hAnsi="Palatino Linotype" w:cs="Arial"/>
          <w:color w:val="000000" w:themeColor="text1"/>
        </w:rPr>
      </w:pPr>
    </w:p>
    <w:p w:rsidR="00DD370B" w:rsidRPr="008D558F" w:rsidRDefault="00DD370B" w:rsidP="00267735">
      <w:pPr>
        <w:spacing w:line="360" w:lineRule="auto"/>
        <w:ind w:left="567" w:right="567"/>
        <w:jc w:val="both"/>
        <w:rPr>
          <w:rFonts w:ascii="Palatino Linotype" w:hAnsi="Palatino Linotype" w:cs="Arial"/>
          <w:i/>
          <w:color w:val="000000"/>
        </w:rPr>
      </w:pPr>
      <w:r w:rsidRPr="008D558F">
        <w:rPr>
          <w:rFonts w:ascii="Palatino Linotype" w:hAnsi="Palatino Linotype" w:cs="Arial"/>
          <w:i/>
          <w:color w:val="000000"/>
        </w:rPr>
        <w:lastRenderedPageBreak/>
        <w:t>“</w:t>
      </w:r>
      <w:r w:rsidRPr="008D558F">
        <w:rPr>
          <w:rFonts w:ascii="Palatino Linotype" w:hAnsi="Palatino Linotype" w:cs="Arial"/>
          <w:b/>
          <w:i/>
          <w:color w:val="000000"/>
        </w:rPr>
        <w:t xml:space="preserve">Artículo 3. </w:t>
      </w:r>
      <w:r w:rsidRPr="008D558F">
        <w:rPr>
          <w:rFonts w:ascii="Palatino Linotype" w:hAnsi="Palatino Linotype" w:cs="Arial"/>
          <w:i/>
          <w:color w:val="000000"/>
        </w:rPr>
        <w:t>Para los efectos de la presente Ley se entenderá por:</w:t>
      </w:r>
    </w:p>
    <w:p w:rsidR="00DD370B" w:rsidRPr="008D558F" w:rsidRDefault="00DD370B" w:rsidP="00267735">
      <w:pPr>
        <w:spacing w:line="360" w:lineRule="auto"/>
        <w:ind w:left="567" w:right="567"/>
        <w:jc w:val="both"/>
        <w:rPr>
          <w:rFonts w:ascii="Palatino Linotype" w:hAnsi="Palatino Linotype" w:cs="Arial"/>
          <w:i/>
          <w:color w:val="000000"/>
        </w:rPr>
      </w:pPr>
      <w:r w:rsidRPr="008D558F">
        <w:rPr>
          <w:rFonts w:ascii="Palatino Linotype" w:hAnsi="Palatino Linotype" w:cs="Arial"/>
          <w:i/>
          <w:color w:val="000000"/>
        </w:rPr>
        <w:t>(…)</w:t>
      </w:r>
    </w:p>
    <w:p w:rsidR="00DD370B" w:rsidRPr="008D558F" w:rsidRDefault="00DD370B" w:rsidP="00267735">
      <w:pPr>
        <w:spacing w:line="360" w:lineRule="auto"/>
        <w:ind w:left="567" w:right="567"/>
        <w:jc w:val="both"/>
        <w:rPr>
          <w:rFonts w:ascii="Palatino Linotype" w:hAnsi="Palatino Linotype" w:cs="Arial"/>
          <w:i/>
          <w:color w:val="000000"/>
        </w:rPr>
      </w:pPr>
      <w:r w:rsidRPr="008D558F">
        <w:rPr>
          <w:rFonts w:ascii="Palatino Linotype" w:hAnsi="Palatino Linotype" w:cs="Arial"/>
          <w:b/>
          <w:i/>
          <w:color w:val="000000"/>
        </w:rPr>
        <w:t>XI. Documento:</w:t>
      </w:r>
      <w:r w:rsidRPr="008D558F">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DD370B" w:rsidRPr="008D558F" w:rsidRDefault="00DD370B" w:rsidP="00267735">
      <w:pPr>
        <w:spacing w:line="360" w:lineRule="auto"/>
        <w:ind w:left="567" w:right="567"/>
        <w:jc w:val="both"/>
        <w:rPr>
          <w:rFonts w:ascii="Palatino Linotype" w:hAnsi="Palatino Linotype" w:cs="Arial"/>
          <w:i/>
          <w:color w:val="000000"/>
        </w:rPr>
      </w:pPr>
      <w:r w:rsidRPr="008D558F">
        <w:rPr>
          <w:rFonts w:ascii="Palatino Linotype" w:hAnsi="Palatino Linotype" w:cs="Arial"/>
          <w:i/>
          <w:color w:val="000000"/>
        </w:rPr>
        <w:t>(…)”</w:t>
      </w:r>
    </w:p>
    <w:p w:rsidR="00DD370B" w:rsidRPr="008D558F" w:rsidRDefault="00DD370B" w:rsidP="00267735">
      <w:pPr>
        <w:autoSpaceDE w:val="0"/>
        <w:autoSpaceDN w:val="0"/>
        <w:adjustRightInd w:val="0"/>
        <w:spacing w:line="360" w:lineRule="auto"/>
        <w:jc w:val="both"/>
        <w:rPr>
          <w:rFonts w:ascii="Palatino Linotype" w:hAnsi="Palatino Linotype" w:cs="Arial"/>
        </w:rPr>
      </w:pPr>
    </w:p>
    <w:p w:rsidR="00DD370B" w:rsidRPr="008D558F" w:rsidRDefault="00DD370B" w:rsidP="00267735">
      <w:pPr>
        <w:numPr>
          <w:ilvl w:val="0"/>
          <w:numId w:val="1"/>
        </w:numPr>
        <w:spacing w:line="360" w:lineRule="auto"/>
        <w:ind w:left="0" w:right="49" w:firstLine="0"/>
        <w:jc w:val="both"/>
        <w:rPr>
          <w:rFonts w:ascii="Palatino Linotype" w:hAnsi="Palatino Linotype" w:cs="Arial"/>
        </w:rPr>
      </w:pPr>
      <w:r w:rsidRPr="008D558F">
        <w:rPr>
          <w:rFonts w:ascii="Palatino Linotype" w:hAnsi="Palatino Linotype" w:cs="Arial"/>
        </w:rPr>
        <w:t xml:space="preserve">Siendo aplicable el Criterio </w:t>
      </w:r>
      <w:r w:rsidRPr="008D558F">
        <w:rPr>
          <w:rFonts w:ascii="Palatino Linotype" w:hAnsi="Palatino Linotype" w:cs="Arial"/>
          <w:bCs/>
          <w:lang w:eastAsia="es-MX"/>
        </w:rPr>
        <w:t xml:space="preserve">de interpretación en el orden administrativo número 0002-11, </w:t>
      </w:r>
      <w:r w:rsidRPr="008D558F">
        <w:rPr>
          <w:rFonts w:ascii="Palatino Linotype" w:hAnsi="Palatino Linotype" w:cs="Arial"/>
          <w:color w:val="000000" w:themeColor="text1"/>
        </w:rPr>
        <w:t>emitido</w:t>
      </w:r>
      <w:r w:rsidRPr="008D558F">
        <w:rPr>
          <w:rFonts w:ascii="Palatino Linotype" w:hAnsi="Palatino Linotype" w:cs="Arial"/>
          <w:bCs/>
          <w:lang w:eastAsia="es-MX"/>
        </w:rPr>
        <w:t xml:space="preserve">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D558F">
        <w:rPr>
          <w:rFonts w:ascii="Palatino Linotype" w:hAnsi="Palatino Linotype" w:cs="Arial"/>
        </w:rPr>
        <w:t>cuyo rubro y texto dispone:</w:t>
      </w:r>
    </w:p>
    <w:p w:rsidR="00C216E0" w:rsidRPr="008D558F" w:rsidRDefault="00C216E0" w:rsidP="00C216E0">
      <w:pPr>
        <w:spacing w:line="360" w:lineRule="auto"/>
        <w:ind w:right="49"/>
        <w:jc w:val="both"/>
        <w:rPr>
          <w:rFonts w:ascii="Palatino Linotype" w:hAnsi="Palatino Linotype" w:cs="Arial"/>
        </w:rPr>
      </w:pPr>
    </w:p>
    <w:p w:rsidR="00DD370B" w:rsidRPr="008D558F" w:rsidRDefault="00DD370B" w:rsidP="00267735">
      <w:pPr>
        <w:spacing w:line="360" w:lineRule="auto"/>
        <w:ind w:left="567" w:right="567"/>
        <w:jc w:val="both"/>
        <w:rPr>
          <w:rFonts w:ascii="Palatino Linotype" w:hAnsi="Palatino Linotype" w:cs="Arial"/>
          <w:b/>
          <w:i/>
        </w:rPr>
      </w:pPr>
      <w:r w:rsidRPr="008D558F">
        <w:rPr>
          <w:rFonts w:ascii="Palatino Linotype" w:hAnsi="Palatino Linotype" w:cs="Arial"/>
          <w:b/>
        </w:rPr>
        <w:t>“</w:t>
      </w:r>
      <w:r w:rsidRPr="008D558F">
        <w:rPr>
          <w:rFonts w:ascii="Palatino Linotype" w:hAnsi="Palatino Linotype" w:cs="Arial"/>
          <w:b/>
          <w:i/>
        </w:rPr>
        <w:t>CRITERIO 0002-11</w:t>
      </w:r>
    </w:p>
    <w:p w:rsidR="00DD370B" w:rsidRPr="008D558F" w:rsidRDefault="00DD370B" w:rsidP="00267735">
      <w:pPr>
        <w:spacing w:line="360" w:lineRule="auto"/>
        <w:ind w:left="567" w:right="567"/>
        <w:jc w:val="both"/>
        <w:rPr>
          <w:rFonts w:ascii="Palatino Linotype" w:hAnsi="Palatino Linotype" w:cs="Arial"/>
          <w:i/>
        </w:rPr>
      </w:pPr>
      <w:r w:rsidRPr="008D558F">
        <w:rPr>
          <w:rFonts w:ascii="Palatino Linotype" w:hAnsi="Palatino Linotype" w:cs="Arial"/>
          <w:b/>
          <w:i/>
        </w:rPr>
        <w:t xml:space="preserve">INFORMACIÓN PÚBLICA, CONCEPTO DE, EN MATERIA DE TRANSPARENCIA. INTERPRETACIÓN SISTEMÁTICA DE LOS ARTÍCULOS 2°, FRACCIÓN </w:t>
      </w:r>
      <w:r w:rsidRPr="008D558F">
        <w:rPr>
          <w:rFonts w:ascii="Palatino Linotype" w:hAnsi="Palatino Linotype" w:cs="Arial"/>
          <w:b/>
          <w:bCs/>
          <w:i/>
        </w:rPr>
        <w:t xml:space="preserve">V, XV, Y XVI, </w:t>
      </w:r>
      <w:r w:rsidRPr="008D558F">
        <w:rPr>
          <w:rFonts w:ascii="Palatino Linotype" w:hAnsi="Palatino Linotype" w:cs="Arial"/>
          <w:b/>
          <w:i/>
        </w:rPr>
        <w:t>3°, 4°, 11 Y 41.</w:t>
      </w:r>
      <w:r w:rsidRPr="008D558F">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8D558F">
        <w:rPr>
          <w:rFonts w:ascii="Palatino Linotype" w:hAnsi="Palatino Linotype" w:cs="Arial"/>
          <w:i/>
        </w:rPr>
        <w:lastRenderedPageBreak/>
        <w:t>órganos u organismos públicos, en virtud del ejercicio de sus funciones de derecho público, sin importar su fuente, soporte o fecha de elaboración.</w:t>
      </w:r>
    </w:p>
    <w:p w:rsidR="00DD370B" w:rsidRPr="008D558F" w:rsidRDefault="00DD370B" w:rsidP="00267735">
      <w:pPr>
        <w:spacing w:line="360" w:lineRule="auto"/>
        <w:ind w:left="567" w:right="567"/>
        <w:jc w:val="both"/>
        <w:rPr>
          <w:rFonts w:ascii="Palatino Linotype" w:hAnsi="Palatino Linotype" w:cs="Arial"/>
          <w:i/>
        </w:rPr>
      </w:pPr>
      <w:r w:rsidRPr="008D558F">
        <w:rPr>
          <w:rFonts w:ascii="Palatino Linotype" w:hAnsi="Palatino Linotype" w:cs="Arial"/>
          <w:i/>
        </w:rPr>
        <w:t>En consecuencia el acceso a la información se refiere a que se cumplan cualquiera de los siguientes tres supuestos:</w:t>
      </w:r>
    </w:p>
    <w:p w:rsidR="00DD370B" w:rsidRPr="008D558F" w:rsidRDefault="00DD370B" w:rsidP="00267735">
      <w:pPr>
        <w:spacing w:line="360" w:lineRule="auto"/>
        <w:ind w:left="567" w:right="567"/>
        <w:jc w:val="both"/>
        <w:rPr>
          <w:rFonts w:ascii="Palatino Linotype" w:hAnsi="Palatino Linotype" w:cs="Arial"/>
          <w:b/>
          <w:i/>
        </w:rPr>
      </w:pPr>
      <w:r w:rsidRPr="008D558F">
        <w:rPr>
          <w:rFonts w:ascii="Palatino Linotype" w:hAnsi="Palatino Linotype" w:cs="Arial"/>
          <w:b/>
          <w:i/>
        </w:rPr>
        <w:t xml:space="preserve">1) </w:t>
      </w:r>
      <w:r w:rsidRPr="008D558F">
        <w:rPr>
          <w:rFonts w:ascii="Palatino Linotype" w:hAnsi="Palatino Linotype" w:cs="Arial"/>
          <w:b/>
          <w:i/>
          <w:u w:val="single"/>
        </w:rPr>
        <w:t>Que se trate de información registrada en cualquier soporte documental, que en ejercicio de las atribuciones conferidas, sea generada por los Sujetos Obligados;</w:t>
      </w:r>
    </w:p>
    <w:p w:rsidR="00DD370B" w:rsidRPr="008D558F" w:rsidRDefault="00DD370B" w:rsidP="00267735">
      <w:pPr>
        <w:spacing w:line="360" w:lineRule="auto"/>
        <w:ind w:left="567" w:right="567"/>
        <w:jc w:val="both"/>
        <w:rPr>
          <w:rFonts w:ascii="Palatino Linotype" w:hAnsi="Palatino Linotype" w:cs="Arial"/>
          <w:i/>
        </w:rPr>
      </w:pPr>
      <w:r w:rsidRPr="008D558F">
        <w:rPr>
          <w:rFonts w:ascii="Palatino Linotype" w:hAnsi="Palatino Linotype" w:cs="Arial"/>
          <w:i/>
        </w:rPr>
        <w:t>2) Que se trate de información registrada en cualquier soporte documental, que en ejercicio de las atribuciones conferidas, sea administrada por los Sujetos Obligados, y</w:t>
      </w:r>
    </w:p>
    <w:p w:rsidR="00DD370B" w:rsidRPr="008D558F" w:rsidRDefault="00DD370B" w:rsidP="00267735">
      <w:pPr>
        <w:spacing w:line="360" w:lineRule="auto"/>
        <w:ind w:left="567" w:right="567"/>
        <w:jc w:val="both"/>
        <w:rPr>
          <w:rFonts w:ascii="Palatino Linotype" w:hAnsi="Palatino Linotype" w:cs="Arial"/>
          <w:i/>
        </w:rPr>
      </w:pPr>
      <w:r w:rsidRPr="008D558F">
        <w:rPr>
          <w:rFonts w:ascii="Palatino Linotype" w:hAnsi="Palatino Linotype" w:cs="Arial"/>
          <w:i/>
        </w:rPr>
        <w:t>3) Que se trate de información registrada en cualquier soporte documental, que en ejercicio de las atribuciones conferidas, se encuentre en posesión de los Sujetos Obligados.”</w:t>
      </w:r>
    </w:p>
    <w:p w:rsidR="00DD370B" w:rsidRPr="008D558F" w:rsidRDefault="00DD370B" w:rsidP="00267735">
      <w:pPr>
        <w:tabs>
          <w:tab w:val="left" w:pos="851"/>
        </w:tabs>
        <w:spacing w:line="360" w:lineRule="auto"/>
        <w:ind w:left="567" w:right="567"/>
        <w:rPr>
          <w:rFonts w:ascii="Palatino Linotype" w:hAnsi="Palatino Linotype" w:cs="Arial"/>
        </w:rPr>
      </w:pPr>
      <w:r w:rsidRPr="008D558F">
        <w:rPr>
          <w:rFonts w:ascii="Palatino Linotype" w:hAnsi="Palatino Linotype" w:cs="Arial"/>
        </w:rPr>
        <w:t>(Énfasis Añadido)</w:t>
      </w:r>
    </w:p>
    <w:p w:rsidR="00DD370B" w:rsidRPr="008D558F" w:rsidRDefault="00DD370B" w:rsidP="00267735">
      <w:pPr>
        <w:pStyle w:val="Prrafodelista"/>
        <w:autoSpaceDE w:val="0"/>
        <w:autoSpaceDN w:val="0"/>
        <w:adjustRightInd w:val="0"/>
        <w:spacing w:line="360" w:lineRule="auto"/>
        <w:ind w:left="0"/>
        <w:jc w:val="both"/>
        <w:rPr>
          <w:rFonts w:ascii="Palatino Linotype" w:hAnsi="Palatino Linotype" w:cs="Arial"/>
          <w:color w:val="000000"/>
        </w:rPr>
      </w:pPr>
    </w:p>
    <w:p w:rsidR="00DD370B" w:rsidRPr="008D558F" w:rsidRDefault="00DD370B" w:rsidP="00267735">
      <w:pPr>
        <w:numPr>
          <w:ilvl w:val="0"/>
          <w:numId w:val="1"/>
        </w:numPr>
        <w:spacing w:line="360" w:lineRule="auto"/>
        <w:ind w:left="0" w:right="49" w:firstLine="0"/>
        <w:jc w:val="both"/>
        <w:rPr>
          <w:rFonts w:ascii="Palatino Linotype" w:hAnsi="Palatino Linotype"/>
        </w:rPr>
      </w:pPr>
      <w:r w:rsidRPr="008D558F">
        <w:rPr>
          <w:rFonts w:ascii="Palatino Linotype" w:eastAsia="Calibri" w:hAnsi="Palatino Linotype"/>
        </w:rPr>
        <w:t xml:space="preserve">Por su </w:t>
      </w:r>
      <w:r w:rsidRPr="008D558F">
        <w:rPr>
          <w:rFonts w:ascii="Palatino Linotype" w:hAnsi="Palatino Linotype" w:cs="Arial"/>
        </w:rPr>
        <w:t>parte</w:t>
      </w:r>
      <w:r w:rsidRPr="008D558F">
        <w:rPr>
          <w:rFonts w:ascii="Palatino Linotype" w:eastAsia="Calibri" w:hAnsi="Palatino Linotype"/>
        </w:rPr>
        <w:t xml:space="preserve"> los artículos 160 y 166, </w:t>
      </w:r>
      <w:r w:rsidRPr="008D558F">
        <w:rPr>
          <w:rFonts w:ascii="Palatino Linotype" w:hAnsi="Palatino Linotype"/>
          <w:bCs/>
        </w:rPr>
        <w:t xml:space="preserve">de la Ley local en la materia, que se </w:t>
      </w:r>
      <w:r w:rsidRPr="008D558F">
        <w:rPr>
          <w:rFonts w:ascii="Palatino Linotype" w:hAnsi="Palatino Linotype" w:cs="Arial"/>
        </w:rPr>
        <w:t>reproduce</w:t>
      </w:r>
      <w:r w:rsidRPr="008D558F">
        <w:rPr>
          <w:rFonts w:ascii="Palatino Linotype" w:hAnsi="Palatino Linotype"/>
          <w:bCs/>
        </w:rPr>
        <w:t xml:space="preserve"> de la siguiente forma</w:t>
      </w:r>
      <w:r w:rsidRPr="008D558F">
        <w:rPr>
          <w:rFonts w:ascii="Palatino Linotype" w:hAnsi="Palatino Linotype"/>
        </w:rPr>
        <w:t>:</w:t>
      </w:r>
    </w:p>
    <w:p w:rsidR="00DD370B" w:rsidRPr="008D558F" w:rsidRDefault="00DD370B" w:rsidP="00267735">
      <w:pPr>
        <w:pStyle w:val="Sinespaciado"/>
        <w:spacing w:line="360" w:lineRule="auto"/>
        <w:rPr>
          <w:rFonts w:ascii="Palatino Linotype" w:hAnsi="Palatino Linotype"/>
        </w:rPr>
      </w:pPr>
    </w:p>
    <w:p w:rsidR="00DD370B" w:rsidRPr="008D558F" w:rsidRDefault="00DD370B" w:rsidP="00267735">
      <w:pPr>
        <w:spacing w:line="360" w:lineRule="auto"/>
        <w:ind w:left="567" w:right="567"/>
        <w:jc w:val="both"/>
        <w:rPr>
          <w:rFonts w:ascii="Palatino Linotype" w:hAnsi="Palatino Linotype"/>
          <w:i/>
        </w:rPr>
      </w:pPr>
      <w:r w:rsidRPr="008D558F">
        <w:rPr>
          <w:rFonts w:ascii="Palatino Linotype" w:hAnsi="Palatino Linotype"/>
          <w:i/>
        </w:rPr>
        <w:t>“</w:t>
      </w:r>
      <w:r w:rsidRPr="008D558F">
        <w:rPr>
          <w:rFonts w:ascii="Palatino Linotype" w:hAnsi="Palatino Linotype"/>
          <w:b/>
          <w:i/>
        </w:rPr>
        <w:t>Artículo 160.</w:t>
      </w:r>
      <w:r w:rsidRPr="008D558F">
        <w:rPr>
          <w:rFonts w:ascii="Palatino Linotype" w:hAnsi="Palatino Linotype"/>
          <w:i/>
        </w:rPr>
        <w:t xml:space="preserve"> </w:t>
      </w:r>
      <w:r w:rsidRPr="008D558F">
        <w:rPr>
          <w:rFonts w:ascii="Palatino Linotype" w:hAnsi="Palatino Linotype"/>
          <w:i/>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8D558F">
        <w:rPr>
          <w:rFonts w:ascii="Palatino Linotype" w:hAnsi="Palatino Linotype"/>
          <w:i/>
        </w:rPr>
        <w:t>.</w:t>
      </w:r>
    </w:p>
    <w:p w:rsidR="00DD370B" w:rsidRPr="008D558F" w:rsidRDefault="00DD370B" w:rsidP="00267735">
      <w:pPr>
        <w:spacing w:line="360" w:lineRule="auto"/>
        <w:ind w:left="567" w:right="567"/>
        <w:jc w:val="both"/>
        <w:rPr>
          <w:rFonts w:ascii="Palatino Linotype" w:hAnsi="Palatino Linotype"/>
          <w:i/>
        </w:rPr>
      </w:pPr>
    </w:p>
    <w:p w:rsidR="00DD370B" w:rsidRPr="008D558F" w:rsidRDefault="00DD370B" w:rsidP="00267735">
      <w:pPr>
        <w:spacing w:line="360" w:lineRule="auto"/>
        <w:ind w:left="567" w:right="567"/>
        <w:jc w:val="both"/>
        <w:rPr>
          <w:rFonts w:ascii="Palatino Linotype" w:hAnsi="Palatino Linotype"/>
          <w:i/>
        </w:rPr>
      </w:pPr>
      <w:r w:rsidRPr="008D558F">
        <w:rPr>
          <w:rFonts w:ascii="Palatino Linotype" w:hAnsi="Palatino Linotype"/>
          <w:i/>
        </w:rPr>
        <w:lastRenderedPageBreak/>
        <w:t>En caso que la información solicitada consista en bases de datos se deberá privilegiar la entrega de la misma en formatos abiertos.</w:t>
      </w:r>
    </w:p>
    <w:p w:rsidR="00DD370B" w:rsidRPr="008D558F" w:rsidRDefault="00DD370B" w:rsidP="00267735">
      <w:pPr>
        <w:spacing w:line="360" w:lineRule="auto"/>
        <w:ind w:left="567" w:right="567"/>
        <w:jc w:val="both"/>
        <w:rPr>
          <w:rFonts w:ascii="Palatino Linotype" w:hAnsi="Palatino Linotype" w:cs="Arial"/>
          <w:i/>
          <w:u w:val="single"/>
        </w:rPr>
      </w:pPr>
      <w:r w:rsidRPr="008D558F">
        <w:rPr>
          <w:rFonts w:ascii="Palatino Linotype" w:hAnsi="Palatino Linotype" w:cs="Arial"/>
          <w:b/>
          <w:i/>
        </w:rPr>
        <w:t>Artículo 166.</w:t>
      </w:r>
      <w:r w:rsidRPr="008D558F">
        <w:rPr>
          <w:rFonts w:ascii="Palatino Linotype" w:hAnsi="Palatino Linotype" w:cs="Arial"/>
          <w:i/>
        </w:rPr>
        <w:t xml:space="preserve"> </w:t>
      </w:r>
      <w:r w:rsidRPr="008D558F">
        <w:rPr>
          <w:rFonts w:ascii="Palatino Linotype" w:hAnsi="Palatino Linotype" w:cs="Arial"/>
          <w:i/>
          <w:u w:val="single"/>
        </w:rPr>
        <w:t>La obligación de acceso a la información pública se tendrá por cumplida cuando el solicitante tenga a su disposición la información requerida, o cuando realice la consulta de la misma en el lugar en el que ésta se localice.</w:t>
      </w:r>
    </w:p>
    <w:p w:rsidR="00DD370B" w:rsidRPr="008D558F" w:rsidRDefault="00DD370B" w:rsidP="00267735">
      <w:pPr>
        <w:spacing w:line="360" w:lineRule="auto"/>
        <w:ind w:left="567" w:right="567"/>
        <w:jc w:val="both"/>
        <w:rPr>
          <w:rFonts w:ascii="Palatino Linotype" w:hAnsi="Palatino Linotype" w:cs="Arial"/>
        </w:rPr>
      </w:pPr>
      <w:r w:rsidRPr="008D558F">
        <w:rPr>
          <w:rFonts w:ascii="Palatino Linotype" w:hAnsi="Palatino Linotype" w:cs="Arial"/>
        </w:rPr>
        <w:t>Énfasis añadido</w:t>
      </w:r>
    </w:p>
    <w:p w:rsidR="00DD370B" w:rsidRPr="008D558F" w:rsidRDefault="00DD370B" w:rsidP="00267735">
      <w:pPr>
        <w:spacing w:line="360" w:lineRule="auto"/>
        <w:jc w:val="both"/>
        <w:rPr>
          <w:rFonts w:ascii="Palatino Linotype" w:hAnsi="Palatino Linotype"/>
        </w:rPr>
      </w:pPr>
    </w:p>
    <w:p w:rsidR="00DD370B" w:rsidRPr="008D558F" w:rsidRDefault="00DD370B" w:rsidP="00267735">
      <w:pPr>
        <w:numPr>
          <w:ilvl w:val="0"/>
          <w:numId w:val="1"/>
        </w:numPr>
        <w:spacing w:line="360" w:lineRule="auto"/>
        <w:ind w:left="0" w:right="49" w:firstLine="0"/>
        <w:jc w:val="both"/>
        <w:rPr>
          <w:rFonts w:ascii="Palatino Linotype" w:hAnsi="Palatino Linotype"/>
          <w:color w:val="000000"/>
        </w:rPr>
      </w:pPr>
      <w:r w:rsidRPr="008D558F">
        <w:rPr>
          <w:rFonts w:ascii="Palatino Linotype" w:hAnsi="Palatino Linotype"/>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DD370B" w:rsidRPr="008D558F" w:rsidRDefault="00DD370B" w:rsidP="00267735">
      <w:pPr>
        <w:spacing w:line="360" w:lineRule="auto"/>
        <w:rPr>
          <w:rFonts w:ascii="Palatino Linotype" w:hAnsi="Palatino Linotype"/>
        </w:rPr>
      </w:pPr>
    </w:p>
    <w:p w:rsidR="008704F4" w:rsidRPr="008D558F" w:rsidRDefault="008704F4"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Luego entonces es dable ordenar el soporte documental que dé cuenta de cualquier tipo de ajuste previo a las MIR finales de los años requeridos, como de manera enunciativa mas no limitativa pudieran ser cambios o ajustes en los indicadores, ajustes en las metas (incrementan o reducen en función de los recursos disponibles o los resultados obtenidos en periodos anteriores),  redefinición de las metas para alinearlas con nuevos objetivos estratégicos,  o modificaciones en los medios de verificación, reformulación del fin o propósito para responder a cambios en las políticas públicas o en las necesidades de la población.</w:t>
      </w:r>
    </w:p>
    <w:p w:rsidR="00885F80" w:rsidRPr="008D558F" w:rsidRDefault="00885F80" w:rsidP="00267735">
      <w:pPr>
        <w:spacing w:line="360" w:lineRule="auto"/>
        <w:ind w:right="49"/>
        <w:jc w:val="both"/>
        <w:rPr>
          <w:rFonts w:ascii="Palatino Linotype" w:eastAsia="Palatino Linotype" w:hAnsi="Palatino Linotype" w:cs="Palatino Linotype"/>
        </w:rPr>
      </w:pPr>
    </w:p>
    <w:p w:rsidR="008704F4" w:rsidRPr="008D558F" w:rsidRDefault="008704F4"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 xml:space="preserve">No pasando desapercibido que derivado de la falta de pronunciamiento al respecto, no existe certeza que en los ejercicios de referencia hayan existido tales </w:t>
      </w:r>
      <w:r w:rsidRPr="008D558F">
        <w:rPr>
          <w:rFonts w:ascii="Palatino Linotype" w:eastAsia="Palatino Linotype" w:hAnsi="Palatino Linotype" w:cs="Palatino Linotype"/>
        </w:rPr>
        <w:lastRenderedPageBreak/>
        <w:t>cambios o ajustes, por lo que de ser el caso que derivado de la nueva búsqueda  exhaustiva y razonable del soporte documental de referencia, no hubieren realizado tales ajustes, bastara que lo haga del conocimiento del particular al momento de dar cumplimiento a la presente Resolución, en términos del artículo 19 segundo párrafo de la Ley de la Materia.</w:t>
      </w:r>
    </w:p>
    <w:p w:rsidR="008704F4" w:rsidRPr="008D558F" w:rsidRDefault="008704F4" w:rsidP="00267735">
      <w:pPr>
        <w:spacing w:line="360" w:lineRule="auto"/>
        <w:ind w:right="49"/>
        <w:jc w:val="both"/>
        <w:rPr>
          <w:rFonts w:ascii="Palatino Linotype" w:eastAsia="Palatino Linotype" w:hAnsi="Palatino Linotype" w:cs="Palatino Linotype"/>
        </w:rPr>
      </w:pPr>
    </w:p>
    <w:p w:rsidR="008704F4" w:rsidRPr="008D558F" w:rsidRDefault="008704F4" w:rsidP="00267735">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Finalmente, deviene el siguiente requerimiento de la solicitud de información:</w:t>
      </w:r>
    </w:p>
    <w:p w:rsidR="008704F4" w:rsidRPr="008D558F" w:rsidRDefault="008704F4" w:rsidP="00267735">
      <w:pPr>
        <w:pStyle w:val="Prrafodelista"/>
        <w:spacing w:line="360" w:lineRule="auto"/>
        <w:rPr>
          <w:rFonts w:ascii="Palatino Linotype" w:eastAsia="Palatino Linotype" w:hAnsi="Palatino Linotype" w:cs="Palatino Linotype"/>
        </w:rPr>
      </w:pPr>
    </w:p>
    <w:tbl>
      <w:tblPr>
        <w:tblStyle w:val="Tablaconcuadrcula"/>
        <w:tblW w:w="0" w:type="auto"/>
        <w:tblLayout w:type="fixed"/>
        <w:tblLook w:val="04A0" w:firstRow="1" w:lastRow="0" w:firstColumn="1" w:lastColumn="0" w:noHBand="0" w:noVBand="1"/>
      </w:tblPr>
      <w:tblGrid>
        <w:gridCol w:w="3256"/>
        <w:gridCol w:w="3692"/>
        <w:gridCol w:w="1880"/>
      </w:tblGrid>
      <w:tr w:rsidR="008704F4" w:rsidRPr="008D558F" w:rsidTr="008704F4">
        <w:tc>
          <w:tcPr>
            <w:tcW w:w="3256" w:type="dxa"/>
          </w:tcPr>
          <w:p w:rsidR="008704F4" w:rsidRPr="008D558F" w:rsidRDefault="008704F4"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Solicitud</w:t>
            </w:r>
          </w:p>
        </w:tc>
        <w:tc>
          <w:tcPr>
            <w:tcW w:w="3692" w:type="dxa"/>
          </w:tcPr>
          <w:p w:rsidR="008704F4" w:rsidRPr="008D558F" w:rsidRDefault="008704F4"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Respuesta</w:t>
            </w:r>
          </w:p>
        </w:tc>
        <w:tc>
          <w:tcPr>
            <w:tcW w:w="1880" w:type="dxa"/>
          </w:tcPr>
          <w:p w:rsidR="008704F4" w:rsidRPr="008D558F" w:rsidRDefault="008704F4" w:rsidP="00267735">
            <w:pPr>
              <w:spacing w:line="360" w:lineRule="auto"/>
              <w:ind w:right="49"/>
              <w:jc w:val="center"/>
              <w:rPr>
                <w:rFonts w:ascii="Palatino Linotype" w:eastAsia="Palatino Linotype" w:hAnsi="Palatino Linotype" w:cs="Palatino Linotype"/>
                <w:b/>
              </w:rPr>
            </w:pPr>
            <w:r w:rsidRPr="008D558F">
              <w:rPr>
                <w:rFonts w:ascii="Palatino Linotype" w:eastAsia="Palatino Linotype" w:hAnsi="Palatino Linotype" w:cs="Palatino Linotype"/>
                <w:b/>
              </w:rPr>
              <w:t>Cumplimiento</w:t>
            </w:r>
          </w:p>
        </w:tc>
      </w:tr>
      <w:tr w:rsidR="008704F4" w:rsidRPr="008D558F" w:rsidTr="008704F4">
        <w:tc>
          <w:tcPr>
            <w:tcW w:w="3256" w:type="dxa"/>
          </w:tcPr>
          <w:p w:rsidR="008704F4" w:rsidRPr="008D558F" w:rsidRDefault="008704F4" w:rsidP="00267735">
            <w:pPr>
              <w:spacing w:line="360" w:lineRule="auto"/>
              <w:ind w:right="51"/>
              <w:jc w:val="both"/>
              <w:rPr>
                <w:rFonts w:ascii="Palatino Linotype" w:eastAsia="Palatino Linotype" w:hAnsi="Palatino Linotype" w:cs="Palatino Linotype"/>
              </w:rPr>
            </w:pPr>
            <w:r w:rsidRPr="008D558F">
              <w:rPr>
                <w:rFonts w:ascii="Palatino Linotype" w:eastAsia="Palatino Linotype" w:hAnsi="Palatino Linotype" w:cs="Palatino Linotype"/>
                <w:color w:val="000000"/>
              </w:rPr>
              <w:t>Solicitudes por parte de las dependencias y las autorizaciones por parte de la Dirección General durante la estancia en esa dependencia por parte de la C. Luz María Cuero Hernández, Directora adscrita a la Dirección General de Evaluación del Desempeño Institucional de la Secretaría de Finanzas</w:t>
            </w:r>
          </w:p>
        </w:tc>
        <w:tc>
          <w:tcPr>
            <w:tcW w:w="3692" w:type="dxa"/>
          </w:tcPr>
          <w:p w:rsidR="008704F4" w:rsidRPr="008D558F" w:rsidRDefault="006535A3" w:rsidP="0026773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Informa que derivado de la búsqueda realizada en los archivos de la Dirección de Monitoreo y Evaluación de la Dirección General de Evaluación del Desempeño Institucional, no se encontró información sobre las MIR autorizadas por la servidora pública referida en los ejercicios solicitados, en razón de no corresponder a las funciones de la Dirección de Monitoreo y </w:t>
            </w:r>
            <w:r w:rsidRPr="008D558F">
              <w:rPr>
                <w:rFonts w:ascii="Palatino Linotype" w:eastAsia="Palatino Linotype" w:hAnsi="Palatino Linotype" w:cs="Palatino Linotype"/>
                <w:color w:val="000000"/>
              </w:rPr>
              <w:lastRenderedPageBreak/>
              <w:t>Evaluación, según lo establecido en el Manual General de Organización de la Secretaria de Finanzas.</w:t>
            </w:r>
          </w:p>
          <w:p w:rsidR="006535A3" w:rsidRPr="008D558F" w:rsidRDefault="006535A3" w:rsidP="0026773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tc>
        <w:tc>
          <w:tcPr>
            <w:tcW w:w="1880" w:type="dxa"/>
          </w:tcPr>
          <w:p w:rsidR="008704F4" w:rsidRPr="008D558F" w:rsidRDefault="006535A3" w:rsidP="00267735">
            <w:pPr>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lastRenderedPageBreak/>
              <w:t>Colma</w:t>
            </w:r>
          </w:p>
        </w:tc>
      </w:tr>
    </w:tbl>
    <w:p w:rsidR="008704F4" w:rsidRPr="008D558F" w:rsidRDefault="008704F4" w:rsidP="00267735">
      <w:pPr>
        <w:spacing w:line="360" w:lineRule="auto"/>
        <w:ind w:right="49"/>
        <w:jc w:val="both"/>
        <w:rPr>
          <w:rFonts w:ascii="Palatino Linotype" w:eastAsia="Palatino Linotype" w:hAnsi="Palatino Linotype" w:cs="Palatino Linotype"/>
        </w:rPr>
      </w:pPr>
    </w:p>
    <w:p w:rsidR="00C216E0" w:rsidRPr="008D558F" w:rsidRDefault="006535A3" w:rsidP="00C216E0">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Como se desprende del cuadro anterior, se tiene por colmado el requerimient</w:t>
      </w:r>
      <w:r w:rsidR="00B91685" w:rsidRPr="008D558F">
        <w:rPr>
          <w:rFonts w:ascii="Palatino Linotype" w:eastAsia="Palatino Linotype" w:hAnsi="Palatino Linotype" w:cs="Palatino Linotype"/>
        </w:rPr>
        <w:t xml:space="preserve">o de referencia; toda vez que tanto en la respuesta inicial como informe justificado, el </w:t>
      </w:r>
      <w:r w:rsidR="00B91685" w:rsidRPr="008D558F">
        <w:rPr>
          <w:rFonts w:ascii="Palatino Linotype" w:eastAsia="Palatino Linotype" w:hAnsi="Palatino Linotype" w:cs="Palatino Linotype"/>
          <w:b/>
        </w:rPr>
        <w:t>SUJETO OBLIGADO</w:t>
      </w:r>
      <w:r w:rsidR="00B91685" w:rsidRPr="008D558F">
        <w:rPr>
          <w:rFonts w:ascii="Palatino Linotype" w:eastAsia="Palatino Linotype" w:hAnsi="Palatino Linotype" w:cs="Palatino Linotype"/>
        </w:rPr>
        <w:t xml:space="preserve"> refiere que no se localizó la información relativa a</w:t>
      </w:r>
      <w:r w:rsidR="00B91685" w:rsidRPr="008D558F">
        <w:rPr>
          <w:rFonts w:ascii="Palatino Linotype" w:eastAsia="Palatino Linotype" w:hAnsi="Palatino Linotype" w:cs="Palatino Linotype"/>
          <w:color w:val="000000"/>
        </w:rPr>
        <w:t xml:space="preserve"> autorizaciones por la servidora </w:t>
      </w:r>
      <w:r w:rsidR="00C216E0" w:rsidRPr="008D558F">
        <w:rPr>
          <w:rFonts w:ascii="Palatino Linotype" w:eastAsia="Palatino Linotype" w:hAnsi="Palatino Linotype" w:cs="Palatino Linotype"/>
          <w:color w:val="000000"/>
        </w:rPr>
        <w:t>pública</w:t>
      </w:r>
      <w:r w:rsidR="00B91685" w:rsidRPr="008D558F">
        <w:rPr>
          <w:rFonts w:ascii="Palatino Linotype" w:eastAsia="Palatino Linotype" w:hAnsi="Palatino Linotype" w:cs="Palatino Linotype"/>
          <w:color w:val="000000"/>
        </w:rPr>
        <w:t xml:space="preserve"> referida en la solicitud de información para los ejercicios 2021 y 2022, en razón de no corresponder a las funciones de la Dirección de referencia según lo establecido en el Manual General de Organizaci</w:t>
      </w:r>
      <w:r w:rsidR="00FF1879" w:rsidRPr="008D558F">
        <w:rPr>
          <w:rFonts w:ascii="Palatino Linotype" w:eastAsia="Palatino Linotype" w:hAnsi="Palatino Linotype" w:cs="Palatino Linotype"/>
          <w:color w:val="000000"/>
        </w:rPr>
        <w:t xml:space="preserve">ón de la Secretaria de Finanzas, el cual ciertamente establece que sus funciones y atribuciones corresponden de manera general a planear, coordinar, diseñar, dirigir, promover, impulsar y ejecutar las acciones inherentes a la implementación de la Gestión para Resultados (GpR), Presupuesto basado en Resultados (PbR), Metodología del Marco Lógico (MML) y Sistema de Evaluación del Desempeño (SED) en la administración pública estatal; además de promover mejoras en el ciclo presupuestario, para el logro de resultados en el desarrollo de las políticas públicas. </w:t>
      </w:r>
      <w:r w:rsidR="00FF1879" w:rsidRPr="008D558F">
        <w:rPr>
          <w:rFonts w:ascii="Palatino Linotype" w:eastAsia="Palatino Linotype" w:hAnsi="Palatino Linotype" w:cs="Palatino Linotype"/>
        </w:rPr>
        <w:t xml:space="preserve"> </w:t>
      </w:r>
    </w:p>
    <w:p w:rsidR="00C216E0" w:rsidRPr="008D558F" w:rsidRDefault="00C216E0" w:rsidP="00C216E0">
      <w:pPr>
        <w:spacing w:line="360" w:lineRule="auto"/>
        <w:ind w:right="49"/>
        <w:jc w:val="both"/>
        <w:rPr>
          <w:rFonts w:ascii="Palatino Linotype" w:eastAsia="Palatino Linotype" w:hAnsi="Palatino Linotype" w:cs="Palatino Linotype"/>
        </w:rPr>
      </w:pPr>
    </w:p>
    <w:p w:rsidR="00C216E0" w:rsidRPr="008D558F" w:rsidRDefault="00FF1879" w:rsidP="00C216E0">
      <w:pPr>
        <w:numPr>
          <w:ilvl w:val="0"/>
          <w:numId w:val="1"/>
        </w:numPr>
        <w:spacing w:line="360" w:lineRule="auto"/>
        <w:ind w:left="0" w:right="49" w:firstLine="0"/>
        <w:jc w:val="both"/>
        <w:rPr>
          <w:rFonts w:ascii="Palatino Linotype" w:eastAsia="Palatino Linotype" w:hAnsi="Palatino Linotype" w:cs="Palatino Linotype"/>
        </w:rPr>
      </w:pPr>
      <w:r w:rsidRPr="008D558F">
        <w:rPr>
          <w:rFonts w:ascii="Palatino Linotype" w:eastAsia="Palatino Linotype" w:hAnsi="Palatino Linotype" w:cs="Palatino Linotype"/>
        </w:rPr>
        <w:t xml:space="preserve">De modo tal que se actualiza la figura denominada hechos negativos </w:t>
      </w:r>
      <w:r w:rsidR="006027C3" w:rsidRPr="008D558F">
        <w:rPr>
          <w:rFonts w:ascii="Palatino Linotype" w:hAnsi="Palatino Linotype"/>
        </w:rPr>
        <w:t xml:space="preserve">destacando entonces que el Pleno de este Organismo </w:t>
      </w:r>
      <w:r w:rsidR="006027C3" w:rsidRPr="008D558F">
        <w:rPr>
          <w:rFonts w:ascii="Palatino Linotype" w:eastAsia="Palatino Linotype" w:hAnsi="Palatino Linotype" w:cs="Palatino Linotype"/>
        </w:rPr>
        <w:t>Garante</w:t>
      </w:r>
      <w:r w:rsidR="006027C3" w:rsidRPr="008D558F">
        <w:rPr>
          <w:rFonts w:ascii="Palatino Linotype" w:hAnsi="Palatino Linotype"/>
        </w:rPr>
        <w:t xml:space="preserve">, ha sostenido que ante la presencia de un hecho negativo, resultaría innecesaria una declaratoria de </w:t>
      </w:r>
      <w:r w:rsidR="006027C3" w:rsidRPr="008D558F">
        <w:rPr>
          <w:rFonts w:ascii="Palatino Linotype" w:hAnsi="Palatino Linotype"/>
        </w:rPr>
        <w:lastRenderedPageBreak/>
        <w:t>inexistencia en términos de los artículos 19, 169 y 170 de la Ley de Transparencia y Acceso a la Información Pública del Estado de México y Municipios, y ante una hecho negativo resulta aplicable la siguiente tesis:</w:t>
      </w:r>
    </w:p>
    <w:p w:rsidR="00C216E0" w:rsidRPr="008D558F" w:rsidRDefault="00C216E0" w:rsidP="00C216E0">
      <w:pPr>
        <w:spacing w:line="360" w:lineRule="auto"/>
        <w:ind w:left="131" w:right="49" w:firstLine="720"/>
        <w:jc w:val="both"/>
        <w:rPr>
          <w:rFonts w:ascii="Palatino Linotype" w:eastAsia="Palatino Linotype" w:hAnsi="Palatino Linotype" w:cs="Palatino Linotype"/>
        </w:rPr>
      </w:pPr>
    </w:p>
    <w:p w:rsidR="006027C3" w:rsidRPr="008D558F" w:rsidRDefault="006027C3" w:rsidP="00C216E0">
      <w:pPr>
        <w:spacing w:line="360" w:lineRule="auto"/>
        <w:ind w:left="131" w:right="49" w:firstLine="720"/>
        <w:jc w:val="both"/>
        <w:rPr>
          <w:rFonts w:ascii="Palatino Linotype" w:eastAsia="Palatino Linotype" w:hAnsi="Palatino Linotype" w:cs="Palatino Linotype"/>
        </w:rPr>
      </w:pPr>
      <w:r w:rsidRPr="008D558F">
        <w:rPr>
          <w:rFonts w:ascii="Palatino Linotype" w:hAnsi="Palatino Linotype"/>
          <w:b/>
          <w:i/>
        </w:rPr>
        <w:t xml:space="preserve">HECHOS NEGATIVOS, NO SON SUSCEPTIBLES DE DEMOSTRACIÓN. </w:t>
      </w:r>
    </w:p>
    <w:p w:rsidR="006027C3" w:rsidRPr="008D558F" w:rsidRDefault="006027C3" w:rsidP="00267735">
      <w:pPr>
        <w:spacing w:line="360" w:lineRule="auto"/>
        <w:ind w:left="851" w:right="567"/>
        <w:jc w:val="both"/>
        <w:rPr>
          <w:rFonts w:ascii="Palatino Linotype" w:hAnsi="Palatino Linotype"/>
          <w:i/>
        </w:rPr>
      </w:pPr>
      <w:r w:rsidRPr="008D558F">
        <w:rPr>
          <w:rFonts w:ascii="Palatino Linotype" w:hAnsi="Palatino Linotype"/>
          <w:i/>
        </w:rPr>
        <w:t xml:space="preserve">Tratándose de un hecho negativo, el Juez no tiene </w:t>
      </w:r>
      <w:r w:rsidR="00C216E0" w:rsidRPr="008D558F">
        <w:rPr>
          <w:rFonts w:ascii="Palatino Linotype" w:hAnsi="Palatino Linotype"/>
          <w:i/>
        </w:rPr>
        <w:t>por qué</w:t>
      </w:r>
      <w:r w:rsidRPr="008D558F">
        <w:rPr>
          <w:rFonts w:ascii="Palatino Linotype" w:hAnsi="Palatino Linotype"/>
          <w:i/>
        </w:rPr>
        <w:t xml:space="preserve"> invocar prueba alguna de la que se desprenda, ya que es bien sabido que esta clase de hechos no son susceptibles de demostración.</w:t>
      </w:r>
    </w:p>
    <w:p w:rsidR="00C216E0" w:rsidRPr="008D558F" w:rsidRDefault="006027C3" w:rsidP="00C216E0">
      <w:pPr>
        <w:spacing w:line="360" w:lineRule="auto"/>
        <w:ind w:left="851" w:right="567"/>
        <w:jc w:val="both"/>
        <w:rPr>
          <w:rFonts w:ascii="Palatino Linotype" w:hAnsi="Palatino Linotype"/>
          <w:i/>
        </w:rPr>
      </w:pPr>
      <w:r w:rsidRPr="008D558F">
        <w:rPr>
          <w:rFonts w:ascii="Palatino Linotype" w:hAnsi="Palatino Linotype"/>
          <w:i/>
        </w:rPr>
        <w:t>Amparo en revisión 2022/61. José García Florín (Menor). 9 de octubre de 1961. Cinco votos. Ponente: José Rivera Pérez Campos.”</w:t>
      </w:r>
    </w:p>
    <w:p w:rsidR="00C216E0" w:rsidRPr="008D558F" w:rsidRDefault="00C216E0" w:rsidP="00C216E0">
      <w:pPr>
        <w:spacing w:line="360" w:lineRule="auto"/>
        <w:ind w:right="567"/>
        <w:jc w:val="both"/>
        <w:rPr>
          <w:rFonts w:ascii="Palatino Linotype" w:hAnsi="Palatino Linotype"/>
          <w:i/>
        </w:rPr>
      </w:pPr>
    </w:p>
    <w:p w:rsidR="00C216E0" w:rsidRPr="008D558F" w:rsidRDefault="006027C3" w:rsidP="00C216E0">
      <w:pPr>
        <w:pStyle w:val="Prrafodelista"/>
        <w:numPr>
          <w:ilvl w:val="0"/>
          <w:numId w:val="1"/>
        </w:numPr>
        <w:spacing w:line="360" w:lineRule="auto"/>
        <w:ind w:left="0" w:right="567" w:firstLine="0"/>
        <w:jc w:val="both"/>
        <w:rPr>
          <w:rFonts w:ascii="Palatino Linotype" w:hAnsi="Palatino Linotype"/>
          <w:i/>
        </w:rPr>
      </w:pPr>
      <w:r w:rsidRPr="008D558F">
        <w:rPr>
          <w:rFonts w:ascii="Palatino Linotype" w:hAnsi="Palatino Linotype"/>
        </w:rPr>
        <w:t xml:space="preserve">Además, y de conformidad con lo establecido en el artículo 12 de la </w:t>
      </w:r>
      <w:r w:rsidRPr="008D558F">
        <w:rPr>
          <w:rFonts w:ascii="Palatino Linotype" w:hAnsi="Palatino Linotype"/>
          <w:b/>
        </w:rPr>
        <w:t>Ley de Transparencia y Acceso a la Información Pública del Estado de México y Municipios</w:t>
      </w:r>
      <w:r w:rsidRPr="008D558F">
        <w:rPr>
          <w:rFonts w:ascii="Palatino Linotype" w:hAnsi="Palatino Linotype"/>
        </w:rPr>
        <w:t xml:space="preserve">, anteriormente invocado, el </w:t>
      </w:r>
      <w:r w:rsidRPr="008D558F">
        <w:rPr>
          <w:rFonts w:ascii="Palatino Linotype" w:hAnsi="Palatino Linotype"/>
          <w:b/>
        </w:rPr>
        <w:t>SUJETO OBLIGADO</w:t>
      </w:r>
      <w:r w:rsidRPr="008D558F">
        <w:rPr>
          <w:rFonts w:ascii="Palatino Linotype" w:hAnsi="Palatino Linotype"/>
        </w:rPr>
        <w:t xml:space="preserve"> únicamente proporcionará la información que obra en sus archivos, lo que a</w:t>
      </w:r>
      <w:r w:rsidRPr="008D558F">
        <w:rPr>
          <w:rFonts w:ascii="Palatino Linotype" w:hAnsi="Palatino Linotype"/>
          <w:i/>
        </w:rPr>
        <w:t xml:space="preserve"> contrario sensu</w:t>
      </w:r>
      <w:r w:rsidRPr="008D558F">
        <w:rPr>
          <w:rFonts w:ascii="Palatino Linotype" w:hAnsi="Palatino Linotype"/>
        </w:rPr>
        <w:t xml:space="preserve"> significa que no se está obligado a proporcionar lo que no obre en sus archivos.</w:t>
      </w:r>
    </w:p>
    <w:p w:rsidR="00C216E0" w:rsidRPr="008D558F" w:rsidRDefault="00C216E0" w:rsidP="00C216E0">
      <w:pPr>
        <w:pStyle w:val="Prrafodelista"/>
        <w:spacing w:line="360" w:lineRule="auto"/>
        <w:ind w:left="0" w:right="567"/>
        <w:jc w:val="both"/>
        <w:rPr>
          <w:rFonts w:ascii="Palatino Linotype" w:hAnsi="Palatino Linotype"/>
          <w:i/>
        </w:rPr>
      </w:pPr>
    </w:p>
    <w:p w:rsidR="00C216E0" w:rsidRPr="008D558F" w:rsidRDefault="006027C3" w:rsidP="00C216E0">
      <w:pPr>
        <w:pStyle w:val="Prrafodelista"/>
        <w:numPr>
          <w:ilvl w:val="0"/>
          <w:numId w:val="1"/>
        </w:numPr>
        <w:spacing w:line="360" w:lineRule="auto"/>
        <w:ind w:left="0" w:right="567" w:firstLine="0"/>
        <w:jc w:val="both"/>
        <w:rPr>
          <w:rFonts w:ascii="Palatino Linotype" w:hAnsi="Palatino Linotype"/>
          <w:i/>
        </w:rPr>
      </w:pPr>
      <w:r w:rsidRPr="008D558F">
        <w:rPr>
          <w:rFonts w:ascii="Palatino Linotype" w:eastAsia="Palatino Linotype" w:hAnsi="Palatino Linotype" w:cs="Palatino Linotype"/>
        </w:rPr>
        <w:t xml:space="preserve">En ese sentido también es importante destacar que este Instituto no se encuentra facultado para pronunciarse sobre la veracidad de la información que los Sujetos Obligados ponen a disposición de los solicitantes; situación que se aleja de las atribuciones de este Instituto </w:t>
      </w:r>
      <w:r w:rsidRPr="008D558F">
        <w:rPr>
          <w:rFonts w:ascii="Palatino Linotype" w:eastAsia="Palatino Linotype" w:hAnsi="Palatino Linotype" w:cs="Palatino Linotype"/>
          <w:i/>
          <w:color w:val="000000"/>
        </w:rPr>
        <w:t>máxime</w:t>
      </w:r>
      <w:r w:rsidRPr="008D558F">
        <w:rPr>
          <w:rFonts w:ascii="Palatino Linotype" w:eastAsia="Palatino Linotype" w:hAnsi="Palatino Linotype" w:cs="Palatino Linotype"/>
          <w:color w:val="000000"/>
        </w:rPr>
        <w:t xml:space="preserve"> que </w:t>
      </w:r>
      <w:r w:rsidRPr="008D558F">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6027C3" w:rsidRPr="008D558F" w:rsidRDefault="006027C3" w:rsidP="00C216E0">
      <w:pPr>
        <w:pStyle w:val="Prrafodelista"/>
        <w:numPr>
          <w:ilvl w:val="0"/>
          <w:numId w:val="1"/>
        </w:numPr>
        <w:spacing w:line="360" w:lineRule="auto"/>
        <w:ind w:left="0" w:right="567" w:firstLine="0"/>
        <w:jc w:val="both"/>
        <w:rPr>
          <w:rFonts w:ascii="Palatino Linotype" w:hAnsi="Palatino Linotype"/>
          <w:i/>
        </w:rPr>
      </w:pPr>
      <w:r w:rsidRPr="008D558F">
        <w:rPr>
          <w:rFonts w:ascii="Palatino Linotype" w:eastAsia="Palatino Linotype" w:hAnsi="Palatino Linotype" w:cs="Palatino Linotype"/>
          <w:color w:val="000000"/>
        </w:rPr>
        <w:lastRenderedPageBreak/>
        <w:t xml:space="preserve">Así mismo, la </w:t>
      </w:r>
      <w:r w:rsidRPr="008D558F">
        <w:rPr>
          <w:rFonts w:ascii="Palatino Linotype" w:eastAsia="Palatino Linotype" w:hAnsi="Palatino Linotype" w:cs="Palatino Linotype"/>
          <w:b/>
          <w:color w:val="000000"/>
        </w:rPr>
        <w:t>Ley de Transparencia y Acceso a la Información Pública del Estado de México y Municipios</w:t>
      </w:r>
      <w:r w:rsidRPr="008D558F">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w:t>
      </w:r>
      <w:r w:rsidR="00C216E0" w:rsidRPr="008D558F">
        <w:rPr>
          <w:rFonts w:ascii="Palatino Linotype" w:eastAsia="Palatino Linotype" w:hAnsi="Palatino Linotype" w:cs="Palatino Linotype"/>
          <w:color w:val="000000"/>
        </w:rPr>
        <w:t>n comento que a la letra señala:</w:t>
      </w:r>
    </w:p>
    <w:p w:rsidR="00C216E0" w:rsidRPr="008D558F" w:rsidRDefault="00C216E0" w:rsidP="00C216E0">
      <w:pPr>
        <w:pStyle w:val="Prrafodelista"/>
        <w:spacing w:line="360" w:lineRule="auto"/>
        <w:ind w:left="0" w:right="567"/>
        <w:jc w:val="both"/>
        <w:rPr>
          <w:rFonts w:ascii="Palatino Linotype" w:hAnsi="Palatino Linotype"/>
          <w:i/>
        </w:rPr>
      </w:pPr>
    </w:p>
    <w:p w:rsidR="006027C3" w:rsidRPr="008D558F" w:rsidRDefault="006027C3" w:rsidP="00267735">
      <w:pPr>
        <w:pBdr>
          <w:top w:val="nil"/>
          <w:left w:val="nil"/>
          <w:bottom w:val="nil"/>
          <w:right w:val="nil"/>
          <w:between w:val="nil"/>
        </w:pBdr>
        <w:spacing w:line="360" w:lineRule="auto"/>
        <w:ind w:left="567" w:right="680"/>
        <w:jc w:val="both"/>
        <w:rPr>
          <w:rFonts w:ascii="Palatino Linotype" w:eastAsia="Palatino Linotype" w:hAnsi="Palatino Linotype" w:cs="Palatino Linotype"/>
          <w:b/>
          <w:i/>
          <w:color w:val="000000"/>
        </w:rPr>
      </w:pPr>
      <w:r w:rsidRPr="008D558F">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D558F">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6027C3" w:rsidRPr="008D558F" w:rsidRDefault="006027C3" w:rsidP="00267735">
      <w:pPr>
        <w:spacing w:line="360" w:lineRule="auto"/>
        <w:ind w:right="-787"/>
        <w:jc w:val="both"/>
        <w:rPr>
          <w:rFonts w:ascii="Palatino Linotype" w:eastAsia="Palatino Linotype" w:hAnsi="Palatino Linotype" w:cs="Palatino Linotype"/>
          <w:b/>
          <w:i/>
        </w:rPr>
      </w:pPr>
    </w:p>
    <w:p w:rsidR="006027C3" w:rsidRPr="008D558F" w:rsidRDefault="00C216E0" w:rsidP="00C216E0">
      <w:pPr>
        <w:spacing w:line="360" w:lineRule="auto"/>
        <w:ind w:right="49"/>
        <w:contextualSpacing/>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color w:val="000000"/>
        </w:rPr>
        <w:t xml:space="preserve">58. </w:t>
      </w:r>
      <w:r w:rsidRPr="008D558F">
        <w:rPr>
          <w:rFonts w:ascii="Palatino Linotype" w:eastAsia="Palatino Linotype" w:hAnsi="Palatino Linotype" w:cs="Palatino Linotype"/>
          <w:b/>
          <w:color w:val="000000"/>
        </w:rPr>
        <w:tab/>
      </w:r>
      <w:r w:rsidR="006027C3" w:rsidRPr="008D558F">
        <w:rPr>
          <w:rFonts w:ascii="Palatino Linotype" w:eastAsia="Palatino Linotype" w:hAnsi="Palatino Linotype" w:cs="Palatino Linotype"/>
          <w:color w:val="000000"/>
        </w:rPr>
        <w:t xml:space="preserve">Numerales que compelen al </w:t>
      </w:r>
      <w:r w:rsidR="006027C3" w:rsidRPr="008D558F">
        <w:rPr>
          <w:rFonts w:ascii="Palatino Linotype" w:eastAsia="Palatino Linotype" w:hAnsi="Palatino Linotype" w:cs="Palatino Linotype"/>
          <w:b/>
          <w:color w:val="000000"/>
        </w:rPr>
        <w:t>SUJETO OBLIGADO</w:t>
      </w:r>
      <w:r w:rsidR="006027C3" w:rsidRPr="008D558F">
        <w:rPr>
          <w:rFonts w:ascii="Palatino Linotype" w:eastAsia="Palatino Linotype" w:hAnsi="Palatino Linotype" w:cs="Palatino Linotype"/>
          <w:color w:val="000000"/>
        </w:rPr>
        <w:t xml:space="preserve"> a apegarse en todo momento a los criterios ya expuestos, </w:t>
      </w:r>
      <w:r w:rsidR="006027C3" w:rsidRPr="008D558F">
        <w:rPr>
          <w:rFonts w:ascii="Palatino Linotype" w:eastAsia="Palatino Linotype" w:hAnsi="Palatino Linotype" w:cs="Palatino Linotype"/>
        </w:rPr>
        <w:t>impidiendo</w:t>
      </w:r>
      <w:r w:rsidR="006027C3" w:rsidRPr="008D558F">
        <w:rPr>
          <w:rFonts w:ascii="Palatino Linotype" w:eastAsia="Palatino Linotype" w:hAnsi="Palatino Linotype" w:cs="Palatino Linotype"/>
          <w:color w:val="000000"/>
        </w:rPr>
        <w:t xml:space="preserve"> a este Órgano Colegiado cuestionar la veracidad de la información. En ese contexto, </w:t>
      </w:r>
      <w:r w:rsidR="00260274" w:rsidRPr="008D558F">
        <w:rPr>
          <w:rFonts w:ascii="Palatino Linotype" w:eastAsia="Palatino Linotype" w:hAnsi="Palatino Linotype" w:cs="Palatino Linotype"/>
          <w:color w:val="000000"/>
        </w:rPr>
        <w:t>se reitera, se tiene por colmado el rubro de mérito</w:t>
      </w:r>
      <w:r w:rsidR="006027C3" w:rsidRPr="008D558F">
        <w:rPr>
          <w:rFonts w:ascii="Palatino Linotype" w:eastAsia="Palatino Linotype" w:hAnsi="Palatino Linotype" w:cs="Palatino Linotype"/>
          <w:color w:val="000000"/>
        </w:rPr>
        <w:t>.</w:t>
      </w:r>
    </w:p>
    <w:p w:rsidR="00C216E0" w:rsidRPr="008D558F" w:rsidRDefault="00C216E0" w:rsidP="00C216E0">
      <w:pPr>
        <w:spacing w:line="360" w:lineRule="auto"/>
        <w:ind w:right="49"/>
        <w:contextualSpacing/>
        <w:jc w:val="both"/>
        <w:rPr>
          <w:rFonts w:ascii="Palatino Linotype" w:eastAsia="Palatino Linotype" w:hAnsi="Palatino Linotype" w:cs="Palatino Linotype"/>
        </w:rPr>
      </w:pPr>
    </w:p>
    <w:p w:rsidR="00C6515E" w:rsidRPr="008D558F" w:rsidRDefault="00C216E0" w:rsidP="00C216E0">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59. </w:t>
      </w:r>
      <w:r w:rsidRPr="008D558F">
        <w:rPr>
          <w:rFonts w:ascii="Palatino Linotype" w:eastAsia="Palatino Linotype" w:hAnsi="Palatino Linotype" w:cs="Palatino Linotype"/>
          <w:b/>
        </w:rPr>
        <w:tab/>
      </w:r>
      <w:r w:rsidR="00C6515E" w:rsidRPr="008D558F">
        <w:rPr>
          <w:rFonts w:ascii="Palatino Linotype" w:eastAsia="Palatino Linotype" w:hAnsi="Palatino Linotype" w:cs="Palatino Linotype"/>
        </w:rPr>
        <w:t xml:space="preserve">Con la determinación anterior quedará por colmado el derecho de acceso a la información del ahora </w:t>
      </w:r>
      <w:r w:rsidR="00C6515E" w:rsidRPr="008D558F">
        <w:rPr>
          <w:rFonts w:ascii="Palatino Linotype" w:eastAsia="Palatino Linotype" w:hAnsi="Palatino Linotype" w:cs="Palatino Linotype"/>
          <w:b/>
        </w:rPr>
        <w:t>RECURRENTE</w:t>
      </w:r>
      <w:r w:rsidR="00C6515E" w:rsidRPr="008D558F">
        <w:rPr>
          <w:rFonts w:ascii="Palatino Linotype" w:eastAsia="Palatino Linotype" w:hAnsi="Palatino Linotype" w:cs="Palatino Linotype"/>
        </w:rPr>
        <w:t xml:space="preserve">; toda vez </w:t>
      </w:r>
      <w:r w:rsidR="00C6515E" w:rsidRPr="008D558F">
        <w:rPr>
          <w:rFonts w:ascii="Palatino Linotype" w:eastAsia="Palatino Linotype" w:hAnsi="Palatino Linotype" w:cs="Palatino Linotype"/>
          <w:color w:val="000000"/>
        </w:rPr>
        <w:t xml:space="preserve">que el Derecho que tutela este Órgano Garante corresponde a la  </w:t>
      </w:r>
      <w:r w:rsidR="00C6515E" w:rsidRPr="008D558F">
        <w:rPr>
          <w:rFonts w:ascii="Palatino Linotype" w:eastAsia="Palatino Linotype" w:hAnsi="Palatino Linotype" w:cs="Palatino Linotype"/>
          <w:i/>
        </w:rPr>
        <w:t xml:space="preserve">igualdad de oportunidades para recibir, buscar e </w:t>
      </w:r>
      <w:r w:rsidR="00C6515E" w:rsidRPr="008D558F">
        <w:rPr>
          <w:rFonts w:ascii="Palatino Linotype" w:eastAsia="Palatino Linotype" w:hAnsi="Palatino Linotype" w:cs="Palatino Linotype"/>
          <w:i/>
        </w:rPr>
        <w:lastRenderedPageBreak/>
        <w:t>impartir información</w:t>
      </w:r>
      <w:r w:rsidR="00C6515E" w:rsidRPr="008D558F">
        <w:rPr>
          <w:rFonts w:ascii="Palatino Linotype" w:eastAsia="Palatino Linotype" w:hAnsi="Palatino Linotype" w:cs="Palatino Linotype"/>
          <w:i/>
          <w:vertAlign w:val="superscript"/>
        </w:rPr>
        <w:footnoteReference w:id="1"/>
      </w:r>
      <w:r w:rsidR="00C6515E" w:rsidRPr="008D558F">
        <w:rPr>
          <w:rFonts w:ascii="Palatino Linotype" w:eastAsia="Palatino Linotype" w:hAnsi="Palatino Linotype" w:cs="Palatino Linotype"/>
          <w:i/>
        </w:rPr>
        <w:t xml:space="preserve"> en posesión de cualquier autoridad, entidad, órgano y organismo </w:t>
      </w:r>
      <w:r w:rsidR="00C6515E" w:rsidRPr="008D558F">
        <w:rPr>
          <w:rFonts w:ascii="Palatino Linotype" w:eastAsia="Palatino Linotype" w:hAnsi="Palatino Linotype" w:cs="Palatino Linotype"/>
          <w:color w:val="000000"/>
        </w:rPr>
        <w:t>de</w:t>
      </w:r>
      <w:r w:rsidR="00C6515E" w:rsidRPr="008D558F">
        <w:rPr>
          <w:rFonts w:ascii="Palatino Linotype" w:eastAsia="Palatino Linotype" w:hAnsi="Palatino Linotype" w:cs="Palatino Linotype"/>
          <w:i/>
        </w:rPr>
        <w:t xml:space="preserv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C6515E" w:rsidRPr="008D558F">
        <w:rPr>
          <w:rFonts w:ascii="Palatino Linotype" w:eastAsia="Palatino Linotype" w:hAnsi="Palatino Linotype" w:cs="Palatino Linotype"/>
          <w:vertAlign w:val="superscript"/>
        </w:rPr>
        <w:footnoteReference w:id="2"/>
      </w:r>
      <w:r w:rsidR="00C6515E" w:rsidRPr="008D558F">
        <w:rPr>
          <w:rFonts w:ascii="Palatino Linotype" w:eastAsia="Palatino Linotype" w:hAnsi="Palatino Linotype" w:cs="Palatino Linotype"/>
          <w:i/>
        </w:rPr>
        <w:t xml:space="preserve"> </w:t>
      </w:r>
      <w:r w:rsidR="00C6515E" w:rsidRPr="008D558F">
        <w:rPr>
          <w:rFonts w:ascii="Palatino Linotype" w:eastAsia="Palatino Linotype" w:hAnsi="Palatino Linotype" w:cs="Palatino Linotype"/>
        </w:rPr>
        <w:t xml:space="preserve">que se constituye como una herramienta fundamental para </w:t>
      </w:r>
      <w:r w:rsidR="00C6515E" w:rsidRPr="008D558F">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sidR="00C6515E" w:rsidRPr="008D558F">
        <w:rPr>
          <w:rFonts w:ascii="Palatino Linotype" w:eastAsia="Palatino Linotype" w:hAnsi="Palatino Linotype" w:cs="Palatino Linotype"/>
          <w:i/>
          <w:vertAlign w:val="superscript"/>
        </w:rPr>
        <w:footnoteReference w:id="3"/>
      </w:r>
      <w:r w:rsidR="00C6515E" w:rsidRPr="008D558F">
        <w:rPr>
          <w:rFonts w:ascii="Palatino Linotype" w:eastAsia="Palatino Linotype" w:hAnsi="Palatino Linotype" w:cs="Palatino Linotype"/>
        </w:rPr>
        <w:t>fomentando</w:t>
      </w:r>
      <w:r w:rsidR="00C6515E" w:rsidRPr="008D558F">
        <w:rPr>
          <w:rFonts w:ascii="Palatino Linotype" w:eastAsia="Palatino Linotype" w:hAnsi="Palatino Linotype" w:cs="Palatino Linotype"/>
          <w:i/>
        </w:rPr>
        <w:t xml:space="preserve"> la transparencia de las actividades estatales y</w:t>
      </w:r>
      <w:r w:rsidR="00C6515E" w:rsidRPr="008D558F">
        <w:rPr>
          <w:rFonts w:ascii="Palatino Linotype" w:eastAsia="Palatino Linotype" w:hAnsi="Palatino Linotype" w:cs="Palatino Linotype"/>
        </w:rPr>
        <w:t xml:space="preserve"> promoviendo</w:t>
      </w:r>
      <w:r w:rsidR="00C6515E" w:rsidRPr="008D558F">
        <w:rPr>
          <w:rFonts w:ascii="Palatino Linotype" w:eastAsia="Palatino Linotype" w:hAnsi="Palatino Linotype" w:cs="Palatino Linotype"/>
          <w:i/>
        </w:rPr>
        <w:t xml:space="preserve"> la responsabilidad de los funcionarios sobre su gestión pública</w:t>
      </w:r>
      <w:r w:rsidR="00C6515E" w:rsidRPr="008D558F">
        <w:rPr>
          <w:rFonts w:ascii="Palatino Linotype" w:eastAsia="Palatino Linotype" w:hAnsi="Palatino Linotype" w:cs="Palatino Linotype"/>
          <w:i/>
          <w:vertAlign w:val="superscript"/>
        </w:rPr>
        <w:footnoteReference w:id="4"/>
      </w:r>
      <w:r w:rsidR="00C6515E" w:rsidRPr="008D558F">
        <w:rPr>
          <w:rFonts w:ascii="Palatino Linotype" w:eastAsia="Palatino Linotype" w:hAnsi="Palatino Linotype" w:cs="Palatino Linotype"/>
          <w:i/>
        </w:rPr>
        <w:t xml:space="preserve"> </w:t>
      </w:r>
      <w:r w:rsidR="00C6515E" w:rsidRPr="008D558F">
        <w:rPr>
          <w:rFonts w:ascii="Palatino Linotype" w:eastAsia="Palatino Linotype" w:hAnsi="Palatino Linotype" w:cs="Palatino Linotype"/>
        </w:rPr>
        <w:t>que permite</w:t>
      </w:r>
      <w:r w:rsidR="00C6515E" w:rsidRPr="008D558F">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sidR="00C6515E" w:rsidRPr="008D558F">
        <w:rPr>
          <w:rFonts w:ascii="Palatino Linotype" w:eastAsia="Palatino Linotype" w:hAnsi="Palatino Linotype" w:cs="Palatino Linotype"/>
          <w:i/>
          <w:vertAlign w:val="superscript"/>
        </w:rPr>
        <w:footnoteReference w:id="5"/>
      </w:r>
      <w:r w:rsidR="00C6515E" w:rsidRPr="008D558F">
        <w:rPr>
          <w:rFonts w:ascii="Palatino Linotype" w:eastAsia="Palatino Linotype" w:hAnsi="Palatino Linotype" w:cs="Palatino Linotype"/>
        </w:rPr>
        <w:t xml:space="preserve"> ” </w:t>
      </w:r>
    </w:p>
    <w:p w:rsidR="00C216E0" w:rsidRPr="008D558F" w:rsidRDefault="00C216E0" w:rsidP="00C216E0">
      <w:pPr>
        <w:spacing w:line="360" w:lineRule="auto"/>
        <w:ind w:right="49"/>
        <w:contextualSpacing/>
        <w:jc w:val="both"/>
        <w:rPr>
          <w:rFonts w:ascii="Palatino Linotype" w:eastAsia="Palatino Linotype" w:hAnsi="Palatino Linotype" w:cs="Palatino Linotype"/>
        </w:rPr>
      </w:pPr>
    </w:p>
    <w:p w:rsidR="00C6515E" w:rsidRPr="008D558F" w:rsidRDefault="00C216E0" w:rsidP="00C216E0">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60. </w:t>
      </w:r>
      <w:r w:rsidRPr="008D558F">
        <w:rPr>
          <w:rFonts w:ascii="Palatino Linotype" w:eastAsia="Palatino Linotype" w:hAnsi="Palatino Linotype" w:cs="Palatino Linotype"/>
          <w:b/>
        </w:rPr>
        <w:tab/>
      </w:r>
      <w:r w:rsidR="00C6515E" w:rsidRPr="008D558F">
        <w:rPr>
          <w:rFonts w:ascii="Palatino Linotype" w:eastAsia="Palatino Linotype" w:hAnsi="Palatino Linotype" w:cs="Palatino Linotype"/>
        </w:rPr>
        <w:t xml:space="preserve">Es así que, todos los actos de autoridad que realicen los Sujetos Obligados </w:t>
      </w:r>
      <w:r w:rsidR="00C6515E" w:rsidRPr="008D558F">
        <w:rPr>
          <w:rFonts w:ascii="Palatino Linotype" w:eastAsia="Palatino Linotype" w:hAnsi="Palatino Linotype" w:cs="Palatino Linotype"/>
          <w:b/>
        </w:rPr>
        <w:t xml:space="preserve">deben estar </w:t>
      </w:r>
      <w:r w:rsidR="00C6515E" w:rsidRPr="008D558F">
        <w:rPr>
          <w:rFonts w:ascii="Palatino Linotype" w:eastAsia="Palatino Linotype" w:hAnsi="Palatino Linotype" w:cs="Palatino Linotype"/>
        </w:rPr>
        <w:t>documentados y, bajo el más alto estándar de transparencia deberán poner toda la información que se encuentre en su posesión, a disposición de los particulares que la soliciten.</w:t>
      </w:r>
    </w:p>
    <w:p w:rsidR="00C6515E" w:rsidRPr="008D558F" w:rsidRDefault="00C216E0" w:rsidP="00C216E0">
      <w:pPr>
        <w:spacing w:line="360" w:lineRule="auto"/>
        <w:ind w:right="49"/>
        <w:contextualSpacing/>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rPr>
        <w:lastRenderedPageBreak/>
        <w:t xml:space="preserve">61. </w:t>
      </w:r>
      <w:r w:rsidRPr="008D558F">
        <w:rPr>
          <w:rFonts w:ascii="Palatino Linotype" w:eastAsia="Palatino Linotype" w:hAnsi="Palatino Linotype" w:cs="Palatino Linotype"/>
          <w:b/>
        </w:rPr>
        <w:tab/>
      </w:r>
      <w:r w:rsidR="00C6515E" w:rsidRPr="008D558F">
        <w:rPr>
          <w:rFonts w:ascii="Palatino Linotype" w:eastAsia="Palatino Linotype" w:hAnsi="Palatino Linotype" w:cs="Palatino Linotype"/>
          <w:color w:val="000000"/>
        </w:rPr>
        <w:t xml:space="preserve">Además, </w:t>
      </w:r>
      <w:r w:rsidR="00C6515E" w:rsidRPr="008D558F">
        <w:rPr>
          <w:rFonts w:ascii="Palatino Linotype" w:eastAsia="Palatino Linotype" w:hAnsi="Palatino Linotype" w:cs="Palatino Linotype"/>
        </w:rPr>
        <w:t>debemos</w:t>
      </w:r>
      <w:r w:rsidR="00C6515E" w:rsidRPr="008D558F">
        <w:rPr>
          <w:rFonts w:ascii="Palatino Linotype" w:eastAsia="Palatino Linotype" w:hAnsi="Palatino Linotype" w:cs="Palatino Linotype"/>
          <w:color w:val="000000"/>
        </w:rPr>
        <w:t xml:space="preserve"> tomar en cuenta los artículos 4 y 12, de la Ley de Transparencia y Acceso a la Información Pública del Estado de México y Municipios, los cuales establecen lo siguiente:</w:t>
      </w:r>
    </w:p>
    <w:p w:rsidR="00C216E0" w:rsidRPr="008D558F" w:rsidRDefault="00C216E0" w:rsidP="00C216E0">
      <w:pPr>
        <w:spacing w:line="360" w:lineRule="auto"/>
        <w:ind w:right="49"/>
        <w:contextualSpacing/>
        <w:jc w:val="both"/>
        <w:rPr>
          <w:rFonts w:ascii="Palatino Linotype" w:eastAsia="Palatino Linotype" w:hAnsi="Palatino Linotype" w:cs="Palatino Linotype"/>
        </w:rPr>
      </w:pPr>
    </w:p>
    <w:p w:rsidR="00C6515E" w:rsidRPr="008D558F" w:rsidRDefault="00C6515E" w:rsidP="00267735">
      <w:pPr>
        <w:spacing w:line="360" w:lineRule="auto"/>
        <w:ind w:left="141" w:right="-220"/>
        <w:jc w:val="both"/>
        <w:rPr>
          <w:rFonts w:ascii="Palatino Linotype" w:eastAsia="Palatino Linotype" w:hAnsi="Palatino Linotype" w:cs="Palatino Linotype"/>
          <w:i/>
        </w:rPr>
      </w:pPr>
      <w:r w:rsidRPr="008D558F">
        <w:rPr>
          <w:rFonts w:ascii="Palatino Linotype" w:eastAsia="Palatino Linotype" w:hAnsi="Palatino Linotype" w:cs="Palatino Linotype"/>
          <w:b/>
          <w:i/>
        </w:rPr>
        <w:t xml:space="preserve">Artículo 4. </w:t>
      </w:r>
      <w:r w:rsidRPr="008D558F">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rsidR="00C6515E" w:rsidRPr="008D558F" w:rsidRDefault="00C6515E" w:rsidP="00267735">
      <w:pPr>
        <w:spacing w:line="360" w:lineRule="auto"/>
        <w:ind w:left="141" w:right="-220"/>
        <w:jc w:val="both"/>
        <w:rPr>
          <w:rFonts w:ascii="Palatino Linotype" w:eastAsia="Palatino Linotype" w:hAnsi="Palatino Linotype" w:cs="Palatino Linotype"/>
          <w:i/>
        </w:rPr>
      </w:pPr>
      <w:r w:rsidRPr="008D558F">
        <w:rPr>
          <w:rFonts w:ascii="Palatino Linotype" w:eastAsia="Palatino Linotype" w:hAnsi="Palatino Linotype" w:cs="Palatino Linotype"/>
          <w:b/>
          <w:i/>
        </w:rPr>
        <w:t>Toda la información</w:t>
      </w:r>
      <w:r w:rsidRPr="008D558F">
        <w:rPr>
          <w:rFonts w:ascii="Palatino Linotype" w:eastAsia="Palatino Linotype" w:hAnsi="Palatino Linotype" w:cs="Palatino Linotype"/>
          <w:i/>
        </w:rPr>
        <w:t xml:space="preserve"> generada, obtenida, adquirida, transformada, administrada o </w:t>
      </w:r>
      <w:r w:rsidRPr="008D558F">
        <w:rPr>
          <w:rFonts w:ascii="Palatino Linotype" w:eastAsia="Palatino Linotype" w:hAnsi="Palatino Linotype" w:cs="Palatino Linotype"/>
          <w:b/>
          <w:i/>
        </w:rPr>
        <w:t>en posesión de los sujetos obligados es pública</w:t>
      </w:r>
      <w:r w:rsidRPr="008D558F">
        <w:rPr>
          <w:rFonts w:ascii="Palatino Linotype" w:eastAsia="Palatino Linotype" w:hAnsi="Palatino Linotype" w:cs="Palatino Linotype"/>
          <w:i/>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6515E" w:rsidRPr="008D558F" w:rsidRDefault="00C6515E" w:rsidP="00267735">
      <w:pPr>
        <w:spacing w:line="360" w:lineRule="auto"/>
        <w:ind w:left="141" w:right="-220"/>
        <w:jc w:val="both"/>
        <w:rPr>
          <w:rFonts w:ascii="Palatino Linotype" w:eastAsia="Palatino Linotype" w:hAnsi="Palatino Linotype" w:cs="Palatino Linotype"/>
          <w:i/>
        </w:rPr>
      </w:pPr>
      <w:r w:rsidRPr="008D558F">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C6515E" w:rsidRPr="008D558F" w:rsidRDefault="00C6515E" w:rsidP="00267735">
      <w:pPr>
        <w:spacing w:line="360" w:lineRule="auto"/>
        <w:ind w:left="141" w:right="-220"/>
        <w:jc w:val="both"/>
        <w:rPr>
          <w:rFonts w:ascii="Palatino Linotype" w:eastAsia="Palatino Linotype" w:hAnsi="Palatino Linotype" w:cs="Palatino Linotype"/>
          <w:i/>
        </w:rPr>
      </w:pPr>
    </w:p>
    <w:p w:rsidR="00C6515E" w:rsidRPr="008D558F" w:rsidRDefault="00C6515E" w:rsidP="00267735">
      <w:pPr>
        <w:spacing w:line="360" w:lineRule="auto"/>
        <w:ind w:left="141" w:right="-220"/>
        <w:jc w:val="both"/>
        <w:rPr>
          <w:rFonts w:ascii="Palatino Linotype" w:eastAsia="Palatino Linotype" w:hAnsi="Palatino Linotype" w:cs="Palatino Linotype"/>
          <w:i/>
        </w:rPr>
      </w:pPr>
      <w:r w:rsidRPr="008D558F">
        <w:rPr>
          <w:rFonts w:ascii="Palatino Linotype" w:eastAsia="Palatino Linotype" w:hAnsi="Palatino Linotype" w:cs="Palatino Linotype"/>
          <w:i/>
        </w:rPr>
        <w:t>Artículo 12. Quienes generen, recopilen, administren, manejen, procesen, archiven o conserven información pública serán responsables de la misma en los términos de las disposiciones jurídicas aplicables.</w:t>
      </w:r>
    </w:p>
    <w:p w:rsidR="00C6515E" w:rsidRPr="008D558F" w:rsidRDefault="00C6515E" w:rsidP="00267735">
      <w:pPr>
        <w:spacing w:line="360" w:lineRule="auto"/>
        <w:ind w:left="141" w:right="-220"/>
        <w:jc w:val="both"/>
        <w:rPr>
          <w:rFonts w:ascii="Palatino Linotype" w:eastAsia="Palatino Linotype" w:hAnsi="Palatino Linotype" w:cs="Palatino Linotype"/>
          <w:i/>
        </w:rPr>
      </w:pPr>
      <w:r w:rsidRPr="008D558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D558F">
        <w:rPr>
          <w:rFonts w:ascii="Palatino Linotype" w:eastAsia="Palatino Linotype" w:hAnsi="Palatino Linotype" w:cs="Palatino Linotype"/>
          <w:i/>
        </w:rPr>
        <w:t xml:space="preserve">. La obligación de </w:t>
      </w:r>
      <w:r w:rsidRPr="008D558F">
        <w:rPr>
          <w:rFonts w:ascii="Palatino Linotype" w:eastAsia="Palatino Linotype" w:hAnsi="Palatino Linotype" w:cs="Palatino Linotype"/>
          <w:i/>
        </w:rPr>
        <w:lastRenderedPageBreak/>
        <w:t>proporcionar información no comprende el procesamiento de la misma, ni el presentarla conforme al interés del solicitante; no estarán obligados a generarla, resumirla, efectuar cálculos o practicar investigaciones.</w:t>
      </w:r>
    </w:p>
    <w:p w:rsidR="00C6515E" w:rsidRPr="008D558F" w:rsidRDefault="00C6515E" w:rsidP="00267735">
      <w:pPr>
        <w:spacing w:line="360" w:lineRule="auto"/>
        <w:ind w:left="141" w:right="-220"/>
        <w:jc w:val="both"/>
        <w:rPr>
          <w:rFonts w:ascii="Palatino Linotype" w:eastAsia="Palatino Linotype" w:hAnsi="Palatino Linotype" w:cs="Palatino Linotype"/>
          <w:i/>
        </w:rPr>
      </w:pPr>
    </w:p>
    <w:p w:rsidR="00C6515E" w:rsidRPr="008D558F" w:rsidRDefault="00C216E0" w:rsidP="00C216E0">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62. </w:t>
      </w:r>
      <w:r w:rsidRPr="008D558F">
        <w:rPr>
          <w:rFonts w:ascii="Palatino Linotype" w:eastAsia="Palatino Linotype" w:hAnsi="Palatino Linotype" w:cs="Palatino Linotype"/>
          <w:b/>
        </w:rPr>
        <w:tab/>
      </w:r>
      <w:r w:rsidR="00C6515E" w:rsidRPr="008D558F">
        <w:rPr>
          <w:rFonts w:ascii="Palatino Linotype" w:eastAsia="Palatino Linotype" w:hAnsi="Palatino Linotype" w:cs="Palatino Linotype"/>
        </w:rPr>
        <w:t xml:space="preserve">Es así </w:t>
      </w:r>
      <w:r w:rsidR="00C6515E" w:rsidRPr="008D558F">
        <w:rPr>
          <w:rFonts w:ascii="Palatino Linotype" w:eastAsia="Palatino Linotype" w:hAnsi="Palatino Linotype" w:cs="Palatino Linotype"/>
          <w:color w:val="000000"/>
        </w:rPr>
        <w:t>que</w:t>
      </w:r>
      <w:r w:rsidR="00C6515E" w:rsidRPr="008D558F">
        <w:rPr>
          <w:rFonts w:ascii="Palatino Linotype" w:eastAsia="Palatino Linotype" w:hAnsi="Palatino Linotype" w:cs="Palatino Linotype"/>
        </w:rPr>
        <w:t xml:space="preserve">, por un lado se tiene la obligación de documentar todos los actos que se lleven a cabo en el </w:t>
      </w:r>
      <w:r w:rsidR="00C6515E" w:rsidRPr="008D558F">
        <w:rPr>
          <w:rFonts w:ascii="Palatino Linotype" w:eastAsia="Palatino Linotype" w:hAnsi="Palatino Linotype" w:cs="Palatino Linotype"/>
          <w:color w:val="000000"/>
        </w:rPr>
        <w:t>ejercicio</w:t>
      </w:r>
      <w:r w:rsidR="00C6515E" w:rsidRPr="008D558F">
        <w:rPr>
          <w:rFonts w:ascii="Palatino Linotype" w:eastAsia="Palatino Linotype" w:hAnsi="Palatino Linotype" w:cs="Palatino Linotype"/>
        </w:rPr>
        <w:t xml:space="preserve"> de sus funciones, atribuciones y competencias, mientras que por otro, se ven impuestos por la obligación de hacer pública toda aquella información que se encuentre en su posesión en estricto apego a los principios de eficacia</w:t>
      </w:r>
      <w:r w:rsidR="00C6515E" w:rsidRPr="008D558F">
        <w:rPr>
          <w:rFonts w:ascii="Palatino Linotype" w:eastAsia="Palatino Linotype" w:hAnsi="Palatino Linotype" w:cs="Palatino Linotype"/>
          <w:vertAlign w:val="superscript"/>
        </w:rPr>
        <w:footnoteReference w:id="6"/>
      </w:r>
      <w:r w:rsidR="00C6515E" w:rsidRPr="008D558F">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C6515E" w:rsidRPr="008D558F" w:rsidRDefault="00C6515E" w:rsidP="00267735">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color w:val="000000"/>
        </w:rPr>
      </w:pPr>
    </w:p>
    <w:p w:rsidR="00C6515E" w:rsidRPr="008D558F" w:rsidRDefault="00C216E0" w:rsidP="00C216E0">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63. </w:t>
      </w:r>
      <w:r w:rsidRPr="008D558F">
        <w:rPr>
          <w:rFonts w:ascii="Palatino Linotype" w:eastAsia="Palatino Linotype" w:hAnsi="Palatino Linotype" w:cs="Palatino Linotype"/>
          <w:b/>
        </w:rPr>
        <w:tab/>
      </w:r>
      <w:r w:rsidR="00C6515E" w:rsidRPr="008D558F">
        <w:rPr>
          <w:rFonts w:ascii="Palatino Linotype" w:eastAsia="Palatino Linotype" w:hAnsi="Palatino Linotype" w:cs="Palatino Linotype"/>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216E0" w:rsidRPr="008D558F" w:rsidRDefault="00C216E0" w:rsidP="00C216E0">
      <w:pPr>
        <w:spacing w:line="360" w:lineRule="auto"/>
        <w:ind w:right="49"/>
        <w:contextualSpacing/>
        <w:jc w:val="both"/>
        <w:rPr>
          <w:rFonts w:ascii="Palatino Linotype" w:eastAsia="Palatino Linotype" w:hAnsi="Palatino Linotype" w:cs="Palatino Linotype"/>
        </w:rPr>
      </w:pPr>
    </w:p>
    <w:p w:rsidR="00C6515E" w:rsidRPr="008D558F" w:rsidRDefault="00C6515E" w:rsidP="00267735">
      <w:pPr>
        <w:pBdr>
          <w:top w:val="nil"/>
          <w:left w:val="nil"/>
          <w:bottom w:val="nil"/>
          <w:right w:val="nil"/>
          <w:between w:val="nil"/>
        </w:pBdr>
        <w:spacing w:line="360" w:lineRule="auto"/>
        <w:ind w:left="283" w:right="-220"/>
        <w:jc w:val="both"/>
        <w:rPr>
          <w:rFonts w:ascii="Palatino Linotype" w:eastAsia="Palatino Linotype" w:hAnsi="Palatino Linotype" w:cs="Palatino Linotype"/>
          <w:i/>
          <w:color w:val="000000"/>
        </w:rPr>
      </w:pPr>
      <w:r w:rsidRPr="008D558F">
        <w:rPr>
          <w:rFonts w:ascii="Palatino Linotype" w:eastAsia="Palatino Linotype" w:hAnsi="Palatino Linotype" w:cs="Palatino Linotype"/>
          <w:b/>
          <w:i/>
          <w:color w:val="000000"/>
        </w:rPr>
        <w:t>“ACCESO A LA INFORMACIÓN. IMPLICACIÓN DEL PRINCIPIO DE MÁXIMA PUBLICIDAD EN EL DERECHO FUNDAMENTAL RELATIVO.</w:t>
      </w:r>
      <w:r w:rsidRPr="008D558F">
        <w:rPr>
          <w:rFonts w:ascii="Palatino Linotype" w:eastAsia="Palatino Linotype" w:hAnsi="Palatino Linotype" w:cs="Palatino Linotype"/>
          <w:i/>
          <w:color w:val="000000"/>
        </w:rPr>
        <w:t xml:space="preserve"> Del artículo 6o. de la Constitución Política de los Estados Unidos Mexicanos se advierte que el Estado </w:t>
      </w:r>
      <w:r w:rsidRPr="008D558F">
        <w:rPr>
          <w:rFonts w:ascii="Palatino Linotype" w:eastAsia="Palatino Linotype" w:hAnsi="Palatino Linotype" w:cs="Palatino Linotype"/>
          <w:i/>
          <w:color w:val="000000"/>
        </w:rPr>
        <w:lastRenderedPageBreak/>
        <w:t>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C6515E" w:rsidRPr="008D558F" w:rsidRDefault="00C6515E" w:rsidP="00267735">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C6515E" w:rsidRPr="008D558F" w:rsidRDefault="00C216E0" w:rsidP="00C216E0">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color w:val="222222"/>
        </w:rPr>
        <w:t xml:space="preserve">64. </w:t>
      </w:r>
      <w:r w:rsidRPr="008D558F">
        <w:rPr>
          <w:rFonts w:ascii="Palatino Linotype" w:eastAsia="Palatino Linotype" w:hAnsi="Palatino Linotype" w:cs="Palatino Linotype"/>
          <w:b/>
          <w:color w:val="222222"/>
        </w:rPr>
        <w:tab/>
      </w:r>
      <w:r w:rsidR="00C6515E" w:rsidRPr="008D558F">
        <w:rPr>
          <w:rFonts w:ascii="Palatino Linotype" w:eastAsia="Palatino Linotype" w:hAnsi="Palatino Linotype" w:cs="Palatino Linotype"/>
          <w:color w:val="222222"/>
        </w:rPr>
        <w:t xml:space="preserve">Por lo </w:t>
      </w:r>
      <w:r w:rsidR="00C6515E" w:rsidRPr="008D558F">
        <w:rPr>
          <w:rFonts w:ascii="Palatino Linotype" w:eastAsia="Palatino Linotype" w:hAnsi="Palatino Linotype" w:cs="Palatino Linotype"/>
        </w:rPr>
        <w:t>anteriormente</w:t>
      </w:r>
      <w:r w:rsidR="00C6515E" w:rsidRPr="008D558F">
        <w:rPr>
          <w:rFonts w:ascii="Palatino Linotype" w:eastAsia="Palatino Linotype" w:hAnsi="Palatino Linotype" w:cs="Palatino Linotype"/>
          <w:color w:val="222222"/>
        </w:rPr>
        <w:t xml:space="preserve"> expuesto y fundado, este </w:t>
      </w:r>
      <w:r w:rsidR="00C6515E" w:rsidRPr="008D558F">
        <w:rPr>
          <w:rFonts w:ascii="Palatino Linotype" w:eastAsia="Palatino Linotype" w:hAnsi="Palatino Linotype" w:cs="Palatino Linotype"/>
          <w:b/>
          <w:color w:val="222222"/>
        </w:rPr>
        <w:t>ÓRGANO GARANTE</w:t>
      </w:r>
      <w:r w:rsidR="00C6515E" w:rsidRPr="008D558F">
        <w:rPr>
          <w:rFonts w:ascii="Palatino Linotype" w:eastAsia="Palatino Linotype" w:hAnsi="Palatino Linotype" w:cs="Palatino Linotype"/>
          <w:color w:val="222222"/>
        </w:rPr>
        <w:t xml:space="preserve"> emite los siguientes:</w:t>
      </w:r>
    </w:p>
    <w:p w:rsidR="00C6515E" w:rsidRPr="008D558F" w:rsidRDefault="00C6515E" w:rsidP="00267735">
      <w:pPr>
        <w:pBdr>
          <w:top w:val="nil"/>
          <w:left w:val="nil"/>
          <w:bottom w:val="nil"/>
          <w:right w:val="nil"/>
          <w:between w:val="nil"/>
        </w:pBdr>
        <w:spacing w:line="360" w:lineRule="auto"/>
        <w:ind w:left="-425" w:right="-787"/>
        <w:rPr>
          <w:rFonts w:ascii="Palatino Linotype" w:eastAsia="Palatino Linotype" w:hAnsi="Palatino Linotype" w:cs="Palatino Linotype"/>
          <w:color w:val="000000"/>
        </w:rPr>
      </w:pPr>
    </w:p>
    <w:p w:rsidR="00C216E0" w:rsidRPr="008D558F" w:rsidRDefault="00C216E0" w:rsidP="00267735">
      <w:pPr>
        <w:pBdr>
          <w:top w:val="nil"/>
          <w:left w:val="nil"/>
          <w:bottom w:val="nil"/>
          <w:right w:val="nil"/>
          <w:between w:val="nil"/>
        </w:pBdr>
        <w:spacing w:line="360" w:lineRule="auto"/>
        <w:ind w:left="-425" w:right="-787"/>
        <w:rPr>
          <w:rFonts w:ascii="Palatino Linotype" w:eastAsia="Palatino Linotype" w:hAnsi="Palatino Linotype" w:cs="Palatino Linotype"/>
          <w:color w:val="000000"/>
        </w:rPr>
      </w:pPr>
    </w:p>
    <w:p w:rsidR="00C6515E" w:rsidRPr="008D558F" w:rsidRDefault="00C6515E" w:rsidP="00267735">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8D558F">
        <w:rPr>
          <w:rFonts w:ascii="Palatino Linotype" w:eastAsia="Palatino Linotype" w:hAnsi="Palatino Linotype" w:cs="Palatino Linotype"/>
          <w:b/>
          <w:color w:val="000000"/>
        </w:rPr>
        <w:lastRenderedPageBreak/>
        <w:t>R E S O L U T I V O S</w:t>
      </w:r>
    </w:p>
    <w:p w:rsidR="00C6515E" w:rsidRPr="008D558F" w:rsidRDefault="00C6515E" w:rsidP="00267735">
      <w:pPr>
        <w:spacing w:line="360" w:lineRule="auto"/>
        <w:ind w:right="49"/>
        <w:contextualSpacing/>
        <w:jc w:val="both"/>
        <w:rPr>
          <w:rFonts w:ascii="Palatino Linotype" w:eastAsia="Palatino Linotype" w:hAnsi="Palatino Linotype" w:cs="Palatino Linotype"/>
          <w:b/>
          <w:color w:val="000000"/>
        </w:rPr>
      </w:pPr>
    </w:p>
    <w:p w:rsidR="00C6515E" w:rsidRPr="008D558F" w:rsidRDefault="00C6515E" w:rsidP="00267735">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PRIMERO. </w:t>
      </w:r>
      <w:r w:rsidRPr="008D558F">
        <w:rPr>
          <w:rFonts w:ascii="Palatino Linotype" w:eastAsia="Palatino Linotype" w:hAnsi="Palatino Linotype" w:cs="Palatino Linotype"/>
          <w:color w:val="222222"/>
        </w:rPr>
        <w:t>Resultan</w:t>
      </w:r>
      <w:r w:rsidRPr="008D558F">
        <w:rPr>
          <w:rFonts w:ascii="Palatino Linotype" w:eastAsia="Palatino Linotype" w:hAnsi="Palatino Linotype" w:cs="Palatino Linotype"/>
        </w:rPr>
        <w:t xml:space="preserve"> parcialmente fundadas las</w:t>
      </w:r>
      <w:r w:rsidRPr="008D558F">
        <w:rPr>
          <w:rFonts w:ascii="Palatino Linotype" w:eastAsia="Palatino Linotype" w:hAnsi="Palatino Linotype" w:cs="Palatino Linotype"/>
          <w:b/>
        </w:rPr>
        <w:t xml:space="preserve"> </w:t>
      </w:r>
      <w:r w:rsidRPr="008D558F">
        <w:rPr>
          <w:rFonts w:ascii="Palatino Linotype" w:eastAsia="Palatino Linotype" w:hAnsi="Palatino Linotype" w:cs="Palatino Linotype"/>
        </w:rPr>
        <w:t>razones o motivos de inconformidad hechos valer en el Recurso de Revisión</w:t>
      </w:r>
      <w:r w:rsidRPr="008D558F">
        <w:rPr>
          <w:rFonts w:ascii="Palatino Linotype" w:eastAsia="Palatino Linotype" w:hAnsi="Palatino Linotype" w:cs="Palatino Linotype"/>
          <w:b/>
        </w:rPr>
        <w:t xml:space="preserve"> 06493/INFOEM/IP/RR/2024 </w:t>
      </w:r>
      <w:r w:rsidRPr="008D558F">
        <w:rPr>
          <w:rFonts w:ascii="Palatino Linotype" w:eastAsia="Palatino Linotype" w:hAnsi="Palatino Linotype" w:cs="Palatino Linotype"/>
        </w:rPr>
        <w:t>en términos del</w:t>
      </w:r>
      <w:r w:rsidRPr="008D558F">
        <w:rPr>
          <w:rFonts w:ascii="Palatino Linotype" w:eastAsia="Palatino Linotype" w:hAnsi="Palatino Linotype" w:cs="Palatino Linotype"/>
          <w:b/>
        </w:rPr>
        <w:t xml:space="preserve"> Considerando</w:t>
      </w:r>
      <w:r w:rsidRPr="008D558F">
        <w:rPr>
          <w:rFonts w:ascii="Palatino Linotype" w:eastAsia="Palatino Linotype" w:hAnsi="Palatino Linotype" w:cs="Palatino Linotype"/>
        </w:rPr>
        <w:t xml:space="preserve"> </w:t>
      </w:r>
      <w:r w:rsidRPr="008D558F">
        <w:rPr>
          <w:rFonts w:ascii="Palatino Linotype" w:eastAsia="Palatino Linotype" w:hAnsi="Palatino Linotype" w:cs="Palatino Linotype"/>
          <w:b/>
        </w:rPr>
        <w:t>CUARTO</w:t>
      </w:r>
      <w:r w:rsidRPr="008D558F">
        <w:rPr>
          <w:rFonts w:ascii="Palatino Linotype" w:eastAsia="Palatino Linotype" w:hAnsi="Palatino Linotype" w:cs="Palatino Linotype"/>
        </w:rPr>
        <w:t xml:space="preserve"> de la presente Resolución.</w:t>
      </w:r>
    </w:p>
    <w:p w:rsidR="00C6515E" w:rsidRPr="008D558F" w:rsidRDefault="00C6515E" w:rsidP="00267735">
      <w:pPr>
        <w:spacing w:line="360" w:lineRule="auto"/>
        <w:ind w:left="-425" w:right="-787"/>
        <w:jc w:val="both"/>
        <w:rPr>
          <w:rFonts w:ascii="Palatino Linotype" w:eastAsia="Palatino Linotype" w:hAnsi="Palatino Linotype" w:cs="Palatino Linotype"/>
        </w:rPr>
      </w:pPr>
    </w:p>
    <w:p w:rsidR="00C6515E" w:rsidRPr="008D558F" w:rsidRDefault="00C6515E" w:rsidP="00267735">
      <w:pPr>
        <w:spacing w:line="360" w:lineRule="auto"/>
        <w:ind w:right="49"/>
        <w:contextualSpacing/>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b/>
        </w:rPr>
        <w:t xml:space="preserve">SEGUNDO. </w:t>
      </w:r>
      <w:r w:rsidRPr="008D558F">
        <w:rPr>
          <w:rFonts w:ascii="Palatino Linotype" w:eastAsia="Palatino Linotype" w:hAnsi="Palatino Linotype" w:cs="Palatino Linotype"/>
        </w:rPr>
        <w:t xml:space="preserve">Se </w:t>
      </w:r>
      <w:r w:rsidRPr="008D558F">
        <w:rPr>
          <w:rFonts w:ascii="Palatino Linotype" w:eastAsia="Palatino Linotype" w:hAnsi="Palatino Linotype" w:cs="Palatino Linotype"/>
          <w:b/>
        </w:rPr>
        <w:t>MODIFICA</w:t>
      </w:r>
      <w:r w:rsidRPr="008D558F">
        <w:rPr>
          <w:rFonts w:ascii="Palatino Linotype" w:eastAsia="Palatino Linotype" w:hAnsi="Palatino Linotype" w:cs="Palatino Linotype"/>
        </w:rPr>
        <w:t xml:space="preserve"> la </w:t>
      </w:r>
      <w:r w:rsidRPr="008D558F">
        <w:rPr>
          <w:rFonts w:ascii="Palatino Linotype" w:eastAsia="Palatino Linotype" w:hAnsi="Palatino Linotype" w:cs="Palatino Linotype"/>
          <w:color w:val="222222"/>
        </w:rPr>
        <w:t>respuesta</w:t>
      </w:r>
      <w:r w:rsidRPr="008D558F">
        <w:rPr>
          <w:rFonts w:ascii="Palatino Linotype" w:eastAsia="Palatino Linotype" w:hAnsi="Palatino Linotype" w:cs="Palatino Linotype"/>
        </w:rPr>
        <w:t xml:space="preserve"> de la</w:t>
      </w:r>
      <w:r w:rsidRPr="008D558F">
        <w:rPr>
          <w:rFonts w:ascii="Palatino Linotype" w:eastAsia="Palatino Linotype" w:hAnsi="Palatino Linotype" w:cs="Palatino Linotype"/>
          <w:b/>
        </w:rPr>
        <w:t xml:space="preserve"> Secretaría de Finanzas </w:t>
      </w:r>
      <w:r w:rsidRPr="008D558F">
        <w:rPr>
          <w:rFonts w:ascii="Palatino Linotype" w:eastAsia="Palatino Linotype" w:hAnsi="Palatino Linotype" w:cs="Palatino Linotype"/>
        </w:rPr>
        <w:t xml:space="preserve">y se </w:t>
      </w:r>
      <w:r w:rsidRPr="008D558F">
        <w:rPr>
          <w:rFonts w:ascii="Palatino Linotype" w:eastAsia="Palatino Linotype" w:hAnsi="Palatino Linotype" w:cs="Palatino Linotype"/>
          <w:b/>
        </w:rPr>
        <w:t xml:space="preserve">ORDENA </w:t>
      </w:r>
      <w:r w:rsidRPr="008D558F">
        <w:rPr>
          <w:rFonts w:ascii="Palatino Linotype" w:eastAsia="Palatino Linotype" w:hAnsi="Palatino Linotype" w:cs="Palatino Linotype"/>
        </w:rPr>
        <w:t xml:space="preserve">entregar vía Sistema de Acceso a la Información Mexiquense </w:t>
      </w:r>
      <w:r w:rsidRPr="008D558F">
        <w:rPr>
          <w:rFonts w:ascii="Palatino Linotype" w:eastAsia="Palatino Linotype" w:hAnsi="Palatino Linotype" w:cs="Palatino Linotype"/>
          <w:b/>
        </w:rPr>
        <w:t>(SAIMEX)</w:t>
      </w:r>
      <w:r w:rsidRPr="008D558F">
        <w:rPr>
          <w:rFonts w:ascii="Palatino Linotype" w:eastAsia="Palatino Linotype" w:hAnsi="Palatino Linotype" w:cs="Palatino Linotype"/>
        </w:rPr>
        <w:t>, previa búsqueda exhaustiva y razonable, el soporte documental donde conste o se advierta la siguiente información</w:t>
      </w:r>
      <w:r w:rsidRPr="008D558F">
        <w:rPr>
          <w:rFonts w:ascii="Palatino Linotype" w:eastAsia="Palatino Linotype" w:hAnsi="Palatino Linotype" w:cs="Palatino Linotype"/>
          <w:b/>
          <w:color w:val="000000"/>
        </w:rPr>
        <w:t>:</w:t>
      </w:r>
    </w:p>
    <w:p w:rsidR="00267735" w:rsidRPr="008D558F" w:rsidRDefault="00267735" w:rsidP="00267735">
      <w:pPr>
        <w:spacing w:line="360" w:lineRule="auto"/>
        <w:ind w:right="49"/>
        <w:contextualSpacing/>
        <w:jc w:val="both"/>
        <w:rPr>
          <w:rFonts w:ascii="Palatino Linotype" w:eastAsia="Palatino Linotype" w:hAnsi="Palatino Linotype" w:cs="Palatino Linotype"/>
          <w:b/>
          <w:color w:val="000000"/>
        </w:rPr>
      </w:pPr>
    </w:p>
    <w:p w:rsidR="00C6515E" w:rsidRPr="008D558F" w:rsidRDefault="00267735" w:rsidP="004A5910">
      <w:pPr>
        <w:numPr>
          <w:ilvl w:val="0"/>
          <w:numId w:val="11"/>
        </w:numPr>
        <w:pBdr>
          <w:top w:val="nil"/>
          <w:left w:val="nil"/>
          <w:bottom w:val="nil"/>
          <w:right w:val="nil"/>
          <w:between w:val="nil"/>
        </w:pBdr>
        <w:spacing w:line="360" w:lineRule="auto"/>
        <w:ind w:left="993" w:right="191"/>
        <w:jc w:val="both"/>
        <w:rPr>
          <w:rFonts w:ascii="Palatino Linotype" w:eastAsia="Palatino Linotype" w:hAnsi="Palatino Linotype" w:cs="Palatino Linotype"/>
          <w:b/>
          <w:color w:val="000000"/>
        </w:rPr>
      </w:pPr>
      <w:r w:rsidRPr="008D558F">
        <w:rPr>
          <w:rFonts w:ascii="Palatino Linotype" w:eastAsia="Palatino Linotype" w:hAnsi="Palatino Linotype" w:cs="Palatino Linotype"/>
          <w:b/>
          <w:color w:val="000000"/>
        </w:rPr>
        <w:t>A</w:t>
      </w:r>
      <w:r w:rsidR="00510C09" w:rsidRPr="008D558F">
        <w:rPr>
          <w:rFonts w:ascii="Palatino Linotype" w:eastAsia="Palatino Linotype" w:hAnsi="Palatino Linotype" w:cs="Palatino Linotype"/>
          <w:b/>
          <w:color w:val="000000"/>
        </w:rPr>
        <w:t>justes o modificaciones,</w:t>
      </w:r>
      <w:r w:rsidRPr="008D558F">
        <w:rPr>
          <w:rFonts w:ascii="Palatino Linotype" w:eastAsia="Palatino Linotype" w:hAnsi="Palatino Linotype" w:cs="Palatino Linotype"/>
          <w:b/>
          <w:color w:val="000000"/>
        </w:rPr>
        <w:t xml:space="preserve"> previas a la</w:t>
      </w:r>
      <w:r w:rsidR="004A5910" w:rsidRPr="008D558F">
        <w:rPr>
          <w:rFonts w:ascii="Palatino Linotype" w:eastAsia="Palatino Linotype" w:hAnsi="Palatino Linotype" w:cs="Palatino Linotype"/>
          <w:b/>
          <w:color w:val="000000"/>
        </w:rPr>
        <w:t>s</w:t>
      </w:r>
      <w:r w:rsidRPr="008D558F">
        <w:rPr>
          <w:rFonts w:ascii="Palatino Linotype" w:eastAsia="Palatino Linotype" w:hAnsi="Palatino Linotype" w:cs="Palatino Linotype"/>
          <w:b/>
          <w:color w:val="000000"/>
        </w:rPr>
        <w:t xml:space="preserve"> </w:t>
      </w:r>
      <w:r w:rsidR="00510C09" w:rsidRPr="008D558F">
        <w:rPr>
          <w:rFonts w:ascii="Palatino Linotype" w:eastAsia="Palatino Linotype" w:hAnsi="Palatino Linotype" w:cs="Palatino Linotype"/>
          <w:b/>
          <w:color w:val="000000"/>
        </w:rPr>
        <w:t xml:space="preserve">versiones definitivas de las </w:t>
      </w:r>
      <w:r w:rsidRPr="008D558F">
        <w:rPr>
          <w:rFonts w:ascii="Palatino Linotype" w:eastAsia="Palatino Linotype" w:hAnsi="Palatino Linotype" w:cs="Palatino Linotype"/>
          <w:b/>
          <w:color w:val="000000"/>
        </w:rPr>
        <w:t>Matri</w:t>
      </w:r>
      <w:r w:rsidR="004A5910" w:rsidRPr="008D558F">
        <w:rPr>
          <w:rFonts w:ascii="Palatino Linotype" w:eastAsia="Palatino Linotype" w:hAnsi="Palatino Linotype" w:cs="Palatino Linotype"/>
          <w:b/>
          <w:color w:val="000000"/>
        </w:rPr>
        <w:t>ces</w:t>
      </w:r>
      <w:r w:rsidRPr="008D558F">
        <w:rPr>
          <w:rFonts w:ascii="Palatino Linotype" w:eastAsia="Palatino Linotype" w:hAnsi="Palatino Linotype" w:cs="Palatino Linotype"/>
          <w:b/>
          <w:color w:val="000000"/>
        </w:rPr>
        <w:t xml:space="preserve"> de Indicadores para Resultados de los ejercicios 2021 y 2022</w:t>
      </w:r>
      <w:r w:rsidR="00C6515E" w:rsidRPr="008D558F">
        <w:rPr>
          <w:rFonts w:ascii="Palatino Linotype" w:eastAsia="Palatino Linotype" w:hAnsi="Palatino Linotype" w:cs="Palatino Linotype"/>
          <w:b/>
          <w:color w:val="000000"/>
        </w:rPr>
        <w:t>.</w:t>
      </w:r>
    </w:p>
    <w:p w:rsidR="00C6515E" w:rsidRPr="008D558F" w:rsidRDefault="00C6515E" w:rsidP="00267735">
      <w:pPr>
        <w:pBdr>
          <w:top w:val="nil"/>
          <w:left w:val="nil"/>
          <w:bottom w:val="nil"/>
          <w:right w:val="nil"/>
          <w:between w:val="nil"/>
        </w:pBdr>
        <w:spacing w:line="360" w:lineRule="auto"/>
        <w:ind w:left="709" w:right="191"/>
        <w:jc w:val="both"/>
        <w:rPr>
          <w:rFonts w:ascii="Palatino Linotype" w:eastAsia="Palatino Linotype" w:hAnsi="Palatino Linotype" w:cs="Palatino Linotype"/>
          <w:b/>
          <w:color w:val="000000"/>
        </w:rPr>
      </w:pPr>
    </w:p>
    <w:p w:rsidR="00C6515E" w:rsidRPr="008D558F" w:rsidRDefault="00C6515E" w:rsidP="00267735">
      <w:pPr>
        <w:spacing w:line="360" w:lineRule="auto"/>
        <w:ind w:right="49"/>
        <w:contextualSpacing/>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color w:val="000000"/>
        </w:rPr>
        <w:t xml:space="preserve">Para el caso que luego de la nueva búsqueda exhaustiva y razonable, no obre en los archivos del </w:t>
      </w:r>
      <w:r w:rsidRPr="008D558F">
        <w:rPr>
          <w:rFonts w:ascii="Palatino Linotype" w:eastAsia="Palatino Linotype" w:hAnsi="Palatino Linotype" w:cs="Palatino Linotype"/>
          <w:b/>
          <w:color w:val="000000"/>
        </w:rPr>
        <w:t xml:space="preserve">SUJETO </w:t>
      </w:r>
      <w:r w:rsidRPr="008D558F">
        <w:rPr>
          <w:rFonts w:ascii="Palatino Linotype" w:eastAsia="Palatino Linotype" w:hAnsi="Palatino Linotype" w:cs="Palatino Linotype"/>
          <w:b/>
          <w:color w:val="222222"/>
        </w:rPr>
        <w:t>OBLIGADO</w:t>
      </w:r>
      <w:r w:rsidRPr="008D558F">
        <w:rPr>
          <w:rFonts w:ascii="Palatino Linotype" w:eastAsia="Palatino Linotype" w:hAnsi="Palatino Linotype" w:cs="Palatino Linotype"/>
          <w:b/>
          <w:color w:val="000000"/>
        </w:rPr>
        <w:t xml:space="preserve"> </w:t>
      </w:r>
      <w:r w:rsidRPr="008D558F">
        <w:rPr>
          <w:rFonts w:ascii="Palatino Linotype" w:eastAsia="Palatino Linotype" w:hAnsi="Palatino Linotype" w:cs="Palatino Linotype"/>
          <w:color w:val="000000"/>
        </w:rPr>
        <w:t xml:space="preserve">la información requerida, bastará que lo haga del conocimiento del solicitante en términos del artículo 19 párrafo segundo de la </w:t>
      </w:r>
      <w:r w:rsidRPr="008D558F">
        <w:rPr>
          <w:rFonts w:ascii="Palatino Linotype" w:eastAsia="Palatino Linotype" w:hAnsi="Palatino Linotype" w:cs="Palatino Linotype"/>
          <w:color w:val="222222"/>
        </w:rPr>
        <w:t>Ley de Transparencia y Acceso a la Información Pública del Estado de México y Municipios.</w:t>
      </w:r>
    </w:p>
    <w:p w:rsidR="00C6515E" w:rsidRPr="008D558F" w:rsidRDefault="00C6515E" w:rsidP="00267735">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p>
    <w:p w:rsidR="00C6515E" w:rsidRPr="008D558F" w:rsidRDefault="00C6515E" w:rsidP="00267735">
      <w:pPr>
        <w:spacing w:line="360" w:lineRule="auto"/>
        <w:ind w:right="49"/>
        <w:contextualSpacing/>
        <w:jc w:val="both"/>
        <w:rPr>
          <w:rFonts w:ascii="Palatino Linotype" w:eastAsia="Palatino Linotype" w:hAnsi="Palatino Linotype" w:cs="Palatino Linotype"/>
          <w:color w:val="000000"/>
        </w:rPr>
      </w:pPr>
      <w:r w:rsidRPr="008D558F">
        <w:rPr>
          <w:rFonts w:ascii="Palatino Linotype" w:eastAsia="Palatino Linotype" w:hAnsi="Palatino Linotype" w:cs="Palatino Linotype"/>
          <w:b/>
          <w:color w:val="000000"/>
        </w:rPr>
        <w:t xml:space="preserve">TERCERO. </w:t>
      </w:r>
      <w:r w:rsidRPr="008D558F">
        <w:rPr>
          <w:rFonts w:ascii="Palatino Linotype" w:eastAsia="Palatino Linotype" w:hAnsi="Palatino Linotype" w:cs="Palatino Linotype"/>
          <w:b/>
          <w:color w:val="222222"/>
        </w:rPr>
        <w:t>NOTIFÍQUESE</w:t>
      </w:r>
      <w:r w:rsidRPr="008D558F">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D558F">
        <w:rPr>
          <w:rFonts w:ascii="Palatino Linotype" w:eastAsia="Palatino Linotype" w:hAnsi="Palatino Linotype" w:cs="Palatino Linotype"/>
          <w:b/>
          <w:color w:val="222222"/>
        </w:rPr>
        <w:t xml:space="preserve">dé cumplimiento a lo </w:t>
      </w:r>
      <w:r w:rsidRPr="008D558F">
        <w:rPr>
          <w:rFonts w:ascii="Palatino Linotype" w:eastAsia="Palatino Linotype" w:hAnsi="Palatino Linotype" w:cs="Palatino Linotype"/>
          <w:b/>
          <w:color w:val="222222"/>
        </w:rPr>
        <w:lastRenderedPageBreak/>
        <w:t>ordenado dentro del plazo de diez días hábiles,</w:t>
      </w:r>
      <w:r w:rsidRPr="008D558F">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6515E" w:rsidRPr="008D558F" w:rsidRDefault="00C6515E" w:rsidP="00267735">
      <w:pPr>
        <w:spacing w:line="360" w:lineRule="auto"/>
        <w:ind w:left="-425" w:right="-787"/>
        <w:jc w:val="both"/>
        <w:rPr>
          <w:rFonts w:ascii="Palatino Linotype" w:eastAsia="Palatino Linotype" w:hAnsi="Palatino Linotype" w:cs="Palatino Linotype"/>
        </w:rPr>
      </w:pPr>
    </w:p>
    <w:p w:rsidR="00C6515E" w:rsidRPr="008D558F" w:rsidRDefault="00C6515E" w:rsidP="00267735">
      <w:pPr>
        <w:spacing w:line="360" w:lineRule="auto"/>
        <w:ind w:right="49"/>
        <w:contextualSpacing/>
        <w:jc w:val="both"/>
        <w:rPr>
          <w:rFonts w:ascii="Palatino Linotype" w:eastAsia="Palatino Linotype" w:hAnsi="Palatino Linotype" w:cs="Palatino Linotype"/>
          <w:color w:val="222222"/>
        </w:rPr>
      </w:pPr>
      <w:r w:rsidRPr="008D558F">
        <w:rPr>
          <w:rFonts w:ascii="Palatino Linotype" w:eastAsia="Palatino Linotype" w:hAnsi="Palatino Linotype" w:cs="Palatino Linotype"/>
          <w:b/>
        </w:rPr>
        <w:t xml:space="preserve">CUARTO. </w:t>
      </w:r>
      <w:r w:rsidRPr="008D558F">
        <w:rPr>
          <w:rFonts w:ascii="Palatino Linotype" w:eastAsia="Palatino Linotype" w:hAnsi="Palatino Linotype" w:cs="Palatino Linotype"/>
          <w:b/>
          <w:color w:val="222222"/>
        </w:rPr>
        <w:t xml:space="preserve">Notifíquese </w:t>
      </w:r>
      <w:r w:rsidRPr="008D558F">
        <w:rPr>
          <w:rFonts w:ascii="Palatino Linotype" w:eastAsia="Palatino Linotype" w:hAnsi="Palatino Linotype" w:cs="Palatino Linotype"/>
          <w:color w:val="222222"/>
        </w:rPr>
        <w:t xml:space="preserve">al </w:t>
      </w:r>
      <w:r w:rsidRPr="008D558F">
        <w:rPr>
          <w:rFonts w:ascii="Palatino Linotype" w:eastAsia="Palatino Linotype" w:hAnsi="Palatino Linotype" w:cs="Palatino Linotype"/>
          <w:b/>
          <w:color w:val="222222"/>
        </w:rPr>
        <w:t xml:space="preserve">RECURRENTE </w:t>
      </w:r>
      <w:r w:rsidRPr="008D558F">
        <w:rPr>
          <w:rFonts w:ascii="Palatino Linotype" w:eastAsia="Palatino Linotype" w:hAnsi="Palatino Linotype" w:cs="Palatino Linotype"/>
        </w:rPr>
        <w:t xml:space="preserve">la </w:t>
      </w:r>
      <w:r w:rsidRPr="008D558F">
        <w:rPr>
          <w:rFonts w:ascii="Palatino Linotype" w:eastAsia="Palatino Linotype" w:hAnsi="Palatino Linotype" w:cs="Palatino Linotype"/>
          <w:color w:val="222222"/>
        </w:rPr>
        <w:t>presente</w:t>
      </w:r>
      <w:r w:rsidRPr="008D558F">
        <w:rPr>
          <w:rFonts w:ascii="Palatino Linotype" w:eastAsia="Palatino Linotype" w:hAnsi="Palatino Linotype" w:cs="Palatino Linotype"/>
        </w:rPr>
        <w:t xml:space="preserve"> Resolución a través del Sistema de Acceso a la Información Mexiquense (SAIMEX).</w:t>
      </w:r>
    </w:p>
    <w:p w:rsidR="00C6515E" w:rsidRPr="008D558F" w:rsidRDefault="00C6515E" w:rsidP="00267735">
      <w:pPr>
        <w:tabs>
          <w:tab w:val="left" w:pos="284"/>
          <w:tab w:val="left" w:pos="8080"/>
        </w:tabs>
        <w:spacing w:line="360" w:lineRule="auto"/>
        <w:ind w:left="-425" w:right="-787"/>
        <w:jc w:val="both"/>
        <w:rPr>
          <w:rFonts w:ascii="Palatino Linotype" w:eastAsia="Palatino Linotype" w:hAnsi="Palatino Linotype" w:cs="Palatino Linotype"/>
          <w:color w:val="222222"/>
        </w:rPr>
      </w:pPr>
    </w:p>
    <w:p w:rsidR="00C6515E" w:rsidRPr="008D558F" w:rsidRDefault="00C6515E" w:rsidP="00267735">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QUINTO. </w:t>
      </w:r>
      <w:r w:rsidRPr="008D558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C6515E" w:rsidRPr="008D558F" w:rsidRDefault="00C6515E" w:rsidP="00267735">
      <w:pPr>
        <w:tabs>
          <w:tab w:val="left" w:pos="284"/>
        </w:tabs>
        <w:spacing w:line="360" w:lineRule="auto"/>
        <w:ind w:left="-425" w:right="-787"/>
        <w:jc w:val="both"/>
        <w:rPr>
          <w:rFonts w:ascii="Palatino Linotype" w:eastAsia="Palatino Linotype" w:hAnsi="Palatino Linotype" w:cs="Palatino Linotype"/>
        </w:rPr>
      </w:pPr>
    </w:p>
    <w:p w:rsidR="00C6515E" w:rsidRPr="008D558F" w:rsidRDefault="00C6515E" w:rsidP="00267735">
      <w:pPr>
        <w:spacing w:line="360" w:lineRule="auto"/>
        <w:ind w:right="49"/>
        <w:contextualSpacing/>
        <w:jc w:val="both"/>
        <w:rPr>
          <w:rFonts w:ascii="Palatino Linotype" w:eastAsia="Palatino Linotype" w:hAnsi="Palatino Linotype" w:cs="Palatino Linotype"/>
        </w:rPr>
      </w:pPr>
      <w:r w:rsidRPr="008D558F">
        <w:rPr>
          <w:rFonts w:ascii="Palatino Linotype" w:eastAsia="Palatino Linotype" w:hAnsi="Palatino Linotype" w:cs="Palatino Linotype"/>
          <w:b/>
        </w:rPr>
        <w:t xml:space="preserve">SEXTO. </w:t>
      </w:r>
      <w:r w:rsidRPr="008D558F">
        <w:rPr>
          <w:rFonts w:ascii="Palatino Linotype" w:eastAsia="Palatino Linotype" w:hAnsi="Palatino Linotype" w:cs="Palatino Linotype"/>
        </w:rPr>
        <w:t>Se hace del conocimiento del</w:t>
      </w:r>
      <w:r w:rsidRPr="008D558F">
        <w:rPr>
          <w:rFonts w:ascii="Palatino Linotype" w:eastAsia="Palatino Linotype" w:hAnsi="Palatino Linotype" w:cs="Palatino Linotype"/>
          <w:b/>
        </w:rPr>
        <w:t xml:space="preserve"> RECURRENTE </w:t>
      </w:r>
      <w:r w:rsidRPr="008D558F">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84DF1" w:rsidRPr="008D558F" w:rsidRDefault="00B84DF1" w:rsidP="00267735">
      <w:pPr>
        <w:shd w:val="clear" w:color="auto" w:fill="FFFFFF"/>
        <w:spacing w:line="360" w:lineRule="auto"/>
        <w:ind w:right="49"/>
        <w:jc w:val="both"/>
        <w:rPr>
          <w:rFonts w:ascii="Palatino Linotype" w:eastAsia="Palatino Linotype" w:hAnsi="Palatino Linotype" w:cs="Palatino Linotype"/>
        </w:rPr>
      </w:pPr>
    </w:p>
    <w:p w:rsidR="00C216E0" w:rsidRPr="008D558F" w:rsidRDefault="00C216E0" w:rsidP="00267735">
      <w:pPr>
        <w:shd w:val="clear" w:color="auto" w:fill="FFFFFF"/>
        <w:spacing w:line="360" w:lineRule="auto"/>
        <w:ind w:right="49"/>
        <w:jc w:val="both"/>
        <w:rPr>
          <w:rFonts w:ascii="Palatino Linotype" w:eastAsia="Palatino Linotype" w:hAnsi="Palatino Linotype" w:cs="Palatino Linotype"/>
        </w:rPr>
      </w:pPr>
    </w:p>
    <w:p w:rsidR="00C216E0" w:rsidRPr="008D558F" w:rsidRDefault="00C216E0" w:rsidP="00267735">
      <w:pPr>
        <w:shd w:val="clear" w:color="auto" w:fill="FFFFFF"/>
        <w:spacing w:line="360" w:lineRule="auto"/>
        <w:ind w:right="49"/>
        <w:jc w:val="both"/>
        <w:rPr>
          <w:rFonts w:ascii="Palatino Linotype" w:eastAsia="Palatino Linotype" w:hAnsi="Palatino Linotype" w:cs="Palatino Linotype"/>
        </w:rPr>
      </w:pPr>
    </w:p>
    <w:p w:rsidR="00C216E0" w:rsidRPr="008D558F" w:rsidRDefault="00C216E0" w:rsidP="00267735">
      <w:pPr>
        <w:shd w:val="clear" w:color="auto" w:fill="FFFFFF"/>
        <w:spacing w:line="360" w:lineRule="auto"/>
        <w:ind w:right="49"/>
        <w:jc w:val="both"/>
        <w:rPr>
          <w:rFonts w:ascii="Palatino Linotype" w:eastAsia="Palatino Linotype" w:hAnsi="Palatino Linotype" w:cs="Palatino Linotype"/>
        </w:rPr>
      </w:pPr>
    </w:p>
    <w:p w:rsidR="00B84DF1" w:rsidRPr="00C216E0" w:rsidRDefault="00195698" w:rsidP="00267735">
      <w:pPr>
        <w:shd w:val="clear" w:color="auto" w:fill="FFFFFF"/>
        <w:spacing w:line="360" w:lineRule="auto"/>
        <w:ind w:right="49"/>
        <w:jc w:val="both"/>
        <w:rPr>
          <w:rFonts w:ascii="Palatino Linotype" w:eastAsia="Palatino Linotype" w:hAnsi="Palatino Linotype" w:cs="Palatino Linotype"/>
        </w:rPr>
      </w:pPr>
      <w:r w:rsidRPr="008D558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B84DF1" w:rsidRPr="00C216E0" w:rsidRDefault="00B84DF1" w:rsidP="00267735">
      <w:pPr>
        <w:spacing w:line="360" w:lineRule="auto"/>
        <w:ind w:right="49"/>
        <w:jc w:val="both"/>
        <w:rPr>
          <w:rFonts w:ascii="Palatino Linotype" w:eastAsia="Palatino Linotype" w:hAnsi="Palatino Linotype" w:cs="Palatino Linotype"/>
        </w:rPr>
      </w:pPr>
    </w:p>
    <w:p w:rsidR="00B84DF1" w:rsidRPr="00C216E0" w:rsidRDefault="00B84DF1" w:rsidP="00267735">
      <w:pPr>
        <w:spacing w:line="360" w:lineRule="auto"/>
        <w:ind w:right="49"/>
        <w:jc w:val="both"/>
        <w:rPr>
          <w:rFonts w:ascii="Palatino Linotype" w:eastAsia="Palatino Linotype" w:hAnsi="Palatino Linotype" w:cs="Palatino Linotype"/>
        </w:rPr>
      </w:pPr>
    </w:p>
    <w:p w:rsidR="00B84DF1" w:rsidRPr="00C216E0" w:rsidRDefault="00B84DF1" w:rsidP="00267735">
      <w:pPr>
        <w:spacing w:line="360" w:lineRule="auto"/>
        <w:ind w:right="49"/>
        <w:jc w:val="both"/>
        <w:rPr>
          <w:rFonts w:ascii="Palatino Linotype" w:eastAsia="Palatino Linotype" w:hAnsi="Palatino Linotype" w:cs="Palatino Linotype"/>
        </w:rPr>
      </w:pPr>
    </w:p>
    <w:p w:rsidR="00B84DF1" w:rsidRPr="00C216E0" w:rsidRDefault="00B84DF1" w:rsidP="00267735">
      <w:pPr>
        <w:spacing w:line="360" w:lineRule="auto"/>
        <w:ind w:right="49"/>
        <w:jc w:val="both"/>
        <w:rPr>
          <w:rFonts w:ascii="Palatino Linotype" w:eastAsia="Palatino Linotype" w:hAnsi="Palatino Linotype" w:cs="Palatino Linotype"/>
        </w:rPr>
      </w:pPr>
    </w:p>
    <w:p w:rsidR="00B84DF1" w:rsidRPr="00C216E0" w:rsidRDefault="00B84DF1" w:rsidP="00267735">
      <w:pPr>
        <w:spacing w:line="360" w:lineRule="auto"/>
        <w:ind w:right="49"/>
        <w:jc w:val="both"/>
        <w:rPr>
          <w:rFonts w:ascii="Palatino Linotype" w:eastAsia="Palatino Linotype" w:hAnsi="Palatino Linotype" w:cs="Palatino Linotype"/>
        </w:rPr>
      </w:pPr>
    </w:p>
    <w:p w:rsidR="00B84DF1" w:rsidRPr="00C216E0" w:rsidRDefault="00B84DF1" w:rsidP="00267735">
      <w:pPr>
        <w:spacing w:line="360" w:lineRule="auto"/>
        <w:ind w:right="49"/>
        <w:jc w:val="both"/>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p w:rsidR="00B84DF1" w:rsidRPr="00C216E0" w:rsidRDefault="009D3673" w:rsidP="00267735">
      <w:pPr>
        <w:tabs>
          <w:tab w:val="left" w:pos="3374"/>
        </w:tabs>
        <w:spacing w:line="360" w:lineRule="auto"/>
        <w:ind w:right="49"/>
        <w:rPr>
          <w:rFonts w:ascii="Palatino Linotype" w:eastAsia="Palatino Linotype" w:hAnsi="Palatino Linotype" w:cs="Palatino Linotype"/>
        </w:rPr>
      </w:pPr>
      <w:r w:rsidRPr="00C216E0">
        <w:rPr>
          <w:rFonts w:ascii="Palatino Linotype" w:eastAsia="Palatino Linotype" w:hAnsi="Palatino Linotype" w:cs="Palatino Linotype"/>
        </w:rPr>
        <w:tab/>
      </w: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tabs>
          <w:tab w:val="left" w:pos="3374"/>
        </w:tabs>
        <w:spacing w:line="360" w:lineRule="auto"/>
        <w:ind w:right="49"/>
        <w:rPr>
          <w:rFonts w:ascii="Palatino Linotype" w:eastAsia="Palatino Linotype" w:hAnsi="Palatino Linotype" w:cs="Palatino Linotype"/>
        </w:rPr>
      </w:pPr>
    </w:p>
    <w:p w:rsidR="00B84DF1" w:rsidRPr="00C216E0" w:rsidRDefault="00B84DF1" w:rsidP="00267735">
      <w:pPr>
        <w:spacing w:line="360" w:lineRule="auto"/>
        <w:ind w:right="49"/>
        <w:rPr>
          <w:rFonts w:ascii="Palatino Linotype" w:eastAsia="Palatino Linotype" w:hAnsi="Palatino Linotype" w:cs="Palatino Linotype"/>
        </w:rPr>
      </w:pPr>
    </w:p>
    <w:sectPr w:rsidR="00B84DF1" w:rsidRPr="00C216E0">
      <w:headerReference w:type="even" r:id="rId10"/>
      <w:headerReference w:type="default" r:id="rId11"/>
      <w:footerReference w:type="default" r:id="rId12"/>
      <w:headerReference w:type="first" r:id="rId13"/>
      <w:footerReference w:type="first" r:id="rId14"/>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A9" w:rsidRDefault="00F007A9">
      <w:r>
        <w:separator/>
      </w:r>
    </w:p>
  </w:endnote>
  <w:endnote w:type="continuationSeparator" w:id="0">
    <w:p w:rsidR="00F007A9" w:rsidRDefault="00F0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A3" w:rsidRDefault="006535A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706B">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706B">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rsidR="006535A3" w:rsidRDefault="006535A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A3" w:rsidRDefault="006535A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706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706B">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rsidR="006535A3" w:rsidRDefault="006535A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A9" w:rsidRDefault="00F007A9">
      <w:r>
        <w:separator/>
      </w:r>
    </w:p>
  </w:footnote>
  <w:footnote w:type="continuationSeparator" w:id="0">
    <w:p w:rsidR="00F007A9" w:rsidRDefault="00F007A9">
      <w:r>
        <w:continuationSeparator/>
      </w:r>
    </w:p>
  </w:footnote>
  <w:footnote w:id="1">
    <w:p w:rsidR="00C6515E" w:rsidRDefault="00C6515E" w:rsidP="00C65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C6515E" w:rsidRDefault="00C6515E" w:rsidP="00C65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C6515E" w:rsidRDefault="00C6515E" w:rsidP="00C6515E">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C6515E" w:rsidRDefault="00C6515E" w:rsidP="00C6515E">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C6515E" w:rsidRDefault="00C6515E" w:rsidP="00C6515E">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20"/>
            <w:szCs w:val="20"/>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C6515E" w:rsidRDefault="00C6515E" w:rsidP="00C65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C6515E" w:rsidRDefault="00C6515E" w:rsidP="00C6515E">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rsidR="00C6515E" w:rsidRDefault="00C6515E" w:rsidP="00C6515E">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A3" w:rsidRDefault="00F007A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A3" w:rsidRDefault="006535A3">
    <w:pPr>
      <w:widowControl w:val="0"/>
      <w:pBdr>
        <w:top w:val="nil"/>
        <w:left w:val="nil"/>
        <w:bottom w:val="nil"/>
        <w:right w:val="nil"/>
        <w:between w:val="nil"/>
      </w:pBdr>
      <w:spacing w:line="276" w:lineRule="auto"/>
      <w:rPr>
        <w:color w:val="000000"/>
      </w:rPr>
    </w:pPr>
  </w:p>
  <w:tbl>
    <w:tblPr>
      <w:tblStyle w:val="a2"/>
      <w:tblW w:w="6519" w:type="dxa"/>
      <w:tblInd w:w="2694" w:type="dxa"/>
      <w:tblLayout w:type="fixed"/>
      <w:tblLook w:val="0400" w:firstRow="0" w:lastRow="0" w:firstColumn="0" w:lastColumn="0" w:noHBand="0" w:noVBand="1"/>
    </w:tblPr>
    <w:tblGrid>
      <w:gridCol w:w="2976"/>
      <w:gridCol w:w="3543"/>
    </w:tblGrid>
    <w:tr w:rsidR="006535A3">
      <w:trPr>
        <w:trHeight w:val="227"/>
      </w:trPr>
      <w:tc>
        <w:tcPr>
          <w:tcW w:w="2976" w:type="dxa"/>
          <w:vAlign w:val="center"/>
        </w:tcPr>
        <w:p w:rsidR="006535A3" w:rsidRDefault="006535A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6535A3" w:rsidRDefault="006535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81462E">
            <w:rPr>
              <w:rFonts w:ascii="Palatino Linotype" w:eastAsia="Palatino Linotype" w:hAnsi="Palatino Linotype" w:cs="Palatino Linotype"/>
              <w:color w:val="000000"/>
              <w:sz w:val="22"/>
              <w:szCs w:val="22"/>
            </w:rPr>
            <w:t>06493/INFOEM/IP/RR/2024</w:t>
          </w:r>
        </w:p>
      </w:tc>
    </w:tr>
    <w:tr w:rsidR="006535A3">
      <w:trPr>
        <w:trHeight w:val="242"/>
      </w:trPr>
      <w:tc>
        <w:tcPr>
          <w:tcW w:w="2976" w:type="dxa"/>
          <w:vAlign w:val="center"/>
        </w:tcPr>
        <w:p w:rsidR="006535A3" w:rsidRDefault="006535A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6535A3" w:rsidRDefault="006535A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81462E">
            <w:rPr>
              <w:rFonts w:ascii="Palatino Linotype" w:eastAsia="Palatino Linotype" w:hAnsi="Palatino Linotype" w:cs="Palatino Linotype"/>
              <w:color w:val="000000"/>
              <w:sz w:val="22"/>
              <w:szCs w:val="22"/>
            </w:rPr>
            <w:t>Secretaría de Finanzas</w:t>
          </w:r>
        </w:p>
      </w:tc>
    </w:tr>
    <w:tr w:rsidR="006535A3">
      <w:trPr>
        <w:trHeight w:val="342"/>
      </w:trPr>
      <w:tc>
        <w:tcPr>
          <w:tcW w:w="2976" w:type="dxa"/>
          <w:vAlign w:val="center"/>
        </w:tcPr>
        <w:p w:rsidR="006535A3" w:rsidRDefault="006535A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6535A3" w:rsidRDefault="006535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535A3" w:rsidRDefault="00F007A9">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A3" w:rsidRDefault="006535A3">
    <w:pPr>
      <w:widowControl w:val="0"/>
      <w:pBdr>
        <w:top w:val="nil"/>
        <w:left w:val="nil"/>
        <w:bottom w:val="nil"/>
        <w:right w:val="nil"/>
        <w:between w:val="nil"/>
      </w:pBdr>
      <w:spacing w:line="276" w:lineRule="auto"/>
      <w:rPr>
        <w:color w:val="000000"/>
        <w:sz w:val="14"/>
        <w:szCs w:val="14"/>
      </w:rPr>
    </w:pPr>
  </w:p>
  <w:tbl>
    <w:tblPr>
      <w:tblStyle w:val="a3"/>
      <w:tblW w:w="6660" w:type="dxa"/>
      <w:tblInd w:w="2552" w:type="dxa"/>
      <w:tblLayout w:type="fixed"/>
      <w:tblLook w:val="0400" w:firstRow="0" w:lastRow="0" w:firstColumn="0" w:lastColumn="0" w:noHBand="0" w:noVBand="1"/>
    </w:tblPr>
    <w:tblGrid>
      <w:gridCol w:w="2977"/>
      <w:gridCol w:w="3683"/>
    </w:tblGrid>
    <w:tr w:rsidR="006535A3">
      <w:trPr>
        <w:trHeight w:val="227"/>
      </w:trPr>
      <w:tc>
        <w:tcPr>
          <w:tcW w:w="2977" w:type="dxa"/>
          <w:vAlign w:val="center"/>
        </w:tcPr>
        <w:p w:rsidR="006535A3" w:rsidRDefault="006535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6535A3" w:rsidRDefault="006535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81462E">
            <w:rPr>
              <w:rFonts w:ascii="Palatino Linotype" w:eastAsia="Palatino Linotype" w:hAnsi="Palatino Linotype" w:cs="Palatino Linotype"/>
              <w:color w:val="000000"/>
              <w:sz w:val="22"/>
              <w:szCs w:val="22"/>
            </w:rPr>
            <w:t>06493/INFOEM/IP/RR/2024</w:t>
          </w:r>
        </w:p>
      </w:tc>
    </w:tr>
    <w:tr w:rsidR="006535A3">
      <w:trPr>
        <w:trHeight w:val="242"/>
      </w:trPr>
      <w:tc>
        <w:tcPr>
          <w:tcW w:w="2977" w:type="dxa"/>
          <w:vAlign w:val="center"/>
        </w:tcPr>
        <w:p w:rsidR="006535A3" w:rsidRDefault="006535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6535A3" w:rsidRDefault="00B3706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w:t>
          </w:r>
        </w:p>
      </w:tc>
    </w:tr>
    <w:tr w:rsidR="006535A3">
      <w:trPr>
        <w:trHeight w:val="342"/>
      </w:trPr>
      <w:tc>
        <w:tcPr>
          <w:tcW w:w="2977" w:type="dxa"/>
          <w:vAlign w:val="center"/>
        </w:tcPr>
        <w:p w:rsidR="006535A3" w:rsidRDefault="006535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6535A3" w:rsidRDefault="006535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81462E">
            <w:rPr>
              <w:rFonts w:ascii="Palatino Linotype" w:eastAsia="Palatino Linotype" w:hAnsi="Palatino Linotype" w:cs="Palatino Linotype"/>
              <w:color w:val="000000"/>
              <w:sz w:val="22"/>
              <w:szCs w:val="22"/>
            </w:rPr>
            <w:t>Secretaría de Finanzas</w:t>
          </w:r>
        </w:p>
      </w:tc>
    </w:tr>
    <w:tr w:rsidR="006535A3">
      <w:trPr>
        <w:trHeight w:val="342"/>
      </w:trPr>
      <w:tc>
        <w:tcPr>
          <w:tcW w:w="2977" w:type="dxa"/>
          <w:vAlign w:val="center"/>
        </w:tcPr>
        <w:p w:rsidR="006535A3" w:rsidRDefault="006535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6535A3" w:rsidRDefault="006535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535A3" w:rsidRDefault="00F007A9">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89B"/>
    <w:multiLevelType w:val="hybridMultilevel"/>
    <w:tmpl w:val="3EA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962B1F"/>
    <w:multiLevelType w:val="hybridMultilevel"/>
    <w:tmpl w:val="1E6A4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DE1E92"/>
    <w:multiLevelType w:val="hybridMultilevel"/>
    <w:tmpl w:val="F19C89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FA4E07"/>
    <w:multiLevelType w:val="multilevel"/>
    <w:tmpl w:val="3DF678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7291810"/>
    <w:multiLevelType w:val="multilevel"/>
    <w:tmpl w:val="C186AC7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F1743"/>
    <w:multiLevelType w:val="multilevel"/>
    <w:tmpl w:val="2938D5E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9" w15:restartNumberingAfterBreak="0">
    <w:nsid w:val="72365573"/>
    <w:multiLevelType w:val="multilevel"/>
    <w:tmpl w:val="A63E16EE"/>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2380D6D"/>
    <w:multiLevelType w:val="multilevel"/>
    <w:tmpl w:val="8B7478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0"/>
  </w:num>
  <w:num w:numId="5">
    <w:abstractNumId w:val="8"/>
  </w:num>
  <w:num w:numId="6">
    <w:abstractNumId w:val="0"/>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lvlOverride w:ilvl="0">
      <w:lvl w:ilvl="0">
        <w:start w:val="57"/>
        <w:numFmt w:val="decimal"/>
        <w:lvlText w:val="%1."/>
        <w:lvlJc w:val="left"/>
        <w:pPr>
          <w:ind w:left="0" w:firstLine="0"/>
        </w:pPr>
        <w:rPr>
          <w:rFonts w:hint="default"/>
          <w:b/>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1"/>
    <w:rsid w:val="000A6833"/>
    <w:rsid w:val="000F1E77"/>
    <w:rsid w:val="00120600"/>
    <w:rsid w:val="00195698"/>
    <w:rsid w:val="0021003A"/>
    <w:rsid w:val="00234536"/>
    <w:rsid w:val="0023609E"/>
    <w:rsid w:val="00260274"/>
    <w:rsid w:val="00267735"/>
    <w:rsid w:val="00267DE2"/>
    <w:rsid w:val="002B1760"/>
    <w:rsid w:val="002E0DF4"/>
    <w:rsid w:val="003D2130"/>
    <w:rsid w:val="00435EA5"/>
    <w:rsid w:val="004A5910"/>
    <w:rsid w:val="004E4B9F"/>
    <w:rsid w:val="00510C09"/>
    <w:rsid w:val="006027C3"/>
    <w:rsid w:val="006261B6"/>
    <w:rsid w:val="006535A3"/>
    <w:rsid w:val="00655B77"/>
    <w:rsid w:val="00681C04"/>
    <w:rsid w:val="0068261B"/>
    <w:rsid w:val="00704604"/>
    <w:rsid w:val="007A402E"/>
    <w:rsid w:val="007D4A48"/>
    <w:rsid w:val="0081462E"/>
    <w:rsid w:val="008311D3"/>
    <w:rsid w:val="008704F4"/>
    <w:rsid w:val="00874CEA"/>
    <w:rsid w:val="00885F80"/>
    <w:rsid w:val="008D558F"/>
    <w:rsid w:val="00965E07"/>
    <w:rsid w:val="009D3673"/>
    <w:rsid w:val="00A36A65"/>
    <w:rsid w:val="00AD2D90"/>
    <w:rsid w:val="00AD30C0"/>
    <w:rsid w:val="00AD753F"/>
    <w:rsid w:val="00B21ADF"/>
    <w:rsid w:val="00B3387E"/>
    <w:rsid w:val="00B3706B"/>
    <w:rsid w:val="00B84DF1"/>
    <w:rsid w:val="00B91685"/>
    <w:rsid w:val="00C216E0"/>
    <w:rsid w:val="00C6515E"/>
    <w:rsid w:val="00C7778E"/>
    <w:rsid w:val="00CC616B"/>
    <w:rsid w:val="00CD27D3"/>
    <w:rsid w:val="00CF698F"/>
    <w:rsid w:val="00DC7C5B"/>
    <w:rsid w:val="00DD370B"/>
    <w:rsid w:val="00F007A9"/>
    <w:rsid w:val="00F167E6"/>
    <w:rsid w:val="00F916D5"/>
    <w:rsid w:val="00F97F2C"/>
    <w:rsid w:val="00FE4A21"/>
    <w:rsid w:val="00FF1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83B1D0-BBD8-44E9-8C8E-DA36B95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8DCR661JXnLG5bgLMe5znzAKQ==">CgMxLjAyCGguZ2pkZ3hzMgloLjMwajB6bGwyCWguMWZvYjl0ZTIOaC5jNGEwNjRzOHA3czkyCWguM3pueXNoNzIJaC4yZXQ5MnAwMghoLnR5amN3dDIJaC4zZHk2dmttMgloLjRkMzRvZzgyCWguMXQzaDVzZjIJaC4zNW5rdW4yOAByITF5b2VuQ3NQcW1KQ1RmVTY4UFVNaFA3b2lsOTZDWlk4bQ==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1965F-5BAA-49CB-AE04-425F751B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7109</Words>
  <Characters>39105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6</cp:revision>
  <cp:lastPrinted>2025-03-24T16:10:00Z</cp:lastPrinted>
  <dcterms:created xsi:type="dcterms:W3CDTF">2025-03-13T02:48:00Z</dcterms:created>
  <dcterms:modified xsi:type="dcterms:W3CDTF">2025-04-01T19:32:00Z</dcterms:modified>
</cp:coreProperties>
</file>