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7777777" w:rsidR="00566EB9" w:rsidRPr="002B7420"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2B742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B7420">
        <w:rPr>
          <w:rFonts w:ascii="Palatino Linotype" w:eastAsia="Palatino Linotype" w:hAnsi="Palatino Linotype" w:cs="Palatino Linotype"/>
          <w:b/>
          <w:sz w:val="22"/>
          <w:szCs w:val="22"/>
        </w:rPr>
        <w:t xml:space="preserve">a </w:t>
      </w:r>
      <w:r w:rsidR="00B253BE" w:rsidRPr="002B7420">
        <w:rPr>
          <w:rFonts w:ascii="Palatino Linotype" w:eastAsia="Palatino Linotype" w:hAnsi="Palatino Linotype" w:cs="Palatino Linotype"/>
          <w:b/>
          <w:sz w:val="22"/>
          <w:szCs w:val="22"/>
        </w:rPr>
        <w:t>nueve</w:t>
      </w:r>
      <w:r w:rsidR="0028208A" w:rsidRPr="002B7420">
        <w:rPr>
          <w:rFonts w:ascii="Palatino Linotype" w:eastAsia="Palatino Linotype" w:hAnsi="Palatino Linotype" w:cs="Palatino Linotype"/>
          <w:b/>
          <w:sz w:val="22"/>
          <w:szCs w:val="22"/>
        </w:rPr>
        <w:t xml:space="preserve"> de julio</w:t>
      </w:r>
      <w:r w:rsidRPr="002B7420">
        <w:rPr>
          <w:rFonts w:ascii="Palatino Linotype" w:eastAsia="Palatino Linotype" w:hAnsi="Palatino Linotype" w:cs="Palatino Linotype"/>
          <w:b/>
          <w:sz w:val="22"/>
          <w:szCs w:val="22"/>
        </w:rPr>
        <w:t xml:space="preserve"> de dos mil veinticinco</w:t>
      </w:r>
      <w:r w:rsidRPr="002B7420">
        <w:rPr>
          <w:rFonts w:ascii="Palatino Linotype" w:eastAsia="Palatino Linotype" w:hAnsi="Palatino Linotype" w:cs="Palatino Linotype"/>
          <w:sz w:val="22"/>
          <w:szCs w:val="22"/>
        </w:rPr>
        <w:t xml:space="preserve">. </w:t>
      </w:r>
    </w:p>
    <w:p w14:paraId="74DCE31D" w14:textId="18631B66" w:rsidR="00566EB9" w:rsidRPr="002B7420"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B7420">
        <w:rPr>
          <w:rFonts w:ascii="Palatino Linotype" w:eastAsia="Palatino Linotype" w:hAnsi="Palatino Linotype" w:cs="Palatino Linotype"/>
          <w:b/>
          <w:sz w:val="22"/>
          <w:szCs w:val="22"/>
        </w:rPr>
        <w:t>Visto</w:t>
      </w:r>
      <w:r w:rsidRPr="002B7420">
        <w:rPr>
          <w:rFonts w:ascii="Palatino Linotype" w:eastAsia="Palatino Linotype" w:hAnsi="Palatino Linotype" w:cs="Palatino Linotype"/>
          <w:sz w:val="22"/>
          <w:szCs w:val="22"/>
        </w:rPr>
        <w:t xml:space="preserve"> el expediente formado con motivo del recurso de revisión </w:t>
      </w:r>
      <w:r w:rsidRPr="002B7420">
        <w:rPr>
          <w:rFonts w:ascii="Palatino Linotype" w:eastAsia="Palatino Linotype" w:hAnsi="Palatino Linotype" w:cs="Palatino Linotype"/>
          <w:b/>
          <w:sz w:val="22"/>
          <w:szCs w:val="22"/>
        </w:rPr>
        <w:t>0</w:t>
      </w:r>
      <w:r w:rsidR="00C30DDF" w:rsidRPr="002B7420">
        <w:rPr>
          <w:rFonts w:ascii="Palatino Linotype" w:eastAsia="Palatino Linotype" w:hAnsi="Palatino Linotype" w:cs="Palatino Linotype"/>
          <w:b/>
          <w:sz w:val="22"/>
          <w:szCs w:val="22"/>
        </w:rPr>
        <w:t>4</w:t>
      </w:r>
      <w:r w:rsidR="00045AA6" w:rsidRPr="002B7420">
        <w:rPr>
          <w:rFonts w:ascii="Palatino Linotype" w:eastAsia="Palatino Linotype" w:hAnsi="Palatino Linotype" w:cs="Palatino Linotype"/>
          <w:b/>
          <w:sz w:val="22"/>
          <w:szCs w:val="22"/>
        </w:rPr>
        <w:t>58</w:t>
      </w:r>
      <w:r w:rsidR="00C97375" w:rsidRPr="002B7420">
        <w:rPr>
          <w:rFonts w:ascii="Palatino Linotype" w:eastAsia="Palatino Linotype" w:hAnsi="Palatino Linotype" w:cs="Palatino Linotype"/>
          <w:b/>
          <w:sz w:val="22"/>
          <w:szCs w:val="22"/>
        </w:rPr>
        <w:t>9</w:t>
      </w:r>
      <w:r w:rsidRPr="002B7420">
        <w:rPr>
          <w:rFonts w:ascii="Palatino Linotype" w:eastAsia="Palatino Linotype" w:hAnsi="Palatino Linotype" w:cs="Palatino Linotype"/>
          <w:b/>
          <w:sz w:val="22"/>
          <w:szCs w:val="22"/>
        </w:rPr>
        <w:t>/INFOEM/IP/RR/2025</w:t>
      </w:r>
      <w:r w:rsidRPr="002B7420">
        <w:rPr>
          <w:rFonts w:ascii="Palatino Linotype" w:eastAsia="Palatino Linotype" w:hAnsi="Palatino Linotype" w:cs="Palatino Linotype"/>
          <w:sz w:val="22"/>
          <w:szCs w:val="22"/>
        </w:rPr>
        <w:t>, interpuesto por</w:t>
      </w:r>
      <w:r w:rsidR="003F0A9C" w:rsidRPr="002B7420">
        <w:t xml:space="preserve"> </w:t>
      </w:r>
      <w:r w:rsidR="001E141A" w:rsidRPr="002B7420">
        <w:rPr>
          <w:rFonts w:ascii="Palatino Linotype" w:eastAsia="Palatino Linotype" w:hAnsi="Palatino Linotype" w:cs="Palatino Linotype"/>
          <w:b/>
          <w:sz w:val="22"/>
        </w:rPr>
        <w:t>una persona usuaria del Sistema de Acceso a la Información Mexiquense que no proporcionó nombre</w:t>
      </w:r>
      <w:r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sz w:val="22"/>
          <w:szCs w:val="22"/>
        </w:rPr>
        <w:t xml:space="preserve"> en lo sucesivo</w:t>
      </w:r>
      <w:r w:rsidRPr="002B7420">
        <w:rPr>
          <w:rFonts w:ascii="Palatino Linotype" w:eastAsia="Palatino Linotype" w:hAnsi="Palatino Linotype" w:cs="Palatino Linotype"/>
          <w:b/>
          <w:sz w:val="22"/>
          <w:szCs w:val="22"/>
        </w:rPr>
        <w:t xml:space="preserve"> la parte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Recurrente,</w:t>
      </w:r>
      <w:r w:rsidRPr="002B7420">
        <w:rPr>
          <w:rFonts w:ascii="Palatino Linotype" w:eastAsia="Palatino Linotype" w:hAnsi="Palatino Linotype" w:cs="Palatino Linotype"/>
          <w:sz w:val="22"/>
          <w:szCs w:val="22"/>
        </w:rPr>
        <w:t xml:space="preserve"> en contra de la respuesta a su solicitud por parte del</w:t>
      </w:r>
      <w:r w:rsidR="003F0A9C" w:rsidRPr="002B7420">
        <w:rPr>
          <w:rFonts w:ascii="Palatino Linotype" w:eastAsia="Palatino Linotype" w:hAnsi="Palatino Linotype" w:cs="Palatino Linotype"/>
          <w:sz w:val="22"/>
          <w:szCs w:val="22"/>
        </w:rPr>
        <w:t xml:space="preserve"> </w:t>
      </w:r>
      <w:r w:rsidR="001E141A" w:rsidRPr="002B7420">
        <w:rPr>
          <w:rFonts w:ascii="Palatino Linotype" w:eastAsia="Palatino Linotype" w:hAnsi="Palatino Linotype" w:cs="Palatino Linotype"/>
          <w:b/>
          <w:sz w:val="22"/>
          <w:szCs w:val="22"/>
        </w:rPr>
        <w:t>Ayuntamiento de Acambay de Ruíz Castañeda</w:t>
      </w:r>
      <w:r w:rsidR="00C30DDF" w:rsidRPr="002B7420">
        <w:rPr>
          <w:rFonts w:ascii="Palatino Linotype" w:eastAsia="Palatino Linotype" w:hAnsi="Palatino Linotype" w:cs="Palatino Linotype"/>
          <w:b/>
          <w:bCs/>
          <w:sz w:val="22"/>
          <w:szCs w:val="22"/>
        </w:rPr>
        <w:t>,</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en lo sucesivo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2B7420" w:rsidRDefault="00D41CCE">
      <w:pPr>
        <w:spacing w:before="240" w:after="240" w:line="360" w:lineRule="auto"/>
        <w:jc w:val="center"/>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I. A N T E C E D E N T E S</w:t>
      </w:r>
    </w:p>
    <w:p w14:paraId="336C0FED" w14:textId="1C0F00AB" w:rsidR="00566EB9" w:rsidRPr="002B7420" w:rsidRDefault="00D41CCE">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1. Solicitud de acceso a la información.</w:t>
      </w:r>
      <w:r w:rsidRPr="002B7420">
        <w:rPr>
          <w:rFonts w:ascii="Palatino Linotype" w:eastAsia="Palatino Linotype" w:hAnsi="Palatino Linotype" w:cs="Palatino Linotype"/>
          <w:sz w:val="22"/>
          <w:szCs w:val="22"/>
        </w:rPr>
        <w:t xml:space="preserve"> El</w:t>
      </w:r>
      <w:r w:rsidR="00B253BE" w:rsidRPr="002B7420">
        <w:rPr>
          <w:rFonts w:ascii="Palatino Linotype" w:eastAsia="Palatino Linotype" w:hAnsi="Palatino Linotype" w:cs="Palatino Linotype"/>
          <w:sz w:val="22"/>
          <w:szCs w:val="22"/>
        </w:rPr>
        <w:t xml:space="preserve"> </w:t>
      </w:r>
      <w:r w:rsidR="001E141A" w:rsidRPr="002B7420">
        <w:rPr>
          <w:rFonts w:ascii="Palatino Linotype" w:eastAsia="Palatino Linotype" w:hAnsi="Palatino Linotype" w:cs="Palatino Linotype"/>
          <w:b/>
          <w:sz w:val="22"/>
          <w:szCs w:val="22"/>
        </w:rPr>
        <w:t>cuatro</w:t>
      </w:r>
      <w:r w:rsidR="00B253BE" w:rsidRPr="002B7420">
        <w:rPr>
          <w:rFonts w:ascii="Palatino Linotype" w:eastAsia="Palatino Linotype" w:hAnsi="Palatino Linotype" w:cs="Palatino Linotype"/>
          <w:b/>
          <w:sz w:val="22"/>
          <w:szCs w:val="22"/>
        </w:rPr>
        <w:t xml:space="preserve"> de marzo de dos mil veinticinco</w:t>
      </w:r>
      <w:r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la parte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 xml:space="preserve">Recurrente </w:t>
      </w:r>
      <w:r w:rsidRPr="002B7420">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la solicitud de acceso a la información pública a la que se le asignó el </w:t>
      </w:r>
      <w:r w:rsidR="005D6FD9" w:rsidRPr="002B7420">
        <w:rPr>
          <w:rFonts w:ascii="Palatino Linotype" w:eastAsia="Palatino Linotype" w:hAnsi="Palatino Linotype" w:cs="Palatino Linotype"/>
          <w:sz w:val="22"/>
          <w:szCs w:val="22"/>
        </w:rPr>
        <w:t>número</w:t>
      </w:r>
      <w:r w:rsidR="001E141A" w:rsidRPr="002B7420">
        <w:t xml:space="preserve"> </w:t>
      </w:r>
      <w:r w:rsidR="001E141A" w:rsidRPr="002B7420">
        <w:rPr>
          <w:rFonts w:ascii="Palatino Linotype" w:eastAsia="Palatino Linotype" w:hAnsi="Palatino Linotype" w:cs="Palatino Linotype"/>
          <w:b/>
          <w:sz w:val="22"/>
          <w:szCs w:val="22"/>
        </w:rPr>
        <w:t>00172/ACAMBAY/IP/2025</w:t>
      </w:r>
      <w:r w:rsidR="00B253BE"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mediante la cual requirió la información siguiente: </w:t>
      </w:r>
    </w:p>
    <w:p w14:paraId="53ABC3AC" w14:textId="4C5106E6" w:rsidR="00566EB9" w:rsidRPr="002B7420" w:rsidRDefault="00D41CCE" w:rsidP="001E141A">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2B7420">
        <w:rPr>
          <w:rFonts w:ascii="Palatino Linotype" w:eastAsia="Palatino Linotype" w:hAnsi="Palatino Linotype" w:cs="Palatino Linotype"/>
          <w:i/>
          <w:sz w:val="22"/>
          <w:szCs w:val="22"/>
        </w:rPr>
        <w:t>“</w:t>
      </w:r>
      <w:r w:rsidR="001E141A" w:rsidRPr="002B7420">
        <w:rPr>
          <w:rFonts w:ascii="Palatino Linotype" w:eastAsia="Palatino Linotype" w:hAnsi="Palatino Linotype" w:cs="Palatino Linotype"/>
          <w:i/>
          <w:sz w:val="22"/>
          <w:szCs w:val="22"/>
        </w:rPr>
        <w:t>solicito nomina general de la primera quincena de febrero del 2025 y los documentos con los que fueron dados de alta</w:t>
      </w:r>
      <w:r w:rsidR="00C30DDF"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i/>
          <w:sz w:val="22"/>
          <w:szCs w:val="22"/>
        </w:rPr>
        <w:t xml:space="preserve"> (Sic) </w:t>
      </w:r>
    </w:p>
    <w:p w14:paraId="7F7E8FBF" w14:textId="77777777" w:rsidR="00566EB9" w:rsidRPr="002B7420" w:rsidRDefault="00D41CCE">
      <w:pPr>
        <w:spacing w:before="240" w:after="240"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Modalidad de Entrega:</w:t>
      </w:r>
      <w:r w:rsidRPr="002B7420">
        <w:rPr>
          <w:rFonts w:ascii="Palatino Linotype" w:eastAsia="Palatino Linotype" w:hAnsi="Palatino Linotype" w:cs="Palatino Linotype"/>
          <w:sz w:val="22"/>
          <w:szCs w:val="22"/>
        </w:rPr>
        <w:t xml:space="preserve"> a través del Sistema de Acceso a la Información Mexiquense (SAIMEX).</w:t>
      </w:r>
    </w:p>
    <w:p w14:paraId="355D92AA" w14:textId="662370D1" w:rsidR="00566EB9" w:rsidRPr="002B7420"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2B7420">
        <w:rPr>
          <w:rFonts w:ascii="Palatino Linotype" w:eastAsia="Palatino Linotype" w:hAnsi="Palatino Linotype" w:cs="Palatino Linotype"/>
          <w:b/>
          <w:sz w:val="22"/>
          <w:szCs w:val="22"/>
        </w:rPr>
        <w:lastRenderedPageBreak/>
        <w:t>2.</w:t>
      </w:r>
      <w:r w:rsidRPr="002B7420">
        <w:t xml:space="preserve"> </w:t>
      </w:r>
      <w:r w:rsidR="0096349E" w:rsidRPr="002B7420">
        <w:rPr>
          <w:rFonts w:ascii="Palatino Linotype" w:eastAsia="Palatino Linotype" w:hAnsi="Palatino Linotype" w:cs="Palatino Linotype"/>
          <w:b/>
          <w:sz w:val="22"/>
          <w:szCs w:val="22"/>
        </w:rPr>
        <w:t>Respuesta</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El </w:t>
      </w:r>
      <w:r w:rsidR="001E141A" w:rsidRPr="002B7420">
        <w:rPr>
          <w:rFonts w:ascii="Palatino Linotype" w:eastAsia="Palatino Linotype" w:hAnsi="Palatino Linotype" w:cs="Palatino Linotype"/>
          <w:b/>
          <w:sz w:val="22"/>
          <w:szCs w:val="22"/>
        </w:rPr>
        <w:t>veinticinco de marzo</w:t>
      </w:r>
      <w:r w:rsidR="005D6FD9" w:rsidRPr="002B7420">
        <w:rPr>
          <w:rFonts w:ascii="Palatino Linotype" w:eastAsia="Palatino Linotype" w:hAnsi="Palatino Linotype" w:cs="Palatino Linotype"/>
          <w:b/>
          <w:sz w:val="22"/>
          <w:szCs w:val="22"/>
        </w:rPr>
        <w:t xml:space="preserve"> </w:t>
      </w:r>
      <w:r w:rsidR="0096349E" w:rsidRPr="002B7420">
        <w:rPr>
          <w:rFonts w:ascii="Palatino Linotype" w:eastAsia="Palatino Linotype" w:hAnsi="Palatino Linotype" w:cs="Palatino Linotype"/>
          <w:b/>
          <w:sz w:val="22"/>
          <w:szCs w:val="22"/>
        </w:rPr>
        <w:t xml:space="preserve">de </w:t>
      </w:r>
      <w:r w:rsidRPr="002B7420">
        <w:rPr>
          <w:rFonts w:ascii="Palatino Linotype" w:eastAsia="Palatino Linotype" w:hAnsi="Palatino Linotype" w:cs="Palatino Linotype"/>
          <w:b/>
          <w:sz w:val="22"/>
          <w:szCs w:val="22"/>
        </w:rPr>
        <w:t>dos mil veinticinco</w:t>
      </w:r>
      <w:r w:rsidRPr="002B7420">
        <w:rPr>
          <w:rFonts w:ascii="Palatino Linotype" w:eastAsia="Palatino Linotype" w:hAnsi="Palatino Linotype" w:cs="Palatino Linotype"/>
          <w:sz w:val="22"/>
          <w:szCs w:val="22"/>
        </w:rPr>
        <w:t xml:space="preserve">,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7EFFDF6" w:rsidR="00566EB9" w:rsidRPr="002B7420" w:rsidRDefault="00D41CCE">
      <w:pPr>
        <w:spacing w:before="240" w:after="240"/>
        <w:ind w:left="567"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001E141A" w:rsidRPr="002B7420">
        <w:rPr>
          <w:rFonts w:ascii="Palatino Linotype" w:eastAsia="Palatino Linotype" w:hAnsi="Palatino Linotype" w:cs="Palatino Linotype"/>
          <w:i/>
          <w:sz w:val="22"/>
          <w:szCs w:val="22"/>
        </w:rPr>
        <w:t>En atención a su solicitud de información recibida por esta dependencia vía Sistema Electrónico Denominado Sistema de Acceso a la Información Mexiquense (SAIMEX), dirigida al Ayuntamiento de Acambay de Ruiz Castañeda, Estado de México, como sujeto Obligado de la Ley de Transparencia y Acceso a la Información Pública del Estado de México y Municipios. Se entrega lo siguiente referente a su petición, dando así contestación al solicitante,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2B7420">
        <w:rPr>
          <w:rFonts w:ascii="Palatino Linotype" w:eastAsia="Palatino Linotype" w:hAnsi="Palatino Linotype" w:cs="Palatino Linotype"/>
          <w:i/>
          <w:sz w:val="22"/>
          <w:szCs w:val="22"/>
        </w:rPr>
        <w:t>” (Sic)</w:t>
      </w:r>
    </w:p>
    <w:p w14:paraId="11758A54" w14:textId="3F760058" w:rsidR="00566EB9" w:rsidRPr="002B742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Adjunto a la respuesta,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 xml:space="preserve">hizo entrega </w:t>
      </w:r>
      <w:r w:rsidR="006C0C4B" w:rsidRPr="002B7420">
        <w:rPr>
          <w:rFonts w:ascii="Palatino Linotype" w:eastAsia="Palatino Linotype" w:hAnsi="Palatino Linotype" w:cs="Palatino Linotype"/>
          <w:sz w:val="22"/>
          <w:szCs w:val="22"/>
        </w:rPr>
        <w:t xml:space="preserve">de </w:t>
      </w:r>
      <w:r w:rsidR="001E141A" w:rsidRPr="002B7420">
        <w:rPr>
          <w:rFonts w:ascii="Palatino Linotype" w:eastAsia="Palatino Linotype" w:hAnsi="Palatino Linotype" w:cs="Palatino Linotype"/>
          <w:sz w:val="22"/>
          <w:szCs w:val="22"/>
        </w:rPr>
        <w:t>tres</w:t>
      </w:r>
      <w:r w:rsidR="008279BF"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sz w:val="22"/>
          <w:szCs w:val="22"/>
        </w:rPr>
        <w:t>archivo</w:t>
      </w:r>
      <w:r w:rsidR="001E141A" w:rsidRPr="002B7420">
        <w:rPr>
          <w:rFonts w:ascii="Palatino Linotype" w:eastAsia="Palatino Linotype" w:hAnsi="Palatino Linotype" w:cs="Palatino Linotype"/>
          <w:sz w:val="22"/>
          <w:szCs w:val="22"/>
        </w:rPr>
        <w:t>s</w:t>
      </w:r>
      <w:r w:rsidRPr="002B7420">
        <w:rPr>
          <w:rFonts w:ascii="Palatino Linotype" w:eastAsia="Palatino Linotype" w:hAnsi="Palatino Linotype" w:cs="Palatino Linotype"/>
          <w:sz w:val="22"/>
          <w:szCs w:val="22"/>
        </w:rPr>
        <w:t xml:space="preserve"> electrónico</w:t>
      </w:r>
      <w:r w:rsidR="001E141A" w:rsidRPr="002B7420">
        <w:rPr>
          <w:rFonts w:ascii="Palatino Linotype" w:eastAsia="Palatino Linotype" w:hAnsi="Palatino Linotype" w:cs="Palatino Linotype"/>
          <w:sz w:val="22"/>
          <w:szCs w:val="22"/>
        </w:rPr>
        <w:t>s</w:t>
      </w:r>
      <w:r w:rsidRPr="002B7420">
        <w:rPr>
          <w:rFonts w:ascii="Palatino Linotype" w:eastAsia="Palatino Linotype" w:hAnsi="Palatino Linotype" w:cs="Palatino Linotype"/>
          <w:sz w:val="22"/>
          <w:szCs w:val="22"/>
        </w:rPr>
        <w:t xml:space="preserve"> </w:t>
      </w:r>
      <w:r w:rsidR="0082575D" w:rsidRPr="002B7420">
        <w:rPr>
          <w:rFonts w:ascii="Palatino Linotype" w:eastAsia="Palatino Linotype" w:hAnsi="Palatino Linotype" w:cs="Palatino Linotype"/>
          <w:sz w:val="22"/>
          <w:szCs w:val="22"/>
        </w:rPr>
        <w:t>que</w:t>
      </w:r>
      <w:r w:rsidRPr="002B7420">
        <w:rPr>
          <w:rFonts w:ascii="Palatino Linotype" w:eastAsia="Palatino Linotype" w:hAnsi="Palatino Linotype" w:cs="Palatino Linotype"/>
          <w:sz w:val="22"/>
          <w:szCs w:val="22"/>
        </w:rPr>
        <w:t xml:space="preserve"> </w:t>
      </w:r>
      <w:r w:rsidR="00D441A8" w:rsidRPr="002B7420">
        <w:rPr>
          <w:rFonts w:ascii="Palatino Linotype" w:eastAsia="Palatino Linotype" w:hAnsi="Palatino Linotype" w:cs="Palatino Linotype"/>
          <w:sz w:val="22"/>
          <w:szCs w:val="22"/>
        </w:rPr>
        <w:t>contiene</w:t>
      </w:r>
      <w:r w:rsidR="001E141A" w:rsidRPr="002B7420">
        <w:rPr>
          <w:rFonts w:ascii="Palatino Linotype" w:eastAsia="Palatino Linotype" w:hAnsi="Palatino Linotype" w:cs="Palatino Linotype"/>
          <w:sz w:val="22"/>
          <w:szCs w:val="22"/>
        </w:rPr>
        <w:t>n</w:t>
      </w:r>
      <w:r w:rsidRPr="002B7420">
        <w:rPr>
          <w:rFonts w:ascii="Palatino Linotype" w:eastAsia="Palatino Linotype" w:hAnsi="Palatino Linotype" w:cs="Palatino Linotype"/>
          <w:sz w:val="22"/>
          <w:szCs w:val="22"/>
        </w:rPr>
        <w:t xml:space="preserve"> la siguiente información:</w:t>
      </w:r>
    </w:p>
    <w:p w14:paraId="654860C0" w14:textId="77777777" w:rsidR="00CD0D49" w:rsidRPr="002B7420"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157D09D" w14:textId="77777777" w:rsidR="009143AF" w:rsidRPr="002B7420" w:rsidRDefault="001E141A" w:rsidP="009143AF">
      <w:pPr>
        <w:pStyle w:val="Prrafodelista"/>
        <w:numPr>
          <w:ilvl w:val="0"/>
          <w:numId w:val="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roofErr w:type="spellStart"/>
      <w:r w:rsidRPr="002B7420">
        <w:rPr>
          <w:rFonts w:ascii="Palatino Linotype" w:eastAsia="Palatino Linotype" w:hAnsi="Palatino Linotype" w:cs="Palatino Linotype"/>
          <w:b/>
          <w:i/>
          <w:sz w:val="22"/>
          <w:szCs w:val="22"/>
          <w:lang w:val="es-MX"/>
        </w:rPr>
        <w:t>Solictud</w:t>
      </w:r>
      <w:proofErr w:type="spellEnd"/>
      <w:r w:rsidRPr="002B7420">
        <w:rPr>
          <w:rFonts w:ascii="Palatino Linotype" w:eastAsia="Palatino Linotype" w:hAnsi="Palatino Linotype" w:cs="Palatino Linotype"/>
          <w:b/>
          <w:i/>
          <w:sz w:val="22"/>
          <w:szCs w:val="22"/>
          <w:lang w:val="es-MX"/>
        </w:rPr>
        <w:t xml:space="preserve"> 00172.pdf</w:t>
      </w:r>
      <w:r w:rsidRPr="002B7420">
        <w:rPr>
          <w:rFonts w:ascii="Palatino Linotype" w:eastAsia="Palatino Linotype" w:hAnsi="Palatino Linotype" w:cs="Palatino Linotype"/>
          <w:sz w:val="22"/>
          <w:szCs w:val="22"/>
          <w:lang w:val="es-MX"/>
        </w:rPr>
        <w:t xml:space="preserve">: </w:t>
      </w:r>
      <w:r w:rsidR="00C776AC" w:rsidRPr="002B7420">
        <w:rPr>
          <w:rFonts w:ascii="Palatino Linotype" w:eastAsia="Palatino Linotype" w:hAnsi="Palatino Linotype" w:cs="Palatino Linotype"/>
          <w:sz w:val="22"/>
          <w:szCs w:val="22"/>
        </w:rPr>
        <w:t>Archivo que contiene 566 fojas, relativas a la versión pública de recibos de nómina de la primera quincena de febrero de dos mil veinticinco, de servidores públicos adscritos a las distintas dependencias del Ayuntamiento de Acambay de Ruiz Castañeda.</w:t>
      </w:r>
    </w:p>
    <w:p w14:paraId="62D3B457" w14:textId="77777777" w:rsidR="009143AF" w:rsidRPr="002B7420" w:rsidRDefault="009143AF" w:rsidP="009143AF">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lang w:val="es-MX"/>
        </w:rPr>
      </w:pPr>
    </w:p>
    <w:p w14:paraId="7BF54EEC" w14:textId="438284FE" w:rsidR="009143AF" w:rsidRPr="002B7420" w:rsidRDefault="009143AF" w:rsidP="009143AF">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Recibos los anteriores, en los que se testaron </w:t>
      </w:r>
      <w:r w:rsidR="00796322" w:rsidRPr="002B7420">
        <w:rPr>
          <w:rFonts w:ascii="Palatino Linotype" w:eastAsia="Palatino Linotype" w:hAnsi="Palatino Linotype" w:cs="Palatino Linotype"/>
          <w:sz w:val="22"/>
          <w:szCs w:val="22"/>
        </w:rPr>
        <w:t>los siguientes datos</w:t>
      </w:r>
      <w:r w:rsidRPr="002B7420">
        <w:rPr>
          <w:rFonts w:ascii="Palatino Linotype" w:eastAsia="Palatino Linotype" w:hAnsi="Palatino Linotype" w:cs="Palatino Linotype"/>
          <w:sz w:val="22"/>
          <w:szCs w:val="22"/>
        </w:rPr>
        <w:t xml:space="preserve">: RFC, CURP, Clave de ISSEMYM, número de trabajador, días pagados, </w:t>
      </w:r>
      <w:r w:rsidR="00E763EF" w:rsidRPr="002B7420">
        <w:rPr>
          <w:rFonts w:ascii="Palatino Linotype" w:eastAsia="Palatino Linotype" w:hAnsi="Palatino Linotype" w:cs="Palatino Linotype"/>
          <w:sz w:val="22"/>
          <w:szCs w:val="22"/>
        </w:rPr>
        <w:t xml:space="preserve">neto pagado, </w:t>
      </w:r>
      <w:r w:rsidRPr="002B7420">
        <w:rPr>
          <w:rFonts w:ascii="Palatino Linotype" w:eastAsia="Palatino Linotype" w:hAnsi="Palatino Linotype" w:cs="Palatino Linotype"/>
          <w:sz w:val="22"/>
          <w:szCs w:val="22"/>
        </w:rPr>
        <w:t>deducciones personales e información fiscal (</w:t>
      </w:r>
      <w:r w:rsidR="00E763EF" w:rsidRPr="002B7420">
        <w:rPr>
          <w:rFonts w:ascii="Palatino Linotype" w:eastAsia="Palatino Linotype" w:hAnsi="Palatino Linotype" w:cs="Palatino Linotype"/>
          <w:sz w:val="22"/>
          <w:szCs w:val="22"/>
        </w:rPr>
        <w:t>folio fiscal, número de serie del CSD, lugar y fecha de emisión, régimen fiscal, forma de pago, método de pago, fecha de pago, cadena original del certificado digital del SAT, número de serie del certificado del SAT, sello digital del CFDI, sello del SAT</w:t>
      </w:r>
      <w:r w:rsidRPr="002B7420">
        <w:rPr>
          <w:rFonts w:ascii="Palatino Linotype" w:eastAsia="Palatino Linotype" w:hAnsi="Palatino Linotype" w:cs="Palatino Linotype"/>
          <w:sz w:val="22"/>
          <w:szCs w:val="22"/>
        </w:rPr>
        <w:t>).</w:t>
      </w:r>
    </w:p>
    <w:p w14:paraId="6F5DA2DE" w14:textId="77777777" w:rsidR="009143AF" w:rsidRPr="002B7420" w:rsidRDefault="009143AF" w:rsidP="009143AF">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63E0945" w14:textId="3A418D30" w:rsidR="009143AF" w:rsidRPr="002B7420" w:rsidRDefault="00796322" w:rsidP="009143AF">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Asimismo,</w:t>
      </w:r>
      <w:r w:rsidR="009143AF" w:rsidRPr="002B7420">
        <w:rPr>
          <w:rFonts w:ascii="Palatino Linotype" w:eastAsia="Palatino Linotype" w:hAnsi="Palatino Linotype" w:cs="Palatino Linotype"/>
          <w:sz w:val="22"/>
          <w:szCs w:val="22"/>
        </w:rPr>
        <w:t xml:space="preserve"> se dejó a la vista información confidencial y reservada, como el código postal del </w:t>
      </w:r>
      <w:r w:rsidR="00D571D8" w:rsidRPr="002B7420">
        <w:rPr>
          <w:rFonts w:ascii="Palatino Linotype" w:eastAsia="Palatino Linotype" w:hAnsi="Palatino Linotype" w:cs="Palatino Linotype"/>
          <w:sz w:val="22"/>
          <w:szCs w:val="22"/>
        </w:rPr>
        <w:t xml:space="preserve">domicilio particular de los servidores </w:t>
      </w:r>
      <w:r w:rsidR="009143AF" w:rsidRPr="002B7420">
        <w:rPr>
          <w:rFonts w:ascii="Palatino Linotype" w:eastAsia="Palatino Linotype" w:hAnsi="Palatino Linotype" w:cs="Palatino Linotype"/>
          <w:sz w:val="22"/>
          <w:szCs w:val="22"/>
        </w:rPr>
        <w:t>público</w:t>
      </w:r>
      <w:r w:rsidR="00D571D8" w:rsidRPr="002B7420">
        <w:rPr>
          <w:rFonts w:ascii="Palatino Linotype" w:eastAsia="Palatino Linotype" w:hAnsi="Palatino Linotype" w:cs="Palatino Linotype"/>
          <w:sz w:val="22"/>
          <w:szCs w:val="22"/>
        </w:rPr>
        <w:t>s (en todas las fojas)</w:t>
      </w:r>
      <w:r w:rsidR="009143AF" w:rsidRPr="002B7420">
        <w:rPr>
          <w:rFonts w:ascii="Palatino Linotype" w:eastAsia="Palatino Linotype" w:hAnsi="Palatino Linotype" w:cs="Palatino Linotype"/>
          <w:sz w:val="22"/>
          <w:szCs w:val="22"/>
        </w:rPr>
        <w:t>, así como los nombres de policías adscritos a la Dirección de Seguridad Pública</w:t>
      </w:r>
      <w:r w:rsidR="00E763EF" w:rsidRPr="002B7420">
        <w:rPr>
          <w:rFonts w:ascii="Palatino Linotype" w:eastAsia="Palatino Linotype" w:hAnsi="Palatino Linotype" w:cs="Palatino Linotype"/>
          <w:sz w:val="22"/>
          <w:szCs w:val="22"/>
        </w:rPr>
        <w:t xml:space="preserve"> (foja 45, 46,</w:t>
      </w:r>
      <w:r w:rsidR="00D571D8" w:rsidRPr="002B7420">
        <w:rPr>
          <w:rFonts w:ascii="Palatino Linotype" w:eastAsia="Palatino Linotype" w:hAnsi="Palatino Linotype" w:cs="Palatino Linotype"/>
          <w:sz w:val="22"/>
          <w:szCs w:val="22"/>
        </w:rPr>
        <w:t xml:space="preserve"> 48, 50, 55, 182, 184, 187, 194</w:t>
      </w:r>
      <w:r w:rsidR="00E763EF" w:rsidRPr="002B7420">
        <w:rPr>
          <w:rFonts w:ascii="Palatino Linotype" w:eastAsia="Palatino Linotype" w:hAnsi="Palatino Linotype" w:cs="Palatino Linotype"/>
          <w:sz w:val="22"/>
          <w:szCs w:val="22"/>
        </w:rPr>
        <w:t>)</w:t>
      </w:r>
      <w:r w:rsidR="009143AF" w:rsidRPr="002B7420">
        <w:rPr>
          <w:rFonts w:ascii="Palatino Linotype" w:eastAsia="Palatino Linotype" w:hAnsi="Palatino Linotype" w:cs="Palatino Linotype"/>
          <w:sz w:val="22"/>
          <w:szCs w:val="22"/>
        </w:rPr>
        <w:t>.</w:t>
      </w:r>
    </w:p>
    <w:p w14:paraId="64FA9364" w14:textId="77777777" w:rsidR="009143AF" w:rsidRPr="002B7420" w:rsidRDefault="009143AF" w:rsidP="009143AF">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402FD3A" w14:textId="2F2EDBFF" w:rsidR="0008100A" w:rsidRPr="002B7420" w:rsidRDefault="00C17968" w:rsidP="00C17968">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lastRenderedPageBreak/>
        <w:t xml:space="preserve">SOL 172.pdf: </w:t>
      </w:r>
      <w:r w:rsidR="0008100A" w:rsidRPr="002B7420">
        <w:rPr>
          <w:rFonts w:ascii="Palatino Linotype" w:eastAsia="Palatino Linotype" w:hAnsi="Palatino Linotype" w:cs="Palatino Linotype"/>
          <w:sz w:val="22"/>
          <w:szCs w:val="22"/>
        </w:rPr>
        <w:t>Contiene la siguiente información:</w:t>
      </w:r>
    </w:p>
    <w:p w14:paraId="3457837B" w14:textId="22DCE09A" w:rsidR="001E141A" w:rsidRPr="002B7420" w:rsidRDefault="0008100A"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w:t>
      </w:r>
      <w:r w:rsidR="00C17968" w:rsidRPr="002B7420">
        <w:rPr>
          <w:rFonts w:ascii="Palatino Linotype" w:eastAsia="Palatino Linotype" w:hAnsi="Palatino Linotype" w:cs="Palatino Linotype"/>
          <w:sz w:val="22"/>
          <w:szCs w:val="22"/>
        </w:rPr>
        <w:t>Oficio del 04 de marzo de 2025, a través del cual la Titula</w:t>
      </w:r>
      <w:r w:rsidRPr="002B7420">
        <w:rPr>
          <w:rFonts w:ascii="Palatino Linotype" w:eastAsia="Palatino Linotype" w:hAnsi="Palatino Linotype" w:cs="Palatino Linotype"/>
          <w:sz w:val="22"/>
          <w:szCs w:val="22"/>
        </w:rPr>
        <w:t>r de la Unidad de Transparencia turnó al Tesorero Municipal la solicitud de información de nuestra atención.</w:t>
      </w:r>
    </w:p>
    <w:p w14:paraId="33BA9F1A" w14:textId="77777777" w:rsidR="0008100A" w:rsidRPr="002B7420" w:rsidRDefault="0008100A"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19767DA4" w14:textId="137F7CFB" w:rsidR="0008100A" w:rsidRPr="002B7420" w:rsidRDefault="0008100A"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rPr>
        <w:t>-</w:t>
      </w:r>
      <w:r w:rsidRPr="002B7420">
        <w:rPr>
          <w:rFonts w:ascii="Palatino Linotype" w:eastAsia="Palatino Linotype" w:hAnsi="Palatino Linotype" w:cs="Palatino Linotype"/>
          <w:sz w:val="22"/>
          <w:szCs w:val="22"/>
        </w:rPr>
        <w:t xml:space="preserve">Oficio del 19 de marzo de 2025, a través del cual el Tesorero Municipal indica a la Titular de la Unidad de Transparencia que en archivo adjunto en formato </w:t>
      </w:r>
      <w:proofErr w:type="spellStart"/>
      <w:r w:rsidRPr="002B7420">
        <w:rPr>
          <w:rFonts w:ascii="Palatino Linotype" w:eastAsia="Palatino Linotype" w:hAnsi="Palatino Linotype" w:cs="Palatino Linotype"/>
          <w:sz w:val="22"/>
          <w:szCs w:val="22"/>
        </w:rPr>
        <w:t>pdf</w:t>
      </w:r>
      <w:proofErr w:type="spellEnd"/>
      <w:r w:rsidRPr="002B7420">
        <w:rPr>
          <w:rFonts w:ascii="Palatino Linotype" w:eastAsia="Palatino Linotype" w:hAnsi="Palatino Linotype" w:cs="Palatino Linotype"/>
          <w:sz w:val="22"/>
          <w:szCs w:val="22"/>
        </w:rPr>
        <w:t xml:space="preserve"> remite la nómina de los </w:t>
      </w:r>
      <w:r w:rsidR="001E0B78" w:rsidRPr="002B7420">
        <w:rPr>
          <w:rFonts w:ascii="Palatino Linotype" w:eastAsia="Palatino Linotype" w:hAnsi="Palatino Linotype" w:cs="Palatino Linotype"/>
          <w:sz w:val="22"/>
          <w:szCs w:val="22"/>
        </w:rPr>
        <w:t>servidores públicos.</w:t>
      </w:r>
    </w:p>
    <w:p w14:paraId="67338294" w14:textId="77777777" w:rsidR="001E0B78" w:rsidRPr="002B7420"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E256652" w14:textId="12C21106" w:rsidR="001E0B78" w:rsidRPr="002B7420" w:rsidRDefault="00F745FF" w:rsidP="00F745FF">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rPr>
        <w:t>acta RR 01022.pdf</w:t>
      </w:r>
      <w:r w:rsidRPr="002B7420">
        <w:rPr>
          <w:rFonts w:ascii="Palatino Linotype" w:eastAsia="Palatino Linotype" w:hAnsi="Palatino Linotype" w:cs="Palatino Linotype"/>
          <w:sz w:val="22"/>
          <w:szCs w:val="22"/>
        </w:rPr>
        <w:t xml:space="preserve">: </w:t>
      </w:r>
      <w:r w:rsidR="001E0B78" w:rsidRPr="002B7420">
        <w:rPr>
          <w:rFonts w:ascii="Palatino Linotype" w:eastAsia="Palatino Linotype" w:hAnsi="Palatino Linotype" w:cs="Palatino Linotype"/>
          <w:sz w:val="22"/>
          <w:szCs w:val="22"/>
        </w:rPr>
        <w:t>Acta de la Vigésimo Primera Sesión Extraordinaria del Comité de Transparencia del veinticuatro de marzo de dos mil veinticinco, a través del cual se aprueba la versión pública de la información que da respuesta, entre otras solicitudes, a la de nuestra atención.</w:t>
      </w:r>
    </w:p>
    <w:p w14:paraId="1CEA650E" w14:textId="77777777" w:rsidR="001E0B78" w:rsidRPr="002B7420"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0AE9A638" w:rsidR="00566EB9" w:rsidRPr="002B742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 xml:space="preserve">3. Interposición del recurso de revisión. </w:t>
      </w:r>
      <w:r w:rsidRPr="002B7420">
        <w:rPr>
          <w:rFonts w:ascii="Palatino Linotype" w:eastAsia="Palatino Linotype" w:hAnsi="Palatino Linotype" w:cs="Palatino Linotype"/>
          <w:sz w:val="22"/>
          <w:szCs w:val="22"/>
        </w:rPr>
        <w:t xml:space="preserve">Inconforme con los términos de la respuesta emitida por parte del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el</w:t>
      </w:r>
      <w:r w:rsidRPr="002B7420">
        <w:rPr>
          <w:rFonts w:ascii="Palatino Linotype" w:eastAsia="Palatino Linotype" w:hAnsi="Palatino Linotype" w:cs="Palatino Linotype"/>
          <w:b/>
          <w:sz w:val="22"/>
          <w:szCs w:val="22"/>
        </w:rPr>
        <w:t xml:space="preserve"> </w:t>
      </w:r>
      <w:r w:rsidR="006D4B8E" w:rsidRPr="002B7420">
        <w:rPr>
          <w:rFonts w:ascii="Palatino Linotype" w:eastAsia="Palatino Linotype" w:hAnsi="Palatino Linotype" w:cs="Palatino Linotype"/>
          <w:b/>
          <w:sz w:val="22"/>
          <w:szCs w:val="22"/>
        </w:rPr>
        <w:t>veintidós</w:t>
      </w:r>
      <w:r w:rsidR="00271266" w:rsidRPr="002B7420">
        <w:rPr>
          <w:rFonts w:ascii="Palatino Linotype" w:eastAsia="Palatino Linotype" w:hAnsi="Palatino Linotype" w:cs="Palatino Linotype"/>
          <w:b/>
          <w:sz w:val="22"/>
          <w:szCs w:val="22"/>
        </w:rPr>
        <w:t xml:space="preserve"> </w:t>
      </w:r>
      <w:r w:rsidR="00E712F5" w:rsidRPr="002B7420">
        <w:rPr>
          <w:rFonts w:ascii="Palatino Linotype" w:eastAsia="Palatino Linotype" w:hAnsi="Palatino Linotype" w:cs="Palatino Linotype"/>
          <w:b/>
          <w:sz w:val="22"/>
          <w:szCs w:val="22"/>
        </w:rPr>
        <w:t xml:space="preserve">de </w:t>
      </w:r>
      <w:r w:rsidR="00B36420" w:rsidRPr="002B7420">
        <w:rPr>
          <w:rFonts w:ascii="Palatino Linotype" w:eastAsia="Palatino Linotype" w:hAnsi="Palatino Linotype" w:cs="Palatino Linotype"/>
          <w:b/>
          <w:sz w:val="22"/>
          <w:szCs w:val="22"/>
        </w:rPr>
        <w:t>abril</w:t>
      </w:r>
      <w:r w:rsidRPr="002B7420">
        <w:rPr>
          <w:rFonts w:ascii="Palatino Linotype" w:eastAsia="Palatino Linotype" w:hAnsi="Palatino Linotype" w:cs="Palatino Linotype"/>
          <w:b/>
          <w:sz w:val="22"/>
          <w:szCs w:val="22"/>
        </w:rPr>
        <w:t xml:space="preserve"> de dos mil veinticinco,</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la parte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Recurrente</w:t>
      </w:r>
      <w:r w:rsidRPr="002B7420">
        <w:rPr>
          <w:rFonts w:ascii="Palatino Linotype" w:eastAsia="Palatino Linotype" w:hAnsi="Palatino Linotype" w:cs="Palatino Linotype"/>
          <w:sz w:val="22"/>
          <w:szCs w:val="22"/>
        </w:rPr>
        <w:t xml:space="preserve"> interpuso el recurso de revisión a través de </w:t>
      </w:r>
      <w:r w:rsidR="00315AC1" w:rsidRPr="002B7420">
        <w:rPr>
          <w:rFonts w:ascii="Palatino Linotype" w:eastAsia="Palatino Linotype" w:hAnsi="Palatino Linotype" w:cs="Palatino Linotype"/>
          <w:b/>
          <w:sz w:val="22"/>
          <w:szCs w:val="22"/>
        </w:rPr>
        <w:t>SAIMEX</w:t>
      </w:r>
      <w:r w:rsidR="00AA72A1"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en donde se manifestó de la siguiente manera:</w:t>
      </w:r>
    </w:p>
    <w:p w14:paraId="4C715CE2" w14:textId="0FDB7624" w:rsidR="00566EB9" w:rsidRPr="002B742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 xml:space="preserve">a) Acto impugnado: </w:t>
      </w:r>
      <w:r w:rsidRPr="002B7420">
        <w:rPr>
          <w:rFonts w:ascii="Palatino Linotype" w:eastAsia="Palatino Linotype" w:hAnsi="Palatino Linotype" w:cs="Palatino Linotype"/>
          <w:i/>
          <w:sz w:val="22"/>
          <w:szCs w:val="22"/>
        </w:rPr>
        <w:t>“</w:t>
      </w:r>
      <w:r w:rsidR="006D4B8E" w:rsidRPr="002B7420">
        <w:rPr>
          <w:rFonts w:ascii="Palatino Linotype" w:eastAsia="Palatino Linotype" w:hAnsi="Palatino Linotype" w:cs="Palatino Linotype"/>
          <w:i/>
          <w:sz w:val="22"/>
          <w:szCs w:val="22"/>
        </w:rPr>
        <w:t>ME NIEGAN LA INFORMACION ASI QUE SOLICITO AL INSTITUTO ORDENE AL TITULAR DE TRANSPARENCIA O AL MUNICIPIO QUE ME ENTREGUE LA INFORMACION TAL COMO LA PEDI ME NIEGAN LA INFORMACION ASI QUE SOLICITO AL INSTITUTO ORDENE AL TITULAR DE TRANSPARENCIA O AL MUNICIPIO QUE ME ENTREGUE LA INFORMACION TAL COMO LA PEDI</w:t>
      </w:r>
      <w:r w:rsidRPr="002B7420">
        <w:rPr>
          <w:rFonts w:ascii="Palatino Linotype" w:eastAsia="Palatino Linotype" w:hAnsi="Palatino Linotype" w:cs="Palatino Linotype"/>
          <w:i/>
          <w:sz w:val="22"/>
          <w:szCs w:val="22"/>
        </w:rPr>
        <w:t>” (Sic)</w:t>
      </w:r>
    </w:p>
    <w:p w14:paraId="340518C7" w14:textId="4A6A53EE" w:rsidR="00566EB9" w:rsidRPr="002B7420"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2B7420">
        <w:rPr>
          <w:rFonts w:ascii="Palatino Linotype" w:eastAsia="Palatino Linotype" w:hAnsi="Palatino Linotype" w:cs="Palatino Linotype"/>
          <w:b/>
          <w:sz w:val="22"/>
          <w:szCs w:val="22"/>
        </w:rPr>
        <w:t>b) Razones o motivos de inconformidad</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i/>
          <w:sz w:val="22"/>
          <w:szCs w:val="22"/>
        </w:rPr>
        <w:t>“</w:t>
      </w:r>
      <w:r w:rsidR="006D4B8E" w:rsidRPr="002B7420">
        <w:rPr>
          <w:rFonts w:ascii="Palatino Linotype" w:eastAsia="Palatino Linotype" w:hAnsi="Palatino Linotype" w:cs="Palatino Linotype"/>
          <w:i/>
          <w:sz w:val="22"/>
          <w:szCs w:val="22"/>
        </w:rPr>
        <w:t>ME NIEGAN LA INFORMACION ASI QUE SOLICITO AL INSTITUTO ORDENE AL TITULAR DE TRANSPARENCIA O AL MUNICIPIO QUE ME ENTREGUE LA INFORMACION TAL COMO LA PEDI</w:t>
      </w:r>
      <w:r w:rsidRPr="002B7420">
        <w:rPr>
          <w:rFonts w:ascii="Palatino Linotype" w:eastAsia="Palatino Linotype" w:hAnsi="Palatino Linotype" w:cs="Palatino Linotype"/>
          <w:i/>
          <w:sz w:val="22"/>
          <w:szCs w:val="22"/>
        </w:rPr>
        <w:t>” (Sic)</w:t>
      </w:r>
    </w:p>
    <w:p w14:paraId="4294597E" w14:textId="77777777" w:rsidR="00566EB9" w:rsidRPr="002B7420"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2B7420" w:rsidRDefault="00D41CCE">
      <w:pPr>
        <w:spacing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4. Turno. </w:t>
      </w:r>
      <w:r w:rsidRPr="002B742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2B7420">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2B7420">
        <w:rPr>
          <w:rFonts w:ascii="Palatino Linotype" w:eastAsia="Palatino Linotype" w:hAnsi="Palatino Linotype" w:cs="Palatino Linotype"/>
          <w:b/>
          <w:sz w:val="22"/>
          <w:szCs w:val="22"/>
        </w:rPr>
        <w:t xml:space="preserve">Guadalupe Ramírez Peña, </w:t>
      </w:r>
      <w:r w:rsidRPr="002B7420">
        <w:rPr>
          <w:rFonts w:ascii="Palatino Linotype" w:eastAsia="Palatino Linotype" w:hAnsi="Palatino Linotype" w:cs="Palatino Linotype"/>
          <w:sz w:val="22"/>
          <w:szCs w:val="22"/>
        </w:rPr>
        <w:t xml:space="preserve">a efecto de que analizara sobre su admisión o su </w:t>
      </w:r>
      <w:proofErr w:type="spellStart"/>
      <w:r w:rsidRPr="002B7420">
        <w:rPr>
          <w:rFonts w:ascii="Palatino Linotype" w:eastAsia="Palatino Linotype" w:hAnsi="Palatino Linotype" w:cs="Palatino Linotype"/>
          <w:sz w:val="22"/>
          <w:szCs w:val="22"/>
        </w:rPr>
        <w:t>desechamiento</w:t>
      </w:r>
      <w:proofErr w:type="spellEnd"/>
      <w:r w:rsidRPr="002B7420">
        <w:rPr>
          <w:rFonts w:ascii="Palatino Linotype" w:eastAsia="Palatino Linotype" w:hAnsi="Palatino Linotype" w:cs="Palatino Linotype"/>
          <w:sz w:val="22"/>
          <w:szCs w:val="22"/>
        </w:rPr>
        <w:t>.</w:t>
      </w:r>
    </w:p>
    <w:p w14:paraId="5E938918" w14:textId="77777777" w:rsidR="00566EB9" w:rsidRPr="002B7420" w:rsidRDefault="00566EB9">
      <w:pPr>
        <w:spacing w:line="360" w:lineRule="auto"/>
        <w:ind w:right="51"/>
        <w:jc w:val="both"/>
        <w:rPr>
          <w:rFonts w:ascii="Palatino Linotype" w:eastAsia="Palatino Linotype" w:hAnsi="Palatino Linotype" w:cs="Palatino Linotype"/>
          <w:sz w:val="22"/>
          <w:szCs w:val="22"/>
        </w:rPr>
      </w:pPr>
    </w:p>
    <w:p w14:paraId="5CFF4378" w14:textId="1CE61A4A"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5. Admisión del Recurso de revisión.</w:t>
      </w:r>
      <w:r w:rsidRPr="002B7420">
        <w:rPr>
          <w:rFonts w:ascii="Palatino Linotype" w:eastAsia="Palatino Linotype" w:hAnsi="Palatino Linotype" w:cs="Palatino Linotype"/>
          <w:sz w:val="22"/>
          <w:szCs w:val="22"/>
        </w:rPr>
        <w:t xml:space="preserve"> El </w:t>
      </w:r>
      <w:r w:rsidR="006D4B8E" w:rsidRPr="002B7420">
        <w:rPr>
          <w:rFonts w:ascii="Palatino Linotype" w:eastAsia="Palatino Linotype" w:hAnsi="Palatino Linotype" w:cs="Palatino Linotype"/>
          <w:b/>
          <w:sz w:val="22"/>
          <w:szCs w:val="22"/>
        </w:rPr>
        <w:t>veinticuatro</w:t>
      </w:r>
      <w:r w:rsidR="00892371" w:rsidRPr="002B7420">
        <w:rPr>
          <w:rFonts w:ascii="Palatino Linotype" w:eastAsia="Palatino Linotype" w:hAnsi="Palatino Linotype" w:cs="Palatino Linotype"/>
          <w:b/>
          <w:sz w:val="22"/>
          <w:szCs w:val="22"/>
        </w:rPr>
        <w:t xml:space="preserve"> de </w:t>
      </w:r>
      <w:r w:rsidR="006D06C4" w:rsidRPr="002B7420">
        <w:rPr>
          <w:rFonts w:ascii="Palatino Linotype" w:eastAsia="Palatino Linotype" w:hAnsi="Palatino Linotype" w:cs="Palatino Linotype"/>
          <w:b/>
          <w:sz w:val="22"/>
          <w:szCs w:val="22"/>
        </w:rPr>
        <w:t>abril</w:t>
      </w:r>
      <w:r w:rsidRPr="002B7420">
        <w:rPr>
          <w:rFonts w:ascii="Palatino Linotype" w:eastAsia="Palatino Linotype" w:hAnsi="Palatino Linotype" w:cs="Palatino Linotype"/>
          <w:b/>
          <w:sz w:val="22"/>
          <w:szCs w:val="22"/>
        </w:rPr>
        <w:t xml:space="preserve"> de dos mil veinticinco, </w:t>
      </w:r>
      <w:r w:rsidRPr="002B742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presentara su informe justificado.</w:t>
      </w:r>
    </w:p>
    <w:p w14:paraId="47CC460F"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02A883C5" w14:textId="77777777" w:rsidR="00566EB9" w:rsidRPr="002B7420"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2B7420">
        <w:rPr>
          <w:rFonts w:ascii="Palatino Linotype" w:eastAsia="Palatino Linotype" w:hAnsi="Palatino Linotype" w:cs="Palatino Linotype"/>
          <w:b/>
          <w:sz w:val="22"/>
          <w:szCs w:val="22"/>
        </w:rPr>
        <w:t>6. Manifestaciones</w:t>
      </w:r>
      <w:r w:rsidRPr="002B7420">
        <w:rPr>
          <w:rFonts w:ascii="Palatino Linotype" w:eastAsia="Palatino Linotype" w:hAnsi="Palatino Linotype" w:cs="Palatino Linotype"/>
          <w:sz w:val="22"/>
          <w:szCs w:val="22"/>
        </w:rPr>
        <w:t xml:space="preserve">. De las constancias que integran el expediente en que se actúa se advierte </w:t>
      </w:r>
      <w:proofErr w:type="gramStart"/>
      <w:r w:rsidRPr="002B7420">
        <w:rPr>
          <w:rFonts w:ascii="Palatino Linotype" w:eastAsia="Palatino Linotype" w:hAnsi="Palatino Linotype" w:cs="Palatino Linotype"/>
          <w:sz w:val="22"/>
          <w:szCs w:val="22"/>
        </w:rPr>
        <w:t>que</w:t>
      </w:r>
      <w:proofErr w:type="gramEnd"/>
      <w:r w:rsidRPr="002B7420">
        <w:rPr>
          <w:rFonts w:ascii="Palatino Linotype" w:eastAsia="Palatino Linotype" w:hAnsi="Palatino Linotype" w:cs="Palatino Linotype"/>
          <w:sz w:val="22"/>
          <w:szCs w:val="22"/>
        </w:rPr>
        <w:t xml:space="preserve"> durante el periodo de manifestaciones, el </w:t>
      </w:r>
      <w:r w:rsidRPr="002B7420">
        <w:rPr>
          <w:rFonts w:ascii="Palatino Linotype" w:eastAsia="Palatino Linotype" w:hAnsi="Palatino Linotype" w:cs="Palatino Linotype"/>
          <w:b/>
          <w:sz w:val="22"/>
          <w:szCs w:val="22"/>
        </w:rPr>
        <w:t xml:space="preserve">Sujeto Obligado </w:t>
      </w:r>
      <w:r w:rsidR="00326383" w:rsidRPr="002B7420">
        <w:rPr>
          <w:rFonts w:ascii="Palatino Linotype" w:eastAsia="Palatino Linotype" w:hAnsi="Palatino Linotype" w:cs="Palatino Linotype"/>
          <w:sz w:val="22"/>
          <w:szCs w:val="22"/>
        </w:rPr>
        <w:t xml:space="preserve">fue omiso en rendir su informe justificado; y, la parte </w:t>
      </w:r>
      <w:r w:rsidR="00326383" w:rsidRPr="002B7420">
        <w:rPr>
          <w:rFonts w:ascii="Palatino Linotype" w:eastAsia="Palatino Linotype" w:hAnsi="Palatino Linotype" w:cs="Palatino Linotype"/>
          <w:b/>
          <w:sz w:val="22"/>
          <w:szCs w:val="22"/>
        </w:rPr>
        <w:t>Recurrente</w:t>
      </w:r>
      <w:r w:rsidR="00326383" w:rsidRPr="002B7420">
        <w:rPr>
          <w:rFonts w:ascii="Palatino Linotype" w:eastAsia="Palatino Linotype" w:hAnsi="Palatino Linotype" w:cs="Palatino Linotype"/>
          <w:sz w:val="22"/>
          <w:szCs w:val="22"/>
        </w:rPr>
        <w:t xml:space="preserve"> fue omisa en rendir manifestaciones o alegatos que conforme a derecho resultaran procedentes, como se muestra de la siguiente digitalización</w:t>
      </w:r>
      <w:r w:rsidR="008B3920" w:rsidRPr="002B7420">
        <w:rPr>
          <w:rFonts w:ascii="Palatino Linotype" w:eastAsia="Palatino Linotype" w:hAnsi="Palatino Linotype" w:cs="Palatino Linotype"/>
          <w:sz w:val="22"/>
          <w:szCs w:val="22"/>
        </w:rPr>
        <w:t>:</w:t>
      </w:r>
    </w:p>
    <w:p w14:paraId="15D3D9A3" w14:textId="77777777" w:rsidR="00326383" w:rsidRPr="002B7420" w:rsidRDefault="003263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50F71D" w14:textId="2DC3E478" w:rsidR="00326383" w:rsidRPr="002B7420" w:rsidRDefault="006D4B8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noProof/>
          <w:sz w:val="22"/>
          <w:szCs w:val="22"/>
        </w:rPr>
        <w:drawing>
          <wp:inline distT="0" distB="0" distL="0" distR="0" wp14:anchorId="4F20943A" wp14:editId="5A68585F">
            <wp:extent cx="5612130" cy="1283335"/>
            <wp:effectExtent l="19050" t="19050" r="2667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83335"/>
                    </a:xfrm>
                    <a:prstGeom prst="rect">
                      <a:avLst/>
                    </a:prstGeom>
                    <a:ln>
                      <a:solidFill>
                        <a:schemeClr val="accent1"/>
                      </a:solidFill>
                    </a:ln>
                  </pic:spPr>
                </pic:pic>
              </a:graphicData>
            </a:graphic>
          </wp:inline>
        </w:drawing>
      </w:r>
    </w:p>
    <w:p w14:paraId="6C250D84" w14:textId="7D277B4B" w:rsidR="00326383" w:rsidRPr="002B7420"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C0ABB0A" w14:textId="26D61252" w:rsidR="00A84BDD" w:rsidRPr="002B7420" w:rsidRDefault="00A84BDD" w:rsidP="00A84BD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7. Cierre de instrucción. </w:t>
      </w:r>
      <w:r w:rsidRPr="002B742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B7420">
        <w:rPr>
          <w:rFonts w:ascii="Palatino Linotype" w:eastAsia="Palatino Linotype" w:hAnsi="Palatino Linotype" w:cs="Palatino Linotype"/>
          <w:b/>
          <w:sz w:val="22"/>
          <w:szCs w:val="22"/>
        </w:rPr>
        <w:lastRenderedPageBreak/>
        <w:t>treinta de junio de dos mil veinticinco,</w:t>
      </w:r>
      <w:r w:rsidRPr="002B742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EB1F4D6" w14:textId="77777777" w:rsidR="00A84BDD" w:rsidRPr="002B7420" w:rsidRDefault="00A84BD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18CD391" w:rsidR="00962787" w:rsidRPr="002B7420" w:rsidRDefault="00A84BD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8</w:t>
      </w:r>
      <w:r w:rsidR="00D41CCE" w:rsidRPr="002B7420">
        <w:rPr>
          <w:rFonts w:ascii="Palatino Linotype" w:eastAsia="Palatino Linotype" w:hAnsi="Palatino Linotype" w:cs="Palatino Linotype"/>
          <w:b/>
          <w:sz w:val="22"/>
          <w:szCs w:val="22"/>
        </w:rPr>
        <w:t xml:space="preserve">. </w:t>
      </w:r>
      <w:r w:rsidR="00962787" w:rsidRPr="002B7420">
        <w:rPr>
          <w:rFonts w:ascii="Palatino Linotype" w:eastAsia="Palatino Linotype" w:hAnsi="Palatino Linotype" w:cs="Palatino Linotype"/>
          <w:b/>
          <w:sz w:val="22"/>
          <w:szCs w:val="22"/>
        </w:rPr>
        <w:t>Ampliación del término para resolver</w:t>
      </w:r>
      <w:r w:rsidR="00962787" w:rsidRPr="002B7420">
        <w:rPr>
          <w:rFonts w:ascii="Palatino Linotype" w:eastAsia="Palatino Linotype" w:hAnsi="Palatino Linotype" w:cs="Palatino Linotype"/>
          <w:sz w:val="22"/>
          <w:szCs w:val="22"/>
        </w:rPr>
        <w:t xml:space="preserve">. Mediante acuerdo del </w:t>
      </w:r>
      <w:r w:rsidR="00326383" w:rsidRPr="002B7420">
        <w:rPr>
          <w:rFonts w:ascii="Palatino Linotype" w:eastAsia="Palatino Linotype" w:hAnsi="Palatino Linotype" w:cs="Palatino Linotype"/>
          <w:b/>
          <w:sz w:val="22"/>
          <w:szCs w:val="22"/>
        </w:rPr>
        <w:t>treinta</w:t>
      </w:r>
      <w:r w:rsidR="00962787" w:rsidRPr="002B7420">
        <w:rPr>
          <w:rFonts w:ascii="Palatino Linotype" w:eastAsia="Palatino Linotype" w:hAnsi="Palatino Linotype" w:cs="Palatino Linotype"/>
          <w:b/>
          <w:sz w:val="22"/>
          <w:szCs w:val="22"/>
        </w:rPr>
        <w:t xml:space="preserve"> de junio de dos mil veinticinco</w:t>
      </w:r>
      <w:r w:rsidR="00962787" w:rsidRPr="002B742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ello, es menester precisar </w:t>
      </w:r>
      <w:proofErr w:type="gramStart"/>
      <w:r w:rsidRPr="002B7420">
        <w:rPr>
          <w:rFonts w:ascii="Palatino Linotype" w:eastAsia="Palatino Linotype" w:hAnsi="Palatino Linotype" w:cs="Palatino Linotype"/>
          <w:sz w:val="22"/>
          <w:szCs w:val="22"/>
        </w:rPr>
        <w:t>que</w:t>
      </w:r>
      <w:proofErr w:type="gramEnd"/>
      <w:r w:rsidRPr="002B7420">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2B7420"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2B742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Complejidad del Asunto:</w:t>
      </w:r>
      <w:r w:rsidRPr="002B742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2B742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Actividad Procesal del interesado</w:t>
      </w:r>
      <w:r w:rsidRPr="002B7420">
        <w:rPr>
          <w:rFonts w:ascii="Palatino Linotype" w:eastAsia="Palatino Linotype" w:hAnsi="Palatino Linotype" w:cs="Palatino Linotype"/>
          <w:sz w:val="22"/>
          <w:szCs w:val="22"/>
        </w:rPr>
        <w:t>. Acciones u omisiones del interesado.</w:t>
      </w:r>
    </w:p>
    <w:p w14:paraId="6219736D" w14:textId="77777777" w:rsidR="00962787" w:rsidRPr="002B742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Conducta de la Autoridad:</w:t>
      </w:r>
      <w:r w:rsidRPr="002B742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2B742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La afectación generada en la situación jurídica de la persona involucrada en el proceso:</w:t>
      </w:r>
      <w:r w:rsidRPr="002B7420">
        <w:rPr>
          <w:rFonts w:ascii="Palatino Linotype" w:eastAsia="Palatino Linotype" w:hAnsi="Palatino Linotype" w:cs="Palatino Linotype"/>
          <w:sz w:val="22"/>
          <w:szCs w:val="22"/>
        </w:rPr>
        <w:t xml:space="preserve"> Violación a sus derechos humanos.</w:t>
      </w:r>
    </w:p>
    <w:p w14:paraId="6A796B7B" w14:textId="77777777" w:rsidR="00962787" w:rsidRPr="002B7420"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B7420">
        <w:rPr>
          <w:rFonts w:ascii="Palatino Linotype" w:eastAsia="Palatino Linotype" w:hAnsi="Palatino Linotype" w:cs="Palatino Linotype"/>
          <w:i/>
          <w:sz w:val="22"/>
          <w:szCs w:val="22"/>
        </w:rPr>
        <w:t xml:space="preserve">“TÉRMINOS PROCESALES. PARA </w:t>
      </w:r>
      <w:r w:rsidRPr="002B7420">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2B7420">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2B7420"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2B7420"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2B7420" w:rsidRDefault="00962787" w:rsidP="00962787">
      <w:pPr>
        <w:spacing w:line="360" w:lineRule="auto"/>
        <w:ind w:left="851" w:right="90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i/>
          <w:sz w:val="22"/>
          <w:szCs w:val="22"/>
        </w:rPr>
        <w:t>“PLAZO RAZONABLE PARA RESOLVER. DIMENSIÓN Y EFECTOS DE ESTE CONCEPTO CUANDO SE ADUCE EXCESIVA CARGA DE TRABAJO</w:t>
      </w: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2B7420" w:rsidRDefault="00962787" w:rsidP="00962787">
      <w:pPr>
        <w:spacing w:line="360" w:lineRule="auto"/>
        <w:ind w:left="851" w:right="90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7420">
        <w:rPr>
          <w:rFonts w:ascii="Palatino Linotype" w:eastAsia="Palatino Linotype" w:hAnsi="Palatino Linotype" w:cs="Palatino Linotype"/>
          <w:sz w:val="22"/>
          <w:szCs w:val="22"/>
        </w:rPr>
        <w:t xml:space="preserve">, visible en el </w:t>
      </w:r>
      <w:r w:rsidRPr="002B7420">
        <w:rPr>
          <w:rFonts w:ascii="Palatino Linotype" w:eastAsia="Palatino Linotype" w:hAnsi="Palatino Linotype" w:cs="Palatino Linotype"/>
          <w:sz w:val="22"/>
          <w:szCs w:val="22"/>
        </w:rPr>
        <w:lastRenderedPageBreak/>
        <w:t>Seminario Judicial de la Federación y su gaceta, con el registro digital 2002350.</w:t>
      </w:r>
    </w:p>
    <w:p w14:paraId="21E29A1E" w14:textId="77777777" w:rsidR="00962787" w:rsidRPr="002B7420"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2B7420"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2B7420">
        <w:rPr>
          <w:rFonts w:ascii="Palatino Linotype" w:eastAsia="Palatino Linotype" w:hAnsi="Palatino Linotype" w:cs="Palatino Linotype"/>
          <w:sz w:val="22"/>
          <w:szCs w:val="22"/>
        </w:rPr>
        <w:t xml:space="preserve">de </w:t>
      </w:r>
      <w:r w:rsidR="005B6A93"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sz w:val="22"/>
          <w:szCs w:val="22"/>
        </w:rPr>
        <w:t>carácter</w:t>
      </w:r>
      <w:proofErr w:type="gramEnd"/>
      <w:r w:rsidRPr="002B7420">
        <w:rPr>
          <w:rFonts w:ascii="Palatino Linotype" w:eastAsia="Palatino Linotype" w:hAnsi="Palatino Linotype" w:cs="Palatino Linotype"/>
          <w:sz w:val="22"/>
          <w:szCs w:val="22"/>
        </w:rPr>
        <w:t xml:space="preserve"> excepcional.</w:t>
      </w:r>
    </w:p>
    <w:p w14:paraId="4B99BA94" w14:textId="77777777" w:rsidR="005B6A93" w:rsidRPr="002B7420"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2B742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2B7420" w:rsidRDefault="00D41CCE">
      <w:pPr>
        <w:widowControl w:val="0"/>
        <w:spacing w:before="240" w:after="240" w:line="360" w:lineRule="auto"/>
        <w:jc w:val="center"/>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II. C O N S I D E R A N D O S</w:t>
      </w:r>
    </w:p>
    <w:p w14:paraId="172CA64E" w14:textId="77777777"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Primero. Competencia.</w:t>
      </w:r>
      <w:r w:rsidRPr="002B742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2B7420">
        <w:rPr>
          <w:rFonts w:ascii="Palatino Linotype" w:eastAsia="Palatino Linotype" w:hAnsi="Palatino Linotype" w:cs="Palatino Linotype"/>
          <w:sz w:val="22"/>
          <w:szCs w:val="22"/>
        </w:rPr>
        <w:t>5 párrafos trigésimo noveno</w:t>
      </w:r>
      <w:r w:rsidR="001528AE" w:rsidRPr="002B7420">
        <w:rPr>
          <w:rFonts w:ascii="Palatino Linotype" w:eastAsia="Palatino Linotype" w:hAnsi="Palatino Linotype" w:cs="Palatino Linotype"/>
          <w:sz w:val="22"/>
          <w:szCs w:val="22"/>
        </w:rPr>
        <w:t>, cuadragésimo y cuadragésimo primero</w:t>
      </w:r>
      <w:r w:rsidR="00FD093A"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2B7420"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2B7420">
        <w:rPr>
          <w:rFonts w:ascii="Palatino Linotype" w:eastAsia="Palatino Linotype" w:hAnsi="Palatino Linotype" w:cs="Palatino Linotype"/>
          <w:b/>
          <w:sz w:val="22"/>
          <w:szCs w:val="22"/>
        </w:rPr>
        <w:t>Segundo. Oportunidad y Procedibilidad del Recurso de Revisión</w:t>
      </w:r>
      <w:r w:rsidRPr="002B7420">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2B7420">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7C665AE4"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7DB9E2DF" w14:textId="4806C561"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remitió la respuesta a la solicitud de información el</w:t>
      </w:r>
      <w:r w:rsidR="00251B80" w:rsidRPr="002B7420">
        <w:t xml:space="preserve"> </w:t>
      </w:r>
      <w:r w:rsidR="006D4B8E" w:rsidRPr="002B7420">
        <w:rPr>
          <w:rFonts w:ascii="Palatino Linotype" w:eastAsia="Palatino Linotype" w:hAnsi="Palatino Linotype" w:cs="Palatino Linotype"/>
          <w:b/>
          <w:sz w:val="22"/>
          <w:szCs w:val="22"/>
        </w:rPr>
        <w:t>veinticinco de marzo de dos mil veinticinco</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mientras que el recurso de revisión interpuesto por </w:t>
      </w:r>
      <w:r w:rsidRPr="002B7420">
        <w:rPr>
          <w:rFonts w:ascii="Palatino Linotype" w:eastAsia="Palatino Linotype" w:hAnsi="Palatino Linotype" w:cs="Palatino Linotype"/>
          <w:b/>
          <w:sz w:val="22"/>
          <w:szCs w:val="22"/>
        </w:rPr>
        <w:t>la parte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Recurrente</w:t>
      </w:r>
      <w:r w:rsidRPr="002B7420">
        <w:rPr>
          <w:rFonts w:ascii="Palatino Linotype" w:eastAsia="Palatino Linotype" w:hAnsi="Palatino Linotype" w:cs="Palatino Linotype"/>
          <w:sz w:val="22"/>
          <w:szCs w:val="22"/>
        </w:rPr>
        <w:t xml:space="preserve">, se tuvo por presentado el </w:t>
      </w:r>
      <w:r w:rsidR="006D4B8E" w:rsidRPr="002B7420">
        <w:rPr>
          <w:rFonts w:ascii="Palatino Linotype" w:eastAsia="Palatino Linotype" w:hAnsi="Palatino Linotype" w:cs="Palatino Linotype"/>
          <w:b/>
          <w:sz w:val="22"/>
          <w:szCs w:val="22"/>
        </w:rPr>
        <w:t>veintidós de abril de dos mil veinticinco</w:t>
      </w:r>
      <w:r w:rsidR="00251B80"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sz w:val="22"/>
          <w:szCs w:val="22"/>
        </w:rPr>
        <w:t xml:space="preserve">esto es, </w:t>
      </w:r>
      <w:r w:rsidR="006D4B8E" w:rsidRPr="002B7420">
        <w:rPr>
          <w:rFonts w:ascii="Palatino Linotype" w:eastAsia="Palatino Linotype" w:hAnsi="Palatino Linotype" w:cs="Palatino Linotype"/>
          <w:sz w:val="22"/>
          <w:szCs w:val="22"/>
        </w:rPr>
        <w:t>e</w:t>
      </w:r>
      <w:r w:rsidRPr="002B7420">
        <w:rPr>
          <w:rFonts w:ascii="Palatino Linotype" w:eastAsia="Palatino Linotype" w:hAnsi="Palatino Linotype" w:cs="Palatino Linotype"/>
          <w:sz w:val="22"/>
          <w:szCs w:val="22"/>
        </w:rPr>
        <w:t xml:space="preserve">l </w:t>
      </w:r>
      <w:r w:rsidR="006D4B8E" w:rsidRPr="002B7420">
        <w:rPr>
          <w:rFonts w:ascii="Palatino Linotype" w:eastAsia="Palatino Linotype" w:hAnsi="Palatino Linotype" w:cs="Palatino Linotype"/>
          <w:b/>
          <w:sz w:val="22"/>
          <w:szCs w:val="22"/>
          <w:u w:val="single"/>
        </w:rPr>
        <w:t>décimo quinto</w:t>
      </w:r>
      <w:r w:rsidRPr="002B7420">
        <w:rPr>
          <w:rFonts w:ascii="Palatino Linotype" w:eastAsia="Palatino Linotype" w:hAnsi="Palatino Linotype" w:cs="Palatino Linotype"/>
          <w:sz w:val="22"/>
          <w:szCs w:val="22"/>
        </w:rPr>
        <w:t xml:space="preserve"> día hábil siguiente a aquel </w:t>
      </w:r>
      <w:r w:rsidRPr="002B7420">
        <w:rPr>
          <w:rFonts w:ascii="Palatino Linotype" w:eastAsia="Palatino Linotype" w:hAnsi="Palatino Linotype" w:cs="Palatino Linotype"/>
          <w:b/>
          <w:sz w:val="22"/>
          <w:szCs w:val="22"/>
        </w:rPr>
        <w:t>en que se tuvo conocimiento de la respuesta impugnada</w:t>
      </w:r>
      <w:r w:rsidRPr="002B7420">
        <w:rPr>
          <w:rFonts w:ascii="Palatino Linotype" w:eastAsia="Palatino Linotype" w:hAnsi="Palatino Linotype" w:cs="Palatino Linotype"/>
          <w:sz w:val="22"/>
          <w:szCs w:val="22"/>
        </w:rPr>
        <w:t xml:space="preserve">. </w:t>
      </w:r>
    </w:p>
    <w:p w14:paraId="5F418390"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2B7420"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2B742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2B7420"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2B7420" w:rsidRDefault="00944282" w:rsidP="00944282">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Por otro lado, es de suma importancia mencionar que, si bien la parte</w:t>
      </w:r>
      <w:r w:rsidRPr="002B7420">
        <w:rPr>
          <w:rFonts w:ascii="Palatino Linotype" w:eastAsia="Palatino Linotype" w:hAnsi="Palatino Linotype" w:cs="Palatino Linotype"/>
          <w:b/>
          <w:sz w:val="22"/>
          <w:szCs w:val="22"/>
        </w:rPr>
        <w:t xml:space="preserve"> Recurrente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no</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proporcionó nombre,</w:t>
      </w:r>
      <w:r w:rsidRPr="002B7420">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2B7420"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2B7420" w:rsidRDefault="00944282" w:rsidP="00944282">
      <w:pPr>
        <w:spacing w:line="276" w:lineRule="auto"/>
        <w:ind w:left="851" w:right="902"/>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Las solicitudes anónimas,</w:t>
      </w:r>
      <w:r w:rsidRPr="002B7420">
        <w:rPr>
          <w:rFonts w:ascii="Palatino Linotype" w:eastAsia="Palatino Linotype" w:hAnsi="Palatino Linotype" w:cs="Palatino Linotype"/>
          <w:i/>
          <w:sz w:val="22"/>
          <w:szCs w:val="22"/>
        </w:rPr>
        <w:t xml:space="preserve"> con nombre incompleto o seudónimo </w:t>
      </w:r>
      <w:r w:rsidRPr="002B7420">
        <w:rPr>
          <w:rFonts w:ascii="Palatino Linotype" w:eastAsia="Palatino Linotype" w:hAnsi="Palatino Linotype" w:cs="Palatino Linotype"/>
          <w:b/>
          <w:i/>
          <w:sz w:val="22"/>
          <w:szCs w:val="22"/>
        </w:rPr>
        <w:t>serán procedentes para su trámite por parte del sujeto obligado ante quien se presente</w:t>
      </w:r>
      <w:r w:rsidRPr="002B7420">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2B7420"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7777777"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B7420">
        <w:rPr>
          <w:rFonts w:ascii="Palatino Linotype" w:eastAsia="Palatino Linotype" w:hAnsi="Palatino Linotype" w:cs="Palatino Linotype"/>
          <w:b/>
          <w:sz w:val="22"/>
          <w:szCs w:val="22"/>
        </w:rPr>
        <w:t>la parte</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Recurrente</w:t>
      </w:r>
      <w:r w:rsidRPr="002B7420">
        <w:rPr>
          <w:rFonts w:ascii="Palatino Linotype" w:eastAsia="Palatino Linotype" w:hAnsi="Palatino Linotype" w:cs="Palatino Linotype"/>
          <w:sz w:val="22"/>
          <w:szCs w:val="22"/>
        </w:rPr>
        <w:t xml:space="preserve"> en sus motivos de inconformidad, de acuerdo </w:t>
      </w:r>
      <w:r w:rsidR="007F1130" w:rsidRPr="002B7420">
        <w:rPr>
          <w:rFonts w:ascii="Palatino Linotype" w:eastAsia="Palatino Linotype" w:hAnsi="Palatino Linotype" w:cs="Palatino Linotype"/>
          <w:sz w:val="22"/>
          <w:szCs w:val="22"/>
        </w:rPr>
        <w:t xml:space="preserve">al artículo 179, </w:t>
      </w:r>
      <w:r w:rsidR="00B36420" w:rsidRPr="002B7420">
        <w:rPr>
          <w:rFonts w:ascii="Palatino Linotype" w:eastAsia="Palatino Linotype" w:hAnsi="Palatino Linotype" w:cs="Palatino Linotype"/>
          <w:sz w:val="22"/>
          <w:szCs w:val="22"/>
        </w:rPr>
        <w:t xml:space="preserve">fracción </w:t>
      </w:r>
      <w:r w:rsidR="00897647" w:rsidRPr="002B7420">
        <w:rPr>
          <w:rFonts w:ascii="Palatino Linotype" w:eastAsia="Palatino Linotype" w:hAnsi="Palatino Linotype" w:cs="Palatino Linotype"/>
          <w:sz w:val="22"/>
          <w:szCs w:val="22"/>
        </w:rPr>
        <w:t>I</w:t>
      </w:r>
      <w:r w:rsidRPr="002B7420">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2B7420" w:rsidRDefault="00D41CCE">
      <w:pPr>
        <w:ind w:left="567"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179.</w:t>
      </w:r>
      <w:r w:rsidRPr="002B742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7C98A0" w14:textId="77777777" w:rsidR="001528AE" w:rsidRPr="002B7420" w:rsidRDefault="00251B80" w:rsidP="00A5656A">
      <w:pPr>
        <w:ind w:left="567" w:right="902"/>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I. La negativa a la información solicitada;</w:t>
      </w:r>
    </w:p>
    <w:p w14:paraId="33F808AB" w14:textId="77777777" w:rsidR="00566EB9" w:rsidRPr="002B7420" w:rsidRDefault="00D41CCE" w:rsidP="00A5656A">
      <w:pPr>
        <w:ind w:left="567"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4D715A18" w14:textId="77777777" w:rsidR="00566EB9" w:rsidRPr="002B7420" w:rsidRDefault="00566EB9">
      <w:pPr>
        <w:ind w:left="567"/>
        <w:rPr>
          <w:rFonts w:ascii="Palatino Linotype" w:eastAsia="Palatino Linotype" w:hAnsi="Palatino Linotype" w:cs="Palatino Linotype"/>
          <w:b/>
          <w:i/>
          <w:sz w:val="22"/>
          <w:szCs w:val="22"/>
        </w:rPr>
      </w:pPr>
    </w:p>
    <w:p w14:paraId="109A199F" w14:textId="77777777" w:rsidR="00566EB9" w:rsidRPr="002B7420" w:rsidRDefault="00D41CCE">
      <w:pPr>
        <w:ind w:left="567" w:right="900"/>
        <w:jc w:val="right"/>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 xml:space="preserve"> </w:t>
      </w:r>
      <w:r w:rsidRPr="002B7420">
        <w:rPr>
          <w:rFonts w:ascii="Palatino Linotype" w:eastAsia="Palatino Linotype" w:hAnsi="Palatino Linotype" w:cs="Palatino Linotype"/>
          <w:i/>
          <w:sz w:val="22"/>
          <w:szCs w:val="22"/>
        </w:rPr>
        <w:t>(Énfasis añadido)</w:t>
      </w:r>
    </w:p>
    <w:p w14:paraId="02D5A682" w14:textId="77777777" w:rsidR="00566EB9" w:rsidRPr="002B7420" w:rsidRDefault="00566EB9">
      <w:pPr>
        <w:spacing w:line="360" w:lineRule="auto"/>
        <w:jc w:val="both"/>
        <w:rPr>
          <w:rFonts w:ascii="Palatino Linotype" w:eastAsia="Palatino Linotype" w:hAnsi="Palatino Linotype" w:cs="Palatino Linotype"/>
          <w:b/>
          <w:sz w:val="22"/>
          <w:szCs w:val="22"/>
        </w:rPr>
      </w:pPr>
    </w:p>
    <w:p w14:paraId="5961701D" w14:textId="77777777" w:rsidR="00C501F7" w:rsidRPr="002B7420" w:rsidRDefault="00C501F7" w:rsidP="00C501F7">
      <w:pPr>
        <w:spacing w:line="360" w:lineRule="auto"/>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 xml:space="preserve">Tercero. Materia de la revisión. </w:t>
      </w:r>
      <w:r w:rsidRPr="002B742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B7420">
        <w:rPr>
          <w:rFonts w:ascii="Palatino Linotype" w:eastAsia="Palatino Linotype" w:hAnsi="Palatino Linotype" w:cs="Palatino Linotype"/>
          <w:b/>
          <w:sz w:val="22"/>
          <w:szCs w:val="22"/>
        </w:rPr>
        <w:t xml:space="preserve">verificar si la respuesta </w:t>
      </w:r>
      <w:r w:rsidR="008D206E" w:rsidRPr="002B7420">
        <w:rPr>
          <w:rFonts w:ascii="Palatino Linotype" w:eastAsia="Palatino Linotype" w:hAnsi="Palatino Linotype" w:cs="Palatino Linotype"/>
          <w:b/>
          <w:sz w:val="22"/>
          <w:szCs w:val="22"/>
        </w:rPr>
        <w:t>otorgada</w:t>
      </w:r>
      <w:r w:rsidRPr="002B7420">
        <w:rPr>
          <w:rFonts w:ascii="Palatino Linotype" w:eastAsia="Palatino Linotype" w:hAnsi="Palatino Linotype" w:cs="Palatino Linotype"/>
          <w:b/>
          <w:sz w:val="22"/>
          <w:szCs w:val="22"/>
        </w:rPr>
        <w:t xml:space="preserve"> por el Sujeto Obligado </w:t>
      </w:r>
      <w:r w:rsidR="008D206E" w:rsidRPr="002B7420">
        <w:rPr>
          <w:rFonts w:ascii="Palatino Linotype" w:eastAsia="Palatino Linotype" w:hAnsi="Palatino Linotype" w:cs="Palatino Linotype"/>
          <w:b/>
          <w:sz w:val="22"/>
          <w:szCs w:val="22"/>
        </w:rPr>
        <w:t>es adecuada y suficiente</w:t>
      </w:r>
      <w:r w:rsidRPr="002B7420">
        <w:rPr>
          <w:rFonts w:ascii="Palatino Linotype" w:eastAsia="Palatino Linotype" w:hAnsi="Palatino Linotype" w:cs="Palatino Linotype"/>
          <w:b/>
          <w:sz w:val="22"/>
          <w:szCs w:val="22"/>
        </w:rPr>
        <w:t xml:space="preserve"> para satisfacer el derecho de acceso a la información pública de la parte Recurrente,</w:t>
      </w:r>
      <w:r w:rsidRPr="002B7420">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Cuarto. Estudio del asunto. </w:t>
      </w:r>
      <w:r w:rsidRPr="002B7420">
        <w:rPr>
          <w:rFonts w:ascii="Palatino Linotype" w:eastAsia="Palatino Linotype" w:hAnsi="Palatino Linotype" w:cs="Palatino Linotype"/>
          <w:sz w:val="22"/>
          <w:szCs w:val="22"/>
        </w:rPr>
        <w:t xml:space="preserve">Antes de entrar al análisis de los pronunciamientos del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w:t>
      </w:r>
      <w:r w:rsidRPr="002B7420">
        <w:rPr>
          <w:rFonts w:ascii="Palatino Linotype" w:eastAsia="Palatino Linotype" w:hAnsi="Palatino Linotype" w:cs="Palatino Linotype"/>
          <w:sz w:val="22"/>
          <w:szCs w:val="22"/>
        </w:rPr>
        <w:lastRenderedPageBreak/>
        <w:t>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2B7420" w:rsidRDefault="00C501F7" w:rsidP="00C501F7">
      <w:pPr>
        <w:spacing w:line="276" w:lineRule="auto"/>
        <w:ind w:left="851" w:right="8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B742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2B7420" w:rsidRDefault="00C501F7" w:rsidP="00C501F7">
      <w:pPr>
        <w:spacing w:line="276" w:lineRule="auto"/>
        <w:ind w:left="851" w:right="8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2B7420" w:rsidRDefault="00C501F7" w:rsidP="00C501F7">
      <w:pPr>
        <w:spacing w:line="276" w:lineRule="auto"/>
        <w:ind w:left="851" w:right="8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742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2B7420" w:rsidRDefault="00C501F7" w:rsidP="00C501F7">
      <w:pPr>
        <w:spacing w:line="276" w:lineRule="auto"/>
        <w:ind w:left="851" w:right="8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szCs w:val="22"/>
        </w:rPr>
        <w:t>[…]</w:t>
      </w:r>
    </w:p>
    <w:p w14:paraId="2911B304" w14:textId="77777777" w:rsidR="00C501F7" w:rsidRPr="002B7420" w:rsidRDefault="00C501F7" w:rsidP="00C501F7">
      <w:pPr>
        <w:spacing w:line="276" w:lineRule="auto"/>
        <w:ind w:left="851" w:right="90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i/>
          <w:sz w:val="22"/>
          <w:szCs w:val="22"/>
        </w:rPr>
        <w:t>“Artículo 6o.</w:t>
      </w:r>
    </w:p>
    <w:p w14:paraId="270D5F17" w14:textId="77777777" w:rsidR="00C501F7" w:rsidRPr="002B7420" w:rsidRDefault="00C501F7" w:rsidP="00C501F7">
      <w:pPr>
        <w:spacing w:line="276" w:lineRule="auto"/>
        <w:ind w:left="851" w:right="90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szCs w:val="22"/>
        </w:rPr>
        <w:t>[...]</w:t>
      </w:r>
    </w:p>
    <w:p w14:paraId="4705C1DB" w14:textId="77777777" w:rsidR="00C501F7" w:rsidRPr="002B742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A. Para el ejercicio del derecho de acceso a la información, la Federación y </w:t>
      </w:r>
      <w:r w:rsidRPr="002B7420">
        <w:rPr>
          <w:rFonts w:ascii="Palatino Linotype" w:eastAsia="Palatino Linotype" w:hAnsi="Palatino Linotype" w:cs="Palatino Linotype"/>
          <w:b/>
          <w:i/>
          <w:sz w:val="22"/>
          <w:szCs w:val="22"/>
          <w:u w:val="single"/>
        </w:rPr>
        <w:t>las entidades federativas</w:t>
      </w:r>
      <w:r w:rsidRPr="002B7420">
        <w:rPr>
          <w:rFonts w:ascii="Palatino Linotype" w:eastAsia="Palatino Linotype" w:hAnsi="Palatino Linotype" w:cs="Palatino Linotype"/>
          <w:b/>
          <w:i/>
          <w:sz w:val="22"/>
          <w:szCs w:val="22"/>
        </w:rPr>
        <w:t>,</w:t>
      </w:r>
      <w:r w:rsidRPr="002B742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2B742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w:t>
      </w:r>
      <w:r w:rsidRPr="002B7420">
        <w:rPr>
          <w:rFonts w:ascii="Palatino Linotype" w:eastAsia="Palatino Linotype" w:hAnsi="Palatino Linotype" w:cs="Palatino Linotype"/>
          <w:b/>
          <w:i/>
          <w:sz w:val="22"/>
          <w:szCs w:val="22"/>
        </w:rPr>
        <w:t xml:space="preserve">I. </w:t>
      </w:r>
      <w:r w:rsidRPr="002B742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B742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B7420">
        <w:rPr>
          <w:rFonts w:ascii="Palatino Linotype" w:eastAsia="Palatino Linotype" w:hAnsi="Palatino Linotype" w:cs="Palatino Linotype"/>
          <w:b/>
          <w:i/>
          <w:sz w:val="22"/>
          <w:szCs w:val="22"/>
        </w:rPr>
        <w:t xml:space="preserve">es pública y sólo podrá ser reservada temporalmente por razones de interés público y </w:t>
      </w:r>
      <w:r w:rsidRPr="002B7420">
        <w:rPr>
          <w:rFonts w:ascii="Palatino Linotype" w:eastAsia="Palatino Linotype" w:hAnsi="Palatino Linotype" w:cs="Palatino Linotype"/>
          <w:b/>
          <w:i/>
          <w:sz w:val="22"/>
          <w:szCs w:val="22"/>
        </w:rPr>
        <w:lastRenderedPageBreak/>
        <w:t>seguridad nacional,</w:t>
      </w:r>
      <w:r w:rsidRPr="002B742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2B742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2B742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w:t>
      </w:r>
      <w:r w:rsidRPr="002B7420">
        <w:rPr>
          <w:rFonts w:ascii="Palatino Linotype" w:eastAsia="Palatino Linotype" w:hAnsi="Palatino Linotype" w:cs="Palatino Linotype"/>
          <w:b/>
          <w:i/>
          <w:sz w:val="22"/>
          <w:szCs w:val="22"/>
        </w:rPr>
        <w:t xml:space="preserve">III. </w:t>
      </w:r>
      <w:r w:rsidRPr="002B742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B7420">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2B7420" w:rsidRDefault="00C501F7" w:rsidP="00C501F7">
      <w:pPr>
        <w:pBdr>
          <w:top w:val="nil"/>
          <w:left w:val="nil"/>
          <w:bottom w:val="nil"/>
          <w:right w:val="nil"/>
          <w:between w:val="nil"/>
        </w:pBdr>
        <w:spacing w:before="240" w:after="240"/>
        <w:ind w:left="851" w:right="851"/>
        <w:jc w:val="both"/>
      </w:pPr>
      <w:r w:rsidRPr="002B7420">
        <w:rPr>
          <w:rFonts w:ascii="Palatino Linotype" w:eastAsia="Palatino Linotype" w:hAnsi="Palatino Linotype" w:cs="Palatino Linotype"/>
          <w:b/>
          <w:i/>
          <w:sz w:val="22"/>
          <w:szCs w:val="22"/>
        </w:rPr>
        <w:t>…</w:t>
      </w:r>
    </w:p>
    <w:p w14:paraId="10C6F8F3" w14:textId="77777777" w:rsidR="00C501F7" w:rsidRPr="002B742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IV.</w:t>
      </w:r>
      <w:r w:rsidRPr="002B742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2B7420" w:rsidRDefault="00C501F7" w:rsidP="00C501F7">
      <w:pPr>
        <w:pBdr>
          <w:top w:val="nil"/>
          <w:left w:val="nil"/>
          <w:bottom w:val="nil"/>
          <w:right w:val="nil"/>
          <w:between w:val="nil"/>
        </w:pBdr>
        <w:spacing w:before="240" w:after="240"/>
        <w:ind w:left="851" w:right="851"/>
        <w:jc w:val="both"/>
      </w:pPr>
      <w:r w:rsidRPr="002B7420">
        <w:rPr>
          <w:rFonts w:ascii="Palatino Linotype" w:eastAsia="Palatino Linotype" w:hAnsi="Palatino Linotype" w:cs="Palatino Linotype"/>
          <w:b/>
          <w:i/>
          <w:sz w:val="22"/>
          <w:szCs w:val="22"/>
        </w:rPr>
        <w:t xml:space="preserve">V. </w:t>
      </w:r>
      <w:r w:rsidRPr="002B742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2B7420" w:rsidRDefault="00C501F7" w:rsidP="00C501F7">
      <w:pPr>
        <w:pBdr>
          <w:top w:val="nil"/>
          <w:left w:val="nil"/>
          <w:bottom w:val="nil"/>
          <w:right w:val="nil"/>
          <w:between w:val="nil"/>
        </w:pBdr>
        <w:spacing w:before="240" w:after="240"/>
        <w:ind w:left="851" w:right="851"/>
        <w:jc w:val="both"/>
      </w:pPr>
      <w:r w:rsidRPr="002B7420">
        <w:rPr>
          <w:rFonts w:ascii="Palatino Linotype" w:eastAsia="Palatino Linotype" w:hAnsi="Palatino Linotype" w:cs="Palatino Linotype"/>
          <w:i/>
          <w:sz w:val="22"/>
          <w:szCs w:val="22"/>
        </w:rPr>
        <w:t> </w:t>
      </w:r>
      <w:r w:rsidRPr="002B7420">
        <w:rPr>
          <w:rFonts w:ascii="Palatino Linotype" w:eastAsia="Palatino Linotype" w:hAnsi="Palatino Linotype" w:cs="Palatino Linotype"/>
          <w:b/>
          <w:i/>
          <w:sz w:val="22"/>
          <w:szCs w:val="22"/>
        </w:rPr>
        <w:t xml:space="preserve">VI. </w:t>
      </w:r>
      <w:r w:rsidRPr="002B742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2B7420" w:rsidRDefault="00C501F7" w:rsidP="00C501F7">
      <w:pPr>
        <w:pBdr>
          <w:top w:val="nil"/>
          <w:left w:val="nil"/>
          <w:bottom w:val="nil"/>
          <w:right w:val="nil"/>
          <w:between w:val="nil"/>
        </w:pBdr>
        <w:spacing w:before="240" w:after="240"/>
        <w:ind w:left="851" w:right="851"/>
        <w:jc w:val="both"/>
      </w:pPr>
      <w:r w:rsidRPr="002B7420">
        <w:rPr>
          <w:rFonts w:ascii="Palatino Linotype" w:eastAsia="Palatino Linotype" w:hAnsi="Palatino Linotype" w:cs="Palatino Linotype"/>
          <w:i/>
          <w:sz w:val="22"/>
          <w:szCs w:val="22"/>
        </w:rPr>
        <w:t> </w:t>
      </w:r>
      <w:r w:rsidRPr="002B7420">
        <w:rPr>
          <w:rFonts w:ascii="Palatino Linotype" w:eastAsia="Palatino Linotype" w:hAnsi="Palatino Linotype" w:cs="Palatino Linotype"/>
          <w:b/>
          <w:i/>
          <w:sz w:val="22"/>
          <w:szCs w:val="22"/>
        </w:rPr>
        <w:t xml:space="preserve">VII. </w:t>
      </w:r>
      <w:r w:rsidRPr="002B742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2B7420"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2B7420">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4</w:t>
      </w:r>
      <w:r w:rsidRPr="002B74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742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B7420">
        <w:rPr>
          <w:rFonts w:ascii="Palatino Linotype" w:eastAsia="Palatino Linotype" w:hAnsi="Palatino Linotype" w:cs="Palatino Linotype"/>
          <w:i/>
          <w:sz w:val="22"/>
          <w:szCs w:val="22"/>
        </w:rPr>
        <w:t>.”</w:t>
      </w:r>
    </w:p>
    <w:p w14:paraId="41FDE746"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2B7420">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03EB9F11"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12.-</w:t>
      </w:r>
      <w:r w:rsidRPr="002B74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2B7420" w:rsidRDefault="00C501F7" w:rsidP="00C501F7">
      <w:pPr>
        <w:spacing w:line="276" w:lineRule="auto"/>
        <w:ind w:left="567" w:right="616"/>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7420">
        <w:rPr>
          <w:rFonts w:ascii="Palatino Linotype" w:eastAsia="Palatino Linotype" w:hAnsi="Palatino Linotype" w:cs="Palatino Linotype"/>
          <w:i/>
          <w:sz w:val="22"/>
          <w:szCs w:val="22"/>
        </w:rPr>
        <w:t xml:space="preserve">. </w:t>
      </w:r>
      <w:r w:rsidRPr="002B742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2B7420"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2B7420" w:rsidRDefault="00C501F7" w:rsidP="00C501F7">
      <w:pPr>
        <w:spacing w:line="360" w:lineRule="auto"/>
        <w:ind w:right="-93"/>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2B7420"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2B7420" w:rsidRDefault="00C501F7" w:rsidP="00C501F7">
      <w:pPr>
        <w:spacing w:line="360" w:lineRule="auto"/>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B7420">
        <w:rPr>
          <w:rFonts w:ascii="Palatino Linotype" w:eastAsia="Palatino Linotype" w:hAnsi="Palatino Linotype" w:cs="Palatino Linotype"/>
          <w:b/>
          <w:sz w:val="22"/>
          <w:szCs w:val="22"/>
        </w:rPr>
        <w:t xml:space="preserve"> </w:t>
      </w:r>
    </w:p>
    <w:p w14:paraId="598D73B5"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No existe obligación de elaborar documentos ad hoc para atender las solicitudes de acceso a la información.</w:t>
      </w:r>
      <w:r w:rsidRPr="002B742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w:t>
      </w:r>
      <w:r w:rsidRPr="002B7420">
        <w:rPr>
          <w:rFonts w:ascii="Palatino Linotype" w:eastAsia="Palatino Linotype" w:hAnsi="Palatino Linotype" w:cs="Palatino Linotype"/>
          <w:i/>
          <w:sz w:val="22"/>
          <w:szCs w:val="22"/>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2B7420"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2B7420" w:rsidRDefault="00C501F7" w:rsidP="00C501F7">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2B7420"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2B7420">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2B7420"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 xml:space="preserve">Artículo 3. </w:t>
      </w:r>
      <w:r w:rsidRPr="002B7420">
        <w:rPr>
          <w:rFonts w:ascii="Palatino Linotype" w:eastAsia="Palatino Linotype" w:hAnsi="Palatino Linotype" w:cs="Palatino Linotype"/>
          <w:i/>
          <w:sz w:val="22"/>
          <w:szCs w:val="22"/>
        </w:rPr>
        <w:t>Para los efectos de la presente Ley se entenderá por:</w:t>
      </w:r>
    </w:p>
    <w:p w14:paraId="474CB410"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64A4B3D6"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XI. Documento:</w:t>
      </w:r>
      <w:r w:rsidRPr="002B7420">
        <w:rPr>
          <w:rFonts w:ascii="Palatino Linotype" w:eastAsia="Palatino Linotype" w:hAnsi="Palatino Linotype" w:cs="Palatino Linotype"/>
          <w:i/>
          <w:sz w:val="22"/>
          <w:szCs w:val="22"/>
        </w:rPr>
        <w:t xml:space="preserve"> Los expedientes, reportes, estudios, actas</w:t>
      </w:r>
      <w:r w:rsidRPr="002B7420">
        <w:rPr>
          <w:rFonts w:ascii="Palatino Linotype" w:eastAsia="Palatino Linotype" w:hAnsi="Palatino Linotype" w:cs="Palatino Linotype"/>
          <w:b/>
          <w:i/>
          <w:sz w:val="22"/>
          <w:szCs w:val="22"/>
        </w:rPr>
        <w:t>,</w:t>
      </w:r>
      <w:r w:rsidRPr="002B74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2B7420"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2B7420" w:rsidRDefault="00C501F7" w:rsidP="00C501F7">
      <w:pPr>
        <w:spacing w:line="276" w:lineRule="auto"/>
        <w:ind w:left="567" w:right="616"/>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B74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En </w:t>
      </w:r>
      <w:proofErr w:type="gramStart"/>
      <w:r w:rsidRPr="002B7420">
        <w:rPr>
          <w:rFonts w:ascii="Palatino Linotype" w:eastAsia="Palatino Linotype" w:hAnsi="Palatino Linotype" w:cs="Palatino Linotype"/>
          <w:i/>
          <w:sz w:val="22"/>
          <w:szCs w:val="22"/>
        </w:rPr>
        <w:t>consecuencia</w:t>
      </w:r>
      <w:proofErr w:type="gramEnd"/>
      <w:r w:rsidRPr="002B742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2B7420" w:rsidRDefault="00C501F7" w:rsidP="00C501F7">
      <w:pPr>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B7420">
        <w:rPr>
          <w:rFonts w:ascii="Palatino Linotype" w:eastAsia="Palatino Linotype" w:hAnsi="Palatino Linotype" w:cs="Palatino Linotype"/>
          <w:i/>
          <w:sz w:val="22"/>
          <w:szCs w:val="22"/>
        </w:rPr>
        <w:t>que</w:t>
      </w:r>
      <w:proofErr w:type="gramEnd"/>
      <w:r w:rsidRPr="002B7420">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2B7420" w:rsidRDefault="00C501F7" w:rsidP="00C501F7">
      <w:pPr>
        <w:spacing w:line="276" w:lineRule="auto"/>
        <w:ind w:left="567" w:right="616"/>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2B7420">
        <w:rPr>
          <w:rFonts w:ascii="Palatino Linotype" w:eastAsia="Palatino Linotype" w:hAnsi="Palatino Linotype" w:cs="Palatino Linotype"/>
          <w:b/>
          <w:i/>
          <w:sz w:val="22"/>
          <w:szCs w:val="22"/>
        </w:rPr>
        <w:t>que</w:t>
      </w:r>
      <w:proofErr w:type="gramEnd"/>
      <w:r w:rsidRPr="002B7420">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2B7420" w:rsidRDefault="00C501F7" w:rsidP="00C501F7">
      <w:pPr>
        <w:spacing w:line="276" w:lineRule="auto"/>
        <w:ind w:left="567" w:right="616"/>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B7420">
        <w:rPr>
          <w:rFonts w:ascii="Palatino Linotype" w:eastAsia="Palatino Linotype" w:hAnsi="Palatino Linotype" w:cs="Palatino Linotype"/>
          <w:b/>
          <w:i/>
          <w:sz w:val="22"/>
          <w:szCs w:val="22"/>
        </w:rPr>
        <w:t>que</w:t>
      </w:r>
      <w:proofErr w:type="gramEnd"/>
      <w:r w:rsidRPr="002B742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2B7420"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2B7420" w:rsidRDefault="00C501F7" w:rsidP="00C501F7">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De ahí que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B7420">
        <w:rPr>
          <w:rFonts w:ascii="Palatino Linotype" w:eastAsia="Palatino Linotype" w:hAnsi="Palatino Linotype" w:cs="Palatino Linotype"/>
          <w:sz w:val="22"/>
          <w:szCs w:val="22"/>
          <w:vertAlign w:val="superscript"/>
        </w:rPr>
        <w:footnoteReference w:id="1"/>
      </w:r>
      <w:r w:rsidRPr="002B742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B7420">
        <w:rPr>
          <w:rFonts w:ascii="Palatino Linotype" w:eastAsia="Palatino Linotype" w:hAnsi="Palatino Linotype" w:cs="Palatino Linotype"/>
          <w:sz w:val="22"/>
          <w:szCs w:val="22"/>
          <w:vertAlign w:val="superscript"/>
        </w:rPr>
        <w:footnoteReference w:id="2"/>
      </w:r>
      <w:r w:rsidRPr="002B742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2B7420"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726F58B0" w:rsidR="00566EB9" w:rsidRPr="002B7420"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2B7420">
        <w:rPr>
          <w:rFonts w:ascii="Palatino Linotype" w:eastAsia="Palatino Linotype" w:hAnsi="Palatino Linotype" w:cs="Palatino Linotype"/>
          <w:sz w:val="22"/>
          <w:szCs w:val="22"/>
        </w:rPr>
        <w:t>C</w:t>
      </w:r>
      <w:r w:rsidR="00D41CCE" w:rsidRPr="002B7420">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2B7420">
        <w:rPr>
          <w:rFonts w:ascii="Palatino Linotype" w:eastAsia="Palatino Linotype" w:hAnsi="Palatino Linotype" w:cs="Palatino Linotype"/>
          <w:b/>
          <w:sz w:val="22"/>
          <w:szCs w:val="22"/>
        </w:rPr>
        <w:t>Sujeto Obligado</w:t>
      </w:r>
      <w:r w:rsidR="009F6A7A" w:rsidRPr="002B7420">
        <w:rPr>
          <w:rFonts w:ascii="Palatino Linotype" w:eastAsia="Palatino Linotype" w:hAnsi="Palatino Linotype" w:cs="Palatino Linotype"/>
          <w:sz w:val="22"/>
          <w:szCs w:val="22"/>
        </w:rPr>
        <w:t xml:space="preserve">, </w:t>
      </w:r>
      <w:r w:rsidR="00392E66" w:rsidRPr="002B7420">
        <w:rPr>
          <w:rFonts w:ascii="Palatino Linotype" w:eastAsia="Palatino Linotype" w:hAnsi="Palatino Linotype" w:cs="Palatino Linotype"/>
          <w:sz w:val="22"/>
          <w:szCs w:val="22"/>
        </w:rPr>
        <w:t xml:space="preserve">de la primera quincena de febrero de dos mil veinticinco, </w:t>
      </w:r>
      <w:r w:rsidR="007F1130" w:rsidRPr="002B7420">
        <w:rPr>
          <w:rFonts w:ascii="Palatino Linotype" w:eastAsia="Palatino Linotype" w:hAnsi="Palatino Linotype" w:cs="Palatino Linotype"/>
          <w:sz w:val="22"/>
          <w:szCs w:val="22"/>
        </w:rPr>
        <w:t>lo siguiente:</w:t>
      </w:r>
    </w:p>
    <w:p w14:paraId="5BB08A3A" w14:textId="77777777" w:rsidR="007F1130" w:rsidRPr="002B7420"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47B2E9" w14:textId="5EF18C86" w:rsidR="00392E66" w:rsidRPr="002B7420" w:rsidRDefault="00392E66" w:rsidP="00392E66">
      <w:pPr>
        <w:pStyle w:val="Prrafodelista"/>
        <w:numPr>
          <w:ilvl w:val="0"/>
          <w:numId w:val="23"/>
        </w:num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La nómina general;</w:t>
      </w:r>
    </w:p>
    <w:p w14:paraId="748FC6BC" w14:textId="3A1FD72C" w:rsidR="00392E66" w:rsidRPr="002B7420" w:rsidRDefault="00392E66" w:rsidP="00392E66">
      <w:pPr>
        <w:pStyle w:val="Prrafodelista"/>
        <w:numPr>
          <w:ilvl w:val="0"/>
          <w:numId w:val="23"/>
        </w:num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Los documentos con los que fueron dados de alta;</w:t>
      </w:r>
    </w:p>
    <w:p w14:paraId="6FAE5B74" w14:textId="77777777" w:rsidR="00392E66" w:rsidRPr="002B7420"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4B3B29C3" w14:textId="750A3A40" w:rsidR="00392E66" w:rsidRPr="002B7420"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Con relación al segundo requerimiento, es menester de este Órgano Garante precisar </w:t>
      </w:r>
      <w:proofErr w:type="gramStart"/>
      <w:r w:rsidRPr="002B7420">
        <w:rPr>
          <w:rFonts w:ascii="Palatino Linotype" w:eastAsia="Palatino Linotype" w:hAnsi="Palatino Linotype" w:cs="Palatino Linotype"/>
          <w:sz w:val="22"/>
          <w:szCs w:val="22"/>
        </w:rPr>
        <w:t>que</w:t>
      </w:r>
      <w:proofErr w:type="gramEnd"/>
      <w:r w:rsidRPr="002B7420">
        <w:rPr>
          <w:rFonts w:ascii="Palatino Linotype" w:eastAsia="Palatino Linotype" w:hAnsi="Palatino Linotype" w:cs="Palatino Linotype"/>
          <w:sz w:val="22"/>
          <w:szCs w:val="22"/>
        </w:rPr>
        <w:t xml:space="preserve"> de su análisis, se advierte que la pretensión del particular es obtener los documentos</w:t>
      </w:r>
      <w:r w:rsidR="0011437B" w:rsidRPr="002B7420">
        <w:rPr>
          <w:rFonts w:ascii="Palatino Linotype" w:eastAsia="Palatino Linotype" w:hAnsi="Palatino Linotype" w:cs="Palatino Linotype"/>
          <w:sz w:val="22"/>
          <w:szCs w:val="22"/>
        </w:rPr>
        <w:t xml:space="preserve"> con los que</w:t>
      </w:r>
      <w:r w:rsidR="009A087F" w:rsidRPr="002B7420">
        <w:rPr>
          <w:rFonts w:ascii="Palatino Linotype" w:eastAsia="Palatino Linotype" w:hAnsi="Palatino Linotype" w:cs="Palatino Linotype"/>
          <w:sz w:val="22"/>
          <w:szCs w:val="22"/>
        </w:rPr>
        <w:t xml:space="preserve"> los</w:t>
      </w:r>
      <w:r w:rsidR="0011437B" w:rsidRPr="002B7420">
        <w:rPr>
          <w:rFonts w:ascii="Palatino Linotype" w:eastAsia="Palatino Linotype" w:hAnsi="Palatino Linotype" w:cs="Palatino Linotype"/>
          <w:sz w:val="22"/>
          <w:szCs w:val="22"/>
        </w:rPr>
        <w:t xml:space="preserve"> servidores públicos </w:t>
      </w:r>
      <w:r w:rsidR="009A087F" w:rsidRPr="002B7420">
        <w:rPr>
          <w:rFonts w:ascii="Palatino Linotype" w:eastAsia="Palatino Linotype" w:hAnsi="Palatino Linotype" w:cs="Palatino Linotype"/>
          <w:sz w:val="22"/>
          <w:szCs w:val="22"/>
        </w:rPr>
        <w:t xml:space="preserve">en funciones a la primera quincena de febrero de dos mil veinticinco </w:t>
      </w:r>
      <w:r w:rsidR="0011437B" w:rsidRPr="002B7420">
        <w:rPr>
          <w:rFonts w:ascii="Palatino Linotype" w:eastAsia="Palatino Linotype" w:hAnsi="Palatino Linotype" w:cs="Palatino Linotype"/>
          <w:sz w:val="22"/>
          <w:szCs w:val="22"/>
        </w:rPr>
        <w:t>iniciaron la prestación de sus servicios, que en términos concretos los documentos que dan cuenta de ello, son el nombramiento, contrato respectivo, o bien, el formato único de movimientos de personal</w:t>
      </w:r>
      <w:r w:rsidR="00AE3979" w:rsidRPr="002B7420">
        <w:rPr>
          <w:rFonts w:ascii="Palatino Linotype" w:eastAsia="Palatino Linotype" w:hAnsi="Palatino Linotype" w:cs="Palatino Linotype"/>
          <w:sz w:val="22"/>
          <w:szCs w:val="22"/>
        </w:rPr>
        <w:t>.</w:t>
      </w:r>
    </w:p>
    <w:p w14:paraId="2F304711" w14:textId="77777777" w:rsidR="00AE3979" w:rsidRPr="002B7420" w:rsidRDefault="00AE3979"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A232360" w14:textId="4C278FEB" w:rsidR="00AE3979" w:rsidRPr="002B7420" w:rsidRDefault="00AE3979"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tanto, para efectos del cumplimiento que en su caso proceda, resulta procedente tener que en el caso el particular pretende acceder </w:t>
      </w:r>
      <w:r w:rsidRPr="002B7420">
        <w:rPr>
          <w:rFonts w:ascii="Palatino Linotype" w:eastAsia="Palatino Linotype" w:hAnsi="Palatino Linotype" w:cs="Palatino Linotype"/>
          <w:b/>
          <w:sz w:val="22"/>
          <w:szCs w:val="22"/>
          <w:u w:val="single"/>
        </w:rPr>
        <w:t xml:space="preserve">al nombramiento, contrato o el formato único de movimientos de personal de los servidores públicos dados </w:t>
      </w:r>
      <w:r w:rsidR="009A087F" w:rsidRPr="002B7420">
        <w:rPr>
          <w:rFonts w:ascii="Palatino Linotype" w:eastAsia="Palatino Linotype" w:hAnsi="Palatino Linotype" w:cs="Palatino Linotype"/>
          <w:b/>
          <w:sz w:val="22"/>
          <w:szCs w:val="22"/>
          <w:u w:val="single"/>
        </w:rPr>
        <w:t>en funciones a</w:t>
      </w:r>
      <w:r w:rsidRPr="002B7420">
        <w:rPr>
          <w:rFonts w:ascii="Palatino Linotype" w:eastAsia="Palatino Linotype" w:hAnsi="Palatino Linotype" w:cs="Palatino Linotype"/>
          <w:b/>
          <w:sz w:val="22"/>
          <w:szCs w:val="22"/>
          <w:u w:val="single"/>
        </w:rPr>
        <w:t xml:space="preserve"> la primera quincena de febrero de dos mil veinticinco.</w:t>
      </w:r>
    </w:p>
    <w:p w14:paraId="73A8E6D7" w14:textId="77777777" w:rsidR="00392E66" w:rsidRPr="002B7420"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1ACB11B" w14:textId="5650BA20" w:rsidR="00392E66" w:rsidRPr="002B7420" w:rsidRDefault="005D2BC9"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Precisado lo anterior, es de indicar que en respuesta </w:t>
      </w:r>
      <w:r w:rsidRPr="002B7420">
        <w:rPr>
          <w:rFonts w:ascii="Palatino Linotype" w:eastAsia="Palatino Linotype" w:hAnsi="Palatino Linotype" w:cs="Palatino Linotype"/>
          <w:b/>
          <w:sz w:val="22"/>
          <w:szCs w:val="22"/>
        </w:rPr>
        <w:t xml:space="preserve">el Sujeto Obligado </w:t>
      </w:r>
      <w:r w:rsidRPr="002B7420">
        <w:rPr>
          <w:rFonts w:ascii="Palatino Linotype" w:eastAsia="Palatino Linotype" w:hAnsi="Palatino Linotype" w:cs="Palatino Linotype"/>
          <w:sz w:val="22"/>
          <w:szCs w:val="22"/>
        </w:rPr>
        <w:t xml:space="preserve">por conducto del </w:t>
      </w:r>
      <w:r w:rsidRPr="002B7420">
        <w:rPr>
          <w:rFonts w:ascii="Palatino Linotype" w:eastAsia="Palatino Linotype" w:hAnsi="Palatino Linotype" w:cs="Palatino Linotype"/>
          <w:b/>
          <w:sz w:val="22"/>
          <w:szCs w:val="22"/>
        </w:rPr>
        <w:t xml:space="preserve">Tesorero Municipal indicó que en archivo adjunto en formato </w:t>
      </w:r>
      <w:proofErr w:type="spellStart"/>
      <w:r w:rsidRPr="002B7420">
        <w:rPr>
          <w:rFonts w:ascii="Palatino Linotype" w:eastAsia="Palatino Linotype" w:hAnsi="Palatino Linotype" w:cs="Palatino Linotype"/>
          <w:b/>
          <w:sz w:val="22"/>
          <w:szCs w:val="22"/>
        </w:rPr>
        <w:t>pdf</w:t>
      </w:r>
      <w:proofErr w:type="spellEnd"/>
      <w:r w:rsidRPr="002B7420">
        <w:rPr>
          <w:rFonts w:ascii="Palatino Linotype" w:eastAsia="Palatino Linotype" w:hAnsi="Palatino Linotype" w:cs="Palatino Linotype"/>
          <w:b/>
          <w:sz w:val="22"/>
          <w:szCs w:val="22"/>
        </w:rPr>
        <w:t xml:space="preserve"> remitía la nómina de los servidores públicos;</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no obstante, hizo entrega en versión pública, de los recibos de nómina de la primera quincena de febrero de dos mil veinticinco</w:t>
      </w:r>
      <w:r w:rsidRPr="002B7420">
        <w:rPr>
          <w:rFonts w:ascii="Palatino Linotype" w:eastAsia="Palatino Linotype" w:hAnsi="Palatino Linotype" w:cs="Palatino Linotype"/>
          <w:sz w:val="22"/>
          <w:szCs w:val="22"/>
        </w:rPr>
        <w:t>, de servidores públicos adscritos a las distintas dependencias del Ayuntamiento de Acambay de Ruiz Castañeda, como se precisó en el antecedente segundo de la presente resolución.</w:t>
      </w:r>
    </w:p>
    <w:p w14:paraId="49131AF8" w14:textId="77777777" w:rsidR="00392E66" w:rsidRPr="002B7420"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40FC4D5A" w:rsidR="00566EB9" w:rsidRPr="002B7420" w:rsidRDefault="00D41CCE">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Inconforme con la respuesta, la parte </w:t>
      </w:r>
      <w:r w:rsidRPr="002B7420">
        <w:rPr>
          <w:rFonts w:ascii="Palatino Linotype" w:eastAsia="Palatino Linotype" w:hAnsi="Palatino Linotype" w:cs="Palatino Linotype"/>
          <w:b/>
          <w:sz w:val="22"/>
          <w:szCs w:val="22"/>
        </w:rPr>
        <w:t xml:space="preserve">Recurrente </w:t>
      </w:r>
      <w:r w:rsidRPr="002B7420">
        <w:rPr>
          <w:rFonts w:ascii="Palatino Linotype" w:eastAsia="Palatino Linotype" w:hAnsi="Palatino Linotype" w:cs="Palatino Linotype"/>
          <w:sz w:val="22"/>
          <w:szCs w:val="22"/>
        </w:rPr>
        <w:t xml:space="preserve">promovió el presente recurso de revisión en el que a manera de motivos de inconformidad </w:t>
      </w:r>
      <w:r w:rsidRPr="002B7420">
        <w:rPr>
          <w:rFonts w:ascii="Palatino Linotype" w:eastAsia="Palatino Linotype" w:hAnsi="Palatino Linotype" w:cs="Palatino Linotype"/>
          <w:b/>
          <w:sz w:val="22"/>
          <w:szCs w:val="22"/>
        </w:rPr>
        <w:t xml:space="preserve">se adolece medularmente de </w:t>
      </w:r>
      <w:r w:rsidR="00CC3F4A" w:rsidRPr="002B7420">
        <w:rPr>
          <w:rFonts w:ascii="Palatino Linotype" w:eastAsia="Palatino Linotype" w:hAnsi="Palatino Linotype" w:cs="Palatino Linotype"/>
          <w:b/>
          <w:sz w:val="22"/>
          <w:szCs w:val="22"/>
        </w:rPr>
        <w:t>la negativ</w:t>
      </w:r>
      <w:r w:rsidR="005D2BC9" w:rsidRPr="002B7420">
        <w:rPr>
          <w:rFonts w:ascii="Palatino Linotype" w:eastAsia="Palatino Linotype" w:hAnsi="Palatino Linotype" w:cs="Palatino Linotype"/>
          <w:b/>
          <w:sz w:val="22"/>
          <w:szCs w:val="22"/>
        </w:rPr>
        <w:t>a a la entrega de lo solicitado, y solicita a este Órgano Garante se ordene la entrega de la información tal y como se solicitó.</w:t>
      </w:r>
    </w:p>
    <w:p w14:paraId="1B713241" w14:textId="77777777" w:rsidR="00566EB9" w:rsidRPr="002B7420"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2B7420" w:rsidRDefault="00D41CCE">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Admitido el presente recurso de revisión, en términos del artículo 185 fracción II</w:t>
      </w:r>
      <w:r w:rsidRPr="002B7420">
        <w:rPr>
          <w:rFonts w:ascii="Palatino Linotype" w:eastAsia="Palatino Linotype" w:hAnsi="Palatino Linotype" w:cs="Palatino Linotype"/>
          <w:sz w:val="22"/>
          <w:szCs w:val="22"/>
          <w:vertAlign w:val="superscript"/>
        </w:rPr>
        <w:footnoteReference w:id="3"/>
      </w:r>
      <w:r w:rsidRPr="002B742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2B7420" w:rsidRDefault="00566EB9">
      <w:pPr>
        <w:spacing w:line="360" w:lineRule="auto"/>
        <w:jc w:val="both"/>
        <w:rPr>
          <w:rFonts w:ascii="Palatino Linotype" w:eastAsia="Palatino Linotype" w:hAnsi="Palatino Linotype" w:cs="Palatino Linotype"/>
          <w:sz w:val="22"/>
          <w:szCs w:val="22"/>
        </w:rPr>
      </w:pPr>
    </w:p>
    <w:p w14:paraId="3C785056" w14:textId="77777777" w:rsidR="009B2156" w:rsidRPr="002B7420" w:rsidRDefault="00D41CCE" w:rsidP="00B7233F">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Cabe resaltar que, durante la etapa de manifestaciones</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el </w:t>
      </w:r>
      <w:r w:rsidRPr="002B7420">
        <w:rPr>
          <w:rFonts w:ascii="Palatino Linotype" w:eastAsia="Palatino Linotype" w:hAnsi="Palatino Linotype" w:cs="Palatino Linotype"/>
          <w:b/>
          <w:sz w:val="22"/>
          <w:szCs w:val="22"/>
        </w:rPr>
        <w:t xml:space="preserve">Sujeto Obligado </w:t>
      </w:r>
      <w:r w:rsidR="003E6F40" w:rsidRPr="002B7420">
        <w:rPr>
          <w:rFonts w:ascii="Palatino Linotype" w:eastAsia="Palatino Linotype" w:hAnsi="Palatino Linotype" w:cs="Palatino Linotype"/>
          <w:sz w:val="22"/>
          <w:szCs w:val="22"/>
        </w:rPr>
        <w:t xml:space="preserve">fue omiso en rendir su informe justificado, y la parte </w:t>
      </w:r>
      <w:r w:rsidR="003E6F40" w:rsidRPr="002B7420">
        <w:rPr>
          <w:rFonts w:ascii="Palatino Linotype" w:eastAsia="Palatino Linotype" w:hAnsi="Palatino Linotype" w:cs="Palatino Linotype"/>
          <w:b/>
          <w:sz w:val="22"/>
          <w:szCs w:val="22"/>
        </w:rPr>
        <w:t xml:space="preserve">Recurrente </w:t>
      </w:r>
      <w:r w:rsidR="003E6F40" w:rsidRPr="002B7420">
        <w:rPr>
          <w:rFonts w:ascii="Palatino Linotype" w:eastAsia="Palatino Linotype" w:hAnsi="Palatino Linotype" w:cs="Palatino Linotype"/>
          <w:sz w:val="22"/>
          <w:szCs w:val="22"/>
        </w:rPr>
        <w:t>en rendir manifestaciones o alegatos que conforme a derecho resultaran procedentes.</w:t>
      </w:r>
    </w:p>
    <w:p w14:paraId="6EAED2A0" w14:textId="77777777" w:rsidR="009B2156" w:rsidRPr="002B7420" w:rsidRDefault="009B2156" w:rsidP="00B7233F">
      <w:pPr>
        <w:spacing w:line="360" w:lineRule="auto"/>
        <w:jc w:val="both"/>
        <w:rPr>
          <w:rFonts w:ascii="Palatino Linotype" w:eastAsia="Palatino Linotype" w:hAnsi="Palatino Linotype" w:cs="Palatino Linotype"/>
          <w:b/>
          <w:sz w:val="22"/>
          <w:szCs w:val="22"/>
        </w:rPr>
      </w:pPr>
    </w:p>
    <w:p w14:paraId="2B95FF90" w14:textId="40482363" w:rsidR="00534223" w:rsidRPr="002B7420" w:rsidRDefault="00534223" w:rsidP="00534223">
      <w:pPr>
        <w:spacing w:line="360" w:lineRule="auto"/>
        <w:ind w:right="-28"/>
        <w:jc w:val="both"/>
        <w:rPr>
          <w:rFonts w:ascii="Palatino Linotype" w:eastAsia="Batang" w:hAnsi="Palatino Linotype" w:cs="Tahoma"/>
          <w:b/>
          <w:bCs/>
          <w:sz w:val="22"/>
          <w:szCs w:val="22"/>
        </w:rPr>
      </w:pPr>
      <w:r w:rsidRPr="002B7420">
        <w:rPr>
          <w:rFonts w:ascii="Palatino Linotype" w:eastAsia="Batang" w:hAnsi="Palatino Linotype" w:cs="Tahoma"/>
          <w:b/>
          <w:bCs/>
          <w:sz w:val="22"/>
          <w:szCs w:val="22"/>
        </w:rPr>
        <w:t xml:space="preserve">a) La nómina general de la primera quincena de febrero de </w:t>
      </w:r>
      <w:r w:rsidR="009A087F" w:rsidRPr="002B7420">
        <w:rPr>
          <w:rFonts w:ascii="Palatino Linotype" w:eastAsia="Batang" w:hAnsi="Palatino Linotype" w:cs="Tahoma"/>
          <w:b/>
          <w:bCs/>
          <w:sz w:val="22"/>
          <w:szCs w:val="22"/>
        </w:rPr>
        <w:t>dos mil veinticinco</w:t>
      </w:r>
      <w:r w:rsidRPr="002B7420">
        <w:rPr>
          <w:rFonts w:ascii="Palatino Linotype" w:eastAsia="Batang" w:hAnsi="Palatino Linotype" w:cs="Tahoma"/>
          <w:b/>
          <w:bCs/>
          <w:sz w:val="22"/>
          <w:szCs w:val="22"/>
        </w:rPr>
        <w:t>:</w:t>
      </w:r>
    </w:p>
    <w:p w14:paraId="3479FB46" w14:textId="77777777" w:rsidR="00534223" w:rsidRPr="002B7420" w:rsidRDefault="00534223" w:rsidP="00534223">
      <w:pPr>
        <w:spacing w:line="360" w:lineRule="auto"/>
        <w:ind w:right="-28"/>
        <w:contextualSpacing/>
        <w:jc w:val="both"/>
        <w:rPr>
          <w:rFonts w:ascii="Palatino Linotype" w:eastAsia="Batang" w:hAnsi="Palatino Linotype" w:cs="Tahoma"/>
          <w:bCs/>
          <w:sz w:val="22"/>
          <w:szCs w:val="22"/>
        </w:rPr>
      </w:pPr>
    </w:p>
    <w:p w14:paraId="46A97C9A" w14:textId="58507660" w:rsidR="00534223" w:rsidRPr="002B7420" w:rsidRDefault="0053422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Atendiendo la naturaleza de la información requerida, debe decirse que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2B7420">
        <w:rPr>
          <w:rFonts w:ascii="Palatino Linotype" w:eastAsia="Palatino Linotype" w:hAnsi="Palatino Linotype" w:cs="Palatino Linotype"/>
          <w:b/>
          <w:i/>
          <w:sz w:val="22"/>
          <w:szCs w:val="22"/>
        </w:rPr>
        <w:t>conciliación de nómina</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más NO así una nómina general</w:t>
      </w:r>
      <w:r w:rsidRPr="002B7420">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6F1E076B"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p>
    <w:p w14:paraId="6E0F8E27"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65CD58CA" w14:textId="77777777" w:rsidR="00534223" w:rsidRPr="002B7420" w:rsidRDefault="00534223" w:rsidP="00534223">
      <w:pPr>
        <w:spacing w:line="360" w:lineRule="auto"/>
        <w:jc w:val="center"/>
        <w:rPr>
          <w:sz w:val="22"/>
          <w:szCs w:val="22"/>
        </w:rPr>
      </w:pPr>
      <w:r w:rsidRPr="002B7420">
        <w:rPr>
          <w:noProof/>
          <w:sz w:val="22"/>
          <w:szCs w:val="22"/>
        </w:rPr>
        <w:lastRenderedPageBreak/>
        <w:drawing>
          <wp:inline distT="0" distB="0" distL="0" distR="0" wp14:anchorId="44999012" wp14:editId="5238E7C4">
            <wp:extent cx="5340102" cy="2591435"/>
            <wp:effectExtent l="19050" t="19050" r="13335" b="18415"/>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356909" cy="2599591"/>
                    </a:xfrm>
                    <a:prstGeom prst="rect">
                      <a:avLst/>
                    </a:prstGeom>
                    <a:ln>
                      <a:solidFill>
                        <a:srgbClr val="4F81BD"/>
                      </a:solidFill>
                    </a:ln>
                  </pic:spPr>
                </pic:pic>
              </a:graphicData>
            </a:graphic>
          </wp:inline>
        </w:drawing>
      </w:r>
      <w:r w:rsidRPr="002B7420">
        <w:rPr>
          <w:sz w:val="22"/>
          <w:szCs w:val="22"/>
        </w:rPr>
        <w:t xml:space="preserve">  </w:t>
      </w:r>
    </w:p>
    <w:p w14:paraId="11D42982" w14:textId="77777777" w:rsidR="00534223" w:rsidRPr="002B7420" w:rsidRDefault="00534223" w:rsidP="00534223">
      <w:pPr>
        <w:spacing w:line="360" w:lineRule="auto"/>
        <w:jc w:val="center"/>
        <w:rPr>
          <w:sz w:val="22"/>
          <w:szCs w:val="22"/>
        </w:rPr>
      </w:pPr>
      <w:r w:rsidRPr="002B7420">
        <w:rPr>
          <w:noProof/>
          <w:sz w:val="22"/>
          <w:szCs w:val="22"/>
        </w:rPr>
        <w:drawing>
          <wp:inline distT="0" distB="0" distL="0" distR="0" wp14:anchorId="6C203340" wp14:editId="2A5B116B">
            <wp:extent cx="5400000" cy="3632400"/>
            <wp:effectExtent l="19050" t="19050" r="10795" b="25400"/>
            <wp:docPr id="21401318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12763"/>
                    <a:stretch>
                      <a:fillRect/>
                    </a:stretch>
                  </pic:blipFill>
                  <pic:spPr>
                    <a:xfrm>
                      <a:off x="0" y="0"/>
                      <a:ext cx="5400000" cy="3632400"/>
                    </a:xfrm>
                    <a:prstGeom prst="rect">
                      <a:avLst/>
                    </a:prstGeom>
                    <a:ln>
                      <a:solidFill>
                        <a:srgbClr val="4F81BD"/>
                      </a:solidFill>
                    </a:ln>
                  </pic:spPr>
                </pic:pic>
              </a:graphicData>
            </a:graphic>
          </wp:inline>
        </w:drawing>
      </w:r>
      <w:r w:rsidRPr="002B7420">
        <w:rPr>
          <w:noProof/>
          <w:sz w:val="22"/>
          <w:szCs w:val="22"/>
        </w:rPr>
        <mc:AlternateContent>
          <mc:Choice Requires="wps">
            <w:drawing>
              <wp:anchor distT="0" distB="0" distL="114300" distR="114300" simplePos="0" relativeHeight="251659264" behindDoc="0" locked="0" layoutInCell="1" hidden="0" allowOverlap="1" wp14:anchorId="02B7F065" wp14:editId="658E00D8">
                <wp:simplePos x="0" y="0"/>
                <wp:positionH relativeFrom="column">
                  <wp:posOffset>139700</wp:posOffset>
                </wp:positionH>
                <wp:positionV relativeFrom="paragraph">
                  <wp:posOffset>2374900</wp:posOffset>
                </wp:positionV>
                <wp:extent cx="5312359" cy="491642"/>
                <wp:effectExtent l="0" t="0" r="0" b="0"/>
                <wp:wrapNone/>
                <wp:docPr id="2140131830" name="Rectángulo 2140131830"/>
                <wp:cNvGraphicFramePr/>
                <a:graphic xmlns:a="http://schemas.openxmlformats.org/drawingml/2006/main">
                  <a:graphicData uri="http://schemas.microsoft.com/office/word/2010/wordprocessingShape">
                    <wps:wsp>
                      <wps:cNvSpPr/>
                      <wps:spPr>
                        <a:xfrm>
                          <a:off x="2708871" y="3553229"/>
                          <a:ext cx="5274259" cy="453542"/>
                        </a:xfrm>
                        <a:prstGeom prst="rect">
                          <a:avLst/>
                        </a:prstGeom>
                        <a:noFill/>
                        <a:ln w="38100" cap="flat" cmpd="sng">
                          <a:solidFill>
                            <a:srgbClr val="C00000"/>
                          </a:solidFill>
                          <a:prstDash val="solid"/>
                          <a:miter lim="800000"/>
                          <a:headEnd type="none" w="sm" len="sm"/>
                          <a:tailEnd type="none" w="sm" len="sm"/>
                        </a:ln>
                      </wps:spPr>
                      <wps:txbx>
                        <w:txbxContent>
                          <w:p w14:paraId="788EB67C" w14:textId="77777777" w:rsidR="00BE044C" w:rsidRDefault="00BE044C" w:rsidP="00534223">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02B7F065" id="Rectángulo 2140131830" o:spid="_x0000_s1026" style="position:absolute;left:0;text-align:left;margin-left:11pt;margin-top:187pt;width:418.3pt;height:3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" filled="f" strokecolor="#c00000" strokeweight="3pt">
                <v:stroke startarrowwidth="narrow" startarrowlength="short" endarrowwidth="narrow" endarrowlength="short"/>
                <v:textbox inset="2.53958mm,2.53958mm,2.53958mm,2.53958mm">
                  <w:txbxContent>
                    <w:p w14:paraId="788EB67C" w14:textId="77777777" w:rsidR="00BE044C" w:rsidRDefault="00BE044C" w:rsidP="00534223">
                      <w:pPr>
                        <w:textDirection w:val="btLr"/>
                      </w:pPr>
                    </w:p>
                  </w:txbxContent>
                </v:textbox>
              </v:rect>
            </w:pict>
          </mc:Fallback>
        </mc:AlternateContent>
      </w:r>
    </w:p>
    <w:p w14:paraId="134917D4" w14:textId="77777777" w:rsidR="00534223" w:rsidRPr="002B7420" w:rsidRDefault="00534223" w:rsidP="00534223">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La finalidad de la conciliación de nómina consiste en presentar el concentrado mensual, de manera quincenal, de las cifras derivadas de todas las erogaciones realizadas por concepto de remuneraciones al trabajo, registradas en la nómina; las cuales deben de coincidir con </w:t>
      </w:r>
      <w:r w:rsidRPr="002B7420">
        <w:rPr>
          <w:rFonts w:ascii="Palatino Linotype" w:eastAsia="Palatino Linotype" w:hAnsi="Palatino Linotype" w:cs="Palatino Linotype"/>
          <w:sz w:val="22"/>
          <w:szCs w:val="22"/>
        </w:rPr>
        <w:lastRenderedPageBreak/>
        <w:t>las contenidas en los registros contables, por concepto de remuneraciones al trabajo personal.</w:t>
      </w:r>
    </w:p>
    <w:p w14:paraId="7623CAF2" w14:textId="77777777" w:rsidR="00534223" w:rsidRPr="002B7420" w:rsidRDefault="00534223" w:rsidP="00534223">
      <w:pPr>
        <w:spacing w:line="360" w:lineRule="auto"/>
        <w:ind w:right="49"/>
        <w:jc w:val="both"/>
        <w:rPr>
          <w:rFonts w:ascii="Palatino Linotype" w:eastAsia="Palatino Linotype" w:hAnsi="Palatino Linotype" w:cs="Palatino Linotype"/>
          <w:sz w:val="22"/>
          <w:szCs w:val="22"/>
        </w:rPr>
      </w:pPr>
    </w:p>
    <w:p w14:paraId="562DA930" w14:textId="77777777" w:rsidR="00534223" w:rsidRPr="002B7420" w:rsidRDefault="00534223" w:rsidP="00534223">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Y, debe presentarse a través de los formatos XLSX y TXT, siendo el primero el siguiente:</w:t>
      </w:r>
    </w:p>
    <w:p w14:paraId="30C07945" w14:textId="77777777" w:rsidR="00534223" w:rsidRPr="002B7420" w:rsidRDefault="00534223" w:rsidP="00534223">
      <w:pPr>
        <w:spacing w:line="360" w:lineRule="auto"/>
        <w:ind w:right="49"/>
        <w:jc w:val="center"/>
        <w:rPr>
          <w:rFonts w:ascii="Palatino Linotype" w:eastAsia="Palatino Linotype" w:hAnsi="Palatino Linotype" w:cs="Palatino Linotype"/>
          <w:sz w:val="22"/>
          <w:szCs w:val="22"/>
        </w:rPr>
      </w:pPr>
      <w:r w:rsidRPr="002B7420">
        <w:rPr>
          <w:noProof/>
          <w:sz w:val="22"/>
          <w:szCs w:val="22"/>
        </w:rPr>
        <w:drawing>
          <wp:inline distT="0" distB="0" distL="0" distR="0" wp14:anchorId="13C35A7B" wp14:editId="4872DC67">
            <wp:extent cx="4733925" cy="5443069"/>
            <wp:effectExtent l="19050" t="19050" r="9525" b="24765"/>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43"/>
                    <a:stretch>
                      <a:fillRect/>
                    </a:stretch>
                  </pic:blipFill>
                  <pic:spPr>
                    <a:xfrm>
                      <a:off x="0" y="0"/>
                      <a:ext cx="4733925" cy="5443069"/>
                    </a:xfrm>
                    <a:prstGeom prst="rect">
                      <a:avLst/>
                    </a:prstGeom>
                    <a:ln>
                      <a:solidFill>
                        <a:srgbClr val="4F81BD"/>
                      </a:solidFill>
                    </a:ln>
                  </pic:spPr>
                </pic:pic>
              </a:graphicData>
            </a:graphic>
          </wp:inline>
        </w:drawing>
      </w:r>
    </w:p>
    <w:p w14:paraId="62F915F2" w14:textId="77777777" w:rsidR="00534223" w:rsidRPr="002B7420" w:rsidRDefault="00534223" w:rsidP="00534223">
      <w:pPr>
        <w:spacing w:line="360" w:lineRule="auto"/>
        <w:ind w:right="49"/>
        <w:jc w:val="both"/>
        <w:rPr>
          <w:rFonts w:ascii="Palatino Linotype" w:eastAsia="Palatino Linotype" w:hAnsi="Palatino Linotype" w:cs="Palatino Linotype"/>
          <w:sz w:val="22"/>
          <w:szCs w:val="22"/>
        </w:rPr>
      </w:pPr>
    </w:p>
    <w:p w14:paraId="08CBC281" w14:textId="77777777" w:rsidR="00534223" w:rsidRPr="002B7420" w:rsidRDefault="00534223" w:rsidP="00534223">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Para el llenado de dicho formato se deben observar las siguientes consideraciones:</w:t>
      </w:r>
    </w:p>
    <w:p w14:paraId="0BF17D53" w14:textId="77777777" w:rsidR="00534223" w:rsidRPr="002B7420" w:rsidRDefault="00534223" w:rsidP="00534223">
      <w:pPr>
        <w:spacing w:line="360" w:lineRule="auto"/>
        <w:ind w:right="49"/>
        <w:jc w:val="center"/>
        <w:rPr>
          <w:rFonts w:ascii="Palatino Linotype" w:eastAsia="Palatino Linotype" w:hAnsi="Palatino Linotype" w:cs="Palatino Linotype"/>
          <w:sz w:val="22"/>
          <w:szCs w:val="22"/>
        </w:rPr>
      </w:pPr>
      <w:r w:rsidRPr="002B7420">
        <w:rPr>
          <w:noProof/>
          <w:sz w:val="22"/>
          <w:szCs w:val="22"/>
        </w:rPr>
        <w:lastRenderedPageBreak/>
        <w:drawing>
          <wp:inline distT="0" distB="0" distL="0" distR="0" wp14:anchorId="797E2C56" wp14:editId="7877E609">
            <wp:extent cx="4644000" cy="1276864"/>
            <wp:effectExtent l="19050" t="19050" r="23495" b="1905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44000" cy="1276864"/>
                    </a:xfrm>
                    <a:prstGeom prst="rect">
                      <a:avLst/>
                    </a:prstGeom>
                    <a:ln>
                      <a:solidFill>
                        <a:srgbClr val="4F81BD"/>
                      </a:solidFill>
                    </a:ln>
                  </pic:spPr>
                </pic:pic>
              </a:graphicData>
            </a:graphic>
          </wp:inline>
        </w:drawing>
      </w:r>
      <w:r w:rsidRPr="002B7420">
        <w:rPr>
          <w:noProof/>
          <w:sz w:val="22"/>
          <w:szCs w:val="22"/>
        </w:rPr>
        <w:drawing>
          <wp:inline distT="0" distB="0" distL="0" distR="0" wp14:anchorId="2AC0DEC8" wp14:editId="442F6DB5">
            <wp:extent cx="4642622" cy="4857650"/>
            <wp:effectExtent l="19050" t="19050" r="24765" b="19685"/>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 b="425"/>
                    <a:stretch>
                      <a:fillRect/>
                    </a:stretch>
                  </pic:blipFill>
                  <pic:spPr>
                    <a:xfrm>
                      <a:off x="0" y="0"/>
                      <a:ext cx="4642622" cy="4857650"/>
                    </a:xfrm>
                    <a:prstGeom prst="rect">
                      <a:avLst/>
                    </a:prstGeom>
                    <a:ln>
                      <a:solidFill>
                        <a:srgbClr val="4F81BD"/>
                      </a:solidFill>
                    </a:ln>
                  </pic:spPr>
                </pic:pic>
              </a:graphicData>
            </a:graphic>
          </wp:inline>
        </w:drawing>
      </w:r>
    </w:p>
    <w:p w14:paraId="4A617DF1"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w:t>
      </w:r>
      <w:r w:rsidRPr="002B7420">
        <w:rPr>
          <w:rFonts w:ascii="Palatino Linotype" w:eastAsia="Palatino Linotype" w:hAnsi="Palatino Linotype" w:cs="Palatino Linotype"/>
          <w:sz w:val="22"/>
          <w:szCs w:val="22"/>
        </w:rPr>
        <w:lastRenderedPageBreak/>
        <w:t xml:space="preserve">R.F.C, CURP, Número de seguridad social (ISSEMYM), </w:t>
      </w:r>
      <w:r w:rsidRPr="002B7420">
        <w:rPr>
          <w:rFonts w:ascii="Palatino Linotype" w:eastAsia="Palatino Linotype" w:hAnsi="Palatino Linotype" w:cs="Palatino Linotype"/>
          <w:b/>
          <w:sz w:val="22"/>
          <w:szCs w:val="22"/>
        </w:rPr>
        <w:t>Nombre completo: Apellido Paterno, Apellido Materno, Nombre</w:t>
      </w:r>
      <w:r w:rsidRPr="002B7420">
        <w:rPr>
          <w:rFonts w:ascii="Palatino Linotype" w:eastAsia="Palatino Linotype" w:hAnsi="Palatino Linotype" w:cs="Palatino Linotype"/>
          <w:sz w:val="22"/>
          <w:szCs w:val="22"/>
        </w:rPr>
        <w:t xml:space="preserve"> (s), Fecha de alta, Fecha de baja, </w:t>
      </w:r>
      <w:r w:rsidRPr="002B7420">
        <w:rPr>
          <w:rFonts w:ascii="Palatino Linotype" w:eastAsia="Palatino Linotype" w:hAnsi="Palatino Linotype" w:cs="Palatino Linotype"/>
          <w:b/>
          <w:sz w:val="22"/>
          <w:szCs w:val="22"/>
        </w:rPr>
        <w:t>Puesto funcional</w:t>
      </w:r>
      <w:r w:rsidRPr="002B7420">
        <w:rPr>
          <w:rFonts w:ascii="Palatino Linotype" w:eastAsia="Palatino Linotype" w:hAnsi="Palatino Linotype" w:cs="Palatino Linotype"/>
          <w:sz w:val="22"/>
          <w:szCs w:val="22"/>
        </w:rPr>
        <w:t xml:space="preserve">, Nivel y/o rango, No. de horas laboradas, Adscripción, Categoría: </w:t>
      </w:r>
      <w:r w:rsidRPr="002B7420">
        <w:rPr>
          <w:rFonts w:ascii="Palatino Linotype" w:eastAsia="Palatino Linotype" w:hAnsi="Palatino Linotype" w:cs="Palatino Linotype"/>
          <w:b/>
          <w:sz w:val="22"/>
          <w:szCs w:val="22"/>
        </w:rPr>
        <w:t>Confianza, Sindicalizado o Eventual</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u w:val="single"/>
        </w:rPr>
        <w:t>Percepciones ordinarias</w:t>
      </w:r>
      <w:r w:rsidRPr="002B7420">
        <w:rPr>
          <w:rFonts w:ascii="Palatino Linotype" w:eastAsia="Palatino Linotype" w:hAnsi="Palatino Linotype" w:cs="Palatino Linotype"/>
          <w:b/>
          <w:sz w:val="22"/>
          <w:szCs w:val="22"/>
        </w:rPr>
        <w:t xml:space="preserve"> (de acuerdo al tabulador), </w:t>
      </w:r>
      <w:r w:rsidRPr="002B7420">
        <w:rPr>
          <w:rFonts w:ascii="Palatino Linotype" w:eastAsia="Palatino Linotype" w:hAnsi="Palatino Linotype" w:cs="Palatino Linotype"/>
          <w:sz w:val="22"/>
          <w:szCs w:val="22"/>
        </w:rPr>
        <w:t>Percepciones extraordinarias</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b/>
          <w:sz w:val="22"/>
          <w:szCs w:val="22"/>
          <w:u w:val="single"/>
        </w:rPr>
        <w:t>Total de percepciones brutas;</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b/>
          <w:sz w:val="22"/>
          <w:szCs w:val="22"/>
          <w:u w:val="single"/>
        </w:rPr>
        <w:t>Deducciones</w:t>
      </w:r>
      <w:r w:rsidRPr="002B7420">
        <w:rPr>
          <w:rFonts w:ascii="Palatino Linotype" w:eastAsia="Palatino Linotype" w:hAnsi="Palatino Linotype" w:cs="Palatino Linotype"/>
          <w:b/>
          <w:sz w:val="22"/>
          <w:szCs w:val="22"/>
        </w:rPr>
        <w:t xml:space="preserve">; Total de deducciones, </w:t>
      </w:r>
      <w:r w:rsidRPr="002B7420">
        <w:rPr>
          <w:rFonts w:ascii="Palatino Linotype" w:eastAsia="Palatino Linotype" w:hAnsi="Palatino Linotype" w:cs="Palatino Linotype"/>
          <w:b/>
          <w:sz w:val="22"/>
          <w:szCs w:val="22"/>
          <w:u w:val="single"/>
        </w:rPr>
        <w:t>Total neto</w:t>
      </w:r>
      <w:r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sz w:val="22"/>
          <w:szCs w:val="22"/>
        </w:rPr>
        <w:t xml:space="preserve"> Días pagados</w:t>
      </w:r>
      <w:r w:rsidRPr="002B7420">
        <w:rPr>
          <w:rFonts w:ascii="Palatino Linotype" w:eastAsia="Palatino Linotype" w:hAnsi="Palatino Linotype" w:cs="Palatino Linotype"/>
          <w:b/>
          <w:sz w:val="22"/>
          <w:szCs w:val="22"/>
        </w:rPr>
        <w:t>,</w:t>
      </w:r>
      <w:r w:rsidRPr="002B7420">
        <w:rPr>
          <w:rFonts w:ascii="Palatino Linotype" w:eastAsia="Palatino Linotype" w:hAnsi="Palatino Linotype" w:cs="Palatino Linotype"/>
          <w:sz w:val="22"/>
          <w:szCs w:val="22"/>
        </w:rPr>
        <w:t xml:space="preserve"> Nombre de la fuente de financiamiento, Póliza, y Medio de pago.</w:t>
      </w:r>
    </w:p>
    <w:p w14:paraId="19296783"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p>
    <w:p w14:paraId="6474C1B6"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Asimismo,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6E385B00" w14:textId="77777777" w:rsidR="00534223" w:rsidRPr="002B7420" w:rsidRDefault="00534223" w:rsidP="0053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0800D2" w14:textId="77777777" w:rsidR="00534223" w:rsidRPr="002B7420" w:rsidRDefault="00534223" w:rsidP="0053422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92.</w:t>
      </w:r>
      <w:r w:rsidRPr="002B742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5142877" w14:textId="77777777" w:rsidR="00534223" w:rsidRPr="002B7420" w:rsidRDefault="00534223" w:rsidP="0053422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szCs w:val="22"/>
        </w:rPr>
        <w:t>…</w:t>
      </w:r>
    </w:p>
    <w:p w14:paraId="51615591" w14:textId="77777777" w:rsidR="00534223" w:rsidRPr="002B7420" w:rsidRDefault="00534223" w:rsidP="00534223">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VIII.</w:t>
      </w:r>
      <w:r w:rsidRPr="002B7420">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E1C8195" w14:textId="77777777" w:rsidR="00534223" w:rsidRPr="002B7420" w:rsidRDefault="00534223" w:rsidP="0053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A3E5CE" w14:textId="77777777" w:rsidR="00534223" w:rsidRPr="002B7420" w:rsidRDefault="00534223" w:rsidP="0053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Ahora, del análisis al ámbito competencial del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se desprende que este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18B3DDEA" w14:textId="77777777" w:rsidR="00534223" w:rsidRPr="002B7420" w:rsidRDefault="00534223" w:rsidP="0053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5517D3" w14:textId="77777777" w:rsidR="00534223" w:rsidRPr="002B7420" w:rsidRDefault="00534223" w:rsidP="00534223">
      <w:pPr>
        <w:pBdr>
          <w:top w:val="nil"/>
          <w:left w:val="nil"/>
          <w:bottom w:val="nil"/>
          <w:right w:val="nil"/>
          <w:between w:val="nil"/>
        </w:pBdr>
        <w:spacing w:line="276" w:lineRule="auto"/>
        <w:ind w:left="567" w:right="616"/>
        <w:jc w:val="both"/>
        <w:rPr>
          <w:rFonts w:ascii="Palatino Linotype" w:hAnsi="Palatino Linotype"/>
          <w:i/>
          <w:sz w:val="22"/>
          <w:szCs w:val="22"/>
        </w:rPr>
      </w:pPr>
      <w:r w:rsidRPr="002B7420">
        <w:rPr>
          <w:rFonts w:ascii="Palatino Linotype" w:hAnsi="Palatino Linotype"/>
          <w:i/>
          <w:sz w:val="22"/>
          <w:szCs w:val="22"/>
        </w:rPr>
        <w:t xml:space="preserve">“Artículo 95.- Son atribuciones del tesorero municipal: </w:t>
      </w:r>
    </w:p>
    <w:p w14:paraId="267FCDE0" w14:textId="77777777" w:rsidR="00534223" w:rsidRPr="002B7420" w:rsidRDefault="00534223" w:rsidP="00534223">
      <w:pPr>
        <w:pBdr>
          <w:top w:val="nil"/>
          <w:left w:val="nil"/>
          <w:bottom w:val="nil"/>
          <w:right w:val="nil"/>
          <w:between w:val="nil"/>
        </w:pBdr>
        <w:spacing w:line="276" w:lineRule="auto"/>
        <w:ind w:left="567" w:right="616"/>
        <w:jc w:val="both"/>
        <w:rPr>
          <w:rFonts w:ascii="Palatino Linotype" w:hAnsi="Palatino Linotype"/>
          <w:b/>
          <w:i/>
          <w:sz w:val="22"/>
          <w:szCs w:val="22"/>
        </w:rPr>
      </w:pPr>
      <w:r w:rsidRPr="002B7420">
        <w:rPr>
          <w:rFonts w:ascii="Palatino Linotype" w:hAnsi="Palatino Linotype"/>
          <w:b/>
          <w:i/>
          <w:sz w:val="22"/>
          <w:szCs w:val="22"/>
        </w:rPr>
        <w:t xml:space="preserve">I. Administrar la hacienda pública municipal, de conformidad con las disposiciones legales aplicables; </w:t>
      </w:r>
    </w:p>
    <w:p w14:paraId="1009C426" w14:textId="77777777" w:rsidR="00534223" w:rsidRPr="002B7420" w:rsidRDefault="00534223" w:rsidP="00534223">
      <w:pPr>
        <w:pBdr>
          <w:top w:val="nil"/>
          <w:left w:val="nil"/>
          <w:bottom w:val="nil"/>
          <w:right w:val="nil"/>
          <w:between w:val="nil"/>
        </w:pBdr>
        <w:spacing w:line="276" w:lineRule="auto"/>
        <w:ind w:left="567" w:right="616"/>
        <w:jc w:val="both"/>
        <w:rPr>
          <w:rFonts w:ascii="Palatino Linotype" w:hAnsi="Palatino Linotype"/>
          <w:i/>
          <w:sz w:val="22"/>
          <w:szCs w:val="22"/>
        </w:rPr>
      </w:pPr>
      <w:r w:rsidRPr="002B7420">
        <w:rPr>
          <w:rFonts w:ascii="Palatino Linotype" w:hAnsi="Palatino Linotype"/>
          <w:i/>
          <w:sz w:val="22"/>
          <w:szCs w:val="22"/>
        </w:rPr>
        <w:t>[…]</w:t>
      </w:r>
    </w:p>
    <w:p w14:paraId="61B69B01" w14:textId="77777777" w:rsidR="00534223" w:rsidRPr="002B7420" w:rsidRDefault="00534223" w:rsidP="00534223">
      <w:pPr>
        <w:pBdr>
          <w:top w:val="nil"/>
          <w:left w:val="nil"/>
          <w:bottom w:val="nil"/>
          <w:right w:val="nil"/>
          <w:between w:val="nil"/>
        </w:pBdr>
        <w:spacing w:line="276" w:lineRule="auto"/>
        <w:ind w:left="567" w:right="616"/>
        <w:jc w:val="both"/>
        <w:rPr>
          <w:rFonts w:ascii="Palatino Linotype" w:hAnsi="Palatino Linotype"/>
          <w:i/>
          <w:sz w:val="22"/>
          <w:szCs w:val="22"/>
        </w:rPr>
      </w:pPr>
      <w:r w:rsidRPr="002B7420">
        <w:rPr>
          <w:rFonts w:ascii="Palatino Linotype" w:hAnsi="Palatino Linotype"/>
          <w:b/>
          <w:i/>
          <w:sz w:val="22"/>
          <w:szCs w:val="22"/>
        </w:rPr>
        <w:t>IV. Llevar los registros contables, financieros y administrativos de los ingresos, egresos, e inventarios</w:t>
      </w:r>
      <w:r w:rsidRPr="002B7420">
        <w:rPr>
          <w:rFonts w:ascii="Palatino Linotype" w:hAnsi="Palatino Linotype"/>
          <w:i/>
          <w:sz w:val="22"/>
          <w:szCs w:val="22"/>
        </w:rPr>
        <w:t>; […]”</w:t>
      </w:r>
    </w:p>
    <w:p w14:paraId="35654DDB"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p>
    <w:p w14:paraId="0A6891E5"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68B1AEAB"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p>
    <w:p w14:paraId="29A0AA28" w14:textId="5C2366DF" w:rsidR="00534223" w:rsidRPr="002B7420" w:rsidRDefault="0003005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Ahora</w:t>
      </w:r>
      <w:r w:rsidR="00534223" w:rsidRPr="002B7420">
        <w:rPr>
          <w:rFonts w:ascii="Palatino Linotype" w:eastAsia="Palatino Linotype" w:hAnsi="Palatino Linotype" w:cs="Palatino Linotype"/>
          <w:sz w:val="22"/>
          <w:szCs w:val="22"/>
        </w:rPr>
        <w:t>, en el caso, del análisis a la respuesta se advierte que la Unidad de Transparencia</w:t>
      </w:r>
      <w:r w:rsidRPr="002B7420">
        <w:rPr>
          <w:rFonts w:ascii="Palatino Linotype" w:eastAsia="Palatino Linotype" w:hAnsi="Palatino Linotype" w:cs="Palatino Linotype"/>
          <w:sz w:val="22"/>
          <w:szCs w:val="22"/>
        </w:rPr>
        <w:t xml:space="preserve"> turnó la solicitud de información a la Tesorería Municipal, máxime que fue esta la que se pronunció en respuesta.</w:t>
      </w:r>
    </w:p>
    <w:p w14:paraId="13AC92BB" w14:textId="77777777" w:rsidR="00534223" w:rsidRPr="002B7420" w:rsidRDefault="00534223" w:rsidP="00534223">
      <w:pPr>
        <w:spacing w:line="360" w:lineRule="auto"/>
        <w:jc w:val="both"/>
        <w:rPr>
          <w:rFonts w:ascii="Palatino Linotype" w:eastAsia="Palatino Linotype" w:hAnsi="Palatino Linotype" w:cs="Palatino Linotype"/>
          <w:sz w:val="22"/>
          <w:szCs w:val="22"/>
        </w:rPr>
      </w:pPr>
    </w:p>
    <w:p w14:paraId="72F69FAB" w14:textId="77777777" w:rsidR="00D42F35" w:rsidRPr="002B7420" w:rsidRDefault="00030053"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No obstante, si bien </w:t>
      </w:r>
      <w:r w:rsidR="0044354A" w:rsidRPr="002B7420">
        <w:rPr>
          <w:rFonts w:ascii="Palatino Linotype" w:eastAsia="Palatino Linotype" w:hAnsi="Palatino Linotype" w:cs="Palatino Linotype"/>
          <w:sz w:val="22"/>
          <w:szCs w:val="22"/>
        </w:rPr>
        <w:t xml:space="preserve">en el caso se </w:t>
      </w:r>
      <w:r w:rsidR="00D42F35" w:rsidRPr="002B7420">
        <w:rPr>
          <w:rFonts w:ascii="Palatino Linotype" w:eastAsia="Palatino Linotype" w:hAnsi="Palatino Linotype" w:cs="Palatino Linotype"/>
          <w:sz w:val="22"/>
          <w:szCs w:val="22"/>
        </w:rPr>
        <w:t>pronunció la Tesorería Municipal se advierte que esta no colmó la pretensión de la persona solicitante.</w:t>
      </w:r>
    </w:p>
    <w:p w14:paraId="29AE1282" w14:textId="77777777" w:rsidR="00D42F35" w:rsidRPr="002B7420" w:rsidRDefault="00D42F35" w:rsidP="00534223">
      <w:pPr>
        <w:spacing w:line="360" w:lineRule="auto"/>
        <w:jc w:val="both"/>
        <w:rPr>
          <w:rFonts w:ascii="Palatino Linotype" w:eastAsia="Palatino Linotype" w:hAnsi="Palatino Linotype" w:cs="Palatino Linotype"/>
          <w:sz w:val="22"/>
          <w:szCs w:val="22"/>
        </w:rPr>
      </w:pPr>
    </w:p>
    <w:p w14:paraId="01A4AECE" w14:textId="3C7AF0C4" w:rsidR="00030053" w:rsidRPr="002B7420" w:rsidRDefault="00D42F35"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Se afirma lo anterior, pues aún y cuando en su oficio de respuesta el servidor público habilitado competente refiere remitir la nómina de los servidores públicos solicitada, también lo es que hizo entrega de recibos de nómina; que resultan ser </w:t>
      </w:r>
      <w:proofErr w:type="gramStart"/>
      <w:r w:rsidRPr="002B7420">
        <w:rPr>
          <w:rFonts w:ascii="Palatino Linotype" w:eastAsia="Palatino Linotype" w:hAnsi="Palatino Linotype" w:cs="Palatino Linotype"/>
          <w:sz w:val="22"/>
          <w:szCs w:val="22"/>
        </w:rPr>
        <w:t>documentales diversas</w:t>
      </w:r>
      <w:proofErr w:type="gramEnd"/>
      <w:r w:rsidRPr="002B7420">
        <w:rPr>
          <w:rFonts w:ascii="Palatino Linotype" w:eastAsia="Palatino Linotype" w:hAnsi="Palatino Linotype" w:cs="Palatino Linotype"/>
          <w:sz w:val="22"/>
          <w:szCs w:val="22"/>
        </w:rPr>
        <w:t xml:space="preserve"> a la peticionada.</w:t>
      </w:r>
    </w:p>
    <w:p w14:paraId="09AA9271" w14:textId="77777777" w:rsidR="00D42F35" w:rsidRPr="002B7420" w:rsidRDefault="00D42F35" w:rsidP="00534223">
      <w:pPr>
        <w:spacing w:line="360" w:lineRule="auto"/>
        <w:jc w:val="both"/>
        <w:rPr>
          <w:rFonts w:ascii="Palatino Linotype" w:eastAsia="Palatino Linotype" w:hAnsi="Palatino Linotype" w:cs="Palatino Linotype"/>
          <w:sz w:val="22"/>
          <w:szCs w:val="22"/>
        </w:rPr>
      </w:pPr>
    </w:p>
    <w:p w14:paraId="710B82C5" w14:textId="4C5C04E8" w:rsidR="00534223" w:rsidRPr="002B7420" w:rsidRDefault="00D42F35" w:rsidP="0053422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lo que, se considera que los motivos de inconformidad hechos valer en el presente asunto resultan fundados, siendo procedente </w:t>
      </w:r>
      <w:r w:rsidRPr="002B7420">
        <w:rPr>
          <w:rFonts w:ascii="Palatino Linotype" w:eastAsia="Palatino Linotype" w:hAnsi="Palatino Linotype" w:cs="Palatino Linotype"/>
          <w:b/>
          <w:sz w:val="22"/>
          <w:szCs w:val="22"/>
        </w:rPr>
        <w:t xml:space="preserve">Revocar </w:t>
      </w:r>
      <w:r w:rsidRPr="002B7420">
        <w:rPr>
          <w:rFonts w:ascii="Palatino Linotype" w:eastAsia="Palatino Linotype" w:hAnsi="Palatino Linotype" w:cs="Palatino Linotype"/>
          <w:sz w:val="22"/>
          <w:szCs w:val="22"/>
        </w:rPr>
        <w:t xml:space="preserve">la respuesta del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 xml:space="preserve">y ordenar se </w:t>
      </w:r>
      <w:r w:rsidR="00534223" w:rsidRPr="002B7420">
        <w:rPr>
          <w:rFonts w:ascii="Palatino Linotype" w:eastAsia="Palatino Linotype" w:hAnsi="Palatino Linotype" w:cs="Palatino Linotype"/>
          <w:sz w:val="22"/>
          <w:szCs w:val="22"/>
        </w:rPr>
        <w:t xml:space="preserve">entregue, en versión pública, </w:t>
      </w:r>
      <w:r w:rsidR="00534223" w:rsidRPr="002B7420">
        <w:rPr>
          <w:rFonts w:ascii="Palatino Linotype" w:eastAsia="Palatino Linotype" w:hAnsi="Palatino Linotype" w:cs="Palatino Linotype"/>
          <w:b/>
          <w:sz w:val="22"/>
          <w:szCs w:val="22"/>
        </w:rPr>
        <w:t>la conciliación de nómina</w:t>
      </w:r>
      <w:r w:rsidR="00534223" w:rsidRPr="002B7420">
        <w:rPr>
          <w:b/>
        </w:rPr>
        <w:t xml:space="preserve"> </w:t>
      </w:r>
      <w:r w:rsidRPr="002B7420">
        <w:rPr>
          <w:rFonts w:ascii="Palatino Linotype" w:eastAsia="Palatino Linotype" w:hAnsi="Palatino Linotype" w:cs="Palatino Linotype"/>
          <w:b/>
          <w:sz w:val="22"/>
          <w:szCs w:val="22"/>
        </w:rPr>
        <w:t>de la primera</w:t>
      </w:r>
      <w:r w:rsidR="00534223" w:rsidRPr="002B7420">
        <w:rPr>
          <w:rFonts w:ascii="Palatino Linotype" w:eastAsia="Palatino Linotype" w:hAnsi="Palatino Linotype" w:cs="Palatino Linotype"/>
          <w:b/>
          <w:sz w:val="22"/>
          <w:szCs w:val="22"/>
        </w:rPr>
        <w:t xml:space="preserve"> quincena de febrero de </w:t>
      </w:r>
      <w:r w:rsidR="00F41E34" w:rsidRPr="002B7420">
        <w:rPr>
          <w:rFonts w:ascii="Palatino Linotype" w:eastAsia="Palatino Linotype" w:hAnsi="Palatino Linotype" w:cs="Palatino Linotype"/>
          <w:b/>
          <w:sz w:val="22"/>
          <w:szCs w:val="22"/>
        </w:rPr>
        <w:t>dos mil veinticinco</w:t>
      </w:r>
      <w:r w:rsidR="00534223" w:rsidRPr="002B7420">
        <w:rPr>
          <w:rFonts w:ascii="Palatino Linotype" w:eastAsia="Palatino Linotype" w:hAnsi="Palatino Linotype" w:cs="Palatino Linotype"/>
          <w:sz w:val="22"/>
          <w:szCs w:val="22"/>
        </w:rPr>
        <w:t>, de conformidad con el considerando siguiente.</w:t>
      </w:r>
    </w:p>
    <w:p w14:paraId="61A4BF9E" w14:textId="77777777" w:rsidR="00534223" w:rsidRPr="002B7420" w:rsidRDefault="00534223" w:rsidP="0053422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C6DCB0" w14:textId="134B3E22" w:rsidR="00D42F35" w:rsidRPr="002B7420" w:rsidRDefault="00D42F35" w:rsidP="00F823D1">
      <w:pPr>
        <w:pStyle w:val="Prrafodelista"/>
        <w:numPr>
          <w:ilvl w:val="0"/>
          <w:numId w:val="24"/>
        </w:numPr>
        <w:spacing w:before="240" w:after="240"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Nombramiento, contrato o el formato único de movimientos de personal de los servidores públicos </w:t>
      </w:r>
      <w:r w:rsidR="00BE044C" w:rsidRPr="002B7420">
        <w:rPr>
          <w:rFonts w:ascii="Palatino Linotype" w:eastAsia="Palatino Linotype" w:hAnsi="Palatino Linotype" w:cs="Palatino Linotype"/>
          <w:b/>
          <w:sz w:val="22"/>
          <w:szCs w:val="22"/>
        </w:rPr>
        <w:t>en funciones a la</w:t>
      </w:r>
      <w:r w:rsidRPr="002B7420">
        <w:rPr>
          <w:rFonts w:ascii="Palatino Linotype" w:eastAsia="Palatino Linotype" w:hAnsi="Palatino Linotype" w:cs="Palatino Linotype"/>
          <w:b/>
          <w:sz w:val="22"/>
          <w:szCs w:val="22"/>
        </w:rPr>
        <w:t xml:space="preserve"> primera quincena de febrero de dos mil veinticinco.</w:t>
      </w:r>
    </w:p>
    <w:p w14:paraId="63B589BB" w14:textId="77777777" w:rsidR="0053297C" w:rsidRPr="002B7420" w:rsidRDefault="0053297C" w:rsidP="0053297C">
      <w:pPr>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sz w:val="22"/>
          <w:szCs w:val="22"/>
          <w:lang w:val="es-ES"/>
        </w:rPr>
        <w:t xml:space="preserve">Referente a este punto, resulta necesario traer a colación lo que establece la Ley de Trabajo de los Servidores Públicos del Estado y Municipios, la cual en su cuerpo normativo precisa que: </w:t>
      </w:r>
    </w:p>
    <w:p w14:paraId="4671A752"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w:t>
      </w:r>
      <w:r w:rsidRPr="002B7420">
        <w:rPr>
          <w:rFonts w:ascii="Palatino Linotype" w:eastAsia="Palatino Linotype" w:hAnsi="Palatino Linotype" w:cs="Palatino Linotype"/>
          <w:b/>
          <w:i/>
          <w:sz w:val="22"/>
          <w:szCs w:val="22"/>
          <w:lang w:val="es-ES"/>
        </w:rPr>
        <w:t>ARTÍCULO 4.</w:t>
      </w:r>
      <w:r w:rsidRPr="002B7420">
        <w:rPr>
          <w:rFonts w:ascii="Palatino Linotype" w:eastAsia="Palatino Linotype" w:hAnsi="Palatino Linotype" w:cs="Palatino Linotype"/>
          <w:i/>
          <w:sz w:val="22"/>
          <w:szCs w:val="22"/>
          <w:lang w:val="es-ES"/>
        </w:rPr>
        <w:t xml:space="preserve"> Para efectos de esta ley se entiende</w:t>
      </w:r>
    </w:p>
    <w:p w14:paraId="112CCD35"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w:t>
      </w:r>
    </w:p>
    <w:p w14:paraId="7EC92A9D"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VI. Servidor Público: A toda persona física que preste a una institución pública un trabajo personal subordinado de carácter material o intelectual, o de ambos géneros, mediante el pago de un sueldo.</w:t>
      </w:r>
    </w:p>
    <w:p w14:paraId="0674CA5E"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w:t>
      </w:r>
    </w:p>
    <w:p w14:paraId="4984190B" w14:textId="77777777" w:rsidR="0053297C" w:rsidRPr="002B7420" w:rsidRDefault="0053297C" w:rsidP="0053297C">
      <w:pPr>
        <w:spacing w:line="276" w:lineRule="auto"/>
        <w:ind w:left="851" w:right="616"/>
        <w:jc w:val="both"/>
        <w:rPr>
          <w:rFonts w:ascii="Palatino Linotype" w:eastAsia="Palatino Linotype" w:hAnsi="Palatino Linotype" w:cs="Palatino Linotype"/>
          <w:b/>
          <w:i/>
          <w:sz w:val="22"/>
          <w:szCs w:val="22"/>
          <w:u w:val="single"/>
          <w:lang w:val="es-ES"/>
        </w:rPr>
      </w:pPr>
      <w:r w:rsidRPr="002B7420">
        <w:rPr>
          <w:rFonts w:ascii="Palatino Linotype" w:eastAsia="Palatino Linotype" w:hAnsi="Palatino Linotype" w:cs="Palatino Linotype"/>
          <w:b/>
          <w:i/>
          <w:sz w:val="22"/>
          <w:szCs w:val="22"/>
          <w:lang w:val="es-ES"/>
        </w:rPr>
        <w:t>ARTÍCULO 5.-</w:t>
      </w:r>
      <w:r w:rsidRPr="002B7420">
        <w:rPr>
          <w:rFonts w:ascii="Palatino Linotype" w:eastAsia="Palatino Linotype" w:hAnsi="Palatino Linotype" w:cs="Palatino Linotype"/>
          <w:i/>
          <w:sz w:val="22"/>
          <w:szCs w:val="22"/>
          <w:lang w:val="es-ES"/>
        </w:rPr>
        <w:t xml:space="preserve"> La </w:t>
      </w:r>
      <w:r w:rsidRPr="002B7420">
        <w:rPr>
          <w:rFonts w:ascii="Palatino Linotype" w:eastAsia="Palatino Linotype" w:hAnsi="Palatino Linotype" w:cs="Palatino Linotype"/>
          <w:b/>
          <w:i/>
          <w:sz w:val="22"/>
          <w:szCs w:val="22"/>
          <w:lang w:val="es-ES"/>
        </w:rPr>
        <w:t xml:space="preserve">relación de trabajo entre las instituciones públicas y sus servidores públicos </w:t>
      </w:r>
      <w:r w:rsidRPr="002B7420">
        <w:rPr>
          <w:rFonts w:ascii="Palatino Linotype" w:eastAsia="Palatino Linotype" w:hAnsi="Palatino Linotype" w:cs="Palatino Linotype"/>
          <w:b/>
          <w:i/>
          <w:sz w:val="22"/>
          <w:szCs w:val="22"/>
          <w:u w:val="single"/>
          <w:lang w:val="es-ES"/>
        </w:rPr>
        <w:t xml:space="preserve">se entiende establecida mediante nombramiento, formato único de movimiento de personal, contrato o por cualquier otro acto que tenga como consecuencia la prestación personal subordinada del servicio y la percepción de un sueldo. </w:t>
      </w:r>
    </w:p>
    <w:p w14:paraId="6BC18ADE"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Para los efectos de esta ley, las instituciones públicas estarán representadas por sus titulares.</w:t>
      </w:r>
    </w:p>
    <w:p w14:paraId="7AF9589C" w14:textId="77777777" w:rsidR="0053297C" w:rsidRPr="002B7420" w:rsidRDefault="0053297C" w:rsidP="0053297C">
      <w:pPr>
        <w:spacing w:line="276" w:lineRule="auto"/>
        <w:ind w:left="851" w:right="616"/>
        <w:jc w:val="both"/>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t>…</w:t>
      </w:r>
    </w:p>
    <w:p w14:paraId="1A76049C" w14:textId="77777777" w:rsidR="0053297C" w:rsidRPr="002B7420" w:rsidRDefault="0053297C" w:rsidP="0053297C">
      <w:pPr>
        <w:spacing w:line="276" w:lineRule="auto"/>
        <w:ind w:left="851"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48.</w:t>
      </w:r>
      <w:r w:rsidRPr="002B7420">
        <w:rPr>
          <w:rFonts w:ascii="Palatino Linotype" w:eastAsia="Palatino Linotype" w:hAnsi="Palatino Linotype" w:cs="Palatino Linotype"/>
          <w:i/>
          <w:sz w:val="22"/>
          <w:szCs w:val="22"/>
        </w:rPr>
        <w:t xml:space="preserve"> Para iniciar la prestación de los servicios se requiere: </w:t>
      </w:r>
    </w:p>
    <w:p w14:paraId="3BE5E7E3" w14:textId="3C9B9A0E" w:rsidR="0053297C" w:rsidRPr="002B7420" w:rsidRDefault="0053297C" w:rsidP="0053297C">
      <w:pPr>
        <w:spacing w:line="276" w:lineRule="auto"/>
        <w:ind w:left="851" w:right="616"/>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I. Tener conferido el nombramiento, contrato respectivo o formato único de Movimientos de Personal;</w:t>
      </w:r>
    </w:p>
    <w:p w14:paraId="3871EC92" w14:textId="57059BDD" w:rsidR="0053297C" w:rsidRPr="002B7420" w:rsidRDefault="0053297C" w:rsidP="0053297C">
      <w:pPr>
        <w:spacing w:line="276" w:lineRule="auto"/>
        <w:ind w:left="851" w:right="616"/>
        <w:jc w:val="both"/>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t>…</w:t>
      </w:r>
    </w:p>
    <w:p w14:paraId="4AC96383"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lang w:val="es-ES"/>
        </w:rPr>
      </w:pPr>
      <w:r w:rsidRPr="002B7420">
        <w:rPr>
          <w:rFonts w:ascii="Palatino Linotype" w:eastAsia="Palatino Linotype" w:hAnsi="Palatino Linotype" w:cs="Palatino Linotype"/>
          <w:b/>
          <w:i/>
          <w:sz w:val="22"/>
          <w:szCs w:val="22"/>
          <w:lang w:val="es-ES"/>
        </w:rPr>
        <w:t>ARTÍCULO 49.-</w:t>
      </w:r>
      <w:r w:rsidRPr="002B7420">
        <w:rPr>
          <w:rFonts w:ascii="Palatino Linotype" w:eastAsia="Palatino Linotype" w:hAnsi="Palatino Linotype" w:cs="Palatino Linotype"/>
          <w:i/>
          <w:sz w:val="22"/>
          <w:szCs w:val="22"/>
          <w:lang w:val="es-ES"/>
        </w:rPr>
        <w:t xml:space="preserve"> </w:t>
      </w:r>
      <w:r w:rsidRPr="002B7420">
        <w:rPr>
          <w:rFonts w:ascii="Palatino Linotype" w:eastAsia="Palatino Linotype" w:hAnsi="Palatino Linotype" w:cs="Palatino Linotype"/>
          <w:b/>
          <w:i/>
          <w:sz w:val="22"/>
          <w:szCs w:val="22"/>
          <w:u w:val="single"/>
          <w:lang w:val="es-ES"/>
        </w:rPr>
        <w:t>Los nombramientos, contratos o formato único de Movimientos de Personal de los servidores públicos deberán contener:</w:t>
      </w:r>
    </w:p>
    <w:p w14:paraId="2AFB88C2"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I. Nombre completo del servidor público;</w:t>
      </w:r>
    </w:p>
    <w:p w14:paraId="0EBA5119"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t xml:space="preserve">II. Cargo para el que es designado, </w:t>
      </w:r>
      <w:r w:rsidRPr="002B7420">
        <w:rPr>
          <w:rFonts w:ascii="Palatino Linotype" w:eastAsia="Palatino Linotype" w:hAnsi="Palatino Linotype" w:cs="Palatino Linotype"/>
          <w:b/>
          <w:i/>
          <w:sz w:val="22"/>
          <w:szCs w:val="22"/>
          <w:u w:val="single"/>
          <w:lang w:val="es-ES"/>
        </w:rPr>
        <w:t>fecha de inicio de sus servicios</w:t>
      </w:r>
      <w:r w:rsidRPr="002B7420">
        <w:rPr>
          <w:rFonts w:ascii="Palatino Linotype" w:eastAsia="Palatino Linotype" w:hAnsi="Palatino Linotype" w:cs="Palatino Linotype"/>
          <w:b/>
          <w:i/>
          <w:sz w:val="22"/>
          <w:szCs w:val="22"/>
          <w:lang w:val="es-ES"/>
        </w:rPr>
        <w:t xml:space="preserve"> y </w:t>
      </w:r>
      <w:r w:rsidRPr="002B7420">
        <w:rPr>
          <w:rFonts w:ascii="Palatino Linotype" w:eastAsia="Palatino Linotype" w:hAnsi="Palatino Linotype" w:cs="Palatino Linotype"/>
          <w:b/>
          <w:i/>
          <w:sz w:val="22"/>
          <w:szCs w:val="22"/>
          <w:u w:val="single"/>
          <w:lang w:val="es-ES"/>
        </w:rPr>
        <w:t>lugar de adscripción</w:t>
      </w:r>
      <w:r w:rsidRPr="002B7420">
        <w:rPr>
          <w:rFonts w:ascii="Palatino Linotype" w:eastAsia="Palatino Linotype" w:hAnsi="Palatino Linotype" w:cs="Palatino Linotype"/>
          <w:b/>
          <w:i/>
          <w:sz w:val="22"/>
          <w:szCs w:val="22"/>
          <w:lang w:val="es-ES"/>
        </w:rPr>
        <w:t xml:space="preserve">; </w:t>
      </w:r>
    </w:p>
    <w:p w14:paraId="1CC5DEA9"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lastRenderedPageBreak/>
        <w:t xml:space="preserve">III. </w:t>
      </w:r>
      <w:r w:rsidRPr="002B7420">
        <w:rPr>
          <w:rFonts w:ascii="Palatino Linotype" w:eastAsia="Palatino Linotype" w:hAnsi="Palatino Linotype" w:cs="Palatino Linotype"/>
          <w:b/>
          <w:i/>
          <w:sz w:val="22"/>
          <w:szCs w:val="22"/>
          <w:lang w:val="es-ES"/>
        </w:rPr>
        <w:t>Carácter del nombramiento, ya sea de servidores públicos generales o de confianza</w:t>
      </w:r>
      <w:r w:rsidRPr="002B7420">
        <w:rPr>
          <w:rFonts w:ascii="Palatino Linotype" w:eastAsia="Palatino Linotype" w:hAnsi="Palatino Linotype" w:cs="Palatino Linotype"/>
          <w:i/>
          <w:sz w:val="22"/>
          <w:szCs w:val="22"/>
          <w:lang w:val="es-ES"/>
        </w:rPr>
        <w:t xml:space="preserve">, así como la temporalidad del mismo; </w:t>
      </w:r>
    </w:p>
    <w:p w14:paraId="6DFBC42C"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 xml:space="preserve">IV. Remuneración correspondiente al puesto; </w:t>
      </w:r>
    </w:p>
    <w:p w14:paraId="6EA1B076"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 xml:space="preserve">V. Jornada de trabajo; </w:t>
      </w:r>
    </w:p>
    <w:p w14:paraId="4BFB8F09"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 xml:space="preserve">VI. Derogada; </w:t>
      </w:r>
    </w:p>
    <w:p w14:paraId="0CAB22F7" w14:textId="77777777" w:rsidR="0053297C" w:rsidRPr="002B7420" w:rsidRDefault="0053297C" w:rsidP="005329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VII. Firma del servidor público autorizado para emitir el nombramiento, contrato o formato único de Movimientos de Personal, así como el fundamento legal de esa atribución.”</w:t>
      </w:r>
    </w:p>
    <w:p w14:paraId="1C691747" w14:textId="77777777" w:rsidR="0053297C" w:rsidRPr="002B7420" w:rsidRDefault="0053297C" w:rsidP="0053297C">
      <w:pPr>
        <w:pBdr>
          <w:top w:val="nil"/>
          <w:left w:val="nil"/>
          <w:bottom w:val="nil"/>
          <w:right w:val="nil"/>
          <w:between w:val="nil"/>
        </w:pBdr>
        <w:spacing w:line="276" w:lineRule="auto"/>
        <w:ind w:left="851" w:right="616"/>
        <w:jc w:val="right"/>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(Énfasis Añadido)</w:t>
      </w:r>
    </w:p>
    <w:p w14:paraId="06AEC574" w14:textId="77777777" w:rsidR="0053297C" w:rsidRPr="002B7420" w:rsidRDefault="0053297C" w:rsidP="0053297C">
      <w:pPr>
        <w:spacing w:line="360" w:lineRule="auto"/>
        <w:jc w:val="both"/>
        <w:rPr>
          <w:rFonts w:ascii="Palatino Linotype" w:eastAsia="Palatino Linotype" w:hAnsi="Palatino Linotype" w:cs="Palatino Linotype"/>
          <w:sz w:val="22"/>
          <w:szCs w:val="22"/>
          <w:lang w:val="es-ES"/>
        </w:rPr>
      </w:pPr>
    </w:p>
    <w:p w14:paraId="79D9B1A1" w14:textId="79C325B5" w:rsidR="0053297C" w:rsidRPr="002B7420" w:rsidRDefault="0053297C" w:rsidP="0053297C">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sz w:val="22"/>
          <w:szCs w:val="22"/>
          <w:lang w:val="es-ES"/>
        </w:rPr>
        <w:t xml:space="preserve">Es así que, para que un servidor público entre en funciones debe tener un nombramiento, contrato </w:t>
      </w:r>
      <w:r w:rsidRPr="002B7420">
        <w:rPr>
          <w:rFonts w:ascii="Palatino Linotype" w:eastAsia="Palatino Linotype" w:hAnsi="Palatino Linotype" w:cs="Palatino Linotype"/>
          <w:b/>
          <w:sz w:val="22"/>
          <w:szCs w:val="22"/>
          <w:lang w:val="es-ES"/>
        </w:rPr>
        <w:t>o formato único de movimientos de personal</w:t>
      </w:r>
      <w:r w:rsidRPr="002B7420">
        <w:rPr>
          <w:rFonts w:ascii="Palatino Linotype" w:eastAsia="Palatino Linotype" w:hAnsi="Palatino Linotype" w:cs="Palatino Linotype"/>
          <w:sz w:val="22"/>
          <w:szCs w:val="22"/>
          <w:lang w:val="es-ES"/>
        </w:rPr>
        <w:t>, el cual debe obrar en el expediente correspondiente.</w:t>
      </w:r>
    </w:p>
    <w:p w14:paraId="4E8A7EE6" w14:textId="77777777" w:rsidR="0053297C" w:rsidRPr="002B7420" w:rsidRDefault="0053297C" w:rsidP="0053297C">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3D49887A" w14:textId="22F89566" w:rsidR="0053297C" w:rsidRPr="002B7420" w:rsidRDefault="0053297C" w:rsidP="00563CA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b/>
          <w:sz w:val="22"/>
          <w:szCs w:val="22"/>
          <w:u w:val="single"/>
          <w:lang w:val="es-ES"/>
        </w:rPr>
        <w:t xml:space="preserve">En el caso del FUMP (Formato Único de Movimientos de Personal) es de agregar que es un documento que evidencia los movimientos de alta, baja, </w:t>
      </w:r>
      <w:r w:rsidRPr="002B7420">
        <w:rPr>
          <w:rFonts w:ascii="Palatino Linotype" w:eastAsia="Palatino Linotype" w:hAnsi="Palatino Linotype" w:cs="Palatino Linotype"/>
          <w:b/>
          <w:sz w:val="22"/>
          <w:szCs w:val="22"/>
          <w:lang w:val="es-ES"/>
        </w:rPr>
        <w:t>transferencia, promoción, democión y licencia</w:t>
      </w:r>
      <w:r w:rsidRPr="002B7420">
        <w:rPr>
          <w:rFonts w:ascii="Palatino Linotype" w:eastAsia="Palatino Linotype" w:hAnsi="Palatino Linotype" w:cs="Palatino Linotype"/>
          <w:b/>
          <w:sz w:val="22"/>
          <w:szCs w:val="22"/>
          <w:u w:val="single"/>
          <w:lang w:val="es-ES"/>
        </w:rPr>
        <w:t xml:space="preserve"> de los servidores públicos, es decir, es el documento oficial en el que se establece la relación laboral, el término de la misma </w:t>
      </w:r>
      <w:r w:rsidRPr="002B7420">
        <w:rPr>
          <w:rFonts w:ascii="Palatino Linotype" w:eastAsia="Palatino Linotype" w:hAnsi="Palatino Linotype" w:cs="Palatino Linotype"/>
          <w:b/>
          <w:sz w:val="22"/>
          <w:szCs w:val="22"/>
          <w:lang w:val="es-ES"/>
        </w:rPr>
        <w:t>o el cambio de adscrip</w:t>
      </w:r>
      <w:r w:rsidR="00563CA3" w:rsidRPr="002B7420">
        <w:rPr>
          <w:rFonts w:ascii="Palatino Linotype" w:eastAsia="Palatino Linotype" w:hAnsi="Palatino Linotype" w:cs="Palatino Linotype"/>
          <w:b/>
          <w:sz w:val="22"/>
          <w:szCs w:val="22"/>
          <w:lang w:val="es-ES"/>
        </w:rPr>
        <w:t>ción de los servidores públicos; por lo que, el FUMP de alta pudiera dar cuenta de lo solicitado.</w:t>
      </w:r>
    </w:p>
    <w:p w14:paraId="3327CECF" w14:textId="77777777" w:rsidR="0053297C" w:rsidRPr="002B7420" w:rsidRDefault="0053297C" w:rsidP="0053297C">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6A0BD2EE" w14:textId="14C2424F" w:rsidR="0053297C" w:rsidRPr="002B7420" w:rsidRDefault="00563CA3" w:rsidP="00563CA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sz w:val="22"/>
          <w:szCs w:val="22"/>
          <w:lang w:val="es-ES"/>
        </w:rPr>
        <w:t xml:space="preserve">Ahora, en cuanto al ámbito competencial del </w:t>
      </w:r>
      <w:r w:rsidRPr="002B7420">
        <w:rPr>
          <w:rFonts w:ascii="Palatino Linotype" w:eastAsia="Palatino Linotype" w:hAnsi="Palatino Linotype" w:cs="Palatino Linotype"/>
          <w:b/>
          <w:sz w:val="22"/>
          <w:szCs w:val="22"/>
          <w:lang w:val="es-ES"/>
        </w:rPr>
        <w:t xml:space="preserve">Sujeto Obligado </w:t>
      </w:r>
      <w:r w:rsidRPr="002B7420">
        <w:rPr>
          <w:rFonts w:ascii="Palatino Linotype" w:eastAsia="Palatino Linotype" w:hAnsi="Palatino Linotype" w:cs="Palatino Linotype"/>
          <w:sz w:val="22"/>
          <w:szCs w:val="22"/>
          <w:lang w:val="es-ES"/>
        </w:rPr>
        <w:t xml:space="preserve">es de señalar que de conformidad con </w:t>
      </w:r>
      <w:r w:rsidR="0053297C" w:rsidRPr="002B7420">
        <w:rPr>
          <w:rFonts w:ascii="Palatino Linotype" w:eastAsia="Palatino Linotype" w:hAnsi="Palatino Linotype" w:cs="Palatino Linotype"/>
          <w:sz w:val="22"/>
          <w:szCs w:val="22"/>
          <w:lang w:val="es-ES"/>
        </w:rPr>
        <w:t xml:space="preserve">el artículo 98 fracción XVII, de la Ley anteriormente mencionada, son obligaciones de las instituciones públicas (entre ellas los municipios), el </w:t>
      </w:r>
      <w:r w:rsidR="0053297C" w:rsidRPr="002B7420">
        <w:rPr>
          <w:rFonts w:ascii="Palatino Linotype" w:eastAsia="Palatino Linotype" w:hAnsi="Palatino Linotype" w:cs="Palatino Linotype"/>
          <w:b/>
          <w:sz w:val="22"/>
          <w:szCs w:val="22"/>
          <w:u w:val="single"/>
          <w:lang w:val="es-ES"/>
        </w:rPr>
        <w:t>integrar los expedientes de los servidores públicos</w:t>
      </w:r>
      <w:r w:rsidR="0053297C" w:rsidRPr="002B7420">
        <w:rPr>
          <w:rFonts w:ascii="Palatino Linotype" w:eastAsia="Palatino Linotype" w:hAnsi="Palatino Linotype" w:cs="Palatino Linotype"/>
          <w:sz w:val="22"/>
          <w:szCs w:val="22"/>
          <w:lang w:val="es-ES"/>
        </w:rPr>
        <w:t xml:space="preserve"> y proporcionar las constancias que </w:t>
      </w:r>
      <w:r w:rsidR="00131C5B" w:rsidRPr="002B7420">
        <w:rPr>
          <w:rFonts w:ascii="Palatino Linotype" w:eastAsia="Palatino Linotype" w:hAnsi="Palatino Linotype" w:cs="Palatino Linotype"/>
          <w:sz w:val="22"/>
          <w:szCs w:val="22"/>
          <w:lang w:val="es-ES"/>
        </w:rPr>
        <w:t>e</w:t>
      </w:r>
      <w:r w:rsidR="0053297C" w:rsidRPr="002B7420">
        <w:rPr>
          <w:rFonts w:ascii="Palatino Linotype" w:eastAsia="Palatino Linotype" w:hAnsi="Palatino Linotype" w:cs="Palatino Linotype"/>
          <w:sz w:val="22"/>
          <w:szCs w:val="22"/>
          <w:lang w:val="es-ES"/>
        </w:rPr>
        <w:t>stos soliciten para el trámite de los asuntos de su interés en los términos que señalen los ordenamientos respectivos, artículo del cual se inserta su contenido para mejor entendimiento:</w:t>
      </w:r>
    </w:p>
    <w:p w14:paraId="7B76909C" w14:textId="77777777" w:rsidR="00131C5B" w:rsidRPr="002B7420" w:rsidRDefault="00131C5B" w:rsidP="00563CA3">
      <w:pPr>
        <w:pBdr>
          <w:top w:val="nil"/>
          <w:left w:val="nil"/>
          <w:bottom w:val="nil"/>
          <w:right w:val="nil"/>
          <w:between w:val="nil"/>
        </w:pBdr>
        <w:spacing w:line="360" w:lineRule="auto"/>
        <w:jc w:val="both"/>
        <w:rPr>
          <w:rFonts w:ascii="Palatino Linotype" w:eastAsia="Palatino Linotype" w:hAnsi="Palatino Linotype" w:cs="Palatino Linotype"/>
          <w:i/>
          <w:sz w:val="22"/>
          <w:szCs w:val="22"/>
          <w:lang w:val="es-ES"/>
        </w:rPr>
      </w:pPr>
    </w:p>
    <w:p w14:paraId="62A7DA5D" w14:textId="77777777" w:rsidR="0053297C" w:rsidRPr="002B7420" w:rsidRDefault="0053297C" w:rsidP="0053297C">
      <w:pPr>
        <w:pBdr>
          <w:top w:val="nil"/>
          <w:left w:val="nil"/>
          <w:bottom w:val="nil"/>
          <w:right w:val="nil"/>
          <w:between w:val="nil"/>
        </w:pBdr>
        <w:ind w:left="851" w:right="616"/>
        <w:jc w:val="center"/>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t>De las Obligaciones de las Instituciones Públicas</w:t>
      </w:r>
    </w:p>
    <w:p w14:paraId="5C70FCD2" w14:textId="77777777" w:rsidR="0053297C" w:rsidRPr="002B7420" w:rsidRDefault="0053297C" w:rsidP="0053297C">
      <w:pPr>
        <w:pBdr>
          <w:top w:val="nil"/>
          <w:left w:val="nil"/>
          <w:bottom w:val="nil"/>
          <w:right w:val="nil"/>
          <w:between w:val="nil"/>
        </w:pBdr>
        <w:ind w:left="851" w:right="616"/>
        <w:jc w:val="center"/>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t>CAPITULO I</w:t>
      </w:r>
    </w:p>
    <w:p w14:paraId="759FF8BA" w14:textId="77777777" w:rsidR="0053297C" w:rsidRPr="002B7420" w:rsidRDefault="0053297C" w:rsidP="0053297C">
      <w:pPr>
        <w:pBdr>
          <w:top w:val="nil"/>
          <w:left w:val="nil"/>
          <w:bottom w:val="nil"/>
          <w:right w:val="nil"/>
          <w:between w:val="nil"/>
        </w:pBdr>
        <w:ind w:left="851" w:right="616"/>
        <w:jc w:val="center"/>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lang w:val="es-ES"/>
        </w:rPr>
        <w:lastRenderedPageBreak/>
        <w:t>De las Obligaciones en General</w:t>
      </w:r>
    </w:p>
    <w:p w14:paraId="1515DBC1" w14:textId="77777777" w:rsidR="0053297C" w:rsidRPr="002B7420" w:rsidRDefault="0053297C" w:rsidP="0053297C">
      <w:pPr>
        <w:pBdr>
          <w:top w:val="nil"/>
          <w:left w:val="nil"/>
          <w:bottom w:val="nil"/>
          <w:right w:val="nil"/>
          <w:between w:val="nil"/>
        </w:pBdr>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ARTÍCULO 98. Son obligaciones de las instituciones públicas:</w:t>
      </w:r>
    </w:p>
    <w:p w14:paraId="029C290C" w14:textId="77777777" w:rsidR="0053297C" w:rsidRPr="002B7420" w:rsidRDefault="0053297C" w:rsidP="0053297C">
      <w:pPr>
        <w:pBdr>
          <w:top w:val="nil"/>
          <w:left w:val="nil"/>
          <w:bottom w:val="nil"/>
          <w:right w:val="nil"/>
          <w:between w:val="nil"/>
        </w:pBdr>
        <w:ind w:left="851" w:right="616"/>
        <w:jc w:val="both"/>
        <w:rPr>
          <w:rFonts w:ascii="Palatino Linotype" w:eastAsia="Palatino Linotype" w:hAnsi="Palatino Linotype" w:cs="Palatino Linotype"/>
          <w:i/>
          <w:sz w:val="22"/>
          <w:szCs w:val="22"/>
          <w:lang w:val="es-ES"/>
        </w:rPr>
      </w:pPr>
      <w:r w:rsidRPr="002B7420">
        <w:rPr>
          <w:rFonts w:ascii="Palatino Linotype" w:eastAsia="Palatino Linotype" w:hAnsi="Palatino Linotype" w:cs="Palatino Linotype"/>
          <w:i/>
          <w:sz w:val="22"/>
          <w:szCs w:val="22"/>
          <w:lang w:val="es-ES"/>
        </w:rPr>
        <w:t>…</w:t>
      </w:r>
    </w:p>
    <w:p w14:paraId="3BDF7219" w14:textId="77777777" w:rsidR="0053297C" w:rsidRPr="002B7420" w:rsidRDefault="0053297C" w:rsidP="0053297C">
      <w:pPr>
        <w:pBdr>
          <w:top w:val="nil"/>
          <w:left w:val="nil"/>
          <w:bottom w:val="nil"/>
          <w:right w:val="nil"/>
          <w:between w:val="nil"/>
        </w:pBdr>
        <w:ind w:left="851" w:right="616"/>
        <w:jc w:val="both"/>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i/>
          <w:sz w:val="22"/>
          <w:szCs w:val="22"/>
          <w:lang w:val="es-ES"/>
        </w:rPr>
        <w:t xml:space="preserve">XVII. Integrar los expedientes de los servidores públicos y </w:t>
      </w:r>
      <w:r w:rsidRPr="002B7420">
        <w:rPr>
          <w:rFonts w:ascii="Palatino Linotype" w:eastAsia="Palatino Linotype" w:hAnsi="Palatino Linotype" w:cs="Palatino Linotype"/>
          <w:b/>
          <w:i/>
          <w:sz w:val="22"/>
          <w:szCs w:val="22"/>
          <w:lang w:val="es-ES"/>
        </w:rPr>
        <w:t>proporcionar las constancias que éstos soliciten para el trámite de los asuntos de su interés en los términos que señalen los ordenamientos respectivos.</w:t>
      </w:r>
    </w:p>
    <w:p w14:paraId="06290088" w14:textId="77777777" w:rsidR="0053297C" w:rsidRPr="002B7420" w:rsidRDefault="0053297C"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lang w:val="es-ES"/>
        </w:rPr>
      </w:pPr>
    </w:p>
    <w:p w14:paraId="0E5E88D7" w14:textId="2C0C57DA" w:rsidR="00563CA3" w:rsidRPr="002B7420" w:rsidRDefault="00563CA3"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sz w:val="22"/>
          <w:szCs w:val="22"/>
          <w:lang w:val="es-ES"/>
        </w:rPr>
        <w:t xml:space="preserve">Asimismo, de conformidad con el Bando Municipal de Acambay de Ruiz Castañeda vigente, se advierte que el </w:t>
      </w:r>
      <w:r w:rsidRPr="002B7420">
        <w:rPr>
          <w:rFonts w:ascii="Palatino Linotype" w:eastAsia="Palatino Linotype" w:hAnsi="Palatino Linotype" w:cs="Palatino Linotype"/>
          <w:b/>
          <w:sz w:val="22"/>
          <w:szCs w:val="22"/>
          <w:lang w:val="es-ES"/>
        </w:rPr>
        <w:t xml:space="preserve">Sujeto Obligado </w:t>
      </w:r>
      <w:r w:rsidRPr="002B7420">
        <w:rPr>
          <w:rFonts w:ascii="Palatino Linotype" w:eastAsia="Palatino Linotype" w:hAnsi="Palatino Linotype" w:cs="Palatino Linotype"/>
          <w:sz w:val="22"/>
          <w:szCs w:val="22"/>
          <w:lang w:val="es-ES"/>
        </w:rPr>
        <w:t>cuenta con una Dirección de Administración, misma que conforme el artículo 119, fracciones I y III tiene dentro de sus atribuciones, las siguientes:</w:t>
      </w:r>
    </w:p>
    <w:p w14:paraId="70930BF3" w14:textId="77777777" w:rsidR="00563CA3" w:rsidRPr="002B7420" w:rsidRDefault="00563CA3"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lang w:val="es-ES"/>
        </w:rPr>
      </w:pPr>
    </w:p>
    <w:p w14:paraId="28D178B1" w14:textId="77777777" w:rsidR="00563CA3" w:rsidRPr="002B7420" w:rsidRDefault="00563CA3" w:rsidP="00563CA3">
      <w:pPr>
        <w:pBdr>
          <w:top w:val="nil"/>
          <w:left w:val="nil"/>
          <w:bottom w:val="nil"/>
          <w:right w:val="nil"/>
          <w:between w:val="nil"/>
        </w:pBdr>
        <w:tabs>
          <w:tab w:val="left" w:pos="567"/>
        </w:tabs>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“Artículo 119. La Dirección de Administración tiene las siguientes atribuciones: </w:t>
      </w:r>
    </w:p>
    <w:p w14:paraId="64066D7F" w14:textId="070FDCDF" w:rsidR="00563CA3" w:rsidRPr="002B7420" w:rsidRDefault="00563CA3" w:rsidP="00563CA3">
      <w:pPr>
        <w:pBdr>
          <w:top w:val="nil"/>
          <w:left w:val="nil"/>
          <w:bottom w:val="nil"/>
          <w:right w:val="nil"/>
          <w:between w:val="nil"/>
        </w:pBdr>
        <w:tabs>
          <w:tab w:val="left" w:pos="567"/>
        </w:tabs>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I. Planear, proponer, ejecutar, dar seguimiento, supervisar, evaluar la óptima </w:t>
      </w:r>
      <w:r w:rsidRPr="002B7420">
        <w:rPr>
          <w:rFonts w:ascii="Palatino Linotype" w:eastAsia="Palatino Linotype" w:hAnsi="Palatino Linotype" w:cs="Palatino Linotype"/>
          <w:b/>
          <w:i/>
          <w:sz w:val="22"/>
          <w:szCs w:val="22"/>
        </w:rPr>
        <w:t xml:space="preserve">distribución de los recursos humanos </w:t>
      </w:r>
      <w:r w:rsidRPr="002B7420">
        <w:rPr>
          <w:rFonts w:ascii="Palatino Linotype" w:eastAsia="Palatino Linotype" w:hAnsi="Palatino Linotype" w:cs="Palatino Linotype"/>
          <w:i/>
          <w:sz w:val="22"/>
          <w:szCs w:val="22"/>
        </w:rPr>
        <w:t xml:space="preserve">y materiales en el quehacer interno de la administración pública municipal; </w:t>
      </w:r>
    </w:p>
    <w:p w14:paraId="507D0345" w14:textId="737B5752" w:rsidR="00563CA3" w:rsidRPr="002B7420" w:rsidRDefault="00563CA3" w:rsidP="00563CA3">
      <w:pPr>
        <w:pBdr>
          <w:top w:val="nil"/>
          <w:left w:val="nil"/>
          <w:bottom w:val="nil"/>
          <w:right w:val="nil"/>
          <w:between w:val="nil"/>
        </w:pBdr>
        <w:tabs>
          <w:tab w:val="left" w:pos="567"/>
        </w:tabs>
        <w:spacing w:line="276" w:lineRule="auto"/>
        <w:ind w:left="567" w:right="616"/>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543E6D9A" w14:textId="2F213A97" w:rsidR="00563CA3" w:rsidRPr="002B7420" w:rsidRDefault="00563CA3" w:rsidP="00563CA3">
      <w:pPr>
        <w:pBdr>
          <w:top w:val="nil"/>
          <w:left w:val="nil"/>
          <w:bottom w:val="nil"/>
          <w:right w:val="nil"/>
          <w:between w:val="nil"/>
        </w:pBdr>
        <w:tabs>
          <w:tab w:val="left" w:pos="567"/>
        </w:tabs>
        <w:spacing w:line="276" w:lineRule="auto"/>
        <w:ind w:left="567" w:right="616"/>
        <w:jc w:val="both"/>
        <w:rPr>
          <w:rFonts w:ascii="Palatino Linotype" w:eastAsia="Palatino Linotype" w:hAnsi="Palatino Linotype" w:cs="Palatino Linotype"/>
          <w:b/>
          <w:i/>
          <w:sz w:val="22"/>
          <w:szCs w:val="22"/>
          <w:lang w:val="es-ES"/>
        </w:rPr>
      </w:pPr>
      <w:r w:rsidRPr="002B7420">
        <w:rPr>
          <w:rFonts w:ascii="Palatino Linotype" w:eastAsia="Palatino Linotype" w:hAnsi="Palatino Linotype" w:cs="Palatino Linotype"/>
          <w:b/>
          <w:i/>
          <w:sz w:val="22"/>
          <w:szCs w:val="22"/>
        </w:rPr>
        <w:t xml:space="preserve">III. Dirigir, dar seguimiento y supervisar la integración y actualización de los expedientes laborales de los servidores públicos y la permanente actualización de la plantilla de personal que integra la Administración Pública </w:t>
      </w:r>
      <w:proofErr w:type="gramStart"/>
      <w:r w:rsidRPr="002B7420">
        <w:rPr>
          <w:rFonts w:ascii="Palatino Linotype" w:eastAsia="Palatino Linotype" w:hAnsi="Palatino Linotype" w:cs="Palatino Linotype"/>
          <w:b/>
          <w:i/>
          <w:sz w:val="22"/>
          <w:szCs w:val="22"/>
        </w:rPr>
        <w:t>Municipal;[</w:t>
      </w:r>
      <w:proofErr w:type="gramEnd"/>
      <w:r w:rsidRPr="002B7420">
        <w:rPr>
          <w:rFonts w:ascii="Palatino Linotype" w:eastAsia="Palatino Linotype" w:hAnsi="Palatino Linotype" w:cs="Palatino Linotype"/>
          <w:b/>
          <w:i/>
          <w:sz w:val="22"/>
          <w:szCs w:val="22"/>
        </w:rPr>
        <w:t>…]”</w:t>
      </w:r>
    </w:p>
    <w:p w14:paraId="5BB44DC6" w14:textId="77777777" w:rsidR="00563CA3" w:rsidRPr="002B7420" w:rsidRDefault="00563CA3"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lang w:val="es-ES"/>
        </w:rPr>
      </w:pPr>
    </w:p>
    <w:p w14:paraId="2F1886D3" w14:textId="136615D9" w:rsidR="00563CA3" w:rsidRPr="002B7420" w:rsidRDefault="00563CA3"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lang w:val="es-ES"/>
        </w:rPr>
      </w:pPr>
      <w:r w:rsidRPr="002B7420">
        <w:rPr>
          <w:rFonts w:ascii="Palatino Linotype" w:eastAsia="Palatino Linotype" w:hAnsi="Palatino Linotype" w:cs="Palatino Linotype"/>
          <w:sz w:val="22"/>
          <w:szCs w:val="22"/>
          <w:lang w:val="es-ES"/>
        </w:rPr>
        <w:t xml:space="preserve">De lo anterior, se desprende que la Dirección de Administración es la encargada de </w:t>
      </w:r>
      <w:r w:rsidR="00F823D1" w:rsidRPr="002B7420">
        <w:rPr>
          <w:rFonts w:ascii="Palatino Linotype" w:eastAsia="Palatino Linotype" w:hAnsi="Palatino Linotype" w:cs="Palatino Linotype"/>
          <w:sz w:val="22"/>
          <w:szCs w:val="22"/>
          <w:lang w:val="es-ES"/>
        </w:rPr>
        <w:t xml:space="preserve">planear, proponer y evaluar la distribución de los recursos humanos, así como de actualizar los expedientes laborales y la plantilla personal, </w:t>
      </w:r>
      <w:proofErr w:type="gramStart"/>
      <w:r w:rsidR="00F823D1" w:rsidRPr="002B7420">
        <w:rPr>
          <w:rFonts w:ascii="Palatino Linotype" w:eastAsia="Palatino Linotype" w:hAnsi="Palatino Linotype" w:cs="Palatino Linotype"/>
          <w:sz w:val="22"/>
          <w:szCs w:val="22"/>
          <w:lang w:val="es-ES"/>
        </w:rPr>
        <w:t>y</w:t>
      </w:r>
      <w:proofErr w:type="gramEnd"/>
      <w:r w:rsidR="00F823D1" w:rsidRPr="002B7420">
        <w:rPr>
          <w:rFonts w:ascii="Palatino Linotype" w:eastAsia="Palatino Linotype" w:hAnsi="Palatino Linotype" w:cs="Palatino Linotype"/>
          <w:sz w:val="22"/>
          <w:szCs w:val="22"/>
          <w:lang w:val="es-ES"/>
        </w:rPr>
        <w:t xml:space="preserve"> por tanto, tiene competencia para conocer del </w:t>
      </w:r>
      <w:r w:rsidR="00F823D1" w:rsidRPr="002B7420">
        <w:rPr>
          <w:rFonts w:ascii="Palatino Linotype" w:eastAsia="Palatino Linotype" w:hAnsi="Palatino Linotype" w:cs="Palatino Linotype"/>
          <w:b/>
          <w:sz w:val="22"/>
          <w:szCs w:val="22"/>
          <w:lang w:val="es-ES"/>
        </w:rPr>
        <w:t>nombramiento, contrato o el formato único de movimientos de personal de los servidores públicos dados de alta en la primera quincena de febrero de dos mil veinticinco.</w:t>
      </w:r>
    </w:p>
    <w:p w14:paraId="0193D310" w14:textId="77777777" w:rsidR="00563CA3" w:rsidRPr="002B7420" w:rsidRDefault="00563CA3" w:rsidP="00532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lang w:val="es-ES"/>
        </w:rPr>
      </w:pPr>
    </w:p>
    <w:p w14:paraId="4CEDB680" w14:textId="1B23967D" w:rsidR="00F823D1" w:rsidRPr="002B7420" w:rsidRDefault="00F823D1" w:rsidP="00563CA3">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No obstante, en el caso se advierte </w:t>
      </w:r>
      <w:proofErr w:type="gramStart"/>
      <w:r w:rsidRPr="002B7420">
        <w:rPr>
          <w:rFonts w:ascii="Palatino Linotype" w:eastAsia="Palatino Linotype" w:hAnsi="Palatino Linotype" w:cs="Palatino Linotype"/>
          <w:sz w:val="22"/>
          <w:szCs w:val="22"/>
        </w:rPr>
        <w:t>que</w:t>
      </w:r>
      <w:proofErr w:type="gramEnd"/>
      <w:r w:rsidRPr="002B7420">
        <w:rPr>
          <w:rFonts w:ascii="Palatino Linotype" w:eastAsia="Palatino Linotype" w:hAnsi="Palatino Linotype" w:cs="Palatino Linotype"/>
          <w:sz w:val="22"/>
          <w:szCs w:val="22"/>
        </w:rPr>
        <w:t xml:space="preserve"> sobre el punto en análisis, el </w:t>
      </w:r>
      <w:r w:rsidRPr="002B7420">
        <w:rPr>
          <w:rFonts w:ascii="Palatino Linotype" w:eastAsia="Palatino Linotype" w:hAnsi="Palatino Linotype" w:cs="Palatino Linotype"/>
          <w:b/>
          <w:sz w:val="22"/>
          <w:szCs w:val="22"/>
        </w:rPr>
        <w:t xml:space="preserve">Sujeto Obligado </w:t>
      </w:r>
      <w:r w:rsidRPr="002B7420">
        <w:rPr>
          <w:rFonts w:ascii="Palatino Linotype" w:eastAsia="Palatino Linotype" w:hAnsi="Palatino Linotype" w:cs="Palatino Linotype"/>
          <w:sz w:val="22"/>
          <w:szCs w:val="22"/>
        </w:rPr>
        <w:t>fue omiso en pronunciarse, por conducto de su área competente.</w:t>
      </w:r>
    </w:p>
    <w:p w14:paraId="65CF3635" w14:textId="77777777" w:rsidR="00F823D1" w:rsidRPr="002B7420" w:rsidRDefault="00F823D1" w:rsidP="00563CA3">
      <w:pPr>
        <w:spacing w:line="360" w:lineRule="auto"/>
        <w:ind w:right="49"/>
        <w:jc w:val="both"/>
        <w:rPr>
          <w:rFonts w:ascii="Palatino Linotype" w:eastAsia="Palatino Linotype" w:hAnsi="Palatino Linotype" w:cs="Palatino Linotype"/>
          <w:sz w:val="22"/>
          <w:szCs w:val="22"/>
        </w:rPr>
      </w:pPr>
    </w:p>
    <w:p w14:paraId="3C1C1B1A" w14:textId="567F1ED8" w:rsidR="00563CA3" w:rsidRPr="002B7420" w:rsidRDefault="00563CA3" w:rsidP="00563CA3">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este tenor,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D4876AF" w14:textId="77777777" w:rsidR="00563CA3" w:rsidRPr="002B7420" w:rsidRDefault="00563CA3" w:rsidP="00563CA3">
      <w:pPr>
        <w:spacing w:line="360" w:lineRule="auto"/>
        <w:ind w:right="49"/>
        <w:jc w:val="both"/>
        <w:rPr>
          <w:rFonts w:ascii="Palatino Linotype" w:eastAsia="Palatino Linotype" w:hAnsi="Palatino Linotype" w:cs="Palatino Linotype"/>
          <w:sz w:val="22"/>
          <w:szCs w:val="22"/>
        </w:rPr>
      </w:pPr>
    </w:p>
    <w:p w14:paraId="7FFDE0ED" w14:textId="77777777" w:rsidR="00563CA3" w:rsidRPr="002B7420" w:rsidRDefault="00563CA3" w:rsidP="00563CA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9AADDA2" w14:textId="77777777" w:rsidR="00563CA3" w:rsidRPr="002B7420" w:rsidRDefault="00563CA3" w:rsidP="00563CA3">
      <w:pPr>
        <w:spacing w:line="360" w:lineRule="auto"/>
        <w:jc w:val="both"/>
        <w:rPr>
          <w:rFonts w:ascii="Palatino Linotype" w:eastAsia="Palatino Linotype" w:hAnsi="Palatino Linotype" w:cs="Palatino Linotype"/>
          <w:sz w:val="22"/>
          <w:szCs w:val="22"/>
        </w:rPr>
      </w:pPr>
    </w:p>
    <w:p w14:paraId="3B055B4E" w14:textId="77777777" w:rsidR="00563CA3" w:rsidRPr="002B7420" w:rsidRDefault="00563CA3" w:rsidP="00563CA3">
      <w:pPr>
        <w:spacing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w:t>
      </w:r>
      <w:r w:rsidRPr="002B7420">
        <w:rPr>
          <w:rFonts w:ascii="Palatino Linotype" w:eastAsia="Palatino Linotype" w:hAnsi="Palatino Linotype" w:cs="Palatino Linotype"/>
          <w:sz w:val="22"/>
          <w:szCs w:val="22"/>
        </w:rPr>
        <w:lastRenderedPageBreak/>
        <w:t>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78C95CD" w14:textId="77777777" w:rsidR="00563CA3" w:rsidRPr="002B7420" w:rsidRDefault="00563CA3" w:rsidP="00563CA3">
      <w:pPr>
        <w:spacing w:line="360" w:lineRule="auto"/>
        <w:ind w:right="51"/>
        <w:jc w:val="both"/>
        <w:rPr>
          <w:rFonts w:ascii="Palatino Linotype" w:eastAsia="Palatino Linotype" w:hAnsi="Palatino Linotype" w:cs="Palatino Linotype"/>
          <w:sz w:val="22"/>
          <w:szCs w:val="22"/>
        </w:rPr>
      </w:pPr>
    </w:p>
    <w:p w14:paraId="475BCAD7" w14:textId="77777777" w:rsidR="00563CA3" w:rsidRPr="002B7420" w:rsidRDefault="00563CA3" w:rsidP="00563CA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7816D21" w14:textId="77777777" w:rsidR="00563CA3" w:rsidRPr="002B7420" w:rsidRDefault="00563CA3" w:rsidP="00563CA3">
      <w:pPr>
        <w:spacing w:line="360" w:lineRule="auto"/>
        <w:jc w:val="both"/>
        <w:rPr>
          <w:rFonts w:ascii="Palatino Linotype" w:eastAsia="Palatino Linotype" w:hAnsi="Palatino Linotype" w:cs="Palatino Linotype"/>
          <w:sz w:val="22"/>
          <w:szCs w:val="22"/>
        </w:rPr>
      </w:pPr>
    </w:p>
    <w:p w14:paraId="3F50FE1F" w14:textId="34F5771B" w:rsidR="00F823D1" w:rsidRPr="002B7420" w:rsidRDefault="00F823D1" w:rsidP="00563CA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Situación la anterior, que en el caso no se cumplió pues la Titular de la Unidad de Transparencia fue omisa en turnar la solicitud de información a la Dirección de Administración que es la que tiene competencia para conocer sobre lo requerido y analizado en este apartado.</w:t>
      </w:r>
    </w:p>
    <w:p w14:paraId="47E71BA1" w14:textId="77777777" w:rsidR="00F823D1" w:rsidRPr="002B7420" w:rsidRDefault="00F823D1" w:rsidP="00563CA3">
      <w:pPr>
        <w:spacing w:line="360" w:lineRule="auto"/>
        <w:jc w:val="both"/>
        <w:rPr>
          <w:rFonts w:ascii="Palatino Linotype" w:eastAsia="Palatino Linotype" w:hAnsi="Palatino Linotype" w:cs="Palatino Linotype"/>
          <w:sz w:val="22"/>
          <w:szCs w:val="22"/>
        </w:rPr>
      </w:pPr>
    </w:p>
    <w:p w14:paraId="43B12024" w14:textId="77777777" w:rsidR="00F823D1" w:rsidRPr="002B7420" w:rsidRDefault="00F823D1" w:rsidP="00563CA3">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ahí que lo procedente es ordenar, previa búsqueda exhaustiva y razonable, de ser procedente en versión pública, lo siguiente:</w:t>
      </w:r>
    </w:p>
    <w:p w14:paraId="71466893" w14:textId="77777777" w:rsidR="00F823D1" w:rsidRPr="002B7420" w:rsidRDefault="00F823D1" w:rsidP="00563CA3">
      <w:pPr>
        <w:spacing w:line="360" w:lineRule="auto"/>
        <w:jc w:val="both"/>
        <w:rPr>
          <w:rFonts w:ascii="Palatino Linotype" w:eastAsia="Palatino Linotype" w:hAnsi="Palatino Linotype" w:cs="Palatino Linotype"/>
          <w:sz w:val="22"/>
          <w:szCs w:val="22"/>
        </w:rPr>
      </w:pPr>
    </w:p>
    <w:p w14:paraId="081BBAA5" w14:textId="7F8293BB" w:rsidR="00F823D1" w:rsidRPr="002B7420" w:rsidRDefault="00F823D1" w:rsidP="007B451C">
      <w:pPr>
        <w:pStyle w:val="Prrafodelista"/>
        <w:numPr>
          <w:ilvl w:val="0"/>
          <w:numId w:val="9"/>
        </w:num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El o los nombramientos, contratos o formatos únicos de movimientos de los servidores públicos </w:t>
      </w:r>
      <w:r w:rsidR="00131C5B" w:rsidRPr="002B7420">
        <w:rPr>
          <w:rFonts w:ascii="Palatino Linotype" w:eastAsia="Palatino Linotype" w:hAnsi="Palatino Linotype" w:cs="Palatino Linotype"/>
          <w:b/>
          <w:sz w:val="22"/>
          <w:szCs w:val="22"/>
        </w:rPr>
        <w:t>en funciones a</w:t>
      </w:r>
      <w:r w:rsidRPr="002B7420">
        <w:rPr>
          <w:rFonts w:ascii="Palatino Linotype" w:eastAsia="Palatino Linotype" w:hAnsi="Palatino Linotype" w:cs="Palatino Linotype"/>
          <w:b/>
          <w:sz w:val="22"/>
          <w:szCs w:val="22"/>
        </w:rPr>
        <w:t xml:space="preserve"> la primera quincena de febrero de dos mil veinticinco.</w:t>
      </w:r>
      <w:r w:rsidRPr="002B7420">
        <w:rPr>
          <w:rFonts w:ascii="Palatino Linotype" w:eastAsia="Palatino Linotype" w:hAnsi="Palatino Linotype" w:cs="Palatino Linotype"/>
          <w:sz w:val="22"/>
          <w:szCs w:val="22"/>
        </w:rPr>
        <w:t xml:space="preserve"> </w:t>
      </w:r>
    </w:p>
    <w:p w14:paraId="039CC0EA" w14:textId="77777777" w:rsidR="009A087F" w:rsidRPr="002B7420" w:rsidRDefault="009A087F" w:rsidP="009A087F">
      <w:pPr>
        <w:spacing w:line="360" w:lineRule="auto"/>
        <w:jc w:val="both"/>
        <w:rPr>
          <w:rFonts w:ascii="Palatino Linotype" w:eastAsia="Palatino Linotype" w:hAnsi="Palatino Linotype" w:cs="Palatino Linotype"/>
          <w:sz w:val="22"/>
          <w:szCs w:val="22"/>
        </w:rPr>
      </w:pPr>
    </w:p>
    <w:p w14:paraId="19FB6BCD" w14:textId="2CEA81CC" w:rsidR="009A087F" w:rsidRPr="002B7420" w:rsidRDefault="009A087F" w:rsidP="009A087F">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Finalmente, no pasa por desapercibido señalar que en el archivo denominado “</w:t>
      </w:r>
      <w:proofErr w:type="spellStart"/>
      <w:r w:rsidR="003C3BA5" w:rsidRPr="002B7420">
        <w:rPr>
          <w:rFonts w:ascii="Palatino Linotype" w:eastAsia="Palatino Linotype" w:hAnsi="Palatino Linotype" w:cs="Palatino Linotype"/>
          <w:b/>
          <w:i/>
          <w:sz w:val="22"/>
          <w:szCs w:val="22"/>
        </w:rPr>
        <w:t>Solictud</w:t>
      </w:r>
      <w:proofErr w:type="spellEnd"/>
      <w:r w:rsidR="003C3BA5" w:rsidRPr="002B7420">
        <w:rPr>
          <w:rFonts w:ascii="Palatino Linotype" w:eastAsia="Palatino Linotype" w:hAnsi="Palatino Linotype" w:cs="Palatino Linotype"/>
          <w:b/>
          <w:i/>
          <w:sz w:val="22"/>
          <w:szCs w:val="22"/>
        </w:rPr>
        <w:t xml:space="preserve"> 00172.pdf</w:t>
      </w:r>
      <w:r w:rsidRPr="002B7420">
        <w:rPr>
          <w:rFonts w:ascii="Palatino Linotype" w:eastAsia="Palatino Linotype" w:hAnsi="Palatino Linotype" w:cs="Palatino Linotype"/>
          <w:sz w:val="22"/>
          <w:szCs w:val="22"/>
        </w:rPr>
        <w:t xml:space="preserve">”, entregado en respuesta, se advierte fueron entregados </w:t>
      </w:r>
      <w:r w:rsidR="003C3BA5" w:rsidRPr="002B7420">
        <w:rPr>
          <w:rFonts w:ascii="Palatino Linotype" w:eastAsia="Palatino Linotype" w:hAnsi="Palatino Linotype" w:cs="Palatino Linotype"/>
          <w:sz w:val="22"/>
          <w:szCs w:val="22"/>
        </w:rPr>
        <w:t xml:space="preserve">recibos de nómina en los que </w:t>
      </w:r>
      <w:r w:rsidR="003C3BA5" w:rsidRPr="002B7420">
        <w:rPr>
          <w:rFonts w:ascii="Palatino Linotype" w:eastAsia="Palatino Linotype" w:hAnsi="Palatino Linotype" w:cs="Palatino Linotype"/>
          <w:b/>
          <w:sz w:val="22"/>
          <w:szCs w:val="22"/>
        </w:rPr>
        <w:t>se dejaron a la vista el código postal del domicilio particular de servidores públicos</w:t>
      </w:r>
      <w:r w:rsidRPr="002B7420">
        <w:rPr>
          <w:rFonts w:ascii="Palatino Linotype" w:eastAsia="Palatino Linotype" w:hAnsi="Palatino Linotype" w:cs="Palatino Linotype"/>
          <w:b/>
          <w:sz w:val="22"/>
          <w:szCs w:val="22"/>
        </w:rPr>
        <w:t>; información que era susceptible de clasificarse como información confidencial</w:t>
      </w:r>
      <w:r w:rsidRPr="002B7420">
        <w:rPr>
          <w:rFonts w:ascii="Palatino Linotype" w:eastAsia="Palatino Linotype" w:hAnsi="Palatino Linotype" w:cs="Palatino Linotype"/>
          <w:sz w:val="22"/>
          <w:szCs w:val="22"/>
        </w:rPr>
        <w:t xml:space="preserve"> en términos del artículo 143, fracción I de la Ley de Transparencia Local.</w:t>
      </w:r>
    </w:p>
    <w:p w14:paraId="5D6354EA" w14:textId="77777777" w:rsidR="009A087F" w:rsidRPr="002B7420" w:rsidRDefault="009A087F" w:rsidP="009A087F">
      <w:pPr>
        <w:spacing w:line="360" w:lineRule="auto"/>
        <w:jc w:val="both"/>
        <w:rPr>
          <w:rFonts w:ascii="Palatino Linotype" w:eastAsia="Palatino Linotype" w:hAnsi="Palatino Linotype" w:cs="Palatino Linotype"/>
          <w:b/>
          <w:sz w:val="22"/>
          <w:szCs w:val="22"/>
        </w:rPr>
      </w:pPr>
    </w:p>
    <w:p w14:paraId="46BD6CC0" w14:textId="77777777" w:rsidR="009A087F" w:rsidRPr="002B7420" w:rsidRDefault="009A087F" w:rsidP="009A087F">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6C01D01F" w14:textId="77777777" w:rsidR="009A087F" w:rsidRPr="002B7420" w:rsidRDefault="009A087F" w:rsidP="009A087F">
      <w:pPr>
        <w:spacing w:line="360" w:lineRule="auto"/>
        <w:jc w:val="both"/>
        <w:rPr>
          <w:rFonts w:ascii="Palatino Linotype" w:eastAsia="Palatino Linotype" w:hAnsi="Palatino Linotype" w:cs="Palatino Linotype"/>
          <w:sz w:val="22"/>
          <w:szCs w:val="22"/>
        </w:rPr>
      </w:pPr>
    </w:p>
    <w:p w14:paraId="36C9CD8D" w14:textId="3EB71DB1" w:rsidR="00207F9D" w:rsidRPr="002B7420" w:rsidRDefault="00207F9D" w:rsidP="00207F9D">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otro lado, </w:t>
      </w:r>
      <w:r w:rsidRPr="002B7420">
        <w:rPr>
          <w:rFonts w:ascii="Palatino Linotype" w:eastAsia="Palatino Linotype" w:hAnsi="Palatino Linotype" w:cs="Palatino Linotype"/>
          <w:b/>
          <w:sz w:val="22"/>
          <w:szCs w:val="22"/>
        </w:rPr>
        <w:t>es de señalar que en respuesta en el mismo archivo electrónico señalado con antelación, a fojas 45, 46, 48, 50, 55, 182, 184, 187, 194, se recibos de nómina en los que se dejó visible el nombre de policías adscritos a la Dirección de Seguridad Pública</w:t>
      </w:r>
      <w:r w:rsidRPr="002B7420">
        <w:rPr>
          <w:rFonts w:ascii="Palatino Linotype" w:eastAsia="Palatino Linotype" w:hAnsi="Palatino Linotype" w:cs="Palatino Linotype"/>
          <w:sz w:val="22"/>
          <w:szCs w:val="22"/>
        </w:rPr>
        <w:t>; por tanto, procede dar vista a la Secretaría Técnica del Pleno, para que en términos  del artículo 190, de la Ley de Transparencia y Acceso a la Información Pública del Estado de México y Municipios, determine lo conducente, y, de ser el caso, en ejercicio de sus atribuciones haga del conocimiento del Órgano Interno de competente para que este último en ejercicio de sus atribuciones resuelva lo conducente y determine en su caso el grado de responsabilidad en el incumplimiento de las obligaciones establecidas en la citada Ley.</w:t>
      </w:r>
    </w:p>
    <w:p w14:paraId="32349BA4" w14:textId="4CADA027" w:rsidR="00534223" w:rsidRPr="002B7420" w:rsidRDefault="0053297C" w:rsidP="00534223">
      <w:pPr>
        <w:spacing w:before="240" w:after="240"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Q</w:t>
      </w:r>
      <w:r w:rsidR="00534223" w:rsidRPr="002B7420">
        <w:rPr>
          <w:rFonts w:ascii="Palatino Linotype" w:eastAsia="Palatino Linotype" w:hAnsi="Palatino Linotype" w:cs="Palatino Linotype"/>
          <w:b/>
          <w:sz w:val="22"/>
          <w:szCs w:val="22"/>
        </w:rPr>
        <w:t xml:space="preserve">uinto. Versión Pública. </w:t>
      </w:r>
      <w:r w:rsidR="00534223" w:rsidRPr="002B7420">
        <w:rPr>
          <w:rFonts w:ascii="Palatino Linotype" w:eastAsia="Palatino Linotype" w:hAnsi="Palatino Linotype" w:cs="Palatino Linotype"/>
          <w:sz w:val="22"/>
          <w:szCs w:val="22"/>
        </w:rPr>
        <w:t>Como fue debidamente apuntado, el </w:t>
      </w:r>
      <w:r w:rsidR="00534223" w:rsidRPr="002B7420">
        <w:rPr>
          <w:rFonts w:ascii="Palatino Linotype" w:eastAsia="Palatino Linotype" w:hAnsi="Palatino Linotype" w:cs="Palatino Linotype"/>
          <w:b/>
          <w:sz w:val="22"/>
          <w:szCs w:val="22"/>
        </w:rPr>
        <w:t>Sujeto Obligado</w:t>
      </w:r>
      <w:r w:rsidR="00534223" w:rsidRPr="002B7420">
        <w:rPr>
          <w:rFonts w:ascii="Palatino Linotype" w:eastAsia="Palatino Linotype" w:hAnsi="Palatino Linotype" w:cs="Palatino Linotype"/>
          <w:sz w:val="22"/>
          <w:szCs w:val="22"/>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w:t>
      </w:r>
      <w:r w:rsidR="00534223" w:rsidRPr="002B7420">
        <w:rPr>
          <w:rFonts w:ascii="Palatino Linotype" w:eastAsia="Palatino Linotype" w:hAnsi="Palatino Linotype" w:cs="Palatino Linotype"/>
          <w:sz w:val="22"/>
          <w:szCs w:val="22"/>
        </w:rPr>
        <w:lastRenderedPageBreak/>
        <w:t>considerados confidenciales, cuyo acceso debe ser restringido que deben testarse al momento de la versión pública, atento a lo siguiente:</w:t>
      </w:r>
    </w:p>
    <w:p w14:paraId="2743ABEF" w14:textId="77777777" w:rsidR="00534223" w:rsidRPr="002B7420" w:rsidRDefault="00534223" w:rsidP="00534223">
      <w:pPr>
        <w:spacing w:before="240" w:after="240"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A27C2FE" w14:textId="77777777" w:rsidR="00534223" w:rsidRPr="002B7420" w:rsidRDefault="00534223" w:rsidP="00534223">
      <w:pPr>
        <w:spacing w:before="240" w:after="240"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2707BF1" w14:textId="77777777" w:rsidR="00534223" w:rsidRPr="002B7420" w:rsidRDefault="00534223" w:rsidP="00534223">
      <w:pPr>
        <w:spacing w:before="240" w:after="240"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04F9516"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sz w:val="22"/>
          <w:szCs w:val="22"/>
        </w:rPr>
        <w:t> </w:t>
      </w: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3.</w:t>
      </w:r>
      <w:r w:rsidRPr="002B7420">
        <w:rPr>
          <w:rFonts w:ascii="Palatino Linotype" w:eastAsia="Palatino Linotype" w:hAnsi="Palatino Linotype" w:cs="Palatino Linotype"/>
          <w:i/>
          <w:sz w:val="22"/>
          <w:szCs w:val="22"/>
        </w:rPr>
        <w:t xml:space="preserve"> Para los efectos de la presente Ley se entenderá por:</w:t>
      </w:r>
    </w:p>
    <w:p w14:paraId="081719E1"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794878A5"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IX. Datos personales</w:t>
      </w:r>
      <w:r w:rsidRPr="002B742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C494B17"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52D29755"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XX. Información clasificada</w:t>
      </w:r>
      <w:r w:rsidRPr="002B7420">
        <w:rPr>
          <w:rFonts w:ascii="Palatino Linotype" w:eastAsia="Palatino Linotype" w:hAnsi="Palatino Linotype" w:cs="Palatino Linotype"/>
          <w:i/>
          <w:sz w:val="22"/>
          <w:szCs w:val="22"/>
        </w:rPr>
        <w:t>: Aquella considerada por la presente Ley como reservada o confidencial;</w:t>
      </w:r>
    </w:p>
    <w:p w14:paraId="740479F5"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XXI. Información confidencial</w:t>
      </w:r>
      <w:r w:rsidRPr="002B742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C7A34A"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07D02E52"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lastRenderedPageBreak/>
        <w:t>XXXII. Protección de Datos Personales</w:t>
      </w:r>
      <w:r w:rsidRPr="002B742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88DAA92"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4DD59860" w14:textId="77777777" w:rsidR="00534223" w:rsidRPr="002B7420" w:rsidRDefault="00534223" w:rsidP="00534223">
      <w:pPr>
        <w:tabs>
          <w:tab w:val="left" w:pos="1276"/>
        </w:tabs>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XLV. Versión pública</w:t>
      </w:r>
      <w:r w:rsidRPr="002B742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64385F3"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Artículo 6</w:t>
      </w:r>
      <w:r w:rsidRPr="002B742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7768469"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58C26E69"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91.</w:t>
      </w:r>
      <w:r w:rsidRPr="002B742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B7420">
        <w:rPr>
          <w:rFonts w:ascii="Palatino Linotype" w:eastAsia="Palatino Linotype" w:hAnsi="Palatino Linotype" w:cs="Palatino Linotype"/>
          <w:i/>
          <w:sz w:val="22"/>
          <w:szCs w:val="22"/>
        </w:rPr>
        <w:br/>
        <w:t>…</w:t>
      </w:r>
    </w:p>
    <w:p w14:paraId="361289D0"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132.</w:t>
      </w:r>
      <w:r w:rsidRPr="002B7420">
        <w:rPr>
          <w:rFonts w:ascii="Palatino Linotype" w:eastAsia="Palatino Linotype" w:hAnsi="Palatino Linotype" w:cs="Palatino Linotype"/>
          <w:i/>
          <w:sz w:val="22"/>
          <w:szCs w:val="22"/>
        </w:rPr>
        <w:t xml:space="preserve"> La clasificación de la información se llevará a cabo en el momento en que:</w:t>
      </w:r>
    </w:p>
    <w:p w14:paraId="003DB7F9"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Se reciba una solicitud de acceso a la información;</w:t>
      </w:r>
    </w:p>
    <w:p w14:paraId="5AC782E7"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xml:space="preserve"> Se determine mediante resolución de autoridad competente; o</w:t>
      </w:r>
    </w:p>
    <w:p w14:paraId="32F5C1A5"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912A41F"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w:t>
      </w:r>
    </w:p>
    <w:p w14:paraId="7B2EF02E"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137.</w:t>
      </w:r>
      <w:r w:rsidRPr="002B742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2C11A62"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Artículo 143.</w:t>
      </w:r>
      <w:r w:rsidRPr="002B742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51DFD3D"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A88EC9E" w14:textId="77777777" w:rsidR="00534223" w:rsidRPr="002B7420" w:rsidRDefault="00534223" w:rsidP="00534223">
      <w:pPr>
        <w:spacing w:before="240" w:after="240" w:line="360" w:lineRule="auto"/>
        <w:ind w:right="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1EA52F8" w14:textId="77777777" w:rsidR="00534223" w:rsidRPr="002B7420" w:rsidRDefault="00534223" w:rsidP="00534223">
      <w:pPr>
        <w:spacing w:before="240" w:after="240" w:line="360" w:lineRule="auto"/>
        <w:ind w:right="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57DF1C0" w14:textId="5DCEAA9D"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B7420">
        <w:rPr>
          <w:rFonts w:ascii="Palatino Linotype" w:eastAsia="Palatino Linotype" w:hAnsi="Palatino Linotype" w:cs="Palatino Linotype"/>
          <w:b/>
          <w:sz w:val="22"/>
          <w:szCs w:val="22"/>
        </w:rPr>
        <w:t>Registro Federal de Contribuyentes</w:t>
      </w:r>
      <w:r w:rsidRPr="002B7420">
        <w:rPr>
          <w:rFonts w:ascii="Palatino Linotype" w:eastAsia="Palatino Linotype" w:hAnsi="Palatino Linotype" w:cs="Palatino Linotype"/>
          <w:sz w:val="22"/>
          <w:szCs w:val="22"/>
        </w:rPr>
        <w:t xml:space="preserve"> (RFC), la </w:t>
      </w:r>
      <w:r w:rsidRPr="002B7420">
        <w:rPr>
          <w:rFonts w:ascii="Palatino Linotype" w:eastAsia="Palatino Linotype" w:hAnsi="Palatino Linotype" w:cs="Palatino Linotype"/>
          <w:b/>
          <w:sz w:val="22"/>
          <w:szCs w:val="22"/>
        </w:rPr>
        <w:t>Clave Única de Registro de Población</w:t>
      </w:r>
      <w:r w:rsidRPr="002B7420">
        <w:rPr>
          <w:rFonts w:ascii="Palatino Linotype" w:eastAsia="Palatino Linotype" w:hAnsi="Palatino Linotype" w:cs="Palatino Linotype"/>
          <w:sz w:val="22"/>
          <w:szCs w:val="22"/>
        </w:rPr>
        <w:t xml:space="preserve"> (CURP), la </w:t>
      </w:r>
      <w:r w:rsidRPr="002B7420">
        <w:rPr>
          <w:rFonts w:ascii="Palatino Linotype" w:eastAsia="Palatino Linotype" w:hAnsi="Palatino Linotype" w:cs="Palatino Linotype"/>
          <w:b/>
          <w:sz w:val="22"/>
          <w:szCs w:val="22"/>
        </w:rPr>
        <w:t>Clave de cualquier tipo de seguridad social</w:t>
      </w:r>
      <w:r w:rsidRPr="002B7420">
        <w:rPr>
          <w:rFonts w:ascii="Palatino Linotype" w:eastAsia="Palatino Linotype" w:hAnsi="Palatino Linotype" w:cs="Palatino Linotype"/>
          <w:sz w:val="22"/>
          <w:szCs w:val="22"/>
        </w:rPr>
        <w:t xml:space="preserve"> (ISSEMYM, </w:t>
      </w:r>
      <w:r w:rsidRPr="002B7420">
        <w:rPr>
          <w:rFonts w:ascii="Palatino Linotype" w:eastAsia="Palatino Linotype" w:hAnsi="Palatino Linotype" w:cs="Palatino Linotype"/>
          <w:sz w:val="22"/>
          <w:szCs w:val="22"/>
        </w:rPr>
        <w:lastRenderedPageBreak/>
        <w:t xml:space="preserve">u otros), los </w:t>
      </w:r>
      <w:r w:rsidRPr="002B7420">
        <w:rPr>
          <w:rFonts w:ascii="Palatino Linotype" w:eastAsia="Palatino Linotype" w:hAnsi="Palatino Linotype" w:cs="Palatino Linotype"/>
          <w:b/>
          <w:sz w:val="22"/>
          <w:szCs w:val="22"/>
        </w:rPr>
        <w:t>números de cuentas bancarias</w:t>
      </w:r>
      <w:r w:rsidRPr="002B7420">
        <w:rPr>
          <w:rFonts w:ascii="Palatino Linotype" w:eastAsia="Palatino Linotype" w:hAnsi="Palatino Linotype" w:cs="Palatino Linotype"/>
          <w:sz w:val="22"/>
          <w:szCs w:val="22"/>
        </w:rPr>
        <w:t xml:space="preserve">, claves estandarizadas – interbancarias - (CLABES) y de tarjetas, los </w:t>
      </w:r>
      <w:r w:rsidRPr="002B7420">
        <w:rPr>
          <w:rFonts w:ascii="Palatino Linotype" w:eastAsia="Palatino Linotype" w:hAnsi="Palatino Linotype" w:cs="Palatino Linotype"/>
          <w:b/>
          <w:sz w:val="22"/>
          <w:szCs w:val="22"/>
        </w:rPr>
        <w:t>préstamos o descuentos</w:t>
      </w:r>
      <w:r w:rsidRPr="002B7420">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2B7420">
        <w:rPr>
          <w:rFonts w:ascii="Palatino Linotype" w:eastAsia="Palatino Linotype" w:hAnsi="Palatino Linotype" w:cs="Palatino Linotype"/>
          <w:b/>
          <w:sz w:val="22"/>
          <w:szCs w:val="22"/>
        </w:rPr>
        <w:t xml:space="preserve"> número de empleado</w:t>
      </w:r>
      <w:r w:rsidR="00F823D1" w:rsidRPr="002B7420">
        <w:rPr>
          <w:rFonts w:ascii="Palatino Linotype" w:eastAsia="Palatino Linotype" w:hAnsi="Palatino Linotype" w:cs="Palatino Linotype"/>
          <w:b/>
          <w:sz w:val="22"/>
          <w:szCs w:val="22"/>
        </w:rPr>
        <w:t>, etc.</w:t>
      </w:r>
    </w:p>
    <w:p w14:paraId="0BB01DC2" w14:textId="77777777" w:rsidR="00534223" w:rsidRPr="002B7420" w:rsidRDefault="00534223" w:rsidP="00534223">
      <w:pPr>
        <w:spacing w:before="240" w:after="240" w:line="360" w:lineRule="auto"/>
        <w:ind w:right="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E724821"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cuanto hace al </w:t>
      </w:r>
      <w:r w:rsidRPr="002B7420">
        <w:rPr>
          <w:rFonts w:ascii="Palatino Linotype" w:eastAsia="Palatino Linotype" w:hAnsi="Palatino Linotype" w:cs="Palatino Linotype"/>
          <w:b/>
          <w:sz w:val="22"/>
          <w:szCs w:val="22"/>
        </w:rPr>
        <w:t>Registro Federal de Contribuyentes, RFC,</w:t>
      </w:r>
      <w:r w:rsidRPr="002B7420">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2B7420">
        <w:rPr>
          <w:rFonts w:ascii="Palatino Linotype" w:eastAsia="Palatino Linotype" w:hAnsi="Palatino Linotype" w:cs="Palatino Linotype"/>
          <w:sz w:val="22"/>
          <w:szCs w:val="22"/>
        </w:rPr>
        <w:t>homoclave</w:t>
      </w:r>
      <w:proofErr w:type="spellEnd"/>
      <w:r w:rsidRPr="002B7420">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01462416"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AE30A79"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7315C3C8"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 “Registro Federal de Contribuyentes (RFC) de personas físicas</w:t>
      </w:r>
      <w:r w:rsidRPr="002B742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504D6C1"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Así, el Registro Federal de Contribuyentes, RFC, se vincula al nombre de su titular y permite identificar la edad de la persona, su fecha de nacimiento, así como su </w:t>
      </w:r>
      <w:proofErr w:type="spellStart"/>
      <w:r w:rsidRPr="002B7420">
        <w:rPr>
          <w:rFonts w:ascii="Palatino Linotype" w:eastAsia="Palatino Linotype" w:hAnsi="Palatino Linotype" w:cs="Palatino Linotype"/>
          <w:sz w:val="22"/>
          <w:szCs w:val="22"/>
        </w:rPr>
        <w:t>homoclave</w:t>
      </w:r>
      <w:proofErr w:type="spellEnd"/>
      <w:r w:rsidRPr="002B7420">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5AF70C5"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De igual manera la </w:t>
      </w:r>
      <w:r w:rsidRPr="002B7420">
        <w:rPr>
          <w:rFonts w:ascii="Palatino Linotype" w:eastAsia="Palatino Linotype" w:hAnsi="Palatino Linotype" w:cs="Palatino Linotype"/>
          <w:b/>
          <w:sz w:val="22"/>
          <w:szCs w:val="22"/>
        </w:rPr>
        <w:t>Clave Única de Registro de Población</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CURP,</w:t>
      </w:r>
      <w:r w:rsidRPr="002B7420">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6861A6B"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11B06772"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 “Clave Única de Registro de Población (CURP). </w:t>
      </w:r>
      <w:r w:rsidRPr="002B742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7D3B89"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Por lo que respecta a la </w:t>
      </w:r>
      <w:r w:rsidRPr="002B7420">
        <w:rPr>
          <w:rFonts w:ascii="Palatino Linotype" w:eastAsia="Palatino Linotype" w:hAnsi="Palatino Linotype" w:cs="Palatino Linotype"/>
          <w:b/>
          <w:sz w:val="22"/>
          <w:szCs w:val="22"/>
        </w:rPr>
        <w:t>clave de seguridad social</w:t>
      </w:r>
      <w:r w:rsidRPr="002B7420">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5A61B64F"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Respecto de los </w:t>
      </w:r>
      <w:r w:rsidRPr="002B7420">
        <w:rPr>
          <w:rFonts w:ascii="Palatino Linotype" w:eastAsia="Palatino Linotype" w:hAnsi="Palatino Linotype" w:cs="Palatino Linotype"/>
          <w:b/>
          <w:sz w:val="22"/>
          <w:szCs w:val="22"/>
        </w:rPr>
        <w:t>números de cuentas bancari</w:t>
      </w:r>
      <w:r w:rsidRPr="002B7420">
        <w:rPr>
          <w:rFonts w:ascii="Palatino Linotype" w:eastAsia="Palatino Linotype" w:hAnsi="Palatino Linotype" w:cs="Palatino Linotype"/>
          <w:sz w:val="22"/>
          <w:szCs w:val="22"/>
        </w:rPr>
        <w:t xml:space="preserve">as, </w:t>
      </w:r>
      <w:r w:rsidRPr="002B7420">
        <w:rPr>
          <w:rFonts w:ascii="Palatino Linotype" w:eastAsia="Palatino Linotype" w:hAnsi="Palatino Linotype" w:cs="Palatino Linotype"/>
          <w:b/>
          <w:sz w:val="22"/>
          <w:szCs w:val="22"/>
        </w:rPr>
        <w:t>claves estandarizadas –interbancarias- (CLABES) y de tarjetas</w:t>
      </w:r>
      <w:r w:rsidRPr="002B7420">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719BCFBC"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17D53BD"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00237A0"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01CD749"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5D7BC882"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Lo argumentado se apoya de los criterios orientadores con claves de control SO/010/2017 y SO/011/2017, emitidos por el entonces Instituto Nacional de Transparencia, Acceso a la </w:t>
      </w:r>
      <w:r w:rsidRPr="002B7420">
        <w:rPr>
          <w:rFonts w:ascii="Palatino Linotype" w:eastAsia="Palatino Linotype" w:hAnsi="Palatino Linotype" w:cs="Palatino Linotype"/>
          <w:sz w:val="22"/>
          <w:szCs w:val="22"/>
        </w:rPr>
        <w:lastRenderedPageBreak/>
        <w:t>Información y Protección de Datos Personales, INAI, que llevan por rubro y texto los siguientes:</w:t>
      </w:r>
    </w:p>
    <w:p w14:paraId="70C81DE2"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Cuentas bancarias y/o CLABE interbancaria de personas físicas y morales privadas.</w:t>
      </w:r>
      <w:r w:rsidRPr="002B742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82F4E34"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B742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9D7F855"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bookmarkStart w:id="9" w:name="_heading=h.35nkun2" w:colFirst="0" w:colLast="0"/>
      <w:bookmarkEnd w:id="9"/>
      <w:r w:rsidRPr="002B7420">
        <w:rPr>
          <w:rFonts w:ascii="Palatino Linotype" w:eastAsia="Palatino Linotype" w:hAnsi="Palatino Linotype" w:cs="Palatino Linotype"/>
          <w:sz w:val="22"/>
          <w:szCs w:val="22"/>
        </w:rPr>
        <w:t xml:space="preserve">Por cuanto hace a los </w:t>
      </w:r>
      <w:r w:rsidRPr="002B7420">
        <w:rPr>
          <w:rFonts w:ascii="Palatino Linotype" w:eastAsia="Palatino Linotype" w:hAnsi="Palatino Linotype" w:cs="Palatino Linotype"/>
          <w:b/>
          <w:sz w:val="22"/>
          <w:szCs w:val="22"/>
        </w:rPr>
        <w:t>préstamos o descuentos de carácter personal</w:t>
      </w:r>
      <w:r w:rsidRPr="002B7420">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4D5EADBE"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43C3C32" w14:textId="77777777" w:rsidR="00534223" w:rsidRPr="002B7420" w:rsidRDefault="00534223" w:rsidP="00534223">
      <w:pPr>
        <w:spacing w:before="120" w:after="120"/>
        <w:ind w:left="851" w:right="902"/>
        <w:jc w:val="both"/>
        <w:rPr>
          <w:rFonts w:ascii="Palatino Linotype" w:eastAsia="Palatino Linotype" w:hAnsi="Palatino Linotype" w:cs="Palatino Linotype"/>
          <w:b/>
          <w:i/>
          <w:sz w:val="22"/>
          <w:szCs w:val="22"/>
        </w:rPr>
      </w:pPr>
      <w:bookmarkStart w:id="10" w:name="_heading=h.1ksv4uv" w:colFirst="0" w:colLast="0"/>
      <w:bookmarkEnd w:id="10"/>
      <w:r w:rsidRPr="002B7420">
        <w:rPr>
          <w:rFonts w:ascii="Palatino Linotype" w:eastAsia="Palatino Linotype" w:hAnsi="Palatino Linotype" w:cs="Palatino Linotype"/>
          <w:b/>
          <w:i/>
          <w:sz w:val="22"/>
          <w:szCs w:val="22"/>
        </w:rPr>
        <w:t xml:space="preserve">“ARTÍCULO 84. </w:t>
      </w:r>
      <w:r w:rsidRPr="002B7420">
        <w:rPr>
          <w:rFonts w:ascii="Palatino Linotype" w:eastAsia="Palatino Linotype" w:hAnsi="Palatino Linotype" w:cs="Palatino Linotype"/>
          <w:i/>
          <w:sz w:val="22"/>
          <w:szCs w:val="22"/>
        </w:rPr>
        <w:t>Sólo podrán hacerse retenciones, descuentos o deducciones al sueldo de los servidores públicos por concepto de:</w:t>
      </w:r>
    </w:p>
    <w:p w14:paraId="55DE32C3"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xml:space="preserve"> Gravámenes fiscales relacionados con el sueldo;</w:t>
      </w:r>
    </w:p>
    <w:p w14:paraId="484E528F"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7FC20B1E"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w:t>
      </w:r>
      <w:r w:rsidRPr="002B7420">
        <w:rPr>
          <w:rFonts w:ascii="Palatino Linotype" w:eastAsia="Palatino Linotype" w:hAnsi="Palatino Linotype" w:cs="Palatino Linotype"/>
          <w:b/>
          <w:i/>
          <w:sz w:val="22"/>
          <w:szCs w:val="22"/>
        </w:rPr>
        <w:t>Cuotas sindicales</w:t>
      </w:r>
      <w:r w:rsidRPr="002B7420">
        <w:rPr>
          <w:rFonts w:ascii="Palatino Linotype" w:eastAsia="Palatino Linotype" w:hAnsi="Palatino Linotype" w:cs="Palatino Linotype"/>
          <w:i/>
          <w:sz w:val="22"/>
          <w:szCs w:val="22"/>
        </w:rPr>
        <w:t>;</w:t>
      </w:r>
    </w:p>
    <w:p w14:paraId="52316F90"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lastRenderedPageBreak/>
        <w:t>IV.</w:t>
      </w:r>
      <w:r w:rsidRPr="002B7420">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4D91D648"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w:t>
      </w:r>
      <w:r w:rsidRPr="002B7420">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6ED6625E"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VI.</w:t>
      </w:r>
      <w:r w:rsidRPr="002B7420">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3188A4AA"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VII.</w:t>
      </w:r>
      <w:r w:rsidRPr="002B7420">
        <w:rPr>
          <w:rFonts w:ascii="Palatino Linotype" w:eastAsia="Palatino Linotype" w:hAnsi="Palatino Linotype" w:cs="Palatino Linotype"/>
          <w:i/>
          <w:sz w:val="22"/>
          <w:szCs w:val="22"/>
        </w:rPr>
        <w:t xml:space="preserve"> Faltas de puntualidad o de asistencia injustificadas;</w:t>
      </w:r>
    </w:p>
    <w:p w14:paraId="6221D29D"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VIII. Pensiones alimenticias ordenadas por la autoridad judicial;</w:t>
      </w:r>
      <w:r w:rsidRPr="002B7420">
        <w:rPr>
          <w:rFonts w:ascii="Palatino Linotype" w:eastAsia="Palatino Linotype" w:hAnsi="Palatino Linotype" w:cs="Palatino Linotype"/>
          <w:i/>
          <w:sz w:val="22"/>
          <w:szCs w:val="22"/>
        </w:rPr>
        <w:t xml:space="preserve"> o</w:t>
      </w:r>
    </w:p>
    <w:p w14:paraId="4699CE77" w14:textId="77777777" w:rsidR="00534223" w:rsidRPr="002B7420" w:rsidRDefault="00534223" w:rsidP="00534223">
      <w:pPr>
        <w:spacing w:before="120" w:after="120"/>
        <w:ind w:left="1134" w:right="902"/>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IX. Cualquier otro convenido con instituciones de servicios y aceptado por el servidor público.</w:t>
      </w:r>
    </w:p>
    <w:p w14:paraId="1592879F"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16990D1"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9E5624A"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De este modo, los </w:t>
      </w:r>
      <w:r w:rsidRPr="002B7420">
        <w:rPr>
          <w:rFonts w:ascii="Palatino Linotype" w:eastAsia="Palatino Linotype" w:hAnsi="Palatino Linotype" w:cs="Palatino Linotype"/>
          <w:b/>
          <w:sz w:val="22"/>
          <w:szCs w:val="22"/>
        </w:rPr>
        <w:t>descuentos o deducciones por cuotas sindicales</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pensiones alimenticias</w:t>
      </w:r>
      <w:r w:rsidRPr="002B7420">
        <w:rPr>
          <w:rFonts w:ascii="Palatino Linotype" w:eastAsia="Palatino Linotype" w:hAnsi="Palatino Linotype" w:cs="Palatino Linotype"/>
          <w:sz w:val="22"/>
          <w:szCs w:val="22"/>
        </w:rPr>
        <w:t xml:space="preserve"> o </w:t>
      </w:r>
      <w:r w:rsidRPr="002B7420">
        <w:rPr>
          <w:rFonts w:ascii="Palatino Linotype" w:eastAsia="Palatino Linotype" w:hAnsi="Palatino Linotype" w:cs="Palatino Linotype"/>
          <w:b/>
          <w:sz w:val="22"/>
          <w:szCs w:val="22"/>
        </w:rPr>
        <w:t>créditos adquiridos con instituciones privadas</w:t>
      </w:r>
      <w:r w:rsidRPr="002B7420">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2B7420">
        <w:rPr>
          <w:rFonts w:ascii="Palatino Linotype" w:eastAsia="Palatino Linotype" w:hAnsi="Palatino Linotype" w:cs="Palatino Linotype"/>
          <w:b/>
          <w:sz w:val="22"/>
          <w:szCs w:val="22"/>
        </w:rPr>
        <w:t>es información que no es de carácter público, sino que constituye información confidencial</w:t>
      </w:r>
      <w:r w:rsidRPr="002B7420">
        <w:rPr>
          <w:rFonts w:ascii="Palatino Linotype" w:eastAsia="Palatino Linotype" w:hAnsi="Palatino Linotype" w:cs="Palatino Linotype"/>
          <w:sz w:val="22"/>
          <w:szCs w:val="22"/>
        </w:rPr>
        <w:t xml:space="preserve"> en virtud de que corresponde con decisiones personales, y por tanto, se debe clasificar.</w:t>
      </w:r>
    </w:p>
    <w:p w14:paraId="2FF88BD9"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6D19CAF0"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118B417E"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Con relación al </w:t>
      </w:r>
      <w:r w:rsidRPr="002B7420">
        <w:rPr>
          <w:rFonts w:ascii="Palatino Linotype" w:eastAsia="Palatino Linotype" w:hAnsi="Palatino Linotype" w:cs="Palatino Linotype"/>
          <w:b/>
          <w:sz w:val="22"/>
          <w:szCs w:val="22"/>
        </w:rPr>
        <w:t>número de empleado</w:t>
      </w:r>
      <w:r w:rsidRPr="002B7420">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2B7420">
        <w:rPr>
          <w:rFonts w:ascii="Palatino Linotype" w:eastAsia="Palatino Linotype" w:hAnsi="Palatino Linotype" w:cs="Palatino Linotype"/>
          <w:sz w:val="22"/>
          <w:szCs w:val="22"/>
          <w:vertAlign w:val="superscript"/>
        </w:rPr>
        <w:footnoteReference w:id="4"/>
      </w:r>
      <w:r w:rsidRPr="002B7420">
        <w:rPr>
          <w:rFonts w:ascii="Palatino Linotype" w:eastAsia="Palatino Linotype" w:hAnsi="Palatino Linotype" w:cs="Palatino Linotype"/>
          <w:sz w:val="22"/>
          <w:szCs w:val="22"/>
        </w:rPr>
        <w:t>.</w:t>
      </w:r>
    </w:p>
    <w:p w14:paraId="265C2C42"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391A9D45" w14:textId="77777777" w:rsidR="00534223" w:rsidRPr="002B7420" w:rsidRDefault="00534223" w:rsidP="00534223">
      <w:pPr>
        <w:tabs>
          <w:tab w:val="left" w:pos="7655"/>
        </w:tabs>
        <w:spacing w:before="120" w:after="120"/>
        <w:ind w:left="992" w:right="99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“Número de empleado. </w:t>
      </w:r>
      <w:r w:rsidRPr="002B7420">
        <w:rPr>
          <w:rFonts w:ascii="Palatino Linotype" w:eastAsia="Palatino Linotype" w:hAnsi="Palatino Linotype" w:cs="Palatino Linotype"/>
          <w:i/>
          <w:sz w:val="22"/>
          <w:szCs w:val="22"/>
        </w:rPr>
        <w:t xml:space="preserve">Cuando el número de empleado o su equivalente, se integra con datos personales de los trabajadores o funciona como una clave de acceso que no requiere adicionalmente de una contraseña para ingresar a </w:t>
      </w:r>
      <w:r w:rsidRPr="002B7420">
        <w:rPr>
          <w:rFonts w:ascii="Palatino Linotype" w:eastAsia="Palatino Linotype" w:hAnsi="Palatino Linotype" w:cs="Palatino Linotype"/>
          <w:i/>
          <w:sz w:val="22"/>
          <w:szCs w:val="22"/>
        </w:rPr>
        <w:lastRenderedPageBreak/>
        <w:t>sistemas o bases de datos personales, procede su clasificación como información confidencial.”</w:t>
      </w:r>
    </w:p>
    <w:p w14:paraId="4D1029DF"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02326A2"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2B7420">
        <w:rPr>
          <w:rFonts w:ascii="Palatino Linotype" w:eastAsia="Palatino Linotype" w:hAnsi="Palatino Linotype" w:cs="Palatino Linotype"/>
          <w:b/>
          <w:sz w:val="22"/>
          <w:szCs w:val="22"/>
          <w:u w:val="single"/>
        </w:rPr>
        <w:t>sólo por cuanto hace al nombre</w:t>
      </w:r>
      <w:r w:rsidRPr="002B7420">
        <w:rPr>
          <w:rFonts w:ascii="Palatino Linotype" w:eastAsia="Palatino Linotype" w:hAnsi="Palatino Linotype" w:cs="Palatino Linotype"/>
          <w:b/>
          <w:sz w:val="22"/>
          <w:szCs w:val="22"/>
        </w:rPr>
        <w:t xml:space="preserve">, </w:t>
      </w:r>
      <w:r w:rsidRPr="002B7420">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w:t>
      </w:r>
      <w:r w:rsidRPr="002B7420">
        <w:rPr>
          <w:rFonts w:ascii="Palatino Linotype" w:eastAsia="Palatino Linotype" w:hAnsi="Palatino Linotype" w:cs="Palatino Linotype"/>
          <w:sz w:val="22"/>
          <w:szCs w:val="22"/>
        </w:rPr>
        <w:lastRenderedPageBreak/>
        <w:t xml:space="preserve">manera sólo el nombre de los servidores públicos de la Policía Municipal </w:t>
      </w:r>
      <w:r w:rsidRPr="002B7420">
        <w:rPr>
          <w:rFonts w:ascii="Palatino Linotype" w:eastAsia="Palatino Linotype" w:hAnsi="Palatino Linotype" w:cs="Palatino Linotype"/>
          <w:b/>
          <w:sz w:val="22"/>
          <w:szCs w:val="22"/>
        </w:rPr>
        <w:t>que desempeñen funciones operativas</w:t>
      </w:r>
      <w:r w:rsidRPr="002B7420">
        <w:rPr>
          <w:rFonts w:ascii="Palatino Linotype" w:eastAsia="Palatino Linotype" w:hAnsi="Palatino Linotype" w:cs="Palatino Linotype"/>
          <w:sz w:val="22"/>
          <w:szCs w:val="22"/>
        </w:rPr>
        <w:t>.</w:t>
      </w:r>
    </w:p>
    <w:p w14:paraId="5F8DC76D"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Al respecto, la información </w:t>
      </w:r>
      <w:r w:rsidRPr="002B7420">
        <w:rPr>
          <w:rFonts w:ascii="Palatino Linotype" w:eastAsia="Palatino Linotype" w:hAnsi="Palatino Linotype" w:cs="Palatino Linotype"/>
          <w:b/>
          <w:sz w:val="22"/>
          <w:szCs w:val="22"/>
        </w:rPr>
        <w:t>de los elementos que realizan funciones operativas, entre ellos su nombre y cargo, deben ser protegidos</w:t>
      </w:r>
      <w:r w:rsidRPr="002B7420">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D2891BD"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786BF286" w14:textId="77777777" w:rsidR="00534223" w:rsidRPr="002B7420" w:rsidRDefault="00534223" w:rsidP="00534223">
      <w:pPr>
        <w:spacing w:before="240" w:after="240" w:line="360" w:lineRule="auto"/>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sz w:val="22"/>
          <w:szCs w:val="22"/>
        </w:rPr>
        <w:t xml:space="preserve">Como sustento de lo anterior, es preciso mencionar que el </w:t>
      </w:r>
      <w:r w:rsidRPr="002B7420">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2B7420">
        <w:rPr>
          <w:rFonts w:ascii="Palatino Linotype" w:eastAsia="Palatino Linotype" w:hAnsi="Palatino Linotype" w:cs="Palatino Linotype"/>
          <w:sz w:val="22"/>
          <w:szCs w:val="22"/>
        </w:rPr>
        <w:t xml:space="preserve">pues los vuelve identificables y posiblemente reconocibles para grupos delictivos, que pudieran </w:t>
      </w:r>
      <w:r w:rsidRPr="002B7420">
        <w:rPr>
          <w:rFonts w:ascii="Palatino Linotype" w:eastAsia="Palatino Linotype" w:hAnsi="Palatino Linotype" w:cs="Palatino Linotype"/>
          <w:sz w:val="22"/>
          <w:szCs w:val="22"/>
        </w:rPr>
        <w:lastRenderedPageBreak/>
        <w:t xml:space="preserve">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2B7420">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6043E9FA"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873F9DB"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4451ED4" w14:textId="77777777" w:rsidR="00534223" w:rsidRPr="002B7420" w:rsidRDefault="00534223" w:rsidP="00534223">
      <w:pPr>
        <w:spacing w:before="120" w:after="12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6ABC5D71" w14:textId="77777777" w:rsidR="00534223" w:rsidRPr="002B7420" w:rsidRDefault="00534223" w:rsidP="00534223">
      <w:pPr>
        <w:tabs>
          <w:tab w:val="left" w:pos="4962"/>
        </w:tabs>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2B7420">
        <w:rPr>
          <w:rFonts w:ascii="Palatino Linotype" w:eastAsia="Palatino Linotype" w:hAnsi="Palatino Linotype" w:cs="Palatino Linotype"/>
          <w:i/>
          <w:sz w:val="22"/>
          <w:szCs w:val="22"/>
        </w:rPr>
        <w:t xml:space="preserve"> De </w:t>
      </w:r>
      <w:r w:rsidRPr="002B7420">
        <w:rPr>
          <w:rFonts w:ascii="Palatino Linotype" w:eastAsia="Palatino Linotype" w:hAnsi="Palatino Linotype" w:cs="Palatino Linotype"/>
          <w:i/>
          <w:sz w:val="22"/>
          <w:szCs w:val="22"/>
        </w:rPr>
        <w:lastRenderedPageBreak/>
        <w:t xml:space="preserve">conformidad con el artículo 7, fracciones I y III de la Ley Federal de Transparencia y Acceso a la Información Pública Gubernamental el nombre de los servidores públicos es información de naturaleza pública. No </w:t>
      </w:r>
      <w:proofErr w:type="gramStart"/>
      <w:r w:rsidRPr="002B7420">
        <w:rPr>
          <w:rFonts w:ascii="Palatino Linotype" w:eastAsia="Palatino Linotype" w:hAnsi="Palatino Linotype" w:cs="Palatino Linotype"/>
          <w:i/>
          <w:sz w:val="22"/>
          <w:szCs w:val="22"/>
        </w:rPr>
        <w:t>obstante</w:t>
      </w:r>
      <w:proofErr w:type="gramEnd"/>
      <w:r w:rsidRPr="002B7420">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7599B41"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B7420">
        <w:rPr>
          <w:rFonts w:ascii="Palatino Linotype" w:eastAsia="Palatino Linotype" w:hAnsi="Palatino Linotype" w:cs="Palatino Linotype"/>
          <w:b/>
          <w:sz w:val="22"/>
          <w:szCs w:val="22"/>
        </w:rPr>
        <w:t>funciones de carácter operativo.</w:t>
      </w:r>
    </w:p>
    <w:p w14:paraId="23A5F956" w14:textId="77777777" w:rsidR="00534223" w:rsidRPr="002B7420" w:rsidRDefault="00534223" w:rsidP="00534223">
      <w:pPr>
        <w:spacing w:before="240" w:after="36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315B2139" w14:textId="77777777" w:rsidR="00534223" w:rsidRPr="002B7420" w:rsidRDefault="00534223" w:rsidP="00534223">
      <w:pPr>
        <w:spacing w:before="120" w:after="120"/>
        <w:ind w:left="851" w:right="760"/>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2B7420">
        <w:rPr>
          <w:rFonts w:ascii="Palatino Linotype" w:eastAsia="Palatino Linotype" w:hAnsi="Palatino Linotype" w:cs="Palatino Linotype"/>
          <w:i/>
          <w:sz w:val="22"/>
          <w:szCs w:val="22"/>
        </w:rPr>
        <w:t xml:space="preserve">El derecho a </w:t>
      </w:r>
      <w:r w:rsidRPr="002B7420">
        <w:rPr>
          <w:rFonts w:ascii="Palatino Linotype" w:eastAsia="Palatino Linotype" w:hAnsi="Palatino Linotype" w:cs="Palatino Linotype"/>
          <w:i/>
          <w:sz w:val="22"/>
          <w:szCs w:val="22"/>
        </w:rPr>
        <w:lastRenderedPageBreak/>
        <w:t xml:space="preserve">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B7420">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2B7420">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2B7420">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2B7420">
        <w:rPr>
          <w:rFonts w:ascii="Palatino Linotype" w:eastAsia="Palatino Linotype" w:hAnsi="Palatino Linotype" w:cs="Palatino Linotype"/>
          <w:i/>
          <w:sz w:val="22"/>
          <w:szCs w:val="22"/>
        </w:rPr>
        <w:t>”</w:t>
      </w:r>
    </w:p>
    <w:p w14:paraId="10165E67" w14:textId="77777777" w:rsidR="00534223" w:rsidRPr="002B7420" w:rsidRDefault="00534223" w:rsidP="00534223">
      <w:pPr>
        <w:spacing w:before="120" w:after="120"/>
        <w:ind w:left="851" w:right="76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2B7420">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B7420">
        <w:rPr>
          <w:rFonts w:ascii="Palatino Linotype" w:eastAsia="Palatino Linotype" w:hAnsi="Palatino Linotype" w:cs="Palatino Linotype"/>
          <w:b/>
          <w:i/>
          <w:sz w:val="22"/>
          <w:szCs w:val="22"/>
        </w:rPr>
        <w:t xml:space="preserve">el legislador federal o local establezca las restricciones correspondientes y clasifique a determinados datos como confidenciales o reservados, con la condición de que tales límites atiendan </w:t>
      </w:r>
      <w:r w:rsidRPr="002B7420">
        <w:rPr>
          <w:rFonts w:ascii="Palatino Linotype" w:eastAsia="Palatino Linotype" w:hAnsi="Palatino Linotype" w:cs="Palatino Linotype"/>
          <w:b/>
          <w:i/>
          <w:sz w:val="22"/>
          <w:szCs w:val="22"/>
        </w:rPr>
        <w:lastRenderedPageBreak/>
        <w:t>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B7420">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5304EF7" w14:textId="77777777" w:rsidR="00534223" w:rsidRPr="002B7420" w:rsidRDefault="00534223" w:rsidP="00534223">
      <w:pPr>
        <w:widowControl w:val="0"/>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2B7420">
        <w:rPr>
          <w:rFonts w:ascii="Palatino Linotype" w:eastAsia="Palatino Linotype" w:hAnsi="Palatino Linotype" w:cs="Palatino Linotype"/>
          <w:b/>
          <w:sz w:val="22"/>
          <w:szCs w:val="22"/>
          <w:u w:val="single"/>
        </w:rPr>
        <w:t>razones, motivos o circunstancias especiales</w:t>
      </w:r>
      <w:r w:rsidRPr="002B7420">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9522063" w14:textId="77777777" w:rsidR="00534223" w:rsidRPr="002B7420" w:rsidRDefault="00534223" w:rsidP="00534223">
      <w:pPr>
        <w:spacing w:before="240" w:after="240" w:line="360" w:lineRule="auto"/>
        <w:ind w:right="5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2B7420">
        <w:rPr>
          <w:rFonts w:ascii="Palatino Linotype" w:eastAsia="Palatino Linotype" w:hAnsi="Palatino Linotype" w:cs="Palatino Linotype"/>
          <w:sz w:val="22"/>
          <w:szCs w:val="22"/>
        </w:rPr>
        <w:t>Responsable</w:t>
      </w:r>
      <w:proofErr w:type="gramEnd"/>
      <w:r w:rsidRPr="002B7420">
        <w:rPr>
          <w:rFonts w:ascii="Palatino Linotype" w:eastAsia="Palatino Linotype" w:hAnsi="Palatino Linotype" w:cs="Palatino Linotype"/>
          <w:sz w:val="22"/>
          <w:szCs w:val="22"/>
        </w:rPr>
        <w:t xml:space="preserve"> de la Unidad de Transparencia del Sujeto Obligado, sino que ello deberá realizarse en términos de lo que disponen los </w:t>
      </w:r>
      <w:r w:rsidRPr="002B7420">
        <w:rPr>
          <w:rFonts w:ascii="Palatino Linotype" w:eastAsia="Palatino Linotype" w:hAnsi="Palatino Linotype" w:cs="Palatino Linotype"/>
          <w:sz w:val="22"/>
          <w:szCs w:val="22"/>
        </w:rPr>
        <w:lastRenderedPageBreak/>
        <w:t>artículos 49 fracción VIII, 53, fracción X y 59, fracción V, de la Ley en consulta, cuyo sentido literal es el siguiente:</w:t>
      </w:r>
    </w:p>
    <w:p w14:paraId="0EB15AD2"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49.</w:t>
      </w:r>
      <w:r w:rsidRPr="002B7420">
        <w:rPr>
          <w:rFonts w:ascii="Palatino Linotype" w:eastAsia="Palatino Linotype" w:hAnsi="Palatino Linotype" w:cs="Palatino Linotype"/>
          <w:i/>
          <w:sz w:val="22"/>
          <w:szCs w:val="22"/>
        </w:rPr>
        <w:t xml:space="preserve"> </w:t>
      </w:r>
      <w:r w:rsidRPr="002B7420">
        <w:rPr>
          <w:rFonts w:ascii="Palatino Linotype" w:eastAsia="Palatino Linotype" w:hAnsi="Palatino Linotype" w:cs="Palatino Linotype"/>
          <w:b/>
          <w:i/>
          <w:sz w:val="22"/>
          <w:szCs w:val="22"/>
        </w:rPr>
        <w:t>Los Comités de Transparencia</w:t>
      </w:r>
      <w:r w:rsidRPr="002B7420">
        <w:rPr>
          <w:rFonts w:ascii="Palatino Linotype" w:eastAsia="Palatino Linotype" w:hAnsi="Palatino Linotype" w:cs="Palatino Linotype"/>
          <w:i/>
          <w:sz w:val="22"/>
          <w:szCs w:val="22"/>
        </w:rPr>
        <w:t xml:space="preserve"> tendrán las siguientes atribuciones:</w:t>
      </w:r>
    </w:p>
    <w:p w14:paraId="44F5F07F"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VIII. Aprobar, modificar o revocar la clasificación de la información</w:t>
      </w:r>
      <w:r w:rsidRPr="002B7420">
        <w:rPr>
          <w:rFonts w:ascii="Palatino Linotype" w:eastAsia="Palatino Linotype" w:hAnsi="Palatino Linotype" w:cs="Palatino Linotype"/>
          <w:i/>
          <w:sz w:val="22"/>
          <w:szCs w:val="22"/>
        </w:rPr>
        <w:t>…”</w:t>
      </w:r>
    </w:p>
    <w:p w14:paraId="2A18198C"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53.</w:t>
      </w:r>
      <w:r w:rsidRPr="002B7420">
        <w:rPr>
          <w:rFonts w:ascii="Palatino Linotype" w:eastAsia="Palatino Linotype" w:hAnsi="Palatino Linotype" w:cs="Palatino Linotype"/>
          <w:i/>
          <w:sz w:val="22"/>
          <w:szCs w:val="22"/>
        </w:rPr>
        <w:t xml:space="preserve"> Las </w:t>
      </w:r>
      <w:r w:rsidRPr="002B7420">
        <w:rPr>
          <w:rFonts w:ascii="Palatino Linotype" w:eastAsia="Palatino Linotype" w:hAnsi="Palatino Linotype" w:cs="Palatino Linotype"/>
          <w:b/>
          <w:i/>
          <w:sz w:val="22"/>
          <w:szCs w:val="22"/>
        </w:rPr>
        <w:t>Unidades de Transparencia</w:t>
      </w:r>
      <w:r w:rsidRPr="002B7420">
        <w:rPr>
          <w:rFonts w:ascii="Palatino Linotype" w:eastAsia="Palatino Linotype" w:hAnsi="Palatino Linotype" w:cs="Palatino Linotype"/>
          <w:i/>
          <w:sz w:val="22"/>
          <w:szCs w:val="22"/>
        </w:rPr>
        <w:t xml:space="preserve"> tendrán las siguientes </w:t>
      </w:r>
      <w:r w:rsidRPr="002B7420">
        <w:rPr>
          <w:rFonts w:ascii="Palatino Linotype" w:eastAsia="Palatino Linotype" w:hAnsi="Palatino Linotype" w:cs="Palatino Linotype"/>
          <w:b/>
          <w:i/>
          <w:sz w:val="22"/>
          <w:szCs w:val="22"/>
        </w:rPr>
        <w:t>funciones</w:t>
      </w:r>
      <w:r w:rsidRPr="002B7420">
        <w:rPr>
          <w:rFonts w:ascii="Palatino Linotype" w:eastAsia="Palatino Linotype" w:hAnsi="Palatino Linotype" w:cs="Palatino Linotype"/>
          <w:i/>
          <w:sz w:val="22"/>
          <w:szCs w:val="22"/>
        </w:rPr>
        <w:t>:</w:t>
      </w:r>
    </w:p>
    <w:p w14:paraId="7998C86D"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X. Presentar ante el Comité, el proyecto de clasificación de información</w:t>
      </w:r>
      <w:r w:rsidRPr="002B7420">
        <w:rPr>
          <w:rFonts w:ascii="Palatino Linotype" w:eastAsia="Palatino Linotype" w:hAnsi="Palatino Linotype" w:cs="Palatino Linotype"/>
          <w:i/>
          <w:sz w:val="22"/>
          <w:szCs w:val="22"/>
        </w:rPr>
        <w:t xml:space="preserve">…” </w:t>
      </w:r>
    </w:p>
    <w:p w14:paraId="754E031E"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“Artículo 59.</w:t>
      </w:r>
      <w:r w:rsidRPr="002B7420">
        <w:rPr>
          <w:rFonts w:ascii="Palatino Linotype" w:eastAsia="Palatino Linotype" w:hAnsi="Palatino Linotype" w:cs="Palatino Linotype"/>
          <w:i/>
          <w:sz w:val="22"/>
          <w:szCs w:val="22"/>
        </w:rPr>
        <w:t xml:space="preserve"> Los </w:t>
      </w:r>
      <w:r w:rsidRPr="002B7420">
        <w:rPr>
          <w:rFonts w:ascii="Palatino Linotype" w:eastAsia="Palatino Linotype" w:hAnsi="Palatino Linotype" w:cs="Palatino Linotype"/>
          <w:b/>
          <w:i/>
          <w:sz w:val="22"/>
          <w:szCs w:val="22"/>
        </w:rPr>
        <w:t>servidores públicos habilitados</w:t>
      </w:r>
      <w:r w:rsidRPr="002B7420">
        <w:rPr>
          <w:rFonts w:ascii="Palatino Linotype" w:eastAsia="Palatino Linotype" w:hAnsi="Palatino Linotype" w:cs="Palatino Linotype"/>
          <w:i/>
          <w:sz w:val="22"/>
          <w:szCs w:val="22"/>
        </w:rPr>
        <w:t xml:space="preserve"> tendrán las </w:t>
      </w:r>
      <w:r w:rsidRPr="002B7420">
        <w:rPr>
          <w:rFonts w:ascii="Palatino Linotype" w:eastAsia="Palatino Linotype" w:hAnsi="Palatino Linotype" w:cs="Palatino Linotype"/>
          <w:b/>
          <w:i/>
          <w:sz w:val="22"/>
          <w:szCs w:val="22"/>
        </w:rPr>
        <w:t>funciones</w:t>
      </w:r>
      <w:r w:rsidRPr="002B7420">
        <w:rPr>
          <w:rFonts w:ascii="Palatino Linotype" w:eastAsia="Palatino Linotype" w:hAnsi="Palatino Linotype" w:cs="Palatino Linotype"/>
          <w:i/>
          <w:sz w:val="22"/>
          <w:szCs w:val="22"/>
        </w:rPr>
        <w:t xml:space="preserve"> siguientes:</w:t>
      </w:r>
    </w:p>
    <w:p w14:paraId="4CDA8A1D"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7420">
        <w:rPr>
          <w:rFonts w:ascii="Palatino Linotype" w:eastAsia="Palatino Linotype" w:hAnsi="Palatino Linotype" w:cs="Palatino Linotype"/>
          <w:i/>
          <w:sz w:val="22"/>
          <w:szCs w:val="22"/>
        </w:rPr>
        <w:t>, la cual tendrá los fundamentos y argumentos en que se basa dicha propuesta…”</w:t>
      </w:r>
    </w:p>
    <w:p w14:paraId="76F149E2"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1AC4AA8"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9B8C3B4"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Artículo 149.</w:t>
      </w:r>
      <w:r w:rsidRPr="002B7420">
        <w:rPr>
          <w:rFonts w:ascii="Palatino Linotype" w:eastAsia="Palatino Linotype" w:hAnsi="Palatino Linotype" w:cs="Palatino Linotype"/>
          <w:i/>
          <w:sz w:val="22"/>
          <w:szCs w:val="22"/>
        </w:rPr>
        <w:t xml:space="preserve"> El </w:t>
      </w:r>
      <w:r w:rsidRPr="002B7420">
        <w:rPr>
          <w:rFonts w:ascii="Palatino Linotype" w:eastAsia="Palatino Linotype" w:hAnsi="Palatino Linotype" w:cs="Palatino Linotype"/>
          <w:b/>
          <w:i/>
          <w:sz w:val="22"/>
          <w:szCs w:val="22"/>
        </w:rPr>
        <w:t>acuerdo que clasifique la información como confidencial</w:t>
      </w:r>
      <w:r w:rsidRPr="002B742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038C4D4" w14:textId="77777777" w:rsidR="00534223" w:rsidRPr="002B7420" w:rsidRDefault="00534223" w:rsidP="00534223">
      <w:pPr>
        <w:spacing w:before="240" w:after="240"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Es decir,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CE3DD32" w14:textId="77777777" w:rsidR="00534223" w:rsidRPr="002B7420" w:rsidRDefault="00534223" w:rsidP="0053422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5CA99B75"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 “Quincuagésimo. </w:t>
      </w:r>
      <w:r w:rsidRPr="002B742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1BDBE9A" w14:textId="77777777" w:rsidR="00534223" w:rsidRPr="002B7420" w:rsidRDefault="00534223" w:rsidP="0053422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Quincuagésimo primero. </w:t>
      </w:r>
      <w:r w:rsidRPr="002B7420">
        <w:rPr>
          <w:rFonts w:ascii="Palatino Linotype" w:eastAsia="Palatino Linotype" w:hAnsi="Palatino Linotype" w:cs="Palatino Linotype"/>
          <w:i/>
          <w:sz w:val="22"/>
          <w:szCs w:val="22"/>
        </w:rPr>
        <w:t xml:space="preserve">Toda acta del Comité de Transparencia deberá contener: </w:t>
      </w:r>
    </w:p>
    <w:p w14:paraId="174617C1"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xml:space="preserve"> El número de sesión y fecha; </w:t>
      </w:r>
    </w:p>
    <w:p w14:paraId="7709F9B0"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xml:space="preserve">. El nombre del área que solicitó la clasificación de información; </w:t>
      </w:r>
    </w:p>
    <w:p w14:paraId="54BCC614"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La fundamentación legal y motivación correspondiente; </w:t>
      </w:r>
    </w:p>
    <w:p w14:paraId="6907D1E4"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IV</w:t>
      </w:r>
      <w:r w:rsidRPr="002B7420">
        <w:rPr>
          <w:rFonts w:ascii="Palatino Linotype" w:eastAsia="Palatino Linotype" w:hAnsi="Palatino Linotype" w:cs="Palatino Linotype"/>
          <w:i/>
          <w:sz w:val="22"/>
          <w:szCs w:val="22"/>
        </w:rPr>
        <w:t xml:space="preserve">. La resolución o resoluciones aprobadas; y </w:t>
      </w:r>
    </w:p>
    <w:p w14:paraId="6C0C15DB"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V</w:t>
      </w:r>
      <w:r w:rsidRPr="002B7420">
        <w:rPr>
          <w:rFonts w:ascii="Palatino Linotype" w:eastAsia="Palatino Linotype" w:hAnsi="Palatino Linotype" w:cs="Palatino Linotype"/>
          <w:i/>
          <w:sz w:val="22"/>
          <w:szCs w:val="22"/>
        </w:rPr>
        <w:t xml:space="preserve">. La rúbrica o firma digital de cada integrante del Comité de Transparencia. </w:t>
      </w:r>
    </w:p>
    <w:p w14:paraId="26AF6055" w14:textId="77777777" w:rsidR="00534223" w:rsidRPr="002B7420" w:rsidRDefault="00534223" w:rsidP="0053422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10F5467"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lastRenderedPageBreak/>
        <w:t>I.</w:t>
      </w:r>
      <w:r w:rsidRPr="002B742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425BDBF"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Descripción de las partes o secciones reservadas, en caso de clasificación parcial</w:t>
      </w:r>
      <w:r w:rsidRPr="002B7420">
        <w:rPr>
          <w:rFonts w:ascii="Palatino Linotype" w:eastAsia="Palatino Linotype" w:hAnsi="Palatino Linotype" w:cs="Palatino Linotype"/>
          <w:b/>
          <w:i/>
          <w:sz w:val="22"/>
          <w:szCs w:val="22"/>
        </w:rPr>
        <w:t xml:space="preserve">; </w:t>
      </w:r>
    </w:p>
    <w:p w14:paraId="26ED296C"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El periodo por el que mantendrá su clasificación y fecha de expiración; y </w:t>
      </w:r>
    </w:p>
    <w:p w14:paraId="735AD053" w14:textId="77777777" w:rsidR="00534223" w:rsidRPr="002B7420" w:rsidRDefault="00534223" w:rsidP="0053422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IV.</w:t>
      </w:r>
      <w:r w:rsidRPr="002B742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DF6F3EA" w14:textId="77777777" w:rsidR="00534223" w:rsidRPr="002B7420" w:rsidRDefault="00534223" w:rsidP="0053422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5F84A47" w14:textId="77777777" w:rsidR="00534223" w:rsidRPr="002B7420" w:rsidRDefault="00534223" w:rsidP="0053422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146396C" w14:textId="77777777" w:rsidR="00534223" w:rsidRPr="002B7420" w:rsidRDefault="00534223" w:rsidP="00534223">
      <w:pPr>
        <w:spacing w:before="240" w:after="240"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E159D7B" w14:textId="77777777" w:rsidR="00534223" w:rsidRPr="002B7420" w:rsidRDefault="00534223" w:rsidP="00534223">
      <w:pPr>
        <w:spacing w:before="120" w:after="120"/>
        <w:ind w:left="851"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r w:rsidRPr="002B7420">
        <w:rPr>
          <w:rFonts w:ascii="Palatino Linotype" w:eastAsia="Palatino Linotype" w:hAnsi="Palatino Linotype" w:cs="Palatino Linotype"/>
          <w:b/>
          <w:i/>
          <w:sz w:val="22"/>
          <w:szCs w:val="22"/>
        </w:rPr>
        <w:t>Quincuagésimo segundo</w:t>
      </w:r>
      <w:r w:rsidRPr="002B742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E4748D5" w14:textId="77777777" w:rsidR="00534223" w:rsidRPr="002B7420" w:rsidRDefault="00534223" w:rsidP="00534223">
      <w:pPr>
        <w:spacing w:before="120" w:after="120"/>
        <w:ind w:left="851"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FC1E25A" w14:textId="77777777" w:rsidR="00534223" w:rsidRPr="002B7420" w:rsidRDefault="00534223" w:rsidP="00534223">
      <w:pPr>
        <w:spacing w:before="120" w:after="120"/>
        <w:ind w:left="1134"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C1581C4" w14:textId="77777777" w:rsidR="00534223" w:rsidRPr="002B7420" w:rsidRDefault="00534223" w:rsidP="00534223">
      <w:pPr>
        <w:spacing w:before="120" w:after="120"/>
        <w:ind w:left="1134"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0202BB2" w14:textId="77777777" w:rsidR="00534223" w:rsidRPr="002B7420" w:rsidRDefault="00534223" w:rsidP="00534223">
      <w:pPr>
        <w:spacing w:before="120" w:after="120"/>
        <w:ind w:left="1134"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Señalar las personas o instancias autorizadas a acceder a la información clasificada.</w:t>
      </w:r>
    </w:p>
    <w:p w14:paraId="2D39304B" w14:textId="77777777" w:rsidR="00534223" w:rsidRPr="002B7420" w:rsidRDefault="00534223" w:rsidP="00534223">
      <w:pPr>
        <w:spacing w:before="120" w:after="120"/>
        <w:ind w:left="851"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p>
    <w:p w14:paraId="05FE84EB" w14:textId="77777777" w:rsidR="00534223" w:rsidRPr="002B7420" w:rsidRDefault="00534223" w:rsidP="0053422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w:t>
      </w:r>
    </w:p>
    <w:p w14:paraId="103DCC6B" w14:textId="77777777" w:rsidR="00534223" w:rsidRPr="002B7420" w:rsidRDefault="00534223" w:rsidP="0053422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 xml:space="preserve">Quincuagésimo cuarto. </w:t>
      </w:r>
      <w:r w:rsidRPr="002B742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B7420">
        <w:rPr>
          <w:rFonts w:ascii="Palatino Linotype" w:eastAsia="Palatino Linotype" w:hAnsi="Palatino Linotype" w:cs="Palatino Linotype"/>
          <w:b/>
          <w:i/>
          <w:sz w:val="22"/>
          <w:szCs w:val="22"/>
        </w:rPr>
        <w:t xml:space="preserve"> </w:t>
      </w:r>
    </w:p>
    <w:p w14:paraId="2DD7DC52"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 xml:space="preserve">Quincuagésimo quinto. </w:t>
      </w:r>
      <w:r w:rsidRPr="002B742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B7420">
        <w:rPr>
          <w:rFonts w:ascii="Palatino Linotype" w:eastAsia="Palatino Linotype" w:hAnsi="Palatino Linotype" w:cs="Palatino Linotype"/>
          <w:i/>
          <w:sz w:val="22"/>
          <w:szCs w:val="22"/>
        </w:rPr>
        <w:t>testado</w:t>
      </w:r>
      <w:proofErr w:type="spellEnd"/>
      <w:r w:rsidRPr="002B742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2BF926" w14:textId="77777777" w:rsidR="00534223" w:rsidRPr="002B7420" w:rsidRDefault="00534223" w:rsidP="00534223">
      <w:pPr>
        <w:spacing w:before="120" w:after="120"/>
        <w:ind w:left="851" w:right="902"/>
        <w:jc w:val="both"/>
        <w:rPr>
          <w:rFonts w:ascii="Palatino Linotype" w:eastAsia="Palatino Linotype" w:hAnsi="Palatino Linotype" w:cs="Palatino Linotype"/>
          <w:b/>
          <w:i/>
          <w:sz w:val="22"/>
          <w:szCs w:val="22"/>
        </w:rPr>
      </w:pPr>
      <w:r w:rsidRPr="002B7420">
        <w:rPr>
          <w:rFonts w:ascii="Palatino Linotype" w:eastAsia="Palatino Linotype" w:hAnsi="Palatino Linotype" w:cs="Palatino Linotype"/>
          <w:b/>
          <w:i/>
          <w:sz w:val="22"/>
          <w:szCs w:val="22"/>
        </w:rPr>
        <w:t>...</w:t>
      </w:r>
    </w:p>
    <w:p w14:paraId="2B020BF6"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Quincuagésimo séptimo</w:t>
      </w:r>
      <w:r w:rsidRPr="002B742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8919817"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w:t>
      </w:r>
      <w:r w:rsidRPr="002B742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48454EA"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w:t>
      </w:r>
      <w:r w:rsidRPr="002B742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BA7570" w14:textId="77777777" w:rsidR="00534223" w:rsidRPr="002B7420" w:rsidRDefault="00534223" w:rsidP="00534223">
      <w:pPr>
        <w:spacing w:before="120" w:after="120"/>
        <w:ind w:left="1134"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III</w:t>
      </w:r>
      <w:r w:rsidRPr="002B742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338411F"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02730C8" w14:textId="77777777" w:rsidR="00534223" w:rsidRPr="002B7420" w:rsidRDefault="00534223" w:rsidP="00534223">
      <w:pPr>
        <w:spacing w:before="120" w:after="120"/>
        <w:ind w:left="851" w:right="902"/>
        <w:jc w:val="both"/>
        <w:rPr>
          <w:rFonts w:ascii="Palatino Linotype" w:eastAsia="Palatino Linotype" w:hAnsi="Palatino Linotype" w:cs="Palatino Linotype"/>
          <w:i/>
          <w:sz w:val="22"/>
          <w:szCs w:val="22"/>
        </w:rPr>
      </w:pPr>
      <w:r w:rsidRPr="002B7420">
        <w:rPr>
          <w:rFonts w:ascii="Palatino Linotype" w:eastAsia="Palatino Linotype" w:hAnsi="Palatino Linotype" w:cs="Palatino Linotype"/>
          <w:b/>
          <w:i/>
          <w:sz w:val="22"/>
          <w:szCs w:val="22"/>
        </w:rPr>
        <w:t>Quincuagésimo octavo</w:t>
      </w:r>
      <w:r w:rsidRPr="002B742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5832E9C" w14:textId="77777777" w:rsidR="006910D6" w:rsidRPr="002B7420" w:rsidRDefault="006910D6" w:rsidP="006910D6">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9FEAE5" w14:textId="77777777" w:rsidR="006910D6" w:rsidRPr="002B7420" w:rsidRDefault="006910D6" w:rsidP="00DD485C">
      <w:pPr>
        <w:spacing w:line="360" w:lineRule="auto"/>
        <w:ind w:right="51"/>
        <w:jc w:val="both"/>
        <w:rPr>
          <w:rFonts w:ascii="Palatino Linotype" w:eastAsia="Palatino Linotype" w:hAnsi="Palatino Linotype" w:cs="Palatino Linotype"/>
          <w:sz w:val="22"/>
          <w:szCs w:val="22"/>
        </w:rPr>
      </w:pPr>
    </w:p>
    <w:p w14:paraId="06030CF7" w14:textId="77777777" w:rsidR="00DD485C" w:rsidRPr="002B7420"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Así, con fundamento en lo prescrito en los artículos 5 párrafos trigésimo noveno</w:t>
      </w:r>
      <w:r w:rsidR="006910D6" w:rsidRPr="002B7420">
        <w:rPr>
          <w:rFonts w:ascii="Palatino Linotype" w:eastAsia="Palatino Linotype" w:hAnsi="Palatino Linotype" w:cs="Palatino Linotype"/>
          <w:sz w:val="22"/>
          <w:szCs w:val="22"/>
        </w:rPr>
        <w:t>, cuadragésimo y cuadragésimo primero</w:t>
      </w:r>
      <w:r w:rsidRPr="002B7420">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2B7420"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2B7420"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2B7420">
        <w:rPr>
          <w:rFonts w:ascii="Palatino Linotype" w:eastAsia="Palatino Linotype" w:hAnsi="Palatino Linotype" w:cs="Palatino Linotype"/>
          <w:b/>
          <w:sz w:val="22"/>
          <w:szCs w:val="22"/>
        </w:rPr>
        <w:t>III. R E S U E L V E</w:t>
      </w:r>
    </w:p>
    <w:p w14:paraId="696D45F8" w14:textId="77777777" w:rsidR="00365DC1" w:rsidRPr="002B7420" w:rsidRDefault="00365DC1" w:rsidP="00365DC1">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2022384D" w14:textId="359708FF" w:rsidR="00365DC1" w:rsidRPr="002B7420" w:rsidRDefault="00365DC1" w:rsidP="00365DC1">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2B7420">
        <w:rPr>
          <w:rFonts w:ascii="Palatino Linotype" w:eastAsia="Palatino Linotype" w:hAnsi="Palatino Linotype" w:cs="Palatino Linotype"/>
          <w:b/>
          <w:sz w:val="22"/>
          <w:szCs w:val="22"/>
        </w:rPr>
        <w:t xml:space="preserve">Primero. </w:t>
      </w:r>
      <w:r w:rsidRPr="002B7420">
        <w:rPr>
          <w:rFonts w:ascii="Palatino Linotype" w:eastAsia="Palatino Linotype" w:hAnsi="Palatino Linotype" w:cs="Palatino Linotype"/>
          <w:sz w:val="22"/>
          <w:szCs w:val="22"/>
        </w:rPr>
        <w:t xml:space="preserve">Resultan </w:t>
      </w:r>
      <w:r w:rsidRPr="002B7420">
        <w:rPr>
          <w:rFonts w:ascii="Palatino Linotype" w:eastAsia="Palatino Linotype" w:hAnsi="Palatino Linotype" w:cs="Palatino Linotype"/>
          <w:b/>
          <w:sz w:val="22"/>
          <w:szCs w:val="22"/>
        </w:rPr>
        <w:t>fundadas</w:t>
      </w:r>
      <w:r w:rsidRPr="002B7420">
        <w:rPr>
          <w:rFonts w:ascii="Palatino Linotype" w:eastAsia="Palatino Linotype" w:hAnsi="Palatino Linotype" w:cs="Palatino Linotype"/>
          <w:sz w:val="22"/>
          <w:szCs w:val="22"/>
        </w:rPr>
        <w:t xml:space="preserve"> las razones o motivos de inconformidad hechos valer por la parte</w:t>
      </w:r>
      <w:r w:rsidRPr="002B7420">
        <w:rPr>
          <w:rFonts w:ascii="Palatino Linotype" w:eastAsia="Palatino Linotype" w:hAnsi="Palatino Linotype" w:cs="Palatino Linotype"/>
          <w:b/>
          <w:sz w:val="22"/>
          <w:szCs w:val="22"/>
        </w:rPr>
        <w:t xml:space="preserve"> Recurrente</w:t>
      </w:r>
      <w:r w:rsidRPr="002B7420">
        <w:rPr>
          <w:rFonts w:ascii="Palatino Linotype" w:eastAsia="Palatino Linotype" w:hAnsi="Palatino Linotype" w:cs="Palatino Linotype"/>
          <w:sz w:val="22"/>
          <w:szCs w:val="22"/>
        </w:rPr>
        <w:t xml:space="preserve"> en el recurso de revisión </w:t>
      </w:r>
      <w:r w:rsidRPr="002B7420">
        <w:rPr>
          <w:rFonts w:ascii="Palatino Linotype" w:eastAsia="Palatino Linotype" w:hAnsi="Palatino Linotype" w:cs="Palatino Linotype"/>
          <w:b/>
          <w:sz w:val="22"/>
          <w:szCs w:val="22"/>
        </w:rPr>
        <w:t>0</w:t>
      </w:r>
      <w:r w:rsidR="00DD485C" w:rsidRPr="002B7420">
        <w:rPr>
          <w:rFonts w:ascii="Palatino Linotype" w:eastAsia="Palatino Linotype" w:hAnsi="Palatino Linotype" w:cs="Palatino Linotype"/>
          <w:b/>
          <w:sz w:val="22"/>
          <w:szCs w:val="22"/>
        </w:rPr>
        <w:t>4</w:t>
      </w:r>
      <w:r w:rsidR="00C70954" w:rsidRPr="002B7420">
        <w:rPr>
          <w:rFonts w:ascii="Palatino Linotype" w:eastAsia="Palatino Linotype" w:hAnsi="Palatino Linotype" w:cs="Palatino Linotype"/>
          <w:b/>
          <w:sz w:val="22"/>
          <w:szCs w:val="22"/>
        </w:rPr>
        <w:t>589</w:t>
      </w:r>
      <w:r w:rsidRPr="002B7420">
        <w:rPr>
          <w:rFonts w:ascii="Palatino Linotype" w:eastAsia="Palatino Linotype" w:hAnsi="Palatino Linotype" w:cs="Palatino Linotype"/>
          <w:b/>
          <w:sz w:val="22"/>
          <w:szCs w:val="22"/>
        </w:rPr>
        <w:t>/INFOEM/IP/RR/2025</w:t>
      </w:r>
      <w:r w:rsidRPr="002B7420">
        <w:rPr>
          <w:rFonts w:ascii="Palatino Linotype" w:eastAsia="Palatino Linotype" w:hAnsi="Palatino Linotype" w:cs="Palatino Linotype"/>
          <w:sz w:val="22"/>
          <w:szCs w:val="22"/>
        </w:rPr>
        <w:t xml:space="preserve">; por lo que, en términos del </w:t>
      </w:r>
      <w:r w:rsidRPr="002B7420">
        <w:rPr>
          <w:rFonts w:ascii="Palatino Linotype" w:eastAsia="Palatino Linotype" w:hAnsi="Palatino Linotype" w:cs="Palatino Linotype"/>
          <w:b/>
          <w:sz w:val="22"/>
          <w:szCs w:val="22"/>
        </w:rPr>
        <w:t>Considerando</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 xml:space="preserve">Cuarto </w:t>
      </w:r>
      <w:r w:rsidRPr="002B7420">
        <w:rPr>
          <w:rFonts w:ascii="Palatino Linotype" w:eastAsia="Palatino Linotype" w:hAnsi="Palatino Linotype" w:cs="Palatino Linotype"/>
          <w:sz w:val="22"/>
          <w:szCs w:val="22"/>
        </w:rPr>
        <w:t xml:space="preserve">de esta resolución, se </w:t>
      </w:r>
      <w:r w:rsidR="006910D6" w:rsidRPr="002B7420">
        <w:rPr>
          <w:rFonts w:ascii="Palatino Linotype" w:eastAsia="Palatino Linotype" w:hAnsi="Palatino Linotype" w:cs="Palatino Linotype"/>
          <w:b/>
          <w:sz w:val="22"/>
          <w:szCs w:val="22"/>
        </w:rPr>
        <w:t>Revoc</w:t>
      </w:r>
      <w:r w:rsidRPr="002B7420">
        <w:rPr>
          <w:rFonts w:ascii="Palatino Linotype" w:eastAsia="Palatino Linotype" w:hAnsi="Palatino Linotype" w:cs="Palatino Linotype"/>
          <w:b/>
          <w:sz w:val="22"/>
          <w:szCs w:val="22"/>
        </w:rPr>
        <w:t xml:space="preserve">a </w:t>
      </w:r>
      <w:r w:rsidRPr="002B7420">
        <w:rPr>
          <w:rFonts w:ascii="Palatino Linotype" w:eastAsia="Palatino Linotype" w:hAnsi="Palatino Linotype" w:cs="Palatino Linotype"/>
          <w:sz w:val="22"/>
          <w:szCs w:val="22"/>
        </w:rPr>
        <w:t xml:space="preserve">la respuesta emitida por el </w:t>
      </w:r>
      <w:r w:rsidRPr="002B7420">
        <w:rPr>
          <w:rFonts w:ascii="Palatino Linotype" w:eastAsia="Palatino Linotype" w:hAnsi="Palatino Linotype" w:cs="Palatino Linotype"/>
          <w:b/>
          <w:sz w:val="22"/>
          <w:szCs w:val="22"/>
        </w:rPr>
        <w:t>Sujeto Obligado.</w:t>
      </w:r>
    </w:p>
    <w:p w14:paraId="5BD6A974" w14:textId="77777777" w:rsidR="00365DC1" w:rsidRPr="002B7420" w:rsidRDefault="00365DC1" w:rsidP="00365DC1">
      <w:pPr>
        <w:spacing w:line="360" w:lineRule="auto"/>
        <w:jc w:val="both"/>
        <w:rPr>
          <w:rFonts w:ascii="Palatino Linotype" w:eastAsia="Palatino Linotype" w:hAnsi="Palatino Linotype" w:cs="Palatino Linotype"/>
          <w:b/>
          <w:sz w:val="22"/>
          <w:szCs w:val="22"/>
        </w:rPr>
      </w:pPr>
    </w:p>
    <w:p w14:paraId="552FABEB" w14:textId="452951D4" w:rsidR="00365DC1" w:rsidRPr="002B7420" w:rsidRDefault="00365DC1" w:rsidP="00365DC1">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2B7420">
        <w:rPr>
          <w:rFonts w:ascii="Palatino Linotype" w:eastAsia="Palatino Linotype" w:hAnsi="Palatino Linotype" w:cs="Palatino Linotype"/>
          <w:b/>
          <w:sz w:val="22"/>
          <w:szCs w:val="22"/>
        </w:rPr>
        <w:t xml:space="preserve">Segundo. </w:t>
      </w:r>
      <w:r w:rsidRPr="002B7420">
        <w:rPr>
          <w:rFonts w:ascii="Palatino Linotype" w:eastAsia="Palatino Linotype" w:hAnsi="Palatino Linotype" w:cs="Palatino Linotype"/>
          <w:sz w:val="22"/>
          <w:szCs w:val="22"/>
        </w:rPr>
        <w:t xml:space="preserve">Se </w:t>
      </w:r>
      <w:r w:rsidRPr="002B7420">
        <w:rPr>
          <w:rFonts w:ascii="Palatino Linotype" w:eastAsia="Palatino Linotype" w:hAnsi="Palatino Linotype" w:cs="Palatino Linotype"/>
          <w:b/>
          <w:sz w:val="22"/>
          <w:szCs w:val="22"/>
        </w:rPr>
        <w:t>Ordena</w:t>
      </w:r>
      <w:r w:rsidRPr="002B7420">
        <w:rPr>
          <w:rFonts w:ascii="Palatino Linotype" w:eastAsia="Palatino Linotype" w:hAnsi="Palatino Linotype" w:cs="Palatino Linotype"/>
          <w:sz w:val="22"/>
          <w:szCs w:val="22"/>
        </w:rPr>
        <w:t xml:space="preserve"> al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en términos de los considerandos </w:t>
      </w:r>
      <w:r w:rsidRPr="002B7420">
        <w:rPr>
          <w:rFonts w:ascii="Palatino Linotype" w:eastAsia="Palatino Linotype" w:hAnsi="Palatino Linotype" w:cs="Palatino Linotype"/>
          <w:b/>
          <w:sz w:val="22"/>
          <w:szCs w:val="22"/>
        </w:rPr>
        <w:t xml:space="preserve">Cuarto y Quinto </w:t>
      </w:r>
      <w:r w:rsidRPr="002B7420">
        <w:rPr>
          <w:rFonts w:ascii="Palatino Linotype" w:eastAsia="Palatino Linotype" w:hAnsi="Palatino Linotype" w:cs="Palatino Linotype"/>
          <w:sz w:val="22"/>
          <w:szCs w:val="22"/>
        </w:rPr>
        <w:t xml:space="preserve">de esta resolución, </w:t>
      </w:r>
      <w:r w:rsidRPr="002B7420">
        <w:rPr>
          <w:rFonts w:ascii="Palatino Linotype" w:eastAsia="Palatino Linotype" w:hAnsi="Palatino Linotype" w:cs="Palatino Linotype"/>
          <w:b/>
          <w:sz w:val="22"/>
          <w:szCs w:val="22"/>
        </w:rPr>
        <w:t xml:space="preserve">haga entrega vía Sistema de Acceso a la Información </w:t>
      </w:r>
      <w:r w:rsidRPr="002B7420">
        <w:rPr>
          <w:rFonts w:ascii="Palatino Linotype" w:eastAsia="Palatino Linotype" w:hAnsi="Palatino Linotype" w:cs="Palatino Linotype"/>
          <w:b/>
          <w:sz w:val="22"/>
          <w:szCs w:val="22"/>
        </w:rPr>
        <w:lastRenderedPageBreak/>
        <w:t xml:space="preserve">Mexiquense (SAIMEX), </w:t>
      </w:r>
      <w:r w:rsidR="006910D6" w:rsidRPr="002B7420">
        <w:rPr>
          <w:rFonts w:ascii="Palatino Linotype" w:eastAsia="Palatino Linotype" w:hAnsi="Palatino Linotype" w:cs="Palatino Linotype"/>
          <w:sz w:val="22"/>
          <w:szCs w:val="22"/>
        </w:rPr>
        <w:t xml:space="preserve">previa búsqueda exhaustiva y razonable, de ser procedente en versión pública, </w:t>
      </w:r>
      <w:r w:rsidRPr="002B7420">
        <w:rPr>
          <w:rFonts w:ascii="Palatino Linotype" w:eastAsia="Palatino Linotype" w:hAnsi="Palatino Linotype" w:cs="Palatino Linotype"/>
          <w:sz w:val="22"/>
          <w:szCs w:val="22"/>
        </w:rPr>
        <w:t>lo siguiente:</w:t>
      </w:r>
    </w:p>
    <w:p w14:paraId="20E33BFA" w14:textId="77777777" w:rsidR="00945284" w:rsidRPr="002B7420"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300EEACE" w14:textId="05DE888E" w:rsidR="00F823D1" w:rsidRPr="002B7420" w:rsidRDefault="00F823D1" w:rsidP="00C70954">
      <w:pPr>
        <w:pStyle w:val="Prrafodelista"/>
        <w:numPr>
          <w:ilvl w:val="0"/>
          <w:numId w:val="25"/>
        </w:num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lang w:val="es-MX"/>
        </w:rPr>
        <w:t xml:space="preserve">La conciliación de nómina de la primera quincena de febrero de dos mil veinticinco; y, </w:t>
      </w:r>
    </w:p>
    <w:p w14:paraId="1E3C9188" w14:textId="77777777" w:rsidR="00F823D1" w:rsidRPr="002B7420" w:rsidRDefault="00F823D1" w:rsidP="00F823D1">
      <w:pPr>
        <w:pStyle w:val="Prrafodelista"/>
        <w:spacing w:line="360" w:lineRule="auto"/>
        <w:ind w:left="360"/>
        <w:jc w:val="both"/>
        <w:rPr>
          <w:rFonts w:ascii="Palatino Linotype" w:eastAsia="Palatino Linotype" w:hAnsi="Palatino Linotype" w:cs="Palatino Linotype"/>
          <w:sz w:val="22"/>
          <w:szCs w:val="22"/>
        </w:rPr>
      </w:pPr>
    </w:p>
    <w:p w14:paraId="6F59524F" w14:textId="18CF9C49" w:rsidR="00F823D1" w:rsidRPr="002B7420" w:rsidRDefault="00F823D1" w:rsidP="00C70954">
      <w:pPr>
        <w:pStyle w:val="Prrafodelista"/>
        <w:numPr>
          <w:ilvl w:val="0"/>
          <w:numId w:val="25"/>
        </w:num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El o los nombramientos, contratos o formatos únicos de movimientos de los servidores públicos </w:t>
      </w:r>
      <w:r w:rsidR="00131C5B" w:rsidRPr="002B7420">
        <w:rPr>
          <w:rFonts w:ascii="Palatino Linotype" w:eastAsia="Palatino Linotype" w:hAnsi="Palatino Linotype" w:cs="Palatino Linotype"/>
          <w:b/>
          <w:sz w:val="22"/>
          <w:szCs w:val="22"/>
        </w:rPr>
        <w:t>en funciones a</w:t>
      </w:r>
      <w:r w:rsidRPr="002B7420">
        <w:rPr>
          <w:rFonts w:ascii="Palatino Linotype" w:eastAsia="Palatino Linotype" w:hAnsi="Palatino Linotype" w:cs="Palatino Linotype"/>
          <w:b/>
          <w:sz w:val="22"/>
          <w:szCs w:val="22"/>
        </w:rPr>
        <w:t xml:space="preserve"> la primera quincena de febrero de dos mil veinticinco.</w:t>
      </w:r>
      <w:r w:rsidRPr="002B7420">
        <w:rPr>
          <w:rFonts w:ascii="Palatino Linotype" w:eastAsia="Palatino Linotype" w:hAnsi="Palatino Linotype" w:cs="Palatino Linotype"/>
          <w:sz w:val="22"/>
          <w:szCs w:val="22"/>
        </w:rPr>
        <w:t xml:space="preserve"> </w:t>
      </w:r>
    </w:p>
    <w:p w14:paraId="42272080" w14:textId="77777777" w:rsidR="009D48FB" w:rsidRPr="002B7420" w:rsidRDefault="009D48FB" w:rsidP="00365DC1">
      <w:pPr>
        <w:pStyle w:val="Prrafodelista"/>
        <w:spacing w:line="276" w:lineRule="auto"/>
        <w:ind w:left="360"/>
        <w:jc w:val="both"/>
        <w:rPr>
          <w:rFonts w:ascii="Palatino Linotype" w:eastAsia="Palatino Linotype" w:hAnsi="Palatino Linotype" w:cs="Palatino Linotype"/>
          <w:b/>
          <w:sz w:val="22"/>
          <w:szCs w:val="22"/>
        </w:rPr>
      </w:pPr>
    </w:p>
    <w:p w14:paraId="42968C7D" w14:textId="066AC734" w:rsidR="00365DC1" w:rsidRPr="002B7420"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B7420">
        <w:rPr>
          <w:rFonts w:ascii="Palatino Linotype" w:eastAsia="Palatino Linotype" w:hAnsi="Palatino Linotype" w:cs="Palatino Linotype"/>
          <w:b/>
          <w:i/>
          <w:sz w:val="22"/>
        </w:rPr>
        <w:t>Recurrente</w:t>
      </w:r>
      <w:r w:rsidRPr="002B7420">
        <w:rPr>
          <w:rFonts w:ascii="Palatino Linotype" w:eastAsia="Palatino Linotype" w:hAnsi="Palatino Linotype" w:cs="Palatino Linotype"/>
          <w:i/>
          <w:sz w:val="22"/>
        </w:rPr>
        <w:t>, mismo que igualmente hará de su conocimiento.</w:t>
      </w:r>
      <w:r w:rsidR="000B0012" w:rsidRPr="002B7420">
        <w:rPr>
          <w:rFonts w:ascii="Palatino Linotype" w:eastAsia="Palatino Linotype" w:hAnsi="Palatino Linotype" w:cs="Palatino Linotype"/>
          <w:sz w:val="22"/>
          <w:szCs w:val="22"/>
        </w:rPr>
        <w:t xml:space="preserve"> </w:t>
      </w:r>
    </w:p>
    <w:p w14:paraId="1E5EABE5" w14:textId="77777777" w:rsidR="000B0012" w:rsidRPr="002B7420"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2B7420" w:rsidRDefault="00365DC1" w:rsidP="00365DC1">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2B7420">
        <w:rPr>
          <w:rFonts w:ascii="Palatino Linotype" w:eastAsia="Palatino Linotype" w:hAnsi="Palatino Linotype" w:cs="Palatino Linotype"/>
          <w:b/>
          <w:sz w:val="22"/>
          <w:szCs w:val="22"/>
        </w:rPr>
        <w:t xml:space="preserve">Tercero. Notifíquese, </w:t>
      </w:r>
      <w:r w:rsidRPr="002B7420">
        <w:rPr>
          <w:rFonts w:ascii="Palatino Linotype" w:eastAsia="Palatino Linotype" w:hAnsi="Palatino Linotype" w:cs="Palatino Linotype"/>
          <w:sz w:val="22"/>
          <w:szCs w:val="22"/>
        </w:rPr>
        <w:t xml:space="preserve">vía </w:t>
      </w:r>
      <w:r w:rsidRPr="002B7420">
        <w:rPr>
          <w:rFonts w:ascii="Palatino Linotype" w:eastAsia="Palatino Linotype" w:hAnsi="Palatino Linotype" w:cs="Palatino Linotype"/>
          <w:b/>
          <w:sz w:val="22"/>
          <w:szCs w:val="22"/>
        </w:rPr>
        <w:t>SAIMEX</w:t>
      </w:r>
      <w:r w:rsidRPr="002B7420">
        <w:rPr>
          <w:rFonts w:ascii="Palatino Linotype" w:eastAsia="Palatino Linotype" w:hAnsi="Palatino Linotype" w:cs="Palatino Linotype"/>
          <w:sz w:val="22"/>
          <w:szCs w:val="22"/>
        </w:rPr>
        <w:t xml:space="preserve">, al Titular de la Unidad de Transparencia del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2B7420"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2B7420" w:rsidRDefault="00365DC1" w:rsidP="00365DC1">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Cuarto.</w:t>
      </w:r>
      <w:r w:rsidRPr="002B7420">
        <w:rPr>
          <w:rFonts w:ascii="Palatino Linotype" w:eastAsia="Palatino Linotype" w:hAnsi="Palatino Linotype" w:cs="Palatino Linotype"/>
          <w:sz w:val="22"/>
          <w:szCs w:val="22"/>
        </w:rPr>
        <w:t xml:space="preserve"> </w:t>
      </w:r>
      <w:r w:rsidRPr="002B7420">
        <w:rPr>
          <w:rFonts w:ascii="Palatino Linotype" w:eastAsia="Palatino Linotype" w:hAnsi="Palatino Linotype" w:cs="Palatino Linotype"/>
          <w:b/>
          <w:sz w:val="22"/>
          <w:szCs w:val="22"/>
        </w:rPr>
        <w:t xml:space="preserve">Notifíquese, </w:t>
      </w:r>
      <w:r w:rsidRPr="002B7420">
        <w:rPr>
          <w:rFonts w:ascii="Palatino Linotype" w:eastAsia="Palatino Linotype" w:hAnsi="Palatino Linotype" w:cs="Palatino Linotype"/>
          <w:sz w:val="22"/>
          <w:szCs w:val="22"/>
        </w:rPr>
        <w:t xml:space="preserve">vía </w:t>
      </w:r>
      <w:r w:rsidRPr="002B7420">
        <w:rPr>
          <w:rFonts w:ascii="Palatino Linotype" w:eastAsia="Palatino Linotype" w:hAnsi="Palatino Linotype" w:cs="Palatino Linotype"/>
          <w:b/>
          <w:sz w:val="22"/>
          <w:szCs w:val="22"/>
        </w:rPr>
        <w:t>SAIMEX</w:t>
      </w:r>
      <w:r w:rsidRPr="002B7420">
        <w:rPr>
          <w:rFonts w:ascii="Palatino Linotype" w:eastAsia="Palatino Linotype" w:hAnsi="Palatino Linotype" w:cs="Palatino Linotype"/>
          <w:sz w:val="22"/>
          <w:szCs w:val="22"/>
        </w:rPr>
        <w:t xml:space="preserve">, al Titular de la Unidad de Transparencia del </w:t>
      </w:r>
      <w:r w:rsidRPr="002B7420">
        <w:rPr>
          <w:rFonts w:ascii="Palatino Linotype" w:eastAsia="Palatino Linotype" w:hAnsi="Palatino Linotype" w:cs="Palatino Linotype"/>
          <w:b/>
          <w:sz w:val="22"/>
          <w:szCs w:val="22"/>
        </w:rPr>
        <w:t>Sujeto Obligado,</w:t>
      </w:r>
      <w:r w:rsidRPr="002B7420">
        <w:rPr>
          <w:rFonts w:ascii="Palatino Linotype" w:eastAsia="Palatino Linotype" w:hAnsi="Palatino Linotype" w:cs="Palatino Linotype"/>
          <w:sz w:val="22"/>
          <w:szCs w:val="22"/>
        </w:rPr>
        <w:t xml:space="preserve"> que de conformidad con el artículo 198 de la Ley de Transparencia y Acceso a la </w:t>
      </w:r>
      <w:r w:rsidRPr="002B7420">
        <w:rPr>
          <w:rFonts w:ascii="Palatino Linotype" w:eastAsia="Palatino Linotype" w:hAnsi="Palatino Linotype" w:cs="Palatino Linotype"/>
          <w:sz w:val="22"/>
          <w:szCs w:val="22"/>
        </w:rPr>
        <w:lastRenderedPageBreak/>
        <w:t>Información Pública del Estado de México y Municipios, de considerarlo procedente, de manera fundada y motivada, podrá solicitar una ampliación de plazo para el cumplimiento de la presente resolución.</w:t>
      </w:r>
    </w:p>
    <w:p w14:paraId="0B5894A6" w14:textId="77777777" w:rsidR="00365DC1" w:rsidRPr="002B7420"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2B7420" w:rsidRDefault="00365DC1" w:rsidP="00365DC1">
      <w:pPr>
        <w:spacing w:line="360" w:lineRule="auto"/>
        <w:ind w:right="49"/>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b/>
          <w:sz w:val="22"/>
          <w:szCs w:val="22"/>
        </w:rPr>
        <w:t xml:space="preserve">Quinto. Notifíquese vía SAIMEX, </w:t>
      </w:r>
      <w:r w:rsidRPr="002B7420">
        <w:rPr>
          <w:rFonts w:ascii="Palatino Linotype" w:eastAsia="Palatino Linotype" w:hAnsi="Palatino Linotype" w:cs="Palatino Linotype"/>
          <w:sz w:val="22"/>
          <w:szCs w:val="22"/>
        </w:rPr>
        <w:t xml:space="preserve">la presente resolución a la parte </w:t>
      </w:r>
      <w:r w:rsidRPr="002B7420">
        <w:rPr>
          <w:rFonts w:ascii="Palatino Linotype" w:eastAsia="Palatino Linotype" w:hAnsi="Palatino Linotype" w:cs="Palatino Linotype"/>
          <w:b/>
          <w:sz w:val="22"/>
          <w:szCs w:val="22"/>
        </w:rPr>
        <w:t>Recurrente</w:t>
      </w:r>
      <w:r w:rsidRPr="002B7420">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2B7420" w:rsidRDefault="00207F9D" w:rsidP="00365DC1">
      <w:pPr>
        <w:spacing w:line="360" w:lineRule="auto"/>
        <w:ind w:right="49"/>
        <w:jc w:val="both"/>
        <w:rPr>
          <w:rFonts w:ascii="Palatino Linotype" w:eastAsia="Palatino Linotype" w:hAnsi="Palatino Linotype" w:cs="Palatino Linotype"/>
          <w:sz w:val="22"/>
          <w:szCs w:val="22"/>
        </w:rPr>
      </w:pPr>
    </w:p>
    <w:p w14:paraId="1F2F6924" w14:textId="77777777" w:rsidR="00207F9D" w:rsidRPr="002B7420" w:rsidRDefault="00207F9D" w:rsidP="00207F9D">
      <w:pPr>
        <w:spacing w:line="360" w:lineRule="auto"/>
        <w:ind w:right="49"/>
        <w:jc w:val="both"/>
        <w:rPr>
          <w:rFonts w:ascii="Palatino Linotype" w:eastAsia="Palatino Linotype" w:hAnsi="Palatino Linotype" w:cs="Palatino Linotype"/>
          <w:sz w:val="22"/>
        </w:rPr>
      </w:pPr>
      <w:r w:rsidRPr="002B7420">
        <w:rPr>
          <w:rFonts w:ascii="Palatino Linotype" w:eastAsia="Palatino Linotype" w:hAnsi="Palatino Linotype" w:cs="Palatino Linotype"/>
          <w:b/>
          <w:sz w:val="22"/>
        </w:rPr>
        <w:t>Sexto.</w:t>
      </w:r>
      <w:r w:rsidRPr="002B7420">
        <w:rPr>
          <w:rFonts w:ascii="Palatino Linotype" w:eastAsia="Palatino Linotype" w:hAnsi="Palatino Linotype" w:cs="Palatino Linotype"/>
          <w:sz w:val="22"/>
        </w:rPr>
        <w:t xml:space="preserve"> </w:t>
      </w:r>
      <w:r w:rsidRPr="002B7420">
        <w:rPr>
          <w:rFonts w:ascii="Palatino Linotype" w:eastAsia="Palatino Linotype" w:hAnsi="Palatino Linotype" w:cs="Palatino Linotype"/>
          <w:b/>
          <w:sz w:val="22"/>
        </w:rPr>
        <w:t xml:space="preserve">Gírese </w:t>
      </w:r>
      <w:r w:rsidRPr="002B7420">
        <w:rPr>
          <w:rFonts w:ascii="Palatino Linotype" w:eastAsia="Palatino Linotype" w:hAnsi="Palatino Linotype" w:cs="Palatino Linotype"/>
          <w:sz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2B7420">
        <w:rPr>
          <w:rFonts w:ascii="Palatino Linotype" w:eastAsia="Palatino Linotype" w:hAnsi="Palatino Linotype" w:cs="Palatino Linotype"/>
          <w:b/>
          <w:sz w:val="22"/>
        </w:rPr>
        <w:t>Cuarto</w:t>
      </w:r>
      <w:r w:rsidRPr="002B7420">
        <w:rPr>
          <w:rFonts w:ascii="Palatino Linotype" w:eastAsia="Palatino Linotype" w:hAnsi="Palatino Linotype" w:cs="Palatino Linotype"/>
          <w:sz w:val="22"/>
        </w:rPr>
        <w:t xml:space="preserve"> de la presente resolución.</w:t>
      </w:r>
    </w:p>
    <w:p w14:paraId="76B880BA" w14:textId="77777777" w:rsidR="00207F9D" w:rsidRPr="002B7420" w:rsidRDefault="00207F9D" w:rsidP="00365DC1">
      <w:pPr>
        <w:spacing w:line="360" w:lineRule="auto"/>
        <w:ind w:right="49"/>
        <w:jc w:val="both"/>
        <w:rPr>
          <w:rFonts w:ascii="Palatino Linotype" w:eastAsia="Palatino Linotype" w:hAnsi="Palatino Linotype" w:cs="Palatino Linotype"/>
          <w:sz w:val="22"/>
          <w:szCs w:val="22"/>
        </w:rPr>
      </w:pPr>
    </w:p>
    <w:p w14:paraId="4D23202F" w14:textId="52C4F044" w:rsidR="00207F9D" w:rsidRPr="002B7420" w:rsidRDefault="00207F9D" w:rsidP="00207F9D">
      <w:pPr>
        <w:spacing w:line="360" w:lineRule="auto"/>
        <w:ind w:right="49"/>
        <w:jc w:val="both"/>
        <w:rPr>
          <w:rFonts w:ascii="Palatino Linotype" w:eastAsia="Palatino Linotype" w:hAnsi="Palatino Linotype" w:cs="Palatino Linotype"/>
          <w:b/>
          <w:sz w:val="22"/>
          <w:szCs w:val="22"/>
        </w:rPr>
      </w:pPr>
      <w:r w:rsidRPr="002B7420">
        <w:rPr>
          <w:rFonts w:ascii="Palatino Linotype" w:eastAsia="Palatino Linotype" w:hAnsi="Palatino Linotype" w:cs="Palatino Linotype"/>
          <w:b/>
          <w:sz w:val="22"/>
          <w:szCs w:val="22"/>
        </w:rPr>
        <w:t xml:space="preserve">Séptimo. Gírese </w:t>
      </w:r>
      <w:r w:rsidRPr="002B7420">
        <w:rPr>
          <w:rFonts w:ascii="Palatino Linotype" w:eastAsia="Palatino Linotype" w:hAnsi="Palatino Linotype" w:cs="Palatino Linotype"/>
          <w:sz w:val="22"/>
          <w:szCs w:val="22"/>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w:t>
      </w:r>
      <w:r w:rsidRPr="002B7420">
        <w:rPr>
          <w:rFonts w:ascii="Palatino Linotype" w:eastAsia="Palatino Linotype" w:hAnsi="Palatino Linotype" w:cs="Palatino Linotype"/>
          <w:sz w:val="22"/>
        </w:rPr>
        <w:t xml:space="preserve">en términos de lo señalado en el Considerando </w:t>
      </w:r>
      <w:r w:rsidRPr="002B7420">
        <w:rPr>
          <w:rFonts w:ascii="Palatino Linotype" w:eastAsia="Palatino Linotype" w:hAnsi="Palatino Linotype" w:cs="Palatino Linotype"/>
          <w:b/>
          <w:sz w:val="22"/>
        </w:rPr>
        <w:t>Cuarto</w:t>
      </w:r>
      <w:r w:rsidRPr="002B7420">
        <w:rPr>
          <w:rFonts w:ascii="Palatino Linotype" w:eastAsia="Palatino Linotype" w:hAnsi="Palatino Linotype" w:cs="Palatino Linotype"/>
          <w:sz w:val="22"/>
        </w:rPr>
        <w:t xml:space="preserve"> de la presente resolución.</w:t>
      </w:r>
    </w:p>
    <w:p w14:paraId="4522E8F3" w14:textId="77777777" w:rsidR="002840DC" w:rsidRPr="002B7420" w:rsidRDefault="002840DC" w:rsidP="002840DC">
      <w:pPr>
        <w:spacing w:line="360" w:lineRule="auto"/>
        <w:jc w:val="both"/>
        <w:rPr>
          <w:rFonts w:ascii="Palatino Linotype" w:eastAsia="Palatino Linotype" w:hAnsi="Palatino Linotype" w:cs="Palatino Linotype"/>
          <w:sz w:val="22"/>
          <w:szCs w:val="22"/>
        </w:rPr>
      </w:pPr>
    </w:p>
    <w:p w14:paraId="674F8BF7" w14:textId="0C0FED0D" w:rsidR="002840DC" w:rsidRPr="0084542E" w:rsidRDefault="002840DC" w:rsidP="002840DC">
      <w:pPr>
        <w:spacing w:line="360" w:lineRule="auto"/>
        <w:jc w:val="both"/>
        <w:rPr>
          <w:rFonts w:ascii="Palatino Linotype" w:eastAsia="Palatino Linotype" w:hAnsi="Palatino Linotype" w:cs="Palatino Linotype"/>
          <w:sz w:val="22"/>
          <w:szCs w:val="22"/>
        </w:rPr>
      </w:pPr>
      <w:r w:rsidRPr="002B74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2B7420">
        <w:rPr>
          <w:rFonts w:ascii="Palatino Linotype" w:eastAsia="Palatino Linotype" w:hAnsi="Palatino Linotype" w:cs="Palatino Linotype"/>
          <w:sz w:val="22"/>
          <w:szCs w:val="22"/>
        </w:rPr>
        <w:lastRenderedPageBreak/>
        <w:t>AYALA</w:t>
      </w:r>
      <w:r w:rsidR="00F91519" w:rsidRPr="002B7420">
        <w:rPr>
          <w:rFonts w:ascii="Palatino Linotype" w:eastAsia="Palatino Linotype" w:hAnsi="Palatino Linotype" w:cs="Palatino Linotype"/>
          <w:sz w:val="22"/>
          <w:szCs w:val="22"/>
        </w:rPr>
        <w:t xml:space="preserve"> </w:t>
      </w:r>
      <w:r w:rsidR="00F91519" w:rsidRPr="002B7420">
        <w:rPr>
          <w:rFonts w:ascii="Palatino Linotype" w:eastAsia="Palatino Linotype" w:hAnsi="Palatino Linotype" w:cs="Palatino Linotype"/>
        </w:rPr>
        <w:t>(AUSENCIA JUSTIFICADA)</w:t>
      </w:r>
      <w:r w:rsidRPr="002B7420">
        <w:rPr>
          <w:rFonts w:ascii="Palatino Linotype" w:eastAsia="Palatino Linotype" w:hAnsi="Palatino Linotype" w:cs="Palatino Linotype"/>
          <w:sz w:val="22"/>
          <w:szCs w:val="22"/>
        </w:rPr>
        <w:t>, SHARON CRISTINA MORALES MARTÍNEZ, LUIS GUSTAVO PARRA NORIEGA</w:t>
      </w:r>
      <w:r w:rsidR="00F91519" w:rsidRPr="002B7420">
        <w:rPr>
          <w:rFonts w:ascii="Palatino Linotype" w:eastAsia="Palatino Linotype" w:hAnsi="Palatino Linotype" w:cs="Palatino Linotype"/>
          <w:sz w:val="22"/>
          <w:szCs w:val="22"/>
        </w:rPr>
        <w:t>, EMITIENDO VOTO PARTICULAR</w:t>
      </w:r>
      <w:r w:rsidRPr="002B7420">
        <w:rPr>
          <w:rFonts w:ascii="Palatino Linotype" w:eastAsia="Palatino Linotype" w:hAnsi="Palatino Linotype" w:cs="Palatino Linotype"/>
          <w:sz w:val="22"/>
          <w:szCs w:val="22"/>
        </w:rPr>
        <w:t xml:space="preserve"> Y GUADALUPE RAMÍREZ PEÑA</w:t>
      </w:r>
      <w:r w:rsidR="00F91519" w:rsidRPr="002B7420">
        <w:rPr>
          <w:rFonts w:ascii="Palatino Linotype" w:eastAsia="Palatino Linotype" w:hAnsi="Palatino Linotype" w:cs="Palatino Linotype"/>
          <w:sz w:val="22"/>
          <w:szCs w:val="22"/>
        </w:rPr>
        <w:t>, EMITIENDO VOTO PARTICULAR</w:t>
      </w:r>
      <w:r w:rsidRPr="002B7420">
        <w:rPr>
          <w:rFonts w:ascii="Palatino Linotype" w:eastAsia="Palatino Linotype" w:hAnsi="Palatino Linotype" w:cs="Palatino Linotype"/>
          <w:sz w:val="22"/>
          <w:szCs w:val="22"/>
        </w:rPr>
        <w:t xml:space="preserve">; EN LA VIGÉSIMA </w:t>
      </w:r>
      <w:r w:rsidR="009878C8" w:rsidRPr="002B7420">
        <w:rPr>
          <w:rFonts w:ascii="Palatino Linotype" w:eastAsia="Palatino Linotype" w:hAnsi="Palatino Linotype" w:cs="Palatino Linotype"/>
          <w:sz w:val="22"/>
          <w:szCs w:val="22"/>
        </w:rPr>
        <w:t>QUIN</w:t>
      </w:r>
      <w:r w:rsidR="006A6A26" w:rsidRPr="002B7420">
        <w:rPr>
          <w:rFonts w:ascii="Palatino Linotype" w:eastAsia="Palatino Linotype" w:hAnsi="Palatino Linotype" w:cs="Palatino Linotype"/>
          <w:sz w:val="22"/>
          <w:szCs w:val="22"/>
        </w:rPr>
        <w:t>TA</w:t>
      </w:r>
      <w:r w:rsidRPr="002B7420">
        <w:rPr>
          <w:rFonts w:ascii="Palatino Linotype" w:eastAsia="Palatino Linotype" w:hAnsi="Palatino Linotype" w:cs="Palatino Linotype"/>
          <w:sz w:val="22"/>
          <w:szCs w:val="22"/>
        </w:rPr>
        <w:t xml:space="preserve"> SESIÓN ORDINARIA, CELEBRADA EL </w:t>
      </w:r>
      <w:r w:rsidR="009878C8" w:rsidRPr="002B7420">
        <w:rPr>
          <w:rFonts w:ascii="Palatino Linotype" w:eastAsia="Palatino Linotype" w:hAnsi="Palatino Linotype" w:cs="Palatino Linotype"/>
          <w:sz w:val="22"/>
          <w:szCs w:val="22"/>
        </w:rPr>
        <w:t>NUEVE</w:t>
      </w:r>
      <w:r w:rsidR="006A6A26" w:rsidRPr="002B7420">
        <w:rPr>
          <w:rFonts w:ascii="Palatino Linotype" w:eastAsia="Palatino Linotype" w:hAnsi="Palatino Linotype" w:cs="Palatino Linotype"/>
          <w:sz w:val="22"/>
          <w:szCs w:val="22"/>
        </w:rPr>
        <w:t xml:space="preserve"> DE JULIO</w:t>
      </w:r>
      <w:r w:rsidRPr="002B7420">
        <w:rPr>
          <w:rFonts w:ascii="Palatino Linotype" w:eastAsia="Palatino Linotype" w:hAnsi="Palatino Linotype" w:cs="Palatino Linotype"/>
          <w:sz w:val="22"/>
          <w:szCs w:val="22"/>
        </w:rPr>
        <w:t xml:space="preserve"> DE DOS MIL VEINTICINCO, ANTE EL SECRETARIO TÉCNICO DEL PLENO ALEXIS TAPIA RAMÍREZ.</w:t>
      </w:r>
      <w:r w:rsidRPr="0084542E">
        <w:rPr>
          <w:rFonts w:ascii="Palatino Linotype" w:eastAsia="Palatino Linotype" w:hAnsi="Palatino Linotype" w:cs="Palatino Linotype"/>
          <w:sz w:val="22"/>
          <w:szCs w:val="22"/>
        </w:rPr>
        <w:t xml:space="preserve"> </w:t>
      </w:r>
    </w:p>
    <w:p w14:paraId="71B96CD4" w14:textId="77777777" w:rsidR="00566EB9" w:rsidRPr="0084542E" w:rsidRDefault="00D41CCE">
      <w:pPr>
        <w:spacing w:line="360" w:lineRule="auto"/>
        <w:jc w:val="both"/>
        <w:rPr>
          <w:rFonts w:ascii="Palatino Linotype" w:eastAsia="Palatino Linotype" w:hAnsi="Palatino Linotype" w:cs="Palatino Linotype"/>
          <w:sz w:val="22"/>
          <w:szCs w:val="22"/>
        </w:rPr>
      </w:pPr>
      <w:r w:rsidRPr="0084542E">
        <w:rPr>
          <w:rFonts w:ascii="Palatino Linotype" w:eastAsia="Palatino Linotype" w:hAnsi="Palatino Linotype" w:cs="Palatino Linotype"/>
          <w:sz w:val="22"/>
          <w:szCs w:val="22"/>
        </w:rPr>
        <w:t xml:space="preserve"> </w:t>
      </w:r>
    </w:p>
    <w:p w14:paraId="7190E2A5" w14:textId="77777777" w:rsidR="00566EB9" w:rsidRPr="0084542E" w:rsidRDefault="00566EB9">
      <w:pPr>
        <w:rPr>
          <w:rFonts w:ascii="Palatino Linotype" w:eastAsia="Palatino Linotype" w:hAnsi="Palatino Linotype" w:cs="Palatino Linotype"/>
          <w:sz w:val="22"/>
          <w:szCs w:val="22"/>
        </w:rPr>
      </w:pPr>
      <w:bookmarkStart w:id="16" w:name="_heading=h.17dp8vu" w:colFirst="0" w:colLast="0"/>
      <w:bookmarkEnd w:id="16"/>
    </w:p>
    <w:p w14:paraId="5E53C7DB" w14:textId="77777777" w:rsidR="00566EB9" w:rsidRPr="0084542E" w:rsidRDefault="00566EB9">
      <w:pPr>
        <w:rPr>
          <w:rFonts w:ascii="Palatino Linotype" w:eastAsia="Palatino Linotype" w:hAnsi="Palatino Linotype" w:cs="Palatino Linotype"/>
          <w:sz w:val="22"/>
          <w:szCs w:val="22"/>
        </w:rPr>
      </w:pPr>
    </w:p>
    <w:p w14:paraId="4F26F666" w14:textId="77777777" w:rsidR="00566EB9" w:rsidRPr="0084542E" w:rsidRDefault="00566EB9">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24C778BA"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84542E" w:rsidRDefault="00566EB9">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7C0681F8"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CB827E7"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84542E"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84542E" w:rsidRDefault="00566EB9">
      <w:pPr>
        <w:spacing w:line="360" w:lineRule="auto"/>
        <w:jc w:val="both"/>
        <w:rPr>
          <w:rFonts w:ascii="Palatino Linotype" w:eastAsia="Palatino Linotype" w:hAnsi="Palatino Linotype" w:cs="Palatino Linotype"/>
          <w:sz w:val="22"/>
          <w:szCs w:val="22"/>
        </w:rPr>
      </w:pPr>
    </w:p>
    <w:sectPr w:rsidR="00566EB9" w:rsidRPr="0084542E">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50B6" w14:textId="77777777" w:rsidR="00962D98" w:rsidRDefault="00962D98">
      <w:r>
        <w:separator/>
      </w:r>
    </w:p>
  </w:endnote>
  <w:endnote w:type="continuationSeparator" w:id="0">
    <w:p w14:paraId="5BA6361D" w14:textId="77777777" w:rsidR="00962D98" w:rsidRDefault="009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BE044C" w:rsidRDefault="00BE044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7420">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7420">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75EA14AB" w14:textId="77777777" w:rsidR="00BE044C" w:rsidRDefault="00BE044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BE044C" w:rsidRDefault="00BE044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74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7420">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78844A60" w14:textId="77777777" w:rsidR="00BE044C" w:rsidRDefault="00BE044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58CE" w14:textId="77777777" w:rsidR="00962D98" w:rsidRDefault="00962D98">
      <w:r>
        <w:separator/>
      </w:r>
    </w:p>
  </w:footnote>
  <w:footnote w:type="continuationSeparator" w:id="0">
    <w:p w14:paraId="1F6D1109" w14:textId="77777777" w:rsidR="00962D98" w:rsidRDefault="00962D98">
      <w:r>
        <w:continuationSeparator/>
      </w:r>
    </w:p>
  </w:footnote>
  <w:footnote w:id="1">
    <w:p w14:paraId="5427DE49" w14:textId="77777777" w:rsidR="00BE044C" w:rsidRDefault="00BE044C"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BE044C" w:rsidRDefault="00BE044C"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BE044C" w:rsidRDefault="00BE044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BE044C" w:rsidRDefault="00BE044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A90846E" w14:textId="77777777" w:rsidR="00BE044C" w:rsidRDefault="00BE044C" w:rsidP="0053422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BE044C" w:rsidRDefault="00BE044C">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BE044C" w14:paraId="7556AAA7" w14:textId="77777777">
      <w:tc>
        <w:tcPr>
          <w:tcW w:w="2489" w:type="dxa"/>
          <w:shd w:val="clear" w:color="auto" w:fill="auto"/>
        </w:tcPr>
        <w:p w14:paraId="456E930D"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86DFE03" w:rsidR="00BE044C" w:rsidRDefault="00BE044C" w:rsidP="00392E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04589/INFOEM/IP/RR/2025</w:t>
          </w:r>
        </w:p>
      </w:tc>
    </w:tr>
    <w:tr w:rsidR="00BE044C" w14:paraId="625B5BC5" w14:textId="77777777">
      <w:trPr>
        <w:trHeight w:val="228"/>
      </w:trPr>
      <w:tc>
        <w:tcPr>
          <w:tcW w:w="2489" w:type="dxa"/>
          <w:shd w:val="clear" w:color="auto" w:fill="auto"/>
          <w:vAlign w:val="center"/>
        </w:tcPr>
        <w:p w14:paraId="18DDCAF9"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B3E3C81" w:rsidR="00BE044C" w:rsidRDefault="00BE044C"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Ayuntamiento de Acambay de Ruíz Castañeda</w:t>
          </w:r>
        </w:p>
      </w:tc>
    </w:tr>
    <w:tr w:rsidR="00BE044C" w14:paraId="5A94D834" w14:textId="77777777">
      <w:tc>
        <w:tcPr>
          <w:tcW w:w="2489" w:type="dxa"/>
          <w:shd w:val="clear" w:color="auto" w:fill="auto"/>
          <w:vAlign w:val="center"/>
        </w:tcPr>
        <w:p w14:paraId="65DC8F86" w14:textId="77777777" w:rsidR="00BE044C" w:rsidRDefault="00BE044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BE044C" w:rsidRDefault="00BE044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BE044C" w:rsidRDefault="00BE044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BE044C" w:rsidRDefault="00BE044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BE044C" w14:paraId="626C0E2F" w14:textId="77777777">
      <w:tc>
        <w:tcPr>
          <w:tcW w:w="2551" w:type="dxa"/>
          <w:shd w:val="clear" w:color="auto" w:fill="auto"/>
          <w:vAlign w:val="center"/>
        </w:tcPr>
        <w:p w14:paraId="588E5159"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7F2BE27" w:rsidR="00BE044C" w:rsidRDefault="00BE044C" w:rsidP="00045AA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04589/INFOEM/IP/RR/2025</w:t>
          </w:r>
        </w:p>
      </w:tc>
    </w:tr>
    <w:tr w:rsidR="00BE044C" w14:paraId="600191AD" w14:textId="77777777">
      <w:trPr>
        <w:trHeight w:val="130"/>
      </w:trPr>
      <w:tc>
        <w:tcPr>
          <w:tcW w:w="2551" w:type="dxa"/>
          <w:shd w:val="clear" w:color="auto" w:fill="auto"/>
          <w:vAlign w:val="center"/>
        </w:tcPr>
        <w:p w14:paraId="66691596"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BE044C" w:rsidRDefault="00BE044C">
          <w:pPr>
            <w:ind w:left="-45" w:right="1444"/>
            <w:jc w:val="both"/>
            <w:rPr>
              <w:rFonts w:ascii="Palatino Linotype" w:eastAsia="Palatino Linotype" w:hAnsi="Palatino Linotype" w:cs="Palatino Linotype"/>
              <w:b/>
              <w:sz w:val="22"/>
              <w:szCs w:val="22"/>
            </w:rPr>
          </w:pPr>
        </w:p>
      </w:tc>
    </w:tr>
    <w:tr w:rsidR="00BE044C" w14:paraId="68112254" w14:textId="77777777">
      <w:trPr>
        <w:trHeight w:val="228"/>
      </w:trPr>
      <w:tc>
        <w:tcPr>
          <w:tcW w:w="2551" w:type="dxa"/>
          <w:shd w:val="clear" w:color="auto" w:fill="auto"/>
          <w:vAlign w:val="center"/>
        </w:tcPr>
        <w:p w14:paraId="373E7A5B"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B5B87AA" w:rsidR="00BE044C" w:rsidRDefault="00BE044C" w:rsidP="00C97375">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Ayuntamiento de Acambay de Ruíz Castañeda</w:t>
          </w:r>
        </w:p>
      </w:tc>
    </w:tr>
    <w:tr w:rsidR="00BE044C" w14:paraId="38DC658C" w14:textId="77777777">
      <w:tc>
        <w:tcPr>
          <w:tcW w:w="2551" w:type="dxa"/>
          <w:shd w:val="clear" w:color="auto" w:fill="auto"/>
          <w:vAlign w:val="center"/>
        </w:tcPr>
        <w:p w14:paraId="745EE03B" w14:textId="77777777" w:rsidR="00BE044C" w:rsidRDefault="00BE04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BE044C" w:rsidRDefault="00BE044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BE044C" w:rsidRDefault="00BE044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BE044C" w:rsidRDefault="00BE04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2"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24"/>
  </w:num>
  <w:num w:numId="4">
    <w:abstractNumId w:val="22"/>
  </w:num>
  <w:num w:numId="5">
    <w:abstractNumId w:val="13"/>
  </w:num>
  <w:num w:numId="6">
    <w:abstractNumId w:val="0"/>
  </w:num>
  <w:num w:numId="7">
    <w:abstractNumId w:val="15"/>
  </w:num>
  <w:num w:numId="8">
    <w:abstractNumId w:val="5"/>
  </w:num>
  <w:num w:numId="9">
    <w:abstractNumId w:val="14"/>
  </w:num>
  <w:num w:numId="10">
    <w:abstractNumId w:val="19"/>
  </w:num>
  <w:num w:numId="11">
    <w:abstractNumId w:val="7"/>
  </w:num>
  <w:num w:numId="12">
    <w:abstractNumId w:val="18"/>
  </w:num>
  <w:num w:numId="13">
    <w:abstractNumId w:val="10"/>
  </w:num>
  <w:num w:numId="14">
    <w:abstractNumId w:val="12"/>
  </w:num>
  <w:num w:numId="15">
    <w:abstractNumId w:val="21"/>
  </w:num>
  <w:num w:numId="16">
    <w:abstractNumId w:val="17"/>
  </w:num>
  <w:num w:numId="17">
    <w:abstractNumId w:val="1"/>
  </w:num>
  <w:num w:numId="18">
    <w:abstractNumId w:val="2"/>
  </w:num>
  <w:num w:numId="19">
    <w:abstractNumId w:val="3"/>
  </w:num>
  <w:num w:numId="20">
    <w:abstractNumId w:val="9"/>
  </w:num>
  <w:num w:numId="21">
    <w:abstractNumId w:val="6"/>
  </w:num>
  <w:num w:numId="22">
    <w:abstractNumId w:val="23"/>
  </w:num>
  <w:num w:numId="23">
    <w:abstractNumId w:val="11"/>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45AA6"/>
    <w:rsid w:val="0005005A"/>
    <w:rsid w:val="0008100A"/>
    <w:rsid w:val="000B0012"/>
    <w:rsid w:val="000D7A87"/>
    <w:rsid w:val="000E5E7B"/>
    <w:rsid w:val="001015A6"/>
    <w:rsid w:val="00102B0F"/>
    <w:rsid w:val="0011437B"/>
    <w:rsid w:val="0012216B"/>
    <w:rsid w:val="00124DCE"/>
    <w:rsid w:val="00131C5B"/>
    <w:rsid w:val="001454E9"/>
    <w:rsid w:val="001528AE"/>
    <w:rsid w:val="0016332F"/>
    <w:rsid w:val="0016688D"/>
    <w:rsid w:val="001B4F9C"/>
    <w:rsid w:val="001B55EA"/>
    <w:rsid w:val="001C3928"/>
    <w:rsid w:val="001E0B78"/>
    <w:rsid w:val="001E141A"/>
    <w:rsid w:val="001F5948"/>
    <w:rsid w:val="00207F9D"/>
    <w:rsid w:val="0021100A"/>
    <w:rsid w:val="002133D6"/>
    <w:rsid w:val="00232509"/>
    <w:rsid w:val="0023481C"/>
    <w:rsid w:val="002425BC"/>
    <w:rsid w:val="00243D88"/>
    <w:rsid w:val="00251B80"/>
    <w:rsid w:val="00254724"/>
    <w:rsid w:val="00271266"/>
    <w:rsid w:val="0028208A"/>
    <w:rsid w:val="002840DC"/>
    <w:rsid w:val="002B03D6"/>
    <w:rsid w:val="002B2287"/>
    <w:rsid w:val="002B7420"/>
    <w:rsid w:val="002E6A40"/>
    <w:rsid w:val="00305115"/>
    <w:rsid w:val="00315A9F"/>
    <w:rsid w:val="00315AC1"/>
    <w:rsid w:val="0031792E"/>
    <w:rsid w:val="00326383"/>
    <w:rsid w:val="00326509"/>
    <w:rsid w:val="00337C02"/>
    <w:rsid w:val="003525EB"/>
    <w:rsid w:val="00352E0E"/>
    <w:rsid w:val="00354BAE"/>
    <w:rsid w:val="00365DC1"/>
    <w:rsid w:val="00371A65"/>
    <w:rsid w:val="00375373"/>
    <w:rsid w:val="00375A51"/>
    <w:rsid w:val="00390D4B"/>
    <w:rsid w:val="003911E0"/>
    <w:rsid w:val="00392E66"/>
    <w:rsid w:val="00395B88"/>
    <w:rsid w:val="00395E7A"/>
    <w:rsid w:val="003C3BA5"/>
    <w:rsid w:val="003C3D32"/>
    <w:rsid w:val="003C6BE6"/>
    <w:rsid w:val="003D640F"/>
    <w:rsid w:val="003E6F40"/>
    <w:rsid w:val="003F0A9C"/>
    <w:rsid w:val="003F126A"/>
    <w:rsid w:val="00415225"/>
    <w:rsid w:val="00417D71"/>
    <w:rsid w:val="00432A40"/>
    <w:rsid w:val="0044354A"/>
    <w:rsid w:val="00450912"/>
    <w:rsid w:val="0049022B"/>
    <w:rsid w:val="004A3E71"/>
    <w:rsid w:val="004B63F5"/>
    <w:rsid w:val="004B6E8D"/>
    <w:rsid w:val="004C74A9"/>
    <w:rsid w:val="004D706F"/>
    <w:rsid w:val="004E6B75"/>
    <w:rsid w:val="004F5310"/>
    <w:rsid w:val="0053297C"/>
    <w:rsid w:val="00534223"/>
    <w:rsid w:val="00546763"/>
    <w:rsid w:val="00551C8B"/>
    <w:rsid w:val="00563CA3"/>
    <w:rsid w:val="00566025"/>
    <w:rsid w:val="00566EB9"/>
    <w:rsid w:val="005676DB"/>
    <w:rsid w:val="00573E0B"/>
    <w:rsid w:val="00590C08"/>
    <w:rsid w:val="005B6A93"/>
    <w:rsid w:val="005C6922"/>
    <w:rsid w:val="005D2BC9"/>
    <w:rsid w:val="005D6FD9"/>
    <w:rsid w:val="005D733D"/>
    <w:rsid w:val="005E5293"/>
    <w:rsid w:val="005E5CA3"/>
    <w:rsid w:val="00605F57"/>
    <w:rsid w:val="0060718E"/>
    <w:rsid w:val="00613B10"/>
    <w:rsid w:val="00634BFC"/>
    <w:rsid w:val="006507CF"/>
    <w:rsid w:val="00656201"/>
    <w:rsid w:val="006575DA"/>
    <w:rsid w:val="00657A3C"/>
    <w:rsid w:val="00657E90"/>
    <w:rsid w:val="00665AE4"/>
    <w:rsid w:val="00672A19"/>
    <w:rsid w:val="006910D6"/>
    <w:rsid w:val="006A6A26"/>
    <w:rsid w:val="006C0C4B"/>
    <w:rsid w:val="006D06C4"/>
    <w:rsid w:val="006D463F"/>
    <w:rsid w:val="006D4B8E"/>
    <w:rsid w:val="006F22AE"/>
    <w:rsid w:val="00707279"/>
    <w:rsid w:val="00715193"/>
    <w:rsid w:val="007152F6"/>
    <w:rsid w:val="007274D4"/>
    <w:rsid w:val="00731FE8"/>
    <w:rsid w:val="00735FBC"/>
    <w:rsid w:val="007371FE"/>
    <w:rsid w:val="00750102"/>
    <w:rsid w:val="00796322"/>
    <w:rsid w:val="007A2EB2"/>
    <w:rsid w:val="007B451C"/>
    <w:rsid w:val="007C42F7"/>
    <w:rsid w:val="007E23D2"/>
    <w:rsid w:val="007F1130"/>
    <w:rsid w:val="007F60A0"/>
    <w:rsid w:val="00820873"/>
    <w:rsid w:val="00820E6B"/>
    <w:rsid w:val="008218D8"/>
    <w:rsid w:val="0082575D"/>
    <w:rsid w:val="008279BF"/>
    <w:rsid w:val="00835868"/>
    <w:rsid w:val="0084542E"/>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136E3"/>
    <w:rsid w:val="009143AF"/>
    <w:rsid w:val="00921882"/>
    <w:rsid w:val="00924E17"/>
    <w:rsid w:val="00932A0B"/>
    <w:rsid w:val="00944282"/>
    <w:rsid w:val="00945284"/>
    <w:rsid w:val="00945AD9"/>
    <w:rsid w:val="00946911"/>
    <w:rsid w:val="00947CDB"/>
    <w:rsid w:val="00962787"/>
    <w:rsid w:val="00962D98"/>
    <w:rsid w:val="0096349E"/>
    <w:rsid w:val="009878C8"/>
    <w:rsid w:val="009A087F"/>
    <w:rsid w:val="009B2156"/>
    <w:rsid w:val="009D48FB"/>
    <w:rsid w:val="009D6C2F"/>
    <w:rsid w:val="009E5819"/>
    <w:rsid w:val="009F0A60"/>
    <w:rsid w:val="009F0B5F"/>
    <w:rsid w:val="009F43E4"/>
    <w:rsid w:val="009F6A7A"/>
    <w:rsid w:val="00A02F20"/>
    <w:rsid w:val="00A0679C"/>
    <w:rsid w:val="00A107AD"/>
    <w:rsid w:val="00A45362"/>
    <w:rsid w:val="00A5656A"/>
    <w:rsid w:val="00A57E85"/>
    <w:rsid w:val="00A64138"/>
    <w:rsid w:val="00A65C1E"/>
    <w:rsid w:val="00A80C4E"/>
    <w:rsid w:val="00A84BDD"/>
    <w:rsid w:val="00A97EE0"/>
    <w:rsid w:val="00AA72A1"/>
    <w:rsid w:val="00AC0390"/>
    <w:rsid w:val="00AC7527"/>
    <w:rsid w:val="00AE3979"/>
    <w:rsid w:val="00AF5C65"/>
    <w:rsid w:val="00B018E9"/>
    <w:rsid w:val="00B20F68"/>
    <w:rsid w:val="00B253BE"/>
    <w:rsid w:val="00B36420"/>
    <w:rsid w:val="00B60ED0"/>
    <w:rsid w:val="00B703F6"/>
    <w:rsid w:val="00B7233F"/>
    <w:rsid w:val="00B73893"/>
    <w:rsid w:val="00B91B04"/>
    <w:rsid w:val="00BA6B91"/>
    <w:rsid w:val="00BE044C"/>
    <w:rsid w:val="00BF7ABA"/>
    <w:rsid w:val="00C16D27"/>
    <w:rsid w:val="00C17968"/>
    <w:rsid w:val="00C23064"/>
    <w:rsid w:val="00C30DDF"/>
    <w:rsid w:val="00C43B5F"/>
    <w:rsid w:val="00C501F7"/>
    <w:rsid w:val="00C51E1C"/>
    <w:rsid w:val="00C54363"/>
    <w:rsid w:val="00C62E60"/>
    <w:rsid w:val="00C70954"/>
    <w:rsid w:val="00C72EBA"/>
    <w:rsid w:val="00C776AC"/>
    <w:rsid w:val="00C82B0D"/>
    <w:rsid w:val="00C86837"/>
    <w:rsid w:val="00C97375"/>
    <w:rsid w:val="00CA72CB"/>
    <w:rsid w:val="00CB2CB6"/>
    <w:rsid w:val="00CC1A3D"/>
    <w:rsid w:val="00CC3F4A"/>
    <w:rsid w:val="00CD0D49"/>
    <w:rsid w:val="00CD118F"/>
    <w:rsid w:val="00CE150D"/>
    <w:rsid w:val="00CF3D24"/>
    <w:rsid w:val="00CF6D16"/>
    <w:rsid w:val="00CF7F82"/>
    <w:rsid w:val="00D2404A"/>
    <w:rsid w:val="00D41CCE"/>
    <w:rsid w:val="00D42F35"/>
    <w:rsid w:val="00D441A8"/>
    <w:rsid w:val="00D52C6F"/>
    <w:rsid w:val="00D571D8"/>
    <w:rsid w:val="00D62E1F"/>
    <w:rsid w:val="00D65BC2"/>
    <w:rsid w:val="00D6615E"/>
    <w:rsid w:val="00D75270"/>
    <w:rsid w:val="00D84445"/>
    <w:rsid w:val="00D84E0A"/>
    <w:rsid w:val="00D94197"/>
    <w:rsid w:val="00DA59BA"/>
    <w:rsid w:val="00DB61F5"/>
    <w:rsid w:val="00DB7E9A"/>
    <w:rsid w:val="00DD485C"/>
    <w:rsid w:val="00DE7719"/>
    <w:rsid w:val="00DF27C3"/>
    <w:rsid w:val="00DF610F"/>
    <w:rsid w:val="00DF6AE8"/>
    <w:rsid w:val="00E05AA4"/>
    <w:rsid w:val="00E14A71"/>
    <w:rsid w:val="00E42C18"/>
    <w:rsid w:val="00E65C37"/>
    <w:rsid w:val="00E67A6B"/>
    <w:rsid w:val="00E712F5"/>
    <w:rsid w:val="00E763EF"/>
    <w:rsid w:val="00E912FB"/>
    <w:rsid w:val="00EC141E"/>
    <w:rsid w:val="00EC1A3E"/>
    <w:rsid w:val="00EE219C"/>
    <w:rsid w:val="00F34A92"/>
    <w:rsid w:val="00F41E34"/>
    <w:rsid w:val="00F569BD"/>
    <w:rsid w:val="00F67B91"/>
    <w:rsid w:val="00F745FF"/>
    <w:rsid w:val="00F75C7A"/>
    <w:rsid w:val="00F823D1"/>
    <w:rsid w:val="00F832DD"/>
    <w:rsid w:val="00F91519"/>
    <w:rsid w:val="00F96D0C"/>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14040</Words>
  <Characters>77224</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2025-07-11T18:56:00Z</cp:lastPrinted>
  <dcterms:created xsi:type="dcterms:W3CDTF">2025-08-07T18:00:00Z</dcterms:created>
  <dcterms:modified xsi:type="dcterms:W3CDTF">2025-08-07T18:00:00Z</dcterms:modified>
</cp:coreProperties>
</file>