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7C" w:rsidRPr="004114C2" w:rsidRDefault="009C117C" w:rsidP="00927641">
      <w:pPr>
        <w:tabs>
          <w:tab w:val="left" w:pos="3465"/>
        </w:tabs>
        <w:spacing w:before="240" w:after="360" w:line="360" w:lineRule="auto"/>
        <w:jc w:val="both"/>
        <w:rPr>
          <w:rFonts w:ascii="Palatino Linotype" w:hAnsi="Palatino Linotype"/>
          <w:color w:val="000000" w:themeColor="text1"/>
        </w:rPr>
      </w:pPr>
      <w:r w:rsidRPr="004114C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treinta de abril de dos mil veinticinco. </w:t>
      </w:r>
    </w:p>
    <w:p w:rsidR="009C117C" w:rsidRPr="004114C2" w:rsidRDefault="009C117C" w:rsidP="00927641">
      <w:pPr>
        <w:spacing w:line="360" w:lineRule="auto"/>
        <w:jc w:val="both"/>
        <w:rPr>
          <w:rFonts w:ascii="Palatino Linotype" w:hAnsi="Palatino Linotype"/>
          <w:b/>
          <w:color w:val="000000" w:themeColor="text1"/>
        </w:rPr>
      </w:pPr>
      <w:r w:rsidRPr="004114C2">
        <w:rPr>
          <w:rFonts w:ascii="Palatino Linotype" w:hAnsi="Palatino Linotype"/>
          <w:b/>
          <w:color w:val="000000" w:themeColor="text1"/>
        </w:rPr>
        <w:t xml:space="preserve">VISTO </w:t>
      </w:r>
      <w:r w:rsidRPr="004114C2">
        <w:rPr>
          <w:rFonts w:ascii="Palatino Linotype" w:hAnsi="Palatino Linotype"/>
          <w:color w:val="000000" w:themeColor="text1"/>
        </w:rPr>
        <w:t xml:space="preserve">el expediente electrónico formado con motivo del recurso de revisión </w:t>
      </w:r>
      <w:r w:rsidRPr="004114C2">
        <w:rPr>
          <w:rFonts w:ascii="Palatino Linotype" w:hAnsi="Palatino Linotype"/>
          <w:b/>
          <w:color w:val="000000" w:themeColor="text1"/>
        </w:rPr>
        <w:t>00488/INFOEM/IP/RR/2025,</w:t>
      </w:r>
      <w:r w:rsidRPr="004114C2">
        <w:rPr>
          <w:rFonts w:ascii="Palatino Linotype" w:hAnsi="Palatino Linotype"/>
          <w:color w:val="000000" w:themeColor="text1"/>
        </w:rPr>
        <w:t xml:space="preserve"> promovido por un usuario que no proporcionó nombre, quien en lo sucesivo se le identificara como </w:t>
      </w:r>
      <w:r w:rsidR="00927641" w:rsidRPr="004114C2">
        <w:rPr>
          <w:rFonts w:ascii="Palatino Linotype" w:hAnsi="Palatino Linotype"/>
          <w:color w:val="000000" w:themeColor="text1"/>
        </w:rPr>
        <w:t xml:space="preserve">EL </w:t>
      </w:r>
      <w:r w:rsidRPr="004114C2">
        <w:rPr>
          <w:rFonts w:ascii="Palatino Linotype" w:hAnsi="Palatino Linotype"/>
          <w:b/>
          <w:color w:val="000000" w:themeColor="text1"/>
        </w:rPr>
        <w:t>RECURRENTE,</w:t>
      </w:r>
      <w:r w:rsidRPr="004114C2">
        <w:rPr>
          <w:rFonts w:ascii="Palatino Linotype" w:hAnsi="Palatino Linotype"/>
          <w:color w:val="000000" w:themeColor="text1"/>
        </w:rPr>
        <w:t xml:space="preserve"> en contra de la respuesta del Ayuntamiento de Tepotzotlán, en lo sucesivo el </w:t>
      </w:r>
      <w:r w:rsidRPr="004114C2">
        <w:rPr>
          <w:rFonts w:ascii="Palatino Linotype" w:hAnsi="Palatino Linotype"/>
          <w:b/>
          <w:color w:val="000000" w:themeColor="text1"/>
        </w:rPr>
        <w:t>SUJETO OBLIGADO</w:t>
      </w:r>
      <w:r w:rsidRPr="004114C2">
        <w:rPr>
          <w:rFonts w:ascii="Palatino Linotype" w:hAnsi="Palatino Linotype"/>
          <w:color w:val="000000" w:themeColor="text1"/>
        </w:rPr>
        <w:t>, se procede a dictar la presente resolución, con base en los siguientes:</w:t>
      </w:r>
    </w:p>
    <w:p w:rsidR="009C117C" w:rsidRPr="004114C2" w:rsidRDefault="009C117C" w:rsidP="00927641">
      <w:pPr>
        <w:spacing w:line="360" w:lineRule="auto"/>
        <w:jc w:val="both"/>
        <w:rPr>
          <w:rFonts w:ascii="Palatino Linotype" w:hAnsi="Palatino Linotype"/>
          <w:b/>
          <w:color w:val="000000" w:themeColor="text1"/>
        </w:rPr>
      </w:pPr>
    </w:p>
    <w:p w:rsidR="009C117C" w:rsidRPr="004114C2" w:rsidRDefault="009C117C" w:rsidP="0092764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114C2">
        <w:rPr>
          <w:rFonts w:ascii="Palatino Linotype" w:hAnsi="Palatino Linotype"/>
          <w:b/>
          <w:color w:val="000000" w:themeColor="text1"/>
          <w:sz w:val="24"/>
          <w:szCs w:val="24"/>
        </w:rPr>
        <w:t>A</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N</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T</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E</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C</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E</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D</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E</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N</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T</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E</w:t>
      </w:r>
      <w:r w:rsidR="003E2F8C" w:rsidRPr="004114C2">
        <w:rPr>
          <w:rFonts w:ascii="Palatino Linotype" w:hAnsi="Palatino Linotype"/>
          <w:b/>
          <w:color w:val="000000" w:themeColor="text1"/>
          <w:sz w:val="24"/>
          <w:szCs w:val="24"/>
        </w:rPr>
        <w:t xml:space="preserve"> </w:t>
      </w:r>
      <w:r w:rsidRPr="004114C2">
        <w:rPr>
          <w:rFonts w:ascii="Palatino Linotype" w:hAnsi="Palatino Linotype"/>
          <w:b/>
          <w:color w:val="000000" w:themeColor="text1"/>
          <w:sz w:val="24"/>
          <w:szCs w:val="24"/>
        </w:rPr>
        <w:t>S</w:t>
      </w:r>
      <w:bookmarkEnd w:id="0"/>
      <w:bookmarkEnd w:id="1"/>
      <w:bookmarkEnd w:id="2"/>
    </w:p>
    <w:p w:rsidR="009C117C" w:rsidRPr="004114C2" w:rsidRDefault="009C117C" w:rsidP="00927641">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9C117C" w:rsidRPr="004114C2" w:rsidRDefault="009C117C" w:rsidP="00927641">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4114C2">
        <w:rPr>
          <w:rFonts w:ascii="Palatino Linotype" w:eastAsia="Calibri" w:hAnsi="Palatino Linotype" w:cs="Arial"/>
          <w:lang w:val="es-ES"/>
        </w:rPr>
        <w:t xml:space="preserve">El </w:t>
      </w:r>
      <w:r w:rsidRPr="004114C2">
        <w:rPr>
          <w:rFonts w:ascii="Palatino Linotype" w:eastAsia="Calibri" w:hAnsi="Palatino Linotype" w:cs="Arial"/>
          <w:b/>
          <w:lang w:val="es-ES"/>
        </w:rPr>
        <w:t>seis de diciembre de dos mil veinticuatro</w:t>
      </w:r>
      <w:r w:rsidRPr="004114C2">
        <w:rPr>
          <w:rFonts w:ascii="Palatino Linotype" w:eastAsia="Calibri" w:hAnsi="Palatino Linotype" w:cs="Arial"/>
          <w:lang w:val="es-ES"/>
        </w:rPr>
        <w:t>,</w:t>
      </w:r>
      <w:r w:rsidRPr="004114C2">
        <w:rPr>
          <w:rFonts w:ascii="Palatino Linotype" w:eastAsia="Calibri" w:hAnsi="Palatino Linotype"/>
          <w:lang w:val="es-ES"/>
        </w:rPr>
        <w:t xml:space="preserve"> </w:t>
      </w:r>
      <w:r w:rsidRPr="004114C2">
        <w:rPr>
          <w:rFonts w:ascii="Palatino Linotype" w:hAnsi="Palatino Linotype"/>
        </w:rPr>
        <w:t>el</w:t>
      </w:r>
      <w:r w:rsidRPr="004114C2">
        <w:rPr>
          <w:rFonts w:ascii="Palatino Linotype" w:hAnsi="Palatino Linotype"/>
          <w:b/>
        </w:rPr>
        <w:t xml:space="preserve"> </w:t>
      </w:r>
      <w:r w:rsidRPr="004114C2">
        <w:rPr>
          <w:rFonts w:ascii="Palatino Linotype" w:hAnsi="Palatino Linotype"/>
        </w:rPr>
        <w:t>solicitante</w:t>
      </w:r>
      <w:r w:rsidRPr="004114C2">
        <w:rPr>
          <w:rFonts w:ascii="Palatino Linotype" w:hAnsi="Palatino Linotype"/>
          <w:b/>
        </w:rPr>
        <w:t xml:space="preserve">  </w:t>
      </w:r>
      <w:r w:rsidRPr="004114C2">
        <w:rPr>
          <w:rFonts w:ascii="Palatino Linotype" w:hAnsi="Palatino Linotype"/>
        </w:rPr>
        <w:t>presentó</w:t>
      </w:r>
      <w:r w:rsidRPr="004114C2">
        <w:rPr>
          <w:rFonts w:ascii="Palatino Linotype" w:hAnsi="Palatino Linotype"/>
          <w:b/>
        </w:rPr>
        <w:t xml:space="preserve"> </w:t>
      </w:r>
      <w:r w:rsidRPr="004114C2">
        <w:rPr>
          <w:rFonts w:ascii="Palatino Linotype" w:eastAsia="Calibri" w:hAnsi="Palatino Linotype" w:cs="Arial"/>
          <w:lang w:val="es-ES"/>
        </w:rPr>
        <w:t xml:space="preserve">ante el </w:t>
      </w:r>
      <w:r w:rsidRPr="004114C2">
        <w:rPr>
          <w:rFonts w:ascii="Palatino Linotype" w:eastAsia="Calibri" w:hAnsi="Palatino Linotype" w:cs="Arial"/>
          <w:b/>
          <w:lang w:val="es-ES"/>
        </w:rPr>
        <w:t>SUJETO OBLIGADO,</w:t>
      </w:r>
      <w:r w:rsidRPr="004114C2">
        <w:rPr>
          <w:rFonts w:ascii="Palatino Linotype" w:eastAsia="Calibri" w:hAnsi="Palatino Linotype" w:cs="Arial"/>
        </w:rPr>
        <w:t xml:space="preserve"> a través del Sistema de Acceso a la Información Mexiquense (SAIMEX),</w:t>
      </w:r>
      <w:r w:rsidRPr="004114C2">
        <w:rPr>
          <w:rFonts w:ascii="Palatino Linotype" w:eastAsia="Calibri" w:hAnsi="Palatino Linotype" w:cs="Arial"/>
          <w:lang w:val="es-ES"/>
        </w:rPr>
        <w:t xml:space="preserve"> la solicitud de información pública registrada con el número </w:t>
      </w:r>
      <w:r w:rsidRPr="004114C2">
        <w:rPr>
          <w:rFonts w:ascii="Palatino Linotype" w:hAnsi="Palatino Linotype"/>
          <w:b/>
          <w:bCs/>
        </w:rPr>
        <w:t> 00366/TEPOTZOT/IP/2024</w:t>
      </w:r>
      <w:r w:rsidRPr="004114C2">
        <w:rPr>
          <w:rFonts w:ascii="Palatino Linotype" w:eastAsia="Calibri" w:hAnsi="Palatino Linotype" w:cs="Arial"/>
          <w:lang w:val="es-ES"/>
        </w:rPr>
        <w:t>, mediante la cual se solicitó:</w:t>
      </w:r>
    </w:p>
    <w:p w:rsidR="009C117C" w:rsidRPr="004114C2" w:rsidRDefault="009C117C" w:rsidP="00927641">
      <w:pPr>
        <w:tabs>
          <w:tab w:val="left" w:pos="0"/>
        </w:tabs>
        <w:spacing w:line="360" w:lineRule="auto"/>
        <w:contextualSpacing/>
        <w:jc w:val="both"/>
        <w:rPr>
          <w:rFonts w:ascii="Palatino Linotype" w:eastAsia="Calibri" w:hAnsi="Palatino Linotype" w:cs="Arial"/>
          <w:lang w:val="es-ES"/>
        </w:rPr>
      </w:pPr>
    </w:p>
    <w:p w:rsidR="009C117C" w:rsidRPr="004114C2" w:rsidRDefault="009C117C" w:rsidP="00927641">
      <w:pPr>
        <w:tabs>
          <w:tab w:val="left" w:pos="0"/>
        </w:tabs>
        <w:spacing w:line="360" w:lineRule="auto"/>
        <w:contextualSpacing/>
        <w:jc w:val="both"/>
        <w:rPr>
          <w:rFonts w:ascii="Palatino Linotype" w:hAnsi="Palatino Linotype" w:cs="Arial"/>
          <w:i/>
          <w:lang w:val="es-ES"/>
        </w:rPr>
      </w:pPr>
      <w:r w:rsidRPr="004114C2">
        <w:rPr>
          <w:rFonts w:ascii="Palatino Linotype" w:hAnsi="Palatino Linotype" w:cs="Arial"/>
          <w:i/>
          <w:lang w:val="es-ES"/>
        </w:rPr>
        <w:t>“</w:t>
      </w:r>
      <w:r w:rsidRPr="004114C2">
        <w:rPr>
          <w:rFonts w:ascii="Palatino Linotype" w:hAnsi="Palatino Linotype"/>
          <w:i/>
          <w:color w:val="000000"/>
        </w:rPr>
        <w:t>Proporcionar el porcentaje del presupuesto municipal erogado durante 2015, 2018, 2021 Y 2024 en los rubros de educación pública y sexual, deportes y combate a adicciones. Proporcionar listado de programas o actividades relacionadas con el tema antes mencionado, así como una relación de las instalaciones académicas y deportivas que administre el municipio.</w:t>
      </w:r>
      <w:r w:rsidRPr="004114C2">
        <w:rPr>
          <w:rFonts w:ascii="Palatino Linotype" w:hAnsi="Palatino Linotype" w:cs="Arial"/>
          <w:i/>
          <w:lang w:val="es-ES"/>
        </w:rPr>
        <w:t>” (Sic)</w:t>
      </w:r>
    </w:p>
    <w:p w:rsidR="009C117C" w:rsidRPr="004114C2" w:rsidRDefault="009C117C" w:rsidP="00927641">
      <w:pPr>
        <w:tabs>
          <w:tab w:val="left" w:pos="0"/>
        </w:tabs>
        <w:spacing w:line="360" w:lineRule="auto"/>
        <w:jc w:val="both"/>
        <w:rPr>
          <w:rFonts w:ascii="Palatino Linotype" w:hAnsi="Palatino Linotype" w:cs="Arial"/>
          <w:lang w:val="es-ES"/>
        </w:rPr>
      </w:pPr>
    </w:p>
    <w:p w:rsidR="009C117C" w:rsidRPr="004114C2" w:rsidRDefault="009C117C" w:rsidP="00927641">
      <w:pPr>
        <w:pStyle w:val="Prrafodelista"/>
        <w:numPr>
          <w:ilvl w:val="0"/>
          <w:numId w:val="1"/>
        </w:numPr>
        <w:spacing w:line="360" w:lineRule="auto"/>
        <w:ind w:left="0" w:firstLine="0"/>
        <w:jc w:val="both"/>
        <w:rPr>
          <w:rFonts w:ascii="Palatino Linotype" w:hAnsi="Palatino Linotype" w:cs="Arial"/>
          <w:i/>
        </w:rPr>
      </w:pPr>
      <w:r w:rsidRPr="004114C2">
        <w:rPr>
          <w:rFonts w:ascii="Palatino Linotype" w:hAnsi="Palatino Linotype" w:cs="Arial"/>
        </w:rPr>
        <w:lastRenderedPageBreak/>
        <w:t>Se hace constar que se señaló como modalidad de entrega de la información a través de SAIMEX.</w:t>
      </w:r>
    </w:p>
    <w:p w:rsidR="009C117C" w:rsidRPr="004114C2" w:rsidRDefault="009C117C" w:rsidP="00927641">
      <w:pPr>
        <w:spacing w:line="360" w:lineRule="auto"/>
        <w:rPr>
          <w:rFonts w:ascii="Palatino Linotype" w:hAnsi="Palatino Linotype" w:cs="Arial"/>
          <w:lang w:val="es-ES"/>
        </w:rPr>
      </w:pPr>
    </w:p>
    <w:p w:rsidR="009C117C" w:rsidRPr="004114C2" w:rsidRDefault="009C117C" w:rsidP="00927641">
      <w:pPr>
        <w:numPr>
          <w:ilvl w:val="0"/>
          <w:numId w:val="1"/>
        </w:numPr>
        <w:tabs>
          <w:tab w:val="left" w:pos="0"/>
        </w:tabs>
        <w:spacing w:line="360" w:lineRule="auto"/>
        <w:ind w:left="0" w:firstLine="0"/>
        <w:contextualSpacing/>
        <w:jc w:val="both"/>
        <w:rPr>
          <w:rFonts w:ascii="Palatino Linotype" w:hAnsi="Palatino Linotype" w:cs="Arial"/>
          <w:lang w:val="es-ES"/>
        </w:rPr>
      </w:pPr>
      <w:r w:rsidRPr="004114C2">
        <w:rPr>
          <w:rFonts w:ascii="Palatino Linotype" w:hAnsi="Palatino Linotype" w:cs="Arial"/>
          <w:lang w:val="es-ES"/>
        </w:rPr>
        <w:t xml:space="preserve">El </w:t>
      </w:r>
      <w:r w:rsidRPr="004114C2">
        <w:rPr>
          <w:rFonts w:ascii="Palatino Linotype" w:hAnsi="Palatino Linotype" w:cs="Arial"/>
          <w:b/>
          <w:lang w:val="es-ES"/>
        </w:rPr>
        <w:t>siete de diciembre de dos mil veinticuatro</w:t>
      </w:r>
      <w:r w:rsidRPr="004114C2">
        <w:rPr>
          <w:rFonts w:ascii="Palatino Linotype" w:hAnsi="Palatino Linotype" w:cs="Arial"/>
          <w:lang w:val="es-ES"/>
        </w:rPr>
        <w:t>, el Sujeto Obligado dio respuesta a la solicitud de información en el siguiente sentido:</w:t>
      </w:r>
    </w:p>
    <w:p w:rsidR="009C117C" w:rsidRPr="004114C2" w:rsidRDefault="009C117C" w:rsidP="00927641">
      <w:pPr>
        <w:tabs>
          <w:tab w:val="left" w:pos="0"/>
        </w:tabs>
        <w:spacing w:line="360" w:lineRule="auto"/>
        <w:contextualSpacing/>
        <w:jc w:val="both"/>
        <w:rPr>
          <w:rFonts w:ascii="Palatino Linotype" w:hAnsi="Palatino Linotype" w:cs="Arial"/>
          <w:lang w:val="es-ES"/>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9C117C" w:rsidRPr="004114C2" w:rsidTr="003F1B32">
        <w:trPr>
          <w:trHeight w:val="315"/>
          <w:tblCellSpacing w:w="0" w:type="dxa"/>
          <w:jc w:val="center"/>
        </w:trPr>
        <w:tc>
          <w:tcPr>
            <w:tcW w:w="0" w:type="auto"/>
            <w:vAlign w:val="center"/>
            <w:hideMark/>
          </w:tcPr>
          <w:p w:rsidR="009C117C" w:rsidRPr="004114C2" w:rsidRDefault="009C117C" w:rsidP="00927641">
            <w:pPr>
              <w:jc w:val="right"/>
              <w:rPr>
                <w:rFonts w:ascii="Palatino Linotype" w:hAnsi="Palatino Linotype"/>
                <w:i/>
              </w:rPr>
            </w:pPr>
            <w:r w:rsidRPr="004114C2">
              <w:rPr>
                <w:rFonts w:ascii="Palatino Linotype" w:hAnsi="Palatino Linotype"/>
                <w:i/>
              </w:rPr>
              <w:br/>
              <w:t>Tepotzotlán, México a 07 de Diciembre de 2024</w:t>
            </w:r>
          </w:p>
        </w:tc>
      </w:tr>
      <w:tr w:rsidR="009C117C" w:rsidRPr="004114C2" w:rsidTr="003F1B32">
        <w:trPr>
          <w:trHeight w:val="315"/>
          <w:tblCellSpacing w:w="0" w:type="dxa"/>
          <w:jc w:val="center"/>
        </w:trPr>
        <w:tc>
          <w:tcPr>
            <w:tcW w:w="0" w:type="auto"/>
            <w:vAlign w:val="center"/>
            <w:hideMark/>
          </w:tcPr>
          <w:p w:rsidR="009C117C" w:rsidRPr="004114C2" w:rsidRDefault="009C117C" w:rsidP="00927641">
            <w:pPr>
              <w:jc w:val="right"/>
              <w:rPr>
                <w:rFonts w:ascii="Palatino Linotype" w:hAnsi="Palatino Linotype"/>
                <w:i/>
              </w:rPr>
            </w:pPr>
            <w:r w:rsidRPr="004114C2">
              <w:rPr>
                <w:rFonts w:ascii="Palatino Linotype" w:hAnsi="Palatino Linotype"/>
                <w:i/>
              </w:rPr>
              <w:t>Nombre del solicitante: C. Solicitante</w:t>
            </w:r>
          </w:p>
        </w:tc>
      </w:tr>
      <w:tr w:rsidR="009C117C" w:rsidRPr="004114C2" w:rsidTr="003F1B32">
        <w:trPr>
          <w:trHeight w:val="315"/>
          <w:tblCellSpacing w:w="0" w:type="dxa"/>
          <w:jc w:val="center"/>
        </w:trPr>
        <w:tc>
          <w:tcPr>
            <w:tcW w:w="0" w:type="auto"/>
            <w:vAlign w:val="center"/>
            <w:hideMark/>
          </w:tcPr>
          <w:p w:rsidR="009C117C" w:rsidRPr="004114C2" w:rsidRDefault="009C117C" w:rsidP="00927641">
            <w:pPr>
              <w:jc w:val="right"/>
              <w:rPr>
                <w:rFonts w:ascii="Palatino Linotype" w:hAnsi="Palatino Linotype"/>
                <w:i/>
              </w:rPr>
            </w:pPr>
            <w:r w:rsidRPr="004114C2">
              <w:rPr>
                <w:rFonts w:ascii="Palatino Linotype" w:hAnsi="Palatino Linotype"/>
                <w:i/>
              </w:rPr>
              <w:t>Folio de la solicitud: 00366/TEPOTZOT/IP/2024</w:t>
            </w: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jc w:val="center"/>
              <w:rPr>
                <w:rFonts w:ascii="Palatino Linotype" w:hAnsi="Palatino Linotype"/>
                <w:i/>
              </w:rPr>
            </w:pPr>
          </w:p>
        </w:tc>
      </w:tr>
      <w:tr w:rsidR="009C117C" w:rsidRPr="004114C2" w:rsidTr="003F1B32">
        <w:trPr>
          <w:trHeight w:val="394"/>
          <w:tblCellSpacing w:w="0" w:type="dxa"/>
          <w:jc w:val="center"/>
        </w:trPr>
        <w:tc>
          <w:tcPr>
            <w:tcW w:w="0" w:type="auto"/>
            <w:vAlign w:val="center"/>
            <w:hideMark/>
          </w:tcPr>
          <w:p w:rsidR="009C117C" w:rsidRPr="004114C2" w:rsidRDefault="009C117C" w:rsidP="00927641">
            <w:pPr>
              <w:rPr>
                <w:rFonts w:ascii="Palatino Linotype" w:hAnsi="Palatino Linotype"/>
                <w:i/>
              </w:rPr>
            </w:pP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jc w:val="both"/>
              <w:rPr>
                <w:rFonts w:ascii="Palatino Linotype" w:hAnsi="Palatino Linotype"/>
                <w:i/>
              </w:rPr>
            </w:pPr>
            <w:r w:rsidRPr="004114C2">
              <w:rPr>
                <w:rFonts w:ascii="Palatino Linotype" w:hAnsi="Palatino Linotype"/>
                <w:i/>
              </w:rPr>
              <w:t>Se informa que la información solicitada: “Proporcionar el porcentaje del presupuesto municipal erogado durante 2015, 2018, 2021 Y 2024 en los rubros ..., deportes... Proporcionar listado de programas o actividades relacionadas con el tema antes mencionado, así como una relación de las instalaciones académicas y deportivas que administre el municipio." (sic) No le compete al Sujeto Obligado Ayuntamiento de Tepotzotlán, por lo que se hace de su conocimiento que tiene que ingresar al Sistema de Acceso a la Información Mexiquense (SAIMEX) y dirigirse al Sujeto Obligado "Instituto Municipal de Cultura Física y Deporte de Tepotzotlán", según lo marca el -Padrón de Sujetos Obligados en materia de Transparencia y Acceso a la Información Pública del Estado de México y Municipios- del INFOEM.</w:t>
            </w:r>
          </w:p>
        </w:tc>
      </w:tr>
      <w:tr w:rsidR="009C117C" w:rsidRPr="004114C2" w:rsidTr="003F1B32">
        <w:trPr>
          <w:trHeight w:val="394"/>
          <w:tblCellSpacing w:w="0" w:type="dxa"/>
          <w:jc w:val="center"/>
        </w:trPr>
        <w:tc>
          <w:tcPr>
            <w:tcW w:w="0" w:type="auto"/>
            <w:vAlign w:val="center"/>
            <w:hideMark/>
          </w:tcPr>
          <w:p w:rsidR="009C117C" w:rsidRPr="004114C2" w:rsidRDefault="009C117C" w:rsidP="00927641">
            <w:pPr>
              <w:rPr>
                <w:rFonts w:ascii="Palatino Linotype" w:hAnsi="Palatino Linotype"/>
                <w:i/>
              </w:rPr>
            </w:pP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jc w:val="center"/>
              <w:rPr>
                <w:rFonts w:ascii="Palatino Linotype" w:hAnsi="Palatino Linotype"/>
                <w:i/>
              </w:rPr>
            </w:pP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rPr>
                <w:rFonts w:ascii="Palatino Linotype" w:hAnsi="Palatino Linotype"/>
                <w:i/>
              </w:rPr>
            </w:pP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rPr>
                <w:rFonts w:ascii="Palatino Linotype" w:hAnsi="Palatino Linotype"/>
                <w:i/>
              </w:rPr>
            </w:pPr>
            <w:r w:rsidRPr="004114C2">
              <w:rPr>
                <w:rFonts w:ascii="Palatino Linotype" w:hAnsi="Palatino Linotype"/>
                <w:i/>
              </w:rPr>
              <w:t>ATENTAMENTE</w:t>
            </w:r>
          </w:p>
        </w:tc>
      </w:tr>
      <w:tr w:rsidR="009C117C" w:rsidRPr="004114C2" w:rsidTr="003F1B32">
        <w:trPr>
          <w:trHeight w:val="236"/>
          <w:tblCellSpacing w:w="0" w:type="dxa"/>
          <w:jc w:val="center"/>
        </w:trPr>
        <w:tc>
          <w:tcPr>
            <w:tcW w:w="0" w:type="auto"/>
            <w:vAlign w:val="center"/>
            <w:hideMark/>
          </w:tcPr>
          <w:p w:rsidR="009C117C" w:rsidRPr="004114C2" w:rsidRDefault="009C117C" w:rsidP="00927641">
            <w:pPr>
              <w:rPr>
                <w:rFonts w:ascii="Palatino Linotype" w:hAnsi="Palatino Linotype"/>
                <w:i/>
              </w:rPr>
            </w:pPr>
          </w:p>
        </w:tc>
      </w:tr>
      <w:tr w:rsidR="009C117C" w:rsidRPr="004114C2" w:rsidTr="003F1B32">
        <w:trPr>
          <w:trHeight w:val="157"/>
          <w:tblCellSpacing w:w="0" w:type="dxa"/>
          <w:jc w:val="center"/>
        </w:trPr>
        <w:tc>
          <w:tcPr>
            <w:tcW w:w="0" w:type="auto"/>
            <w:vAlign w:val="center"/>
            <w:hideMark/>
          </w:tcPr>
          <w:p w:rsidR="009C117C" w:rsidRPr="004114C2" w:rsidRDefault="009C117C" w:rsidP="00927641">
            <w:pPr>
              <w:rPr>
                <w:rFonts w:ascii="Palatino Linotype" w:hAnsi="Palatino Linotype"/>
                <w:i/>
              </w:rPr>
            </w:pPr>
            <w:r w:rsidRPr="004114C2">
              <w:rPr>
                <w:rFonts w:ascii="Palatino Linotype" w:hAnsi="Palatino Linotype"/>
                <w:i/>
              </w:rPr>
              <w:t>P.L.C.C. David González Corona</w:t>
            </w:r>
          </w:p>
        </w:tc>
      </w:tr>
    </w:tbl>
    <w:p w:rsidR="009C117C" w:rsidRPr="004114C2" w:rsidRDefault="009C117C" w:rsidP="00927641">
      <w:pPr>
        <w:tabs>
          <w:tab w:val="left" w:pos="0"/>
        </w:tabs>
        <w:spacing w:line="360" w:lineRule="auto"/>
        <w:contextualSpacing/>
        <w:jc w:val="both"/>
        <w:rPr>
          <w:rFonts w:ascii="Palatino Linotype" w:hAnsi="Palatino Linotype" w:cs="Arial"/>
          <w:lang w:val="es-ES"/>
        </w:rPr>
      </w:pPr>
    </w:p>
    <w:p w:rsidR="009C117C" w:rsidRPr="004114C2" w:rsidRDefault="009C117C" w:rsidP="00927641">
      <w:pPr>
        <w:pStyle w:val="Prrafodelista"/>
        <w:numPr>
          <w:ilvl w:val="0"/>
          <w:numId w:val="8"/>
        </w:numPr>
        <w:tabs>
          <w:tab w:val="left" w:pos="0"/>
        </w:tabs>
        <w:spacing w:line="360" w:lineRule="auto"/>
        <w:ind w:left="0"/>
        <w:jc w:val="both"/>
        <w:rPr>
          <w:rFonts w:ascii="Palatino Linotype" w:hAnsi="Palatino Linotype" w:cs="Arial"/>
          <w:i/>
          <w:lang w:val="es-ES"/>
        </w:rPr>
      </w:pPr>
      <w:r w:rsidRPr="004114C2">
        <w:rPr>
          <w:rFonts w:ascii="Palatino Linotype" w:eastAsia="Calibri" w:hAnsi="Palatino Linotype" w:cs="Arial"/>
          <w:lang w:val="es-AR"/>
        </w:rPr>
        <w:lastRenderedPageBreak/>
        <w:t xml:space="preserve">A la respuesta se adjuntó el archivo denominado </w:t>
      </w:r>
      <w:hyperlink r:id="rId7" w:tgtFrame="_blank" w:history="1">
        <w:r w:rsidRPr="004114C2">
          <w:rPr>
            <w:rStyle w:val="Hipervnculo"/>
            <w:rFonts w:ascii="Palatino Linotype" w:eastAsia="Calibri" w:hAnsi="Palatino Linotype" w:cs="Arial"/>
            <w:b/>
            <w:bCs/>
          </w:rPr>
          <w:t>HAT-UTAIP-2024-778 incompetencia.pdf</w:t>
        </w:r>
      </w:hyperlink>
      <w:r w:rsidRPr="004114C2">
        <w:rPr>
          <w:rFonts w:ascii="Palatino Linotype" w:eastAsia="Calibri" w:hAnsi="Palatino Linotype" w:cs="Arial"/>
          <w:lang w:val="es-AR"/>
        </w:rPr>
        <w:t xml:space="preserve">, en el que se advierte el oficio número HAT/UTAIP/204/778 de fecha seis de diciembre de dos mil veinticuatro, suscrito por el Titular de la Unidad de Transparencia en el que señaló incompetencia parcial, para conocer la información solicitada referente al porcentaje de presupuesto erogado durante  2015, 2018, 2021 y 2024 en los rubros de deportes. </w:t>
      </w:r>
    </w:p>
    <w:p w:rsidR="009C117C" w:rsidRPr="004114C2" w:rsidRDefault="009C117C" w:rsidP="00927641">
      <w:pPr>
        <w:spacing w:line="360" w:lineRule="auto"/>
        <w:jc w:val="both"/>
        <w:rPr>
          <w:rFonts w:ascii="Palatino Linotype" w:hAnsi="Palatino Linotype" w:cs="Arial"/>
        </w:rPr>
      </w:pPr>
      <w:bookmarkStart w:id="3" w:name="_Hlk155101321"/>
      <w:r w:rsidRPr="004114C2">
        <w:rPr>
          <w:rFonts w:ascii="Palatino Linotype" w:hAnsi="Palatino Linotype" w:cs="Arial"/>
        </w:rPr>
        <w:t xml:space="preserve">   </w:t>
      </w:r>
    </w:p>
    <w:bookmarkEnd w:id="3"/>
    <w:p w:rsidR="009C117C" w:rsidRPr="004114C2" w:rsidRDefault="009C117C" w:rsidP="00927641">
      <w:pPr>
        <w:pStyle w:val="Prrafodelista"/>
        <w:numPr>
          <w:ilvl w:val="0"/>
          <w:numId w:val="1"/>
        </w:numPr>
        <w:tabs>
          <w:tab w:val="left" w:pos="284"/>
        </w:tabs>
        <w:spacing w:line="360" w:lineRule="auto"/>
        <w:ind w:left="0" w:firstLine="0"/>
        <w:jc w:val="both"/>
        <w:rPr>
          <w:rFonts w:ascii="Palatino Linotype" w:hAnsi="Palatino Linotype"/>
          <w:color w:val="000000" w:themeColor="text1"/>
        </w:rPr>
      </w:pPr>
      <w:r w:rsidRPr="004114C2">
        <w:rPr>
          <w:rFonts w:ascii="Palatino Linotype" w:hAnsi="Palatino Linotype"/>
          <w:color w:val="000000" w:themeColor="text1"/>
        </w:rPr>
        <w:t xml:space="preserve">El catorce de diciembre de dos mil veinticuatro, el Sujeto Obligado realizó un requerimiento de información al servidor público habilitado. </w:t>
      </w:r>
    </w:p>
    <w:p w:rsidR="009C117C" w:rsidRPr="004114C2" w:rsidRDefault="009C117C" w:rsidP="00927641">
      <w:pPr>
        <w:pStyle w:val="Prrafodelista"/>
        <w:tabs>
          <w:tab w:val="left" w:pos="284"/>
        </w:tabs>
        <w:spacing w:line="360" w:lineRule="auto"/>
        <w:ind w:left="0"/>
        <w:jc w:val="both"/>
        <w:rPr>
          <w:rFonts w:ascii="Palatino Linotype" w:hAnsi="Palatino Linotype"/>
          <w:color w:val="000000" w:themeColor="text1"/>
        </w:rPr>
      </w:pPr>
    </w:p>
    <w:p w:rsidR="009C117C" w:rsidRPr="004114C2" w:rsidRDefault="009C117C" w:rsidP="00927641">
      <w:pPr>
        <w:pStyle w:val="Prrafodelista"/>
        <w:numPr>
          <w:ilvl w:val="0"/>
          <w:numId w:val="1"/>
        </w:numPr>
        <w:tabs>
          <w:tab w:val="left" w:pos="284"/>
        </w:tabs>
        <w:spacing w:line="360" w:lineRule="auto"/>
        <w:ind w:left="0" w:firstLine="0"/>
        <w:jc w:val="both"/>
        <w:rPr>
          <w:rFonts w:ascii="Palatino Linotype" w:hAnsi="Palatino Linotype"/>
          <w:color w:val="000000" w:themeColor="text1"/>
        </w:rPr>
      </w:pPr>
      <w:r w:rsidRPr="004114C2">
        <w:rPr>
          <w:rFonts w:ascii="Palatino Linotype" w:eastAsia="Times New Roman" w:hAnsi="Palatino Linotype" w:cs="Arial"/>
          <w:color w:val="000000" w:themeColor="text1"/>
          <w:lang w:val="es-ES"/>
        </w:rPr>
        <w:t xml:space="preserve">Derivado de la respuesta del </w:t>
      </w:r>
      <w:r w:rsidRPr="004114C2">
        <w:rPr>
          <w:rFonts w:ascii="Palatino Linotype" w:eastAsia="Times New Roman" w:hAnsi="Palatino Linotype" w:cs="Arial"/>
          <w:b/>
          <w:bCs/>
          <w:color w:val="000000" w:themeColor="text1"/>
          <w:lang w:val="es-ES"/>
        </w:rPr>
        <w:t>SUJETO OBLIGADO</w:t>
      </w:r>
      <w:r w:rsidRPr="004114C2">
        <w:rPr>
          <w:rFonts w:ascii="Palatino Linotype" w:eastAsia="Times New Roman" w:hAnsi="Palatino Linotype" w:cs="Arial"/>
          <w:color w:val="000000" w:themeColor="text1"/>
          <w:lang w:val="es-ES"/>
        </w:rPr>
        <w:t xml:space="preserve">, el </w:t>
      </w:r>
      <w:r w:rsidR="003F1B32" w:rsidRPr="004114C2">
        <w:rPr>
          <w:rFonts w:ascii="Palatino Linotype" w:eastAsia="Times New Roman" w:hAnsi="Palatino Linotype" w:cs="Arial"/>
          <w:color w:val="000000" w:themeColor="text1"/>
          <w:lang w:val="es-ES"/>
        </w:rPr>
        <w:t xml:space="preserve"> </w:t>
      </w:r>
      <w:r w:rsidR="003F1B32" w:rsidRPr="004114C2">
        <w:rPr>
          <w:rFonts w:ascii="Palatino Linotype" w:eastAsia="Times New Roman" w:hAnsi="Palatino Linotype" w:cs="Arial"/>
          <w:b/>
          <w:color w:val="000000" w:themeColor="text1"/>
          <w:lang w:val="es-ES"/>
        </w:rPr>
        <w:t>cuatro de febrero de dos mil veinticinco</w:t>
      </w:r>
      <w:r w:rsidRPr="004114C2">
        <w:rPr>
          <w:rFonts w:ascii="Palatino Linotype" w:eastAsia="Times New Roman" w:hAnsi="Palatino Linotype" w:cs="Arial"/>
          <w:color w:val="000000" w:themeColor="text1"/>
          <w:lang w:val="es-ES"/>
        </w:rPr>
        <w:t>, el particular i</w:t>
      </w:r>
      <w:r w:rsidR="003F1B32" w:rsidRPr="004114C2">
        <w:rPr>
          <w:rFonts w:ascii="Palatino Linotype" w:eastAsia="Times New Roman" w:hAnsi="Palatino Linotype" w:cs="Arial"/>
          <w:color w:val="000000" w:themeColor="text1"/>
          <w:lang w:val="es-ES"/>
        </w:rPr>
        <w:t xml:space="preserve">nterpuso el recurso de revisión, </w:t>
      </w:r>
      <w:r w:rsidRPr="004114C2">
        <w:rPr>
          <w:rFonts w:ascii="Palatino Linotype" w:eastAsia="Times New Roman" w:hAnsi="Palatino Linotype" w:cs="Arial"/>
          <w:color w:val="000000" w:themeColor="text1"/>
          <w:lang w:val="es-ES"/>
        </w:rPr>
        <w:t>impugnación en la que refirió lo siguiente:</w:t>
      </w:r>
    </w:p>
    <w:p w:rsidR="009C117C" w:rsidRPr="004114C2" w:rsidRDefault="009C117C" w:rsidP="00927641">
      <w:pPr>
        <w:pStyle w:val="Prrafodelista"/>
        <w:tabs>
          <w:tab w:val="left" w:pos="426"/>
        </w:tabs>
        <w:spacing w:line="360" w:lineRule="auto"/>
        <w:ind w:left="0"/>
        <w:jc w:val="both"/>
        <w:rPr>
          <w:rFonts w:ascii="Palatino Linotype" w:eastAsia="Times New Roman" w:hAnsi="Palatino Linotype" w:cs="Arial"/>
          <w:color w:val="000000" w:themeColor="text1"/>
        </w:rPr>
      </w:pPr>
    </w:p>
    <w:p w:rsidR="009C117C" w:rsidRPr="004114C2" w:rsidRDefault="009C117C" w:rsidP="00927641">
      <w:pPr>
        <w:tabs>
          <w:tab w:val="left" w:pos="851"/>
        </w:tabs>
        <w:spacing w:line="276" w:lineRule="auto"/>
        <w:jc w:val="both"/>
        <w:rPr>
          <w:rFonts w:ascii="Palatino Linotype" w:eastAsia="Times New Roman" w:hAnsi="Palatino Linotype" w:cs="Arial"/>
          <w:color w:val="000000" w:themeColor="text1"/>
          <w:lang w:val="es-ES"/>
        </w:rPr>
      </w:pPr>
      <w:r w:rsidRPr="004114C2">
        <w:rPr>
          <w:rFonts w:ascii="Palatino Linotype" w:eastAsia="Times New Roman" w:hAnsi="Palatino Linotype" w:cs="Arial"/>
          <w:b/>
          <w:color w:val="000000" w:themeColor="text1"/>
          <w:lang w:val="es-ES"/>
        </w:rPr>
        <w:t>Acto impugnado:</w:t>
      </w:r>
      <w:r w:rsidRPr="004114C2">
        <w:rPr>
          <w:rFonts w:ascii="Palatino Linotype" w:eastAsia="Times New Roman" w:hAnsi="Palatino Linotype" w:cs="Arial"/>
          <w:color w:val="000000" w:themeColor="text1"/>
          <w:lang w:val="es-ES"/>
        </w:rPr>
        <w:t xml:space="preserve"> “</w:t>
      </w:r>
      <w:r w:rsidR="003F1B32" w:rsidRPr="004114C2">
        <w:rPr>
          <w:rFonts w:ascii="Palatino Linotype" w:eastAsia="Times New Roman" w:hAnsi="Palatino Linotype" w:cs="Arial"/>
          <w:i/>
          <w:color w:val="000000" w:themeColor="text1"/>
        </w:rPr>
        <w:t>No respondieron a mi solicitud</w:t>
      </w:r>
      <w:r w:rsidRPr="004114C2">
        <w:rPr>
          <w:rFonts w:ascii="Palatino Linotype" w:eastAsia="Times New Roman" w:hAnsi="Palatino Linotype" w:cs="Arial"/>
          <w:i/>
          <w:color w:val="000000" w:themeColor="text1"/>
          <w:lang w:val="es-ES"/>
        </w:rPr>
        <w:t>” (Sic).</w:t>
      </w:r>
    </w:p>
    <w:p w:rsidR="009C117C" w:rsidRPr="004114C2" w:rsidRDefault="009C117C" w:rsidP="00927641">
      <w:pPr>
        <w:pStyle w:val="Prrafodelista"/>
        <w:tabs>
          <w:tab w:val="left" w:pos="851"/>
        </w:tabs>
        <w:spacing w:line="276" w:lineRule="auto"/>
        <w:ind w:left="0"/>
        <w:jc w:val="both"/>
        <w:rPr>
          <w:rFonts w:ascii="Palatino Linotype" w:eastAsia="Times New Roman" w:hAnsi="Palatino Linotype" w:cs="Arial"/>
          <w:color w:val="000000" w:themeColor="text1"/>
          <w:lang w:val="es-ES"/>
        </w:rPr>
      </w:pPr>
    </w:p>
    <w:p w:rsidR="009C117C" w:rsidRPr="004114C2" w:rsidRDefault="009C117C" w:rsidP="00927641">
      <w:pPr>
        <w:tabs>
          <w:tab w:val="left" w:pos="851"/>
        </w:tabs>
        <w:spacing w:line="276" w:lineRule="auto"/>
        <w:jc w:val="both"/>
        <w:rPr>
          <w:rFonts w:ascii="Palatino Linotype" w:eastAsia="Times New Roman" w:hAnsi="Palatino Linotype" w:cs="Arial"/>
          <w:color w:val="000000" w:themeColor="text1"/>
          <w:lang w:val="es-ES"/>
        </w:rPr>
      </w:pPr>
      <w:r w:rsidRPr="004114C2">
        <w:rPr>
          <w:rFonts w:ascii="Palatino Linotype" w:eastAsia="Times New Roman" w:hAnsi="Palatino Linotype" w:cs="Arial"/>
          <w:b/>
          <w:color w:val="000000" w:themeColor="text1"/>
          <w:lang w:val="es-ES"/>
        </w:rPr>
        <w:t>Razones o motivos de inconformidad:</w:t>
      </w:r>
      <w:r w:rsidRPr="004114C2">
        <w:rPr>
          <w:rFonts w:ascii="Palatino Linotype" w:eastAsia="Times New Roman" w:hAnsi="Palatino Linotype" w:cs="Arial"/>
          <w:color w:val="000000" w:themeColor="text1"/>
          <w:lang w:val="es-ES"/>
        </w:rPr>
        <w:t xml:space="preserve"> </w:t>
      </w:r>
      <w:r w:rsidR="003F1B32" w:rsidRPr="004114C2">
        <w:rPr>
          <w:rFonts w:ascii="Palatino Linotype" w:eastAsia="Times New Roman" w:hAnsi="Palatino Linotype" w:cs="Arial"/>
          <w:color w:val="000000" w:themeColor="text1"/>
          <w:lang w:val="es-ES"/>
        </w:rPr>
        <w:t>“</w:t>
      </w:r>
      <w:r w:rsidR="003F1B32" w:rsidRPr="004114C2">
        <w:rPr>
          <w:rFonts w:ascii="Palatino Linotype" w:eastAsia="Times New Roman" w:hAnsi="Palatino Linotype" w:cs="Arial"/>
          <w:i/>
          <w:iCs/>
          <w:color w:val="000000" w:themeColor="text1"/>
        </w:rPr>
        <w:t>No respondieron a mi solicitud” (Sic)</w:t>
      </w:r>
    </w:p>
    <w:p w:rsidR="009C117C" w:rsidRPr="004114C2" w:rsidRDefault="009C117C" w:rsidP="00927641">
      <w:pPr>
        <w:tabs>
          <w:tab w:val="left" w:pos="426"/>
        </w:tabs>
        <w:spacing w:line="360" w:lineRule="auto"/>
        <w:jc w:val="both"/>
        <w:rPr>
          <w:rFonts w:ascii="Palatino Linotype" w:hAnsi="Palatino Linotype"/>
          <w:color w:val="000000" w:themeColor="text1"/>
        </w:rPr>
      </w:pPr>
    </w:p>
    <w:p w:rsidR="009C117C" w:rsidRPr="004114C2" w:rsidRDefault="009C117C" w:rsidP="00927641">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4114C2">
        <w:rPr>
          <w:rFonts w:ascii="Palatino Linotype" w:eastAsia="Calibri" w:hAnsi="Palatino Linotype" w:cs="Arial"/>
          <w:bCs/>
          <w:color w:val="000000" w:themeColor="text1"/>
        </w:rPr>
        <w:t xml:space="preserve">Asimismo, con fundamento en lo dispuesto por el </w:t>
      </w:r>
      <w:r w:rsidRPr="004114C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4114C2">
        <w:rPr>
          <w:rFonts w:ascii="Palatino Linotype" w:eastAsia="Calibri" w:hAnsi="Palatino Linotype" w:cs="Arial"/>
          <w:b/>
          <w:bCs/>
          <w:color w:val="000000" w:themeColor="text1"/>
          <w:lang w:val="es-ES"/>
        </w:rPr>
        <w:t>Comisionada María del Rosario Mejía Ayala</w:t>
      </w:r>
      <w:r w:rsidRPr="004114C2">
        <w:rPr>
          <w:rFonts w:ascii="Palatino Linotype" w:eastAsia="Calibri" w:hAnsi="Palatino Linotype" w:cs="Arial"/>
          <w:bCs/>
          <w:color w:val="000000" w:themeColor="text1"/>
          <w:lang w:val="es-ES"/>
        </w:rPr>
        <w:t xml:space="preserve">, con el objeto de </w:t>
      </w:r>
      <w:r w:rsidRPr="004114C2">
        <w:rPr>
          <w:rFonts w:ascii="Palatino Linotype" w:eastAsia="Calibri" w:hAnsi="Palatino Linotype" w:cs="Arial"/>
          <w:bCs/>
          <w:color w:val="000000" w:themeColor="text1"/>
        </w:rPr>
        <w:t>su análisis.</w:t>
      </w:r>
    </w:p>
    <w:p w:rsidR="009C117C" w:rsidRPr="004114C2" w:rsidRDefault="009C117C" w:rsidP="00927641">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rsidR="009C117C" w:rsidRPr="004114C2" w:rsidRDefault="009C117C" w:rsidP="00927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4" w:name="_Hlk74251533"/>
      <w:r w:rsidRPr="004114C2">
        <w:rPr>
          <w:rFonts w:ascii="Palatino Linotype" w:eastAsia="Times New Roman" w:hAnsi="Palatino Linotype" w:cs="Arial"/>
          <w:color w:val="000000" w:themeColor="text1"/>
          <w:lang w:val="es-ES"/>
        </w:rPr>
        <w:t>La Comisionada Ponente</w:t>
      </w:r>
      <w:r w:rsidRPr="004114C2">
        <w:rPr>
          <w:rFonts w:ascii="Palatino Linotype" w:eastAsia="Calibri" w:hAnsi="Palatino Linotype" w:cs="Arial"/>
          <w:color w:val="000000" w:themeColor="text1"/>
          <w:lang w:val="es-ES"/>
        </w:rPr>
        <w:t>, con fundamento en lo dispuesto por el artículo 185, fracción II, de la ley de la materia, a través del acuerdo de admisión de</w:t>
      </w:r>
      <w:r w:rsidR="003F1B32" w:rsidRPr="004114C2">
        <w:rPr>
          <w:rFonts w:ascii="Palatino Linotype" w:eastAsia="Calibri" w:hAnsi="Palatino Linotype" w:cs="Arial"/>
          <w:color w:val="000000" w:themeColor="text1"/>
          <w:lang w:val="es-ES"/>
        </w:rPr>
        <w:t>l</w:t>
      </w:r>
      <w:r w:rsidRPr="004114C2">
        <w:rPr>
          <w:rFonts w:ascii="Palatino Linotype" w:eastAsia="Calibri" w:hAnsi="Palatino Linotype" w:cs="Arial"/>
          <w:color w:val="000000" w:themeColor="text1"/>
          <w:lang w:val="es-ES"/>
        </w:rPr>
        <w:t xml:space="preserve"> </w:t>
      </w:r>
      <w:r w:rsidR="003F1B32" w:rsidRPr="004114C2">
        <w:rPr>
          <w:rFonts w:ascii="Palatino Linotype" w:eastAsia="Calibri" w:hAnsi="Palatino Linotype" w:cs="Arial"/>
          <w:b/>
          <w:bCs/>
          <w:color w:val="000000" w:themeColor="text1"/>
          <w:lang w:val="es-ES"/>
        </w:rPr>
        <w:t>cuatro de febrero de dos mil veinticinco</w:t>
      </w:r>
      <w:r w:rsidRPr="004114C2">
        <w:rPr>
          <w:rFonts w:ascii="Palatino Linotype" w:eastAsia="Calibri" w:hAnsi="Palatino Linotype" w:cs="Arial"/>
          <w:color w:val="000000" w:themeColor="text1"/>
          <w:lang w:val="es-ES"/>
        </w:rPr>
        <w:t xml:space="preserve">, puso a disposición de las partes el expediente electrónico </w:t>
      </w:r>
      <w:r w:rsidRPr="004114C2">
        <w:rPr>
          <w:rFonts w:ascii="Palatino Linotype" w:eastAsia="Calibri" w:hAnsi="Palatino Linotype" w:cs="Arial"/>
          <w:color w:val="000000" w:themeColor="text1"/>
        </w:rPr>
        <w:t xml:space="preserve">vía </w:t>
      </w:r>
      <w:r w:rsidRPr="004114C2">
        <w:rPr>
          <w:rFonts w:ascii="Palatino Linotype" w:eastAsia="Calibri" w:hAnsi="Palatino Linotype" w:cs="Arial"/>
          <w:color w:val="000000" w:themeColor="text1"/>
          <w:lang w:val="es-ES"/>
        </w:rPr>
        <w:lastRenderedPageBreak/>
        <w:t xml:space="preserve">SAIMEX, a efecto de que en un plazo máximo de siete días manifestaran lo que a derecho convinieran, ofrecieran pruebas y alegatos según corresponda a los casos concretos, de esta forma para que el </w:t>
      </w:r>
      <w:r w:rsidRPr="004114C2">
        <w:rPr>
          <w:rFonts w:ascii="Palatino Linotype" w:eastAsia="Calibri" w:hAnsi="Palatino Linotype" w:cs="Arial"/>
          <w:b/>
          <w:color w:val="000000" w:themeColor="text1"/>
          <w:lang w:val="es-ES"/>
        </w:rPr>
        <w:t>SUJETO OBLIGADO</w:t>
      </w:r>
      <w:r w:rsidRPr="004114C2">
        <w:rPr>
          <w:rFonts w:ascii="Palatino Linotype" w:eastAsia="Calibri" w:hAnsi="Palatino Linotype" w:cs="Arial"/>
          <w:color w:val="000000" w:themeColor="text1"/>
          <w:lang w:val="es-ES"/>
        </w:rPr>
        <w:t xml:space="preserve"> presentara </w:t>
      </w:r>
      <w:bookmarkEnd w:id="4"/>
      <w:r w:rsidRPr="004114C2">
        <w:rPr>
          <w:rFonts w:ascii="Palatino Linotype" w:eastAsia="Calibri" w:hAnsi="Palatino Linotype" w:cs="Arial"/>
          <w:color w:val="000000" w:themeColor="text1"/>
          <w:lang w:val="es-ES"/>
        </w:rPr>
        <w:t>su informe justificado procedente.</w:t>
      </w:r>
    </w:p>
    <w:p w:rsidR="003F1B32" w:rsidRPr="004114C2" w:rsidRDefault="003F1B32" w:rsidP="00927641">
      <w:pPr>
        <w:pStyle w:val="Prrafodelista"/>
        <w:ind w:left="0"/>
        <w:rPr>
          <w:rFonts w:ascii="Palatino Linotype" w:eastAsia="Calibri" w:hAnsi="Palatino Linotype" w:cs="Arial"/>
          <w:color w:val="000000" w:themeColor="text1"/>
          <w:lang w:val="es-ES"/>
        </w:rPr>
      </w:pPr>
    </w:p>
    <w:p w:rsidR="003F1B32" w:rsidRPr="004114C2" w:rsidRDefault="003F1B32" w:rsidP="00927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4114C2">
        <w:rPr>
          <w:rFonts w:ascii="Palatino Linotype" w:eastAsia="Calibri" w:hAnsi="Palatino Linotype" w:cs="Arial"/>
          <w:color w:val="000000" w:themeColor="text1"/>
          <w:lang w:val="es-ES"/>
        </w:rPr>
        <w:t xml:space="preserve">De las constancias que obran en el expediente electrónico SAIMEX, se advierte que el Recurrente no realizó manifestaciones que a su derecho convinieran; por su parte, el Sujeto Obligado no entregó informe justificado. </w:t>
      </w:r>
    </w:p>
    <w:p w:rsidR="009C117C" w:rsidRPr="004114C2" w:rsidRDefault="009C117C" w:rsidP="00927641">
      <w:pPr>
        <w:pStyle w:val="Prrafodelista"/>
        <w:spacing w:line="360" w:lineRule="auto"/>
        <w:ind w:left="0"/>
        <w:jc w:val="both"/>
        <w:rPr>
          <w:rFonts w:ascii="Palatino Linotype" w:hAnsi="Palatino Linotype"/>
        </w:rPr>
      </w:pPr>
    </w:p>
    <w:p w:rsidR="003F1B32" w:rsidRPr="004114C2" w:rsidRDefault="003F1B32" w:rsidP="00927641">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4114C2">
        <w:rPr>
          <w:rFonts w:ascii="Palatino Linotype" w:eastAsia="Calibri" w:hAnsi="Palatino Linotype" w:cs="Arial"/>
          <w:lang w:val="es-ES"/>
        </w:rPr>
        <w:t xml:space="preserve">El </w:t>
      </w:r>
      <w:r w:rsidRPr="004114C2">
        <w:rPr>
          <w:rFonts w:ascii="Palatino Linotype" w:eastAsia="Calibri" w:hAnsi="Palatino Linotype" w:cs="Arial"/>
          <w:b/>
          <w:lang w:val="es-ES"/>
        </w:rPr>
        <w:t>catorce de febrero de dos mil veinticinco</w:t>
      </w:r>
      <w:r w:rsidRPr="004114C2">
        <w:rPr>
          <w:rFonts w:ascii="Palatino Linotype" w:eastAsia="Calibri" w:hAnsi="Palatino Linotype" w:cs="Arial"/>
          <w:lang w:val="es-ES"/>
        </w:rPr>
        <w:t>, se notificó el acuerdo a través del cual se aprobó la ampliación de plazo para emitir resolución.</w:t>
      </w:r>
    </w:p>
    <w:p w:rsidR="003F1B32" w:rsidRPr="004114C2" w:rsidRDefault="003F1B32" w:rsidP="00927641">
      <w:pPr>
        <w:pStyle w:val="Prrafodelista"/>
        <w:ind w:left="0"/>
        <w:rPr>
          <w:rFonts w:ascii="Palatino Linotype" w:eastAsia="MS Mincho" w:hAnsi="Palatino Linotype" w:cs="Times New Roman"/>
          <w:bCs/>
          <w:lang w:val="es-MX"/>
        </w:rPr>
      </w:pPr>
    </w:p>
    <w:p w:rsidR="009C117C" w:rsidRPr="004114C2" w:rsidRDefault="003F1B32" w:rsidP="00927641">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4114C2">
        <w:rPr>
          <w:rFonts w:ascii="Palatino Linotype" w:eastAsia="MS Mincho" w:hAnsi="Palatino Linotype" w:cs="Times New Roman"/>
          <w:bCs/>
          <w:lang w:val="es-MX"/>
        </w:rPr>
        <w:t>E</w:t>
      </w:r>
      <w:r w:rsidR="009C117C" w:rsidRPr="004114C2">
        <w:rPr>
          <w:rFonts w:ascii="Palatino Linotype" w:eastAsia="MS Mincho" w:hAnsi="Palatino Linotype" w:cs="Times New Roman"/>
          <w:bCs/>
          <w:lang w:val="es-MX"/>
        </w:rPr>
        <w:t xml:space="preserve">n </w:t>
      </w:r>
      <w:r w:rsidR="009C117C" w:rsidRPr="004114C2">
        <w:rPr>
          <w:rFonts w:ascii="Palatino Linotype" w:eastAsia="MS Mincho" w:hAnsi="Palatino Linotype" w:cs="Times New Roman"/>
          <w:b/>
          <w:bCs/>
          <w:lang w:val="es-MX"/>
        </w:rPr>
        <w:t>fecha</w:t>
      </w:r>
      <w:r w:rsidRPr="004114C2">
        <w:rPr>
          <w:rFonts w:ascii="Palatino Linotype" w:eastAsia="Times New Roman" w:hAnsi="Palatino Linotype" w:cs="Arial"/>
          <w:b/>
          <w:bCs/>
          <w:lang w:val="es-MX"/>
        </w:rPr>
        <w:t xml:space="preserve"> veinticuatro de abril de dos mil veinticinco</w:t>
      </w:r>
      <w:r w:rsidRPr="004114C2">
        <w:rPr>
          <w:rFonts w:ascii="Palatino Linotype" w:eastAsia="Times New Roman" w:hAnsi="Palatino Linotype" w:cs="Arial"/>
          <w:bCs/>
          <w:lang w:val="es-MX"/>
        </w:rPr>
        <w:t xml:space="preserve">, </w:t>
      </w:r>
      <w:r w:rsidR="009C117C" w:rsidRPr="004114C2">
        <w:rPr>
          <w:rFonts w:ascii="Palatino Linotype" w:eastAsia="MS Mincho" w:hAnsi="Palatino Linotype" w:cs="Arial"/>
          <w:bCs/>
          <w:lang w:val="es-MX"/>
        </w:rPr>
        <w:t xml:space="preserve">se decretó el cierre del periodo de </w:t>
      </w:r>
      <w:r w:rsidRPr="004114C2">
        <w:rPr>
          <w:rFonts w:ascii="Palatino Linotype" w:eastAsia="MS Mincho" w:hAnsi="Palatino Linotype" w:cs="Arial"/>
          <w:bCs/>
          <w:lang w:val="es-MX"/>
        </w:rPr>
        <w:t>instrucción.</w:t>
      </w:r>
    </w:p>
    <w:p w:rsidR="009C117C" w:rsidRPr="004114C2" w:rsidRDefault="009C117C" w:rsidP="00927641">
      <w:pPr>
        <w:pStyle w:val="Prrafodelista"/>
        <w:tabs>
          <w:tab w:val="left" w:pos="426"/>
        </w:tabs>
        <w:spacing w:line="360" w:lineRule="auto"/>
        <w:ind w:left="0"/>
        <w:jc w:val="both"/>
        <w:rPr>
          <w:rFonts w:ascii="Palatino Linotype" w:hAnsi="Palatino Linotype"/>
        </w:rPr>
      </w:pPr>
    </w:p>
    <w:p w:rsidR="009C117C" w:rsidRPr="004114C2" w:rsidRDefault="009C117C" w:rsidP="00927641">
      <w:pPr>
        <w:pStyle w:val="Ttulo1"/>
        <w:spacing w:before="0" w:line="360" w:lineRule="auto"/>
        <w:jc w:val="center"/>
        <w:rPr>
          <w:rFonts w:ascii="Palatino Linotype" w:hAnsi="Palatino Linotype"/>
          <w:b/>
          <w:color w:val="auto"/>
          <w:sz w:val="24"/>
          <w:szCs w:val="24"/>
        </w:rPr>
      </w:pPr>
      <w:bookmarkStart w:id="5" w:name="_Toc491791302"/>
      <w:bookmarkStart w:id="6" w:name="_Toc83128578"/>
      <w:r w:rsidRPr="004114C2">
        <w:rPr>
          <w:rFonts w:ascii="Palatino Linotype" w:hAnsi="Palatino Linotype"/>
          <w:b/>
          <w:color w:val="auto"/>
          <w:sz w:val="24"/>
          <w:szCs w:val="24"/>
        </w:rPr>
        <w:t>CONSIDERANDO</w:t>
      </w:r>
      <w:bookmarkEnd w:id="5"/>
      <w:bookmarkEnd w:id="6"/>
    </w:p>
    <w:p w:rsidR="009C117C" w:rsidRPr="004114C2" w:rsidRDefault="009C117C" w:rsidP="00927641">
      <w:pPr>
        <w:pStyle w:val="Ttulo2"/>
        <w:rPr>
          <w:rFonts w:ascii="Palatino Linotype" w:hAnsi="Palatino Linotype"/>
          <w:b/>
          <w:color w:val="000000" w:themeColor="text1"/>
          <w:sz w:val="24"/>
          <w:szCs w:val="24"/>
        </w:rPr>
      </w:pPr>
      <w:bookmarkStart w:id="7" w:name="_Toc491791303"/>
      <w:bookmarkStart w:id="8" w:name="_Toc83128579"/>
      <w:r w:rsidRPr="004114C2">
        <w:rPr>
          <w:rFonts w:ascii="Palatino Linotype" w:hAnsi="Palatino Linotype"/>
          <w:b/>
          <w:color w:val="000000" w:themeColor="text1"/>
          <w:sz w:val="24"/>
          <w:szCs w:val="24"/>
        </w:rPr>
        <w:t>PRIMERO. De la competencia</w:t>
      </w:r>
      <w:bookmarkEnd w:id="7"/>
      <w:bookmarkEnd w:id="8"/>
    </w:p>
    <w:p w:rsidR="009C117C" w:rsidRPr="004114C2" w:rsidRDefault="009C117C" w:rsidP="00927641">
      <w:pPr>
        <w:pStyle w:val="Ttulo2"/>
        <w:spacing w:before="0" w:line="360" w:lineRule="auto"/>
        <w:rPr>
          <w:rFonts w:ascii="Palatino Linotype" w:eastAsiaTheme="minorEastAsia" w:hAnsi="Palatino Linotype" w:cstheme="minorBidi"/>
          <w:color w:val="auto"/>
          <w:sz w:val="24"/>
          <w:szCs w:val="24"/>
        </w:rPr>
      </w:pPr>
      <w:bookmarkStart w:id="9" w:name="_Toc491791304"/>
      <w:bookmarkStart w:id="10" w:name="_Toc83128580"/>
    </w:p>
    <w:p w:rsidR="009C117C" w:rsidRPr="004114C2" w:rsidRDefault="009C117C" w:rsidP="00927641">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r w:rsidRPr="004114C2">
        <w:rPr>
          <w:rFonts w:ascii="Palatino Linotype" w:eastAsia="MS Mincho" w:hAnsi="Palatino Linotype" w:cs="Times New Roman"/>
          <w:lang w:val="es-MX"/>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w:t>
      </w:r>
      <w:r w:rsidRPr="004114C2">
        <w:rPr>
          <w:rFonts w:ascii="Palatino Linotype" w:eastAsia="MS Mincho" w:hAnsi="Palatino Linotype" w:cs="Times New Roman"/>
          <w:lang w:val="es-MX"/>
        </w:rPr>
        <w:lastRenderedPageBreak/>
        <w:t>Acceso a la Información Pública del Estado de México y Munici</w:t>
      </w:r>
      <w:r w:rsidR="003F1B32" w:rsidRPr="004114C2">
        <w:rPr>
          <w:rFonts w:ascii="Palatino Linotype" w:eastAsia="MS Mincho" w:hAnsi="Palatino Linotype" w:cs="Times New Roman"/>
          <w:lang w:val="es-MX"/>
        </w:rPr>
        <w:t>pios; y 7, 9 fracciones I y XXIII</w:t>
      </w:r>
      <w:r w:rsidRPr="004114C2">
        <w:rPr>
          <w:rFonts w:ascii="Palatino Linotype" w:eastAsia="MS Mincho" w:hAnsi="Palatino Linotype" w:cs="Times New Roman"/>
          <w:lang w:val="es-MX"/>
        </w:rPr>
        <w:t>, y 11 del Reglamento Interior del Instituto de Transparencia, Acceso a la Información Pública y Protección de Datos Personales del Estado de México y Municipios.</w:t>
      </w:r>
    </w:p>
    <w:p w:rsidR="009C117C" w:rsidRPr="004114C2" w:rsidRDefault="009C117C" w:rsidP="00927641">
      <w:pPr>
        <w:rPr>
          <w:rFonts w:ascii="Palatino Linotype" w:hAnsi="Palatino Linotype"/>
        </w:rPr>
      </w:pPr>
    </w:p>
    <w:p w:rsidR="009C117C" w:rsidRPr="004114C2" w:rsidRDefault="009C117C" w:rsidP="00927641">
      <w:pPr>
        <w:pStyle w:val="Ttulo2"/>
        <w:spacing w:before="0" w:line="360" w:lineRule="auto"/>
        <w:rPr>
          <w:rFonts w:ascii="Palatino Linotype" w:hAnsi="Palatino Linotype"/>
          <w:b/>
          <w:color w:val="000000" w:themeColor="text1"/>
          <w:sz w:val="24"/>
          <w:szCs w:val="24"/>
        </w:rPr>
      </w:pPr>
      <w:r w:rsidRPr="004114C2">
        <w:rPr>
          <w:rFonts w:ascii="Palatino Linotype" w:hAnsi="Palatino Linotype"/>
          <w:b/>
          <w:color w:val="000000" w:themeColor="text1"/>
          <w:sz w:val="24"/>
          <w:szCs w:val="24"/>
        </w:rPr>
        <w:t>SEGUNDO. De la oportunidad y procedencia.</w:t>
      </w:r>
      <w:bookmarkEnd w:id="9"/>
      <w:bookmarkEnd w:id="10"/>
    </w:p>
    <w:p w:rsidR="009C117C" w:rsidRPr="004114C2" w:rsidRDefault="009C117C" w:rsidP="00927641">
      <w:pPr>
        <w:spacing w:line="360" w:lineRule="auto"/>
        <w:rPr>
          <w:rFonts w:ascii="Palatino Linotype" w:hAnsi="Palatino Linotype"/>
        </w:rPr>
      </w:pPr>
    </w:p>
    <w:p w:rsidR="009C117C" w:rsidRPr="004114C2" w:rsidRDefault="009C117C" w:rsidP="00927641">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4114C2">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4114C2">
        <w:rPr>
          <w:rFonts w:ascii="Palatino Linotype" w:hAnsi="Palatino Linotype"/>
        </w:rPr>
        <w:t>previamente</w:t>
      </w:r>
      <w:r w:rsidRPr="004114C2">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9C117C" w:rsidRPr="004114C2" w:rsidRDefault="009C117C" w:rsidP="00927641">
      <w:pPr>
        <w:pStyle w:val="Prrafodelista"/>
        <w:spacing w:line="360" w:lineRule="auto"/>
        <w:ind w:left="0"/>
        <w:jc w:val="both"/>
        <w:rPr>
          <w:rFonts w:ascii="Palatino Linotype" w:eastAsia="Calibri" w:hAnsi="Palatino Linotype" w:cs="Arial"/>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 xml:space="preserve">En el presente caso, no se actualiza ninguna de las causales de improcedencia establecidas en </w:t>
      </w:r>
      <w:r w:rsidRPr="004114C2">
        <w:rPr>
          <w:rFonts w:ascii="Palatino Linotype" w:eastAsia="Calibri" w:hAnsi="Palatino Linotype" w:cs="Arial"/>
          <w:bCs/>
          <w:lang w:val="es-MX"/>
        </w:rPr>
        <w:t>el artículo 191 de la Ley de Transparencia y Acceso a la Información Pública del Estado de México y Municipios, por ser improcedente</w:t>
      </w:r>
      <w:r w:rsidRPr="004114C2">
        <w:rPr>
          <w:rFonts w:ascii="Palatino Linotype" w:eastAsia="Calibri" w:hAnsi="Palatino Linotype" w:cs="Arial"/>
        </w:rPr>
        <w:t>, en sus fracciones II a VII,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117C" w:rsidRPr="004114C2" w:rsidRDefault="009C117C" w:rsidP="00927641">
      <w:pPr>
        <w:pStyle w:val="Prrafodelista"/>
        <w:spacing w:line="360" w:lineRule="auto"/>
        <w:ind w:left="0"/>
        <w:jc w:val="both"/>
        <w:rPr>
          <w:rFonts w:ascii="Palatino Linotype" w:eastAsia="Calibri" w:hAnsi="Palatino Linotype" w:cs="Arial"/>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Asimismo, se considera por lo que hace a la fracción I, del artículo 191, de la Ley de la materia, toda vez, que ya ha sido admitido el Recurso de Revisión, se realizará el análisis correspondiente en el Considerando Tercero.</w:t>
      </w:r>
    </w:p>
    <w:p w:rsidR="009C117C" w:rsidRPr="004114C2" w:rsidRDefault="009C117C" w:rsidP="00927641">
      <w:pPr>
        <w:pStyle w:val="Prrafodelista"/>
        <w:ind w:left="0"/>
        <w:rPr>
          <w:rFonts w:ascii="Palatino Linotype" w:eastAsia="Times New Roman" w:hAnsi="Palatino Linotype" w:cs="Tahoma"/>
          <w:lang w:val="es-ES"/>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C117C" w:rsidRPr="004114C2" w:rsidRDefault="009C117C" w:rsidP="00927641">
      <w:pPr>
        <w:spacing w:line="360" w:lineRule="auto"/>
        <w:jc w:val="both"/>
        <w:rPr>
          <w:rFonts w:ascii="Palatino Linotype" w:eastAsia="Palatino Linotype" w:hAnsi="Palatino Linotype" w:cs="Palatino Linotype"/>
          <w:lang w:val="es-MX" w:eastAsia="es-MX"/>
        </w:rPr>
      </w:pP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r w:rsidRPr="004114C2">
        <w:rPr>
          <w:rFonts w:ascii="Palatino Linotype" w:eastAsia="Palatino Linotype" w:hAnsi="Palatino Linotype" w:cs="Palatino Linotype"/>
          <w:b/>
          <w:i/>
          <w:lang w:val="es-MX" w:eastAsia="es-MX"/>
        </w:rPr>
        <w:t>Las solicitudes anónimas</w:t>
      </w:r>
      <w:r w:rsidRPr="004114C2">
        <w:rPr>
          <w:rFonts w:ascii="Palatino Linotype" w:eastAsia="Palatino Linotype" w:hAnsi="Palatino Linotype" w:cs="Palatino Linotype"/>
          <w:i/>
          <w:lang w:val="es-MX" w:eastAsia="es-MX"/>
        </w:rPr>
        <w:t xml:space="preserve">, con nombre incompleto o seudónimo </w:t>
      </w:r>
      <w:r w:rsidRPr="004114C2">
        <w:rPr>
          <w:rFonts w:ascii="Palatino Linotype" w:eastAsia="Palatino Linotype" w:hAnsi="Palatino Linotype" w:cs="Palatino Linotype"/>
          <w:b/>
          <w:i/>
          <w:lang w:val="es-MX" w:eastAsia="es-MX"/>
        </w:rPr>
        <w:t>serán procedentes para su trámite por parte del sujeto obligado ante quien se presente</w:t>
      </w:r>
      <w:r w:rsidRPr="004114C2">
        <w:rPr>
          <w:rFonts w:ascii="Palatino Linotype" w:eastAsia="Palatino Linotype" w:hAnsi="Palatino Linotype" w:cs="Palatino Linotype"/>
          <w:i/>
          <w:lang w:val="es-MX" w:eastAsia="es-MX"/>
        </w:rPr>
        <w:t>. No podrá requerirse información adicional con motivo del nombre proporcionado por el solicitante."</w:t>
      </w:r>
    </w:p>
    <w:p w:rsidR="009C117C" w:rsidRPr="004114C2" w:rsidRDefault="009C117C" w:rsidP="00927641">
      <w:pPr>
        <w:spacing w:line="360" w:lineRule="auto"/>
        <w:jc w:val="both"/>
        <w:rPr>
          <w:rFonts w:ascii="Palatino Linotype" w:eastAsia="Palatino Linotype" w:hAnsi="Palatino Linotype" w:cs="Palatino Linotype"/>
          <w:lang w:val="es-MX" w:eastAsia="es-MX"/>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Robusteciendo lo anterior se encuentra lo dispuesto en el artículo 6, Apartado A, fracciones III de la Constitución Política de los Estados Unidos Mexicanos que establece:</w:t>
      </w:r>
    </w:p>
    <w:p w:rsidR="009C117C" w:rsidRPr="004114C2" w:rsidRDefault="009C117C" w:rsidP="00927641">
      <w:pPr>
        <w:spacing w:line="360" w:lineRule="auto"/>
        <w:jc w:val="both"/>
        <w:rPr>
          <w:rFonts w:ascii="Palatino Linotype" w:eastAsia="Palatino Linotype" w:hAnsi="Palatino Linotype" w:cs="Palatino Linotype"/>
          <w:i/>
          <w:lang w:val="es-MX" w:eastAsia="es-MX"/>
        </w:rPr>
      </w:pP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r w:rsidRPr="004114C2">
        <w:rPr>
          <w:rFonts w:ascii="Palatino Linotype" w:eastAsia="Palatino Linotype" w:hAnsi="Palatino Linotype" w:cs="Palatino Linotype"/>
          <w:b/>
          <w:i/>
          <w:lang w:val="es-MX" w:eastAsia="es-MX"/>
        </w:rPr>
        <w:t>Artículo 6.-</w:t>
      </w:r>
      <w:r w:rsidRPr="004114C2">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Para efectos de lo dispuesto en el presente artículo se observará lo siguiente:</w:t>
      </w:r>
    </w:p>
    <w:p w:rsidR="009C117C" w:rsidRPr="004114C2" w:rsidRDefault="009C117C" w:rsidP="00927641">
      <w:pPr>
        <w:jc w:val="both"/>
        <w:rPr>
          <w:rFonts w:ascii="Palatino Linotype" w:eastAsia="Palatino Linotype" w:hAnsi="Palatino Linotype" w:cs="Palatino Linotype"/>
          <w:i/>
          <w:lang w:val="es-MX" w:eastAsia="es-MX"/>
        </w:rPr>
      </w:pP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lastRenderedPageBreak/>
        <w:t>A. Para el ejercicio del derecho de acceso a la información, la Federación, los Estados y el Distrito Federal, en el ámbito de sus respectivas competencias, se regirán por los siguientes principios y bases:</w:t>
      </w:r>
    </w:p>
    <w:p w:rsidR="009C117C" w:rsidRPr="004114C2" w:rsidRDefault="009C117C" w:rsidP="00927641">
      <w:pPr>
        <w:jc w:val="both"/>
        <w:rPr>
          <w:rFonts w:ascii="Palatino Linotype" w:eastAsia="Palatino Linotype" w:hAnsi="Palatino Linotype" w:cs="Palatino Linotype"/>
          <w:i/>
          <w:lang w:val="es-MX" w:eastAsia="es-MX"/>
        </w:rPr>
      </w:pP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4114C2">
        <w:rPr>
          <w:rFonts w:ascii="Palatino Linotype" w:eastAsia="Palatino Linotype" w:hAnsi="Palatino Linotype" w:cs="Palatino Linotype"/>
          <w:lang w:val="es-MX" w:eastAsia="es-MX"/>
        </w:rPr>
        <w:t>(Sic)</w:t>
      </w:r>
    </w:p>
    <w:p w:rsidR="009C117C" w:rsidRPr="004114C2" w:rsidRDefault="009C117C" w:rsidP="00927641">
      <w:pPr>
        <w:spacing w:line="360" w:lineRule="auto"/>
        <w:jc w:val="both"/>
        <w:rPr>
          <w:rFonts w:ascii="Palatino Linotype" w:eastAsia="Palatino Linotype" w:hAnsi="Palatino Linotype" w:cs="Palatino Linotype"/>
          <w:i/>
          <w:lang w:val="es-MX" w:eastAsia="es-MX"/>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rsidR="009C117C" w:rsidRPr="004114C2" w:rsidRDefault="009C117C" w:rsidP="00927641">
      <w:pPr>
        <w:spacing w:line="360" w:lineRule="auto"/>
        <w:jc w:val="both"/>
        <w:rPr>
          <w:rFonts w:ascii="Palatino Linotype" w:eastAsia="Palatino Linotype" w:hAnsi="Palatino Linotype" w:cs="Palatino Linotype"/>
          <w:i/>
          <w:lang w:val="es-MX" w:eastAsia="es-MX"/>
        </w:rPr>
      </w:pP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r w:rsidRPr="004114C2">
        <w:rPr>
          <w:rFonts w:ascii="Palatino Linotype" w:eastAsia="Palatino Linotype" w:hAnsi="Palatino Linotype" w:cs="Palatino Linotype"/>
          <w:b/>
          <w:i/>
          <w:lang w:val="es-MX" w:eastAsia="es-MX"/>
        </w:rPr>
        <w:t>Artículo 5.-</w:t>
      </w:r>
      <w:r w:rsidRPr="004114C2">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Toda persona en el Estado de México, tiene derecho al libre acceso a la información plural y oportuna, así como a buscar recibir y difundir información e ideas de toda índole por cualquier medio de expresión.</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 xml:space="preserve">VIII. El Estado contará con un organismo autónomo, especializado, imparcial, colegiado, con personalidad jurídica y patrimonio propio, con plena autonomía técnica y de gestión, con capacidad </w:t>
      </w:r>
      <w:r w:rsidRPr="004114C2">
        <w:rPr>
          <w:rFonts w:ascii="Palatino Linotype" w:eastAsia="Palatino Linotype" w:hAnsi="Palatino Linotype" w:cs="Palatino Linotype"/>
          <w:i/>
          <w:lang w:val="es-MX" w:eastAsia="es-MX"/>
        </w:rPr>
        <w:lastRenderedPageBreak/>
        <w:t xml:space="preserve">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114C2">
        <w:rPr>
          <w:rFonts w:ascii="Palatino Linotype" w:eastAsia="Palatino Linotype" w:hAnsi="Palatino Linotype" w:cs="Palatino Linotype"/>
          <w:lang w:val="es-MX" w:eastAsia="es-MX"/>
        </w:rPr>
        <w:t>(Sic)</w:t>
      </w:r>
    </w:p>
    <w:p w:rsidR="009C117C" w:rsidRPr="004114C2" w:rsidRDefault="009C117C" w:rsidP="00927641">
      <w:pPr>
        <w:jc w:val="both"/>
        <w:rPr>
          <w:rFonts w:ascii="Palatino Linotype" w:eastAsia="Palatino Linotype" w:hAnsi="Palatino Linotype" w:cs="Palatino Linotype"/>
          <w:i/>
          <w:lang w:val="es-MX" w:eastAsia="es-MX"/>
        </w:rPr>
      </w:pPr>
    </w:p>
    <w:p w:rsidR="009C117C" w:rsidRPr="004114C2" w:rsidRDefault="009C117C" w:rsidP="00927641">
      <w:pPr>
        <w:pStyle w:val="Prrafodelista"/>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Por otra parte, del contenido del artículo 1 de la Constitución Política de los Estados Unidos mexicanos, se destaca lo siguiente:</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w:t>
      </w:r>
      <w:r w:rsidRPr="004114C2">
        <w:rPr>
          <w:rFonts w:ascii="Palatino Linotype" w:eastAsia="Palatino Linotype" w:hAnsi="Palatino Linotype" w:cs="Palatino Linotype"/>
          <w:b/>
          <w:i/>
          <w:lang w:val="es-MX" w:eastAsia="es-MX"/>
        </w:rPr>
        <w:t>Artículo 1</w:t>
      </w:r>
      <w:r w:rsidRPr="004114C2">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Las normas relativas a los derechos humanos se interpretarán de conformidad con esta Constitución y con los tratados internacionales de la materia favoreciendo en todo tiempo a las personas la protección más amplia.</w:t>
      </w:r>
    </w:p>
    <w:p w:rsidR="009C117C" w:rsidRPr="004114C2" w:rsidRDefault="009C117C" w:rsidP="00927641">
      <w:pPr>
        <w:jc w:val="both"/>
        <w:rPr>
          <w:rFonts w:ascii="Palatino Linotype" w:eastAsia="Palatino Linotype" w:hAnsi="Palatino Linotype" w:cs="Palatino Linotype"/>
          <w:i/>
          <w:lang w:val="es-MX" w:eastAsia="es-MX"/>
        </w:rPr>
      </w:pPr>
      <w:r w:rsidRPr="004114C2">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C117C" w:rsidRPr="004114C2" w:rsidRDefault="009C117C" w:rsidP="00927641">
      <w:pPr>
        <w:spacing w:line="360" w:lineRule="auto"/>
        <w:jc w:val="both"/>
        <w:rPr>
          <w:rFonts w:ascii="Palatino Linotype" w:eastAsia="Palatino Linotype" w:hAnsi="Palatino Linotype" w:cs="Palatino Linotype"/>
          <w:i/>
          <w:lang w:val="es-MX" w:eastAsia="es-MX"/>
        </w:rPr>
      </w:pPr>
    </w:p>
    <w:p w:rsidR="009C117C" w:rsidRPr="004114C2" w:rsidRDefault="009C117C" w:rsidP="00927641">
      <w:pPr>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4114C2">
        <w:rPr>
          <w:rFonts w:ascii="Palatino Linotype" w:eastAsia="Palatino Linotype" w:hAnsi="Palatino Linotype" w:cs="Palatino Linotype"/>
          <w:lang w:val="es-ES" w:eastAsia="en-US"/>
        </w:rPr>
        <w:t xml:space="preserve"> </w:t>
      </w:r>
      <w:r w:rsidRPr="004114C2">
        <w:rPr>
          <w:rFonts w:ascii="Palatino Linotype" w:eastAsia="Palatino Linotype" w:hAnsi="Palatino Linotype" w:cs="Palatino Linotype"/>
          <w:i/>
          <w:lang w:val="es-ES" w:eastAsia="en-US"/>
        </w:rPr>
        <w:t>derecho fundamental exime a quien lo ejerce</w:t>
      </w:r>
      <w:r w:rsidRPr="004114C2">
        <w:rPr>
          <w:rFonts w:ascii="Palatino Linotype" w:eastAsia="Palatino Linotype" w:hAnsi="Palatino Linotype" w:cs="Palatino Linotype"/>
          <w:lang w:val="es-ES" w:eastAsia="en-US"/>
        </w:rPr>
        <w:t xml:space="preserve">, </w:t>
      </w:r>
      <w:r w:rsidRPr="004114C2">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C117C" w:rsidRPr="004114C2" w:rsidRDefault="009C117C" w:rsidP="00927641">
      <w:pPr>
        <w:spacing w:line="360" w:lineRule="auto"/>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jc w:val="both"/>
        <w:rPr>
          <w:rFonts w:ascii="Palatino Linotype" w:eastAsia="Calibri" w:hAnsi="Palatino Linotype" w:cs="Arial"/>
        </w:rPr>
      </w:pPr>
      <w:r w:rsidRPr="004114C2">
        <w:rPr>
          <w:rFonts w:ascii="Palatino Linotype" w:eastAsia="Calibri" w:hAnsi="Palatino Linotype" w:cs="Arial"/>
        </w:rPr>
        <w:lastRenderedPageBreak/>
        <w:t xml:space="preserve">En consecuencia, dado lo expuesto y fundado con anterioridad, se estima que el requisito relativo al nombre del </w:t>
      </w:r>
      <w:r w:rsidRPr="004114C2">
        <w:rPr>
          <w:rFonts w:ascii="Palatino Linotype" w:eastAsia="Calibri" w:hAnsi="Palatino Linotype" w:cs="Arial"/>
          <w:b/>
        </w:rPr>
        <w:t>RECURRENTE</w:t>
      </w:r>
      <w:r w:rsidRPr="004114C2">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C117C" w:rsidRPr="004114C2" w:rsidRDefault="009C117C" w:rsidP="00927641">
      <w:pPr>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C117C" w:rsidRPr="004114C2" w:rsidRDefault="009C117C" w:rsidP="00927641">
      <w:pPr>
        <w:pStyle w:val="Prrafodelista"/>
        <w:spacing w:line="360" w:lineRule="auto"/>
        <w:ind w:left="0"/>
        <w:jc w:val="both"/>
        <w:rPr>
          <w:rFonts w:ascii="Palatino Linotype" w:hAnsi="Palatino Linotype"/>
          <w:color w:val="000000" w:themeColor="text1"/>
        </w:rPr>
      </w:pPr>
    </w:p>
    <w:p w:rsidR="009C117C" w:rsidRPr="004114C2" w:rsidRDefault="009C117C" w:rsidP="00927641">
      <w:pPr>
        <w:pStyle w:val="Ttulo1"/>
        <w:spacing w:before="0" w:line="360" w:lineRule="auto"/>
        <w:rPr>
          <w:rFonts w:ascii="Palatino Linotype" w:hAnsi="Palatino Linotype"/>
          <w:b/>
          <w:color w:val="000000" w:themeColor="text1"/>
          <w:sz w:val="24"/>
          <w:szCs w:val="24"/>
        </w:rPr>
      </w:pPr>
      <w:bookmarkStart w:id="11" w:name="_Toc34246179"/>
      <w:bookmarkStart w:id="12" w:name="_Toc50033991"/>
      <w:bookmarkStart w:id="13" w:name="_Toc51259588"/>
      <w:bookmarkStart w:id="14" w:name="_Toc83128581"/>
      <w:r w:rsidRPr="004114C2">
        <w:rPr>
          <w:rFonts w:ascii="Palatino Linotype" w:hAnsi="Palatino Linotype"/>
          <w:b/>
          <w:color w:val="000000" w:themeColor="text1"/>
          <w:sz w:val="24"/>
          <w:szCs w:val="24"/>
        </w:rPr>
        <w:t xml:space="preserve">TERCERO. </w:t>
      </w:r>
      <w:bookmarkStart w:id="15" w:name="_Toc501021589"/>
      <w:r w:rsidRPr="004114C2">
        <w:rPr>
          <w:rFonts w:ascii="Palatino Linotype" w:hAnsi="Palatino Linotype"/>
          <w:b/>
          <w:color w:val="000000" w:themeColor="text1"/>
          <w:sz w:val="24"/>
          <w:szCs w:val="24"/>
        </w:rPr>
        <w:t>De las causales de sobreseimiento.</w:t>
      </w:r>
      <w:bookmarkEnd w:id="11"/>
      <w:bookmarkEnd w:id="12"/>
      <w:bookmarkEnd w:id="13"/>
      <w:bookmarkEnd w:id="14"/>
      <w:bookmarkEnd w:id="15"/>
    </w:p>
    <w:p w:rsidR="009C117C" w:rsidRPr="004114C2" w:rsidRDefault="009C117C" w:rsidP="00927641">
      <w:pPr>
        <w:rPr>
          <w:rFonts w:ascii="Palatino Linotype" w:hAnsi="Palatino Linotype"/>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el Recurrente se haya </w:t>
      </w:r>
      <w:r w:rsidRPr="004114C2">
        <w:rPr>
          <w:rFonts w:ascii="Palatino Linotype" w:eastAsia="Calibri" w:hAnsi="Palatino Linotype" w:cs="Arial"/>
        </w:rPr>
        <w:lastRenderedPageBreak/>
        <w:t>desistido, fallecido, que el Sujeto Obligado hubiese modificado o revocado el acto impugnado o bien, haya quedado sin materia.</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No obstante, por lo que hace a la hipótesis prevista en la fracción IV, a saber, que una vez admitido el Recurso de Revisión, aparezca alguna causal de improcedencia en términos de la presente Ley, cabe señalar que el artículo 191 de la Ley de Transparencia y Acceso a la Información Pública del Estado de México y Municipios, indica, entre otras causales, que el Recurso de Revisión será desechado por improcedente, cuando sea </w:t>
      </w:r>
      <w:r w:rsidRPr="004114C2">
        <w:rPr>
          <w:rFonts w:ascii="Palatino Linotype" w:eastAsia="Calibri" w:hAnsi="Palatino Linotype" w:cs="Arial"/>
          <w:b/>
        </w:rPr>
        <w:t>extemporáneo</w:t>
      </w:r>
      <w:r w:rsidRPr="004114C2">
        <w:rPr>
          <w:rFonts w:ascii="Palatino Linotype" w:eastAsia="Calibri" w:hAnsi="Palatino Linotype" w:cs="Arial"/>
        </w:rPr>
        <w:t xml:space="preserve"> por haber transcurrido el plazo establecido por el artículo 178 del mismo ordenamiento.</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Al respecto dicho artículo, señala que, en caso de existir respuesta, el Recurso de Revisión podrá interponerse dentro de los </w:t>
      </w:r>
      <w:r w:rsidRPr="004114C2">
        <w:rPr>
          <w:rFonts w:ascii="Palatino Linotype" w:eastAsia="Calibri" w:hAnsi="Palatino Linotype" w:cs="Arial"/>
          <w:b/>
        </w:rPr>
        <w:t>quince días hábiles</w:t>
      </w:r>
      <w:r w:rsidRPr="004114C2">
        <w:rPr>
          <w:rFonts w:ascii="Palatino Linotype" w:eastAsia="Calibri" w:hAnsi="Palatino Linotype" w:cs="Arial"/>
        </w:rPr>
        <w:t>, siguientes a la fecha de notificación de dicha contestación; sobre este punto cabe puntualizar que el ahora Recurrente solicitó la información, a través del Sistema de Acceso a la Información Mexiquense (SAIMEX).</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Ahora bien, de las constancias que obran en el expediente se advierte que el </w:t>
      </w:r>
      <w:r w:rsidRPr="004114C2">
        <w:rPr>
          <w:rFonts w:ascii="Palatino Linotype" w:eastAsia="Calibri" w:hAnsi="Palatino Linotype" w:cs="Arial"/>
          <w:b/>
        </w:rPr>
        <w:t>SUJETO OBLIGADO</w:t>
      </w:r>
      <w:r w:rsidRPr="004114C2">
        <w:rPr>
          <w:rFonts w:ascii="Palatino Linotype" w:eastAsia="Calibri" w:hAnsi="Palatino Linotype" w:cs="Arial"/>
        </w:rPr>
        <w:t xml:space="preserve"> notificó la respuesta, el </w:t>
      </w:r>
      <w:r w:rsidR="003F1B32" w:rsidRPr="004114C2">
        <w:rPr>
          <w:rFonts w:ascii="Palatino Linotype" w:eastAsia="Calibri" w:hAnsi="Palatino Linotype" w:cs="Arial"/>
          <w:b/>
        </w:rPr>
        <w:t>siete de diciembre</w:t>
      </w:r>
      <w:r w:rsidRPr="004114C2">
        <w:rPr>
          <w:rFonts w:ascii="Palatino Linotype" w:eastAsia="Calibri" w:hAnsi="Palatino Linotype" w:cs="Arial"/>
          <w:b/>
        </w:rPr>
        <w:t xml:space="preserve"> de dos mil veinticuatro</w:t>
      </w:r>
      <w:r w:rsidR="003F1B32" w:rsidRPr="004114C2">
        <w:rPr>
          <w:rFonts w:ascii="Palatino Linotype" w:eastAsia="Calibri" w:hAnsi="Palatino Linotype" w:cs="Arial"/>
          <w:b/>
        </w:rPr>
        <w:t xml:space="preserve">, </w:t>
      </w:r>
      <w:r w:rsidR="003F1B32" w:rsidRPr="004114C2">
        <w:rPr>
          <w:rFonts w:ascii="Palatino Linotype" w:eastAsia="Calibri" w:hAnsi="Palatino Linotype" w:cs="Arial"/>
        </w:rPr>
        <w:t>sin embargo, de acuerdo al calendario oficial emitido por el Instituto de Trans</w:t>
      </w:r>
      <w:r w:rsidR="004761F7" w:rsidRPr="004114C2">
        <w:rPr>
          <w:rFonts w:ascii="Palatino Linotype" w:eastAsia="Calibri" w:hAnsi="Palatino Linotype" w:cs="Arial"/>
        </w:rPr>
        <w:t xml:space="preserve">parencia, Acceso a la Información y protección de Datos Personales del Estado de México y Municipios, se tiene por fecha de respuesta el </w:t>
      </w:r>
      <w:r w:rsidR="004761F7" w:rsidRPr="004114C2">
        <w:rPr>
          <w:rFonts w:ascii="Palatino Linotype" w:eastAsia="Calibri" w:hAnsi="Palatino Linotype" w:cs="Arial"/>
          <w:b/>
        </w:rPr>
        <w:t>nueve de diciembre de dos mil veinticuatro</w:t>
      </w:r>
      <w:r w:rsidRPr="004114C2">
        <w:rPr>
          <w:rFonts w:ascii="Palatino Linotype" w:eastAsia="Calibri" w:hAnsi="Palatino Linotype" w:cs="Arial"/>
        </w:rPr>
        <w:t xml:space="preserve">; por lo tanto, el plazo de quince días, contados a partir del día hábil siguiente de la notificación de la contestación, con el que contaba el </w:t>
      </w:r>
      <w:r w:rsidRPr="004114C2">
        <w:rPr>
          <w:rFonts w:ascii="Palatino Linotype" w:eastAsia="Calibri" w:hAnsi="Palatino Linotype" w:cs="Arial"/>
          <w:b/>
        </w:rPr>
        <w:t xml:space="preserve">RECURRENTE </w:t>
      </w:r>
      <w:r w:rsidRPr="004114C2">
        <w:rPr>
          <w:rFonts w:ascii="Palatino Linotype" w:eastAsia="Calibri" w:hAnsi="Palatino Linotype" w:cs="Arial"/>
        </w:rPr>
        <w:t xml:space="preserve">para interponer </w:t>
      </w:r>
      <w:r w:rsidRPr="004114C2">
        <w:rPr>
          <w:rFonts w:ascii="Palatino Linotype" w:eastAsia="Calibri" w:hAnsi="Palatino Linotype" w:cs="Arial"/>
        </w:rPr>
        <w:lastRenderedPageBreak/>
        <w:t xml:space="preserve">su Recurso de Revisión, comenzó a correr del </w:t>
      </w:r>
      <w:r w:rsidR="004761F7" w:rsidRPr="004114C2">
        <w:rPr>
          <w:rFonts w:ascii="Palatino Linotype" w:eastAsia="Calibri" w:hAnsi="Palatino Linotype" w:cs="Arial"/>
          <w:b/>
        </w:rPr>
        <w:t xml:space="preserve">diez de diciembre de dos mil veinticuatro al veinte de enero de dos mil veinticinco. </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Por su parte, la ahora Recurrente, como se desprende del Sistema de Acceso a la Información Mexiquense (SAIMEX), interpuso su medio de impugnación, </w:t>
      </w:r>
      <w:r w:rsidRPr="004114C2">
        <w:rPr>
          <w:rFonts w:ascii="Palatino Linotype" w:eastAsia="Calibri" w:hAnsi="Palatino Linotype" w:cs="Arial"/>
          <w:b/>
        </w:rPr>
        <w:t xml:space="preserve">el </w:t>
      </w:r>
      <w:r w:rsidR="004761F7" w:rsidRPr="004114C2">
        <w:rPr>
          <w:rFonts w:ascii="Palatino Linotype" w:eastAsia="Calibri" w:hAnsi="Palatino Linotype" w:cs="Arial"/>
          <w:b/>
        </w:rPr>
        <w:t>tres de febrero de dos mil veinticinco</w:t>
      </w:r>
      <w:r w:rsidRPr="004114C2">
        <w:rPr>
          <w:rFonts w:ascii="Palatino Linotype" w:eastAsia="Calibri" w:hAnsi="Palatino Linotype" w:cs="Arial"/>
        </w:rPr>
        <w:t xml:space="preserve">, es decir </w:t>
      </w:r>
      <w:r w:rsidR="004761F7" w:rsidRPr="004114C2">
        <w:rPr>
          <w:rFonts w:ascii="Palatino Linotype" w:eastAsia="Calibri" w:hAnsi="Palatino Linotype" w:cs="Arial"/>
        </w:rPr>
        <w:t xml:space="preserve">posterior a la </w:t>
      </w:r>
      <w:r w:rsidRPr="004114C2">
        <w:rPr>
          <w:rFonts w:ascii="Palatino Linotype" w:eastAsia="Calibri" w:hAnsi="Palatino Linotype" w:cs="Arial"/>
        </w:rPr>
        <w:t>fecha en que feneció el plazo para interponer el recurso a tiempo.</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Por tanto, al interponerse el Recurso de Revisión ante este Instituto, en dicha fecha, se concluye que se realizó una vez </w:t>
      </w:r>
      <w:r w:rsidRPr="004114C2">
        <w:rPr>
          <w:rFonts w:ascii="Palatino Linotype" w:eastAsia="Calibri" w:hAnsi="Palatino Linotype" w:cs="Arial"/>
          <w:b/>
        </w:rPr>
        <w:t>fenecido el plazo legal establecido al efecto</w:t>
      </w:r>
      <w:r w:rsidRPr="004114C2">
        <w:rPr>
          <w:rFonts w:ascii="Palatino Linotype" w:eastAsia="Calibri" w:hAnsi="Palatino Linotype" w:cs="Arial"/>
        </w:rPr>
        <w:t>, resultando extemporánea la presentación del Medio de Impugnación. Dicha situación, se robustece, con el historial de la solicitud de información citado al rubro, localizado en el Sistema de Acceso a la Información Mexiquense (SAIMEX), tal como se muestra a continuación:</w:t>
      </w:r>
    </w:p>
    <w:p w:rsidR="008F2AC0" w:rsidRPr="004114C2" w:rsidRDefault="008F2AC0" w:rsidP="00927641">
      <w:pPr>
        <w:pStyle w:val="Prrafodelista"/>
        <w:ind w:left="0"/>
        <w:rPr>
          <w:rFonts w:ascii="Palatino Linotype" w:eastAsia="Calibri" w:hAnsi="Palatino Linotype" w:cs="Arial"/>
        </w:rPr>
      </w:pPr>
    </w:p>
    <w:p w:rsidR="008F2AC0" w:rsidRPr="004114C2" w:rsidRDefault="008F2AC0" w:rsidP="00927641">
      <w:pPr>
        <w:spacing w:line="360" w:lineRule="auto"/>
        <w:contextualSpacing/>
        <w:jc w:val="both"/>
        <w:rPr>
          <w:rFonts w:ascii="Palatino Linotype" w:eastAsia="Calibri" w:hAnsi="Palatino Linotype" w:cs="Arial"/>
        </w:rPr>
      </w:pPr>
      <w:r w:rsidRPr="004114C2">
        <w:rPr>
          <w:rFonts w:ascii="Palatino Linotype" w:eastAsia="Calibri" w:hAnsi="Palatino Linotype" w:cs="Arial"/>
          <w:noProof/>
          <w:lang w:val="es-MX" w:eastAsia="es-MX"/>
        </w:rPr>
        <w:drawing>
          <wp:inline distT="0" distB="0" distL="0" distR="0" wp14:anchorId="04A45EDC" wp14:editId="50304E7F">
            <wp:extent cx="5462649" cy="1936750"/>
            <wp:effectExtent l="0" t="0" r="508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3044" cy="1958163"/>
                    </a:xfrm>
                    <a:prstGeom prst="rect">
                      <a:avLst/>
                    </a:prstGeom>
                  </pic:spPr>
                </pic:pic>
              </a:graphicData>
            </a:graphic>
          </wp:inline>
        </w:drawing>
      </w:r>
    </w:p>
    <w:p w:rsidR="009C117C" w:rsidRPr="004114C2" w:rsidRDefault="009C117C" w:rsidP="00927641">
      <w:pPr>
        <w:spacing w:line="360" w:lineRule="auto"/>
        <w:contextualSpacing/>
        <w:rPr>
          <w:rFonts w:ascii="Palatino Linotype" w:eastAsia="Calibri" w:hAnsi="Palatino Linotype" w:cs="Arial"/>
        </w:rPr>
      </w:pPr>
      <w:r w:rsidRPr="004114C2">
        <w:rPr>
          <w:rFonts w:ascii="Palatino Linotype" w:hAnsi="Palatino Linotype"/>
          <w:noProof/>
          <w:lang w:val="es-MX" w:eastAsia="es-MX"/>
        </w:rPr>
        <w:t xml:space="preserve">  </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lastRenderedPageBreak/>
        <w:t>En consecuencia, toda vez que, en el presente caso, si hubo respuesta al requerimiento informativo, por parte de la Ayuntami</w:t>
      </w:r>
      <w:r w:rsidR="008F2AC0" w:rsidRPr="004114C2">
        <w:rPr>
          <w:rFonts w:ascii="Palatino Linotype" w:eastAsia="Calibri" w:hAnsi="Palatino Linotype" w:cs="Arial"/>
        </w:rPr>
        <w:t>ento de Tepotzotlán</w:t>
      </w:r>
      <w:r w:rsidRPr="004114C2">
        <w:rPr>
          <w:rFonts w:ascii="Palatino Linotype" w:eastAsia="Calibri" w:hAnsi="Palatino Linotype" w:cs="Arial"/>
        </w:rPr>
        <w:t>, por la vía seleccionada por el Particular, se advierte que el Medio de Impugnación fue presentado de manera extemporánea.</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En ese sentido, toda vez que el Solicitante interpuso Recurso de Revisión, en fecha posterior al plazo establecido en el artículo 178 de la Ley de Transparencia y Acceso a la Información Pública del Estado de México y Municipios, se actualiza la causal de desechamiento establecida en el diverso 191, fracción I, de la Ley de la materia; por lo que, es procedente </w:t>
      </w:r>
      <w:r w:rsidRPr="004114C2">
        <w:rPr>
          <w:rFonts w:ascii="Palatino Linotype" w:eastAsia="Calibri" w:hAnsi="Palatino Linotype" w:cs="Arial"/>
          <w:b/>
        </w:rPr>
        <w:t>SOBRESEER</w:t>
      </w:r>
      <w:r w:rsidRPr="004114C2">
        <w:rPr>
          <w:rFonts w:ascii="Palatino Linotype" w:eastAsia="Calibri" w:hAnsi="Palatino Linotype" w:cs="Arial"/>
        </w:rPr>
        <w:t xml:space="preserve"> el mismo.</w:t>
      </w:r>
    </w:p>
    <w:p w:rsidR="009C117C" w:rsidRPr="004114C2" w:rsidRDefault="009C117C" w:rsidP="00927641">
      <w:pPr>
        <w:spacing w:line="360" w:lineRule="auto"/>
        <w:jc w:val="both"/>
        <w:rPr>
          <w:rFonts w:ascii="Palatino Linotype" w:hAnsi="Palatino Linotype" w:cs="Tahoma"/>
          <w:bCs/>
          <w:color w:val="0D0D0D" w:themeColor="text1" w:themeTint="F2"/>
        </w:rPr>
      </w:pPr>
    </w:p>
    <w:p w:rsidR="009C117C" w:rsidRPr="004114C2" w:rsidRDefault="009C117C" w:rsidP="00927641">
      <w:pPr>
        <w:spacing w:line="360" w:lineRule="auto"/>
        <w:jc w:val="both"/>
        <w:rPr>
          <w:rFonts w:ascii="Palatino Linotype" w:hAnsi="Palatino Linotype" w:cs="Tahoma"/>
          <w:b/>
          <w:lang w:val="es-ES"/>
        </w:rPr>
      </w:pPr>
      <w:r w:rsidRPr="004114C2">
        <w:rPr>
          <w:rFonts w:ascii="Palatino Linotype" w:hAnsi="Palatino Linotype" w:cs="Tahoma"/>
          <w:b/>
          <w:lang w:val="es-ES"/>
        </w:rPr>
        <w:t xml:space="preserve">CUARTO. Decisión. </w:t>
      </w:r>
    </w:p>
    <w:p w:rsidR="009C117C" w:rsidRPr="004114C2" w:rsidRDefault="009C117C" w:rsidP="00927641">
      <w:pPr>
        <w:spacing w:line="360" w:lineRule="auto"/>
        <w:jc w:val="both"/>
        <w:rPr>
          <w:rFonts w:ascii="Palatino Linotype" w:hAnsi="Palatino Linotype" w:cs="Tahoma"/>
          <w:b/>
          <w:lang w:val="es-ES"/>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 xml:space="preserve">Con fundamento en lo dispuesto en el artículo 186, fracción I de la Ley de Transparencia y Acceso a la Información Pública del Estado de México y Municipios, se considera procedente </w:t>
      </w:r>
      <w:r w:rsidRPr="004114C2">
        <w:rPr>
          <w:rFonts w:ascii="Palatino Linotype" w:eastAsia="Calibri" w:hAnsi="Palatino Linotype" w:cs="Arial"/>
          <w:b/>
        </w:rPr>
        <w:t>SOBRESEER</w:t>
      </w:r>
      <w:r w:rsidRPr="004114C2">
        <w:rPr>
          <w:rFonts w:ascii="Palatino Linotype" w:eastAsia="Calibri" w:hAnsi="Palatino Linotype" w:cs="Arial"/>
        </w:rPr>
        <w:t xml:space="preserve"> el Recurso de Revisión</w:t>
      </w:r>
      <w:r w:rsidRPr="004114C2">
        <w:rPr>
          <w:rFonts w:ascii="Palatino Linotype" w:hAnsi="Palatino Linotype"/>
          <w:b/>
          <w:bCs/>
          <w:color w:val="FF0000"/>
        </w:rPr>
        <w:t xml:space="preserve"> </w:t>
      </w:r>
      <w:r w:rsidR="008F2AC0" w:rsidRPr="004114C2">
        <w:rPr>
          <w:rFonts w:ascii="Palatino Linotype" w:eastAsia="Calibri" w:hAnsi="Palatino Linotype" w:cs="Arial"/>
          <w:b/>
          <w:bCs/>
        </w:rPr>
        <w:t>00488/INFOEM/IP/RR/2025</w:t>
      </w:r>
      <w:r w:rsidRPr="004114C2">
        <w:rPr>
          <w:rFonts w:ascii="Palatino Linotype" w:eastAsia="Calibri" w:hAnsi="Palatino Linotype" w:cs="Arial"/>
        </w:rPr>
        <w:t>, en virtud de que se actualiza la hipótesis normativa prevista en la fracción IV, del diverso 192, en relación, con el 191, fracción I, ambos del citado ordenamiento legal.</w:t>
      </w:r>
    </w:p>
    <w:p w:rsidR="009C117C" w:rsidRPr="004114C2" w:rsidRDefault="009C117C" w:rsidP="00927641">
      <w:pPr>
        <w:spacing w:line="360" w:lineRule="auto"/>
        <w:jc w:val="both"/>
        <w:rPr>
          <w:rFonts w:ascii="Palatino Linotype" w:eastAsiaTheme="minorHAnsi" w:hAnsi="Palatino Linotype"/>
          <w:bCs/>
          <w:color w:val="000000" w:themeColor="text1"/>
          <w:lang w:val="es-ES" w:eastAsia="en-US"/>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Se le hace del conocimiento al Particular, que presentó su Recurso de Revisión, una vez fenecido el plazo para realizar dicha acción, pues solamente contaba con quince días hábiles posteriores a</w:t>
      </w:r>
      <w:r w:rsidR="008F2AC0" w:rsidRPr="004114C2">
        <w:rPr>
          <w:rFonts w:ascii="Palatino Linotype" w:eastAsia="Calibri" w:hAnsi="Palatino Linotype" w:cs="Arial"/>
        </w:rPr>
        <w:t xml:space="preserve"> la notificación de la respuesta; a</w:t>
      </w:r>
      <w:r w:rsidRPr="004114C2">
        <w:rPr>
          <w:rFonts w:ascii="Palatino Linotype" w:eastAsia="Calibri" w:hAnsi="Palatino Linotype" w:cs="Arial"/>
        </w:rPr>
        <w:t>simismo</w:t>
      </w:r>
      <w:r w:rsidR="008F2AC0" w:rsidRPr="004114C2">
        <w:rPr>
          <w:rFonts w:ascii="Palatino Linotype" w:eastAsia="Calibri" w:hAnsi="Palatino Linotype" w:cs="Arial"/>
        </w:rPr>
        <w:t>,</w:t>
      </w:r>
      <w:r w:rsidRPr="004114C2">
        <w:rPr>
          <w:rFonts w:ascii="Palatino Linotype" w:eastAsia="Calibri" w:hAnsi="Palatino Linotype" w:cs="Arial"/>
        </w:rPr>
        <w:t xml:space="preserve"> se dejan a salvo sus derechos, para que en el caso que no esté́ de acuerdo con la contestación emitida, vuelva presentar su solicitud de información.</w:t>
      </w:r>
    </w:p>
    <w:p w:rsidR="009C117C" w:rsidRPr="004114C2" w:rsidRDefault="009C117C" w:rsidP="00927641">
      <w:pPr>
        <w:spacing w:line="360" w:lineRule="auto"/>
        <w:contextualSpacing/>
        <w:jc w:val="both"/>
        <w:rPr>
          <w:rFonts w:ascii="Palatino Linotype" w:eastAsia="Calibri" w:hAnsi="Palatino Linotype" w:cs="Arial"/>
        </w:rPr>
      </w:pPr>
    </w:p>
    <w:p w:rsidR="009C117C" w:rsidRPr="004114C2" w:rsidRDefault="009C117C" w:rsidP="00927641">
      <w:pPr>
        <w:numPr>
          <w:ilvl w:val="0"/>
          <w:numId w:val="1"/>
        </w:numPr>
        <w:spacing w:line="360" w:lineRule="auto"/>
        <w:ind w:left="0" w:firstLine="0"/>
        <w:contextualSpacing/>
        <w:jc w:val="both"/>
        <w:rPr>
          <w:rFonts w:ascii="Palatino Linotype" w:eastAsia="Calibri" w:hAnsi="Palatino Linotype" w:cs="Arial"/>
        </w:rPr>
      </w:pPr>
      <w:r w:rsidRPr="004114C2">
        <w:rPr>
          <w:rFonts w:ascii="Palatino Linotype" w:eastAsia="Calibri" w:hAnsi="Palatino Linotype" w:cs="Arial"/>
        </w:rPr>
        <w:t>Por lo expuesto y fundado, este Órgano Garante:</w:t>
      </w:r>
    </w:p>
    <w:p w:rsidR="009C117C" w:rsidRPr="004114C2" w:rsidRDefault="009C117C" w:rsidP="00927641">
      <w:pPr>
        <w:pStyle w:val="Prrafodelista"/>
        <w:ind w:left="0"/>
        <w:rPr>
          <w:rFonts w:ascii="Palatino Linotype" w:hAnsi="Palatino Linotype"/>
          <w:color w:val="000000" w:themeColor="text1"/>
        </w:rPr>
      </w:pPr>
    </w:p>
    <w:p w:rsidR="009C117C" w:rsidRPr="004114C2" w:rsidRDefault="009C117C" w:rsidP="00927641">
      <w:pPr>
        <w:pStyle w:val="Ttulo1"/>
        <w:spacing w:before="0" w:line="360" w:lineRule="auto"/>
        <w:jc w:val="center"/>
        <w:rPr>
          <w:rFonts w:ascii="Palatino Linotype" w:eastAsia="Calibri" w:hAnsi="Palatino Linotype"/>
          <w:b/>
          <w:color w:val="000000" w:themeColor="text1"/>
          <w:sz w:val="24"/>
          <w:szCs w:val="24"/>
          <w:lang w:val="es-ES"/>
        </w:rPr>
      </w:pPr>
      <w:bookmarkStart w:id="16" w:name="_Toc504500693"/>
      <w:bookmarkStart w:id="17" w:name="_Toc534742545"/>
      <w:bookmarkStart w:id="18" w:name="_Toc2248738"/>
      <w:bookmarkStart w:id="19" w:name="_Toc34819440"/>
      <w:bookmarkStart w:id="20" w:name="_Toc51259595"/>
      <w:bookmarkStart w:id="21" w:name="_Toc83128595"/>
      <w:r w:rsidRPr="004114C2">
        <w:rPr>
          <w:rFonts w:ascii="Palatino Linotype" w:eastAsia="Calibri" w:hAnsi="Palatino Linotype"/>
          <w:b/>
          <w:color w:val="000000" w:themeColor="text1"/>
          <w:sz w:val="24"/>
          <w:szCs w:val="24"/>
          <w:lang w:val="es-ES"/>
        </w:rPr>
        <w:t>R E S O L U T I V O S</w:t>
      </w:r>
      <w:bookmarkEnd w:id="16"/>
      <w:bookmarkEnd w:id="17"/>
      <w:bookmarkEnd w:id="18"/>
      <w:bookmarkEnd w:id="19"/>
      <w:bookmarkEnd w:id="20"/>
      <w:bookmarkEnd w:id="21"/>
    </w:p>
    <w:p w:rsidR="009C117C" w:rsidRPr="004114C2" w:rsidRDefault="009C117C" w:rsidP="00927641">
      <w:pPr>
        <w:rPr>
          <w:rFonts w:ascii="Palatino Linotype" w:hAnsi="Palatino Linotype"/>
          <w:color w:val="000000" w:themeColor="text1"/>
          <w:lang w:val="es-ES"/>
        </w:rPr>
      </w:pPr>
    </w:p>
    <w:p w:rsidR="009C117C" w:rsidRPr="004114C2" w:rsidRDefault="009C117C" w:rsidP="0092764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Cs/>
          <w:lang w:val="es-ES"/>
        </w:rPr>
      </w:pPr>
      <w:r w:rsidRPr="004114C2">
        <w:rPr>
          <w:rFonts w:ascii="Palatino Linotype" w:eastAsia="Palatino Linotype" w:hAnsi="Palatino Linotype" w:cs="Palatino Linotype"/>
          <w:b/>
        </w:rPr>
        <w:t xml:space="preserve">Primero. </w:t>
      </w:r>
      <w:r w:rsidRPr="004114C2">
        <w:rPr>
          <w:rFonts w:ascii="Palatino Linotype" w:eastAsia="Palatino Linotype" w:hAnsi="Palatino Linotype" w:cs="Palatino Linotype"/>
        </w:rPr>
        <w:t>Se</w:t>
      </w:r>
      <w:r w:rsidRPr="004114C2">
        <w:rPr>
          <w:rFonts w:ascii="Palatino Linotype" w:eastAsia="Palatino Linotype" w:hAnsi="Palatino Linotype" w:cs="Palatino Linotype"/>
          <w:b/>
        </w:rPr>
        <w:t xml:space="preserve"> SOBRESEE </w:t>
      </w:r>
      <w:r w:rsidRPr="004114C2">
        <w:rPr>
          <w:rFonts w:ascii="Palatino Linotype" w:eastAsia="Palatino Linotype" w:hAnsi="Palatino Linotype" w:cs="Palatino Linotype"/>
        </w:rPr>
        <w:t xml:space="preserve">el recurso de revisión número </w:t>
      </w:r>
      <w:r w:rsidR="008F2AC0" w:rsidRPr="004114C2">
        <w:rPr>
          <w:rFonts w:ascii="Palatino Linotype" w:eastAsia="Palatino Linotype" w:hAnsi="Palatino Linotype" w:cs="Palatino Linotype"/>
          <w:b/>
        </w:rPr>
        <w:t>00488/INFOEM/IP/RR/2025</w:t>
      </w:r>
      <w:r w:rsidRPr="004114C2">
        <w:rPr>
          <w:rFonts w:ascii="Palatino Linotype" w:eastAsia="Palatino Linotype" w:hAnsi="Palatino Linotype" w:cs="Palatino Linotype"/>
          <w:b/>
        </w:rPr>
        <w:t xml:space="preserve">, </w:t>
      </w:r>
      <w:r w:rsidRPr="004114C2">
        <w:rPr>
          <w:rFonts w:ascii="Palatino Linotype" w:eastAsia="Palatino Linotype" w:hAnsi="Palatino Linotype" w:cs="Palatino Linotype"/>
          <w:bCs/>
          <w:lang w:val="es-ES"/>
        </w:rPr>
        <w:t xml:space="preserve">en términos del artículo 192, fracción IV, de la Ley de Transparencia y Acceso a la Información Pública del Estado de México y Municipios, por actualizarse la causal de </w:t>
      </w:r>
      <w:r w:rsidR="00927641" w:rsidRPr="004114C2">
        <w:rPr>
          <w:rFonts w:ascii="Palatino Linotype" w:eastAsia="Palatino Linotype" w:hAnsi="Palatino Linotype" w:cs="Palatino Linotype"/>
          <w:bCs/>
          <w:lang w:val="es-ES"/>
        </w:rPr>
        <w:t xml:space="preserve">improcedencia </w:t>
      </w:r>
      <w:r w:rsidRPr="004114C2">
        <w:rPr>
          <w:rFonts w:ascii="Palatino Linotype" w:eastAsia="Palatino Linotype" w:hAnsi="Palatino Linotype" w:cs="Palatino Linotype"/>
          <w:bCs/>
          <w:lang w:val="es-ES"/>
        </w:rPr>
        <w:t xml:space="preserve">establecida en la fracción I, del diverso 191, de dicho ordenamiento jurídico, de conformidad con los Considerandos </w:t>
      </w:r>
      <w:r w:rsidRPr="004114C2">
        <w:rPr>
          <w:rFonts w:ascii="Palatino Linotype" w:eastAsia="Palatino Linotype" w:hAnsi="Palatino Linotype" w:cs="Palatino Linotype"/>
          <w:b/>
          <w:bCs/>
          <w:lang w:val="es-ES"/>
        </w:rPr>
        <w:t>TERCERO y CUARTO</w:t>
      </w:r>
      <w:r w:rsidRPr="004114C2">
        <w:rPr>
          <w:rFonts w:ascii="Palatino Linotype" w:eastAsia="Palatino Linotype" w:hAnsi="Palatino Linotype" w:cs="Palatino Linotype"/>
          <w:bCs/>
          <w:lang w:val="es-ES"/>
        </w:rPr>
        <w:t xml:space="preserve"> de la presente Resolución.</w:t>
      </w:r>
    </w:p>
    <w:p w:rsidR="009C117C" w:rsidRPr="004114C2" w:rsidRDefault="009C117C" w:rsidP="0092764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4114C2">
        <w:rPr>
          <w:rFonts w:ascii="Palatino Linotype" w:eastAsia="Palatino Linotype" w:hAnsi="Palatino Linotype" w:cs="Palatino Linotype"/>
          <w:b/>
        </w:rPr>
        <w:t xml:space="preserve">Segundo. Notifíquese, </w:t>
      </w:r>
      <w:r w:rsidRPr="004114C2">
        <w:rPr>
          <w:rFonts w:ascii="Palatino Linotype" w:eastAsia="Palatino Linotype" w:hAnsi="Palatino Linotype" w:cs="Palatino Linotype"/>
        </w:rPr>
        <w:t>vía</w:t>
      </w:r>
      <w:r w:rsidRPr="004114C2">
        <w:rPr>
          <w:rFonts w:ascii="Palatino Linotype" w:eastAsia="Palatino Linotype" w:hAnsi="Palatino Linotype" w:cs="Palatino Linotype"/>
          <w:b/>
        </w:rPr>
        <w:t xml:space="preserve"> SAIMEX,</w:t>
      </w:r>
      <w:r w:rsidRPr="004114C2">
        <w:rPr>
          <w:rFonts w:ascii="Palatino Linotype" w:eastAsia="Palatino Linotype" w:hAnsi="Palatino Linotype" w:cs="Palatino Linotype"/>
        </w:rPr>
        <w:t xml:space="preserve"> al Responsable de la Unidad de Transparencia del </w:t>
      </w:r>
      <w:r w:rsidRPr="004114C2">
        <w:rPr>
          <w:rFonts w:ascii="Palatino Linotype" w:eastAsia="Palatino Linotype" w:hAnsi="Palatino Linotype" w:cs="Palatino Linotype"/>
          <w:b/>
        </w:rPr>
        <w:t>Sujeto Obligado</w:t>
      </w:r>
      <w:r w:rsidRPr="004114C2">
        <w:rPr>
          <w:rFonts w:ascii="Palatino Linotype" w:eastAsia="Palatino Linotype" w:hAnsi="Palatino Linotype" w:cs="Palatino Linotype"/>
        </w:rPr>
        <w:t xml:space="preserve"> la presente resolución, para su conocimiento.</w:t>
      </w:r>
    </w:p>
    <w:p w:rsidR="009C117C" w:rsidRPr="004114C2" w:rsidRDefault="009C117C" w:rsidP="0092764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114C2">
        <w:rPr>
          <w:rFonts w:ascii="Palatino Linotype" w:hAnsi="Palatino Linotype" w:cs="Arial"/>
          <w:b/>
        </w:rPr>
        <w:t>TERCERO</w:t>
      </w:r>
      <w:r w:rsidRPr="004114C2">
        <w:rPr>
          <w:rFonts w:ascii="Palatino Linotype" w:hAnsi="Palatino Linotype"/>
          <w:b/>
          <w:color w:val="222222"/>
          <w:lang w:eastAsia="es-ES_tradnl"/>
        </w:rPr>
        <w:t xml:space="preserve">. Notifíquese </w:t>
      </w:r>
      <w:r w:rsidRPr="004114C2">
        <w:rPr>
          <w:rFonts w:ascii="Palatino Linotype" w:hAnsi="Palatino Linotype"/>
          <w:color w:val="222222"/>
          <w:lang w:eastAsia="es-ES_tradnl"/>
        </w:rPr>
        <w:t>a</w:t>
      </w:r>
      <w:r w:rsidRPr="004114C2">
        <w:rPr>
          <w:rFonts w:ascii="Palatino Linotype" w:hAnsi="Palatino Linotype"/>
          <w:b/>
          <w:color w:val="222222"/>
          <w:lang w:eastAsia="es-ES_tradnl"/>
        </w:rPr>
        <w:t xml:space="preserve"> </w:t>
      </w:r>
      <w:r w:rsidRPr="004114C2">
        <w:rPr>
          <w:rFonts w:ascii="Palatino Linotype" w:hAnsi="Palatino Linotype"/>
          <w:b/>
        </w:rPr>
        <w:t>EL RECURRENTE</w:t>
      </w:r>
      <w:r w:rsidRPr="004114C2">
        <w:rPr>
          <w:rFonts w:ascii="Palatino Linotype" w:hAnsi="Palatino Linotype"/>
          <w:color w:val="222222"/>
          <w:lang w:eastAsia="es-ES_tradnl"/>
        </w:rPr>
        <w:t xml:space="preserve"> la presente resolución, vía </w:t>
      </w:r>
      <w:r w:rsidRPr="004114C2">
        <w:rPr>
          <w:rFonts w:ascii="Palatino Linotype" w:hAnsi="Palatino Linotype"/>
          <w:b/>
          <w:color w:val="222222"/>
          <w:lang w:eastAsia="es-ES_tradnl"/>
        </w:rPr>
        <w:t>SAIMEX</w:t>
      </w:r>
      <w:r w:rsidR="008F2AC0" w:rsidRPr="004114C2">
        <w:rPr>
          <w:rFonts w:ascii="Palatino Linotype" w:hAnsi="Palatino Linotype"/>
          <w:b/>
          <w:color w:val="222222"/>
          <w:lang w:eastAsia="es-ES_tradnl"/>
        </w:rPr>
        <w:t>.</w:t>
      </w:r>
    </w:p>
    <w:p w:rsidR="009C117C" w:rsidRPr="004114C2" w:rsidRDefault="009C117C" w:rsidP="0092764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9C117C" w:rsidRPr="004114C2" w:rsidRDefault="009C117C" w:rsidP="0092764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114C2">
        <w:rPr>
          <w:rFonts w:ascii="Palatino Linotype" w:hAnsi="Palatino Linotype"/>
          <w:b/>
          <w:color w:val="222222"/>
          <w:lang w:eastAsia="es-ES_tradnl"/>
        </w:rPr>
        <w:t xml:space="preserve">CUARTO. </w:t>
      </w:r>
      <w:r w:rsidRPr="004114C2">
        <w:rPr>
          <w:rFonts w:ascii="Palatino Linotype" w:eastAsia="MS Mincho" w:hAnsi="Palatino Linotype"/>
        </w:rPr>
        <w:t xml:space="preserve">Se hace del conocimiento de </w:t>
      </w:r>
      <w:r w:rsidRPr="004114C2">
        <w:rPr>
          <w:rFonts w:ascii="Palatino Linotype" w:eastAsia="MS Mincho" w:hAnsi="Palatino Linotype"/>
          <w:b/>
        </w:rPr>
        <w:t>EL RECURRENTE</w:t>
      </w:r>
      <w:r w:rsidRPr="004114C2">
        <w:rPr>
          <w:rFonts w:ascii="Palatino Linotype" w:hAnsi="Palatino Linotype"/>
        </w:rPr>
        <w:t xml:space="preserve"> </w:t>
      </w:r>
      <w:r w:rsidRPr="004114C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114C2">
        <w:rPr>
          <w:rFonts w:ascii="Palatino Linotype" w:eastAsia="MS Mincho" w:hAnsi="Palatino Linotype"/>
          <w:bCs/>
        </w:rPr>
        <w:t>vía juicio de amparo</w:t>
      </w:r>
      <w:r w:rsidRPr="004114C2">
        <w:rPr>
          <w:rFonts w:ascii="Palatino Linotype" w:eastAsia="MS Mincho" w:hAnsi="Palatino Linotype"/>
        </w:rPr>
        <w:t> en los términos de las leyes aplicables.</w:t>
      </w:r>
    </w:p>
    <w:p w:rsidR="009C117C" w:rsidRPr="004114C2" w:rsidRDefault="009C117C" w:rsidP="00927641">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9C117C" w:rsidRPr="00927641" w:rsidRDefault="00927641" w:rsidP="00927641">
      <w:pPr>
        <w:spacing w:line="360" w:lineRule="auto"/>
        <w:jc w:val="both"/>
        <w:rPr>
          <w:rFonts w:ascii="Palatino Linotype" w:hAnsi="Palatino Linotype"/>
          <w:color w:val="000000" w:themeColor="text1"/>
        </w:rPr>
      </w:pPr>
      <w:r w:rsidRPr="004114C2">
        <w:rPr>
          <w:rFonts w:ascii="Palatino Linotype" w:hAnsi="Palatino Linotype"/>
          <w:color w:val="000000" w:themeColor="text1"/>
        </w:rPr>
        <w:t xml:space="preserve">ASÍ LO RESUELVE, POR UNANIMIDAD DE VOTOS, EL PLENO DEL INSTITUTO DE TRANSPARENCIA, ACCESO A LA INFORMACIÓN PÚBLICA Y PROTECCIÓN DE </w:t>
      </w:r>
      <w:r w:rsidRPr="004114C2">
        <w:rPr>
          <w:rFonts w:ascii="Palatino Linotype" w:hAnsi="Palatino Linotype"/>
          <w:color w:val="000000" w:themeColor="text1"/>
        </w:rPr>
        <w:lastRenderedPageBreak/>
        <w:t>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rsidR="009C117C" w:rsidRPr="00927641" w:rsidRDefault="009C117C" w:rsidP="00927641">
      <w:pPr>
        <w:rPr>
          <w:rFonts w:ascii="Palatino Linotype" w:hAnsi="Palatino Linotype"/>
        </w:rPr>
      </w:pPr>
    </w:p>
    <w:p w:rsidR="009C117C" w:rsidRPr="00927641" w:rsidRDefault="009C117C" w:rsidP="00927641">
      <w:pPr>
        <w:rPr>
          <w:rFonts w:ascii="Palatino Linotype" w:hAnsi="Palatino Linotype"/>
        </w:rPr>
      </w:pPr>
    </w:p>
    <w:p w:rsidR="002F3B86" w:rsidRDefault="002F3B86"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bookmarkStart w:id="22" w:name="_GoBack"/>
      <w:bookmarkEnd w:id="22"/>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Default="00927641" w:rsidP="00927641">
      <w:pPr>
        <w:rPr>
          <w:rFonts w:ascii="Palatino Linotype" w:hAnsi="Palatino Linotype"/>
        </w:rPr>
      </w:pPr>
    </w:p>
    <w:p w:rsidR="00927641" w:rsidRPr="00927641" w:rsidRDefault="00927641" w:rsidP="00927641">
      <w:pPr>
        <w:rPr>
          <w:rFonts w:ascii="Palatino Linotype" w:hAnsi="Palatino Linotype"/>
        </w:rPr>
      </w:pPr>
    </w:p>
    <w:sectPr w:rsidR="00927641" w:rsidRPr="00927641" w:rsidSect="00927641">
      <w:headerReference w:type="even" r:id="rId9"/>
      <w:headerReference w:type="default" r:id="rId10"/>
      <w:footerReference w:type="default" r:id="rId11"/>
      <w:headerReference w:type="first" r:id="rId12"/>
      <w:footerReference w:type="first" r:id="rId13"/>
      <w:pgSz w:w="12240" w:h="15840"/>
      <w:pgMar w:top="2268" w:right="1183"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61" w:rsidRDefault="006C4161" w:rsidP="009C117C">
      <w:r>
        <w:separator/>
      </w:r>
    </w:p>
  </w:endnote>
  <w:endnote w:type="continuationSeparator" w:id="0">
    <w:p w:rsidR="006C4161" w:rsidRDefault="006C4161" w:rsidP="009C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F1B32" w:rsidRPr="002D6DD8" w:rsidRDefault="003F1B32" w:rsidP="003F1B3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4C2">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14C2">
              <w:rPr>
                <w:rFonts w:ascii="Palatino Linotype" w:hAnsi="Palatino Linotype"/>
                <w:bCs/>
                <w:noProof/>
                <w:sz w:val="20"/>
              </w:rPr>
              <w:t>15</w:t>
            </w:r>
            <w:r>
              <w:rPr>
                <w:rFonts w:ascii="Palatino Linotype" w:hAnsi="Palatino Linotype"/>
                <w:bCs/>
                <w:noProof/>
                <w:sz w:val="20"/>
              </w:rPr>
              <w:fldChar w:fldCharType="end"/>
            </w:r>
          </w:p>
        </w:sdtContent>
      </w:sdt>
    </w:sdtContent>
  </w:sdt>
  <w:p w:rsidR="003F1B32" w:rsidRDefault="003F1B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32" w:rsidRPr="000B69FA" w:rsidRDefault="003F1B32" w:rsidP="003F1B3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4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14C2">
      <w:rPr>
        <w:rFonts w:ascii="Palatino Linotype" w:hAnsi="Palatino Linotype"/>
        <w:bCs/>
        <w:noProof/>
        <w:sz w:val="20"/>
      </w:rPr>
      <w:t>15</w:t>
    </w:r>
    <w:r>
      <w:rPr>
        <w:rFonts w:ascii="Palatino Linotype" w:hAnsi="Palatino Linotype"/>
        <w:bCs/>
        <w:noProof/>
        <w:sz w:val="20"/>
      </w:rPr>
      <w:fldChar w:fldCharType="end"/>
    </w:r>
  </w:p>
  <w:p w:rsidR="003F1B32" w:rsidRDefault="003F1B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61" w:rsidRDefault="006C4161" w:rsidP="009C117C">
      <w:r>
        <w:separator/>
      </w:r>
    </w:p>
  </w:footnote>
  <w:footnote w:type="continuationSeparator" w:id="0">
    <w:p w:rsidR="006C4161" w:rsidRDefault="006C4161" w:rsidP="009C1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32" w:rsidRDefault="006C416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3F1B32" w:rsidRPr="00927641" w:rsidTr="003F1B32">
      <w:trPr>
        <w:trHeight w:val="227"/>
      </w:trPr>
      <w:tc>
        <w:tcPr>
          <w:tcW w:w="2976" w:type="dxa"/>
          <w:vAlign w:val="center"/>
          <w:hideMark/>
        </w:tcPr>
        <w:p w:rsidR="003F1B32" w:rsidRPr="00927641" w:rsidRDefault="003F1B32" w:rsidP="003F1B32">
          <w:pPr>
            <w:ind w:right="34"/>
            <w:jc w:val="right"/>
            <w:rPr>
              <w:rFonts w:ascii="Palatino Linotype" w:hAnsi="Palatino Linotype"/>
              <w:b/>
            </w:rPr>
          </w:pPr>
          <w:r w:rsidRPr="00927641">
            <w:rPr>
              <w:rFonts w:ascii="Palatino Linotype" w:hAnsi="Palatino Linotype"/>
              <w:b/>
            </w:rPr>
            <w:t>Recurso de Revisión:</w:t>
          </w:r>
        </w:p>
      </w:tc>
      <w:tc>
        <w:tcPr>
          <w:tcW w:w="3543" w:type="dxa"/>
          <w:vAlign w:val="center"/>
          <w:hideMark/>
        </w:tcPr>
        <w:p w:rsidR="003F1B32" w:rsidRPr="00927641" w:rsidRDefault="003F1B32" w:rsidP="003F1B32">
          <w:pPr>
            <w:pStyle w:val="Encabezado"/>
            <w:rPr>
              <w:rFonts w:ascii="Palatino Linotype" w:hAnsi="Palatino Linotype"/>
            </w:rPr>
          </w:pPr>
          <w:r w:rsidRPr="00927641">
            <w:rPr>
              <w:rFonts w:ascii="Palatino Linotype" w:hAnsi="Palatino Linotype"/>
            </w:rPr>
            <w:t>00488/INFOEM/IP/RR/2025</w:t>
          </w:r>
        </w:p>
      </w:tc>
    </w:tr>
    <w:tr w:rsidR="003F1B32" w:rsidRPr="00927641" w:rsidTr="003F1B32">
      <w:trPr>
        <w:trHeight w:val="242"/>
      </w:trPr>
      <w:tc>
        <w:tcPr>
          <w:tcW w:w="2976" w:type="dxa"/>
          <w:vAlign w:val="center"/>
          <w:hideMark/>
        </w:tcPr>
        <w:p w:rsidR="003F1B32" w:rsidRPr="00927641" w:rsidRDefault="003F1B32" w:rsidP="003F1B32">
          <w:pPr>
            <w:ind w:right="34"/>
            <w:jc w:val="right"/>
            <w:rPr>
              <w:rFonts w:ascii="Palatino Linotype" w:hAnsi="Palatino Linotype"/>
              <w:b/>
            </w:rPr>
          </w:pPr>
          <w:r w:rsidRPr="00927641">
            <w:rPr>
              <w:rFonts w:ascii="Palatino Linotype" w:hAnsi="Palatino Linotype"/>
              <w:b/>
            </w:rPr>
            <w:t>Sujeto Obligado:</w:t>
          </w:r>
        </w:p>
      </w:tc>
      <w:tc>
        <w:tcPr>
          <w:tcW w:w="3543" w:type="dxa"/>
          <w:vAlign w:val="center"/>
          <w:hideMark/>
        </w:tcPr>
        <w:p w:rsidR="003F1B32" w:rsidRPr="00927641" w:rsidRDefault="003F1B32" w:rsidP="003F1B32">
          <w:pPr>
            <w:pStyle w:val="Encabezado"/>
            <w:jc w:val="both"/>
            <w:rPr>
              <w:rFonts w:ascii="Palatino Linotype" w:hAnsi="Palatino Linotype"/>
            </w:rPr>
          </w:pPr>
          <w:r w:rsidRPr="00927641">
            <w:rPr>
              <w:rFonts w:ascii="Palatino Linotype" w:hAnsi="Palatino Linotype"/>
              <w:bCs/>
              <w:color w:val="000000" w:themeColor="text1"/>
            </w:rPr>
            <w:t xml:space="preserve">Ayuntamiento de </w:t>
          </w:r>
          <w:r w:rsidRPr="00927641">
            <w:rPr>
              <w:rFonts w:ascii="Palatino Linotype" w:hAnsi="Palatino Linotype"/>
              <w:bCs/>
              <w:color w:val="000000" w:themeColor="text1"/>
              <w:lang w:val="es-MX"/>
            </w:rPr>
            <w:t>Tepotzotlán</w:t>
          </w:r>
        </w:p>
      </w:tc>
    </w:tr>
    <w:tr w:rsidR="003F1B32" w:rsidRPr="00927641" w:rsidTr="003F1B32">
      <w:trPr>
        <w:trHeight w:val="342"/>
      </w:trPr>
      <w:tc>
        <w:tcPr>
          <w:tcW w:w="2976" w:type="dxa"/>
          <w:vAlign w:val="center"/>
          <w:hideMark/>
        </w:tcPr>
        <w:p w:rsidR="003F1B32" w:rsidRPr="00927641" w:rsidRDefault="003F1B32" w:rsidP="003F1B32">
          <w:pPr>
            <w:ind w:right="34"/>
            <w:jc w:val="right"/>
            <w:rPr>
              <w:rFonts w:ascii="Palatino Linotype" w:hAnsi="Palatino Linotype"/>
              <w:b/>
            </w:rPr>
          </w:pPr>
          <w:r w:rsidRPr="00927641">
            <w:rPr>
              <w:rFonts w:ascii="Palatino Linotype" w:hAnsi="Palatino Linotype"/>
              <w:b/>
            </w:rPr>
            <w:t>Comisionada Ponente:</w:t>
          </w:r>
        </w:p>
      </w:tc>
      <w:tc>
        <w:tcPr>
          <w:tcW w:w="3543" w:type="dxa"/>
          <w:vAlign w:val="center"/>
          <w:hideMark/>
        </w:tcPr>
        <w:p w:rsidR="003F1B32" w:rsidRPr="00927641" w:rsidRDefault="003F1B32" w:rsidP="003F1B32">
          <w:pPr>
            <w:pStyle w:val="Encabezado"/>
            <w:jc w:val="both"/>
            <w:rPr>
              <w:rFonts w:ascii="Palatino Linotype" w:hAnsi="Palatino Linotype"/>
            </w:rPr>
          </w:pPr>
          <w:r w:rsidRPr="00927641">
            <w:rPr>
              <w:rFonts w:ascii="Palatino Linotype" w:eastAsia="Times New Roman" w:hAnsi="Palatino Linotype" w:cs="Arial"/>
              <w:color w:val="000000"/>
              <w:lang w:val="es-MX"/>
            </w:rPr>
            <w:t>María del Rosario Mejía Ayala</w:t>
          </w:r>
        </w:p>
      </w:tc>
    </w:tr>
  </w:tbl>
  <w:p w:rsidR="003F1B32" w:rsidRPr="00AE046A" w:rsidRDefault="006C4161" w:rsidP="003F1B32">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3F1B32" w:rsidRPr="00927641" w:rsidTr="003F1B32">
      <w:trPr>
        <w:trHeight w:val="227"/>
      </w:trPr>
      <w:tc>
        <w:tcPr>
          <w:tcW w:w="2977" w:type="dxa"/>
          <w:vAlign w:val="center"/>
          <w:hideMark/>
        </w:tcPr>
        <w:p w:rsidR="003F1B32" w:rsidRPr="00927641" w:rsidRDefault="003F1B32" w:rsidP="003F1B32">
          <w:pPr>
            <w:jc w:val="right"/>
            <w:rPr>
              <w:rFonts w:ascii="Palatino Linotype" w:hAnsi="Palatino Linotype"/>
              <w:b/>
            </w:rPr>
          </w:pPr>
          <w:r w:rsidRPr="00927641">
            <w:rPr>
              <w:rFonts w:ascii="Palatino Linotype" w:hAnsi="Palatino Linotype"/>
              <w:b/>
            </w:rPr>
            <w:t>Recurso de Revisión:</w:t>
          </w:r>
        </w:p>
      </w:tc>
      <w:tc>
        <w:tcPr>
          <w:tcW w:w="3684" w:type="dxa"/>
          <w:vAlign w:val="center"/>
          <w:hideMark/>
        </w:tcPr>
        <w:p w:rsidR="003F1B32" w:rsidRPr="00927641" w:rsidRDefault="003F1B32" w:rsidP="003F1B32">
          <w:pPr>
            <w:pStyle w:val="Encabezado"/>
            <w:rPr>
              <w:rFonts w:ascii="Palatino Linotype" w:hAnsi="Palatino Linotype"/>
            </w:rPr>
          </w:pPr>
          <w:r w:rsidRPr="00927641">
            <w:rPr>
              <w:rFonts w:ascii="Palatino Linotype" w:hAnsi="Palatino Linotype"/>
            </w:rPr>
            <w:t>00488/INFOEM/IP/RR/2025</w:t>
          </w:r>
        </w:p>
      </w:tc>
    </w:tr>
    <w:tr w:rsidR="003F1B32" w:rsidRPr="00927641" w:rsidTr="003F1B32">
      <w:trPr>
        <w:trHeight w:val="242"/>
      </w:trPr>
      <w:tc>
        <w:tcPr>
          <w:tcW w:w="2977" w:type="dxa"/>
          <w:vAlign w:val="center"/>
          <w:hideMark/>
        </w:tcPr>
        <w:p w:rsidR="003F1B32" w:rsidRPr="00927641" w:rsidRDefault="003F1B32" w:rsidP="003F1B32">
          <w:pPr>
            <w:jc w:val="right"/>
            <w:rPr>
              <w:rFonts w:ascii="Palatino Linotype" w:hAnsi="Palatino Linotype"/>
              <w:b/>
            </w:rPr>
          </w:pPr>
          <w:r w:rsidRPr="00927641">
            <w:rPr>
              <w:rFonts w:ascii="Palatino Linotype" w:hAnsi="Palatino Linotype"/>
              <w:b/>
            </w:rPr>
            <w:t>Recurrente:</w:t>
          </w:r>
        </w:p>
      </w:tc>
      <w:tc>
        <w:tcPr>
          <w:tcW w:w="3684" w:type="dxa"/>
          <w:hideMark/>
        </w:tcPr>
        <w:p w:rsidR="003F1B32" w:rsidRPr="00927641" w:rsidRDefault="003F1B32" w:rsidP="003F1B32">
          <w:pPr>
            <w:pStyle w:val="Encabezado"/>
            <w:tabs>
              <w:tab w:val="left" w:pos="521"/>
            </w:tabs>
            <w:rPr>
              <w:rFonts w:ascii="Palatino Linotype" w:hAnsi="Palatino Linotype"/>
            </w:rPr>
          </w:pPr>
        </w:p>
      </w:tc>
    </w:tr>
    <w:tr w:rsidR="003F1B32" w:rsidRPr="00927641" w:rsidTr="003F1B32">
      <w:trPr>
        <w:trHeight w:val="342"/>
      </w:trPr>
      <w:tc>
        <w:tcPr>
          <w:tcW w:w="2977" w:type="dxa"/>
          <w:vAlign w:val="center"/>
        </w:tcPr>
        <w:p w:rsidR="003F1B32" w:rsidRPr="00927641" w:rsidRDefault="003F1B32" w:rsidP="003F1B32">
          <w:pPr>
            <w:jc w:val="right"/>
            <w:rPr>
              <w:rFonts w:ascii="Palatino Linotype" w:hAnsi="Palatino Linotype"/>
              <w:b/>
            </w:rPr>
          </w:pPr>
          <w:r w:rsidRPr="00927641">
            <w:rPr>
              <w:rFonts w:ascii="Palatino Linotype" w:hAnsi="Palatino Linotype"/>
              <w:b/>
            </w:rPr>
            <w:t>Sujeto Obligado:</w:t>
          </w:r>
        </w:p>
      </w:tc>
      <w:tc>
        <w:tcPr>
          <w:tcW w:w="3684" w:type="dxa"/>
          <w:vAlign w:val="center"/>
        </w:tcPr>
        <w:p w:rsidR="003F1B32" w:rsidRPr="00927641" w:rsidRDefault="003F1B32" w:rsidP="003F1B32">
          <w:pPr>
            <w:pStyle w:val="Encabezado"/>
            <w:jc w:val="both"/>
            <w:rPr>
              <w:rFonts w:ascii="Palatino Linotype" w:hAnsi="Palatino Linotype"/>
            </w:rPr>
          </w:pPr>
          <w:r w:rsidRPr="00927641">
            <w:rPr>
              <w:rFonts w:ascii="Palatino Linotype" w:hAnsi="Palatino Linotype"/>
              <w:bCs/>
              <w:color w:val="000000" w:themeColor="text1"/>
            </w:rPr>
            <w:t xml:space="preserve">Ayuntamiento de </w:t>
          </w:r>
          <w:r w:rsidRPr="00927641">
            <w:rPr>
              <w:rFonts w:ascii="Palatino Linotype" w:hAnsi="Palatino Linotype"/>
              <w:bCs/>
              <w:color w:val="000000" w:themeColor="text1"/>
              <w:lang w:val="es-MX"/>
            </w:rPr>
            <w:t>Tepotzotlán</w:t>
          </w:r>
        </w:p>
      </w:tc>
    </w:tr>
    <w:tr w:rsidR="003F1B32" w:rsidRPr="00927641" w:rsidTr="003F1B32">
      <w:trPr>
        <w:trHeight w:val="342"/>
      </w:trPr>
      <w:tc>
        <w:tcPr>
          <w:tcW w:w="2977" w:type="dxa"/>
          <w:vAlign w:val="center"/>
        </w:tcPr>
        <w:p w:rsidR="003F1B32" w:rsidRPr="00927641" w:rsidRDefault="003F1B32" w:rsidP="003F1B32">
          <w:pPr>
            <w:jc w:val="right"/>
            <w:rPr>
              <w:rFonts w:ascii="Palatino Linotype" w:hAnsi="Palatino Linotype"/>
              <w:b/>
            </w:rPr>
          </w:pPr>
          <w:r w:rsidRPr="00927641">
            <w:rPr>
              <w:rFonts w:ascii="Palatino Linotype" w:hAnsi="Palatino Linotype"/>
              <w:b/>
            </w:rPr>
            <w:t>Comisionada Ponente:</w:t>
          </w:r>
        </w:p>
      </w:tc>
      <w:tc>
        <w:tcPr>
          <w:tcW w:w="3684" w:type="dxa"/>
          <w:vAlign w:val="center"/>
        </w:tcPr>
        <w:p w:rsidR="003F1B32" w:rsidRPr="00927641" w:rsidRDefault="003F1B32" w:rsidP="003F1B32">
          <w:pPr>
            <w:pStyle w:val="Encabezado"/>
            <w:rPr>
              <w:rFonts w:ascii="Palatino Linotype" w:hAnsi="Palatino Linotype"/>
            </w:rPr>
          </w:pPr>
          <w:r w:rsidRPr="00927641">
            <w:rPr>
              <w:rFonts w:ascii="Palatino Linotype" w:hAnsi="Palatino Linotype"/>
            </w:rPr>
            <w:t>María del Rosario Mejía Ayala</w:t>
          </w:r>
        </w:p>
      </w:tc>
    </w:tr>
  </w:tbl>
  <w:p w:rsidR="003F1B32" w:rsidRPr="009C117C" w:rsidRDefault="006C4161">
    <w:pPr>
      <w:pStyle w:val="Encabezado"/>
      <w:rPr>
        <w:sz w:val="22"/>
        <w:szCs w:val="22"/>
      </w:rPr>
    </w:pPr>
    <w:r>
      <w:rPr>
        <w:noProof/>
        <w:sz w:val="22"/>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350F"/>
    <w:multiLevelType w:val="hybridMultilevel"/>
    <w:tmpl w:val="96CED61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6D71D7"/>
    <w:multiLevelType w:val="hybridMultilevel"/>
    <w:tmpl w:val="2E26E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7C933A9"/>
    <w:multiLevelType w:val="hybridMultilevel"/>
    <w:tmpl w:val="402EBA8E"/>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5">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9DB3807"/>
    <w:multiLevelType w:val="hybridMultilevel"/>
    <w:tmpl w:val="D744EC16"/>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7">
    <w:nsid w:val="7DA045A3"/>
    <w:multiLevelType w:val="hybridMultilevel"/>
    <w:tmpl w:val="B402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7C"/>
    <w:rsid w:val="001E0B8E"/>
    <w:rsid w:val="002F3B86"/>
    <w:rsid w:val="00335E9D"/>
    <w:rsid w:val="003E2F8C"/>
    <w:rsid w:val="003F1B32"/>
    <w:rsid w:val="004114C2"/>
    <w:rsid w:val="004761F7"/>
    <w:rsid w:val="006C4161"/>
    <w:rsid w:val="008F2AC0"/>
    <w:rsid w:val="00927641"/>
    <w:rsid w:val="009C11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8826D8-57B1-42F5-A58D-C2A36996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17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C11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C11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17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9C117C"/>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9C117C"/>
    <w:pPr>
      <w:tabs>
        <w:tab w:val="center" w:pos="4419"/>
        <w:tab w:val="right" w:pos="8838"/>
      </w:tabs>
    </w:pPr>
  </w:style>
  <w:style w:type="character" w:customStyle="1" w:styleId="EncabezadoCar">
    <w:name w:val="Encabezado Car"/>
    <w:basedOn w:val="Fuentedeprrafopredeter"/>
    <w:link w:val="Encabezado"/>
    <w:uiPriority w:val="99"/>
    <w:rsid w:val="009C117C"/>
    <w:rPr>
      <w:rFonts w:eastAsiaTheme="minorEastAsia"/>
      <w:sz w:val="24"/>
      <w:szCs w:val="24"/>
      <w:lang w:val="es-ES_tradnl" w:eastAsia="es-ES"/>
    </w:rPr>
  </w:style>
  <w:style w:type="paragraph" w:styleId="Piedepgina">
    <w:name w:val="footer"/>
    <w:basedOn w:val="Normal"/>
    <w:link w:val="PiedepginaCar"/>
    <w:uiPriority w:val="99"/>
    <w:unhideWhenUsed/>
    <w:rsid w:val="009C117C"/>
    <w:pPr>
      <w:tabs>
        <w:tab w:val="center" w:pos="4419"/>
        <w:tab w:val="right" w:pos="8838"/>
      </w:tabs>
    </w:pPr>
  </w:style>
  <w:style w:type="character" w:customStyle="1" w:styleId="PiedepginaCar">
    <w:name w:val="Pie de página Car"/>
    <w:basedOn w:val="Fuentedeprrafopredeter"/>
    <w:link w:val="Piedepgina"/>
    <w:uiPriority w:val="99"/>
    <w:rsid w:val="009C117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117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C117C"/>
    <w:rPr>
      <w:rFonts w:eastAsiaTheme="minorEastAsia"/>
      <w:sz w:val="24"/>
      <w:szCs w:val="24"/>
      <w:lang w:val="es-ES_tradnl" w:eastAsia="es-ES"/>
    </w:rPr>
  </w:style>
  <w:style w:type="character" w:styleId="Hipervnculo">
    <w:name w:val="Hyperlink"/>
    <w:basedOn w:val="Fuentedeprrafopredeter"/>
    <w:uiPriority w:val="99"/>
    <w:unhideWhenUsed/>
    <w:rsid w:val="009C1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0700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3113</Words>
  <Characters>17123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4</cp:revision>
  <cp:lastPrinted>2025-05-06T17:38:00Z</cp:lastPrinted>
  <dcterms:created xsi:type="dcterms:W3CDTF">2025-04-24T19:55:00Z</dcterms:created>
  <dcterms:modified xsi:type="dcterms:W3CDTF">2025-05-06T17:38:00Z</dcterms:modified>
</cp:coreProperties>
</file>