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E1E5" w14:textId="77777777" w:rsidR="006F4B64" w:rsidRDefault="006F4B64">
      <w:pPr>
        <w:widowControl w:val="0"/>
        <w:pBdr>
          <w:top w:val="nil"/>
          <w:left w:val="nil"/>
          <w:bottom w:val="nil"/>
          <w:right w:val="nil"/>
          <w:between w:val="nil"/>
        </w:pBdr>
        <w:spacing w:after="0" w:line="276" w:lineRule="auto"/>
        <w:jc w:val="left"/>
      </w:pPr>
    </w:p>
    <w:sdt>
      <w:sdtPr>
        <w:rPr>
          <w:rFonts w:ascii="Palatino Linotype" w:eastAsia="Palatino Linotype" w:hAnsi="Palatino Linotype" w:cs="Palatino Linotype"/>
          <w:color w:val="auto"/>
          <w:sz w:val="22"/>
          <w:szCs w:val="22"/>
          <w:lang w:val="es-ES"/>
        </w:rPr>
        <w:id w:val="-1934192740"/>
        <w:docPartObj>
          <w:docPartGallery w:val="Table of Contents"/>
          <w:docPartUnique/>
        </w:docPartObj>
      </w:sdtPr>
      <w:sdtEndPr>
        <w:rPr>
          <w:b/>
          <w:bCs/>
        </w:rPr>
      </w:sdtEndPr>
      <w:sdtContent>
        <w:p w14:paraId="2A271377" w14:textId="3AFE3C4A" w:rsidR="00D76DD8" w:rsidRPr="002D4224" w:rsidRDefault="00D76DD8">
          <w:pPr>
            <w:pStyle w:val="TtuloTDC"/>
          </w:pPr>
          <w:r w:rsidRPr="002D4224">
            <w:rPr>
              <w:lang w:val="es-ES"/>
            </w:rPr>
            <w:t>Tabla de contenido</w:t>
          </w:r>
        </w:p>
        <w:p w14:paraId="7C331FB7" w14:textId="72A5A014" w:rsidR="00906535" w:rsidRDefault="00D76DD8">
          <w:pPr>
            <w:pStyle w:val="TDC1"/>
            <w:tabs>
              <w:tab w:val="right" w:leader="dot" w:pos="9204"/>
            </w:tabs>
            <w:rPr>
              <w:rFonts w:asciiTheme="minorHAnsi" w:eastAsiaTheme="minorEastAsia" w:hAnsiTheme="minorHAnsi" w:cstheme="minorBidi"/>
              <w:noProof/>
            </w:rPr>
          </w:pPr>
          <w:r w:rsidRPr="002D4224">
            <w:fldChar w:fldCharType="begin"/>
          </w:r>
          <w:r w:rsidRPr="002D4224">
            <w:instrText xml:space="preserve"> TOC \o "1-3" \h \z \u </w:instrText>
          </w:r>
          <w:r w:rsidRPr="002D4224">
            <w:fldChar w:fldCharType="separate"/>
          </w:r>
          <w:hyperlink w:anchor="_Toc207896925" w:history="1">
            <w:r w:rsidR="00906535" w:rsidRPr="00A6684F">
              <w:rPr>
                <w:rStyle w:val="Hipervnculo"/>
                <w:noProof/>
              </w:rPr>
              <w:t>A N T E C E D E N T E S</w:t>
            </w:r>
            <w:r w:rsidR="00906535">
              <w:rPr>
                <w:noProof/>
                <w:webHidden/>
              </w:rPr>
              <w:tab/>
            </w:r>
            <w:r w:rsidR="00906535">
              <w:rPr>
                <w:noProof/>
                <w:webHidden/>
              </w:rPr>
              <w:fldChar w:fldCharType="begin"/>
            </w:r>
            <w:r w:rsidR="00906535">
              <w:rPr>
                <w:noProof/>
                <w:webHidden/>
              </w:rPr>
              <w:instrText xml:space="preserve"> PAGEREF _Toc207896925 \h </w:instrText>
            </w:r>
            <w:r w:rsidR="00906535">
              <w:rPr>
                <w:noProof/>
                <w:webHidden/>
              </w:rPr>
            </w:r>
            <w:r w:rsidR="00906535">
              <w:rPr>
                <w:noProof/>
                <w:webHidden/>
              </w:rPr>
              <w:fldChar w:fldCharType="separate"/>
            </w:r>
            <w:r w:rsidR="003978D5">
              <w:rPr>
                <w:noProof/>
                <w:webHidden/>
              </w:rPr>
              <w:t>2</w:t>
            </w:r>
            <w:r w:rsidR="00906535">
              <w:rPr>
                <w:noProof/>
                <w:webHidden/>
              </w:rPr>
              <w:fldChar w:fldCharType="end"/>
            </w:r>
          </w:hyperlink>
        </w:p>
        <w:p w14:paraId="5054A7F7" w14:textId="1F8DE367" w:rsidR="00906535" w:rsidRDefault="00906535">
          <w:pPr>
            <w:pStyle w:val="TDC2"/>
            <w:tabs>
              <w:tab w:val="right" w:leader="dot" w:pos="9204"/>
            </w:tabs>
            <w:rPr>
              <w:rFonts w:asciiTheme="minorHAnsi" w:eastAsiaTheme="minorEastAsia" w:hAnsiTheme="minorHAnsi" w:cstheme="minorBidi"/>
              <w:noProof/>
            </w:rPr>
          </w:pPr>
          <w:hyperlink w:anchor="_Toc207896926" w:history="1">
            <w:r w:rsidRPr="00A6684F">
              <w:rPr>
                <w:rStyle w:val="Hipervnculo"/>
                <w:noProof/>
              </w:rPr>
              <w:t>I. Presentación de la solicitud de información</w:t>
            </w:r>
            <w:r>
              <w:rPr>
                <w:noProof/>
                <w:webHidden/>
              </w:rPr>
              <w:tab/>
            </w:r>
            <w:r>
              <w:rPr>
                <w:noProof/>
                <w:webHidden/>
              </w:rPr>
              <w:fldChar w:fldCharType="begin"/>
            </w:r>
            <w:r>
              <w:rPr>
                <w:noProof/>
                <w:webHidden/>
              </w:rPr>
              <w:instrText xml:space="preserve"> PAGEREF _Toc207896926 \h </w:instrText>
            </w:r>
            <w:r>
              <w:rPr>
                <w:noProof/>
                <w:webHidden/>
              </w:rPr>
            </w:r>
            <w:r>
              <w:rPr>
                <w:noProof/>
                <w:webHidden/>
              </w:rPr>
              <w:fldChar w:fldCharType="separate"/>
            </w:r>
            <w:r w:rsidR="003978D5">
              <w:rPr>
                <w:noProof/>
                <w:webHidden/>
              </w:rPr>
              <w:t>2</w:t>
            </w:r>
            <w:r>
              <w:rPr>
                <w:noProof/>
                <w:webHidden/>
              </w:rPr>
              <w:fldChar w:fldCharType="end"/>
            </w:r>
          </w:hyperlink>
        </w:p>
        <w:p w14:paraId="5ABC8B91" w14:textId="07AADE43" w:rsidR="00906535" w:rsidRDefault="00906535">
          <w:pPr>
            <w:pStyle w:val="TDC2"/>
            <w:tabs>
              <w:tab w:val="right" w:leader="dot" w:pos="9204"/>
            </w:tabs>
            <w:rPr>
              <w:rFonts w:asciiTheme="minorHAnsi" w:eastAsiaTheme="minorEastAsia" w:hAnsiTheme="minorHAnsi" w:cstheme="minorBidi"/>
              <w:noProof/>
            </w:rPr>
          </w:pPr>
          <w:hyperlink w:anchor="_Toc207896927" w:history="1">
            <w:r w:rsidRPr="00A6684F">
              <w:rPr>
                <w:rStyle w:val="Hipervnculo"/>
                <w:noProof/>
              </w:rPr>
              <w:t>II. Respuesta del Sujeto Obligado</w:t>
            </w:r>
            <w:r>
              <w:rPr>
                <w:noProof/>
                <w:webHidden/>
              </w:rPr>
              <w:tab/>
            </w:r>
            <w:r>
              <w:rPr>
                <w:noProof/>
                <w:webHidden/>
              </w:rPr>
              <w:fldChar w:fldCharType="begin"/>
            </w:r>
            <w:r>
              <w:rPr>
                <w:noProof/>
                <w:webHidden/>
              </w:rPr>
              <w:instrText xml:space="preserve"> PAGEREF _Toc207896927 \h </w:instrText>
            </w:r>
            <w:r>
              <w:rPr>
                <w:noProof/>
                <w:webHidden/>
              </w:rPr>
            </w:r>
            <w:r>
              <w:rPr>
                <w:noProof/>
                <w:webHidden/>
              </w:rPr>
              <w:fldChar w:fldCharType="separate"/>
            </w:r>
            <w:r w:rsidR="003978D5">
              <w:rPr>
                <w:noProof/>
                <w:webHidden/>
              </w:rPr>
              <w:t>3</w:t>
            </w:r>
            <w:r>
              <w:rPr>
                <w:noProof/>
                <w:webHidden/>
              </w:rPr>
              <w:fldChar w:fldCharType="end"/>
            </w:r>
          </w:hyperlink>
        </w:p>
        <w:p w14:paraId="0E43158B" w14:textId="1DED2D39" w:rsidR="00906535" w:rsidRDefault="00906535">
          <w:pPr>
            <w:pStyle w:val="TDC2"/>
            <w:tabs>
              <w:tab w:val="right" w:leader="dot" w:pos="9204"/>
            </w:tabs>
            <w:rPr>
              <w:rFonts w:asciiTheme="minorHAnsi" w:eastAsiaTheme="minorEastAsia" w:hAnsiTheme="minorHAnsi" w:cstheme="minorBidi"/>
              <w:noProof/>
            </w:rPr>
          </w:pPr>
          <w:hyperlink w:anchor="_Toc207896928" w:history="1">
            <w:r w:rsidRPr="00A6684F">
              <w:rPr>
                <w:rStyle w:val="Hipervnculo"/>
                <w:noProof/>
              </w:rPr>
              <w:t>III. Interposición del Recurso de Revisión</w:t>
            </w:r>
            <w:r>
              <w:rPr>
                <w:noProof/>
                <w:webHidden/>
              </w:rPr>
              <w:tab/>
            </w:r>
            <w:r>
              <w:rPr>
                <w:noProof/>
                <w:webHidden/>
              </w:rPr>
              <w:fldChar w:fldCharType="begin"/>
            </w:r>
            <w:r>
              <w:rPr>
                <w:noProof/>
                <w:webHidden/>
              </w:rPr>
              <w:instrText xml:space="preserve"> PAGEREF _Toc207896928 \h </w:instrText>
            </w:r>
            <w:r>
              <w:rPr>
                <w:noProof/>
                <w:webHidden/>
              </w:rPr>
            </w:r>
            <w:r>
              <w:rPr>
                <w:noProof/>
                <w:webHidden/>
              </w:rPr>
              <w:fldChar w:fldCharType="separate"/>
            </w:r>
            <w:r w:rsidR="003978D5">
              <w:rPr>
                <w:noProof/>
                <w:webHidden/>
              </w:rPr>
              <w:t>4</w:t>
            </w:r>
            <w:r>
              <w:rPr>
                <w:noProof/>
                <w:webHidden/>
              </w:rPr>
              <w:fldChar w:fldCharType="end"/>
            </w:r>
          </w:hyperlink>
        </w:p>
        <w:p w14:paraId="3E9E1D22" w14:textId="4811597C" w:rsidR="00906535" w:rsidRDefault="00906535">
          <w:pPr>
            <w:pStyle w:val="TDC2"/>
            <w:tabs>
              <w:tab w:val="right" w:leader="dot" w:pos="9204"/>
            </w:tabs>
            <w:rPr>
              <w:rFonts w:asciiTheme="minorHAnsi" w:eastAsiaTheme="minorEastAsia" w:hAnsiTheme="minorHAnsi" w:cstheme="minorBidi"/>
              <w:noProof/>
            </w:rPr>
          </w:pPr>
          <w:hyperlink w:anchor="_Toc207896929" w:history="1">
            <w:r w:rsidRPr="00A6684F">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_Toc207896929 \h </w:instrText>
            </w:r>
            <w:r>
              <w:rPr>
                <w:noProof/>
                <w:webHidden/>
              </w:rPr>
            </w:r>
            <w:r>
              <w:rPr>
                <w:noProof/>
                <w:webHidden/>
              </w:rPr>
              <w:fldChar w:fldCharType="separate"/>
            </w:r>
            <w:r w:rsidR="003978D5">
              <w:rPr>
                <w:noProof/>
                <w:webHidden/>
              </w:rPr>
              <w:t>4</w:t>
            </w:r>
            <w:r>
              <w:rPr>
                <w:noProof/>
                <w:webHidden/>
              </w:rPr>
              <w:fldChar w:fldCharType="end"/>
            </w:r>
          </w:hyperlink>
        </w:p>
        <w:p w14:paraId="52D07E90" w14:textId="6A6736F7" w:rsidR="00906535" w:rsidRDefault="00906535">
          <w:pPr>
            <w:pStyle w:val="TDC1"/>
            <w:tabs>
              <w:tab w:val="right" w:leader="dot" w:pos="9204"/>
            </w:tabs>
            <w:rPr>
              <w:rFonts w:asciiTheme="minorHAnsi" w:eastAsiaTheme="minorEastAsia" w:hAnsiTheme="minorHAnsi" w:cstheme="minorBidi"/>
              <w:noProof/>
            </w:rPr>
          </w:pPr>
          <w:hyperlink w:anchor="_Toc207896930" w:history="1">
            <w:r w:rsidRPr="00A6684F">
              <w:rPr>
                <w:rStyle w:val="Hipervnculo"/>
                <w:noProof/>
              </w:rPr>
              <w:t>C O N S I D E R A N D O S</w:t>
            </w:r>
            <w:r>
              <w:rPr>
                <w:noProof/>
                <w:webHidden/>
              </w:rPr>
              <w:tab/>
            </w:r>
            <w:r>
              <w:rPr>
                <w:noProof/>
                <w:webHidden/>
              </w:rPr>
              <w:fldChar w:fldCharType="begin"/>
            </w:r>
            <w:r>
              <w:rPr>
                <w:noProof/>
                <w:webHidden/>
              </w:rPr>
              <w:instrText xml:space="preserve"> PAGEREF _Toc207896930 \h </w:instrText>
            </w:r>
            <w:r>
              <w:rPr>
                <w:noProof/>
                <w:webHidden/>
              </w:rPr>
            </w:r>
            <w:r>
              <w:rPr>
                <w:noProof/>
                <w:webHidden/>
              </w:rPr>
              <w:fldChar w:fldCharType="separate"/>
            </w:r>
            <w:r w:rsidR="003978D5">
              <w:rPr>
                <w:noProof/>
                <w:webHidden/>
              </w:rPr>
              <w:t>6</w:t>
            </w:r>
            <w:r>
              <w:rPr>
                <w:noProof/>
                <w:webHidden/>
              </w:rPr>
              <w:fldChar w:fldCharType="end"/>
            </w:r>
          </w:hyperlink>
        </w:p>
        <w:p w14:paraId="239432A8" w14:textId="6BD5979F" w:rsidR="00906535" w:rsidRDefault="00906535">
          <w:pPr>
            <w:pStyle w:val="TDC2"/>
            <w:tabs>
              <w:tab w:val="right" w:leader="dot" w:pos="9204"/>
            </w:tabs>
            <w:rPr>
              <w:rFonts w:asciiTheme="minorHAnsi" w:eastAsiaTheme="minorEastAsia" w:hAnsiTheme="minorHAnsi" w:cstheme="minorBidi"/>
              <w:noProof/>
            </w:rPr>
          </w:pPr>
          <w:hyperlink w:anchor="_Toc207896931" w:history="1">
            <w:r w:rsidRPr="00A6684F">
              <w:rPr>
                <w:rStyle w:val="Hipervnculo"/>
                <w:noProof/>
              </w:rPr>
              <w:t>PRIMERO. Competencia</w:t>
            </w:r>
            <w:r>
              <w:rPr>
                <w:noProof/>
                <w:webHidden/>
              </w:rPr>
              <w:tab/>
            </w:r>
            <w:r>
              <w:rPr>
                <w:noProof/>
                <w:webHidden/>
              </w:rPr>
              <w:fldChar w:fldCharType="begin"/>
            </w:r>
            <w:r>
              <w:rPr>
                <w:noProof/>
                <w:webHidden/>
              </w:rPr>
              <w:instrText xml:space="preserve"> PAGEREF _Toc207896931 \h </w:instrText>
            </w:r>
            <w:r>
              <w:rPr>
                <w:noProof/>
                <w:webHidden/>
              </w:rPr>
            </w:r>
            <w:r>
              <w:rPr>
                <w:noProof/>
                <w:webHidden/>
              </w:rPr>
              <w:fldChar w:fldCharType="separate"/>
            </w:r>
            <w:r w:rsidR="003978D5">
              <w:rPr>
                <w:noProof/>
                <w:webHidden/>
              </w:rPr>
              <w:t>6</w:t>
            </w:r>
            <w:r>
              <w:rPr>
                <w:noProof/>
                <w:webHidden/>
              </w:rPr>
              <w:fldChar w:fldCharType="end"/>
            </w:r>
          </w:hyperlink>
        </w:p>
        <w:p w14:paraId="0768106E" w14:textId="70D42557" w:rsidR="00906535" w:rsidRDefault="00906535">
          <w:pPr>
            <w:pStyle w:val="TDC2"/>
            <w:tabs>
              <w:tab w:val="right" w:leader="dot" w:pos="9204"/>
            </w:tabs>
            <w:rPr>
              <w:rFonts w:asciiTheme="minorHAnsi" w:eastAsiaTheme="minorEastAsia" w:hAnsiTheme="minorHAnsi" w:cstheme="minorBidi"/>
              <w:noProof/>
            </w:rPr>
          </w:pPr>
          <w:hyperlink w:anchor="_Toc207896932" w:history="1">
            <w:r w:rsidRPr="00A6684F">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_Toc207896932 \h </w:instrText>
            </w:r>
            <w:r>
              <w:rPr>
                <w:noProof/>
                <w:webHidden/>
              </w:rPr>
            </w:r>
            <w:r>
              <w:rPr>
                <w:noProof/>
                <w:webHidden/>
              </w:rPr>
              <w:fldChar w:fldCharType="separate"/>
            </w:r>
            <w:r w:rsidR="003978D5">
              <w:rPr>
                <w:noProof/>
                <w:webHidden/>
              </w:rPr>
              <w:t>7</w:t>
            </w:r>
            <w:r>
              <w:rPr>
                <w:noProof/>
                <w:webHidden/>
              </w:rPr>
              <w:fldChar w:fldCharType="end"/>
            </w:r>
          </w:hyperlink>
        </w:p>
        <w:p w14:paraId="3E4B04AF" w14:textId="1FDF3FB6" w:rsidR="00906535" w:rsidRDefault="00906535">
          <w:pPr>
            <w:pStyle w:val="TDC2"/>
            <w:tabs>
              <w:tab w:val="right" w:leader="dot" w:pos="9204"/>
            </w:tabs>
            <w:rPr>
              <w:rFonts w:asciiTheme="minorHAnsi" w:eastAsiaTheme="minorEastAsia" w:hAnsiTheme="minorHAnsi" w:cstheme="minorBidi"/>
              <w:noProof/>
            </w:rPr>
          </w:pPr>
          <w:hyperlink w:anchor="_Toc207896933" w:history="1">
            <w:r w:rsidRPr="00A6684F">
              <w:rPr>
                <w:rStyle w:val="Hipervnculo"/>
                <w:noProof/>
              </w:rPr>
              <w:t>TERCERO. Determinación de la Controversia</w:t>
            </w:r>
            <w:r>
              <w:rPr>
                <w:noProof/>
                <w:webHidden/>
              </w:rPr>
              <w:tab/>
            </w:r>
            <w:r>
              <w:rPr>
                <w:noProof/>
                <w:webHidden/>
              </w:rPr>
              <w:fldChar w:fldCharType="begin"/>
            </w:r>
            <w:r>
              <w:rPr>
                <w:noProof/>
                <w:webHidden/>
              </w:rPr>
              <w:instrText xml:space="preserve"> PAGEREF _Toc207896933 \h </w:instrText>
            </w:r>
            <w:r>
              <w:rPr>
                <w:noProof/>
                <w:webHidden/>
              </w:rPr>
            </w:r>
            <w:r>
              <w:rPr>
                <w:noProof/>
                <w:webHidden/>
              </w:rPr>
              <w:fldChar w:fldCharType="separate"/>
            </w:r>
            <w:r w:rsidR="003978D5">
              <w:rPr>
                <w:noProof/>
                <w:webHidden/>
              </w:rPr>
              <w:t>8</w:t>
            </w:r>
            <w:r>
              <w:rPr>
                <w:noProof/>
                <w:webHidden/>
              </w:rPr>
              <w:fldChar w:fldCharType="end"/>
            </w:r>
          </w:hyperlink>
        </w:p>
        <w:p w14:paraId="5EFF744E" w14:textId="40DA9FD9" w:rsidR="00906535" w:rsidRDefault="00906535">
          <w:pPr>
            <w:pStyle w:val="TDC2"/>
            <w:tabs>
              <w:tab w:val="right" w:leader="dot" w:pos="9204"/>
            </w:tabs>
            <w:rPr>
              <w:rFonts w:asciiTheme="minorHAnsi" w:eastAsiaTheme="minorEastAsia" w:hAnsiTheme="minorHAnsi" w:cstheme="minorBidi"/>
              <w:noProof/>
            </w:rPr>
          </w:pPr>
          <w:hyperlink w:anchor="_Toc207896934" w:history="1">
            <w:r w:rsidRPr="00A6684F">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_Toc207896934 \h </w:instrText>
            </w:r>
            <w:r>
              <w:rPr>
                <w:noProof/>
                <w:webHidden/>
              </w:rPr>
            </w:r>
            <w:r>
              <w:rPr>
                <w:noProof/>
                <w:webHidden/>
              </w:rPr>
              <w:fldChar w:fldCharType="separate"/>
            </w:r>
            <w:r w:rsidR="003978D5">
              <w:rPr>
                <w:noProof/>
                <w:webHidden/>
              </w:rPr>
              <w:t>12</w:t>
            </w:r>
            <w:r>
              <w:rPr>
                <w:noProof/>
                <w:webHidden/>
              </w:rPr>
              <w:fldChar w:fldCharType="end"/>
            </w:r>
          </w:hyperlink>
        </w:p>
        <w:p w14:paraId="091DC029" w14:textId="2977827A" w:rsidR="00906535" w:rsidRDefault="00906535">
          <w:pPr>
            <w:pStyle w:val="TDC2"/>
            <w:tabs>
              <w:tab w:val="right" w:leader="dot" w:pos="9204"/>
            </w:tabs>
            <w:rPr>
              <w:rFonts w:asciiTheme="minorHAnsi" w:eastAsiaTheme="minorEastAsia" w:hAnsiTheme="minorHAnsi" w:cstheme="minorBidi"/>
              <w:noProof/>
            </w:rPr>
          </w:pPr>
          <w:hyperlink w:anchor="_Toc207896935" w:history="1">
            <w:r w:rsidRPr="00A6684F">
              <w:rPr>
                <w:rStyle w:val="Hipervnculo"/>
                <w:smallCaps/>
                <w:noProof/>
              </w:rPr>
              <w:t>QUINTO.</w:t>
            </w:r>
            <w:r w:rsidRPr="00A6684F">
              <w:rPr>
                <w:rStyle w:val="Hipervnculo"/>
                <w:noProof/>
              </w:rPr>
              <w:t xml:space="preserve"> Estudio de Fondo</w:t>
            </w:r>
            <w:r>
              <w:rPr>
                <w:noProof/>
                <w:webHidden/>
              </w:rPr>
              <w:tab/>
            </w:r>
            <w:r>
              <w:rPr>
                <w:noProof/>
                <w:webHidden/>
              </w:rPr>
              <w:fldChar w:fldCharType="begin"/>
            </w:r>
            <w:r>
              <w:rPr>
                <w:noProof/>
                <w:webHidden/>
              </w:rPr>
              <w:instrText xml:space="preserve"> PAGEREF _Toc207896935 \h </w:instrText>
            </w:r>
            <w:r>
              <w:rPr>
                <w:noProof/>
                <w:webHidden/>
              </w:rPr>
            </w:r>
            <w:r>
              <w:rPr>
                <w:noProof/>
                <w:webHidden/>
              </w:rPr>
              <w:fldChar w:fldCharType="separate"/>
            </w:r>
            <w:r w:rsidR="003978D5">
              <w:rPr>
                <w:noProof/>
                <w:webHidden/>
              </w:rPr>
              <w:t>13</w:t>
            </w:r>
            <w:r>
              <w:rPr>
                <w:noProof/>
                <w:webHidden/>
              </w:rPr>
              <w:fldChar w:fldCharType="end"/>
            </w:r>
          </w:hyperlink>
        </w:p>
        <w:p w14:paraId="5561A6FB" w14:textId="5C8AFF13" w:rsidR="00906535" w:rsidRDefault="00906535">
          <w:pPr>
            <w:pStyle w:val="TDC2"/>
            <w:tabs>
              <w:tab w:val="right" w:leader="dot" w:pos="9204"/>
            </w:tabs>
            <w:rPr>
              <w:rFonts w:asciiTheme="minorHAnsi" w:eastAsiaTheme="minorEastAsia" w:hAnsiTheme="minorHAnsi" w:cstheme="minorBidi"/>
              <w:noProof/>
            </w:rPr>
          </w:pPr>
          <w:hyperlink w:anchor="_Toc207896936" w:history="1">
            <w:r w:rsidRPr="00A6684F">
              <w:rPr>
                <w:rStyle w:val="Hipervnculo"/>
                <w:noProof/>
              </w:rPr>
              <w:t>SEXTO. Decisión</w:t>
            </w:r>
            <w:r>
              <w:rPr>
                <w:noProof/>
                <w:webHidden/>
              </w:rPr>
              <w:tab/>
            </w:r>
            <w:r>
              <w:rPr>
                <w:noProof/>
                <w:webHidden/>
              </w:rPr>
              <w:fldChar w:fldCharType="begin"/>
            </w:r>
            <w:r>
              <w:rPr>
                <w:noProof/>
                <w:webHidden/>
              </w:rPr>
              <w:instrText xml:space="preserve"> PAGEREF _Toc207896936 \h </w:instrText>
            </w:r>
            <w:r>
              <w:rPr>
                <w:noProof/>
                <w:webHidden/>
              </w:rPr>
            </w:r>
            <w:r>
              <w:rPr>
                <w:noProof/>
                <w:webHidden/>
              </w:rPr>
              <w:fldChar w:fldCharType="separate"/>
            </w:r>
            <w:r w:rsidR="003978D5">
              <w:rPr>
                <w:noProof/>
                <w:webHidden/>
              </w:rPr>
              <w:t>20</w:t>
            </w:r>
            <w:r>
              <w:rPr>
                <w:noProof/>
                <w:webHidden/>
              </w:rPr>
              <w:fldChar w:fldCharType="end"/>
            </w:r>
          </w:hyperlink>
        </w:p>
        <w:p w14:paraId="1E4FCCF8" w14:textId="4D2F85E0" w:rsidR="00906535" w:rsidRDefault="00906535">
          <w:pPr>
            <w:pStyle w:val="TDC1"/>
            <w:tabs>
              <w:tab w:val="right" w:leader="dot" w:pos="9204"/>
            </w:tabs>
            <w:rPr>
              <w:rFonts w:asciiTheme="minorHAnsi" w:eastAsiaTheme="minorEastAsia" w:hAnsiTheme="minorHAnsi" w:cstheme="minorBidi"/>
              <w:noProof/>
            </w:rPr>
          </w:pPr>
          <w:hyperlink w:anchor="_Toc207896937" w:history="1">
            <w:r w:rsidRPr="00A6684F">
              <w:rPr>
                <w:rStyle w:val="Hipervnculo"/>
                <w:noProof/>
              </w:rPr>
              <w:t>R E S U E L V E</w:t>
            </w:r>
            <w:r>
              <w:rPr>
                <w:noProof/>
                <w:webHidden/>
              </w:rPr>
              <w:tab/>
            </w:r>
            <w:r>
              <w:rPr>
                <w:noProof/>
                <w:webHidden/>
              </w:rPr>
              <w:fldChar w:fldCharType="begin"/>
            </w:r>
            <w:r>
              <w:rPr>
                <w:noProof/>
                <w:webHidden/>
              </w:rPr>
              <w:instrText xml:space="preserve"> PAGEREF _Toc207896937 \h </w:instrText>
            </w:r>
            <w:r>
              <w:rPr>
                <w:noProof/>
                <w:webHidden/>
              </w:rPr>
            </w:r>
            <w:r>
              <w:rPr>
                <w:noProof/>
                <w:webHidden/>
              </w:rPr>
              <w:fldChar w:fldCharType="separate"/>
            </w:r>
            <w:r w:rsidR="003978D5">
              <w:rPr>
                <w:noProof/>
                <w:webHidden/>
              </w:rPr>
              <w:t>21</w:t>
            </w:r>
            <w:r>
              <w:rPr>
                <w:noProof/>
                <w:webHidden/>
              </w:rPr>
              <w:fldChar w:fldCharType="end"/>
            </w:r>
          </w:hyperlink>
        </w:p>
        <w:p w14:paraId="3822916D" w14:textId="75403355" w:rsidR="00D76DD8" w:rsidRPr="002D4224" w:rsidRDefault="00D76DD8">
          <w:r w:rsidRPr="002D4224">
            <w:rPr>
              <w:b/>
              <w:bCs/>
              <w:lang w:val="es-ES"/>
            </w:rPr>
            <w:fldChar w:fldCharType="end"/>
          </w:r>
        </w:p>
      </w:sdtContent>
    </w:sdt>
    <w:p w14:paraId="3A7EB412" w14:textId="77777777" w:rsidR="006F4B64" w:rsidRPr="002D4224" w:rsidRDefault="00D76DD8">
      <w:pPr>
        <w:pStyle w:val="Ttulo2"/>
        <w:spacing w:before="0" w:after="0"/>
      </w:pPr>
      <w:r w:rsidRPr="002D4224">
        <w:br w:type="page"/>
      </w:r>
    </w:p>
    <w:p w14:paraId="29CEF52D" w14:textId="77777777" w:rsidR="006F4B64" w:rsidRPr="002D4224" w:rsidRDefault="00D76DD8">
      <w:pPr>
        <w:spacing w:after="0" w:line="360" w:lineRule="auto"/>
      </w:pPr>
      <w:r w:rsidRPr="002D4224">
        <w:lastRenderedPageBreak/>
        <w:t>Resolución del Pleno del Instituto de Transparencia, Acceso a la Información Pública y Protección de Datos Personales del Estado de México y Municipios, con domicilio en Metepec, Estado de México, de fecha tres de septiembre de dos mil veinticinco.</w:t>
      </w:r>
    </w:p>
    <w:p w14:paraId="03A082A3" w14:textId="77777777" w:rsidR="006F4B64" w:rsidRPr="002D4224" w:rsidRDefault="006F4B64">
      <w:pPr>
        <w:spacing w:after="0" w:line="360" w:lineRule="auto"/>
        <w:rPr>
          <w:b/>
        </w:rPr>
      </w:pPr>
    </w:p>
    <w:p w14:paraId="3FC05F09" w14:textId="77777777" w:rsidR="006F4B64" w:rsidRPr="002D4224" w:rsidRDefault="00D76DD8">
      <w:pPr>
        <w:spacing w:after="0" w:line="360" w:lineRule="auto"/>
      </w:pPr>
      <w:r w:rsidRPr="002D4224">
        <w:rPr>
          <w:b/>
        </w:rPr>
        <w:t>VISTO</w:t>
      </w:r>
      <w:r w:rsidRPr="002D4224">
        <w:t xml:space="preserve"> el expediente conformado con motivo del Recurso de Revisión </w:t>
      </w:r>
      <w:r w:rsidRPr="00A3206B">
        <w:rPr>
          <w:b/>
          <w:bCs/>
        </w:rPr>
        <w:t>06751/INFOEM/IP/RR/2025</w:t>
      </w:r>
      <w:r w:rsidRPr="002D4224">
        <w:t xml:space="preserve">, interpuesto por un Particular, en lo sucesivo, la persona Recurrente o Particular, en contra de la respuesta del Sujeto Obligado, </w:t>
      </w:r>
      <w:r w:rsidRPr="00A3206B">
        <w:rPr>
          <w:b/>
          <w:bCs/>
        </w:rPr>
        <w:t>Ayuntamiento de Toluca,</w:t>
      </w:r>
      <w:r w:rsidRPr="002D4224">
        <w:t xml:space="preserve"> se emite la presente Resolución, con base en los antecedentes y considerandos que se exponen a continuación:</w:t>
      </w:r>
    </w:p>
    <w:p w14:paraId="520AC279" w14:textId="77777777" w:rsidR="006F4B64" w:rsidRPr="002D4224" w:rsidRDefault="006F4B64">
      <w:pPr>
        <w:spacing w:after="0" w:line="360" w:lineRule="auto"/>
      </w:pPr>
    </w:p>
    <w:p w14:paraId="01D36C82" w14:textId="77777777" w:rsidR="006F4B64" w:rsidRPr="002D4224" w:rsidRDefault="00D76DD8">
      <w:pPr>
        <w:pStyle w:val="Ttulo1"/>
        <w:spacing w:before="0" w:after="0"/>
        <w:rPr>
          <w:sz w:val="22"/>
          <w:szCs w:val="22"/>
        </w:rPr>
      </w:pPr>
      <w:bookmarkStart w:id="0" w:name="_Toc207896925"/>
      <w:r w:rsidRPr="002D4224">
        <w:rPr>
          <w:sz w:val="22"/>
          <w:szCs w:val="22"/>
        </w:rPr>
        <w:t>A N T E C E D E N T E S</w:t>
      </w:r>
      <w:bookmarkEnd w:id="0"/>
    </w:p>
    <w:p w14:paraId="26F674D2" w14:textId="77777777" w:rsidR="006F4B64" w:rsidRPr="002D4224" w:rsidRDefault="006F4B64">
      <w:pPr>
        <w:spacing w:after="0" w:line="360" w:lineRule="auto"/>
      </w:pPr>
      <w:bookmarkStart w:id="1" w:name="_heading=h.gjdgxs" w:colFirst="0" w:colLast="0"/>
      <w:bookmarkEnd w:id="1"/>
    </w:p>
    <w:p w14:paraId="57EC5B9B" w14:textId="77777777" w:rsidR="006F4B64" w:rsidRPr="002D4224" w:rsidRDefault="00D76DD8">
      <w:pPr>
        <w:pStyle w:val="Ttulo2"/>
        <w:spacing w:before="0" w:after="0"/>
      </w:pPr>
      <w:bookmarkStart w:id="2" w:name="_Toc207896926"/>
      <w:r w:rsidRPr="002D4224">
        <w:t>I. Presentación de la solicitud de información</w:t>
      </w:r>
      <w:bookmarkEnd w:id="2"/>
    </w:p>
    <w:p w14:paraId="21832672" w14:textId="77777777" w:rsidR="006F4B64" w:rsidRPr="002D4224" w:rsidRDefault="006F4B64">
      <w:pPr>
        <w:tabs>
          <w:tab w:val="left" w:pos="567"/>
        </w:tabs>
        <w:spacing w:after="0" w:line="360" w:lineRule="auto"/>
      </w:pPr>
    </w:p>
    <w:p w14:paraId="3F66B4C9" w14:textId="77777777" w:rsidR="006F4B64" w:rsidRPr="002D4224" w:rsidRDefault="00D76DD8">
      <w:pPr>
        <w:spacing w:after="0" w:line="360" w:lineRule="auto"/>
      </w:pPr>
      <w:bookmarkStart w:id="3" w:name="_heading=h.su0jssiigkpq" w:colFirst="0" w:colLast="0"/>
      <w:bookmarkEnd w:id="3"/>
      <w:r w:rsidRPr="002D4224">
        <w:t>Con fecha diecinueve de mayo de dos mil veinticinco, la parte Solicitante presentó una solicitud de acceso a la información pública, a través del Sistema de Acceso a la Información Mexiquense, en lo sucesivo el SAIMEX, ante el Ayuntamiento de Toluca, en la que requirió lo siguiente:</w:t>
      </w:r>
    </w:p>
    <w:p w14:paraId="623266E6" w14:textId="77777777" w:rsidR="006F4B64" w:rsidRPr="002D4224" w:rsidRDefault="006F4B64">
      <w:pPr>
        <w:spacing w:after="0" w:line="360" w:lineRule="auto"/>
      </w:pPr>
    </w:p>
    <w:p w14:paraId="42A26444" w14:textId="77777777" w:rsidR="006F4B64" w:rsidRPr="002D4224" w:rsidRDefault="00D76DD8">
      <w:pPr>
        <w:tabs>
          <w:tab w:val="left" w:pos="567"/>
        </w:tabs>
        <w:spacing w:after="0" w:line="360" w:lineRule="auto"/>
        <w:ind w:left="567" w:right="709"/>
        <w:rPr>
          <w:b/>
          <w:sz w:val="20"/>
          <w:szCs w:val="20"/>
        </w:rPr>
      </w:pPr>
      <w:r w:rsidRPr="002D4224">
        <w:rPr>
          <w:b/>
          <w:sz w:val="20"/>
          <w:szCs w:val="20"/>
        </w:rPr>
        <w:t>Folio de la solicitud: 02902/TOLUCA/IP/2025</w:t>
      </w:r>
    </w:p>
    <w:p w14:paraId="6AED4EF4" w14:textId="77777777" w:rsidR="006F4B64" w:rsidRPr="002D4224" w:rsidRDefault="00D76DD8">
      <w:pPr>
        <w:tabs>
          <w:tab w:val="left" w:pos="567"/>
        </w:tabs>
        <w:spacing w:after="0" w:line="360" w:lineRule="auto"/>
        <w:ind w:left="567" w:right="709"/>
        <w:rPr>
          <w:b/>
          <w:sz w:val="20"/>
          <w:szCs w:val="20"/>
        </w:rPr>
      </w:pPr>
      <w:r w:rsidRPr="002D4224">
        <w:rPr>
          <w:b/>
          <w:sz w:val="20"/>
          <w:szCs w:val="20"/>
        </w:rPr>
        <w:t>DESCRIPCIÓN CLARA Y PRECISA DE LA INFORMACIÓN SOLICITADA</w:t>
      </w:r>
    </w:p>
    <w:p w14:paraId="2CFAE712" w14:textId="77777777" w:rsidR="006F4B64" w:rsidRPr="002D4224" w:rsidRDefault="00D76DD8">
      <w:pPr>
        <w:tabs>
          <w:tab w:val="left" w:pos="4667"/>
        </w:tabs>
        <w:spacing w:after="0" w:line="360" w:lineRule="auto"/>
        <w:ind w:left="567" w:right="709"/>
        <w:rPr>
          <w:i/>
          <w:sz w:val="20"/>
          <w:szCs w:val="20"/>
        </w:rPr>
      </w:pPr>
      <w:r w:rsidRPr="002D4224">
        <w:rPr>
          <w:i/>
          <w:sz w:val="20"/>
          <w:szCs w:val="20"/>
        </w:rPr>
        <w:t xml:space="preserve">“Quisiera Saber </w:t>
      </w:r>
      <w:proofErr w:type="spellStart"/>
      <w:r w:rsidRPr="002D4224">
        <w:rPr>
          <w:i/>
          <w:sz w:val="20"/>
          <w:szCs w:val="20"/>
        </w:rPr>
        <w:t>cual</w:t>
      </w:r>
      <w:proofErr w:type="spellEnd"/>
      <w:r w:rsidRPr="002D4224">
        <w:rPr>
          <w:i/>
          <w:sz w:val="20"/>
          <w:szCs w:val="20"/>
        </w:rPr>
        <w:t xml:space="preserve"> es el monto que se debe pagar a un suboficial que pertenece a la </w:t>
      </w:r>
      <w:proofErr w:type="spellStart"/>
      <w:r w:rsidRPr="002D4224">
        <w:rPr>
          <w:i/>
          <w:sz w:val="20"/>
          <w:szCs w:val="20"/>
        </w:rPr>
        <w:t>Direccion</w:t>
      </w:r>
      <w:proofErr w:type="spellEnd"/>
      <w:r w:rsidRPr="002D4224">
        <w:rPr>
          <w:i/>
          <w:sz w:val="20"/>
          <w:szCs w:val="20"/>
        </w:rPr>
        <w:t xml:space="preserve"> de Seguridad y Transito del Ayuntamiento por los siguientes conceptos: 1.- El pago de la prima por antigüedad, a que tiene derecho un servidor </w:t>
      </w:r>
      <w:proofErr w:type="spellStart"/>
      <w:r w:rsidRPr="002D4224">
        <w:rPr>
          <w:i/>
          <w:sz w:val="20"/>
          <w:szCs w:val="20"/>
        </w:rPr>
        <w:t>publico</w:t>
      </w:r>
      <w:proofErr w:type="spellEnd"/>
      <w:r w:rsidRPr="002D4224">
        <w:rPr>
          <w:i/>
          <w:sz w:val="20"/>
          <w:szCs w:val="20"/>
        </w:rPr>
        <w:t xml:space="preserve"> con la </w:t>
      </w:r>
      <w:proofErr w:type="spellStart"/>
      <w:r w:rsidRPr="002D4224">
        <w:rPr>
          <w:i/>
          <w:sz w:val="20"/>
          <w:szCs w:val="20"/>
        </w:rPr>
        <w:t>categoria</w:t>
      </w:r>
      <w:proofErr w:type="spellEnd"/>
      <w:r w:rsidRPr="002D4224">
        <w:rPr>
          <w:i/>
          <w:sz w:val="20"/>
          <w:szCs w:val="20"/>
        </w:rPr>
        <w:t xml:space="preserve"> arriba señalada por 33 años de servicios, cuantos </w:t>
      </w:r>
      <w:proofErr w:type="spellStart"/>
      <w:r w:rsidRPr="002D4224">
        <w:rPr>
          <w:i/>
          <w:sz w:val="20"/>
          <w:szCs w:val="20"/>
        </w:rPr>
        <w:t>dias</w:t>
      </w:r>
      <w:proofErr w:type="spellEnd"/>
      <w:r w:rsidRPr="002D4224">
        <w:rPr>
          <w:i/>
          <w:sz w:val="20"/>
          <w:szCs w:val="20"/>
        </w:rPr>
        <w:t xml:space="preserve"> se pagan por cada año y la formula </w:t>
      </w:r>
      <w:proofErr w:type="spellStart"/>
      <w:r w:rsidRPr="002D4224">
        <w:rPr>
          <w:i/>
          <w:sz w:val="20"/>
          <w:szCs w:val="20"/>
        </w:rPr>
        <w:t>logico-aritmetica</w:t>
      </w:r>
      <w:proofErr w:type="spellEnd"/>
      <w:r w:rsidRPr="002D4224">
        <w:rPr>
          <w:i/>
          <w:sz w:val="20"/>
          <w:szCs w:val="20"/>
        </w:rPr>
        <w:t xml:space="preserve"> para determinarla y su fundamento legal. 2.-El pago aguinaldo por concepto de finiquito, cuantos </w:t>
      </w:r>
      <w:proofErr w:type="spellStart"/>
      <w:r w:rsidRPr="002D4224">
        <w:rPr>
          <w:i/>
          <w:sz w:val="20"/>
          <w:szCs w:val="20"/>
        </w:rPr>
        <w:t>dias</w:t>
      </w:r>
      <w:proofErr w:type="spellEnd"/>
      <w:r w:rsidRPr="002D4224">
        <w:rPr>
          <w:i/>
          <w:sz w:val="20"/>
          <w:szCs w:val="20"/>
        </w:rPr>
        <w:t xml:space="preserve"> se pagan por cada año y la formula </w:t>
      </w:r>
      <w:proofErr w:type="spellStart"/>
      <w:r w:rsidRPr="002D4224">
        <w:rPr>
          <w:i/>
          <w:sz w:val="20"/>
          <w:szCs w:val="20"/>
        </w:rPr>
        <w:t>logico-aritmetica</w:t>
      </w:r>
      <w:proofErr w:type="spellEnd"/>
      <w:r w:rsidRPr="002D4224">
        <w:rPr>
          <w:i/>
          <w:sz w:val="20"/>
          <w:szCs w:val="20"/>
        </w:rPr>
        <w:t xml:space="preserve"> para determinarla y su fundamento legal. 3.- El pago prima vacacional por concepto de finiquito, cuantos </w:t>
      </w:r>
      <w:proofErr w:type="spellStart"/>
      <w:r w:rsidRPr="002D4224">
        <w:rPr>
          <w:i/>
          <w:sz w:val="20"/>
          <w:szCs w:val="20"/>
        </w:rPr>
        <w:t>dias</w:t>
      </w:r>
      <w:proofErr w:type="spellEnd"/>
      <w:r w:rsidRPr="002D4224">
        <w:rPr>
          <w:i/>
          <w:sz w:val="20"/>
          <w:szCs w:val="20"/>
        </w:rPr>
        <w:t xml:space="preserve"> se pagan por cada año y la formula </w:t>
      </w:r>
      <w:proofErr w:type="spellStart"/>
      <w:r w:rsidRPr="002D4224">
        <w:rPr>
          <w:i/>
          <w:sz w:val="20"/>
          <w:szCs w:val="20"/>
        </w:rPr>
        <w:t>logico-</w:t>
      </w:r>
      <w:r w:rsidRPr="002D4224">
        <w:rPr>
          <w:i/>
          <w:sz w:val="20"/>
          <w:szCs w:val="20"/>
        </w:rPr>
        <w:lastRenderedPageBreak/>
        <w:t>aritmetica</w:t>
      </w:r>
      <w:proofErr w:type="spellEnd"/>
      <w:r w:rsidRPr="002D4224">
        <w:rPr>
          <w:i/>
          <w:sz w:val="20"/>
          <w:szCs w:val="20"/>
        </w:rPr>
        <w:t xml:space="preserve"> para determinarla y su fundamento legal. 4.- El pago prima de permanencia por concepto de finiquito, cuantos </w:t>
      </w:r>
      <w:proofErr w:type="spellStart"/>
      <w:r w:rsidRPr="002D4224">
        <w:rPr>
          <w:i/>
          <w:sz w:val="20"/>
          <w:szCs w:val="20"/>
        </w:rPr>
        <w:t>dias</w:t>
      </w:r>
      <w:proofErr w:type="spellEnd"/>
      <w:r w:rsidRPr="002D4224">
        <w:rPr>
          <w:i/>
          <w:sz w:val="20"/>
          <w:szCs w:val="20"/>
        </w:rPr>
        <w:t xml:space="preserve"> se pagan por cada año y la formula </w:t>
      </w:r>
      <w:proofErr w:type="spellStart"/>
      <w:r w:rsidRPr="002D4224">
        <w:rPr>
          <w:i/>
          <w:sz w:val="20"/>
          <w:szCs w:val="20"/>
        </w:rPr>
        <w:t>logico-aritmetica</w:t>
      </w:r>
      <w:proofErr w:type="spellEnd"/>
      <w:r w:rsidRPr="002D4224">
        <w:rPr>
          <w:i/>
          <w:sz w:val="20"/>
          <w:szCs w:val="20"/>
        </w:rPr>
        <w:t xml:space="preserve"> para determinarla y su fundamento legal. 5.- El pago por concepto de </w:t>
      </w:r>
      <w:proofErr w:type="spellStart"/>
      <w:r w:rsidRPr="002D4224">
        <w:rPr>
          <w:i/>
          <w:sz w:val="20"/>
          <w:szCs w:val="20"/>
        </w:rPr>
        <w:t>indemnizacion</w:t>
      </w:r>
      <w:proofErr w:type="spellEnd"/>
      <w:r w:rsidRPr="002D4224">
        <w:rPr>
          <w:i/>
          <w:sz w:val="20"/>
          <w:szCs w:val="20"/>
        </w:rPr>
        <w:t xml:space="preserve">, cuantos </w:t>
      </w:r>
      <w:proofErr w:type="spellStart"/>
      <w:r w:rsidRPr="002D4224">
        <w:rPr>
          <w:i/>
          <w:sz w:val="20"/>
          <w:szCs w:val="20"/>
        </w:rPr>
        <w:t>dias</w:t>
      </w:r>
      <w:proofErr w:type="spellEnd"/>
      <w:r w:rsidRPr="002D4224">
        <w:rPr>
          <w:i/>
          <w:sz w:val="20"/>
          <w:szCs w:val="20"/>
        </w:rPr>
        <w:t xml:space="preserve"> se pagan por cada año y la formula </w:t>
      </w:r>
      <w:proofErr w:type="spellStart"/>
      <w:r w:rsidRPr="002D4224">
        <w:rPr>
          <w:i/>
          <w:sz w:val="20"/>
          <w:szCs w:val="20"/>
        </w:rPr>
        <w:t>logico-aritmetica</w:t>
      </w:r>
      <w:proofErr w:type="spellEnd"/>
      <w:r w:rsidRPr="002D4224">
        <w:rPr>
          <w:i/>
          <w:sz w:val="20"/>
          <w:szCs w:val="20"/>
        </w:rPr>
        <w:t xml:space="preserve"> para determinarla y su fundamento legal. 6.- A que otra </w:t>
      </w:r>
      <w:proofErr w:type="spellStart"/>
      <w:r w:rsidRPr="002D4224">
        <w:rPr>
          <w:i/>
          <w:sz w:val="20"/>
          <w:szCs w:val="20"/>
        </w:rPr>
        <w:t>prestacion</w:t>
      </w:r>
      <w:proofErr w:type="spellEnd"/>
      <w:r w:rsidRPr="002D4224">
        <w:rPr>
          <w:i/>
          <w:sz w:val="20"/>
          <w:szCs w:val="20"/>
        </w:rPr>
        <w:t xml:space="preserve"> tiene derecho un servidor </w:t>
      </w:r>
      <w:proofErr w:type="spellStart"/>
      <w:r w:rsidRPr="002D4224">
        <w:rPr>
          <w:i/>
          <w:sz w:val="20"/>
          <w:szCs w:val="20"/>
        </w:rPr>
        <w:t>publico</w:t>
      </w:r>
      <w:proofErr w:type="spellEnd"/>
      <w:r w:rsidRPr="002D4224">
        <w:rPr>
          <w:i/>
          <w:sz w:val="20"/>
          <w:szCs w:val="20"/>
        </w:rPr>
        <w:t xml:space="preserve"> que trabajo 33 años para el ayuntamiento, distintas a las señaladas en los numerales del 1 al 5. Para todo lo anterior debe acreditarlo con documental fehaciente, publica e </w:t>
      </w:r>
      <w:proofErr w:type="spellStart"/>
      <w:r w:rsidRPr="002D4224">
        <w:rPr>
          <w:i/>
          <w:sz w:val="20"/>
          <w:szCs w:val="20"/>
        </w:rPr>
        <w:t>idonea</w:t>
      </w:r>
      <w:proofErr w:type="spellEnd"/>
      <w:r w:rsidRPr="002D4224">
        <w:rPr>
          <w:i/>
          <w:sz w:val="20"/>
          <w:szCs w:val="20"/>
        </w:rPr>
        <w:t xml:space="preserve"> que acredite la certeza de la legalidad de su respuesta, </w:t>
      </w:r>
      <w:proofErr w:type="spellStart"/>
      <w:r w:rsidRPr="002D4224">
        <w:rPr>
          <w:i/>
          <w:sz w:val="20"/>
          <w:szCs w:val="20"/>
        </w:rPr>
        <w:t>asi</w:t>
      </w:r>
      <w:proofErr w:type="spellEnd"/>
      <w:r w:rsidRPr="002D4224">
        <w:rPr>
          <w:i/>
          <w:sz w:val="20"/>
          <w:szCs w:val="20"/>
        </w:rPr>
        <w:t xml:space="preserve"> mismo otorgue una </w:t>
      </w:r>
      <w:proofErr w:type="spellStart"/>
      <w:r w:rsidRPr="002D4224">
        <w:rPr>
          <w:i/>
          <w:sz w:val="20"/>
          <w:szCs w:val="20"/>
        </w:rPr>
        <w:t>cuantificacion</w:t>
      </w:r>
      <w:proofErr w:type="spellEnd"/>
      <w:r w:rsidRPr="002D4224">
        <w:rPr>
          <w:i/>
          <w:sz w:val="20"/>
          <w:szCs w:val="20"/>
        </w:rPr>
        <w:t xml:space="preserve"> para el cargo de suboficial4 como se marca en el puesto del </w:t>
      </w:r>
      <w:proofErr w:type="spellStart"/>
      <w:r w:rsidRPr="002D4224">
        <w:rPr>
          <w:i/>
          <w:sz w:val="20"/>
          <w:szCs w:val="20"/>
        </w:rPr>
        <w:t>talon</w:t>
      </w:r>
      <w:proofErr w:type="spellEnd"/>
      <w:r w:rsidRPr="002D4224">
        <w:rPr>
          <w:i/>
          <w:sz w:val="20"/>
          <w:szCs w:val="20"/>
        </w:rPr>
        <w:t xml:space="preserve"> de pago que entrega el ayuntamiento. Finalmente mencione si tiene </w:t>
      </w:r>
      <w:proofErr w:type="gramStart"/>
      <w:r w:rsidRPr="002D4224">
        <w:rPr>
          <w:i/>
          <w:sz w:val="20"/>
          <w:szCs w:val="20"/>
        </w:rPr>
        <w:t>derecho alguna</w:t>
      </w:r>
      <w:proofErr w:type="gramEnd"/>
      <w:r w:rsidRPr="002D4224">
        <w:rPr>
          <w:i/>
          <w:sz w:val="20"/>
          <w:szCs w:val="20"/>
        </w:rPr>
        <w:t xml:space="preserve"> </w:t>
      </w:r>
      <w:proofErr w:type="spellStart"/>
      <w:r w:rsidRPr="002D4224">
        <w:rPr>
          <w:i/>
          <w:sz w:val="20"/>
          <w:szCs w:val="20"/>
        </w:rPr>
        <w:t>prestacion</w:t>
      </w:r>
      <w:proofErr w:type="spellEnd"/>
      <w:r w:rsidRPr="002D4224">
        <w:rPr>
          <w:i/>
          <w:sz w:val="20"/>
          <w:szCs w:val="20"/>
        </w:rPr>
        <w:t xml:space="preserve"> extraordinaria por concepto de finiquito, con la documental que anexo se advierte que plaza es y cuanto se gana quincenalmente para la </w:t>
      </w:r>
      <w:proofErr w:type="spellStart"/>
      <w:r w:rsidRPr="002D4224">
        <w:rPr>
          <w:i/>
          <w:sz w:val="20"/>
          <w:szCs w:val="20"/>
        </w:rPr>
        <w:t>elaboracion</w:t>
      </w:r>
      <w:proofErr w:type="spellEnd"/>
      <w:r w:rsidRPr="002D4224">
        <w:rPr>
          <w:i/>
          <w:sz w:val="20"/>
          <w:szCs w:val="20"/>
        </w:rPr>
        <w:t xml:space="preserve"> de la </w:t>
      </w:r>
      <w:proofErr w:type="spellStart"/>
      <w:r w:rsidRPr="002D4224">
        <w:rPr>
          <w:i/>
          <w:sz w:val="20"/>
          <w:szCs w:val="20"/>
        </w:rPr>
        <w:t>cuantificacion</w:t>
      </w:r>
      <w:proofErr w:type="spellEnd"/>
      <w:r w:rsidRPr="002D4224">
        <w:rPr>
          <w:i/>
          <w:sz w:val="20"/>
          <w:szCs w:val="20"/>
        </w:rPr>
        <w:t xml:space="preserve"> correspondiente.” (Sic.)</w:t>
      </w:r>
    </w:p>
    <w:p w14:paraId="307F5DE7" w14:textId="77777777" w:rsidR="006F4B64" w:rsidRPr="002D4224" w:rsidRDefault="006F4B64">
      <w:pPr>
        <w:tabs>
          <w:tab w:val="left" w:pos="4667"/>
        </w:tabs>
        <w:spacing w:after="0" w:line="360" w:lineRule="auto"/>
        <w:ind w:left="567" w:right="709"/>
        <w:rPr>
          <w:b/>
          <w:sz w:val="20"/>
          <w:szCs w:val="20"/>
        </w:rPr>
      </w:pPr>
    </w:p>
    <w:p w14:paraId="214241E2" w14:textId="77777777" w:rsidR="006F4B64" w:rsidRPr="002D4224" w:rsidRDefault="00D76DD8">
      <w:pPr>
        <w:tabs>
          <w:tab w:val="left" w:pos="4667"/>
        </w:tabs>
        <w:spacing w:after="0" w:line="360" w:lineRule="auto"/>
        <w:ind w:left="567" w:right="709"/>
        <w:rPr>
          <w:b/>
          <w:sz w:val="20"/>
          <w:szCs w:val="20"/>
        </w:rPr>
      </w:pPr>
      <w:r w:rsidRPr="002D4224">
        <w:rPr>
          <w:b/>
          <w:sz w:val="20"/>
          <w:szCs w:val="20"/>
        </w:rPr>
        <w:t xml:space="preserve">MODALIDAD DE ENTREGA </w:t>
      </w:r>
      <w:r w:rsidRPr="002D4224">
        <w:rPr>
          <w:i/>
          <w:sz w:val="20"/>
          <w:szCs w:val="20"/>
        </w:rPr>
        <w:t>“A través del SAIMEX.”</w:t>
      </w:r>
    </w:p>
    <w:p w14:paraId="05E64236" w14:textId="77777777" w:rsidR="006F4B64" w:rsidRPr="002D4224" w:rsidRDefault="006F4B64">
      <w:pPr>
        <w:tabs>
          <w:tab w:val="left" w:pos="4667"/>
        </w:tabs>
        <w:spacing w:after="0" w:line="360" w:lineRule="auto"/>
        <w:ind w:right="709"/>
        <w:rPr>
          <w:i/>
        </w:rPr>
      </w:pPr>
    </w:p>
    <w:p w14:paraId="6D86D38D" w14:textId="471FB718" w:rsidR="006F4B64" w:rsidRPr="002D4224" w:rsidRDefault="00D76DD8">
      <w:pPr>
        <w:tabs>
          <w:tab w:val="left" w:pos="4667"/>
        </w:tabs>
        <w:spacing w:after="0" w:line="360" w:lineRule="auto"/>
      </w:pPr>
      <w:r w:rsidRPr="002D4224">
        <w:t xml:space="preserve">A la solicitud de información, se adjuntó </w:t>
      </w:r>
      <w:r w:rsidR="00CB613A" w:rsidRPr="002D4224">
        <w:t>la versión pública de</w:t>
      </w:r>
      <w:r w:rsidRPr="002D4224">
        <w:t xml:space="preserve"> un recibo de nómina de una persona servidora pública con el puesto de suboficial</w:t>
      </w:r>
      <w:r w:rsidR="00CB613A" w:rsidRPr="002D4224">
        <w:t xml:space="preserve"> </w:t>
      </w:r>
      <w:r w:rsidRPr="002D4224">
        <w:t xml:space="preserve">4, en el que se testaron algunos datos personales. </w:t>
      </w:r>
    </w:p>
    <w:p w14:paraId="686EC26E" w14:textId="77777777" w:rsidR="006F4B64" w:rsidRPr="002D4224" w:rsidRDefault="006F4B64">
      <w:pPr>
        <w:tabs>
          <w:tab w:val="left" w:pos="4667"/>
        </w:tabs>
        <w:spacing w:after="0" w:line="360" w:lineRule="auto"/>
        <w:ind w:right="709"/>
      </w:pPr>
    </w:p>
    <w:p w14:paraId="7C25D9B0" w14:textId="77777777" w:rsidR="006F4B64" w:rsidRPr="002D4224" w:rsidRDefault="00D76DD8">
      <w:pPr>
        <w:pStyle w:val="Ttulo2"/>
        <w:spacing w:before="0" w:after="0"/>
      </w:pPr>
      <w:bookmarkStart w:id="4" w:name="_Toc207896927"/>
      <w:r w:rsidRPr="002D4224">
        <w:t>II. Respuesta del Sujeto Obligado</w:t>
      </w:r>
      <w:bookmarkEnd w:id="4"/>
    </w:p>
    <w:p w14:paraId="531D2C13" w14:textId="77777777" w:rsidR="006F4B64" w:rsidRPr="002D4224" w:rsidRDefault="006F4B64">
      <w:pPr>
        <w:spacing w:after="0" w:line="360" w:lineRule="auto"/>
      </w:pPr>
    </w:p>
    <w:p w14:paraId="2130A78D" w14:textId="77777777" w:rsidR="006F4B64" w:rsidRPr="002D4224" w:rsidRDefault="00D76DD8">
      <w:pPr>
        <w:spacing w:after="0" w:line="360" w:lineRule="auto"/>
      </w:pPr>
      <w:r w:rsidRPr="002D4224">
        <w:t>El nueve de junio de dos mil veinticinco, el Sujeto Obligado a través de SAIMEX, dio respuesta, a través de un oficio suscrito por el Titular de la Unidad de Transparencia, en el que informó:</w:t>
      </w:r>
    </w:p>
    <w:p w14:paraId="62988D1C" w14:textId="77777777" w:rsidR="006F4B64" w:rsidRPr="002D4224" w:rsidRDefault="006F4B64">
      <w:pPr>
        <w:spacing w:after="0" w:line="360" w:lineRule="auto"/>
      </w:pPr>
    </w:p>
    <w:p w14:paraId="116A508E" w14:textId="77777777" w:rsidR="006F4B64" w:rsidRPr="002D4224" w:rsidRDefault="00D76DD8">
      <w:pPr>
        <w:spacing w:after="0" w:line="360" w:lineRule="auto"/>
        <w:ind w:left="567" w:right="709"/>
        <w:rPr>
          <w:i/>
          <w:sz w:val="20"/>
          <w:szCs w:val="20"/>
        </w:rPr>
      </w:pPr>
      <w:r w:rsidRPr="002D4224">
        <w:rPr>
          <w:i/>
          <w:sz w:val="20"/>
          <w:szCs w:val="20"/>
        </w:rPr>
        <w:t xml:space="preserve">“….hago de su conocimiento que la </w:t>
      </w:r>
      <w:r w:rsidRPr="002D4224">
        <w:rPr>
          <w:b/>
          <w:i/>
          <w:sz w:val="20"/>
          <w:szCs w:val="20"/>
        </w:rPr>
        <w:t>Dirección General de Administración y Servidora Pública Habilitada, informó que la Dirección de Recursos Humanos</w:t>
      </w:r>
      <w:r w:rsidRPr="002D4224">
        <w:rPr>
          <w:i/>
          <w:sz w:val="20"/>
          <w:szCs w:val="20"/>
        </w:rPr>
        <w:t xml:space="preserve">, después de haber realizado una búsqueda exhaustiva y razonable en los archivos que obran en esta Dirección y sus Departamentos, advierte que, respecto </w:t>
      </w:r>
      <w:r w:rsidRPr="002D4224">
        <w:rPr>
          <w:b/>
          <w:i/>
          <w:sz w:val="20"/>
          <w:szCs w:val="20"/>
        </w:rPr>
        <w:t>a la información que se solicita, no constituye un Derecho de Acceso a la Información Pública y por lo tanto no son atendible</w:t>
      </w:r>
      <w:r w:rsidRPr="002D4224">
        <w:rPr>
          <w:i/>
          <w:sz w:val="20"/>
          <w:szCs w:val="20"/>
        </w:rPr>
        <w:t xml:space="preserve">s mediante una solicitud de Acceso a la </w:t>
      </w:r>
      <w:r w:rsidRPr="002D4224">
        <w:rPr>
          <w:i/>
          <w:sz w:val="20"/>
          <w:szCs w:val="20"/>
        </w:rPr>
        <w:lastRenderedPageBreak/>
        <w:t xml:space="preserve">Información, porque se tratan de manifestaciones subjetivas vertidas por el particular, interrogantes y declaraciones que no colman con la entrega de documentos, situación que conlleva a afirmar que está </w:t>
      </w:r>
      <w:r w:rsidRPr="002D4224">
        <w:rPr>
          <w:b/>
          <w:i/>
          <w:sz w:val="20"/>
          <w:szCs w:val="20"/>
        </w:rPr>
        <w:t>en presencia del ejercicio del Derecho de Petición</w:t>
      </w:r>
      <w:r w:rsidRPr="002D4224">
        <w:rPr>
          <w:i/>
          <w:sz w:val="20"/>
          <w:szCs w:val="20"/>
        </w:rPr>
        <w:t>. 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r w:rsidRPr="002D4224">
        <w:rPr>
          <w:b/>
          <w:i/>
          <w:sz w:val="20"/>
          <w:szCs w:val="20"/>
        </w:rPr>
        <w:t>”</w:t>
      </w:r>
      <w:r w:rsidRPr="002D4224">
        <w:rPr>
          <w:i/>
          <w:sz w:val="20"/>
          <w:szCs w:val="20"/>
        </w:rPr>
        <w:t xml:space="preserve"> (Énfasis añadido)</w:t>
      </w:r>
    </w:p>
    <w:p w14:paraId="36A101D9" w14:textId="77777777" w:rsidR="006F4B64" w:rsidRPr="002D4224" w:rsidRDefault="006F4B64">
      <w:pPr>
        <w:spacing w:after="0" w:line="360" w:lineRule="auto"/>
      </w:pPr>
    </w:p>
    <w:p w14:paraId="59D0A664" w14:textId="77777777" w:rsidR="006F4B64" w:rsidRPr="002D4224" w:rsidRDefault="00D76DD8">
      <w:pPr>
        <w:pStyle w:val="Ttulo2"/>
        <w:spacing w:before="0" w:after="0"/>
      </w:pPr>
      <w:bookmarkStart w:id="5" w:name="_Toc207896928"/>
      <w:r w:rsidRPr="002D4224">
        <w:t>III. Interposición del Recurso de Revisión</w:t>
      </w:r>
      <w:bookmarkEnd w:id="5"/>
    </w:p>
    <w:p w14:paraId="348C2BE3" w14:textId="77777777" w:rsidR="006F4B64" w:rsidRPr="002D4224" w:rsidRDefault="006F4B64">
      <w:pPr>
        <w:spacing w:after="0" w:line="360" w:lineRule="auto"/>
        <w:rPr>
          <w:b/>
        </w:rPr>
      </w:pPr>
    </w:p>
    <w:p w14:paraId="007C69FA" w14:textId="77777777" w:rsidR="006F4B64" w:rsidRPr="002D4224" w:rsidRDefault="00D76DD8">
      <w:pPr>
        <w:spacing w:after="0" w:line="360" w:lineRule="auto"/>
      </w:pPr>
      <w:bookmarkStart w:id="6" w:name="_heading=h.2et92p0" w:colFirst="0" w:colLast="0"/>
      <w:bookmarkEnd w:id="6"/>
      <w:r w:rsidRPr="002D4224">
        <w:t>Con fecha nueve de junio de dos mil veinticinco, se recibió a través del SAIMEX, el Recurso de Revisión interpuesto por la persona Recurrente, en los siguientes términos:</w:t>
      </w:r>
    </w:p>
    <w:p w14:paraId="3FFA4C60" w14:textId="77777777" w:rsidR="006F4B64" w:rsidRPr="002D4224" w:rsidRDefault="006F4B64">
      <w:pPr>
        <w:spacing w:after="0" w:line="360" w:lineRule="auto"/>
      </w:pPr>
    </w:p>
    <w:p w14:paraId="0050CD55" w14:textId="77777777" w:rsidR="006F4B64" w:rsidRPr="002D4224" w:rsidRDefault="00D76DD8">
      <w:pPr>
        <w:spacing w:after="0" w:line="360" w:lineRule="auto"/>
        <w:ind w:left="567" w:right="709"/>
        <w:rPr>
          <w:b/>
          <w:sz w:val="20"/>
          <w:szCs w:val="20"/>
        </w:rPr>
      </w:pPr>
      <w:r w:rsidRPr="002D4224">
        <w:rPr>
          <w:b/>
          <w:sz w:val="20"/>
          <w:szCs w:val="20"/>
        </w:rPr>
        <w:t>ACTO IMPUGNADO</w:t>
      </w:r>
      <w:r w:rsidRPr="002D4224">
        <w:rPr>
          <w:b/>
          <w:sz w:val="20"/>
          <w:szCs w:val="20"/>
        </w:rPr>
        <w:tab/>
      </w:r>
    </w:p>
    <w:p w14:paraId="36E1D546" w14:textId="77777777" w:rsidR="006F4B64" w:rsidRPr="002D4224" w:rsidRDefault="00D76DD8">
      <w:pPr>
        <w:spacing w:after="0" w:line="360" w:lineRule="auto"/>
        <w:ind w:left="567" w:right="709"/>
        <w:rPr>
          <w:b/>
          <w:sz w:val="20"/>
          <w:szCs w:val="20"/>
        </w:rPr>
      </w:pPr>
      <w:r w:rsidRPr="002D4224">
        <w:rPr>
          <w:i/>
          <w:sz w:val="20"/>
          <w:szCs w:val="20"/>
        </w:rPr>
        <w:t xml:space="preserve">“la respuesta remitida por el ayuntamiento de </w:t>
      </w:r>
      <w:proofErr w:type="spellStart"/>
      <w:r w:rsidRPr="002D4224">
        <w:rPr>
          <w:i/>
          <w:sz w:val="20"/>
          <w:szCs w:val="20"/>
        </w:rPr>
        <w:t>toluca</w:t>
      </w:r>
      <w:proofErr w:type="spellEnd"/>
      <w:r w:rsidRPr="002D4224">
        <w:rPr>
          <w:i/>
          <w:sz w:val="20"/>
          <w:szCs w:val="20"/>
        </w:rPr>
        <w:t>.” (Sic.)</w:t>
      </w:r>
    </w:p>
    <w:p w14:paraId="10BFBC65" w14:textId="77777777" w:rsidR="006F4B64" w:rsidRPr="002D4224" w:rsidRDefault="006F4B64">
      <w:pPr>
        <w:spacing w:after="0" w:line="360" w:lineRule="auto"/>
        <w:ind w:left="567" w:right="709"/>
        <w:rPr>
          <w:sz w:val="20"/>
          <w:szCs w:val="20"/>
        </w:rPr>
      </w:pPr>
    </w:p>
    <w:p w14:paraId="26AB2803" w14:textId="77777777" w:rsidR="006F4B64" w:rsidRPr="002D4224" w:rsidRDefault="00D76DD8">
      <w:pPr>
        <w:spacing w:after="0" w:line="360" w:lineRule="auto"/>
        <w:ind w:left="567" w:right="709"/>
        <w:rPr>
          <w:b/>
          <w:sz w:val="20"/>
          <w:szCs w:val="20"/>
        </w:rPr>
      </w:pPr>
      <w:r w:rsidRPr="002D4224">
        <w:rPr>
          <w:b/>
          <w:sz w:val="20"/>
          <w:szCs w:val="20"/>
        </w:rPr>
        <w:t>RAZONES O MOTIVOS DE LA INCONFORMIDAD</w:t>
      </w:r>
      <w:r w:rsidRPr="002D4224">
        <w:rPr>
          <w:b/>
          <w:sz w:val="20"/>
          <w:szCs w:val="20"/>
        </w:rPr>
        <w:tab/>
      </w:r>
    </w:p>
    <w:p w14:paraId="0F2AD335" w14:textId="77777777" w:rsidR="006F4B64" w:rsidRPr="002D4224" w:rsidRDefault="00D76DD8">
      <w:pPr>
        <w:tabs>
          <w:tab w:val="left" w:pos="4667"/>
        </w:tabs>
        <w:spacing w:after="0" w:line="360" w:lineRule="auto"/>
        <w:ind w:left="567" w:right="709"/>
        <w:rPr>
          <w:i/>
          <w:sz w:val="20"/>
          <w:szCs w:val="20"/>
        </w:rPr>
      </w:pPr>
      <w:r w:rsidRPr="002D4224">
        <w:rPr>
          <w:i/>
          <w:sz w:val="20"/>
          <w:szCs w:val="20"/>
        </w:rPr>
        <w:t xml:space="preserve">“viola los </w:t>
      </w:r>
      <w:proofErr w:type="spellStart"/>
      <w:r w:rsidRPr="002D4224">
        <w:rPr>
          <w:i/>
          <w:sz w:val="20"/>
          <w:szCs w:val="20"/>
        </w:rPr>
        <w:t>articulos</w:t>
      </w:r>
      <w:proofErr w:type="spellEnd"/>
      <w:r w:rsidRPr="002D4224">
        <w:rPr>
          <w:i/>
          <w:sz w:val="20"/>
          <w:szCs w:val="20"/>
        </w:rPr>
        <w:t xml:space="preserve"> 6 y 7 de la </w:t>
      </w:r>
      <w:proofErr w:type="spellStart"/>
      <w:r w:rsidRPr="002D4224">
        <w:rPr>
          <w:i/>
          <w:sz w:val="20"/>
          <w:szCs w:val="20"/>
        </w:rPr>
        <w:t>Constitucion</w:t>
      </w:r>
      <w:proofErr w:type="spellEnd"/>
      <w:r w:rsidRPr="002D4224">
        <w:rPr>
          <w:i/>
          <w:sz w:val="20"/>
          <w:szCs w:val="20"/>
        </w:rPr>
        <w:t xml:space="preserve"> al no dar la </w:t>
      </w:r>
      <w:proofErr w:type="spellStart"/>
      <w:r w:rsidRPr="002D4224">
        <w:rPr>
          <w:i/>
          <w:sz w:val="20"/>
          <w:szCs w:val="20"/>
        </w:rPr>
        <w:t>informacion</w:t>
      </w:r>
      <w:proofErr w:type="spellEnd"/>
      <w:r w:rsidRPr="002D4224">
        <w:rPr>
          <w:i/>
          <w:sz w:val="20"/>
          <w:szCs w:val="20"/>
        </w:rPr>
        <w:t xml:space="preserve"> de manera fundada y motivada </w:t>
      </w:r>
      <w:proofErr w:type="spellStart"/>
      <w:r w:rsidRPr="002D4224">
        <w:rPr>
          <w:i/>
          <w:sz w:val="20"/>
          <w:szCs w:val="20"/>
        </w:rPr>
        <w:t>ademas</w:t>
      </w:r>
      <w:proofErr w:type="spellEnd"/>
      <w:r w:rsidRPr="002D4224">
        <w:rPr>
          <w:i/>
          <w:sz w:val="20"/>
          <w:szCs w:val="20"/>
        </w:rPr>
        <w:t xml:space="preserve"> la </w:t>
      </w:r>
      <w:proofErr w:type="spellStart"/>
      <w:r w:rsidRPr="002D4224">
        <w:rPr>
          <w:i/>
          <w:sz w:val="20"/>
          <w:szCs w:val="20"/>
        </w:rPr>
        <w:t>informacion</w:t>
      </w:r>
      <w:proofErr w:type="spellEnd"/>
      <w:r w:rsidRPr="002D4224">
        <w:rPr>
          <w:i/>
          <w:sz w:val="20"/>
          <w:szCs w:val="20"/>
        </w:rPr>
        <w:t xml:space="preserve"> puede y debe ser ya que el ayuntamiento cuenta con la </w:t>
      </w:r>
      <w:proofErr w:type="spellStart"/>
      <w:r w:rsidRPr="002D4224">
        <w:rPr>
          <w:i/>
          <w:sz w:val="20"/>
          <w:szCs w:val="20"/>
        </w:rPr>
        <w:t>informacion</w:t>
      </w:r>
      <w:proofErr w:type="spellEnd"/>
      <w:r w:rsidRPr="002D4224">
        <w:rPr>
          <w:i/>
          <w:sz w:val="20"/>
          <w:szCs w:val="20"/>
        </w:rPr>
        <w:t xml:space="preserve"> y no es tratada de </w:t>
      </w:r>
      <w:proofErr w:type="spellStart"/>
      <w:r w:rsidRPr="002D4224">
        <w:rPr>
          <w:i/>
          <w:sz w:val="20"/>
          <w:szCs w:val="20"/>
        </w:rPr>
        <w:t>caracter</w:t>
      </w:r>
      <w:proofErr w:type="spellEnd"/>
      <w:r w:rsidRPr="002D4224">
        <w:rPr>
          <w:i/>
          <w:sz w:val="20"/>
          <w:szCs w:val="20"/>
        </w:rPr>
        <w:t xml:space="preserve"> confidencial, </w:t>
      </w:r>
      <w:proofErr w:type="spellStart"/>
      <w:r w:rsidRPr="002D4224">
        <w:rPr>
          <w:i/>
          <w:sz w:val="20"/>
          <w:szCs w:val="20"/>
        </w:rPr>
        <w:t>unicamente</w:t>
      </w:r>
      <w:proofErr w:type="spellEnd"/>
      <w:r w:rsidRPr="002D4224">
        <w:rPr>
          <w:i/>
          <w:sz w:val="20"/>
          <w:szCs w:val="20"/>
        </w:rPr>
        <w:t xml:space="preserve"> se requiere la </w:t>
      </w:r>
      <w:proofErr w:type="spellStart"/>
      <w:r w:rsidRPr="002D4224">
        <w:rPr>
          <w:i/>
          <w:sz w:val="20"/>
          <w:szCs w:val="20"/>
        </w:rPr>
        <w:t>cuantificacion</w:t>
      </w:r>
      <w:proofErr w:type="spellEnd"/>
      <w:r w:rsidRPr="002D4224">
        <w:rPr>
          <w:i/>
          <w:sz w:val="20"/>
          <w:szCs w:val="20"/>
        </w:rPr>
        <w:t xml:space="preserve"> correspondiente.” (Sic.)</w:t>
      </w:r>
    </w:p>
    <w:p w14:paraId="78F5631B" w14:textId="77777777" w:rsidR="006F4B64" w:rsidRPr="002D4224" w:rsidRDefault="006F4B64">
      <w:pPr>
        <w:tabs>
          <w:tab w:val="left" w:pos="4667"/>
        </w:tabs>
        <w:spacing w:after="0" w:line="360" w:lineRule="auto"/>
      </w:pPr>
    </w:p>
    <w:p w14:paraId="78E7EE41" w14:textId="77777777" w:rsidR="006F4B64" w:rsidRPr="002D4224" w:rsidRDefault="00D76DD8">
      <w:pPr>
        <w:pStyle w:val="Ttulo2"/>
        <w:spacing w:before="0" w:after="0"/>
      </w:pPr>
      <w:bookmarkStart w:id="7" w:name="_Toc207896929"/>
      <w:r w:rsidRPr="002D4224">
        <w:t>IV. Trámite del Recurso de Revisión ante este Instituto</w:t>
      </w:r>
      <w:bookmarkEnd w:id="7"/>
    </w:p>
    <w:p w14:paraId="74AC1FBB" w14:textId="77777777" w:rsidR="006F4B64" w:rsidRPr="002D4224" w:rsidRDefault="006F4B64">
      <w:pPr>
        <w:spacing w:after="0" w:line="360" w:lineRule="auto"/>
        <w:rPr>
          <w:b/>
        </w:rPr>
      </w:pPr>
    </w:p>
    <w:p w14:paraId="0A4A4D56" w14:textId="77777777" w:rsidR="006F4B64" w:rsidRPr="002D4224" w:rsidRDefault="00D76DD8">
      <w:pPr>
        <w:spacing w:after="0" w:line="360" w:lineRule="auto"/>
      </w:pPr>
      <w:r w:rsidRPr="002D4224">
        <w:rPr>
          <w:b/>
        </w:rPr>
        <w:t>a) Turno del Medio de Impugnación.</w:t>
      </w:r>
      <w:r w:rsidRPr="002D4224">
        <w:t xml:space="preserve"> El nueve de junio de dos mil veinticinco, el SAIMEX, asignó el número de expediente</w:t>
      </w:r>
      <w:r w:rsidRPr="002D4224">
        <w:rPr>
          <w:b/>
        </w:rPr>
        <w:t xml:space="preserve"> 06751/INFOEM/IP/RR/2025, </w:t>
      </w:r>
      <w:r w:rsidRPr="002D4224">
        <w:t xml:space="preserve">al medio de impugnación que nos ocupan, con base en el sistema aprobado por el Pleno de este Órgano Garante y se turnó al Comisionado Ponente Luis Gustavo Parra Noriega, para los efectos del artículo 185, fracción I </w:t>
      </w:r>
      <w:r w:rsidRPr="002D4224">
        <w:lastRenderedPageBreak/>
        <w:t>de la Ley de Transparencia y Acceso a la Información Pública del Estado de México y Municipios.</w:t>
      </w:r>
    </w:p>
    <w:p w14:paraId="5F858E38" w14:textId="77777777" w:rsidR="006F4B64" w:rsidRPr="002D4224" w:rsidRDefault="006F4B64">
      <w:pPr>
        <w:spacing w:after="0" w:line="360" w:lineRule="auto"/>
      </w:pPr>
    </w:p>
    <w:p w14:paraId="21ADDA1B" w14:textId="77777777" w:rsidR="006F4B64" w:rsidRPr="002D4224" w:rsidRDefault="00D76DD8">
      <w:pPr>
        <w:spacing w:after="0" w:line="360" w:lineRule="auto"/>
      </w:pPr>
      <w:r w:rsidRPr="002D4224">
        <w:rPr>
          <w:b/>
        </w:rPr>
        <w:t>b) Admisión del Recurso de Revisión.</w:t>
      </w:r>
      <w:r w:rsidRPr="002D4224">
        <w:t xml:space="preserve"> El doce de junio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la cual fue notificada a las partes en la misma fecha través del SAIMEX, en el que se les otorgó un plazo de siete días hábiles posteriores a la misma, para que manifestara lo que a su derecho conviniera y formularán alegatos.</w:t>
      </w:r>
    </w:p>
    <w:p w14:paraId="2594F688" w14:textId="77777777" w:rsidR="006F4B64" w:rsidRPr="002D4224" w:rsidRDefault="006F4B64">
      <w:pPr>
        <w:spacing w:after="0" w:line="360" w:lineRule="auto"/>
      </w:pPr>
    </w:p>
    <w:p w14:paraId="5EC28623" w14:textId="77777777" w:rsidR="006F4B64" w:rsidRPr="002D4224" w:rsidRDefault="00D76DD8">
      <w:pPr>
        <w:spacing w:after="0" w:line="360" w:lineRule="auto"/>
      </w:pPr>
      <w:r w:rsidRPr="002D4224">
        <w:rPr>
          <w:b/>
        </w:rPr>
        <w:t xml:space="preserve">c) Informe Justificado. </w:t>
      </w:r>
      <w:r w:rsidRPr="002D4224">
        <w:t xml:space="preserve">En fecha veintitrés de junio de dos mil veinticinco, el Sujeto Obligado rindió informe justificado a través de SAIMEX, mediante un oficio emitido por el titular de la Unidad de Transparencia, en el que ratificó la respuesta inicial. </w:t>
      </w:r>
    </w:p>
    <w:p w14:paraId="67A0D889" w14:textId="77777777" w:rsidR="006F4B64" w:rsidRPr="002D4224" w:rsidRDefault="006F4B64">
      <w:pPr>
        <w:spacing w:after="0" w:line="360" w:lineRule="auto"/>
        <w:rPr>
          <w:i/>
        </w:rPr>
      </w:pPr>
    </w:p>
    <w:p w14:paraId="209FE839" w14:textId="77777777" w:rsidR="006F4B64" w:rsidRPr="002D4224" w:rsidRDefault="00D76DD8">
      <w:pPr>
        <w:spacing w:after="0" w:line="360" w:lineRule="auto"/>
      </w:pPr>
      <w:r w:rsidRPr="002D4224">
        <w:rPr>
          <w:b/>
        </w:rPr>
        <w:t>d) Vista del Informe Justificado.</w:t>
      </w:r>
      <w:r w:rsidRPr="002D4224">
        <w:t xml:space="preserve"> El diecinueve de agosto de dos mil veinticinco, se dictó acuerdo por medio del cual se puso a la vista de la persona Recurrente el informe justificado entregado por el Sujeto Obligado, el cual fue notificado a las partes, el mismo día, a través del SAIMEX.</w:t>
      </w:r>
    </w:p>
    <w:p w14:paraId="319C8E20" w14:textId="77777777" w:rsidR="006F4B64" w:rsidRPr="002D4224" w:rsidRDefault="006F4B64">
      <w:pPr>
        <w:spacing w:after="0" w:line="360" w:lineRule="auto"/>
        <w:rPr>
          <w:b/>
        </w:rPr>
      </w:pPr>
    </w:p>
    <w:p w14:paraId="5E053D09" w14:textId="77777777" w:rsidR="006F4B64" w:rsidRPr="002D4224" w:rsidRDefault="00D76DD8">
      <w:pPr>
        <w:spacing w:after="0" w:line="360" w:lineRule="auto"/>
      </w:pPr>
      <w:r w:rsidRPr="002D4224">
        <w:rPr>
          <w:b/>
        </w:rPr>
        <w:t xml:space="preserve">e) Manifestaciones de la parte Recurrente. </w:t>
      </w:r>
      <w:r w:rsidRPr="002D4224">
        <w:t xml:space="preserve">De las constancias que obran en el SAIMEX, se advierte que la parte Recurrente no añadió manifestaciones. </w:t>
      </w:r>
    </w:p>
    <w:p w14:paraId="0A037331" w14:textId="77777777" w:rsidR="006F4B64" w:rsidRPr="002D4224" w:rsidRDefault="006F4B64">
      <w:pPr>
        <w:spacing w:after="0" w:line="360" w:lineRule="auto"/>
      </w:pPr>
    </w:p>
    <w:p w14:paraId="4166C803" w14:textId="77777777" w:rsidR="006F4B64" w:rsidRPr="002D4224" w:rsidRDefault="00D76DD8">
      <w:pPr>
        <w:spacing w:after="0" w:line="360" w:lineRule="auto"/>
      </w:pPr>
      <w:r w:rsidRPr="002D4224">
        <w:rPr>
          <w:b/>
        </w:rPr>
        <w:t>f)</w:t>
      </w:r>
      <w:r w:rsidRPr="002D4224">
        <w:t xml:space="preserve"> </w:t>
      </w:r>
      <w:r w:rsidRPr="002D4224">
        <w:rPr>
          <w:b/>
        </w:rPr>
        <w:t>Ampliación de plazo para resolver</w:t>
      </w:r>
      <w:r w:rsidRPr="002D4224">
        <w:t xml:space="preserve">. El veintisiete de agosto de dos mil veinticinco, el Comisionado Ponente, con fundamento en lo dispuesto por el artículo 181, párrafo tercero, de la Ley de Transparencia y Acceso a la Información Pública del Estado de México y Municipios, </w:t>
      </w:r>
      <w:r w:rsidRPr="002D4224">
        <w:lastRenderedPageBreak/>
        <w:t>acordó ampliar por un periodo razonable, el plazo para resolver el Recurso de Revisión que nos ocupa; acto que fue notificado a las partes el mismo día mediante el SAIMEX.</w:t>
      </w:r>
    </w:p>
    <w:p w14:paraId="1F13F12F" w14:textId="77777777" w:rsidR="006F4B64" w:rsidRPr="002D4224" w:rsidRDefault="006F4B64">
      <w:pPr>
        <w:spacing w:after="0" w:line="360" w:lineRule="auto"/>
      </w:pPr>
    </w:p>
    <w:p w14:paraId="5B186699" w14:textId="77777777" w:rsidR="006F4B64" w:rsidRPr="002D4224" w:rsidRDefault="00D76DD8">
      <w:pPr>
        <w:spacing w:after="0" w:line="360" w:lineRule="auto"/>
      </w:pPr>
      <w:r w:rsidRPr="002D4224">
        <w:rPr>
          <w:b/>
        </w:rPr>
        <w:t>g) Cierre de instrucción.</w:t>
      </w:r>
      <w:r w:rsidRPr="002D4224">
        <w:t xml:space="preserve"> El veintisiete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5224E335" w14:textId="77777777" w:rsidR="006F4B64" w:rsidRPr="002D4224" w:rsidRDefault="006F4B64">
      <w:pPr>
        <w:spacing w:after="0" w:line="360" w:lineRule="auto"/>
      </w:pPr>
    </w:p>
    <w:p w14:paraId="6C2D4A1C" w14:textId="77777777" w:rsidR="006F4B64" w:rsidRPr="002D4224" w:rsidRDefault="00D76DD8">
      <w:pPr>
        <w:spacing w:after="0" w:line="360" w:lineRule="auto"/>
      </w:pPr>
      <w:proofErr w:type="gramStart"/>
      <w:r w:rsidRPr="002D4224">
        <w:t>En razón de</w:t>
      </w:r>
      <w:proofErr w:type="gramEnd"/>
      <w:r w:rsidRPr="002D4224">
        <w:t xml:space="preserve"> que fue debidamente sustanciado e integrado el expediente electrónico y no existir diligencia pendiente de desahogo, se emite la resolución que conforme a Derecho proceda, </w:t>
      </w:r>
      <w:proofErr w:type="gramStart"/>
      <w:r w:rsidRPr="002D4224">
        <w:t>de acuerdo a</w:t>
      </w:r>
      <w:proofErr w:type="gramEnd"/>
      <w:r w:rsidRPr="002D4224">
        <w:t xml:space="preserve"> los siguientes: </w:t>
      </w:r>
    </w:p>
    <w:p w14:paraId="2080F68E" w14:textId="77777777" w:rsidR="006F4B64" w:rsidRPr="002D4224" w:rsidRDefault="006F4B64">
      <w:pPr>
        <w:spacing w:after="0" w:line="360" w:lineRule="auto"/>
      </w:pPr>
    </w:p>
    <w:p w14:paraId="0E7F6C19" w14:textId="77777777" w:rsidR="006F4B64" w:rsidRPr="002D4224" w:rsidRDefault="00D76DD8">
      <w:pPr>
        <w:pStyle w:val="Ttulo1"/>
        <w:spacing w:before="0" w:after="0"/>
        <w:rPr>
          <w:sz w:val="22"/>
          <w:szCs w:val="22"/>
        </w:rPr>
      </w:pPr>
      <w:bookmarkStart w:id="8" w:name="_Toc207896930"/>
      <w:r w:rsidRPr="002D4224">
        <w:rPr>
          <w:sz w:val="22"/>
          <w:szCs w:val="22"/>
        </w:rPr>
        <w:t>C O N S I D E R A N D O S</w:t>
      </w:r>
      <w:bookmarkEnd w:id="8"/>
    </w:p>
    <w:p w14:paraId="4962ABA3" w14:textId="77777777" w:rsidR="006F4B64" w:rsidRPr="002D4224" w:rsidRDefault="006F4B64">
      <w:pPr>
        <w:spacing w:after="0" w:line="360" w:lineRule="auto"/>
        <w:rPr>
          <w:b/>
        </w:rPr>
      </w:pPr>
    </w:p>
    <w:p w14:paraId="695F5AAA" w14:textId="77777777" w:rsidR="006F4B64" w:rsidRPr="002D4224" w:rsidRDefault="00D76DD8">
      <w:pPr>
        <w:pStyle w:val="Ttulo2"/>
        <w:spacing w:before="0" w:after="0"/>
      </w:pPr>
      <w:bookmarkStart w:id="9" w:name="_Toc207896931"/>
      <w:r w:rsidRPr="002D4224">
        <w:t>PRIMERO. Competencia</w:t>
      </w:r>
      <w:bookmarkEnd w:id="9"/>
    </w:p>
    <w:p w14:paraId="0A260C6B" w14:textId="77777777" w:rsidR="006F4B64" w:rsidRPr="002D4224" w:rsidRDefault="006F4B64">
      <w:pPr>
        <w:spacing w:after="0" w:line="360" w:lineRule="auto"/>
      </w:pPr>
    </w:p>
    <w:p w14:paraId="70B7247C" w14:textId="77777777" w:rsidR="006F4B64" w:rsidRPr="002D4224" w:rsidRDefault="00D76DD8">
      <w:pPr>
        <w:spacing w:after="0" w:line="360" w:lineRule="auto"/>
      </w:pPr>
      <w:r w:rsidRPr="002D4224">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CFF8B0E" w14:textId="77777777" w:rsidR="006F4B64" w:rsidRPr="002D4224" w:rsidRDefault="00D76DD8">
      <w:pPr>
        <w:pStyle w:val="Ttulo2"/>
        <w:spacing w:before="0" w:after="0"/>
      </w:pPr>
      <w:bookmarkStart w:id="10" w:name="_Toc207896932"/>
      <w:r w:rsidRPr="002D4224">
        <w:lastRenderedPageBreak/>
        <w:t>SEGUNDO. Causales de improcedencia y sobreseimiento</w:t>
      </w:r>
      <w:bookmarkEnd w:id="10"/>
    </w:p>
    <w:p w14:paraId="3286620B" w14:textId="77777777" w:rsidR="006F4B64" w:rsidRPr="002D4224" w:rsidRDefault="006F4B64">
      <w:pPr>
        <w:spacing w:after="0" w:line="360" w:lineRule="auto"/>
      </w:pPr>
    </w:p>
    <w:p w14:paraId="686BFE2F" w14:textId="77777777" w:rsidR="006F4B64" w:rsidRPr="002D4224" w:rsidRDefault="00D76DD8">
      <w:pPr>
        <w:spacing w:after="0" w:line="360" w:lineRule="auto"/>
      </w:pPr>
      <w:r w:rsidRPr="002D4224">
        <w:t xml:space="preserve">De las constancias que forman parte del Recurso de Revisión que se analiza, se advierte que previo al estudio del fondo de la </w:t>
      </w:r>
      <w:r w:rsidRPr="002D4224">
        <w:rPr>
          <w:i/>
        </w:rPr>
        <w:t>litis</w:t>
      </w:r>
      <w:r w:rsidRPr="002D4224">
        <w:t>, es necesario estudiar las causales de improcedencia y sobreseimiento que se adviertan, para determinar lo que en Derecho proceda.</w:t>
      </w:r>
    </w:p>
    <w:p w14:paraId="12034823" w14:textId="77777777" w:rsidR="006F4B64" w:rsidRPr="002D4224" w:rsidRDefault="006F4B64">
      <w:pPr>
        <w:spacing w:after="0" w:line="360" w:lineRule="auto"/>
      </w:pPr>
    </w:p>
    <w:p w14:paraId="22F3323F" w14:textId="77777777" w:rsidR="006F4B64" w:rsidRPr="002D4224" w:rsidRDefault="00D76DD8">
      <w:pPr>
        <w:spacing w:after="0" w:line="360" w:lineRule="auto"/>
        <w:rPr>
          <w:b/>
        </w:rPr>
      </w:pPr>
      <w:r w:rsidRPr="002D4224">
        <w:rPr>
          <w:b/>
        </w:rPr>
        <w:t>Causales de improcedencia</w:t>
      </w:r>
    </w:p>
    <w:p w14:paraId="66DB51F5" w14:textId="77777777" w:rsidR="006F4B64" w:rsidRPr="002D4224" w:rsidRDefault="006F4B64">
      <w:pPr>
        <w:spacing w:after="0" w:line="360" w:lineRule="auto"/>
      </w:pPr>
    </w:p>
    <w:p w14:paraId="06E41141" w14:textId="77777777" w:rsidR="006F4B64" w:rsidRPr="002D4224" w:rsidRDefault="00D76DD8">
      <w:pPr>
        <w:spacing w:after="0" w:line="360" w:lineRule="auto"/>
      </w:pPr>
      <w:r w:rsidRPr="002D4224">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D4224">
        <w:rPr>
          <w:b/>
        </w:rPr>
        <w:t xml:space="preserve"> </w:t>
      </w:r>
      <w:r w:rsidRPr="002D4224">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767697A4" w14:textId="77777777" w:rsidR="006F4B64" w:rsidRPr="002D4224" w:rsidRDefault="006F4B64">
      <w:pPr>
        <w:spacing w:after="0" w:line="360" w:lineRule="auto"/>
      </w:pPr>
    </w:p>
    <w:p w14:paraId="3EA47526" w14:textId="77777777" w:rsidR="006F4B64" w:rsidRPr="002D4224" w:rsidRDefault="00D76DD8">
      <w:pPr>
        <w:spacing w:after="0" w:line="360" w:lineRule="auto"/>
      </w:pPr>
      <w:r w:rsidRPr="002D4224">
        <w:t xml:space="preserve">En el presente caso, </w:t>
      </w:r>
      <w:r w:rsidRPr="002D4224">
        <w:rPr>
          <w:b/>
        </w:rPr>
        <w:t>no se actualiza ninguna de las causales de improcedencia</w:t>
      </w:r>
      <w:r w:rsidRPr="002D4224">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62F1556" w14:textId="77777777" w:rsidR="006F4B64" w:rsidRPr="002D4224" w:rsidRDefault="006F4B64">
      <w:pPr>
        <w:spacing w:after="0" w:line="360" w:lineRule="auto"/>
        <w:rPr>
          <w:b/>
        </w:rPr>
      </w:pPr>
    </w:p>
    <w:p w14:paraId="1752589D" w14:textId="77777777" w:rsidR="006F4B64" w:rsidRPr="002D4224" w:rsidRDefault="00D76DD8">
      <w:pPr>
        <w:spacing w:after="0" w:line="360" w:lineRule="auto"/>
        <w:ind w:right="-28"/>
        <w:rPr>
          <w:b/>
        </w:rPr>
      </w:pPr>
      <w:r w:rsidRPr="002D4224">
        <w:rPr>
          <w:b/>
        </w:rPr>
        <w:t>Causales de sobreseimiento</w:t>
      </w:r>
    </w:p>
    <w:p w14:paraId="4D1E46BE" w14:textId="77777777" w:rsidR="006F4B64" w:rsidRPr="002D4224" w:rsidRDefault="006F4B64">
      <w:pPr>
        <w:spacing w:after="0" w:line="360" w:lineRule="auto"/>
        <w:ind w:right="-28"/>
      </w:pPr>
    </w:p>
    <w:p w14:paraId="1D8CBA59" w14:textId="77777777" w:rsidR="006F4B64" w:rsidRPr="002D4224" w:rsidRDefault="00D76DD8">
      <w:pPr>
        <w:spacing w:after="0" w:line="360" w:lineRule="auto"/>
      </w:pPr>
      <w:r w:rsidRPr="002D4224">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2D4224">
        <w:rPr>
          <w:b/>
        </w:rPr>
        <w:t xml:space="preserve"> </w:t>
      </w:r>
      <w:r w:rsidRPr="002D4224">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3AD59B36" w14:textId="77777777" w:rsidR="006F4B64" w:rsidRPr="002D4224" w:rsidRDefault="006F4B64">
      <w:pPr>
        <w:spacing w:after="0" w:line="360" w:lineRule="auto"/>
      </w:pPr>
    </w:p>
    <w:p w14:paraId="2FB026E8" w14:textId="77777777" w:rsidR="006F4B64" w:rsidRPr="002D4224" w:rsidRDefault="00D76DD8">
      <w:pPr>
        <w:pStyle w:val="Ttulo2"/>
        <w:spacing w:before="0" w:after="0"/>
      </w:pPr>
      <w:bookmarkStart w:id="11" w:name="_Toc207896933"/>
      <w:r w:rsidRPr="002D4224">
        <w:t>TERCERO. Determinación de la Controversia</w:t>
      </w:r>
      <w:bookmarkEnd w:id="11"/>
    </w:p>
    <w:p w14:paraId="13D16647" w14:textId="77777777" w:rsidR="006F4B64" w:rsidRPr="002D4224" w:rsidRDefault="006F4B64">
      <w:pPr>
        <w:tabs>
          <w:tab w:val="left" w:pos="4962"/>
        </w:tabs>
        <w:spacing w:after="0" w:line="360" w:lineRule="auto"/>
      </w:pPr>
    </w:p>
    <w:p w14:paraId="634D7D05" w14:textId="77777777" w:rsidR="006F4B64" w:rsidRPr="002D4224" w:rsidRDefault="00D76DD8">
      <w:pPr>
        <w:tabs>
          <w:tab w:val="left" w:pos="4962"/>
        </w:tabs>
        <w:spacing w:after="0" w:line="360" w:lineRule="auto"/>
      </w:pPr>
      <w:r w:rsidRPr="002D4224">
        <w:t>La parte Solicitante requirió conocer lo siguiente:</w:t>
      </w:r>
    </w:p>
    <w:p w14:paraId="2EC210BE" w14:textId="77777777" w:rsidR="006F4B64" w:rsidRPr="002D4224" w:rsidRDefault="006F4B64">
      <w:pPr>
        <w:tabs>
          <w:tab w:val="left" w:pos="4962"/>
        </w:tabs>
        <w:spacing w:after="0" w:line="360" w:lineRule="auto"/>
      </w:pPr>
    </w:p>
    <w:p w14:paraId="66092063" w14:textId="77777777" w:rsidR="006F4B64" w:rsidRPr="002D4224" w:rsidRDefault="00D76DD8">
      <w:pPr>
        <w:tabs>
          <w:tab w:val="left" w:pos="4962"/>
        </w:tabs>
        <w:spacing w:after="0" w:line="360" w:lineRule="auto"/>
      </w:pPr>
      <w:r w:rsidRPr="002D4224">
        <w:t>Los montos que se deben pagar a un suboficial que pertenece a la Dirección de Seguridad y Tránsito, que tiene 33 años de servicio, por los siguientes conceptos:</w:t>
      </w:r>
    </w:p>
    <w:p w14:paraId="072C6E3B" w14:textId="77777777" w:rsidR="006F4B64" w:rsidRPr="002D4224" w:rsidRDefault="006F4B64">
      <w:pPr>
        <w:tabs>
          <w:tab w:val="left" w:pos="4962"/>
        </w:tabs>
        <w:spacing w:after="0" w:line="360" w:lineRule="auto"/>
      </w:pPr>
    </w:p>
    <w:p w14:paraId="4E8D6F00" w14:textId="2D62491A" w:rsidR="006F4B64" w:rsidRPr="002D4224" w:rsidRDefault="00D76DD8">
      <w:pPr>
        <w:numPr>
          <w:ilvl w:val="0"/>
          <w:numId w:val="1"/>
        </w:numPr>
        <w:pBdr>
          <w:top w:val="nil"/>
          <w:left w:val="nil"/>
          <w:bottom w:val="nil"/>
          <w:right w:val="nil"/>
          <w:between w:val="nil"/>
        </w:pBdr>
        <w:tabs>
          <w:tab w:val="left" w:pos="4962"/>
        </w:tabs>
        <w:spacing w:after="0" w:line="360" w:lineRule="auto"/>
        <w:rPr>
          <w:color w:val="000000"/>
        </w:rPr>
      </w:pPr>
      <w:r w:rsidRPr="002D4224">
        <w:rPr>
          <w:color w:val="000000"/>
        </w:rPr>
        <w:t xml:space="preserve">La prima por antigüedad, cantidad de días que se pagan por cada </w:t>
      </w:r>
      <w:r w:rsidR="00CB613A" w:rsidRPr="002D4224">
        <w:rPr>
          <w:color w:val="000000"/>
        </w:rPr>
        <w:t>año, la</w:t>
      </w:r>
      <w:r w:rsidRPr="002D4224">
        <w:rPr>
          <w:color w:val="000000"/>
        </w:rPr>
        <w:t xml:space="preserve"> </w:t>
      </w:r>
      <w:r w:rsidRPr="002D4224">
        <w:t>fórmula</w:t>
      </w:r>
      <w:r w:rsidRPr="002D4224">
        <w:rPr>
          <w:color w:val="000000"/>
        </w:rPr>
        <w:t xml:space="preserve"> lógico- aritmética para determinarla y su fundamento legal. </w:t>
      </w:r>
    </w:p>
    <w:p w14:paraId="22E83B3A" w14:textId="77777777" w:rsidR="006F4B64" w:rsidRPr="002D4224" w:rsidRDefault="00D76DD8">
      <w:pPr>
        <w:numPr>
          <w:ilvl w:val="0"/>
          <w:numId w:val="1"/>
        </w:numPr>
        <w:pBdr>
          <w:top w:val="nil"/>
          <w:left w:val="nil"/>
          <w:bottom w:val="nil"/>
          <w:right w:val="nil"/>
          <w:between w:val="nil"/>
        </w:pBdr>
        <w:tabs>
          <w:tab w:val="left" w:pos="4962"/>
        </w:tabs>
        <w:spacing w:after="0" w:line="360" w:lineRule="auto"/>
        <w:rPr>
          <w:color w:val="000000"/>
        </w:rPr>
      </w:pPr>
      <w:r w:rsidRPr="002D4224">
        <w:rPr>
          <w:color w:val="000000"/>
        </w:rPr>
        <w:t xml:space="preserve">El pago aguinaldo por concepto de finiquito, cantidad de días que se pagan por cada año, la </w:t>
      </w:r>
      <w:r w:rsidRPr="002D4224">
        <w:t>fórmula</w:t>
      </w:r>
      <w:r w:rsidRPr="002D4224">
        <w:rPr>
          <w:color w:val="000000"/>
        </w:rPr>
        <w:t xml:space="preserve"> </w:t>
      </w:r>
      <w:proofErr w:type="gramStart"/>
      <w:r w:rsidRPr="002D4224">
        <w:rPr>
          <w:color w:val="000000"/>
        </w:rPr>
        <w:t>lógico aritmética</w:t>
      </w:r>
      <w:proofErr w:type="gramEnd"/>
      <w:r w:rsidRPr="002D4224">
        <w:rPr>
          <w:color w:val="000000"/>
        </w:rPr>
        <w:t xml:space="preserve"> para determinarla y su fundamento legal. </w:t>
      </w:r>
    </w:p>
    <w:p w14:paraId="4234ECF2" w14:textId="77777777" w:rsidR="006F4B64" w:rsidRPr="002D4224" w:rsidRDefault="00D76DD8">
      <w:pPr>
        <w:numPr>
          <w:ilvl w:val="0"/>
          <w:numId w:val="1"/>
        </w:numPr>
        <w:pBdr>
          <w:top w:val="nil"/>
          <w:left w:val="nil"/>
          <w:bottom w:val="nil"/>
          <w:right w:val="nil"/>
          <w:between w:val="nil"/>
        </w:pBdr>
        <w:tabs>
          <w:tab w:val="left" w:pos="4962"/>
        </w:tabs>
        <w:spacing w:after="0" w:line="360" w:lineRule="auto"/>
        <w:rPr>
          <w:color w:val="000000"/>
        </w:rPr>
      </w:pPr>
      <w:r w:rsidRPr="002D4224">
        <w:rPr>
          <w:color w:val="000000"/>
        </w:rPr>
        <w:t xml:space="preserve">El pago prima vacacional por concepto de finiquito, cantidad de días que se pagan por cada año, la </w:t>
      </w:r>
      <w:r w:rsidRPr="002D4224">
        <w:t>fórmula</w:t>
      </w:r>
      <w:r w:rsidRPr="002D4224">
        <w:rPr>
          <w:color w:val="000000"/>
        </w:rPr>
        <w:t xml:space="preserve"> </w:t>
      </w:r>
      <w:proofErr w:type="gramStart"/>
      <w:r w:rsidRPr="002D4224">
        <w:rPr>
          <w:color w:val="000000"/>
        </w:rPr>
        <w:t>lógico aritmética</w:t>
      </w:r>
      <w:proofErr w:type="gramEnd"/>
      <w:r w:rsidRPr="002D4224">
        <w:rPr>
          <w:color w:val="000000"/>
        </w:rPr>
        <w:t xml:space="preserve"> para determinarla y su fundamento legal. </w:t>
      </w:r>
    </w:p>
    <w:p w14:paraId="0372E7B2" w14:textId="77777777" w:rsidR="006F4B64" w:rsidRPr="002D4224" w:rsidRDefault="00D76DD8">
      <w:pPr>
        <w:numPr>
          <w:ilvl w:val="0"/>
          <w:numId w:val="1"/>
        </w:numPr>
        <w:pBdr>
          <w:top w:val="nil"/>
          <w:left w:val="nil"/>
          <w:bottom w:val="nil"/>
          <w:right w:val="nil"/>
          <w:between w:val="nil"/>
        </w:pBdr>
        <w:tabs>
          <w:tab w:val="left" w:pos="4962"/>
        </w:tabs>
        <w:spacing w:after="0" w:line="360" w:lineRule="auto"/>
        <w:rPr>
          <w:color w:val="000000"/>
        </w:rPr>
      </w:pPr>
      <w:r w:rsidRPr="002D4224">
        <w:rPr>
          <w:color w:val="000000"/>
        </w:rPr>
        <w:t xml:space="preserve">El pago por prima de permanencia por concepto de finiquito, cantidad de días que se pagan por cada año y la </w:t>
      </w:r>
      <w:r w:rsidRPr="002D4224">
        <w:t>fórmula</w:t>
      </w:r>
      <w:r w:rsidRPr="002D4224">
        <w:rPr>
          <w:color w:val="000000"/>
        </w:rPr>
        <w:t xml:space="preserve"> </w:t>
      </w:r>
      <w:proofErr w:type="gramStart"/>
      <w:r w:rsidRPr="002D4224">
        <w:rPr>
          <w:color w:val="000000"/>
        </w:rPr>
        <w:t>lógico aritmética</w:t>
      </w:r>
      <w:proofErr w:type="gramEnd"/>
      <w:r w:rsidRPr="002D4224">
        <w:rPr>
          <w:color w:val="000000"/>
        </w:rPr>
        <w:t xml:space="preserve"> para determinarla y su fundamento legal. </w:t>
      </w:r>
    </w:p>
    <w:p w14:paraId="6A2F3ABA" w14:textId="77777777" w:rsidR="006F4B64" w:rsidRPr="002D4224" w:rsidRDefault="00D76DD8">
      <w:pPr>
        <w:numPr>
          <w:ilvl w:val="0"/>
          <w:numId w:val="1"/>
        </w:numPr>
        <w:pBdr>
          <w:top w:val="nil"/>
          <w:left w:val="nil"/>
          <w:bottom w:val="nil"/>
          <w:right w:val="nil"/>
          <w:between w:val="nil"/>
        </w:pBdr>
        <w:tabs>
          <w:tab w:val="left" w:pos="4962"/>
        </w:tabs>
        <w:spacing w:after="0" w:line="360" w:lineRule="auto"/>
        <w:rPr>
          <w:color w:val="000000"/>
        </w:rPr>
      </w:pPr>
      <w:r w:rsidRPr="002D4224">
        <w:rPr>
          <w:color w:val="000000"/>
        </w:rPr>
        <w:t xml:space="preserve">El pago por concepto de indemnización, cantidad de días que se pagan por cada año y la </w:t>
      </w:r>
      <w:r w:rsidRPr="002D4224">
        <w:t>fórmula</w:t>
      </w:r>
      <w:r w:rsidRPr="002D4224">
        <w:rPr>
          <w:color w:val="000000"/>
        </w:rPr>
        <w:t xml:space="preserve"> </w:t>
      </w:r>
      <w:proofErr w:type="gramStart"/>
      <w:r w:rsidRPr="002D4224">
        <w:rPr>
          <w:color w:val="000000"/>
        </w:rPr>
        <w:t>lógico aritmética</w:t>
      </w:r>
      <w:proofErr w:type="gramEnd"/>
      <w:r w:rsidRPr="002D4224">
        <w:rPr>
          <w:color w:val="000000"/>
        </w:rPr>
        <w:t xml:space="preserve"> para determinarla y su fundamento legal. </w:t>
      </w:r>
    </w:p>
    <w:p w14:paraId="30ECF213" w14:textId="77777777" w:rsidR="006F4B64" w:rsidRPr="002D4224" w:rsidRDefault="00D76DD8">
      <w:pPr>
        <w:numPr>
          <w:ilvl w:val="0"/>
          <w:numId w:val="1"/>
        </w:numPr>
        <w:pBdr>
          <w:top w:val="nil"/>
          <w:left w:val="nil"/>
          <w:bottom w:val="nil"/>
          <w:right w:val="nil"/>
          <w:between w:val="nil"/>
        </w:pBdr>
        <w:tabs>
          <w:tab w:val="left" w:pos="4962"/>
        </w:tabs>
        <w:spacing w:after="0" w:line="360" w:lineRule="auto"/>
        <w:rPr>
          <w:color w:val="000000"/>
        </w:rPr>
      </w:pPr>
      <w:r w:rsidRPr="002D4224">
        <w:rPr>
          <w:color w:val="000000"/>
        </w:rPr>
        <w:lastRenderedPageBreak/>
        <w:t xml:space="preserve">Otras prestaciones que tiene derecho un servidor público en el supuesto referido, distintas a las señaladas en los numerales del 1 al 5. </w:t>
      </w:r>
    </w:p>
    <w:p w14:paraId="0D0F8A16" w14:textId="77777777" w:rsidR="006F4B64" w:rsidRPr="002D4224" w:rsidRDefault="00D76DD8">
      <w:pPr>
        <w:numPr>
          <w:ilvl w:val="0"/>
          <w:numId w:val="1"/>
        </w:numPr>
        <w:pBdr>
          <w:top w:val="nil"/>
          <w:left w:val="nil"/>
          <w:bottom w:val="nil"/>
          <w:right w:val="nil"/>
          <w:between w:val="nil"/>
        </w:pBdr>
        <w:tabs>
          <w:tab w:val="left" w:pos="4962"/>
        </w:tabs>
        <w:spacing w:after="0" w:line="360" w:lineRule="auto"/>
        <w:rPr>
          <w:color w:val="000000"/>
        </w:rPr>
      </w:pPr>
      <w:r w:rsidRPr="002D4224">
        <w:rPr>
          <w:color w:val="000000"/>
        </w:rPr>
        <w:t>Documental fehaciente que acredite todo lo anterior, pública e idónea que acredite la certeza de la legalidad de su respuesta</w:t>
      </w:r>
    </w:p>
    <w:p w14:paraId="283136E6" w14:textId="77777777" w:rsidR="006F4B64" w:rsidRPr="002D4224" w:rsidRDefault="00D76DD8">
      <w:pPr>
        <w:numPr>
          <w:ilvl w:val="0"/>
          <w:numId w:val="1"/>
        </w:numPr>
        <w:pBdr>
          <w:top w:val="nil"/>
          <w:left w:val="nil"/>
          <w:bottom w:val="nil"/>
          <w:right w:val="nil"/>
          <w:between w:val="nil"/>
        </w:pBdr>
        <w:tabs>
          <w:tab w:val="left" w:pos="4962"/>
        </w:tabs>
        <w:spacing w:after="0" w:line="360" w:lineRule="auto"/>
        <w:rPr>
          <w:color w:val="000000"/>
        </w:rPr>
      </w:pPr>
      <w:r w:rsidRPr="002D4224">
        <w:rPr>
          <w:color w:val="000000"/>
        </w:rPr>
        <w:t xml:space="preserve">Una cuantificación para el cargo de suboficial4 conforme al recibo de nómina anexo a la solicitud. </w:t>
      </w:r>
    </w:p>
    <w:p w14:paraId="0313E548" w14:textId="77777777" w:rsidR="006F4B64" w:rsidRPr="002D4224" w:rsidRDefault="00D76DD8">
      <w:pPr>
        <w:numPr>
          <w:ilvl w:val="0"/>
          <w:numId w:val="1"/>
        </w:numPr>
        <w:pBdr>
          <w:top w:val="nil"/>
          <w:left w:val="nil"/>
          <w:bottom w:val="nil"/>
          <w:right w:val="nil"/>
          <w:between w:val="nil"/>
        </w:pBdr>
        <w:tabs>
          <w:tab w:val="left" w:pos="4962"/>
        </w:tabs>
        <w:spacing w:after="0" w:line="360" w:lineRule="auto"/>
        <w:rPr>
          <w:color w:val="000000"/>
        </w:rPr>
      </w:pPr>
      <w:r w:rsidRPr="002D4224">
        <w:rPr>
          <w:color w:val="000000"/>
        </w:rPr>
        <w:t>Indicar si en el supuesto señalado, se tiene alguna prestación extraordinaria por concepto de finiquito.</w:t>
      </w:r>
    </w:p>
    <w:p w14:paraId="2D4FB8D3" w14:textId="77777777" w:rsidR="006F4B64" w:rsidRPr="002D4224" w:rsidRDefault="006F4B64">
      <w:pPr>
        <w:pBdr>
          <w:top w:val="nil"/>
          <w:left w:val="nil"/>
          <w:bottom w:val="nil"/>
          <w:right w:val="nil"/>
          <w:between w:val="nil"/>
        </w:pBdr>
        <w:tabs>
          <w:tab w:val="left" w:pos="4962"/>
        </w:tabs>
        <w:spacing w:after="0" w:line="360" w:lineRule="auto"/>
        <w:ind w:left="720"/>
        <w:rPr>
          <w:color w:val="000000"/>
        </w:rPr>
      </w:pPr>
    </w:p>
    <w:p w14:paraId="66723CEF" w14:textId="77777777" w:rsidR="006F4B64" w:rsidRPr="002D4224" w:rsidRDefault="00D76DD8">
      <w:pPr>
        <w:spacing w:after="0" w:line="360" w:lineRule="auto"/>
      </w:pPr>
      <w:r w:rsidRPr="002D4224">
        <w:t xml:space="preserve">Al respecto, es menester precisar que de la solicitud de información se advierte que </w:t>
      </w:r>
      <w:r w:rsidRPr="002D4224">
        <w:rPr>
          <w:b/>
        </w:rPr>
        <w:t>únicamente la solicitud de la fórmula lógico aritmética y el fundamento legal para calcular las prestaciones constituye una solicitud</w:t>
      </w:r>
      <w:r w:rsidRPr="002D4224">
        <w:t xml:space="preserve"> de información en el ejercicio del derecho de transparencia y acceso a la información pública, puesto que </w:t>
      </w:r>
      <w:r w:rsidRPr="002D4224">
        <w:rPr>
          <w:b/>
        </w:rPr>
        <w:t>el resto de los requerimientos</w:t>
      </w:r>
      <w:r w:rsidRPr="002D4224">
        <w:t xml:space="preserve"> no tienen una traducción en expresión documental, sino que </w:t>
      </w:r>
      <w:r w:rsidRPr="002D4224">
        <w:rPr>
          <w:b/>
        </w:rPr>
        <w:t>se trata de un derecho de petición</w:t>
      </w:r>
      <w:r w:rsidRPr="002D4224">
        <w:t>, en el que la persona Recurrente requiere la entrega de cálculos a un supuesto específico, lo cual, es inatendible en el ejercicio del derecho de acceso a la información pública y a la transparencia; puesto que de conformidad con lo dispuesto en los artículos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47989C34" w14:textId="77777777" w:rsidR="006F4B64" w:rsidRPr="002D4224" w:rsidRDefault="006F4B64">
      <w:pPr>
        <w:spacing w:after="0" w:line="360" w:lineRule="auto"/>
      </w:pPr>
    </w:p>
    <w:p w14:paraId="44AD48A3" w14:textId="77777777" w:rsidR="006F4B64" w:rsidRPr="002D4224" w:rsidRDefault="00D76DD8">
      <w:pPr>
        <w:tabs>
          <w:tab w:val="left" w:pos="4962"/>
        </w:tabs>
        <w:spacing w:after="0" w:line="360" w:lineRule="auto"/>
      </w:pPr>
      <w:r w:rsidRPr="002D4224">
        <w:t xml:space="preserve">De tales circunstancias, se colige que los sujetos obligados únicamente están constreñidos a proporcionar </w:t>
      </w:r>
      <w:r w:rsidRPr="002D4224">
        <w:rPr>
          <w:b/>
        </w:rPr>
        <w:t>la documentación que obre en sus archivos</w:t>
      </w:r>
      <w:r w:rsidRPr="002D4224">
        <w:t>; por lo que, no están obligados a generar o elaborar documentos </w:t>
      </w:r>
      <w:r w:rsidRPr="002D4224">
        <w:rPr>
          <w:i/>
        </w:rPr>
        <w:t>ad hoc, </w:t>
      </w:r>
      <w:r w:rsidRPr="002D4224">
        <w:t xml:space="preserve">como es el caso de proporcionar respuesta a un cuestionamiento. </w:t>
      </w:r>
    </w:p>
    <w:p w14:paraId="46C87593" w14:textId="77777777" w:rsidR="006F4B64" w:rsidRPr="002D4224" w:rsidRDefault="006F4B64">
      <w:pPr>
        <w:tabs>
          <w:tab w:val="left" w:pos="4962"/>
        </w:tabs>
        <w:spacing w:after="0" w:line="360" w:lineRule="auto"/>
      </w:pPr>
    </w:p>
    <w:p w14:paraId="13535282" w14:textId="77777777" w:rsidR="006F4B64" w:rsidRPr="002D4224" w:rsidRDefault="00D76DD8">
      <w:pPr>
        <w:tabs>
          <w:tab w:val="left" w:pos="4962"/>
        </w:tabs>
        <w:spacing w:after="0" w:line="360" w:lineRule="auto"/>
      </w:pPr>
      <w:r w:rsidRPr="002D4224">
        <w:lastRenderedPageBreak/>
        <w:t xml:space="preserve">Además, resulta posible atraer al estudio el criterio orientador 03/17 del entonces llamado Instituto Nacional de Transparencia, Acceso a la Información y Protección de Datos Personales: </w:t>
      </w:r>
      <w:r w:rsidRPr="002D4224">
        <w:rPr>
          <w:b/>
          <w:i/>
        </w:rPr>
        <w:t>No existe obligación de elaborar documentos ad hoc para atender las solicitudes de acceso a la información</w:t>
      </w:r>
      <w:r w:rsidRPr="002D4224">
        <w:rPr>
          <w:i/>
        </w:rPr>
        <w:t xml:space="preserve">.; </w:t>
      </w:r>
      <w:r w:rsidRPr="002D4224">
        <w:t>en el que se precisa que</w:t>
      </w:r>
      <w:r w:rsidRPr="002D4224">
        <w:rPr>
          <w:b/>
        </w:rPr>
        <w:t xml:space="preserve"> </w:t>
      </w:r>
      <w:r w:rsidRPr="002D4224">
        <w:t>los Sujetos Obligados deben dar acceso a los documentos que se encuentren en sus archivos y que estén obligados a documentar conforme a sus facultades o funciones, de acuerdo a las características físicas de la información o del lugar donde se encuentre; de forma tal, que los Sujetos Obligados garantizan el derecho de acceso a la información al proporcionar la información que obre en sus archivos, sin que ello implique que deban generar documentos nuevos. Por ello, los Sujetos Obligados únicamente se encuentran obligados a proporcionar los documentos que den cuenta de la información solicitada, como obren en sus archivos, sin tener que elaborarlos a las necesidades de la parte Recurrente.</w:t>
      </w:r>
    </w:p>
    <w:p w14:paraId="7E91115A" w14:textId="77777777" w:rsidR="006F4B64" w:rsidRPr="002D4224" w:rsidRDefault="006F4B64">
      <w:pPr>
        <w:tabs>
          <w:tab w:val="left" w:pos="4962"/>
        </w:tabs>
        <w:spacing w:after="0" w:line="360" w:lineRule="auto"/>
        <w:rPr>
          <w:color w:val="000000"/>
        </w:rPr>
      </w:pPr>
    </w:p>
    <w:p w14:paraId="1E539884" w14:textId="77777777" w:rsidR="006F4B64" w:rsidRPr="002D4224" w:rsidRDefault="00D76DD8">
      <w:pPr>
        <w:tabs>
          <w:tab w:val="left" w:pos="4962"/>
        </w:tabs>
        <w:spacing w:after="0" w:line="360" w:lineRule="auto"/>
        <w:rPr>
          <w:color w:val="000000"/>
        </w:rPr>
      </w:pPr>
      <w:r w:rsidRPr="002D4224">
        <w:rPr>
          <w:color w:val="000000"/>
        </w:rPr>
        <w:t xml:space="preserve">En ese tenor, por lo que respecta a la definición del derecho de petición se tiene que el Doctor Ignacio Burgoa Orihuela refiere que </w:t>
      </w:r>
      <w:r w:rsidRPr="002D4224">
        <w:rPr>
          <w:i/>
          <w:color w:val="000000"/>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080ECC4F" w14:textId="77777777" w:rsidR="006F4B64" w:rsidRPr="002D4224" w:rsidRDefault="006F4B64">
      <w:pPr>
        <w:tabs>
          <w:tab w:val="left" w:pos="4962"/>
        </w:tabs>
        <w:spacing w:after="0" w:line="360" w:lineRule="auto"/>
        <w:rPr>
          <w:color w:val="000000"/>
        </w:rPr>
      </w:pPr>
    </w:p>
    <w:p w14:paraId="3AC0A9B2" w14:textId="77777777" w:rsidR="006F4B64" w:rsidRPr="002D4224" w:rsidRDefault="00D76DD8">
      <w:pPr>
        <w:tabs>
          <w:tab w:val="left" w:pos="4962"/>
        </w:tabs>
        <w:spacing w:after="0" w:line="360" w:lineRule="auto"/>
        <w:rPr>
          <w:color w:val="000000"/>
        </w:rPr>
      </w:pPr>
      <w:r w:rsidRPr="002D4224">
        <w:rPr>
          <w:color w:val="000000"/>
        </w:rPr>
        <w:t xml:space="preserve">Por otra parte, el derecho de acceso a la información </w:t>
      </w:r>
      <w:proofErr w:type="gramStart"/>
      <w:r w:rsidRPr="002D4224">
        <w:rPr>
          <w:color w:val="000000"/>
        </w:rPr>
        <w:t>pública,</w:t>
      </w:r>
      <w:proofErr w:type="gramEnd"/>
      <w:r w:rsidRPr="002D4224">
        <w:rPr>
          <w:color w:val="000000"/>
        </w:rPr>
        <w:t xml:space="preserve"> es aquel, en el que, las personas pueden solicitar información referente a aquellos documentos que, en ejercicio de sus atribuciones, reflejen la toma de decisiones de los Sujetos Obligados o de aquellos que por cualquier motivo reciban, administren o apliquen recursos públicos, y está previsto en el artículo 6° de la Constitución Política de los Estados Unidos Mexicanos. </w:t>
      </w:r>
    </w:p>
    <w:p w14:paraId="0C3AF7F2" w14:textId="77777777" w:rsidR="006F4B64" w:rsidRPr="002D4224" w:rsidRDefault="006F4B64">
      <w:pPr>
        <w:spacing w:after="0" w:line="360" w:lineRule="auto"/>
      </w:pPr>
    </w:p>
    <w:p w14:paraId="4D46B011" w14:textId="77777777" w:rsidR="006F4B64" w:rsidRPr="002D4224" w:rsidRDefault="00D76DD8">
      <w:pPr>
        <w:tabs>
          <w:tab w:val="left" w:pos="4962"/>
        </w:tabs>
        <w:spacing w:after="0" w:line="360" w:lineRule="auto"/>
        <w:rPr>
          <w:b/>
          <w:color w:val="000000"/>
        </w:rPr>
      </w:pPr>
      <w:r w:rsidRPr="002D4224">
        <w:rPr>
          <w:color w:val="000000"/>
        </w:rPr>
        <w:t xml:space="preserve">En consecuencia, los cuestionamientos en los que se requiere cálculos sobre ciertos conceptos o prestaciones no pertenecen al derecho de acceso a la información sino al derecho de petición, ya </w:t>
      </w:r>
      <w:r w:rsidRPr="002D4224">
        <w:rPr>
          <w:color w:val="000000"/>
        </w:rPr>
        <w:lastRenderedPageBreak/>
        <w:t>que de derivan cuestionamientos, cuya única respuesta implica que se procese la información, se realicen cálculos y se emita un pronunciamiento específico</w:t>
      </w:r>
      <w:r w:rsidRPr="002D4224">
        <w:rPr>
          <w:b/>
          <w:color w:val="000000"/>
        </w:rPr>
        <w:t>; por lo que, corresponde a una consulta.</w:t>
      </w:r>
    </w:p>
    <w:p w14:paraId="2BDD5C03" w14:textId="77777777" w:rsidR="006F4B64" w:rsidRPr="002D4224" w:rsidRDefault="006F4B64">
      <w:pPr>
        <w:tabs>
          <w:tab w:val="left" w:pos="4962"/>
        </w:tabs>
        <w:spacing w:after="0" w:line="360" w:lineRule="auto"/>
        <w:rPr>
          <w:b/>
          <w:color w:val="000000"/>
        </w:rPr>
      </w:pPr>
    </w:p>
    <w:p w14:paraId="661F9EC7" w14:textId="77777777" w:rsidR="006F4B64" w:rsidRPr="002D4224" w:rsidRDefault="00D76DD8">
      <w:pPr>
        <w:tabs>
          <w:tab w:val="left" w:pos="4962"/>
        </w:tabs>
        <w:spacing w:after="0" w:line="360" w:lineRule="auto"/>
        <w:rPr>
          <w:b/>
          <w:color w:val="000000"/>
        </w:rPr>
      </w:pPr>
      <w:r w:rsidRPr="002D4224">
        <w:rPr>
          <w:b/>
          <w:color w:val="000000"/>
        </w:rPr>
        <w:t>Así pues, de la solicitud de información subsiste únicamente lo siguiente:</w:t>
      </w:r>
    </w:p>
    <w:p w14:paraId="661B2144" w14:textId="77777777" w:rsidR="006F4B64" w:rsidRPr="002D4224" w:rsidRDefault="006F4B64">
      <w:pPr>
        <w:tabs>
          <w:tab w:val="left" w:pos="4962"/>
        </w:tabs>
        <w:spacing w:after="0" w:line="360" w:lineRule="auto"/>
        <w:rPr>
          <w:b/>
          <w:color w:val="000000"/>
        </w:rPr>
      </w:pPr>
    </w:p>
    <w:p w14:paraId="39D819E6" w14:textId="77777777" w:rsidR="006F4B64" w:rsidRPr="002D4224" w:rsidRDefault="00D76DD8">
      <w:pPr>
        <w:numPr>
          <w:ilvl w:val="0"/>
          <w:numId w:val="3"/>
        </w:numPr>
        <w:pBdr>
          <w:top w:val="nil"/>
          <w:left w:val="nil"/>
          <w:bottom w:val="nil"/>
          <w:right w:val="nil"/>
          <w:between w:val="nil"/>
        </w:pBdr>
        <w:tabs>
          <w:tab w:val="left" w:pos="4962"/>
        </w:tabs>
        <w:spacing w:after="0" w:line="360" w:lineRule="auto"/>
        <w:rPr>
          <w:color w:val="000000"/>
        </w:rPr>
      </w:pPr>
      <w:r w:rsidRPr="002D4224">
        <w:rPr>
          <w:color w:val="000000"/>
        </w:rPr>
        <w:t>La fórmula lógico – aritmética y fundamento legal para determinar el pago de las siguientes prestaciones:</w:t>
      </w:r>
    </w:p>
    <w:p w14:paraId="3266717C" w14:textId="77777777" w:rsidR="006F4B64" w:rsidRPr="002D4224" w:rsidRDefault="00D76DD8" w:rsidP="00CB613A">
      <w:pPr>
        <w:numPr>
          <w:ilvl w:val="0"/>
          <w:numId w:val="2"/>
        </w:numPr>
        <w:pBdr>
          <w:top w:val="nil"/>
          <w:left w:val="nil"/>
          <w:bottom w:val="nil"/>
          <w:right w:val="nil"/>
          <w:between w:val="nil"/>
        </w:pBdr>
        <w:tabs>
          <w:tab w:val="left" w:pos="4962"/>
        </w:tabs>
        <w:spacing w:after="0" w:line="360" w:lineRule="auto"/>
        <w:ind w:left="1276"/>
        <w:rPr>
          <w:color w:val="000000"/>
        </w:rPr>
      </w:pPr>
      <w:r w:rsidRPr="002D4224">
        <w:rPr>
          <w:color w:val="000000"/>
        </w:rPr>
        <w:t>La prima por antigüedad</w:t>
      </w:r>
    </w:p>
    <w:p w14:paraId="1F1C6F3A" w14:textId="77777777" w:rsidR="006F4B64" w:rsidRPr="002D4224" w:rsidRDefault="00D76DD8" w:rsidP="00CB613A">
      <w:pPr>
        <w:numPr>
          <w:ilvl w:val="0"/>
          <w:numId w:val="2"/>
        </w:numPr>
        <w:pBdr>
          <w:top w:val="nil"/>
          <w:left w:val="nil"/>
          <w:bottom w:val="nil"/>
          <w:right w:val="nil"/>
          <w:between w:val="nil"/>
        </w:pBdr>
        <w:tabs>
          <w:tab w:val="left" w:pos="4962"/>
        </w:tabs>
        <w:spacing w:after="0" w:line="360" w:lineRule="auto"/>
        <w:ind w:left="1276"/>
        <w:rPr>
          <w:color w:val="000000"/>
        </w:rPr>
      </w:pPr>
      <w:r w:rsidRPr="002D4224">
        <w:rPr>
          <w:color w:val="000000"/>
        </w:rPr>
        <w:t xml:space="preserve">El pago de aguinaldo por concepto de finiquito </w:t>
      </w:r>
    </w:p>
    <w:p w14:paraId="20E3BAFF" w14:textId="5EE50356" w:rsidR="006F4B64" w:rsidRPr="002D4224" w:rsidRDefault="00CB613A" w:rsidP="00CB613A">
      <w:pPr>
        <w:numPr>
          <w:ilvl w:val="0"/>
          <w:numId w:val="2"/>
        </w:numPr>
        <w:pBdr>
          <w:top w:val="nil"/>
          <w:left w:val="nil"/>
          <w:bottom w:val="nil"/>
          <w:right w:val="nil"/>
          <w:between w:val="nil"/>
        </w:pBdr>
        <w:tabs>
          <w:tab w:val="left" w:pos="4962"/>
        </w:tabs>
        <w:spacing w:after="0" w:line="360" w:lineRule="auto"/>
        <w:ind w:left="1276"/>
        <w:rPr>
          <w:color w:val="000000"/>
        </w:rPr>
      </w:pPr>
      <w:r w:rsidRPr="002D4224">
        <w:rPr>
          <w:color w:val="000000"/>
        </w:rPr>
        <w:t xml:space="preserve">El pago prima vacacional por concepto de finiquito. </w:t>
      </w:r>
    </w:p>
    <w:p w14:paraId="5B898195" w14:textId="77777777" w:rsidR="006F4B64" w:rsidRPr="002D4224" w:rsidRDefault="00D76DD8" w:rsidP="00CB613A">
      <w:pPr>
        <w:numPr>
          <w:ilvl w:val="0"/>
          <w:numId w:val="2"/>
        </w:numPr>
        <w:pBdr>
          <w:top w:val="nil"/>
          <w:left w:val="nil"/>
          <w:bottom w:val="nil"/>
          <w:right w:val="nil"/>
          <w:between w:val="nil"/>
        </w:pBdr>
        <w:tabs>
          <w:tab w:val="left" w:pos="4962"/>
        </w:tabs>
        <w:spacing w:after="0" w:line="360" w:lineRule="auto"/>
        <w:ind w:left="1276"/>
        <w:rPr>
          <w:color w:val="000000"/>
        </w:rPr>
      </w:pPr>
      <w:r w:rsidRPr="002D4224">
        <w:rPr>
          <w:color w:val="000000"/>
        </w:rPr>
        <w:t xml:space="preserve">El pago por prima de permanencia por concepto de finiquito </w:t>
      </w:r>
    </w:p>
    <w:p w14:paraId="453D0CC4" w14:textId="77777777" w:rsidR="006F4B64" w:rsidRPr="002D4224" w:rsidRDefault="00D76DD8" w:rsidP="00CB613A">
      <w:pPr>
        <w:numPr>
          <w:ilvl w:val="0"/>
          <w:numId w:val="2"/>
        </w:numPr>
        <w:pBdr>
          <w:top w:val="nil"/>
          <w:left w:val="nil"/>
          <w:bottom w:val="nil"/>
          <w:right w:val="nil"/>
          <w:between w:val="nil"/>
        </w:pBdr>
        <w:tabs>
          <w:tab w:val="left" w:pos="4962"/>
        </w:tabs>
        <w:spacing w:after="0" w:line="360" w:lineRule="auto"/>
        <w:ind w:left="1276"/>
        <w:rPr>
          <w:color w:val="000000"/>
        </w:rPr>
      </w:pPr>
      <w:r w:rsidRPr="002D4224">
        <w:rPr>
          <w:color w:val="000000"/>
        </w:rPr>
        <w:t xml:space="preserve">El pago por concepto de indemnización. </w:t>
      </w:r>
    </w:p>
    <w:p w14:paraId="521F9AA9" w14:textId="77777777" w:rsidR="006F4B64" w:rsidRPr="002D4224" w:rsidRDefault="006F4B64">
      <w:pPr>
        <w:pBdr>
          <w:top w:val="nil"/>
          <w:left w:val="nil"/>
          <w:bottom w:val="nil"/>
          <w:right w:val="nil"/>
          <w:between w:val="nil"/>
        </w:pBdr>
        <w:tabs>
          <w:tab w:val="left" w:pos="4962"/>
        </w:tabs>
        <w:spacing w:after="0" w:line="360" w:lineRule="auto"/>
        <w:ind w:left="720"/>
        <w:rPr>
          <w:color w:val="000000"/>
        </w:rPr>
      </w:pPr>
    </w:p>
    <w:p w14:paraId="217D2EF8" w14:textId="77777777" w:rsidR="006F4B64" w:rsidRPr="002D4224" w:rsidRDefault="00D76DD8">
      <w:pPr>
        <w:numPr>
          <w:ilvl w:val="0"/>
          <w:numId w:val="3"/>
        </w:numPr>
        <w:pBdr>
          <w:top w:val="nil"/>
          <w:left w:val="nil"/>
          <w:bottom w:val="nil"/>
          <w:right w:val="nil"/>
          <w:between w:val="nil"/>
        </w:pBdr>
        <w:tabs>
          <w:tab w:val="left" w:pos="4962"/>
        </w:tabs>
        <w:spacing w:after="0" w:line="360" w:lineRule="auto"/>
        <w:rPr>
          <w:color w:val="000000"/>
        </w:rPr>
      </w:pPr>
      <w:r w:rsidRPr="002D4224">
        <w:rPr>
          <w:color w:val="000000"/>
        </w:rPr>
        <w:t xml:space="preserve">Prestaciones, incluyendo las extraordinarias por concepto de finiquito a que tiene derecho un servidor público con cargo </w:t>
      </w:r>
      <w:r w:rsidRPr="002D4224">
        <w:t>de suboficial</w:t>
      </w:r>
      <w:r w:rsidRPr="002D4224">
        <w:rPr>
          <w:color w:val="000000"/>
        </w:rPr>
        <w:t xml:space="preserve"> que pertenece a la Dirección de Seguridad y </w:t>
      </w:r>
      <w:r w:rsidRPr="002D4224">
        <w:t>Tránsito</w:t>
      </w:r>
      <w:r w:rsidRPr="002D4224">
        <w:rPr>
          <w:color w:val="000000"/>
        </w:rPr>
        <w:t xml:space="preserve">, que tiene 33 años de servicio, distintas a las señaladas anteriormente. </w:t>
      </w:r>
    </w:p>
    <w:p w14:paraId="5A7FB74F" w14:textId="77777777" w:rsidR="006F4B64" w:rsidRPr="002D4224" w:rsidRDefault="006F4B64">
      <w:pPr>
        <w:tabs>
          <w:tab w:val="left" w:pos="4962"/>
        </w:tabs>
        <w:spacing w:after="0" w:line="360" w:lineRule="auto"/>
        <w:rPr>
          <w:color w:val="000000"/>
        </w:rPr>
      </w:pPr>
    </w:p>
    <w:p w14:paraId="70A83C05" w14:textId="77777777" w:rsidR="006F4B64" w:rsidRPr="002D4224" w:rsidRDefault="00D76DD8">
      <w:pPr>
        <w:spacing w:after="0" w:line="360" w:lineRule="auto"/>
      </w:pPr>
      <w:r w:rsidRPr="002D4224">
        <w:t xml:space="preserve">En respuesta, el Sujeto Obligado a través de la Dirección General de Administración señaló que la Dirección de Recursos Humanos informó que después de realizar una búsqueda exhaustiva y razonable en sus archivos advirtió que la información solicitada, no constituye un Derecho de Acceso a la Información Pública, por lo que determinó que no son atendibles mediante una solicitud de acceso a la información, además indicó que se trata de manifestaciones subjetivas e interrogantes, que se relacionan con el ejercicio de un derecho de petición. </w:t>
      </w:r>
    </w:p>
    <w:p w14:paraId="0113825B" w14:textId="77777777" w:rsidR="006F4B64" w:rsidRPr="002D4224" w:rsidRDefault="006F4B64">
      <w:pPr>
        <w:tabs>
          <w:tab w:val="left" w:pos="4962"/>
        </w:tabs>
        <w:spacing w:after="0" w:line="360" w:lineRule="auto"/>
      </w:pPr>
    </w:p>
    <w:p w14:paraId="647C9E52" w14:textId="77777777" w:rsidR="006F4B64" w:rsidRPr="002D4224" w:rsidRDefault="00D76DD8">
      <w:pPr>
        <w:tabs>
          <w:tab w:val="left" w:pos="4962"/>
        </w:tabs>
        <w:spacing w:after="0" w:line="360" w:lineRule="auto"/>
      </w:pPr>
      <w:r w:rsidRPr="002D4224">
        <w:lastRenderedPageBreak/>
        <w:t xml:space="preserve">Derivado de la respuesta, la parte Recurrente se inconformó por la respuesta y señaló que no le dieron la información requerida de manera fundada y motivada, además insistió que se requiere una cuantificación y que el Sujeto Obligado ya cuenta con la información.  Al respecto, es preciso señalar que, en una suplencia de la deficiencia de la queja, se advierte un argumento de procedencia, dado que no se le entregó la información solicitada y que persiste una vez delimitada la solicitud. Lo anterior de conformidad con lo dispuesto en el artículo 181 cuarto párrafo, de la Ley de Transparencia y Acceso a la Información Pública del Estado de México y Municipios, lo cual actualiza el supuesto previsto en el artículo 179, fracción I, de la Ley de Transparencia y Acceso a la Información Pública del Estado de México y Municipios. </w:t>
      </w:r>
    </w:p>
    <w:p w14:paraId="1BD291A6" w14:textId="77777777" w:rsidR="006F4B64" w:rsidRPr="002D4224" w:rsidRDefault="006F4B64">
      <w:pPr>
        <w:tabs>
          <w:tab w:val="left" w:pos="4962"/>
        </w:tabs>
        <w:spacing w:after="0" w:line="360" w:lineRule="auto"/>
      </w:pPr>
    </w:p>
    <w:p w14:paraId="782A54C8" w14:textId="77777777" w:rsidR="006F4B64" w:rsidRPr="002D4224" w:rsidRDefault="00D76DD8">
      <w:pPr>
        <w:tabs>
          <w:tab w:val="left" w:pos="4962"/>
        </w:tabs>
        <w:spacing w:after="0" w:line="360" w:lineRule="auto"/>
      </w:pPr>
      <w:r w:rsidRPr="002D4224">
        <w:t xml:space="preserve">Durante la sustanciación del Recurso de Revisión, el Sujeto Obligado, ratificó su respuesta inicial y la parte Recurrente no emitió pronunciamiento alguno. </w:t>
      </w:r>
    </w:p>
    <w:p w14:paraId="0B0387CD" w14:textId="77777777" w:rsidR="006F4B64" w:rsidRPr="002D4224" w:rsidRDefault="006F4B64">
      <w:pPr>
        <w:tabs>
          <w:tab w:val="left" w:pos="4962"/>
        </w:tabs>
        <w:spacing w:after="0" w:line="360" w:lineRule="auto"/>
      </w:pPr>
    </w:p>
    <w:p w14:paraId="217D82CA" w14:textId="77777777" w:rsidR="006F4B64" w:rsidRPr="002D4224" w:rsidRDefault="00D76DD8">
      <w:pPr>
        <w:tabs>
          <w:tab w:val="left" w:pos="4962"/>
        </w:tabs>
        <w:spacing w:after="0" w:line="360" w:lineRule="auto"/>
      </w:pPr>
      <w:r w:rsidRPr="002D4224">
        <w:t xml:space="preserve">Así pues, de las constancias que integran el expediente, se advierte que en el asunto que nos ocupa se actualiza la causal de procedencia señalada en el artículo 179, fracciones I, de la Ley de la materia; por la negativa a la entrega de la información </w:t>
      </w:r>
    </w:p>
    <w:p w14:paraId="670F4583" w14:textId="77777777" w:rsidR="006F4B64" w:rsidRPr="002D4224" w:rsidRDefault="006F4B64">
      <w:pPr>
        <w:tabs>
          <w:tab w:val="left" w:pos="4962"/>
        </w:tabs>
        <w:spacing w:after="0" w:line="360" w:lineRule="auto"/>
      </w:pPr>
    </w:p>
    <w:p w14:paraId="4FEAB364" w14:textId="77777777" w:rsidR="006F4B64" w:rsidRPr="002D4224" w:rsidRDefault="00D76DD8">
      <w:pPr>
        <w:tabs>
          <w:tab w:val="left" w:pos="4962"/>
        </w:tabs>
        <w:spacing w:after="0" w:line="360" w:lineRule="auto"/>
      </w:pPr>
      <w:r w:rsidRPr="002D4224">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9F0E661" w14:textId="77777777" w:rsidR="006F4B64" w:rsidRPr="002D4224" w:rsidRDefault="006F4B64">
      <w:pPr>
        <w:spacing w:after="0" w:line="360" w:lineRule="auto"/>
      </w:pPr>
    </w:p>
    <w:p w14:paraId="29C31C63" w14:textId="77777777" w:rsidR="006F4B64" w:rsidRPr="002D4224" w:rsidRDefault="00D76DD8">
      <w:pPr>
        <w:pStyle w:val="Ttulo2"/>
        <w:spacing w:before="0" w:after="0"/>
      </w:pPr>
      <w:bookmarkStart w:id="12" w:name="_Toc207896934"/>
      <w:r w:rsidRPr="002D4224">
        <w:t>CUARTO. Marco normativo aplicable en materia de transparencia y acceso a la información pública</w:t>
      </w:r>
      <w:bookmarkEnd w:id="12"/>
    </w:p>
    <w:p w14:paraId="3D24D343" w14:textId="77777777" w:rsidR="006F4B64" w:rsidRPr="002D4224" w:rsidRDefault="006F4B64">
      <w:pPr>
        <w:spacing w:after="0" w:line="360" w:lineRule="auto"/>
      </w:pPr>
    </w:p>
    <w:p w14:paraId="48C98E40" w14:textId="77777777" w:rsidR="006F4B64" w:rsidRPr="002D4224" w:rsidRDefault="00D76DD8">
      <w:pPr>
        <w:spacing w:after="0" w:line="360" w:lineRule="auto"/>
      </w:pPr>
      <w:r w:rsidRPr="002D4224">
        <w:lastRenderedPageBreak/>
        <w:t xml:space="preserve">El artículo 6°, Apartado A), fracción I, de la Constitución Política de los Estados Unidos Mexicanos, establece que toda la información en posesión de cualquier </w:t>
      </w:r>
      <w:proofErr w:type="gramStart"/>
      <w:r w:rsidRPr="002D4224">
        <w:t>autoridad,</w:t>
      </w:r>
      <w:proofErr w:type="gramEnd"/>
      <w:r w:rsidRPr="002D4224">
        <w:t xml:space="preserve"> es pública y sólo podrá ser reservada temporalmente por razones de interés público.</w:t>
      </w:r>
    </w:p>
    <w:p w14:paraId="77631014" w14:textId="77777777" w:rsidR="006F4B64" w:rsidRPr="002D4224" w:rsidRDefault="006F4B64">
      <w:pPr>
        <w:spacing w:after="0" w:line="360" w:lineRule="auto"/>
      </w:pPr>
    </w:p>
    <w:p w14:paraId="2E6CBF82" w14:textId="77777777" w:rsidR="006F4B64" w:rsidRPr="002D4224" w:rsidRDefault="00D76DD8">
      <w:pPr>
        <w:spacing w:after="0" w:line="360" w:lineRule="auto"/>
      </w:pPr>
      <w:r w:rsidRPr="002D4224">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CFBBBF7" w14:textId="77777777" w:rsidR="006F4B64" w:rsidRPr="002D4224" w:rsidRDefault="006F4B64">
      <w:pPr>
        <w:spacing w:after="0" w:line="360" w:lineRule="auto"/>
      </w:pPr>
    </w:p>
    <w:p w14:paraId="0066AF20" w14:textId="77777777" w:rsidR="006F4B64" w:rsidRPr="002D4224" w:rsidRDefault="00D76DD8">
      <w:pPr>
        <w:spacing w:after="0" w:line="360" w:lineRule="auto"/>
      </w:pPr>
      <w:r w:rsidRPr="002D4224">
        <w:t>Por su parte, la Ley de Transparencia y Acceso a la Información Pública del Estado de México y Municipios (Reglamentaria del artículo 5° de la Constitución Local), establece lo siguiente:</w:t>
      </w:r>
    </w:p>
    <w:p w14:paraId="7E592188" w14:textId="77777777" w:rsidR="006F4B64" w:rsidRPr="002D4224" w:rsidRDefault="006F4B64">
      <w:pPr>
        <w:spacing w:after="0" w:line="360" w:lineRule="auto"/>
      </w:pPr>
    </w:p>
    <w:p w14:paraId="3C68667A" w14:textId="77777777" w:rsidR="006F4B64" w:rsidRPr="002D4224" w:rsidRDefault="00D76DD8">
      <w:pPr>
        <w:spacing w:after="0" w:line="360" w:lineRule="auto"/>
      </w:pPr>
      <w:r w:rsidRPr="002D4224">
        <w:t>El artículo 12 dice que, quienes generen, recopilen, administren, manejen, procesen, archiven o conserven información pública serán responsables de la misma.</w:t>
      </w:r>
    </w:p>
    <w:p w14:paraId="0C303927" w14:textId="77777777" w:rsidR="006F4B64" w:rsidRPr="002D4224" w:rsidRDefault="006F4B64">
      <w:pPr>
        <w:spacing w:after="0" w:line="360" w:lineRule="auto"/>
      </w:pPr>
    </w:p>
    <w:p w14:paraId="310D570C" w14:textId="77777777" w:rsidR="006F4B64" w:rsidRPr="002D4224" w:rsidRDefault="00D76DD8">
      <w:pPr>
        <w:spacing w:after="0" w:line="360" w:lineRule="auto"/>
      </w:pPr>
      <w:r w:rsidRPr="002D4224">
        <w:t>El artículo 18, que, los Sujetos Obligados deberán documentar todo acto que derive del ejercicio de sus facultades, competencias o funciones, considerando desde su origen la eventual publicidad y reutilización de la información que generen.</w:t>
      </w:r>
    </w:p>
    <w:p w14:paraId="67D144F1" w14:textId="77777777" w:rsidR="006F4B64" w:rsidRPr="002D4224" w:rsidRDefault="006F4B64">
      <w:pPr>
        <w:spacing w:after="0" w:line="360" w:lineRule="auto"/>
      </w:pPr>
    </w:p>
    <w:p w14:paraId="624ECCBB" w14:textId="77777777" w:rsidR="006F4B64" w:rsidRPr="002D4224" w:rsidRDefault="00D76DD8">
      <w:pPr>
        <w:spacing w:after="0" w:line="360" w:lineRule="auto"/>
      </w:pPr>
      <w:r w:rsidRPr="002D4224">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4111374" w14:textId="77777777" w:rsidR="006F4B64" w:rsidRPr="002D4224" w:rsidRDefault="006F4B64">
      <w:pPr>
        <w:pStyle w:val="Ttulo2"/>
        <w:spacing w:before="0" w:after="0"/>
        <w:rPr>
          <w:smallCaps/>
        </w:rPr>
      </w:pPr>
    </w:p>
    <w:p w14:paraId="1E2403BD" w14:textId="77777777" w:rsidR="006F4B64" w:rsidRPr="002D4224" w:rsidRDefault="00D76DD8">
      <w:pPr>
        <w:pStyle w:val="Ttulo2"/>
        <w:spacing w:before="0" w:after="0"/>
      </w:pPr>
      <w:bookmarkStart w:id="13" w:name="_Toc207896935"/>
      <w:r w:rsidRPr="002D4224">
        <w:rPr>
          <w:smallCaps/>
        </w:rPr>
        <w:t>QUINTO.</w:t>
      </w:r>
      <w:r w:rsidRPr="002D4224">
        <w:t xml:space="preserve"> Estudio de Fondo</w:t>
      </w:r>
      <w:bookmarkEnd w:id="13"/>
    </w:p>
    <w:p w14:paraId="66B01EC8" w14:textId="77777777" w:rsidR="006F4B64" w:rsidRPr="002D4224" w:rsidRDefault="006F4B64">
      <w:pPr>
        <w:spacing w:after="0" w:line="360" w:lineRule="auto"/>
      </w:pPr>
    </w:p>
    <w:p w14:paraId="0D99D68B" w14:textId="77777777" w:rsidR="006F4B64" w:rsidRPr="002D4224" w:rsidRDefault="00D76DD8">
      <w:pPr>
        <w:spacing w:after="0" w:line="360" w:lineRule="auto"/>
      </w:pPr>
      <w:r w:rsidRPr="002D4224">
        <w:lastRenderedPageBreak/>
        <w:t xml:space="preserve">Una vez expuesto lo anterior, es menester contextualizar la solicitud de información, la cual se relaciona con las fórmulas y fundamento legal para el cálculo del pago de prestaciones laborales por prima de antigüedad, aguinaldo, prima vacacional, prima de permanencia e indemnización o cualquier otra. </w:t>
      </w:r>
    </w:p>
    <w:p w14:paraId="61C85DF2" w14:textId="77777777" w:rsidR="006F4B64" w:rsidRPr="002D4224" w:rsidRDefault="006F4B64">
      <w:pPr>
        <w:spacing w:after="0" w:line="360" w:lineRule="auto"/>
      </w:pPr>
    </w:p>
    <w:p w14:paraId="5EC909BE" w14:textId="77777777" w:rsidR="006F4B64" w:rsidRPr="002D4224" w:rsidRDefault="00D76DD8">
      <w:pPr>
        <w:spacing w:after="0" w:line="360" w:lineRule="auto"/>
      </w:pPr>
      <w:r w:rsidRPr="002D4224">
        <w:t xml:space="preserve">Por cuanto hace a la </w:t>
      </w:r>
      <w:r w:rsidRPr="002D4224">
        <w:rPr>
          <w:b/>
        </w:rPr>
        <w:t>prima de antigüedad</w:t>
      </w:r>
      <w:r w:rsidRPr="002D4224">
        <w:t xml:space="preserve">, esta se encuentra prevista en el artículo 80 de la Ley del Trabajo de los servidores públicos del Estado y Municipios; en el que se prevé que al tratarse de servidores públicos que opten por separarse del servicio habiendo cumplido 15 años en el mismo, tendrán el derecho a la prestación, que consiste en el importe de 12 días de su sueldo base, por cada año de servicios prestados, además indica que cuando el sueldo base del servidor público exceda del doble del salario mínimo general del área geográfica que corresponda al lugar en donde presenta sus servicios, se considerará para efectos del pago de la prima antigüedad, hasta un máximo de dos salarios mínimos generales; aunado a ello, el artículo en mención precisa que esta prima se pagará en caso de muerte o rescisión laboral por causas no imputables al servidor público. </w:t>
      </w:r>
    </w:p>
    <w:p w14:paraId="6187AF63" w14:textId="77777777" w:rsidR="006F4B64" w:rsidRPr="002D4224" w:rsidRDefault="006F4B64">
      <w:pPr>
        <w:spacing w:after="0" w:line="360" w:lineRule="auto"/>
      </w:pPr>
    </w:p>
    <w:p w14:paraId="2D60625A" w14:textId="77777777" w:rsidR="006F4B64" w:rsidRPr="002D4224" w:rsidRDefault="00D76DD8">
      <w:pPr>
        <w:spacing w:after="0" w:line="360" w:lineRule="auto"/>
      </w:pPr>
      <w:r w:rsidRPr="002D4224">
        <w:t xml:space="preserve">Respecto al </w:t>
      </w:r>
      <w:r w:rsidRPr="002D4224">
        <w:rPr>
          <w:b/>
        </w:rPr>
        <w:t>aguinaldo anual</w:t>
      </w:r>
      <w:r w:rsidRPr="002D4224">
        <w:t xml:space="preserve">, el artículo 78 de la Ley del Trabajo de los servidores públicos del Estado y Municipios, precisa que los servidores públicos tendrán derecho a un aguinaldo anual, que equivale a 40 días de sueldo base, cuando menos, sin deducción alguna, y que estará comprendido en el presupuesto de egresos correspondiente, además  señalan que esta prestación se deberá pagar en dos entregas, la primera previa al primer periodo vacacional y la segunda a más tardar el 15 de diciembre, además de que, aquellas personas que laboren por un lapso menos a un año, tendrán derecho a que se les pague la parte proporcional del aguinaldo de acuerdo a los días efectivamente trabajados. </w:t>
      </w:r>
    </w:p>
    <w:p w14:paraId="191628F0" w14:textId="77777777" w:rsidR="00CB613A" w:rsidRPr="002D4224" w:rsidRDefault="00CB613A">
      <w:pPr>
        <w:spacing w:after="0" w:line="360" w:lineRule="auto"/>
      </w:pPr>
    </w:p>
    <w:p w14:paraId="65A9D40F" w14:textId="77777777" w:rsidR="006F4B64" w:rsidRPr="002D4224" w:rsidRDefault="00D76DD8">
      <w:pPr>
        <w:spacing w:after="0" w:line="360" w:lineRule="auto"/>
      </w:pPr>
      <w:r w:rsidRPr="002D4224">
        <w:t xml:space="preserve">Ahora bien, en relación a la </w:t>
      </w:r>
      <w:r w:rsidRPr="002D4224">
        <w:rPr>
          <w:b/>
        </w:rPr>
        <w:t>prima vacacional</w:t>
      </w:r>
      <w:r w:rsidRPr="002D4224">
        <w:t xml:space="preserve">, el artículo 81 de la Ley del Trabajo de los servidores públicos del Estado y Municipios señala que en los días de descanso obligatorio y en </w:t>
      </w:r>
      <w:r w:rsidRPr="002D4224">
        <w:lastRenderedPageBreak/>
        <w:t>las vacaciones a que se refieren los artículos 66 y 68 de la mencionada Ley, los servidores públicos recibirán sueldo íntegro, además que, aquellos que tengan derecho a disfrutar de los periodos vacaciones, recibirán una prima de un 25% como mínimo, sobre el sueldo base presupuestal que les corresponda durante los mismos.</w:t>
      </w:r>
    </w:p>
    <w:p w14:paraId="3F393A96" w14:textId="77777777" w:rsidR="006F4B64" w:rsidRPr="002D4224" w:rsidRDefault="006F4B64">
      <w:pPr>
        <w:spacing w:after="0" w:line="360" w:lineRule="auto"/>
      </w:pPr>
    </w:p>
    <w:p w14:paraId="11895EFE" w14:textId="77777777" w:rsidR="006F4B64" w:rsidRPr="002D4224" w:rsidRDefault="00D76DD8">
      <w:pPr>
        <w:spacing w:after="0" w:line="360" w:lineRule="auto"/>
      </w:pPr>
      <w:r w:rsidRPr="002D4224">
        <w:t xml:space="preserve">En el caso de la </w:t>
      </w:r>
      <w:r w:rsidRPr="002D4224">
        <w:rPr>
          <w:b/>
        </w:rPr>
        <w:t>prima por permanencia</w:t>
      </w:r>
      <w:r w:rsidRPr="002D4224">
        <w:t xml:space="preserve"> en el servicio, el artículo 79 de la Ley del Trabajo de los servidores públicos del Estado y Municipios, establece que, por cada cinco años de servicios efectivos prestados, los servidores públicos tienen derecho al pago mensual de dicha prima, cuya cantidad es la comprendida en el presupuesto de egresos correspondiente y es fijada por los titulares de las instituciones públicas en conjunto con el Sindicato cuando así se requiera.  </w:t>
      </w:r>
    </w:p>
    <w:p w14:paraId="5E0DE939" w14:textId="77777777" w:rsidR="006F4B64" w:rsidRPr="002D4224" w:rsidRDefault="006F4B64">
      <w:pPr>
        <w:spacing w:after="0" w:line="360" w:lineRule="auto"/>
      </w:pPr>
    </w:p>
    <w:p w14:paraId="56B91D53" w14:textId="77777777" w:rsidR="006F4B64" w:rsidRPr="002D4224" w:rsidRDefault="00D76DD8">
      <w:pPr>
        <w:spacing w:after="0" w:line="360" w:lineRule="auto"/>
      </w:pPr>
      <w:r w:rsidRPr="002D4224">
        <w:t xml:space="preserve">Por último, el artículo 95 de la Ley del Trabajo de los servidores públicos del Estado y Municipios, establece las causas de rescisión de la relación laboral, sin responsabilidad para el servidor público e indica que en dichos casos, la persona servidora pública puede separarse de su trabajo dentro de los treinta días siguientes a la fecha en que se dé cualquiera de las causas y tendrá derecho a que la institución pública lo </w:t>
      </w:r>
      <w:r w:rsidRPr="002D4224">
        <w:rPr>
          <w:b/>
        </w:rPr>
        <w:t>indemnice</w:t>
      </w:r>
      <w:r w:rsidRPr="002D4224">
        <w:t xml:space="preserve"> con el importe de tres meses de sueldo base, veinte días por cada año devengado y cubriéndose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 Asimismo, el penúltimo párrafo del artículo en mención, precisa que 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w:t>
      </w:r>
    </w:p>
    <w:p w14:paraId="16A6EF64" w14:textId="77777777" w:rsidR="006F4B64" w:rsidRPr="002D4224" w:rsidRDefault="006F4B64">
      <w:pPr>
        <w:spacing w:after="0" w:line="360" w:lineRule="auto"/>
      </w:pPr>
    </w:p>
    <w:p w14:paraId="1D3A9AEF" w14:textId="77777777" w:rsidR="006F4B64" w:rsidRPr="002D4224" w:rsidRDefault="00D76DD8">
      <w:pPr>
        <w:spacing w:after="0" w:line="360" w:lineRule="auto"/>
      </w:pPr>
      <w:r w:rsidRPr="002D4224">
        <w:lastRenderedPageBreak/>
        <w:t xml:space="preserve">Ahora bien, cabe mencionar que el artículo 98, fracción VI, de la Ley del Trabajo de los servidores públicos del Estado y Municipios, establece que parte de las obligaciones de las instituciones públicos, se encuentra la de cumplir oportunamente con los laudos que dicte el Tribunal o Sala y </w:t>
      </w:r>
      <w:r w:rsidRPr="002D4224">
        <w:rPr>
          <w:b/>
        </w:rPr>
        <w:t>pagar el monto de las indemnizaciones y demás prestaciones a que tenga derecho las personas servidoras públicas.</w:t>
      </w:r>
      <w:r w:rsidRPr="002D4224">
        <w:t xml:space="preserve"> Así pues, el Sujeto Obligado al tratarse de una institución pública, puede conocer de las prestaciones de los servidores públicos.  </w:t>
      </w:r>
    </w:p>
    <w:p w14:paraId="6C5680DD" w14:textId="77777777" w:rsidR="006F4B64" w:rsidRPr="002D4224" w:rsidRDefault="006F4B64">
      <w:pPr>
        <w:spacing w:after="0" w:line="360" w:lineRule="auto"/>
      </w:pPr>
    </w:p>
    <w:p w14:paraId="4D9A8769" w14:textId="77777777" w:rsidR="006F4B64" w:rsidRPr="002D4224" w:rsidRDefault="00D76DD8">
      <w:pPr>
        <w:spacing w:after="0" w:line="360" w:lineRule="auto"/>
      </w:pPr>
      <w:r w:rsidRPr="002D4224">
        <w:t xml:space="preserve">Por su parte, el Manual de Organización de la Dirección General de Administración del Sujeto Obligado señala que la </w:t>
      </w:r>
      <w:r w:rsidRPr="002D4224">
        <w:rPr>
          <w:b/>
        </w:rPr>
        <w:t>Dirección General de Administración</w:t>
      </w:r>
      <w:r w:rsidRPr="002D4224">
        <w:t xml:space="preserve"> se auxiliará de una Dirección de Recursos Humanos, que cuenta con diversas atribuciones, entre ellas, la de regular las relaciones laborales de las y los servidores públicos y el Ayuntamiento, verificando que se cumpla con lo establecido por las leyes federales, estatales y la reglamentación municipal en la materia; así como, analizar, supervisar y controlar que los movimientos del personal se realicen de conformidad con el tabulador de sueldos y salarios autorizado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w:t>
      </w:r>
    </w:p>
    <w:p w14:paraId="3C499AFD" w14:textId="77777777" w:rsidR="006F4B64" w:rsidRPr="002D4224" w:rsidRDefault="006F4B64">
      <w:pPr>
        <w:spacing w:after="0" w:line="360" w:lineRule="auto"/>
      </w:pPr>
    </w:p>
    <w:p w14:paraId="6ECBBF90" w14:textId="77777777" w:rsidR="006F4B64" w:rsidRPr="002D4224" w:rsidRDefault="00D76DD8">
      <w:pPr>
        <w:spacing w:after="0" w:line="360" w:lineRule="auto"/>
        <w:rPr>
          <w:b/>
        </w:rPr>
      </w:pPr>
      <w:r w:rsidRPr="002D4224">
        <w:t xml:space="preserve">Aunado a ello, de conformidad con el Manual de Organización de la Dirección General de Administración del Sujeto Obligado, también se precisa que la Dirección de Recursos Humanos contará con una </w:t>
      </w:r>
      <w:r w:rsidRPr="002D4224">
        <w:rPr>
          <w:b/>
        </w:rPr>
        <w:t xml:space="preserve">Departamento de Nóminas, </w:t>
      </w:r>
      <w:r w:rsidRPr="002D4224">
        <w:t xml:space="preserve">que tiene entre otras funciones la de recibir, determinar y tramitar las solicitudes de finiquito (ordinario, convenio, laudo, jubilaciones, apoyo de gastos funerarios) y gestionar el trámite ante el Departamento de Recursos Propios de la Tesorería Municipal para el pago correspondiente; y orientar a las y los servidores públicos de la administración pública municipal sobre sus percepciones y/o deducciones registradas en </w:t>
      </w:r>
      <w:r w:rsidRPr="002D4224">
        <w:lastRenderedPageBreak/>
        <w:t xml:space="preserve">su comprobante de pago; </w:t>
      </w:r>
      <w:r w:rsidRPr="002D4224">
        <w:rPr>
          <w:b/>
        </w:rPr>
        <w:t>por lo que dicha área resulta competente para conocer de la información solicitada.</w:t>
      </w:r>
    </w:p>
    <w:p w14:paraId="1980E77C" w14:textId="77777777" w:rsidR="006F4B64" w:rsidRPr="002D4224" w:rsidRDefault="006F4B64">
      <w:pPr>
        <w:spacing w:after="0" w:line="360" w:lineRule="auto"/>
        <w:rPr>
          <w:b/>
        </w:rPr>
      </w:pPr>
    </w:p>
    <w:p w14:paraId="013D3061" w14:textId="77777777" w:rsidR="006F4B64" w:rsidRPr="002D4224" w:rsidRDefault="00D76DD8">
      <w:pPr>
        <w:spacing w:after="0" w:line="360" w:lineRule="auto"/>
      </w:pPr>
      <w:r w:rsidRPr="002D4224">
        <w:t>Robustece lo anterior que el Manual de Procedimientos de la Dirección General de Administración prevé el procedimiento denominado “Elaboración o cálculo de finiquitos”, en el que se establecen pasos para la elaboración de finiquitos, en el que se prevé que el Departamento de Nóminas realiza el cálculo, a fin de ejemplificar lo anterior se inserta parte de interés:</w:t>
      </w:r>
    </w:p>
    <w:p w14:paraId="0C759AC0" w14:textId="77777777" w:rsidR="00CB613A" w:rsidRPr="002D4224" w:rsidRDefault="00CB613A">
      <w:pPr>
        <w:spacing w:after="0" w:line="360" w:lineRule="auto"/>
      </w:pPr>
    </w:p>
    <w:p w14:paraId="2375B2C9" w14:textId="77777777" w:rsidR="006F4B64" w:rsidRPr="002D4224" w:rsidRDefault="00D76DD8">
      <w:pPr>
        <w:spacing w:after="0" w:line="360" w:lineRule="auto"/>
        <w:jc w:val="center"/>
      </w:pPr>
      <w:r w:rsidRPr="002D4224">
        <w:rPr>
          <w:noProof/>
        </w:rPr>
        <w:drawing>
          <wp:inline distT="0" distB="0" distL="0" distR="0" wp14:anchorId="7F787CA3" wp14:editId="49D789AC">
            <wp:extent cx="4010025" cy="4705350"/>
            <wp:effectExtent l="0" t="0" r="9525" b="0"/>
            <wp:docPr id="3436989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010461" cy="4705862"/>
                    </a:xfrm>
                    <a:prstGeom prst="rect">
                      <a:avLst/>
                    </a:prstGeom>
                    <a:ln/>
                  </pic:spPr>
                </pic:pic>
              </a:graphicData>
            </a:graphic>
          </wp:inline>
        </w:drawing>
      </w:r>
    </w:p>
    <w:p w14:paraId="75588FAD" w14:textId="77777777" w:rsidR="006F4B64" w:rsidRPr="002D4224" w:rsidRDefault="006F4B64">
      <w:pPr>
        <w:spacing w:after="0" w:line="360" w:lineRule="auto"/>
      </w:pPr>
    </w:p>
    <w:p w14:paraId="721C2FC8" w14:textId="77777777" w:rsidR="006F4B64" w:rsidRPr="002D4224" w:rsidRDefault="00D76DD8">
      <w:pPr>
        <w:spacing w:after="0" w:line="360" w:lineRule="auto"/>
      </w:pPr>
      <w:r w:rsidRPr="002D4224">
        <w:lastRenderedPageBreak/>
        <w:t xml:space="preserve">Por su parte, el Manual de Organización de la Tesorería Municipal del Sujeto Obligado, prevé que la Tesorería Municipal, cuenta con una Dirección de Egresos encargada de coordinar y planear la integración, aplicación y distribución de recursos financieros con base en el presupuesto autorizado a cada dependencia, por tanto, conocen de los egresos emitidos por cualquier motivo, por lo que también puede conocer de la información requerida. </w:t>
      </w:r>
    </w:p>
    <w:p w14:paraId="3E620424" w14:textId="77777777" w:rsidR="006F4B64" w:rsidRPr="002D4224" w:rsidRDefault="006F4B64">
      <w:pPr>
        <w:spacing w:after="0" w:line="360" w:lineRule="auto"/>
      </w:pPr>
    </w:p>
    <w:p w14:paraId="5145B5EA" w14:textId="77777777" w:rsidR="006F4B64" w:rsidRPr="002D4224" w:rsidRDefault="00D76DD8">
      <w:pPr>
        <w:spacing w:after="0" w:line="360" w:lineRule="auto"/>
      </w:pPr>
      <w:r w:rsidRPr="002D4224">
        <w:rPr>
          <w:color w:val="000000"/>
        </w:rPr>
        <w:t xml:space="preserve">Así, se procede analizar la información proporcionada por el Sujeto Obligado, para lo cual, cabe señalar que este dio respuesta a en el que mencionó haber realizado la búsqueda de la información en la Dirección General de Administración y la Dirección de Recursos Humanos; por lo que, </w:t>
      </w:r>
      <w:r w:rsidRPr="002D4224">
        <w:t>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7A60ADDE" w14:textId="77777777" w:rsidR="006F4B64" w:rsidRPr="002D4224" w:rsidRDefault="006F4B64">
      <w:pPr>
        <w:spacing w:after="0" w:line="360" w:lineRule="auto"/>
      </w:pPr>
    </w:p>
    <w:p w14:paraId="69FB1203" w14:textId="77777777" w:rsidR="006F4B64" w:rsidRPr="002D4224" w:rsidRDefault="00D76DD8">
      <w:pPr>
        <w:spacing w:after="0" w:line="360" w:lineRule="auto"/>
        <w:ind w:right="-93"/>
        <w:rPr>
          <w:color w:val="000000"/>
        </w:rPr>
      </w:pPr>
      <w:r w:rsidRPr="002D4224">
        <w:t xml:space="preserve">Así y de lo plasmado en párrafos anteriores, </w:t>
      </w:r>
      <w:r w:rsidRPr="002D4224">
        <w:rPr>
          <w:color w:val="000000"/>
        </w:rPr>
        <w:t xml:space="preserve">se advierte que el Sujeto Obligado cumplió con el procedimiento de búsqueda referido, pues turnó la solicitud de información al área competente de conocer lo solicitado, es decir, la Dirección General de Administración, que cuenta con la Dirección de Recursos Humanos, quién a su vez, cuenta con el Departamento de Nóminas. </w:t>
      </w:r>
    </w:p>
    <w:p w14:paraId="5FEEDA60" w14:textId="77777777" w:rsidR="006F4B64" w:rsidRPr="002D4224" w:rsidRDefault="006F4B64">
      <w:pPr>
        <w:spacing w:after="0" w:line="360" w:lineRule="auto"/>
        <w:ind w:right="-93"/>
        <w:rPr>
          <w:color w:val="000000"/>
        </w:rPr>
      </w:pPr>
    </w:p>
    <w:p w14:paraId="693C742E" w14:textId="0606F9B4" w:rsidR="006F4B64" w:rsidRPr="002D4224" w:rsidRDefault="00D76DD8">
      <w:pPr>
        <w:spacing w:after="0" w:line="360" w:lineRule="auto"/>
        <w:ind w:right="-93"/>
      </w:pPr>
      <w:r w:rsidRPr="002D4224">
        <w:rPr>
          <w:color w:val="000000"/>
        </w:rPr>
        <w:t xml:space="preserve">En este contexto normativo, cabe recordar que la parte Solicitante requiere la entrega del fundamento legal y </w:t>
      </w:r>
      <w:r w:rsidRPr="002D4224">
        <w:t>fórmula</w:t>
      </w:r>
      <w:r w:rsidRPr="002D4224">
        <w:rPr>
          <w:color w:val="000000"/>
        </w:rPr>
        <w:t xml:space="preserve"> lógico aritmética para el </w:t>
      </w:r>
      <w:r w:rsidRPr="002D4224">
        <w:t>cálculo</w:t>
      </w:r>
      <w:r w:rsidRPr="002D4224">
        <w:rPr>
          <w:color w:val="000000"/>
        </w:rPr>
        <w:t xml:space="preserve"> de diversas prestaciones</w:t>
      </w:r>
      <w:r w:rsidR="00CB613A" w:rsidRPr="002D4224">
        <w:rPr>
          <w:color w:val="000000"/>
        </w:rPr>
        <w:t>; sobre el tema,</w:t>
      </w:r>
      <w:r w:rsidRPr="002D4224">
        <w:rPr>
          <w:color w:val="000000"/>
        </w:rPr>
        <w:t xml:space="preserve"> es preciso señalar que  si bien en respuesta se pronunció el área competente, lo cierto es que no se pronunció sobre todos los requerimientos de información, dado que únicamente señaló que lo solicitado se relaciona con una petición, sin embargo, de la solicitud se desprende que es </w:t>
      </w:r>
      <w:r w:rsidRPr="002D4224">
        <w:rPr>
          <w:color w:val="000000"/>
        </w:rPr>
        <w:lastRenderedPageBreak/>
        <w:t xml:space="preserve">posible la entrega del fundamento legal y las fórmulas </w:t>
      </w:r>
      <w:r w:rsidR="00CB613A" w:rsidRPr="002D4224">
        <w:rPr>
          <w:color w:val="000000"/>
        </w:rPr>
        <w:t>utilizadas para calcular los montos</w:t>
      </w:r>
      <w:r w:rsidRPr="002D4224">
        <w:rPr>
          <w:color w:val="000000"/>
        </w:rPr>
        <w:t>, a pesar de que el resto de lo solicitado sí constituya un derecho de petición, en consecuencia, la respuesta no es suficiente para tener por colmado en su totalidad el requerimiento de información</w:t>
      </w:r>
      <w:r w:rsidR="00CB613A" w:rsidRPr="002D4224">
        <w:rPr>
          <w:color w:val="000000"/>
        </w:rPr>
        <w:t xml:space="preserve">; lo cual toma </w:t>
      </w:r>
      <w:r w:rsidR="00D35933" w:rsidRPr="002D4224">
        <w:rPr>
          <w:color w:val="000000"/>
        </w:rPr>
        <w:t>relevancia, pues conforme al Manual de Procedimientos de la Dirección General de Administración, el Departamento de Nómina debe hacer los cálculos correspondientes para el pago de finiquito.</w:t>
      </w:r>
    </w:p>
    <w:p w14:paraId="4F420AB6" w14:textId="77777777" w:rsidR="006F4B64" w:rsidRPr="002D4224" w:rsidRDefault="006F4B64">
      <w:pPr>
        <w:spacing w:after="0" w:line="360" w:lineRule="auto"/>
      </w:pPr>
    </w:p>
    <w:p w14:paraId="605F7D27" w14:textId="0DD0B2A4" w:rsidR="00D35933" w:rsidRPr="002D4224" w:rsidRDefault="00D35933" w:rsidP="00D35933">
      <w:pPr>
        <w:tabs>
          <w:tab w:val="left" w:pos="4962"/>
        </w:tabs>
        <w:spacing w:line="360" w:lineRule="auto"/>
        <w:contextualSpacing/>
        <w:rPr>
          <w:rFonts w:eastAsia="Times New Roman" w:cs="Tahoma"/>
          <w:lang w:eastAsia="es-ES"/>
        </w:rPr>
      </w:pPr>
      <w:r w:rsidRPr="002D4224">
        <w:rPr>
          <w:rFonts w:eastAsia="Calibri" w:cs="Times New Roman"/>
          <w:bCs/>
          <w:color w:val="000000"/>
        </w:rPr>
        <w:t xml:space="preserve">De tal circunstancia, para atender el requerimiento de la información, el Sujeto Obligado deberá realizar una búsqueda exhaustiva y razonable en sus archivos, a efecto de proporcionar la información faltante; </w:t>
      </w:r>
      <w:r w:rsidRPr="002D4224">
        <w:rPr>
          <w:rFonts w:eastAsia="Calibri" w:cs="Tahoma"/>
          <w:bCs/>
        </w:rPr>
        <w:t>tal determinación</w:t>
      </w:r>
      <w:r w:rsidRPr="002D4224">
        <w:rPr>
          <w:rFonts w:eastAsia="Times New Roman" w:cs="Tahoma"/>
          <w:bCs/>
          <w:iCs/>
          <w:szCs w:val="24"/>
          <w:lang w:val="es-ES" w:eastAsia="es-ES"/>
        </w:rPr>
        <w:t xml:space="preserve"> toma relevancia, pues </w:t>
      </w:r>
      <w:r w:rsidRPr="002D4224">
        <w:rPr>
          <w:rFonts w:eastAsia="Times New Roman" w:cs="Tahoma"/>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A51262C" w14:textId="77777777" w:rsidR="00D35933" w:rsidRPr="002D4224" w:rsidRDefault="00D35933" w:rsidP="00D35933">
      <w:pPr>
        <w:tabs>
          <w:tab w:val="left" w:pos="4962"/>
        </w:tabs>
        <w:spacing w:after="0" w:line="360" w:lineRule="auto"/>
        <w:rPr>
          <w:rFonts w:eastAsia="Times New Roman" w:cs="Tahoma"/>
          <w:lang w:eastAsia="es-ES"/>
        </w:rPr>
      </w:pPr>
    </w:p>
    <w:p w14:paraId="26323A21" w14:textId="77777777" w:rsidR="00D35933" w:rsidRPr="002D4224" w:rsidRDefault="00D35933" w:rsidP="00D35933">
      <w:pPr>
        <w:spacing w:line="360" w:lineRule="auto"/>
        <w:contextualSpacing/>
        <w:rPr>
          <w:rFonts w:eastAsia="Calibri" w:cs="Tahoma"/>
          <w:bCs/>
          <w:iCs/>
          <w:lang w:eastAsia="en-US"/>
        </w:rPr>
      </w:pPr>
      <w:r w:rsidRPr="002D4224">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6FECDD26" w14:textId="77777777" w:rsidR="00D35933" w:rsidRPr="002D4224" w:rsidRDefault="00D35933" w:rsidP="00D35933">
      <w:pPr>
        <w:spacing w:line="360" w:lineRule="auto"/>
        <w:contextualSpacing/>
        <w:rPr>
          <w:rFonts w:eastAsia="Calibri" w:cs="Tahoma"/>
          <w:bCs/>
          <w:iCs/>
        </w:rPr>
      </w:pPr>
    </w:p>
    <w:p w14:paraId="6FF8685C" w14:textId="438CB397" w:rsidR="00CB613A" w:rsidRPr="002D4224" w:rsidRDefault="00D35933" w:rsidP="00D35933">
      <w:pPr>
        <w:spacing w:after="0" w:line="360" w:lineRule="auto"/>
      </w:pPr>
      <w:r w:rsidRPr="002D4224">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2D4224">
        <w:rPr>
          <w:rFonts w:eastAsia="Times New Roman" w:cs="Tahoma"/>
          <w:szCs w:val="24"/>
          <w:lang w:val="es-ES" w:eastAsia="es-ES"/>
        </w:rPr>
        <w:t>por lo que, en el presente caso deberá entregar el fundamento legal y la formula aritmética utilizada para realizar el pago de prestaciones, relacionadas con el finiquito.</w:t>
      </w:r>
    </w:p>
    <w:p w14:paraId="1CF0F2C9" w14:textId="7C3DE0D1" w:rsidR="00A73C7A" w:rsidRPr="002D4224" w:rsidRDefault="00A73C7A">
      <w:pPr>
        <w:spacing w:after="0" w:line="360" w:lineRule="auto"/>
      </w:pPr>
      <w:r w:rsidRPr="002D4224">
        <w:lastRenderedPageBreak/>
        <w:t xml:space="preserve">Ahora bien, para el caso de que no cuente con alguna documental donde conste la formula aritmética utilizada para el </w:t>
      </w:r>
      <w:proofErr w:type="spellStart"/>
      <w:r w:rsidRPr="002D4224">
        <w:t>calculo</w:t>
      </w:r>
      <w:proofErr w:type="spellEnd"/>
      <w:r w:rsidRPr="002D4224">
        <w:t xml:space="preserve"> de prestaciones solicitadas, deberá hacerlo del conocimiento de la parte Recurrente, de manera clara y precisa, en términos del artículo 19, párrafo segundo de la Ley de Transparencia y Acceso a la Información Pública del Estado de México y Municipios.</w:t>
      </w:r>
    </w:p>
    <w:p w14:paraId="020D9F25" w14:textId="77777777" w:rsidR="00A73C7A" w:rsidRPr="002D4224" w:rsidRDefault="00A73C7A">
      <w:pPr>
        <w:spacing w:after="0" w:line="360" w:lineRule="auto"/>
      </w:pPr>
    </w:p>
    <w:p w14:paraId="60723BFA" w14:textId="629ED2E6" w:rsidR="006F4B64" w:rsidRPr="002D4224" w:rsidRDefault="00D76DD8">
      <w:pPr>
        <w:spacing w:after="0" w:line="360" w:lineRule="auto"/>
      </w:pPr>
      <w:r w:rsidRPr="002D4224">
        <w:t xml:space="preserve">Resalta que la documentación faltante corresponde a normatividad y fórmulas matemáticas, por tanto, es información pública, por lo que no requiere de una versión pública. </w:t>
      </w:r>
    </w:p>
    <w:p w14:paraId="1973BD0A" w14:textId="77777777" w:rsidR="006F4B64" w:rsidRPr="002D4224" w:rsidRDefault="006F4B64">
      <w:pPr>
        <w:spacing w:after="0" w:line="360" w:lineRule="auto"/>
      </w:pPr>
    </w:p>
    <w:p w14:paraId="0827EC99" w14:textId="77777777" w:rsidR="006F4B64" w:rsidRPr="002D4224" w:rsidRDefault="00D76DD8">
      <w:pPr>
        <w:pStyle w:val="Ttulo2"/>
        <w:spacing w:before="0" w:after="0"/>
        <w:rPr>
          <w:b w:val="0"/>
        </w:rPr>
      </w:pPr>
      <w:bookmarkStart w:id="14" w:name="_Toc207896936"/>
      <w:r w:rsidRPr="002D4224">
        <w:t>SEXTO. Decisión</w:t>
      </w:r>
      <w:bookmarkEnd w:id="14"/>
    </w:p>
    <w:p w14:paraId="7EAC5363" w14:textId="77777777" w:rsidR="006F4B64" w:rsidRPr="002D4224" w:rsidRDefault="006F4B64">
      <w:pPr>
        <w:spacing w:after="0" w:line="360" w:lineRule="auto"/>
        <w:rPr>
          <w:b/>
        </w:rPr>
      </w:pPr>
    </w:p>
    <w:p w14:paraId="34080ACE" w14:textId="77777777" w:rsidR="006F4B64" w:rsidRPr="002D4224" w:rsidRDefault="00D76DD8">
      <w:pPr>
        <w:spacing w:after="0" w:line="360" w:lineRule="auto"/>
      </w:pPr>
      <w:r w:rsidRPr="002D4224">
        <w:t xml:space="preserve">Con fundamento en el artículo 186, fracción III, de la Ley de Transparencia y Acceso a la Información Pública del Estado de México y Municipios, este Instituto considera procedente </w:t>
      </w:r>
      <w:r w:rsidRPr="002D4224">
        <w:rPr>
          <w:b/>
        </w:rPr>
        <w:t>MODIFICAR</w:t>
      </w:r>
      <w:r w:rsidRPr="002D4224">
        <w:t xml:space="preserve"> la respuesta otorgada por el Sujeto Obligado a la solicitud de información </w:t>
      </w:r>
      <w:r w:rsidRPr="002D4224">
        <w:rPr>
          <w:b/>
        </w:rPr>
        <w:t>02902/TOLUCA/IP/2025</w:t>
      </w:r>
      <w:r w:rsidRPr="002D4224">
        <w:t xml:space="preserve">, por resultar parcialmente fundadas las razones o motivos de inconformidad hechos valer por la parte Recurrente, en el Recurso de Revisión </w:t>
      </w:r>
      <w:r w:rsidRPr="002D4224">
        <w:rPr>
          <w:b/>
        </w:rPr>
        <w:t>06751/INFOEM/IP/RR/2025</w:t>
      </w:r>
      <w:r w:rsidRPr="002D4224">
        <w:t xml:space="preserve">, en consecuencia procede </w:t>
      </w:r>
      <w:r w:rsidRPr="002D4224">
        <w:rPr>
          <w:b/>
        </w:rPr>
        <w:t xml:space="preserve">ORDENAR, </w:t>
      </w:r>
      <w:r w:rsidRPr="002D4224">
        <w:t>la entrega de la información faltante en los términos expuestos.</w:t>
      </w:r>
    </w:p>
    <w:p w14:paraId="339354D5" w14:textId="77777777" w:rsidR="006F4B64" w:rsidRPr="002D4224" w:rsidRDefault="006F4B64">
      <w:pPr>
        <w:spacing w:after="0" w:line="360" w:lineRule="auto"/>
      </w:pPr>
    </w:p>
    <w:p w14:paraId="362A3A9C" w14:textId="4D8D84FF" w:rsidR="006F4B64" w:rsidRPr="002D4224" w:rsidRDefault="00D76DD8">
      <w:pPr>
        <w:spacing w:after="0" w:line="360" w:lineRule="auto"/>
        <w:rPr>
          <w:b/>
          <w:u w:val="single"/>
        </w:rPr>
      </w:pPr>
      <w:r w:rsidRPr="002D4224">
        <w:rPr>
          <w:b/>
          <w:u w:val="single"/>
        </w:rPr>
        <w:t>Términos de la Reso</w:t>
      </w:r>
      <w:r w:rsidR="00906535">
        <w:rPr>
          <w:b/>
          <w:u w:val="single"/>
        </w:rPr>
        <w:t>lución para la parte Recurrente</w:t>
      </w:r>
    </w:p>
    <w:p w14:paraId="0D17343D" w14:textId="77777777" w:rsidR="006F4B64" w:rsidRPr="002D4224" w:rsidRDefault="006F4B64">
      <w:pPr>
        <w:spacing w:after="0" w:line="360" w:lineRule="auto"/>
      </w:pPr>
    </w:p>
    <w:p w14:paraId="4E3BB92A" w14:textId="3D1B693F" w:rsidR="006F4B64" w:rsidRPr="002D4224" w:rsidRDefault="00D76DD8">
      <w:pPr>
        <w:spacing w:after="0" w:line="360" w:lineRule="auto"/>
        <w:rPr>
          <w:u w:val="single"/>
        </w:rPr>
      </w:pPr>
      <w:r w:rsidRPr="002D4224">
        <w:rPr>
          <w:u w:val="single"/>
        </w:rPr>
        <w:t>Se hace del conocimiento de parte Recurrente que este Organismo Garante determinó concederle parcialmente la razón, puesto que el Sujeto Obligado no entregó la información relacionada con el fundamento legal y las fórmulas empleadas para el cálculo de prestaciones y enumerar las prestaciones correspondientes</w:t>
      </w:r>
      <w:r w:rsidR="00312E22" w:rsidRPr="002D4224">
        <w:rPr>
          <w:u w:val="single"/>
        </w:rPr>
        <w:t xml:space="preserve"> al finiquito distintas de lo señalado por el Particular</w:t>
      </w:r>
      <w:r w:rsidRPr="002D4224">
        <w:rPr>
          <w:u w:val="single"/>
        </w:rPr>
        <w:t xml:space="preserve">, por tanto, se ordena su entrega. </w:t>
      </w:r>
    </w:p>
    <w:p w14:paraId="643B5227" w14:textId="77777777" w:rsidR="006F4B64" w:rsidRPr="002D4224" w:rsidRDefault="006F4B64">
      <w:pPr>
        <w:spacing w:after="0" w:line="360" w:lineRule="auto"/>
        <w:rPr>
          <w:u w:val="single"/>
        </w:rPr>
      </w:pPr>
    </w:p>
    <w:p w14:paraId="52CB9076" w14:textId="77777777" w:rsidR="006F4B64" w:rsidRPr="002D4224" w:rsidRDefault="00D76DD8">
      <w:pPr>
        <w:spacing w:after="0" w:line="360" w:lineRule="auto"/>
        <w:rPr>
          <w:u w:val="single"/>
        </w:rPr>
      </w:pPr>
      <w:r w:rsidRPr="002D4224">
        <w:rPr>
          <w:u w:val="single"/>
        </w:rPr>
        <w:lastRenderedPageBreak/>
        <w:t xml:space="preserve">Cabe mencionar que por lo que hace al resto de los cuestionamientos, el Sujeto Obligado informó que se trata de un derecho de petición que no resulta atendible en el ejercicio de nuestra materia, al respecto, se le informa que en el ejercicio del derecho de acceso a la información pública, únicamente se accede a información que ya obra en los archivos de los Sujetos Obligados, sin embargo, no es posible ordenarles a realizar nuevos documentos, investigaciones o cálculos específicos, ya que como mencionó el Sujeto Obligado se trata de un derecho de petición, por tanto, en el caso de dichos requerimientos, en los que pidió que se realizará dicho cálculo, se determinó su improcedencia. </w:t>
      </w:r>
    </w:p>
    <w:p w14:paraId="6671E717" w14:textId="77777777" w:rsidR="006F4B64" w:rsidRPr="002D4224" w:rsidRDefault="006F4B64">
      <w:pPr>
        <w:spacing w:after="0" w:line="360" w:lineRule="auto"/>
        <w:rPr>
          <w:u w:val="single"/>
        </w:rPr>
      </w:pPr>
    </w:p>
    <w:p w14:paraId="3ABB5099" w14:textId="77777777" w:rsidR="006F4B64" w:rsidRPr="002D4224" w:rsidRDefault="00D76DD8">
      <w:pPr>
        <w:spacing w:after="0" w:line="360" w:lineRule="auto"/>
        <w:rPr>
          <w:u w:val="single"/>
        </w:rPr>
      </w:pPr>
      <w:r w:rsidRPr="002D4224">
        <w:rPr>
          <w:u w:val="single"/>
        </w:rPr>
        <w:t>La labor del INFOEM, es apoyar a la población para acceder a la información pública y garantizar la protección de sus datos personales.</w:t>
      </w:r>
    </w:p>
    <w:p w14:paraId="3F0FBEFF" w14:textId="77777777" w:rsidR="006F4B64" w:rsidRPr="002D4224" w:rsidRDefault="006F4B64">
      <w:pPr>
        <w:spacing w:after="0" w:line="360" w:lineRule="auto"/>
        <w:rPr>
          <w:u w:val="single"/>
        </w:rPr>
      </w:pPr>
    </w:p>
    <w:p w14:paraId="5A1F0611" w14:textId="77777777" w:rsidR="006F4B64" w:rsidRPr="002D4224" w:rsidRDefault="00D76DD8">
      <w:pPr>
        <w:pStyle w:val="Ttulo1"/>
        <w:spacing w:before="0" w:after="0"/>
        <w:rPr>
          <w:b w:val="0"/>
          <w:sz w:val="22"/>
          <w:szCs w:val="22"/>
        </w:rPr>
      </w:pPr>
      <w:bookmarkStart w:id="15" w:name="_Toc207896937"/>
      <w:r w:rsidRPr="002D4224">
        <w:rPr>
          <w:sz w:val="22"/>
          <w:szCs w:val="22"/>
        </w:rPr>
        <w:t>R E S U E L V E</w:t>
      </w:r>
      <w:bookmarkEnd w:id="15"/>
    </w:p>
    <w:p w14:paraId="73389450" w14:textId="77777777" w:rsidR="006F4B64" w:rsidRPr="002D4224" w:rsidRDefault="006F4B64">
      <w:pPr>
        <w:spacing w:after="0" w:line="360" w:lineRule="auto"/>
        <w:rPr>
          <w:b/>
        </w:rPr>
      </w:pPr>
    </w:p>
    <w:p w14:paraId="5C9EAE9B" w14:textId="77777777" w:rsidR="006F4B64" w:rsidRPr="002D4224" w:rsidRDefault="00D76DD8">
      <w:pPr>
        <w:spacing w:after="0" w:line="360" w:lineRule="auto"/>
      </w:pPr>
      <w:r w:rsidRPr="002D4224">
        <w:rPr>
          <w:b/>
        </w:rPr>
        <w:t xml:space="preserve">PRIMERO. </w:t>
      </w:r>
      <w:r w:rsidRPr="002D4224">
        <w:t xml:space="preserve">Se </w:t>
      </w:r>
      <w:r w:rsidRPr="002D4224">
        <w:rPr>
          <w:b/>
        </w:rPr>
        <w:t>MODIFICA</w:t>
      </w:r>
      <w:r w:rsidRPr="002D4224">
        <w:t xml:space="preserve"> la respuesta entregada por el Ayuntamiento de Toluca a la solicitud de información </w:t>
      </w:r>
      <w:r w:rsidRPr="002D4224">
        <w:rPr>
          <w:b/>
        </w:rPr>
        <w:t xml:space="preserve">02902/TOLUCA/IP/2025 </w:t>
      </w:r>
      <w:r w:rsidRPr="002D4224">
        <w:t xml:space="preserve">por resultar parcialmente fundadas las razones o motivos de inconformidad hechos valer por la persona Recurrente en el Recurso de Revisión </w:t>
      </w:r>
      <w:r w:rsidRPr="002D4224">
        <w:rPr>
          <w:b/>
        </w:rPr>
        <w:t>06751/INFOEM/IP/RR/2025</w:t>
      </w:r>
      <w:r w:rsidRPr="002D4224">
        <w:t>, en términos de los considerandos QUINTO y SEXTO de la presente Resolución.</w:t>
      </w:r>
    </w:p>
    <w:p w14:paraId="4E9D5FBA" w14:textId="77777777" w:rsidR="006F4B64" w:rsidRPr="002D4224" w:rsidRDefault="006F4B64">
      <w:pPr>
        <w:spacing w:after="0" w:line="360" w:lineRule="auto"/>
      </w:pPr>
    </w:p>
    <w:p w14:paraId="066E403C" w14:textId="77777777" w:rsidR="006F4B64" w:rsidRPr="002D4224" w:rsidRDefault="00D76DD8">
      <w:pPr>
        <w:spacing w:after="0" w:line="360" w:lineRule="auto"/>
      </w:pPr>
      <w:r w:rsidRPr="002D4224">
        <w:rPr>
          <w:b/>
        </w:rPr>
        <w:t xml:space="preserve">SEGUNDO. </w:t>
      </w:r>
      <w:r w:rsidRPr="002D4224">
        <w:t xml:space="preserve">Se </w:t>
      </w:r>
      <w:r w:rsidRPr="002D4224">
        <w:rPr>
          <w:b/>
        </w:rPr>
        <w:t>ORDENA</w:t>
      </w:r>
      <w:r w:rsidRPr="002D4224">
        <w:t xml:space="preserve"> al Sujeto Obligado, a efecto de entregue, previa búsqueda exhaustiva y razonable, a través del SAIMEX, los documentos aplicables al 19 de mayo de 2025, donde conste lo siguiente:</w:t>
      </w:r>
    </w:p>
    <w:p w14:paraId="4EA2F338" w14:textId="77777777" w:rsidR="006F4B64" w:rsidRPr="002D4224" w:rsidRDefault="006F4B64">
      <w:pPr>
        <w:spacing w:after="0" w:line="360" w:lineRule="auto"/>
      </w:pPr>
    </w:p>
    <w:p w14:paraId="5C5998BD" w14:textId="337E278D" w:rsidR="006F4B64" w:rsidRPr="002D4224" w:rsidRDefault="00D76DD8">
      <w:pPr>
        <w:numPr>
          <w:ilvl w:val="0"/>
          <w:numId w:val="4"/>
        </w:numPr>
        <w:pBdr>
          <w:top w:val="nil"/>
          <w:left w:val="nil"/>
          <w:bottom w:val="nil"/>
          <w:right w:val="nil"/>
          <w:between w:val="nil"/>
        </w:pBdr>
        <w:tabs>
          <w:tab w:val="left" w:pos="4962"/>
        </w:tabs>
        <w:spacing w:after="0" w:line="360" w:lineRule="auto"/>
        <w:rPr>
          <w:color w:val="000000"/>
        </w:rPr>
      </w:pPr>
      <w:r w:rsidRPr="002D4224">
        <w:rPr>
          <w:color w:val="000000"/>
        </w:rPr>
        <w:t>La fórmula aritmética y fundamento legal para determinar el pago de las siguientes prestaciones:</w:t>
      </w:r>
    </w:p>
    <w:p w14:paraId="74456BFD" w14:textId="76189A9D" w:rsidR="006F4B64" w:rsidRPr="002D4224" w:rsidRDefault="00D76DD8" w:rsidP="00D35933">
      <w:pPr>
        <w:numPr>
          <w:ilvl w:val="0"/>
          <w:numId w:val="5"/>
        </w:numPr>
        <w:pBdr>
          <w:top w:val="nil"/>
          <w:left w:val="nil"/>
          <w:bottom w:val="nil"/>
          <w:right w:val="nil"/>
          <w:between w:val="nil"/>
        </w:pBdr>
        <w:tabs>
          <w:tab w:val="left" w:pos="4962"/>
        </w:tabs>
        <w:spacing w:after="0" w:line="360" w:lineRule="auto"/>
        <w:ind w:left="1134"/>
        <w:rPr>
          <w:color w:val="000000"/>
        </w:rPr>
      </w:pPr>
      <w:r w:rsidRPr="002D4224">
        <w:rPr>
          <w:color w:val="000000"/>
        </w:rPr>
        <w:t>Prima por antigüedad</w:t>
      </w:r>
      <w:r w:rsidR="00D35933" w:rsidRPr="002D4224">
        <w:rPr>
          <w:color w:val="000000"/>
        </w:rPr>
        <w:t>;</w:t>
      </w:r>
    </w:p>
    <w:p w14:paraId="2890D723" w14:textId="546074B3" w:rsidR="00D35933" w:rsidRPr="002D4224" w:rsidRDefault="00D35933" w:rsidP="00D35933">
      <w:pPr>
        <w:numPr>
          <w:ilvl w:val="0"/>
          <w:numId w:val="5"/>
        </w:numPr>
        <w:pBdr>
          <w:top w:val="nil"/>
          <w:left w:val="nil"/>
          <w:bottom w:val="nil"/>
          <w:right w:val="nil"/>
          <w:between w:val="nil"/>
        </w:pBdr>
        <w:tabs>
          <w:tab w:val="left" w:pos="4962"/>
        </w:tabs>
        <w:spacing w:after="0" w:line="360" w:lineRule="auto"/>
        <w:ind w:left="1134"/>
        <w:rPr>
          <w:color w:val="000000"/>
        </w:rPr>
      </w:pPr>
      <w:r w:rsidRPr="002D4224">
        <w:rPr>
          <w:color w:val="000000"/>
        </w:rPr>
        <w:lastRenderedPageBreak/>
        <w:t>Respecto al finiquito, las siguientes prestaciones:</w:t>
      </w:r>
    </w:p>
    <w:p w14:paraId="264CC73E" w14:textId="531DBB90" w:rsidR="006F4B64" w:rsidRPr="002D4224" w:rsidRDefault="00D76DD8" w:rsidP="00D35933">
      <w:pPr>
        <w:pStyle w:val="Prrafodelista"/>
        <w:numPr>
          <w:ilvl w:val="0"/>
          <w:numId w:val="6"/>
        </w:numPr>
        <w:pBdr>
          <w:top w:val="nil"/>
          <w:left w:val="nil"/>
          <w:bottom w:val="nil"/>
          <w:right w:val="nil"/>
          <w:between w:val="nil"/>
        </w:pBdr>
        <w:tabs>
          <w:tab w:val="left" w:pos="4962"/>
        </w:tabs>
        <w:spacing w:line="360" w:lineRule="auto"/>
        <w:rPr>
          <w:color w:val="000000"/>
        </w:rPr>
      </w:pPr>
      <w:r w:rsidRPr="002D4224">
        <w:rPr>
          <w:rFonts w:eastAsia="Palatino Linotype"/>
          <w:color w:val="000000"/>
        </w:rPr>
        <w:t>Aguinaldo</w:t>
      </w:r>
      <w:r w:rsidR="00D35933" w:rsidRPr="002D4224">
        <w:rPr>
          <w:rFonts w:eastAsia="Palatino Linotype"/>
          <w:color w:val="000000"/>
        </w:rPr>
        <w:t>;</w:t>
      </w:r>
    </w:p>
    <w:p w14:paraId="6A845296" w14:textId="15BF09EB" w:rsidR="006F4B64" w:rsidRPr="002D4224" w:rsidRDefault="00D76DD8" w:rsidP="00D35933">
      <w:pPr>
        <w:pStyle w:val="Prrafodelista"/>
        <w:numPr>
          <w:ilvl w:val="0"/>
          <w:numId w:val="6"/>
        </w:numPr>
        <w:pBdr>
          <w:top w:val="nil"/>
          <w:left w:val="nil"/>
          <w:bottom w:val="nil"/>
          <w:right w:val="nil"/>
          <w:between w:val="nil"/>
        </w:pBdr>
        <w:tabs>
          <w:tab w:val="left" w:pos="4962"/>
        </w:tabs>
        <w:spacing w:line="360" w:lineRule="auto"/>
        <w:rPr>
          <w:rFonts w:eastAsia="Palatino Linotype"/>
          <w:color w:val="000000"/>
        </w:rPr>
      </w:pPr>
      <w:r w:rsidRPr="002D4224">
        <w:rPr>
          <w:rFonts w:eastAsia="Palatino Linotype"/>
          <w:color w:val="000000"/>
        </w:rPr>
        <w:t>Prima vacacional</w:t>
      </w:r>
      <w:r w:rsidR="00D35933" w:rsidRPr="002D4224">
        <w:rPr>
          <w:rFonts w:eastAsia="Palatino Linotype"/>
          <w:color w:val="000000"/>
        </w:rPr>
        <w:t>, y</w:t>
      </w:r>
    </w:p>
    <w:p w14:paraId="7161461E" w14:textId="5CEC3684" w:rsidR="006F4B64" w:rsidRPr="002D4224" w:rsidRDefault="00D76DD8" w:rsidP="00D35933">
      <w:pPr>
        <w:pStyle w:val="Prrafodelista"/>
        <w:numPr>
          <w:ilvl w:val="0"/>
          <w:numId w:val="6"/>
        </w:numPr>
        <w:pBdr>
          <w:top w:val="nil"/>
          <w:left w:val="nil"/>
          <w:bottom w:val="nil"/>
          <w:right w:val="nil"/>
          <w:between w:val="nil"/>
        </w:pBdr>
        <w:tabs>
          <w:tab w:val="left" w:pos="4962"/>
        </w:tabs>
        <w:spacing w:line="360" w:lineRule="auto"/>
        <w:rPr>
          <w:rFonts w:eastAsia="Palatino Linotype"/>
          <w:color w:val="000000"/>
        </w:rPr>
      </w:pPr>
      <w:r w:rsidRPr="002D4224">
        <w:rPr>
          <w:rFonts w:eastAsia="Palatino Linotype"/>
          <w:color w:val="000000"/>
        </w:rPr>
        <w:t>Prima de permanencia</w:t>
      </w:r>
      <w:r w:rsidR="00D35933" w:rsidRPr="002D4224">
        <w:rPr>
          <w:rFonts w:eastAsia="Palatino Linotype"/>
          <w:color w:val="000000"/>
        </w:rPr>
        <w:t>.</w:t>
      </w:r>
    </w:p>
    <w:p w14:paraId="3BCBCFE1" w14:textId="77777777" w:rsidR="006F4B64" w:rsidRPr="002D4224" w:rsidRDefault="00D76DD8" w:rsidP="00D35933">
      <w:pPr>
        <w:numPr>
          <w:ilvl w:val="0"/>
          <w:numId w:val="5"/>
        </w:numPr>
        <w:pBdr>
          <w:top w:val="nil"/>
          <w:left w:val="nil"/>
          <w:bottom w:val="nil"/>
          <w:right w:val="nil"/>
          <w:between w:val="nil"/>
        </w:pBdr>
        <w:tabs>
          <w:tab w:val="left" w:pos="4962"/>
        </w:tabs>
        <w:spacing w:after="0" w:line="360" w:lineRule="auto"/>
        <w:ind w:left="1134"/>
        <w:rPr>
          <w:color w:val="000000"/>
        </w:rPr>
      </w:pPr>
      <w:r w:rsidRPr="002D4224">
        <w:rPr>
          <w:rFonts w:cs="Times New Roman"/>
          <w:color w:val="000000"/>
          <w:szCs w:val="24"/>
        </w:rPr>
        <w:t xml:space="preserve">Indemnización. </w:t>
      </w:r>
    </w:p>
    <w:p w14:paraId="14F2C2A2" w14:textId="77777777" w:rsidR="006F4B64" w:rsidRPr="002D4224" w:rsidRDefault="006F4B64">
      <w:pPr>
        <w:pBdr>
          <w:top w:val="nil"/>
          <w:left w:val="nil"/>
          <w:bottom w:val="nil"/>
          <w:right w:val="nil"/>
          <w:between w:val="nil"/>
        </w:pBdr>
        <w:tabs>
          <w:tab w:val="left" w:pos="4962"/>
        </w:tabs>
        <w:spacing w:after="0" w:line="360" w:lineRule="auto"/>
        <w:ind w:left="720"/>
        <w:rPr>
          <w:color w:val="000000"/>
        </w:rPr>
      </w:pPr>
    </w:p>
    <w:p w14:paraId="5ED767EB" w14:textId="6F6DE641" w:rsidR="006F4B64" w:rsidRPr="002D4224" w:rsidRDefault="002D6CF2" w:rsidP="00CB7C20">
      <w:pPr>
        <w:numPr>
          <w:ilvl w:val="0"/>
          <w:numId w:val="4"/>
        </w:numPr>
        <w:pBdr>
          <w:top w:val="nil"/>
          <w:left w:val="nil"/>
          <w:bottom w:val="nil"/>
          <w:right w:val="nil"/>
          <w:between w:val="nil"/>
        </w:pBdr>
        <w:tabs>
          <w:tab w:val="left" w:pos="4962"/>
        </w:tabs>
        <w:spacing w:after="0" w:line="360" w:lineRule="auto"/>
        <w:rPr>
          <w:color w:val="000000"/>
        </w:rPr>
      </w:pPr>
      <w:r w:rsidRPr="002D4224">
        <w:rPr>
          <w:color w:val="000000"/>
        </w:rPr>
        <w:t>Los conceptos de</w:t>
      </w:r>
      <w:r w:rsidR="00280CE2" w:rsidRPr="002D4224">
        <w:rPr>
          <w:color w:val="000000"/>
        </w:rPr>
        <w:t xml:space="preserve"> las prestaciones</w:t>
      </w:r>
      <w:r w:rsidRPr="002D4224">
        <w:rPr>
          <w:color w:val="000000"/>
        </w:rPr>
        <w:t xml:space="preserve"> (</w:t>
      </w:r>
      <w:r w:rsidR="00280CE2" w:rsidRPr="002D4224">
        <w:rPr>
          <w:color w:val="000000"/>
        </w:rPr>
        <w:t>incluyendo las extraordinarias</w:t>
      </w:r>
      <w:r w:rsidRPr="002D4224">
        <w:rPr>
          <w:color w:val="000000"/>
        </w:rPr>
        <w:t>)</w:t>
      </w:r>
      <w:r w:rsidR="00280CE2" w:rsidRPr="002D4224">
        <w:rPr>
          <w:color w:val="000000"/>
        </w:rPr>
        <w:t xml:space="preserve"> que forman parte del finiquito a que tiene derecho un servidor público con cargo </w:t>
      </w:r>
      <w:r w:rsidR="00280CE2" w:rsidRPr="002D4224">
        <w:t>de suboficial</w:t>
      </w:r>
      <w:r w:rsidR="00280CE2" w:rsidRPr="002D4224">
        <w:rPr>
          <w:color w:val="000000"/>
        </w:rPr>
        <w:t xml:space="preserve"> que pertenece a la Dirección de Seguridad y </w:t>
      </w:r>
      <w:r w:rsidR="00280CE2" w:rsidRPr="002D4224">
        <w:t>Tránsit</w:t>
      </w:r>
      <w:r w:rsidR="00D35933" w:rsidRPr="002D4224">
        <w:t>o</w:t>
      </w:r>
      <w:r w:rsidR="00280CE2" w:rsidRPr="002D4224">
        <w:t>, distintas a las señaladas en el punto A.</w:t>
      </w:r>
    </w:p>
    <w:p w14:paraId="519DA625" w14:textId="77777777" w:rsidR="00D35933" w:rsidRPr="002D4224" w:rsidRDefault="00D35933" w:rsidP="00D35933">
      <w:pPr>
        <w:pBdr>
          <w:top w:val="nil"/>
          <w:left w:val="nil"/>
          <w:bottom w:val="nil"/>
          <w:right w:val="nil"/>
          <w:between w:val="nil"/>
        </w:pBdr>
        <w:tabs>
          <w:tab w:val="left" w:pos="4962"/>
        </w:tabs>
        <w:spacing w:after="0" w:line="360" w:lineRule="auto"/>
        <w:ind w:left="720"/>
        <w:rPr>
          <w:color w:val="000000"/>
        </w:rPr>
      </w:pPr>
    </w:p>
    <w:p w14:paraId="08BA8D39" w14:textId="698A3A22" w:rsidR="006F4B64" w:rsidRPr="002D4224" w:rsidRDefault="00D76DD8">
      <w:pPr>
        <w:spacing w:after="0" w:line="360" w:lineRule="auto"/>
      </w:pPr>
      <w:r w:rsidRPr="002D4224">
        <w:t xml:space="preserve">Para el caso de que no cuente con los documentos donde conste la fórmula aritmética </w:t>
      </w:r>
      <w:r w:rsidR="00D35933" w:rsidRPr="002D4224">
        <w:t>para el cálculo de una prestación</w:t>
      </w:r>
      <w:r w:rsidRPr="002D4224">
        <w:t>,</w:t>
      </w:r>
      <w:r w:rsidR="00280CE2" w:rsidRPr="002D4224">
        <w:t xml:space="preserve"> y/o lo ordenado en el punto B,</w:t>
      </w:r>
      <w:r w:rsidRPr="002D4224">
        <w:t xml:space="preserve"> bastará con que lo haga del conocimiento de la persona Recurrente de manera precisa y clara.</w:t>
      </w:r>
    </w:p>
    <w:p w14:paraId="77C877EE" w14:textId="77777777" w:rsidR="006F4B64" w:rsidRPr="002D4224" w:rsidRDefault="006F4B64">
      <w:pPr>
        <w:spacing w:after="0" w:line="360" w:lineRule="auto"/>
      </w:pPr>
      <w:bookmarkStart w:id="16" w:name="_heading=h.argy21qnkmhr" w:colFirst="0" w:colLast="0"/>
      <w:bookmarkEnd w:id="16"/>
    </w:p>
    <w:p w14:paraId="60ADD673" w14:textId="77777777" w:rsidR="006F4B64" w:rsidRPr="002D4224" w:rsidRDefault="00D76DD8">
      <w:pPr>
        <w:spacing w:after="0" w:line="360" w:lineRule="auto"/>
      </w:pPr>
      <w:r w:rsidRPr="002D4224">
        <w:rPr>
          <w:b/>
        </w:rPr>
        <w:t xml:space="preserve">TERCERO. NOTIFÍQUESE POR SAIMEX </w:t>
      </w:r>
      <w:r w:rsidRPr="002D4224">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0808F6B0" w14:textId="77777777" w:rsidR="006F4B64" w:rsidRPr="002D4224" w:rsidRDefault="006F4B64">
      <w:pPr>
        <w:spacing w:after="0" w:line="360" w:lineRule="auto"/>
      </w:pPr>
    </w:p>
    <w:p w14:paraId="5AEC698B" w14:textId="77777777" w:rsidR="006F4B64" w:rsidRPr="002D4224" w:rsidRDefault="00D76DD8">
      <w:pPr>
        <w:spacing w:after="0" w:line="360" w:lineRule="auto"/>
      </w:pPr>
      <w:r w:rsidRPr="002D4224">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99EEC2" w14:textId="77777777" w:rsidR="006F4B64" w:rsidRPr="002D4224" w:rsidRDefault="006F4B64">
      <w:pPr>
        <w:spacing w:after="0" w:line="360" w:lineRule="auto"/>
      </w:pPr>
    </w:p>
    <w:p w14:paraId="3E696C95" w14:textId="77777777" w:rsidR="006F4B64" w:rsidRPr="002D4224" w:rsidRDefault="00D76DD8">
      <w:pPr>
        <w:spacing w:after="0" w:line="360" w:lineRule="auto"/>
      </w:pPr>
      <w:r w:rsidRPr="002D4224">
        <w:rPr>
          <w:b/>
        </w:rPr>
        <w:t>CUARTO. NOTIFÍQUESE</w:t>
      </w:r>
      <w:r w:rsidRPr="002D4224">
        <w:t xml:space="preserve"> </w:t>
      </w:r>
      <w:r w:rsidRPr="002D4224">
        <w:rPr>
          <w:b/>
        </w:rPr>
        <w:t xml:space="preserve">POR SAIMEX </w:t>
      </w:r>
      <w:r w:rsidRPr="002D4224">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D775D61" w14:textId="77777777" w:rsidR="006F4B64" w:rsidRPr="002D4224" w:rsidRDefault="006F4B64">
      <w:pPr>
        <w:spacing w:after="0" w:line="360" w:lineRule="auto"/>
      </w:pPr>
    </w:p>
    <w:p w14:paraId="1746367F" w14:textId="025F7C84" w:rsidR="006F4B64" w:rsidRDefault="00D76DD8">
      <w:pPr>
        <w:spacing w:after="0" w:line="360" w:lineRule="auto"/>
      </w:pPr>
      <w:r w:rsidRPr="002D4224">
        <w:t xml:space="preserve">ASÍ LO RESUELVE, POR </w:t>
      </w:r>
      <w:r w:rsidRPr="002D4224">
        <w:rPr>
          <w:b/>
        </w:rPr>
        <w:t>UNANIMIDAD</w:t>
      </w:r>
      <w:r w:rsidRPr="002D4224">
        <w:t xml:space="preserve"> DE VOTOS EL PLENO DEL INSTITUTO DE TRANSPARENCIA, ACCESO A LA INFORMACIÓN PÚBLICA Y PROTECCIÓN DE DATOS PERSONALES DEL ESTADO DE MÉXICO Y MUNICIPIOS, CONFORMADO POR LOS COMISIONADOS JOSÉ MARTÍNEZ VILCHIS, MARÍA DEL ROSARIO MEJÍA AYALA</w:t>
      </w:r>
      <w:r w:rsidR="00D41DCB">
        <w:t xml:space="preserve"> </w:t>
      </w:r>
      <w:r w:rsidR="00D41DCB" w:rsidRPr="00D41DCB">
        <w:t>(AUSENCIA JUSTIFICADA)</w:t>
      </w:r>
      <w:r w:rsidRPr="002D4224">
        <w:t>, SHARON CRISTINA MORALES MARTÍNEZ, LUIS GUSTAVO PARRA NORIEGA Y GUADALUPE RAMÍREZ PEÑA, EN LA TRIGÉSIMA PRIMERA SESIÓN ORDINARIA, CELEBRADA EL TRES DE SEPTIEMBRE DE DOS MIL VEINTICINCO, ANTE EL SECRETARIO TÉCNICO DEL PLENO, ALEXIS TAPIA RAMÍREZ.</w:t>
      </w:r>
    </w:p>
    <w:p w14:paraId="7BA55B1C" w14:textId="77777777" w:rsidR="006F4B64" w:rsidRDefault="006F4B64">
      <w:pPr>
        <w:pStyle w:val="Ttulo2"/>
        <w:spacing w:before="0" w:after="0"/>
        <w:rPr>
          <w:b w:val="0"/>
        </w:rPr>
      </w:pPr>
    </w:p>
    <w:p w14:paraId="11A52B20" w14:textId="77777777" w:rsidR="006F4B64" w:rsidRDefault="006F4B64">
      <w:pPr>
        <w:spacing w:after="0" w:line="360" w:lineRule="auto"/>
      </w:pPr>
    </w:p>
    <w:p w14:paraId="0874181C" w14:textId="77777777" w:rsidR="006F4B64" w:rsidRDefault="006F4B64">
      <w:pPr>
        <w:spacing w:after="0" w:line="360" w:lineRule="auto"/>
      </w:pPr>
    </w:p>
    <w:p w14:paraId="68CDA776" w14:textId="77777777" w:rsidR="006F4B64" w:rsidRDefault="006F4B64">
      <w:pPr>
        <w:spacing w:after="0" w:line="360" w:lineRule="auto"/>
      </w:pPr>
    </w:p>
    <w:p w14:paraId="349E4A09" w14:textId="77777777" w:rsidR="006F4B64" w:rsidRDefault="006F4B64">
      <w:pPr>
        <w:spacing w:after="0" w:line="360" w:lineRule="auto"/>
      </w:pPr>
    </w:p>
    <w:p w14:paraId="378B11E3" w14:textId="77777777" w:rsidR="006F4B64" w:rsidRDefault="006F4B64">
      <w:pPr>
        <w:spacing w:after="0" w:line="360" w:lineRule="auto"/>
      </w:pPr>
    </w:p>
    <w:p w14:paraId="6D3A0A67" w14:textId="77777777" w:rsidR="006F4B64" w:rsidRDefault="006F4B64">
      <w:pPr>
        <w:spacing w:after="0" w:line="360" w:lineRule="auto"/>
      </w:pPr>
    </w:p>
    <w:p w14:paraId="66AE028F" w14:textId="77777777" w:rsidR="006F4B64" w:rsidRDefault="006F4B64">
      <w:pPr>
        <w:spacing w:after="0" w:line="360" w:lineRule="auto"/>
      </w:pPr>
    </w:p>
    <w:p w14:paraId="3CA50C94" w14:textId="77777777" w:rsidR="006F4B64" w:rsidRDefault="006F4B64">
      <w:pPr>
        <w:spacing w:after="0" w:line="360" w:lineRule="auto"/>
      </w:pPr>
    </w:p>
    <w:p w14:paraId="22E0616F" w14:textId="77777777" w:rsidR="006F4B64" w:rsidRDefault="006F4B64">
      <w:pPr>
        <w:spacing w:after="0" w:line="360" w:lineRule="auto"/>
      </w:pPr>
    </w:p>
    <w:p w14:paraId="1506A6BC" w14:textId="77777777" w:rsidR="006F4B64" w:rsidRDefault="006F4B64">
      <w:pPr>
        <w:spacing w:after="0" w:line="360" w:lineRule="auto"/>
      </w:pPr>
    </w:p>
    <w:p w14:paraId="3B3731BF" w14:textId="77777777" w:rsidR="006F4B64" w:rsidRDefault="006F4B64">
      <w:pPr>
        <w:spacing w:after="0" w:line="360" w:lineRule="auto"/>
      </w:pPr>
    </w:p>
    <w:p w14:paraId="4F7C2FBF" w14:textId="77777777" w:rsidR="006F4B64" w:rsidRDefault="006F4B64">
      <w:pPr>
        <w:spacing w:after="0" w:line="360" w:lineRule="auto"/>
      </w:pPr>
    </w:p>
    <w:p w14:paraId="6A40978A" w14:textId="77777777" w:rsidR="006F4B64" w:rsidRDefault="006F4B64">
      <w:pPr>
        <w:spacing w:after="0" w:line="360" w:lineRule="auto"/>
      </w:pPr>
    </w:p>
    <w:p w14:paraId="4B026B37" w14:textId="77777777" w:rsidR="006F4B64" w:rsidRDefault="006F4B64">
      <w:pPr>
        <w:spacing w:after="0" w:line="360" w:lineRule="auto"/>
      </w:pPr>
    </w:p>
    <w:p w14:paraId="36D7EDE7" w14:textId="77777777" w:rsidR="006F4B64" w:rsidRDefault="006F4B64">
      <w:pPr>
        <w:spacing w:after="0" w:line="360" w:lineRule="auto"/>
      </w:pPr>
    </w:p>
    <w:p w14:paraId="14CE975B" w14:textId="77777777" w:rsidR="006F4B64" w:rsidRDefault="006F4B64">
      <w:pPr>
        <w:spacing w:after="0" w:line="360" w:lineRule="auto"/>
      </w:pPr>
    </w:p>
    <w:p w14:paraId="549128C4" w14:textId="77777777" w:rsidR="006F4B64" w:rsidRDefault="006F4B64">
      <w:pPr>
        <w:spacing w:after="0" w:line="360" w:lineRule="auto"/>
      </w:pPr>
    </w:p>
    <w:p w14:paraId="5FD5D592" w14:textId="77777777" w:rsidR="006F4B64" w:rsidRDefault="006F4B64">
      <w:pPr>
        <w:spacing w:after="0" w:line="360" w:lineRule="auto"/>
      </w:pPr>
    </w:p>
    <w:p w14:paraId="296F313C" w14:textId="77777777" w:rsidR="006F4B64" w:rsidRDefault="006F4B64">
      <w:pPr>
        <w:spacing w:after="0" w:line="360" w:lineRule="auto"/>
      </w:pPr>
    </w:p>
    <w:p w14:paraId="29C0938E" w14:textId="77777777" w:rsidR="006F4B64" w:rsidRDefault="006F4B64">
      <w:pPr>
        <w:spacing w:after="0" w:line="360" w:lineRule="auto"/>
      </w:pPr>
    </w:p>
    <w:p w14:paraId="5BE9705F" w14:textId="77777777" w:rsidR="006F4B64" w:rsidRDefault="006F4B64">
      <w:pPr>
        <w:spacing w:after="0" w:line="360" w:lineRule="auto"/>
      </w:pPr>
    </w:p>
    <w:p w14:paraId="2588D8C9" w14:textId="77777777" w:rsidR="006F4B64" w:rsidRDefault="006F4B64">
      <w:pPr>
        <w:spacing w:after="0" w:line="360" w:lineRule="auto"/>
      </w:pPr>
    </w:p>
    <w:p w14:paraId="0DF15C8E" w14:textId="77777777" w:rsidR="006F4B64" w:rsidRDefault="006F4B64">
      <w:pPr>
        <w:spacing w:after="0" w:line="360" w:lineRule="auto"/>
      </w:pPr>
    </w:p>
    <w:sectPr w:rsidR="006F4B64">
      <w:headerReference w:type="even" r:id="rId10"/>
      <w:headerReference w:type="default" r:id="rId11"/>
      <w:footerReference w:type="even" r:id="rId12"/>
      <w:footerReference w:type="default" r:id="rId13"/>
      <w:headerReference w:type="first" r:id="rId14"/>
      <w:footerReference w:type="first" r:id="rId15"/>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54BD" w14:textId="77777777" w:rsidR="00CD6F58" w:rsidRDefault="00CD6F58">
      <w:pPr>
        <w:spacing w:after="0" w:line="240" w:lineRule="auto"/>
      </w:pPr>
      <w:r>
        <w:separator/>
      </w:r>
    </w:p>
  </w:endnote>
  <w:endnote w:type="continuationSeparator" w:id="0">
    <w:p w14:paraId="20172404" w14:textId="77777777" w:rsidR="00CD6F58" w:rsidRDefault="00CD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6F19" w14:textId="5CE978EA" w:rsidR="006F4B64" w:rsidRDefault="00D76D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3978D5">
      <w:rPr>
        <w:b/>
        <w:color w:val="000000"/>
        <w:sz w:val="24"/>
        <w:szCs w:val="24"/>
      </w:rPr>
      <w:fldChar w:fldCharType="separate"/>
    </w:r>
    <w:r w:rsidR="003978D5">
      <w:rPr>
        <w:b/>
        <w:noProof/>
        <w:color w:val="000000"/>
        <w:sz w:val="24"/>
        <w:szCs w:val="24"/>
      </w:rPr>
      <w:t>24</w:t>
    </w:r>
    <w:r>
      <w:rPr>
        <w:b/>
        <w:color w:val="000000"/>
        <w:sz w:val="24"/>
        <w:szCs w:val="24"/>
      </w:rPr>
      <w:fldChar w:fldCharType="end"/>
    </w:r>
  </w:p>
  <w:p w14:paraId="1376BF31" w14:textId="77777777" w:rsidR="006F4B64" w:rsidRDefault="006F4B6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2B72" w14:textId="77777777" w:rsidR="006F4B64" w:rsidRDefault="00D76D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06535">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6535">
      <w:rPr>
        <w:b/>
        <w:noProof/>
        <w:color w:val="000000"/>
        <w:sz w:val="24"/>
        <w:szCs w:val="24"/>
      </w:rPr>
      <w:t>24</w:t>
    </w:r>
    <w:r>
      <w:rPr>
        <w:b/>
        <w:color w:val="000000"/>
        <w:sz w:val="24"/>
        <w:szCs w:val="24"/>
      </w:rPr>
      <w:fldChar w:fldCharType="end"/>
    </w:r>
  </w:p>
  <w:p w14:paraId="75CFA674" w14:textId="77777777" w:rsidR="006F4B64" w:rsidRDefault="006F4B6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18A8" w14:textId="77777777" w:rsidR="006F4B64" w:rsidRDefault="00D76D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0653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6535">
      <w:rPr>
        <w:b/>
        <w:noProof/>
        <w:color w:val="000000"/>
        <w:sz w:val="24"/>
        <w:szCs w:val="24"/>
      </w:rPr>
      <w:t>24</w:t>
    </w:r>
    <w:r>
      <w:rPr>
        <w:b/>
        <w:color w:val="000000"/>
        <w:sz w:val="24"/>
        <w:szCs w:val="24"/>
      </w:rPr>
      <w:fldChar w:fldCharType="end"/>
    </w:r>
  </w:p>
  <w:p w14:paraId="4451BF78" w14:textId="77777777" w:rsidR="006F4B64" w:rsidRDefault="006F4B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A0A8" w14:textId="77777777" w:rsidR="00CD6F58" w:rsidRDefault="00CD6F58">
      <w:pPr>
        <w:spacing w:after="0" w:line="240" w:lineRule="auto"/>
      </w:pPr>
      <w:r>
        <w:separator/>
      </w:r>
    </w:p>
  </w:footnote>
  <w:footnote w:type="continuationSeparator" w:id="0">
    <w:p w14:paraId="177DCB76" w14:textId="77777777" w:rsidR="00CD6F58" w:rsidRDefault="00CD6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FCFD" w14:textId="77777777" w:rsidR="006F4B64" w:rsidRDefault="006F4B64">
    <w:pPr>
      <w:widowControl w:val="0"/>
      <w:pBdr>
        <w:top w:val="nil"/>
        <w:left w:val="nil"/>
        <w:bottom w:val="nil"/>
        <w:right w:val="nil"/>
        <w:between w:val="nil"/>
      </w:pBdr>
      <w:spacing w:after="0" w:line="276" w:lineRule="auto"/>
      <w:jc w:val="left"/>
      <w:rPr>
        <w:color w:val="000000"/>
      </w:rPr>
    </w:pPr>
  </w:p>
  <w:tbl>
    <w:tblPr>
      <w:tblStyle w:val="afffffd"/>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6F4B64" w14:paraId="548D24D6" w14:textId="77777777">
      <w:trPr>
        <w:trHeight w:val="141"/>
      </w:trPr>
      <w:tc>
        <w:tcPr>
          <w:tcW w:w="2404" w:type="dxa"/>
        </w:tcPr>
        <w:p w14:paraId="5BC34602" w14:textId="77777777" w:rsidR="006F4B64" w:rsidRDefault="00D76DD8">
          <w:pPr>
            <w:tabs>
              <w:tab w:val="right" w:pos="8838"/>
            </w:tabs>
            <w:ind w:right="-105"/>
            <w:rPr>
              <w:b/>
            </w:rPr>
          </w:pPr>
          <w:r>
            <w:rPr>
              <w:b/>
            </w:rPr>
            <w:t>Recurso de Revisión:</w:t>
          </w:r>
        </w:p>
      </w:tc>
      <w:tc>
        <w:tcPr>
          <w:tcW w:w="3587" w:type="dxa"/>
        </w:tcPr>
        <w:p w14:paraId="6D619B3B" w14:textId="77777777" w:rsidR="006F4B64" w:rsidRDefault="00D76DD8">
          <w:pPr>
            <w:tabs>
              <w:tab w:val="right" w:pos="8838"/>
            </w:tabs>
            <w:ind w:left="-28" w:right="683"/>
          </w:pPr>
          <w:r>
            <w:t>04196/INFOEM/IP/RR/2020</w:t>
          </w:r>
        </w:p>
      </w:tc>
    </w:tr>
    <w:tr w:rsidR="006F4B64" w14:paraId="5E9639CE" w14:textId="77777777">
      <w:trPr>
        <w:trHeight w:val="276"/>
      </w:trPr>
      <w:tc>
        <w:tcPr>
          <w:tcW w:w="2404" w:type="dxa"/>
        </w:tcPr>
        <w:p w14:paraId="45CB1011" w14:textId="77777777" w:rsidR="006F4B64" w:rsidRDefault="00D76DD8">
          <w:pPr>
            <w:tabs>
              <w:tab w:val="right" w:pos="8838"/>
            </w:tabs>
            <w:ind w:right="-105"/>
            <w:rPr>
              <w:b/>
            </w:rPr>
          </w:pPr>
          <w:r>
            <w:rPr>
              <w:b/>
            </w:rPr>
            <w:t>Sujeto Obligado:</w:t>
          </w:r>
        </w:p>
      </w:tc>
      <w:tc>
        <w:tcPr>
          <w:tcW w:w="3587" w:type="dxa"/>
        </w:tcPr>
        <w:p w14:paraId="1A342C5A" w14:textId="77777777" w:rsidR="006F4B64" w:rsidRDefault="00D76DD8">
          <w:pPr>
            <w:tabs>
              <w:tab w:val="right" w:pos="8838"/>
            </w:tabs>
            <w:ind w:right="116"/>
          </w:pPr>
          <w:r>
            <w:t>Ayuntamiento de Chapultepec</w:t>
          </w:r>
        </w:p>
      </w:tc>
    </w:tr>
    <w:tr w:rsidR="006F4B64" w14:paraId="52237D5D" w14:textId="77777777">
      <w:trPr>
        <w:trHeight w:val="276"/>
      </w:trPr>
      <w:tc>
        <w:tcPr>
          <w:tcW w:w="2404" w:type="dxa"/>
        </w:tcPr>
        <w:p w14:paraId="44348E1E" w14:textId="77777777" w:rsidR="006F4B64" w:rsidRDefault="00D76DD8">
          <w:pPr>
            <w:tabs>
              <w:tab w:val="right" w:pos="8838"/>
            </w:tabs>
            <w:ind w:right="-105"/>
            <w:rPr>
              <w:b/>
            </w:rPr>
          </w:pPr>
          <w:r>
            <w:rPr>
              <w:b/>
            </w:rPr>
            <w:t>Comisionado Ponente:</w:t>
          </w:r>
        </w:p>
      </w:tc>
      <w:tc>
        <w:tcPr>
          <w:tcW w:w="3587" w:type="dxa"/>
        </w:tcPr>
        <w:p w14:paraId="2F3CFF86" w14:textId="77777777" w:rsidR="006F4B64" w:rsidRDefault="00D76DD8">
          <w:pPr>
            <w:tabs>
              <w:tab w:val="right" w:pos="8838"/>
            </w:tabs>
            <w:ind w:right="-32"/>
          </w:pPr>
          <w:r>
            <w:t>Luis Gustavo Parra Noriega</w:t>
          </w:r>
        </w:p>
      </w:tc>
    </w:tr>
  </w:tbl>
  <w:p w14:paraId="368D2FC7" w14:textId="77777777" w:rsidR="006F4B6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6913A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B4A7" w14:textId="77777777" w:rsidR="006F4B64" w:rsidRDefault="006F4B64">
    <w:pPr>
      <w:rPr>
        <w:sz w:val="16"/>
        <w:szCs w:val="16"/>
      </w:rPr>
    </w:pPr>
  </w:p>
  <w:tbl>
    <w:tblPr>
      <w:tblStyle w:val="afffffe"/>
      <w:tblW w:w="6095" w:type="dxa"/>
      <w:tblInd w:w="3969"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6F4B64" w14:paraId="58D92480" w14:textId="77777777" w:rsidTr="00CB613A">
      <w:trPr>
        <w:trHeight w:val="141"/>
      </w:trPr>
      <w:tc>
        <w:tcPr>
          <w:tcW w:w="2409" w:type="dxa"/>
        </w:tcPr>
        <w:p w14:paraId="73085104" w14:textId="77777777" w:rsidR="006F4B64" w:rsidRDefault="00D76DD8">
          <w:pPr>
            <w:tabs>
              <w:tab w:val="right" w:pos="8838"/>
            </w:tabs>
            <w:ind w:left="-395" w:right="-105" w:firstLine="395"/>
            <w:rPr>
              <w:b/>
            </w:rPr>
          </w:pPr>
          <w:r>
            <w:rPr>
              <w:b/>
            </w:rPr>
            <w:t>Recurso de Revisión:</w:t>
          </w:r>
        </w:p>
      </w:tc>
      <w:tc>
        <w:tcPr>
          <w:tcW w:w="3686" w:type="dxa"/>
        </w:tcPr>
        <w:p w14:paraId="21190B74" w14:textId="77777777" w:rsidR="006F4B64" w:rsidRPr="00CB613A" w:rsidRDefault="00D76DD8">
          <w:pPr>
            <w:tabs>
              <w:tab w:val="right" w:pos="8838"/>
            </w:tabs>
            <w:ind w:right="176"/>
            <w:rPr>
              <w:bCs/>
            </w:rPr>
          </w:pPr>
          <w:r w:rsidRPr="00CB613A">
            <w:rPr>
              <w:bCs/>
            </w:rPr>
            <w:t>06751/INFOEM/IP/RR/2025</w:t>
          </w:r>
        </w:p>
      </w:tc>
    </w:tr>
    <w:tr w:rsidR="006F4B64" w14:paraId="4BF27DAC" w14:textId="77777777" w:rsidTr="00CB613A">
      <w:trPr>
        <w:trHeight w:val="276"/>
      </w:trPr>
      <w:tc>
        <w:tcPr>
          <w:tcW w:w="2409" w:type="dxa"/>
        </w:tcPr>
        <w:p w14:paraId="1D5A27A8" w14:textId="77777777" w:rsidR="006F4B64" w:rsidRDefault="00D76DD8">
          <w:pPr>
            <w:tabs>
              <w:tab w:val="right" w:pos="8838"/>
            </w:tabs>
            <w:ind w:right="-105"/>
            <w:rPr>
              <w:b/>
            </w:rPr>
          </w:pPr>
          <w:r>
            <w:rPr>
              <w:b/>
            </w:rPr>
            <w:t>Sujeto Obligado:</w:t>
          </w:r>
        </w:p>
      </w:tc>
      <w:tc>
        <w:tcPr>
          <w:tcW w:w="3686" w:type="dxa"/>
        </w:tcPr>
        <w:p w14:paraId="26B013C0" w14:textId="77777777" w:rsidR="006F4B64" w:rsidRDefault="00D76DD8">
          <w:pPr>
            <w:tabs>
              <w:tab w:val="left" w:pos="3158"/>
              <w:tab w:val="left" w:pos="4292"/>
              <w:tab w:val="right" w:pos="8838"/>
            </w:tabs>
            <w:ind w:right="176"/>
          </w:pPr>
          <w:r>
            <w:t>Ayuntamiento de Toluca</w:t>
          </w:r>
        </w:p>
      </w:tc>
    </w:tr>
    <w:tr w:rsidR="006F4B64" w14:paraId="6716D410" w14:textId="77777777" w:rsidTr="00CB613A">
      <w:trPr>
        <w:trHeight w:val="276"/>
      </w:trPr>
      <w:tc>
        <w:tcPr>
          <w:tcW w:w="2409" w:type="dxa"/>
        </w:tcPr>
        <w:p w14:paraId="30CC0FEB" w14:textId="77777777" w:rsidR="006F4B64" w:rsidRDefault="00D76DD8">
          <w:pPr>
            <w:tabs>
              <w:tab w:val="right" w:pos="8838"/>
            </w:tabs>
            <w:ind w:right="-105"/>
            <w:rPr>
              <w:b/>
            </w:rPr>
          </w:pPr>
          <w:r>
            <w:rPr>
              <w:b/>
            </w:rPr>
            <w:t>Comisionado Ponente:</w:t>
          </w:r>
        </w:p>
      </w:tc>
      <w:tc>
        <w:tcPr>
          <w:tcW w:w="3686" w:type="dxa"/>
        </w:tcPr>
        <w:p w14:paraId="1F8B7B72" w14:textId="77777777" w:rsidR="006F4B64" w:rsidRDefault="00D76DD8">
          <w:pPr>
            <w:tabs>
              <w:tab w:val="right" w:pos="8838"/>
            </w:tabs>
            <w:ind w:right="176"/>
          </w:pPr>
          <w:r>
            <w:t>Luis Gustavo Parra Noriega</w:t>
          </w:r>
        </w:p>
        <w:p w14:paraId="450B8C6C" w14:textId="77777777" w:rsidR="006F4B64" w:rsidRDefault="006F4B64">
          <w:pPr>
            <w:tabs>
              <w:tab w:val="right" w:pos="8838"/>
            </w:tabs>
            <w:ind w:right="176"/>
          </w:pPr>
        </w:p>
      </w:tc>
    </w:tr>
  </w:tbl>
  <w:p w14:paraId="71D258EE" w14:textId="77777777" w:rsidR="006F4B6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3439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D5AC" w14:textId="77777777" w:rsidR="006F4B64" w:rsidRDefault="00000000">
    <w:pPr>
      <w:widowControl w:val="0"/>
      <w:pBdr>
        <w:top w:val="nil"/>
        <w:left w:val="nil"/>
        <w:bottom w:val="nil"/>
        <w:right w:val="nil"/>
        <w:between w:val="nil"/>
      </w:pBdr>
      <w:spacing w:after="0" w:line="276" w:lineRule="auto"/>
      <w:jc w:val="left"/>
      <w:rPr>
        <w:color w:val="000000"/>
      </w:rPr>
    </w:pPr>
    <w:r>
      <w:rPr>
        <w:color w:val="000000"/>
      </w:rPr>
      <w:pict w14:anchorId="42F98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MARCA DE AGUA - HOJA RESOLUCIÓN" style="position:absolute;margin-left:-97.1pt;margin-top:-123.85pt;width:663.5pt;height:12in;z-index:-251658752;mso-wrap-edited:f;mso-width-percent:0;mso-height-percent:0;mso-position-horizontal:absolute;mso-position-horizontal-relative:margin;mso-position-vertical:absolute;mso-position-vertical-relative:margin;mso-width-percent:0;mso-height-percent:0">
          <v:imagedata r:id="rId1" o:title="image2"/>
          <w10:wrap anchorx="margin" anchory="margin"/>
        </v:shape>
      </w:pict>
    </w:r>
  </w:p>
  <w:tbl>
    <w:tblPr>
      <w:tblStyle w:val="affffff"/>
      <w:tblW w:w="9214" w:type="dxa"/>
      <w:tblInd w:w="0" w:type="dxa"/>
      <w:tblLayout w:type="fixed"/>
      <w:tblLook w:val="0400" w:firstRow="0" w:lastRow="0" w:firstColumn="0" w:lastColumn="0" w:noHBand="0" w:noVBand="1"/>
    </w:tblPr>
    <w:tblGrid>
      <w:gridCol w:w="2127"/>
      <w:gridCol w:w="7087"/>
    </w:tblGrid>
    <w:tr w:rsidR="006F4B64" w14:paraId="361BE98D" w14:textId="77777777">
      <w:trPr>
        <w:trHeight w:val="1546"/>
      </w:trPr>
      <w:tc>
        <w:tcPr>
          <w:tcW w:w="2127" w:type="dxa"/>
        </w:tcPr>
        <w:p w14:paraId="3F3CDC3C" w14:textId="77777777" w:rsidR="006F4B64" w:rsidRDefault="006F4B64">
          <w:pPr>
            <w:tabs>
              <w:tab w:val="right" w:pos="4273"/>
            </w:tabs>
            <w:rPr>
              <w:rFonts w:ascii="Garamond" w:eastAsia="Garamond" w:hAnsi="Garamond" w:cs="Garamond"/>
              <w:sz w:val="16"/>
              <w:szCs w:val="16"/>
            </w:rPr>
          </w:pPr>
        </w:p>
      </w:tc>
      <w:tc>
        <w:tcPr>
          <w:tcW w:w="7087" w:type="dxa"/>
        </w:tcPr>
        <w:p w14:paraId="1CD9BED8" w14:textId="77777777" w:rsidR="006F4B64" w:rsidRDefault="006F4B64">
          <w:pPr>
            <w:rPr>
              <w:sz w:val="10"/>
              <w:szCs w:val="10"/>
            </w:rPr>
          </w:pPr>
        </w:p>
        <w:tbl>
          <w:tblPr>
            <w:tblStyle w:val="affffff0"/>
            <w:tblW w:w="5812" w:type="dxa"/>
            <w:tblInd w:w="1167" w:type="dxa"/>
            <w:tblLayout w:type="fixed"/>
            <w:tblLook w:val="0400" w:firstRow="0" w:lastRow="0" w:firstColumn="0" w:lastColumn="0" w:noHBand="0" w:noVBand="1"/>
          </w:tblPr>
          <w:tblGrid>
            <w:gridCol w:w="2525"/>
            <w:gridCol w:w="3287"/>
          </w:tblGrid>
          <w:tr w:rsidR="006F4B64" w14:paraId="317DC428" w14:textId="77777777">
            <w:trPr>
              <w:trHeight w:val="427"/>
            </w:trPr>
            <w:tc>
              <w:tcPr>
                <w:tcW w:w="2525" w:type="dxa"/>
                <w:vAlign w:val="bottom"/>
              </w:tcPr>
              <w:p w14:paraId="687B1E29" w14:textId="77777777" w:rsidR="006F4B64" w:rsidRDefault="00D76DD8">
                <w:pPr>
                  <w:tabs>
                    <w:tab w:val="right" w:pos="8838"/>
                  </w:tabs>
                  <w:ind w:right="-105"/>
                  <w:rPr>
                    <w:b/>
                  </w:rPr>
                </w:pPr>
                <w:r>
                  <w:rPr>
                    <w:b/>
                  </w:rPr>
                  <w:t>Recurso de Revisión:</w:t>
                </w:r>
              </w:p>
            </w:tc>
            <w:tc>
              <w:tcPr>
                <w:tcW w:w="3287" w:type="dxa"/>
              </w:tcPr>
              <w:p w14:paraId="564105DA" w14:textId="77777777" w:rsidR="006F4B64" w:rsidRDefault="006F4B64">
                <w:pPr>
                  <w:tabs>
                    <w:tab w:val="right" w:pos="8838"/>
                  </w:tabs>
                  <w:ind w:left="-28" w:right="-107"/>
                  <w:rPr>
                    <w:b/>
                  </w:rPr>
                </w:pPr>
              </w:p>
              <w:p w14:paraId="178A58CF" w14:textId="77777777" w:rsidR="006F4B64" w:rsidRPr="00CB613A" w:rsidRDefault="00D76DD8">
                <w:pPr>
                  <w:tabs>
                    <w:tab w:val="right" w:pos="8838"/>
                  </w:tabs>
                  <w:ind w:left="-28" w:right="-107"/>
                  <w:rPr>
                    <w:bCs/>
                  </w:rPr>
                </w:pPr>
                <w:r w:rsidRPr="00CB613A">
                  <w:rPr>
                    <w:bCs/>
                  </w:rPr>
                  <w:t>06751/INFOEM/IP/RR/2025</w:t>
                </w:r>
              </w:p>
            </w:tc>
          </w:tr>
          <w:tr w:rsidR="006F4B64" w14:paraId="13C14BB4" w14:textId="77777777">
            <w:trPr>
              <w:trHeight w:val="141"/>
            </w:trPr>
            <w:tc>
              <w:tcPr>
                <w:tcW w:w="2525" w:type="dxa"/>
              </w:tcPr>
              <w:p w14:paraId="40DB0CE5" w14:textId="77777777" w:rsidR="006F4B64" w:rsidRDefault="00D76DD8">
                <w:pPr>
                  <w:tabs>
                    <w:tab w:val="right" w:pos="8838"/>
                  </w:tabs>
                  <w:ind w:right="-105"/>
                  <w:rPr>
                    <w:b/>
                  </w:rPr>
                </w:pPr>
                <w:r>
                  <w:rPr>
                    <w:b/>
                  </w:rPr>
                  <w:t>Recurrente:</w:t>
                </w:r>
              </w:p>
            </w:tc>
            <w:tc>
              <w:tcPr>
                <w:tcW w:w="3287" w:type="dxa"/>
              </w:tcPr>
              <w:p w14:paraId="2E8A8948" w14:textId="77777777" w:rsidR="006F4B64" w:rsidRDefault="006F4B64">
                <w:pPr>
                  <w:tabs>
                    <w:tab w:val="right" w:pos="8838"/>
                  </w:tabs>
                  <w:ind w:right="-107"/>
                </w:pPr>
              </w:p>
            </w:tc>
          </w:tr>
          <w:tr w:rsidR="006F4B64" w14:paraId="479A0173" w14:textId="77777777">
            <w:trPr>
              <w:trHeight w:val="276"/>
            </w:trPr>
            <w:tc>
              <w:tcPr>
                <w:tcW w:w="2525" w:type="dxa"/>
              </w:tcPr>
              <w:p w14:paraId="7981E2DF" w14:textId="77777777" w:rsidR="006F4B64" w:rsidRDefault="00D76DD8">
                <w:pPr>
                  <w:tabs>
                    <w:tab w:val="right" w:pos="8838"/>
                  </w:tabs>
                  <w:ind w:right="-105"/>
                  <w:rPr>
                    <w:b/>
                  </w:rPr>
                </w:pPr>
                <w:r>
                  <w:rPr>
                    <w:b/>
                  </w:rPr>
                  <w:t>Sujeto Obligado:</w:t>
                </w:r>
              </w:p>
            </w:tc>
            <w:tc>
              <w:tcPr>
                <w:tcW w:w="3287" w:type="dxa"/>
              </w:tcPr>
              <w:p w14:paraId="06E984D8" w14:textId="77777777" w:rsidR="006F4B64" w:rsidRDefault="00D76DD8">
                <w:pPr>
                  <w:tabs>
                    <w:tab w:val="right" w:pos="8838"/>
                  </w:tabs>
                  <w:ind w:right="33"/>
                </w:pPr>
                <w:r>
                  <w:t>Ayuntamiento de Toluca</w:t>
                </w:r>
              </w:p>
            </w:tc>
          </w:tr>
          <w:tr w:rsidR="006F4B64" w14:paraId="09679D3D" w14:textId="77777777">
            <w:trPr>
              <w:trHeight w:val="276"/>
            </w:trPr>
            <w:tc>
              <w:tcPr>
                <w:tcW w:w="2525" w:type="dxa"/>
              </w:tcPr>
              <w:p w14:paraId="7A366E58" w14:textId="77777777" w:rsidR="006F4B64" w:rsidRDefault="00D76DD8">
                <w:pPr>
                  <w:tabs>
                    <w:tab w:val="right" w:pos="8838"/>
                  </w:tabs>
                  <w:ind w:right="-105"/>
                  <w:rPr>
                    <w:b/>
                  </w:rPr>
                </w:pPr>
                <w:r>
                  <w:rPr>
                    <w:b/>
                  </w:rPr>
                  <w:t>Comisionado Ponente:</w:t>
                </w:r>
              </w:p>
            </w:tc>
            <w:tc>
              <w:tcPr>
                <w:tcW w:w="3287" w:type="dxa"/>
              </w:tcPr>
              <w:p w14:paraId="15341072" w14:textId="77777777" w:rsidR="006F4B64" w:rsidRDefault="00D76DD8">
                <w:pPr>
                  <w:tabs>
                    <w:tab w:val="right" w:pos="8838"/>
                  </w:tabs>
                  <w:ind w:right="-107"/>
                </w:pPr>
                <w:r>
                  <w:t>Luis Gustavo Parra Noriega</w:t>
                </w:r>
              </w:p>
            </w:tc>
          </w:tr>
        </w:tbl>
        <w:p w14:paraId="6707ECFF" w14:textId="77777777" w:rsidR="006F4B64" w:rsidRDefault="006F4B64">
          <w:pPr>
            <w:tabs>
              <w:tab w:val="right" w:pos="8838"/>
            </w:tabs>
            <w:ind w:left="-28"/>
            <w:rPr>
              <w:rFonts w:ascii="Arial" w:eastAsia="Arial" w:hAnsi="Arial" w:cs="Arial"/>
              <w:b/>
            </w:rPr>
          </w:pPr>
        </w:p>
      </w:tc>
    </w:tr>
  </w:tbl>
  <w:p w14:paraId="67DB83D0" w14:textId="77777777" w:rsidR="006F4B64" w:rsidRDefault="006F4B6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12A4"/>
    <w:multiLevelType w:val="multilevel"/>
    <w:tmpl w:val="A3CEA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386F8E"/>
    <w:multiLevelType w:val="multilevel"/>
    <w:tmpl w:val="AEEC0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D81E59"/>
    <w:multiLevelType w:val="multilevel"/>
    <w:tmpl w:val="FD94DD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F72250"/>
    <w:multiLevelType w:val="multilevel"/>
    <w:tmpl w:val="12BAEA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F35B23"/>
    <w:multiLevelType w:val="multilevel"/>
    <w:tmpl w:val="544C6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2D77AD"/>
    <w:multiLevelType w:val="hybridMultilevel"/>
    <w:tmpl w:val="0F4ACD0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16cid:durableId="1401365926">
    <w:abstractNumId w:val="4"/>
  </w:num>
  <w:num w:numId="2" w16cid:durableId="11617571">
    <w:abstractNumId w:val="0"/>
  </w:num>
  <w:num w:numId="3" w16cid:durableId="1488592904">
    <w:abstractNumId w:val="2"/>
  </w:num>
  <w:num w:numId="4" w16cid:durableId="224493279">
    <w:abstractNumId w:val="3"/>
  </w:num>
  <w:num w:numId="5" w16cid:durableId="293826529">
    <w:abstractNumId w:val="1"/>
  </w:num>
  <w:num w:numId="6" w16cid:durableId="2122072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64"/>
    <w:rsid w:val="000F05C1"/>
    <w:rsid w:val="00280CE2"/>
    <w:rsid w:val="002D4224"/>
    <w:rsid w:val="002D6CF2"/>
    <w:rsid w:val="00312E22"/>
    <w:rsid w:val="003978D5"/>
    <w:rsid w:val="00537AF2"/>
    <w:rsid w:val="00666465"/>
    <w:rsid w:val="006F4B64"/>
    <w:rsid w:val="00897F8E"/>
    <w:rsid w:val="008B408E"/>
    <w:rsid w:val="008E6B71"/>
    <w:rsid w:val="00906535"/>
    <w:rsid w:val="00A3206B"/>
    <w:rsid w:val="00A56B16"/>
    <w:rsid w:val="00A73C7A"/>
    <w:rsid w:val="00A86612"/>
    <w:rsid w:val="00CB613A"/>
    <w:rsid w:val="00CD6F58"/>
    <w:rsid w:val="00D35933"/>
    <w:rsid w:val="00D41DCB"/>
    <w:rsid w:val="00D76DD8"/>
    <w:rsid w:val="00E25829"/>
    <w:rsid w:val="00F11478"/>
    <w:rsid w:val="00FE6E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90E16"/>
  <w15:docId w15:val="{5DCD832F-2BF0-4DDC-908D-DA87419A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1"/>
    <w:pPr>
      <w:spacing w:after="0" w:line="240" w:lineRule="auto"/>
    </w:pPr>
    <w:tblPr>
      <w:tblStyleRowBandSize w:val="1"/>
      <w:tblStyleColBandSize w:val="1"/>
      <w:tblCellMar>
        <w:left w:w="108" w:type="dxa"/>
        <w:right w:w="108" w:type="dxa"/>
      </w:tblCellMar>
    </w:tblPr>
  </w:style>
  <w:style w:type="table" w:customStyle="1" w:styleId="a0">
    <w:basedOn w:val="TableNormalf1"/>
    <w:pPr>
      <w:spacing w:after="0" w:line="240" w:lineRule="auto"/>
    </w:pPr>
    <w:tblPr>
      <w:tblStyleRowBandSize w:val="1"/>
      <w:tblStyleColBandSize w:val="1"/>
      <w:tblCellMar>
        <w:left w:w="108" w:type="dxa"/>
        <w:right w:w="108" w:type="dxa"/>
      </w:tblCellMar>
    </w:tbl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1"/>
    <w:pPr>
      <w:spacing w:after="0" w:line="240" w:lineRule="auto"/>
    </w:pPr>
    <w:tblPr>
      <w:tblStyleRowBandSize w:val="1"/>
      <w:tblStyleColBandSize w:val="1"/>
      <w:tblCellMar>
        <w:left w:w="108" w:type="dxa"/>
        <w:right w:w="108" w:type="dxa"/>
      </w:tblCellMar>
    </w:tblPr>
  </w:style>
  <w:style w:type="table" w:customStyle="1" w:styleId="a4">
    <w:basedOn w:val="TableNormalf1"/>
    <w:pPr>
      <w:spacing w:after="0" w:line="240" w:lineRule="auto"/>
    </w:pPr>
    <w:tblPr>
      <w:tblStyleRowBandSize w:val="1"/>
      <w:tblStyleColBandSize w:val="1"/>
      <w:tblCellMar>
        <w:left w:w="108" w:type="dxa"/>
        <w:right w:w="108" w:type="dxa"/>
      </w:tblCellMar>
    </w:tblPr>
  </w:style>
  <w:style w:type="table" w:customStyle="1" w:styleId="a5">
    <w:basedOn w:val="TableNormalf1"/>
    <w:pPr>
      <w:spacing w:after="0" w:line="240" w:lineRule="auto"/>
    </w:pPr>
    <w:tblPr>
      <w:tblStyleRowBandSize w:val="1"/>
      <w:tblStyleColBandSize w:val="1"/>
      <w:tblCellMar>
        <w:left w:w="108" w:type="dxa"/>
        <w:right w:w="108" w:type="dxa"/>
      </w:tblCellMar>
    </w:tblPr>
  </w:style>
  <w:style w:type="table" w:customStyle="1" w:styleId="a6">
    <w:basedOn w:val="TableNormalf1"/>
    <w:pPr>
      <w:spacing w:after="0" w:line="240" w:lineRule="auto"/>
    </w:pPr>
    <w:tblPr>
      <w:tblStyleRowBandSize w:val="1"/>
      <w:tblStyleColBandSize w:val="1"/>
      <w:tblCellMar>
        <w:left w:w="108" w:type="dxa"/>
        <w:right w:w="108" w:type="dxa"/>
      </w:tblCellMar>
    </w:tblPr>
  </w:style>
  <w:style w:type="table" w:customStyle="1" w:styleId="a7">
    <w:basedOn w:val="TableNormalf0"/>
    <w:pPr>
      <w:spacing w:after="0" w:line="240" w:lineRule="auto"/>
    </w:pPr>
    <w:tblPr>
      <w:tblStyleRowBandSize w:val="1"/>
      <w:tblStyleColBandSize w:val="1"/>
      <w:tblCellMar>
        <w:left w:w="108" w:type="dxa"/>
        <w:right w:w="108" w:type="dxa"/>
      </w:tblCellMar>
    </w:tblPr>
  </w:style>
  <w:style w:type="table" w:customStyle="1" w:styleId="a8">
    <w:basedOn w:val="TableNormalf0"/>
    <w:pPr>
      <w:spacing w:after="0" w:line="240" w:lineRule="auto"/>
    </w:pPr>
    <w:tblPr>
      <w:tblStyleRowBandSize w:val="1"/>
      <w:tblStyleColBandSize w:val="1"/>
      <w:tblCellMar>
        <w:left w:w="108" w:type="dxa"/>
        <w:right w:w="108" w:type="dxa"/>
      </w:tblCellMar>
    </w:tblPr>
  </w:style>
  <w:style w:type="table" w:customStyle="1" w:styleId="a9">
    <w:basedOn w:val="TableNormalf0"/>
    <w:pPr>
      <w:spacing w:after="0" w:line="240" w:lineRule="auto"/>
    </w:pPr>
    <w:tblPr>
      <w:tblStyleRowBandSize w:val="1"/>
      <w:tblStyleColBandSize w:val="1"/>
      <w:tblCellMar>
        <w:left w:w="108" w:type="dxa"/>
        <w:right w:w="108" w:type="dxa"/>
      </w:tblCellMar>
    </w:tblPr>
  </w:style>
  <w:style w:type="table" w:customStyle="1" w:styleId="aa">
    <w:basedOn w:val="TableNormalf0"/>
    <w:pPr>
      <w:spacing w:after="0" w:line="240" w:lineRule="auto"/>
    </w:pPr>
    <w:tblPr>
      <w:tblStyleRowBandSize w:val="1"/>
      <w:tblStyleColBandSize w:val="1"/>
      <w:tblCellMar>
        <w:left w:w="108" w:type="dxa"/>
        <w:right w:w="108" w:type="dxa"/>
      </w:tblCellMar>
    </w:tblPr>
  </w:style>
  <w:style w:type="table" w:customStyle="1" w:styleId="ab">
    <w:basedOn w:val="TableNormalf"/>
    <w:pPr>
      <w:spacing w:after="0" w:line="240" w:lineRule="auto"/>
    </w:pPr>
    <w:tblPr>
      <w:tblStyleRowBandSize w:val="1"/>
      <w:tblStyleColBandSize w:val="1"/>
      <w:tblCellMar>
        <w:left w:w="108" w:type="dxa"/>
        <w:right w:w="108" w:type="dxa"/>
      </w:tblCellMar>
    </w:tblPr>
  </w:style>
  <w:style w:type="table" w:customStyle="1" w:styleId="ac">
    <w:basedOn w:val="TableNormalf"/>
    <w:pPr>
      <w:spacing w:after="0" w:line="240" w:lineRule="auto"/>
    </w:pPr>
    <w:tblPr>
      <w:tblStyleRowBandSize w:val="1"/>
      <w:tblStyleColBandSize w:val="1"/>
      <w:tblCellMar>
        <w:left w:w="108" w:type="dxa"/>
        <w:right w:w="108" w:type="dxa"/>
      </w:tblCellMar>
    </w:tblPr>
  </w:style>
  <w:style w:type="table" w:customStyle="1" w:styleId="ad">
    <w:basedOn w:val="TableNormalf"/>
    <w:pPr>
      <w:spacing w:after="0" w:line="240" w:lineRule="auto"/>
    </w:pPr>
    <w:tblPr>
      <w:tblStyleRowBandSize w:val="1"/>
      <w:tblStyleColBandSize w:val="1"/>
      <w:tblCellMar>
        <w:left w:w="108" w:type="dxa"/>
        <w:right w:w="108" w:type="dxa"/>
      </w:tblCellMar>
    </w:tblPr>
  </w:style>
  <w:style w:type="table" w:customStyle="1" w:styleId="ae">
    <w:basedOn w:val="TableNormalf"/>
    <w:pPr>
      <w:spacing w:after="0" w:line="240" w:lineRule="auto"/>
    </w:pPr>
    <w:tblPr>
      <w:tblStyleRowBandSize w:val="1"/>
      <w:tblStyleColBandSize w:val="1"/>
      <w:tblCellMar>
        <w:left w:w="108" w:type="dxa"/>
        <w:right w:w="108" w:type="dxa"/>
      </w:tblCellMar>
    </w:tblPr>
  </w:style>
  <w:style w:type="table" w:customStyle="1" w:styleId="af">
    <w:basedOn w:val="TableNormale"/>
    <w:pPr>
      <w:spacing w:after="0" w:line="240" w:lineRule="auto"/>
    </w:pPr>
    <w:tblPr>
      <w:tblStyleRowBandSize w:val="1"/>
      <w:tblStyleColBandSize w:val="1"/>
      <w:tblCellMar>
        <w:left w:w="108" w:type="dxa"/>
        <w:right w:w="108" w:type="dxa"/>
      </w:tblCellMar>
    </w:tblPr>
  </w:style>
  <w:style w:type="table" w:customStyle="1" w:styleId="af0">
    <w:basedOn w:val="TableNormale"/>
    <w:pPr>
      <w:spacing w:after="0" w:line="240" w:lineRule="auto"/>
    </w:pPr>
    <w:tblPr>
      <w:tblStyleRowBandSize w:val="1"/>
      <w:tblStyleColBandSize w:val="1"/>
      <w:tblCellMar>
        <w:left w:w="108" w:type="dxa"/>
        <w:right w:w="108" w:type="dxa"/>
      </w:tblCellMar>
    </w:tblPr>
  </w:style>
  <w:style w:type="table" w:customStyle="1" w:styleId="af1">
    <w:basedOn w:val="TableNormale"/>
    <w:pPr>
      <w:spacing w:after="0" w:line="240" w:lineRule="auto"/>
    </w:pPr>
    <w:tblPr>
      <w:tblStyleRowBandSize w:val="1"/>
      <w:tblStyleColBandSize w:val="1"/>
      <w:tblCellMar>
        <w:left w:w="108" w:type="dxa"/>
        <w:right w:w="108" w:type="dxa"/>
      </w:tblCellMar>
    </w:tblPr>
  </w:style>
  <w:style w:type="table" w:customStyle="1" w:styleId="af2">
    <w:basedOn w:val="TableNormale"/>
    <w:pPr>
      <w:spacing w:after="0" w:line="240" w:lineRule="auto"/>
    </w:pPr>
    <w:tblPr>
      <w:tblStyleRowBandSize w:val="1"/>
      <w:tblStyleColBandSize w:val="1"/>
      <w:tblCellMar>
        <w:left w:w="108" w:type="dxa"/>
        <w:right w:w="108" w:type="dxa"/>
      </w:tblCellMar>
    </w:tblPr>
  </w:style>
  <w:style w:type="table" w:customStyle="1" w:styleId="af3">
    <w:basedOn w:val="TableNormald"/>
    <w:pPr>
      <w:spacing w:after="0" w:line="240" w:lineRule="auto"/>
    </w:pPr>
    <w:tblPr>
      <w:tblStyleRowBandSize w:val="1"/>
      <w:tblStyleColBandSize w:val="1"/>
      <w:tblCellMar>
        <w:left w:w="108" w:type="dxa"/>
        <w:right w:w="108" w:type="dxa"/>
      </w:tblCellMar>
    </w:tblPr>
  </w:style>
  <w:style w:type="table" w:customStyle="1" w:styleId="af4">
    <w:basedOn w:val="TableNormald"/>
    <w:pPr>
      <w:spacing w:after="0" w:line="240" w:lineRule="auto"/>
    </w:pPr>
    <w:tblPr>
      <w:tblStyleRowBandSize w:val="1"/>
      <w:tblStyleColBandSize w:val="1"/>
      <w:tblCellMar>
        <w:left w:w="108" w:type="dxa"/>
        <w:right w:w="108" w:type="dxa"/>
      </w:tblCellMar>
    </w:tblPr>
  </w:style>
  <w:style w:type="table" w:customStyle="1" w:styleId="af5">
    <w:basedOn w:val="TableNormald"/>
    <w:pPr>
      <w:spacing w:after="0" w:line="240" w:lineRule="auto"/>
    </w:pPr>
    <w:tblPr>
      <w:tblStyleRowBandSize w:val="1"/>
      <w:tblStyleColBandSize w:val="1"/>
      <w:tblCellMar>
        <w:left w:w="108" w:type="dxa"/>
        <w:right w:w="108" w:type="dxa"/>
      </w:tblCellMar>
    </w:tblPr>
  </w:style>
  <w:style w:type="table" w:customStyle="1" w:styleId="af6">
    <w:basedOn w:val="TableNormald"/>
    <w:pPr>
      <w:spacing w:after="0" w:line="240" w:lineRule="auto"/>
    </w:pPr>
    <w:tblPr>
      <w:tblStyleRowBandSize w:val="1"/>
      <w:tblStyleColBandSize w:val="1"/>
      <w:tblCellMar>
        <w:left w:w="108" w:type="dxa"/>
        <w:right w:w="108" w:type="dxa"/>
      </w:tblCellMar>
    </w:tblPr>
  </w:style>
  <w:style w:type="table" w:customStyle="1" w:styleId="af7">
    <w:basedOn w:val="TableNormalc"/>
    <w:pPr>
      <w:spacing w:after="0" w:line="240" w:lineRule="auto"/>
    </w:pPr>
    <w:tblPr>
      <w:tblStyleRowBandSize w:val="1"/>
      <w:tblStyleColBandSize w:val="1"/>
      <w:tblCellMar>
        <w:left w:w="108" w:type="dxa"/>
        <w:right w:w="108" w:type="dxa"/>
      </w:tblCellMar>
    </w:tblPr>
  </w:style>
  <w:style w:type="table" w:customStyle="1" w:styleId="af8">
    <w:basedOn w:val="TableNormalc"/>
    <w:pPr>
      <w:spacing w:after="0" w:line="240" w:lineRule="auto"/>
    </w:pPr>
    <w:tblPr>
      <w:tblStyleRowBandSize w:val="1"/>
      <w:tblStyleColBandSize w:val="1"/>
      <w:tblCellMar>
        <w:left w:w="108" w:type="dxa"/>
        <w:right w:w="108" w:type="dxa"/>
      </w:tblCellMar>
    </w:tblPr>
  </w:style>
  <w:style w:type="table" w:customStyle="1" w:styleId="af9">
    <w:basedOn w:val="TableNormalc"/>
    <w:pPr>
      <w:spacing w:after="0" w:line="240" w:lineRule="auto"/>
    </w:pPr>
    <w:tblPr>
      <w:tblStyleRowBandSize w:val="1"/>
      <w:tblStyleColBandSize w:val="1"/>
      <w:tblCellMar>
        <w:left w:w="108" w:type="dxa"/>
        <w:right w:w="108" w:type="dxa"/>
      </w:tblCellMar>
    </w:tblPr>
  </w:style>
  <w:style w:type="table" w:customStyle="1" w:styleId="afa">
    <w:basedOn w:val="TableNormalc"/>
    <w:pPr>
      <w:spacing w:after="0" w:line="240" w:lineRule="auto"/>
    </w:pPr>
    <w:tblPr>
      <w:tblStyleRowBandSize w:val="1"/>
      <w:tblStyleColBandSize w:val="1"/>
      <w:tblCellMar>
        <w:left w:w="108" w:type="dxa"/>
        <w:right w:w="108" w:type="dxa"/>
      </w:tblCellMar>
    </w:tblPr>
  </w:style>
  <w:style w:type="table" w:customStyle="1" w:styleId="afb">
    <w:basedOn w:val="TableNormalb"/>
    <w:pPr>
      <w:spacing w:after="0" w:line="240" w:lineRule="auto"/>
    </w:pPr>
    <w:tblPr>
      <w:tblStyleRowBandSize w:val="1"/>
      <w:tblStyleColBandSize w:val="1"/>
      <w:tblCellMar>
        <w:left w:w="108" w:type="dxa"/>
        <w:right w:w="108" w:type="dxa"/>
      </w:tblCellMar>
    </w:tblPr>
  </w:style>
  <w:style w:type="table" w:customStyle="1" w:styleId="afc">
    <w:basedOn w:val="TableNormalb"/>
    <w:pPr>
      <w:spacing w:after="0" w:line="240" w:lineRule="auto"/>
    </w:pPr>
    <w:tblPr>
      <w:tblStyleRowBandSize w:val="1"/>
      <w:tblStyleColBandSize w:val="1"/>
      <w:tblCellMar>
        <w:left w:w="108" w:type="dxa"/>
        <w:right w:w="108" w:type="dxa"/>
      </w:tblCellMar>
    </w:tblPr>
  </w:style>
  <w:style w:type="table" w:customStyle="1" w:styleId="afd">
    <w:basedOn w:val="TableNormalb"/>
    <w:pPr>
      <w:spacing w:after="0" w:line="240" w:lineRule="auto"/>
    </w:pPr>
    <w:tblPr>
      <w:tblStyleRowBandSize w:val="1"/>
      <w:tblStyleColBandSize w:val="1"/>
      <w:tblCellMar>
        <w:left w:w="108" w:type="dxa"/>
        <w:right w:w="108" w:type="dxa"/>
      </w:tblCellMar>
    </w:tblPr>
  </w:style>
  <w:style w:type="table" w:customStyle="1" w:styleId="afe">
    <w:basedOn w:val="TableNormalb"/>
    <w:pPr>
      <w:spacing w:after="0" w:line="240" w:lineRule="auto"/>
    </w:pPr>
    <w:tblPr>
      <w:tblStyleRowBandSize w:val="1"/>
      <w:tblStyleColBandSize w:val="1"/>
      <w:tblCellMar>
        <w:left w:w="108" w:type="dxa"/>
        <w:right w:w="108" w:type="dxa"/>
      </w:tblCellMar>
    </w:tblPr>
  </w:style>
  <w:style w:type="table" w:customStyle="1" w:styleId="aff">
    <w:basedOn w:val="TableNormala"/>
    <w:pPr>
      <w:spacing w:after="0" w:line="240" w:lineRule="auto"/>
    </w:pPr>
    <w:tblPr>
      <w:tblStyleRowBandSize w:val="1"/>
      <w:tblStyleColBandSize w:val="1"/>
      <w:tblCellMar>
        <w:left w:w="108" w:type="dxa"/>
        <w:right w:w="108" w:type="dxa"/>
      </w:tblCellMar>
    </w:tblPr>
  </w:style>
  <w:style w:type="table" w:customStyle="1" w:styleId="aff0">
    <w:basedOn w:val="TableNormala"/>
    <w:pPr>
      <w:spacing w:after="0" w:line="240" w:lineRule="auto"/>
    </w:pPr>
    <w:tblPr>
      <w:tblStyleRowBandSize w:val="1"/>
      <w:tblStyleColBandSize w:val="1"/>
      <w:tblCellMar>
        <w:left w:w="108" w:type="dxa"/>
        <w:right w:w="108" w:type="dxa"/>
      </w:tblCellMar>
    </w:tblPr>
  </w:style>
  <w:style w:type="table" w:customStyle="1" w:styleId="aff1">
    <w:basedOn w:val="TableNormala"/>
    <w:pPr>
      <w:spacing w:after="0" w:line="240" w:lineRule="auto"/>
    </w:pPr>
    <w:tblPr>
      <w:tblStyleRowBandSize w:val="1"/>
      <w:tblStyleColBandSize w:val="1"/>
      <w:tblCellMar>
        <w:left w:w="108" w:type="dxa"/>
        <w:right w:w="108" w:type="dxa"/>
      </w:tblCellMar>
    </w:tblPr>
  </w:style>
  <w:style w:type="table" w:customStyle="1" w:styleId="aff2">
    <w:basedOn w:val="TableNormala"/>
    <w:pPr>
      <w:spacing w:after="0" w:line="240" w:lineRule="auto"/>
    </w:pPr>
    <w:tblPr>
      <w:tblStyleRowBandSize w:val="1"/>
      <w:tblStyleColBandSize w:val="1"/>
      <w:tblCellMar>
        <w:left w:w="108" w:type="dxa"/>
        <w:right w:w="108" w:type="dxa"/>
      </w:tblCellMar>
    </w:tblPr>
  </w:style>
  <w:style w:type="table" w:customStyle="1" w:styleId="aff3">
    <w:basedOn w:val="TableNormal9"/>
    <w:pPr>
      <w:spacing w:after="0" w:line="240" w:lineRule="auto"/>
    </w:pPr>
    <w:tblPr>
      <w:tblStyleRowBandSize w:val="1"/>
      <w:tblStyleColBandSize w:val="1"/>
      <w:tblCellMar>
        <w:left w:w="108" w:type="dxa"/>
        <w:right w:w="108" w:type="dxa"/>
      </w:tblCellMar>
    </w:tblPr>
  </w:style>
  <w:style w:type="table" w:customStyle="1" w:styleId="aff4">
    <w:basedOn w:val="TableNormal9"/>
    <w:pPr>
      <w:spacing w:after="0" w:line="240" w:lineRule="auto"/>
    </w:pPr>
    <w:tblPr>
      <w:tblStyleRowBandSize w:val="1"/>
      <w:tblStyleColBandSize w:val="1"/>
      <w:tblCellMar>
        <w:left w:w="108" w:type="dxa"/>
        <w:right w:w="108" w:type="dxa"/>
      </w:tblCellMar>
    </w:tblPr>
  </w:style>
  <w:style w:type="table" w:customStyle="1" w:styleId="aff5">
    <w:basedOn w:val="TableNormal9"/>
    <w:pPr>
      <w:spacing w:after="0" w:line="240" w:lineRule="auto"/>
    </w:pPr>
    <w:tblPr>
      <w:tblStyleRowBandSize w:val="1"/>
      <w:tblStyleColBandSize w:val="1"/>
      <w:tblCellMar>
        <w:left w:w="108" w:type="dxa"/>
        <w:right w:w="108" w:type="dxa"/>
      </w:tblCellMar>
    </w:tblPr>
  </w:style>
  <w:style w:type="table" w:customStyle="1" w:styleId="aff6">
    <w:basedOn w:val="TableNormal9"/>
    <w:pPr>
      <w:spacing w:after="0" w:line="240" w:lineRule="auto"/>
    </w:pPr>
    <w:tblPr>
      <w:tblStyleRowBandSize w:val="1"/>
      <w:tblStyleColBandSize w:val="1"/>
      <w:tblCellMar>
        <w:left w:w="108" w:type="dxa"/>
        <w:right w:w="108" w:type="dxa"/>
      </w:tblCellMar>
    </w:tblPr>
  </w:style>
  <w:style w:type="table" w:customStyle="1" w:styleId="aff7">
    <w:basedOn w:val="TableNormal8"/>
    <w:pPr>
      <w:spacing w:after="0" w:line="240" w:lineRule="auto"/>
    </w:pPr>
    <w:tblPr>
      <w:tblStyleRowBandSize w:val="1"/>
      <w:tblStyleColBandSize w:val="1"/>
      <w:tblCellMar>
        <w:left w:w="108" w:type="dxa"/>
        <w:right w:w="108" w:type="dxa"/>
      </w:tblCellMar>
    </w:tblPr>
  </w:style>
  <w:style w:type="table" w:customStyle="1" w:styleId="aff8">
    <w:basedOn w:val="TableNormal8"/>
    <w:pPr>
      <w:spacing w:after="0" w:line="240" w:lineRule="auto"/>
    </w:pPr>
    <w:tblPr>
      <w:tblStyleRowBandSize w:val="1"/>
      <w:tblStyleColBandSize w:val="1"/>
      <w:tblCellMar>
        <w:left w:w="108" w:type="dxa"/>
        <w:right w:w="108" w:type="dxa"/>
      </w:tblCellMar>
    </w:tblPr>
  </w:style>
  <w:style w:type="table" w:customStyle="1" w:styleId="aff9">
    <w:basedOn w:val="TableNormal8"/>
    <w:pPr>
      <w:spacing w:after="0" w:line="240" w:lineRule="auto"/>
    </w:pPr>
    <w:tblPr>
      <w:tblStyleRowBandSize w:val="1"/>
      <w:tblStyleColBandSize w:val="1"/>
      <w:tblCellMar>
        <w:left w:w="108" w:type="dxa"/>
        <w:right w:w="108" w:type="dxa"/>
      </w:tblCellMar>
    </w:tblPr>
  </w:style>
  <w:style w:type="table" w:customStyle="1" w:styleId="affa">
    <w:basedOn w:val="TableNormal8"/>
    <w:pPr>
      <w:spacing w:after="0" w:line="240" w:lineRule="auto"/>
    </w:pPr>
    <w:tblPr>
      <w:tblStyleRowBandSize w:val="1"/>
      <w:tblStyleColBandSize w:val="1"/>
      <w:tblCellMar>
        <w:left w:w="108" w:type="dxa"/>
        <w:right w:w="108" w:type="dxa"/>
      </w:tblCellMar>
    </w:tblPr>
  </w:style>
  <w:style w:type="table" w:customStyle="1" w:styleId="affb">
    <w:basedOn w:val="TableNormal8"/>
    <w:pPr>
      <w:spacing w:after="0" w:line="240" w:lineRule="auto"/>
    </w:pPr>
    <w:tblPr>
      <w:tblStyleRowBandSize w:val="1"/>
      <w:tblStyleColBandSize w:val="1"/>
      <w:tblCellMar>
        <w:left w:w="108" w:type="dxa"/>
        <w:right w:w="108" w:type="dxa"/>
      </w:tblCellMar>
    </w:tblPr>
  </w:style>
  <w:style w:type="table" w:customStyle="1" w:styleId="affc">
    <w:basedOn w:val="TableNormal8"/>
    <w:pPr>
      <w:spacing w:after="0" w:line="240" w:lineRule="auto"/>
    </w:pPr>
    <w:tblPr>
      <w:tblStyleRowBandSize w:val="1"/>
      <w:tblStyleColBandSize w:val="1"/>
      <w:tblCellMar>
        <w:left w:w="108" w:type="dxa"/>
        <w:right w:w="108" w:type="dxa"/>
      </w:tblCellMar>
    </w:tblPr>
  </w:style>
  <w:style w:type="table" w:customStyle="1" w:styleId="affd">
    <w:basedOn w:val="TableNormal8"/>
    <w:pPr>
      <w:spacing w:after="0" w:line="240" w:lineRule="auto"/>
    </w:pPr>
    <w:tblPr>
      <w:tblStyleRowBandSize w:val="1"/>
      <w:tblStyleColBandSize w:val="1"/>
      <w:tblCellMar>
        <w:left w:w="108" w:type="dxa"/>
        <w:right w:w="108" w:type="dxa"/>
      </w:tblCellMar>
    </w:tblPr>
  </w:style>
  <w:style w:type="table" w:customStyle="1" w:styleId="affe">
    <w:basedOn w:val="TableNormal8"/>
    <w:pPr>
      <w:spacing w:after="0" w:line="240" w:lineRule="auto"/>
    </w:pPr>
    <w:tblPr>
      <w:tblStyleRowBandSize w:val="1"/>
      <w:tblStyleColBandSize w:val="1"/>
      <w:tblCellMar>
        <w:left w:w="108" w:type="dxa"/>
        <w:right w:w="108" w:type="dxa"/>
      </w:tblCellMar>
    </w:tblPr>
  </w:style>
  <w:style w:type="table" w:customStyle="1" w:styleId="afff">
    <w:basedOn w:val="TableNormal8"/>
    <w:pPr>
      <w:spacing w:after="0" w:line="240" w:lineRule="auto"/>
    </w:pPr>
    <w:tblPr>
      <w:tblStyleRowBandSize w:val="1"/>
      <w:tblStyleColBandSize w:val="1"/>
      <w:tblCellMar>
        <w:left w:w="108" w:type="dxa"/>
        <w:right w:w="108" w:type="dxa"/>
      </w:tblCellMar>
    </w:tblPr>
  </w:style>
  <w:style w:type="table" w:customStyle="1" w:styleId="afff0">
    <w:basedOn w:val="TableNormal8"/>
    <w:pPr>
      <w:spacing w:after="0" w:line="240" w:lineRule="auto"/>
    </w:pPr>
    <w:tblPr>
      <w:tblStyleRowBandSize w:val="1"/>
      <w:tblStyleColBandSize w:val="1"/>
      <w:tblCellMar>
        <w:left w:w="108" w:type="dxa"/>
        <w:right w:w="108" w:type="dxa"/>
      </w:tblCellMar>
    </w:tblPr>
  </w:style>
  <w:style w:type="table" w:customStyle="1" w:styleId="afff1">
    <w:basedOn w:val="TableNormal8"/>
    <w:pPr>
      <w:spacing w:after="0" w:line="240" w:lineRule="auto"/>
    </w:pPr>
    <w:tblPr>
      <w:tblStyleRowBandSize w:val="1"/>
      <w:tblStyleColBandSize w:val="1"/>
      <w:tblCellMar>
        <w:left w:w="108" w:type="dxa"/>
        <w:right w:w="108" w:type="dxa"/>
      </w:tblCellMar>
    </w:tblPr>
  </w:style>
  <w:style w:type="table" w:customStyle="1" w:styleId="afff2">
    <w:basedOn w:val="TableNormal8"/>
    <w:pPr>
      <w:spacing w:after="0" w:line="240" w:lineRule="auto"/>
    </w:pPr>
    <w:tblPr>
      <w:tblStyleRowBandSize w:val="1"/>
      <w:tblStyleColBandSize w:val="1"/>
      <w:tblCellMar>
        <w:left w:w="108" w:type="dxa"/>
        <w:right w:w="108" w:type="dxa"/>
      </w:tblCellMar>
    </w:tblPr>
  </w:style>
  <w:style w:type="table" w:customStyle="1" w:styleId="afff3">
    <w:basedOn w:val="TableNormal8"/>
    <w:pPr>
      <w:spacing w:after="0" w:line="240" w:lineRule="auto"/>
    </w:pPr>
    <w:tblPr>
      <w:tblStyleRowBandSize w:val="1"/>
      <w:tblStyleColBandSize w:val="1"/>
      <w:tblCellMar>
        <w:left w:w="108" w:type="dxa"/>
        <w:right w:w="108" w:type="dxa"/>
      </w:tblCellMar>
    </w:tblPr>
  </w:style>
  <w:style w:type="table" w:customStyle="1" w:styleId="afff4">
    <w:basedOn w:val="TableNormal8"/>
    <w:pPr>
      <w:spacing w:after="0" w:line="240" w:lineRule="auto"/>
    </w:pPr>
    <w:tblPr>
      <w:tblStyleRowBandSize w:val="1"/>
      <w:tblStyleColBandSize w:val="1"/>
      <w:tblCellMar>
        <w:left w:w="108" w:type="dxa"/>
        <w:right w:w="108" w:type="dxa"/>
      </w:tblCellMar>
    </w:tblPr>
  </w:style>
  <w:style w:type="table" w:customStyle="1" w:styleId="afff5">
    <w:basedOn w:val="TableNormal8"/>
    <w:pPr>
      <w:spacing w:after="0" w:line="240" w:lineRule="auto"/>
    </w:pPr>
    <w:tblPr>
      <w:tblStyleRowBandSize w:val="1"/>
      <w:tblStyleColBandSize w:val="1"/>
      <w:tblCellMar>
        <w:left w:w="108" w:type="dxa"/>
        <w:right w:w="108" w:type="dxa"/>
      </w:tblCellMar>
    </w:tblPr>
  </w:style>
  <w:style w:type="table" w:customStyle="1" w:styleId="afff6">
    <w:basedOn w:val="TableNormal8"/>
    <w:pPr>
      <w:spacing w:after="0" w:line="240" w:lineRule="auto"/>
    </w:pPr>
    <w:tblPr>
      <w:tblStyleRowBandSize w:val="1"/>
      <w:tblStyleColBandSize w:val="1"/>
      <w:tblCellMar>
        <w:left w:w="108" w:type="dxa"/>
        <w:right w:w="108" w:type="dxa"/>
      </w:tblCellMar>
    </w:tblPr>
  </w:style>
  <w:style w:type="table" w:customStyle="1" w:styleId="afff7">
    <w:basedOn w:val="TableNormal8"/>
    <w:pPr>
      <w:spacing w:after="0" w:line="240" w:lineRule="auto"/>
    </w:pPr>
    <w:tblPr>
      <w:tblStyleRowBandSize w:val="1"/>
      <w:tblStyleColBandSize w:val="1"/>
      <w:tblCellMar>
        <w:left w:w="108" w:type="dxa"/>
        <w:right w:w="108" w:type="dxa"/>
      </w:tblCellMar>
    </w:tblPr>
  </w:style>
  <w:style w:type="table" w:customStyle="1" w:styleId="afff8">
    <w:basedOn w:val="TableNormal8"/>
    <w:pPr>
      <w:spacing w:after="0" w:line="240" w:lineRule="auto"/>
    </w:pPr>
    <w:tblPr>
      <w:tblStyleRowBandSize w:val="1"/>
      <w:tblStyleColBandSize w:val="1"/>
      <w:tblCellMar>
        <w:left w:w="108" w:type="dxa"/>
        <w:right w:w="108" w:type="dxa"/>
      </w:tblCellMar>
    </w:tblPr>
  </w:style>
  <w:style w:type="table" w:customStyle="1" w:styleId="afff9">
    <w:basedOn w:val="TableNormal8"/>
    <w:pPr>
      <w:spacing w:after="0" w:line="240" w:lineRule="auto"/>
    </w:pPr>
    <w:tblPr>
      <w:tblStyleRowBandSize w:val="1"/>
      <w:tblStyleColBandSize w:val="1"/>
      <w:tblCellMar>
        <w:left w:w="108" w:type="dxa"/>
        <w:right w:w="108" w:type="dxa"/>
      </w:tblCellMar>
    </w:tblPr>
  </w:style>
  <w:style w:type="table" w:customStyle="1" w:styleId="afffa">
    <w:basedOn w:val="TableNormal8"/>
    <w:pPr>
      <w:spacing w:after="0" w:line="240" w:lineRule="auto"/>
    </w:pPr>
    <w:tblPr>
      <w:tblStyleRowBandSize w:val="1"/>
      <w:tblStyleColBandSize w:val="1"/>
      <w:tblCellMar>
        <w:left w:w="108" w:type="dxa"/>
        <w:right w:w="108" w:type="dxa"/>
      </w:tblCellMar>
    </w:tblPr>
  </w:style>
  <w:style w:type="table" w:customStyle="1" w:styleId="afffb">
    <w:basedOn w:val="TableNormal8"/>
    <w:pPr>
      <w:spacing w:after="0" w:line="240" w:lineRule="auto"/>
    </w:pPr>
    <w:tblPr>
      <w:tblStyleRowBandSize w:val="1"/>
      <w:tblStyleColBandSize w:val="1"/>
      <w:tblCellMar>
        <w:left w:w="108" w:type="dxa"/>
        <w:right w:w="108" w:type="dxa"/>
      </w:tblCellMar>
    </w:tblPr>
  </w:style>
  <w:style w:type="table" w:customStyle="1" w:styleId="afffc">
    <w:basedOn w:val="TableNormal8"/>
    <w:pPr>
      <w:spacing w:after="0" w:line="240" w:lineRule="auto"/>
    </w:pPr>
    <w:tblPr>
      <w:tblStyleRowBandSize w:val="1"/>
      <w:tblStyleColBandSize w:val="1"/>
      <w:tblCellMar>
        <w:left w:w="108" w:type="dxa"/>
        <w:right w:w="108" w:type="dxa"/>
      </w:tblCellMar>
    </w:tblPr>
  </w:style>
  <w:style w:type="table" w:customStyle="1" w:styleId="afffd">
    <w:basedOn w:val="TableNormal7"/>
    <w:pPr>
      <w:spacing w:after="0" w:line="240" w:lineRule="auto"/>
    </w:pPr>
    <w:tblPr>
      <w:tblStyleRowBandSize w:val="1"/>
      <w:tblStyleColBandSize w:val="1"/>
      <w:tblCellMar>
        <w:left w:w="108" w:type="dxa"/>
        <w:right w:w="108" w:type="dxa"/>
      </w:tblCellMar>
    </w:tblPr>
  </w:style>
  <w:style w:type="table" w:customStyle="1" w:styleId="afffe">
    <w:basedOn w:val="TableNormal7"/>
    <w:pPr>
      <w:spacing w:after="0" w:line="240" w:lineRule="auto"/>
    </w:pPr>
    <w:tblPr>
      <w:tblStyleRowBandSize w:val="1"/>
      <w:tblStyleColBandSize w:val="1"/>
      <w:tblCellMar>
        <w:left w:w="108" w:type="dxa"/>
        <w:right w:w="108" w:type="dxa"/>
      </w:tblCellMar>
    </w:tblPr>
  </w:style>
  <w:style w:type="table" w:customStyle="1" w:styleId="affff">
    <w:basedOn w:val="TableNormal7"/>
    <w:pPr>
      <w:spacing w:after="0" w:line="240" w:lineRule="auto"/>
    </w:pPr>
    <w:tblPr>
      <w:tblStyleRowBandSize w:val="1"/>
      <w:tblStyleColBandSize w:val="1"/>
      <w:tblCellMar>
        <w:left w:w="108" w:type="dxa"/>
        <w:right w:w="108" w:type="dxa"/>
      </w:tblCellMar>
    </w:tblPr>
  </w:style>
  <w:style w:type="table" w:customStyle="1" w:styleId="affff0">
    <w:basedOn w:val="TableNormal7"/>
    <w:pPr>
      <w:spacing w:after="0" w:line="240" w:lineRule="auto"/>
    </w:pPr>
    <w:tblPr>
      <w:tblStyleRowBandSize w:val="1"/>
      <w:tblStyleColBandSize w:val="1"/>
      <w:tblCellMar>
        <w:left w:w="108" w:type="dxa"/>
        <w:right w:w="108" w:type="dxa"/>
      </w:tblCellMar>
    </w:tblPr>
  </w:style>
  <w:style w:type="table" w:customStyle="1" w:styleId="affff1">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6"/>
    <w:pPr>
      <w:spacing w:after="0" w:line="240" w:lineRule="auto"/>
    </w:pPr>
    <w:tblPr>
      <w:tblStyleRowBandSize w:val="1"/>
      <w:tblStyleColBandSize w:val="1"/>
      <w:tblCellMar>
        <w:left w:w="108" w:type="dxa"/>
        <w:right w:w="108" w:type="dxa"/>
      </w:tblCellMar>
    </w:tblPr>
  </w:style>
  <w:style w:type="table" w:customStyle="1" w:styleId="affff3">
    <w:basedOn w:val="TableNormal6"/>
    <w:pPr>
      <w:spacing w:after="0" w:line="240" w:lineRule="auto"/>
    </w:pPr>
    <w:tblPr>
      <w:tblStyleRowBandSize w:val="1"/>
      <w:tblStyleColBandSize w:val="1"/>
      <w:tblCellMar>
        <w:left w:w="108" w:type="dxa"/>
        <w:right w:w="108" w:type="dxa"/>
      </w:tblCellMar>
    </w:tblPr>
  </w:style>
  <w:style w:type="table" w:customStyle="1" w:styleId="affff4">
    <w:basedOn w:val="TableNormal6"/>
    <w:pPr>
      <w:spacing w:after="0" w:line="240" w:lineRule="auto"/>
    </w:pPr>
    <w:tblPr>
      <w:tblStyleRowBandSize w:val="1"/>
      <w:tblStyleColBandSize w:val="1"/>
      <w:tblCellMar>
        <w:left w:w="108" w:type="dxa"/>
        <w:right w:w="108" w:type="dxa"/>
      </w:tblCellMar>
    </w:tblPr>
  </w:style>
  <w:style w:type="table" w:customStyle="1" w:styleId="affff5">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5"/>
    <w:pPr>
      <w:spacing w:after="0" w:line="240" w:lineRule="auto"/>
    </w:pPr>
    <w:tblPr>
      <w:tblStyleRowBandSize w:val="1"/>
      <w:tblStyleColBandSize w:val="1"/>
      <w:tblCellMar>
        <w:left w:w="108" w:type="dxa"/>
        <w:right w:w="108" w:type="dxa"/>
      </w:tblCellMar>
    </w:tblPr>
  </w:style>
  <w:style w:type="table" w:customStyle="1" w:styleId="affff7">
    <w:basedOn w:val="TableNormal5"/>
    <w:pPr>
      <w:spacing w:after="0" w:line="240" w:lineRule="auto"/>
    </w:pPr>
    <w:tblPr>
      <w:tblStyleRowBandSize w:val="1"/>
      <w:tblStyleColBandSize w:val="1"/>
      <w:tblCellMar>
        <w:left w:w="108" w:type="dxa"/>
        <w:right w:w="108" w:type="dxa"/>
      </w:tblCellMar>
    </w:tblPr>
  </w:style>
  <w:style w:type="table" w:customStyle="1" w:styleId="affff8">
    <w:basedOn w:val="TableNormal5"/>
    <w:pPr>
      <w:spacing w:after="0" w:line="240" w:lineRule="auto"/>
    </w:pPr>
    <w:tblPr>
      <w:tblStyleRowBandSize w:val="1"/>
      <w:tblStyleColBandSize w:val="1"/>
      <w:tblCellMar>
        <w:left w:w="108" w:type="dxa"/>
        <w:right w:w="108" w:type="dxa"/>
      </w:tblCellMar>
    </w:tblPr>
  </w:style>
  <w:style w:type="table" w:customStyle="1" w:styleId="affff9">
    <w:basedOn w:val="TableNormal5"/>
    <w:pPr>
      <w:spacing w:after="0" w:line="240" w:lineRule="auto"/>
    </w:pPr>
    <w:tblPr>
      <w:tblStyleRowBandSize w:val="1"/>
      <w:tblStyleColBandSize w:val="1"/>
      <w:tblCellMar>
        <w:left w:w="108" w:type="dxa"/>
        <w:right w:w="108" w:type="dxa"/>
      </w:tblCellMar>
    </w:tblPr>
  </w:style>
  <w:style w:type="table" w:customStyle="1" w:styleId="affffa">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4"/>
    <w:pPr>
      <w:spacing w:after="0" w:line="240" w:lineRule="auto"/>
    </w:pPr>
    <w:tblPr>
      <w:tblStyleRowBandSize w:val="1"/>
      <w:tblStyleColBandSize w:val="1"/>
      <w:tblCellMar>
        <w:left w:w="108" w:type="dxa"/>
        <w:right w:w="108" w:type="dxa"/>
      </w:tblCellMar>
    </w:tblPr>
  </w:style>
  <w:style w:type="table" w:customStyle="1" w:styleId="affffc">
    <w:basedOn w:val="TableNormal4"/>
    <w:pPr>
      <w:spacing w:after="0" w:line="240" w:lineRule="auto"/>
    </w:pPr>
    <w:tblPr>
      <w:tblStyleRowBandSize w:val="1"/>
      <w:tblStyleColBandSize w:val="1"/>
      <w:tblCellMar>
        <w:left w:w="108" w:type="dxa"/>
        <w:right w:w="108" w:type="dxa"/>
      </w:tblCellMar>
    </w:tblPr>
  </w:style>
  <w:style w:type="table" w:customStyle="1" w:styleId="affffd">
    <w:basedOn w:val="TableNormal4"/>
    <w:pPr>
      <w:spacing w:after="0" w:line="240" w:lineRule="auto"/>
    </w:pPr>
    <w:tblPr>
      <w:tblStyleRowBandSize w:val="1"/>
      <w:tblStyleColBandSize w:val="1"/>
      <w:tblCellMar>
        <w:left w:w="108" w:type="dxa"/>
        <w:right w:w="108" w:type="dxa"/>
      </w:tblCellMar>
    </w:tblPr>
  </w:style>
  <w:style w:type="table" w:customStyle="1" w:styleId="affffe">
    <w:basedOn w:val="TableNormal4"/>
    <w:pPr>
      <w:spacing w:after="0" w:line="240" w:lineRule="auto"/>
    </w:pPr>
    <w:tblPr>
      <w:tblStyleRowBandSize w:val="1"/>
      <w:tblStyleColBandSize w:val="1"/>
      <w:tblCellMar>
        <w:left w:w="108" w:type="dxa"/>
        <w:right w:w="108" w:type="dxa"/>
      </w:tblCellMar>
    </w:tblPr>
  </w:style>
  <w:style w:type="table" w:customStyle="1" w:styleId="afffff">
    <w:basedOn w:val="TableNormal3"/>
    <w:pPr>
      <w:spacing w:after="0" w:line="240" w:lineRule="auto"/>
    </w:pPr>
    <w:tblPr>
      <w:tblStyleRowBandSize w:val="1"/>
      <w:tblStyleColBandSize w:val="1"/>
      <w:tblCellMar>
        <w:left w:w="108" w:type="dxa"/>
        <w:right w:w="108" w:type="dxa"/>
      </w:tblCellMar>
    </w:tblPr>
  </w:style>
  <w:style w:type="table" w:customStyle="1" w:styleId="afffff0">
    <w:basedOn w:val="TableNormal3"/>
    <w:pPr>
      <w:spacing w:after="0" w:line="240" w:lineRule="auto"/>
    </w:pPr>
    <w:tblPr>
      <w:tblStyleRowBandSize w:val="1"/>
      <w:tblStyleColBandSize w:val="1"/>
      <w:tblCellMar>
        <w:left w:w="108" w:type="dxa"/>
        <w:right w:w="108" w:type="dxa"/>
      </w:tblCellMar>
    </w:tblPr>
  </w:style>
  <w:style w:type="table" w:customStyle="1" w:styleId="afffff1">
    <w:basedOn w:val="TableNormal3"/>
    <w:pPr>
      <w:spacing w:after="0" w:line="240" w:lineRule="auto"/>
    </w:pPr>
    <w:tblPr>
      <w:tblStyleRowBandSize w:val="1"/>
      <w:tblStyleColBandSize w:val="1"/>
      <w:tblCellMar>
        <w:left w:w="108" w:type="dxa"/>
        <w:right w:w="108" w:type="dxa"/>
      </w:tblCellMar>
    </w:tblPr>
  </w:style>
  <w:style w:type="table" w:customStyle="1" w:styleId="afffff2">
    <w:basedOn w:val="TableNormal3"/>
    <w:pPr>
      <w:spacing w:after="0" w:line="240" w:lineRule="auto"/>
    </w:pPr>
    <w:tblPr>
      <w:tblStyleRowBandSize w:val="1"/>
      <w:tblStyleColBandSize w:val="1"/>
      <w:tblCellMar>
        <w:left w:w="108" w:type="dxa"/>
        <w:right w:w="108" w:type="dxa"/>
      </w:tblCellMar>
    </w:tblPr>
  </w:style>
  <w:style w:type="table" w:customStyle="1" w:styleId="afffff3">
    <w:basedOn w:val="TableNormal3"/>
    <w:pPr>
      <w:spacing w:after="0" w:line="240" w:lineRule="auto"/>
    </w:pPr>
    <w:tblPr>
      <w:tblStyleRowBandSize w:val="1"/>
      <w:tblStyleColBandSize w:val="1"/>
      <w:tblCellMar>
        <w:left w:w="108" w:type="dxa"/>
        <w:right w:w="108" w:type="dxa"/>
      </w:tblCellMar>
    </w:tblPr>
  </w:style>
  <w:style w:type="table" w:customStyle="1" w:styleId="afffff4">
    <w:basedOn w:val="TableNormal2"/>
    <w:pPr>
      <w:spacing w:after="0" w:line="240" w:lineRule="auto"/>
    </w:pPr>
    <w:tblPr>
      <w:tblStyleRowBandSize w:val="1"/>
      <w:tblStyleColBandSize w:val="1"/>
      <w:tblCellMar>
        <w:left w:w="108" w:type="dxa"/>
        <w:right w:w="108" w:type="dxa"/>
      </w:tblCellMar>
    </w:tblPr>
  </w:style>
  <w:style w:type="table" w:customStyle="1" w:styleId="afffff5">
    <w:basedOn w:val="TableNormal2"/>
    <w:pPr>
      <w:spacing w:after="0" w:line="240" w:lineRule="auto"/>
    </w:pPr>
    <w:tblPr>
      <w:tblStyleRowBandSize w:val="1"/>
      <w:tblStyleColBandSize w:val="1"/>
      <w:tblCellMar>
        <w:left w:w="108" w:type="dxa"/>
        <w:right w:w="108" w:type="dxa"/>
      </w:tblCellMar>
    </w:tblPr>
  </w:style>
  <w:style w:type="table" w:customStyle="1" w:styleId="afffff6">
    <w:basedOn w:val="TableNormal2"/>
    <w:pPr>
      <w:spacing w:after="0" w:line="240" w:lineRule="auto"/>
    </w:pPr>
    <w:tblPr>
      <w:tblStyleRowBandSize w:val="1"/>
      <w:tblStyleColBandSize w:val="1"/>
      <w:tblCellMar>
        <w:left w:w="108" w:type="dxa"/>
        <w:right w:w="108" w:type="dxa"/>
      </w:tblCellMar>
    </w:tblPr>
  </w:style>
  <w:style w:type="table" w:customStyle="1" w:styleId="afffff7">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table" w:customStyle="1" w:styleId="afffff8">
    <w:basedOn w:val="TableNormal1"/>
    <w:pPr>
      <w:spacing w:after="0" w:line="240" w:lineRule="auto"/>
    </w:pPr>
    <w:tblPr>
      <w:tblStyleRowBandSize w:val="1"/>
      <w:tblStyleColBandSize w:val="1"/>
      <w:tblCellMar>
        <w:left w:w="108" w:type="dxa"/>
        <w:right w:w="108" w:type="dxa"/>
      </w:tblCellMar>
    </w:tblPr>
  </w:style>
  <w:style w:type="table" w:customStyle="1" w:styleId="afffff9">
    <w:basedOn w:val="TableNormal1"/>
    <w:pPr>
      <w:spacing w:after="0" w:line="240" w:lineRule="auto"/>
    </w:pPr>
    <w:tblPr>
      <w:tblStyleRowBandSize w:val="1"/>
      <w:tblStyleColBandSize w:val="1"/>
      <w:tblCellMar>
        <w:left w:w="108" w:type="dxa"/>
        <w:right w:w="108" w:type="dxa"/>
      </w:tblCellMar>
    </w:tblPr>
  </w:style>
  <w:style w:type="table" w:customStyle="1" w:styleId="afffffa">
    <w:basedOn w:val="TableNormal1"/>
    <w:pPr>
      <w:spacing w:after="0" w:line="240" w:lineRule="auto"/>
    </w:pPr>
    <w:tblPr>
      <w:tblStyleRowBandSize w:val="1"/>
      <w:tblStyleColBandSize w:val="1"/>
      <w:tblCellMar>
        <w:left w:w="108" w:type="dxa"/>
        <w:right w:w="108" w:type="dxa"/>
      </w:tblCellMar>
    </w:tblPr>
  </w:style>
  <w:style w:type="table" w:customStyle="1" w:styleId="afffffb">
    <w:basedOn w:val="TableNormal1"/>
    <w:pPr>
      <w:spacing w:after="0" w:line="240" w:lineRule="auto"/>
    </w:pPr>
    <w:tblPr>
      <w:tblStyleRowBandSize w:val="1"/>
      <w:tblStyleColBandSize w:val="1"/>
      <w:tblCellMar>
        <w:left w:w="108" w:type="dxa"/>
        <w:right w:w="108" w:type="dxa"/>
      </w:tblCellMar>
    </w:tblPr>
  </w:style>
  <w:style w:type="table" w:customStyle="1" w:styleId="afffffc">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d">
    <w:basedOn w:val="TableNormal0"/>
    <w:pPr>
      <w:spacing w:after="0" w:line="240" w:lineRule="auto"/>
    </w:pPr>
    <w:tblPr>
      <w:tblStyleRowBandSize w:val="1"/>
      <w:tblStyleColBandSize w:val="1"/>
      <w:tblCellMar>
        <w:left w:w="108" w:type="dxa"/>
        <w:right w:w="108" w:type="dxa"/>
      </w:tblCellMar>
    </w:tblPr>
  </w:style>
  <w:style w:type="table" w:customStyle="1" w:styleId="afffffe">
    <w:basedOn w:val="TableNormal0"/>
    <w:pPr>
      <w:spacing w:after="0" w:line="240" w:lineRule="auto"/>
    </w:pPr>
    <w:tblPr>
      <w:tblStyleRowBandSize w:val="1"/>
      <w:tblStyleColBandSize w:val="1"/>
      <w:tblCellMar>
        <w:left w:w="108" w:type="dxa"/>
        <w:right w:w="108" w:type="dxa"/>
      </w:tblCellMar>
    </w:tblPr>
  </w:style>
  <w:style w:type="table" w:customStyle="1" w:styleId="affffff">
    <w:basedOn w:val="TableNormal0"/>
    <w:pPr>
      <w:spacing w:after="0" w:line="240" w:lineRule="auto"/>
    </w:pPr>
    <w:tblPr>
      <w:tblStyleRowBandSize w:val="1"/>
      <w:tblStyleColBandSize w:val="1"/>
      <w:tblCellMar>
        <w:left w:w="108" w:type="dxa"/>
        <w:right w:w="108" w:type="dxa"/>
      </w:tblCellMar>
    </w:tblPr>
  </w:style>
  <w:style w:type="table" w:customStyle="1" w:styleId="affffff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9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AiVZf2YxbUbIQmVrOnJA4Y45A==">CgMxLjAyDmguaDJ1OGQwM3VvOTNoMghoLmdqZGd4czIOaC5ub2EwaHZqdzNvajgyDmguc3UwanNzaWlna3BxMg5oLnlkc2Y5bXRnOGZ1YzIOaC40a3hpcTlpMzkwazcyCWguMmV0OTJwMDIOaC5iMXY5c3Jsamdxc3MyDmguZ3R2OHl3c3p1aGgzMg5oLjN6ZHYxNDF4Y29yNzIOaC5obGhpaXV5dW92bWwyDmguZHJuZjQ0MWN3bnUyMg5oLmh4cHhqeWFjMjUweDIOaC45czVpNnhwcHpqazEyDmgucHJwaXY1MnE1YXVrMg5oLjF1b3JtcXRtMWEybTIOaC5hcmd5MjFxbmttaHI4AHIhMXpvSmhUSUZzSkUxVW9ROEdEclBMa2ZDYmNsVllONE5f</go:docsCustomData>
</go:gDocsCustomXmlDataStorage>
</file>

<file path=customXml/itemProps1.xml><?xml version="1.0" encoding="utf-8"?>
<ds:datastoreItem xmlns:ds="http://schemas.openxmlformats.org/officeDocument/2006/customXml" ds:itemID="{C2BFF799-8628-4838-B7E3-811FD457BD8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5999</Words>
  <Characters>32997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Office</cp:lastModifiedBy>
  <cp:revision>3</cp:revision>
  <cp:lastPrinted>2025-09-05T02:44:00Z</cp:lastPrinted>
  <dcterms:created xsi:type="dcterms:W3CDTF">2025-09-05T02:43:00Z</dcterms:created>
  <dcterms:modified xsi:type="dcterms:W3CDTF">2025-09-05T02:44:00Z</dcterms:modified>
</cp:coreProperties>
</file>