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4D86" w:rsidRPr="00D93E3F" w:rsidRDefault="001E3125">
      <w:pPr>
        <w:spacing w:line="360" w:lineRule="auto"/>
        <w:jc w:val="both"/>
        <w:rPr>
          <w:rFonts w:ascii="Palatino Linotype" w:eastAsia="Palatino Linotype" w:hAnsi="Palatino Linotype" w:cs="Palatino Linotype"/>
        </w:rPr>
      </w:pPr>
      <w:r w:rsidRPr="00D93E3F">
        <w:rPr>
          <w:rFonts w:ascii="Palatino Linotype" w:eastAsia="Palatino Linotype" w:hAnsi="Palatino Linotype" w:cs="Palatino Linotype"/>
        </w:rPr>
        <w:t xml:space="preserve">Resolución del Pleno del Instituto de Transparencia, Acceso a la Información Pública y Protección de Datos Personales del Estado de México y Municipios, con domicilio en Metepec, Estado de México; de fecha </w:t>
      </w:r>
      <w:r w:rsidR="00B82092" w:rsidRPr="00D93E3F">
        <w:rPr>
          <w:rFonts w:ascii="Palatino Linotype" w:eastAsia="Palatino Linotype" w:hAnsi="Palatino Linotype" w:cs="Palatino Linotype"/>
        </w:rPr>
        <w:t>veinte</w:t>
      </w:r>
      <w:r w:rsidR="00BE4003" w:rsidRPr="00D93E3F">
        <w:rPr>
          <w:rFonts w:ascii="Palatino Linotype" w:eastAsia="Palatino Linotype" w:hAnsi="Palatino Linotype" w:cs="Palatino Linotype"/>
        </w:rPr>
        <w:t xml:space="preserve"> de marzo</w:t>
      </w:r>
      <w:r w:rsidR="00AE262A" w:rsidRPr="00D93E3F">
        <w:rPr>
          <w:rFonts w:ascii="Palatino Linotype" w:eastAsia="Palatino Linotype" w:hAnsi="Palatino Linotype" w:cs="Palatino Linotype"/>
        </w:rPr>
        <w:t xml:space="preserve"> de dos mil veinticinco</w:t>
      </w:r>
      <w:r w:rsidRPr="00D93E3F">
        <w:rPr>
          <w:rFonts w:ascii="Palatino Linotype" w:eastAsia="Palatino Linotype" w:hAnsi="Palatino Linotype" w:cs="Palatino Linotype"/>
        </w:rPr>
        <w:t>.</w:t>
      </w:r>
    </w:p>
    <w:p w:rsidR="00E94D86" w:rsidRPr="00D93E3F" w:rsidRDefault="00E94D86" w:rsidP="00A30F8D">
      <w:pPr>
        <w:jc w:val="both"/>
        <w:rPr>
          <w:rFonts w:ascii="Palatino Linotype" w:eastAsia="Palatino Linotype" w:hAnsi="Palatino Linotype" w:cs="Palatino Linotype"/>
        </w:rPr>
      </w:pPr>
    </w:p>
    <w:p w:rsidR="00E94D86" w:rsidRPr="00D93E3F" w:rsidRDefault="001E3125">
      <w:pPr>
        <w:spacing w:line="360" w:lineRule="auto"/>
        <w:jc w:val="both"/>
        <w:rPr>
          <w:rFonts w:ascii="Palatino Linotype" w:eastAsia="Palatino Linotype" w:hAnsi="Palatino Linotype" w:cs="Palatino Linotype"/>
        </w:rPr>
      </w:pPr>
      <w:r w:rsidRPr="00D93E3F">
        <w:rPr>
          <w:rFonts w:ascii="Palatino Linotype" w:eastAsia="Palatino Linotype" w:hAnsi="Palatino Linotype" w:cs="Palatino Linotype"/>
          <w:b/>
        </w:rPr>
        <w:t>VISTO</w:t>
      </w:r>
      <w:r w:rsidRPr="00D93E3F">
        <w:rPr>
          <w:rFonts w:ascii="Palatino Linotype" w:eastAsia="Palatino Linotype" w:hAnsi="Palatino Linotype" w:cs="Palatino Linotype"/>
        </w:rPr>
        <w:t xml:space="preserve"> el expediente electrónico formado con motivo del recurso de revisión </w:t>
      </w:r>
      <w:r w:rsidR="003A2DC2" w:rsidRPr="00D93E3F">
        <w:rPr>
          <w:rFonts w:ascii="Palatino Linotype" w:eastAsia="Palatino Linotype" w:hAnsi="Palatino Linotype" w:cs="Palatino Linotype"/>
          <w:b/>
        </w:rPr>
        <w:t>07473</w:t>
      </w:r>
      <w:r w:rsidRPr="00D93E3F">
        <w:rPr>
          <w:rFonts w:ascii="Palatino Linotype" w:eastAsia="Palatino Linotype" w:hAnsi="Palatino Linotype" w:cs="Palatino Linotype"/>
          <w:b/>
        </w:rPr>
        <w:t xml:space="preserve">/INFOEM/IP/RR/2024, </w:t>
      </w:r>
      <w:r w:rsidRPr="00D93E3F">
        <w:rPr>
          <w:rFonts w:ascii="Palatino Linotype" w:eastAsia="Palatino Linotype" w:hAnsi="Palatino Linotype" w:cs="Palatino Linotype"/>
        </w:rPr>
        <w:t>promovido por</w:t>
      </w:r>
      <w:r w:rsidR="004401C8" w:rsidRPr="00D93E3F">
        <w:rPr>
          <w:rFonts w:ascii="Palatino Linotype" w:eastAsia="Palatino Linotype" w:hAnsi="Palatino Linotype" w:cs="Palatino Linotype"/>
        </w:rPr>
        <w:t xml:space="preserve"> un</w:t>
      </w:r>
      <w:r w:rsidR="004401C8" w:rsidRPr="00D93E3F">
        <w:rPr>
          <w:rFonts w:ascii="Palatino Linotype" w:eastAsia="Palatino Linotype" w:hAnsi="Palatino Linotype" w:cs="Palatino Linotype"/>
          <w:b/>
        </w:rPr>
        <w:t xml:space="preserve"> </w:t>
      </w:r>
      <w:r w:rsidR="00BC3D64" w:rsidRPr="00D93E3F">
        <w:rPr>
          <w:rFonts w:ascii="Palatino Linotype" w:eastAsia="Palatino Linotype" w:hAnsi="Palatino Linotype" w:cs="Palatino Linotype"/>
          <w:b/>
        </w:rPr>
        <w:t xml:space="preserve">el </w:t>
      </w:r>
      <w:r w:rsidR="004401C8" w:rsidRPr="00D93E3F">
        <w:rPr>
          <w:rFonts w:ascii="Palatino Linotype" w:eastAsia="Palatino Linotype" w:hAnsi="Palatino Linotype" w:cs="Palatino Linotype"/>
          <w:b/>
        </w:rPr>
        <w:t>RECURRENTE</w:t>
      </w:r>
      <w:r w:rsidRPr="00D93E3F">
        <w:rPr>
          <w:rFonts w:ascii="Palatino Linotype" w:eastAsia="Palatino Linotype" w:hAnsi="Palatino Linotype" w:cs="Palatino Linotype"/>
          <w:b/>
        </w:rPr>
        <w:t>,</w:t>
      </w:r>
      <w:r w:rsidRPr="00D93E3F">
        <w:rPr>
          <w:rFonts w:ascii="Palatino Linotype" w:eastAsia="Palatino Linotype" w:hAnsi="Palatino Linotype" w:cs="Palatino Linotype"/>
        </w:rPr>
        <w:t xml:space="preserve"> en contra de la respuesta de</w:t>
      </w:r>
      <w:r w:rsidR="003A2DC2" w:rsidRPr="00D93E3F">
        <w:rPr>
          <w:rFonts w:ascii="Palatino Linotype" w:eastAsia="Palatino Linotype" w:hAnsi="Palatino Linotype" w:cs="Palatino Linotype"/>
        </w:rPr>
        <w:t xml:space="preserve"> </w:t>
      </w:r>
      <w:r w:rsidR="00BE4003" w:rsidRPr="00D93E3F">
        <w:rPr>
          <w:rFonts w:ascii="Palatino Linotype" w:eastAsia="Palatino Linotype" w:hAnsi="Palatino Linotype" w:cs="Palatino Linotype"/>
        </w:rPr>
        <w:t>l</w:t>
      </w:r>
      <w:r w:rsidR="003A2DC2" w:rsidRPr="00D93E3F">
        <w:rPr>
          <w:rFonts w:ascii="Palatino Linotype" w:eastAsia="Palatino Linotype" w:hAnsi="Palatino Linotype" w:cs="Palatino Linotype"/>
        </w:rPr>
        <w:t>a</w:t>
      </w:r>
      <w:r w:rsidR="00BE4003" w:rsidRPr="00D93E3F">
        <w:rPr>
          <w:rFonts w:ascii="Palatino Linotype" w:eastAsia="Palatino Linotype" w:hAnsi="Palatino Linotype" w:cs="Palatino Linotype"/>
        </w:rPr>
        <w:t xml:space="preserve"> </w:t>
      </w:r>
      <w:r w:rsidR="003A2DC2" w:rsidRPr="00D93E3F">
        <w:rPr>
          <w:rFonts w:ascii="Palatino Linotype" w:eastAsia="Palatino Linotype" w:hAnsi="Palatino Linotype" w:cs="Palatino Linotype"/>
          <w:b/>
        </w:rPr>
        <w:t>Oficialía Mayor</w:t>
      </w:r>
      <w:r w:rsidRPr="00D93E3F">
        <w:rPr>
          <w:rFonts w:ascii="Palatino Linotype" w:eastAsia="Palatino Linotype" w:hAnsi="Palatino Linotype" w:cs="Palatino Linotype"/>
          <w:b/>
        </w:rPr>
        <w:t xml:space="preserve">, </w:t>
      </w:r>
      <w:r w:rsidRPr="00D93E3F">
        <w:rPr>
          <w:rFonts w:ascii="Palatino Linotype" w:eastAsia="Palatino Linotype" w:hAnsi="Palatino Linotype" w:cs="Palatino Linotype"/>
        </w:rPr>
        <w:t>en adelante el</w:t>
      </w:r>
      <w:r w:rsidRPr="00D93E3F">
        <w:rPr>
          <w:rFonts w:ascii="Palatino Linotype" w:eastAsia="Palatino Linotype" w:hAnsi="Palatino Linotype" w:cs="Palatino Linotype"/>
          <w:b/>
        </w:rPr>
        <w:t xml:space="preserve"> SUJETO OBLIGADO</w:t>
      </w:r>
      <w:r w:rsidRPr="00D93E3F">
        <w:rPr>
          <w:rFonts w:ascii="Palatino Linotype" w:eastAsia="Palatino Linotype" w:hAnsi="Palatino Linotype" w:cs="Palatino Linotype"/>
        </w:rPr>
        <w:t>, por lo que se procede a dictar la presente resolución, con base en los siguientes:</w:t>
      </w:r>
    </w:p>
    <w:p w:rsidR="00E94D86" w:rsidRPr="00D93E3F" w:rsidRDefault="00E94D86" w:rsidP="00A30F8D">
      <w:pPr>
        <w:jc w:val="both"/>
        <w:rPr>
          <w:rFonts w:ascii="Palatino Linotype" w:eastAsia="Palatino Linotype" w:hAnsi="Palatino Linotype" w:cs="Palatino Linotype"/>
        </w:rPr>
      </w:pPr>
    </w:p>
    <w:p w:rsidR="00E94D86" w:rsidRPr="00D93E3F" w:rsidRDefault="001E3125">
      <w:pPr>
        <w:keepNext/>
        <w:keepLines/>
        <w:spacing w:line="360" w:lineRule="auto"/>
        <w:jc w:val="center"/>
        <w:rPr>
          <w:rFonts w:ascii="Palatino Linotype" w:eastAsia="Palatino Linotype" w:hAnsi="Palatino Linotype" w:cs="Palatino Linotype"/>
          <w:b/>
        </w:rPr>
      </w:pPr>
      <w:r w:rsidRPr="00D93E3F">
        <w:rPr>
          <w:rFonts w:ascii="Palatino Linotype" w:eastAsia="Palatino Linotype" w:hAnsi="Palatino Linotype" w:cs="Palatino Linotype"/>
          <w:b/>
        </w:rPr>
        <w:t>A N T E C E D E N T E S</w:t>
      </w:r>
    </w:p>
    <w:p w:rsidR="00E94D86" w:rsidRPr="00D93E3F" w:rsidRDefault="00E94D86" w:rsidP="00A30F8D">
      <w:pPr>
        <w:rPr>
          <w:rFonts w:ascii="Palatino Linotype" w:eastAsia="Palatino Linotype" w:hAnsi="Palatino Linotype" w:cs="Palatino Linotype"/>
        </w:rPr>
      </w:pPr>
    </w:p>
    <w:p w:rsidR="00E94D86" w:rsidRPr="00D93E3F" w:rsidRDefault="001E3125">
      <w:pPr>
        <w:numPr>
          <w:ilvl w:val="0"/>
          <w:numId w:val="1"/>
        </w:numPr>
        <w:spacing w:line="360" w:lineRule="auto"/>
        <w:ind w:left="0" w:firstLine="0"/>
        <w:jc w:val="both"/>
        <w:rPr>
          <w:rFonts w:ascii="Palatino Linotype" w:eastAsia="Palatino Linotype" w:hAnsi="Palatino Linotype" w:cs="Palatino Linotype"/>
        </w:rPr>
      </w:pPr>
      <w:r w:rsidRPr="00D93E3F">
        <w:rPr>
          <w:rFonts w:ascii="Palatino Linotype" w:eastAsia="Palatino Linotype" w:hAnsi="Palatino Linotype" w:cs="Palatino Linotype"/>
        </w:rPr>
        <w:t xml:space="preserve">El </w:t>
      </w:r>
      <w:r w:rsidR="003A2DC2" w:rsidRPr="00D93E3F">
        <w:rPr>
          <w:rFonts w:ascii="Palatino Linotype" w:eastAsia="Palatino Linotype" w:hAnsi="Palatino Linotype" w:cs="Palatino Linotype"/>
        </w:rPr>
        <w:t>once de noviembre</w:t>
      </w:r>
      <w:r w:rsidR="006E5F99" w:rsidRPr="00D93E3F">
        <w:rPr>
          <w:rFonts w:ascii="Palatino Linotype" w:eastAsia="Palatino Linotype" w:hAnsi="Palatino Linotype" w:cs="Palatino Linotype"/>
        </w:rPr>
        <w:t xml:space="preserve"> </w:t>
      </w:r>
      <w:r w:rsidR="00BC3D64" w:rsidRPr="00D93E3F">
        <w:rPr>
          <w:rFonts w:ascii="Palatino Linotype" w:eastAsia="Palatino Linotype" w:hAnsi="Palatino Linotype" w:cs="Palatino Linotype"/>
        </w:rPr>
        <w:t>de dos mil veinticuatro, el</w:t>
      </w:r>
      <w:r w:rsidRPr="00D93E3F">
        <w:rPr>
          <w:rFonts w:ascii="Palatino Linotype" w:eastAsia="Palatino Linotype" w:hAnsi="Palatino Linotype" w:cs="Palatino Linotype"/>
          <w:b/>
        </w:rPr>
        <w:t xml:space="preserve"> RECURRENTE </w:t>
      </w:r>
      <w:r w:rsidRPr="00D93E3F">
        <w:rPr>
          <w:rFonts w:ascii="Palatino Linotype" w:eastAsia="Palatino Linotype" w:hAnsi="Palatino Linotype" w:cs="Palatino Linotype"/>
        </w:rPr>
        <w:t xml:space="preserve">presentó ante el </w:t>
      </w:r>
      <w:r w:rsidRPr="00D93E3F">
        <w:rPr>
          <w:rFonts w:ascii="Palatino Linotype" w:eastAsia="Palatino Linotype" w:hAnsi="Palatino Linotype" w:cs="Palatino Linotype"/>
          <w:b/>
        </w:rPr>
        <w:t>SUJETO OBLIGADO,</w:t>
      </w:r>
      <w:r w:rsidRPr="00D93E3F">
        <w:rPr>
          <w:rFonts w:ascii="Palatino Linotype" w:eastAsia="Palatino Linotype" w:hAnsi="Palatino Linotype" w:cs="Palatino Linotype"/>
        </w:rPr>
        <w:t xml:space="preserve"> a través del el Sistema de Acceso a la Información Mexiquense </w:t>
      </w:r>
      <w:r w:rsidRPr="00D93E3F">
        <w:rPr>
          <w:rFonts w:ascii="Palatino Linotype" w:eastAsia="Palatino Linotype" w:hAnsi="Palatino Linotype" w:cs="Palatino Linotype"/>
          <w:b/>
        </w:rPr>
        <w:t>(SAIMEX),</w:t>
      </w:r>
      <w:r w:rsidRPr="00D93E3F">
        <w:rPr>
          <w:rFonts w:ascii="Palatino Linotype" w:eastAsia="Palatino Linotype" w:hAnsi="Palatino Linotype" w:cs="Palatino Linotype"/>
        </w:rPr>
        <w:t xml:space="preserve"> la solicitud de información pública </w:t>
      </w:r>
      <w:r w:rsidR="003A2DC2" w:rsidRPr="00D93E3F">
        <w:rPr>
          <w:rFonts w:ascii="Palatino Linotype" w:eastAsia="Palatino Linotype" w:hAnsi="Palatino Linotype" w:cs="Palatino Linotype"/>
          <w:b/>
        </w:rPr>
        <w:t>00265</w:t>
      </w:r>
      <w:r w:rsidRPr="00D93E3F">
        <w:rPr>
          <w:rFonts w:ascii="Palatino Linotype" w:eastAsia="Palatino Linotype" w:hAnsi="Palatino Linotype" w:cs="Palatino Linotype"/>
          <w:b/>
        </w:rPr>
        <w:t>/</w:t>
      </w:r>
      <w:r w:rsidR="003A2DC2" w:rsidRPr="00D93E3F">
        <w:rPr>
          <w:rFonts w:ascii="Palatino Linotype" w:eastAsia="Palatino Linotype" w:hAnsi="Palatino Linotype" w:cs="Palatino Linotype"/>
          <w:b/>
        </w:rPr>
        <w:t>OFICIALIA</w:t>
      </w:r>
      <w:r w:rsidRPr="00D93E3F">
        <w:rPr>
          <w:rFonts w:ascii="Palatino Linotype" w:eastAsia="Palatino Linotype" w:hAnsi="Palatino Linotype" w:cs="Palatino Linotype"/>
          <w:b/>
        </w:rPr>
        <w:t>/IP/2024</w:t>
      </w:r>
      <w:r w:rsidRPr="00D93E3F">
        <w:rPr>
          <w:rFonts w:ascii="Palatino Linotype" w:eastAsia="Palatino Linotype" w:hAnsi="Palatino Linotype" w:cs="Palatino Linotype"/>
        </w:rPr>
        <w:t>, en la que solicitó:</w:t>
      </w:r>
    </w:p>
    <w:p w:rsidR="00E94D86" w:rsidRPr="00D93E3F" w:rsidRDefault="00E94D86" w:rsidP="00A30F8D">
      <w:pPr>
        <w:jc w:val="both"/>
        <w:rPr>
          <w:rFonts w:ascii="Palatino Linotype" w:eastAsia="Palatino Linotype" w:hAnsi="Palatino Linotype" w:cs="Palatino Linotype"/>
        </w:rPr>
      </w:pPr>
    </w:p>
    <w:p w:rsidR="006E5F99" w:rsidRPr="00D93E3F" w:rsidRDefault="001E3125" w:rsidP="003A2DC2">
      <w:pPr>
        <w:ind w:left="567" w:right="567"/>
        <w:jc w:val="both"/>
        <w:rPr>
          <w:rFonts w:ascii="Palatino Linotype" w:eastAsia="Palatino Linotype" w:hAnsi="Palatino Linotype" w:cs="Palatino Linotype"/>
          <w:i/>
          <w:color w:val="000000"/>
        </w:rPr>
      </w:pPr>
      <w:r w:rsidRPr="00D93E3F">
        <w:rPr>
          <w:rFonts w:ascii="Palatino Linotype" w:eastAsia="Palatino Linotype" w:hAnsi="Palatino Linotype" w:cs="Palatino Linotype"/>
          <w:i/>
          <w:color w:val="000000"/>
        </w:rPr>
        <w:t>“</w:t>
      </w:r>
      <w:r w:rsidR="003A2DC2" w:rsidRPr="00D93E3F">
        <w:rPr>
          <w:rFonts w:ascii="Palatino Linotype" w:hAnsi="Palatino Linotype"/>
          <w:i/>
          <w:color w:val="000000"/>
        </w:rPr>
        <w:t>SOLICITO SE ME REMITAN EN VERSION PUBLICA EL SOPORTE DOCUMENTAL DE LOS ESTUDIOS DE MERCADO, LOS ESTUDIOS DE MERCADO QUE SE REALIZARON POR LA UNIDAD ADMINISTRATIVA COMPETENTE PARA ELLO, ASI COMO LOS CONTRATOS CON LOS QUE SE FORMALIZO LA COMPRA; DE LOS TERMOS Y PILAS QUE LA OFICIAL MAYOR A TRAVÉS DEL DIRECTOR GENERAL DE PERSONAL COMPRARON CON MOTIVO DEL DIA DEL PADRE Y DE LA MADRE EN EL AÑO 2024. LO ANTERIOR DE CONFORMIDAD CON EL ARTÍCULO17 DEL REGLAMENTO DE LA LEY DE CONTRATACIONES PUBLICAS DEL ESTADO, TAL COMO SE REFIRIO EN EL OFICIO 234000040002S/157/2024, SUSCRITO POR EL LIC. NAVOR MILLAN GONZALEZ JEFE DE LA UNIDAD Y SERVIDOR PUBLICO HABILITADO DE LA DIRECCION GENERAL DE PERSONAL</w:t>
      </w:r>
      <w:r w:rsidRPr="00D93E3F">
        <w:rPr>
          <w:rFonts w:ascii="Palatino Linotype" w:eastAsia="Palatino Linotype" w:hAnsi="Palatino Linotype" w:cs="Palatino Linotype"/>
          <w:i/>
          <w:color w:val="000000"/>
        </w:rPr>
        <w:t xml:space="preserve">” (Sic) </w:t>
      </w:r>
    </w:p>
    <w:p w:rsidR="00E94D86" w:rsidRPr="00D93E3F" w:rsidRDefault="00E94D86" w:rsidP="00A30F8D">
      <w:pPr>
        <w:pBdr>
          <w:top w:val="nil"/>
          <w:left w:val="nil"/>
          <w:bottom w:val="nil"/>
          <w:right w:val="nil"/>
          <w:between w:val="nil"/>
        </w:pBdr>
        <w:jc w:val="both"/>
        <w:rPr>
          <w:rFonts w:ascii="Palatino Linotype" w:eastAsia="Palatino Linotype" w:hAnsi="Palatino Linotype" w:cs="Palatino Linotype"/>
          <w:color w:val="000000"/>
        </w:rPr>
      </w:pPr>
    </w:p>
    <w:p w:rsidR="00E94D86" w:rsidRPr="00D93E3F" w:rsidRDefault="001E3125" w:rsidP="004414BC">
      <w:pPr>
        <w:numPr>
          <w:ilvl w:val="0"/>
          <w:numId w:val="1"/>
        </w:numPr>
        <w:spacing w:line="360" w:lineRule="auto"/>
        <w:ind w:left="0" w:firstLine="0"/>
        <w:jc w:val="both"/>
        <w:rPr>
          <w:rFonts w:ascii="Palatino Linotype" w:eastAsia="Palatino Linotype" w:hAnsi="Palatino Linotype" w:cs="Palatino Linotype"/>
        </w:rPr>
      </w:pPr>
      <w:r w:rsidRPr="00D93E3F">
        <w:rPr>
          <w:rFonts w:ascii="Palatino Linotype" w:eastAsia="Palatino Linotype" w:hAnsi="Palatino Linotype" w:cs="Palatino Linotype"/>
        </w:rPr>
        <w:lastRenderedPageBreak/>
        <w:t xml:space="preserve">Se hace constar que se señaló como modalidad de entrega de la información a través del </w:t>
      </w:r>
      <w:r w:rsidR="00A22674" w:rsidRPr="00D93E3F">
        <w:rPr>
          <w:rFonts w:ascii="Palatino Linotype" w:eastAsia="Palatino Linotype" w:hAnsi="Palatino Linotype" w:cs="Palatino Linotype"/>
          <w:b/>
        </w:rPr>
        <w:t>SAIMEX.</w:t>
      </w:r>
    </w:p>
    <w:p w:rsidR="00E94D86" w:rsidRPr="00D93E3F" w:rsidRDefault="00E94D86" w:rsidP="00A30F8D">
      <w:pPr>
        <w:jc w:val="both"/>
        <w:rPr>
          <w:rFonts w:ascii="Palatino Linotype" w:eastAsia="Palatino Linotype" w:hAnsi="Palatino Linotype" w:cs="Palatino Linotype"/>
          <w:b/>
        </w:rPr>
      </w:pPr>
    </w:p>
    <w:p w:rsidR="00E94D86" w:rsidRPr="00D93E3F" w:rsidRDefault="001E3125" w:rsidP="004414BC">
      <w:pPr>
        <w:numPr>
          <w:ilvl w:val="0"/>
          <w:numId w:val="1"/>
        </w:numPr>
        <w:spacing w:line="360" w:lineRule="auto"/>
        <w:ind w:left="0" w:firstLine="0"/>
        <w:jc w:val="both"/>
        <w:rPr>
          <w:rFonts w:ascii="Palatino Linotype" w:eastAsia="Palatino Linotype" w:hAnsi="Palatino Linotype" w:cs="Palatino Linotype"/>
        </w:rPr>
      </w:pPr>
      <w:r w:rsidRPr="00D93E3F">
        <w:rPr>
          <w:rFonts w:ascii="Palatino Linotype" w:eastAsia="Palatino Linotype" w:hAnsi="Palatino Linotype" w:cs="Palatino Linotype"/>
        </w:rPr>
        <w:t xml:space="preserve">El </w:t>
      </w:r>
      <w:r w:rsidR="003A2DC2" w:rsidRPr="00D93E3F">
        <w:rPr>
          <w:rFonts w:ascii="Palatino Linotype" w:eastAsia="Palatino Linotype" w:hAnsi="Palatino Linotype" w:cs="Palatino Linotype"/>
        </w:rPr>
        <w:t xml:space="preserve">tres de diciembre </w:t>
      </w:r>
      <w:r w:rsidRPr="00D93E3F">
        <w:rPr>
          <w:rFonts w:ascii="Palatino Linotype" w:eastAsia="Palatino Linotype" w:hAnsi="Palatino Linotype" w:cs="Palatino Linotype"/>
        </w:rPr>
        <w:t xml:space="preserve">de dos mil veinticuatro, el </w:t>
      </w:r>
      <w:r w:rsidRPr="00D93E3F">
        <w:rPr>
          <w:rFonts w:ascii="Palatino Linotype" w:eastAsia="Palatino Linotype" w:hAnsi="Palatino Linotype" w:cs="Palatino Linotype"/>
          <w:b/>
        </w:rPr>
        <w:t>SUJETO OBLIGADO</w:t>
      </w:r>
      <w:r w:rsidRPr="00D93E3F">
        <w:rPr>
          <w:rFonts w:ascii="Palatino Linotype" w:eastAsia="Palatino Linotype" w:hAnsi="Palatino Linotype" w:cs="Palatino Linotype"/>
          <w:b/>
          <w:i/>
        </w:rPr>
        <w:t xml:space="preserve"> </w:t>
      </w:r>
      <w:r w:rsidRPr="00D93E3F">
        <w:rPr>
          <w:rFonts w:ascii="Palatino Linotype" w:eastAsia="Palatino Linotype" w:hAnsi="Palatino Linotype" w:cs="Palatino Linotype"/>
        </w:rPr>
        <w:t>dio respuesta a la solicitud de información, en los siguientes términos:</w:t>
      </w:r>
    </w:p>
    <w:p w:rsidR="00BC3D64" w:rsidRPr="00D93E3F" w:rsidRDefault="00BC3D64" w:rsidP="00BC3D64">
      <w:pPr>
        <w:spacing w:line="360" w:lineRule="auto"/>
        <w:jc w:val="both"/>
        <w:rPr>
          <w:rFonts w:ascii="Palatino Linotype" w:eastAsia="Palatino Linotype" w:hAnsi="Palatino Linotype" w:cs="Palatino Linotype"/>
        </w:rPr>
      </w:pPr>
    </w:p>
    <w:p w:rsidR="00E94D86" w:rsidRPr="00D93E3F" w:rsidRDefault="004401C8" w:rsidP="00A22674">
      <w:pPr>
        <w:ind w:left="567" w:right="567"/>
        <w:jc w:val="both"/>
        <w:rPr>
          <w:rFonts w:ascii="Palatino Linotype" w:eastAsia="Palatino Linotype" w:hAnsi="Palatino Linotype" w:cs="Palatino Linotype"/>
          <w:i/>
          <w:color w:val="000000"/>
        </w:rPr>
      </w:pPr>
      <w:r w:rsidRPr="00D93E3F">
        <w:rPr>
          <w:rFonts w:ascii="Palatino Linotype" w:eastAsia="Palatino Linotype" w:hAnsi="Palatino Linotype" w:cs="Palatino Linotype"/>
          <w:i/>
        </w:rPr>
        <w:t>“…</w:t>
      </w:r>
      <w:r w:rsidR="003A2DC2" w:rsidRPr="00D93E3F">
        <w:rPr>
          <w:rFonts w:ascii="Palatino Linotype" w:hAnsi="Palatino Linotype"/>
          <w:i/>
          <w:color w:val="000000"/>
        </w:rPr>
        <w:t>SE NOTIFICA RESPUESTA A LA SOLICITUD DE ACCESO</w:t>
      </w:r>
      <w:r w:rsidR="001E3125" w:rsidRPr="00D93E3F">
        <w:rPr>
          <w:rFonts w:ascii="Palatino Linotype" w:eastAsia="Palatino Linotype" w:hAnsi="Palatino Linotype" w:cs="Palatino Linotype"/>
          <w:i/>
          <w:color w:val="000000"/>
        </w:rPr>
        <w:t>” (Sic)</w:t>
      </w:r>
      <w:r w:rsidR="00BE4003" w:rsidRPr="00D93E3F">
        <w:rPr>
          <w:rFonts w:ascii="Palatino Linotype" w:eastAsia="Palatino Linotype" w:hAnsi="Palatino Linotype" w:cs="Palatino Linotype"/>
          <w:i/>
          <w:color w:val="000000"/>
        </w:rPr>
        <w:t xml:space="preserve"> </w:t>
      </w:r>
    </w:p>
    <w:p w:rsidR="00FC50EC" w:rsidRPr="00D93E3F" w:rsidRDefault="00FC50EC" w:rsidP="00A30F8D">
      <w:pPr>
        <w:ind w:left="567" w:right="710"/>
        <w:jc w:val="both"/>
        <w:rPr>
          <w:rFonts w:ascii="Palatino Linotype" w:eastAsia="Palatino Linotype" w:hAnsi="Palatino Linotype" w:cs="Palatino Linotype"/>
          <w:i/>
          <w:color w:val="000000"/>
        </w:rPr>
      </w:pPr>
    </w:p>
    <w:p w:rsidR="003A1F84" w:rsidRPr="00D93E3F" w:rsidRDefault="001E3125" w:rsidP="004F5574">
      <w:pPr>
        <w:ind w:right="257"/>
        <w:jc w:val="both"/>
        <w:rPr>
          <w:rFonts w:ascii="Palatino Linotype" w:eastAsia="Palatino Linotype" w:hAnsi="Palatino Linotype" w:cs="Palatino Linotype"/>
        </w:rPr>
      </w:pPr>
      <w:r w:rsidRPr="00D93E3F">
        <w:rPr>
          <w:rFonts w:ascii="Palatino Linotype" w:eastAsia="Palatino Linotype" w:hAnsi="Palatino Linotype" w:cs="Palatino Linotype"/>
        </w:rPr>
        <w:t>Archivos electrónicos adjuntos:</w:t>
      </w:r>
    </w:p>
    <w:p w:rsidR="00E94D86" w:rsidRPr="00D93E3F" w:rsidRDefault="00E94D86" w:rsidP="00A30F8D">
      <w:pPr>
        <w:ind w:left="567" w:right="-592"/>
        <w:jc w:val="both"/>
        <w:rPr>
          <w:rFonts w:ascii="Palatino Linotype" w:eastAsia="Palatino Linotype" w:hAnsi="Palatino Linotype" w:cs="Palatino Linotype"/>
          <w:b/>
        </w:rPr>
      </w:pPr>
    </w:p>
    <w:p w:rsidR="003A2DC2" w:rsidRPr="00D93E3F" w:rsidRDefault="00E81368" w:rsidP="006C7FB2">
      <w:pPr>
        <w:ind w:left="567" w:right="567"/>
        <w:jc w:val="both"/>
        <w:rPr>
          <w:rFonts w:ascii="Palatino Linotype" w:hAnsi="Palatino Linotype"/>
        </w:rPr>
      </w:pPr>
      <w:hyperlink r:id="rId8" w:tgtFrame="_blank" w:history="1">
        <w:r w:rsidR="003A2DC2" w:rsidRPr="00D93E3F">
          <w:rPr>
            <w:rStyle w:val="Hipervnculo"/>
            <w:rFonts w:ascii="Palatino Linotype" w:hAnsi="Palatino Linotype" w:cs="Arial"/>
            <w:b/>
            <w:bCs/>
            <w:color w:val="auto"/>
            <w:u w:val="none"/>
          </w:rPr>
          <w:t>ACUSE SOLIC. 265.pdf</w:t>
        </w:r>
      </w:hyperlink>
      <w:r w:rsidR="003A2DC2" w:rsidRPr="00D93E3F">
        <w:rPr>
          <w:rFonts w:ascii="Palatino Linotype" w:hAnsi="Palatino Linotype"/>
        </w:rPr>
        <w:t>:</w:t>
      </w:r>
      <w:r w:rsidR="00A6501F" w:rsidRPr="00D93E3F">
        <w:rPr>
          <w:rFonts w:ascii="Palatino Linotype" w:hAnsi="Palatino Linotype"/>
        </w:rPr>
        <w:t xml:space="preserve"> Oficio </w:t>
      </w:r>
      <w:r w:rsidR="001B6FA3" w:rsidRPr="00D93E3F">
        <w:rPr>
          <w:rFonts w:ascii="Palatino Linotype" w:hAnsi="Palatino Linotype"/>
        </w:rPr>
        <w:t xml:space="preserve">número </w:t>
      </w:r>
      <w:r w:rsidR="00A6501F" w:rsidRPr="00D93E3F">
        <w:rPr>
          <w:rFonts w:ascii="Palatino Linotype" w:hAnsi="Palatino Linotype"/>
        </w:rPr>
        <w:t>23400004000200S-247/2024, suscrito por el Director General de Personal, por medio del cual, refirió hacer entrega de la información correspondiente a las “cotizaciones realizadas”, asimismo, solicitó someter a consideración del Comité de Transparencia de la Oficialía Mayor, la clasificación como confidencial de los datos personales contenidos en las cotizaciones.</w:t>
      </w:r>
    </w:p>
    <w:p w:rsidR="00A6501F" w:rsidRPr="00D93E3F" w:rsidRDefault="00A6501F" w:rsidP="00A30F8D">
      <w:pPr>
        <w:ind w:left="567" w:right="567"/>
        <w:jc w:val="both"/>
        <w:rPr>
          <w:rFonts w:ascii="Palatino Linotype" w:hAnsi="Palatino Linotype"/>
        </w:rPr>
      </w:pPr>
    </w:p>
    <w:p w:rsidR="00EC4928" w:rsidRPr="00D93E3F" w:rsidRDefault="00E81368" w:rsidP="006C7FB2">
      <w:pPr>
        <w:ind w:left="567" w:right="567"/>
        <w:jc w:val="both"/>
        <w:rPr>
          <w:rFonts w:ascii="Palatino Linotype" w:hAnsi="Palatino Linotype"/>
        </w:rPr>
      </w:pPr>
      <w:hyperlink r:id="rId9" w:tgtFrame="_blank" w:history="1">
        <w:r w:rsidR="00EC4928" w:rsidRPr="00D93E3F">
          <w:rPr>
            <w:rStyle w:val="Hipervnculo"/>
            <w:rFonts w:ascii="Palatino Linotype" w:hAnsi="Palatino Linotype" w:cs="Arial"/>
            <w:b/>
            <w:bCs/>
            <w:color w:val="auto"/>
            <w:u w:val="none"/>
          </w:rPr>
          <w:t>Anexo 00265.pdf</w:t>
        </w:r>
      </w:hyperlink>
      <w:r w:rsidR="00EC4928" w:rsidRPr="00D93E3F">
        <w:rPr>
          <w:rFonts w:ascii="Palatino Linotype" w:hAnsi="Palatino Linotype"/>
        </w:rPr>
        <w:t xml:space="preserve">: Documento de 6 páginas, consistente en la copia digitalizada de las cotizaciones </w:t>
      </w:r>
      <w:r w:rsidR="001B6FA3" w:rsidRPr="00D93E3F">
        <w:rPr>
          <w:rFonts w:ascii="Palatino Linotype" w:hAnsi="Palatino Linotype"/>
        </w:rPr>
        <w:t xml:space="preserve">realizadas en 2024, </w:t>
      </w:r>
      <w:r w:rsidR="00EC4928" w:rsidRPr="00D93E3F">
        <w:rPr>
          <w:rFonts w:ascii="Palatino Linotype" w:hAnsi="Palatino Linotype"/>
        </w:rPr>
        <w:t>por concepto de termos (enfriadores de bebidas) y cargadores (pilas)</w:t>
      </w:r>
      <w:r w:rsidR="001B6FA3" w:rsidRPr="00D93E3F">
        <w:rPr>
          <w:rFonts w:ascii="Palatino Linotype" w:hAnsi="Palatino Linotype"/>
        </w:rPr>
        <w:t>.</w:t>
      </w:r>
    </w:p>
    <w:p w:rsidR="00EC4928" w:rsidRPr="00D93E3F" w:rsidRDefault="00EC4928" w:rsidP="006C7FB2">
      <w:pPr>
        <w:ind w:left="567" w:right="567"/>
        <w:jc w:val="both"/>
        <w:rPr>
          <w:rFonts w:ascii="Palatino Linotype" w:hAnsi="Palatino Linotype"/>
        </w:rPr>
      </w:pPr>
    </w:p>
    <w:p w:rsidR="003A2DC2" w:rsidRPr="00D93E3F" w:rsidRDefault="00E81368" w:rsidP="006C7FB2">
      <w:pPr>
        <w:ind w:left="567" w:right="567"/>
        <w:jc w:val="both"/>
        <w:rPr>
          <w:rFonts w:ascii="Palatino Linotype" w:hAnsi="Palatino Linotype"/>
        </w:rPr>
      </w:pPr>
      <w:hyperlink r:id="rId10" w:tgtFrame="_blank" w:history="1">
        <w:r w:rsidR="003A2DC2" w:rsidRPr="00D93E3F">
          <w:rPr>
            <w:rStyle w:val="Hipervnculo"/>
            <w:rFonts w:ascii="Palatino Linotype" w:hAnsi="Palatino Linotype" w:cs="Arial"/>
            <w:b/>
            <w:bCs/>
            <w:color w:val="auto"/>
            <w:u w:val="none"/>
          </w:rPr>
          <w:t>Respuesta 265.pdf</w:t>
        </w:r>
      </w:hyperlink>
      <w:r w:rsidR="003A2DC2" w:rsidRPr="00D93E3F">
        <w:rPr>
          <w:rFonts w:ascii="Palatino Linotype" w:hAnsi="Palatino Linotype"/>
        </w:rPr>
        <w:t>:</w:t>
      </w:r>
      <w:r w:rsidR="001B6FA3" w:rsidRPr="00D93E3F">
        <w:rPr>
          <w:rFonts w:ascii="Palatino Linotype" w:hAnsi="Palatino Linotype"/>
        </w:rPr>
        <w:t xml:space="preserve"> Oficio suscrito por el Titular de la Unidad de Transparencia, por medio del cual, refirió dar contestación a la solicitud de información 00265/OFICIALÍA/IP/2024, por medio del oficio número 23400004000200S-247/2024 emitido por el Servidor Público Habilitado de la Dirección de Personal.</w:t>
      </w:r>
    </w:p>
    <w:p w:rsidR="00EC4928" w:rsidRPr="00D93E3F" w:rsidRDefault="00EC4928" w:rsidP="006C7FB2">
      <w:pPr>
        <w:ind w:left="567" w:right="567"/>
        <w:jc w:val="both"/>
        <w:rPr>
          <w:rFonts w:ascii="Palatino Linotype" w:hAnsi="Palatino Linotype"/>
        </w:rPr>
      </w:pPr>
    </w:p>
    <w:p w:rsidR="003A2DC2" w:rsidRPr="00D93E3F" w:rsidRDefault="00E81368" w:rsidP="006C7FB2">
      <w:pPr>
        <w:ind w:left="567" w:right="567"/>
        <w:jc w:val="both"/>
        <w:rPr>
          <w:rFonts w:ascii="Palatino Linotype" w:hAnsi="Palatino Linotype"/>
        </w:rPr>
      </w:pPr>
      <w:hyperlink r:id="rId11" w:tgtFrame="_blank" w:history="1">
        <w:r w:rsidR="003A2DC2" w:rsidRPr="00D93E3F">
          <w:rPr>
            <w:rStyle w:val="Hipervnculo"/>
            <w:rFonts w:ascii="Palatino Linotype" w:hAnsi="Palatino Linotype" w:cs="Arial"/>
            <w:b/>
            <w:bCs/>
            <w:color w:val="auto"/>
            <w:u w:val="none"/>
          </w:rPr>
          <w:t>Acta 12a Extra.pdf</w:t>
        </w:r>
      </w:hyperlink>
      <w:r w:rsidR="003A2DC2" w:rsidRPr="00D93E3F">
        <w:rPr>
          <w:rFonts w:ascii="Palatino Linotype" w:hAnsi="Palatino Linotype"/>
        </w:rPr>
        <w:t>:</w:t>
      </w:r>
      <w:r w:rsidR="001B6FA3" w:rsidRPr="00D93E3F">
        <w:rPr>
          <w:rFonts w:ascii="Palatino Linotype" w:hAnsi="Palatino Linotype"/>
        </w:rPr>
        <w:t xml:space="preserve"> Acta de la </w:t>
      </w:r>
      <w:r w:rsidR="00AD7AF8" w:rsidRPr="00D93E3F">
        <w:rPr>
          <w:rFonts w:ascii="Palatino Linotype" w:hAnsi="Palatino Linotype"/>
        </w:rPr>
        <w:t>Décimo</w:t>
      </w:r>
      <w:r w:rsidR="001B6FA3" w:rsidRPr="00D93E3F">
        <w:rPr>
          <w:rFonts w:ascii="Palatino Linotype" w:hAnsi="Palatino Linotype"/>
        </w:rPr>
        <w:t xml:space="preserve"> Se</w:t>
      </w:r>
      <w:r w:rsidR="00AD7AF8" w:rsidRPr="00D93E3F">
        <w:rPr>
          <w:rFonts w:ascii="Palatino Linotype" w:hAnsi="Palatino Linotype"/>
        </w:rPr>
        <w:t>gund</w:t>
      </w:r>
      <w:r w:rsidR="001B6FA3" w:rsidRPr="00D93E3F">
        <w:rPr>
          <w:rFonts w:ascii="Palatino Linotype" w:hAnsi="Palatino Linotype"/>
        </w:rPr>
        <w:t>a Sesión Extraordinaria del Comité de Transparencia de la Oficialía Mayor</w:t>
      </w:r>
      <w:r w:rsidR="00AD7AF8" w:rsidRPr="00D93E3F">
        <w:rPr>
          <w:rFonts w:ascii="Palatino Linotype" w:hAnsi="Palatino Linotype"/>
        </w:rPr>
        <w:t xml:space="preserve">, celebrada el 29 de noviembre de 2024, por medio de la cual, </w:t>
      </w:r>
      <w:r w:rsidR="006C7FB2" w:rsidRPr="00D93E3F">
        <w:rPr>
          <w:rFonts w:ascii="Palatino Linotype" w:hAnsi="Palatino Linotype"/>
        </w:rPr>
        <w:t>se</w:t>
      </w:r>
      <w:r w:rsidR="00AD7AF8" w:rsidRPr="00D93E3F">
        <w:rPr>
          <w:rFonts w:ascii="Palatino Linotype" w:hAnsi="Palatino Linotype"/>
        </w:rPr>
        <w:t xml:space="preserve"> aprobó </w:t>
      </w:r>
      <w:r w:rsidR="006C7FB2" w:rsidRPr="00D93E3F">
        <w:rPr>
          <w:rFonts w:ascii="Palatino Linotype" w:hAnsi="Palatino Linotype"/>
        </w:rPr>
        <w:t xml:space="preserve">el ACUERDO CTOM-SE12-2024-0002, por el que se confirmó </w:t>
      </w:r>
      <w:r w:rsidR="00AD7AF8" w:rsidRPr="00D93E3F">
        <w:rPr>
          <w:rFonts w:ascii="Palatino Linotype" w:hAnsi="Palatino Linotype"/>
        </w:rPr>
        <w:t>la</w:t>
      </w:r>
      <w:r w:rsidR="006C7FB2" w:rsidRPr="00D93E3F">
        <w:rPr>
          <w:rFonts w:ascii="Palatino Linotype" w:hAnsi="Palatino Linotype"/>
        </w:rPr>
        <w:t xml:space="preserve"> </w:t>
      </w:r>
      <w:r w:rsidR="00AD7AF8" w:rsidRPr="00D93E3F">
        <w:rPr>
          <w:rFonts w:ascii="Palatino Linotype" w:hAnsi="Palatino Linotype"/>
        </w:rPr>
        <w:t xml:space="preserve">clasificación </w:t>
      </w:r>
      <w:r w:rsidR="00A41231" w:rsidRPr="00D93E3F">
        <w:rPr>
          <w:rFonts w:ascii="Palatino Linotype" w:hAnsi="Palatino Linotype"/>
        </w:rPr>
        <w:t xml:space="preserve">parcial </w:t>
      </w:r>
      <w:r w:rsidR="00AD7AF8" w:rsidRPr="00D93E3F">
        <w:rPr>
          <w:rFonts w:ascii="Palatino Linotype" w:hAnsi="Palatino Linotype"/>
        </w:rPr>
        <w:t xml:space="preserve">como información confidencial </w:t>
      </w:r>
      <w:r w:rsidR="006C7FB2" w:rsidRPr="00D93E3F">
        <w:rPr>
          <w:rFonts w:ascii="Palatino Linotype" w:hAnsi="Palatino Linotype"/>
        </w:rPr>
        <w:t>de los datos personales contenidos en</w:t>
      </w:r>
      <w:r w:rsidR="00A41231" w:rsidRPr="00D93E3F">
        <w:rPr>
          <w:rFonts w:ascii="Palatino Linotype" w:hAnsi="Palatino Linotype"/>
        </w:rPr>
        <w:t xml:space="preserve"> los documentos identificados como </w:t>
      </w:r>
      <w:r w:rsidR="006C7FB2" w:rsidRPr="00D93E3F">
        <w:rPr>
          <w:rFonts w:ascii="Palatino Linotype" w:hAnsi="Palatino Linotype"/>
        </w:rPr>
        <w:lastRenderedPageBreak/>
        <w:t>“</w:t>
      </w:r>
      <w:r w:rsidR="00A41231" w:rsidRPr="00D93E3F">
        <w:rPr>
          <w:rFonts w:ascii="Palatino Linotype" w:hAnsi="Palatino Linotype"/>
        </w:rPr>
        <w:t>cotizaciones</w:t>
      </w:r>
      <w:r w:rsidR="006C7FB2" w:rsidRPr="00D93E3F">
        <w:rPr>
          <w:rFonts w:ascii="Palatino Linotype" w:hAnsi="Palatino Linotype"/>
        </w:rPr>
        <w:t>”</w:t>
      </w:r>
      <w:r w:rsidR="00A41231" w:rsidRPr="00D93E3F">
        <w:rPr>
          <w:rFonts w:ascii="Palatino Linotype" w:hAnsi="Palatino Linotype"/>
        </w:rPr>
        <w:t>, a fin de dar respuesta a la solicitud acceso con folio 002665/OFICIALIA/IP/2024.</w:t>
      </w:r>
    </w:p>
    <w:p w:rsidR="001B6FA3" w:rsidRPr="00D93E3F" w:rsidRDefault="001B6FA3" w:rsidP="006C7FB2">
      <w:pPr>
        <w:ind w:left="567" w:right="567"/>
        <w:jc w:val="both"/>
        <w:rPr>
          <w:rFonts w:ascii="Palatino Linotype" w:hAnsi="Palatino Linotype"/>
        </w:rPr>
      </w:pPr>
    </w:p>
    <w:p w:rsidR="00A22674" w:rsidRPr="00D93E3F" w:rsidRDefault="00E81368" w:rsidP="006C7FB2">
      <w:pPr>
        <w:ind w:left="567" w:right="567"/>
        <w:jc w:val="both"/>
        <w:rPr>
          <w:rFonts w:ascii="Palatino Linotype" w:hAnsi="Palatino Linotype"/>
        </w:rPr>
      </w:pPr>
      <w:hyperlink r:id="rId12" w:tgtFrame="_blank" w:history="1">
        <w:r w:rsidR="003A2DC2" w:rsidRPr="00D93E3F">
          <w:rPr>
            <w:rStyle w:val="Hipervnculo"/>
            <w:rFonts w:ascii="Palatino Linotype" w:hAnsi="Palatino Linotype" w:cs="Arial"/>
            <w:b/>
            <w:bCs/>
            <w:color w:val="auto"/>
            <w:u w:val="none"/>
          </w:rPr>
          <w:t>Acuerdo 2-265.pdf</w:t>
        </w:r>
      </w:hyperlink>
      <w:r w:rsidR="003A2DC2" w:rsidRPr="00D93E3F">
        <w:rPr>
          <w:rFonts w:ascii="Palatino Linotype" w:hAnsi="Palatino Linotype"/>
        </w:rPr>
        <w:t>:</w:t>
      </w:r>
      <w:r w:rsidR="006C7FB2" w:rsidRPr="00D93E3F">
        <w:rPr>
          <w:rFonts w:ascii="Palatino Linotype" w:hAnsi="Palatino Linotype"/>
        </w:rPr>
        <w:t xml:space="preserve"> Acuerdo CTOM-SE12-2024-0002, por el que se confirmó la clasificación parcial como información confidencial de los datos personales contenidos en los documentos identificados como “cotizaciones”, a fin de dar respuesta a la solicitud acceso con folio 002665/OFICIALIA/IP/2024. </w:t>
      </w:r>
    </w:p>
    <w:p w:rsidR="003A2DC2" w:rsidRPr="00D93E3F" w:rsidRDefault="003A2DC2" w:rsidP="00A30F8D">
      <w:pPr>
        <w:ind w:right="-592"/>
        <w:jc w:val="both"/>
        <w:rPr>
          <w:rFonts w:ascii="Palatino Linotype" w:eastAsia="Palatino Linotype" w:hAnsi="Palatino Linotype" w:cs="Palatino Linotype"/>
        </w:rPr>
      </w:pPr>
    </w:p>
    <w:p w:rsidR="00C82ED1" w:rsidRPr="00D93E3F" w:rsidRDefault="001E3125" w:rsidP="00C82ED1">
      <w:pPr>
        <w:numPr>
          <w:ilvl w:val="0"/>
          <w:numId w:val="1"/>
        </w:numPr>
        <w:spacing w:line="360" w:lineRule="auto"/>
        <w:ind w:left="0" w:right="1" w:firstLine="0"/>
        <w:jc w:val="both"/>
        <w:rPr>
          <w:rFonts w:ascii="Palatino Linotype" w:eastAsia="Palatino Linotype" w:hAnsi="Palatino Linotype" w:cs="Palatino Linotype"/>
        </w:rPr>
      </w:pPr>
      <w:r w:rsidRPr="00D93E3F">
        <w:rPr>
          <w:rFonts w:ascii="Palatino Linotype" w:eastAsia="Palatino Linotype" w:hAnsi="Palatino Linotype" w:cs="Palatino Linotype"/>
        </w:rPr>
        <w:t xml:space="preserve">El </w:t>
      </w:r>
      <w:r w:rsidR="003A2DC2" w:rsidRPr="00D93E3F">
        <w:rPr>
          <w:rFonts w:ascii="Palatino Linotype" w:eastAsia="Palatino Linotype" w:hAnsi="Palatino Linotype" w:cs="Palatino Linotype"/>
        </w:rPr>
        <w:t>cuatro de diciembre</w:t>
      </w:r>
      <w:r w:rsidRPr="00D93E3F">
        <w:rPr>
          <w:rFonts w:ascii="Palatino Linotype" w:eastAsia="Palatino Linotype" w:hAnsi="Palatino Linotype" w:cs="Palatino Linotype"/>
        </w:rPr>
        <w:t xml:space="preserve"> de dos mil veinticuatro,</w:t>
      </w:r>
      <w:r w:rsidRPr="00D93E3F">
        <w:rPr>
          <w:rFonts w:ascii="Palatino Linotype" w:eastAsia="Palatino Linotype" w:hAnsi="Palatino Linotype" w:cs="Palatino Linotype"/>
          <w:b/>
        </w:rPr>
        <w:t xml:space="preserve"> </w:t>
      </w:r>
      <w:r w:rsidRPr="00D93E3F">
        <w:rPr>
          <w:rFonts w:ascii="Palatino Linotype" w:eastAsia="Palatino Linotype" w:hAnsi="Palatino Linotype" w:cs="Palatino Linotype"/>
        </w:rPr>
        <w:t xml:space="preserve">el </w:t>
      </w:r>
      <w:r w:rsidRPr="00D93E3F">
        <w:rPr>
          <w:rFonts w:ascii="Palatino Linotype" w:eastAsia="Palatino Linotype" w:hAnsi="Palatino Linotype" w:cs="Palatino Linotype"/>
          <w:b/>
        </w:rPr>
        <w:t>RECURRENTE</w:t>
      </w:r>
      <w:r w:rsidRPr="00D93E3F">
        <w:rPr>
          <w:rFonts w:ascii="Palatino Linotype" w:eastAsia="Palatino Linotype" w:hAnsi="Palatino Linotype" w:cs="Palatino Linotype"/>
        </w:rPr>
        <w:t xml:space="preserve"> interpuso el recurso de revisión en contra de la respuesta, señalando como:</w:t>
      </w:r>
    </w:p>
    <w:p w:rsidR="00C82ED1" w:rsidRPr="00D93E3F" w:rsidRDefault="00C82ED1" w:rsidP="00A30F8D">
      <w:pPr>
        <w:ind w:right="1"/>
        <w:jc w:val="both"/>
        <w:rPr>
          <w:rFonts w:ascii="Palatino Linotype" w:eastAsia="Palatino Linotype" w:hAnsi="Palatino Linotype" w:cs="Palatino Linotype"/>
        </w:rPr>
      </w:pPr>
    </w:p>
    <w:p w:rsidR="00E94D86" w:rsidRPr="00D93E3F" w:rsidRDefault="001E3125" w:rsidP="00A22674">
      <w:pPr>
        <w:ind w:left="567" w:right="567"/>
        <w:jc w:val="both"/>
        <w:rPr>
          <w:rFonts w:ascii="Palatino Linotype" w:hAnsi="Palatino Linotype"/>
          <w:i/>
        </w:rPr>
      </w:pPr>
      <w:r w:rsidRPr="00D93E3F">
        <w:rPr>
          <w:rFonts w:ascii="Palatino Linotype" w:eastAsia="Palatino Linotype" w:hAnsi="Palatino Linotype" w:cs="Palatino Linotype"/>
          <w:b/>
        </w:rPr>
        <w:t>Acto impugnado</w:t>
      </w:r>
      <w:r w:rsidRPr="00D93E3F">
        <w:rPr>
          <w:rFonts w:ascii="Palatino Linotype" w:eastAsia="Palatino Linotype" w:hAnsi="Palatino Linotype" w:cs="Palatino Linotype"/>
          <w:b/>
          <w:i/>
        </w:rPr>
        <w:t>:</w:t>
      </w:r>
      <w:r w:rsidRPr="00D93E3F">
        <w:rPr>
          <w:rFonts w:ascii="Palatino Linotype" w:eastAsia="Palatino Linotype" w:hAnsi="Palatino Linotype" w:cs="Palatino Linotype"/>
          <w:i/>
          <w:color w:val="000000"/>
        </w:rPr>
        <w:t xml:space="preserve"> “</w:t>
      </w:r>
      <w:r w:rsidR="003A2DC2" w:rsidRPr="00D93E3F">
        <w:rPr>
          <w:rFonts w:ascii="Palatino Linotype" w:hAnsi="Palatino Linotype"/>
          <w:i/>
          <w:color w:val="000000"/>
        </w:rPr>
        <w:t>LA RESPUESTA OTORGADA POR LA OFICIALIA MAYOR DE GOBIERNO DEL ESTADO DE MÉXICO</w:t>
      </w:r>
      <w:r w:rsidRPr="00D93E3F">
        <w:rPr>
          <w:rFonts w:ascii="Palatino Linotype" w:eastAsia="Palatino Linotype" w:hAnsi="Palatino Linotype" w:cs="Palatino Linotype"/>
          <w:i/>
          <w:color w:val="000000"/>
        </w:rPr>
        <w:t>” (Sic)</w:t>
      </w:r>
    </w:p>
    <w:p w:rsidR="00E94D86" w:rsidRPr="00D93E3F" w:rsidRDefault="00E94D86" w:rsidP="00A22674">
      <w:pPr>
        <w:ind w:left="567" w:right="567"/>
        <w:jc w:val="both"/>
        <w:rPr>
          <w:rFonts w:ascii="Palatino Linotype" w:eastAsia="Palatino Linotype" w:hAnsi="Palatino Linotype" w:cs="Palatino Linotype"/>
        </w:rPr>
      </w:pPr>
    </w:p>
    <w:p w:rsidR="00E94D86" w:rsidRPr="00D93E3F" w:rsidRDefault="001E3125" w:rsidP="00A22674">
      <w:pPr>
        <w:ind w:left="567" w:right="567"/>
        <w:jc w:val="both"/>
        <w:rPr>
          <w:rFonts w:ascii="Palatino Linotype" w:eastAsia="Palatino Linotype" w:hAnsi="Palatino Linotype" w:cs="Palatino Linotype"/>
          <w:i/>
          <w:color w:val="000000"/>
        </w:rPr>
      </w:pPr>
      <w:r w:rsidRPr="00D93E3F">
        <w:rPr>
          <w:rFonts w:ascii="Palatino Linotype" w:eastAsia="Palatino Linotype" w:hAnsi="Palatino Linotype" w:cs="Palatino Linotype"/>
          <w:b/>
        </w:rPr>
        <w:t xml:space="preserve">Razones o Motivos de inconformidad: </w:t>
      </w:r>
      <w:r w:rsidR="006E5F99" w:rsidRPr="00D93E3F">
        <w:rPr>
          <w:rFonts w:ascii="Palatino Linotype" w:eastAsia="Palatino Linotype" w:hAnsi="Palatino Linotype" w:cs="Palatino Linotype"/>
          <w:i/>
          <w:color w:val="000000"/>
        </w:rPr>
        <w:t>“</w:t>
      </w:r>
      <w:r w:rsidR="003A2DC2" w:rsidRPr="00D93E3F">
        <w:rPr>
          <w:rFonts w:ascii="Palatino Linotype" w:hAnsi="Palatino Linotype"/>
          <w:i/>
          <w:color w:val="000000"/>
        </w:rPr>
        <w:t>LA RESPUESTA NO CORRESPONDE A LO SOLICITADO, EN RAZON DE QUE LA DOCUMENTACION QUE SE REMITIO NO SON LOS ESTUDIOS DE MERCADO SOLICITADOS</w:t>
      </w:r>
      <w:r w:rsidRPr="00D93E3F">
        <w:rPr>
          <w:rFonts w:ascii="Palatino Linotype" w:eastAsia="Palatino Linotype" w:hAnsi="Palatino Linotype" w:cs="Palatino Linotype"/>
          <w:i/>
          <w:color w:val="000000"/>
        </w:rPr>
        <w:t>” (Sic)</w:t>
      </w:r>
    </w:p>
    <w:p w:rsidR="00A22674" w:rsidRPr="00D93E3F" w:rsidRDefault="00A22674" w:rsidP="00A30F8D">
      <w:pPr>
        <w:ind w:right="568"/>
        <w:jc w:val="both"/>
        <w:rPr>
          <w:rFonts w:ascii="Palatino Linotype" w:eastAsia="Palatino Linotype" w:hAnsi="Palatino Linotype" w:cs="Palatino Linotype"/>
          <w:b/>
        </w:rPr>
      </w:pPr>
    </w:p>
    <w:p w:rsidR="00E94D86" w:rsidRPr="00D93E3F" w:rsidRDefault="001E3125">
      <w:pPr>
        <w:numPr>
          <w:ilvl w:val="0"/>
          <w:numId w:val="1"/>
        </w:numPr>
        <w:spacing w:line="360" w:lineRule="auto"/>
        <w:ind w:left="0" w:right="1" w:firstLine="0"/>
        <w:jc w:val="both"/>
        <w:rPr>
          <w:rFonts w:ascii="Palatino Linotype" w:eastAsia="Palatino Linotype" w:hAnsi="Palatino Linotype" w:cs="Palatino Linotype"/>
        </w:rPr>
      </w:pPr>
      <w:r w:rsidRPr="00D93E3F">
        <w:rPr>
          <w:rFonts w:ascii="Palatino Linotype" w:eastAsia="Palatino Linotype" w:hAnsi="Palatino Linotype" w:cs="Palatino Linotype"/>
        </w:rPr>
        <w:t xml:space="preserve">Se registró el recurso de revisión bajo el número de expediente al rubro indicado, asimismo con fundamento en lo dispuesto por el artículo 185 fracción I de la </w:t>
      </w:r>
      <w:r w:rsidRPr="00D93E3F">
        <w:rPr>
          <w:rFonts w:ascii="Palatino Linotype" w:eastAsia="Palatino Linotype" w:hAnsi="Palatino Linotype" w:cs="Palatino Linotype"/>
          <w:b/>
        </w:rPr>
        <w:t xml:space="preserve">Ley de Transparencia y Acceso a la Información Pública del Estado de México y Municipios </w:t>
      </w:r>
      <w:r w:rsidRPr="00D93E3F">
        <w:rPr>
          <w:rFonts w:ascii="Palatino Linotype" w:eastAsia="Palatino Linotype" w:hAnsi="Palatino Linotype" w:cs="Palatino Linotype"/>
        </w:rPr>
        <w:t xml:space="preserve">se turna a la </w:t>
      </w:r>
      <w:r w:rsidRPr="00D93E3F">
        <w:rPr>
          <w:rFonts w:ascii="Palatino Linotype" w:eastAsia="Palatino Linotype" w:hAnsi="Palatino Linotype" w:cs="Palatino Linotype"/>
          <w:b/>
        </w:rPr>
        <w:t xml:space="preserve">Comisionada María del Rosario Mejía Ayala, </w:t>
      </w:r>
      <w:r w:rsidRPr="00D93E3F">
        <w:rPr>
          <w:rFonts w:ascii="Palatino Linotype" w:eastAsia="Palatino Linotype" w:hAnsi="Palatino Linotype" w:cs="Palatino Linotype"/>
        </w:rPr>
        <w:t xml:space="preserve">para su análisis. </w:t>
      </w:r>
    </w:p>
    <w:p w:rsidR="00E94D86" w:rsidRPr="00D93E3F" w:rsidRDefault="00E94D86" w:rsidP="00A30F8D">
      <w:pPr>
        <w:ind w:right="-592"/>
        <w:jc w:val="both"/>
        <w:rPr>
          <w:rFonts w:ascii="Palatino Linotype" w:eastAsia="Palatino Linotype" w:hAnsi="Palatino Linotype" w:cs="Palatino Linotype"/>
        </w:rPr>
      </w:pPr>
    </w:p>
    <w:p w:rsidR="00E94D86" w:rsidRPr="00D93E3F" w:rsidRDefault="001E3125">
      <w:pPr>
        <w:numPr>
          <w:ilvl w:val="0"/>
          <w:numId w:val="1"/>
        </w:numPr>
        <w:spacing w:line="360" w:lineRule="auto"/>
        <w:ind w:left="0" w:right="1" w:firstLine="0"/>
        <w:jc w:val="both"/>
        <w:rPr>
          <w:rFonts w:ascii="Palatino Linotype" w:eastAsia="Palatino Linotype" w:hAnsi="Palatino Linotype" w:cs="Palatino Linotype"/>
          <w:color w:val="000000"/>
        </w:rPr>
      </w:pPr>
      <w:r w:rsidRPr="00D93E3F">
        <w:rPr>
          <w:rFonts w:ascii="Palatino Linotype" w:eastAsia="Palatino Linotype" w:hAnsi="Palatino Linotype" w:cs="Palatino Linotype"/>
        </w:rPr>
        <w:t xml:space="preserve">La Comisionada Ponente con fundamento en lo dispuesto por el artículo 185 fracción II de la ley de la materia, a través del acuerdo de admisión del </w:t>
      </w:r>
      <w:r w:rsidR="003A2DC2" w:rsidRPr="00D93E3F">
        <w:rPr>
          <w:rFonts w:ascii="Palatino Linotype" w:eastAsia="Palatino Linotype" w:hAnsi="Palatino Linotype" w:cs="Palatino Linotype"/>
        </w:rPr>
        <w:t>cinco de diciembre</w:t>
      </w:r>
      <w:r w:rsidR="004F5574" w:rsidRPr="00D93E3F">
        <w:rPr>
          <w:rFonts w:ascii="Palatino Linotype" w:eastAsia="Palatino Linotype" w:hAnsi="Palatino Linotype" w:cs="Palatino Linotype"/>
        </w:rPr>
        <w:t xml:space="preserve"> de</w:t>
      </w:r>
      <w:r w:rsidRPr="00D93E3F">
        <w:rPr>
          <w:rFonts w:ascii="Palatino Linotype" w:eastAsia="Palatino Linotype" w:hAnsi="Palatino Linotype" w:cs="Palatino Linotype"/>
        </w:rPr>
        <w:t xml:space="preserve"> dos mil veinticuatro, puso a disposición de las partes el expediente electrónico vía </w:t>
      </w:r>
      <w:r w:rsidRPr="00D93E3F">
        <w:rPr>
          <w:rFonts w:ascii="Palatino Linotype" w:eastAsia="Palatino Linotype" w:hAnsi="Palatino Linotype" w:cs="Palatino Linotype"/>
          <w:b/>
        </w:rPr>
        <w:t xml:space="preserve">SAIMEX </w:t>
      </w:r>
      <w:r w:rsidRPr="00D93E3F">
        <w:rPr>
          <w:rFonts w:ascii="Palatino Linotype" w:eastAsia="Palatino Linotype" w:hAnsi="Palatino Linotype" w:cs="Palatino Linotype"/>
        </w:rPr>
        <w:t xml:space="preserve">a efecto de que en un plazo máximo de siete días manifestara lo que a derecho conviniera, ofreciera pruebas y alegatos según corresponda al caso concreto, de esta forma para que el </w:t>
      </w:r>
      <w:r w:rsidRPr="00D93E3F">
        <w:rPr>
          <w:rFonts w:ascii="Palatino Linotype" w:eastAsia="Palatino Linotype" w:hAnsi="Palatino Linotype" w:cs="Palatino Linotype"/>
          <w:b/>
        </w:rPr>
        <w:t>SUJETO OBLIGADO</w:t>
      </w:r>
      <w:r w:rsidRPr="00D93E3F">
        <w:rPr>
          <w:rFonts w:ascii="Palatino Linotype" w:eastAsia="Palatino Linotype" w:hAnsi="Palatino Linotype" w:cs="Palatino Linotype"/>
        </w:rPr>
        <w:t xml:space="preserve"> presentará el informe justificado procedente. </w:t>
      </w:r>
    </w:p>
    <w:p w:rsidR="00B82092" w:rsidRPr="00D93E3F" w:rsidRDefault="00B82092" w:rsidP="003A2DC2">
      <w:pPr>
        <w:rPr>
          <w:rFonts w:ascii="Palatino Linotype" w:eastAsia="Palatino Linotype" w:hAnsi="Palatino Linotype" w:cs="Palatino Linotype"/>
        </w:rPr>
      </w:pPr>
    </w:p>
    <w:p w:rsidR="006C7FB2" w:rsidRPr="00D93E3F" w:rsidRDefault="003A2DC2" w:rsidP="00AF2A58">
      <w:pPr>
        <w:numPr>
          <w:ilvl w:val="0"/>
          <w:numId w:val="1"/>
        </w:numPr>
        <w:spacing w:line="360" w:lineRule="auto"/>
        <w:ind w:left="0" w:right="1" w:firstLine="0"/>
        <w:jc w:val="both"/>
        <w:rPr>
          <w:rFonts w:ascii="Palatino Linotype" w:eastAsia="Palatino Linotype" w:hAnsi="Palatino Linotype" w:cs="Palatino Linotype"/>
          <w:b/>
        </w:rPr>
      </w:pPr>
      <w:r w:rsidRPr="00D93E3F">
        <w:rPr>
          <w:rFonts w:ascii="Palatino Linotype" w:eastAsia="Palatino Linotype" w:hAnsi="Palatino Linotype" w:cs="Palatino Linotype"/>
        </w:rPr>
        <w:t>El</w:t>
      </w:r>
      <w:r w:rsidR="00B82092" w:rsidRPr="00D93E3F">
        <w:rPr>
          <w:rFonts w:ascii="Palatino Linotype" w:eastAsia="Palatino Linotype" w:hAnsi="Palatino Linotype" w:cs="Palatino Linotype"/>
        </w:rPr>
        <w:t xml:space="preserve"> </w:t>
      </w:r>
      <w:r w:rsidRPr="00D93E3F">
        <w:rPr>
          <w:rFonts w:ascii="Palatino Linotype" w:eastAsia="Palatino Linotype" w:hAnsi="Palatino Linotype" w:cs="Palatino Linotype"/>
        </w:rPr>
        <w:t>dieciséis de diciembre</w:t>
      </w:r>
      <w:r w:rsidR="00A22674" w:rsidRPr="00D93E3F">
        <w:rPr>
          <w:rFonts w:ascii="Palatino Linotype" w:eastAsia="Palatino Linotype" w:hAnsi="Palatino Linotype" w:cs="Palatino Linotype"/>
        </w:rPr>
        <w:t xml:space="preserve"> de dos mil veinticuatro</w:t>
      </w:r>
      <w:r w:rsidR="00B82092" w:rsidRPr="00D93E3F">
        <w:rPr>
          <w:rFonts w:ascii="Palatino Linotype" w:eastAsia="Palatino Linotype" w:hAnsi="Palatino Linotype" w:cs="Palatino Linotype"/>
        </w:rPr>
        <w:t xml:space="preserve">, </w:t>
      </w:r>
      <w:r w:rsidR="004F5574" w:rsidRPr="00D93E3F">
        <w:rPr>
          <w:rFonts w:ascii="Palatino Linotype" w:eastAsia="Palatino Linotype" w:hAnsi="Palatino Linotype" w:cs="Palatino Linotype"/>
        </w:rPr>
        <w:t>el</w:t>
      </w:r>
      <w:r w:rsidR="001E3125" w:rsidRPr="00D93E3F">
        <w:rPr>
          <w:rFonts w:ascii="Palatino Linotype" w:eastAsia="Palatino Linotype" w:hAnsi="Palatino Linotype" w:cs="Palatino Linotype"/>
        </w:rPr>
        <w:t xml:space="preserve"> </w:t>
      </w:r>
      <w:r w:rsidR="001E3125" w:rsidRPr="00D93E3F">
        <w:rPr>
          <w:rFonts w:ascii="Palatino Linotype" w:eastAsia="Palatino Linotype" w:hAnsi="Palatino Linotype" w:cs="Palatino Linotype"/>
          <w:b/>
        </w:rPr>
        <w:t>SUJETO OBLIGADO</w:t>
      </w:r>
      <w:r w:rsidR="001E3125" w:rsidRPr="00D93E3F">
        <w:rPr>
          <w:rFonts w:ascii="Palatino Linotype" w:eastAsia="Palatino Linotype" w:hAnsi="Palatino Linotype" w:cs="Palatino Linotype"/>
        </w:rPr>
        <w:t xml:space="preserve"> </w:t>
      </w:r>
      <w:r w:rsidR="004F5574" w:rsidRPr="00D93E3F">
        <w:rPr>
          <w:rFonts w:ascii="Palatino Linotype" w:eastAsia="Palatino Linotype" w:hAnsi="Palatino Linotype" w:cs="Palatino Linotype"/>
        </w:rPr>
        <w:t>rindió</w:t>
      </w:r>
      <w:r w:rsidR="006E5F99" w:rsidRPr="00D93E3F">
        <w:rPr>
          <w:rFonts w:ascii="Palatino Linotype" w:eastAsia="Palatino Linotype" w:hAnsi="Palatino Linotype" w:cs="Palatino Linotype"/>
        </w:rPr>
        <w:t xml:space="preserve"> </w:t>
      </w:r>
      <w:r w:rsidR="001E3125" w:rsidRPr="00D93E3F">
        <w:rPr>
          <w:rFonts w:ascii="Palatino Linotype" w:eastAsia="Palatino Linotype" w:hAnsi="Palatino Linotype" w:cs="Palatino Linotype"/>
        </w:rPr>
        <w:t>el informe justificado correspondiente</w:t>
      </w:r>
      <w:r w:rsidR="004F5574" w:rsidRPr="00D93E3F">
        <w:rPr>
          <w:rFonts w:ascii="Palatino Linotype" w:eastAsia="Palatino Linotype" w:hAnsi="Palatino Linotype" w:cs="Palatino Linotype"/>
        </w:rPr>
        <w:t xml:space="preserve">, </w:t>
      </w:r>
      <w:r w:rsidR="00B82092" w:rsidRPr="00D93E3F">
        <w:rPr>
          <w:rFonts w:ascii="Palatino Linotype" w:eastAsia="Palatino Linotype" w:hAnsi="Palatino Linotype" w:cs="Palatino Linotype"/>
        </w:rPr>
        <w:t>por medio de</w:t>
      </w:r>
      <w:r w:rsidRPr="00D93E3F">
        <w:rPr>
          <w:rFonts w:ascii="Palatino Linotype" w:eastAsia="Palatino Linotype" w:hAnsi="Palatino Linotype" w:cs="Palatino Linotype"/>
        </w:rPr>
        <w:t xml:space="preserve"> los </w:t>
      </w:r>
      <w:r w:rsidR="006C7FB2" w:rsidRPr="00D93E3F">
        <w:rPr>
          <w:rFonts w:ascii="Palatino Linotype" w:eastAsia="Palatino Linotype" w:hAnsi="Palatino Linotype" w:cs="Palatino Linotype"/>
        </w:rPr>
        <w:t xml:space="preserve">siguientes </w:t>
      </w:r>
      <w:r w:rsidR="00B82092" w:rsidRPr="00D93E3F">
        <w:rPr>
          <w:rFonts w:ascii="Palatino Linotype" w:eastAsia="Palatino Linotype" w:hAnsi="Palatino Linotype" w:cs="Palatino Linotype"/>
        </w:rPr>
        <w:t>archivo</w:t>
      </w:r>
      <w:r w:rsidRPr="00D93E3F">
        <w:rPr>
          <w:rFonts w:ascii="Palatino Linotype" w:eastAsia="Palatino Linotype" w:hAnsi="Palatino Linotype" w:cs="Palatino Linotype"/>
        </w:rPr>
        <w:t>s</w:t>
      </w:r>
      <w:r w:rsidR="00B82092" w:rsidRPr="00D93E3F">
        <w:rPr>
          <w:rFonts w:ascii="Palatino Linotype" w:eastAsia="Palatino Linotype" w:hAnsi="Palatino Linotype" w:cs="Palatino Linotype"/>
        </w:rPr>
        <w:t xml:space="preserve"> electrónico</w:t>
      </w:r>
      <w:r w:rsidRPr="00D93E3F">
        <w:rPr>
          <w:rFonts w:ascii="Palatino Linotype" w:eastAsia="Palatino Linotype" w:hAnsi="Palatino Linotype" w:cs="Palatino Linotype"/>
        </w:rPr>
        <w:t>s</w:t>
      </w:r>
      <w:r w:rsidR="006C7FB2" w:rsidRPr="00D93E3F">
        <w:rPr>
          <w:rFonts w:ascii="Palatino Linotype" w:eastAsia="Palatino Linotype" w:hAnsi="Palatino Linotype" w:cs="Palatino Linotype"/>
        </w:rPr>
        <w:t>:</w:t>
      </w:r>
    </w:p>
    <w:p w:rsidR="006C7FB2" w:rsidRPr="00D93E3F" w:rsidRDefault="006C7FB2" w:rsidP="00A30F8D">
      <w:pPr>
        <w:rPr>
          <w:rFonts w:ascii="Palatino Linotype" w:eastAsia="Palatino Linotype" w:hAnsi="Palatino Linotype" w:cs="Palatino Linotype"/>
        </w:rPr>
      </w:pPr>
    </w:p>
    <w:p w:rsidR="002D2693" w:rsidRPr="00D93E3F" w:rsidRDefault="006C7FB2" w:rsidP="002D2693">
      <w:pPr>
        <w:ind w:left="567" w:right="567"/>
        <w:jc w:val="both"/>
        <w:rPr>
          <w:rFonts w:ascii="Palatino Linotype" w:hAnsi="Palatino Linotype"/>
        </w:rPr>
      </w:pPr>
      <w:r w:rsidRPr="00D93E3F">
        <w:rPr>
          <w:rFonts w:ascii="Palatino Linotype" w:eastAsia="Palatino Linotype" w:hAnsi="Palatino Linotype" w:cs="Palatino Linotype"/>
          <w:b/>
        </w:rPr>
        <w:t>INFORME JUSTIFICADO 7473.pdf:</w:t>
      </w:r>
      <w:r w:rsidR="006A7385" w:rsidRPr="00D93E3F">
        <w:rPr>
          <w:rFonts w:ascii="Palatino Linotype" w:eastAsia="Palatino Linotype" w:hAnsi="Palatino Linotype" w:cs="Palatino Linotype"/>
          <w:b/>
        </w:rPr>
        <w:t xml:space="preserve"> </w:t>
      </w:r>
      <w:r w:rsidR="006D0C1D" w:rsidRPr="00D93E3F">
        <w:rPr>
          <w:rFonts w:ascii="Palatino Linotype" w:eastAsia="Palatino Linotype" w:hAnsi="Palatino Linotype" w:cs="Palatino Linotype"/>
        </w:rPr>
        <w:t>Oficio número 234</w:t>
      </w:r>
      <w:r w:rsidR="005C260A" w:rsidRPr="00D93E3F">
        <w:rPr>
          <w:rFonts w:ascii="Palatino Linotype" w:eastAsia="Palatino Linotype" w:hAnsi="Palatino Linotype" w:cs="Palatino Linotype"/>
        </w:rPr>
        <w:t>A</w:t>
      </w:r>
      <w:r w:rsidR="006D0C1D" w:rsidRPr="00D93E3F">
        <w:rPr>
          <w:rFonts w:ascii="Palatino Linotype" w:eastAsia="Palatino Linotype" w:hAnsi="Palatino Linotype" w:cs="Palatino Linotype"/>
        </w:rPr>
        <w:t>00000/UT-825-2024, suscrito por el Titular de la Unidad de Transparencia, por medio del cual</w:t>
      </w:r>
      <w:r w:rsidR="005C260A" w:rsidRPr="00D93E3F">
        <w:rPr>
          <w:rFonts w:ascii="Palatino Linotype" w:eastAsia="Palatino Linotype" w:hAnsi="Palatino Linotype" w:cs="Palatino Linotype"/>
        </w:rPr>
        <w:t>, señaló que</w:t>
      </w:r>
      <w:r w:rsidR="00771438" w:rsidRPr="00D93E3F">
        <w:rPr>
          <w:rFonts w:ascii="Palatino Linotype" w:eastAsia="Palatino Linotype" w:hAnsi="Palatino Linotype" w:cs="Palatino Linotype"/>
        </w:rPr>
        <w:t xml:space="preserve"> a fin de tener por solventado el Derecho de Acceso a la Información Pública del Recurrente, el Servidor Público Habilitado de la Dirección General de Personal, </w:t>
      </w:r>
      <w:r w:rsidR="00771438" w:rsidRPr="00D93E3F">
        <w:rPr>
          <w:rFonts w:ascii="Palatino Linotype" w:eastAsia="Palatino Linotype" w:hAnsi="Palatino Linotype" w:cs="Palatino Linotype"/>
          <w:b/>
        </w:rPr>
        <w:t xml:space="preserve">informó que </w:t>
      </w:r>
      <w:r w:rsidR="00771438" w:rsidRPr="00D93E3F">
        <w:rPr>
          <w:rFonts w:ascii="Palatino Linotype" w:hAnsi="Palatino Linotype"/>
          <w:b/>
        </w:rPr>
        <w:t xml:space="preserve">no se realizó mención sobre la existencia de estudios de mercado, por lo que lo señalado corresponde a una apreciación subjetiva. </w:t>
      </w:r>
      <w:r w:rsidR="002D2693" w:rsidRPr="00D93E3F">
        <w:rPr>
          <w:rFonts w:ascii="Palatino Linotype" w:hAnsi="Palatino Linotype"/>
        </w:rPr>
        <w:t xml:space="preserve">Asimismo, </w:t>
      </w:r>
      <w:r w:rsidR="00771438" w:rsidRPr="00D93E3F">
        <w:rPr>
          <w:rFonts w:ascii="Palatino Linotype" w:hAnsi="Palatino Linotype"/>
        </w:rPr>
        <w:t xml:space="preserve">hizo alusión a que </w:t>
      </w:r>
      <w:r w:rsidR="00771438" w:rsidRPr="00D93E3F">
        <w:rPr>
          <w:rFonts w:ascii="Palatino Linotype" w:hAnsi="Palatino Linotype"/>
          <w:b/>
        </w:rPr>
        <w:t>la compra de enfriadores de bebidas, así como de pilas</w:t>
      </w:r>
      <w:r w:rsidR="00771438" w:rsidRPr="00D93E3F">
        <w:rPr>
          <w:rFonts w:ascii="Palatino Linotype" w:hAnsi="Palatino Linotype"/>
        </w:rPr>
        <w:t xml:space="preserve">, que se realizó en el marco de las festividades del “Día de las Madres” y del “Día del Padre”, </w:t>
      </w:r>
      <w:r w:rsidR="00771438" w:rsidRPr="00D93E3F">
        <w:rPr>
          <w:rFonts w:ascii="Palatino Linotype" w:hAnsi="Palatino Linotype"/>
          <w:b/>
        </w:rPr>
        <w:t>corresponde a contrataciones que no necesitaron la generación de un instrumento legal, en virtud de haberse realizado por medio de adquisición directa,</w:t>
      </w:r>
      <w:r w:rsidR="00771438" w:rsidRPr="00D93E3F">
        <w:rPr>
          <w:rFonts w:ascii="Palatino Linotype" w:hAnsi="Palatino Linotype"/>
        </w:rPr>
        <w:t xml:space="preserve"> bajo la normatividad, es decir, conforme al artículo 42 del Manual de Normas y Políticas para el Gasto Público del Gobierno del Estado de México y el artículo 18 del Reglamento de la Ley de Contratación </w:t>
      </w:r>
      <w:r w:rsidR="002D2693" w:rsidRPr="00D93E3F">
        <w:rPr>
          <w:rFonts w:ascii="Palatino Linotype" w:hAnsi="Palatino Linotype"/>
        </w:rPr>
        <w:t xml:space="preserve">Pública del Estado de México y Municipios, los cuales señalan que </w:t>
      </w:r>
      <w:r w:rsidR="002D2693" w:rsidRPr="00D93E3F">
        <w:rPr>
          <w:rFonts w:ascii="Palatino Linotype" w:hAnsi="Palatino Linotype"/>
          <w:b/>
        </w:rPr>
        <w:t xml:space="preserve">el pago se podrá realizar en efectivo o cheque y que los precios de referencia se determinaran mediante el </w:t>
      </w:r>
      <w:r w:rsidR="00D74408" w:rsidRPr="00D93E3F">
        <w:rPr>
          <w:rFonts w:ascii="Palatino Linotype" w:hAnsi="Palatino Linotype"/>
          <w:b/>
        </w:rPr>
        <w:t>promedio</w:t>
      </w:r>
      <w:r w:rsidR="002D2693" w:rsidRPr="00D93E3F">
        <w:rPr>
          <w:rFonts w:ascii="Palatino Linotype" w:hAnsi="Palatino Linotype"/>
          <w:b/>
        </w:rPr>
        <w:t xml:space="preserve"> de al menos dos cotizaciones de los fabricantes, distribuidores o comercializadoras y cámaras de ramo</w:t>
      </w:r>
      <w:r w:rsidR="002D2693" w:rsidRPr="00D93E3F">
        <w:rPr>
          <w:rFonts w:ascii="Palatino Linotype" w:hAnsi="Palatino Linotype"/>
        </w:rPr>
        <w:t xml:space="preserve"> correspondientes</w:t>
      </w:r>
      <w:r w:rsidR="00004493" w:rsidRPr="00D93E3F">
        <w:rPr>
          <w:rFonts w:ascii="Palatino Linotype" w:hAnsi="Palatino Linotype"/>
        </w:rPr>
        <w:t xml:space="preserve">; asimismo, </w:t>
      </w:r>
      <w:r w:rsidR="002D2693" w:rsidRPr="00D93E3F">
        <w:rPr>
          <w:rFonts w:ascii="Palatino Linotype" w:hAnsi="Palatino Linotype"/>
        </w:rPr>
        <w:t>precis</w:t>
      </w:r>
      <w:r w:rsidR="0086645D" w:rsidRPr="00D93E3F">
        <w:rPr>
          <w:rFonts w:ascii="Palatino Linotype" w:hAnsi="Palatino Linotype"/>
        </w:rPr>
        <w:t>ó</w:t>
      </w:r>
      <w:r w:rsidR="002D2693" w:rsidRPr="00D93E3F">
        <w:rPr>
          <w:rFonts w:ascii="Palatino Linotype" w:hAnsi="Palatino Linotype"/>
        </w:rPr>
        <w:t xml:space="preserve"> que los recursos del Fondo Fijo de Caja, solo podrán ser empleados para financiar gastos menores que no representen un incremento en el gasto público, por lo tanto, </w:t>
      </w:r>
      <w:r w:rsidR="002D2693" w:rsidRPr="00D93E3F">
        <w:rPr>
          <w:rFonts w:ascii="Palatino Linotype" w:hAnsi="Palatino Linotype"/>
          <w:b/>
        </w:rPr>
        <w:t xml:space="preserve">la adquisición de los bienes identificados como "Enfriadores de bebidas" y "pilas" </w:t>
      </w:r>
      <w:r w:rsidR="002D2693" w:rsidRPr="00D93E3F">
        <w:rPr>
          <w:rFonts w:ascii="Palatino Linotype" w:hAnsi="Palatino Linotype"/>
        </w:rPr>
        <w:t xml:space="preserve">se encontró dentro del supuesto previamente referido y por consiguiente, </w:t>
      </w:r>
      <w:r w:rsidR="002D2693" w:rsidRPr="00D93E3F">
        <w:rPr>
          <w:rFonts w:ascii="Palatino Linotype" w:hAnsi="Palatino Linotype"/>
          <w:b/>
        </w:rPr>
        <w:t>su liquidación pudo efectuarse por medio de cheque o bien, pago en efectivo, pues el monto total por dicha adquisición -sin contar el Impuesto al Valor Agregado- no rebasó el equivalente a quince días de Salario Mínimo</w:t>
      </w:r>
      <w:r w:rsidR="002D2693" w:rsidRPr="00D93E3F">
        <w:rPr>
          <w:rFonts w:ascii="Palatino Linotype" w:hAnsi="Palatino Linotype"/>
        </w:rPr>
        <w:t xml:space="preserve"> -vigente al dieciséis de mayo del ejercicio fiscal en curso, fecha en que fue emitida la factura con folio T-109- multiplicado por treinta días del mes, a saber $112,018.05 (ciento doce mil dieciocho pesos 05/100 M.N), </w:t>
      </w:r>
      <w:r w:rsidR="002D2693" w:rsidRPr="00D93E3F">
        <w:rPr>
          <w:rFonts w:ascii="Palatino Linotype" w:hAnsi="Palatino Linotype"/>
          <w:b/>
        </w:rPr>
        <w:t>pues la cantidad total a la que ascendió la compra fue de $48,360.60 (cuarenta y ocho mil trescientos sesenta pesos 60/100 M.N), como lo sustentan los documentos remitidos en respuesta.</w:t>
      </w:r>
      <w:r w:rsidR="002D2693" w:rsidRPr="00D93E3F">
        <w:rPr>
          <w:rFonts w:ascii="Palatino Linotype" w:hAnsi="Palatino Linotype"/>
        </w:rPr>
        <w:t xml:space="preserve"> En consecuencia, </w:t>
      </w:r>
      <w:r w:rsidR="002D2693" w:rsidRPr="00D93E3F">
        <w:rPr>
          <w:rFonts w:ascii="Palatino Linotype" w:hAnsi="Palatino Linotype"/>
          <w:b/>
        </w:rPr>
        <w:t xml:space="preserve">la adquisición de los </w:t>
      </w:r>
      <w:r w:rsidR="002D2693" w:rsidRPr="00D93E3F">
        <w:rPr>
          <w:rFonts w:ascii="Palatino Linotype" w:hAnsi="Palatino Linotype"/>
          <w:b/>
        </w:rPr>
        <w:lastRenderedPageBreak/>
        <w:t>bienes referidos en la solicitud de información, se apegó a las disposiciones normativas, pues se solicitaron las cotizaciones necesarias (3 para los enfriadores de bebidas y 2 para las pilas) y a partir de ello, se llevó a cabo la elección correspondiente.</w:t>
      </w:r>
    </w:p>
    <w:p w:rsidR="006C7FB2" w:rsidRPr="00D93E3F" w:rsidRDefault="006C7FB2" w:rsidP="002D2693">
      <w:pPr>
        <w:ind w:right="567"/>
        <w:jc w:val="both"/>
        <w:rPr>
          <w:rFonts w:ascii="Palatino Linotype" w:eastAsia="Palatino Linotype" w:hAnsi="Palatino Linotype" w:cs="Palatino Linotype"/>
          <w:b/>
        </w:rPr>
      </w:pPr>
    </w:p>
    <w:p w:rsidR="006D0C1D" w:rsidRPr="00D93E3F" w:rsidRDefault="003A2DC2" w:rsidP="002D2693">
      <w:pPr>
        <w:ind w:left="567" w:right="567"/>
        <w:jc w:val="both"/>
        <w:rPr>
          <w:rFonts w:ascii="Palatino Linotype" w:hAnsi="Palatino Linotype"/>
          <w:b/>
        </w:rPr>
      </w:pPr>
      <w:r w:rsidRPr="00D93E3F">
        <w:rPr>
          <w:rFonts w:ascii="Palatino Linotype" w:eastAsia="Palatino Linotype" w:hAnsi="Palatino Linotype" w:cs="Palatino Linotype"/>
          <w:b/>
        </w:rPr>
        <w:t>OFICIOS SPH.pdf</w:t>
      </w:r>
      <w:r w:rsidR="006C7FB2" w:rsidRPr="00D93E3F">
        <w:rPr>
          <w:rFonts w:ascii="Palatino Linotype" w:eastAsia="Palatino Linotype" w:hAnsi="Palatino Linotype" w:cs="Palatino Linotype"/>
        </w:rPr>
        <w:t>:</w:t>
      </w:r>
      <w:r w:rsidR="006A7385" w:rsidRPr="00D93E3F">
        <w:rPr>
          <w:rFonts w:ascii="Palatino Linotype" w:eastAsia="Palatino Linotype" w:hAnsi="Palatino Linotype" w:cs="Palatino Linotype"/>
        </w:rPr>
        <w:t xml:space="preserve"> Oficio número 23400004000200S-267/2024, suscrito por el Director General de Personal, por medio del cual, refirió reiterar la respuesta otorgada mediante el oficio No. 23400004000200S-247/247/2024 de fecha 27 de noviembre de 2024 donde se entregaron las “cotizaciones” realizadas, asimismo, señaló lo establecido en el artículo 18, primer párrafo del Reglamento de la Ley de Contratación Pública del Estado de México y Municipios, que establece que “</w:t>
      </w:r>
      <w:r w:rsidR="006A7385" w:rsidRPr="00D93E3F">
        <w:rPr>
          <w:rFonts w:ascii="Palatino Linotype" w:eastAsia="Palatino Linotype" w:hAnsi="Palatino Linotype" w:cs="Palatino Linotype"/>
          <w:b/>
          <w:i/>
        </w:rPr>
        <w:t xml:space="preserve">los precios de </w:t>
      </w:r>
      <w:r w:rsidR="006A7385" w:rsidRPr="00D93E3F">
        <w:rPr>
          <w:rFonts w:ascii="Palatino Linotype" w:hAnsi="Palatino Linotype"/>
          <w:b/>
          <w:i/>
        </w:rPr>
        <w:t>referencia se determinarán mediante el promedio de al menos dos cotizaciones de los fabricantes,</w:t>
      </w:r>
      <w:r w:rsidR="006A7385" w:rsidRPr="00D93E3F">
        <w:rPr>
          <w:rFonts w:ascii="Palatino Linotype" w:hAnsi="Palatino Linotype"/>
          <w:i/>
        </w:rPr>
        <w:t xml:space="preserve"> </w:t>
      </w:r>
      <w:r w:rsidR="006A7385" w:rsidRPr="00D93E3F">
        <w:rPr>
          <w:rFonts w:ascii="Palatino Linotype" w:hAnsi="Palatino Linotype"/>
          <w:b/>
          <w:i/>
        </w:rPr>
        <w:t>distribuidores o comercializadoras y cámaras del ramo correspondiente,</w:t>
      </w:r>
      <w:r w:rsidR="006A7385" w:rsidRPr="00D93E3F">
        <w:rPr>
          <w:rFonts w:ascii="Palatino Linotype" w:hAnsi="Palatino Linotype"/>
          <w:i/>
        </w:rPr>
        <w:t xml:space="preserve"> que se deberán obtener por escrito, o a través de los medios electrónicos disponibles o mediante el estudio de precios, considerando las mismas condiciones en cuanto a cantidades, plazos y lugares de entrega de los bienes o de la prestación de los servicios, la forma y términos de pago, las características técnicas de los bienes o servicios y las demás condiciones que resulten aplicables y que permitan una comparación objetiva." </w:t>
      </w:r>
      <w:r w:rsidR="006A7385" w:rsidRPr="00D93E3F">
        <w:rPr>
          <w:rFonts w:ascii="Palatino Linotype" w:hAnsi="Palatino Linotype"/>
        </w:rPr>
        <w:t xml:space="preserve">(sic). Finalmente, </w:t>
      </w:r>
      <w:r w:rsidR="006D0C1D" w:rsidRPr="00D93E3F">
        <w:rPr>
          <w:rFonts w:ascii="Palatino Linotype" w:hAnsi="Palatino Linotype"/>
        </w:rPr>
        <w:t xml:space="preserve">precisó que </w:t>
      </w:r>
      <w:r w:rsidR="006D0C1D" w:rsidRPr="00D93E3F">
        <w:rPr>
          <w:rFonts w:ascii="Palatino Linotype" w:hAnsi="Palatino Linotype"/>
          <w:b/>
        </w:rPr>
        <w:t>no se realizó mención sobre la existencia de estudios de mercado, por lo que lo señalado corresponde a una apreciación subjetiva.</w:t>
      </w:r>
    </w:p>
    <w:p w:rsidR="00AF2A58" w:rsidRPr="00D93E3F" w:rsidRDefault="00AF2A58" w:rsidP="00A30F8D">
      <w:pPr>
        <w:rPr>
          <w:rFonts w:ascii="Palatino Linotype" w:hAnsi="Palatino Linotype"/>
        </w:rPr>
      </w:pPr>
    </w:p>
    <w:p w:rsidR="00AF2A58" w:rsidRPr="00D93E3F" w:rsidRDefault="00AF2A58" w:rsidP="00AF2A58">
      <w:pPr>
        <w:numPr>
          <w:ilvl w:val="0"/>
          <w:numId w:val="1"/>
        </w:numPr>
        <w:spacing w:line="360" w:lineRule="auto"/>
        <w:ind w:left="0" w:right="1" w:firstLine="0"/>
        <w:jc w:val="both"/>
        <w:rPr>
          <w:rFonts w:ascii="Palatino Linotype" w:eastAsia="Palatino Linotype" w:hAnsi="Palatino Linotype" w:cs="Palatino Linotype"/>
        </w:rPr>
      </w:pPr>
      <w:r w:rsidRPr="00D93E3F">
        <w:rPr>
          <w:rFonts w:ascii="Palatino Linotype" w:hAnsi="Palatino Linotype"/>
        </w:rPr>
        <w:t xml:space="preserve">El </w:t>
      </w:r>
      <w:r w:rsidR="00A22674" w:rsidRPr="00D93E3F">
        <w:rPr>
          <w:rFonts w:ascii="Palatino Linotype" w:hAnsi="Palatino Linotype"/>
        </w:rPr>
        <w:t>doce de marzo</w:t>
      </w:r>
      <w:r w:rsidR="00CB6ECF" w:rsidRPr="00D93E3F">
        <w:rPr>
          <w:rFonts w:ascii="Palatino Linotype" w:hAnsi="Palatino Linotype"/>
        </w:rPr>
        <w:t xml:space="preserve"> de dos mil veinticinco</w:t>
      </w:r>
      <w:r w:rsidRPr="00D93E3F">
        <w:rPr>
          <w:rFonts w:ascii="Palatino Linotype" w:hAnsi="Palatino Linotype"/>
        </w:rPr>
        <w:t xml:space="preserve">, </w:t>
      </w:r>
      <w:r w:rsidRPr="00D93E3F">
        <w:rPr>
          <w:rFonts w:ascii="Palatino Linotype" w:hAnsi="Palatino Linotype" w:cs="Tahoma"/>
        </w:rPr>
        <w:t>se notificó el acuerdo mediante el cual se amplió el plazo para emitir resolución por un término de 15 días adicionales.</w:t>
      </w:r>
    </w:p>
    <w:p w:rsidR="00AF2A58" w:rsidRPr="00D93E3F" w:rsidRDefault="00AF2A58" w:rsidP="00C82ED1">
      <w:pPr>
        <w:ind w:right="1"/>
        <w:jc w:val="both"/>
        <w:rPr>
          <w:rFonts w:ascii="Palatino Linotype" w:eastAsia="Palatino Linotype" w:hAnsi="Palatino Linotype" w:cs="Palatino Linotype"/>
        </w:rPr>
      </w:pPr>
    </w:p>
    <w:p w:rsidR="00AF2A58" w:rsidRPr="00D93E3F" w:rsidRDefault="00AF2A58" w:rsidP="00AF2A58">
      <w:pPr>
        <w:numPr>
          <w:ilvl w:val="0"/>
          <w:numId w:val="1"/>
        </w:numPr>
        <w:spacing w:line="360" w:lineRule="auto"/>
        <w:ind w:left="0" w:right="1" w:firstLine="0"/>
        <w:jc w:val="both"/>
        <w:rPr>
          <w:rFonts w:ascii="Palatino Linotype" w:eastAsia="Palatino Linotype" w:hAnsi="Palatino Linotype" w:cs="Palatino Linotype"/>
        </w:rPr>
      </w:pPr>
      <w:r w:rsidRPr="00D93E3F">
        <w:rPr>
          <w:rFonts w:ascii="Palatino Linotype" w:hAnsi="Palatino Linotype"/>
        </w:rPr>
        <w:t>Este organismo garante no pasa por alto justificar, que el plazo para emitir resolución en el presente asunto encuentra justificación en el alto número de recursos de revisión recibidos, circunstancia atípica que ha rebasado las capacidades técnicas y humanas del personal encargado de la proyección de las resoluciones a dichos medios de impugnación.</w:t>
      </w:r>
    </w:p>
    <w:p w:rsidR="00AF2A58" w:rsidRPr="00D93E3F" w:rsidRDefault="00AF2A58" w:rsidP="00A30F8D">
      <w:pPr>
        <w:rPr>
          <w:rFonts w:ascii="Palatino Linotype" w:hAnsi="Palatino Linotype"/>
        </w:rPr>
      </w:pPr>
    </w:p>
    <w:p w:rsidR="00AF2A58" w:rsidRPr="00D93E3F" w:rsidRDefault="00AF2A58" w:rsidP="00AF2A58">
      <w:pPr>
        <w:numPr>
          <w:ilvl w:val="0"/>
          <w:numId w:val="1"/>
        </w:numPr>
        <w:spacing w:line="360" w:lineRule="auto"/>
        <w:ind w:left="0" w:right="1" w:firstLine="0"/>
        <w:jc w:val="both"/>
        <w:rPr>
          <w:rFonts w:ascii="Palatino Linotype" w:eastAsia="Palatino Linotype" w:hAnsi="Palatino Linotype" w:cs="Palatino Linotype"/>
        </w:rPr>
      </w:pPr>
      <w:r w:rsidRPr="00D93E3F">
        <w:rPr>
          <w:rFonts w:ascii="Palatino Linotype" w:hAnsi="Palatino Linotype"/>
        </w:rPr>
        <w:lastRenderedPageBreak/>
        <w:t>Por ello, es menester precisar que, si bien se ha excedido el plazo para resolver el presente medio de impugnación, de conformidad con la ley de la materia, el plazo para emitir resolución se encuentra justificado en los elementos para medir su razonabilidad de asuntos conforme a los parámetros establecidos por diversos órganos jurisdiccionales federales, aplicables también en procedimientos análogos, como el que nos ocupa.</w:t>
      </w:r>
    </w:p>
    <w:p w:rsidR="00AF2A58" w:rsidRPr="00D93E3F" w:rsidRDefault="00AF2A58" w:rsidP="00A30F8D">
      <w:pPr>
        <w:rPr>
          <w:rFonts w:ascii="Palatino Linotype" w:hAnsi="Palatino Linotype"/>
        </w:rPr>
      </w:pPr>
    </w:p>
    <w:p w:rsidR="00AF2A58" w:rsidRPr="00D93E3F" w:rsidRDefault="00AF2A58" w:rsidP="00AF2A58">
      <w:pPr>
        <w:numPr>
          <w:ilvl w:val="0"/>
          <w:numId w:val="1"/>
        </w:numPr>
        <w:spacing w:line="360" w:lineRule="auto"/>
        <w:ind w:left="0" w:right="1" w:firstLine="0"/>
        <w:jc w:val="both"/>
        <w:rPr>
          <w:rFonts w:ascii="Palatino Linotype" w:eastAsia="Palatino Linotype" w:hAnsi="Palatino Linotype" w:cs="Palatino Linotype"/>
        </w:rPr>
      </w:pPr>
      <w:r w:rsidRPr="00D93E3F">
        <w:rPr>
          <w:rFonts w:ascii="Palatino Linotype" w:hAnsi="Palatino Linotype"/>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rsidR="00AF2A58" w:rsidRPr="00D93E3F" w:rsidRDefault="00AF2A58" w:rsidP="00A30F8D">
      <w:pPr>
        <w:rPr>
          <w:rFonts w:ascii="Palatino Linotype" w:hAnsi="Palatino Linotype"/>
        </w:rPr>
      </w:pPr>
    </w:p>
    <w:p w:rsidR="00AF2A58" w:rsidRPr="00D93E3F" w:rsidRDefault="00AF2A58" w:rsidP="00AF2A58">
      <w:pPr>
        <w:numPr>
          <w:ilvl w:val="0"/>
          <w:numId w:val="1"/>
        </w:numPr>
        <w:spacing w:line="360" w:lineRule="auto"/>
        <w:ind w:left="0" w:right="1" w:firstLine="0"/>
        <w:jc w:val="both"/>
        <w:rPr>
          <w:rFonts w:ascii="Palatino Linotype" w:eastAsia="Palatino Linotype" w:hAnsi="Palatino Linotype" w:cs="Palatino Linotype"/>
        </w:rPr>
      </w:pPr>
      <w:r w:rsidRPr="00D93E3F">
        <w:rPr>
          <w:rFonts w:ascii="Palatino Linotype" w:hAnsi="Palatino Linotype"/>
        </w:rPr>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rsidR="006C7FB2" w:rsidRPr="00D93E3F" w:rsidRDefault="006C7FB2" w:rsidP="00A30F8D">
      <w:pPr>
        <w:ind w:right="1"/>
        <w:jc w:val="both"/>
        <w:rPr>
          <w:rFonts w:ascii="Palatino Linotype" w:eastAsia="Palatino Linotype" w:hAnsi="Palatino Linotype" w:cs="Palatino Linotype"/>
        </w:rPr>
      </w:pPr>
    </w:p>
    <w:p w:rsidR="00AF2A58" w:rsidRPr="00D93E3F" w:rsidRDefault="00AF2A58" w:rsidP="00C82ED1">
      <w:pPr>
        <w:numPr>
          <w:ilvl w:val="0"/>
          <w:numId w:val="1"/>
        </w:numPr>
        <w:spacing w:line="360" w:lineRule="auto"/>
        <w:ind w:left="0" w:right="1" w:firstLine="0"/>
        <w:jc w:val="both"/>
        <w:rPr>
          <w:rFonts w:ascii="Palatino Linotype" w:eastAsia="Palatino Linotype" w:hAnsi="Palatino Linotype" w:cs="Palatino Linotype"/>
        </w:rPr>
      </w:pPr>
      <w:r w:rsidRPr="00D93E3F">
        <w:rPr>
          <w:rFonts w:ascii="Palatino Linotype" w:hAnsi="Palatino Linotype"/>
        </w:rPr>
        <w:t>Por ello, excepcionalmente, si un asunto es resuelto con posterioridad a los plazos señalados por la norma debe analizarse la razonabilidad del tiempo necesario para su resolución, atent</w:t>
      </w:r>
      <w:r w:rsidR="00A30F8D" w:rsidRPr="00D93E3F">
        <w:rPr>
          <w:rFonts w:ascii="Palatino Linotype" w:hAnsi="Palatino Linotype"/>
        </w:rPr>
        <w:t>os a los siguientes criterios:</w:t>
      </w:r>
    </w:p>
    <w:p w:rsidR="00A30F8D" w:rsidRPr="00D93E3F" w:rsidRDefault="00A30F8D" w:rsidP="00A30F8D">
      <w:pPr>
        <w:ind w:right="1"/>
        <w:jc w:val="both"/>
        <w:rPr>
          <w:rFonts w:ascii="Palatino Linotype" w:eastAsia="Palatino Linotype" w:hAnsi="Palatino Linotype" w:cs="Palatino Linotype"/>
        </w:rPr>
      </w:pPr>
    </w:p>
    <w:p w:rsidR="00AF2A58" w:rsidRPr="00D93E3F" w:rsidRDefault="00AF2A58" w:rsidP="00AF2A58">
      <w:pPr>
        <w:pStyle w:val="Prrafodelista"/>
        <w:spacing w:before="240" w:after="240"/>
        <w:ind w:left="567" w:right="565"/>
        <w:jc w:val="both"/>
        <w:rPr>
          <w:rFonts w:ascii="Palatino Linotype" w:hAnsi="Palatino Linotype"/>
          <w:sz w:val="24"/>
        </w:rPr>
      </w:pPr>
      <w:r w:rsidRPr="00D93E3F">
        <w:rPr>
          <w:rFonts w:ascii="Palatino Linotype" w:hAnsi="Palatino Linotype"/>
          <w:sz w:val="24"/>
        </w:rPr>
        <w:t>a) Complejidad del asunto: La complejidad de la prueba, la pluralidad de sujetos procesales, el tiempo transcurrido, las características y contexto del recurso.</w:t>
      </w:r>
    </w:p>
    <w:p w:rsidR="00AF2A58" w:rsidRPr="00D93E3F" w:rsidRDefault="00AF2A58" w:rsidP="00AF2A58">
      <w:pPr>
        <w:pStyle w:val="Prrafodelista"/>
        <w:spacing w:before="240" w:after="240"/>
        <w:ind w:left="567" w:right="565"/>
        <w:jc w:val="both"/>
        <w:rPr>
          <w:rFonts w:ascii="Palatino Linotype" w:hAnsi="Palatino Linotype"/>
          <w:sz w:val="24"/>
        </w:rPr>
      </w:pPr>
      <w:r w:rsidRPr="00D93E3F">
        <w:rPr>
          <w:rFonts w:ascii="Palatino Linotype" w:hAnsi="Palatino Linotype"/>
          <w:sz w:val="24"/>
        </w:rPr>
        <w:t>b) Actividad Procesal del interesado: Acciones u omisiones del interesado.</w:t>
      </w:r>
    </w:p>
    <w:p w:rsidR="00AF2A58" w:rsidRPr="00D93E3F" w:rsidRDefault="00AF2A58" w:rsidP="00AF2A58">
      <w:pPr>
        <w:pStyle w:val="Prrafodelista"/>
        <w:spacing w:before="240" w:after="240"/>
        <w:ind w:left="567" w:right="565"/>
        <w:jc w:val="both"/>
        <w:rPr>
          <w:rFonts w:ascii="Palatino Linotype" w:hAnsi="Palatino Linotype"/>
          <w:sz w:val="24"/>
        </w:rPr>
      </w:pPr>
      <w:r w:rsidRPr="00D93E3F">
        <w:rPr>
          <w:rFonts w:ascii="Palatino Linotype" w:hAnsi="Palatino Linotype"/>
          <w:sz w:val="24"/>
        </w:rPr>
        <w:t>c) Conducta de la Autoridad: Las Acciones u omisiones realizadas en el procedimiento. Así como si la autoridad actuó con la debida diligencia.</w:t>
      </w:r>
    </w:p>
    <w:p w:rsidR="00C82ED1" w:rsidRPr="00D93E3F" w:rsidRDefault="00AF2A58" w:rsidP="00C82ED1">
      <w:pPr>
        <w:pStyle w:val="Prrafodelista"/>
        <w:spacing w:before="240" w:after="240"/>
        <w:ind w:left="567" w:right="565"/>
        <w:jc w:val="both"/>
        <w:rPr>
          <w:rFonts w:ascii="Palatino Linotype" w:hAnsi="Palatino Linotype"/>
          <w:sz w:val="24"/>
        </w:rPr>
      </w:pPr>
      <w:r w:rsidRPr="00D93E3F">
        <w:rPr>
          <w:rFonts w:ascii="Palatino Linotype" w:hAnsi="Palatino Linotype"/>
          <w:sz w:val="24"/>
        </w:rPr>
        <w:lastRenderedPageBreak/>
        <w:t>d) La afectación generada en la situación jurídica de la persona involucrada en el proceso: Vi</w:t>
      </w:r>
      <w:r w:rsidR="00C82ED1" w:rsidRPr="00D93E3F">
        <w:rPr>
          <w:rFonts w:ascii="Palatino Linotype" w:hAnsi="Palatino Linotype"/>
          <w:sz w:val="24"/>
        </w:rPr>
        <w:t>olación a sus derechos humanos.</w:t>
      </w:r>
    </w:p>
    <w:p w:rsidR="00C82ED1" w:rsidRPr="00D93E3F" w:rsidRDefault="00C82ED1" w:rsidP="004414BC">
      <w:pPr>
        <w:pStyle w:val="Prrafodelista"/>
        <w:spacing w:before="240" w:after="240"/>
        <w:ind w:left="567" w:right="565"/>
        <w:jc w:val="both"/>
        <w:rPr>
          <w:rFonts w:ascii="Palatino Linotype" w:hAnsi="Palatino Linotype"/>
          <w:sz w:val="24"/>
        </w:rPr>
      </w:pPr>
    </w:p>
    <w:p w:rsidR="00AF2A58" w:rsidRPr="00D93E3F" w:rsidRDefault="00AF2A58" w:rsidP="00AF2A58">
      <w:pPr>
        <w:numPr>
          <w:ilvl w:val="0"/>
          <w:numId w:val="1"/>
        </w:numPr>
        <w:spacing w:line="360" w:lineRule="auto"/>
        <w:ind w:left="0" w:right="1" w:firstLine="0"/>
        <w:jc w:val="both"/>
        <w:rPr>
          <w:rFonts w:ascii="Palatino Linotype" w:eastAsia="Palatino Linotype" w:hAnsi="Palatino Linotype" w:cs="Palatino Linotype"/>
        </w:rPr>
      </w:pPr>
      <w:r w:rsidRPr="00D93E3F">
        <w:rPr>
          <w:rFonts w:ascii="Palatino Linotype" w:hAnsi="Palatino Linotype"/>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rsidR="00AF2A58" w:rsidRPr="00D93E3F" w:rsidRDefault="00AF2A58" w:rsidP="00A30F8D">
      <w:pPr>
        <w:ind w:right="1"/>
        <w:jc w:val="both"/>
        <w:rPr>
          <w:rFonts w:ascii="Palatino Linotype" w:eastAsia="Palatino Linotype" w:hAnsi="Palatino Linotype" w:cs="Palatino Linotype"/>
        </w:rPr>
      </w:pPr>
    </w:p>
    <w:p w:rsidR="00AF2A58" w:rsidRPr="00D93E3F" w:rsidRDefault="00AF2A58" w:rsidP="00AF2A58">
      <w:pPr>
        <w:numPr>
          <w:ilvl w:val="0"/>
          <w:numId w:val="1"/>
        </w:numPr>
        <w:spacing w:line="360" w:lineRule="auto"/>
        <w:ind w:left="0" w:right="1" w:firstLine="0"/>
        <w:jc w:val="both"/>
        <w:rPr>
          <w:rFonts w:ascii="Palatino Linotype" w:eastAsia="Palatino Linotype" w:hAnsi="Palatino Linotype" w:cs="Palatino Linotype"/>
        </w:rPr>
      </w:pPr>
      <w:r w:rsidRPr="00D93E3F">
        <w:rPr>
          <w:rFonts w:ascii="Palatino Linotype" w:hAnsi="Palatino Linotype"/>
        </w:rPr>
        <w:t>Argumento que encuentra sustento en la jurisprudencia P./J. 32/92 emitida por el Pleno de la Suprema Corte de Justicia de la Nación de rubro “TÉRMINOS PROCESALES. PARA DETERMINAR SI UN FUNCIONARIO JUDICIAL ACTUÓ INDEBIDAMENTE POR NO RESPETARLOS SE DEBE ATENDER AL PRESUPUESTO QUE CONSIDERÓ EL LEGISLADOR AL FIJARLOS Y LAS CARACTERÍSTICAS DEL CASO.”, visible en la Gaceta del Seminario Judicial de la Federación con el registro digital 205635.</w:t>
      </w:r>
    </w:p>
    <w:p w:rsidR="00AF2A58" w:rsidRPr="00D93E3F" w:rsidRDefault="00AF2A58" w:rsidP="00A30F8D">
      <w:pPr>
        <w:ind w:right="1"/>
        <w:jc w:val="both"/>
        <w:rPr>
          <w:rFonts w:ascii="Palatino Linotype" w:eastAsia="Palatino Linotype" w:hAnsi="Palatino Linotype" w:cs="Palatino Linotype"/>
        </w:rPr>
      </w:pPr>
    </w:p>
    <w:p w:rsidR="00AF2A58" w:rsidRPr="00D93E3F" w:rsidRDefault="00AF2A58" w:rsidP="00AF2A58">
      <w:pPr>
        <w:numPr>
          <w:ilvl w:val="0"/>
          <w:numId w:val="1"/>
        </w:numPr>
        <w:spacing w:line="360" w:lineRule="auto"/>
        <w:ind w:left="0" w:right="1" w:firstLine="0"/>
        <w:jc w:val="both"/>
        <w:rPr>
          <w:rFonts w:ascii="Palatino Linotype" w:eastAsia="Palatino Linotype" w:hAnsi="Palatino Linotype" w:cs="Palatino Linotype"/>
        </w:rPr>
      </w:pPr>
      <w:r w:rsidRPr="00D93E3F">
        <w:rPr>
          <w:rFonts w:ascii="Palatino Linotype" w:hAnsi="Palatino Linotype"/>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rsidR="00AF2A58" w:rsidRPr="00D93E3F" w:rsidRDefault="00AF2A58" w:rsidP="00C82ED1">
      <w:pPr>
        <w:ind w:right="1"/>
        <w:jc w:val="both"/>
        <w:rPr>
          <w:rFonts w:ascii="Palatino Linotype" w:eastAsia="Palatino Linotype" w:hAnsi="Palatino Linotype" w:cs="Palatino Linotype"/>
        </w:rPr>
      </w:pPr>
    </w:p>
    <w:p w:rsidR="00AF2A58" w:rsidRPr="00D93E3F" w:rsidRDefault="00AF2A58" w:rsidP="00AF2A58">
      <w:pPr>
        <w:numPr>
          <w:ilvl w:val="0"/>
          <w:numId w:val="1"/>
        </w:numPr>
        <w:spacing w:line="360" w:lineRule="auto"/>
        <w:ind w:left="0" w:right="1" w:firstLine="0"/>
        <w:jc w:val="both"/>
        <w:rPr>
          <w:rFonts w:ascii="Palatino Linotype" w:eastAsia="Palatino Linotype" w:hAnsi="Palatino Linotype" w:cs="Palatino Linotype"/>
        </w:rPr>
      </w:pPr>
      <w:r w:rsidRPr="00D93E3F">
        <w:rPr>
          <w:rFonts w:ascii="Palatino Linotype" w:hAnsi="Palatino Linotype"/>
        </w:rPr>
        <w:t>Al respecto, también son de considerar los criterios sostenidos por el Cuarto Tribunal Colegiado en Materia Administrativa del Primer Circuito, cuyos rubros y datos de identificación son los siguientes:</w:t>
      </w:r>
    </w:p>
    <w:p w:rsidR="00A30F8D" w:rsidRPr="00D93E3F" w:rsidRDefault="00A30F8D" w:rsidP="00A30F8D">
      <w:pPr>
        <w:ind w:right="1"/>
        <w:jc w:val="both"/>
        <w:rPr>
          <w:rFonts w:ascii="Palatino Linotype" w:eastAsia="Palatino Linotype" w:hAnsi="Palatino Linotype" w:cs="Palatino Linotype"/>
        </w:rPr>
      </w:pPr>
    </w:p>
    <w:p w:rsidR="00AF2A58" w:rsidRPr="00D93E3F" w:rsidRDefault="00AF2A58" w:rsidP="00AF2A58">
      <w:pPr>
        <w:tabs>
          <w:tab w:val="left" w:pos="8364"/>
        </w:tabs>
        <w:spacing w:before="240" w:after="240"/>
        <w:ind w:left="567" w:right="565"/>
        <w:jc w:val="both"/>
        <w:rPr>
          <w:rFonts w:ascii="Palatino Linotype" w:hAnsi="Palatino Linotype"/>
        </w:rPr>
      </w:pPr>
      <w:r w:rsidRPr="00D93E3F">
        <w:rPr>
          <w:rFonts w:ascii="Palatino Linotype" w:hAnsi="Palatino Linotype"/>
        </w:rPr>
        <w:t>“PLAZO RAZONABLE PARA RESOLVER. DIMENSIÓN Y EFECTOS DE ESTE CONCEPTO CUANDO SE ADUCE EXCESIVA CARGA DE TRABAJO.” consultable en el Seminario Judicial de la Federación y su gaceta, con el registro digital 2002351.</w:t>
      </w:r>
    </w:p>
    <w:p w:rsidR="00AF2A58" w:rsidRPr="00D93E3F" w:rsidRDefault="00AF2A58" w:rsidP="00AF2A58">
      <w:pPr>
        <w:pStyle w:val="Prrafodelista"/>
        <w:tabs>
          <w:tab w:val="left" w:pos="8364"/>
        </w:tabs>
        <w:spacing w:before="240" w:after="240"/>
        <w:ind w:left="567" w:right="565"/>
        <w:jc w:val="both"/>
        <w:rPr>
          <w:rFonts w:ascii="Palatino Linotype" w:hAnsi="Palatino Linotype"/>
          <w:sz w:val="24"/>
        </w:rPr>
      </w:pPr>
      <w:r w:rsidRPr="00D93E3F">
        <w:rPr>
          <w:rFonts w:ascii="Palatino Linotype" w:hAnsi="Palatino Linotype"/>
          <w:sz w:val="24"/>
        </w:rPr>
        <w:t>“PLAZO RAZONABLE PARA RESOLVER. CONCEPTO Y ELEMENTOS QUE LO INTEGRAN A LA LUZ DEL DERECHO INTERNACIONAL DE LOS DERECHOS HUMANOS.”, visible en el Seminario Judicial de la Federación y su gaceta, con el registro digital 2002350.</w:t>
      </w:r>
    </w:p>
    <w:p w:rsidR="00AF2A58" w:rsidRPr="00D93E3F" w:rsidRDefault="00AF2A58" w:rsidP="00AF2A58">
      <w:pPr>
        <w:pStyle w:val="Prrafodelista"/>
        <w:tabs>
          <w:tab w:val="left" w:pos="8364"/>
        </w:tabs>
        <w:ind w:left="567" w:right="565"/>
        <w:rPr>
          <w:rFonts w:ascii="Palatino Linotype" w:hAnsi="Palatino Linotype"/>
          <w:sz w:val="24"/>
        </w:rPr>
      </w:pPr>
      <w:r w:rsidRPr="00D93E3F">
        <w:rPr>
          <w:rFonts w:ascii="Palatino Linotype" w:hAnsi="Palatino Linotype"/>
          <w:sz w:val="24"/>
        </w:rPr>
        <w:t>Por ello, este Organismo Garante comprometido con la tutela de los derechos humanos confiados, señala que este exceso del plazo legal para resolver el presente asunto resulta de carácter excepcional.</w:t>
      </w:r>
    </w:p>
    <w:p w:rsidR="00AF2A58" w:rsidRPr="00D93E3F" w:rsidRDefault="00AF2A58" w:rsidP="00A30F8D">
      <w:pPr>
        <w:ind w:right="1"/>
        <w:jc w:val="both"/>
        <w:rPr>
          <w:rFonts w:ascii="Palatino Linotype" w:eastAsia="Palatino Linotype" w:hAnsi="Palatino Linotype" w:cs="Palatino Linotype"/>
          <w:b/>
        </w:rPr>
      </w:pPr>
    </w:p>
    <w:p w:rsidR="00E94D86" w:rsidRPr="00D93E3F" w:rsidRDefault="001E3125">
      <w:pPr>
        <w:numPr>
          <w:ilvl w:val="0"/>
          <w:numId w:val="1"/>
        </w:numPr>
        <w:spacing w:line="360" w:lineRule="auto"/>
        <w:ind w:left="0" w:right="1" w:firstLine="0"/>
        <w:jc w:val="both"/>
        <w:rPr>
          <w:rFonts w:ascii="Palatino Linotype" w:eastAsia="Palatino Linotype" w:hAnsi="Palatino Linotype" w:cs="Palatino Linotype"/>
          <w:b/>
        </w:rPr>
      </w:pPr>
      <w:r w:rsidRPr="00D93E3F">
        <w:rPr>
          <w:rFonts w:ascii="Palatino Linotype" w:eastAsia="Palatino Linotype" w:hAnsi="Palatino Linotype" w:cs="Palatino Linotype"/>
        </w:rPr>
        <w:t xml:space="preserve">La Comisionada Ponente decretó el cierre de instrucción mediante el acuerdo del </w:t>
      </w:r>
      <w:r w:rsidR="003A2DC2" w:rsidRPr="00D93E3F">
        <w:rPr>
          <w:rFonts w:ascii="Palatino Linotype" w:eastAsia="Palatino Linotype" w:hAnsi="Palatino Linotype" w:cs="Palatino Linotype"/>
        </w:rPr>
        <w:t>veinte</w:t>
      </w:r>
      <w:r w:rsidR="00CB6ECF" w:rsidRPr="00D93E3F">
        <w:rPr>
          <w:rFonts w:ascii="Palatino Linotype" w:eastAsia="Palatino Linotype" w:hAnsi="Palatino Linotype" w:cs="Palatino Linotype"/>
        </w:rPr>
        <w:t xml:space="preserve"> de marzo</w:t>
      </w:r>
      <w:r w:rsidR="00AF2A58" w:rsidRPr="00D93E3F">
        <w:rPr>
          <w:rFonts w:ascii="Palatino Linotype" w:eastAsia="Palatino Linotype" w:hAnsi="Palatino Linotype" w:cs="Palatino Linotype"/>
        </w:rPr>
        <w:t xml:space="preserve"> de dos mil veinticinco</w:t>
      </w:r>
      <w:r w:rsidRPr="00D93E3F">
        <w:rPr>
          <w:rFonts w:ascii="Palatino Linotype" w:eastAsia="Palatino Linotype" w:hAnsi="Palatino Linotype" w:cs="Palatino Linotype"/>
        </w:rPr>
        <w:t>.-------------------------------------------------------------</w:t>
      </w:r>
      <w:r w:rsidR="00BC3D64" w:rsidRPr="00D93E3F">
        <w:rPr>
          <w:rFonts w:ascii="Palatino Linotype" w:eastAsia="Palatino Linotype" w:hAnsi="Palatino Linotype" w:cs="Palatino Linotype"/>
        </w:rPr>
        <w:t>----</w:t>
      </w:r>
    </w:p>
    <w:p w:rsidR="00E94D86" w:rsidRPr="00D93E3F" w:rsidRDefault="00E94D86" w:rsidP="004414BC">
      <w:pPr>
        <w:rPr>
          <w:rFonts w:ascii="Palatino Linotype" w:eastAsia="Palatino Linotype" w:hAnsi="Palatino Linotype" w:cs="Palatino Linotype"/>
          <w:b/>
        </w:rPr>
      </w:pPr>
    </w:p>
    <w:p w:rsidR="00E94D86" w:rsidRPr="00D93E3F" w:rsidRDefault="001E3125">
      <w:pPr>
        <w:keepNext/>
        <w:keepLines/>
        <w:spacing w:line="360" w:lineRule="auto"/>
        <w:ind w:right="-592"/>
        <w:jc w:val="center"/>
        <w:rPr>
          <w:rFonts w:ascii="Palatino Linotype" w:eastAsia="Palatino Linotype" w:hAnsi="Palatino Linotype" w:cs="Palatino Linotype"/>
          <w:b/>
        </w:rPr>
      </w:pPr>
      <w:r w:rsidRPr="00D93E3F">
        <w:rPr>
          <w:rFonts w:ascii="Palatino Linotype" w:eastAsia="Palatino Linotype" w:hAnsi="Palatino Linotype" w:cs="Palatino Linotype"/>
          <w:b/>
        </w:rPr>
        <w:t xml:space="preserve">C O N S I D E R A N D O </w:t>
      </w:r>
    </w:p>
    <w:p w:rsidR="00E94D86" w:rsidRPr="00D93E3F" w:rsidRDefault="00E94D86" w:rsidP="00C82ED1">
      <w:pPr>
        <w:keepNext/>
        <w:keepLines/>
        <w:ind w:right="-592"/>
        <w:rPr>
          <w:rFonts w:ascii="Palatino Linotype" w:eastAsia="Palatino Linotype" w:hAnsi="Palatino Linotype" w:cs="Palatino Linotype"/>
        </w:rPr>
      </w:pPr>
    </w:p>
    <w:p w:rsidR="00E94D86" w:rsidRPr="00D93E3F" w:rsidRDefault="001E3125">
      <w:pPr>
        <w:keepNext/>
        <w:keepLines/>
        <w:spacing w:line="360" w:lineRule="auto"/>
        <w:ind w:right="-592"/>
        <w:rPr>
          <w:rFonts w:ascii="Palatino Linotype" w:eastAsia="Palatino Linotype" w:hAnsi="Palatino Linotype" w:cs="Palatino Linotype"/>
          <w:b/>
        </w:rPr>
      </w:pPr>
      <w:r w:rsidRPr="00D93E3F">
        <w:rPr>
          <w:rFonts w:ascii="Palatino Linotype" w:eastAsia="Palatino Linotype" w:hAnsi="Palatino Linotype" w:cs="Palatino Linotype"/>
          <w:b/>
        </w:rPr>
        <w:t>PRIMERO. De la competencia.</w:t>
      </w:r>
    </w:p>
    <w:p w:rsidR="00E94D86" w:rsidRPr="00D93E3F" w:rsidRDefault="00E94D86" w:rsidP="00A30F8D">
      <w:pPr>
        <w:rPr>
          <w:rFonts w:ascii="Palatino Linotype" w:eastAsia="Palatino Linotype" w:hAnsi="Palatino Linotype" w:cs="Palatino Linotype"/>
          <w:b/>
        </w:rPr>
      </w:pPr>
    </w:p>
    <w:p w:rsidR="00E94D86" w:rsidRPr="00D93E3F" w:rsidRDefault="001E3125" w:rsidP="00C82ED1">
      <w:pPr>
        <w:numPr>
          <w:ilvl w:val="0"/>
          <w:numId w:val="1"/>
        </w:numPr>
        <w:spacing w:line="360" w:lineRule="auto"/>
        <w:ind w:left="0" w:right="1" w:firstLine="0"/>
        <w:jc w:val="both"/>
        <w:rPr>
          <w:rFonts w:ascii="Palatino Linotype" w:eastAsia="Palatino Linotype" w:hAnsi="Palatino Linotype" w:cs="Palatino Linotype"/>
          <w:b/>
        </w:rPr>
      </w:pPr>
      <w:bookmarkStart w:id="0" w:name="_heading=h.3znysh7" w:colFirst="0" w:colLast="0"/>
      <w:bookmarkEnd w:id="0"/>
      <w:r w:rsidRPr="00D93E3F">
        <w:rPr>
          <w:rFonts w:ascii="Palatino Linotype" w:eastAsia="Palatino Linotype" w:hAnsi="Palatino Linotype" w:cs="Palatino Linotype"/>
        </w:rPr>
        <w:t xml:space="preserve">Este Instituto de Transparencia, Acceso a la Información Pública y Protección de Datos Personales del Estado de México y Municipios, es competente para conocer y resolver del presente recurso de conformidad con el artículo: 6, apartado A, de la Constitución Política de los Estados Unidos Mexicanos; 5, párrafos trigésimo, trigésimo primero y trigésimo segundo, fracciones I, II, III, IV y V de la Constitución Política del </w:t>
      </w:r>
      <w:r w:rsidRPr="00D93E3F">
        <w:rPr>
          <w:rFonts w:ascii="Palatino Linotype" w:eastAsia="Palatino Linotype" w:hAnsi="Palatino Linotype" w:cs="Palatino Linotype"/>
        </w:rPr>
        <w:lastRenderedPageBreak/>
        <w:t>Estado Libre y Soberano de México; 1, 3 fracción I, 82, 97, 98, 119, 123, 124, 127, 128 y 133 Ley de Protección de Datos Personales en Posesión de Sujetos Obligados del Estado de México y Municipios; y 10, 7, 9 fracciones I y XXIV, y 11 del Reglamento Interior del Instituto de Transparencia, Acceso a la Información Pública y Protección de Datos Personales del Estado de México y Municipios.</w:t>
      </w:r>
    </w:p>
    <w:p w:rsidR="00BC3D64" w:rsidRPr="00D93E3F" w:rsidRDefault="00BC3D64" w:rsidP="00BC3D64">
      <w:pPr>
        <w:spacing w:line="360" w:lineRule="auto"/>
        <w:ind w:right="1"/>
        <w:jc w:val="both"/>
        <w:rPr>
          <w:rFonts w:ascii="Palatino Linotype" w:eastAsia="Palatino Linotype" w:hAnsi="Palatino Linotype" w:cs="Palatino Linotype"/>
          <w:b/>
        </w:rPr>
      </w:pPr>
    </w:p>
    <w:p w:rsidR="00E94D86" w:rsidRPr="00D93E3F" w:rsidRDefault="001E3125">
      <w:pPr>
        <w:keepNext/>
        <w:keepLines/>
        <w:spacing w:line="360" w:lineRule="auto"/>
        <w:ind w:right="1"/>
        <w:rPr>
          <w:rFonts w:ascii="Palatino Linotype" w:eastAsia="Palatino Linotype" w:hAnsi="Palatino Linotype" w:cs="Palatino Linotype"/>
          <w:b/>
        </w:rPr>
      </w:pPr>
      <w:r w:rsidRPr="00D93E3F">
        <w:rPr>
          <w:rFonts w:ascii="Palatino Linotype" w:eastAsia="Palatino Linotype" w:hAnsi="Palatino Linotype" w:cs="Palatino Linotype"/>
          <w:b/>
        </w:rPr>
        <w:t>SEGUNDO. De la oportunidad y procedencia.</w:t>
      </w:r>
    </w:p>
    <w:p w:rsidR="00E94D86" w:rsidRPr="00D93E3F" w:rsidRDefault="00E94D86" w:rsidP="004414BC">
      <w:pPr>
        <w:ind w:right="1"/>
        <w:jc w:val="both"/>
        <w:rPr>
          <w:rFonts w:ascii="Palatino Linotype" w:eastAsia="Palatino Linotype" w:hAnsi="Palatino Linotype" w:cs="Palatino Linotype"/>
          <w:b/>
        </w:rPr>
      </w:pPr>
    </w:p>
    <w:p w:rsidR="00E94D86" w:rsidRPr="00D93E3F" w:rsidRDefault="001E3125">
      <w:pPr>
        <w:numPr>
          <w:ilvl w:val="0"/>
          <w:numId w:val="1"/>
        </w:numPr>
        <w:spacing w:line="360" w:lineRule="auto"/>
        <w:ind w:left="0" w:right="1" w:firstLine="0"/>
        <w:jc w:val="both"/>
        <w:rPr>
          <w:rFonts w:ascii="Palatino Linotype" w:eastAsia="Palatino Linotype" w:hAnsi="Palatino Linotype" w:cs="Palatino Linotype"/>
          <w:b/>
        </w:rPr>
      </w:pPr>
      <w:bookmarkStart w:id="1" w:name="_heading=h.3dy6vkm" w:colFirst="0" w:colLast="0"/>
      <w:bookmarkEnd w:id="1"/>
      <w:r w:rsidRPr="00D93E3F">
        <w:rPr>
          <w:rFonts w:ascii="Palatino Linotype" w:eastAsia="Palatino Linotype" w:hAnsi="Palatino Linotype" w:cs="Palatino Linotype"/>
        </w:rPr>
        <w:t xml:space="preserve">El medio de impugnación fue presentado a través del </w:t>
      </w:r>
      <w:r w:rsidRPr="00D93E3F">
        <w:rPr>
          <w:rFonts w:ascii="Palatino Linotype" w:eastAsia="Palatino Linotype" w:hAnsi="Palatino Linotype" w:cs="Palatino Linotype"/>
          <w:b/>
        </w:rPr>
        <w:t>SAIMEX,</w:t>
      </w:r>
      <w:r w:rsidRPr="00D93E3F">
        <w:rPr>
          <w:rFonts w:ascii="Palatino Linotype" w:eastAsia="Palatino Linotype" w:hAnsi="Palatino Linotype" w:cs="Palatino Linotype"/>
        </w:rPr>
        <w:t xml:space="preserve"> en el formato previamente aprobado para tal efecto y dentro del plazo legal de quince días hábiles otorgados; siendo así que el </w:t>
      </w:r>
      <w:r w:rsidRPr="00D93E3F">
        <w:rPr>
          <w:rFonts w:ascii="Palatino Linotype" w:eastAsia="Palatino Linotype" w:hAnsi="Palatino Linotype" w:cs="Palatino Linotype"/>
          <w:b/>
        </w:rPr>
        <w:t>SUJETO OBLIGADO</w:t>
      </w:r>
      <w:r w:rsidRPr="00D93E3F">
        <w:rPr>
          <w:rFonts w:ascii="Palatino Linotype" w:eastAsia="Palatino Linotype" w:hAnsi="Palatino Linotype" w:cs="Palatino Linotype"/>
        </w:rPr>
        <w:t xml:space="preserve"> entregó respuesta el </w:t>
      </w:r>
      <w:r w:rsidR="005C232D" w:rsidRPr="00D93E3F">
        <w:rPr>
          <w:rFonts w:ascii="Palatino Linotype" w:eastAsia="Palatino Linotype" w:hAnsi="Palatino Linotype" w:cs="Palatino Linotype"/>
        </w:rPr>
        <w:t>tres de diciembre</w:t>
      </w:r>
      <w:r w:rsidRPr="00D93E3F">
        <w:rPr>
          <w:rFonts w:ascii="Palatino Linotype" w:eastAsia="Palatino Linotype" w:hAnsi="Palatino Linotype" w:cs="Palatino Linotype"/>
        </w:rPr>
        <w:t xml:space="preserve"> de dos mil veinticuatro, de tal forma que el plazo para interponer el recurso de revisión transcurrió del </w:t>
      </w:r>
      <w:r w:rsidR="005C232D" w:rsidRPr="00D93E3F">
        <w:rPr>
          <w:rFonts w:ascii="Palatino Linotype" w:eastAsia="Palatino Linotype" w:hAnsi="Palatino Linotype" w:cs="Palatino Linotype"/>
        </w:rPr>
        <w:t xml:space="preserve">cuatro de diciembre de dos mil veinticuatro al </w:t>
      </w:r>
      <w:r w:rsidR="00A6501F" w:rsidRPr="00D93E3F">
        <w:rPr>
          <w:rFonts w:ascii="Palatino Linotype" w:eastAsia="Palatino Linotype" w:hAnsi="Palatino Linotype" w:cs="Palatino Linotype"/>
        </w:rPr>
        <w:t>quince de enero de dos mil veinticinco</w:t>
      </w:r>
      <w:r w:rsidRPr="00D93E3F">
        <w:rPr>
          <w:rFonts w:ascii="Palatino Linotype" w:eastAsia="Palatino Linotype" w:hAnsi="Palatino Linotype" w:cs="Palatino Linotype"/>
        </w:rPr>
        <w:t xml:space="preserve">; en consecuencia, presentó su inconformidad el </w:t>
      </w:r>
      <w:r w:rsidR="00A6501F" w:rsidRPr="00D93E3F">
        <w:rPr>
          <w:rFonts w:ascii="Palatino Linotype" w:eastAsia="Palatino Linotype" w:hAnsi="Palatino Linotype" w:cs="Palatino Linotype"/>
        </w:rPr>
        <w:t xml:space="preserve">cuatro de diciembre </w:t>
      </w:r>
      <w:r w:rsidRPr="00D93E3F">
        <w:rPr>
          <w:rFonts w:ascii="Palatino Linotype" w:eastAsia="Palatino Linotype" w:hAnsi="Palatino Linotype" w:cs="Palatino Linotype"/>
        </w:rPr>
        <w:t xml:space="preserve">de dos mil veinticuatro, por lo que se encuentra dentro de los márgenes temporales previstos en el artículo 178 de la </w:t>
      </w:r>
      <w:r w:rsidRPr="00D93E3F">
        <w:rPr>
          <w:rFonts w:ascii="Palatino Linotype" w:eastAsia="Palatino Linotype" w:hAnsi="Palatino Linotype" w:cs="Palatino Linotype"/>
          <w:b/>
        </w:rPr>
        <w:t xml:space="preserve">Ley de Transparencia y Acceso a la Información Pública del Estado de México y Municipios </w:t>
      </w:r>
      <w:r w:rsidRPr="00D93E3F">
        <w:rPr>
          <w:rFonts w:ascii="Palatino Linotype" w:eastAsia="Palatino Linotype" w:hAnsi="Palatino Linotype" w:cs="Palatino Linotype"/>
        </w:rPr>
        <w:t>vigente.</w:t>
      </w:r>
    </w:p>
    <w:p w:rsidR="00AF2A58" w:rsidRPr="00D93E3F" w:rsidRDefault="00AF2A58" w:rsidP="00A30F8D">
      <w:pPr>
        <w:ind w:right="1"/>
        <w:jc w:val="both"/>
        <w:rPr>
          <w:rFonts w:ascii="Palatino Linotype" w:eastAsia="Palatino Linotype" w:hAnsi="Palatino Linotype" w:cs="Palatino Linotype"/>
          <w:b/>
        </w:rPr>
      </w:pPr>
    </w:p>
    <w:p w:rsidR="00E94D86" w:rsidRPr="00D93E3F" w:rsidRDefault="001E3125">
      <w:pPr>
        <w:numPr>
          <w:ilvl w:val="0"/>
          <w:numId w:val="1"/>
        </w:numPr>
        <w:spacing w:line="360" w:lineRule="auto"/>
        <w:ind w:left="0" w:right="1" w:firstLine="0"/>
        <w:jc w:val="both"/>
        <w:rPr>
          <w:rFonts w:ascii="Palatino Linotype" w:eastAsia="Palatino Linotype" w:hAnsi="Palatino Linotype" w:cs="Palatino Linotype"/>
          <w:b/>
        </w:rPr>
      </w:pPr>
      <w:r w:rsidRPr="00D93E3F">
        <w:rPr>
          <w:rFonts w:ascii="Palatino Linotype" w:eastAsia="Palatino Linotype" w:hAnsi="Palatino Linotype" w:cs="Palatino Linotype"/>
        </w:rPr>
        <w:t>Por otro lado, el escrito contiene las formalidades previstas por el artículo 180 último párrafo de la Ley de la materia actual, por lo que es procedente que este Instituto de Transparencia, Acceso a la Información Pública y Protección de Datos Personales del Estado de México y Municipios, conozca y resuelva el presente recurso.</w:t>
      </w:r>
    </w:p>
    <w:p w:rsidR="00E94D86" w:rsidRPr="00D93E3F" w:rsidRDefault="00E94D86" w:rsidP="00A30F8D">
      <w:pPr>
        <w:ind w:right="-592"/>
        <w:jc w:val="both"/>
        <w:rPr>
          <w:rFonts w:ascii="Palatino Linotype" w:eastAsia="Palatino Linotype" w:hAnsi="Palatino Linotype" w:cs="Palatino Linotype"/>
          <w:b/>
        </w:rPr>
      </w:pPr>
    </w:p>
    <w:p w:rsidR="00E94D86" w:rsidRPr="00D93E3F" w:rsidRDefault="001E3125">
      <w:pPr>
        <w:spacing w:line="360" w:lineRule="auto"/>
        <w:ind w:right="-592"/>
        <w:jc w:val="both"/>
        <w:rPr>
          <w:rFonts w:ascii="Palatino Linotype" w:eastAsia="Palatino Linotype" w:hAnsi="Palatino Linotype" w:cs="Palatino Linotype"/>
          <w:b/>
        </w:rPr>
      </w:pPr>
      <w:r w:rsidRPr="00D93E3F">
        <w:rPr>
          <w:rFonts w:ascii="Palatino Linotype" w:eastAsia="Palatino Linotype" w:hAnsi="Palatino Linotype" w:cs="Palatino Linotype"/>
          <w:b/>
        </w:rPr>
        <w:t xml:space="preserve">TERCERO. </w:t>
      </w:r>
      <w:r w:rsidR="00F01E50" w:rsidRPr="00D93E3F">
        <w:rPr>
          <w:rFonts w:ascii="Palatino Linotype" w:eastAsia="Palatino Linotype" w:hAnsi="Palatino Linotype" w:cs="Palatino Linotype"/>
          <w:b/>
          <w:color w:val="000000"/>
        </w:rPr>
        <w:t>De las causales del sobreseimiento.</w:t>
      </w:r>
    </w:p>
    <w:p w:rsidR="00E94D86" w:rsidRPr="00D93E3F" w:rsidRDefault="00E94D86" w:rsidP="00A30F8D">
      <w:pPr>
        <w:ind w:right="-592"/>
        <w:jc w:val="both"/>
        <w:rPr>
          <w:rFonts w:ascii="Palatino Linotype" w:eastAsia="Palatino Linotype" w:hAnsi="Palatino Linotype" w:cs="Palatino Linotype"/>
          <w:b/>
        </w:rPr>
      </w:pPr>
    </w:p>
    <w:p w:rsidR="009A278E" w:rsidRPr="00D93E3F" w:rsidRDefault="00F01E50" w:rsidP="009A278E">
      <w:pPr>
        <w:numPr>
          <w:ilvl w:val="0"/>
          <w:numId w:val="1"/>
        </w:numPr>
        <w:spacing w:line="360" w:lineRule="auto"/>
        <w:ind w:left="0" w:right="1" w:firstLine="0"/>
        <w:jc w:val="both"/>
        <w:rPr>
          <w:rFonts w:ascii="Palatino Linotype" w:eastAsia="Palatino Linotype" w:hAnsi="Palatino Linotype" w:cs="Palatino Linotype"/>
          <w:b/>
        </w:rPr>
      </w:pPr>
      <w:r w:rsidRPr="00D93E3F">
        <w:rPr>
          <w:rFonts w:ascii="Palatino Linotype" w:eastAsia="Palatino Linotype" w:hAnsi="Palatino Linotype" w:cs="Palatino Linotype"/>
        </w:rPr>
        <w:lastRenderedPageBreak/>
        <w:t xml:space="preserve">El </w:t>
      </w:r>
      <w:r w:rsidR="009A278E" w:rsidRPr="00D93E3F">
        <w:rPr>
          <w:rFonts w:ascii="Palatino Linotype" w:eastAsia="Palatino Linotype" w:hAnsi="Palatino Linotype" w:cs="Palatino Linotype"/>
          <w:color w:val="000000"/>
        </w:rPr>
        <w:t xml:space="preserve">recurso de revisión tiene como finalidad reparar cualquier posible afectación al derecho de acceso a la información pública en términos del Título Octavo de la Ley de Transparencia, Acceso a la Información Pública del Estado de México y Municipios, y determinar la confirmación; revocación o modificación; desechamiento o </w:t>
      </w:r>
      <w:r w:rsidR="009A278E" w:rsidRPr="00D93E3F">
        <w:rPr>
          <w:rFonts w:ascii="Palatino Linotype" w:eastAsia="Palatino Linotype" w:hAnsi="Palatino Linotype" w:cs="Palatino Linotype"/>
          <w:b/>
          <w:color w:val="000000"/>
          <w:u w:val="single"/>
        </w:rPr>
        <w:t>sobreseimiento</w:t>
      </w:r>
      <w:r w:rsidR="009A278E" w:rsidRPr="00D93E3F">
        <w:rPr>
          <w:rFonts w:ascii="Palatino Linotype" w:eastAsia="Palatino Linotype" w:hAnsi="Palatino Linotype" w:cs="Palatino Linotype"/>
          <w:color w:val="000000"/>
        </w:rPr>
        <w:t xml:space="preserve">; y en su caso ordenar la entrega de la información con respecto a la respuesta emitida por el </w:t>
      </w:r>
      <w:r w:rsidR="009A278E" w:rsidRPr="00D93E3F">
        <w:rPr>
          <w:rFonts w:ascii="Palatino Linotype" w:eastAsia="Palatino Linotype" w:hAnsi="Palatino Linotype" w:cs="Palatino Linotype"/>
          <w:b/>
          <w:color w:val="000000"/>
        </w:rPr>
        <w:t>SUJETO</w:t>
      </w:r>
      <w:r w:rsidR="009A278E" w:rsidRPr="00D93E3F">
        <w:rPr>
          <w:rFonts w:ascii="Palatino Linotype" w:eastAsia="Palatino Linotype" w:hAnsi="Palatino Linotype" w:cs="Palatino Linotype"/>
          <w:color w:val="000000"/>
        </w:rPr>
        <w:t xml:space="preserve"> </w:t>
      </w:r>
      <w:r w:rsidR="009A278E" w:rsidRPr="00D93E3F">
        <w:rPr>
          <w:rFonts w:ascii="Palatino Linotype" w:eastAsia="Palatino Linotype" w:hAnsi="Palatino Linotype" w:cs="Palatino Linotype"/>
          <w:b/>
          <w:color w:val="000000"/>
        </w:rPr>
        <w:t>OBLIGADO</w:t>
      </w:r>
      <w:r w:rsidR="009A278E" w:rsidRPr="00D93E3F">
        <w:rPr>
          <w:rFonts w:ascii="Palatino Linotype" w:eastAsia="Palatino Linotype" w:hAnsi="Palatino Linotype" w:cs="Palatino Linotype"/>
          <w:color w:val="000000"/>
        </w:rPr>
        <w:t>.</w:t>
      </w:r>
    </w:p>
    <w:p w:rsidR="009A278E" w:rsidRPr="00D93E3F" w:rsidRDefault="009A278E" w:rsidP="00A30F8D">
      <w:pPr>
        <w:ind w:right="1"/>
        <w:jc w:val="both"/>
        <w:rPr>
          <w:rFonts w:ascii="Palatino Linotype" w:eastAsia="Palatino Linotype" w:hAnsi="Palatino Linotype" w:cs="Palatino Linotype"/>
          <w:b/>
        </w:rPr>
      </w:pPr>
    </w:p>
    <w:p w:rsidR="009A278E" w:rsidRPr="00D93E3F" w:rsidRDefault="009A278E" w:rsidP="009A278E">
      <w:pPr>
        <w:numPr>
          <w:ilvl w:val="0"/>
          <w:numId w:val="1"/>
        </w:numPr>
        <w:spacing w:line="360" w:lineRule="auto"/>
        <w:ind w:left="0" w:right="1" w:firstLine="0"/>
        <w:jc w:val="both"/>
        <w:rPr>
          <w:rFonts w:ascii="Palatino Linotype" w:eastAsia="Palatino Linotype" w:hAnsi="Palatino Linotype" w:cs="Palatino Linotype"/>
          <w:b/>
        </w:rPr>
      </w:pPr>
      <w:r w:rsidRPr="00D93E3F">
        <w:rPr>
          <w:rFonts w:ascii="Palatino Linotype" w:eastAsia="Palatino Linotype" w:hAnsi="Palatino Linotype" w:cs="Palatino Linotype"/>
          <w:color w:val="000000"/>
        </w:rPr>
        <w:t xml:space="preserve">De acuerdo al precepto legal contenido en la fracción III del artículo 192 de la </w:t>
      </w:r>
      <w:r w:rsidRPr="00D93E3F">
        <w:rPr>
          <w:rFonts w:ascii="Palatino Linotype" w:eastAsia="Palatino Linotype" w:hAnsi="Palatino Linotype" w:cs="Palatino Linotype"/>
          <w:b/>
          <w:color w:val="000000"/>
        </w:rPr>
        <w:t>Ley de Transparencia y Acceso a la Información Pública del Estado de México y Municipios</w:t>
      </w:r>
      <w:r w:rsidRPr="00D93E3F">
        <w:rPr>
          <w:rFonts w:ascii="Palatino Linotype" w:eastAsia="Palatino Linotype" w:hAnsi="Palatino Linotype" w:cs="Palatino Linotype"/>
          <w:color w:val="000000"/>
        </w:rPr>
        <w:t>, el recurso será sobreseído, en todo o en parte, cuando una vez admitido, el sujeto obligado responsable del acto lo modifique o revoque de tal manera que el recurso de revisión quede sin materia; de ahí que la actualización de alguno de éste trae como consecuencia que el medio de impugnación se concluya sin que se analice el objeto de estudio planteado, es decir se sobresea.</w:t>
      </w:r>
    </w:p>
    <w:p w:rsidR="009A278E" w:rsidRPr="00D93E3F" w:rsidRDefault="009A278E" w:rsidP="00A30F8D">
      <w:pPr>
        <w:rPr>
          <w:rFonts w:ascii="Palatino Linotype" w:eastAsia="Palatino Linotype" w:hAnsi="Palatino Linotype" w:cs="Palatino Linotype"/>
          <w:color w:val="000000"/>
        </w:rPr>
      </w:pPr>
    </w:p>
    <w:p w:rsidR="009A278E" w:rsidRPr="00D93E3F" w:rsidRDefault="009A278E" w:rsidP="009A278E">
      <w:pPr>
        <w:numPr>
          <w:ilvl w:val="0"/>
          <w:numId w:val="1"/>
        </w:numPr>
        <w:spacing w:line="360" w:lineRule="auto"/>
        <w:ind w:left="0" w:right="1" w:firstLine="0"/>
        <w:jc w:val="both"/>
        <w:rPr>
          <w:rFonts w:ascii="Palatino Linotype" w:eastAsia="Palatino Linotype" w:hAnsi="Palatino Linotype" w:cs="Palatino Linotype"/>
          <w:b/>
        </w:rPr>
      </w:pPr>
      <w:r w:rsidRPr="00D93E3F">
        <w:rPr>
          <w:rFonts w:ascii="Palatino Linotype" w:eastAsia="Palatino Linotype" w:hAnsi="Palatino Linotype" w:cs="Palatino Linotype"/>
          <w:color w:val="000000"/>
        </w:rPr>
        <w:t xml:space="preserve">Para los efectos de esta resolución, es oportuno precisar los alcances jurídicos de la fracción III de la disposición legal transcrita. Así, procede el sobreseimiento del recurso de revisión cuando el </w:t>
      </w:r>
      <w:r w:rsidRPr="00D93E3F">
        <w:rPr>
          <w:rFonts w:ascii="Palatino Linotype" w:eastAsia="Palatino Linotype" w:hAnsi="Palatino Linotype" w:cs="Palatino Linotype"/>
          <w:b/>
          <w:color w:val="000000"/>
        </w:rPr>
        <w:t>SUJETO OBLIGADO</w:t>
      </w:r>
      <w:r w:rsidRPr="00D93E3F">
        <w:rPr>
          <w:rFonts w:ascii="Palatino Linotype" w:eastAsia="Palatino Linotype" w:hAnsi="Palatino Linotype" w:cs="Palatino Linotype"/>
          <w:color w:val="000000"/>
        </w:rPr>
        <w:t>:</w:t>
      </w:r>
    </w:p>
    <w:p w:rsidR="009A278E" w:rsidRPr="00D93E3F" w:rsidRDefault="009A278E" w:rsidP="00A30F8D">
      <w:pPr>
        <w:ind w:right="1"/>
        <w:jc w:val="both"/>
        <w:rPr>
          <w:rFonts w:ascii="Palatino Linotype" w:eastAsia="Palatino Linotype" w:hAnsi="Palatino Linotype" w:cs="Palatino Linotype"/>
          <w:color w:val="000000"/>
        </w:rPr>
      </w:pPr>
    </w:p>
    <w:p w:rsidR="009A278E" w:rsidRPr="00D93E3F" w:rsidRDefault="009A278E" w:rsidP="009A278E">
      <w:pPr>
        <w:numPr>
          <w:ilvl w:val="0"/>
          <w:numId w:val="31"/>
        </w:numPr>
        <w:ind w:left="567" w:right="565" w:firstLine="0"/>
        <w:jc w:val="both"/>
        <w:rPr>
          <w:rFonts w:ascii="Palatino Linotype" w:eastAsia="Palatino Linotype" w:hAnsi="Palatino Linotype" w:cs="Palatino Linotype"/>
        </w:rPr>
      </w:pPr>
      <w:r w:rsidRPr="00D93E3F">
        <w:rPr>
          <w:rFonts w:ascii="Palatino Linotype" w:eastAsia="Palatino Linotype" w:hAnsi="Palatino Linotype" w:cs="Palatino Linotype"/>
          <w:b/>
        </w:rPr>
        <w:t>Modifique el acto impugnado:</w:t>
      </w:r>
      <w:r w:rsidRPr="00D93E3F">
        <w:rPr>
          <w:rFonts w:ascii="Palatino Linotype" w:eastAsia="Palatino Linotype" w:hAnsi="Palatino Linotype" w:cs="Palatino Linotype"/>
        </w:rPr>
        <w:t xml:space="preserve"> Se actualiza cuando el </w:t>
      </w:r>
      <w:r w:rsidRPr="00D93E3F">
        <w:rPr>
          <w:rFonts w:ascii="Palatino Linotype" w:eastAsia="Palatino Linotype" w:hAnsi="Palatino Linotype" w:cs="Palatino Linotype"/>
          <w:b/>
        </w:rPr>
        <w:t>SUJETO OBLIGADO</w:t>
      </w:r>
      <w:r w:rsidRPr="00D93E3F">
        <w:rPr>
          <w:rFonts w:ascii="Palatino Linotype" w:eastAsia="Palatino Linotype" w:hAnsi="Palatino Linotype" w:cs="Palatino Linotype"/>
        </w:rPr>
        <w:t xml:space="preserve"> después de haber otorgado una respuesta y hasta antes de dictada la resolución del recurso de revisión, emite una diversa en la que subsane las deficiencias que hubiera tenido.</w:t>
      </w:r>
    </w:p>
    <w:p w:rsidR="009A278E" w:rsidRPr="00D93E3F" w:rsidRDefault="009A278E" w:rsidP="009A278E">
      <w:pPr>
        <w:ind w:left="567" w:right="565"/>
        <w:jc w:val="both"/>
        <w:rPr>
          <w:rFonts w:ascii="Palatino Linotype" w:eastAsia="Palatino Linotype" w:hAnsi="Palatino Linotype" w:cs="Palatino Linotype"/>
        </w:rPr>
      </w:pPr>
    </w:p>
    <w:p w:rsidR="009A278E" w:rsidRPr="00D93E3F" w:rsidRDefault="009A278E" w:rsidP="009A278E">
      <w:pPr>
        <w:numPr>
          <w:ilvl w:val="0"/>
          <w:numId w:val="31"/>
        </w:numPr>
        <w:ind w:left="567" w:right="565" w:firstLine="0"/>
        <w:jc w:val="both"/>
        <w:rPr>
          <w:rFonts w:ascii="Palatino Linotype" w:eastAsia="Palatino Linotype" w:hAnsi="Palatino Linotype" w:cs="Palatino Linotype"/>
        </w:rPr>
      </w:pPr>
      <w:r w:rsidRPr="00D93E3F">
        <w:rPr>
          <w:rFonts w:ascii="Palatino Linotype" w:eastAsia="Palatino Linotype" w:hAnsi="Palatino Linotype" w:cs="Palatino Linotype"/>
          <w:b/>
        </w:rPr>
        <w:t>Revoque el acto impugnado:</w:t>
      </w:r>
      <w:r w:rsidRPr="00D93E3F">
        <w:rPr>
          <w:rFonts w:ascii="Palatino Linotype" w:eastAsia="Palatino Linotype" w:hAnsi="Palatino Linotype" w:cs="Palatino Linotype"/>
        </w:rPr>
        <w:t xml:space="preserve"> En este supuesto, el </w:t>
      </w:r>
      <w:r w:rsidRPr="00D93E3F">
        <w:rPr>
          <w:rFonts w:ascii="Palatino Linotype" w:eastAsia="Palatino Linotype" w:hAnsi="Palatino Linotype" w:cs="Palatino Linotype"/>
          <w:b/>
        </w:rPr>
        <w:t>SUJETO OBLIGADO</w:t>
      </w:r>
      <w:r w:rsidRPr="00D93E3F">
        <w:rPr>
          <w:rFonts w:ascii="Palatino Linotype" w:eastAsia="Palatino Linotype" w:hAnsi="Palatino Linotype" w:cs="Palatino Linotype"/>
        </w:rPr>
        <w:t xml:space="preserve"> deja sin efectos la primera respuesta y en su lugar emite otra que satisfaga lo solicitado por el Particular en un primer momento.</w:t>
      </w:r>
    </w:p>
    <w:p w:rsidR="009A278E" w:rsidRPr="00D93E3F" w:rsidRDefault="009A278E" w:rsidP="00A30F8D">
      <w:pPr>
        <w:ind w:right="1"/>
        <w:jc w:val="both"/>
        <w:rPr>
          <w:rFonts w:ascii="Palatino Linotype" w:eastAsia="Palatino Linotype" w:hAnsi="Palatino Linotype" w:cs="Palatino Linotype"/>
          <w:b/>
        </w:rPr>
      </w:pPr>
    </w:p>
    <w:p w:rsidR="009A278E" w:rsidRPr="00D93E3F" w:rsidRDefault="009A278E" w:rsidP="009A278E">
      <w:pPr>
        <w:numPr>
          <w:ilvl w:val="0"/>
          <w:numId w:val="1"/>
        </w:numPr>
        <w:spacing w:line="360" w:lineRule="auto"/>
        <w:ind w:left="0" w:right="1" w:firstLine="0"/>
        <w:jc w:val="both"/>
        <w:rPr>
          <w:rFonts w:ascii="Palatino Linotype" w:eastAsia="Palatino Linotype" w:hAnsi="Palatino Linotype" w:cs="Palatino Linotype"/>
          <w:b/>
        </w:rPr>
      </w:pPr>
      <w:r w:rsidRPr="00D93E3F">
        <w:rPr>
          <w:rFonts w:ascii="Palatino Linotype" w:eastAsia="Palatino Linotype" w:hAnsi="Palatino Linotype" w:cs="Palatino Linotype"/>
          <w:color w:val="000000"/>
        </w:rPr>
        <w:lastRenderedPageBreak/>
        <w:t>Las consecuencias jurídicas de esta modificación o revocación es que el recurso de revisión interpuesto quede sin efectos o sin materia. Un acto impugnado queda sin efectos, cuando aun existiendo jurídicamente, no genera consecuencia legal alguna; queda sin materia, cuando ha sido satisfecha la pretensión del Particular, ya sea porque se hizo la entrega de la información solicitada o porque se completó la misma.</w:t>
      </w:r>
    </w:p>
    <w:p w:rsidR="009A278E" w:rsidRPr="00D93E3F" w:rsidRDefault="009A278E" w:rsidP="00A30F8D">
      <w:pPr>
        <w:ind w:right="1"/>
        <w:jc w:val="both"/>
        <w:rPr>
          <w:rFonts w:ascii="Palatino Linotype" w:eastAsia="Palatino Linotype" w:hAnsi="Palatino Linotype" w:cs="Palatino Linotype"/>
          <w:b/>
        </w:rPr>
      </w:pPr>
    </w:p>
    <w:p w:rsidR="000E2127" w:rsidRPr="00D93E3F" w:rsidRDefault="009A278E" w:rsidP="000E2127">
      <w:pPr>
        <w:numPr>
          <w:ilvl w:val="0"/>
          <w:numId w:val="1"/>
        </w:numPr>
        <w:spacing w:line="360" w:lineRule="auto"/>
        <w:ind w:left="0" w:right="1" w:firstLine="0"/>
        <w:jc w:val="both"/>
        <w:rPr>
          <w:rFonts w:ascii="Palatino Linotype" w:eastAsia="Palatino Linotype" w:hAnsi="Palatino Linotype" w:cs="Palatino Linotype"/>
          <w:b/>
        </w:rPr>
      </w:pPr>
      <w:r w:rsidRPr="00D93E3F">
        <w:rPr>
          <w:rFonts w:ascii="Palatino Linotype" w:eastAsia="Palatino Linotype" w:hAnsi="Palatino Linotype" w:cs="Palatino Linotype"/>
        </w:rPr>
        <w:t xml:space="preserve">En el presente caso, el </w:t>
      </w:r>
      <w:r w:rsidRPr="00D93E3F">
        <w:rPr>
          <w:rFonts w:ascii="Palatino Linotype" w:eastAsia="Palatino Linotype" w:hAnsi="Palatino Linotype" w:cs="Palatino Linotype"/>
          <w:b/>
        </w:rPr>
        <w:t xml:space="preserve">RECURRENTE </w:t>
      </w:r>
      <w:r w:rsidRPr="00D93E3F">
        <w:rPr>
          <w:rFonts w:ascii="Palatino Linotype" w:eastAsia="Palatino Linotype" w:hAnsi="Palatino Linotype" w:cs="Palatino Linotype"/>
        </w:rPr>
        <w:t xml:space="preserve">solicitó </w:t>
      </w:r>
      <w:r w:rsidR="00D74408" w:rsidRPr="00D93E3F">
        <w:rPr>
          <w:rFonts w:ascii="Palatino Linotype" w:hAnsi="Palatino Linotype"/>
          <w:b/>
          <w:color w:val="000000"/>
        </w:rPr>
        <w:t>los estudios de mercado y los contratos de la compra de los termos y pilas que, la Oficial Mayor a través del Director General de Personal, compró con motivo de la festividad del “Día de las Madres” y del “Día del Padre” en 2024.</w:t>
      </w:r>
    </w:p>
    <w:p w:rsidR="000E2127" w:rsidRPr="00D93E3F" w:rsidRDefault="000E2127" w:rsidP="00A30F8D">
      <w:pPr>
        <w:rPr>
          <w:rFonts w:ascii="Palatino Linotype" w:eastAsia="Palatino Linotype" w:hAnsi="Palatino Linotype" w:cs="Palatino Linotype"/>
        </w:rPr>
      </w:pPr>
    </w:p>
    <w:p w:rsidR="000E2127" w:rsidRPr="00D93E3F" w:rsidRDefault="00D74408" w:rsidP="000E2127">
      <w:pPr>
        <w:numPr>
          <w:ilvl w:val="0"/>
          <w:numId w:val="1"/>
        </w:numPr>
        <w:spacing w:line="360" w:lineRule="auto"/>
        <w:ind w:left="0" w:right="1" w:firstLine="0"/>
        <w:jc w:val="both"/>
        <w:rPr>
          <w:rFonts w:ascii="Palatino Linotype" w:eastAsia="Palatino Linotype" w:hAnsi="Palatino Linotype" w:cs="Palatino Linotype"/>
          <w:b/>
        </w:rPr>
      </w:pPr>
      <w:r w:rsidRPr="00D93E3F">
        <w:rPr>
          <w:rFonts w:ascii="Palatino Linotype" w:eastAsia="Palatino Linotype" w:hAnsi="Palatino Linotype" w:cs="Palatino Linotype"/>
        </w:rPr>
        <w:t xml:space="preserve">En respuesta, </w:t>
      </w:r>
      <w:r w:rsidRPr="00D93E3F">
        <w:rPr>
          <w:rFonts w:ascii="Palatino Linotype" w:hAnsi="Palatino Linotype"/>
        </w:rPr>
        <w:t>el Director General de Personal, remitió</w:t>
      </w:r>
      <w:r w:rsidR="000E2127" w:rsidRPr="00D93E3F">
        <w:rPr>
          <w:rFonts w:ascii="Palatino Linotype" w:hAnsi="Palatino Linotype"/>
        </w:rPr>
        <w:t xml:space="preserve"> la copia digitalizada de las cotizaciones realizadas</w:t>
      </w:r>
      <w:r w:rsidRPr="00D93E3F">
        <w:rPr>
          <w:rFonts w:ascii="Palatino Linotype" w:hAnsi="Palatino Linotype"/>
        </w:rPr>
        <w:t xml:space="preserve"> y </w:t>
      </w:r>
      <w:r w:rsidR="000E2127" w:rsidRPr="00D93E3F">
        <w:rPr>
          <w:rFonts w:ascii="Palatino Linotype" w:hAnsi="Palatino Linotype"/>
        </w:rPr>
        <w:t xml:space="preserve">Certificado Fiscal Digital por Internet (CFDI), por concepto de “termos (enfriadores de bebidas) y cargadores (pilas)” en 2024; asimismo, el Acuerdo CTOM-SE12-2024-0002, por </w:t>
      </w:r>
      <w:r w:rsidR="00041C32" w:rsidRPr="00D93E3F">
        <w:rPr>
          <w:rFonts w:ascii="Palatino Linotype" w:hAnsi="Palatino Linotype"/>
        </w:rPr>
        <w:t>medio del cual,</w:t>
      </w:r>
      <w:r w:rsidR="000E2127" w:rsidRPr="00D93E3F">
        <w:rPr>
          <w:rFonts w:ascii="Palatino Linotype" w:hAnsi="Palatino Linotype"/>
        </w:rPr>
        <w:t xml:space="preserve"> confirmó la clasificación parcial como información confidencial de los datos personales contenidos en los documentos remitidos.</w:t>
      </w:r>
    </w:p>
    <w:p w:rsidR="000E2127" w:rsidRPr="00D93E3F" w:rsidRDefault="000E2127" w:rsidP="004414BC">
      <w:pPr>
        <w:ind w:right="567"/>
        <w:jc w:val="both"/>
        <w:rPr>
          <w:rFonts w:ascii="Palatino Linotype" w:hAnsi="Palatino Linotype"/>
        </w:rPr>
      </w:pPr>
    </w:p>
    <w:p w:rsidR="00D74408" w:rsidRPr="00D93E3F" w:rsidRDefault="00041C32" w:rsidP="00D74408">
      <w:pPr>
        <w:numPr>
          <w:ilvl w:val="0"/>
          <w:numId w:val="1"/>
        </w:numPr>
        <w:spacing w:line="360" w:lineRule="auto"/>
        <w:ind w:left="0" w:right="1" w:firstLine="0"/>
        <w:jc w:val="both"/>
        <w:rPr>
          <w:rFonts w:ascii="Palatino Linotype" w:eastAsia="Palatino Linotype" w:hAnsi="Palatino Linotype" w:cs="Palatino Linotype"/>
          <w:b/>
        </w:rPr>
      </w:pPr>
      <w:r w:rsidRPr="00D93E3F">
        <w:rPr>
          <w:rFonts w:ascii="Palatino Linotype" w:eastAsia="Palatino Linotype" w:hAnsi="Palatino Linotype" w:cs="Palatino Linotype"/>
        </w:rPr>
        <w:t xml:space="preserve">Al respecto, el </w:t>
      </w:r>
      <w:r w:rsidRPr="00D93E3F">
        <w:rPr>
          <w:rFonts w:ascii="Palatino Linotype" w:eastAsia="Palatino Linotype" w:hAnsi="Palatino Linotype" w:cs="Palatino Linotype"/>
          <w:b/>
        </w:rPr>
        <w:t xml:space="preserve">RECURRENTE </w:t>
      </w:r>
      <w:r w:rsidRPr="00D93E3F">
        <w:rPr>
          <w:rFonts w:ascii="Palatino Linotype" w:eastAsia="Palatino Linotype" w:hAnsi="Palatino Linotype" w:cs="Palatino Linotype"/>
        </w:rPr>
        <w:t xml:space="preserve">interpuso el recurso de revisión en contra de la respuesta, por medio del cual, manifestó que </w:t>
      </w:r>
      <w:r w:rsidRPr="00D93E3F">
        <w:rPr>
          <w:rFonts w:ascii="Palatino Linotype" w:eastAsia="Palatino Linotype" w:hAnsi="Palatino Linotype" w:cs="Palatino Linotype"/>
          <w:b/>
        </w:rPr>
        <w:t>la información que se remitió no son los estudios de mercado solicitados.</w:t>
      </w:r>
    </w:p>
    <w:p w:rsidR="00A30F8D" w:rsidRPr="00D93E3F" w:rsidRDefault="00A30F8D" w:rsidP="00A30F8D">
      <w:pPr>
        <w:rPr>
          <w:rFonts w:ascii="Palatino Linotype" w:eastAsia="Palatino Linotype" w:hAnsi="Palatino Linotype" w:cs="Palatino Linotype"/>
          <w:b/>
        </w:rPr>
      </w:pPr>
    </w:p>
    <w:p w:rsidR="00A30F8D" w:rsidRPr="00D93E3F" w:rsidRDefault="00A30F8D" w:rsidP="00A30F8D">
      <w:pPr>
        <w:numPr>
          <w:ilvl w:val="0"/>
          <w:numId w:val="1"/>
        </w:numPr>
        <w:spacing w:line="360" w:lineRule="auto"/>
        <w:ind w:left="0" w:right="1" w:firstLine="0"/>
        <w:jc w:val="both"/>
        <w:rPr>
          <w:rFonts w:ascii="Palatino Linotype" w:eastAsia="Palatino Linotype" w:hAnsi="Palatino Linotype" w:cs="Palatino Linotype"/>
        </w:rPr>
      </w:pPr>
      <w:r w:rsidRPr="00D93E3F">
        <w:rPr>
          <w:rFonts w:ascii="Palatino Linotype" w:eastAsia="Palatino Linotype" w:hAnsi="Palatino Linotype" w:cs="Palatino Linotype"/>
        </w:rPr>
        <w:t xml:space="preserve">Al respecto, </w:t>
      </w:r>
      <w:r w:rsidRPr="00D93E3F">
        <w:rPr>
          <w:rFonts w:ascii="Palatino Linotype" w:eastAsia="MS Mincho" w:hAnsi="Palatino Linotype" w:cs="Arial"/>
          <w:bCs/>
        </w:rPr>
        <w:t xml:space="preserve">resulta necesario señalar que, </w:t>
      </w:r>
      <w:r w:rsidRPr="00D93E3F">
        <w:rPr>
          <w:rFonts w:ascii="Palatino Linotype" w:eastAsia="MS Gothic" w:hAnsi="Palatino Linotype" w:cstheme="majorBidi"/>
        </w:rPr>
        <w:t xml:space="preserve">el </w:t>
      </w:r>
      <w:r w:rsidRPr="00D93E3F">
        <w:rPr>
          <w:rFonts w:ascii="Palatino Linotype" w:eastAsia="MS Gothic" w:hAnsi="Palatino Linotype" w:cstheme="majorBidi"/>
          <w:b/>
          <w:bCs/>
        </w:rPr>
        <w:t>RECURRENTE</w:t>
      </w:r>
      <w:r w:rsidRPr="00D93E3F">
        <w:rPr>
          <w:rFonts w:ascii="Palatino Linotype" w:eastAsia="MS Gothic" w:hAnsi="Palatino Linotype" w:cstheme="majorBidi"/>
          <w:b/>
        </w:rPr>
        <w:t xml:space="preserve"> </w:t>
      </w:r>
      <w:r w:rsidRPr="00D93E3F">
        <w:rPr>
          <w:rFonts w:ascii="Palatino Linotype" w:eastAsia="MS Gothic" w:hAnsi="Palatino Linotype" w:cstheme="majorBidi"/>
        </w:rPr>
        <w:t xml:space="preserve">no se inconformó por la totalidad de la respuesta. Bajo ese tenor, se tiene que la parte de la respuesta que no fue impugnada debe declararse como consentida, toda vez que, </w:t>
      </w:r>
      <w:r w:rsidRPr="00D93E3F">
        <w:rPr>
          <w:rFonts w:ascii="Palatino Linotype" w:eastAsia="Palatino Linotype" w:hAnsi="Palatino Linotype" w:cs="Palatino Linotype"/>
          <w:color w:val="000000"/>
        </w:rPr>
        <w:t xml:space="preserve">al no haber realizado </w:t>
      </w:r>
      <w:r w:rsidRPr="00D93E3F">
        <w:rPr>
          <w:rFonts w:ascii="Palatino Linotype" w:eastAsia="Palatino Linotype" w:hAnsi="Palatino Linotype" w:cs="Palatino Linotype"/>
          <w:color w:val="000000"/>
        </w:rPr>
        <w:lastRenderedPageBreak/>
        <w:t xml:space="preserve">manifestaciones de inconformidad al respecto, se infiere que la información proporcionada por el </w:t>
      </w:r>
      <w:r w:rsidRPr="00D93E3F">
        <w:rPr>
          <w:rFonts w:ascii="Palatino Linotype" w:eastAsia="Palatino Linotype" w:hAnsi="Palatino Linotype" w:cs="Palatino Linotype"/>
          <w:b/>
          <w:color w:val="000000"/>
        </w:rPr>
        <w:t>SUJETO OBLIGADO</w:t>
      </w:r>
      <w:r w:rsidRPr="00D93E3F">
        <w:rPr>
          <w:rFonts w:ascii="Palatino Linotype" w:eastAsia="Palatino Linotype" w:hAnsi="Palatino Linotype" w:cs="Palatino Linotype"/>
          <w:color w:val="000000"/>
        </w:rPr>
        <w:t xml:space="preserve"> satisface este punto de la solicitud presentada. </w:t>
      </w:r>
    </w:p>
    <w:p w:rsidR="00A30F8D" w:rsidRPr="00D93E3F" w:rsidRDefault="00A30F8D" w:rsidP="00A30F8D">
      <w:pPr>
        <w:ind w:right="1"/>
        <w:jc w:val="both"/>
        <w:rPr>
          <w:rFonts w:ascii="Palatino Linotype" w:eastAsia="Palatino Linotype" w:hAnsi="Palatino Linotype" w:cs="Palatino Linotype"/>
        </w:rPr>
      </w:pPr>
    </w:p>
    <w:p w:rsidR="00A30F8D" w:rsidRPr="00D93E3F" w:rsidRDefault="00A30F8D" w:rsidP="00A30F8D">
      <w:pPr>
        <w:numPr>
          <w:ilvl w:val="0"/>
          <w:numId w:val="1"/>
        </w:numPr>
        <w:spacing w:line="360" w:lineRule="auto"/>
        <w:ind w:left="0" w:right="1" w:firstLine="0"/>
        <w:jc w:val="both"/>
        <w:rPr>
          <w:rFonts w:ascii="Palatino Linotype" w:eastAsia="Palatino Linotype" w:hAnsi="Palatino Linotype" w:cs="Palatino Linotype"/>
        </w:rPr>
      </w:pPr>
      <w:r w:rsidRPr="00D93E3F">
        <w:rPr>
          <w:rFonts w:ascii="Palatino Linotype" w:eastAsia="Calibri" w:hAnsi="Palatino Linotype" w:cs="Arial"/>
          <w:color w:val="000000" w:themeColor="text1"/>
          <w:lang w:val="es-ES"/>
        </w:rPr>
        <w:t xml:space="preserve">Lo </w:t>
      </w:r>
      <w:r w:rsidRPr="00D93E3F">
        <w:rPr>
          <w:rFonts w:ascii="Palatino Linotype" w:eastAsia="Palatino Linotype" w:hAnsi="Palatino Linotype" w:cs="Palatino Linotype"/>
          <w:color w:val="000000"/>
        </w:rPr>
        <w:t xml:space="preserve">anterior es así, debido a que cuando un Recurrente impugna la respuesta del </w:t>
      </w:r>
      <w:r w:rsidRPr="00D93E3F">
        <w:rPr>
          <w:rFonts w:ascii="Palatino Linotype" w:eastAsia="Palatino Linotype" w:hAnsi="Palatino Linotype" w:cs="Palatino Linotype"/>
          <w:b/>
          <w:color w:val="000000"/>
        </w:rPr>
        <w:t>SUJETO OBLIGADO</w:t>
      </w:r>
      <w:r w:rsidRPr="00D93E3F">
        <w:rPr>
          <w:rFonts w:ascii="Palatino Linotype" w:eastAsia="Palatino Linotype" w:hAnsi="Palatino Linotype" w:cs="Palatino Linotype"/>
          <w:color w:val="000000"/>
        </w:rPr>
        <w:t>, y éste no expresa Razón o Motivo de Inconformidad en contra de todos los rubros solicitados, dichos rubros deben declararse atendidos, pues se entiende que el Recurrente está conforme con la información entregada al no contravenir la misma. Sirve de Apoyo a lo anterior, por analogía la Tesis Jurisprudencial Número 3ª./J.7/91, Publicada en el Semanario Judicial de la Federación y su Gaceta bajo el número de registro 174,177, que establece lo siguiente:</w:t>
      </w:r>
    </w:p>
    <w:p w:rsidR="00A30F8D" w:rsidRPr="00D93E3F" w:rsidRDefault="00A30F8D" w:rsidP="00A30F8D">
      <w:pPr>
        <w:ind w:right="1"/>
        <w:jc w:val="both"/>
        <w:rPr>
          <w:rFonts w:ascii="Palatino Linotype" w:eastAsia="Calibri" w:hAnsi="Palatino Linotype" w:cs="Arial"/>
          <w:color w:val="000000" w:themeColor="text1"/>
          <w:lang w:val="es-ES"/>
        </w:rPr>
      </w:pPr>
    </w:p>
    <w:p w:rsidR="00A30F8D" w:rsidRPr="00D93E3F" w:rsidRDefault="00A30F8D" w:rsidP="00A30F8D">
      <w:pPr>
        <w:ind w:left="567" w:right="567"/>
        <w:jc w:val="both"/>
        <w:rPr>
          <w:rFonts w:ascii="Palatino Linotype" w:eastAsia="Palatino Linotype" w:hAnsi="Palatino Linotype" w:cs="Palatino Linotype"/>
          <w:i/>
          <w:color w:val="000000"/>
        </w:rPr>
      </w:pPr>
      <w:r w:rsidRPr="00D93E3F">
        <w:rPr>
          <w:rFonts w:ascii="Palatino Linotype" w:eastAsia="Palatino Linotype" w:hAnsi="Palatino Linotype" w:cs="Palatino Linotype"/>
          <w:b/>
          <w:i/>
          <w:color w:val="000000"/>
        </w:rPr>
        <w:t xml:space="preserve">“REVISIÓN EN AMPARO. LOS RESOLUTIVOS NO COMBATIDOS DEBEN DECLARARSE FIRMES. </w:t>
      </w:r>
      <w:r w:rsidRPr="00D93E3F">
        <w:rPr>
          <w:rFonts w:ascii="Palatino Linotype" w:eastAsia="Palatino Linotype" w:hAnsi="Palatino Linotype" w:cs="Palatino Linotype"/>
          <w:i/>
          <w:color w:val="000000"/>
        </w:rPr>
        <w:t>Cuando algún resolutivo de la sentencia impugnada afecta a la recurrente, y ésta no expresa agravio en contra de las consideraciones que le sirven de base, dicho resolutivo debe declararse firme. Esto es, en el caso referido, no obstante que la materia de la revisión comprende a todos los resolutivos que afectan a la recurrente, deben declararse firmes aquéllos en contra de los cuales no se formuló agravio y dicha declaración de firmeza debe reflejarse en la parte considerativa y en los resolutivos debe confirmarse la sentencia recurrida en la parte correspondiente.”</w:t>
      </w:r>
    </w:p>
    <w:p w:rsidR="004414BC" w:rsidRPr="00D93E3F" w:rsidRDefault="004414BC" w:rsidP="004414BC">
      <w:pPr>
        <w:ind w:right="567"/>
        <w:jc w:val="both"/>
        <w:rPr>
          <w:rFonts w:ascii="Palatino Linotype" w:eastAsia="Calibri" w:hAnsi="Palatino Linotype" w:cs="Arial"/>
          <w:color w:val="000000" w:themeColor="text1"/>
          <w:lang w:val="es-ES"/>
        </w:rPr>
      </w:pPr>
    </w:p>
    <w:p w:rsidR="00A30F8D" w:rsidRPr="00D93E3F" w:rsidRDefault="00A30F8D" w:rsidP="00A30F8D">
      <w:pPr>
        <w:numPr>
          <w:ilvl w:val="0"/>
          <w:numId w:val="1"/>
        </w:numPr>
        <w:spacing w:line="360" w:lineRule="auto"/>
        <w:ind w:left="0" w:right="1" w:firstLine="0"/>
        <w:jc w:val="both"/>
        <w:rPr>
          <w:rFonts w:ascii="Palatino Linotype" w:eastAsia="Palatino Linotype" w:hAnsi="Palatino Linotype" w:cs="Palatino Linotype"/>
        </w:rPr>
      </w:pPr>
      <w:r w:rsidRPr="00D93E3F">
        <w:rPr>
          <w:rFonts w:ascii="Palatino Linotype" w:eastAsia="Calibri" w:hAnsi="Palatino Linotype" w:cs="Arial"/>
          <w:color w:val="000000" w:themeColor="text1"/>
          <w:lang w:val="es-ES"/>
        </w:rPr>
        <w:t xml:space="preserve">Consecuentemente, </w:t>
      </w:r>
      <w:r w:rsidRPr="00D93E3F">
        <w:rPr>
          <w:rFonts w:ascii="Palatino Linotype" w:eastAsia="Palatino Linotype" w:hAnsi="Palatino Linotype" w:cs="Palatino Linotype"/>
          <w:color w:val="000000"/>
        </w:rPr>
        <w:t xml:space="preserve">se reitera que la parte de la solicitud que no fue impugnada debe declararse consentida por el </w:t>
      </w:r>
      <w:r w:rsidRPr="00D93E3F">
        <w:rPr>
          <w:rFonts w:ascii="Palatino Linotype" w:eastAsia="Palatino Linotype" w:hAnsi="Palatino Linotype" w:cs="Palatino Linotype"/>
          <w:b/>
          <w:bCs/>
          <w:color w:val="000000"/>
        </w:rPr>
        <w:t>RECURRENTE</w:t>
      </w:r>
      <w:r w:rsidRPr="00D93E3F">
        <w:rPr>
          <w:rFonts w:ascii="Palatino Linotype" w:eastAsia="Palatino Linotype" w:hAnsi="Palatino Linotype" w:cs="Palatino Linotype"/>
          <w:color w:val="000000"/>
        </w:rPr>
        <w:t>, debido a que no se realizaron manifestaciones de inconformidad, por</w:t>
      </w:r>
      <w:r w:rsidRPr="00D93E3F">
        <w:rPr>
          <w:rFonts w:ascii="Palatino Linotype" w:eastAsia="Palatino Linotype" w:hAnsi="Palatino Linotype" w:cs="Palatino Linotype"/>
          <w:bCs/>
          <w:color w:val="000000"/>
        </w:rPr>
        <w:t xml:space="preserve"> lo que no pueden producirse efectos jurídicos tendentes a revocar, confirmar o modificar el acto reclamado ya que se infiere un consentimiento del Recurrente</w:t>
      </w:r>
      <w:r w:rsidRPr="00D93E3F">
        <w:rPr>
          <w:rFonts w:ascii="Palatino Linotype" w:eastAsia="Palatino Linotype" w:hAnsi="Palatino Linotype" w:cs="Palatino Linotype"/>
          <w:b/>
          <w:color w:val="000000"/>
        </w:rPr>
        <w:t xml:space="preserve"> </w:t>
      </w:r>
      <w:r w:rsidRPr="00D93E3F">
        <w:rPr>
          <w:rFonts w:ascii="Palatino Linotype" w:eastAsia="Palatino Linotype" w:hAnsi="Palatino Linotype" w:cs="Palatino Linotype"/>
          <w:color w:val="000000"/>
        </w:rPr>
        <w:t>ante la falta de impugnación eficaz.</w:t>
      </w:r>
    </w:p>
    <w:p w:rsidR="00A30F8D" w:rsidRPr="00D93E3F" w:rsidRDefault="00A30F8D" w:rsidP="004414BC">
      <w:pPr>
        <w:ind w:right="1"/>
        <w:jc w:val="both"/>
        <w:rPr>
          <w:rFonts w:ascii="Palatino Linotype" w:eastAsia="Palatino Linotype" w:hAnsi="Palatino Linotype" w:cs="Palatino Linotype"/>
        </w:rPr>
      </w:pPr>
    </w:p>
    <w:p w:rsidR="00A30F8D" w:rsidRPr="00D93E3F" w:rsidRDefault="00A30F8D" w:rsidP="00A30F8D">
      <w:pPr>
        <w:numPr>
          <w:ilvl w:val="0"/>
          <w:numId w:val="1"/>
        </w:numPr>
        <w:spacing w:line="360" w:lineRule="auto"/>
        <w:ind w:left="0" w:right="1" w:firstLine="0"/>
        <w:jc w:val="both"/>
        <w:rPr>
          <w:rFonts w:ascii="Palatino Linotype" w:eastAsia="Palatino Linotype" w:hAnsi="Palatino Linotype" w:cs="Palatino Linotype"/>
        </w:rPr>
      </w:pPr>
      <w:r w:rsidRPr="00D93E3F">
        <w:rPr>
          <w:rFonts w:ascii="Palatino Linotype" w:eastAsia="Calibri" w:hAnsi="Palatino Linotype" w:cs="Arial"/>
          <w:color w:val="000000" w:themeColor="text1"/>
          <w:lang w:val="es-ES"/>
        </w:rPr>
        <w:lastRenderedPageBreak/>
        <w:t xml:space="preserve">Sirve </w:t>
      </w:r>
      <w:r w:rsidRPr="00D93E3F">
        <w:rPr>
          <w:rFonts w:ascii="Palatino Linotype" w:eastAsia="Palatino Linotype" w:hAnsi="Palatino Linotype" w:cs="Palatino Linotype"/>
          <w:color w:val="000000"/>
        </w:rPr>
        <w:t>de sustento a lo anterior por analogía la tesis jurisprudencial número VI.3o.C. J/60, publicada en el Semanario Judicial de la Federación y su Gaceta bajo el número de registro 176,608 que a la letra dice:</w:t>
      </w:r>
    </w:p>
    <w:p w:rsidR="00A30F8D" w:rsidRPr="00D93E3F" w:rsidRDefault="00A30F8D" w:rsidP="004414BC">
      <w:pPr>
        <w:ind w:right="1"/>
        <w:jc w:val="both"/>
        <w:rPr>
          <w:rFonts w:ascii="Palatino Linotype" w:eastAsia="Calibri" w:hAnsi="Palatino Linotype" w:cs="Arial"/>
          <w:color w:val="000000" w:themeColor="text1"/>
          <w:lang w:val="es-ES"/>
        </w:rPr>
      </w:pPr>
    </w:p>
    <w:p w:rsidR="00A30F8D" w:rsidRPr="00D93E3F" w:rsidRDefault="00A30F8D" w:rsidP="00A30F8D">
      <w:pPr>
        <w:pStyle w:val="Prrafodelista"/>
        <w:ind w:left="567" w:right="539"/>
        <w:jc w:val="both"/>
        <w:rPr>
          <w:rFonts w:ascii="Palatino Linotype" w:eastAsia="Palatino Linotype" w:hAnsi="Palatino Linotype" w:cs="Palatino Linotype"/>
          <w:i/>
          <w:color w:val="000000"/>
          <w:sz w:val="24"/>
        </w:rPr>
      </w:pPr>
      <w:r w:rsidRPr="00D93E3F">
        <w:rPr>
          <w:rFonts w:ascii="Palatino Linotype" w:eastAsia="Palatino Linotype" w:hAnsi="Palatino Linotype" w:cs="Palatino Linotype"/>
          <w:b/>
          <w:i/>
          <w:smallCaps/>
          <w:color w:val="000000"/>
          <w:sz w:val="24"/>
        </w:rPr>
        <w:t xml:space="preserve">ACTOS CONSENTIDOS. SON LOS QUE NO SE IMPUGNAN MEDIANTE EL RECURSO IDÓNEO. </w:t>
      </w:r>
      <w:r w:rsidRPr="00D93E3F">
        <w:rPr>
          <w:rFonts w:ascii="Palatino Linotype" w:eastAsia="Palatino Linotype" w:hAnsi="Palatino Linotype" w:cs="Palatino Linotype"/>
          <w:i/>
          <w:color w:val="000000"/>
          <w:sz w:val="24"/>
        </w:rPr>
        <w:t>Debe reputarse como consentido el acto que no se impugnó por el medio establecido por la ley, ya que si se hizo uso de otro no previsto por ella o si se hace una simple manifestación de inconformidad, tales actuaciones no producen efectos jurídicos tendientes a revocar, confirmar o modificar el acto reclamado en amparo, lo que significa consentimiento del mismo por falta de impugnación eficaz.</w:t>
      </w:r>
    </w:p>
    <w:p w:rsidR="00A30F8D" w:rsidRPr="00D93E3F" w:rsidRDefault="00A30F8D" w:rsidP="00A30F8D">
      <w:pPr>
        <w:ind w:right="1"/>
        <w:jc w:val="both"/>
        <w:rPr>
          <w:rFonts w:ascii="Palatino Linotype" w:eastAsia="Palatino Linotype" w:hAnsi="Palatino Linotype" w:cs="Palatino Linotype"/>
        </w:rPr>
      </w:pPr>
    </w:p>
    <w:p w:rsidR="00A30F8D" w:rsidRPr="00D93E3F" w:rsidRDefault="00A30F8D" w:rsidP="00A30F8D">
      <w:pPr>
        <w:numPr>
          <w:ilvl w:val="0"/>
          <w:numId w:val="1"/>
        </w:numPr>
        <w:spacing w:line="360" w:lineRule="auto"/>
        <w:ind w:left="0" w:right="1" w:firstLine="0"/>
        <w:jc w:val="both"/>
        <w:rPr>
          <w:rFonts w:ascii="Palatino Linotype" w:eastAsia="Palatino Linotype" w:hAnsi="Palatino Linotype" w:cs="Palatino Linotype"/>
        </w:rPr>
      </w:pPr>
      <w:r w:rsidRPr="00D93E3F">
        <w:rPr>
          <w:rFonts w:ascii="Palatino Linotype" w:eastAsia="Calibri" w:hAnsi="Palatino Linotype" w:cs="Arial"/>
          <w:color w:val="000000" w:themeColor="text1"/>
          <w:lang w:val="es-ES"/>
        </w:rPr>
        <w:t xml:space="preserve">Para </w:t>
      </w:r>
      <w:r w:rsidRPr="00D93E3F">
        <w:rPr>
          <w:rFonts w:ascii="Palatino Linotype" w:eastAsia="Palatino Linotype" w:hAnsi="Palatino Linotype" w:cs="Palatino Linotype"/>
        </w:rPr>
        <w:t>mayor abundamiento, también resulta aplicable el criterio 01/20 emitido por el Instituto Nacional de Transparencia, Acceso a la Información Pública y Protección de Datos Personales, que a la letra estipula lo siguiente:</w:t>
      </w:r>
    </w:p>
    <w:p w:rsidR="00A30F8D" w:rsidRPr="00D93E3F" w:rsidRDefault="00A30F8D" w:rsidP="00A30F8D">
      <w:pPr>
        <w:ind w:right="1"/>
        <w:jc w:val="both"/>
        <w:rPr>
          <w:rFonts w:ascii="Palatino Linotype" w:eastAsia="Palatino Linotype" w:hAnsi="Palatino Linotype" w:cs="Palatino Linotype"/>
        </w:rPr>
      </w:pPr>
    </w:p>
    <w:p w:rsidR="00A30F8D" w:rsidRPr="00D93E3F" w:rsidRDefault="00A30F8D" w:rsidP="00A30F8D">
      <w:pPr>
        <w:pStyle w:val="Prrafodelista"/>
        <w:ind w:left="360" w:right="539"/>
        <w:jc w:val="both"/>
        <w:rPr>
          <w:rFonts w:ascii="Palatino Linotype" w:eastAsia="Palatino Linotype" w:hAnsi="Palatino Linotype" w:cs="Palatino Linotype"/>
          <w:i/>
          <w:sz w:val="24"/>
        </w:rPr>
      </w:pPr>
      <w:r w:rsidRPr="00D93E3F">
        <w:rPr>
          <w:rFonts w:ascii="Palatino Linotype" w:eastAsia="Palatino Linotype" w:hAnsi="Palatino Linotype" w:cs="Palatino Linotype"/>
          <w:b/>
          <w:i/>
          <w:sz w:val="24"/>
        </w:rPr>
        <w:t>Actos consentidos tácitamente. Improcedencia de su análisis.</w:t>
      </w:r>
      <w:r w:rsidRPr="00D93E3F">
        <w:rPr>
          <w:rFonts w:ascii="Palatino Linotype" w:eastAsia="Palatino Linotype" w:hAnsi="Palatino Linotype" w:cs="Palatino Linotype"/>
          <w:i/>
          <w:sz w:val="24"/>
        </w:rPr>
        <w:t xml:space="preserve"> Si en su recurso de revisión, la persona recurrente no expresó inconformidad alguna con ciertas partes de la respuesta otorgada, se entienden tácitamente consentidas, por ende, no deben formar parte del estudio de fondo de la resolución que emite el Instituto.</w:t>
      </w:r>
    </w:p>
    <w:p w:rsidR="00A30F8D" w:rsidRPr="00D93E3F" w:rsidRDefault="00A30F8D" w:rsidP="00A30F8D">
      <w:pPr>
        <w:ind w:right="1"/>
        <w:jc w:val="both"/>
        <w:rPr>
          <w:rFonts w:ascii="Palatino Linotype" w:eastAsia="Palatino Linotype" w:hAnsi="Palatino Linotype" w:cs="Palatino Linotype"/>
        </w:rPr>
      </w:pPr>
    </w:p>
    <w:p w:rsidR="00D74408" w:rsidRPr="00D93E3F" w:rsidRDefault="00A30F8D" w:rsidP="00D74408">
      <w:pPr>
        <w:numPr>
          <w:ilvl w:val="0"/>
          <w:numId w:val="1"/>
        </w:numPr>
        <w:spacing w:line="360" w:lineRule="auto"/>
        <w:ind w:left="0" w:right="1" w:firstLine="0"/>
        <w:jc w:val="both"/>
        <w:rPr>
          <w:rFonts w:ascii="Palatino Linotype" w:eastAsia="Palatino Linotype" w:hAnsi="Palatino Linotype" w:cs="Palatino Linotype"/>
        </w:rPr>
      </w:pPr>
      <w:r w:rsidRPr="00D93E3F">
        <w:rPr>
          <w:rFonts w:ascii="Palatino Linotype" w:eastAsia="Calibri" w:hAnsi="Palatino Linotype" w:cs="Arial"/>
          <w:color w:val="000000" w:themeColor="text1"/>
          <w:lang w:val="es-ES"/>
        </w:rPr>
        <w:t xml:space="preserve">De </w:t>
      </w:r>
      <w:r w:rsidRPr="00D93E3F">
        <w:rPr>
          <w:rFonts w:ascii="Palatino Linotype" w:eastAsia="Palatino Linotype" w:hAnsi="Palatino Linotype" w:cs="Palatino Linotype"/>
          <w:color w:val="000000" w:themeColor="text1"/>
        </w:rPr>
        <w:t xml:space="preserve">lo referido, y a efecto de garantizar el efectivo ejercicio del derecho de acceso a la información pública que asiste al </w:t>
      </w:r>
      <w:r w:rsidRPr="00D93E3F">
        <w:rPr>
          <w:rFonts w:ascii="Palatino Linotype" w:eastAsia="Palatino Linotype" w:hAnsi="Palatino Linotype" w:cs="Palatino Linotype"/>
          <w:b/>
          <w:color w:val="000000" w:themeColor="text1"/>
        </w:rPr>
        <w:t>RECURRENTE</w:t>
      </w:r>
      <w:r w:rsidRPr="00D93E3F">
        <w:rPr>
          <w:rFonts w:ascii="Palatino Linotype" w:eastAsia="Palatino Linotype" w:hAnsi="Palatino Linotype" w:cs="Palatino Linotype"/>
          <w:color w:val="000000" w:themeColor="text1"/>
        </w:rPr>
        <w:t xml:space="preserve">, resulta conveniente precisar que el presente análisis versará únicamente sobre </w:t>
      </w:r>
      <w:r w:rsidRPr="00D93E3F">
        <w:rPr>
          <w:rFonts w:ascii="Palatino Linotype" w:hAnsi="Palatino Linotype"/>
          <w:b/>
          <w:color w:val="000000"/>
        </w:rPr>
        <w:t>los estudios de mercado solicitados.</w:t>
      </w:r>
    </w:p>
    <w:p w:rsidR="00BC3D64" w:rsidRPr="00D93E3F" w:rsidRDefault="00BC3D64" w:rsidP="00BC3D64">
      <w:pPr>
        <w:spacing w:line="360" w:lineRule="auto"/>
        <w:ind w:right="1"/>
        <w:jc w:val="both"/>
        <w:rPr>
          <w:rFonts w:ascii="Palatino Linotype" w:eastAsia="Palatino Linotype" w:hAnsi="Palatino Linotype" w:cs="Palatino Linotype"/>
        </w:rPr>
      </w:pPr>
    </w:p>
    <w:p w:rsidR="00696FA3" w:rsidRPr="00D93E3F" w:rsidRDefault="00A30F8D" w:rsidP="00696FA3">
      <w:pPr>
        <w:numPr>
          <w:ilvl w:val="0"/>
          <w:numId w:val="1"/>
        </w:numPr>
        <w:spacing w:line="360" w:lineRule="auto"/>
        <w:ind w:left="0" w:right="1" w:firstLine="0"/>
        <w:jc w:val="both"/>
        <w:rPr>
          <w:rFonts w:ascii="Palatino Linotype" w:eastAsia="Palatino Linotype" w:hAnsi="Palatino Linotype" w:cs="Palatino Linotype"/>
        </w:rPr>
      </w:pPr>
      <w:r w:rsidRPr="00D93E3F">
        <w:rPr>
          <w:rFonts w:ascii="Palatino Linotype" w:eastAsia="Palatino Linotype" w:hAnsi="Palatino Linotype" w:cs="Palatino Linotype"/>
        </w:rPr>
        <w:t>Así</w:t>
      </w:r>
      <w:r w:rsidR="00041C32" w:rsidRPr="00D93E3F">
        <w:rPr>
          <w:rFonts w:ascii="Palatino Linotype" w:eastAsia="Palatino Linotype" w:hAnsi="Palatino Linotype" w:cs="Palatino Linotype"/>
        </w:rPr>
        <w:t>,</w:t>
      </w:r>
      <w:r w:rsidRPr="00D93E3F">
        <w:rPr>
          <w:rFonts w:ascii="Palatino Linotype" w:eastAsia="Palatino Linotype" w:hAnsi="Palatino Linotype" w:cs="Palatino Linotype"/>
        </w:rPr>
        <w:t xml:space="preserve"> es de referir que,</w:t>
      </w:r>
      <w:r w:rsidR="00041C32" w:rsidRPr="00D93E3F">
        <w:rPr>
          <w:rFonts w:ascii="Palatino Linotype" w:eastAsia="Palatino Linotype" w:hAnsi="Palatino Linotype" w:cs="Palatino Linotype"/>
        </w:rPr>
        <w:t xml:space="preserve"> por medio de un acto jurídico posterior como lo es el informe justificado, el </w:t>
      </w:r>
      <w:r w:rsidR="00041C32" w:rsidRPr="00D93E3F">
        <w:rPr>
          <w:rFonts w:ascii="Palatino Linotype" w:eastAsia="Palatino Linotype" w:hAnsi="Palatino Linotype" w:cs="Palatino Linotype"/>
          <w:b/>
        </w:rPr>
        <w:t>SUJETO OBLIGADO</w:t>
      </w:r>
      <w:r w:rsidR="00041C32" w:rsidRPr="00D93E3F">
        <w:rPr>
          <w:rFonts w:ascii="Palatino Linotype" w:eastAsia="Palatino Linotype" w:hAnsi="Palatino Linotype" w:cs="Palatino Linotype"/>
        </w:rPr>
        <w:t xml:space="preserve"> a través del Director General de Personal, informó que </w:t>
      </w:r>
      <w:r w:rsidR="00041C32" w:rsidRPr="00D93E3F">
        <w:rPr>
          <w:rFonts w:ascii="Palatino Linotype" w:hAnsi="Palatino Linotype"/>
          <w:b/>
        </w:rPr>
        <w:t xml:space="preserve">no se realizó mención sobre la existencia de estudios de mercado, por lo que lo señalado corresponde a una apreciación subjetiva. </w:t>
      </w:r>
      <w:r w:rsidR="00041C32" w:rsidRPr="00D93E3F">
        <w:rPr>
          <w:rFonts w:ascii="Palatino Linotype" w:hAnsi="Palatino Linotype"/>
        </w:rPr>
        <w:t xml:space="preserve">Asimismo, hizo alusión a que </w:t>
      </w:r>
      <w:r w:rsidR="00041C32" w:rsidRPr="00D93E3F">
        <w:rPr>
          <w:rFonts w:ascii="Palatino Linotype" w:hAnsi="Palatino Linotype"/>
          <w:b/>
        </w:rPr>
        <w:t>la compra de enfriadores de bebidas, así como de pilas</w:t>
      </w:r>
      <w:r w:rsidR="00041C32" w:rsidRPr="00D93E3F">
        <w:rPr>
          <w:rFonts w:ascii="Palatino Linotype" w:hAnsi="Palatino Linotype"/>
        </w:rPr>
        <w:t xml:space="preserve">, que se realizó en el marco de las </w:t>
      </w:r>
      <w:r w:rsidR="00041C32" w:rsidRPr="00D93E3F">
        <w:rPr>
          <w:rFonts w:ascii="Palatino Linotype" w:hAnsi="Palatino Linotype"/>
        </w:rPr>
        <w:lastRenderedPageBreak/>
        <w:t xml:space="preserve">festividades del “Día de las Madres” y del “Día del Padre”, </w:t>
      </w:r>
      <w:r w:rsidR="00041C32" w:rsidRPr="00D93E3F">
        <w:rPr>
          <w:rFonts w:ascii="Palatino Linotype" w:hAnsi="Palatino Linotype"/>
          <w:b/>
          <w:u w:val="single"/>
        </w:rPr>
        <w:t>corresponde a contrataciones que no necesitaron la generación de un instrumento legal, en virtud de haberse realizado por medio de adquisición directa</w:t>
      </w:r>
      <w:r w:rsidR="00041C32" w:rsidRPr="00D93E3F">
        <w:rPr>
          <w:rFonts w:ascii="Palatino Linotype" w:hAnsi="Palatino Linotype"/>
          <w:b/>
        </w:rPr>
        <w:t>,</w:t>
      </w:r>
      <w:r w:rsidR="00041C32" w:rsidRPr="00D93E3F">
        <w:rPr>
          <w:rFonts w:ascii="Palatino Linotype" w:hAnsi="Palatino Linotype"/>
        </w:rPr>
        <w:t xml:space="preserve"> bajo la normatividad, es decir, conforme al artículo 42 del Manual de Normas y Políticas para el Gasto Público del Gobierno del Estado de México y el artículo 18 del Reglamento de la Ley de Contratación Pública del Estado de México y Municipios, los cuales señalan que </w:t>
      </w:r>
      <w:r w:rsidR="00041C32" w:rsidRPr="00D93E3F">
        <w:rPr>
          <w:rFonts w:ascii="Palatino Linotype" w:hAnsi="Palatino Linotype"/>
          <w:b/>
        </w:rPr>
        <w:t>el pago se podrá realizar en efectivo o cheque y que los precios de referencia se determinaran mediante el promedio de al menos dos cotizaciones de los fabricantes, distribuidores o comercializadoras y cámaras de ramo</w:t>
      </w:r>
      <w:r w:rsidR="00041C32" w:rsidRPr="00D93E3F">
        <w:rPr>
          <w:rFonts w:ascii="Palatino Linotype" w:hAnsi="Palatino Linotype"/>
        </w:rPr>
        <w:t xml:space="preserve"> correspondientes; asimismo, </w:t>
      </w:r>
      <w:r w:rsidR="00041C32" w:rsidRPr="00D93E3F">
        <w:rPr>
          <w:rFonts w:ascii="Palatino Linotype" w:hAnsi="Palatino Linotype"/>
          <w:b/>
        </w:rPr>
        <w:t>precisó que los recursos del</w:t>
      </w:r>
      <w:r w:rsidR="00041C32" w:rsidRPr="00D93E3F">
        <w:rPr>
          <w:rFonts w:ascii="Palatino Linotype" w:hAnsi="Palatino Linotype"/>
        </w:rPr>
        <w:t xml:space="preserve"> </w:t>
      </w:r>
      <w:r w:rsidR="00041C32" w:rsidRPr="00D93E3F">
        <w:rPr>
          <w:rFonts w:ascii="Palatino Linotype" w:hAnsi="Palatino Linotype"/>
          <w:b/>
        </w:rPr>
        <w:t xml:space="preserve">Fondo Fijo de Caja, solo podrán ser empleados para financiar gastos menores que no representen un incremento en el gasto público, por lo tanto, </w:t>
      </w:r>
      <w:r w:rsidR="00041C32" w:rsidRPr="00D93E3F">
        <w:rPr>
          <w:rFonts w:ascii="Palatino Linotype" w:hAnsi="Palatino Linotype"/>
          <w:b/>
          <w:u w:val="single"/>
        </w:rPr>
        <w:t>la adquisición de los bienes identificados como "Enfriadores de bebidas" y "pilas" se encontró dentro del supuesto previamente referido y por consiguiente</w:t>
      </w:r>
      <w:r w:rsidR="00041C32" w:rsidRPr="00D93E3F">
        <w:rPr>
          <w:rFonts w:ascii="Palatino Linotype" w:hAnsi="Palatino Linotype"/>
          <w:u w:val="single"/>
        </w:rPr>
        <w:t xml:space="preserve">, </w:t>
      </w:r>
      <w:r w:rsidR="00041C32" w:rsidRPr="00D93E3F">
        <w:rPr>
          <w:rFonts w:ascii="Palatino Linotype" w:hAnsi="Palatino Linotype"/>
          <w:b/>
          <w:u w:val="single"/>
        </w:rPr>
        <w:t>su liquidación pudo efectuarse por medio de cheque o bien, pago en efectivo, pues el monto total por dicha adquisición -sin contar el Impuesto al Valor Agregado- no rebasó el equivalente a quince días de Salario Mínimo</w:t>
      </w:r>
      <w:r w:rsidR="00041C32" w:rsidRPr="00D93E3F">
        <w:rPr>
          <w:rFonts w:ascii="Palatino Linotype" w:hAnsi="Palatino Linotype"/>
          <w:u w:val="single"/>
        </w:rPr>
        <w:t xml:space="preserve"> </w:t>
      </w:r>
      <w:r w:rsidR="00041C32" w:rsidRPr="00D93E3F">
        <w:rPr>
          <w:rFonts w:ascii="Palatino Linotype" w:hAnsi="Palatino Linotype"/>
        </w:rPr>
        <w:t xml:space="preserve">-vigente al dieciséis de mayo del ejercicio fiscal en curso, fecha en que fue emitida la factura con folio T-109- multiplicado por treinta días del mes, a saber $112,018.05 (ciento doce mil dieciocho pesos 05/100 M.N), </w:t>
      </w:r>
      <w:r w:rsidR="00041C32" w:rsidRPr="00D93E3F">
        <w:rPr>
          <w:rFonts w:ascii="Palatino Linotype" w:hAnsi="Palatino Linotype"/>
          <w:b/>
          <w:u w:val="single"/>
        </w:rPr>
        <w:t>pues la cantidad total a la que ascendió la compra fue de $48,360.60 (cuarenta y ocho mil trescientos sesenta pesos 60/100 M.N), como lo sustentan los documentos remitidos en respuesta.</w:t>
      </w:r>
      <w:r w:rsidR="00041C32" w:rsidRPr="00D93E3F">
        <w:rPr>
          <w:rFonts w:ascii="Palatino Linotype" w:hAnsi="Palatino Linotype"/>
        </w:rPr>
        <w:t xml:space="preserve"> En consecuencia, </w:t>
      </w:r>
      <w:r w:rsidR="00041C32" w:rsidRPr="00D93E3F">
        <w:rPr>
          <w:rFonts w:ascii="Palatino Linotype" w:hAnsi="Palatino Linotype"/>
          <w:b/>
        </w:rPr>
        <w:t>la adquisición de los bienes referidos en la solicitud de información, se apegó a las disposiciones normativas, pues se solicitaron las cotizaciones necesarias (3 para los enfriadores de bebidas y 2 para las pilas) y a partir de ello, se llevó a cabo la elección correspondiente.</w:t>
      </w:r>
    </w:p>
    <w:p w:rsidR="00696FA3" w:rsidRPr="00D93E3F" w:rsidRDefault="00696FA3" w:rsidP="00A30F8D">
      <w:pPr>
        <w:ind w:right="1"/>
        <w:jc w:val="both"/>
        <w:rPr>
          <w:rFonts w:ascii="Palatino Linotype" w:eastAsia="Palatino Linotype" w:hAnsi="Palatino Linotype" w:cs="Palatino Linotype"/>
        </w:rPr>
      </w:pPr>
    </w:p>
    <w:p w:rsidR="00696FA3" w:rsidRPr="00D93E3F" w:rsidRDefault="001E0A15" w:rsidP="00696FA3">
      <w:pPr>
        <w:numPr>
          <w:ilvl w:val="0"/>
          <w:numId w:val="1"/>
        </w:numPr>
        <w:spacing w:line="360" w:lineRule="auto"/>
        <w:ind w:left="0" w:right="1" w:firstLine="0"/>
        <w:jc w:val="both"/>
        <w:rPr>
          <w:rFonts w:ascii="Palatino Linotype" w:eastAsia="Palatino Linotype" w:hAnsi="Palatino Linotype" w:cs="Palatino Linotype"/>
        </w:rPr>
      </w:pPr>
      <w:r w:rsidRPr="00D93E3F">
        <w:rPr>
          <w:rFonts w:ascii="Palatino Linotype" w:eastAsia="Palatino Linotype" w:hAnsi="Palatino Linotype" w:cs="Palatino Linotype"/>
        </w:rPr>
        <w:t>De lo anterior, se presume que, al haber existido un pronunciamiento del Servidor Público Habilitado competente, en el presente caso el Director General de Personal, Titular de la Unidad Administrativa que realizó la adquisición de los</w:t>
      </w:r>
      <w:r w:rsidRPr="00D93E3F">
        <w:rPr>
          <w:rFonts w:ascii="Palatino Linotype" w:hAnsi="Palatino Linotype"/>
        </w:rPr>
        <w:t xml:space="preserve"> “termos (enfriadores de bebidas) y cargadores (pilas)”</w:t>
      </w:r>
      <w:r w:rsidRPr="00D93E3F">
        <w:rPr>
          <w:rFonts w:ascii="Palatino Linotype" w:eastAsia="Palatino Linotype" w:hAnsi="Palatino Linotype" w:cs="Palatino Linotype"/>
        </w:rPr>
        <w:t xml:space="preserve"> para las festividades del </w:t>
      </w:r>
      <w:r w:rsidRPr="00D93E3F">
        <w:rPr>
          <w:rFonts w:ascii="Palatino Linotype" w:hAnsi="Palatino Linotype"/>
        </w:rPr>
        <w:t>“Día de las Madres” y del “Día del Padre”</w:t>
      </w:r>
      <w:r w:rsidR="0045484A" w:rsidRPr="00D93E3F">
        <w:rPr>
          <w:rFonts w:ascii="Palatino Linotype" w:hAnsi="Palatino Linotype"/>
        </w:rPr>
        <w:t xml:space="preserve"> en 2024</w:t>
      </w:r>
      <w:r w:rsidR="00696FA3" w:rsidRPr="00D93E3F">
        <w:rPr>
          <w:rFonts w:ascii="Palatino Linotype" w:hAnsi="Palatino Linotype"/>
        </w:rPr>
        <w:t>;</w:t>
      </w:r>
      <w:r w:rsidR="0045484A" w:rsidRPr="00D93E3F">
        <w:rPr>
          <w:rFonts w:ascii="Palatino Linotype" w:hAnsi="Palatino Linotype"/>
        </w:rPr>
        <w:t xml:space="preserve"> y</w:t>
      </w:r>
      <w:r w:rsidR="00696FA3" w:rsidRPr="00D93E3F">
        <w:rPr>
          <w:rFonts w:ascii="Palatino Linotype" w:hAnsi="Palatino Linotype"/>
        </w:rPr>
        <w:t>,</w:t>
      </w:r>
      <w:r w:rsidR="0045484A" w:rsidRPr="00D93E3F">
        <w:rPr>
          <w:rFonts w:ascii="Palatino Linotype" w:hAnsi="Palatino Linotype"/>
        </w:rPr>
        <w:t xml:space="preserve"> señalar que </w:t>
      </w:r>
      <w:r w:rsidR="0045484A" w:rsidRPr="00D93E3F">
        <w:rPr>
          <w:rFonts w:ascii="Palatino Linotype" w:hAnsi="Palatino Linotype"/>
          <w:b/>
        </w:rPr>
        <w:t xml:space="preserve">en sus archivos no se encuentran los “estudios de mercado” solicitados, derivado de que </w:t>
      </w:r>
      <w:r w:rsidR="0045484A" w:rsidRPr="00D93E3F">
        <w:rPr>
          <w:rFonts w:ascii="Palatino Linotype" w:eastAsia="Palatino Linotype" w:hAnsi="Palatino Linotype" w:cs="Palatino Linotype"/>
          <w:b/>
        </w:rPr>
        <w:t xml:space="preserve">las </w:t>
      </w:r>
      <w:r w:rsidR="0045484A" w:rsidRPr="00D93E3F">
        <w:rPr>
          <w:rFonts w:ascii="Palatino Linotype" w:hAnsi="Palatino Linotype"/>
          <w:b/>
        </w:rPr>
        <w:t xml:space="preserve">contrataciones no necesitaron la generación de dicho un instrumento legal, en virtud de haberse realizado por medio de adquisición directa, </w:t>
      </w:r>
      <w:r w:rsidR="0045484A" w:rsidRPr="00D93E3F">
        <w:rPr>
          <w:rFonts w:ascii="Palatino Linotype" w:hAnsi="Palatino Linotype"/>
        </w:rPr>
        <w:t>pues su adquisición pudo efectuarse por medio de cheque o bien, pago en efectivo, empleando recursos del Fondo Fijo de Caja, por corresponder a gastos menores que no representen un incremento en el gasto público</w:t>
      </w:r>
      <w:r w:rsidR="00696FA3" w:rsidRPr="00D93E3F">
        <w:rPr>
          <w:rFonts w:ascii="Palatino Linotype" w:hAnsi="Palatino Linotype"/>
        </w:rPr>
        <w:t xml:space="preserve">; </w:t>
      </w:r>
      <w:r w:rsidR="00696FA3" w:rsidRPr="00D93E3F">
        <w:rPr>
          <w:rFonts w:ascii="Palatino Linotype" w:hAnsi="Palatino Linotype"/>
          <w:b/>
          <w:bCs/>
        </w:rPr>
        <w:t>se trata de un hecho negativo;</w:t>
      </w:r>
      <w:r w:rsidR="00696FA3" w:rsidRPr="00D93E3F">
        <w:rPr>
          <w:rFonts w:ascii="Palatino Linotype" w:hAnsi="Palatino Linotype"/>
        </w:rPr>
        <w:t xml:space="preserve"> en este sentido, se obvia que no puede fácticamente obrar en los archivos del </w:t>
      </w:r>
      <w:r w:rsidR="00696FA3" w:rsidRPr="00D93E3F">
        <w:rPr>
          <w:rFonts w:ascii="Palatino Linotype" w:hAnsi="Palatino Linotype"/>
          <w:b/>
          <w:bCs/>
        </w:rPr>
        <w:t>SUJETO OBLIGADO</w:t>
      </w:r>
      <w:r w:rsidR="00696FA3" w:rsidRPr="00D93E3F">
        <w:rPr>
          <w:rFonts w:ascii="Palatino Linotype" w:hAnsi="Palatino Linotype"/>
        </w:rPr>
        <w:t xml:space="preserve">, ya que no puede probarse por ser lógica y materialmente imposible, en razón de que, al no haber generado, poseído y/o administrado dicha información, </w:t>
      </w:r>
      <w:r w:rsidR="00696FA3" w:rsidRPr="00D93E3F">
        <w:rPr>
          <w:rFonts w:ascii="Palatino Linotype" w:hAnsi="Palatino Linotype"/>
          <w:b/>
        </w:rPr>
        <w:t>no cuenta con la misma.</w:t>
      </w:r>
    </w:p>
    <w:p w:rsidR="00696FA3" w:rsidRPr="00D93E3F" w:rsidRDefault="00696FA3" w:rsidP="00A30F8D">
      <w:pPr>
        <w:ind w:right="1"/>
        <w:jc w:val="both"/>
        <w:rPr>
          <w:rFonts w:ascii="Palatino Linotype" w:eastAsia="Palatino Linotype" w:hAnsi="Palatino Linotype" w:cs="Palatino Linotype"/>
        </w:rPr>
      </w:pPr>
    </w:p>
    <w:p w:rsidR="00696FA3" w:rsidRPr="00D93E3F" w:rsidRDefault="00696FA3" w:rsidP="00696FA3">
      <w:pPr>
        <w:numPr>
          <w:ilvl w:val="0"/>
          <w:numId w:val="1"/>
        </w:numPr>
        <w:spacing w:line="360" w:lineRule="auto"/>
        <w:ind w:left="0" w:right="1" w:firstLine="0"/>
        <w:jc w:val="both"/>
        <w:rPr>
          <w:rFonts w:ascii="Palatino Linotype" w:eastAsia="Palatino Linotype" w:hAnsi="Palatino Linotype" w:cs="Palatino Linotype"/>
        </w:rPr>
      </w:pPr>
      <w:r w:rsidRPr="00D93E3F">
        <w:rPr>
          <w:rFonts w:ascii="Palatino Linotype" w:eastAsia="Palatino Linotype" w:hAnsi="Palatino Linotype" w:cs="Palatino Linotype"/>
        </w:rPr>
        <w:t>Asimismo</w:t>
      </w:r>
      <w:r w:rsidRPr="00D93E3F">
        <w:rPr>
          <w:rFonts w:ascii="Palatino Linotype" w:hAnsi="Palatino Linotype" w:cs="Arial"/>
          <w:color w:val="000000" w:themeColor="text1"/>
          <w:lang w:val="es-ES_tradnl"/>
        </w:rPr>
        <w:t xml:space="preserve">, </w:t>
      </w:r>
      <w:r w:rsidRPr="00D93E3F">
        <w:rPr>
          <w:rFonts w:ascii="Palatino Linotype" w:hAnsi="Palatino Linotype"/>
        </w:rPr>
        <w:t>no se trata de un caso por el cual la negación del hecho implique la afirmación de este, simplemente se está ante una notoria y evidente inexistencia fáctica de la información solicitada.</w:t>
      </w:r>
    </w:p>
    <w:p w:rsidR="00A30F8D" w:rsidRPr="00D93E3F" w:rsidRDefault="00A30F8D" w:rsidP="00A30F8D">
      <w:pPr>
        <w:ind w:right="1"/>
        <w:jc w:val="both"/>
        <w:rPr>
          <w:rFonts w:ascii="Palatino Linotype" w:eastAsia="Palatino Linotype" w:hAnsi="Palatino Linotype" w:cs="Palatino Linotype"/>
        </w:rPr>
      </w:pPr>
    </w:p>
    <w:p w:rsidR="00696FA3" w:rsidRPr="00D93E3F" w:rsidRDefault="00696FA3" w:rsidP="00696FA3">
      <w:pPr>
        <w:numPr>
          <w:ilvl w:val="0"/>
          <w:numId w:val="1"/>
        </w:numPr>
        <w:spacing w:line="360" w:lineRule="auto"/>
        <w:ind w:left="0" w:right="1" w:firstLine="0"/>
        <w:jc w:val="both"/>
        <w:rPr>
          <w:rFonts w:ascii="Palatino Linotype" w:eastAsia="Palatino Linotype" w:hAnsi="Palatino Linotype" w:cs="Palatino Linotype"/>
        </w:rPr>
      </w:pPr>
      <w:r w:rsidRPr="00D93E3F">
        <w:rPr>
          <w:rFonts w:ascii="Palatino Linotype" w:hAnsi="Palatino Linotype" w:cs="Arial"/>
          <w:color w:val="000000" w:themeColor="text1"/>
          <w:lang w:val="es-ES_tradnl"/>
        </w:rPr>
        <w:t xml:space="preserve">Por </w:t>
      </w:r>
      <w:r w:rsidRPr="00D93E3F">
        <w:rPr>
          <w:rFonts w:ascii="Palatino Linotype" w:hAnsi="Palatino Linotype"/>
        </w:rPr>
        <w:t xml:space="preserve">ello, de conformidad con lo establecido en el artículo 12 de la Ley de Transparencia y Acceso a la Información Pública del Estado de México y Municipios el </w:t>
      </w:r>
      <w:r w:rsidRPr="00D93E3F">
        <w:rPr>
          <w:rFonts w:ascii="Palatino Linotype" w:hAnsi="Palatino Linotype"/>
          <w:b/>
          <w:bCs/>
        </w:rPr>
        <w:t>SUJETO OBLIGADO</w:t>
      </w:r>
      <w:r w:rsidRPr="00D93E3F">
        <w:rPr>
          <w:rFonts w:ascii="Palatino Linotype" w:hAnsi="Palatino Linotype"/>
        </w:rPr>
        <w:t xml:space="preserve"> sólo proporcionará la información que se les requiera y que obre en sus archivos, lo que a contrario sensu significa que no se está obligado a proporcionar lo que no obre en sus archivos; destacando entonces que el Pleno de este Organismo </w:t>
      </w:r>
      <w:r w:rsidRPr="00D93E3F">
        <w:rPr>
          <w:rFonts w:ascii="Palatino Linotype" w:hAnsi="Palatino Linotype"/>
        </w:rPr>
        <w:lastRenderedPageBreak/>
        <w:t>Garante, ha sostenido que ante la presencia de un hecho negativo, resultaría innecesaria una declaratoria de inexistencia, en términos de los artículos 19, 169 y 170 de la Ley de la materia, y ante un hecho negativo resulta aplicable la siguiente tesis:</w:t>
      </w:r>
    </w:p>
    <w:p w:rsidR="00696FA3" w:rsidRPr="00D93E3F" w:rsidRDefault="00696FA3" w:rsidP="00A30F8D">
      <w:pPr>
        <w:ind w:right="1"/>
        <w:jc w:val="both"/>
        <w:rPr>
          <w:rFonts w:ascii="Palatino Linotype" w:hAnsi="Palatino Linotype" w:cs="Arial"/>
          <w:color w:val="000000" w:themeColor="text1"/>
          <w:lang w:val="es-ES_tradnl"/>
        </w:rPr>
      </w:pPr>
    </w:p>
    <w:p w:rsidR="00696FA3" w:rsidRPr="00D93E3F" w:rsidRDefault="00696FA3" w:rsidP="00696FA3">
      <w:pPr>
        <w:ind w:left="567" w:right="565"/>
        <w:jc w:val="both"/>
        <w:rPr>
          <w:rFonts w:ascii="Palatino Linotype" w:eastAsia="Calibri" w:hAnsi="Palatino Linotype" w:cs="Arial"/>
          <w:color w:val="000000" w:themeColor="text1"/>
        </w:rPr>
      </w:pPr>
      <w:r w:rsidRPr="00D93E3F">
        <w:rPr>
          <w:rFonts w:ascii="Palatino Linotype" w:hAnsi="Palatino Linotype"/>
          <w:b/>
          <w:bCs/>
        </w:rPr>
        <w:t>HECHOS NEGATIVOS, NO SON SUSCEPTIBLES DE DEMOSTRACIÓN.</w:t>
      </w:r>
      <w:r w:rsidRPr="00D93E3F">
        <w:rPr>
          <w:rFonts w:ascii="Palatino Linotype" w:hAnsi="Palatino Linotype"/>
        </w:rPr>
        <w:t xml:space="preserve"> Tratándose de un hecho negativo, el Juez no tiene por qué invocar prueba alguna de la que se desprenda, ya que es bien sabido que esta clase de hechos no son susceptibles de demostración. Amparo en revisión 2022/61. José García Florín (Menor). 9 de octubre de 1961. Cinco votos. Ponente: José Rivera Pérez Campos.</w:t>
      </w:r>
    </w:p>
    <w:p w:rsidR="00696FA3" w:rsidRPr="00D93E3F" w:rsidRDefault="00696FA3" w:rsidP="00A30F8D">
      <w:pPr>
        <w:ind w:right="1"/>
        <w:jc w:val="both"/>
        <w:rPr>
          <w:rFonts w:ascii="Palatino Linotype" w:eastAsia="Palatino Linotype" w:hAnsi="Palatino Linotype" w:cs="Palatino Linotype"/>
        </w:rPr>
      </w:pPr>
    </w:p>
    <w:p w:rsidR="00696FA3" w:rsidRPr="00D93E3F" w:rsidRDefault="00696FA3" w:rsidP="00696FA3">
      <w:pPr>
        <w:numPr>
          <w:ilvl w:val="0"/>
          <w:numId w:val="1"/>
        </w:numPr>
        <w:spacing w:line="360" w:lineRule="auto"/>
        <w:ind w:left="0" w:right="1" w:firstLine="0"/>
        <w:jc w:val="both"/>
        <w:rPr>
          <w:rFonts w:ascii="Palatino Linotype" w:eastAsia="Palatino Linotype" w:hAnsi="Palatino Linotype" w:cs="Palatino Linotype"/>
        </w:rPr>
      </w:pPr>
      <w:r w:rsidRPr="00D93E3F">
        <w:rPr>
          <w:rFonts w:ascii="Palatino Linotype" w:hAnsi="Palatino Linotype" w:cs="Arial"/>
          <w:color w:val="000000" w:themeColor="text1"/>
          <w:lang w:val="es-ES_tradnl"/>
        </w:rPr>
        <w:t xml:space="preserve">De </w:t>
      </w:r>
      <w:r w:rsidRPr="00D93E3F">
        <w:rPr>
          <w:rFonts w:ascii="Palatino Linotype" w:hAnsi="Palatino Linotype"/>
        </w:rPr>
        <w:t>igual forma, es aplicable el criterio 7/2017, emitido en la Segunda Época por el Instituto Nacional de Transparencia, Acceso a la Información y Protección de Datos Personales (INAI), el cual señala lo siguiente:</w:t>
      </w:r>
    </w:p>
    <w:p w:rsidR="00696FA3" w:rsidRPr="00D93E3F" w:rsidRDefault="00696FA3" w:rsidP="00A30F8D">
      <w:pPr>
        <w:ind w:right="1"/>
        <w:jc w:val="both"/>
        <w:rPr>
          <w:rFonts w:ascii="Palatino Linotype" w:eastAsia="Palatino Linotype" w:hAnsi="Palatino Linotype" w:cs="Palatino Linotype"/>
        </w:rPr>
      </w:pPr>
    </w:p>
    <w:p w:rsidR="00696FA3" w:rsidRPr="00D93E3F" w:rsidRDefault="00696FA3" w:rsidP="00696FA3">
      <w:pPr>
        <w:pStyle w:val="Prrafodelista"/>
        <w:ind w:left="567" w:right="616"/>
        <w:jc w:val="both"/>
        <w:rPr>
          <w:rFonts w:ascii="Palatino Linotype" w:eastAsia="Calibri" w:hAnsi="Palatino Linotype" w:cs="Arial"/>
          <w:color w:val="000000" w:themeColor="text1"/>
          <w:sz w:val="24"/>
        </w:rPr>
      </w:pPr>
      <w:r w:rsidRPr="00D93E3F">
        <w:rPr>
          <w:rFonts w:ascii="Palatino Linotype" w:hAnsi="Palatino Linotype"/>
          <w:sz w:val="24"/>
        </w:rPr>
        <w:t xml:space="preserve">Casos en los que no es necesario que el Comité de Transparencia confirme formalmente la inexistencia de la información. La Ley General de Transparencia y Acceso a la Información Pública y la Ley Federal de Transparencia y Acceso a la Información Pública establecen el procedimiento que deben seguir los sujetos obligados cuando la información solicitada no se encuentre en sus archivos; el cual implica, entre otras cosas, que el Comité de Transparencia confirme la inexistencia manifestada por las áreas competentes que hubiesen realizado la búsqueda de la información. No obstante lo anterior, en aquellos casos en que no se advierta obligación alguna de los sujetos obligados para contar con la información, derivado del análisis a la normativa aplicable a la materia de la solicitud; y además no se tengan elementos de convicción que permitan suponer que ésta debe obrar en sus archivos, no será necesario que el Comité de Transparencia emita una resolución que confirme la inexistencia de la información. </w:t>
      </w:r>
    </w:p>
    <w:p w:rsidR="00696FA3" w:rsidRPr="00D93E3F" w:rsidRDefault="00696FA3" w:rsidP="00A30F8D">
      <w:pPr>
        <w:ind w:right="1"/>
        <w:jc w:val="both"/>
        <w:rPr>
          <w:rFonts w:ascii="Palatino Linotype" w:eastAsia="Palatino Linotype" w:hAnsi="Palatino Linotype" w:cs="Palatino Linotype"/>
        </w:rPr>
      </w:pPr>
    </w:p>
    <w:p w:rsidR="00696FA3" w:rsidRPr="00D93E3F" w:rsidRDefault="00696FA3" w:rsidP="00696FA3">
      <w:pPr>
        <w:numPr>
          <w:ilvl w:val="0"/>
          <w:numId w:val="1"/>
        </w:numPr>
        <w:spacing w:line="360" w:lineRule="auto"/>
        <w:ind w:left="0" w:right="1" w:firstLine="0"/>
        <w:jc w:val="both"/>
        <w:rPr>
          <w:rFonts w:ascii="Palatino Linotype" w:eastAsia="Palatino Linotype" w:hAnsi="Palatino Linotype" w:cs="Palatino Linotype"/>
        </w:rPr>
      </w:pPr>
      <w:r w:rsidRPr="00D93E3F">
        <w:rPr>
          <w:rFonts w:ascii="Palatino Linotype" w:hAnsi="Palatino Linotype" w:cs="Arial"/>
          <w:color w:val="000000" w:themeColor="text1"/>
          <w:lang w:val="es-ES_tradnl"/>
        </w:rPr>
        <w:t xml:space="preserve">Expuesto </w:t>
      </w:r>
      <w:r w:rsidRPr="00D93E3F">
        <w:rPr>
          <w:rFonts w:ascii="Palatino Linotype" w:eastAsia="Calibri" w:hAnsi="Palatino Linotype" w:cs="Arial"/>
          <w:color w:val="000000" w:themeColor="text1"/>
        </w:rPr>
        <w:t xml:space="preserve">todo lo anterior, se tiene que </w:t>
      </w:r>
      <w:r w:rsidRPr="00D93E3F">
        <w:rPr>
          <w:rFonts w:ascii="Palatino Linotype" w:eastAsia="Calibri" w:hAnsi="Palatino Linotype" w:cs="Arial"/>
          <w:bCs/>
          <w:color w:val="000000" w:themeColor="text1"/>
        </w:rPr>
        <w:t>el</w:t>
      </w:r>
      <w:r w:rsidRPr="00D93E3F">
        <w:rPr>
          <w:rFonts w:ascii="Palatino Linotype" w:eastAsia="Calibri" w:hAnsi="Palatino Linotype" w:cs="Arial"/>
          <w:b/>
          <w:color w:val="000000" w:themeColor="text1"/>
        </w:rPr>
        <w:t xml:space="preserve"> </w:t>
      </w:r>
      <w:r w:rsidRPr="00D93E3F">
        <w:rPr>
          <w:rFonts w:ascii="Palatino Linotype" w:eastAsia="Calibri" w:hAnsi="Palatino Linotype" w:cs="Arial"/>
          <w:b/>
          <w:bCs/>
          <w:color w:val="000000" w:themeColor="text1"/>
        </w:rPr>
        <w:t>SUJETO OBLIGADO</w:t>
      </w:r>
      <w:r w:rsidRPr="00D93E3F">
        <w:rPr>
          <w:rFonts w:ascii="Palatino Linotype" w:eastAsia="Calibri" w:hAnsi="Palatino Linotype" w:cs="Arial"/>
          <w:bCs/>
          <w:color w:val="000000" w:themeColor="text1"/>
        </w:rPr>
        <w:t xml:space="preserve"> justificó su respuesta inicial y aportó información novedosa.</w:t>
      </w:r>
    </w:p>
    <w:p w:rsidR="00696FA3" w:rsidRPr="00D93E3F" w:rsidRDefault="00696FA3" w:rsidP="00A30F8D">
      <w:pPr>
        <w:ind w:right="1"/>
        <w:jc w:val="both"/>
        <w:rPr>
          <w:rFonts w:ascii="Palatino Linotype" w:eastAsia="Palatino Linotype" w:hAnsi="Palatino Linotype" w:cs="Palatino Linotype"/>
        </w:rPr>
      </w:pPr>
    </w:p>
    <w:p w:rsidR="00696FA3" w:rsidRPr="00D93E3F" w:rsidRDefault="00696FA3" w:rsidP="00696FA3">
      <w:pPr>
        <w:numPr>
          <w:ilvl w:val="0"/>
          <w:numId w:val="1"/>
        </w:numPr>
        <w:spacing w:line="360" w:lineRule="auto"/>
        <w:ind w:left="0" w:right="1" w:firstLine="0"/>
        <w:jc w:val="both"/>
        <w:rPr>
          <w:rFonts w:ascii="Palatino Linotype" w:eastAsia="Palatino Linotype" w:hAnsi="Palatino Linotype" w:cs="Palatino Linotype"/>
        </w:rPr>
      </w:pPr>
      <w:r w:rsidRPr="00D93E3F">
        <w:rPr>
          <w:rFonts w:ascii="Palatino Linotype" w:hAnsi="Palatino Linotype" w:cs="Arial"/>
          <w:color w:val="000000" w:themeColor="text1"/>
          <w:lang w:val="es-ES_tradnl"/>
        </w:rPr>
        <w:t xml:space="preserve">En </w:t>
      </w:r>
      <w:r w:rsidRPr="00D93E3F">
        <w:rPr>
          <w:rFonts w:ascii="Palatino Linotype" w:eastAsia="Calibri" w:hAnsi="Palatino Linotype" w:cs="Arial"/>
          <w:color w:val="000000" w:themeColor="text1"/>
        </w:rPr>
        <w:t xml:space="preserve">este sentido, </w:t>
      </w:r>
      <w:r w:rsidRPr="00D93E3F">
        <w:rPr>
          <w:rFonts w:ascii="Palatino Linotype" w:hAnsi="Palatino Linotype" w:cs="Arial"/>
          <w:bCs/>
        </w:rPr>
        <w:t xml:space="preserve">es dable sostener que, al haber existido un pronunciamiento por parte del </w:t>
      </w:r>
      <w:r w:rsidRPr="00D93E3F">
        <w:rPr>
          <w:rFonts w:ascii="Palatino Linotype" w:hAnsi="Palatino Linotype" w:cs="Arial"/>
          <w:b/>
          <w:bCs/>
        </w:rPr>
        <w:t>SUJETO OBLIGADO</w:t>
      </w:r>
      <w:r w:rsidRPr="00D93E3F">
        <w:rPr>
          <w:rFonts w:ascii="Palatino Linotype" w:hAnsi="Palatino Linotype" w:cs="Arial"/>
          <w:bCs/>
        </w:rPr>
        <w:t>, este Instituto no está facultado para manifestarse sobre la veracidad de este, pues no existe precepto legal alguno en la Ley de la materia que lo faculte para que, vía recurso de revisión, pueda pronunciarse al respecto.</w:t>
      </w:r>
    </w:p>
    <w:p w:rsidR="00696FA3" w:rsidRPr="00D93E3F" w:rsidRDefault="00696FA3" w:rsidP="004414BC">
      <w:pPr>
        <w:ind w:right="1"/>
        <w:jc w:val="both"/>
        <w:rPr>
          <w:rFonts w:ascii="Palatino Linotype" w:eastAsia="Palatino Linotype" w:hAnsi="Palatino Linotype" w:cs="Palatino Linotype"/>
        </w:rPr>
      </w:pPr>
    </w:p>
    <w:p w:rsidR="00696FA3" w:rsidRPr="00D93E3F" w:rsidRDefault="00696FA3" w:rsidP="00696FA3">
      <w:pPr>
        <w:numPr>
          <w:ilvl w:val="0"/>
          <w:numId w:val="1"/>
        </w:numPr>
        <w:spacing w:line="360" w:lineRule="auto"/>
        <w:ind w:left="0" w:right="1" w:firstLine="0"/>
        <w:jc w:val="both"/>
        <w:rPr>
          <w:rFonts w:ascii="Palatino Linotype" w:eastAsia="Palatino Linotype" w:hAnsi="Palatino Linotype" w:cs="Palatino Linotype"/>
          <w:b/>
        </w:rPr>
      </w:pPr>
      <w:r w:rsidRPr="00D93E3F">
        <w:rPr>
          <w:rFonts w:ascii="Palatino Linotype" w:eastAsia="Palatino Linotype" w:hAnsi="Palatino Linotype" w:cs="Palatino Linotype"/>
          <w:b/>
        </w:rPr>
        <w:t xml:space="preserve">Así, </w:t>
      </w:r>
      <w:r w:rsidRPr="00D93E3F">
        <w:rPr>
          <w:rFonts w:ascii="Palatino Linotype" w:eastAsia="Calibri" w:hAnsi="Palatino Linotype"/>
        </w:rPr>
        <w:t xml:space="preserve">este Pleno advierte que el </w:t>
      </w:r>
      <w:r w:rsidRPr="00D93E3F">
        <w:rPr>
          <w:rFonts w:ascii="Palatino Linotype" w:eastAsia="Calibri" w:hAnsi="Palatino Linotype"/>
          <w:b/>
        </w:rPr>
        <w:t>SUJETO OBLIGADO</w:t>
      </w:r>
      <w:r w:rsidRPr="00D93E3F">
        <w:rPr>
          <w:rFonts w:ascii="Palatino Linotype" w:eastAsia="Calibri" w:hAnsi="Palatino Linotype"/>
        </w:rPr>
        <w:t xml:space="preserve"> </w:t>
      </w:r>
      <w:r w:rsidRPr="00D93E3F">
        <w:rPr>
          <w:rFonts w:ascii="Palatino Linotype" w:eastAsia="Calibri" w:hAnsi="Palatino Linotype"/>
          <w:b/>
        </w:rPr>
        <w:t xml:space="preserve">modificó </w:t>
      </w:r>
      <w:r w:rsidRPr="00D93E3F">
        <w:rPr>
          <w:rFonts w:ascii="Palatino Linotype" w:eastAsia="Calibri" w:hAnsi="Palatino Linotype"/>
        </w:rPr>
        <w:t>el acto que le dio origen al recurso de revisión, lo que trae como consecuencia que el mismo quede sin materia, actualizándose de este modo, la hipótesis jurídica contenida en la fracción III del artículo 192 de la Ley de Transparencia Local.</w:t>
      </w:r>
    </w:p>
    <w:p w:rsidR="00696FA3" w:rsidRPr="00D93E3F" w:rsidRDefault="00696FA3" w:rsidP="00A30F8D">
      <w:pPr>
        <w:ind w:right="1"/>
        <w:jc w:val="both"/>
        <w:rPr>
          <w:rFonts w:ascii="Palatino Linotype" w:eastAsia="Palatino Linotype" w:hAnsi="Palatino Linotype" w:cs="Palatino Linotype"/>
          <w:b/>
        </w:rPr>
      </w:pPr>
    </w:p>
    <w:p w:rsidR="00696FA3" w:rsidRPr="00D93E3F" w:rsidRDefault="00696FA3" w:rsidP="00696FA3">
      <w:pPr>
        <w:numPr>
          <w:ilvl w:val="0"/>
          <w:numId w:val="1"/>
        </w:numPr>
        <w:spacing w:line="360" w:lineRule="auto"/>
        <w:ind w:left="0" w:right="1" w:firstLine="0"/>
        <w:jc w:val="both"/>
        <w:rPr>
          <w:rFonts w:ascii="Palatino Linotype" w:eastAsia="Palatino Linotype" w:hAnsi="Palatino Linotype" w:cs="Palatino Linotype"/>
          <w:b/>
        </w:rPr>
      </w:pPr>
      <w:r w:rsidRPr="00D93E3F">
        <w:rPr>
          <w:rFonts w:ascii="Palatino Linotype" w:hAnsi="Palatino Linotype" w:cs="Arial"/>
          <w:color w:val="000000" w:themeColor="text1"/>
          <w:lang w:val="es-ES_tradnl"/>
        </w:rPr>
        <w:t xml:space="preserve">De </w:t>
      </w:r>
      <w:r w:rsidRPr="00D93E3F">
        <w:rPr>
          <w:rFonts w:ascii="Palatino Linotype" w:eastAsia="Calibri" w:hAnsi="Palatino Linotype" w:cs="Arial"/>
          <w:color w:val="000000" w:themeColor="text1"/>
        </w:rPr>
        <w:t xml:space="preserve">bien, </w:t>
      </w:r>
      <w:r w:rsidRPr="00D93E3F">
        <w:rPr>
          <w:rFonts w:ascii="Palatino Linotype" w:eastAsia="Calibri" w:hAnsi="Palatino Linotype"/>
        </w:rPr>
        <w:t xml:space="preserve">el sistema de medios de impugnación en esta materia se centra en el análisis de los agravios o motivos de inconformidad, los que deben tener relación directa con el acto de autoridad que lo motiva. En consecuencia, los motivos de la inconformidad deben versar sobre la respuesta de información proporcionada por los </w:t>
      </w:r>
      <w:r w:rsidRPr="00D93E3F">
        <w:rPr>
          <w:rFonts w:ascii="Palatino Linotype" w:eastAsia="Calibri" w:hAnsi="Palatino Linotype"/>
          <w:b/>
        </w:rPr>
        <w:t>SUJETOS OBLIGADOS</w:t>
      </w:r>
      <w:r w:rsidRPr="00D93E3F">
        <w:rPr>
          <w:rFonts w:ascii="Palatino Linotype" w:eastAsia="Calibri" w:hAnsi="Palatino Linotype"/>
        </w:rPr>
        <w:t xml:space="preserve"> o la negativa de entrega de la misma, derivada de la solicitud de información pública.</w:t>
      </w:r>
    </w:p>
    <w:p w:rsidR="00A30F8D" w:rsidRPr="00D93E3F" w:rsidRDefault="00A30F8D" w:rsidP="00A30F8D">
      <w:pPr>
        <w:ind w:right="1"/>
        <w:jc w:val="both"/>
        <w:rPr>
          <w:rFonts w:ascii="Palatino Linotype" w:eastAsia="Palatino Linotype" w:hAnsi="Palatino Linotype" w:cs="Palatino Linotype"/>
          <w:b/>
        </w:rPr>
      </w:pPr>
    </w:p>
    <w:p w:rsidR="00696FA3" w:rsidRPr="00D93E3F" w:rsidRDefault="00696FA3" w:rsidP="00696FA3">
      <w:pPr>
        <w:numPr>
          <w:ilvl w:val="0"/>
          <w:numId w:val="1"/>
        </w:numPr>
        <w:spacing w:line="360" w:lineRule="auto"/>
        <w:ind w:left="0" w:right="1" w:firstLine="0"/>
        <w:jc w:val="both"/>
        <w:rPr>
          <w:rFonts w:ascii="Palatino Linotype" w:eastAsia="Palatino Linotype" w:hAnsi="Palatino Linotype" w:cs="Palatino Linotype"/>
          <w:b/>
        </w:rPr>
      </w:pPr>
      <w:r w:rsidRPr="00D93E3F">
        <w:rPr>
          <w:rFonts w:ascii="Palatino Linotype" w:hAnsi="Palatino Linotype" w:cs="Arial"/>
          <w:color w:val="000000" w:themeColor="text1"/>
          <w:lang w:val="es-ES_tradnl"/>
        </w:rPr>
        <w:t xml:space="preserve">De </w:t>
      </w:r>
      <w:r w:rsidRPr="00D93E3F">
        <w:rPr>
          <w:rFonts w:ascii="Palatino Linotype" w:eastAsia="Calibri" w:hAnsi="Palatino Linotype"/>
        </w:rPr>
        <w:t xml:space="preserve">este modo, cuando el </w:t>
      </w:r>
      <w:r w:rsidRPr="00D93E3F">
        <w:rPr>
          <w:rFonts w:ascii="Palatino Linotype" w:eastAsia="Calibri" w:hAnsi="Palatino Linotype"/>
          <w:b/>
        </w:rPr>
        <w:t xml:space="preserve">SUJETO OBLIGADO, </w:t>
      </w:r>
      <w:r w:rsidRPr="00D93E3F">
        <w:rPr>
          <w:rFonts w:ascii="Palatino Linotype" w:eastAsia="Calibri" w:hAnsi="Palatino Linotype"/>
        </w:rPr>
        <w:t xml:space="preserve">antes de que se dicte resolución definitiva, entrega la información solicitada o completa la información que en un primer momento fue incompleta o no correspondió con lo solicitado; el recurso de revisión que al efecto se haya interpuesto queda sin materia lo que imposibilita el estudio de fondo de la </w:t>
      </w:r>
      <w:r w:rsidRPr="00D93E3F">
        <w:rPr>
          <w:rFonts w:ascii="Palatino Linotype" w:eastAsia="Calibri" w:hAnsi="Palatino Linotype"/>
          <w:i/>
        </w:rPr>
        <w:t>litis</w:t>
      </w:r>
      <w:r w:rsidRPr="00D93E3F">
        <w:rPr>
          <w:rFonts w:ascii="Palatino Linotype" w:eastAsia="Calibri" w:hAnsi="Palatino Linotype"/>
        </w:rPr>
        <w:t xml:space="preserve"> planteada, debido a que la afectación en su esfera de derechos fue restituida por la propia autoridad que emitió el acto motivo de impugnación.</w:t>
      </w:r>
    </w:p>
    <w:p w:rsidR="00696FA3" w:rsidRPr="00D93E3F" w:rsidRDefault="00696FA3" w:rsidP="00A30F8D">
      <w:pPr>
        <w:ind w:right="1"/>
        <w:jc w:val="both"/>
        <w:rPr>
          <w:rFonts w:ascii="Palatino Linotype" w:eastAsia="Palatino Linotype" w:hAnsi="Palatino Linotype" w:cs="Palatino Linotype"/>
          <w:b/>
        </w:rPr>
      </w:pPr>
    </w:p>
    <w:p w:rsidR="00696FA3" w:rsidRPr="00D93E3F" w:rsidRDefault="00696FA3" w:rsidP="00696FA3">
      <w:pPr>
        <w:numPr>
          <w:ilvl w:val="0"/>
          <w:numId w:val="1"/>
        </w:numPr>
        <w:spacing w:line="360" w:lineRule="auto"/>
        <w:ind w:left="0" w:right="1" w:firstLine="0"/>
        <w:jc w:val="both"/>
        <w:rPr>
          <w:rFonts w:ascii="Palatino Linotype" w:eastAsia="Palatino Linotype" w:hAnsi="Palatino Linotype" w:cs="Palatino Linotype"/>
          <w:b/>
        </w:rPr>
      </w:pPr>
      <w:r w:rsidRPr="00D93E3F">
        <w:rPr>
          <w:rFonts w:ascii="Palatino Linotype" w:hAnsi="Palatino Linotype" w:cs="Arial"/>
          <w:color w:val="000000" w:themeColor="text1"/>
          <w:lang w:val="es-ES_tradnl"/>
        </w:rPr>
        <w:lastRenderedPageBreak/>
        <w:t xml:space="preserve">Sirve </w:t>
      </w:r>
      <w:r w:rsidRPr="00D93E3F">
        <w:rPr>
          <w:rFonts w:ascii="Palatino Linotype" w:eastAsia="Calibri" w:hAnsi="Palatino Linotype"/>
        </w:rPr>
        <w:t>de sustento a lo anterior la siguiente jurisprudencia por contradicción, cuyo rubro, texto y datos de identificación son los siguientes:</w:t>
      </w:r>
    </w:p>
    <w:p w:rsidR="00696FA3" w:rsidRPr="00D93E3F" w:rsidRDefault="00696FA3" w:rsidP="004414BC">
      <w:pPr>
        <w:ind w:right="1"/>
        <w:jc w:val="both"/>
        <w:rPr>
          <w:rFonts w:ascii="Palatino Linotype" w:hAnsi="Palatino Linotype" w:cs="Arial"/>
          <w:color w:val="000000" w:themeColor="text1"/>
          <w:lang w:val="es-ES_tradnl"/>
        </w:rPr>
      </w:pPr>
    </w:p>
    <w:p w:rsidR="00696FA3" w:rsidRPr="00D93E3F" w:rsidRDefault="00696FA3" w:rsidP="00696FA3">
      <w:pPr>
        <w:ind w:left="567" w:right="567"/>
        <w:jc w:val="both"/>
        <w:rPr>
          <w:rFonts w:ascii="Palatino Linotype" w:eastAsia="Palatino Linotype" w:hAnsi="Palatino Linotype" w:cs="Palatino Linotype"/>
          <w:b/>
        </w:rPr>
      </w:pPr>
      <w:r w:rsidRPr="00D93E3F">
        <w:rPr>
          <w:rFonts w:ascii="Palatino Linotype" w:eastAsia="Calibri" w:hAnsi="Palatino Linotype"/>
          <w:b/>
          <w:i/>
        </w:rPr>
        <w:t>CESACIÓN DE EFECTOS DEL ACTO RECLAMADO POR VIOLACIÓN AL ARTÍCULO 8o. DE LA CONSTITUCIÓN POLÍTICA DE LOS ESTADOS UNIDOS MEXICANOS. OPERA CUANDO LA AUTORIDAD RESPONSABLE AL RENDIR SU INFORME JUSTIFICADO EXHIBE LA CONTESTACIÓN A LA PETICIÓN FORMULADA, QUEDANDO EXPEDITOS LOS DERECHOS DEL QUEJOSO PARA AMPLIAR SU DEMANDA INICIAL, PROMOVER OTRO JUICIO DE AMPARO O EL MEDIO ORDINARIO DE DEFENSA QUE PROCEDA.</w:t>
      </w:r>
      <w:r w:rsidRPr="00D93E3F">
        <w:rPr>
          <w:rFonts w:ascii="Palatino Linotype" w:eastAsia="Calibri" w:hAnsi="Palatino Linotype"/>
          <w:i/>
        </w:rPr>
        <w:t xml:space="preserve"> De la interpretación de los artículos 73, fracción XVI y 80 de la Ley de Amparo, se concluye que la causa de improcedencia del juicio de garantías consistente en la cesación de efectos del acto reclamado, se actualiza cuando ante la insubsistencia del mismo, todos sus efectos desaparecen o se destruyen de forma inmediata, total e incondicionalmente, de manera que las cosas vuelvan al estado que tenían antes de la violación constitucional. Ahora bien, el hecho de que la autoridad responsable al rendir su informe justificado exhiba la respuesta expresa a la petición de la parte quejosa, producida durante la tramitación del juicio de amparo, significa, por una parte, que los efectos de la falta de contestación desaparecieron, de manera que las cosas volvieron al estado que tenían antes de la violación al artículo 8o. de la Constitución Política de los Estados Unidos Mexicanos, y por otra, que respecto del contenido de dicha contestación, el quejoso puede ampliar su demanda inicial, promover otro juicio de amparo o el medio ordinario de defensa que proceda, toda vez que se trata de un nuevo acto.</w:t>
      </w:r>
    </w:p>
    <w:p w:rsidR="00696FA3" w:rsidRPr="00D93E3F" w:rsidRDefault="00696FA3" w:rsidP="004414BC">
      <w:pPr>
        <w:rPr>
          <w:rFonts w:ascii="Palatino Linotype" w:hAnsi="Palatino Linotype" w:cs="Arial"/>
          <w:color w:val="000000" w:themeColor="text1"/>
          <w:lang w:val="es-ES_tradnl"/>
        </w:rPr>
      </w:pPr>
    </w:p>
    <w:p w:rsidR="00696FA3" w:rsidRPr="00D93E3F" w:rsidRDefault="00696FA3" w:rsidP="00696FA3">
      <w:pPr>
        <w:numPr>
          <w:ilvl w:val="0"/>
          <w:numId w:val="1"/>
        </w:numPr>
        <w:spacing w:line="360" w:lineRule="auto"/>
        <w:ind w:left="0" w:right="1" w:firstLine="0"/>
        <w:jc w:val="both"/>
        <w:rPr>
          <w:rFonts w:ascii="Palatino Linotype" w:eastAsia="Palatino Linotype" w:hAnsi="Palatino Linotype" w:cs="Palatino Linotype"/>
          <w:b/>
        </w:rPr>
      </w:pPr>
      <w:r w:rsidRPr="00D93E3F">
        <w:rPr>
          <w:rFonts w:ascii="Palatino Linotype" w:hAnsi="Palatino Linotype" w:cs="Arial"/>
          <w:color w:val="000000" w:themeColor="text1"/>
          <w:lang w:val="es-ES_tradnl"/>
        </w:rPr>
        <w:t xml:space="preserve">La </w:t>
      </w:r>
      <w:r w:rsidRPr="00D93E3F">
        <w:rPr>
          <w:rFonts w:ascii="Palatino Linotype" w:eastAsia="Calibri" w:hAnsi="Palatino Linotype"/>
        </w:rPr>
        <w:t>anterior jurisprudencia resulta aplicable al presente asunto, en dos aspectos:</w:t>
      </w:r>
    </w:p>
    <w:p w:rsidR="00696FA3" w:rsidRPr="00D93E3F" w:rsidRDefault="00696FA3" w:rsidP="00A30F8D">
      <w:pPr>
        <w:ind w:right="1"/>
        <w:jc w:val="both"/>
        <w:rPr>
          <w:rFonts w:ascii="Palatino Linotype" w:eastAsia="Palatino Linotype" w:hAnsi="Palatino Linotype" w:cs="Palatino Linotype"/>
          <w:b/>
        </w:rPr>
      </w:pPr>
    </w:p>
    <w:p w:rsidR="00696FA3" w:rsidRPr="00D93E3F" w:rsidRDefault="00696FA3" w:rsidP="00696FA3">
      <w:pPr>
        <w:numPr>
          <w:ilvl w:val="0"/>
          <w:numId w:val="33"/>
        </w:numPr>
        <w:ind w:left="567" w:right="616" w:firstLine="0"/>
        <w:contextualSpacing/>
        <w:jc w:val="both"/>
        <w:rPr>
          <w:rFonts w:ascii="Palatino Linotype" w:eastAsia="Calibri" w:hAnsi="Palatino Linotype"/>
        </w:rPr>
      </w:pPr>
      <w:r w:rsidRPr="00D93E3F">
        <w:rPr>
          <w:rFonts w:ascii="Palatino Linotype" w:eastAsia="Calibri" w:hAnsi="Palatino Linotype"/>
          <w:b/>
        </w:rPr>
        <w:t>La cesación de los efectos perniciosos del acto de autoridad:</w:t>
      </w:r>
      <w:r w:rsidRPr="00D93E3F">
        <w:rPr>
          <w:rFonts w:ascii="Palatino Linotype" w:eastAsia="Calibri" w:hAnsi="Palatino Linotype"/>
        </w:rPr>
        <w:t xml:space="preserve"> Al respecto, la Ley de Transparencia contempla la figura jurídica del sobreseimiento cuando el </w:t>
      </w:r>
      <w:r w:rsidRPr="00D93E3F">
        <w:rPr>
          <w:rFonts w:ascii="Palatino Linotype" w:eastAsia="Calibri" w:hAnsi="Palatino Linotype"/>
          <w:b/>
        </w:rPr>
        <w:t>SUJETO OBLIGADO</w:t>
      </w:r>
      <w:r w:rsidRPr="00D93E3F">
        <w:rPr>
          <w:rFonts w:ascii="Palatino Linotype" w:eastAsia="Calibri" w:hAnsi="Palatino Linotype"/>
        </w:rPr>
        <w:t xml:space="preserve"> de </w:t>
      </w:r>
      <w:r w:rsidRPr="00D93E3F">
        <w:rPr>
          <w:rFonts w:ascii="Palatino Linotype" w:eastAsia="Calibri" w:hAnsi="Palatino Linotype"/>
          <w:i/>
        </w:rPr>
        <w:t>motu proprio</w:t>
      </w:r>
      <w:r w:rsidRPr="00D93E3F">
        <w:rPr>
          <w:rFonts w:ascii="Palatino Linotype" w:eastAsia="Calibri" w:hAnsi="Palatino Linotype"/>
        </w:rPr>
        <w:t xml:space="preserve"> modifica o revoca de tal manera el acto motivo de la impugnación que lo deja sin materia; es decir, cesan los efectos de éste y el derecho de acceso a la información pública se encuentra satisfecho.</w:t>
      </w:r>
    </w:p>
    <w:p w:rsidR="00696FA3" w:rsidRPr="00D93E3F" w:rsidRDefault="00696FA3" w:rsidP="00696FA3">
      <w:pPr>
        <w:ind w:left="567" w:right="616"/>
        <w:contextualSpacing/>
        <w:rPr>
          <w:rFonts w:ascii="Palatino Linotype" w:eastAsia="Calibri" w:hAnsi="Palatino Linotype"/>
        </w:rPr>
      </w:pPr>
    </w:p>
    <w:p w:rsidR="00696FA3" w:rsidRPr="00D93E3F" w:rsidRDefault="00696FA3" w:rsidP="00696FA3">
      <w:pPr>
        <w:numPr>
          <w:ilvl w:val="0"/>
          <w:numId w:val="33"/>
        </w:numPr>
        <w:ind w:left="567" w:right="616" w:firstLine="0"/>
        <w:contextualSpacing/>
        <w:jc w:val="both"/>
        <w:rPr>
          <w:rFonts w:ascii="Palatino Linotype" w:eastAsia="Calibri" w:hAnsi="Palatino Linotype"/>
        </w:rPr>
      </w:pPr>
      <w:r w:rsidRPr="00D93E3F">
        <w:rPr>
          <w:rFonts w:ascii="Palatino Linotype" w:eastAsia="Calibri" w:hAnsi="Palatino Linotype"/>
          <w:b/>
        </w:rPr>
        <w:lastRenderedPageBreak/>
        <w:t>El momento procesal para modificar el acto impugnado:</w:t>
      </w:r>
      <w:r w:rsidRPr="00D93E3F">
        <w:rPr>
          <w:rFonts w:ascii="Palatino Linotype" w:eastAsia="Calibri" w:hAnsi="Palatino Linotype"/>
        </w:rPr>
        <w:t xml:space="preserve"> Para que se actualice el sobreseimiento de un recurso de revisión, el </w:t>
      </w:r>
      <w:r w:rsidRPr="00D93E3F">
        <w:rPr>
          <w:rFonts w:ascii="Palatino Linotype" w:eastAsia="Calibri" w:hAnsi="Palatino Linotype"/>
          <w:b/>
        </w:rPr>
        <w:t>SUJETO OBLIGADO</w:t>
      </w:r>
      <w:r w:rsidRPr="00D93E3F">
        <w:rPr>
          <w:rFonts w:ascii="Palatino Linotype" w:eastAsia="Calibri" w:hAnsi="Palatino Linotype"/>
        </w:rPr>
        <w:t xml:space="preserve"> puede entregar o completar la información al momento de rendir su informe de justificación o </w:t>
      </w:r>
      <w:r w:rsidRPr="00D93E3F">
        <w:rPr>
          <w:rFonts w:ascii="Palatino Linotype" w:eastAsia="Calibri" w:hAnsi="Palatino Linotype"/>
          <w:b/>
          <w:u w:val="single"/>
        </w:rPr>
        <w:t>posteriormente</w:t>
      </w:r>
      <w:r w:rsidRPr="00D93E3F">
        <w:rPr>
          <w:rFonts w:ascii="Palatino Linotype" w:eastAsia="Calibri" w:hAnsi="Palatino Linotype"/>
        </w:rPr>
        <w:t xml:space="preserve"> a éste, siempre y cuando el Pleno del Instituto no haya dictado resolución definitiva.</w:t>
      </w:r>
    </w:p>
    <w:p w:rsidR="00696FA3" w:rsidRPr="00D93E3F" w:rsidRDefault="00696FA3" w:rsidP="00A30F8D">
      <w:pPr>
        <w:ind w:right="1"/>
        <w:jc w:val="both"/>
        <w:rPr>
          <w:rFonts w:ascii="Palatino Linotype" w:eastAsia="Palatino Linotype" w:hAnsi="Palatino Linotype" w:cs="Palatino Linotype"/>
          <w:b/>
        </w:rPr>
      </w:pPr>
    </w:p>
    <w:p w:rsidR="00696FA3" w:rsidRPr="00D93E3F" w:rsidRDefault="00696FA3" w:rsidP="00696FA3">
      <w:pPr>
        <w:numPr>
          <w:ilvl w:val="0"/>
          <w:numId w:val="1"/>
        </w:numPr>
        <w:spacing w:line="360" w:lineRule="auto"/>
        <w:ind w:left="0" w:right="1" w:firstLine="0"/>
        <w:jc w:val="both"/>
        <w:rPr>
          <w:rFonts w:ascii="Palatino Linotype" w:eastAsia="Palatino Linotype" w:hAnsi="Palatino Linotype" w:cs="Palatino Linotype"/>
          <w:b/>
        </w:rPr>
      </w:pPr>
      <w:r w:rsidRPr="00D93E3F">
        <w:rPr>
          <w:rFonts w:ascii="Palatino Linotype" w:hAnsi="Palatino Linotype" w:cs="Arial"/>
          <w:color w:val="000000" w:themeColor="text1"/>
          <w:lang w:val="es-ES_tradnl"/>
        </w:rPr>
        <w:t xml:space="preserve">Eduardo </w:t>
      </w:r>
      <w:r w:rsidRPr="00D93E3F">
        <w:rPr>
          <w:rFonts w:ascii="Palatino Linotype" w:eastAsia="Calibri" w:hAnsi="Palatino Linotype" w:cs="Arial"/>
          <w:color w:val="000000" w:themeColor="text1"/>
        </w:rPr>
        <w:t xml:space="preserve">Pallares, </w:t>
      </w:r>
      <w:r w:rsidRPr="00D93E3F">
        <w:rPr>
          <w:rFonts w:ascii="Palatino Linotype" w:eastAsia="Calibri" w:hAnsi="Palatino Linotype"/>
        </w:rPr>
        <w:t xml:space="preserve">en su artículo </w:t>
      </w:r>
      <w:r w:rsidRPr="00D93E3F">
        <w:rPr>
          <w:rFonts w:ascii="Palatino Linotype" w:eastAsia="Calibri" w:hAnsi="Palatino Linotype"/>
          <w:i/>
        </w:rPr>
        <w:t>“La caducidad y el sobreseimiento en el amparo”</w:t>
      </w:r>
      <w:r w:rsidRPr="00D93E3F">
        <w:rPr>
          <w:rFonts w:ascii="Palatino Linotype" w:eastAsia="Calibri" w:hAnsi="Palatino Linotype"/>
        </w:rPr>
        <w:t xml:space="preserve">, cita la definición de Aguilera Paz, aduciendo que se </w:t>
      </w:r>
      <w:r w:rsidRPr="00D93E3F">
        <w:rPr>
          <w:rFonts w:ascii="Palatino Linotype" w:eastAsia="Calibri" w:hAnsi="Palatino Linotype"/>
          <w:i/>
        </w:rPr>
        <w:t>“...entiende por sobreseimiento en el tecnicismo forense, el hecho de cesar en el procedimiento o curso de la causa, por no existir méritos bastantes para entrar en un juicio o para entablar la contienda judicial que debe ser objeto del mismo...”</w:t>
      </w:r>
      <w:r w:rsidRPr="00D93E3F">
        <w:rPr>
          <w:rFonts w:ascii="Palatino Linotype" w:eastAsia="Calibri" w:hAnsi="Palatino Linotype"/>
        </w:rPr>
        <w:t>. Asimismo, señala que existe el sobreseimiento provisional y el definitivo</w:t>
      </w:r>
      <w:r w:rsidRPr="00D93E3F">
        <w:rPr>
          <w:rFonts w:ascii="Palatino Linotype" w:eastAsia="Calibri" w:hAnsi="Palatino Linotype"/>
          <w:i/>
        </w:rPr>
        <w:t>: “...el definitivo es una verdadera sentencia que pone fin al juicio, y que una vez dictada, produce cosa juzgada, mientras que el provisorio tiene por efectos suspender la prosecución de la causa...”</w:t>
      </w:r>
    </w:p>
    <w:p w:rsidR="00696FA3" w:rsidRPr="00D93E3F" w:rsidRDefault="00696FA3" w:rsidP="00A30F8D">
      <w:pPr>
        <w:ind w:right="1"/>
        <w:jc w:val="both"/>
        <w:rPr>
          <w:rFonts w:ascii="Palatino Linotype" w:eastAsia="Palatino Linotype" w:hAnsi="Palatino Linotype" w:cs="Palatino Linotype"/>
          <w:b/>
        </w:rPr>
      </w:pPr>
    </w:p>
    <w:p w:rsidR="004414BC" w:rsidRPr="00D93E3F" w:rsidRDefault="00696FA3" w:rsidP="00696FA3">
      <w:pPr>
        <w:numPr>
          <w:ilvl w:val="0"/>
          <w:numId w:val="1"/>
        </w:numPr>
        <w:spacing w:line="360" w:lineRule="auto"/>
        <w:ind w:left="0" w:right="1" w:firstLine="0"/>
        <w:jc w:val="both"/>
        <w:rPr>
          <w:rFonts w:ascii="Palatino Linotype" w:eastAsia="Palatino Linotype" w:hAnsi="Palatino Linotype" w:cs="Palatino Linotype"/>
          <w:b/>
        </w:rPr>
      </w:pPr>
      <w:r w:rsidRPr="00D93E3F">
        <w:rPr>
          <w:rFonts w:ascii="Palatino Linotype" w:hAnsi="Palatino Linotype" w:cs="Arial"/>
          <w:color w:val="000000" w:themeColor="text1"/>
          <w:lang w:val="es-ES_tradnl"/>
        </w:rPr>
        <w:t xml:space="preserve">Así, </w:t>
      </w:r>
      <w:r w:rsidRPr="00D93E3F">
        <w:rPr>
          <w:rFonts w:ascii="Palatino Linotype" w:eastAsia="Calibri" w:hAnsi="Palatino Linotype"/>
        </w:rPr>
        <w:t xml:space="preserve">para la doctrina el sobreseimiento provoca que un procedimiento se suspenda o se resuelva en definitiva </w:t>
      </w:r>
      <w:r w:rsidRPr="00D93E3F">
        <w:rPr>
          <w:rFonts w:ascii="Palatino Linotype" w:eastAsia="Calibri" w:hAnsi="Palatino Linotype"/>
          <w:b/>
        </w:rPr>
        <w:t>sin que se entre al estudio de los agravios o motivos de inconformidad.</w:t>
      </w:r>
    </w:p>
    <w:p w:rsidR="004414BC" w:rsidRPr="00D93E3F" w:rsidRDefault="004414BC" w:rsidP="004414BC">
      <w:pPr>
        <w:pStyle w:val="Prrafodelista"/>
        <w:rPr>
          <w:rFonts w:ascii="Palatino Linotype" w:eastAsia="Calibri" w:hAnsi="Palatino Linotype"/>
          <w:sz w:val="24"/>
        </w:rPr>
      </w:pPr>
    </w:p>
    <w:p w:rsidR="00696FA3" w:rsidRPr="00D93E3F" w:rsidRDefault="00696FA3" w:rsidP="00696FA3">
      <w:pPr>
        <w:numPr>
          <w:ilvl w:val="0"/>
          <w:numId w:val="1"/>
        </w:numPr>
        <w:spacing w:line="360" w:lineRule="auto"/>
        <w:ind w:left="0" w:right="1" w:firstLine="0"/>
        <w:jc w:val="both"/>
        <w:rPr>
          <w:rFonts w:ascii="Palatino Linotype" w:eastAsia="Palatino Linotype" w:hAnsi="Palatino Linotype" w:cs="Palatino Linotype"/>
          <w:b/>
        </w:rPr>
      </w:pPr>
      <w:r w:rsidRPr="00D93E3F">
        <w:rPr>
          <w:rFonts w:ascii="Palatino Linotype" w:eastAsia="Calibri" w:hAnsi="Palatino Linotype"/>
        </w:rPr>
        <w:t>Este mismo criterio es compartido por el más alto tribunal del país en múltiples jurisprudencias, por lo que a continuación se agrega una de ellas que sirve como orientador en esta resolución:</w:t>
      </w:r>
    </w:p>
    <w:p w:rsidR="00696FA3" w:rsidRPr="00D93E3F" w:rsidRDefault="00696FA3" w:rsidP="004414BC">
      <w:pPr>
        <w:spacing w:after="160"/>
        <w:ind w:right="-93"/>
        <w:contextualSpacing/>
        <w:jc w:val="both"/>
        <w:rPr>
          <w:rFonts w:ascii="Palatino Linotype" w:hAnsi="Palatino Linotype" w:cs="Arial"/>
          <w:color w:val="000000" w:themeColor="text1"/>
          <w:lang w:val="es-ES_tradnl"/>
        </w:rPr>
      </w:pPr>
    </w:p>
    <w:p w:rsidR="00696FA3" w:rsidRPr="00D93E3F" w:rsidRDefault="00696FA3" w:rsidP="00696FA3">
      <w:pPr>
        <w:ind w:left="567" w:right="565"/>
        <w:contextualSpacing/>
        <w:jc w:val="both"/>
        <w:rPr>
          <w:rFonts w:ascii="Palatino Linotype" w:eastAsia="Calibri" w:hAnsi="Palatino Linotype"/>
          <w:i/>
          <w:lang w:val="es-AR"/>
        </w:rPr>
      </w:pPr>
      <w:r w:rsidRPr="00D93E3F">
        <w:rPr>
          <w:rFonts w:ascii="Palatino Linotype" w:eastAsia="Calibri" w:hAnsi="Palatino Linotype"/>
          <w:b/>
          <w:i/>
          <w:lang w:val="es-AR"/>
        </w:rPr>
        <w:t>SOBRESEIMIENTO EN EL JUICIO DE AMPARO DIRECTO. IMPIDE EL ESTUDIO DE LAS VIOLACIONES PROCESALES PLANTEADAS EN LOS CONCEPTOS DE VIOLACIÓN. El sobreseimiento</w:t>
      </w:r>
      <w:r w:rsidRPr="00D93E3F">
        <w:rPr>
          <w:rFonts w:ascii="Palatino Linotype" w:eastAsia="Calibri" w:hAnsi="Palatino Linotype"/>
          <w:i/>
          <w:lang w:val="es-AR"/>
        </w:rPr>
        <w:t xml:space="preserve"> en el juicio de amparo directo </w:t>
      </w:r>
      <w:r w:rsidRPr="00D93E3F">
        <w:rPr>
          <w:rFonts w:ascii="Palatino Linotype" w:eastAsia="Calibri" w:hAnsi="Palatino Linotype"/>
          <w:b/>
          <w:i/>
          <w:lang w:val="es-AR"/>
        </w:rPr>
        <w:t>provoca la terminación de la controversia planteada</w:t>
      </w:r>
      <w:r w:rsidRPr="00D93E3F">
        <w:rPr>
          <w:rFonts w:ascii="Palatino Linotype" w:eastAsia="Calibri" w:hAnsi="Palatino Linotype"/>
          <w:i/>
          <w:lang w:val="es-AR"/>
        </w:rPr>
        <w:t xml:space="preserve"> por el quejoso en la demanda de amparo</w:t>
      </w:r>
      <w:r w:rsidRPr="00D93E3F">
        <w:rPr>
          <w:rFonts w:ascii="Palatino Linotype" w:eastAsia="Calibri" w:hAnsi="Palatino Linotype"/>
          <w:b/>
          <w:i/>
          <w:lang w:val="es-AR"/>
        </w:rPr>
        <w:t>, sin hacer un pronunciamiento de fondo sobre la legalidad o ilegalidad de la sentencia reclamada</w:t>
      </w:r>
      <w:r w:rsidRPr="00D93E3F">
        <w:rPr>
          <w:rFonts w:ascii="Palatino Linotype" w:eastAsia="Calibri" w:hAnsi="Palatino Linotype"/>
          <w:i/>
          <w:lang w:val="es-AR"/>
        </w:rPr>
        <w:t xml:space="preserve">. </w:t>
      </w:r>
      <w:r w:rsidRPr="00D93E3F">
        <w:rPr>
          <w:rFonts w:ascii="Palatino Linotype" w:eastAsia="Calibri" w:hAnsi="Palatino Linotype"/>
          <w:b/>
          <w:i/>
          <w:lang w:val="es-AR"/>
        </w:rPr>
        <w:t xml:space="preserve">Por consiguiente, si al sobreseerse en el juicio de amparo no se pueden estudiar los planteamientos que se hacen </w:t>
      </w:r>
      <w:r w:rsidRPr="00D93E3F">
        <w:rPr>
          <w:rFonts w:ascii="Palatino Linotype" w:eastAsia="Calibri" w:hAnsi="Palatino Linotype"/>
          <w:b/>
          <w:i/>
          <w:lang w:val="es-AR"/>
        </w:rPr>
        <w:lastRenderedPageBreak/>
        <w:t>valer en contra del fallo reclamado, tampoco se deben analizar las violaciones procesales propuestas en los conceptos de violación, dado que, la principal consecuencia del sobreseimiento es poner fin al juicio de amparo sin resolver la controversia en sus méritos</w:t>
      </w:r>
      <w:r w:rsidRPr="00D93E3F">
        <w:rPr>
          <w:rFonts w:ascii="Palatino Linotype" w:eastAsia="Calibri" w:hAnsi="Palatino Linotype"/>
          <w:i/>
          <w:lang w:val="es-AR"/>
        </w:rPr>
        <w:t>.</w:t>
      </w:r>
    </w:p>
    <w:p w:rsidR="00696FA3" w:rsidRPr="00D93E3F" w:rsidRDefault="00696FA3" w:rsidP="00696FA3">
      <w:pPr>
        <w:ind w:left="567" w:right="565"/>
        <w:contextualSpacing/>
        <w:jc w:val="both"/>
        <w:rPr>
          <w:rFonts w:ascii="Palatino Linotype" w:eastAsia="Calibri" w:hAnsi="Palatino Linotype"/>
          <w:i/>
          <w:lang w:val="es-AR"/>
        </w:rPr>
      </w:pPr>
      <w:r w:rsidRPr="00D93E3F">
        <w:rPr>
          <w:rFonts w:ascii="Palatino Linotype" w:eastAsia="Calibri" w:hAnsi="Palatino Linotype"/>
          <w:i/>
          <w:lang w:val="es-AR"/>
        </w:rPr>
        <w:t>SÉPTIMO TRIBUNAL COLEGIADO EN MATERIA CIVIL DEL PRIMER CIRCUITO.</w:t>
      </w:r>
    </w:p>
    <w:p w:rsidR="00696FA3" w:rsidRPr="00D93E3F" w:rsidRDefault="00696FA3" w:rsidP="00696FA3">
      <w:pPr>
        <w:ind w:left="567" w:right="565"/>
        <w:contextualSpacing/>
        <w:jc w:val="both"/>
        <w:rPr>
          <w:rFonts w:ascii="Palatino Linotype" w:eastAsia="Calibri" w:hAnsi="Palatino Linotype"/>
          <w:b/>
          <w:i/>
          <w:lang w:val="es-AR"/>
        </w:rPr>
      </w:pPr>
      <w:r w:rsidRPr="00D93E3F">
        <w:rPr>
          <w:rFonts w:ascii="Palatino Linotype" w:eastAsia="Calibri" w:hAnsi="Palatino Linotype"/>
          <w:i/>
          <w:lang w:val="es-AR"/>
        </w:rPr>
        <w:t>Amparo directo 699/2008. Mariana Leticia González Steele. 13 de noviembre de 2008. Unanimidad de votos. Ponente: Sara Judith Montalvo Trejo. Secretario: Arnulfo Mateos García.</w:t>
      </w:r>
    </w:p>
    <w:p w:rsidR="00696FA3" w:rsidRPr="00D93E3F" w:rsidRDefault="00696FA3" w:rsidP="004414BC">
      <w:pPr>
        <w:ind w:right="1"/>
        <w:jc w:val="both"/>
        <w:rPr>
          <w:rFonts w:ascii="Palatino Linotype" w:eastAsia="Palatino Linotype" w:hAnsi="Palatino Linotype" w:cs="Palatino Linotype"/>
          <w:b/>
        </w:rPr>
      </w:pPr>
    </w:p>
    <w:p w:rsidR="00696FA3" w:rsidRPr="00D93E3F" w:rsidRDefault="00696FA3" w:rsidP="00696FA3">
      <w:pPr>
        <w:numPr>
          <w:ilvl w:val="0"/>
          <w:numId w:val="1"/>
        </w:numPr>
        <w:spacing w:line="360" w:lineRule="auto"/>
        <w:ind w:left="0" w:right="1" w:firstLine="0"/>
        <w:jc w:val="both"/>
        <w:rPr>
          <w:rFonts w:ascii="Palatino Linotype" w:eastAsia="Palatino Linotype" w:hAnsi="Palatino Linotype" w:cs="Palatino Linotype"/>
          <w:b/>
        </w:rPr>
      </w:pPr>
      <w:r w:rsidRPr="00D93E3F">
        <w:rPr>
          <w:rFonts w:ascii="Palatino Linotype" w:hAnsi="Palatino Linotype" w:cs="Arial"/>
          <w:color w:val="000000" w:themeColor="text1"/>
          <w:lang w:val="es-ES_tradnl"/>
        </w:rPr>
        <w:t xml:space="preserve">Consecuentemente, </w:t>
      </w:r>
      <w:r w:rsidRPr="00D93E3F">
        <w:rPr>
          <w:rFonts w:ascii="Palatino Linotype" w:eastAsia="Calibri" w:hAnsi="Palatino Linotype"/>
        </w:rPr>
        <w:t>por lo que hace a los motivos de inconformidad, los mismos devienen inatendibles por actualizarse la figura del sobreseimiento, misma que impide el estudio de los agravios planteados, máxime que se ha dado cumplimiento al derecho de acceso a la información.</w:t>
      </w:r>
    </w:p>
    <w:p w:rsidR="00696FA3" w:rsidRPr="00D93E3F" w:rsidRDefault="00696FA3" w:rsidP="004414BC">
      <w:pPr>
        <w:ind w:right="1"/>
        <w:jc w:val="both"/>
        <w:rPr>
          <w:rFonts w:ascii="Palatino Linotype" w:eastAsia="Palatino Linotype" w:hAnsi="Palatino Linotype" w:cs="Palatino Linotype"/>
          <w:b/>
        </w:rPr>
      </w:pPr>
    </w:p>
    <w:p w:rsidR="00696FA3" w:rsidRPr="00D93E3F" w:rsidRDefault="00696FA3" w:rsidP="00696FA3">
      <w:pPr>
        <w:numPr>
          <w:ilvl w:val="0"/>
          <w:numId w:val="1"/>
        </w:numPr>
        <w:spacing w:line="360" w:lineRule="auto"/>
        <w:ind w:left="0" w:right="1" w:firstLine="0"/>
        <w:jc w:val="both"/>
        <w:rPr>
          <w:rFonts w:ascii="Palatino Linotype" w:eastAsia="Palatino Linotype" w:hAnsi="Palatino Linotype" w:cs="Palatino Linotype"/>
          <w:b/>
        </w:rPr>
      </w:pPr>
      <w:r w:rsidRPr="00D93E3F">
        <w:rPr>
          <w:rFonts w:ascii="Palatino Linotype" w:hAnsi="Palatino Linotype" w:cs="Arial"/>
          <w:color w:val="000000" w:themeColor="text1"/>
          <w:lang w:val="es-ES_tradnl"/>
        </w:rPr>
        <w:t xml:space="preserve">Bajo </w:t>
      </w:r>
      <w:r w:rsidRPr="00D93E3F">
        <w:rPr>
          <w:rFonts w:ascii="Palatino Linotype" w:eastAsia="Calibri" w:hAnsi="Palatino Linotype"/>
          <w:lang w:val="es-CO"/>
        </w:rPr>
        <w:t xml:space="preserve">ese tenor y en términos del artículo 186 fracción I este Pleno determina el </w:t>
      </w:r>
      <w:r w:rsidRPr="00D93E3F">
        <w:rPr>
          <w:rFonts w:ascii="Palatino Linotype" w:eastAsia="Calibri" w:hAnsi="Palatino Linotype"/>
          <w:b/>
          <w:lang w:val="es-CO"/>
        </w:rPr>
        <w:t xml:space="preserve">SOBRESEIMIENTO </w:t>
      </w:r>
      <w:r w:rsidRPr="00D93E3F">
        <w:rPr>
          <w:rFonts w:ascii="Palatino Linotype" w:eastAsia="Calibri" w:hAnsi="Palatino Linotype"/>
          <w:lang w:val="es-CO"/>
        </w:rPr>
        <w:t>del presente recurso de revisión, toda vez que la afectación al derecho de acceso a la información pública establecido constitucionalmente a favor del Particular ha sido resarcida</w:t>
      </w:r>
    </w:p>
    <w:p w:rsidR="00696FA3" w:rsidRPr="00D93E3F" w:rsidRDefault="00696FA3" w:rsidP="004414BC">
      <w:pPr>
        <w:ind w:right="1"/>
        <w:jc w:val="both"/>
        <w:rPr>
          <w:rFonts w:ascii="Palatino Linotype" w:eastAsia="Palatino Linotype" w:hAnsi="Palatino Linotype" w:cs="Palatino Linotype"/>
          <w:b/>
        </w:rPr>
      </w:pPr>
    </w:p>
    <w:p w:rsidR="00E94D86" w:rsidRPr="00D93E3F" w:rsidRDefault="001E3125" w:rsidP="00FD2459">
      <w:pPr>
        <w:numPr>
          <w:ilvl w:val="0"/>
          <w:numId w:val="1"/>
        </w:numPr>
        <w:spacing w:line="360" w:lineRule="auto"/>
        <w:ind w:left="0" w:right="1" w:firstLine="0"/>
        <w:jc w:val="both"/>
        <w:rPr>
          <w:rFonts w:ascii="Palatino Linotype" w:eastAsia="Palatino Linotype" w:hAnsi="Palatino Linotype" w:cs="Palatino Linotype"/>
          <w:b/>
        </w:rPr>
      </w:pPr>
      <w:r w:rsidRPr="00D93E3F">
        <w:rPr>
          <w:rFonts w:ascii="Palatino Linotype" w:eastAsia="Palatino Linotype" w:hAnsi="Palatino Linotype" w:cs="Palatino Linotype"/>
          <w:color w:val="222222"/>
        </w:rPr>
        <w:t xml:space="preserve">Por lo anteriormente expuesto y fundado, este </w:t>
      </w:r>
      <w:r w:rsidRPr="00D93E3F">
        <w:rPr>
          <w:rFonts w:ascii="Palatino Linotype" w:eastAsia="Palatino Linotype" w:hAnsi="Palatino Linotype" w:cs="Palatino Linotype"/>
          <w:b/>
          <w:color w:val="222222"/>
        </w:rPr>
        <w:t>ÓRGANO GARANTE</w:t>
      </w:r>
      <w:r w:rsidRPr="00D93E3F">
        <w:rPr>
          <w:rFonts w:ascii="Palatino Linotype" w:eastAsia="Palatino Linotype" w:hAnsi="Palatino Linotype" w:cs="Palatino Linotype"/>
          <w:color w:val="222222"/>
        </w:rPr>
        <w:t xml:space="preserve"> emite los siguientes:</w:t>
      </w:r>
    </w:p>
    <w:p w:rsidR="00A30F8D" w:rsidRPr="00D93E3F" w:rsidRDefault="00A30F8D" w:rsidP="00A30F8D">
      <w:pPr>
        <w:ind w:right="1"/>
        <w:jc w:val="both"/>
        <w:rPr>
          <w:rFonts w:ascii="Palatino Linotype" w:eastAsia="Palatino Linotype" w:hAnsi="Palatino Linotype" w:cs="Palatino Linotype"/>
          <w:b/>
        </w:rPr>
      </w:pPr>
    </w:p>
    <w:p w:rsidR="00E94D86" w:rsidRPr="00D93E3F" w:rsidRDefault="001E3125">
      <w:pPr>
        <w:keepNext/>
        <w:keepLines/>
        <w:spacing w:line="360" w:lineRule="auto"/>
        <w:ind w:right="-592"/>
        <w:jc w:val="center"/>
        <w:rPr>
          <w:rFonts w:ascii="Palatino Linotype" w:eastAsia="Palatino Linotype" w:hAnsi="Palatino Linotype" w:cs="Palatino Linotype"/>
          <w:b/>
          <w:color w:val="000000"/>
        </w:rPr>
      </w:pPr>
      <w:r w:rsidRPr="00D93E3F">
        <w:rPr>
          <w:rFonts w:ascii="Palatino Linotype" w:eastAsia="Palatino Linotype" w:hAnsi="Palatino Linotype" w:cs="Palatino Linotype"/>
          <w:b/>
          <w:color w:val="000000"/>
        </w:rPr>
        <w:t>R E S O L U T I V O S</w:t>
      </w:r>
    </w:p>
    <w:p w:rsidR="00A30F8D" w:rsidRPr="00D93E3F" w:rsidRDefault="00A30F8D" w:rsidP="004414BC">
      <w:pPr>
        <w:keepNext/>
        <w:keepLines/>
        <w:ind w:right="-592"/>
        <w:rPr>
          <w:rFonts w:ascii="Palatino Linotype" w:eastAsia="Palatino Linotype" w:hAnsi="Palatino Linotype" w:cs="Palatino Linotype"/>
          <w:b/>
          <w:color w:val="000000"/>
        </w:rPr>
      </w:pPr>
    </w:p>
    <w:p w:rsidR="00A30F8D" w:rsidRPr="00D93E3F" w:rsidRDefault="00A30F8D" w:rsidP="00A30F8D">
      <w:pPr>
        <w:spacing w:line="360" w:lineRule="auto"/>
        <w:jc w:val="both"/>
        <w:rPr>
          <w:rFonts w:ascii="Palatino Linotype" w:hAnsi="Palatino Linotype" w:cs="Arial"/>
          <w:b/>
          <w:color w:val="000000" w:themeColor="text1"/>
          <w:lang w:val="es-ES_tradnl"/>
        </w:rPr>
      </w:pPr>
      <w:r w:rsidRPr="00D93E3F">
        <w:rPr>
          <w:rFonts w:ascii="Palatino Linotype" w:hAnsi="Palatino Linotype" w:cs="Arial"/>
          <w:b/>
          <w:color w:val="000000" w:themeColor="text1"/>
          <w:lang w:val="es-ES_tradnl"/>
        </w:rPr>
        <w:t xml:space="preserve">PRIMERO. </w:t>
      </w:r>
      <w:r w:rsidRPr="00D93E3F">
        <w:rPr>
          <w:rFonts w:ascii="Palatino Linotype" w:hAnsi="Palatino Linotype"/>
        </w:rPr>
        <w:t xml:space="preserve">Se </w:t>
      </w:r>
      <w:r w:rsidRPr="00D93E3F">
        <w:rPr>
          <w:rFonts w:ascii="Palatino Linotype" w:hAnsi="Palatino Linotype"/>
          <w:b/>
        </w:rPr>
        <w:t>SOBRESEE</w:t>
      </w:r>
      <w:r w:rsidRPr="00D93E3F">
        <w:rPr>
          <w:rFonts w:ascii="Palatino Linotype" w:hAnsi="Palatino Linotype"/>
        </w:rPr>
        <w:t xml:space="preserve"> el recurso de revisión número </w:t>
      </w:r>
      <w:r w:rsidRPr="00D93E3F">
        <w:rPr>
          <w:rFonts w:ascii="Palatino Linotype" w:hAnsi="Palatino Linotype"/>
          <w:b/>
        </w:rPr>
        <w:t xml:space="preserve">07473/INFOEM/IP/RR/2024 </w:t>
      </w:r>
      <w:r w:rsidRPr="00D93E3F">
        <w:rPr>
          <w:rFonts w:ascii="Palatino Linotype" w:hAnsi="Palatino Linotype"/>
          <w:bCs/>
        </w:rPr>
        <w:t>conforme al artículo 192 fracción III de la Ley de Transparencia y Acceso a la Información Pública del Estado de México y Municipios,</w:t>
      </w:r>
      <w:r w:rsidRPr="00D93E3F">
        <w:rPr>
          <w:rFonts w:ascii="Palatino Linotype" w:hAnsi="Palatino Linotype"/>
        </w:rPr>
        <w:t xml:space="preserve"> porque al </w:t>
      </w:r>
      <w:r w:rsidRPr="00D93E3F">
        <w:rPr>
          <w:rFonts w:ascii="Palatino Linotype" w:hAnsi="Palatino Linotype"/>
          <w:b/>
          <w:bCs/>
        </w:rPr>
        <w:t xml:space="preserve">modificar la respuesta a través del </w:t>
      </w:r>
      <w:r w:rsidRPr="00D93E3F">
        <w:rPr>
          <w:rFonts w:ascii="Palatino Linotype" w:hAnsi="Palatino Linotype"/>
          <w:b/>
          <w:bCs/>
        </w:rPr>
        <w:lastRenderedPageBreak/>
        <w:t>informe justificado y atender lo solicitado</w:t>
      </w:r>
      <w:r w:rsidRPr="00D93E3F">
        <w:rPr>
          <w:rFonts w:ascii="Palatino Linotype" w:hAnsi="Palatino Linotype"/>
        </w:rPr>
        <w:t xml:space="preserve">, el recurso de revisión quedó sin materia en términos del Considerando </w:t>
      </w:r>
      <w:r w:rsidRPr="00D93E3F">
        <w:rPr>
          <w:rFonts w:ascii="Palatino Linotype" w:hAnsi="Palatino Linotype"/>
          <w:b/>
        </w:rPr>
        <w:t>TERCERO</w:t>
      </w:r>
      <w:r w:rsidRPr="00D93E3F">
        <w:rPr>
          <w:rFonts w:ascii="Palatino Linotype" w:hAnsi="Palatino Linotype"/>
        </w:rPr>
        <w:t xml:space="preserve"> de la presente resolución.</w:t>
      </w:r>
    </w:p>
    <w:p w:rsidR="00A30F8D" w:rsidRPr="00D93E3F" w:rsidRDefault="00A30F8D" w:rsidP="00A30F8D">
      <w:pPr>
        <w:spacing w:before="240" w:after="240" w:line="360" w:lineRule="auto"/>
        <w:ind w:right="48"/>
        <w:jc w:val="both"/>
        <w:rPr>
          <w:rFonts w:ascii="Palatino Linotype" w:eastAsia="DengXian Light" w:hAnsi="Palatino Linotype"/>
          <w:color w:val="000000" w:themeColor="text1"/>
        </w:rPr>
      </w:pPr>
      <w:r w:rsidRPr="00D93E3F">
        <w:rPr>
          <w:rFonts w:ascii="Palatino Linotype" w:hAnsi="Palatino Linotype"/>
          <w:b/>
          <w:color w:val="000000" w:themeColor="text1"/>
        </w:rPr>
        <w:t>SEGUNDO.</w:t>
      </w:r>
      <w:r w:rsidRPr="00D93E3F">
        <w:rPr>
          <w:rFonts w:ascii="Palatino Linotype" w:eastAsia="DengXian Light" w:hAnsi="Palatino Linotype"/>
          <w:color w:val="000000" w:themeColor="text1"/>
        </w:rPr>
        <w:t xml:space="preserve"> </w:t>
      </w:r>
      <w:r w:rsidR="00A70473" w:rsidRPr="00D93E3F">
        <w:rPr>
          <w:rFonts w:ascii="Palatino Linotype" w:eastAsia="Calibri" w:hAnsi="Palatino Linotype" w:cs="Arial"/>
          <w:b/>
          <w:bCs/>
        </w:rPr>
        <w:t>Notifíquese</w:t>
      </w:r>
      <w:r w:rsidRPr="00D93E3F">
        <w:rPr>
          <w:rFonts w:ascii="Palatino Linotype" w:eastAsia="Calibri" w:hAnsi="Palatino Linotype" w:cs="Arial"/>
          <w:b/>
          <w:bCs/>
        </w:rPr>
        <w:t xml:space="preserve"> </w:t>
      </w:r>
      <w:r w:rsidRPr="00D93E3F">
        <w:rPr>
          <w:rFonts w:ascii="Palatino Linotype" w:eastAsia="Calibri" w:hAnsi="Palatino Linotype" w:cs="Arial"/>
          <w:bCs/>
        </w:rPr>
        <w:t xml:space="preserve">a través del Sistema de Acceso a la Información Mexiquense </w:t>
      </w:r>
      <w:r w:rsidRPr="00D93E3F">
        <w:rPr>
          <w:rFonts w:ascii="Palatino Linotype" w:eastAsia="Calibri" w:hAnsi="Palatino Linotype" w:cs="Arial"/>
          <w:b/>
          <w:bCs/>
        </w:rPr>
        <w:t xml:space="preserve">(SAIMEX) </w:t>
      </w:r>
      <w:r w:rsidRPr="00D93E3F">
        <w:rPr>
          <w:rFonts w:ascii="Palatino Linotype" w:eastAsia="Calibri" w:hAnsi="Palatino Linotype" w:cs="Arial"/>
          <w:bCs/>
        </w:rPr>
        <w:t>la presente resolución al Titular de la Unidad de Transparencia del</w:t>
      </w:r>
      <w:r w:rsidRPr="00D93E3F">
        <w:rPr>
          <w:rFonts w:ascii="Palatino Linotype" w:eastAsia="Calibri" w:hAnsi="Palatino Linotype" w:cs="Arial"/>
          <w:b/>
          <w:bCs/>
        </w:rPr>
        <w:t xml:space="preserve"> SUJETO OBLIGADO.</w:t>
      </w:r>
    </w:p>
    <w:p w:rsidR="00A30F8D" w:rsidRPr="00D93E3F" w:rsidRDefault="00A30F8D" w:rsidP="00A30F8D">
      <w:pPr>
        <w:shd w:val="clear" w:color="auto" w:fill="FFFFFF"/>
        <w:spacing w:before="240" w:line="360" w:lineRule="auto"/>
        <w:ind w:right="49"/>
        <w:jc w:val="both"/>
        <w:rPr>
          <w:rFonts w:ascii="Palatino Linotype" w:hAnsi="Palatino Linotype" w:cs="Arial"/>
          <w:b/>
          <w:bCs/>
          <w:color w:val="000000" w:themeColor="text1"/>
          <w:lang w:val="es-ES_tradnl"/>
        </w:rPr>
      </w:pPr>
      <w:r w:rsidRPr="00D93E3F">
        <w:rPr>
          <w:rFonts w:ascii="Palatino Linotype" w:hAnsi="Palatino Linotype" w:cs="Arial"/>
          <w:b/>
          <w:bCs/>
          <w:color w:val="000000" w:themeColor="text1"/>
          <w:lang w:val="es-ES_tradnl"/>
        </w:rPr>
        <w:t xml:space="preserve">TERCERO. </w:t>
      </w:r>
      <w:r w:rsidRPr="00D93E3F">
        <w:rPr>
          <w:rFonts w:ascii="Palatino Linotype" w:hAnsi="Palatino Linotype"/>
          <w:b/>
          <w:bCs/>
        </w:rPr>
        <w:t xml:space="preserve">Notifíquese </w:t>
      </w:r>
      <w:r w:rsidRPr="00D93E3F">
        <w:rPr>
          <w:rFonts w:ascii="Palatino Linotype" w:hAnsi="Palatino Linotype"/>
          <w:bCs/>
        </w:rPr>
        <w:t xml:space="preserve">al </w:t>
      </w:r>
      <w:r w:rsidRPr="00D93E3F">
        <w:rPr>
          <w:rFonts w:ascii="Palatino Linotype" w:hAnsi="Palatino Linotype"/>
          <w:b/>
          <w:bCs/>
        </w:rPr>
        <w:t>RECURRENTE</w:t>
      </w:r>
      <w:r w:rsidRPr="00D93E3F">
        <w:rPr>
          <w:rFonts w:ascii="Palatino Linotype" w:hAnsi="Palatino Linotype"/>
        </w:rPr>
        <w:t xml:space="preserve"> la presente resolución </w:t>
      </w:r>
      <w:r w:rsidRPr="00D93E3F">
        <w:rPr>
          <w:rFonts w:ascii="Palatino Linotype" w:eastAsia="Calibri" w:hAnsi="Palatino Linotype" w:cs="Arial"/>
          <w:bCs/>
        </w:rPr>
        <w:t xml:space="preserve">a través del Sistema de Acceso a la Información Mexiquense </w:t>
      </w:r>
      <w:r w:rsidRPr="00D93E3F">
        <w:rPr>
          <w:rFonts w:ascii="Palatino Linotype" w:eastAsia="Calibri" w:hAnsi="Palatino Linotype" w:cs="Arial"/>
          <w:b/>
          <w:bCs/>
        </w:rPr>
        <w:t>(SAIMEX).</w:t>
      </w:r>
    </w:p>
    <w:p w:rsidR="00A30F8D" w:rsidRPr="00D93E3F" w:rsidRDefault="00A30F8D" w:rsidP="00A30F8D">
      <w:pPr>
        <w:shd w:val="clear" w:color="auto" w:fill="FFFFFF"/>
        <w:spacing w:before="240"/>
        <w:ind w:right="49"/>
        <w:jc w:val="both"/>
        <w:rPr>
          <w:rFonts w:ascii="Palatino Linotype" w:hAnsi="Palatino Linotype" w:cs="Arial"/>
          <w:b/>
          <w:bCs/>
          <w:color w:val="000000" w:themeColor="text1"/>
          <w:lang w:val="es-ES_tradnl"/>
        </w:rPr>
      </w:pPr>
    </w:p>
    <w:p w:rsidR="00BC3D64" w:rsidRPr="00D93E3F" w:rsidRDefault="00A30F8D" w:rsidP="00D93E3F">
      <w:pPr>
        <w:spacing w:line="360" w:lineRule="auto"/>
        <w:jc w:val="both"/>
        <w:rPr>
          <w:rFonts w:ascii="Palatino Linotype" w:eastAsiaTheme="minorHAnsi" w:hAnsi="Palatino Linotype" w:cstheme="minorBidi"/>
          <w:lang w:eastAsia="es-ES_tradnl"/>
        </w:rPr>
      </w:pPr>
      <w:r w:rsidRPr="00D93E3F">
        <w:rPr>
          <w:rFonts w:ascii="Palatino Linotype" w:eastAsia="Calibri" w:hAnsi="Palatino Linotype" w:cs="Arial"/>
          <w:b/>
          <w:bCs/>
          <w:color w:val="000000" w:themeColor="text1"/>
          <w:lang w:eastAsia="en-US"/>
        </w:rPr>
        <w:t>CUARTO.</w:t>
      </w:r>
      <w:r w:rsidRPr="00D93E3F">
        <w:rPr>
          <w:rFonts w:ascii="Palatino Linotype" w:eastAsia="Calibri" w:hAnsi="Palatino Linotype" w:cs="Arial"/>
          <w:bCs/>
          <w:color w:val="000000" w:themeColor="text1"/>
          <w:lang w:eastAsia="en-US"/>
        </w:rPr>
        <w:t xml:space="preserve"> </w:t>
      </w:r>
      <w:r w:rsidRPr="00D93E3F">
        <w:rPr>
          <w:rFonts w:ascii="Palatino Linotype" w:eastAsia="MS Mincho" w:hAnsi="Palatino Linotype"/>
        </w:rPr>
        <w:t xml:space="preserve">Se hace del conocimiento del </w:t>
      </w:r>
      <w:r w:rsidRPr="00D93E3F">
        <w:rPr>
          <w:rFonts w:ascii="Palatino Linotype" w:hAnsi="Palatino Linotype"/>
          <w:b/>
          <w:bCs/>
        </w:rPr>
        <w:t>RECURRENTE</w:t>
      </w:r>
      <w:r w:rsidRPr="00D93E3F">
        <w:rPr>
          <w:rFonts w:ascii="Palatino Linotype" w:hAnsi="Palatino Linotype"/>
        </w:rPr>
        <w:t xml:space="preserve"> </w:t>
      </w:r>
      <w:r w:rsidRPr="00D93E3F">
        <w:rPr>
          <w:rFonts w:ascii="Palatino Linotype" w:eastAsia="MS Mincho" w:hAnsi="Palatino Linotype"/>
        </w:rPr>
        <w:t>que, de conformidad con lo establecido en el artículo 196 de la Ley de Transparencia y Acceso a la Información Pública del Estado de México y Municipios, en caso de que considere que la resolución le cause algún perjuicio podrá impugnarla </w:t>
      </w:r>
      <w:r w:rsidRPr="00D93E3F">
        <w:rPr>
          <w:rFonts w:ascii="Palatino Linotype" w:eastAsia="MS Mincho" w:hAnsi="Palatino Linotype"/>
          <w:bCs/>
        </w:rPr>
        <w:t>vía juicio de amparo</w:t>
      </w:r>
      <w:r w:rsidRPr="00D93E3F">
        <w:rPr>
          <w:rFonts w:ascii="Palatino Linotype" w:eastAsia="MS Mincho" w:hAnsi="Palatino Linotype"/>
        </w:rPr>
        <w:t> en los términos de las leyes aplicables.</w:t>
      </w:r>
    </w:p>
    <w:p w:rsidR="00E94D86" w:rsidRPr="00BC3D64" w:rsidRDefault="00BC3D64">
      <w:pPr>
        <w:spacing w:before="240" w:after="240" w:line="360" w:lineRule="auto"/>
        <w:ind w:right="1"/>
        <w:jc w:val="both"/>
        <w:rPr>
          <w:rFonts w:ascii="Palatino Linotype" w:eastAsia="Palatino Linotype" w:hAnsi="Palatino Linotype" w:cs="Palatino Linotype"/>
          <w:b/>
        </w:rPr>
      </w:pPr>
      <w:r w:rsidRPr="00D93E3F">
        <w:rPr>
          <w:rFonts w:ascii="Palatino Linotype" w:eastAsia="Palatino Linotype" w:hAnsi="Palatino Linotype" w:cs="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DÉCIMA SESIÓN ORDINARIA, CELEBRADA EL VEINTE (20) DE MARZO DE DOS MIL VEINTICINCO, ANTE EL SECRETARIO TÉCNICO DEL PLENO ALEXIS TAPIA RAMÍREZ.</w:t>
      </w:r>
      <w:r w:rsidR="001E3125" w:rsidRPr="00D93E3F">
        <w:rPr>
          <w:rFonts w:ascii="Palatino Linotype" w:eastAsia="Palatino Linotype" w:hAnsi="Palatino Linotype" w:cs="Palatino Linotype"/>
        </w:rPr>
        <w:t>-----------------------------------------------------------------------------------------------------------------------------------------------</w:t>
      </w:r>
      <w:r w:rsidRPr="00D93E3F">
        <w:rPr>
          <w:rFonts w:ascii="Palatino Linotype" w:eastAsia="Palatino Linotype" w:hAnsi="Palatino Linotype" w:cs="Palatino Linotype"/>
        </w:rPr>
        <w:t>---</w:t>
      </w:r>
      <w:bookmarkStart w:id="2" w:name="_GoBack"/>
      <w:bookmarkEnd w:id="2"/>
    </w:p>
    <w:p w:rsidR="00E94D86" w:rsidRPr="00BC3D64" w:rsidRDefault="00E94D86">
      <w:pPr>
        <w:spacing w:before="240" w:after="240" w:line="360" w:lineRule="auto"/>
        <w:ind w:right="-592"/>
        <w:jc w:val="both"/>
        <w:rPr>
          <w:rFonts w:ascii="Palatino Linotype" w:eastAsia="Palatino Linotype" w:hAnsi="Palatino Linotype" w:cs="Palatino Linotype"/>
        </w:rPr>
      </w:pPr>
    </w:p>
    <w:p w:rsidR="00E94D86" w:rsidRPr="00BC3D64" w:rsidRDefault="00E94D86">
      <w:pPr>
        <w:spacing w:line="360" w:lineRule="auto"/>
        <w:ind w:right="-592"/>
        <w:rPr>
          <w:rFonts w:ascii="Palatino Linotype" w:eastAsia="Palatino Linotype" w:hAnsi="Palatino Linotype" w:cs="Palatino Linotype"/>
        </w:rPr>
      </w:pPr>
    </w:p>
    <w:p w:rsidR="00E94D86" w:rsidRPr="00BC3D64" w:rsidRDefault="00E94D86">
      <w:pPr>
        <w:spacing w:line="360" w:lineRule="auto"/>
        <w:ind w:right="-592"/>
        <w:jc w:val="both"/>
        <w:rPr>
          <w:rFonts w:ascii="Palatino Linotype" w:eastAsia="Palatino Linotype" w:hAnsi="Palatino Linotype" w:cs="Palatino Linotype"/>
        </w:rPr>
      </w:pPr>
    </w:p>
    <w:p w:rsidR="00E94D86" w:rsidRPr="00BC3D64" w:rsidRDefault="00E94D86">
      <w:pPr>
        <w:spacing w:line="360" w:lineRule="auto"/>
        <w:ind w:right="-592"/>
        <w:jc w:val="both"/>
        <w:rPr>
          <w:rFonts w:ascii="Palatino Linotype" w:eastAsia="Palatino Linotype" w:hAnsi="Palatino Linotype" w:cs="Palatino Linotype"/>
        </w:rPr>
      </w:pPr>
    </w:p>
    <w:p w:rsidR="00E94D86" w:rsidRPr="00BC3D64" w:rsidRDefault="00E94D86">
      <w:pPr>
        <w:spacing w:line="360" w:lineRule="auto"/>
        <w:ind w:right="-592"/>
        <w:jc w:val="both"/>
        <w:rPr>
          <w:rFonts w:ascii="Palatino Linotype" w:eastAsia="Palatino Linotype" w:hAnsi="Palatino Linotype" w:cs="Palatino Linotype"/>
        </w:rPr>
      </w:pPr>
    </w:p>
    <w:p w:rsidR="00E94D86" w:rsidRPr="00BC3D64" w:rsidRDefault="00E94D86">
      <w:pPr>
        <w:spacing w:line="360" w:lineRule="auto"/>
        <w:ind w:right="-592"/>
        <w:jc w:val="both"/>
        <w:rPr>
          <w:rFonts w:ascii="Palatino Linotype" w:eastAsia="Palatino Linotype" w:hAnsi="Palatino Linotype" w:cs="Palatino Linotype"/>
        </w:rPr>
      </w:pPr>
    </w:p>
    <w:p w:rsidR="00E94D86" w:rsidRPr="00BC3D64" w:rsidRDefault="00E94D86">
      <w:pPr>
        <w:spacing w:line="360" w:lineRule="auto"/>
        <w:ind w:right="-592"/>
        <w:jc w:val="both"/>
        <w:rPr>
          <w:rFonts w:ascii="Palatino Linotype" w:eastAsia="Palatino Linotype" w:hAnsi="Palatino Linotype" w:cs="Palatino Linotype"/>
        </w:rPr>
      </w:pPr>
    </w:p>
    <w:p w:rsidR="00E94D86" w:rsidRPr="00BC3D64" w:rsidRDefault="00E94D86">
      <w:pPr>
        <w:spacing w:line="360" w:lineRule="auto"/>
        <w:ind w:right="-592"/>
        <w:jc w:val="both"/>
        <w:rPr>
          <w:rFonts w:ascii="Palatino Linotype" w:eastAsia="Palatino Linotype" w:hAnsi="Palatino Linotype" w:cs="Palatino Linotype"/>
        </w:rPr>
      </w:pPr>
    </w:p>
    <w:p w:rsidR="00E94D86" w:rsidRPr="00BC3D64" w:rsidRDefault="00E94D86">
      <w:pPr>
        <w:spacing w:line="360" w:lineRule="auto"/>
        <w:ind w:right="-592"/>
        <w:jc w:val="both"/>
        <w:rPr>
          <w:rFonts w:ascii="Palatino Linotype" w:eastAsia="Palatino Linotype" w:hAnsi="Palatino Linotype" w:cs="Palatino Linotype"/>
        </w:rPr>
      </w:pPr>
    </w:p>
    <w:p w:rsidR="00E94D86" w:rsidRPr="00BC3D64" w:rsidRDefault="00E94D86">
      <w:pPr>
        <w:spacing w:line="360" w:lineRule="auto"/>
        <w:ind w:right="-592"/>
        <w:jc w:val="both"/>
        <w:rPr>
          <w:rFonts w:ascii="Palatino Linotype" w:eastAsia="Palatino Linotype" w:hAnsi="Palatino Linotype" w:cs="Palatino Linotype"/>
        </w:rPr>
      </w:pPr>
    </w:p>
    <w:p w:rsidR="00E94D86" w:rsidRPr="00BC3D64" w:rsidRDefault="00E94D86">
      <w:pPr>
        <w:spacing w:line="360" w:lineRule="auto"/>
        <w:ind w:right="-592"/>
        <w:jc w:val="both"/>
        <w:rPr>
          <w:rFonts w:ascii="Palatino Linotype" w:eastAsia="Palatino Linotype" w:hAnsi="Palatino Linotype" w:cs="Palatino Linotype"/>
        </w:rPr>
      </w:pPr>
    </w:p>
    <w:p w:rsidR="00E94D86" w:rsidRPr="00BC3D64" w:rsidRDefault="00E94D86">
      <w:pPr>
        <w:spacing w:line="360" w:lineRule="auto"/>
        <w:ind w:right="-592"/>
        <w:jc w:val="both"/>
        <w:rPr>
          <w:rFonts w:ascii="Palatino Linotype" w:eastAsia="Palatino Linotype" w:hAnsi="Palatino Linotype" w:cs="Palatino Linotype"/>
        </w:rPr>
      </w:pPr>
    </w:p>
    <w:p w:rsidR="00E94D86" w:rsidRPr="00BC3D64" w:rsidRDefault="00E94D86">
      <w:pPr>
        <w:spacing w:line="360" w:lineRule="auto"/>
        <w:ind w:right="-592"/>
        <w:jc w:val="both"/>
        <w:rPr>
          <w:rFonts w:ascii="Palatino Linotype" w:eastAsia="Palatino Linotype" w:hAnsi="Palatino Linotype" w:cs="Palatino Linotype"/>
        </w:rPr>
      </w:pPr>
    </w:p>
    <w:p w:rsidR="00E94D86" w:rsidRPr="00BC3D64" w:rsidRDefault="00E94D86">
      <w:pPr>
        <w:spacing w:line="360" w:lineRule="auto"/>
        <w:ind w:right="-592"/>
        <w:jc w:val="both"/>
        <w:rPr>
          <w:rFonts w:ascii="Palatino Linotype" w:eastAsia="Palatino Linotype" w:hAnsi="Palatino Linotype" w:cs="Palatino Linotype"/>
        </w:rPr>
      </w:pPr>
    </w:p>
    <w:p w:rsidR="00E94D86" w:rsidRPr="00BC3D64" w:rsidRDefault="00E94D86">
      <w:pPr>
        <w:spacing w:line="360" w:lineRule="auto"/>
        <w:ind w:right="-592"/>
        <w:jc w:val="both"/>
        <w:rPr>
          <w:rFonts w:ascii="Palatino Linotype" w:eastAsia="Palatino Linotype" w:hAnsi="Palatino Linotype" w:cs="Palatino Linotype"/>
        </w:rPr>
      </w:pPr>
    </w:p>
    <w:p w:rsidR="00E94D86" w:rsidRPr="00BC3D64" w:rsidRDefault="00E94D86">
      <w:pPr>
        <w:spacing w:line="360" w:lineRule="auto"/>
        <w:ind w:right="-592"/>
        <w:rPr>
          <w:rFonts w:ascii="Palatino Linotype" w:eastAsia="Palatino Linotype" w:hAnsi="Palatino Linotype" w:cs="Palatino Linotype"/>
        </w:rPr>
      </w:pPr>
    </w:p>
    <w:p w:rsidR="00E94D86" w:rsidRPr="00BC3D64" w:rsidRDefault="00E94D86">
      <w:pPr>
        <w:spacing w:line="360" w:lineRule="auto"/>
        <w:ind w:right="-592"/>
        <w:rPr>
          <w:rFonts w:ascii="Palatino Linotype" w:eastAsia="Palatino Linotype" w:hAnsi="Palatino Linotype" w:cs="Palatino Linotype"/>
        </w:rPr>
      </w:pPr>
    </w:p>
    <w:p w:rsidR="00E94D86" w:rsidRPr="00BC3D64" w:rsidRDefault="00E94D86">
      <w:pPr>
        <w:spacing w:line="360" w:lineRule="auto"/>
        <w:ind w:right="-592"/>
        <w:rPr>
          <w:rFonts w:ascii="Palatino Linotype" w:eastAsia="Palatino Linotype" w:hAnsi="Palatino Linotype" w:cs="Palatino Linotype"/>
        </w:rPr>
      </w:pPr>
    </w:p>
    <w:p w:rsidR="00E94D86" w:rsidRPr="00BC3D64" w:rsidRDefault="00E94D86">
      <w:pPr>
        <w:spacing w:line="360" w:lineRule="auto"/>
        <w:ind w:right="-592"/>
        <w:rPr>
          <w:rFonts w:ascii="Palatino Linotype" w:eastAsia="Palatino Linotype" w:hAnsi="Palatino Linotype" w:cs="Palatino Linotype"/>
        </w:rPr>
      </w:pPr>
    </w:p>
    <w:p w:rsidR="00E94D86" w:rsidRPr="00BC3D64" w:rsidRDefault="00E94D86">
      <w:pPr>
        <w:spacing w:line="360" w:lineRule="auto"/>
        <w:ind w:right="-592"/>
        <w:rPr>
          <w:rFonts w:ascii="Palatino Linotype" w:eastAsia="Palatino Linotype" w:hAnsi="Palatino Linotype" w:cs="Palatino Linotype"/>
        </w:rPr>
      </w:pPr>
    </w:p>
    <w:p w:rsidR="00E94D86" w:rsidRPr="00BC3D64" w:rsidRDefault="00E94D86">
      <w:pPr>
        <w:spacing w:line="360" w:lineRule="auto"/>
        <w:ind w:right="-592"/>
        <w:rPr>
          <w:rFonts w:ascii="Palatino Linotype" w:eastAsia="Palatino Linotype" w:hAnsi="Palatino Linotype" w:cs="Palatino Linotype"/>
        </w:rPr>
      </w:pPr>
    </w:p>
    <w:p w:rsidR="00E94D86" w:rsidRPr="00BC3D64" w:rsidRDefault="00E94D86">
      <w:pPr>
        <w:ind w:right="-592"/>
        <w:rPr>
          <w:rFonts w:ascii="Palatino Linotype" w:eastAsia="Palatino Linotype" w:hAnsi="Palatino Linotype" w:cs="Palatino Linotype"/>
        </w:rPr>
      </w:pPr>
    </w:p>
    <w:p w:rsidR="00647AFA" w:rsidRPr="00BC3D64" w:rsidRDefault="00647AFA">
      <w:pPr>
        <w:ind w:right="-592"/>
        <w:rPr>
          <w:rFonts w:ascii="Palatino Linotype" w:eastAsia="Palatino Linotype" w:hAnsi="Palatino Linotype" w:cs="Palatino Linotype"/>
        </w:rPr>
      </w:pPr>
    </w:p>
    <w:p w:rsidR="001E3608" w:rsidRPr="00BC3D64" w:rsidRDefault="001E3608">
      <w:pPr>
        <w:ind w:right="-592"/>
        <w:rPr>
          <w:rFonts w:ascii="Palatino Linotype" w:eastAsia="Palatino Linotype" w:hAnsi="Palatino Linotype" w:cs="Palatino Linotype"/>
        </w:rPr>
      </w:pPr>
    </w:p>
    <w:sectPr w:rsidR="001E3608" w:rsidRPr="00BC3D64">
      <w:headerReference w:type="even" r:id="rId13"/>
      <w:headerReference w:type="default" r:id="rId14"/>
      <w:footerReference w:type="default" r:id="rId15"/>
      <w:headerReference w:type="first" r:id="rId16"/>
      <w:footerReference w:type="first" r:id="rId17"/>
      <w:pgSz w:w="12240" w:h="15840"/>
      <w:pgMar w:top="80" w:right="1296" w:bottom="1418" w:left="1588" w:header="709" w:footer="91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1368" w:rsidRDefault="00E81368">
      <w:r>
        <w:separator/>
      </w:r>
    </w:p>
  </w:endnote>
  <w:endnote w:type="continuationSeparator" w:id="0">
    <w:p w:rsidR="00E81368" w:rsidRDefault="00E813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Palatino Linotype">
    <w:altName w:val="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1C32" w:rsidRDefault="00041C32">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rPr>
      <w:fldChar w:fldCharType="begin"/>
    </w:r>
    <w:r>
      <w:rPr>
        <w:b/>
        <w:color w:val="000000"/>
      </w:rPr>
      <w:instrText>PAGE</w:instrText>
    </w:r>
    <w:r>
      <w:rPr>
        <w:b/>
        <w:color w:val="000000"/>
      </w:rPr>
      <w:fldChar w:fldCharType="separate"/>
    </w:r>
    <w:r w:rsidR="00D93E3F">
      <w:rPr>
        <w:b/>
        <w:noProof/>
        <w:color w:val="000000"/>
      </w:rPr>
      <w:t>20</w:t>
    </w:r>
    <w:r>
      <w:rPr>
        <w:b/>
        <w:color w:val="000000"/>
      </w:rPr>
      <w:fldChar w:fldCharType="end"/>
    </w:r>
    <w:r>
      <w:rPr>
        <w:color w:val="000000"/>
      </w:rPr>
      <w:t xml:space="preserve"> de </w:t>
    </w:r>
    <w:r>
      <w:rPr>
        <w:b/>
        <w:color w:val="000000"/>
      </w:rPr>
      <w:fldChar w:fldCharType="begin"/>
    </w:r>
    <w:r>
      <w:rPr>
        <w:b/>
        <w:color w:val="000000"/>
      </w:rPr>
      <w:instrText>NUMPAGES</w:instrText>
    </w:r>
    <w:r>
      <w:rPr>
        <w:b/>
        <w:color w:val="000000"/>
      </w:rPr>
      <w:fldChar w:fldCharType="separate"/>
    </w:r>
    <w:r w:rsidR="00D93E3F">
      <w:rPr>
        <w:b/>
        <w:noProof/>
        <w:color w:val="000000"/>
      </w:rPr>
      <w:t>22</w:t>
    </w:r>
    <w:r>
      <w:rPr>
        <w:b/>
        <w:color w:val="000000"/>
      </w:rPr>
      <w:fldChar w:fldCharType="end"/>
    </w:r>
  </w:p>
  <w:p w:rsidR="00041C32" w:rsidRDefault="00041C32">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1C32" w:rsidRDefault="00041C32">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rPr>
      <w:fldChar w:fldCharType="begin"/>
    </w:r>
    <w:r>
      <w:rPr>
        <w:b/>
        <w:color w:val="000000"/>
      </w:rPr>
      <w:instrText>PAGE</w:instrText>
    </w:r>
    <w:r>
      <w:rPr>
        <w:b/>
        <w:color w:val="000000"/>
      </w:rPr>
      <w:fldChar w:fldCharType="separate"/>
    </w:r>
    <w:r w:rsidR="00D93E3F">
      <w:rPr>
        <w:b/>
        <w:noProof/>
        <w:color w:val="000000"/>
      </w:rPr>
      <w:t>1</w:t>
    </w:r>
    <w:r>
      <w:rPr>
        <w:b/>
        <w:color w:val="000000"/>
      </w:rPr>
      <w:fldChar w:fldCharType="end"/>
    </w:r>
    <w:r>
      <w:rPr>
        <w:color w:val="000000"/>
      </w:rPr>
      <w:t xml:space="preserve"> de </w:t>
    </w:r>
    <w:r>
      <w:rPr>
        <w:b/>
        <w:color w:val="000000"/>
      </w:rPr>
      <w:fldChar w:fldCharType="begin"/>
    </w:r>
    <w:r>
      <w:rPr>
        <w:b/>
        <w:color w:val="000000"/>
      </w:rPr>
      <w:instrText>NUMPAGES</w:instrText>
    </w:r>
    <w:r>
      <w:rPr>
        <w:b/>
        <w:color w:val="000000"/>
      </w:rPr>
      <w:fldChar w:fldCharType="separate"/>
    </w:r>
    <w:r w:rsidR="00D93E3F">
      <w:rPr>
        <w:b/>
        <w:noProof/>
        <w:color w:val="000000"/>
      </w:rPr>
      <w:t>22</w:t>
    </w:r>
    <w:r>
      <w:rPr>
        <w:b/>
        <w:color w:val="000000"/>
      </w:rPr>
      <w:fldChar w:fldCharType="end"/>
    </w:r>
  </w:p>
  <w:p w:rsidR="00041C32" w:rsidRDefault="00041C32">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1368" w:rsidRDefault="00E81368">
      <w:r>
        <w:separator/>
      </w:r>
    </w:p>
  </w:footnote>
  <w:footnote w:type="continuationSeparator" w:id="0">
    <w:p w:rsidR="00E81368" w:rsidRDefault="00E813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1C32" w:rsidRDefault="00E81368">
    <w:pPr>
      <w:pBdr>
        <w:top w:val="nil"/>
        <w:left w:val="nil"/>
        <w:bottom w:val="nil"/>
        <w:right w:val="nil"/>
        <w:between w:val="nil"/>
      </w:pBdr>
      <w:tabs>
        <w:tab w:val="center" w:pos="4419"/>
        <w:tab w:val="right" w:pos="8838"/>
      </w:tabs>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0;margin-top:0;width:589.8pt;height:768pt;z-index:-251657728;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1C32" w:rsidRDefault="00041C32">
    <w:pPr>
      <w:widowControl w:val="0"/>
      <w:pBdr>
        <w:top w:val="nil"/>
        <w:left w:val="nil"/>
        <w:bottom w:val="nil"/>
        <w:right w:val="nil"/>
        <w:between w:val="nil"/>
      </w:pBdr>
      <w:spacing w:line="276" w:lineRule="auto"/>
      <w:rPr>
        <w:color w:val="000000"/>
      </w:rPr>
    </w:pPr>
  </w:p>
  <w:tbl>
    <w:tblPr>
      <w:tblStyle w:val="a5"/>
      <w:tblW w:w="9214" w:type="dxa"/>
      <w:tblInd w:w="0" w:type="dxa"/>
      <w:tblLayout w:type="fixed"/>
      <w:tblLook w:val="0400" w:firstRow="0" w:lastRow="0" w:firstColumn="0" w:lastColumn="0" w:noHBand="0" w:noVBand="1"/>
    </w:tblPr>
    <w:tblGrid>
      <w:gridCol w:w="2268"/>
      <w:gridCol w:w="6946"/>
    </w:tblGrid>
    <w:tr w:rsidR="00041C32" w:rsidRPr="004401C8">
      <w:trPr>
        <w:trHeight w:val="1435"/>
      </w:trPr>
      <w:tc>
        <w:tcPr>
          <w:tcW w:w="2268" w:type="dxa"/>
          <w:shd w:val="clear" w:color="auto" w:fill="auto"/>
        </w:tcPr>
        <w:p w:rsidR="00041C32" w:rsidRDefault="00041C32">
          <w:pPr>
            <w:tabs>
              <w:tab w:val="right" w:pos="4273"/>
            </w:tabs>
            <w:rPr>
              <w:rFonts w:ascii="Garamond" w:eastAsia="Garamond" w:hAnsi="Garamond" w:cs="Garamond"/>
              <w:sz w:val="16"/>
              <w:szCs w:val="16"/>
            </w:rPr>
          </w:pPr>
        </w:p>
      </w:tc>
      <w:tc>
        <w:tcPr>
          <w:tcW w:w="6946" w:type="dxa"/>
          <w:shd w:val="clear" w:color="auto" w:fill="auto"/>
        </w:tcPr>
        <w:p w:rsidR="00041C32" w:rsidRPr="004401C8" w:rsidRDefault="00041C32" w:rsidP="004401C8">
          <w:pPr>
            <w:rPr>
              <w:sz w:val="18"/>
            </w:rPr>
          </w:pPr>
        </w:p>
        <w:tbl>
          <w:tblPr>
            <w:tblStyle w:val="a6"/>
            <w:tblW w:w="6660" w:type="dxa"/>
            <w:tblInd w:w="40" w:type="dxa"/>
            <w:tblLayout w:type="fixed"/>
            <w:tblLook w:val="0400" w:firstRow="0" w:lastRow="0" w:firstColumn="0" w:lastColumn="0" w:noHBand="0" w:noVBand="1"/>
          </w:tblPr>
          <w:tblGrid>
            <w:gridCol w:w="3377"/>
            <w:gridCol w:w="3283"/>
          </w:tblGrid>
          <w:tr w:rsidR="00041C32" w:rsidRPr="004401C8">
            <w:trPr>
              <w:trHeight w:val="150"/>
            </w:trPr>
            <w:tc>
              <w:tcPr>
                <w:tcW w:w="3377" w:type="dxa"/>
                <w:shd w:val="clear" w:color="auto" w:fill="auto"/>
              </w:tcPr>
              <w:p w:rsidR="00041C32" w:rsidRPr="00A70473" w:rsidRDefault="00041C32" w:rsidP="004401C8">
                <w:pPr>
                  <w:tabs>
                    <w:tab w:val="right" w:pos="8838"/>
                  </w:tabs>
                  <w:ind w:left="850" w:right="-105"/>
                  <w:jc w:val="both"/>
                  <w:rPr>
                    <w:rFonts w:ascii="Palatino Linotype" w:eastAsia="Palatino Linotype" w:hAnsi="Palatino Linotype" w:cs="Palatino Linotype"/>
                    <w:b/>
                    <w:sz w:val="22"/>
                    <w:szCs w:val="22"/>
                  </w:rPr>
                </w:pPr>
                <w:r w:rsidRPr="00A70473">
                  <w:rPr>
                    <w:rFonts w:ascii="Palatino Linotype" w:eastAsia="Palatino Linotype" w:hAnsi="Palatino Linotype" w:cs="Palatino Linotype"/>
                    <w:b/>
                    <w:sz w:val="22"/>
                    <w:szCs w:val="22"/>
                  </w:rPr>
                  <w:t>Recurso de Revisión:</w:t>
                </w:r>
              </w:p>
            </w:tc>
            <w:tc>
              <w:tcPr>
                <w:tcW w:w="3283" w:type="dxa"/>
                <w:shd w:val="clear" w:color="auto" w:fill="auto"/>
              </w:tcPr>
              <w:p w:rsidR="00041C32" w:rsidRPr="00A70473" w:rsidRDefault="00041C32" w:rsidP="004401C8">
                <w:pPr>
                  <w:tabs>
                    <w:tab w:val="right" w:pos="8838"/>
                  </w:tabs>
                  <w:ind w:right="-781"/>
                  <w:jc w:val="both"/>
                  <w:rPr>
                    <w:rFonts w:ascii="Palatino Linotype" w:eastAsia="Palatino Linotype" w:hAnsi="Palatino Linotype" w:cs="Palatino Linotype"/>
                    <w:sz w:val="22"/>
                    <w:szCs w:val="22"/>
                  </w:rPr>
                </w:pPr>
                <w:r w:rsidRPr="00A70473">
                  <w:rPr>
                    <w:rFonts w:ascii="Palatino Linotype" w:eastAsia="Palatino Linotype" w:hAnsi="Palatino Linotype" w:cs="Palatino Linotype"/>
                    <w:sz w:val="22"/>
                    <w:szCs w:val="22"/>
                  </w:rPr>
                  <w:t>07473/INFOEM/IP/RR/2024</w:t>
                </w:r>
              </w:p>
            </w:tc>
          </w:tr>
          <w:tr w:rsidR="00041C32" w:rsidRPr="004401C8">
            <w:trPr>
              <w:trHeight w:val="295"/>
            </w:trPr>
            <w:tc>
              <w:tcPr>
                <w:tcW w:w="3377" w:type="dxa"/>
                <w:shd w:val="clear" w:color="auto" w:fill="auto"/>
              </w:tcPr>
              <w:p w:rsidR="00041C32" w:rsidRPr="00A70473" w:rsidRDefault="00041C32" w:rsidP="004401C8">
                <w:pPr>
                  <w:tabs>
                    <w:tab w:val="right" w:pos="8838"/>
                  </w:tabs>
                  <w:ind w:left="850" w:right="-105"/>
                  <w:jc w:val="both"/>
                  <w:rPr>
                    <w:rFonts w:ascii="Palatino Linotype" w:eastAsia="Palatino Linotype" w:hAnsi="Palatino Linotype" w:cs="Palatino Linotype"/>
                    <w:b/>
                    <w:sz w:val="22"/>
                    <w:szCs w:val="22"/>
                  </w:rPr>
                </w:pPr>
                <w:r w:rsidRPr="00A70473">
                  <w:rPr>
                    <w:rFonts w:ascii="Palatino Linotype" w:eastAsia="Palatino Linotype" w:hAnsi="Palatino Linotype" w:cs="Palatino Linotype"/>
                    <w:b/>
                    <w:sz w:val="22"/>
                    <w:szCs w:val="22"/>
                  </w:rPr>
                  <w:t>Sujeto Obligado:</w:t>
                </w:r>
              </w:p>
            </w:tc>
            <w:tc>
              <w:tcPr>
                <w:tcW w:w="3283" w:type="dxa"/>
                <w:shd w:val="clear" w:color="auto" w:fill="auto"/>
              </w:tcPr>
              <w:p w:rsidR="00041C32" w:rsidRPr="00A70473" w:rsidRDefault="00041C32" w:rsidP="00F725EE">
                <w:pPr>
                  <w:tabs>
                    <w:tab w:val="left" w:pos="2834"/>
                    <w:tab w:val="right" w:pos="8838"/>
                  </w:tabs>
                  <w:ind w:right="-1552"/>
                  <w:jc w:val="both"/>
                  <w:rPr>
                    <w:rFonts w:ascii="Palatino Linotype" w:eastAsia="Palatino Linotype" w:hAnsi="Palatino Linotype" w:cs="Palatino Linotype"/>
                    <w:sz w:val="22"/>
                    <w:szCs w:val="22"/>
                  </w:rPr>
                </w:pPr>
                <w:r w:rsidRPr="00A70473">
                  <w:rPr>
                    <w:rFonts w:ascii="Palatino Linotype" w:eastAsia="Palatino Linotype" w:hAnsi="Palatino Linotype" w:cs="Palatino Linotype"/>
                    <w:sz w:val="22"/>
                    <w:szCs w:val="22"/>
                  </w:rPr>
                  <w:t>Oficialía Mayor</w:t>
                </w:r>
              </w:p>
            </w:tc>
          </w:tr>
          <w:tr w:rsidR="00041C32" w:rsidRPr="004401C8">
            <w:trPr>
              <w:trHeight w:val="295"/>
            </w:trPr>
            <w:tc>
              <w:tcPr>
                <w:tcW w:w="3377" w:type="dxa"/>
                <w:shd w:val="clear" w:color="auto" w:fill="auto"/>
              </w:tcPr>
              <w:p w:rsidR="00041C32" w:rsidRPr="00A70473" w:rsidRDefault="00041C32" w:rsidP="004401C8">
                <w:pPr>
                  <w:tabs>
                    <w:tab w:val="right" w:pos="8838"/>
                  </w:tabs>
                  <w:ind w:left="850" w:right="-105"/>
                  <w:jc w:val="both"/>
                  <w:rPr>
                    <w:rFonts w:ascii="Palatino Linotype" w:eastAsia="Palatino Linotype" w:hAnsi="Palatino Linotype" w:cs="Palatino Linotype"/>
                    <w:b/>
                    <w:sz w:val="22"/>
                    <w:szCs w:val="22"/>
                  </w:rPr>
                </w:pPr>
                <w:r w:rsidRPr="00A70473">
                  <w:rPr>
                    <w:rFonts w:ascii="Palatino Linotype" w:eastAsia="Palatino Linotype" w:hAnsi="Palatino Linotype" w:cs="Palatino Linotype"/>
                    <w:b/>
                    <w:sz w:val="22"/>
                    <w:szCs w:val="22"/>
                  </w:rPr>
                  <w:t>Comisionada ponente:</w:t>
                </w:r>
              </w:p>
            </w:tc>
            <w:tc>
              <w:tcPr>
                <w:tcW w:w="3283" w:type="dxa"/>
                <w:shd w:val="clear" w:color="auto" w:fill="auto"/>
              </w:tcPr>
              <w:p w:rsidR="00041C32" w:rsidRPr="00A70473" w:rsidRDefault="00041C32" w:rsidP="004401C8">
                <w:pPr>
                  <w:tabs>
                    <w:tab w:val="right" w:pos="8838"/>
                  </w:tabs>
                  <w:ind w:right="-781"/>
                  <w:jc w:val="both"/>
                  <w:rPr>
                    <w:rFonts w:ascii="Palatino Linotype" w:eastAsia="Palatino Linotype" w:hAnsi="Palatino Linotype" w:cs="Palatino Linotype"/>
                    <w:sz w:val="22"/>
                    <w:szCs w:val="22"/>
                  </w:rPr>
                </w:pPr>
                <w:r w:rsidRPr="00A70473">
                  <w:rPr>
                    <w:rFonts w:ascii="Palatino Linotype" w:eastAsia="Palatino Linotype" w:hAnsi="Palatino Linotype" w:cs="Palatino Linotype"/>
                    <w:sz w:val="22"/>
                    <w:szCs w:val="22"/>
                  </w:rPr>
                  <w:t>María del Rosario Mejía Ayala</w:t>
                </w:r>
              </w:p>
              <w:p w:rsidR="00041C32" w:rsidRPr="00A70473" w:rsidRDefault="00041C32" w:rsidP="004401C8">
                <w:pPr>
                  <w:tabs>
                    <w:tab w:val="right" w:pos="8838"/>
                  </w:tabs>
                  <w:ind w:left="141" w:right="-781"/>
                  <w:jc w:val="both"/>
                  <w:rPr>
                    <w:rFonts w:ascii="Palatino Linotype" w:eastAsia="Palatino Linotype" w:hAnsi="Palatino Linotype" w:cs="Palatino Linotype"/>
                    <w:sz w:val="22"/>
                    <w:szCs w:val="22"/>
                  </w:rPr>
                </w:pPr>
              </w:p>
            </w:tc>
          </w:tr>
        </w:tbl>
        <w:p w:rsidR="00041C32" w:rsidRPr="004401C8" w:rsidRDefault="00041C32" w:rsidP="004401C8">
          <w:pPr>
            <w:tabs>
              <w:tab w:val="right" w:pos="8838"/>
            </w:tabs>
            <w:ind w:left="-28"/>
            <w:jc w:val="both"/>
            <w:rPr>
              <w:rFonts w:ascii="Arial" w:eastAsia="Arial" w:hAnsi="Arial" w:cs="Arial"/>
              <w:b/>
              <w:sz w:val="18"/>
              <w:szCs w:val="22"/>
            </w:rPr>
          </w:pPr>
        </w:p>
      </w:tc>
    </w:tr>
  </w:tbl>
  <w:p w:rsidR="00041C32" w:rsidRDefault="00E81368">
    <w:pPr>
      <w:pBdr>
        <w:top w:val="nil"/>
        <w:left w:val="nil"/>
        <w:bottom w:val="nil"/>
        <w:right w:val="nil"/>
        <w:between w:val="nil"/>
      </w:pBdr>
      <w:tabs>
        <w:tab w:val="center" w:pos="4419"/>
        <w:tab w:val="right" w:pos="8838"/>
      </w:tabs>
      <w:rPr>
        <w:color w:val="000000"/>
        <w:sz w:val="14"/>
        <w:szCs w:val="14"/>
      </w:rPr>
    </w:pPr>
    <w:r>
      <w:rPr>
        <w:color w:val="000000"/>
        <w:sz w:val="14"/>
        <w:szCs w:val="1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alt="" style="position:absolute;margin-left:-68.8pt;margin-top:-120.5pt;width:589.8pt;height:768pt;z-index:-251659776;mso-position-horizontal:absolute;mso-position-horizontal-relative:margin;mso-position-vertical:absolute;mso-position-vertical-relative:margin">
          <v:imagedata r:id="rId1" o:title="image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1C32" w:rsidRDefault="00041C32">
    <w:pPr>
      <w:widowControl w:val="0"/>
      <w:pBdr>
        <w:top w:val="nil"/>
        <w:left w:val="nil"/>
        <w:bottom w:val="nil"/>
        <w:right w:val="nil"/>
        <w:between w:val="nil"/>
      </w:pBdr>
      <w:spacing w:line="276" w:lineRule="auto"/>
      <w:rPr>
        <w:color w:val="000000"/>
        <w:sz w:val="14"/>
        <w:szCs w:val="14"/>
      </w:rPr>
    </w:pPr>
  </w:p>
  <w:tbl>
    <w:tblPr>
      <w:tblStyle w:val="a7"/>
      <w:tblW w:w="10065" w:type="dxa"/>
      <w:tblInd w:w="0" w:type="dxa"/>
      <w:tblLayout w:type="fixed"/>
      <w:tblLook w:val="0400" w:firstRow="0" w:lastRow="0" w:firstColumn="0" w:lastColumn="0" w:noHBand="0" w:noVBand="1"/>
    </w:tblPr>
    <w:tblGrid>
      <w:gridCol w:w="2265"/>
      <w:gridCol w:w="7800"/>
    </w:tblGrid>
    <w:tr w:rsidR="00041C32">
      <w:trPr>
        <w:trHeight w:val="1435"/>
      </w:trPr>
      <w:tc>
        <w:tcPr>
          <w:tcW w:w="2265" w:type="dxa"/>
          <w:shd w:val="clear" w:color="auto" w:fill="auto"/>
        </w:tcPr>
        <w:p w:rsidR="00041C32" w:rsidRDefault="00041C32">
          <w:pPr>
            <w:tabs>
              <w:tab w:val="right" w:pos="4273"/>
            </w:tabs>
            <w:rPr>
              <w:rFonts w:ascii="Garamond" w:eastAsia="Garamond" w:hAnsi="Garamond" w:cs="Garamond"/>
              <w:sz w:val="22"/>
              <w:szCs w:val="22"/>
            </w:rPr>
          </w:pPr>
        </w:p>
      </w:tc>
      <w:tc>
        <w:tcPr>
          <w:tcW w:w="7800" w:type="dxa"/>
          <w:shd w:val="clear" w:color="auto" w:fill="auto"/>
        </w:tcPr>
        <w:p w:rsidR="00041C32" w:rsidRDefault="00041C32">
          <w:pPr>
            <w:widowControl w:val="0"/>
            <w:pBdr>
              <w:top w:val="nil"/>
              <w:left w:val="nil"/>
              <w:bottom w:val="nil"/>
              <w:right w:val="nil"/>
              <w:between w:val="nil"/>
            </w:pBdr>
            <w:spacing w:line="276" w:lineRule="auto"/>
            <w:rPr>
              <w:rFonts w:ascii="Garamond" w:eastAsia="Garamond" w:hAnsi="Garamond" w:cs="Garamond"/>
              <w:sz w:val="22"/>
              <w:szCs w:val="22"/>
            </w:rPr>
          </w:pPr>
        </w:p>
        <w:tbl>
          <w:tblPr>
            <w:tblStyle w:val="a8"/>
            <w:tblW w:w="7410" w:type="dxa"/>
            <w:tblInd w:w="0" w:type="dxa"/>
            <w:tblLayout w:type="fixed"/>
            <w:tblLook w:val="0400" w:firstRow="0" w:lastRow="0" w:firstColumn="0" w:lastColumn="0" w:noHBand="0" w:noVBand="1"/>
          </w:tblPr>
          <w:tblGrid>
            <w:gridCol w:w="2490"/>
            <w:gridCol w:w="4920"/>
          </w:tblGrid>
          <w:tr w:rsidR="00041C32">
            <w:trPr>
              <w:trHeight w:val="144"/>
            </w:trPr>
            <w:tc>
              <w:tcPr>
                <w:tcW w:w="2490" w:type="dxa"/>
                <w:shd w:val="clear" w:color="auto" w:fill="auto"/>
              </w:tcPr>
              <w:p w:rsidR="00041C32" w:rsidRPr="00A70473" w:rsidRDefault="00041C32" w:rsidP="004401C8">
                <w:pPr>
                  <w:tabs>
                    <w:tab w:val="right" w:pos="8838"/>
                  </w:tabs>
                  <w:ind w:left="-264" w:right="-105" w:firstLine="195"/>
                  <w:rPr>
                    <w:rFonts w:ascii="Palatino Linotype" w:eastAsia="Palatino Linotype" w:hAnsi="Palatino Linotype" w:cs="Palatino Linotype"/>
                    <w:b/>
                    <w:sz w:val="22"/>
                    <w:szCs w:val="22"/>
                  </w:rPr>
                </w:pPr>
                <w:r w:rsidRPr="00A70473">
                  <w:rPr>
                    <w:rFonts w:ascii="Palatino Linotype" w:eastAsia="Palatino Linotype" w:hAnsi="Palatino Linotype" w:cs="Palatino Linotype"/>
                    <w:b/>
                    <w:sz w:val="22"/>
                    <w:szCs w:val="22"/>
                  </w:rPr>
                  <w:t>Recurso de Revisión:</w:t>
                </w:r>
              </w:p>
            </w:tc>
            <w:tc>
              <w:tcPr>
                <w:tcW w:w="4920" w:type="dxa"/>
                <w:shd w:val="clear" w:color="auto" w:fill="auto"/>
              </w:tcPr>
              <w:p w:rsidR="00041C32" w:rsidRPr="00A70473" w:rsidRDefault="00041C32" w:rsidP="003A1F84">
                <w:pPr>
                  <w:tabs>
                    <w:tab w:val="right" w:pos="8838"/>
                  </w:tabs>
                  <w:ind w:right="-1552"/>
                  <w:rPr>
                    <w:rFonts w:ascii="Palatino Linotype" w:eastAsia="Palatino Linotype" w:hAnsi="Palatino Linotype" w:cs="Palatino Linotype"/>
                    <w:sz w:val="22"/>
                    <w:szCs w:val="22"/>
                  </w:rPr>
                </w:pPr>
                <w:r w:rsidRPr="00A70473">
                  <w:rPr>
                    <w:rFonts w:ascii="Palatino Linotype" w:eastAsia="Palatino Linotype" w:hAnsi="Palatino Linotype" w:cs="Palatino Linotype"/>
                    <w:sz w:val="22"/>
                    <w:szCs w:val="22"/>
                  </w:rPr>
                  <w:t>07473/INFOEM/IP/RR/2024</w:t>
                </w:r>
              </w:p>
            </w:tc>
          </w:tr>
          <w:tr w:rsidR="00041C32">
            <w:trPr>
              <w:trHeight w:val="144"/>
            </w:trPr>
            <w:tc>
              <w:tcPr>
                <w:tcW w:w="2490" w:type="dxa"/>
                <w:shd w:val="clear" w:color="auto" w:fill="auto"/>
              </w:tcPr>
              <w:p w:rsidR="00041C32" w:rsidRPr="00A70473" w:rsidRDefault="00041C32" w:rsidP="004401C8">
                <w:pPr>
                  <w:tabs>
                    <w:tab w:val="right" w:pos="8838"/>
                  </w:tabs>
                  <w:ind w:left="-74" w:right="-105"/>
                  <w:rPr>
                    <w:rFonts w:ascii="Palatino Linotype" w:eastAsia="Palatino Linotype" w:hAnsi="Palatino Linotype" w:cs="Palatino Linotype"/>
                    <w:b/>
                    <w:sz w:val="22"/>
                    <w:szCs w:val="22"/>
                  </w:rPr>
                </w:pPr>
                <w:r w:rsidRPr="00A70473">
                  <w:rPr>
                    <w:rFonts w:ascii="Palatino Linotype" w:eastAsia="Palatino Linotype" w:hAnsi="Palatino Linotype" w:cs="Palatino Linotype"/>
                    <w:b/>
                    <w:sz w:val="22"/>
                    <w:szCs w:val="22"/>
                  </w:rPr>
                  <w:t>Recurrente:</w:t>
                </w:r>
              </w:p>
            </w:tc>
            <w:tc>
              <w:tcPr>
                <w:tcW w:w="4920" w:type="dxa"/>
                <w:shd w:val="clear" w:color="auto" w:fill="auto"/>
              </w:tcPr>
              <w:p w:rsidR="00041C32" w:rsidRPr="00A70473" w:rsidRDefault="00041C32" w:rsidP="004401C8">
                <w:pPr>
                  <w:tabs>
                    <w:tab w:val="left" w:pos="3122"/>
                    <w:tab w:val="right" w:pos="8838"/>
                  </w:tabs>
                  <w:ind w:right="-1552"/>
                  <w:rPr>
                    <w:rFonts w:ascii="Palatino Linotype" w:eastAsia="Palatino Linotype" w:hAnsi="Palatino Linotype" w:cs="Palatino Linotype"/>
                    <w:sz w:val="22"/>
                    <w:szCs w:val="22"/>
                  </w:rPr>
                </w:pPr>
              </w:p>
            </w:tc>
          </w:tr>
          <w:tr w:rsidR="00041C32" w:rsidTr="004401C8">
            <w:trPr>
              <w:trHeight w:val="80"/>
            </w:trPr>
            <w:tc>
              <w:tcPr>
                <w:tcW w:w="2490" w:type="dxa"/>
                <w:shd w:val="clear" w:color="auto" w:fill="auto"/>
              </w:tcPr>
              <w:p w:rsidR="00041C32" w:rsidRPr="00A70473" w:rsidRDefault="00041C32" w:rsidP="004401C8">
                <w:pPr>
                  <w:tabs>
                    <w:tab w:val="right" w:pos="8838"/>
                  </w:tabs>
                  <w:ind w:left="-74" w:right="-105"/>
                  <w:rPr>
                    <w:rFonts w:ascii="Palatino Linotype" w:eastAsia="Palatino Linotype" w:hAnsi="Palatino Linotype" w:cs="Palatino Linotype"/>
                    <w:b/>
                    <w:sz w:val="22"/>
                    <w:szCs w:val="22"/>
                  </w:rPr>
                </w:pPr>
                <w:r w:rsidRPr="00A70473">
                  <w:rPr>
                    <w:rFonts w:ascii="Palatino Linotype" w:eastAsia="Palatino Linotype" w:hAnsi="Palatino Linotype" w:cs="Palatino Linotype"/>
                    <w:b/>
                    <w:sz w:val="22"/>
                    <w:szCs w:val="22"/>
                  </w:rPr>
                  <w:t>Sujeto Obligado:</w:t>
                </w:r>
              </w:p>
            </w:tc>
            <w:tc>
              <w:tcPr>
                <w:tcW w:w="4920" w:type="dxa"/>
                <w:shd w:val="clear" w:color="auto" w:fill="auto"/>
              </w:tcPr>
              <w:p w:rsidR="00041C32" w:rsidRPr="00A70473" w:rsidRDefault="00041C32" w:rsidP="00F725EE">
                <w:pPr>
                  <w:tabs>
                    <w:tab w:val="left" w:pos="2834"/>
                    <w:tab w:val="right" w:pos="8838"/>
                  </w:tabs>
                  <w:ind w:right="-1552"/>
                  <w:rPr>
                    <w:rFonts w:ascii="Palatino Linotype" w:eastAsia="Palatino Linotype" w:hAnsi="Palatino Linotype" w:cs="Palatino Linotype"/>
                    <w:sz w:val="22"/>
                    <w:szCs w:val="22"/>
                  </w:rPr>
                </w:pPr>
                <w:r w:rsidRPr="00A70473">
                  <w:rPr>
                    <w:rFonts w:ascii="Palatino Linotype" w:eastAsia="Palatino Linotype" w:hAnsi="Palatino Linotype" w:cs="Palatino Linotype"/>
                    <w:sz w:val="22"/>
                    <w:szCs w:val="22"/>
                  </w:rPr>
                  <w:t>Oficialía Mayor</w:t>
                </w:r>
              </w:p>
            </w:tc>
          </w:tr>
          <w:tr w:rsidR="00041C32">
            <w:trPr>
              <w:trHeight w:val="283"/>
            </w:trPr>
            <w:tc>
              <w:tcPr>
                <w:tcW w:w="2490" w:type="dxa"/>
                <w:shd w:val="clear" w:color="auto" w:fill="auto"/>
              </w:tcPr>
              <w:p w:rsidR="00041C32" w:rsidRPr="00A70473" w:rsidRDefault="00041C32" w:rsidP="004401C8">
                <w:pPr>
                  <w:tabs>
                    <w:tab w:val="right" w:pos="8838"/>
                  </w:tabs>
                  <w:ind w:right="-105"/>
                  <w:rPr>
                    <w:rFonts w:ascii="Palatino Linotype" w:eastAsia="Palatino Linotype" w:hAnsi="Palatino Linotype" w:cs="Palatino Linotype"/>
                    <w:b/>
                    <w:sz w:val="22"/>
                    <w:szCs w:val="22"/>
                  </w:rPr>
                </w:pPr>
                <w:r w:rsidRPr="00A70473">
                  <w:rPr>
                    <w:rFonts w:ascii="Palatino Linotype" w:eastAsia="Palatino Linotype" w:hAnsi="Palatino Linotype" w:cs="Palatino Linotype"/>
                    <w:b/>
                    <w:sz w:val="22"/>
                    <w:szCs w:val="22"/>
                  </w:rPr>
                  <w:t>Comisionada ponente:</w:t>
                </w:r>
              </w:p>
            </w:tc>
            <w:tc>
              <w:tcPr>
                <w:tcW w:w="4920" w:type="dxa"/>
                <w:shd w:val="clear" w:color="auto" w:fill="auto"/>
              </w:tcPr>
              <w:p w:rsidR="00041C32" w:rsidRPr="00A70473" w:rsidRDefault="00041C32" w:rsidP="004401C8">
                <w:pPr>
                  <w:tabs>
                    <w:tab w:val="right" w:pos="8838"/>
                  </w:tabs>
                  <w:ind w:right="-1552"/>
                  <w:rPr>
                    <w:rFonts w:ascii="Palatino Linotype" w:eastAsia="Palatino Linotype" w:hAnsi="Palatino Linotype" w:cs="Palatino Linotype"/>
                    <w:sz w:val="22"/>
                    <w:szCs w:val="22"/>
                  </w:rPr>
                </w:pPr>
                <w:r w:rsidRPr="00A70473">
                  <w:rPr>
                    <w:rFonts w:ascii="Palatino Linotype" w:eastAsia="Palatino Linotype" w:hAnsi="Palatino Linotype" w:cs="Palatino Linotype"/>
                    <w:sz w:val="22"/>
                    <w:szCs w:val="22"/>
                  </w:rPr>
                  <w:t>María del Rosario Mejía Ayala</w:t>
                </w:r>
              </w:p>
              <w:p w:rsidR="00041C32" w:rsidRPr="00A70473" w:rsidRDefault="00041C32" w:rsidP="004401C8">
                <w:pPr>
                  <w:tabs>
                    <w:tab w:val="right" w:pos="8838"/>
                  </w:tabs>
                  <w:ind w:right="-1552"/>
                  <w:rPr>
                    <w:rFonts w:ascii="Palatino Linotype" w:eastAsia="Palatino Linotype" w:hAnsi="Palatino Linotype" w:cs="Palatino Linotype"/>
                    <w:sz w:val="22"/>
                    <w:szCs w:val="22"/>
                  </w:rPr>
                </w:pPr>
              </w:p>
            </w:tc>
          </w:tr>
        </w:tbl>
        <w:p w:rsidR="00041C32" w:rsidRDefault="00041C32">
          <w:pPr>
            <w:tabs>
              <w:tab w:val="right" w:pos="8838"/>
            </w:tabs>
            <w:ind w:left="-28"/>
            <w:jc w:val="both"/>
            <w:rPr>
              <w:rFonts w:ascii="Arial" w:eastAsia="Arial" w:hAnsi="Arial" w:cs="Arial"/>
              <w:b/>
              <w:sz w:val="22"/>
              <w:szCs w:val="22"/>
            </w:rPr>
          </w:pPr>
        </w:p>
      </w:tc>
    </w:tr>
  </w:tbl>
  <w:p w:rsidR="00041C32" w:rsidRDefault="00E81368">
    <w:pPr>
      <w:pBdr>
        <w:top w:val="nil"/>
        <w:left w:val="nil"/>
        <w:bottom w:val="nil"/>
        <w:right w:val="nil"/>
        <w:between w:val="nil"/>
      </w:pBdr>
      <w:tabs>
        <w:tab w:val="center" w:pos="4419"/>
        <w:tab w:val="right" w:pos="8838"/>
      </w:tabs>
      <w:rPr>
        <w:color w:val="000000"/>
        <w:sz w:val="2"/>
        <w:szCs w:val="2"/>
      </w:rPr>
    </w:pPr>
    <w:r>
      <w:rPr>
        <w:color w:val="000000"/>
        <w:sz w:val="2"/>
        <w:szCs w:val="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alt="" style="position:absolute;margin-left:-68.8pt;margin-top:-117.6pt;width:589.8pt;height:768pt;z-index:-251658752;mso-position-horizontal:absolute;mso-position-horizontal-relative:margin;mso-position-vertical:absolute;mso-position-vertical-relative:margin">
          <v:imagedata r:id="rId1" o:title="image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E368E"/>
    <w:multiLevelType w:val="hybridMultilevel"/>
    <w:tmpl w:val="4EF463E4"/>
    <w:lvl w:ilvl="0" w:tplc="E2BE5898">
      <w:start w:val="1"/>
      <w:numFmt w:val="lowerLetter"/>
      <w:lvlText w:val="%1)"/>
      <w:lvlJc w:val="left"/>
      <w:pPr>
        <w:ind w:left="1069" w:hanging="360"/>
      </w:pPr>
      <w:rPr>
        <w:rFonts w:hint="default"/>
      </w:rPr>
    </w:lvl>
    <w:lvl w:ilvl="1" w:tplc="DB1C5A80">
      <w:start w:val="1"/>
      <w:numFmt w:val="lowerLetter"/>
      <w:lvlText w:val="%2)"/>
      <w:lvlJc w:val="left"/>
      <w:pPr>
        <w:ind w:left="1789" w:hanging="360"/>
      </w:pPr>
      <w:rPr>
        <w:rFonts w:eastAsia="Calibri" w:hint="default"/>
        <w:i w:val="0"/>
        <w:u w:val="none"/>
      </w:r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
    <w:nsid w:val="07E62363"/>
    <w:multiLevelType w:val="multilevel"/>
    <w:tmpl w:val="A5808C9C"/>
    <w:lvl w:ilvl="0">
      <w:start w:val="1"/>
      <w:numFmt w:val="bullet"/>
      <w:lvlText w:val="●"/>
      <w:lvlJc w:val="left"/>
      <w:pPr>
        <w:ind w:left="2382" w:hanging="360"/>
      </w:pPr>
      <w:rPr>
        <w:rFonts w:ascii="Noto Sans Symbols" w:eastAsia="Noto Sans Symbols" w:hAnsi="Noto Sans Symbols" w:cs="Noto Sans Symbols"/>
      </w:rPr>
    </w:lvl>
    <w:lvl w:ilvl="1">
      <w:start w:val="1"/>
      <w:numFmt w:val="bullet"/>
      <w:lvlText w:val="o"/>
      <w:lvlJc w:val="left"/>
      <w:pPr>
        <w:ind w:left="3102" w:hanging="360"/>
      </w:pPr>
      <w:rPr>
        <w:rFonts w:ascii="Courier New" w:eastAsia="Courier New" w:hAnsi="Courier New" w:cs="Courier New"/>
      </w:rPr>
    </w:lvl>
    <w:lvl w:ilvl="2">
      <w:start w:val="1"/>
      <w:numFmt w:val="bullet"/>
      <w:lvlText w:val="▪"/>
      <w:lvlJc w:val="left"/>
      <w:pPr>
        <w:ind w:left="3822" w:hanging="360"/>
      </w:pPr>
      <w:rPr>
        <w:rFonts w:ascii="Noto Sans Symbols" w:eastAsia="Noto Sans Symbols" w:hAnsi="Noto Sans Symbols" w:cs="Noto Sans Symbols"/>
      </w:rPr>
    </w:lvl>
    <w:lvl w:ilvl="3">
      <w:start w:val="1"/>
      <w:numFmt w:val="bullet"/>
      <w:lvlText w:val="●"/>
      <w:lvlJc w:val="left"/>
      <w:pPr>
        <w:ind w:left="4542" w:hanging="360"/>
      </w:pPr>
      <w:rPr>
        <w:rFonts w:ascii="Noto Sans Symbols" w:eastAsia="Noto Sans Symbols" w:hAnsi="Noto Sans Symbols" w:cs="Noto Sans Symbols"/>
      </w:rPr>
    </w:lvl>
    <w:lvl w:ilvl="4">
      <w:start w:val="1"/>
      <w:numFmt w:val="bullet"/>
      <w:lvlText w:val="o"/>
      <w:lvlJc w:val="left"/>
      <w:pPr>
        <w:ind w:left="5262" w:hanging="360"/>
      </w:pPr>
      <w:rPr>
        <w:rFonts w:ascii="Courier New" w:eastAsia="Courier New" w:hAnsi="Courier New" w:cs="Courier New"/>
      </w:rPr>
    </w:lvl>
    <w:lvl w:ilvl="5">
      <w:start w:val="1"/>
      <w:numFmt w:val="bullet"/>
      <w:lvlText w:val="▪"/>
      <w:lvlJc w:val="left"/>
      <w:pPr>
        <w:ind w:left="5982" w:hanging="360"/>
      </w:pPr>
      <w:rPr>
        <w:rFonts w:ascii="Noto Sans Symbols" w:eastAsia="Noto Sans Symbols" w:hAnsi="Noto Sans Symbols" w:cs="Noto Sans Symbols"/>
      </w:rPr>
    </w:lvl>
    <w:lvl w:ilvl="6">
      <w:start w:val="1"/>
      <w:numFmt w:val="bullet"/>
      <w:lvlText w:val="●"/>
      <w:lvlJc w:val="left"/>
      <w:pPr>
        <w:ind w:left="6702" w:hanging="360"/>
      </w:pPr>
      <w:rPr>
        <w:rFonts w:ascii="Noto Sans Symbols" w:eastAsia="Noto Sans Symbols" w:hAnsi="Noto Sans Symbols" w:cs="Noto Sans Symbols"/>
      </w:rPr>
    </w:lvl>
    <w:lvl w:ilvl="7">
      <w:start w:val="1"/>
      <w:numFmt w:val="bullet"/>
      <w:lvlText w:val="o"/>
      <w:lvlJc w:val="left"/>
      <w:pPr>
        <w:ind w:left="7422" w:hanging="360"/>
      </w:pPr>
      <w:rPr>
        <w:rFonts w:ascii="Courier New" w:eastAsia="Courier New" w:hAnsi="Courier New" w:cs="Courier New"/>
      </w:rPr>
    </w:lvl>
    <w:lvl w:ilvl="8">
      <w:start w:val="1"/>
      <w:numFmt w:val="bullet"/>
      <w:lvlText w:val="▪"/>
      <w:lvlJc w:val="left"/>
      <w:pPr>
        <w:ind w:left="8142" w:hanging="360"/>
      </w:pPr>
      <w:rPr>
        <w:rFonts w:ascii="Noto Sans Symbols" w:eastAsia="Noto Sans Symbols" w:hAnsi="Noto Sans Symbols" w:cs="Noto Sans Symbols"/>
      </w:rPr>
    </w:lvl>
  </w:abstractNum>
  <w:abstractNum w:abstractNumId="2">
    <w:nsid w:val="0A905BCE"/>
    <w:multiLevelType w:val="hybridMultilevel"/>
    <w:tmpl w:val="918633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0EC1274E"/>
    <w:multiLevelType w:val="multilevel"/>
    <w:tmpl w:val="1388BC6C"/>
    <w:lvl w:ilvl="0">
      <w:start w:val="1"/>
      <w:numFmt w:val="decimal"/>
      <w:lvlText w:val="%1."/>
      <w:lvlJc w:val="left"/>
      <w:pPr>
        <w:ind w:left="644" w:hanging="357"/>
      </w:pPr>
      <w:rPr>
        <w:rFonts w:ascii="Palatino Linotype" w:eastAsia="Palatino Linotype" w:hAnsi="Palatino Linotype" w:cs="Palatino Linotype"/>
        <w:b/>
        <w:i w:val="0"/>
        <w:color w:val="000000"/>
        <w:sz w:val="24"/>
        <w:szCs w:val="24"/>
      </w:rPr>
    </w:lvl>
    <w:lvl w:ilvl="1">
      <w:start w:val="1"/>
      <w:numFmt w:val="upperRoman"/>
      <w:lvlText w:val="%2."/>
      <w:lvlJc w:val="right"/>
      <w:pPr>
        <w:ind w:left="7525" w:hanging="720"/>
      </w:pPr>
    </w:lvl>
    <w:lvl w:ilvl="2">
      <w:start w:val="4"/>
      <w:numFmt w:val="lowerLetter"/>
      <w:lvlText w:val="%3)"/>
      <w:lvlJc w:val="left"/>
      <w:pPr>
        <w:ind w:left="2340" w:hanging="360"/>
      </w:pPr>
    </w:lvl>
    <w:lvl w:ilvl="3">
      <w:start w:val="1"/>
      <w:numFmt w:val="decimal"/>
      <w:lvlText w:val="%4."/>
      <w:lvlJc w:val="left"/>
      <w:pPr>
        <w:ind w:left="2880" w:hanging="360"/>
      </w:pPr>
    </w:lvl>
    <w:lvl w:ilvl="4">
      <w:start w:val="104"/>
      <w:numFmt w:val="decimal"/>
      <w:lvlText w:val="%5"/>
      <w:lvlJc w:val="left"/>
      <w:pPr>
        <w:ind w:left="3600" w:hanging="360"/>
      </w:pPr>
      <w:rPr>
        <w:b/>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3B6500F"/>
    <w:multiLevelType w:val="hybridMultilevel"/>
    <w:tmpl w:val="23864B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5255F78"/>
    <w:multiLevelType w:val="hybridMultilevel"/>
    <w:tmpl w:val="97D0A1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16992483"/>
    <w:multiLevelType w:val="multilevel"/>
    <w:tmpl w:val="E14A595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18047B1B"/>
    <w:multiLevelType w:val="hybridMultilevel"/>
    <w:tmpl w:val="69AE91D0"/>
    <w:lvl w:ilvl="0" w:tplc="069E2FE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1BE3780E"/>
    <w:multiLevelType w:val="multilevel"/>
    <w:tmpl w:val="E924C958"/>
    <w:lvl w:ilvl="0">
      <w:start w:val="1"/>
      <w:numFmt w:val="decimal"/>
      <w:lvlText w:val="%1."/>
      <w:lvlJc w:val="left"/>
      <w:pPr>
        <w:ind w:left="644" w:hanging="358"/>
      </w:pPr>
      <w:rPr>
        <w:rFonts w:ascii="Palatino Linotype" w:eastAsia="Palatino Linotype" w:hAnsi="Palatino Linotype" w:cs="Palatino Linotype"/>
        <w:b/>
        <w:i w:val="0"/>
        <w:color w:val="000000"/>
        <w:sz w:val="24"/>
        <w:szCs w:val="24"/>
      </w:rPr>
    </w:lvl>
    <w:lvl w:ilvl="1">
      <w:start w:val="1"/>
      <w:numFmt w:val="upperRoman"/>
      <w:lvlText w:val="%2."/>
      <w:lvlJc w:val="right"/>
      <w:pPr>
        <w:ind w:left="7525" w:hanging="720"/>
      </w:pPr>
    </w:lvl>
    <w:lvl w:ilvl="2">
      <w:start w:val="4"/>
      <w:numFmt w:val="lowerLetter"/>
      <w:lvlText w:val="%3)"/>
      <w:lvlJc w:val="left"/>
      <w:pPr>
        <w:ind w:left="2340" w:hanging="360"/>
      </w:pPr>
    </w:lvl>
    <w:lvl w:ilvl="3">
      <w:start w:val="1"/>
      <w:numFmt w:val="decimal"/>
      <w:lvlText w:val="%4."/>
      <w:lvlJc w:val="left"/>
      <w:pPr>
        <w:ind w:left="2880" w:hanging="360"/>
      </w:pPr>
    </w:lvl>
    <w:lvl w:ilvl="4">
      <w:start w:val="104"/>
      <w:numFmt w:val="decimal"/>
      <w:lvlText w:val="%5"/>
      <w:lvlJc w:val="left"/>
      <w:pPr>
        <w:ind w:left="3600" w:hanging="360"/>
      </w:pPr>
      <w:rPr>
        <w:b/>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1C384755"/>
    <w:multiLevelType w:val="multilevel"/>
    <w:tmpl w:val="9BFE070C"/>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1E39176D"/>
    <w:multiLevelType w:val="hybridMultilevel"/>
    <w:tmpl w:val="D3CCC1F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21422093"/>
    <w:multiLevelType w:val="hybridMultilevel"/>
    <w:tmpl w:val="A314A79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6DE58F3"/>
    <w:multiLevelType w:val="hybridMultilevel"/>
    <w:tmpl w:val="34448B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2AB47A2F"/>
    <w:multiLevelType w:val="hybridMultilevel"/>
    <w:tmpl w:val="3B882CD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B213A74"/>
    <w:multiLevelType w:val="multilevel"/>
    <w:tmpl w:val="79286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D927D1D"/>
    <w:multiLevelType w:val="hybridMultilevel"/>
    <w:tmpl w:val="50682128"/>
    <w:lvl w:ilvl="0" w:tplc="3A646C4A">
      <w:start w:val="9"/>
      <w:numFmt w:val="decimal"/>
      <w:lvlText w:val="%1."/>
      <w:lvlJc w:val="left"/>
      <w:pPr>
        <w:ind w:left="720" w:hanging="36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2EA40F37"/>
    <w:multiLevelType w:val="hybridMultilevel"/>
    <w:tmpl w:val="D89C6D80"/>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17">
    <w:nsid w:val="2EF40F66"/>
    <w:multiLevelType w:val="hybridMultilevel"/>
    <w:tmpl w:val="E460E8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34317490"/>
    <w:multiLevelType w:val="hybridMultilevel"/>
    <w:tmpl w:val="66DA59C0"/>
    <w:lvl w:ilvl="0" w:tplc="F5C4018E">
      <w:start w:val="1"/>
      <w:numFmt w:val="decimal"/>
      <w:lvlText w:val="%1."/>
      <w:lvlJc w:val="left"/>
      <w:pPr>
        <w:ind w:left="502" w:hanging="360"/>
      </w:pPr>
      <w:rPr>
        <w:rFonts w:ascii="Palatino Linotype" w:hAnsi="Palatino Linotype" w:hint="default"/>
        <w:b/>
        <w:i w:val="0"/>
        <w:color w:val="auto"/>
        <w:sz w:val="24"/>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4EAF4D13"/>
    <w:multiLevelType w:val="multilevel"/>
    <w:tmpl w:val="21BEFE22"/>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0">
    <w:nsid w:val="53180F32"/>
    <w:multiLevelType w:val="hybridMultilevel"/>
    <w:tmpl w:val="547CB21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1">
    <w:nsid w:val="560839D1"/>
    <w:multiLevelType w:val="hybridMultilevel"/>
    <w:tmpl w:val="7C262A1E"/>
    <w:lvl w:ilvl="0" w:tplc="C302A056">
      <w:start w:val="1"/>
      <w:numFmt w:val="decimal"/>
      <w:lvlText w:val="%1."/>
      <w:lvlJc w:val="left"/>
      <w:pPr>
        <w:ind w:left="928" w:hanging="360"/>
      </w:pPr>
      <w:rPr>
        <w:b/>
        <w:i w:val="0"/>
        <w:color w:val="000000" w:themeColor="text1"/>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5C5866BE"/>
    <w:multiLevelType w:val="hybridMultilevel"/>
    <w:tmpl w:val="5EB841DC"/>
    <w:lvl w:ilvl="0" w:tplc="7EE0C6EC">
      <w:start w:val="1"/>
      <w:numFmt w:val="decimal"/>
      <w:lvlText w:val="%1."/>
      <w:lvlJc w:val="left"/>
      <w:pPr>
        <w:ind w:left="0" w:firstLine="0"/>
      </w:pPr>
      <w:rPr>
        <w:rFonts w:ascii="Palatino Linotype" w:hAnsi="Palatino Linotype" w:hint="default"/>
        <w:b/>
        <w:i w:val="0"/>
        <w:sz w:val="24"/>
      </w:rPr>
    </w:lvl>
    <w:lvl w:ilvl="1" w:tplc="080A0001">
      <w:start w:val="1"/>
      <w:numFmt w:val="bullet"/>
      <w:lvlText w:val=""/>
      <w:lvlJc w:val="left"/>
      <w:pPr>
        <w:ind w:left="1440" w:hanging="360"/>
      </w:pPr>
      <w:rPr>
        <w:rFonts w:ascii="Symbol" w:hAnsi="Symbol" w:hint="default"/>
      </w:rPr>
    </w:lvl>
    <w:lvl w:ilvl="2" w:tplc="080A000B">
      <w:start w:val="1"/>
      <w:numFmt w:val="bullet"/>
      <w:lvlText w:val=""/>
      <w:lvlJc w:val="left"/>
      <w:pPr>
        <w:ind w:left="2340" w:hanging="360"/>
      </w:pPr>
      <w:rPr>
        <w:rFonts w:ascii="Wingdings" w:hAnsi="Wingdings" w:cs="Wingdings" w:hint="default"/>
        <w:strike w:val="0"/>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606853C6"/>
    <w:multiLevelType w:val="hybridMultilevel"/>
    <w:tmpl w:val="77848FCC"/>
    <w:lvl w:ilvl="0" w:tplc="7EE0C6EC">
      <w:start w:val="1"/>
      <w:numFmt w:val="decimal"/>
      <w:lvlText w:val="%1."/>
      <w:lvlJc w:val="left"/>
      <w:pPr>
        <w:ind w:left="0" w:firstLine="0"/>
      </w:pPr>
      <w:rPr>
        <w:rFonts w:ascii="Palatino Linotype" w:hAnsi="Palatino Linotype" w:hint="default"/>
        <w:b/>
        <w:i w:val="0"/>
        <w:sz w:val="24"/>
      </w:rPr>
    </w:lvl>
    <w:lvl w:ilvl="1" w:tplc="080A0001">
      <w:start w:val="1"/>
      <w:numFmt w:val="bullet"/>
      <w:lvlText w:val=""/>
      <w:lvlJc w:val="left"/>
      <w:pPr>
        <w:ind w:left="1440" w:hanging="360"/>
      </w:pPr>
      <w:rPr>
        <w:rFonts w:ascii="Symbol" w:hAnsi="Symbol" w:hint="default"/>
      </w:rPr>
    </w:lvl>
    <w:lvl w:ilvl="2" w:tplc="080A000B">
      <w:start w:val="1"/>
      <w:numFmt w:val="bullet"/>
      <w:lvlText w:val=""/>
      <w:lvlJc w:val="left"/>
      <w:pPr>
        <w:ind w:left="2340" w:hanging="360"/>
      </w:pPr>
      <w:rPr>
        <w:rFonts w:ascii="Wingdings" w:hAnsi="Wingdings" w:cs="Wingdings" w:hint="default"/>
        <w:strike w:val="0"/>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61400D09"/>
    <w:multiLevelType w:val="hybridMultilevel"/>
    <w:tmpl w:val="C30E61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620B7BEC"/>
    <w:multiLevelType w:val="hybridMultilevel"/>
    <w:tmpl w:val="AA7E37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690B08FE"/>
    <w:multiLevelType w:val="hybridMultilevel"/>
    <w:tmpl w:val="65525CE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6CD74F29"/>
    <w:multiLevelType w:val="multilevel"/>
    <w:tmpl w:val="34646FB8"/>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6EAF071A"/>
    <w:multiLevelType w:val="multilevel"/>
    <w:tmpl w:val="4D9A91B0"/>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745C4DFB"/>
    <w:multiLevelType w:val="multilevel"/>
    <w:tmpl w:val="C5D040BC"/>
    <w:lvl w:ilvl="0">
      <w:start w:val="1"/>
      <w:numFmt w:val="decimal"/>
      <w:lvlText w:val="%1."/>
      <w:lvlJc w:val="left"/>
      <w:pPr>
        <w:ind w:left="644" w:hanging="359"/>
      </w:pPr>
      <w:rPr>
        <w:rFonts w:ascii="Palatino Linotype" w:eastAsia="Palatino Linotype" w:hAnsi="Palatino Linotype" w:cs="Palatino Linotype"/>
        <w:b/>
        <w:i w:val="0"/>
        <w:color w:val="000000"/>
        <w:sz w:val="24"/>
        <w:szCs w:val="24"/>
      </w:rPr>
    </w:lvl>
    <w:lvl w:ilvl="1">
      <w:start w:val="1"/>
      <w:numFmt w:val="upperRoman"/>
      <w:lvlText w:val="%2."/>
      <w:lvlJc w:val="right"/>
      <w:pPr>
        <w:ind w:left="7525" w:hanging="720"/>
      </w:pPr>
    </w:lvl>
    <w:lvl w:ilvl="2">
      <w:start w:val="4"/>
      <w:numFmt w:val="lowerLetter"/>
      <w:lvlText w:val="%3)"/>
      <w:lvlJc w:val="left"/>
      <w:pPr>
        <w:ind w:left="2340" w:hanging="360"/>
      </w:pPr>
    </w:lvl>
    <w:lvl w:ilvl="3">
      <w:start w:val="1"/>
      <w:numFmt w:val="decimal"/>
      <w:lvlText w:val="%4."/>
      <w:lvlJc w:val="left"/>
      <w:pPr>
        <w:ind w:left="2880" w:hanging="360"/>
      </w:pPr>
    </w:lvl>
    <w:lvl w:ilvl="4">
      <w:start w:val="104"/>
      <w:numFmt w:val="decimal"/>
      <w:lvlText w:val="%5"/>
      <w:lvlJc w:val="left"/>
      <w:pPr>
        <w:ind w:left="3600" w:hanging="360"/>
      </w:pPr>
      <w:rPr>
        <w:b/>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74692663"/>
    <w:multiLevelType w:val="multilevel"/>
    <w:tmpl w:val="BBB47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70136A0"/>
    <w:multiLevelType w:val="hybridMultilevel"/>
    <w:tmpl w:val="F072DB56"/>
    <w:lvl w:ilvl="0" w:tplc="080A000F">
      <w:start w:val="1"/>
      <w:numFmt w:val="decimal"/>
      <w:lvlText w:val="%1."/>
      <w:lvlJc w:val="left"/>
      <w:pPr>
        <w:ind w:left="2629" w:hanging="360"/>
      </w:pPr>
      <w:rPr>
        <w:rFonts w:hint="default"/>
        <w:i w:val="0"/>
      </w:rPr>
    </w:lvl>
    <w:lvl w:ilvl="1" w:tplc="080A0019">
      <w:start w:val="1"/>
      <w:numFmt w:val="lowerLetter"/>
      <w:lvlText w:val="%2."/>
      <w:lvlJc w:val="left"/>
      <w:pPr>
        <w:ind w:left="1440" w:hanging="360"/>
      </w:pPr>
    </w:lvl>
    <w:lvl w:ilvl="2" w:tplc="41A230E4">
      <w:start w:val="1"/>
      <w:numFmt w:val="upperRoman"/>
      <w:lvlText w:val="%3."/>
      <w:lvlJc w:val="left"/>
      <w:pPr>
        <w:ind w:left="2700" w:hanging="720"/>
      </w:pPr>
      <w:rPr>
        <w:rFonts w:hint="default"/>
      </w:rPr>
    </w:lvl>
    <w:lvl w:ilvl="3" w:tplc="E882483A">
      <w:start w:val="1"/>
      <w:numFmt w:val="lowerLetter"/>
      <w:lvlText w:val="%4)"/>
      <w:lvlJc w:val="left"/>
      <w:pPr>
        <w:ind w:left="2895" w:hanging="375"/>
      </w:pPr>
      <w:rPr>
        <w:rFonts w:eastAsia="Times New Roman" w:cs="Times New Roman" w:hint="default"/>
        <w:color w:val="auto"/>
        <w:sz w:val="24"/>
      </w:r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7C6D22AA"/>
    <w:multiLevelType w:val="multilevel"/>
    <w:tmpl w:val="3EC431A6"/>
    <w:lvl w:ilvl="0">
      <w:start w:val="1"/>
      <w:numFmt w:val="decimal"/>
      <w:lvlText w:val="%1."/>
      <w:lvlJc w:val="left"/>
      <w:pPr>
        <w:ind w:left="502"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upperLetter"/>
      <w:lvlText w:val="%3)"/>
      <w:lvlJc w:val="left"/>
      <w:pPr>
        <w:ind w:left="2340" w:hanging="360"/>
      </w:pPr>
    </w:lvl>
    <w:lvl w:ilvl="3">
      <w:start w:val="1"/>
      <w:numFmt w:val="lowerLetter"/>
      <w:lvlText w:val="%4)"/>
      <w:lvlJc w:val="left"/>
      <w:pPr>
        <w:ind w:left="2880" w:hanging="360"/>
      </w:pPr>
      <w:rPr>
        <w:b w:val="0"/>
        <w:color w:val="00000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32"/>
  </w:num>
  <w:num w:numId="3">
    <w:abstractNumId w:val="9"/>
  </w:num>
  <w:num w:numId="4">
    <w:abstractNumId w:val="19"/>
  </w:num>
  <w:num w:numId="5">
    <w:abstractNumId w:val="6"/>
  </w:num>
  <w:num w:numId="6">
    <w:abstractNumId w:val="31"/>
  </w:num>
  <w:num w:numId="7">
    <w:abstractNumId w:val="24"/>
  </w:num>
  <w:num w:numId="8">
    <w:abstractNumId w:val="21"/>
  </w:num>
  <w:num w:numId="9">
    <w:abstractNumId w:val="20"/>
  </w:num>
  <w:num w:numId="10">
    <w:abstractNumId w:val="8"/>
  </w:num>
  <w:num w:numId="11">
    <w:abstractNumId w:val="2"/>
  </w:num>
  <w:num w:numId="12">
    <w:abstractNumId w:val="26"/>
  </w:num>
  <w:num w:numId="13">
    <w:abstractNumId w:val="7"/>
  </w:num>
  <w:num w:numId="14">
    <w:abstractNumId w:val="4"/>
  </w:num>
  <w:num w:numId="15">
    <w:abstractNumId w:val="12"/>
  </w:num>
  <w:num w:numId="16">
    <w:abstractNumId w:val="22"/>
  </w:num>
  <w:num w:numId="17">
    <w:abstractNumId w:val="23"/>
  </w:num>
  <w:num w:numId="18">
    <w:abstractNumId w:val="11"/>
  </w:num>
  <w:num w:numId="19">
    <w:abstractNumId w:val="10"/>
  </w:num>
  <w:num w:numId="20">
    <w:abstractNumId w:val="13"/>
  </w:num>
  <w:num w:numId="21">
    <w:abstractNumId w:val="27"/>
  </w:num>
  <w:num w:numId="22">
    <w:abstractNumId w:val="17"/>
  </w:num>
  <w:num w:numId="23">
    <w:abstractNumId w:val="28"/>
  </w:num>
  <w:num w:numId="24">
    <w:abstractNumId w:val="25"/>
  </w:num>
  <w:num w:numId="25">
    <w:abstractNumId w:val="5"/>
  </w:num>
  <w:num w:numId="26">
    <w:abstractNumId w:val="29"/>
  </w:num>
  <w:num w:numId="27">
    <w:abstractNumId w:val="18"/>
  </w:num>
  <w:num w:numId="28">
    <w:abstractNumId w:val="0"/>
  </w:num>
  <w:num w:numId="29">
    <w:abstractNumId w:val="30"/>
  </w:num>
  <w:num w:numId="30">
    <w:abstractNumId w:val="14"/>
  </w:num>
  <w:num w:numId="31">
    <w:abstractNumId w:val="1"/>
  </w:num>
  <w:num w:numId="32">
    <w:abstractNumId w:val="15"/>
  </w:num>
  <w:num w:numId="3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4D86"/>
    <w:rsid w:val="00004493"/>
    <w:rsid w:val="00021087"/>
    <w:rsid w:val="00041C32"/>
    <w:rsid w:val="00042FAE"/>
    <w:rsid w:val="00055A1A"/>
    <w:rsid w:val="00060AE6"/>
    <w:rsid w:val="00071244"/>
    <w:rsid w:val="00073512"/>
    <w:rsid w:val="000A31EF"/>
    <w:rsid w:val="000A6B82"/>
    <w:rsid w:val="000C0976"/>
    <w:rsid w:val="000E2127"/>
    <w:rsid w:val="00105645"/>
    <w:rsid w:val="00111C7B"/>
    <w:rsid w:val="00143950"/>
    <w:rsid w:val="00145D84"/>
    <w:rsid w:val="00154636"/>
    <w:rsid w:val="001B6FA3"/>
    <w:rsid w:val="001E0A15"/>
    <w:rsid w:val="001E3125"/>
    <w:rsid w:val="001E3608"/>
    <w:rsid w:val="00233EC9"/>
    <w:rsid w:val="00244DA9"/>
    <w:rsid w:val="00246FC0"/>
    <w:rsid w:val="00251F21"/>
    <w:rsid w:val="002748F7"/>
    <w:rsid w:val="00286163"/>
    <w:rsid w:val="002B0131"/>
    <w:rsid w:val="002C3B1F"/>
    <w:rsid w:val="002C7271"/>
    <w:rsid w:val="002D2693"/>
    <w:rsid w:val="00302FE8"/>
    <w:rsid w:val="00305C25"/>
    <w:rsid w:val="00327CB5"/>
    <w:rsid w:val="00327D76"/>
    <w:rsid w:val="0033488B"/>
    <w:rsid w:val="00350878"/>
    <w:rsid w:val="003843C2"/>
    <w:rsid w:val="003A1F84"/>
    <w:rsid w:val="003A2DC2"/>
    <w:rsid w:val="003D39FD"/>
    <w:rsid w:val="00415A07"/>
    <w:rsid w:val="004401C8"/>
    <w:rsid w:val="004414BC"/>
    <w:rsid w:val="004512E5"/>
    <w:rsid w:val="0045484A"/>
    <w:rsid w:val="00475288"/>
    <w:rsid w:val="00497527"/>
    <w:rsid w:val="004C2409"/>
    <w:rsid w:val="004D20C3"/>
    <w:rsid w:val="004D4CAA"/>
    <w:rsid w:val="004E66BD"/>
    <w:rsid w:val="004E7B76"/>
    <w:rsid w:val="004F5574"/>
    <w:rsid w:val="00503E63"/>
    <w:rsid w:val="0051644E"/>
    <w:rsid w:val="005626F4"/>
    <w:rsid w:val="00571F2A"/>
    <w:rsid w:val="005A6362"/>
    <w:rsid w:val="005C232D"/>
    <w:rsid w:val="005C260A"/>
    <w:rsid w:val="00600A77"/>
    <w:rsid w:val="00613DF7"/>
    <w:rsid w:val="00647AFA"/>
    <w:rsid w:val="00651426"/>
    <w:rsid w:val="00663C8A"/>
    <w:rsid w:val="0066562E"/>
    <w:rsid w:val="006769AF"/>
    <w:rsid w:val="006800B9"/>
    <w:rsid w:val="00681958"/>
    <w:rsid w:val="00696FA3"/>
    <w:rsid w:val="006977DF"/>
    <w:rsid w:val="006A7385"/>
    <w:rsid w:val="006B7FF0"/>
    <w:rsid w:val="006C7FB2"/>
    <w:rsid w:val="006D0C1D"/>
    <w:rsid w:val="006E5F99"/>
    <w:rsid w:val="00702785"/>
    <w:rsid w:val="007322F6"/>
    <w:rsid w:val="00735470"/>
    <w:rsid w:val="00771438"/>
    <w:rsid w:val="007B4642"/>
    <w:rsid w:val="007F6DD7"/>
    <w:rsid w:val="00827BFE"/>
    <w:rsid w:val="00831332"/>
    <w:rsid w:val="00850EB3"/>
    <w:rsid w:val="0086645D"/>
    <w:rsid w:val="008A4128"/>
    <w:rsid w:val="008A7695"/>
    <w:rsid w:val="008B2665"/>
    <w:rsid w:val="008B68CE"/>
    <w:rsid w:val="008D5425"/>
    <w:rsid w:val="008D6B9E"/>
    <w:rsid w:val="009060A0"/>
    <w:rsid w:val="0090631B"/>
    <w:rsid w:val="009144F5"/>
    <w:rsid w:val="00956C4F"/>
    <w:rsid w:val="009669CB"/>
    <w:rsid w:val="009A278E"/>
    <w:rsid w:val="009B7760"/>
    <w:rsid w:val="009C5E65"/>
    <w:rsid w:val="00A22674"/>
    <w:rsid w:val="00A30F8D"/>
    <w:rsid w:val="00A41231"/>
    <w:rsid w:val="00A42556"/>
    <w:rsid w:val="00A54ACB"/>
    <w:rsid w:val="00A64061"/>
    <w:rsid w:val="00A6501F"/>
    <w:rsid w:val="00A70473"/>
    <w:rsid w:val="00A807B4"/>
    <w:rsid w:val="00A83CED"/>
    <w:rsid w:val="00AA0813"/>
    <w:rsid w:val="00AA23EF"/>
    <w:rsid w:val="00AA6962"/>
    <w:rsid w:val="00AB686B"/>
    <w:rsid w:val="00AC4D72"/>
    <w:rsid w:val="00AD7AF8"/>
    <w:rsid w:val="00AE262A"/>
    <w:rsid w:val="00AF2038"/>
    <w:rsid w:val="00AF2A58"/>
    <w:rsid w:val="00B06C82"/>
    <w:rsid w:val="00B81ACA"/>
    <w:rsid w:val="00B82092"/>
    <w:rsid w:val="00BC3D64"/>
    <w:rsid w:val="00BD000C"/>
    <w:rsid w:val="00BE4003"/>
    <w:rsid w:val="00C07A2E"/>
    <w:rsid w:val="00C61F17"/>
    <w:rsid w:val="00C806D4"/>
    <w:rsid w:val="00C82ED1"/>
    <w:rsid w:val="00CB6ECF"/>
    <w:rsid w:val="00D063C3"/>
    <w:rsid w:val="00D74408"/>
    <w:rsid w:val="00D77678"/>
    <w:rsid w:val="00D84840"/>
    <w:rsid w:val="00D857BB"/>
    <w:rsid w:val="00D93E3F"/>
    <w:rsid w:val="00DE095B"/>
    <w:rsid w:val="00DE3D77"/>
    <w:rsid w:val="00E17201"/>
    <w:rsid w:val="00E81368"/>
    <w:rsid w:val="00E94D86"/>
    <w:rsid w:val="00E94DFC"/>
    <w:rsid w:val="00EC4928"/>
    <w:rsid w:val="00EF5C15"/>
    <w:rsid w:val="00F01E50"/>
    <w:rsid w:val="00F10800"/>
    <w:rsid w:val="00F32383"/>
    <w:rsid w:val="00F46C8E"/>
    <w:rsid w:val="00F5723F"/>
    <w:rsid w:val="00F703A3"/>
    <w:rsid w:val="00F725EE"/>
    <w:rsid w:val="00FA59C9"/>
    <w:rsid w:val="00FC50EC"/>
    <w:rsid w:val="00FC7F8F"/>
    <w:rsid w:val="00FD12F2"/>
    <w:rsid w:val="00FD245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06498ABD-94B4-4EEC-98A2-D0C50C174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5EC8"/>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link w:val="Ttulo2Car"/>
    <w:uiPriority w:val="9"/>
    <w:unhideWhenUsed/>
    <w:qFormat/>
    <w:rsid w:val="00835EC8"/>
    <w:pPr>
      <w:keepNext/>
      <w:keepLines/>
      <w:spacing w:before="40" w:line="259" w:lineRule="auto"/>
      <w:outlineLvl w:val="1"/>
    </w:pPr>
    <w:rPr>
      <w:rFonts w:asciiTheme="majorHAnsi" w:eastAsiaTheme="majorEastAsia" w:hAnsiTheme="majorHAnsi" w:cstheme="majorBidi"/>
      <w:color w:val="2E74B5" w:themeColor="accent1" w:themeShade="BF"/>
      <w:sz w:val="26"/>
      <w:szCs w:val="26"/>
      <w:lang w:eastAsia="en-US"/>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customStyle="1" w:styleId="Ttulo2Car">
    <w:name w:val="Título 2 Car"/>
    <w:basedOn w:val="Fuentedeprrafopredeter"/>
    <w:link w:val="Ttulo2"/>
    <w:uiPriority w:val="9"/>
    <w:rsid w:val="00835EC8"/>
    <w:rPr>
      <w:rFonts w:asciiTheme="majorHAnsi" w:eastAsiaTheme="majorEastAsia" w:hAnsiTheme="majorHAnsi" w:cstheme="majorBidi"/>
      <w:color w:val="2E74B5" w:themeColor="accent1" w:themeShade="BF"/>
      <w:sz w:val="26"/>
      <w:szCs w:val="26"/>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835EC8"/>
    <w:pPr>
      <w:ind w:left="720"/>
      <w:contextualSpacing/>
    </w:pPr>
    <w:rPr>
      <w:rFonts w:ascii="Century Gothic" w:hAnsi="Century Gothic"/>
      <w:sz w:val="22"/>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rsid w:val="00835EC8"/>
    <w:rPr>
      <w:rFonts w:ascii="Century Gothic" w:eastAsia="Times New Roman" w:hAnsi="Century Gothic" w:cs="Times New Roman"/>
      <w:szCs w:val="24"/>
      <w:lang w:eastAsia="es-MX"/>
    </w:rPr>
  </w:style>
  <w:style w:type="character" w:styleId="Hipervnculo">
    <w:name w:val="Hyperlink"/>
    <w:aliases w:val="Hipervínculo1,Hipervínculo11,Hipervínculo12,Hipervínculo13,Hipervínculo14,Hipervínculo15"/>
    <w:uiPriority w:val="99"/>
    <w:unhideWhenUsed/>
    <w:rsid w:val="00835EC8"/>
    <w:rPr>
      <w:color w:val="0563C1"/>
      <w:u w:val="single"/>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nhideWhenUsed/>
    <w:qFormat/>
    <w:rsid w:val="00835EC8"/>
    <w:rPr>
      <w:vertAlign w:val="superscript"/>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locked/>
    <w:rsid w:val="00835EC8"/>
    <w:rPr>
      <w:sz w:val="20"/>
      <w:szCs w:val="20"/>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835EC8"/>
    <w:rPr>
      <w:rFonts w:asciiTheme="minorHAnsi" w:eastAsiaTheme="minorHAnsi" w:hAnsiTheme="minorHAnsi" w:cstheme="minorBidi"/>
      <w:sz w:val="20"/>
      <w:szCs w:val="20"/>
      <w:lang w:eastAsia="en-US"/>
    </w:rPr>
  </w:style>
  <w:style w:type="character" w:customStyle="1" w:styleId="TextonotapieCar1">
    <w:name w:val="Texto nota pie Car1"/>
    <w:basedOn w:val="Fuentedeprrafopredeter"/>
    <w:uiPriority w:val="99"/>
    <w:semiHidden/>
    <w:rsid w:val="00835EC8"/>
    <w:rPr>
      <w:rFonts w:ascii="Times New Roman" w:eastAsia="Times New Roman" w:hAnsi="Times New Roman" w:cs="Times New Roman"/>
      <w:sz w:val="20"/>
      <w:szCs w:val="20"/>
      <w:lang w:eastAsia="es-MX"/>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top w:w="0" w:type="dxa"/>
        <w:left w:w="115" w:type="dxa"/>
        <w:bottom w:w="0" w:type="dxa"/>
        <w:right w:w="115" w:type="dxa"/>
      </w:tblCellMar>
    </w:tblPr>
  </w:style>
  <w:style w:type="table" w:customStyle="1" w:styleId="a0">
    <w:basedOn w:val="TableNormal0"/>
    <w:tblPr>
      <w:tblStyleRowBandSize w:val="1"/>
      <w:tblStyleColBandSize w:val="1"/>
      <w:tblCellMar>
        <w:top w:w="0" w:type="dxa"/>
        <w:left w:w="115" w:type="dxa"/>
        <w:bottom w:w="0" w:type="dxa"/>
        <w:right w:w="115" w:type="dxa"/>
      </w:tblCellMar>
    </w:tblPr>
  </w:style>
  <w:style w:type="table" w:customStyle="1" w:styleId="a1">
    <w:basedOn w:val="TableNormal0"/>
    <w:tblPr>
      <w:tblStyleRowBandSize w:val="1"/>
      <w:tblStyleColBandSize w:val="1"/>
      <w:tblCellMar>
        <w:top w:w="0" w:type="dxa"/>
        <w:left w:w="115" w:type="dxa"/>
        <w:bottom w:w="0" w:type="dxa"/>
        <w:right w:w="115" w:type="dxa"/>
      </w:tblCellMar>
    </w:tblPr>
  </w:style>
  <w:style w:type="table" w:customStyle="1" w:styleId="a2">
    <w:basedOn w:val="TableNormal0"/>
    <w:tblPr>
      <w:tblStyleRowBandSize w:val="1"/>
      <w:tblStyleColBandSize w:val="1"/>
      <w:tblCellMar>
        <w:top w:w="0" w:type="dxa"/>
        <w:left w:w="115" w:type="dxa"/>
        <w:bottom w:w="0" w:type="dxa"/>
        <w:right w:w="115" w:type="dxa"/>
      </w:tblCellMar>
    </w:tblPr>
  </w:style>
  <w:style w:type="character" w:styleId="Refdecomentario">
    <w:name w:val="annotation reference"/>
    <w:basedOn w:val="Fuentedeprrafopredeter"/>
    <w:uiPriority w:val="99"/>
    <w:semiHidden/>
    <w:unhideWhenUsed/>
    <w:rsid w:val="009D378D"/>
    <w:rPr>
      <w:sz w:val="16"/>
      <w:szCs w:val="16"/>
    </w:rPr>
  </w:style>
  <w:style w:type="paragraph" w:styleId="Textocomentario">
    <w:name w:val="annotation text"/>
    <w:basedOn w:val="Normal"/>
    <w:link w:val="TextocomentarioCar"/>
    <w:uiPriority w:val="99"/>
    <w:semiHidden/>
    <w:unhideWhenUsed/>
    <w:rsid w:val="009D378D"/>
    <w:rPr>
      <w:sz w:val="20"/>
      <w:szCs w:val="20"/>
    </w:rPr>
  </w:style>
  <w:style w:type="character" w:customStyle="1" w:styleId="TextocomentarioCar">
    <w:name w:val="Texto comentario Car"/>
    <w:basedOn w:val="Fuentedeprrafopredeter"/>
    <w:link w:val="Textocomentario"/>
    <w:uiPriority w:val="99"/>
    <w:semiHidden/>
    <w:rsid w:val="009D378D"/>
    <w:rPr>
      <w:sz w:val="20"/>
      <w:szCs w:val="20"/>
    </w:rPr>
  </w:style>
  <w:style w:type="paragraph" w:styleId="Asuntodelcomentario">
    <w:name w:val="annotation subject"/>
    <w:basedOn w:val="Textocomentario"/>
    <w:next w:val="Textocomentario"/>
    <w:link w:val="AsuntodelcomentarioCar"/>
    <w:uiPriority w:val="99"/>
    <w:semiHidden/>
    <w:unhideWhenUsed/>
    <w:rsid w:val="009D378D"/>
    <w:rPr>
      <w:b/>
      <w:bCs/>
    </w:rPr>
  </w:style>
  <w:style w:type="character" w:customStyle="1" w:styleId="AsuntodelcomentarioCar">
    <w:name w:val="Asunto del comentario Car"/>
    <w:basedOn w:val="TextocomentarioCar"/>
    <w:link w:val="Asuntodelcomentario"/>
    <w:uiPriority w:val="99"/>
    <w:semiHidden/>
    <w:rsid w:val="009D378D"/>
    <w:rPr>
      <w:b/>
      <w:bCs/>
      <w:sz w:val="20"/>
      <w:szCs w:val="20"/>
    </w:rPr>
  </w:style>
  <w:style w:type="paragraph" w:styleId="Textodeglobo">
    <w:name w:val="Balloon Text"/>
    <w:basedOn w:val="Normal"/>
    <w:link w:val="TextodegloboCar"/>
    <w:uiPriority w:val="99"/>
    <w:semiHidden/>
    <w:unhideWhenUsed/>
    <w:rsid w:val="009D378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D378D"/>
    <w:rPr>
      <w:rFonts w:ascii="Segoe UI" w:hAnsi="Segoe UI" w:cs="Segoe UI"/>
      <w:sz w:val="18"/>
      <w:szCs w:val="18"/>
    </w:rPr>
  </w:style>
  <w:style w:type="paragraph" w:styleId="Piedepgina">
    <w:name w:val="footer"/>
    <w:basedOn w:val="Normal"/>
    <w:link w:val="PiedepginaCar"/>
    <w:uiPriority w:val="99"/>
    <w:unhideWhenUsed/>
    <w:rsid w:val="008936E7"/>
    <w:pPr>
      <w:tabs>
        <w:tab w:val="center" w:pos="4419"/>
        <w:tab w:val="right" w:pos="8838"/>
      </w:tabs>
    </w:pPr>
  </w:style>
  <w:style w:type="character" w:customStyle="1" w:styleId="PiedepginaCar">
    <w:name w:val="Pie de página Car"/>
    <w:basedOn w:val="Fuentedeprrafopredeter"/>
    <w:link w:val="Piedepgina"/>
    <w:uiPriority w:val="99"/>
    <w:rsid w:val="008936E7"/>
  </w:style>
  <w:style w:type="table" w:customStyle="1" w:styleId="Tablanormal13">
    <w:name w:val="Tabla normal 13"/>
    <w:basedOn w:val="Tablanormal"/>
    <w:next w:val="Tablanormal1"/>
    <w:uiPriority w:val="41"/>
    <w:rsid w:val="00AF5D34"/>
    <w:rPr>
      <w:rFonts w:asciiTheme="minorHAnsi" w:eastAsiaTheme="minorHAnsi" w:hAnsiTheme="minorHAnsi" w:cstheme="minorBidi"/>
      <w:sz w:val="22"/>
      <w:szCs w:val="22"/>
      <w:lang w:eastAsia="en-US"/>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Tablanormal1">
    <w:name w:val="Plain Table 1"/>
    <w:basedOn w:val="Tablanormal"/>
    <w:uiPriority w:val="41"/>
    <w:rsid w:val="00AF5D34"/>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ipervnculovisitado">
    <w:name w:val="FollowedHyperlink"/>
    <w:basedOn w:val="Fuentedeprrafopredeter"/>
    <w:uiPriority w:val="99"/>
    <w:semiHidden/>
    <w:unhideWhenUsed/>
    <w:rsid w:val="000D6271"/>
    <w:rPr>
      <w:color w:val="954F72" w:themeColor="followedHyperlink"/>
      <w:u w:val="single"/>
    </w:rPr>
  </w:style>
  <w:style w:type="table" w:styleId="Tablaconcuadrcula">
    <w:name w:val="Table Grid"/>
    <w:basedOn w:val="Tablanormal"/>
    <w:uiPriority w:val="39"/>
    <w:rsid w:val="000D627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a3">
    <w:basedOn w:val="TableNormal0"/>
    <w:tblPr>
      <w:tblStyleRowBandSize w:val="1"/>
      <w:tblStyleColBandSize w:val="1"/>
      <w:tblCellMar>
        <w:top w:w="0" w:type="dxa"/>
        <w:left w:w="108" w:type="dxa"/>
        <w:bottom w:w="0" w:type="dxa"/>
        <w:right w:w="108" w:type="dxa"/>
      </w:tblCellMar>
    </w:tblPr>
  </w:style>
  <w:style w:type="table" w:customStyle="1" w:styleId="a4">
    <w:basedOn w:val="TableNormal0"/>
    <w:rPr>
      <w:rFonts w:ascii="Calibri" w:eastAsia="Calibri" w:hAnsi="Calibri" w:cs="Calibri"/>
      <w:sz w:val="22"/>
      <w:szCs w:val="22"/>
    </w:rPr>
    <w:tblPr>
      <w:tblStyleRowBandSize w:val="1"/>
      <w:tblStyleColBandSize w:val="1"/>
      <w:tblCellMar>
        <w:top w:w="0" w:type="dxa"/>
        <w:left w:w="108" w:type="dxa"/>
        <w:bottom w:w="0" w:type="dxa"/>
        <w:right w:w="108"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5">
    <w:basedOn w:val="TableNormal0"/>
    <w:tblPr>
      <w:tblStyleRowBandSize w:val="1"/>
      <w:tblStyleColBandSize w:val="1"/>
      <w:tblCellMar>
        <w:top w:w="0" w:type="dxa"/>
        <w:left w:w="115" w:type="dxa"/>
        <w:bottom w:w="0" w:type="dxa"/>
        <w:right w:w="115" w:type="dxa"/>
      </w:tblCellMar>
    </w:tblPr>
  </w:style>
  <w:style w:type="table" w:customStyle="1" w:styleId="a6">
    <w:basedOn w:val="TableNormal0"/>
    <w:tblPr>
      <w:tblStyleRowBandSize w:val="1"/>
      <w:tblStyleColBandSize w:val="1"/>
      <w:tblCellMar>
        <w:top w:w="0" w:type="dxa"/>
        <w:left w:w="115" w:type="dxa"/>
        <w:bottom w:w="0" w:type="dxa"/>
        <w:right w:w="115" w:type="dxa"/>
      </w:tblCellMar>
    </w:tblPr>
  </w:style>
  <w:style w:type="table" w:customStyle="1" w:styleId="a7">
    <w:basedOn w:val="TableNormal0"/>
    <w:tblPr>
      <w:tblStyleRowBandSize w:val="1"/>
      <w:tblStyleColBandSize w:val="1"/>
      <w:tblCellMar>
        <w:top w:w="0" w:type="dxa"/>
        <w:left w:w="115" w:type="dxa"/>
        <w:bottom w:w="0" w:type="dxa"/>
        <w:right w:w="115" w:type="dxa"/>
      </w:tblCellMar>
    </w:tblPr>
  </w:style>
  <w:style w:type="table" w:customStyle="1" w:styleId="a8">
    <w:basedOn w:val="TableNormal0"/>
    <w:tblPr>
      <w:tblStyleRowBandSize w:val="1"/>
      <w:tblStyleColBandSize w:val="1"/>
      <w:tblCellMar>
        <w:top w:w="0" w:type="dxa"/>
        <w:left w:w="115" w:type="dxa"/>
        <w:bottom w:w="0" w:type="dxa"/>
        <w:right w:w="115" w:type="dxa"/>
      </w:tblCellMar>
    </w:tblPr>
  </w:style>
  <w:style w:type="paragraph" w:styleId="NormalWeb">
    <w:name w:val="Normal (Web)"/>
    <w:basedOn w:val="Normal"/>
    <w:uiPriority w:val="99"/>
    <w:semiHidden/>
    <w:unhideWhenUsed/>
    <w:rsid w:val="00850EB3"/>
    <w:pPr>
      <w:spacing w:before="100" w:beforeAutospacing="1" w:after="100" w:afterAutospacing="1"/>
    </w:pPr>
  </w:style>
  <w:style w:type="paragraph" w:customStyle="1" w:styleId="m5907675151158779931gmail-msolistparagraph">
    <w:name w:val="m_5907675151158779931gmail-msolistparagraph"/>
    <w:basedOn w:val="Normal"/>
    <w:rsid w:val="00F3238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6906027">
      <w:bodyDiv w:val="1"/>
      <w:marLeft w:val="0"/>
      <w:marRight w:val="0"/>
      <w:marTop w:val="0"/>
      <w:marBottom w:val="0"/>
      <w:divBdr>
        <w:top w:val="none" w:sz="0" w:space="0" w:color="auto"/>
        <w:left w:val="none" w:sz="0" w:space="0" w:color="auto"/>
        <w:bottom w:val="none" w:sz="0" w:space="0" w:color="auto"/>
        <w:right w:val="none" w:sz="0" w:space="0" w:color="auto"/>
      </w:divBdr>
    </w:div>
    <w:div w:id="1241863263">
      <w:bodyDiv w:val="1"/>
      <w:marLeft w:val="0"/>
      <w:marRight w:val="0"/>
      <w:marTop w:val="0"/>
      <w:marBottom w:val="0"/>
      <w:divBdr>
        <w:top w:val="none" w:sz="0" w:space="0" w:color="auto"/>
        <w:left w:val="none" w:sz="0" w:space="0" w:color="auto"/>
        <w:bottom w:val="none" w:sz="0" w:space="0" w:color="auto"/>
        <w:right w:val="none" w:sz="0" w:space="0" w:color="auto"/>
      </w:divBdr>
    </w:div>
    <w:div w:id="1564558815">
      <w:bodyDiv w:val="1"/>
      <w:marLeft w:val="0"/>
      <w:marRight w:val="0"/>
      <w:marTop w:val="0"/>
      <w:marBottom w:val="0"/>
      <w:divBdr>
        <w:top w:val="none" w:sz="0" w:space="0" w:color="auto"/>
        <w:left w:val="none" w:sz="0" w:space="0" w:color="auto"/>
        <w:bottom w:val="none" w:sz="0" w:space="0" w:color="auto"/>
        <w:right w:val="none" w:sz="0" w:space="0" w:color="auto"/>
      </w:divBdr>
    </w:div>
    <w:div w:id="1644894978">
      <w:bodyDiv w:val="1"/>
      <w:marLeft w:val="0"/>
      <w:marRight w:val="0"/>
      <w:marTop w:val="0"/>
      <w:marBottom w:val="0"/>
      <w:divBdr>
        <w:top w:val="none" w:sz="0" w:space="0" w:color="auto"/>
        <w:left w:val="none" w:sz="0" w:space="0" w:color="auto"/>
        <w:bottom w:val="none" w:sz="0" w:space="0" w:color="auto"/>
        <w:right w:val="none" w:sz="0" w:space="0" w:color="auto"/>
      </w:divBdr>
    </w:div>
    <w:div w:id="1849754771">
      <w:bodyDiv w:val="1"/>
      <w:marLeft w:val="0"/>
      <w:marRight w:val="0"/>
      <w:marTop w:val="0"/>
      <w:marBottom w:val="0"/>
      <w:divBdr>
        <w:top w:val="none" w:sz="0" w:space="0" w:color="auto"/>
        <w:left w:val="none" w:sz="0" w:space="0" w:color="auto"/>
        <w:bottom w:val="none" w:sz="0" w:space="0" w:color="auto"/>
        <w:right w:val="none" w:sz="0" w:space="0" w:color="auto"/>
      </w:divBdr>
    </w:div>
    <w:div w:id="19890490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saimex.org.mx/saimex/solicitud/downloadAttach/2300419.page" TargetMode="Externa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aimex.org.mx/saimex/solicitud/downloadAttach/2301984.page"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aimex.org.mx/saimex/solicitud/downloadAttach/2301983.pag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saimex.org.mx/saimex/solicitud/downloadAttach/2301982.pag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saimex.org.mx/saimex/solicitud/downloadAttach/2300420.page"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ae6ks4f2mhNuWpQ3GfcRWGbCdTg==">CgMxLjAyCWguM3pueXNoNzIJaC4zZHk2dmttMghoLmdqZGd4czIJaC4zMGowemxsMghoLnR5amN3dDIJaC4xdDNoNXNmMgloLjFmb2I5dGU4AHIhMTR3MDl2bHZHS3lndWdreWcxTVhydzN3b3lza1gycGFl</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22</Pages>
  <Words>5713</Words>
  <Characters>31423</Characters>
  <Application>Microsoft Office Word</Application>
  <DocSecurity>0</DocSecurity>
  <Lines>261</Lines>
  <Paragraphs>74</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37062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INFOEM521</dc:creator>
  <cp:lastModifiedBy>INFOEM416</cp:lastModifiedBy>
  <cp:revision>5</cp:revision>
  <cp:lastPrinted>2025-03-24T16:19:00Z</cp:lastPrinted>
  <dcterms:created xsi:type="dcterms:W3CDTF">2025-03-13T03:33:00Z</dcterms:created>
  <dcterms:modified xsi:type="dcterms:W3CDTF">2025-03-24T16:19:00Z</dcterms:modified>
</cp:coreProperties>
</file>