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834DF" w14:textId="7A882898" w:rsidR="00EC77D9" w:rsidRPr="005556DE" w:rsidRDefault="00EC77D9" w:rsidP="00A62148">
      <w:pPr>
        <w:tabs>
          <w:tab w:val="left" w:pos="8931"/>
        </w:tabs>
        <w:spacing w:after="0" w:line="360" w:lineRule="auto"/>
        <w:rPr>
          <w:rFonts w:eastAsia="Calibri" w:cs="Tahoma"/>
          <w:color w:val="auto"/>
          <w:lang w:val="es-ES"/>
        </w:rPr>
      </w:pPr>
      <w:r w:rsidRPr="005556DE">
        <w:rPr>
          <w:rFonts w:cs="Tahoma"/>
          <w:bCs/>
          <w:color w:val="auto"/>
        </w:rPr>
        <w:t xml:space="preserve">Resolución del Pleno del Instituto de Transparencia, Acceso a la Información Pública y Protección de Datos Personales del Estado de México y Municipios, con domicilio en Metepec, </w:t>
      </w:r>
      <w:r w:rsidRPr="005556DE">
        <w:rPr>
          <w:rFonts w:eastAsia="Calibri" w:cs="Tahoma"/>
          <w:color w:val="auto"/>
          <w:lang w:val="es-ES"/>
        </w:rPr>
        <w:t xml:space="preserve">Estado de México, de fecha </w:t>
      </w:r>
      <w:r w:rsidR="008063AC" w:rsidRPr="005556DE">
        <w:rPr>
          <w:rFonts w:eastAsia="Calibri" w:cs="Tahoma"/>
          <w:color w:val="auto"/>
          <w:lang w:val="es-ES"/>
        </w:rPr>
        <w:t xml:space="preserve">doce </w:t>
      </w:r>
      <w:r w:rsidR="00C672B0" w:rsidRPr="005556DE">
        <w:rPr>
          <w:rFonts w:eastAsia="Calibri" w:cs="Tahoma"/>
          <w:color w:val="auto"/>
          <w:lang w:val="es-ES"/>
        </w:rPr>
        <w:t xml:space="preserve">de febrero de dos mil veinticinco. </w:t>
      </w:r>
    </w:p>
    <w:p w14:paraId="5E4128C6" w14:textId="31091B34" w:rsidR="00EC77D9" w:rsidRPr="005556DE" w:rsidRDefault="004F0E43" w:rsidP="00A62148">
      <w:pPr>
        <w:tabs>
          <w:tab w:val="left" w:pos="5580"/>
        </w:tabs>
        <w:spacing w:after="0" w:line="360" w:lineRule="auto"/>
        <w:rPr>
          <w:rFonts w:eastAsia="Calibri" w:cs="Tahoma"/>
          <w:b/>
          <w:bCs/>
          <w:color w:val="FF0000"/>
          <w:lang w:val="es-ES"/>
        </w:rPr>
      </w:pPr>
      <w:r w:rsidRPr="005556DE">
        <w:rPr>
          <w:rFonts w:eastAsia="Calibri" w:cs="Tahoma"/>
          <w:b/>
          <w:bCs/>
          <w:color w:val="FF0000"/>
          <w:lang w:val="es-ES"/>
        </w:rPr>
        <w:tab/>
      </w:r>
    </w:p>
    <w:p w14:paraId="04C62500" w14:textId="151566CF" w:rsidR="00EC77D9" w:rsidRPr="005556DE" w:rsidRDefault="00EC77D9" w:rsidP="00A62148">
      <w:pPr>
        <w:spacing w:after="0" w:line="360" w:lineRule="auto"/>
        <w:rPr>
          <w:rFonts w:cs="Tahoma"/>
          <w:color w:val="auto"/>
        </w:rPr>
      </w:pPr>
      <w:r w:rsidRPr="005556DE">
        <w:rPr>
          <w:rFonts w:eastAsia="Calibri" w:cs="Tahoma"/>
          <w:b/>
          <w:bCs/>
          <w:color w:val="auto"/>
          <w:lang w:val="es-ES"/>
        </w:rPr>
        <w:t xml:space="preserve">VISTO </w:t>
      </w:r>
      <w:r w:rsidRPr="005556DE">
        <w:rPr>
          <w:rFonts w:eastAsia="Calibri" w:cs="Tahoma"/>
          <w:color w:val="auto"/>
          <w:lang w:val="es-ES"/>
        </w:rPr>
        <w:t xml:space="preserve">el expediente conformado con motivo del Recurso de Revisión </w:t>
      </w:r>
      <w:bookmarkStart w:id="0" w:name="_Hlk168055842"/>
      <w:r w:rsidR="00C67EF9" w:rsidRPr="00AE0B8C">
        <w:rPr>
          <w:rFonts w:eastAsia="Calibri" w:cs="Tahoma"/>
          <w:b/>
          <w:bCs/>
          <w:color w:val="auto"/>
        </w:rPr>
        <w:t>0</w:t>
      </w:r>
      <w:r w:rsidR="00C672B0" w:rsidRPr="00AE0B8C">
        <w:rPr>
          <w:rFonts w:eastAsia="Calibri" w:cs="Tahoma"/>
          <w:b/>
          <w:bCs/>
          <w:color w:val="auto"/>
        </w:rPr>
        <w:t>0176</w:t>
      </w:r>
      <w:r w:rsidR="00C67EF9" w:rsidRPr="00AE0B8C">
        <w:rPr>
          <w:rFonts w:eastAsia="Calibri" w:cs="Tahoma"/>
          <w:b/>
          <w:bCs/>
          <w:color w:val="auto"/>
        </w:rPr>
        <w:t>/INFOEM/IP/RR/202</w:t>
      </w:r>
      <w:bookmarkEnd w:id="0"/>
      <w:r w:rsidR="00C672B0" w:rsidRPr="00AE0B8C">
        <w:rPr>
          <w:rFonts w:eastAsia="Calibri" w:cs="Tahoma"/>
          <w:b/>
          <w:bCs/>
          <w:color w:val="auto"/>
        </w:rPr>
        <w:t>5</w:t>
      </w:r>
      <w:r w:rsidRPr="00AE0B8C">
        <w:rPr>
          <w:rFonts w:eastAsia="Calibri" w:cs="Tahoma"/>
          <w:b/>
          <w:bCs/>
          <w:color w:val="auto"/>
        </w:rPr>
        <w:t>,</w:t>
      </w:r>
      <w:r w:rsidRPr="005556DE">
        <w:rPr>
          <w:rFonts w:eastAsia="Calibri" w:cs="Tahoma"/>
          <w:color w:val="auto"/>
        </w:rPr>
        <w:t xml:space="preserve"> interpuesto</w:t>
      </w:r>
      <w:r w:rsidR="00780B8A" w:rsidRPr="005556DE">
        <w:rPr>
          <w:rFonts w:eastAsia="Calibri" w:cs="Tahoma"/>
          <w:color w:val="auto"/>
        </w:rPr>
        <w:t xml:space="preserve"> </w:t>
      </w:r>
      <w:r w:rsidR="00C67EF9" w:rsidRPr="005556DE">
        <w:rPr>
          <w:rFonts w:eastAsia="Calibri" w:cs="Tahoma"/>
          <w:color w:val="auto"/>
        </w:rPr>
        <w:t>la persona</w:t>
      </w:r>
      <w:r w:rsidRPr="005556DE">
        <w:rPr>
          <w:rFonts w:cs="Tahoma"/>
          <w:color w:val="auto"/>
        </w:rPr>
        <w:t xml:space="preserve"> Recurrente o Particular, en contra</w:t>
      </w:r>
      <w:r w:rsidR="00C67EF9" w:rsidRPr="005556DE">
        <w:rPr>
          <w:rFonts w:cs="Tahoma"/>
          <w:color w:val="auto"/>
        </w:rPr>
        <w:t xml:space="preserve"> </w:t>
      </w:r>
      <w:r w:rsidRPr="005556DE">
        <w:rPr>
          <w:rFonts w:cs="Tahoma"/>
          <w:color w:val="auto"/>
        </w:rPr>
        <w:t xml:space="preserve">de </w:t>
      </w:r>
      <w:r w:rsidR="00C67EF9" w:rsidRPr="005556DE">
        <w:rPr>
          <w:rFonts w:cs="Tahoma"/>
          <w:color w:val="auto"/>
        </w:rPr>
        <w:t xml:space="preserve">la </w:t>
      </w:r>
      <w:r w:rsidRPr="005556DE">
        <w:rPr>
          <w:rFonts w:cs="Tahoma"/>
          <w:color w:val="auto"/>
        </w:rPr>
        <w:t xml:space="preserve">respuesta del Sujeto Obligado, </w:t>
      </w:r>
      <w:r w:rsidR="00C672B0" w:rsidRPr="00AE0B8C">
        <w:rPr>
          <w:rFonts w:cs="Tahoma"/>
          <w:b/>
          <w:bCs/>
          <w:color w:val="auto"/>
        </w:rPr>
        <w:t xml:space="preserve">Ayuntamiento de Toluca, </w:t>
      </w:r>
      <w:r w:rsidRPr="005556DE">
        <w:rPr>
          <w:rFonts w:cs="Tahoma"/>
          <w:color w:val="auto"/>
        </w:rPr>
        <w:t>a la solicitud de acceso a la información pública</w:t>
      </w:r>
      <w:r w:rsidR="00C672B0" w:rsidRPr="005556DE">
        <w:rPr>
          <w:rFonts w:ascii="Verdana" w:hAnsi="Verdana"/>
          <w:b/>
          <w:bCs/>
          <w:color w:val="auto"/>
        </w:rPr>
        <w:t xml:space="preserve"> </w:t>
      </w:r>
      <w:r w:rsidR="00C672B0" w:rsidRPr="005556DE">
        <w:rPr>
          <w:color w:val="auto"/>
        </w:rPr>
        <w:t>03449/TOLUCA/IP/2024</w:t>
      </w:r>
      <w:r w:rsidRPr="005556DE">
        <w:rPr>
          <w:rFonts w:cs="Tahoma"/>
          <w:iCs/>
          <w:color w:val="auto"/>
        </w:rPr>
        <w:t>,</w:t>
      </w:r>
      <w:r w:rsidRPr="005556DE">
        <w:rPr>
          <w:rFonts w:cs="Tahoma"/>
          <w:color w:val="auto"/>
        </w:rPr>
        <w:t xml:space="preserve"> se emite</w:t>
      </w:r>
      <w:r w:rsidRPr="005556DE">
        <w:rPr>
          <w:rFonts w:cs="Tahoma"/>
          <w:bCs/>
          <w:color w:val="auto"/>
        </w:rPr>
        <w:t xml:space="preserve"> la presente Resolución, con base en los Antecedentes y Considerandos que se exponen a continuación:</w:t>
      </w:r>
    </w:p>
    <w:p w14:paraId="40862826" w14:textId="77777777" w:rsidR="00EC77D9" w:rsidRPr="005556DE" w:rsidRDefault="00EC77D9" w:rsidP="00A62148">
      <w:pPr>
        <w:spacing w:after="0" w:line="360" w:lineRule="auto"/>
        <w:rPr>
          <w:rFonts w:eastAsia="Calibri" w:cs="Tahoma"/>
          <w:b/>
          <w:bCs/>
          <w:color w:val="auto"/>
          <w:lang w:val="es-ES"/>
        </w:rPr>
      </w:pPr>
    </w:p>
    <w:p w14:paraId="75BF07A7" w14:textId="1B1A449D" w:rsidR="00EC77D9" w:rsidRPr="005556DE" w:rsidRDefault="00EC77D9" w:rsidP="00A62148">
      <w:pPr>
        <w:spacing w:after="0" w:line="360" w:lineRule="auto"/>
        <w:jc w:val="center"/>
        <w:rPr>
          <w:rFonts w:eastAsia="Calibri" w:cs="Tahoma"/>
          <w:b/>
          <w:bCs/>
          <w:color w:val="auto"/>
          <w:lang w:val="es-ES"/>
        </w:rPr>
      </w:pPr>
      <w:r w:rsidRPr="005556DE">
        <w:rPr>
          <w:rFonts w:eastAsia="Calibri" w:cs="Tahoma"/>
          <w:b/>
          <w:bCs/>
          <w:color w:val="auto"/>
          <w:lang w:val="es-ES"/>
        </w:rPr>
        <w:t>A N T E C E D E N T E S</w:t>
      </w:r>
    </w:p>
    <w:p w14:paraId="3C95874E" w14:textId="77777777" w:rsidR="00EC77D9" w:rsidRPr="005556DE" w:rsidRDefault="00EC77D9" w:rsidP="00A62148">
      <w:pPr>
        <w:spacing w:after="0" w:line="360" w:lineRule="auto"/>
        <w:rPr>
          <w:color w:val="FF0000"/>
          <w:lang w:val="es-ES"/>
        </w:rPr>
      </w:pPr>
    </w:p>
    <w:p w14:paraId="4F749C11" w14:textId="16E58D7E" w:rsidR="00EC77D9" w:rsidRPr="005556DE" w:rsidRDefault="00EC77D9" w:rsidP="00A62148">
      <w:pPr>
        <w:spacing w:after="0" w:line="360" w:lineRule="auto"/>
        <w:rPr>
          <w:rFonts w:eastAsia="Calibri" w:cs="Tahoma"/>
          <w:b/>
          <w:bCs/>
          <w:color w:val="auto"/>
          <w:lang w:val="es-ES"/>
        </w:rPr>
      </w:pPr>
      <w:r w:rsidRPr="005556DE">
        <w:rPr>
          <w:rFonts w:eastAsia="Calibri" w:cs="Tahoma"/>
          <w:b/>
          <w:bCs/>
          <w:color w:val="auto"/>
          <w:lang w:val="es-ES"/>
        </w:rPr>
        <w:t>I. Presentación</w:t>
      </w:r>
      <w:r w:rsidR="00C672B0" w:rsidRPr="005556DE">
        <w:rPr>
          <w:rFonts w:eastAsia="Calibri" w:cs="Tahoma"/>
          <w:b/>
          <w:bCs/>
          <w:color w:val="auto"/>
          <w:lang w:val="es-ES"/>
        </w:rPr>
        <w:t xml:space="preserve"> de la solicitud de información</w:t>
      </w:r>
    </w:p>
    <w:p w14:paraId="2856D2CB" w14:textId="77777777" w:rsidR="000F08D4" w:rsidRPr="005556DE" w:rsidRDefault="000F08D4" w:rsidP="00A62148">
      <w:pPr>
        <w:spacing w:after="0" w:line="360" w:lineRule="auto"/>
        <w:rPr>
          <w:rFonts w:cs="Tahoma"/>
          <w:color w:val="auto"/>
        </w:rPr>
      </w:pPr>
    </w:p>
    <w:p w14:paraId="46A55CEB" w14:textId="0CAE2FF4" w:rsidR="00D17D14" w:rsidRPr="005556DE" w:rsidRDefault="00EA79A8" w:rsidP="00A62148">
      <w:pPr>
        <w:spacing w:after="0" w:line="360" w:lineRule="auto"/>
        <w:rPr>
          <w:rFonts w:eastAsia="Calibri" w:cs="Tahoma"/>
          <w:color w:val="auto"/>
          <w:lang w:val="es-ES"/>
        </w:rPr>
      </w:pPr>
      <w:r w:rsidRPr="005556DE">
        <w:rPr>
          <w:rFonts w:eastAsia="Calibri" w:cs="Tahoma"/>
          <w:color w:val="auto"/>
        </w:rPr>
        <w:t>El</w:t>
      </w:r>
      <w:r w:rsidR="000F08D4" w:rsidRPr="005556DE">
        <w:rPr>
          <w:rFonts w:eastAsia="Calibri" w:cs="Tahoma"/>
          <w:color w:val="auto"/>
          <w:lang w:val="es-ES"/>
        </w:rPr>
        <w:t xml:space="preserve"> </w:t>
      </w:r>
      <w:r w:rsidR="00C672B0" w:rsidRPr="005556DE">
        <w:rPr>
          <w:rFonts w:eastAsia="Calibri" w:cs="Tahoma"/>
          <w:color w:val="auto"/>
          <w:lang w:val="es-ES"/>
        </w:rPr>
        <w:t xml:space="preserve">diez de diciembre de dos mil </w:t>
      </w:r>
      <w:r w:rsidR="003D0B51" w:rsidRPr="005556DE">
        <w:rPr>
          <w:rFonts w:eastAsia="Calibri" w:cs="Tahoma"/>
          <w:color w:val="auto"/>
          <w:lang w:val="es-ES"/>
        </w:rPr>
        <w:t>veinticuatro</w:t>
      </w:r>
      <w:r w:rsidR="00C672B0" w:rsidRPr="005556DE">
        <w:rPr>
          <w:rFonts w:eastAsia="Calibri" w:cs="Tahoma"/>
          <w:color w:val="auto"/>
          <w:lang w:val="es-ES"/>
        </w:rPr>
        <w:t xml:space="preserve">, </w:t>
      </w:r>
      <w:r w:rsidR="000F08D4" w:rsidRPr="005556DE">
        <w:rPr>
          <w:rFonts w:eastAsia="Calibri" w:cs="Tahoma"/>
          <w:color w:val="auto"/>
          <w:lang w:val="es-ES"/>
        </w:rPr>
        <w:t xml:space="preserve">se presentó una solicitud de información </w:t>
      </w:r>
      <w:r w:rsidR="009C1D2E" w:rsidRPr="005556DE">
        <w:rPr>
          <w:rFonts w:eastAsia="Calibri" w:cs="Tahoma"/>
          <w:color w:val="auto"/>
          <w:lang w:val="es-ES"/>
        </w:rPr>
        <w:t>por la persona Recurrente</w:t>
      </w:r>
      <w:r w:rsidR="000F08D4" w:rsidRPr="005556DE">
        <w:rPr>
          <w:rFonts w:eastAsia="Calibri" w:cs="Tahoma"/>
          <w:color w:val="auto"/>
          <w:lang w:val="es-ES"/>
        </w:rPr>
        <w:t>, a través del Sistema de Acceso a la Información Mexiquense (SAIMEX),</w:t>
      </w:r>
      <w:r w:rsidR="000F08D4" w:rsidRPr="005556DE">
        <w:rPr>
          <w:rFonts w:eastAsia="Calibri" w:cs="Times New Roman"/>
          <w:b/>
          <w:bCs/>
          <w:color w:val="auto"/>
        </w:rPr>
        <w:t xml:space="preserve"> </w:t>
      </w:r>
      <w:r w:rsidR="000F08D4" w:rsidRPr="005556DE">
        <w:rPr>
          <w:rFonts w:eastAsia="Calibri" w:cs="Tahoma"/>
          <w:color w:val="auto"/>
          <w:lang w:val="es-ES"/>
        </w:rPr>
        <w:t>ante</w:t>
      </w:r>
      <w:r w:rsidR="00C573A0" w:rsidRPr="005556DE">
        <w:rPr>
          <w:rFonts w:eastAsia="Calibri" w:cs="Tahoma"/>
          <w:color w:val="auto"/>
          <w:lang w:val="es-ES"/>
        </w:rPr>
        <w:t xml:space="preserve"> el </w:t>
      </w:r>
      <w:r w:rsidR="00C672B0" w:rsidRPr="005556DE">
        <w:rPr>
          <w:rFonts w:eastAsia="Calibri" w:cs="Tahoma"/>
          <w:color w:val="auto"/>
          <w:lang w:val="es-ES"/>
        </w:rPr>
        <w:t>Ayuntamiento de Toluca</w:t>
      </w:r>
      <w:r w:rsidR="000F08D4" w:rsidRPr="005556DE">
        <w:rPr>
          <w:rFonts w:eastAsia="Calibri" w:cs="Tahoma"/>
          <w:color w:val="auto"/>
        </w:rPr>
        <w:t xml:space="preserve">, </w:t>
      </w:r>
      <w:r w:rsidR="000F08D4" w:rsidRPr="005556DE">
        <w:rPr>
          <w:rFonts w:cs="Tahoma"/>
          <w:color w:val="auto"/>
        </w:rPr>
        <w:t>en los siguientes términos</w:t>
      </w:r>
      <w:r w:rsidR="002736F9" w:rsidRPr="005556DE">
        <w:rPr>
          <w:rFonts w:cs="Tahoma"/>
          <w:color w:val="auto"/>
        </w:rPr>
        <w:t>:</w:t>
      </w:r>
    </w:p>
    <w:p w14:paraId="50EA853A" w14:textId="77777777" w:rsidR="00D17D14" w:rsidRPr="005556DE" w:rsidRDefault="00D17D14" w:rsidP="00A62148">
      <w:pPr>
        <w:spacing w:after="0" w:line="360" w:lineRule="auto"/>
        <w:rPr>
          <w:rFonts w:cs="Tahoma"/>
          <w:color w:val="auto"/>
        </w:rPr>
      </w:pPr>
    </w:p>
    <w:p w14:paraId="3C749962" w14:textId="77777777" w:rsidR="00EC77D9" w:rsidRPr="005556DE" w:rsidRDefault="00EC77D9" w:rsidP="00A62148">
      <w:pPr>
        <w:tabs>
          <w:tab w:val="left" w:pos="4667"/>
        </w:tabs>
        <w:spacing w:after="0" w:line="360" w:lineRule="auto"/>
        <w:ind w:left="567" w:right="567"/>
        <w:rPr>
          <w:rFonts w:cs="Tahoma"/>
          <w:b/>
          <w:bCs/>
          <w:i/>
          <w:color w:val="auto"/>
          <w:sz w:val="20"/>
          <w:szCs w:val="20"/>
        </w:rPr>
      </w:pPr>
      <w:r w:rsidRPr="005556DE">
        <w:rPr>
          <w:rFonts w:cs="Tahoma"/>
          <w:b/>
          <w:bCs/>
          <w:i/>
          <w:color w:val="auto"/>
          <w:sz w:val="20"/>
          <w:szCs w:val="20"/>
        </w:rPr>
        <w:t>“DESCRIPCIÓN CLARA Y PRECISA DE LA INFORMACIÓN SOLICITADA</w:t>
      </w:r>
    </w:p>
    <w:p w14:paraId="58218D87" w14:textId="08869562" w:rsidR="00E90E82" w:rsidRPr="005556DE" w:rsidRDefault="002736F9" w:rsidP="00A62148">
      <w:pPr>
        <w:spacing w:after="0" w:line="360" w:lineRule="auto"/>
        <w:ind w:left="567" w:right="567"/>
        <w:rPr>
          <w:rFonts w:eastAsia="Times New Roman" w:cs="Arial"/>
          <w:bCs/>
          <w:i/>
          <w:iCs/>
          <w:color w:val="auto"/>
          <w:sz w:val="20"/>
          <w:szCs w:val="20"/>
          <w:lang w:eastAsia="es-ES"/>
        </w:rPr>
      </w:pPr>
      <w:r w:rsidRPr="005556DE">
        <w:rPr>
          <w:rFonts w:eastAsia="Times New Roman" w:cs="Arial"/>
          <w:bCs/>
          <w:i/>
          <w:iCs/>
          <w:color w:val="auto"/>
          <w:sz w:val="20"/>
          <w:szCs w:val="20"/>
          <w:lang w:eastAsia="es-ES"/>
        </w:rPr>
        <w:t>Quiero conocer todos los contratos firmados por el Ayuntamiento de Toluca durante el año 2024</w:t>
      </w:r>
      <w:r w:rsidR="00EC77D9" w:rsidRPr="005556DE">
        <w:rPr>
          <w:rFonts w:eastAsia="Times New Roman" w:cs="Arial"/>
          <w:bCs/>
          <w:i/>
          <w:iCs/>
          <w:color w:val="auto"/>
          <w:sz w:val="20"/>
          <w:szCs w:val="20"/>
          <w:lang w:eastAsia="es-ES"/>
        </w:rPr>
        <w:t>”</w:t>
      </w:r>
      <w:r w:rsidR="00A62148" w:rsidRPr="005556DE">
        <w:rPr>
          <w:rFonts w:eastAsia="Times New Roman" w:cs="Arial"/>
          <w:bCs/>
          <w:i/>
          <w:iCs/>
          <w:color w:val="auto"/>
          <w:sz w:val="20"/>
          <w:szCs w:val="20"/>
          <w:lang w:eastAsia="es-ES"/>
        </w:rPr>
        <w:t xml:space="preserve"> </w:t>
      </w:r>
      <w:r w:rsidR="00EC77D9" w:rsidRPr="005556DE">
        <w:rPr>
          <w:rFonts w:eastAsia="Times New Roman" w:cs="Arial"/>
          <w:bCs/>
          <w:i/>
          <w:iCs/>
          <w:color w:val="auto"/>
          <w:sz w:val="20"/>
          <w:szCs w:val="20"/>
          <w:lang w:eastAsia="es-ES"/>
        </w:rPr>
        <w:t>(Sic)</w:t>
      </w:r>
    </w:p>
    <w:p w14:paraId="3F4037DA" w14:textId="0A19B38F" w:rsidR="00EC77D9" w:rsidRPr="005556DE" w:rsidRDefault="00EC77D9" w:rsidP="00A62148">
      <w:pPr>
        <w:tabs>
          <w:tab w:val="left" w:pos="4667"/>
        </w:tabs>
        <w:spacing w:after="0" w:line="360" w:lineRule="auto"/>
        <w:ind w:left="567" w:right="567"/>
        <w:rPr>
          <w:rFonts w:cs="Tahoma"/>
          <w:bCs/>
          <w:i/>
          <w:color w:val="auto"/>
          <w:sz w:val="20"/>
          <w:szCs w:val="20"/>
        </w:rPr>
      </w:pPr>
      <w:bookmarkStart w:id="1" w:name="_Hlk168055945"/>
    </w:p>
    <w:p w14:paraId="1DAB7206" w14:textId="0AAF1ECD" w:rsidR="00EC77D9" w:rsidRPr="005556DE" w:rsidRDefault="00EC77D9" w:rsidP="00A62148">
      <w:pPr>
        <w:tabs>
          <w:tab w:val="left" w:pos="4667"/>
        </w:tabs>
        <w:spacing w:after="0" w:line="360" w:lineRule="auto"/>
        <w:ind w:left="567" w:right="567"/>
        <w:rPr>
          <w:rFonts w:eastAsia="Times New Roman" w:cs="Tahoma"/>
          <w:b/>
          <w:bCs/>
          <w:i/>
          <w:iCs/>
          <w:color w:val="auto"/>
          <w:sz w:val="20"/>
          <w:szCs w:val="20"/>
          <w:lang w:eastAsia="es-ES"/>
        </w:rPr>
      </w:pPr>
      <w:r w:rsidRPr="005556DE">
        <w:rPr>
          <w:rFonts w:eastAsia="Times New Roman" w:cs="Tahoma"/>
          <w:b/>
          <w:bCs/>
          <w:i/>
          <w:iCs/>
          <w:color w:val="auto"/>
          <w:sz w:val="20"/>
          <w:szCs w:val="20"/>
          <w:lang w:eastAsia="es-ES"/>
        </w:rPr>
        <w:t>“MODALIDAD DE ENTREGA</w:t>
      </w:r>
    </w:p>
    <w:p w14:paraId="4C266D02" w14:textId="6A09DF63" w:rsidR="00CD4962" w:rsidRPr="005556DE" w:rsidRDefault="00EC77D9" w:rsidP="00A62148">
      <w:pPr>
        <w:spacing w:after="0" w:line="360" w:lineRule="auto"/>
        <w:ind w:left="567" w:right="567"/>
        <w:rPr>
          <w:rFonts w:eastAsia="Times New Roman" w:cs="Arial"/>
          <w:bCs/>
          <w:i/>
          <w:iCs/>
          <w:color w:val="auto"/>
          <w:sz w:val="20"/>
          <w:szCs w:val="20"/>
          <w:lang w:eastAsia="es-ES"/>
        </w:rPr>
      </w:pPr>
      <w:r w:rsidRPr="005556DE">
        <w:rPr>
          <w:rFonts w:eastAsia="Times New Roman" w:cs="Arial"/>
          <w:bCs/>
          <w:i/>
          <w:iCs/>
          <w:color w:val="auto"/>
          <w:sz w:val="20"/>
          <w:szCs w:val="20"/>
          <w:lang w:eastAsia="es-ES"/>
        </w:rPr>
        <w:t>A través del SAIMEX” (Sic)</w:t>
      </w:r>
      <w:bookmarkEnd w:id="1"/>
    </w:p>
    <w:p w14:paraId="44D2076E" w14:textId="77777777" w:rsidR="00E161BB" w:rsidRPr="005556DE" w:rsidRDefault="00E161BB" w:rsidP="00A62148">
      <w:pPr>
        <w:tabs>
          <w:tab w:val="left" w:pos="4667"/>
        </w:tabs>
        <w:spacing w:after="0" w:line="360" w:lineRule="auto"/>
        <w:ind w:right="567"/>
        <w:rPr>
          <w:rFonts w:eastAsia="Times New Roman" w:cs="Tahoma"/>
          <w:b/>
          <w:bCs/>
          <w:color w:val="auto"/>
          <w:szCs w:val="24"/>
          <w:lang w:eastAsia="es-ES"/>
        </w:rPr>
      </w:pPr>
    </w:p>
    <w:p w14:paraId="34F9ADE6" w14:textId="07B1A34A" w:rsidR="001756F2" w:rsidRPr="005556DE" w:rsidRDefault="00A05C78" w:rsidP="00A62148">
      <w:pPr>
        <w:tabs>
          <w:tab w:val="left" w:pos="4667"/>
        </w:tabs>
        <w:spacing w:after="0" w:line="360" w:lineRule="auto"/>
        <w:ind w:right="567"/>
        <w:rPr>
          <w:rFonts w:eastAsia="Times New Roman" w:cs="Tahoma"/>
          <w:b/>
          <w:bCs/>
          <w:color w:val="auto"/>
          <w:szCs w:val="24"/>
          <w:lang w:eastAsia="es-ES"/>
        </w:rPr>
      </w:pPr>
      <w:r w:rsidRPr="005556DE">
        <w:rPr>
          <w:rFonts w:eastAsia="Times New Roman" w:cs="Tahoma"/>
          <w:b/>
          <w:bCs/>
          <w:color w:val="auto"/>
          <w:szCs w:val="24"/>
          <w:lang w:eastAsia="es-ES"/>
        </w:rPr>
        <w:t>I</w:t>
      </w:r>
      <w:r w:rsidR="00265193" w:rsidRPr="005556DE">
        <w:rPr>
          <w:rFonts w:eastAsia="Times New Roman" w:cs="Tahoma"/>
          <w:b/>
          <w:bCs/>
          <w:color w:val="auto"/>
          <w:szCs w:val="24"/>
          <w:lang w:eastAsia="es-ES"/>
        </w:rPr>
        <w:t>I</w:t>
      </w:r>
      <w:r w:rsidR="001756F2" w:rsidRPr="005556DE">
        <w:rPr>
          <w:rFonts w:eastAsia="Times New Roman" w:cs="Tahoma"/>
          <w:b/>
          <w:bCs/>
          <w:color w:val="auto"/>
          <w:szCs w:val="24"/>
          <w:lang w:eastAsia="es-ES"/>
        </w:rPr>
        <w:t xml:space="preserve">. </w:t>
      </w:r>
      <w:r w:rsidR="001756F2" w:rsidRPr="005556DE">
        <w:rPr>
          <w:rFonts w:eastAsia="Times New Roman" w:cs="Tahoma"/>
          <w:b/>
          <w:color w:val="auto"/>
          <w:szCs w:val="24"/>
          <w:lang w:eastAsia="es-ES"/>
        </w:rPr>
        <w:t>Respuesta</w:t>
      </w:r>
      <w:r w:rsidR="00E161BB" w:rsidRPr="005556DE">
        <w:rPr>
          <w:rFonts w:eastAsia="Times New Roman" w:cs="Tahoma"/>
          <w:b/>
          <w:bCs/>
          <w:color w:val="auto"/>
          <w:szCs w:val="24"/>
          <w:lang w:eastAsia="es-ES"/>
        </w:rPr>
        <w:t xml:space="preserve"> del Sujeto Obligado</w:t>
      </w:r>
    </w:p>
    <w:p w14:paraId="13FDC87E" w14:textId="77777777" w:rsidR="008E4F87" w:rsidRPr="005556DE" w:rsidRDefault="008E4F87" w:rsidP="00A62148">
      <w:pPr>
        <w:autoSpaceDE w:val="0"/>
        <w:autoSpaceDN w:val="0"/>
        <w:adjustRightInd w:val="0"/>
        <w:spacing w:after="0" w:line="360" w:lineRule="auto"/>
        <w:rPr>
          <w:rFonts w:eastAsia="Calibri" w:cs="Tahoma"/>
          <w:color w:val="auto"/>
        </w:rPr>
      </w:pPr>
    </w:p>
    <w:p w14:paraId="1F1DE128" w14:textId="77777777" w:rsidR="003D0B51" w:rsidRPr="005556DE" w:rsidRDefault="003D0B51" w:rsidP="00A62148">
      <w:pPr>
        <w:autoSpaceDE w:val="0"/>
        <w:autoSpaceDN w:val="0"/>
        <w:adjustRightInd w:val="0"/>
        <w:spacing w:after="0" w:line="360" w:lineRule="auto"/>
        <w:rPr>
          <w:rFonts w:eastAsia="Calibri" w:cs="Tahoma"/>
          <w:color w:val="auto"/>
        </w:rPr>
      </w:pPr>
    </w:p>
    <w:p w14:paraId="42FA4969" w14:textId="41D64FC9" w:rsidR="00E161BB" w:rsidRPr="005556DE" w:rsidRDefault="00E6783D" w:rsidP="00A62148">
      <w:pPr>
        <w:autoSpaceDE w:val="0"/>
        <w:autoSpaceDN w:val="0"/>
        <w:adjustRightInd w:val="0"/>
        <w:spacing w:after="0" w:line="360" w:lineRule="auto"/>
        <w:contextualSpacing/>
        <w:rPr>
          <w:rFonts w:eastAsia="Times New Roman" w:cs="Tahoma"/>
          <w:color w:val="auto"/>
          <w:lang w:eastAsia="es-ES"/>
        </w:rPr>
      </w:pPr>
      <w:bookmarkStart w:id="2" w:name="_Hlk170906280"/>
      <w:r w:rsidRPr="005556DE">
        <w:rPr>
          <w:rFonts w:eastAsia="Calibri" w:cs="Tahoma"/>
          <w:color w:val="auto"/>
        </w:rPr>
        <w:t xml:space="preserve">El </w:t>
      </w:r>
      <w:r w:rsidR="00E161BB" w:rsidRPr="005556DE">
        <w:rPr>
          <w:rFonts w:eastAsia="Calibri" w:cs="Tahoma"/>
          <w:color w:val="auto"/>
        </w:rPr>
        <w:t xml:space="preserve">veintiuno de enero de dos mil veinticinco, </w:t>
      </w:r>
      <w:r w:rsidRPr="005556DE">
        <w:rPr>
          <w:rFonts w:eastAsia="Calibri" w:cs="Tahoma"/>
          <w:color w:val="auto"/>
        </w:rPr>
        <w:t xml:space="preserve">el Sujeto Obligado notificó al Particular, mediante el </w:t>
      </w:r>
      <w:r w:rsidRPr="005556DE">
        <w:rPr>
          <w:rFonts w:eastAsia="Times New Roman" w:cs="Tahoma"/>
          <w:color w:val="auto"/>
          <w:lang w:eastAsia="es-ES"/>
        </w:rPr>
        <w:t xml:space="preserve">Sistema de Acceso a la Información Mexiquense (SAIMEX), la respuesta a la solicitud de acceso a la información, </w:t>
      </w:r>
      <w:r w:rsidR="001C21EE" w:rsidRPr="005556DE">
        <w:rPr>
          <w:rFonts w:eastAsia="Times New Roman" w:cs="Tahoma"/>
          <w:color w:val="auto"/>
          <w:lang w:eastAsia="es-ES"/>
        </w:rPr>
        <w:t>a través de</w:t>
      </w:r>
      <w:r w:rsidR="00E161BB" w:rsidRPr="005556DE">
        <w:rPr>
          <w:rFonts w:eastAsia="Times New Roman" w:cs="Tahoma"/>
          <w:color w:val="auto"/>
          <w:lang w:eastAsia="es-ES"/>
        </w:rPr>
        <w:t xml:space="preserve"> un escrito de fecha veintiuno de enero de dos mil veinticinco, suscrito por el Titular de la Unidad de Transparencia, dirigido al Solicitante, por medio del cual se menciona lo siguiente:</w:t>
      </w:r>
    </w:p>
    <w:p w14:paraId="08232A82" w14:textId="77777777" w:rsidR="000B5614" w:rsidRPr="005556DE" w:rsidRDefault="000B5614" w:rsidP="00A62148">
      <w:pPr>
        <w:autoSpaceDE w:val="0"/>
        <w:autoSpaceDN w:val="0"/>
        <w:adjustRightInd w:val="0"/>
        <w:spacing w:after="0" w:line="360" w:lineRule="auto"/>
        <w:contextualSpacing/>
        <w:rPr>
          <w:rFonts w:eastAsia="Times New Roman" w:cs="Tahoma"/>
          <w:color w:val="auto"/>
          <w:lang w:eastAsia="es-ES"/>
        </w:rPr>
      </w:pPr>
    </w:p>
    <w:p w14:paraId="31556549" w14:textId="02646F62" w:rsidR="00BC05D7" w:rsidRPr="005556DE" w:rsidRDefault="00BC05D7" w:rsidP="00A62148">
      <w:pPr>
        <w:spacing w:after="0" w:line="360" w:lineRule="auto"/>
        <w:ind w:left="567" w:right="567"/>
        <w:rPr>
          <w:rFonts w:eastAsia="Times New Roman" w:cs="Arial"/>
          <w:bCs/>
          <w:i/>
          <w:iCs/>
          <w:color w:val="auto"/>
          <w:sz w:val="20"/>
          <w:szCs w:val="20"/>
          <w:lang w:eastAsia="es-ES"/>
        </w:rPr>
      </w:pPr>
      <w:r w:rsidRPr="005556DE">
        <w:rPr>
          <w:rFonts w:eastAsia="Times New Roman" w:cs="Arial"/>
          <w:bCs/>
          <w:i/>
          <w:iCs/>
          <w:color w:val="auto"/>
          <w:sz w:val="20"/>
          <w:szCs w:val="20"/>
          <w:lang w:eastAsia="es-ES"/>
        </w:rPr>
        <w:t xml:space="preserve">“…hago de su conocimiento que la </w:t>
      </w:r>
      <w:r w:rsidRPr="005556DE">
        <w:rPr>
          <w:rFonts w:eastAsia="Times New Roman" w:cs="Arial"/>
          <w:b/>
          <w:bCs/>
          <w:i/>
          <w:iCs/>
          <w:color w:val="auto"/>
          <w:sz w:val="20"/>
          <w:szCs w:val="20"/>
          <w:lang w:eastAsia="es-ES"/>
        </w:rPr>
        <w:t xml:space="preserve">Dirección General de Administración y Servidor Público Habilitado, </w:t>
      </w:r>
      <w:r w:rsidRPr="005556DE">
        <w:rPr>
          <w:rFonts w:eastAsia="Times New Roman" w:cs="Arial"/>
          <w:bCs/>
          <w:i/>
          <w:iCs/>
          <w:color w:val="auto"/>
          <w:sz w:val="20"/>
          <w:szCs w:val="20"/>
          <w:lang w:eastAsia="es-ES"/>
        </w:rPr>
        <w:t>informó que la Dirección de Recursos Materiales, informó que después de realizar la búsqueda exhaustiva y razonable, se anexan los contratos firmados durante el año 2024 a la fecha de la solicitud.</w:t>
      </w:r>
    </w:p>
    <w:p w14:paraId="6211A464" w14:textId="77777777" w:rsidR="00BC05D7" w:rsidRPr="005556DE" w:rsidRDefault="00BC05D7" w:rsidP="00A62148">
      <w:pPr>
        <w:spacing w:after="0" w:line="360" w:lineRule="auto"/>
        <w:ind w:left="567" w:right="567"/>
        <w:rPr>
          <w:rFonts w:eastAsia="Times New Roman" w:cs="Arial"/>
          <w:bCs/>
          <w:i/>
          <w:iCs/>
          <w:color w:val="auto"/>
          <w:sz w:val="20"/>
          <w:szCs w:val="20"/>
          <w:lang w:eastAsia="es-ES"/>
        </w:rPr>
      </w:pPr>
    </w:p>
    <w:p w14:paraId="59DC8D76" w14:textId="50FD3E67" w:rsidR="00BC05D7" w:rsidRPr="005556DE" w:rsidRDefault="00BC05D7" w:rsidP="00A62148">
      <w:pPr>
        <w:spacing w:after="0" w:line="360" w:lineRule="auto"/>
        <w:ind w:left="567" w:right="567"/>
        <w:rPr>
          <w:rFonts w:eastAsia="Times New Roman" w:cs="Arial"/>
          <w:bCs/>
          <w:i/>
          <w:iCs/>
          <w:color w:val="auto"/>
          <w:sz w:val="20"/>
          <w:szCs w:val="20"/>
          <w:lang w:eastAsia="es-ES"/>
        </w:rPr>
      </w:pPr>
      <w:r w:rsidRPr="005556DE">
        <w:rPr>
          <w:rFonts w:eastAsia="Times New Roman" w:cs="Arial"/>
          <w:bCs/>
          <w:i/>
          <w:iCs/>
          <w:color w:val="auto"/>
          <w:sz w:val="20"/>
          <w:szCs w:val="20"/>
          <w:lang w:eastAsia="es-ES"/>
        </w:rPr>
        <w:t xml:space="preserve">Así mismo el </w:t>
      </w:r>
      <w:r w:rsidRPr="005556DE">
        <w:rPr>
          <w:rFonts w:eastAsia="Times New Roman" w:cs="Arial"/>
          <w:b/>
          <w:bCs/>
          <w:i/>
          <w:iCs/>
          <w:color w:val="auto"/>
          <w:sz w:val="20"/>
          <w:szCs w:val="20"/>
          <w:lang w:eastAsia="es-ES"/>
        </w:rPr>
        <w:t xml:space="preserve">Instituto Municipal de la Mujer de Toluca y Servidora Pública Habilitada, </w:t>
      </w:r>
      <w:r w:rsidRPr="005556DE">
        <w:rPr>
          <w:rFonts w:eastAsia="Times New Roman" w:cs="Arial"/>
          <w:bCs/>
          <w:i/>
          <w:iCs/>
          <w:color w:val="auto"/>
          <w:sz w:val="20"/>
          <w:szCs w:val="20"/>
          <w:lang w:eastAsia="es-ES"/>
        </w:rPr>
        <w:t xml:space="preserve">informó que después de realizar una búsqueda exhaustiva y razonable, </w:t>
      </w:r>
      <w:r w:rsidR="000B5614" w:rsidRPr="005556DE">
        <w:rPr>
          <w:rFonts w:eastAsia="Times New Roman" w:cs="Arial"/>
          <w:bCs/>
          <w:i/>
          <w:iCs/>
          <w:color w:val="auto"/>
          <w:sz w:val="20"/>
          <w:szCs w:val="20"/>
          <w:lang w:eastAsia="es-ES"/>
        </w:rPr>
        <w:t>informa que lo solicitado ya se encuentra público, sin embargo, se anexa una liga por medio de la cual se podrá consultar lo solicitado por el hoy peticionario.</w:t>
      </w:r>
    </w:p>
    <w:p w14:paraId="5DCFC3F2" w14:textId="77777777" w:rsidR="000B5614" w:rsidRPr="005556DE" w:rsidRDefault="000B5614" w:rsidP="00A62148">
      <w:pPr>
        <w:spacing w:after="0" w:line="360" w:lineRule="auto"/>
        <w:ind w:left="567" w:right="567"/>
        <w:rPr>
          <w:rFonts w:eastAsia="Times New Roman" w:cs="Arial"/>
          <w:bCs/>
          <w:i/>
          <w:iCs/>
          <w:color w:val="auto"/>
          <w:sz w:val="20"/>
          <w:szCs w:val="20"/>
          <w:lang w:eastAsia="es-ES"/>
        </w:rPr>
      </w:pPr>
    </w:p>
    <w:p w14:paraId="654A13D0" w14:textId="7EB1C374" w:rsidR="00BC05D7" w:rsidRPr="005556DE" w:rsidRDefault="006A0DD0" w:rsidP="00A62148">
      <w:pPr>
        <w:spacing w:after="0" w:line="360" w:lineRule="auto"/>
        <w:ind w:left="567" w:right="567"/>
        <w:rPr>
          <w:rFonts w:eastAsia="Times New Roman" w:cs="Arial"/>
          <w:bCs/>
          <w:i/>
          <w:iCs/>
          <w:color w:val="auto"/>
          <w:sz w:val="20"/>
          <w:szCs w:val="20"/>
          <w:lang w:eastAsia="es-ES"/>
        </w:rPr>
      </w:pPr>
      <w:hyperlink r:id="rId8" w:anchor="/info-fraccion/45/197/1" w:history="1">
        <w:r w:rsidRPr="005556DE">
          <w:rPr>
            <w:rStyle w:val="Hipervnculo"/>
            <w:rFonts w:eastAsia="Times New Roman" w:cs="Arial"/>
            <w:bCs/>
            <w:i/>
            <w:iCs/>
            <w:sz w:val="20"/>
            <w:szCs w:val="20"/>
            <w:lang w:eastAsia="es-ES"/>
          </w:rPr>
          <w:t>https://infoem2.ipomex.org.mx/ipomex/#/info-fraccion/45/197/1</w:t>
        </w:r>
      </w:hyperlink>
    </w:p>
    <w:p w14:paraId="1DFDC7DE" w14:textId="5AB0F77A" w:rsidR="0020058C" w:rsidRPr="005556DE" w:rsidRDefault="006A0DD0" w:rsidP="00A62148">
      <w:pPr>
        <w:spacing w:after="0" w:line="360" w:lineRule="auto"/>
        <w:ind w:left="567" w:right="567"/>
        <w:rPr>
          <w:rFonts w:eastAsia="Times New Roman" w:cs="Arial"/>
          <w:bCs/>
          <w:i/>
          <w:iCs/>
          <w:color w:val="auto"/>
          <w:sz w:val="20"/>
          <w:szCs w:val="20"/>
          <w:lang w:eastAsia="es-ES"/>
        </w:rPr>
      </w:pPr>
      <w:r w:rsidRPr="005556DE">
        <w:rPr>
          <w:rFonts w:eastAsia="Times New Roman" w:cs="Arial"/>
          <w:bCs/>
          <w:i/>
          <w:iCs/>
          <w:color w:val="auto"/>
          <w:sz w:val="20"/>
          <w:szCs w:val="20"/>
          <w:lang w:eastAsia="es-ES"/>
        </w:rPr>
        <w:t>…” (Sic</w:t>
      </w:r>
      <w:r w:rsidR="00392509" w:rsidRPr="005556DE">
        <w:rPr>
          <w:rFonts w:eastAsia="Times New Roman" w:cs="Arial"/>
          <w:bCs/>
          <w:i/>
          <w:iCs/>
          <w:color w:val="auto"/>
          <w:sz w:val="20"/>
          <w:szCs w:val="20"/>
          <w:lang w:eastAsia="es-ES"/>
        </w:rPr>
        <w:t>)</w:t>
      </w:r>
    </w:p>
    <w:p w14:paraId="74B5C630" w14:textId="77777777" w:rsidR="007B0D14" w:rsidRPr="005556DE" w:rsidRDefault="007B0D14" w:rsidP="00A62148">
      <w:pPr>
        <w:spacing w:after="0" w:line="360" w:lineRule="auto"/>
        <w:ind w:left="567" w:right="567"/>
        <w:rPr>
          <w:rFonts w:eastAsia="Times New Roman" w:cs="Arial"/>
          <w:bCs/>
          <w:i/>
          <w:iCs/>
          <w:color w:val="auto"/>
          <w:sz w:val="20"/>
          <w:szCs w:val="20"/>
          <w:lang w:eastAsia="es-ES"/>
        </w:rPr>
      </w:pPr>
    </w:p>
    <w:bookmarkEnd w:id="2"/>
    <w:p w14:paraId="56912486" w14:textId="54653D4D" w:rsidR="00EC77D9" w:rsidRPr="005556DE" w:rsidRDefault="00EC77D9" w:rsidP="00A62148">
      <w:pPr>
        <w:autoSpaceDE w:val="0"/>
        <w:autoSpaceDN w:val="0"/>
        <w:adjustRightInd w:val="0"/>
        <w:spacing w:after="0" w:line="360" w:lineRule="auto"/>
        <w:rPr>
          <w:rFonts w:eastAsia="Calibri" w:cs="Tahoma"/>
          <w:b/>
          <w:color w:val="auto"/>
        </w:rPr>
      </w:pPr>
      <w:r w:rsidRPr="005556DE">
        <w:rPr>
          <w:rFonts w:eastAsia="Calibri" w:cs="Tahoma"/>
          <w:b/>
          <w:color w:val="auto"/>
        </w:rPr>
        <w:t>I</w:t>
      </w:r>
      <w:r w:rsidR="007B0D14" w:rsidRPr="005556DE">
        <w:rPr>
          <w:rFonts w:eastAsia="Calibri" w:cs="Tahoma"/>
          <w:b/>
          <w:color w:val="auto"/>
        </w:rPr>
        <w:t>II</w:t>
      </w:r>
      <w:r w:rsidRPr="005556DE">
        <w:rPr>
          <w:rFonts w:eastAsia="Calibri" w:cs="Tahoma"/>
          <w:b/>
          <w:color w:val="auto"/>
        </w:rPr>
        <w:t>. Interpo</w:t>
      </w:r>
      <w:r w:rsidR="007B0D14" w:rsidRPr="005556DE">
        <w:rPr>
          <w:rFonts w:eastAsia="Calibri" w:cs="Tahoma"/>
          <w:b/>
          <w:color w:val="auto"/>
        </w:rPr>
        <w:t>sición del Recurso de Revisión</w:t>
      </w:r>
    </w:p>
    <w:p w14:paraId="193305E5" w14:textId="77777777" w:rsidR="00EC77D9" w:rsidRPr="005556DE" w:rsidRDefault="00EC77D9" w:rsidP="00A62148">
      <w:pPr>
        <w:spacing w:after="0" w:line="360" w:lineRule="auto"/>
        <w:rPr>
          <w:rFonts w:eastAsia="Times New Roman" w:cs="Tahoma"/>
          <w:bCs/>
          <w:color w:val="FF0000"/>
          <w:lang w:eastAsia="es-ES"/>
        </w:rPr>
      </w:pPr>
    </w:p>
    <w:p w14:paraId="24595562" w14:textId="6B49AF73" w:rsidR="00EC77D9" w:rsidRPr="005556DE" w:rsidRDefault="00F1768D" w:rsidP="00A62148">
      <w:pPr>
        <w:spacing w:after="0" w:line="360" w:lineRule="auto"/>
        <w:rPr>
          <w:rFonts w:eastAsia="Times New Roman" w:cs="Tahoma"/>
          <w:bCs/>
          <w:color w:val="auto"/>
          <w:lang w:eastAsia="es-ES"/>
        </w:rPr>
      </w:pPr>
      <w:r w:rsidRPr="005556DE">
        <w:rPr>
          <w:rFonts w:eastAsia="Times New Roman" w:cs="Tahoma"/>
          <w:bCs/>
          <w:color w:val="auto"/>
          <w:lang w:val="es-ES" w:eastAsia="es-ES"/>
        </w:rPr>
        <w:t xml:space="preserve">El </w:t>
      </w:r>
      <w:r w:rsidR="007B0D14" w:rsidRPr="005556DE">
        <w:rPr>
          <w:rFonts w:eastAsia="Times New Roman" w:cs="Tahoma"/>
          <w:bCs/>
          <w:color w:val="auto"/>
          <w:lang w:val="es-ES" w:eastAsia="es-ES"/>
        </w:rPr>
        <w:t xml:space="preserve">veintidós de enero de dos mil veinticinco, </w:t>
      </w:r>
      <w:r w:rsidR="00EE6AAF" w:rsidRPr="005556DE">
        <w:rPr>
          <w:rFonts w:eastAsia="Times New Roman" w:cs="Tahoma"/>
          <w:bCs/>
          <w:color w:val="auto"/>
          <w:lang w:eastAsia="es-ES"/>
        </w:rPr>
        <w:t xml:space="preserve">se recibió en este Instituto, a través del </w:t>
      </w:r>
      <w:r w:rsidR="00EE6AAF" w:rsidRPr="005556DE">
        <w:rPr>
          <w:rFonts w:eastAsia="Times New Roman" w:cs="Tahoma"/>
          <w:bCs/>
          <w:color w:val="auto"/>
          <w:lang w:val="es-ES" w:eastAsia="es-ES"/>
        </w:rPr>
        <w:t>Sistema de Acceso a la Información Mexiquense (SAIMEX)</w:t>
      </w:r>
      <w:r w:rsidR="00EE6AAF" w:rsidRPr="005556DE">
        <w:rPr>
          <w:rFonts w:eastAsia="Times New Roman" w:cs="Tahoma"/>
          <w:bCs/>
          <w:color w:val="auto"/>
          <w:lang w:eastAsia="es-ES"/>
        </w:rPr>
        <w:t>, el Recurso de Revisión interpuesto por la p</w:t>
      </w:r>
      <w:r w:rsidR="00D55E2F" w:rsidRPr="005556DE">
        <w:rPr>
          <w:rFonts w:eastAsia="Times New Roman" w:cs="Tahoma"/>
          <w:bCs/>
          <w:color w:val="auto"/>
          <w:lang w:eastAsia="es-ES"/>
        </w:rPr>
        <w:t>ersona</w:t>
      </w:r>
      <w:r w:rsidR="00EE6AAF" w:rsidRPr="005556DE">
        <w:rPr>
          <w:rFonts w:eastAsia="Times New Roman" w:cs="Tahoma"/>
          <w:bCs/>
          <w:color w:val="auto"/>
          <w:lang w:eastAsia="es-ES"/>
        </w:rPr>
        <w:t xml:space="preserve"> Recurrente, en contra</w:t>
      </w:r>
      <w:r w:rsidR="0068447E" w:rsidRPr="005556DE">
        <w:rPr>
          <w:rFonts w:eastAsia="Times New Roman" w:cs="Tahoma"/>
          <w:bCs/>
          <w:color w:val="auto"/>
          <w:lang w:eastAsia="es-ES"/>
        </w:rPr>
        <w:t xml:space="preserve"> </w:t>
      </w:r>
      <w:r w:rsidR="00EE6AAF" w:rsidRPr="005556DE">
        <w:rPr>
          <w:rFonts w:eastAsia="Times New Roman" w:cs="Tahoma"/>
          <w:bCs/>
          <w:color w:val="auto"/>
          <w:lang w:eastAsia="es-ES"/>
        </w:rPr>
        <w:t>de</w:t>
      </w:r>
      <w:r w:rsidR="0068447E" w:rsidRPr="005556DE">
        <w:rPr>
          <w:rFonts w:eastAsia="Times New Roman" w:cs="Tahoma"/>
          <w:bCs/>
          <w:color w:val="auto"/>
          <w:lang w:eastAsia="es-ES"/>
        </w:rPr>
        <w:t xml:space="preserve"> la</w:t>
      </w:r>
      <w:r w:rsidR="007B0D14" w:rsidRPr="005556DE">
        <w:rPr>
          <w:rFonts w:eastAsia="Times New Roman" w:cs="Tahoma"/>
          <w:bCs/>
          <w:color w:val="auto"/>
          <w:lang w:eastAsia="es-ES"/>
        </w:rPr>
        <w:t xml:space="preserve"> respuesta del Sujeto Obligado</w:t>
      </w:r>
      <w:r w:rsidR="00B90EF8" w:rsidRPr="005556DE">
        <w:rPr>
          <w:rFonts w:eastAsia="Calibri" w:cs="Times New Roman"/>
          <w:color w:val="auto"/>
        </w:rPr>
        <w:t xml:space="preserve">, </w:t>
      </w:r>
      <w:r w:rsidR="00EE6AAF" w:rsidRPr="005556DE">
        <w:rPr>
          <w:rFonts w:eastAsia="Times New Roman" w:cs="Tahoma"/>
          <w:bCs/>
          <w:color w:val="auto"/>
          <w:lang w:eastAsia="es-ES"/>
        </w:rPr>
        <w:t>en los siguientes términos:</w:t>
      </w:r>
    </w:p>
    <w:p w14:paraId="04DCB522" w14:textId="77777777" w:rsidR="007B0D14" w:rsidRPr="005556DE" w:rsidRDefault="007B0D14" w:rsidP="00A62148">
      <w:pPr>
        <w:spacing w:after="0" w:line="360" w:lineRule="auto"/>
        <w:rPr>
          <w:rFonts w:eastAsia="Times New Roman" w:cs="Tahoma"/>
          <w:b/>
          <w:bCs/>
          <w:color w:val="auto"/>
          <w:lang w:val="es-ES" w:eastAsia="es-ES"/>
        </w:rPr>
      </w:pPr>
    </w:p>
    <w:p w14:paraId="1900B5E9" w14:textId="77777777" w:rsidR="003D0B51" w:rsidRPr="005556DE" w:rsidRDefault="003D0B51" w:rsidP="00A62148">
      <w:pPr>
        <w:spacing w:after="0" w:line="360" w:lineRule="auto"/>
        <w:rPr>
          <w:rFonts w:eastAsia="Times New Roman" w:cs="Tahoma"/>
          <w:b/>
          <w:bCs/>
          <w:color w:val="auto"/>
          <w:lang w:val="es-ES" w:eastAsia="es-ES"/>
        </w:rPr>
      </w:pPr>
    </w:p>
    <w:p w14:paraId="122D4953" w14:textId="77777777" w:rsidR="00EC77D9" w:rsidRPr="005556DE" w:rsidRDefault="00EC77D9" w:rsidP="00A62148">
      <w:pPr>
        <w:spacing w:after="0" w:line="360" w:lineRule="auto"/>
        <w:ind w:left="567" w:right="567"/>
        <w:rPr>
          <w:rFonts w:eastAsia="Times New Roman" w:cs="Tahoma"/>
          <w:b/>
          <w:bCs/>
          <w:i/>
          <w:iCs/>
          <w:color w:val="auto"/>
          <w:sz w:val="20"/>
          <w:szCs w:val="20"/>
          <w:lang w:eastAsia="es-ES"/>
        </w:rPr>
      </w:pPr>
      <w:r w:rsidRPr="005556DE">
        <w:rPr>
          <w:rFonts w:eastAsia="Times New Roman" w:cs="Tahoma"/>
          <w:b/>
          <w:bCs/>
          <w:i/>
          <w:iCs/>
          <w:color w:val="auto"/>
          <w:sz w:val="20"/>
          <w:szCs w:val="20"/>
          <w:lang w:eastAsia="es-ES"/>
        </w:rPr>
        <w:lastRenderedPageBreak/>
        <w:t>“ACTO IMPUGNADO</w:t>
      </w:r>
    </w:p>
    <w:p w14:paraId="6E62BBE2" w14:textId="5506ABA3" w:rsidR="00EC77D9" w:rsidRPr="005556DE" w:rsidRDefault="007B0D14" w:rsidP="00A62148">
      <w:pPr>
        <w:spacing w:after="0" w:line="360" w:lineRule="auto"/>
        <w:ind w:left="567" w:right="567"/>
        <w:rPr>
          <w:rFonts w:eastAsia="Times New Roman" w:cs="Tahoma"/>
          <w:bCs/>
          <w:i/>
          <w:iCs/>
          <w:color w:val="auto"/>
          <w:sz w:val="20"/>
          <w:szCs w:val="20"/>
          <w:lang w:eastAsia="es-ES"/>
        </w:rPr>
      </w:pPr>
      <w:r w:rsidRPr="005556DE">
        <w:rPr>
          <w:rFonts w:eastAsia="Times New Roman" w:cs="Tahoma"/>
          <w:bCs/>
          <w:i/>
          <w:iCs/>
          <w:color w:val="auto"/>
          <w:sz w:val="20"/>
          <w:szCs w:val="20"/>
          <w:lang w:eastAsia="es-ES"/>
        </w:rPr>
        <w:t>Es una burla con dolo que debe ser sansionado por la Ley de Transparencia por que dicen que se anexan y no entregan la información no atiende mi solicitud.</w:t>
      </w:r>
      <w:r w:rsidR="009955C1" w:rsidRPr="005556DE">
        <w:rPr>
          <w:rFonts w:eastAsia="Times New Roman" w:cs="Tahoma"/>
          <w:bCs/>
          <w:i/>
          <w:iCs/>
          <w:color w:val="auto"/>
          <w:sz w:val="20"/>
          <w:szCs w:val="20"/>
          <w:lang w:eastAsia="es-ES"/>
        </w:rPr>
        <w:t>”</w:t>
      </w:r>
      <w:r w:rsidR="00EC77D9" w:rsidRPr="005556DE">
        <w:rPr>
          <w:rFonts w:eastAsia="Times New Roman" w:cs="Tahoma"/>
          <w:bCs/>
          <w:i/>
          <w:iCs/>
          <w:color w:val="auto"/>
          <w:sz w:val="20"/>
          <w:szCs w:val="20"/>
          <w:lang w:eastAsia="es-ES"/>
        </w:rPr>
        <w:t xml:space="preserve"> (Sic)</w:t>
      </w:r>
    </w:p>
    <w:p w14:paraId="5CCEB8EC" w14:textId="200EAB7C" w:rsidR="00EC77D9" w:rsidRPr="005556DE" w:rsidRDefault="00EC77D9" w:rsidP="00A62148">
      <w:pPr>
        <w:spacing w:after="0" w:line="360" w:lineRule="auto"/>
        <w:ind w:left="567" w:right="567"/>
        <w:rPr>
          <w:rFonts w:eastAsia="Times New Roman" w:cs="Tahoma"/>
          <w:bCs/>
          <w:i/>
          <w:color w:val="auto"/>
          <w:sz w:val="20"/>
          <w:szCs w:val="20"/>
          <w:lang w:eastAsia="es-ES"/>
        </w:rPr>
      </w:pPr>
    </w:p>
    <w:p w14:paraId="01991E43" w14:textId="7A969951" w:rsidR="00EC77D9" w:rsidRPr="005556DE" w:rsidRDefault="00EC77D9" w:rsidP="00A62148">
      <w:pPr>
        <w:spacing w:after="0" w:line="360" w:lineRule="auto"/>
        <w:ind w:left="567" w:right="567"/>
        <w:rPr>
          <w:rFonts w:eastAsia="Times New Roman" w:cs="Tahoma"/>
          <w:b/>
          <w:bCs/>
          <w:i/>
          <w:color w:val="auto"/>
          <w:sz w:val="20"/>
          <w:szCs w:val="20"/>
          <w:lang w:eastAsia="es-ES"/>
        </w:rPr>
      </w:pPr>
      <w:r w:rsidRPr="005556DE">
        <w:rPr>
          <w:rFonts w:eastAsia="Times New Roman" w:cs="Tahoma"/>
          <w:b/>
          <w:bCs/>
          <w:i/>
          <w:color w:val="auto"/>
          <w:sz w:val="20"/>
          <w:szCs w:val="20"/>
          <w:lang w:eastAsia="es-ES"/>
        </w:rPr>
        <w:t>“RAZONES O MOTIVOS DE LA INCONFORMIDAD</w:t>
      </w:r>
    </w:p>
    <w:p w14:paraId="73434549" w14:textId="15E32833" w:rsidR="00683FC3" w:rsidRPr="005556DE" w:rsidRDefault="007B0D14" w:rsidP="00A62148">
      <w:pPr>
        <w:spacing w:after="0" w:line="360" w:lineRule="auto"/>
        <w:ind w:left="567" w:right="567"/>
        <w:rPr>
          <w:rFonts w:eastAsia="Times New Roman" w:cs="Tahoma"/>
          <w:bCs/>
          <w:i/>
          <w:color w:val="auto"/>
          <w:sz w:val="20"/>
          <w:szCs w:val="20"/>
          <w:lang w:eastAsia="es-ES"/>
        </w:rPr>
      </w:pPr>
      <w:r w:rsidRPr="005556DE">
        <w:rPr>
          <w:rFonts w:eastAsia="Times New Roman" w:cs="Tahoma"/>
          <w:bCs/>
          <w:i/>
          <w:color w:val="auto"/>
          <w:sz w:val="20"/>
          <w:szCs w:val="20"/>
          <w:lang w:eastAsia="es-ES"/>
        </w:rPr>
        <w:t>Es una burla con dolo que debe ser sansionado por la Ley de Transparencia por que dicen que se anexan y no entregan la información no atiende mi solicitud.</w:t>
      </w:r>
      <w:r w:rsidR="00EC77D9" w:rsidRPr="005556DE">
        <w:rPr>
          <w:rFonts w:eastAsia="Times New Roman" w:cs="Tahoma"/>
          <w:bCs/>
          <w:i/>
          <w:color w:val="auto"/>
          <w:sz w:val="20"/>
          <w:szCs w:val="20"/>
          <w:lang w:eastAsia="es-ES"/>
        </w:rPr>
        <w:t>” (Sic)</w:t>
      </w:r>
    </w:p>
    <w:p w14:paraId="47CDC813" w14:textId="77777777" w:rsidR="00683FC3" w:rsidRPr="005556DE" w:rsidRDefault="00683FC3" w:rsidP="00A62148">
      <w:pPr>
        <w:spacing w:after="0" w:line="360" w:lineRule="auto"/>
        <w:rPr>
          <w:rFonts w:eastAsia="Calibri" w:cs="Tahoma"/>
          <w:bCs/>
          <w:color w:val="auto"/>
        </w:rPr>
      </w:pPr>
    </w:p>
    <w:p w14:paraId="32EBD4AE" w14:textId="51EA325E" w:rsidR="00EC77D9" w:rsidRPr="005556DE" w:rsidRDefault="007B0D14" w:rsidP="00A62148">
      <w:pPr>
        <w:spacing w:after="0" w:line="360" w:lineRule="auto"/>
        <w:rPr>
          <w:rFonts w:eastAsia="Batang" w:cs="Tahoma"/>
          <w:b/>
          <w:bCs/>
          <w:color w:val="auto"/>
        </w:rPr>
      </w:pPr>
      <w:r w:rsidRPr="005556DE">
        <w:rPr>
          <w:rFonts w:eastAsia="Calibri" w:cs="Tahoma"/>
          <w:b/>
          <w:color w:val="auto"/>
        </w:rPr>
        <w:t>I</w:t>
      </w:r>
      <w:r w:rsidR="00EC77D9" w:rsidRPr="005556DE">
        <w:rPr>
          <w:rFonts w:eastAsia="Calibri" w:cs="Tahoma"/>
          <w:b/>
          <w:color w:val="auto"/>
        </w:rPr>
        <w:t xml:space="preserve">V. </w:t>
      </w:r>
      <w:r w:rsidR="00EC77D9" w:rsidRPr="005556DE">
        <w:rPr>
          <w:rFonts w:eastAsia="Batang" w:cs="Tahoma"/>
          <w:b/>
          <w:bCs/>
          <w:color w:val="auto"/>
        </w:rPr>
        <w:t>Trámite del Recurso de Revisión</w:t>
      </w:r>
      <w:r w:rsidR="00EC77D9" w:rsidRPr="005556DE">
        <w:rPr>
          <w:rFonts w:eastAsia="Calibri" w:cs="Tahoma"/>
          <w:b/>
          <w:color w:val="auto"/>
        </w:rPr>
        <w:t xml:space="preserve"> </w:t>
      </w:r>
      <w:r w:rsidRPr="005556DE">
        <w:rPr>
          <w:rFonts w:eastAsia="Batang" w:cs="Tahoma"/>
          <w:b/>
          <w:bCs/>
          <w:color w:val="auto"/>
        </w:rPr>
        <w:t>ante este Instituto</w:t>
      </w:r>
    </w:p>
    <w:p w14:paraId="1C4ADB40" w14:textId="77777777" w:rsidR="00EC77D9" w:rsidRPr="005556DE" w:rsidRDefault="00EC77D9" w:rsidP="00A62148">
      <w:pPr>
        <w:spacing w:after="0" w:line="360" w:lineRule="auto"/>
        <w:rPr>
          <w:rFonts w:eastAsia="Batang" w:cs="Tahoma"/>
          <w:bCs/>
          <w:color w:val="auto"/>
        </w:rPr>
      </w:pPr>
    </w:p>
    <w:p w14:paraId="7EC9EE07" w14:textId="0CB065B8" w:rsidR="00EC77D9" w:rsidRPr="005556DE" w:rsidRDefault="00EC77D9" w:rsidP="00A62148">
      <w:pPr>
        <w:spacing w:after="0" w:line="360" w:lineRule="auto"/>
        <w:rPr>
          <w:rFonts w:eastAsia="Times New Roman" w:cs="Tahoma"/>
          <w:bCs/>
          <w:color w:val="auto"/>
          <w:lang w:val="es-ES" w:eastAsia="es-ES"/>
        </w:rPr>
      </w:pPr>
      <w:r w:rsidRPr="005556DE">
        <w:rPr>
          <w:rFonts w:eastAsia="Batang" w:cs="Tahoma"/>
          <w:b/>
          <w:bCs/>
          <w:color w:val="auto"/>
        </w:rPr>
        <w:t>a) Turno del Medio de Impugnación.</w:t>
      </w:r>
      <w:r w:rsidR="00824195" w:rsidRPr="005556DE">
        <w:rPr>
          <w:rFonts w:eastAsia="Batang" w:cs="Tahoma"/>
          <w:bCs/>
          <w:color w:val="auto"/>
        </w:rPr>
        <w:t xml:space="preserve"> </w:t>
      </w:r>
      <w:r w:rsidR="00824195" w:rsidRPr="005556DE">
        <w:rPr>
          <w:rFonts w:eastAsia="Times New Roman" w:cs="Tahoma"/>
          <w:bCs/>
          <w:color w:val="auto"/>
          <w:lang w:val="es-ES" w:eastAsia="es-ES"/>
        </w:rPr>
        <w:t>El</w:t>
      </w:r>
      <w:r w:rsidR="007B0D14" w:rsidRPr="005556DE">
        <w:rPr>
          <w:rFonts w:eastAsia="Times New Roman" w:cs="Tahoma"/>
          <w:bCs/>
          <w:color w:val="auto"/>
          <w:lang w:val="es-ES" w:eastAsia="es-ES"/>
        </w:rPr>
        <w:t xml:space="preserve"> veintidós de enero de dos mil veinticinco,  </w:t>
      </w:r>
      <w:r w:rsidRPr="005556DE">
        <w:rPr>
          <w:rFonts w:eastAsia="Batang" w:cs="Tahoma"/>
          <w:bCs/>
          <w:color w:val="auto"/>
        </w:rPr>
        <w:t xml:space="preserve">el </w:t>
      </w:r>
      <w:r w:rsidRPr="005556DE">
        <w:rPr>
          <w:rFonts w:eastAsia="Calibri" w:cs="Tahoma"/>
          <w:color w:val="auto"/>
          <w:lang w:val="es-ES"/>
        </w:rPr>
        <w:t>Sistema de Acceso a la Información Mexiquense (SAIMEX),</w:t>
      </w:r>
      <w:r w:rsidRPr="005556DE">
        <w:rPr>
          <w:rFonts w:eastAsia="Batang" w:cs="Tahoma"/>
          <w:bCs/>
          <w:color w:val="auto"/>
        </w:rPr>
        <w:t xml:space="preserve"> asignó el número de expediente</w:t>
      </w:r>
      <w:r w:rsidR="00394EBC" w:rsidRPr="005556DE">
        <w:rPr>
          <w:color w:val="auto"/>
        </w:rPr>
        <w:t xml:space="preserve"> </w:t>
      </w:r>
      <w:r w:rsidR="00394EBC" w:rsidRPr="005556DE">
        <w:rPr>
          <w:rFonts w:eastAsia="Calibri" w:cs="Tahoma"/>
          <w:b/>
          <w:bCs/>
          <w:color w:val="auto"/>
        </w:rPr>
        <w:t>0</w:t>
      </w:r>
      <w:r w:rsidR="007B0D14" w:rsidRPr="005556DE">
        <w:rPr>
          <w:rFonts w:eastAsia="Calibri" w:cs="Tahoma"/>
          <w:b/>
          <w:bCs/>
          <w:color w:val="auto"/>
        </w:rPr>
        <w:t>0176/INFOEM/IP/RR/2025</w:t>
      </w:r>
      <w:r w:rsidRPr="005556DE">
        <w:rPr>
          <w:rFonts w:eastAsia="Batang" w:cs="Tahoma"/>
          <w:bCs/>
          <w:color w:val="auto"/>
        </w:rPr>
        <w:t xml:space="preserve">, al Medio de Impugnación que nos ocupa, con base en el sistema aprobado por el Pleno de este </w:t>
      </w:r>
      <w:r w:rsidR="00394EBC" w:rsidRPr="005556DE">
        <w:rPr>
          <w:rFonts w:eastAsia="Batang" w:cs="Tahoma"/>
          <w:bCs/>
          <w:color w:val="auto"/>
        </w:rPr>
        <w:t>Organismo</w:t>
      </w:r>
      <w:r w:rsidRPr="005556DE">
        <w:rPr>
          <w:rFonts w:eastAsia="Batang" w:cs="Tahoma"/>
          <w:bCs/>
          <w:color w:val="auto"/>
        </w:rPr>
        <w:t xml:space="preserve"> Garante y lo turnó al Comisionado Ponente Luis Gustavo Parra Noriega, para los efectos del artículo 185, fracción I de la Ley de Transparencia y Acceso a la Información Pública del Estado de México y Municipios.</w:t>
      </w:r>
    </w:p>
    <w:p w14:paraId="23BD8332" w14:textId="77777777" w:rsidR="00EC77D9" w:rsidRPr="005556DE" w:rsidRDefault="00EC77D9" w:rsidP="00A62148">
      <w:pPr>
        <w:spacing w:after="0" w:line="360" w:lineRule="auto"/>
        <w:rPr>
          <w:rFonts w:eastAsia="Batang" w:cs="Tahoma"/>
          <w:bCs/>
          <w:color w:val="FF0000"/>
        </w:rPr>
      </w:pPr>
    </w:p>
    <w:p w14:paraId="2E948D3C" w14:textId="17507658" w:rsidR="003D0B51" w:rsidRPr="005556DE" w:rsidRDefault="00EC77D9" w:rsidP="00A62148">
      <w:pPr>
        <w:spacing w:after="0" w:line="360" w:lineRule="auto"/>
        <w:rPr>
          <w:rFonts w:eastAsia="Batang" w:cs="Tahoma"/>
          <w:bCs/>
          <w:color w:val="auto"/>
        </w:rPr>
      </w:pPr>
      <w:r w:rsidRPr="005556DE">
        <w:rPr>
          <w:rFonts w:eastAsia="Times New Roman" w:cs="Tahoma"/>
          <w:b/>
          <w:bCs/>
          <w:color w:val="auto"/>
          <w:lang w:eastAsia="es-ES"/>
        </w:rPr>
        <w:t>b) Admisión del Recurso de Revisión</w:t>
      </w:r>
      <w:r w:rsidRPr="005556DE">
        <w:rPr>
          <w:rFonts w:eastAsia="Times New Roman" w:cs="Tahoma"/>
          <w:b/>
          <w:bCs/>
          <w:color w:val="auto"/>
          <w:lang w:val="es-ES_tradnl" w:eastAsia="es-ES"/>
        </w:rPr>
        <w:t xml:space="preserve">. </w:t>
      </w:r>
      <w:r w:rsidRPr="005556DE">
        <w:rPr>
          <w:rFonts w:eastAsia="Batang" w:cs="Tahoma"/>
          <w:bCs/>
          <w:color w:val="auto"/>
        </w:rPr>
        <w:t>El</w:t>
      </w:r>
      <w:r w:rsidR="00A37D74" w:rsidRPr="005556DE">
        <w:rPr>
          <w:rFonts w:eastAsia="Batang" w:cs="Tahoma"/>
          <w:bCs/>
          <w:color w:val="auto"/>
        </w:rPr>
        <w:t xml:space="preserve"> </w:t>
      </w:r>
      <w:r w:rsidR="007B0D14" w:rsidRPr="005556DE">
        <w:rPr>
          <w:rFonts w:eastAsia="Batang" w:cs="Tahoma"/>
          <w:bCs/>
          <w:color w:val="auto"/>
        </w:rPr>
        <w:t xml:space="preserve">veinticuatro de enero de dos mil veinticinco, </w:t>
      </w:r>
      <w:r w:rsidRPr="005556DE">
        <w:rPr>
          <w:rFonts w:eastAsia="Times New Roman" w:cs="Tahoma"/>
          <w:bCs/>
          <w:color w:val="auto"/>
          <w:lang w:val="es-ES_tradnl" w:eastAsia="es-ES"/>
        </w:rPr>
        <w:t xml:space="preserve">se acordó la admisión del Recurso de Revisión interpuesto por </w:t>
      </w:r>
      <w:r w:rsidR="00B064A4" w:rsidRPr="005556DE">
        <w:rPr>
          <w:rFonts w:eastAsia="Times New Roman" w:cs="Tahoma"/>
          <w:bCs/>
          <w:color w:val="auto"/>
          <w:lang w:val="es-ES_tradnl" w:eastAsia="es-ES"/>
        </w:rPr>
        <w:t>la persona</w:t>
      </w:r>
      <w:r w:rsidRPr="005556DE">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el cual fue notificado a las partes</w:t>
      </w:r>
      <w:r w:rsidR="00CB7980" w:rsidRPr="005556DE">
        <w:rPr>
          <w:rFonts w:eastAsia="Times New Roman" w:cs="Tahoma"/>
          <w:bCs/>
          <w:color w:val="auto"/>
          <w:lang w:val="es-ES_tradnl" w:eastAsia="es-ES"/>
        </w:rPr>
        <w:t xml:space="preserve"> </w:t>
      </w:r>
      <w:r w:rsidR="001756F2" w:rsidRPr="005556DE">
        <w:rPr>
          <w:rFonts w:eastAsia="Times New Roman" w:cs="Tahoma"/>
          <w:bCs/>
          <w:color w:val="auto"/>
          <w:lang w:val="es-ES_tradnl" w:eastAsia="es-ES"/>
        </w:rPr>
        <w:t xml:space="preserve">el </w:t>
      </w:r>
      <w:r w:rsidR="007B0D14" w:rsidRPr="005556DE">
        <w:rPr>
          <w:rFonts w:eastAsia="Times New Roman" w:cs="Tahoma"/>
          <w:bCs/>
          <w:color w:val="auto"/>
          <w:lang w:val="es-ES_tradnl" w:eastAsia="es-ES"/>
        </w:rPr>
        <w:t>veintisiete</w:t>
      </w:r>
      <w:r w:rsidR="00207C6F" w:rsidRPr="005556DE">
        <w:rPr>
          <w:rFonts w:eastAsia="Times New Roman" w:cs="Tahoma"/>
          <w:bCs/>
          <w:color w:val="auto"/>
          <w:lang w:val="es-ES_tradnl" w:eastAsia="es-ES"/>
        </w:rPr>
        <w:t xml:space="preserve"> </w:t>
      </w:r>
      <w:r w:rsidR="00A01721" w:rsidRPr="005556DE">
        <w:rPr>
          <w:rFonts w:eastAsia="Times New Roman" w:cs="Tahoma"/>
          <w:bCs/>
          <w:color w:val="auto"/>
          <w:lang w:val="es-ES_tradnl" w:eastAsia="es-ES"/>
        </w:rPr>
        <w:t>de</w:t>
      </w:r>
      <w:r w:rsidR="0068447E" w:rsidRPr="005556DE">
        <w:rPr>
          <w:rFonts w:eastAsia="Times New Roman" w:cs="Tahoma"/>
          <w:bCs/>
          <w:color w:val="auto"/>
          <w:lang w:val="es-ES_tradnl" w:eastAsia="es-ES"/>
        </w:rPr>
        <w:t xml:space="preserve"> dicho</w:t>
      </w:r>
      <w:r w:rsidR="00A01721" w:rsidRPr="005556DE">
        <w:rPr>
          <w:rFonts w:eastAsia="Times New Roman" w:cs="Tahoma"/>
          <w:bCs/>
          <w:color w:val="auto"/>
          <w:lang w:val="es-ES_tradnl" w:eastAsia="es-ES"/>
        </w:rPr>
        <w:t xml:space="preserve"> mes y año</w:t>
      </w:r>
      <w:r w:rsidR="00CB7980" w:rsidRPr="005556DE">
        <w:rPr>
          <w:rFonts w:eastAsia="Times New Roman" w:cs="Tahoma"/>
          <w:bCs/>
          <w:color w:val="auto"/>
          <w:lang w:val="es-ES_tradnl" w:eastAsia="es-ES"/>
        </w:rPr>
        <w:t xml:space="preserve">, </w:t>
      </w:r>
      <w:r w:rsidRPr="005556DE">
        <w:rPr>
          <w:rFonts w:eastAsia="Times New Roman" w:cs="Tahoma"/>
          <w:bCs/>
          <w:color w:val="auto"/>
          <w:lang w:val="es-ES_tradnl" w:eastAsia="es-ES"/>
        </w:rPr>
        <w:t xml:space="preserve">a través del Sistema de Acceso a la Información Mexiquense (SAIMEX), en el que se les otorgó un plazo de siete días hábiles posteriores a la misma, para que manifestaran lo que a su derecho conviniera y formularan alegatos. </w:t>
      </w:r>
    </w:p>
    <w:p w14:paraId="15054E53" w14:textId="77777777" w:rsidR="00AE3612" w:rsidRPr="005556DE" w:rsidRDefault="00AE3612" w:rsidP="00A62148">
      <w:pPr>
        <w:widowControl w:val="0"/>
        <w:spacing w:after="0" w:line="360" w:lineRule="auto"/>
        <w:rPr>
          <w:rFonts w:eastAsia="Times New Roman" w:cs="Tahoma"/>
          <w:b/>
          <w:color w:val="auto"/>
          <w:lang w:eastAsia="es-ES"/>
        </w:rPr>
      </w:pPr>
    </w:p>
    <w:p w14:paraId="3239CCB0" w14:textId="26FAB1DC" w:rsidR="00AE3612" w:rsidRPr="005556DE" w:rsidRDefault="00AE3612" w:rsidP="00A62148">
      <w:pPr>
        <w:spacing w:after="0" w:line="360" w:lineRule="auto"/>
        <w:rPr>
          <w:rFonts w:eastAsia="Calibri" w:cs="Times New Roman"/>
          <w:color w:val="auto"/>
        </w:rPr>
      </w:pPr>
      <w:r w:rsidRPr="005556DE">
        <w:rPr>
          <w:rFonts w:eastAsia="Calibri" w:cs="Times New Roman"/>
          <w:b/>
          <w:color w:val="auto"/>
        </w:rPr>
        <w:t>c) Informe Justificado.</w:t>
      </w:r>
      <w:r w:rsidRPr="005556DE">
        <w:rPr>
          <w:rFonts w:eastAsia="Calibri" w:cs="Times New Roman"/>
          <w:color w:val="auto"/>
        </w:rPr>
        <w:t xml:space="preserve"> El seis de febrero de dos mil veinticinco, a través del Sistema de Acceso a la Información Mexiquense (SAIMEX), se recibió en este Instituto el informe justificado por parte del Sujeto Obligado, a través de la digitalización de un escrito de </w:t>
      </w:r>
      <w:r w:rsidR="00A62148" w:rsidRPr="005556DE">
        <w:rPr>
          <w:rFonts w:eastAsia="Calibri" w:cs="Times New Roman"/>
          <w:color w:val="auto"/>
        </w:rPr>
        <w:t xml:space="preserve">fecha </w:t>
      </w:r>
      <w:r w:rsidR="00A62148" w:rsidRPr="005556DE">
        <w:rPr>
          <w:rFonts w:eastAsia="Calibri" w:cs="Times New Roman"/>
          <w:color w:val="auto"/>
        </w:rPr>
        <w:lastRenderedPageBreak/>
        <w:t>seis</w:t>
      </w:r>
      <w:r w:rsidRPr="005556DE">
        <w:rPr>
          <w:rFonts w:eastAsia="Calibri" w:cs="Times New Roman"/>
          <w:color w:val="auto"/>
        </w:rPr>
        <w:t xml:space="preserve"> de febrero de dos mil veinticinco, suscrito por el Titular de la Unidad de </w:t>
      </w:r>
      <w:r w:rsidR="00A62148" w:rsidRPr="005556DE">
        <w:rPr>
          <w:rFonts w:eastAsia="Calibri" w:cs="Times New Roman"/>
          <w:color w:val="auto"/>
        </w:rPr>
        <w:t>Transparencia, dirigido</w:t>
      </w:r>
      <w:r w:rsidRPr="005556DE">
        <w:rPr>
          <w:rFonts w:eastAsia="Calibri" w:cs="Times New Roman"/>
          <w:color w:val="auto"/>
        </w:rPr>
        <w:t xml:space="preserve"> al Comisionado Ponente, por medio del cual se menciona lo siguiente:</w:t>
      </w:r>
    </w:p>
    <w:p w14:paraId="11FF0840" w14:textId="77777777" w:rsidR="00A62148" w:rsidRPr="005556DE" w:rsidRDefault="00A62148" w:rsidP="00A62148">
      <w:pPr>
        <w:spacing w:after="0" w:line="360" w:lineRule="auto"/>
        <w:rPr>
          <w:rFonts w:eastAsia="Calibri" w:cs="Times New Roman"/>
          <w:color w:val="auto"/>
        </w:rPr>
      </w:pPr>
    </w:p>
    <w:p w14:paraId="2BCC4981" w14:textId="4C9AE9A0" w:rsidR="00986275" w:rsidRPr="005556DE" w:rsidRDefault="00AE3612" w:rsidP="00A62148">
      <w:pPr>
        <w:spacing w:after="0" w:line="360" w:lineRule="auto"/>
        <w:ind w:left="567" w:right="567"/>
        <w:rPr>
          <w:rFonts w:eastAsia="Times New Roman" w:cs="Tahoma"/>
          <w:bCs/>
          <w:i/>
          <w:color w:val="auto"/>
          <w:sz w:val="20"/>
          <w:szCs w:val="20"/>
          <w:lang w:eastAsia="es-ES"/>
        </w:rPr>
      </w:pPr>
      <w:r w:rsidRPr="005556DE">
        <w:rPr>
          <w:rFonts w:eastAsia="Times New Roman" w:cs="Tahoma"/>
          <w:bCs/>
          <w:i/>
          <w:color w:val="auto"/>
          <w:sz w:val="20"/>
          <w:szCs w:val="20"/>
          <w:lang w:eastAsia="es-ES"/>
        </w:rPr>
        <w:t>“…</w:t>
      </w:r>
    </w:p>
    <w:p w14:paraId="2DAA0B22" w14:textId="7B258568" w:rsidR="00986275" w:rsidRPr="005556DE" w:rsidRDefault="00986275" w:rsidP="00A62148">
      <w:pPr>
        <w:spacing w:after="0" w:line="360" w:lineRule="auto"/>
        <w:ind w:left="567" w:right="567"/>
        <w:rPr>
          <w:rFonts w:eastAsia="Times New Roman" w:cs="Tahoma"/>
          <w:bCs/>
          <w:i/>
          <w:color w:val="auto"/>
          <w:sz w:val="20"/>
          <w:szCs w:val="20"/>
          <w:lang w:eastAsia="es-ES"/>
        </w:rPr>
      </w:pPr>
      <w:r w:rsidRPr="005556DE">
        <w:rPr>
          <w:rFonts w:eastAsia="Times New Roman" w:cs="Tahoma"/>
          <w:bCs/>
          <w:i/>
          <w:color w:val="auto"/>
          <w:sz w:val="20"/>
          <w:szCs w:val="20"/>
          <w:lang w:eastAsia="es-ES"/>
        </w:rPr>
        <w:t>En este sentido, ratifica en todas y cada una de sus partes, la respuesta de inicio, teniendo por atendida la solicitud de mérito, en tiempo y forma.</w:t>
      </w:r>
    </w:p>
    <w:p w14:paraId="5297A5CB" w14:textId="77777777" w:rsidR="00986275" w:rsidRPr="005556DE" w:rsidRDefault="00986275" w:rsidP="00A62148">
      <w:pPr>
        <w:spacing w:after="0" w:line="360" w:lineRule="auto"/>
        <w:ind w:left="567" w:right="567"/>
        <w:rPr>
          <w:rFonts w:eastAsia="Times New Roman" w:cs="Tahoma"/>
          <w:bCs/>
          <w:i/>
          <w:color w:val="auto"/>
          <w:sz w:val="20"/>
          <w:szCs w:val="20"/>
          <w:lang w:eastAsia="es-ES"/>
        </w:rPr>
      </w:pPr>
    </w:p>
    <w:p w14:paraId="1EC04CEB" w14:textId="7C28F23B" w:rsidR="00986275" w:rsidRPr="005556DE" w:rsidRDefault="00812612" w:rsidP="00A62148">
      <w:pPr>
        <w:spacing w:after="0" w:line="360" w:lineRule="auto"/>
        <w:ind w:left="567" w:right="567"/>
        <w:rPr>
          <w:rFonts w:eastAsia="Times New Roman" w:cs="Tahoma"/>
          <w:bCs/>
          <w:i/>
          <w:color w:val="auto"/>
          <w:sz w:val="20"/>
          <w:szCs w:val="20"/>
          <w:lang w:eastAsia="es-ES"/>
        </w:rPr>
      </w:pPr>
      <w:r w:rsidRPr="005556DE">
        <w:rPr>
          <w:rFonts w:eastAsia="Times New Roman" w:cs="Tahoma"/>
          <w:bCs/>
          <w:i/>
          <w:color w:val="auto"/>
          <w:sz w:val="20"/>
          <w:szCs w:val="20"/>
          <w:lang w:eastAsia="es-ES"/>
        </w:rPr>
        <w:t xml:space="preserve">Ahora bien, por lo que respecta a las </w:t>
      </w:r>
      <w:r w:rsidRPr="005556DE">
        <w:rPr>
          <w:rFonts w:eastAsia="Times New Roman" w:cs="Tahoma"/>
          <w:b/>
          <w:bCs/>
          <w:i/>
          <w:color w:val="auto"/>
          <w:sz w:val="20"/>
          <w:szCs w:val="20"/>
          <w:lang w:eastAsia="es-ES"/>
        </w:rPr>
        <w:t xml:space="preserve">“Razones o Motivos de Inconformidad” </w:t>
      </w:r>
      <w:r w:rsidRPr="005556DE">
        <w:rPr>
          <w:rFonts w:eastAsia="Times New Roman" w:cs="Tahoma"/>
          <w:bCs/>
          <w:i/>
          <w:color w:val="auto"/>
          <w:sz w:val="20"/>
          <w:szCs w:val="20"/>
          <w:lang w:eastAsia="es-ES"/>
        </w:rPr>
        <w:t>en la que expone, “Es una burla con dolo que debe ser sancionado por la Ley de Transparencia porque dice que se anexan y no entregan la información no atiende mi solicitud.”, en primera instancia es imperante mencionar que, de acuerdo a la respuesta se observa que se le entrego lo requerido y que obra en los archivos de este Sujeto Obligado, así mismo se anexa al presente el listado de los Contratos firmados durante el año 2024 a la fecha de la solicitud:</w:t>
      </w:r>
    </w:p>
    <w:p w14:paraId="4194AD7C" w14:textId="34FD50FF" w:rsidR="0035655F" w:rsidRPr="005556DE" w:rsidRDefault="00A62148" w:rsidP="00A62148">
      <w:pPr>
        <w:spacing w:after="0" w:line="360" w:lineRule="auto"/>
        <w:jc w:val="center"/>
        <w:rPr>
          <w:rFonts w:ascii="Calibri" w:eastAsia="Calibri" w:hAnsi="Calibri" w:cs="Times New Roman"/>
          <w:color w:val="auto"/>
        </w:rPr>
      </w:pPr>
      <w:r w:rsidRPr="005556DE">
        <w:rPr>
          <w:rFonts w:ascii="Calibri" w:eastAsia="Calibri" w:hAnsi="Calibri" w:cs="Times New Roman"/>
          <w:color w:val="auto"/>
        </w:rPr>
        <w:t>…</w:t>
      </w:r>
    </w:p>
    <w:p w14:paraId="7C58EBBA" w14:textId="36FC96B3" w:rsidR="0035655F" w:rsidRPr="005556DE" w:rsidRDefault="0035655F" w:rsidP="00A62148">
      <w:pPr>
        <w:spacing w:after="0" w:line="360" w:lineRule="auto"/>
        <w:ind w:left="567" w:right="567"/>
        <w:jc w:val="center"/>
        <w:rPr>
          <w:rFonts w:eastAsia="Calibri" w:cs="Times New Roman"/>
          <w:b/>
          <w:i/>
          <w:color w:val="auto"/>
          <w:sz w:val="20"/>
          <w:szCs w:val="20"/>
        </w:rPr>
      </w:pPr>
      <w:r w:rsidRPr="005556DE">
        <w:rPr>
          <w:rFonts w:eastAsia="Calibri" w:cs="Times New Roman"/>
          <w:b/>
          <w:i/>
          <w:color w:val="auto"/>
          <w:sz w:val="20"/>
          <w:szCs w:val="20"/>
        </w:rPr>
        <w:t>CONCLUSIÓN</w:t>
      </w:r>
    </w:p>
    <w:p w14:paraId="45A2F610" w14:textId="77777777" w:rsidR="00A62148" w:rsidRPr="005556DE" w:rsidRDefault="00A62148" w:rsidP="00A62148">
      <w:pPr>
        <w:spacing w:after="0" w:line="360" w:lineRule="auto"/>
        <w:ind w:left="567" w:right="567"/>
        <w:jc w:val="center"/>
        <w:rPr>
          <w:rFonts w:eastAsia="Calibri" w:cs="Times New Roman"/>
          <w:b/>
          <w:i/>
          <w:color w:val="auto"/>
          <w:sz w:val="20"/>
          <w:szCs w:val="20"/>
        </w:rPr>
      </w:pPr>
    </w:p>
    <w:p w14:paraId="11FC49CA" w14:textId="77777777" w:rsidR="00A62148" w:rsidRPr="005556DE" w:rsidRDefault="0035655F" w:rsidP="00A62148">
      <w:pPr>
        <w:spacing w:after="0" w:line="360" w:lineRule="auto"/>
        <w:ind w:left="567" w:right="567"/>
        <w:rPr>
          <w:rFonts w:eastAsia="Calibri" w:cs="Times New Roman"/>
          <w:i/>
          <w:color w:val="auto"/>
          <w:sz w:val="20"/>
          <w:szCs w:val="20"/>
        </w:rPr>
      </w:pPr>
      <w:r w:rsidRPr="005556DE">
        <w:rPr>
          <w:rFonts w:eastAsia="Calibri" w:cs="Times New Roman"/>
          <w:i/>
          <w:color w:val="auto"/>
          <w:sz w:val="20"/>
          <w:szCs w:val="20"/>
        </w:rPr>
        <w:t xml:space="preserve">Por lo antes expuesto, se ratifica en todas y cada una de sus partes la respuesta a la solicitud de información de mérito, toda vez que, se le entregó lo que obra de acuerdo a lo requerido en la solicitud de acceso a la información pública, en atención a lo manifestado por los Servidores Públicos Habilitados Competentes, cumpliendo con el principio de </w:t>
      </w:r>
      <w:r w:rsidR="00F94E52" w:rsidRPr="005556DE">
        <w:rPr>
          <w:rFonts w:eastAsia="Calibri" w:cs="Times New Roman"/>
          <w:i/>
          <w:color w:val="auto"/>
          <w:sz w:val="20"/>
          <w:szCs w:val="20"/>
        </w:rPr>
        <w:t>legalidad y el derecho de acceso a la información pública</w:t>
      </w:r>
      <w:r w:rsidR="00A62148" w:rsidRPr="005556DE">
        <w:rPr>
          <w:rFonts w:eastAsia="Calibri" w:cs="Times New Roman"/>
          <w:i/>
          <w:color w:val="auto"/>
          <w:sz w:val="20"/>
          <w:szCs w:val="20"/>
        </w:rPr>
        <w:t>.</w:t>
      </w:r>
    </w:p>
    <w:p w14:paraId="0EA79AE4" w14:textId="3012FD52" w:rsidR="00F94E52" w:rsidRPr="005556DE" w:rsidRDefault="00F94E52" w:rsidP="00A62148">
      <w:pPr>
        <w:spacing w:after="0" w:line="360" w:lineRule="auto"/>
        <w:ind w:left="567" w:right="567"/>
        <w:rPr>
          <w:rFonts w:eastAsia="Calibri" w:cs="Times New Roman"/>
          <w:i/>
          <w:color w:val="auto"/>
          <w:sz w:val="20"/>
          <w:szCs w:val="20"/>
        </w:rPr>
      </w:pPr>
      <w:r w:rsidRPr="005556DE">
        <w:rPr>
          <w:rFonts w:eastAsia="Calibri" w:cs="Times New Roman"/>
          <w:i/>
          <w:color w:val="auto"/>
          <w:sz w:val="20"/>
          <w:szCs w:val="20"/>
        </w:rPr>
        <w:t xml:space="preserve">…” </w:t>
      </w:r>
    </w:p>
    <w:p w14:paraId="626919EB" w14:textId="77777777" w:rsidR="0035655F" w:rsidRPr="005556DE" w:rsidRDefault="0035655F" w:rsidP="00A62148">
      <w:pPr>
        <w:spacing w:after="0" w:line="360" w:lineRule="auto"/>
        <w:ind w:left="567" w:right="567"/>
        <w:rPr>
          <w:rFonts w:ascii="Calibri" w:eastAsia="Calibri" w:hAnsi="Calibri" w:cs="Times New Roman"/>
          <w:b/>
          <w:i/>
          <w:color w:val="auto"/>
          <w:sz w:val="20"/>
          <w:szCs w:val="20"/>
        </w:rPr>
      </w:pPr>
    </w:p>
    <w:p w14:paraId="3194CD3D" w14:textId="77777777" w:rsidR="0035655F" w:rsidRPr="005556DE" w:rsidRDefault="0035655F" w:rsidP="00A62148">
      <w:pPr>
        <w:spacing w:after="0" w:line="360" w:lineRule="auto"/>
        <w:jc w:val="center"/>
        <w:rPr>
          <w:rFonts w:ascii="Calibri" w:eastAsia="Calibri" w:hAnsi="Calibri" w:cs="Times New Roman"/>
          <w:color w:val="auto"/>
        </w:rPr>
      </w:pPr>
    </w:p>
    <w:p w14:paraId="1A8FBCF3" w14:textId="0C3F900B" w:rsidR="00AE3612" w:rsidRPr="005556DE" w:rsidRDefault="00AE3612" w:rsidP="00A62148">
      <w:pPr>
        <w:spacing w:after="0" w:line="360" w:lineRule="auto"/>
        <w:rPr>
          <w:rFonts w:eastAsia="Calibri" w:cs="Times New Roman"/>
          <w:color w:val="auto"/>
        </w:rPr>
      </w:pPr>
      <w:r w:rsidRPr="005556DE">
        <w:rPr>
          <w:rFonts w:eastAsia="Calibri" w:cs="Times New Roman"/>
          <w:b/>
          <w:color w:val="auto"/>
        </w:rPr>
        <w:t xml:space="preserve">d) Vista del Informe Justificado. </w:t>
      </w:r>
      <w:r w:rsidRPr="005556DE">
        <w:rPr>
          <w:rFonts w:eastAsia="Calibri" w:cs="Times New Roman"/>
          <w:color w:val="auto"/>
        </w:rPr>
        <w:t xml:space="preserve">El seis de febrero de dos mil veinticinco, se notificó a través del Sistema de Acceso a la Información Mexiquense (SAIMEX), el acuerdo mediante el cual se puso a la vista del Particular el Informe Justificado del Recurso de Revisión, proveído por el cual se le otorgó un término de tres días hábiles contados a partir del día siguiente a la </w:t>
      </w:r>
      <w:r w:rsidRPr="005556DE">
        <w:rPr>
          <w:rFonts w:eastAsia="Calibri" w:cs="Times New Roman"/>
          <w:color w:val="auto"/>
        </w:rPr>
        <w:lastRenderedPageBreak/>
        <w:t>notificación, a fin de emitir las manifestaciones que conforme a sus intereses convinieran. Cabe señalar que el Particular fue omiso en realizar manifestación alguna.</w:t>
      </w:r>
    </w:p>
    <w:p w14:paraId="079A72E3" w14:textId="77777777" w:rsidR="00AE3612" w:rsidRPr="005556DE" w:rsidRDefault="00AE3612" w:rsidP="00A62148">
      <w:pPr>
        <w:widowControl w:val="0"/>
        <w:spacing w:after="0" w:line="360" w:lineRule="auto"/>
        <w:rPr>
          <w:rFonts w:eastAsia="Times New Roman" w:cs="Tahoma"/>
          <w:b/>
          <w:color w:val="auto"/>
          <w:lang w:eastAsia="es-ES"/>
        </w:rPr>
      </w:pPr>
    </w:p>
    <w:p w14:paraId="35AAACA3" w14:textId="76AB5385" w:rsidR="00EC77D9" w:rsidRPr="005556DE" w:rsidRDefault="00AE3612" w:rsidP="00A62148">
      <w:pPr>
        <w:widowControl w:val="0"/>
        <w:spacing w:after="0" w:line="360" w:lineRule="auto"/>
        <w:rPr>
          <w:rFonts w:eastAsia="Times New Roman" w:cs="Tahoma"/>
          <w:color w:val="auto"/>
          <w:lang w:eastAsia="es-ES"/>
        </w:rPr>
      </w:pPr>
      <w:r w:rsidRPr="005556DE">
        <w:rPr>
          <w:rFonts w:eastAsia="Times New Roman" w:cs="Tahoma"/>
          <w:b/>
          <w:color w:val="auto"/>
          <w:lang w:eastAsia="es-ES"/>
        </w:rPr>
        <w:t>f</w:t>
      </w:r>
      <w:r w:rsidR="00EC77D9" w:rsidRPr="005556DE">
        <w:rPr>
          <w:rFonts w:eastAsia="Times New Roman" w:cs="Tahoma"/>
          <w:b/>
          <w:color w:val="auto"/>
          <w:lang w:eastAsia="es-ES"/>
        </w:rPr>
        <w:t>) Cierre de instrucción.</w:t>
      </w:r>
      <w:r w:rsidR="00EC77D9" w:rsidRPr="005556DE">
        <w:rPr>
          <w:rFonts w:eastAsia="Times New Roman" w:cs="Tahoma"/>
          <w:color w:val="auto"/>
          <w:lang w:eastAsia="es-ES"/>
        </w:rPr>
        <w:t xml:space="preserve"> El </w:t>
      </w:r>
      <w:r w:rsidR="00DE4F79" w:rsidRPr="005556DE">
        <w:rPr>
          <w:rFonts w:eastAsia="Times New Roman" w:cs="Tahoma"/>
          <w:color w:val="auto"/>
          <w:lang w:eastAsia="es-ES"/>
        </w:rPr>
        <w:t>doce</w:t>
      </w:r>
      <w:r w:rsidR="007B0D14" w:rsidRPr="005556DE">
        <w:rPr>
          <w:rFonts w:eastAsia="Times New Roman" w:cs="Tahoma"/>
          <w:color w:val="auto"/>
          <w:lang w:eastAsia="es-ES"/>
        </w:rPr>
        <w:t xml:space="preserve"> de febrero </w:t>
      </w:r>
      <w:r w:rsidR="00EC77D9" w:rsidRPr="005556DE">
        <w:rPr>
          <w:rFonts w:eastAsia="Times New Roman" w:cs="Tahoma"/>
          <w:color w:val="auto"/>
          <w:lang w:eastAsia="es-ES"/>
        </w:rPr>
        <w:t>de dos mil veinti</w:t>
      </w:r>
      <w:r w:rsidR="007B0D14" w:rsidRPr="005556DE">
        <w:rPr>
          <w:rFonts w:eastAsia="Times New Roman" w:cs="Tahoma"/>
          <w:color w:val="auto"/>
          <w:lang w:eastAsia="es-ES"/>
        </w:rPr>
        <w:t>cinco</w:t>
      </w:r>
      <w:r w:rsidR="00EC77D9" w:rsidRPr="005556DE">
        <w:rPr>
          <w:rFonts w:eastAsia="Times New Roman" w:cs="Tahoma"/>
          <w:color w:val="auto"/>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w:t>
      </w:r>
      <w:r w:rsidR="00886CD4" w:rsidRPr="005556DE">
        <w:rPr>
          <w:rFonts w:eastAsia="Times New Roman" w:cs="Tahoma"/>
          <w:color w:val="auto"/>
          <w:lang w:eastAsia="es-ES"/>
        </w:rPr>
        <w:t>mismo día</w:t>
      </w:r>
      <w:r w:rsidR="00EC77D9" w:rsidRPr="005556DE">
        <w:rPr>
          <w:rFonts w:eastAsia="Times New Roman" w:cs="Tahoma"/>
          <w:color w:val="auto"/>
          <w:lang w:eastAsia="es-ES"/>
        </w:rPr>
        <w:t xml:space="preserve">, a través del </w:t>
      </w:r>
      <w:r w:rsidR="00EC77D9" w:rsidRPr="005556DE">
        <w:rPr>
          <w:rFonts w:eastAsia="Times New Roman" w:cs="Tahoma"/>
          <w:color w:val="auto"/>
          <w:lang w:val="es-ES" w:eastAsia="es-ES"/>
        </w:rPr>
        <w:t>Sistema de Acceso a la Información Mexiquense (SAIMEX)</w:t>
      </w:r>
      <w:r w:rsidR="00EC77D9" w:rsidRPr="005556DE">
        <w:rPr>
          <w:rFonts w:eastAsia="Times New Roman" w:cs="Tahoma"/>
          <w:color w:val="auto"/>
          <w:lang w:eastAsia="es-ES"/>
        </w:rPr>
        <w:t xml:space="preserve">. </w:t>
      </w:r>
    </w:p>
    <w:p w14:paraId="5AB5C251" w14:textId="77777777" w:rsidR="00232DCC" w:rsidRPr="005556DE" w:rsidRDefault="00232DCC" w:rsidP="00A62148">
      <w:pPr>
        <w:spacing w:after="0" w:line="360" w:lineRule="auto"/>
        <w:rPr>
          <w:rFonts w:eastAsia="Times New Roman" w:cs="Tahoma"/>
          <w:color w:val="auto"/>
          <w:lang w:eastAsia="es-ES"/>
        </w:rPr>
      </w:pPr>
    </w:p>
    <w:p w14:paraId="77C7A5C4" w14:textId="77777777" w:rsidR="00EC77D9" w:rsidRPr="005556DE" w:rsidRDefault="00EC77D9" w:rsidP="00A62148">
      <w:pPr>
        <w:spacing w:after="0" w:line="360" w:lineRule="auto"/>
        <w:rPr>
          <w:rFonts w:eastAsia="Times New Roman" w:cs="Tahoma"/>
          <w:color w:val="auto"/>
          <w:lang w:eastAsia="es-ES"/>
        </w:rPr>
      </w:pPr>
      <w:r w:rsidRPr="005556DE">
        <w:rPr>
          <w:rFonts w:eastAsia="Times New Roman" w:cs="Tahoma"/>
          <w:color w:val="auto"/>
          <w:lang w:eastAsia="es-ES"/>
        </w:rPr>
        <w:t>En razón de que fue debidamente sustanciado e integrado el expediente electrónico y no existe diligencia pendiente de desahogo, se emite la resolución que conforme a Derecho proceda, de acuerdo a los siguientes:</w:t>
      </w:r>
    </w:p>
    <w:p w14:paraId="6BB75C02" w14:textId="77777777" w:rsidR="008E4F87" w:rsidRPr="005556DE" w:rsidRDefault="008E4F87" w:rsidP="00A62148">
      <w:pPr>
        <w:spacing w:after="0" w:line="360" w:lineRule="auto"/>
        <w:rPr>
          <w:rFonts w:eastAsia="Times New Roman" w:cs="Tahoma"/>
          <w:bCs/>
          <w:iCs/>
          <w:color w:val="auto"/>
          <w:lang w:val="es-ES" w:eastAsia="es-ES"/>
        </w:rPr>
      </w:pPr>
    </w:p>
    <w:p w14:paraId="4B442488" w14:textId="652AEB0D" w:rsidR="00EC77D9" w:rsidRPr="005556DE" w:rsidRDefault="007B0D14" w:rsidP="00A62148">
      <w:pPr>
        <w:spacing w:after="0" w:line="360" w:lineRule="auto"/>
        <w:jc w:val="center"/>
        <w:rPr>
          <w:rFonts w:eastAsia="Times New Roman" w:cs="Tahoma"/>
          <w:b/>
          <w:color w:val="auto"/>
          <w:lang w:val="es-ES" w:eastAsia="es-ES"/>
        </w:rPr>
      </w:pPr>
      <w:r w:rsidRPr="005556DE">
        <w:rPr>
          <w:rFonts w:eastAsia="Times New Roman" w:cs="Tahoma"/>
          <w:b/>
          <w:color w:val="auto"/>
          <w:lang w:val="es-ES" w:eastAsia="es-ES"/>
        </w:rPr>
        <w:t>C O N S I D E R A N D O S</w:t>
      </w:r>
    </w:p>
    <w:p w14:paraId="7A8CFE1B" w14:textId="77777777" w:rsidR="008E4F87" w:rsidRPr="005556DE" w:rsidRDefault="008E4F87" w:rsidP="00A62148">
      <w:pPr>
        <w:spacing w:after="0" w:line="360" w:lineRule="auto"/>
        <w:jc w:val="center"/>
        <w:rPr>
          <w:rFonts w:eastAsia="Times New Roman" w:cs="Tahoma"/>
          <w:b/>
          <w:color w:val="FF0000"/>
          <w:lang w:val="es-ES" w:eastAsia="es-ES"/>
        </w:rPr>
      </w:pPr>
    </w:p>
    <w:p w14:paraId="2B2C70F6" w14:textId="5C1317CA" w:rsidR="00EC77D9" w:rsidRPr="005556DE" w:rsidRDefault="00EC77D9" w:rsidP="00A62148">
      <w:pPr>
        <w:autoSpaceDE w:val="0"/>
        <w:autoSpaceDN w:val="0"/>
        <w:adjustRightInd w:val="0"/>
        <w:spacing w:after="0" w:line="360" w:lineRule="auto"/>
        <w:rPr>
          <w:rFonts w:eastAsia="Times New Roman" w:cs="Tahoma"/>
          <w:b/>
          <w:color w:val="auto"/>
          <w:lang w:val="es-ES" w:eastAsia="es-ES"/>
        </w:rPr>
      </w:pPr>
      <w:r w:rsidRPr="005556DE">
        <w:rPr>
          <w:rFonts w:eastAsia="Calibri" w:cs="Tahoma"/>
          <w:b/>
          <w:color w:val="auto"/>
          <w:lang w:val="es-ES" w:eastAsia="es-MX"/>
        </w:rPr>
        <w:t>PRIMERO</w:t>
      </w:r>
      <w:r w:rsidRPr="005556DE">
        <w:rPr>
          <w:rFonts w:eastAsia="Calibri" w:cs="Tahoma"/>
          <w:color w:val="auto"/>
          <w:lang w:val="es-ES" w:eastAsia="es-MX"/>
        </w:rPr>
        <w:t xml:space="preserve">. </w:t>
      </w:r>
      <w:r w:rsidR="007B0D14" w:rsidRPr="005556DE">
        <w:rPr>
          <w:rFonts w:eastAsia="Times New Roman" w:cs="Tahoma"/>
          <w:b/>
          <w:color w:val="auto"/>
          <w:lang w:val="es-ES" w:eastAsia="es-ES"/>
        </w:rPr>
        <w:t>Competencia</w:t>
      </w:r>
    </w:p>
    <w:p w14:paraId="62F65765" w14:textId="77777777" w:rsidR="00EC77D9" w:rsidRPr="005556DE" w:rsidRDefault="00EC77D9" w:rsidP="00A62148">
      <w:pPr>
        <w:autoSpaceDE w:val="0"/>
        <w:autoSpaceDN w:val="0"/>
        <w:adjustRightInd w:val="0"/>
        <w:spacing w:after="0" w:line="360" w:lineRule="auto"/>
        <w:rPr>
          <w:rFonts w:eastAsia="Times New Roman" w:cs="Tahoma"/>
          <w:b/>
          <w:color w:val="auto"/>
          <w:lang w:val="es-ES" w:eastAsia="es-ES"/>
        </w:rPr>
      </w:pPr>
    </w:p>
    <w:p w14:paraId="1F83A937" w14:textId="3A882D96" w:rsidR="00EC77D9" w:rsidRPr="005556DE" w:rsidRDefault="00EC77D9" w:rsidP="00A62148">
      <w:pPr>
        <w:spacing w:after="0" w:line="360" w:lineRule="auto"/>
        <w:rPr>
          <w:rFonts w:eastAsia="Times New Roman" w:cs="Tahoma"/>
          <w:bCs/>
          <w:color w:val="auto"/>
          <w:lang w:eastAsia="es-ES"/>
        </w:rPr>
      </w:pPr>
      <w:bookmarkStart w:id="3" w:name="_Hlk63334754"/>
      <w:r w:rsidRPr="005556DE">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w:t>
      </w:r>
      <w:r w:rsidR="00D55E2F" w:rsidRPr="005556DE">
        <w:rPr>
          <w:rFonts w:eastAsia="Times New Roman" w:cs="Tahoma"/>
          <w:bCs/>
          <w:color w:val="auto"/>
          <w:lang w:eastAsia="es-ES"/>
        </w:rPr>
        <w:t>ersona</w:t>
      </w:r>
      <w:r w:rsidRPr="005556DE">
        <w:rPr>
          <w:rFonts w:eastAsia="Times New Roman" w:cs="Tahoma"/>
          <w:bCs/>
          <w:color w:val="auto"/>
          <w:lang w:eastAsia="es-ES"/>
        </w:rPr>
        <w:t xml:space="preserve"> recurrente, conforme a lo dispuesto en los artículos 5°, párrafos</w:t>
      </w:r>
      <w:r w:rsidR="00B12193" w:rsidRPr="005556DE">
        <w:rPr>
          <w:rFonts w:eastAsia="Times New Roman" w:cs="Tahoma"/>
          <w:bCs/>
          <w:color w:val="auto"/>
          <w:lang w:eastAsia="es-ES"/>
        </w:rPr>
        <w:t xml:space="preserve"> trigésimo segundo, trigésimo tercero y trigésimo cuarto</w:t>
      </w:r>
      <w:r w:rsidRPr="005556DE">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5556DE">
        <w:rPr>
          <w:rFonts w:eastAsia="Times New Roman" w:cs="Times New Roman"/>
          <w:bCs/>
          <w:color w:val="auto"/>
          <w:lang w:eastAsia="es-ES"/>
        </w:rPr>
        <w:t xml:space="preserve"> 7°, </w:t>
      </w:r>
      <w:r w:rsidR="00ED609B" w:rsidRPr="005556DE">
        <w:rPr>
          <w:rFonts w:eastAsia="Times New Roman" w:cs="Tahoma"/>
          <w:bCs/>
          <w:color w:val="auto"/>
          <w:lang w:eastAsia="es-ES"/>
        </w:rPr>
        <w:t>9°, fracciones I y XXIII</w:t>
      </w:r>
      <w:r w:rsidRPr="005556DE">
        <w:rPr>
          <w:rFonts w:eastAsia="Times New Roman" w:cs="Tahoma"/>
          <w:bCs/>
          <w:color w:val="auto"/>
          <w:lang w:eastAsia="es-ES"/>
        </w:rPr>
        <w:t xml:space="preserve"> y 11 del Reglamento Interior del </w:t>
      </w:r>
      <w:r w:rsidRPr="005556DE">
        <w:rPr>
          <w:rFonts w:eastAsia="Times New Roman" w:cs="Tahoma"/>
          <w:bCs/>
          <w:color w:val="auto"/>
          <w:lang w:eastAsia="es-ES"/>
        </w:rPr>
        <w:lastRenderedPageBreak/>
        <w:t>Instituto de Transparencia, Acceso a la Información Pública y Protección de Datos Personales del Estado de México y Municipios.</w:t>
      </w:r>
      <w:bookmarkEnd w:id="3"/>
    </w:p>
    <w:p w14:paraId="18FF6F8F" w14:textId="77777777" w:rsidR="00EC77D9" w:rsidRPr="005556DE" w:rsidRDefault="00EC77D9" w:rsidP="00A62148">
      <w:pPr>
        <w:spacing w:after="0" w:line="360" w:lineRule="auto"/>
        <w:rPr>
          <w:color w:val="auto"/>
        </w:rPr>
      </w:pPr>
    </w:p>
    <w:p w14:paraId="1A678CDB" w14:textId="5D9B0AE3" w:rsidR="00EC77D9" w:rsidRPr="005556DE" w:rsidRDefault="00EC77D9" w:rsidP="00A62148">
      <w:pPr>
        <w:autoSpaceDE w:val="0"/>
        <w:autoSpaceDN w:val="0"/>
        <w:adjustRightInd w:val="0"/>
        <w:spacing w:after="0" w:line="360" w:lineRule="auto"/>
        <w:rPr>
          <w:rFonts w:eastAsia="Times New Roman" w:cs="Tahoma"/>
          <w:color w:val="auto"/>
          <w:lang w:val="es-ES" w:eastAsia="es-ES"/>
        </w:rPr>
      </w:pPr>
      <w:r w:rsidRPr="005556DE">
        <w:rPr>
          <w:rFonts w:eastAsia="Calibri" w:cs="Tahoma"/>
          <w:b/>
          <w:color w:val="auto"/>
          <w:lang w:val="es-ES" w:eastAsia="es-MX"/>
        </w:rPr>
        <w:t>SEGUNDO</w:t>
      </w:r>
      <w:r w:rsidRPr="005556DE">
        <w:rPr>
          <w:rFonts w:eastAsia="Calibri" w:cs="Tahoma"/>
          <w:color w:val="auto"/>
          <w:lang w:val="es-ES" w:eastAsia="es-MX"/>
        </w:rPr>
        <w:t xml:space="preserve">. </w:t>
      </w:r>
      <w:r w:rsidRPr="005556DE">
        <w:rPr>
          <w:rFonts w:eastAsia="Times New Roman" w:cs="Tahoma"/>
          <w:b/>
          <w:color w:val="auto"/>
          <w:lang w:val="es-ES" w:eastAsia="es-ES"/>
        </w:rPr>
        <w:t>Causales de</w:t>
      </w:r>
      <w:r w:rsidR="007B0D14" w:rsidRPr="005556DE">
        <w:rPr>
          <w:rFonts w:eastAsia="Times New Roman" w:cs="Tahoma"/>
          <w:b/>
          <w:color w:val="auto"/>
          <w:lang w:val="es-ES" w:eastAsia="es-ES"/>
        </w:rPr>
        <w:t xml:space="preserve"> improcedencia y sobreseimiento</w:t>
      </w:r>
    </w:p>
    <w:p w14:paraId="53A4CC85" w14:textId="77777777" w:rsidR="007F20F1" w:rsidRPr="005556DE" w:rsidRDefault="007F20F1" w:rsidP="00A62148">
      <w:pPr>
        <w:autoSpaceDE w:val="0"/>
        <w:autoSpaceDN w:val="0"/>
        <w:adjustRightInd w:val="0"/>
        <w:spacing w:after="0" w:line="360" w:lineRule="auto"/>
        <w:rPr>
          <w:rFonts w:eastAsia="Times New Roman" w:cs="Tahoma"/>
          <w:color w:val="FF0000"/>
          <w:lang w:val="es-ES" w:eastAsia="es-ES"/>
        </w:rPr>
      </w:pPr>
    </w:p>
    <w:p w14:paraId="5E0147CF" w14:textId="77777777" w:rsidR="00EC77D9" w:rsidRPr="005556DE" w:rsidRDefault="00EC77D9" w:rsidP="00A62148">
      <w:pPr>
        <w:autoSpaceDE w:val="0"/>
        <w:autoSpaceDN w:val="0"/>
        <w:adjustRightInd w:val="0"/>
        <w:spacing w:after="0" w:line="360" w:lineRule="auto"/>
        <w:rPr>
          <w:rFonts w:eastAsia="Times New Roman" w:cs="Tahoma"/>
          <w:color w:val="auto"/>
          <w:lang w:val="es-ES" w:eastAsia="es-ES"/>
        </w:rPr>
      </w:pPr>
      <w:r w:rsidRPr="005556DE">
        <w:rPr>
          <w:rFonts w:eastAsia="Times New Roman" w:cs="Tahoma"/>
          <w:color w:val="auto"/>
          <w:lang w:val="es-ES" w:eastAsia="es-ES"/>
        </w:rPr>
        <w:t xml:space="preserve">De las constancias que forma parte del Recurso de Revisión que se analiza, se advierte que previo al estudio del fondo de la </w:t>
      </w:r>
      <w:r w:rsidRPr="005556DE">
        <w:rPr>
          <w:rFonts w:eastAsia="Times New Roman" w:cs="Tahoma"/>
          <w:i/>
          <w:color w:val="auto"/>
          <w:lang w:val="es-ES" w:eastAsia="es-ES"/>
        </w:rPr>
        <w:t>litis</w:t>
      </w:r>
      <w:r w:rsidRPr="005556DE">
        <w:rPr>
          <w:rFonts w:eastAsia="Times New Roman" w:cs="Tahoma"/>
          <w:color w:val="auto"/>
          <w:lang w:val="es-ES" w:eastAsia="es-ES"/>
        </w:rPr>
        <w:t>, es necesario estudiar las causales de improcedencia y sobreseimiento que se adviertan, para determinar lo que en Derecho proceda.</w:t>
      </w:r>
    </w:p>
    <w:p w14:paraId="722CCBD4" w14:textId="77777777" w:rsidR="00EC77D9" w:rsidRPr="005556DE" w:rsidRDefault="00EC77D9" w:rsidP="00A62148">
      <w:pPr>
        <w:autoSpaceDE w:val="0"/>
        <w:autoSpaceDN w:val="0"/>
        <w:adjustRightInd w:val="0"/>
        <w:spacing w:after="0" w:line="360" w:lineRule="auto"/>
        <w:rPr>
          <w:rFonts w:eastAsia="Times New Roman" w:cs="Tahoma"/>
          <w:color w:val="auto"/>
          <w:lang w:val="es-ES" w:eastAsia="es-ES"/>
        </w:rPr>
      </w:pPr>
    </w:p>
    <w:p w14:paraId="3B9478FB" w14:textId="77777777" w:rsidR="00EC77D9" w:rsidRPr="005556DE" w:rsidRDefault="00EC77D9" w:rsidP="00A62148">
      <w:pPr>
        <w:spacing w:after="0" w:line="360" w:lineRule="auto"/>
        <w:rPr>
          <w:b/>
          <w:color w:val="auto"/>
          <w:lang w:val="es-ES"/>
        </w:rPr>
      </w:pPr>
      <w:r w:rsidRPr="005556DE">
        <w:rPr>
          <w:b/>
          <w:color w:val="auto"/>
          <w:lang w:val="es-ES"/>
        </w:rPr>
        <w:t>Causales de improcedencia</w:t>
      </w:r>
    </w:p>
    <w:p w14:paraId="49F1FD7D" w14:textId="77777777" w:rsidR="00EC77D9" w:rsidRPr="005556DE" w:rsidRDefault="00EC77D9" w:rsidP="00A62148">
      <w:pPr>
        <w:spacing w:after="0" w:line="360" w:lineRule="auto"/>
        <w:rPr>
          <w:color w:val="auto"/>
        </w:rPr>
      </w:pPr>
    </w:p>
    <w:p w14:paraId="16D4B38A" w14:textId="77777777" w:rsidR="00EC1C03" w:rsidRPr="005556DE" w:rsidRDefault="00EC1C03" w:rsidP="00A62148">
      <w:pPr>
        <w:spacing w:after="0" w:line="360" w:lineRule="auto"/>
        <w:rPr>
          <w:color w:val="auto"/>
        </w:rPr>
      </w:pPr>
      <w:r w:rsidRPr="005556DE">
        <w:rPr>
          <w:color w:val="auto"/>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78F86E3A" w14:textId="77777777" w:rsidR="00EC1C03" w:rsidRPr="005556DE" w:rsidRDefault="00EC1C03" w:rsidP="00A62148">
      <w:pPr>
        <w:spacing w:after="0" w:line="360" w:lineRule="auto"/>
        <w:rPr>
          <w:color w:val="auto"/>
        </w:rPr>
      </w:pPr>
    </w:p>
    <w:p w14:paraId="6DA990A4" w14:textId="77777777" w:rsidR="00EC1C03" w:rsidRPr="005556DE" w:rsidRDefault="00EC1C03" w:rsidP="00A62148">
      <w:pPr>
        <w:spacing w:after="0" w:line="360" w:lineRule="auto"/>
        <w:rPr>
          <w:color w:val="auto"/>
        </w:rPr>
      </w:pPr>
      <w:r w:rsidRPr="005556DE">
        <w:rPr>
          <w:color w:val="auto"/>
        </w:rPr>
        <w:t>En el presente caso, </w:t>
      </w:r>
      <w:r w:rsidRPr="005556DE">
        <w:rPr>
          <w:b/>
          <w:color w:val="auto"/>
        </w:rPr>
        <w:t>no se actualiza ninguna de las causales de improcedencia</w:t>
      </w:r>
      <w:r w:rsidRPr="005556DE">
        <w:rPr>
          <w:color w:val="auto"/>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1D1EE13C" w14:textId="77777777" w:rsidR="00EC1C03" w:rsidRPr="005556DE" w:rsidRDefault="00EC1C03" w:rsidP="00A62148">
      <w:pPr>
        <w:spacing w:after="0" w:line="360" w:lineRule="auto"/>
        <w:rPr>
          <w:color w:val="auto"/>
        </w:rPr>
      </w:pPr>
    </w:p>
    <w:p w14:paraId="09400D35" w14:textId="74F3FEB1" w:rsidR="00DD5123" w:rsidRPr="005556DE" w:rsidRDefault="00EC1C03" w:rsidP="00A62148">
      <w:pPr>
        <w:spacing w:after="0" w:line="360" w:lineRule="auto"/>
        <w:rPr>
          <w:rFonts w:eastAsia="Calibri" w:cs="Tahoma"/>
          <w:color w:val="auto"/>
        </w:rPr>
      </w:pPr>
      <w:r w:rsidRPr="005556DE">
        <w:rPr>
          <w:rFonts w:eastAsia="Times New Roman" w:cs="Tahoma"/>
          <w:color w:val="auto"/>
          <w:lang w:eastAsia="es-ES"/>
        </w:rPr>
        <w:lastRenderedPageBreak/>
        <w:t xml:space="preserve">Asimismo, se actualiza la causal de procedencia del Recurso de Revisión señalada en el artículo 179, fracción V, de la Ley en cita, </w:t>
      </w:r>
      <w:r w:rsidRPr="005556DE">
        <w:rPr>
          <w:rFonts w:eastAsia="Calibri" w:cs="Tahoma"/>
          <w:color w:val="auto"/>
        </w:rPr>
        <w:t>pues la persona Recurrente se inconformó con la e</w:t>
      </w:r>
      <w:r w:rsidR="003D3877" w:rsidRPr="005556DE">
        <w:rPr>
          <w:rFonts w:eastAsia="Calibri" w:cs="Tahoma"/>
          <w:color w:val="auto"/>
        </w:rPr>
        <w:t xml:space="preserve">ntrega de información </w:t>
      </w:r>
      <w:r w:rsidR="003D0B51" w:rsidRPr="005556DE">
        <w:rPr>
          <w:rFonts w:eastAsia="Calibri" w:cs="Tahoma"/>
          <w:color w:val="auto"/>
        </w:rPr>
        <w:t>incompleta</w:t>
      </w:r>
      <w:r w:rsidR="003D3877" w:rsidRPr="005556DE">
        <w:rPr>
          <w:rFonts w:eastAsia="Calibri" w:cs="Tahoma"/>
          <w:color w:val="auto"/>
        </w:rPr>
        <w:t>.</w:t>
      </w:r>
    </w:p>
    <w:p w14:paraId="087490CC" w14:textId="77777777" w:rsidR="00EC1C03" w:rsidRPr="005556DE" w:rsidRDefault="00EC1C03" w:rsidP="00A62148">
      <w:pPr>
        <w:spacing w:after="0" w:line="360" w:lineRule="auto"/>
        <w:rPr>
          <w:rFonts w:eastAsia="Calibri" w:cs="Tahoma"/>
          <w:color w:val="FF0000"/>
        </w:rPr>
      </w:pPr>
    </w:p>
    <w:p w14:paraId="7B14536E" w14:textId="0FC6FBCF" w:rsidR="00EC77D9" w:rsidRPr="005556DE" w:rsidRDefault="00EC77D9" w:rsidP="00A62148">
      <w:pPr>
        <w:spacing w:after="0" w:line="360" w:lineRule="auto"/>
        <w:rPr>
          <w:rFonts w:eastAsia="Times New Roman" w:cs="Tahoma"/>
          <w:b/>
          <w:bCs/>
          <w:color w:val="auto"/>
          <w:lang w:eastAsia="es-ES"/>
        </w:rPr>
      </w:pPr>
      <w:r w:rsidRPr="005556DE">
        <w:rPr>
          <w:rFonts w:eastAsia="Times New Roman" w:cs="Tahoma"/>
          <w:b/>
          <w:bCs/>
          <w:color w:val="auto"/>
          <w:lang w:eastAsia="es-ES"/>
        </w:rPr>
        <w:t>Causales de sobreseimiento</w:t>
      </w:r>
    </w:p>
    <w:p w14:paraId="535575C5" w14:textId="77777777" w:rsidR="008E4F87" w:rsidRPr="005556DE" w:rsidRDefault="008E4F87" w:rsidP="00A62148">
      <w:pPr>
        <w:spacing w:after="0" w:line="360" w:lineRule="auto"/>
        <w:rPr>
          <w:rFonts w:eastAsia="Times New Roman" w:cs="Tahoma"/>
          <w:bCs/>
          <w:color w:val="FF0000"/>
          <w:lang w:eastAsia="es-ES"/>
        </w:rPr>
      </w:pPr>
    </w:p>
    <w:p w14:paraId="63CB641D" w14:textId="21D3BF0F" w:rsidR="006607EA" w:rsidRPr="005556DE" w:rsidRDefault="00EC77D9" w:rsidP="00A62148">
      <w:pPr>
        <w:spacing w:after="0" w:line="360" w:lineRule="auto"/>
        <w:rPr>
          <w:rFonts w:eastAsia="Times New Roman" w:cs="Tahoma"/>
          <w:bCs/>
          <w:color w:val="auto"/>
          <w:lang w:eastAsia="es-ES"/>
        </w:rPr>
      </w:pPr>
      <w:r w:rsidRPr="005556DE">
        <w:rPr>
          <w:rFonts w:eastAsia="Times New Roman" w:cs="Tahoma"/>
          <w:bCs/>
          <w:color w:val="auto"/>
          <w:lang w:eastAsia="es-ES"/>
        </w:rPr>
        <w:t>Por ser de previo y especial pronunciamiento, este Instituto analiza si se actualiza alguna causal de sobreseimiento.</w:t>
      </w:r>
      <w:r w:rsidR="00B61BF0" w:rsidRPr="005556DE">
        <w:rPr>
          <w:rFonts w:eastAsia="Times New Roman" w:cs="Tahoma"/>
          <w:bCs/>
          <w:color w:val="auto"/>
          <w:lang w:eastAsia="es-ES"/>
        </w:rPr>
        <w:t xml:space="preserve"> </w:t>
      </w:r>
    </w:p>
    <w:p w14:paraId="1DA7DE69" w14:textId="77777777" w:rsidR="006607EA" w:rsidRPr="005556DE" w:rsidRDefault="006607EA" w:rsidP="00A62148">
      <w:pPr>
        <w:spacing w:after="0" w:line="360" w:lineRule="auto"/>
        <w:rPr>
          <w:rFonts w:eastAsia="Times New Roman" w:cs="Tahoma"/>
          <w:bCs/>
          <w:color w:val="auto"/>
          <w:lang w:eastAsia="es-ES"/>
        </w:rPr>
      </w:pPr>
    </w:p>
    <w:p w14:paraId="0D0171D0" w14:textId="5BFAD7EA" w:rsidR="00EC77D9" w:rsidRPr="005556DE" w:rsidRDefault="00EC77D9" w:rsidP="00A62148">
      <w:pPr>
        <w:spacing w:after="0" w:line="360" w:lineRule="auto"/>
        <w:rPr>
          <w:rFonts w:eastAsia="Times New Roman" w:cs="Tahoma"/>
          <w:color w:val="auto"/>
          <w:lang w:eastAsia="es-ES"/>
        </w:rPr>
      </w:pPr>
      <w:r w:rsidRPr="005556DE">
        <w:rPr>
          <w:rFonts w:eastAsia="Times New Roman" w:cs="Tahoma"/>
          <w:bCs/>
          <w:color w:val="auto"/>
          <w:lang w:eastAsia="es-ES"/>
        </w:rPr>
        <w:t>Sobre el tema, e</w:t>
      </w:r>
      <w:r w:rsidRPr="005556DE">
        <w:rPr>
          <w:rFonts w:eastAsia="Times New Roman" w:cs="Tahoma"/>
          <w:color w:val="auto"/>
          <w:lang w:eastAsia="es-ES"/>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w:t>
      </w:r>
      <w:r w:rsidR="00D55E2F" w:rsidRPr="005556DE">
        <w:rPr>
          <w:rFonts w:eastAsia="Times New Roman" w:cs="Tahoma"/>
          <w:color w:val="auto"/>
          <w:lang w:eastAsia="es-ES"/>
        </w:rPr>
        <w:t xml:space="preserve">persona </w:t>
      </w:r>
      <w:r w:rsidRPr="005556DE">
        <w:rPr>
          <w:rFonts w:eastAsia="Times New Roman" w:cs="Tahoma"/>
          <w:color w:val="auto"/>
          <w:lang w:eastAsia="es-ES"/>
        </w:rPr>
        <w:t>Recurrente se haya desistido del recurso, haya fallecido, sobreviniera alguna causal de improcedencia, que el Sujeto Obligado hubiese modificado o revocado el acto impugnado o bien, haya quedado sin materia.</w:t>
      </w:r>
    </w:p>
    <w:p w14:paraId="0B77DFE7" w14:textId="77777777" w:rsidR="00EC77D9" w:rsidRPr="005556DE" w:rsidRDefault="00EC77D9" w:rsidP="00A62148">
      <w:pPr>
        <w:spacing w:after="0" w:line="360" w:lineRule="auto"/>
        <w:rPr>
          <w:rFonts w:eastAsia="Times New Roman" w:cs="Tahoma"/>
          <w:color w:val="auto"/>
          <w:lang w:eastAsia="es-ES"/>
        </w:rPr>
      </w:pPr>
    </w:p>
    <w:p w14:paraId="453748E2" w14:textId="5E3E0CC7" w:rsidR="00DC6ABD" w:rsidRPr="005556DE" w:rsidRDefault="00EC77D9" w:rsidP="00A62148">
      <w:pPr>
        <w:spacing w:after="0" w:line="360" w:lineRule="auto"/>
        <w:rPr>
          <w:rFonts w:eastAsia="Times New Roman" w:cs="Tahoma"/>
          <w:bCs/>
          <w:color w:val="auto"/>
          <w:lang w:eastAsia="es-ES"/>
        </w:rPr>
      </w:pPr>
      <w:r w:rsidRPr="005556DE">
        <w:rPr>
          <w:rFonts w:eastAsia="Times New Roman" w:cs="Tahoma"/>
          <w:bCs/>
          <w:color w:val="auto"/>
          <w:lang w:eastAsia="es-ES"/>
        </w:rPr>
        <w:t xml:space="preserve">Por tales motivos, se considera procedente entrar al fondo del presente asunto. </w:t>
      </w:r>
    </w:p>
    <w:p w14:paraId="4ACD5B8E" w14:textId="77777777" w:rsidR="009E7021" w:rsidRPr="005556DE" w:rsidRDefault="009E7021" w:rsidP="00A62148">
      <w:pPr>
        <w:spacing w:after="0" w:line="360" w:lineRule="auto"/>
        <w:rPr>
          <w:rFonts w:eastAsia="Times New Roman" w:cs="Tahoma"/>
          <w:bCs/>
          <w:color w:val="auto"/>
          <w:lang w:eastAsia="es-ES"/>
        </w:rPr>
      </w:pPr>
    </w:p>
    <w:p w14:paraId="2AEBE5D0" w14:textId="3CF49288" w:rsidR="00A2050F" w:rsidRPr="005556DE" w:rsidRDefault="00EC77D9" w:rsidP="00A62148">
      <w:pPr>
        <w:spacing w:after="0" w:line="360" w:lineRule="auto"/>
        <w:rPr>
          <w:rFonts w:eastAsia="Times New Roman" w:cs="Tahoma"/>
          <w:b/>
          <w:bCs/>
          <w:iCs/>
          <w:color w:val="auto"/>
          <w:lang w:val="es-ES" w:eastAsia="es-ES"/>
        </w:rPr>
      </w:pPr>
      <w:r w:rsidRPr="005556DE">
        <w:rPr>
          <w:rFonts w:eastAsia="Times New Roman" w:cs="Tahoma"/>
          <w:b/>
          <w:bCs/>
          <w:iCs/>
          <w:color w:val="auto"/>
          <w:lang w:val="es-ES" w:eastAsia="es-ES"/>
        </w:rPr>
        <w:t>TERCERO. De</w:t>
      </w:r>
      <w:r w:rsidR="007B0D14" w:rsidRPr="005556DE">
        <w:rPr>
          <w:rFonts w:eastAsia="Times New Roman" w:cs="Tahoma"/>
          <w:b/>
          <w:bCs/>
          <w:iCs/>
          <w:color w:val="auto"/>
          <w:lang w:val="es-ES" w:eastAsia="es-ES"/>
        </w:rPr>
        <w:t>terminación de la Controversia</w:t>
      </w:r>
    </w:p>
    <w:p w14:paraId="66946365" w14:textId="65B5F57A" w:rsidR="00A2050F" w:rsidRPr="005556DE" w:rsidRDefault="00A2050F" w:rsidP="00A62148">
      <w:pPr>
        <w:spacing w:after="0" w:line="360" w:lineRule="auto"/>
        <w:rPr>
          <w:rFonts w:eastAsia="Times New Roman" w:cs="Tahoma"/>
          <w:b/>
          <w:bCs/>
          <w:iCs/>
          <w:color w:val="FF0000"/>
          <w:lang w:val="es-ES" w:eastAsia="es-ES"/>
        </w:rPr>
      </w:pPr>
    </w:p>
    <w:p w14:paraId="0DA64FBD" w14:textId="39B3668D" w:rsidR="007B0D14" w:rsidRPr="005556DE" w:rsidRDefault="00A2050F" w:rsidP="00A62148">
      <w:pPr>
        <w:spacing w:after="0" w:line="360" w:lineRule="auto"/>
        <w:rPr>
          <w:rFonts w:cs="Tahoma"/>
          <w:color w:val="auto"/>
        </w:rPr>
      </w:pPr>
      <w:r w:rsidRPr="005556DE">
        <w:rPr>
          <w:rFonts w:cs="Tahoma"/>
          <w:color w:val="auto"/>
        </w:rPr>
        <w:t xml:space="preserve">Con el objetivo de ilustrar la controversia planteada, resulta conveniente precisar, que una vez realizado el estudio de las constancias que integran el expediente en el que se actúa, se desprende que el Particular </w:t>
      </w:r>
      <w:r w:rsidR="00D17D14" w:rsidRPr="005556DE">
        <w:rPr>
          <w:rFonts w:cs="Tahoma"/>
          <w:color w:val="auto"/>
        </w:rPr>
        <w:t>requirió</w:t>
      </w:r>
      <w:r w:rsidR="00C22BE9" w:rsidRPr="005556DE">
        <w:rPr>
          <w:rFonts w:cs="Tahoma"/>
          <w:color w:val="auto"/>
        </w:rPr>
        <w:t xml:space="preserve">, </w:t>
      </w:r>
      <w:r w:rsidR="007B0D14" w:rsidRPr="005556DE">
        <w:rPr>
          <w:rFonts w:cs="Tahoma"/>
          <w:color w:val="auto"/>
        </w:rPr>
        <w:t xml:space="preserve">todos los contratos firmados por el Ayuntamiento </w:t>
      </w:r>
      <w:r w:rsidR="003D0B51" w:rsidRPr="005556DE">
        <w:rPr>
          <w:rFonts w:cs="Tahoma"/>
          <w:color w:val="auto"/>
        </w:rPr>
        <w:t>del primero de enero al diez de diciembre de dos mil veinticuatro.</w:t>
      </w:r>
    </w:p>
    <w:p w14:paraId="02035709" w14:textId="77777777" w:rsidR="007B0D14" w:rsidRPr="005556DE" w:rsidRDefault="007B0D14" w:rsidP="00A62148">
      <w:pPr>
        <w:spacing w:after="0" w:line="360" w:lineRule="auto"/>
        <w:rPr>
          <w:rFonts w:cs="Tahoma"/>
          <w:color w:val="FF0000"/>
        </w:rPr>
      </w:pPr>
    </w:p>
    <w:p w14:paraId="791B5261" w14:textId="63C7664F" w:rsidR="00953F07" w:rsidRPr="005556DE" w:rsidRDefault="00953F07" w:rsidP="00A62148">
      <w:pPr>
        <w:spacing w:after="0" w:line="360" w:lineRule="auto"/>
        <w:rPr>
          <w:color w:val="auto"/>
        </w:rPr>
      </w:pPr>
      <w:r w:rsidRPr="005556DE">
        <w:rPr>
          <w:color w:val="auto"/>
        </w:rPr>
        <w:lastRenderedPageBreak/>
        <w:t>En respuesta, el Sujeto Obligado, a través de</w:t>
      </w:r>
      <w:r w:rsidR="001F1B13" w:rsidRPr="005556DE">
        <w:rPr>
          <w:color w:val="auto"/>
        </w:rPr>
        <w:t xml:space="preserve"> la </w:t>
      </w:r>
      <w:r w:rsidR="00F34E0A" w:rsidRPr="005556DE">
        <w:rPr>
          <w:color w:val="auto"/>
        </w:rPr>
        <w:t xml:space="preserve">Dirección General de Administración </w:t>
      </w:r>
      <w:r w:rsidR="004850BB" w:rsidRPr="005556DE">
        <w:rPr>
          <w:color w:val="auto"/>
        </w:rPr>
        <w:t>informo que</w:t>
      </w:r>
      <w:r w:rsidR="00F34E0A" w:rsidRPr="005556DE">
        <w:rPr>
          <w:color w:val="auto"/>
        </w:rPr>
        <w:t xml:space="preserve"> después de realizar la búsqueda exhaustiva y razonable, se</w:t>
      </w:r>
      <w:r w:rsidR="004850BB" w:rsidRPr="005556DE">
        <w:rPr>
          <w:color w:val="auto"/>
        </w:rPr>
        <w:t xml:space="preserve"> anexaban</w:t>
      </w:r>
      <w:r w:rsidR="00F34E0A" w:rsidRPr="005556DE">
        <w:rPr>
          <w:color w:val="auto"/>
        </w:rPr>
        <w:t xml:space="preserve"> los contra</w:t>
      </w:r>
      <w:r w:rsidR="004850BB" w:rsidRPr="005556DE">
        <w:rPr>
          <w:color w:val="auto"/>
        </w:rPr>
        <w:t>tos firmados durante el año dos mil veinticuatro</w:t>
      </w:r>
      <w:r w:rsidR="00F34E0A" w:rsidRPr="005556DE">
        <w:rPr>
          <w:color w:val="auto"/>
        </w:rPr>
        <w:t xml:space="preserve"> a la fecha de la solicitud.</w:t>
      </w:r>
      <w:r w:rsidR="00D94DEB" w:rsidRPr="005556DE">
        <w:rPr>
          <w:color w:val="auto"/>
        </w:rPr>
        <w:t xml:space="preserve"> Por su parte el  Instituto Municipal de la Mujer de Toluca</w:t>
      </w:r>
      <w:r w:rsidR="00F34E0A" w:rsidRPr="005556DE">
        <w:rPr>
          <w:color w:val="auto"/>
        </w:rPr>
        <w:t>, informó que después de realizar una búsqueda exhaustiva y razonable, informa que lo solic</w:t>
      </w:r>
      <w:r w:rsidR="00D94DEB" w:rsidRPr="005556DE">
        <w:rPr>
          <w:color w:val="auto"/>
        </w:rPr>
        <w:t>itado ya se encuentra publicado a través de la liga que remitió para su consulta</w:t>
      </w:r>
      <w:r w:rsidRPr="005556DE">
        <w:rPr>
          <w:rFonts w:cs="Tahoma"/>
          <w:color w:val="auto"/>
        </w:rPr>
        <w:t>;</w:t>
      </w:r>
      <w:r w:rsidR="00A864C8" w:rsidRPr="005556DE">
        <w:rPr>
          <w:color w:val="auto"/>
        </w:rPr>
        <w:t xml:space="preserve"> </w:t>
      </w:r>
      <w:r w:rsidRPr="005556DE">
        <w:rPr>
          <w:rFonts w:cs="Tahoma"/>
          <w:color w:val="auto"/>
          <w:lang w:val="es-ES"/>
        </w:rPr>
        <w:t>ante dicha circunstancia, el Particular se inconformó de</w:t>
      </w:r>
      <w:r w:rsidR="00BE39D1" w:rsidRPr="005556DE">
        <w:rPr>
          <w:rFonts w:cs="Tahoma"/>
          <w:color w:val="auto"/>
          <w:lang w:val="es-ES"/>
        </w:rPr>
        <w:t xml:space="preserve"> la entrega de información </w:t>
      </w:r>
      <w:r w:rsidR="003D0B51" w:rsidRPr="005556DE">
        <w:rPr>
          <w:rFonts w:cs="Tahoma"/>
          <w:color w:val="auto"/>
          <w:lang w:val="es-ES"/>
        </w:rPr>
        <w:t>incompleta</w:t>
      </w:r>
      <w:r w:rsidRPr="005556DE">
        <w:rPr>
          <w:rFonts w:cs="Tahoma"/>
          <w:color w:val="auto"/>
          <w:lang w:val="es-ES"/>
        </w:rPr>
        <w:t xml:space="preserve">, lo cual </w:t>
      </w:r>
      <w:r w:rsidRPr="005556DE">
        <w:rPr>
          <w:rFonts w:eastAsia="Calibri" w:cs="Tahoma"/>
          <w:color w:val="auto"/>
        </w:rPr>
        <w:t>actualiza la causal de procedencia prevista en la fracción V, del artículo 179 de la Ley de Transparencia y Acceso a la Información Pública del Estado de México y Municipios</w:t>
      </w:r>
      <w:r w:rsidRPr="005556DE">
        <w:rPr>
          <w:color w:val="auto"/>
        </w:rPr>
        <w:t xml:space="preserve">. </w:t>
      </w:r>
      <w:r w:rsidRPr="005556DE">
        <w:rPr>
          <w:rFonts w:eastAsia="Calibri" w:cs="Tahoma"/>
          <w:color w:val="auto"/>
        </w:rPr>
        <w:t>Así, las cosas, una vez admitido y notificado el Recurso de Revisión</w:t>
      </w:r>
      <w:r w:rsidR="00837814" w:rsidRPr="005556DE">
        <w:rPr>
          <w:rFonts w:eastAsia="Calibri" w:cs="Tahoma"/>
          <w:color w:val="auto"/>
        </w:rPr>
        <w:t>,</w:t>
      </w:r>
      <w:r w:rsidR="00BD0FDF" w:rsidRPr="005556DE">
        <w:rPr>
          <w:rFonts w:eastAsia="Calibri" w:cs="Tahoma"/>
          <w:color w:val="auto"/>
        </w:rPr>
        <w:t xml:space="preserve"> el Sujeto Obligado remitió su </w:t>
      </w:r>
      <w:r w:rsidR="00A62148" w:rsidRPr="005556DE">
        <w:rPr>
          <w:rFonts w:eastAsia="Calibri" w:cs="Tahoma"/>
          <w:color w:val="auto"/>
        </w:rPr>
        <w:t>I</w:t>
      </w:r>
      <w:r w:rsidR="00BD0FDF" w:rsidRPr="005556DE">
        <w:rPr>
          <w:rFonts w:eastAsia="Calibri" w:cs="Tahoma"/>
          <w:color w:val="auto"/>
        </w:rPr>
        <w:t xml:space="preserve">nforme </w:t>
      </w:r>
      <w:r w:rsidR="00A62148" w:rsidRPr="005556DE">
        <w:rPr>
          <w:rFonts w:eastAsia="Calibri" w:cs="Tahoma"/>
          <w:color w:val="auto"/>
        </w:rPr>
        <w:t>J</w:t>
      </w:r>
      <w:r w:rsidR="00BD0FDF" w:rsidRPr="005556DE">
        <w:rPr>
          <w:rFonts w:eastAsia="Calibri" w:cs="Tahoma"/>
          <w:color w:val="auto"/>
        </w:rPr>
        <w:t>ustificado a través del cual ratifico su respuesta primigenia</w:t>
      </w:r>
      <w:r w:rsidR="00A62148" w:rsidRPr="005556DE">
        <w:rPr>
          <w:rFonts w:eastAsia="Calibri" w:cs="Tahoma"/>
          <w:color w:val="auto"/>
        </w:rPr>
        <w:t xml:space="preserve"> y remitió</w:t>
      </w:r>
      <w:r w:rsidR="00BD0FDF" w:rsidRPr="005556DE">
        <w:rPr>
          <w:rFonts w:eastAsia="Calibri" w:cs="Tahoma"/>
          <w:color w:val="auto"/>
        </w:rPr>
        <w:t xml:space="preserve"> un listado de contratos firmados en el año dos mil veinticuatro, por parte de la Dirección General de Administración.  </w:t>
      </w:r>
      <w:r w:rsidR="00CA5434" w:rsidRPr="005556DE">
        <w:rPr>
          <w:rFonts w:eastAsia="Calibri" w:cs="Tahoma"/>
          <w:color w:val="auto"/>
        </w:rPr>
        <w:t xml:space="preserve"> </w:t>
      </w:r>
    </w:p>
    <w:p w14:paraId="52D2C92E" w14:textId="77777777" w:rsidR="00BE75BB" w:rsidRPr="005556DE" w:rsidRDefault="00BE75BB" w:rsidP="00A62148">
      <w:pPr>
        <w:pStyle w:val="NormalWeb"/>
        <w:spacing w:after="0" w:line="360" w:lineRule="auto"/>
        <w:ind w:right="-28"/>
        <w:rPr>
          <w:rFonts w:ascii="Palatino Linotype" w:hAnsi="Palatino Linotype" w:cs="Tahoma"/>
          <w:bCs/>
          <w:iCs/>
          <w:color w:val="FF0000"/>
          <w:sz w:val="22"/>
          <w:szCs w:val="22"/>
          <w:lang w:val="es-ES" w:eastAsia="es-ES"/>
        </w:rPr>
      </w:pPr>
    </w:p>
    <w:p w14:paraId="6F1CFCEB" w14:textId="77777777" w:rsidR="00EC77D9" w:rsidRPr="005556DE" w:rsidRDefault="00EC77D9" w:rsidP="00A62148">
      <w:pPr>
        <w:tabs>
          <w:tab w:val="left" w:pos="4962"/>
        </w:tabs>
        <w:spacing w:after="0" w:line="360" w:lineRule="auto"/>
        <w:rPr>
          <w:rFonts w:eastAsia="Calibri" w:cs="Tahoma"/>
          <w:bCs/>
          <w:color w:val="auto"/>
        </w:rPr>
      </w:pPr>
      <w:r w:rsidRPr="005556DE">
        <w:rPr>
          <w:rFonts w:eastAsia="Calibri" w:cs="Tahoma"/>
          <w:iCs/>
          <w:color w:val="auto"/>
          <w:lang w:val="es-ES" w:eastAsia="es-ES_tradnl"/>
        </w:rPr>
        <w:t xml:space="preserve">Lo anterior, se desprende de las documentales que obran en el expediente de referencia, materia de la presente resolución, consistente en: la solicitud de acceso a la información </w:t>
      </w:r>
      <w:r w:rsidRPr="005556DE">
        <w:rPr>
          <w:rFonts w:eastAsia="Calibri" w:cs="Tahoma"/>
          <w:iCs/>
          <w:color w:val="auto"/>
          <w:lang w:eastAsia="es-ES_tradnl"/>
        </w:rPr>
        <w:t xml:space="preserve">y el escrito recursal; </w:t>
      </w:r>
      <w:r w:rsidRPr="005556DE">
        <w:rPr>
          <w:rFonts w:eastAsia="Calibri" w:cs="Tahoma"/>
          <w:bCs/>
          <w:color w:val="auto"/>
        </w:rPr>
        <w:t>instrumentales que se toman en cuenta a efecto de resolver el presente medio de impugnación, conforme a lo dispuesto por el artículo 185, fracción IV, de la Ley de Transparencia y Acceso a la Información Pública del Estado de México y Municipios.</w:t>
      </w:r>
    </w:p>
    <w:p w14:paraId="461FBDF4" w14:textId="77777777" w:rsidR="00EC77D9" w:rsidRPr="005556DE" w:rsidRDefault="00EC77D9" w:rsidP="00A62148">
      <w:pPr>
        <w:spacing w:after="0" w:line="360" w:lineRule="auto"/>
        <w:rPr>
          <w:rFonts w:eastAsia="Calibri" w:cs="Tahoma"/>
          <w:color w:val="auto"/>
          <w:lang w:eastAsia="es-ES_tradnl"/>
        </w:rPr>
      </w:pPr>
    </w:p>
    <w:p w14:paraId="4AC719C6" w14:textId="34C4CC42" w:rsidR="00EC77D9" w:rsidRPr="005556DE" w:rsidRDefault="00EC77D9" w:rsidP="00A62148">
      <w:pPr>
        <w:spacing w:after="0" w:line="360" w:lineRule="auto"/>
        <w:rPr>
          <w:rFonts w:eastAsia="Times New Roman" w:cs="Tahoma"/>
          <w:b/>
          <w:bCs/>
          <w:iCs/>
          <w:color w:val="auto"/>
          <w:lang w:eastAsia="es-ES"/>
        </w:rPr>
      </w:pPr>
      <w:r w:rsidRPr="005556DE">
        <w:rPr>
          <w:rFonts w:eastAsia="Times New Roman" w:cs="Tahoma"/>
          <w:b/>
          <w:bCs/>
          <w:iCs/>
          <w:color w:val="auto"/>
          <w:lang w:val="es-ES" w:eastAsia="es-ES"/>
        </w:rPr>
        <w:t xml:space="preserve">CUARTO. </w:t>
      </w:r>
      <w:r w:rsidRPr="005556DE">
        <w:rPr>
          <w:rFonts w:eastAsia="Times New Roman" w:cs="Tahoma"/>
          <w:b/>
          <w:bCs/>
          <w:iCs/>
          <w:color w:val="auto"/>
          <w:lang w:eastAsia="es-ES"/>
        </w:rPr>
        <w:t>Marco normativo aplicable en materia de transparencia y acceso a la informaci</w:t>
      </w:r>
      <w:r w:rsidR="00D94DEB" w:rsidRPr="005556DE">
        <w:rPr>
          <w:rFonts w:eastAsia="Times New Roman" w:cs="Tahoma"/>
          <w:b/>
          <w:bCs/>
          <w:iCs/>
          <w:color w:val="auto"/>
          <w:lang w:eastAsia="es-ES"/>
        </w:rPr>
        <w:t>ón pública</w:t>
      </w:r>
    </w:p>
    <w:p w14:paraId="53349C7E" w14:textId="77777777" w:rsidR="00EC77D9" w:rsidRPr="005556DE" w:rsidRDefault="00EC77D9" w:rsidP="00A62148">
      <w:pPr>
        <w:autoSpaceDE w:val="0"/>
        <w:autoSpaceDN w:val="0"/>
        <w:adjustRightInd w:val="0"/>
        <w:spacing w:after="0" w:line="360" w:lineRule="auto"/>
        <w:rPr>
          <w:rFonts w:eastAsia="Times New Roman" w:cs="Tahoma"/>
          <w:bCs/>
          <w:iCs/>
          <w:color w:val="FF0000"/>
          <w:lang w:val="es-ES" w:eastAsia="es-ES"/>
        </w:rPr>
      </w:pPr>
    </w:p>
    <w:p w14:paraId="24646644" w14:textId="77777777" w:rsidR="00EC77D9" w:rsidRPr="005556DE" w:rsidRDefault="00EC77D9" w:rsidP="00A62148">
      <w:pPr>
        <w:spacing w:after="0" w:line="360" w:lineRule="auto"/>
        <w:rPr>
          <w:rFonts w:eastAsia="Times New Roman" w:cs="Tahoma"/>
          <w:bCs/>
          <w:iCs/>
          <w:color w:val="auto"/>
          <w:lang w:eastAsia="es-ES"/>
        </w:rPr>
      </w:pPr>
      <w:r w:rsidRPr="005556DE">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F9F3ECE" w14:textId="77777777" w:rsidR="00B61BF0" w:rsidRPr="005556DE" w:rsidRDefault="00B61BF0" w:rsidP="00A62148">
      <w:pPr>
        <w:spacing w:after="0" w:line="360" w:lineRule="auto"/>
        <w:rPr>
          <w:rFonts w:eastAsia="Times New Roman" w:cs="Tahoma"/>
          <w:bCs/>
          <w:iCs/>
          <w:color w:val="auto"/>
          <w:lang w:eastAsia="es-ES"/>
        </w:rPr>
      </w:pPr>
    </w:p>
    <w:p w14:paraId="27585E1D" w14:textId="6CD8436B" w:rsidR="00EC77D9" w:rsidRPr="005556DE" w:rsidRDefault="00EC77D9" w:rsidP="00A62148">
      <w:pPr>
        <w:spacing w:after="0" w:line="360" w:lineRule="auto"/>
        <w:rPr>
          <w:rFonts w:eastAsia="Times New Roman" w:cs="Tahoma"/>
          <w:bCs/>
          <w:iCs/>
          <w:color w:val="auto"/>
          <w:lang w:eastAsia="es-ES"/>
        </w:rPr>
      </w:pPr>
      <w:r w:rsidRPr="005556DE">
        <w:rPr>
          <w:rFonts w:eastAsia="Times New Roman" w:cs="Tahoma"/>
          <w:bCs/>
          <w:iCs/>
          <w:color w:val="auto"/>
          <w:lang w:eastAsia="es-ES"/>
        </w:rPr>
        <w:lastRenderedPageBreak/>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041F4605" w14:textId="77777777" w:rsidR="00EC77D9" w:rsidRPr="005556DE" w:rsidRDefault="00EC77D9" w:rsidP="00A62148">
      <w:pPr>
        <w:spacing w:after="0" w:line="360" w:lineRule="auto"/>
        <w:rPr>
          <w:rFonts w:eastAsia="Times New Roman" w:cs="Tahoma"/>
          <w:bCs/>
          <w:iCs/>
          <w:color w:val="auto"/>
          <w:lang w:eastAsia="es-ES"/>
        </w:rPr>
      </w:pPr>
    </w:p>
    <w:p w14:paraId="3ECDEC3B" w14:textId="77777777" w:rsidR="00EC77D9" w:rsidRPr="005556DE" w:rsidRDefault="00EC77D9" w:rsidP="00A62148">
      <w:pPr>
        <w:spacing w:after="0" w:line="360" w:lineRule="auto"/>
        <w:rPr>
          <w:rFonts w:eastAsia="Times New Roman" w:cs="Tahoma"/>
          <w:bCs/>
          <w:iCs/>
          <w:color w:val="auto"/>
          <w:lang w:eastAsia="es-ES"/>
        </w:rPr>
      </w:pPr>
      <w:r w:rsidRPr="005556DE">
        <w:rPr>
          <w:rFonts w:eastAsia="Times New Roman" w:cs="Tahoma"/>
          <w:bCs/>
          <w:iCs/>
          <w:color w:val="auto"/>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CEC7908" w14:textId="77777777" w:rsidR="00EC77D9" w:rsidRPr="005556DE" w:rsidRDefault="00EC77D9" w:rsidP="00A62148">
      <w:pPr>
        <w:spacing w:after="0" w:line="360" w:lineRule="auto"/>
        <w:rPr>
          <w:rFonts w:eastAsia="Times New Roman" w:cs="Tahoma"/>
          <w:bCs/>
          <w:iCs/>
          <w:color w:val="auto"/>
          <w:lang w:eastAsia="es-ES"/>
        </w:rPr>
      </w:pPr>
    </w:p>
    <w:p w14:paraId="16EC33CD" w14:textId="77777777" w:rsidR="00EC77D9" w:rsidRPr="005556DE" w:rsidRDefault="00EC77D9" w:rsidP="00A62148">
      <w:pPr>
        <w:spacing w:after="0" w:line="360" w:lineRule="auto"/>
        <w:rPr>
          <w:rFonts w:eastAsia="Times New Roman" w:cs="Tahoma"/>
          <w:bCs/>
          <w:iCs/>
          <w:color w:val="auto"/>
          <w:lang w:eastAsia="es-ES"/>
        </w:rPr>
      </w:pPr>
      <w:r w:rsidRPr="005556DE">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7E8BF7BE" w14:textId="77777777" w:rsidR="00EC77D9" w:rsidRPr="005556DE" w:rsidRDefault="00EC77D9" w:rsidP="00A62148">
      <w:pPr>
        <w:spacing w:after="0" w:line="360" w:lineRule="auto"/>
        <w:rPr>
          <w:rFonts w:eastAsia="Times New Roman" w:cs="Tahoma"/>
          <w:bCs/>
          <w:iCs/>
          <w:color w:val="auto"/>
          <w:lang w:eastAsia="es-ES"/>
        </w:rPr>
      </w:pPr>
    </w:p>
    <w:p w14:paraId="5AAC1DAC" w14:textId="77777777" w:rsidR="00EC77D9" w:rsidRPr="005556DE" w:rsidRDefault="00EC77D9" w:rsidP="00A62148">
      <w:pPr>
        <w:spacing w:after="0" w:line="360" w:lineRule="auto"/>
        <w:rPr>
          <w:rFonts w:eastAsia="Times New Roman" w:cs="Tahoma"/>
          <w:bCs/>
          <w:iCs/>
          <w:color w:val="auto"/>
          <w:lang w:eastAsia="es-ES"/>
        </w:rPr>
      </w:pPr>
      <w:r w:rsidRPr="005556DE">
        <w:rPr>
          <w:rFonts w:eastAsia="Times New Roman" w:cs="Tahoma"/>
          <w:bCs/>
          <w:iCs/>
          <w:color w:val="auto"/>
          <w:lang w:eastAsia="es-ES"/>
        </w:rPr>
        <w:t>El artículo 12, que, quienes generen, recopilen, administren, manejen, procesen, archiven o conserven información pública serán responsables de la misma.</w:t>
      </w:r>
    </w:p>
    <w:p w14:paraId="17FB2DD2" w14:textId="77777777" w:rsidR="00EC77D9" w:rsidRPr="005556DE" w:rsidRDefault="00EC77D9" w:rsidP="00A62148">
      <w:pPr>
        <w:spacing w:after="0" w:line="360" w:lineRule="auto"/>
        <w:rPr>
          <w:rFonts w:eastAsia="Times New Roman" w:cs="Tahoma"/>
          <w:bCs/>
          <w:iCs/>
          <w:color w:val="auto"/>
          <w:lang w:eastAsia="es-ES"/>
        </w:rPr>
      </w:pPr>
    </w:p>
    <w:p w14:paraId="1A199F11" w14:textId="77777777" w:rsidR="00EC77D9" w:rsidRPr="005556DE" w:rsidRDefault="00EC77D9" w:rsidP="00A62148">
      <w:pPr>
        <w:widowControl w:val="0"/>
        <w:spacing w:after="0" w:line="360" w:lineRule="auto"/>
        <w:rPr>
          <w:rFonts w:eastAsia="Times New Roman" w:cs="Tahoma"/>
          <w:bCs/>
          <w:iCs/>
          <w:color w:val="auto"/>
          <w:lang w:eastAsia="es-ES"/>
        </w:rPr>
      </w:pPr>
      <w:r w:rsidRPr="005556DE">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63F8177B" w14:textId="77777777" w:rsidR="00EC77D9" w:rsidRPr="005556DE" w:rsidRDefault="00EC77D9" w:rsidP="00A62148">
      <w:pPr>
        <w:spacing w:after="0" w:line="360" w:lineRule="auto"/>
        <w:rPr>
          <w:rFonts w:eastAsia="Times New Roman" w:cs="Tahoma"/>
          <w:bCs/>
          <w:iCs/>
          <w:color w:val="auto"/>
          <w:lang w:eastAsia="es-ES"/>
        </w:rPr>
      </w:pPr>
    </w:p>
    <w:p w14:paraId="6B93EA99" w14:textId="2691E2CA" w:rsidR="00EC77D9" w:rsidRPr="005556DE" w:rsidRDefault="00EC77D9" w:rsidP="00A62148">
      <w:pPr>
        <w:spacing w:after="0" w:line="360" w:lineRule="auto"/>
        <w:rPr>
          <w:rFonts w:eastAsia="Times New Roman" w:cs="Tahoma"/>
          <w:bCs/>
          <w:iCs/>
          <w:color w:val="auto"/>
          <w:lang w:eastAsia="es-ES"/>
        </w:rPr>
      </w:pPr>
      <w:r w:rsidRPr="005556DE">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BB957EA" w14:textId="77777777" w:rsidR="006A52AF" w:rsidRPr="005556DE" w:rsidRDefault="006A52AF" w:rsidP="00A62148">
      <w:pPr>
        <w:spacing w:after="0" w:line="360" w:lineRule="auto"/>
        <w:rPr>
          <w:rFonts w:eastAsia="Times New Roman" w:cs="Tahoma"/>
          <w:bCs/>
          <w:iCs/>
          <w:color w:val="FF0000"/>
          <w:lang w:eastAsia="es-ES"/>
        </w:rPr>
      </w:pPr>
    </w:p>
    <w:p w14:paraId="438CA9E5" w14:textId="3DD9ACE7" w:rsidR="009B3229" w:rsidRPr="005556DE" w:rsidRDefault="00D94DEB" w:rsidP="00A62148">
      <w:pPr>
        <w:spacing w:after="0" w:line="360" w:lineRule="auto"/>
        <w:rPr>
          <w:rFonts w:eastAsia="Times New Roman" w:cs="Tahoma"/>
          <w:b/>
          <w:bCs/>
          <w:iCs/>
          <w:color w:val="auto"/>
          <w:lang w:val="es-ES" w:eastAsia="es-ES"/>
        </w:rPr>
      </w:pPr>
      <w:r w:rsidRPr="005556DE">
        <w:rPr>
          <w:rFonts w:eastAsia="Times New Roman" w:cs="Tahoma"/>
          <w:b/>
          <w:bCs/>
          <w:iCs/>
          <w:color w:val="auto"/>
          <w:lang w:val="es-ES" w:eastAsia="es-ES"/>
        </w:rPr>
        <w:t>QUINTO. Estudio de Fondo</w:t>
      </w:r>
    </w:p>
    <w:p w14:paraId="79411ADE" w14:textId="77777777" w:rsidR="00F7251D" w:rsidRPr="005556DE" w:rsidRDefault="00F7251D" w:rsidP="00A62148">
      <w:pPr>
        <w:spacing w:after="0" w:line="360" w:lineRule="auto"/>
        <w:rPr>
          <w:rFonts w:eastAsia="Times New Roman" w:cs="Tahoma"/>
          <w:b/>
          <w:bCs/>
          <w:iCs/>
          <w:color w:val="FF0000"/>
          <w:lang w:val="es-ES" w:eastAsia="es-ES"/>
        </w:rPr>
      </w:pPr>
    </w:p>
    <w:p w14:paraId="16BB5D78" w14:textId="0166B52A" w:rsidR="009B4F07" w:rsidRPr="005556DE" w:rsidRDefault="009B4F07" w:rsidP="00A62148">
      <w:pPr>
        <w:widowControl w:val="0"/>
        <w:autoSpaceDE w:val="0"/>
        <w:autoSpaceDN w:val="0"/>
        <w:adjustRightInd w:val="0"/>
        <w:spacing w:after="0" w:line="360" w:lineRule="auto"/>
        <w:contextualSpacing/>
        <w:rPr>
          <w:rFonts w:eastAsia="Times New Roman" w:cs="Times New Roman"/>
          <w:color w:val="auto"/>
          <w:lang w:eastAsia="es-ES"/>
        </w:rPr>
      </w:pPr>
      <w:r w:rsidRPr="005556DE">
        <w:rPr>
          <w:rFonts w:eastAsia="Times New Roman" w:cs="Tahoma"/>
          <w:bCs/>
          <w:iCs/>
          <w:color w:val="auto"/>
          <w:lang w:eastAsia="es-ES"/>
        </w:rPr>
        <w:lastRenderedPageBreak/>
        <w:t xml:space="preserve">Expuestas las posturas de las partes, se procede al análisis del agravio hecho valer por </w:t>
      </w:r>
      <w:r w:rsidR="00D55E2F" w:rsidRPr="005556DE">
        <w:rPr>
          <w:rFonts w:eastAsia="Times New Roman" w:cs="Tahoma"/>
          <w:bCs/>
          <w:iCs/>
          <w:color w:val="auto"/>
          <w:lang w:eastAsia="es-ES"/>
        </w:rPr>
        <w:t>la persona</w:t>
      </w:r>
      <w:r w:rsidRPr="005556DE">
        <w:rPr>
          <w:rFonts w:eastAsia="Times New Roman" w:cs="Tahoma"/>
          <w:bCs/>
          <w:iCs/>
          <w:color w:val="auto"/>
          <w:lang w:eastAsia="es-ES"/>
        </w:rPr>
        <w:t xml:space="preserve"> Recurrente, concerniente </w:t>
      </w:r>
      <w:r w:rsidRPr="005556DE">
        <w:rPr>
          <w:rFonts w:eastAsia="Times New Roman" w:cs="Tahoma"/>
          <w:color w:val="auto"/>
        </w:rPr>
        <w:t xml:space="preserve">a la entrega de información </w:t>
      </w:r>
      <w:r w:rsidR="003D0B51" w:rsidRPr="005556DE">
        <w:rPr>
          <w:rFonts w:eastAsia="Times New Roman" w:cs="Tahoma"/>
          <w:color w:val="auto"/>
        </w:rPr>
        <w:t>incompleta</w:t>
      </w:r>
      <w:r w:rsidR="00077A6E" w:rsidRPr="005556DE">
        <w:t xml:space="preserve">, </w:t>
      </w:r>
      <w:r w:rsidRPr="005556DE">
        <w:rPr>
          <w:rFonts w:eastAsia="Times New Roman" w:cs="Times New Roman"/>
          <w:color w:val="auto"/>
          <w:lang w:eastAsia="es-ES"/>
        </w:rPr>
        <w:t xml:space="preserve">para lo cual, en principio es necesario contextualizar la solicitud de información. </w:t>
      </w:r>
    </w:p>
    <w:p w14:paraId="4D11B2F3" w14:textId="77777777" w:rsidR="002708CA" w:rsidRPr="005556DE" w:rsidRDefault="002708CA" w:rsidP="00A62148">
      <w:pPr>
        <w:widowControl w:val="0"/>
        <w:autoSpaceDE w:val="0"/>
        <w:autoSpaceDN w:val="0"/>
        <w:adjustRightInd w:val="0"/>
        <w:spacing w:after="0" w:line="360" w:lineRule="auto"/>
        <w:contextualSpacing/>
        <w:rPr>
          <w:rFonts w:eastAsia="Times New Roman" w:cs="Times New Roman"/>
          <w:color w:val="FF0000"/>
          <w:lang w:eastAsia="es-ES"/>
        </w:rPr>
      </w:pPr>
    </w:p>
    <w:p w14:paraId="7463BD75" w14:textId="2F82087E" w:rsidR="00BF79B2" w:rsidRPr="005556DE" w:rsidRDefault="002B2A85" w:rsidP="00A62148">
      <w:pPr>
        <w:tabs>
          <w:tab w:val="left" w:pos="4962"/>
        </w:tabs>
        <w:spacing w:after="0" w:line="360" w:lineRule="auto"/>
      </w:pPr>
      <w:r w:rsidRPr="005556DE">
        <w:rPr>
          <w:rFonts w:eastAsia="Times New Roman" w:cs="Times New Roman"/>
          <w:bCs/>
          <w:color w:val="auto"/>
          <w:lang w:eastAsia="es-ES"/>
        </w:rPr>
        <w:t xml:space="preserve">Al respecto, </w:t>
      </w:r>
      <w:r w:rsidR="00BF79B2" w:rsidRPr="005556DE">
        <w:rPr>
          <w:color w:val="auto"/>
        </w:rPr>
        <w:t xml:space="preserve">López Olvera, Miguel Alejandro Cancino Gómez, Rodolfo. (2020). “La </w:t>
      </w:r>
      <w:r w:rsidR="00BF79B2" w:rsidRPr="005556DE">
        <w:t xml:space="preserve">Contratación Pública y el Sistema Nacional Anticorrupción”. (p. 4) la </w:t>
      </w:r>
      <w:r w:rsidR="00BF79B2" w:rsidRPr="005556DE">
        <w:rPr>
          <w:b/>
        </w:rPr>
        <w:t>contratación pública,</w:t>
      </w:r>
      <w:r w:rsidR="00BF79B2" w:rsidRPr="005556DE">
        <w:t xml:space="preserve"> es el procedimiento de carácter administrativo, por medio del cual, un ente público selecciona y posteriormente, celebra un acuerdo de voluntades, con una persona física o jurídica colectiva, para que ésta, preste algún servicio público o lleve a cabo la ejecución de una obra pública, con recursos públicos del Estado y en beneficio de la colectividad.</w:t>
      </w:r>
    </w:p>
    <w:p w14:paraId="56FFD58D" w14:textId="77777777" w:rsidR="00773977" w:rsidRPr="005556DE" w:rsidRDefault="00773977" w:rsidP="00A62148">
      <w:pPr>
        <w:tabs>
          <w:tab w:val="left" w:pos="4962"/>
        </w:tabs>
        <w:spacing w:after="0" w:line="360" w:lineRule="auto"/>
        <w:rPr>
          <w:rFonts w:eastAsia="Times New Roman" w:cs="Times New Roman"/>
          <w:bCs/>
          <w:color w:val="FF0000"/>
          <w:lang w:eastAsia="es-ES"/>
        </w:rPr>
      </w:pPr>
    </w:p>
    <w:p w14:paraId="280B28DF" w14:textId="77777777" w:rsidR="00773977" w:rsidRPr="005556DE" w:rsidRDefault="00773977" w:rsidP="00A62148">
      <w:pPr>
        <w:tabs>
          <w:tab w:val="left" w:pos="4962"/>
        </w:tabs>
        <w:spacing w:after="0" w:line="360" w:lineRule="auto"/>
        <w:rPr>
          <w:b/>
        </w:rPr>
      </w:pPr>
      <w:r w:rsidRPr="005556DE">
        <w:t xml:space="preserve">Así mismo, el artículo 70 fracción XXVIII, de la Ley General de Transparencia y Acceso a la Información Pública y 92 fracción XXIX, de la Ley de Transparencia y Acceso a la Información Pública del Estado de México y Municipios, precisa que es información que es pública de oficio, la información sobre los procesos y resultados sobre procedimientos de adjudicación directa, invitación restringida y licitación de cualquier naturaleza, que incluye la versión pública del expediente respectivo </w:t>
      </w:r>
      <w:r w:rsidRPr="005556DE">
        <w:rPr>
          <w:b/>
        </w:rPr>
        <w:t>y de los contratos celebrados.</w:t>
      </w:r>
    </w:p>
    <w:p w14:paraId="5C36FBA6" w14:textId="77777777" w:rsidR="00773977" w:rsidRPr="005556DE" w:rsidRDefault="00773977" w:rsidP="00A62148">
      <w:pPr>
        <w:tabs>
          <w:tab w:val="left" w:pos="4962"/>
        </w:tabs>
        <w:spacing w:after="0" w:line="360" w:lineRule="auto"/>
        <w:rPr>
          <w:b/>
        </w:rPr>
      </w:pPr>
    </w:p>
    <w:p w14:paraId="49EED798" w14:textId="3814C0CF" w:rsidR="00773977" w:rsidRPr="005556DE" w:rsidRDefault="00773977" w:rsidP="00A62148">
      <w:pPr>
        <w:tabs>
          <w:tab w:val="left" w:pos="4962"/>
        </w:tabs>
        <w:spacing w:after="0" w:line="360" w:lineRule="auto"/>
      </w:pPr>
      <w:r w:rsidRPr="005556DE">
        <w:t xml:space="preserve">En esa consecución de ideas, es importante señalar que de conformidad con lo establecido en la Ley Orgánica Municipal del Estado de México, dentro de sus artículos 31 y 87, reconoce que los </w:t>
      </w:r>
      <w:r w:rsidRPr="005556DE">
        <w:rPr>
          <w:b/>
        </w:rPr>
        <w:t xml:space="preserve">Ayuntamientos </w:t>
      </w:r>
      <w:r w:rsidRPr="005556DE">
        <w:t>tendrán entre sus atribuciones el convenir, contratar o concesionar la ejecución de obras y la prestación de servicios públicos, con el Estado, con otros municipios de la entidad o con particulares, de conformidad con lo establecido en la Ley de la de Contratación Pública del Estado de México y Municipios, el Código Administrativo del Estado de México y en el caso concreto conforme a lo establecido en el Código Reglamentario Municipal.</w:t>
      </w:r>
    </w:p>
    <w:p w14:paraId="265098D4" w14:textId="5957351B" w:rsidR="00773977" w:rsidRPr="005556DE" w:rsidRDefault="00773977" w:rsidP="00A62148">
      <w:pPr>
        <w:tabs>
          <w:tab w:val="left" w:pos="4962"/>
        </w:tabs>
        <w:spacing w:after="0" w:line="360" w:lineRule="auto"/>
        <w:rPr>
          <w:b/>
        </w:rPr>
      </w:pPr>
    </w:p>
    <w:p w14:paraId="51999784" w14:textId="77777777" w:rsidR="00773977" w:rsidRPr="005556DE" w:rsidRDefault="00773977" w:rsidP="00A62148">
      <w:pPr>
        <w:tabs>
          <w:tab w:val="left" w:pos="4962"/>
        </w:tabs>
        <w:spacing w:after="0" w:line="360" w:lineRule="auto"/>
        <w:rPr>
          <w:b/>
        </w:rPr>
      </w:pPr>
      <w:r w:rsidRPr="005556DE">
        <w:lastRenderedPageBreak/>
        <w:t xml:space="preserve">En ese contexto,  es importante señalar que el Bando Municipal del Ayuntamiento de Toluca dos mil veinticuatro en su artículo 23 refiere que para la consulta, estudio, planeación y despacho de los asuntos en los diversos ramos de la Administración Pública Municipal, la o el Presidente Municipal se auxiliará de la Secretaría del Ayuntamiento y de dependencias, organismos desconcentrados, órgano autónomo y organismos descentralizados, dentro de los cuales se encuentra el </w:t>
      </w:r>
      <w:r w:rsidRPr="005556DE">
        <w:rPr>
          <w:b/>
        </w:rPr>
        <w:t>Instituto Municipal de la Mujer de Toluca.</w:t>
      </w:r>
    </w:p>
    <w:p w14:paraId="019D3975" w14:textId="5FC2DCB3" w:rsidR="00773977" w:rsidRPr="005556DE" w:rsidRDefault="00773977" w:rsidP="00A62148">
      <w:pPr>
        <w:tabs>
          <w:tab w:val="left" w:pos="4962"/>
        </w:tabs>
        <w:spacing w:after="0" w:line="360" w:lineRule="auto"/>
        <w:rPr>
          <w:color w:val="auto"/>
        </w:rPr>
      </w:pPr>
    </w:p>
    <w:p w14:paraId="0586FBA9" w14:textId="6E0A1CF3" w:rsidR="00BF79B2" w:rsidRPr="005556DE" w:rsidRDefault="00773977" w:rsidP="00A62148">
      <w:pPr>
        <w:tabs>
          <w:tab w:val="left" w:pos="4962"/>
        </w:tabs>
        <w:spacing w:after="0" w:line="360" w:lineRule="auto"/>
        <w:rPr>
          <w:color w:val="auto"/>
        </w:rPr>
      </w:pPr>
      <w:r w:rsidRPr="005556DE">
        <w:rPr>
          <w:color w:val="auto"/>
        </w:rPr>
        <w:t>Por su parte, el Reglamento Interno del Organismo Público Descentralizado denominado Instituto Municipal de Toluca, en su artículo 4</w:t>
      </w:r>
      <w:r w:rsidR="003D0B51" w:rsidRPr="005556DE">
        <w:rPr>
          <w:color w:val="auto"/>
        </w:rPr>
        <w:t xml:space="preserve">º </w:t>
      </w:r>
      <w:r w:rsidRPr="005556DE">
        <w:rPr>
          <w:color w:val="auto"/>
        </w:rPr>
        <w:t>señala que dicho Instituto, tiene la responsabilidad de impulsar y apoyar la ejecución de las políticas, estrategias, acciones y programas, dirigidas al desarrollo de las mujeres del municipio de Toluca, a fin de lograr su plena participación en los ámbitos económico, político, social, cultural, laboral y educativo para mejorar su condición integral en un marco de igualdad entre los géneros. Así como la prevención, atención y erradicación de los tipos y modalidades de las violencias y discriminación contra las mujeres, niñas y adolescentes del municipio de Toluca.</w:t>
      </w:r>
    </w:p>
    <w:p w14:paraId="34813765" w14:textId="77777777" w:rsidR="00773977" w:rsidRPr="005556DE" w:rsidRDefault="00773977" w:rsidP="00A62148">
      <w:pPr>
        <w:tabs>
          <w:tab w:val="left" w:pos="4962"/>
        </w:tabs>
        <w:spacing w:after="0" w:line="360" w:lineRule="auto"/>
      </w:pPr>
    </w:p>
    <w:p w14:paraId="6BD5038B" w14:textId="77777777" w:rsidR="00773977" w:rsidRPr="005556DE" w:rsidRDefault="00773977" w:rsidP="00A62148">
      <w:pPr>
        <w:tabs>
          <w:tab w:val="left" w:pos="4962"/>
        </w:tabs>
        <w:spacing w:after="0" w:line="360" w:lineRule="auto"/>
      </w:pPr>
      <w:r w:rsidRPr="005556DE">
        <w:t>En ese orden de ideas, el artículo 5 del Reglamento en comento refiere que la dirección y administración del Instituto, estará a cargo de:</w:t>
      </w:r>
    </w:p>
    <w:p w14:paraId="65F5E913" w14:textId="77777777" w:rsidR="00773977" w:rsidRPr="005556DE" w:rsidRDefault="00773977" w:rsidP="00A62148">
      <w:pPr>
        <w:tabs>
          <w:tab w:val="left" w:pos="4962"/>
        </w:tabs>
        <w:spacing w:after="0" w:line="360" w:lineRule="auto"/>
      </w:pPr>
    </w:p>
    <w:p w14:paraId="25FB683A" w14:textId="77777777" w:rsidR="00773977" w:rsidRPr="005556DE" w:rsidRDefault="00773977" w:rsidP="00A62148">
      <w:pPr>
        <w:pStyle w:val="Prrafodelista"/>
        <w:numPr>
          <w:ilvl w:val="0"/>
          <w:numId w:val="2"/>
        </w:numPr>
        <w:tabs>
          <w:tab w:val="left" w:pos="4962"/>
        </w:tabs>
        <w:spacing w:after="0" w:line="360" w:lineRule="auto"/>
      </w:pPr>
      <w:r w:rsidRPr="005556DE">
        <w:t xml:space="preserve">El Consejo Directivo Municipal de la Mujer; </w:t>
      </w:r>
    </w:p>
    <w:p w14:paraId="38DA493F" w14:textId="77777777" w:rsidR="00773977" w:rsidRPr="005556DE" w:rsidRDefault="00773977" w:rsidP="00A62148">
      <w:pPr>
        <w:pStyle w:val="Prrafodelista"/>
        <w:numPr>
          <w:ilvl w:val="0"/>
          <w:numId w:val="2"/>
        </w:numPr>
        <w:tabs>
          <w:tab w:val="left" w:pos="4962"/>
        </w:tabs>
        <w:spacing w:after="0" w:line="360" w:lineRule="auto"/>
      </w:pPr>
      <w:r w:rsidRPr="005556DE">
        <w:t>La Dirección General; y</w:t>
      </w:r>
    </w:p>
    <w:p w14:paraId="2938B700" w14:textId="77777777" w:rsidR="00773977" w:rsidRPr="005556DE" w:rsidRDefault="00773977" w:rsidP="00A62148">
      <w:pPr>
        <w:pStyle w:val="Prrafodelista"/>
        <w:numPr>
          <w:ilvl w:val="0"/>
          <w:numId w:val="2"/>
        </w:numPr>
        <w:tabs>
          <w:tab w:val="left" w:pos="4962"/>
        </w:tabs>
        <w:spacing w:after="0" w:line="360" w:lineRule="auto"/>
      </w:pPr>
      <w:r w:rsidRPr="005556DE">
        <w:t>Las Unidades Administrativas que determina este Reglamento Interno, de conformidad con las necesidades y suficiencia presupuestal.</w:t>
      </w:r>
    </w:p>
    <w:p w14:paraId="4E66A71D" w14:textId="77777777" w:rsidR="000118C2" w:rsidRPr="005556DE" w:rsidRDefault="000118C2" w:rsidP="00A62148">
      <w:pPr>
        <w:spacing w:after="0" w:line="360" w:lineRule="auto"/>
        <w:contextualSpacing/>
        <w:rPr>
          <w:rFonts w:cs="Tahoma"/>
          <w:bCs/>
          <w:iCs/>
          <w:color w:val="FF0000"/>
          <w:lang w:val="es-ES"/>
        </w:rPr>
      </w:pPr>
    </w:p>
    <w:p w14:paraId="6A48C7FE" w14:textId="77777777" w:rsidR="00A942BE" w:rsidRPr="005556DE" w:rsidRDefault="00A942BE" w:rsidP="00A62148">
      <w:pPr>
        <w:spacing w:after="0" w:line="360" w:lineRule="auto"/>
        <w:ind w:right="-28"/>
        <w:contextualSpacing/>
        <w:rPr>
          <w:rFonts w:eastAsia="Times New Roman" w:cs="Tahoma"/>
          <w:bCs/>
          <w:color w:val="auto"/>
          <w:lang w:eastAsia="es-ES"/>
        </w:rPr>
      </w:pPr>
      <w:r w:rsidRPr="005556DE">
        <w:rPr>
          <w:rFonts w:eastAsia="Times New Roman" w:cs="Tahoma"/>
          <w:bCs/>
          <w:color w:val="auto"/>
          <w:lang w:eastAsia="es-ES"/>
        </w:rPr>
        <w:t xml:space="preserve">Ahora bien, es necesario precisar que si bien el Particular requirió información del primero de enero al treinta y uno de diciembre de dos mil veinticuatro, la solicitud de información se presentó el diez de diciembre de dicho año, por lo que se considera que la información </w:t>
      </w:r>
      <w:r w:rsidRPr="005556DE">
        <w:rPr>
          <w:rFonts w:eastAsia="Times New Roman" w:cs="Tahoma"/>
          <w:bCs/>
          <w:color w:val="auto"/>
          <w:lang w:eastAsia="es-ES"/>
        </w:rPr>
        <w:lastRenderedPageBreak/>
        <w:t>requerida del once al treinta y uno de diciembre de dos mil veinticuatro, se trata de hechos futuros, es decir, que no se habían suscitado a la fecha de presentación de la solicitud y, por lo tanto, no se había generado la información o documentación solicitada, por lo que, resulta inatendible dicho periodo.</w:t>
      </w:r>
    </w:p>
    <w:p w14:paraId="315AD185" w14:textId="77777777" w:rsidR="00A942BE" w:rsidRPr="005556DE" w:rsidRDefault="00A942BE" w:rsidP="00A62148">
      <w:pPr>
        <w:spacing w:after="0" w:line="360" w:lineRule="auto"/>
        <w:contextualSpacing/>
        <w:rPr>
          <w:rFonts w:cs="Tahoma"/>
          <w:bCs/>
          <w:iCs/>
          <w:color w:val="FF0000"/>
        </w:rPr>
      </w:pPr>
    </w:p>
    <w:p w14:paraId="0DBE7DA5" w14:textId="4067B860" w:rsidR="00A942BE" w:rsidRPr="005556DE" w:rsidRDefault="00A942BE" w:rsidP="00A62148">
      <w:pPr>
        <w:spacing w:after="0" w:line="360" w:lineRule="auto"/>
        <w:rPr>
          <w:color w:val="auto"/>
        </w:rPr>
      </w:pPr>
      <w:r w:rsidRPr="005556DE">
        <w:rPr>
          <w:color w:val="auto"/>
        </w:rPr>
        <w:t>Conforme a lo expuesto, se logra vislumbrar que la pretensión del ahora Recurrente es obtener, obtener todos los contratos de cualquier naturaleza celebrados por el Ayuntamiento de Toluca y el  Instituto Municipal de la Mujer de Toluca, del primero de enero al diez de diciembre de dos mil veinticuatro; lo cual se robustece con el hecho de que no son Sujetos Obligados distintos, conforme a lo establecido en el Padrón de Sujetos Obligados de este Instituto.</w:t>
      </w:r>
    </w:p>
    <w:p w14:paraId="542E429E" w14:textId="77777777" w:rsidR="00A942BE" w:rsidRPr="005556DE" w:rsidRDefault="00A942BE" w:rsidP="00A62148">
      <w:pPr>
        <w:spacing w:after="0" w:line="360" w:lineRule="auto"/>
        <w:contextualSpacing/>
        <w:rPr>
          <w:rFonts w:cs="Tahoma"/>
          <w:bCs/>
          <w:iCs/>
          <w:color w:val="FF0000"/>
        </w:rPr>
      </w:pPr>
    </w:p>
    <w:p w14:paraId="141C3995" w14:textId="4D072C8B" w:rsidR="000118C2" w:rsidRPr="005556DE" w:rsidRDefault="000118C2" w:rsidP="00A62148">
      <w:pPr>
        <w:spacing w:after="0" w:line="360" w:lineRule="auto"/>
        <w:contextualSpacing/>
        <w:rPr>
          <w:rFonts w:cs="Tahoma"/>
          <w:bCs/>
          <w:iCs/>
          <w:color w:val="auto"/>
          <w:lang w:val="es-ES"/>
        </w:rPr>
      </w:pPr>
      <w:r w:rsidRPr="005556DE">
        <w:rPr>
          <w:rFonts w:cs="Tahoma"/>
          <w:bCs/>
          <w:iCs/>
          <w:color w:val="auto"/>
          <w:lang w:val="es-ES"/>
        </w:rPr>
        <w:t xml:space="preserve">Ahora bien, de las constancias que obran en el expediente, se logra vislumbrar que el Sujeto Obligado, turnó la solicitud de información a la Dirección </w:t>
      </w:r>
      <w:r w:rsidR="004957E2" w:rsidRPr="005556DE">
        <w:rPr>
          <w:rFonts w:cs="Tahoma"/>
          <w:bCs/>
          <w:iCs/>
          <w:color w:val="auto"/>
          <w:lang w:val="es-ES"/>
        </w:rPr>
        <w:t xml:space="preserve"> General </w:t>
      </w:r>
      <w:r w:rsidRPr="005556DE">
        <w:rPr>
          <w:rFonts w:cs="Tahoma"/>
          <w:bCs/>
          <w:iCs/>
          <w:color w:val="auto"/>
          <w:lang w:val="es-ES"/>
        </w:rPr>
        <w:t>de Administración</w:t>
      </w:r>
      <w:r w:rsidR="004957E2" w:rsidRPr="005556DE">
        <w:rPr>
          <w:rFonts w:cs="Tahoma"/>
          <w:bCs/>
          <w:iCs/>
          <w:color w:val="auto"/>
          <w:lang w:val="es-ES"/>
        </w:rPr>
        <w:t xml:space="preserve"> y el Instituto Municipal de la Mujer</w:t>
      </w:r>
      <w:r w:rsidRPr="005556DE">
        <w:rPr>
          <w:rFonts w:cs="Tahoma"/>
          <w:bCs/>
          <w:iCs/>
          <w:color w:val="auto"/>
          <w:lang w:val="es-ES"/>
        </w:rPr>
        <w:t xml:space="preserve">, </w:t>
      </w:r>
      <w:r w:rsidRPr="005556DE">
        <w:rPr>
          <w:rFonts w:cs="Tahoma"/>
          <w:bCs/>
          <w:iCs/>
          <w:color w:val="auto"/>
        </w:rPr>
        <w:t xml:space="preserve">por lo que, es necesario hacer referencia al </w:t>
      </w:r>
      <w:r w:rsidRPr="005556DE">
        <w:rPr>
          <w:rFonts w:cs="Tahoma"/>
          <w:b/>
          <w:iCs/>
          <w:color w:val="auto"/>
        </w:rPr>
        <w:t xml:space="preserve">procedimiento de búsqueda </w:t>
      </w:r>
      <w:r w:rsidRPr="005556DE">
        <w:rPr>
          <w:rFonts w:cs="Tahoma"/>
          <w:b/>
          <w:iCs/>
          <w:color w:val="auto"/>
          <w:lang w:val="es-ES"/>
        </w:rPr>
        <w:t>que deben de seguir los Sujetos Obligados para localizar la información</w:t>
      </w:r>
      <w:r w:rsidRPr="005556DE">
        <w:rPr>
          <w:rFonts w:cs="Tahoma"/>
          <w:bCs/>
          <w:iCs/>
          <w:color w:val="auto"/>
          <w:lang w:val="es-ES"/>
        </w:rPr>
        <w:t xml:space="preserve">, el cual se encuentra previsto en </w:t>
      </w:r>
      <w:r w:rsidR="003D0B51" w:rsidRPr="005556DE">
        <w:rPr>
          <w:rFonts w:cs="Tahoma"/>
          <w:bCs/>
          <w:iCs/>
          <w:color w:val="auto"/>
          <w:lang w:val="es-ES"/>
        </w:rPr>
        <w:t>el artículo</w:t>
      </w:r>
      <w:r w:rsidRPr="005556DE">
        <w:rPr>
          <w:rFonts w:cs="Tahoma"/>
          <w:bCs/>
          <w:iCs/>
          <w:color w:val="auto"/>
          <w:lang w:val="es-ES"/>
        </w:rPr>
        <w:t xml:space="preserve"> 162 de la Ley de Transparencia y Acceso a la Información Pública del Estado de México y Municipios</w:t>
      </w:r>
      <w:r w:rsidR="003D0B51" w:rsidRPr="005556DE">
        <w:rPr>
          <w:rFonts w:cs="Tahoma"/>
          <w:bCs/>
          <w:iCs/>
          <w:color w:val="auto"/>
          <w:lang w:val="es-ES"/>
        </w:rPr>
        <w:t>, el cual establece que las</w:t>
      </w:r>
      <w:r w:rsidRPr="005556DE">
        <w:rPr>
          <w:rFonts w:cs="Tahoma"/>
          <w:bCs/>
          <w:iCs/>
          <w:color w:val="auto"/>
          <w:lang w:val="es-ES"/>
        </w:rPr>
        <w:t xml:space="preserve">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r w:rsidR="003D0B51" w:rsidRPr="005556DE">
        <w:rPr>
          <w:rFonts w:cs="Tahoma"/>
          <w:bCs/>
          <w:iCs/>
          <w:color w:val="auto"/>
          <w:lang w:val="es-ES"/>
        </w:rPr>
        <w:t>.</w:t>
      </w:r>
    </w:p>
    <w:p w14:paraId="64F73617" w14:textId="77777777" w:rsidR="00F5589F" w:rsidRPr="005556DE" w:rsidRDefault="00F5589F" w:rsidP="00A62148">
      <w:pPr>
        <w:spacing w:after="0" w:line="360" w:lineRule="auto"/>
        <w:rPr>
          <w:rFonts w:eastAsia="Calibri" w:cs="Tahoma"/>
          <w:bCs/>
          <w:color w:val="FF0000"/>
          <w:szCs w:val="24"/>
          <w:lang w:eastAsia="es-MX"/>
        </w:rPr>
      </w:pPr>
    </w:p>
    <w:p w14:paraId="0AD87851" w14:textId="6B352BAB" w:rsidR="00FE02C9" w:rsidRPr="005556DE" w:rsidRDefault="003D0B51" w:rsidP="00A62148">
      <w:pPr>
        <w:spacing w:after="0" w:line="360" w:lineRule="auto"/>
        <w:rPr>
          <w:rFonts w:eastAsia="Calibri" w:cs="Tahoma"/>
          <w:bCs/>
          <w:color w:val="auto"/>
          <w:szCs w:val="24"/>
          <w:lang w:eastAsia="es-MX"/>
        </w:rPr>
      </w:pPr>
      <w:r w:rsidRPr="005556DE">
        <w:rPr>
          <w:rFonts w:eastAsia="Calibri" w:cs="Tahoma"/>
          <w:bCs/>
          <w:color w:val="auto"/>
          <w:szCs w:val="24"/>
          <w:lang w:eastAsia="es-MX"/>
        </w:rPr>
        <w:t>Así</w:t>
      </w:r>
      <w:r w:rsidR="00FE02C9" w:rsidRPr="005556DE">
        <w:rPr>
          <w:rFonts w:eastAsia="Calibri" w:cs="Tahoma"/>
          <w:bCs/>
          <w:color w:val="auto"/>
          <w:szCs w:val="24"/>
          <w:lang w:eastAsia="es-MX"/>
        </w:rPr>
        <w:t>, a efecto de determinar si el</w:t>
      </w:r>
      <w:r w:rsidRPr="005556DE">
        <w:rPr>
          <w:rFonts w:eastAsia="Calibri" w:cs="Tahoma"/>
          <w:bCs/>
          <w:color w:val="auto"/>
          <w:szCs w:val="24"/>
          <w:lang w:eastAsia="es-MX"/>
        </w:rPr>
        <w:t xml:space="preserve"> </w:t>
      </w:r>
      <w:r w:rsidR="00FE02C9" w:rsidRPr="005556DE">
        <w:rPr>
          <w:rFonts w:eastAsia="Calibri" w:cs="Tahoma"/>
          <w:bCs/>
          <w:color w:val="auto"/>
          <w:szCs w:val="24"/>
          <w:lang w:eastAsia="es-MX"/>
        </w:rPr>
        <w:t>Sujeto Obligado cumplió con el procedimiento de búsqueda, resulta necesario traer a colación el artículo</w:t>
      </w:r>
      <w:r w:rsidR="004D33FF" w:rsidRPr="005556DE">
        <w:rPr>
          <w:rFonts w:eastAsia="Calibri" w:cs="Tahoma"/>
          <w:bCs/>
          <w:color w:val="auto"/>
          <w:szCs w:val="24"/>
          <w:lang w:eastAsia="es-MX"/>
        </w:rPr>
        <w:t xml:space="preserve"> 3.40. del Código Reglamentario Municipal de Toluca, el cual establece que la Dirección General de Administración, dentro de sus atribuciones, se encarga entre otras cosas de </w:t>
      </w:r>
      <w:r w:rsidR="004D33FF" w:rsidRPr="005556DE">
        <w:t xml:space="preserve">coordinar y </w:t>
      </w:r>
      <w:r w:rsidR="004D33FF" w:rsidRPr="005556DE">
        <w:rPr>
          <w:b/>
        </w:rPr>
        <w:t>dirigir los sistemas de</w:t>
      </w:r>
      <w:r w:rsidR="004D33FF" w:rsidRPr="005556DE">
        <w:t xml:space="preserve"> </w:t>
      </w:r>
      <w:r w:rsidR="004D33FF" w:rsidRPr="005556DE">
        <w:lastRenderedPageBreak/>
        <w:t xml:space="preserve">reclutamiento, selección, </w:t>
      </w:r>
      <w:r w:rsidR="004D33FF" w:rsidRPr="005556DE">
        <w:rPr>
          <w:b/>
          <w:u w:val="single"/>
        </w:rPr>
        <w:t>contratación e inducción y desarrollo de personal</w:t>
      </w:r>
      <w:r w:rsidR="004D33FF" w:rsidRPr="005556DE">
        <w:rPr>
          <w:b/>
        </w:rPr>
        <w:t xml:space="preserve">, </w:t>
      </w:r>
      <w:r w:rsidR="00B9075D" w:rsidRPr="005556DE">
        <w:rPr>
          <w:b/>
        </w:rPr>
        <w:t xml:space="preserve">atender los procesos de adquisición y enajenación de bienes muebles e inmuebles, contratación de servicios y arrendamientos, revisar, </w:t>
      </w:r>
      <w:r w:rsidR="00B9075D" w:rsidRPr="005556DE">
        <w:rPr>
          <w:b/>
          <w:u w:val="single"/>
        </w:rPr>
        <w:t xml:space="preserve">suscribir </w:t>
      </w:r>
      <w:r w:rsidR="00B9075D" w:rsidRPr="005556DE">
        <w:rPr>
          <w:b/>
        </w:rPr>
        <w:t>y vigilar todos aquellos contratos</w:t>
      </w:r>
      <w:r w:rsidR="00B9075D" w:rsidRPr="005556DE">
        <w:t xml:space="preserve"> que se formalicen con proveedores, así como su ejecución y ejercicio, relativos a fallos de adjudicación de procesos de licitación pública o de sus excepciones, mismos que deberán cumplir con la normatividad en la materia.</w:t>
      </w:r>
    </w:p>
    <w:p w14:paraId="2D8C5FC5" w14:textId="77777777" w:rsidR="00FE02C9" w:rsidRPr="005556DE" w:rsidRDefault="00FE02C9" w:rsidP="00A62148">
      <w:pPr>
        <w:spacing w:after="0" w:line="360" w:lineRule="auto"/>
        <w:rPr>
          <w:rFonts w:eastAsia="Calibri" w:cs="Tahoma"/>
          <w:bCs/>
          <w:color w:val="FF0000"/>
          <w:szCs w:val="24"/>
          <w:lang w:eastAsia="es-MX"/>
        </w:rPr>
      </w:pPr>
    </w:p>
    <w:p w14:paraId="7D42D6B4" w14:textId="339E0E49" w:rsidR="00FE02C9" w:rsidRPr="005556DE" w:rsidRDefault="00B9075D" w:rsidP="00A62148">
      <w:pPr>
        <w:spacing w:after="0" w:line="360" w:lineRule="auto"/>
        <w:rPr>
          <w:color w:val="auto"/>
        </w:rPr>
      </w:pPr>
      <w:r w:rsidRPr="005556DE">
        <w:rPr>
          <w:rFonts w:eastAsia="Calibri" w:cs="Tahoma"/>
          <w:bCs/>
          <w:color w:val="auto"/>
          <w:szCs w:val="24"/>
          <w:lang w:eastAsia="es-MX"/>
        </w:rPr>
        <w:t xml:space="preserve">En ese contexto, el artículo 14 del Reglamento Interno del Organismo Público Descentralizado denominado Instituto Municipal de la Mujer de Toluca, refiere que corresponde a las personas titulares de las unidades administrativas del Instituto, entre otras cosas el </w:t>
      </w:r>
      <w:r w:rsidRPr="005556DE">
        <w:rPr>
          <w:b/>
          <w:color w:val="auto"/>
        </w:rPr>
        <w:t xml:space="preserve">formular y proponer a la Dirección General </w:t>
      </w:r>
      <w:r w:rsidRPr="005556DE">
        <w:rPr>
          <w:color w:val="auto"/>
        </w:rPr>
        <w:t xml:space="preserve">acuerdos, convenios y </w:t>
      </w:r>
      <w:r w:rsidRPr="005556DE">
        <w:rPr>
          <w:b/>
          <w:color w:val="auto"/>
        </w:rPr>
        <w:t xml:space="preserve">contratos </w:t>
      </w:r>
      <w:r w:rsidRPr="005556DE">
        <w:rPr>
          <w:color w:val="auto"/>
        </w:rPr>
        <w:t>que contribuyan al cumplimiento de los objetivos del Instituto y ejecutar las acciones que le corresponda.</w:t>
      </w:r>
    </w:p>
    <w:p w14:paraId="5196DA10" w14:textId="77777777" w:rsidR="00B9075D" w:rsidRPr="005556DE" w:rsidRDefault="00B9075D" w:rsidP="00A62148">
      <w:pPr>
        <w:spacing w:after="0" w:line="360" w:lineRule="auto"/>
        <w:rPr>
          <w:color w:val="auto"/>
        </w:rPr>
      </w:pPr>
    </w:p>
    <w:p w14:paraId="233885F6" w14:textId="6449E394" w:rsidR="00B9075D" w:rsidRPr="005556DE" w:rsidRDefault="00B9075D" w:rsidP="00A62148">
      <w:pPr>
        <w:spacing w:after="0" w:line="360" w:lineRule="auto"/>
        <w:rPr>
          <w:b/>
        </w:rPr>
      </w:pPr>
      <w:r w:rsidRPr="005556DE">
        <w:rPr>
          <w:color w:val="auto"/>
        </w:rPr>
        <w:t xml:space="preserve">Por su parte, los artículos 31 y 87 de la Ley Orgánica Municipal del Estado de México, reconoce que los Ayuntamientos </w:t>
      </w:r>
      <w:r w:rsidRPr="005556DE">
        <w:t xml:space="preserve">tendrán entre sus atribuciones el convenir, contratar o concesionar la ejecución de obras y la prestación de servicios públicos, con el Estado, con otros municipios de la entidad o con particulares, recabando, cuando proceda, la autorización de la Legislatura del Estado; y, concluir las obras iniciadas por administraciones anteriores y dar mantenimiento a la infraestructura e instalaciones de los servicios públicos municipales; lo anterior, por medio de la </w:t>
      </w:r>
      <w:r w:rsidRPr="005556DE">
        <w:rPr>
          <w:b/>
        </w:rPr>
        <w:t>Dirección de Obras Públicas.</w:t>
      </w:r>
    </w:p>
    <w:p w14:paraId="7E9A54CD" w14:textId="77777777" w:rsidR="00B9075D" w:rsidRPr="005556DE" w:rsidRDefault="00B9075D" w:rsidP="00A62148">
      <w:pPr>
        <w:spacing w:after="0" w:line="360" w:lineRule="auto"/>
        <w:rPr>
          <w:rFonts w:eastAsia="Calibri" w:cs="Tahoma"/>
          <w:bCs/>
          <w:color w:val="auto"/>
          <w:szCs w:val="24"/>
          <w:lang w:eastAsia="es-MX"/>
        </w:rPr>
      </w:pPr>
    </w:p>
    <w:p w14:paraId="08433CB5" w14:textId="6BE55D7D" w:rsidR="00B9075D" w:rsidRPr="005556DE" w:rsidRDefault="000D1D08" w:rsidP="00A62148">
      <w:pPr>
        <w:spacing w:after="0" w:line="360" w:lineRule="auto"/>
      </w:pPr>
      <w:r w:rsidRPr="005556DE">
        <w:rPr>
          <w:rFonts w:eastAsia="Calibri" w:cs="Tahoma"/>
          <w:bCs/>
          <w:color w:val="auto"/>
          <w:szCs w:val="24"/>
          <w:lang w:eastAsia="es-MX"/>
        </w:rPr>
        <w:t xml:space="preserve">En ese orden de ideas, el artículo 3.55. del Código Reglamentario Municipal de Toluca, señala que la Dirección de Obras Públicas, dentro del ámbito de sus atribuciones se encarga entre otras cosas </w:t>
      </w:r>
      <w:r w:rsidRPr="005556DE">
        <w:rPr>
          <w:rFonts w:eastAsia="Calibri" w:cs="Tahoma"/>
          <w:b/>
          <w:bCs/>
          <w:color w:val="auto"/>
          <w:szCs w:val="24"/>
          <w:lang w:eastAsia="es-MX"/>
        </w:rPr>
        <w:t>de c</w:t>
      </w:r>
      <w:r w:rsidRPr="005556DE">
        <w:rPr>
          <w:b/>
        </w:rPr>
        <w:t>oordinar actos relativos a la planeación, programación, presupuestación, adjudicación y contratación de la obra pública</w:t>
      </w:r>
      <w:r w:rsidRPr="005556DE">
        <w:t>, cuidando que los mismos se proyecten con perspectiva de género; así como los servicios relacionados con las misma.</w:t>
      </w:r>
    </w:p>
    <w:p w14:paraId="008DFAF6" w14:textId="77777777" w:rsidR="008E3332" w:rsidRPr="005556DE" w:rsidRDefault="008E3332" w:rsidP="00A62148">
      <w:pPr>
        <w:spacing w:after="0" w:line="360" w:lineRule="auto"/>
      </w:pPr>
    </w:p>
    <w:p w14:paraId="61E1713A" w14:textId="1006342A" w:rsidR="008E3332" w:rsidRPr="005556DE" w:rsidRDefault="008E3332" w:rsidP="00A62148">
      <w:pPr>
        <w:spacing w:after="0" w:line="360" w:lineRule="auto"/>
      </w:pPr>
      <w:r w:rsidRPr="005556DE">
        <w:t xml:space="preserve">En esa consecución de ideas, el artículo </w:t>
      </w:r>
      <w:r w:rsidR="00B22482" w:rsidRPr="005556DE">
        <w:t xml:space="preserve">3.17. establece que la </w:t>
      </w:r>
      <w:r w:rsidR="00B22482" w:rsidRPr="005556DE">
        <w:rPr>
          <w:b/>
        </w:rPr>
        <w:t xml:space="preserve">Coordinación de Estudios y Reglamentación  Municipal, </w:t>
      </w:r>
      <w:r w:rsidR="00B22482" w:rsidRPr="005556DE">
        <w:t xml:space="preserve">dentro de sus atribuciones se encarga de </w:t>
      </w:r>
      <w:r w:rsidR="00B22482" w:rsidRPr="005556DE">
        <w:rPr>
          <w:b/>
        </w:rPr>
        <w:t>analizar, elaborar, validar y resguardar acuerdos, contratos</w:t>
      </w:r>
      <w:r w:rsidR="00B22482" w:rsidRPr="005556DE">
        <w:t xml:space="preserve"> </w:t>
      </w:r>
      <w:r w:rsidR="00B22482" w:rsidRPr="005556DE">
        <w:rPr>
          <w:b/>
        </w:rPr>
        <w:t>y convenios que celebre o emita el Ayuntamiento</w:t>
      </w:r>
      <w:r w:rsidR="00B22482" w:rsidRPr="005556DE">
        <w:t xml:space="preserve"> y sus dependencias en el ámbito de sus competencias.</w:t>
      </w:r>
    </w:p>
    <w:p w14:paraId="6EF1BFE9" w14:textId="77777777" w:rsidR="00DE37B9" w:rsidRPr="005556DE" w:rsidRDefault="00DE37B9" w:rsidP="00A62148">
      <w:pPr>
        <w:spacing w:after="0" w:line="360" w:lineRule="auto"/>
        <w:rPr>
          <w:rFonts w:eastAsia="Calibri" w:cs="Tahoma"/>
          <w:bCs/>
          <w:color w:val="auto"/>
          <w:szCs w:val="24"/>
          <w:lang w:eastAsia="es-MX"/>
        </w:rPr>
      </w:pPr>
    </w:p>
    <w:p w14:paraId="2984B5B5" w14:textId="68BF0B2A" w:rsidR="00DE37B9" w:rsidRPr="005556DE" w:rsidRDefault="000118C2" w:rsidP="00A62148">
      <w:pPr>
        <w:spacing w:after="0" w:line="360" w:lineRule="auto"/>
        <w:rPr>
          <w:bCs/>
          <w:iCs/>
          <w:color w:val="auto"/>
        </w:rPr>
      </w:pPr>
      <w:r w:rsidRPr="005556DE">
        <w:rPr>
          <w:rFonts w:eastAsia="Calibri" w:cs="Tahoma"/>
          <w:bCs/>
          <w:color w:val="auto"/>
          <w:szCs w:val="24"/>
          <w:lang w:eastAsia="es-MX"/>
        </w:rPr>
        <w:t xml:space="preserve">De lo anterior, y como se precisó en párrafos anteriores, </w:t>
      </w:r>
      <w:r w:rsidRPr="005556DE">
        <w:rPr>
          <w:bCs/>
          <w:iCs/>
          <w:color w:val="auto"/>
        </w:rPr>
        <w:t xml:space="preserve">se advierte que el Sujeto Obligado, cumplió </w:t>
      </w:r>
      <w:r w:rsidR="00DE37B9" w:rsidRPr="005556DE">
        <w:rPr>
          <w:bCs/>
          <w:iCs/>
          <w:color w:val="auto"/>
        </w:rPr>
        <w:t xml:space="preserve">no </w:t>
      </w:r>
      <w:r w:rsidRPr="005556DE">
        <w:rPr>
          <w:bCs/>
          <w:iCs/>
          <w:color w:val="auto"/>
        </w:rPr>
        <w:t xml:space="preserve">con el procedimiento de búsqueda previsto en el artículo 162 de la Ley de Transparencia y Acceso a la Información Pública del Estado de México y Municipios, toda vez </w:t>
      </w:r>
      <w:r w:rsidR="00DE37B9" w:rsidRPr="005556DE">
        <w:rPr>
          <w:bCs/>
          <w:iCs/>
          <w:color w:val="auto"/>
        </w:rPr>
        <w:t xml:space="preserve">que fue omiso en turnar la solicitud de información a todas las áreas competentes para conocer de lo solicitado, a saber de la Dirección de Obras Públicas y la </w:t>
      </w:r>
      <w:r w:rsidR="00DE37B9" w:rsidRPr="005556DE">
        <w:rPr>
          <w:color w:val="auto"/>
        </w:rPr>
        <w:t>Coordinación de Estudios y Reglamentación  Municipal, ambas encargadas de ver temas relacionados con las contrataciones del Sujeto Obligado</w:t>
      </w:r>
      <w:r w:rsidR="008C6F94" w:rsidRPr="005556DE">
        <w:rPr>
          <w:color w:val="auto"/>
        </w:rPr>
        <w:t>.</w:t>
      </w:r>
    </w:p>
    <w:p w14:paraId="629422A4" w14:textId="302F425C" w:rsidR="002B2A85" w:rsidRPr="005556DE" w:rsidRDefault="002B2A85" w:rsidP="00A62148">
      <w:pPr>
        <w:spacing w:after="0" w:line="360" w:lineRule="auto"/>
        <w:contextualSpacing/>
        <w:rPr>
          <w:bCs/>
          <w:iCs/>
          <w:color w:val="FF0000"/>
        </w:rPr>
      </w:pPr>
    </w:p>
    <w:p w14:paraId="382330DA" w14:textId="01A6D068" w:rsidR="00F038A9" w:rsidRPr="005556DE" w:rsidRDefault="000118C2" w:rsidP="00A62148">
      <w:pPr>
        <w:tabs>
          <w:tab w:val="center" w:pos="4522"/>
        </w:tabs>
        <w:spacing w:after="0" w:line="360" w:lineRule="auto"/>
        <w:contextualSpacing/>
        <w:rPr>
          <w:color w:val="auto"/>
        </w:rPr>
      </w:pPr>
      <w:r w:rsidRPr="005556DE">
        <w:rPr>
          <w:color w:val="auto"/>
        </w:rPr>
        <w:t>Ahora bien,</w:t>
      </w:r>
      <w:r w:rsidR="00407974" w:rsidRPr="005556DE">
        <w:rPr>
          <w:color w:val="auto"/>
        </w:rPr>
        <w:t xml:space="preserve"> en relación con los contratos firmados por el Ayuntamiento de Toluca</w:t>
      </w:r>
      <w:r w:rsidRPr="005556DE">
        <w:rPr>
          <w:color w:val="auto"/>
        </w:rPr>
        <w:t>, el Sujeto Obligado</w:t>
      </w:r>
      <w:r w:rsidR="008C6F94" w:rsidRPr="005556DE">
        <w:rPr>
          <w:color w:val="auto"/>
        </w:rPr>
        <w:t xml:space="preserve"> a través de la </w:t>
      </w:r>
      <w:r w:rsidR="008C6F94" w:rsidRPr="005556DE">
        <w:rPr>
          <w:bCs/>
          <w:color w:val="auto"/>
        </w:rPr>
        <w:t>Dirección General de Administración</w:t>
      </w:r>
      <w:r w:rsidR="008C6F94" w:rsidRPr="005556DE">
        <w:rPr>
          <w:b/>
          <w:color w:val="auto"/>
        </w:rPr>
        <w:t xml:space="preserve"> </w:t>
      </w:r>
      <w:r w:rsidR="008C6F94" w:rsidRPr="005556DE">
        <w:rPr>
          <w:color w:val="auto"/>
        </w:rPr>
        <w:t>señaló que después de realizar una búsqueda exhaustiva y razonable, se anexaban los contratos firmados durante el año dos mil veinticuatro</w:t>
      </w:r>
      <w:r w:rsidR="0095180B" w:rsidRPr="005556DE">
        <w:rPr>
          <w:rFonts w:eastAsia="Times New Roman" w:cs="Tahoma"/>
          <w:color w:val="auto"/>
          <w:lang w:eastAsia="es-ES"/>
        </w:rPr>
        <w:t>, sin embargo, omitió adjuntar los</w:t>
      </w:r>
      <w:r w:rsidR="008C6F94" w:rsidRPr="005556DE">
        <w:rPr>
          <w:rFonts w:eastAsia="Times New Roman" w:cs="Tahoma"/>
          <w:color w:val="auto"/>
          <w:lang w:eastAsia="es-ES"/>
        </w:rPr>
        <w:t xml:space="preserve"> contratos</w:t>
      </w:r>
      <w:r w:rsidR="0095180B" w:rsidRPr="005556DE">
        <w:rPr>
          <w:rFonts w:eastAsia="Times New Roman" w:cs="Tahoma"/>
          <w:color w:val="auto"/>
          <w:lang w:eastAsia="es-ES"/>
        </w:rPr>
        <w:t>;</w:t>
      </w:r>
      <w:r w:rsidR="00F038A9" w:rsidRPr="005556DE">
        <w:rPr>
          <w:rFonts w:eastAsia="Times New Roman" w:cs="Tahoma"/>
          <w:color w:val="auto"/>
          <w:lang w:eastAsia="es-ES"/>
        </w:rPr>
        <w:t xml:space="preserve"> </w:t>
      </w:r>
      <w:r w:rsidR="00F038A9" w:rsidRPr="005556DE">
        <w:rPr>
          <w:rFonts w:eastAsia="Times New Roman" w:cs="Tahoma"/>
          <w:bCs/>
          <w:iCs/>
          <w:color w:val="auto"/>
          <w:lang w:val="es-ES" w:eastAsia="es-ES"/>
        </w:rPr>
        <w:t>s</w:t>
      </w:r>
      <w:r w:rsidR="00F038A9" w:rsidRPr="005556DE">
        <w:rPr>
          <w:rFonts w:eastAsia="Calibri" w:cs="Tahoma"/>
          <w:color w:val="auto"/>
          <w:lang w:val="es-ES"/>
        </w:rPr>
        <w:t xml:space="preserve">obre el tema </w:t>
      </w:r>
      <w:r w:rsidR="00F038A9" w:rsidRPr="005556DE">
        <w:rPr>
          <w:rFonts w:eastAsia="Calibri" w:cs="Times New Roman"/>
          <w:color w:val="auto"/>
        </w:rPr>
        <w:t xml:space="preserve">el </w:t>
      </w:r>
      <w:r w:rsidR="00F038A9" w:rsidRPr="005556DE">
        <w:rPr>
          <w:rFonts w:eastAsia="Times New Roman" w:cs="Tahoma"/>
          <w:color w:val="auto"/>
          <w:lang w:val="es-ES" w:eastAsia="es-ES"/>
        </w:rPr>
        <w:t>artículo 1.8, fracción IX, del Código Administrativo del Estado de México, establece que para que un acto administrativo tenga validez, deberá guardar congruencia con lo solicitado.</w:t>
      </w:r>
    </w:p>
    <w:p w14:paraId="3915E17B" w14:textId="77777777" w:rsidR="00F038A9" w:rsidRPr="005556DE" w:rsidRDefault="00F038A9" w:rsidP="00A62148">
      <w:pPr>
        <w:tabs>
          <w:tab w:val="center" w:pos="4522"/>
        </w:tabs>
        <w:spacing w:after="0" w:line="360" w:lineRule="auto"/>
        <w:contextualSpacing/>
        <w:rPr>
          <w:rFonts w:eastAsia="Times New Roman" w:cs="Tahoma"/>
          <w:color w:val="FF0000"/>
          <w:lang w:val="es-ES" w:eastAsia="es-ES"/>
        </w:rPr>
      </w:pPr>
    </w:p>
    <w:p w14:paraId="1777EDB3" w14:textId="77777777" w:rsidR="00F038A9" w:rsidRPr="005556DE" w:rsidRDefault="00F038A9" w:rsidP="00A62148">
      <w:pPr>
        <w:tabs>
          <w:tab w:val="center" w:pos="4522"/>
        </w:tabs>
        <w:spacing w:after="0" w:line="360" w:lineRule="auto"/>
        <w:rPr>
          <w:rFonts w:eastAsia="Calibri" w:cs="Times New Roman"/>
          <w:iCs/>
          <w:color w:val="auto"/>
          <w:sz w:val="24"/>
          <w:szCs w:val="24"/>
        </w:rPr>
      </w:pPr>
      <w:r w:rsidRPr="005556DE">
        <w:rPr>
          <w:rFonts w:eastAsia="Calibri" w:cs="Times New Roman"/>
          <w:color w:val="auto"/>
        </w:rPr>
        <w:t xml:space="preserve">Situación que se robustece, con el </w:t>
      </w:r>
      <w:r w:rsidRPr="005556DE">
        <w:rPr>
          <w:rFonts w:eastAsia="Calibri" w:cs="Tahoma"/>
          <w:bCs/>
          <w:color w:val="auto"/>
          <w:lang w:val="es-ES"/>
        </w:rPr>
        <w:t>el Criterio de Interpretación</w:t>
      </w:r>
      <w:r w:rsidRPr="005556DE">
        <w:rPr>
          <w:rFonts w:eastAsia="Calibri" w:cs="Tahoma"/>
          <w:bCs/>
          <w:color w:val="auto"/>
          <w:lang w:val="x-none"/>
        </w:rPr>
        <w:t xml:space="preserve">, con clave de control </w:t>
      </w:r>
      <w:r w:rsidRPr="005556DE">
        <w:rPr>
          <w:rFonts w:eastAsia="Calibri" w:cs="Tahoma"/>
          <w:bCs/>
          <w:color w:val="auto"/>
          <w:lang w:val="es-ES"/>
        </w:rPr>
        <w:t xml:space="preserve">SO/002/2017, de la Segunda Época, emitido por el Instituto Nacional de Transparencia, Acceso a la Información y Protección de Datos Personales, que </w:t>
      </w:r>
      <w:r w:rsidRPr="005556DE">
        <w:rPr>
          <w:rFonts w:eastAsia="Calibri" w:cs="Times New Roman"/>
          <w:color w:val="auto"/>
        </w:rPr>
        <w:t xml:space="preserve">establece que todo acto administrativo debe apegarse al </w:t>
      </w:r>
      <w:r w:rsidRPr="005556DE">
        <w:rPr>
          <w:rFonts w:eastAsia="Calibri" w:cs="Times New Roman"/>
          <w:b/>
          <w:bCs/>
          <w:color w:val="auto"/>
        </w:rPr>
        <w:t>principio de congruencia</w:t>
      </w:r>
      <w:r w:rsidRPr="005556DE">
        <w:rPr>
          <w:rFonts w:eastAsia="Calibri" w:cs="Times New Roman"/>
          <w:color w:val="auto"/>
        </w:rPr>
        <w:t xml:space="preserve">, entendiendo por éste que </w:t>
      </w:r>
      <w:r w:rsidRPr="005556DE">
        <w:rPr>
          <w:rFonts w:eastAsia="Calibri" w:cs="Tahoma"/>
          <w:bCs/>
          <w:iCs/>
          <w:color w:val="auto"/>
        </w:rPr>
        <w:t>exista concordancia entre el requerimiento formulado por el particular y la respuesta proporcionada por el sujeto obligado</w:t>
      </w:r>
      <w:r w:rsidRPr="005556DE">
        <w:rPr>
          <w:rFonts w:eastAsia="Calibri" w:cs="Times New Roman"/>
          <w:color w:val="auto"/>
        </w:rPr>
        <w:t xml:space="preserve">, lo cual en materia de transparencia y acceso a la </w:t>
      </w:r>
      <w:r w:rsidRPr="005556DE">
        <w:rPr>
          <w:rFonts w:eastAsia="Calibri" w:cs="Times New Roman"/>
          <w:color w:val="auto"/>
        </w:rPr>
        <w:lastRenderedPageBreak/>
        <w:t>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16471BD3" w14:textId="77777777" w:rsidR="00BD0FDF" w:rsidRPr="005556DE" w:rsidRDefault="00BD0FDF" w:rsidP="00A62148">
      <w:pPr>
        <w:spacing w:after="0" w:line="360" w:lineRule="auto"/>
        <w:rPr>
          <w:rFonts w:eastAsia="Calibri" w:cs="Times New Roman"/>
          <w:color w:val="auto"/>
        </w:rPr>
      </w:pPr>
    </w:p>
    <w:p w14:paraId="2D9665EC" w14:textId="0C8CE633" w:rsidR="00A62148" w:rsidRPr="005556DE" w:rsidRDefault="00A62148" w:rsidP="00A62148">
      <w:pPr>
        <w:spacing w:after="0" w:line="360" w:lineRule="auto"/>
        <w:rPr>
          <w:bCs/>
          <w:iCs/>
          <w:color w:val="auto"/>
        </w:rPr>
      </w:pPr>
      <w:r w:rsidRPr="005556DE">
        <w:rPr>
          <w:rFonts w:eastAsia="Calibri" w:cs="Times New Roman"/>
          <w:color w:val="auto"/>
        </w:rPr>
        <w:t xml:space="preserve">Ahora bien, durante la sustanciación del Recurso de Revisión la Dirección de Administración a través de su Informe Justificado, remitió un listado de los contratos </w:t>
      </w:r>
      <w:r w:rsidRPr="005556DE">
        <w:rPr>
          <w:color w:val="auto"/>
        </w:rPr>
        <w:t xml:space="preserve">firmados durante el dos mil veinticuatro, sin embargo, el mismo no puede ser validado toda vez que si bien guarda relación con la información solicitada, la pretensión del Particular es obtener el Acto Jurídico, es decir, el documento fuente, y no así de un listado, además de que no se tiene certeza que sean los únicos contratos firmados por toda la Administración Pública, pues faltaron de pronunciarse  </w:t>
      </w:r>
      <w:r w:rsidRPr="005556DE">
        <w:rPr>
          <w:bCs/>
          <w:iCs/>
          <w:color w:val="auto"/>
        </w:rPr>
        <w:t xml:space="preserve">todas las áreas competentes para conocer de lo solicitado, a saber de la Dirección de Obras Públicas y la </w:t>
      </w:r>
      <w:r w:rsidRPr="005556DE">
        <w:rPr>
          <w:color w:val="auto"/>
        </w:rPr>
        <w:t>Coordinación de Estudios y Reglamentación  Municipal, ambas encargadas de ver temas relacionados con las contrataciones del Sujeto Obligado.</w:t>
      </w:r>
    </w:p>
    <w:p w14:paraId="410336EF" w14:textId="4E4C284A" w:rsidR="00BD0FDF" w:rsidRPr="005556DE" w:rsidRDefault="00BD0FDF" w:rsidP="00A62148">
      <w:pPr>
        <w:spacing w:after="0" w:line="360" w:lineRule="auto"/>
        <w:rPr>
          <w:rFonts w:eastAsia="Calibri" w:cs="Times New Roman"/>
          <w:color w:val="auto"/>
        </w:rPr>
      </w:pPr>
    </w:p>
    <w:p w14:paraId="7DA40A91" w14:textId="37F48285" w:rsidR="008C6F94" w:rsidRPr="005556DE" w:rsidRDefault="00B43F5C" w:rsidP="00A62148">
      <w:pPr>
        <w:spacing w:after="0" w:line="360" w:lineRule="auto"/>
        <w:ind w:right="-28"/>
        <w:contextualSpacing/>
        <w:rPr>
          <w:rFonts w:eastAsia="Times New Roman" w:cs="Tahoma"/>
          <w:bCs/>
          <w:color w:val="auto"/>
          <w:lang w:eastAsia="es-ES"/>
        </w:rPr>
      </w:pPr>
      <w:r w:rsidRPr="005556DE">
        <w:rPr>
          <w:rFonts w:eastAsia="Times New Roman" w:cs="Tahoma"/>
          <w:bCs/>
          <w:color w:val="auto"/>
          <w:lang w:eastAsia="es-ES"/>
        </w:rPr>
        <w:t>Por otra parte</w:t>
      </w:r>
      <w:r w:rsidR="008C6F94" w:rsidRPr="005556DE">
        <w:rPr>
          <w:rFonts w:eastAsia="Times New Roman" w:cs="Tahoma"/>
          <w:bCs/>
          <w:color w:val="auto"/>
          <w:lang w:eastAsia="es-ES"/>
        </w:rPr>
        <w:t>,</w:t>
      </w:r>
      <w:r w:rsidR="0095381C" w:rsidRPr="005556DE">
        <w:rPr>
          <w:rFonts w:eastAsia="Times New Roman" w:cs="Tahoma"/>
          <w:bCs/>
          <w:color w:val="auto"/>
          <w:lang w:eastAsia="es-ES"/>
        </w:rPr>
        <w:t xml:space="preserve"> en relación con los contratos firmados por el </w:t>
      </w:r>
      <w:r w:rsidR="008C6F94" w:rsidRPr="005556DE">
        <w:rPr>
          <w:rFonts w:eastAsia="Times New Roman" w:cs="Tahoma"/>
          <w:bCs/>
          <w:color w:val="auto"/>
          <w:lang w:eastAsia="es-ES"/>
        </w:rPr>
        <w:t xml:space="preserve">Instituto </w:t>
      </w:r>
      <w:r w:rsidR="0095381C" w:rsidRPr="005556DE">
        <w:rPr>
          <w:rFonts w:eastAsia="Times New Roman" w:cs="Tahoma"/>
          <w:bCs/>
          <w:color w:val="auto"/>
          <w:lang w:eastAsia="es-ES"/>
        </w:rPr>
        <w:t xml:space="preserve">Municipal de la Mujer de Toluca, el cual es un organismo descentralizado del Ayuntamiento de Toluca, el Sujeto Obligado refirió a través de dicho Instituto que, después de realizar una búsqueda exhaustiva y razonable, informaba que la información se encuentra publicada y puede ser consultada a través de una liga </w:t>
      </w:r>
      <w:r w:rsidR="0095381C" w:rsidRPr="005556DE">
        <w:t>electrónica, la cual se logra vislumbrar que se encuentra en un formato cerrado, es decir, que no se puede copiar y pegar para tener acceso; sobre el tema,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19364B7F" w14:textId="77777777" w:rsidR="008C6F94" w:rsidRPr="005556DE" w:rsidRDefault="008C6F94" w:rsidP="00A62148">
      <w:pPr>
        <w:spacing w:after="0" w:line="360" w:lineRule="auto"/>
        <w:ind w:right="-28"/>
        <w:contextualSpacing/>
        <w:rPr>
          <w:rFonts w:eastAsia="Times New Roman" w:cs="Tahoma"/>
          <w:bCs/>
          <w:color w:val="auto"/>
          <w:lang w:eastAsia="es-ES"/>
        </w:rPr>
      </w:pPr>
    </w:p>
    <w:p w14:paraId="2569B709" w14:textId="77777777" w:rsidR="00A62148" w:rsidRPr="005556DE" w:rsidRDefault="00A62148" w:rsidP="00A62148">
      <w:pPr>
        <w:spacing w:after="0" w:line="360" w:lineRule="auto"/>
        <w:ind w:right="-28"/>
        <w:contextualSpacing/>
        <w:rPr>
          <w:rFonts w:eastAsia="Times New Roman" w:cs="Tahoma"/>
          <w:bCs/>
          <w:color w:val="auto"/>
          <w:lang w:eastAsia="es-ES"/>
        </w:rPr>
      </w:pPr>
    </w:p>
    <w:p w14:paraId="7A277C0E" w14:textId="77777777" w:rsidR="00A62148" w:rsidRPr="005556DE" w:rsidRDefault="00A62148" w:rsidP="00A62148">
      <w:pPr>
        <w:spacing w:after="0" w:line="360" w:lineRule="auto"/>
        <w:ind w:right="-28"/>
        <w:contextualSpacing/>
        <w:rPr>
          <w:rFonts w:eastAsia="Times New Roman" w:cs="Tahoma"/>
          <w:bCs/>
          <w:color w:val="auto"/>
          <w:lang w:eastAsia="es-ES"/>
        </w:rPr>
      </w:pPr>
    </w:p>
    <w:p w14:paraId="52FB137D" w14:textId="561826C2" w:rsidR="008C6F94" w:rsidRPr="005556DE" w:rsidRDefault="0095381C" w:rsidP="00A62148">
      <w:pPr>
        <w:spacing w:after="0" w:line="360" w:lineRule="auto"/>
        <w:ind w:right="-28"/>
        <w:contextualSpacing/>
        <w:rPr>
          <w:rFonts w:eastAsia="Times New Roman" w:cs="Tahoma"/>
          <w:bCs/>
          <w:color w:val="auto"/>
          <w:lang w:eastAsia="es-ES"/>
        </w:rPr>
      </w:pPr>
      <w:r w:rsidRPr="005556DE">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05277FC6" w14:textId="77777777" w:rsidR="008C6F94" w:rsidRPr="005556DE" w:rsidRDefault="008C6F94" w:rsidP="00A62148">
      <w:pPr>
        <w:spacing w:after="0" w:line="360" w:lineRule="auto"/>
        <w:ind w:right="-28"/>
        <w:contextualSpacing/>
        <w:rPr>
          <w:rFonts w:eastAsia="Times New Roman" w:cs="Tahoma"/>
          <w:bCs/>
          <w:color w:val="auto"/>
          <w:lang w:eastAsia="es-ES"/>
        </w:rPr>
      </w:pPr>
    </w:p>
    <w:p w14:paraId="575D8ED8" w14:textId="4146EE32" w:rsidR="008C6F94" w:rsidRPr="005556DE" w:rsidRDefault="0095381C" w:rsidP="00A62148">
      <w:pPr>
        <w:spacing w:after="0" w:line="360" w:lineRule="auto"/>
        <w:ind w:right="-28"/>
        <w:contextualSpacing/>
      </w:pPr>
      <w:r w:rsidRPr="005556DE">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592CC8AF" w14:textId="77777777" w:rsidR="0095381C" w:rsidRPr="005556DE" w:rsidRDefault="0095381C" w:rsidP="00A62148">
      <w:pPr>
        <w:spacing w:after="0" w:line="360" w:lineRule="auto"/>
        <w:ind w:right="-28"/>
        <w:contextualSpacing/>
      </w:pPr>
    </w:p>
    <w:p w14:paraId="261BB738" w14:textId="11408C77" w:rsidR="0095381C" w:rsidRPr="005556DE" w:rsidRDefault="0095381C" w:rsidP="00A62148">
      <w:pPr>
        <w:pStyle w:val="Prrafodelista"/>
        <w:numPr>
          <w:ilvl w:val="0"/>
          <w:numId w:val="3"/>
        </w:numPr>
        <w:spacing w:after="0" w:line="360" w:lineRule="auto"/>
        <w:ind w:right="-28"/>
      </w:pPr>
      <w:r w:rsidRPr="005556DE">
        <w:rPr>
          <w:b/>
        </w:rPr>
        <w:t>Dato abierto:</w:t>
      </w:r>
      <w:r w:rsidRPr="005556DE">
        <w:t xml:space="preserve"> 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74595CD6" w14:textId="77777777" w:rsidR="0095381C" w:rsidRPr="005556DE" w:rsidRDefault="0095381C" w:rsidP="00A62148">
      <w:pPr>
        <w:spacing w:after="0" w:line="360" w:lineRule="auto"/>
        <w:ind w:right="-28"/>
        <w:contextualSpacing/>
        <w:rPr>
          <w:rFonts w:eastAsia="Times New Roman" w:cs="Tahoma"/>
          <w:bCs/>
          <w:color w:val="auto"/>
          <w:lang w:eastAsia="es-ES"/>
        </w:rPr>
      </w:pPr>
    </w:p>
    <w:p w14:paraId="3B3DCBFC" w14:textId="7D012D0E" w:rsidR="008C6F94" w:rsidRPr="005556DE" w:rsidRDefault="0095381C" w:rsidP="00A62148">
      <w:pPr>
        <w:pStyle w:val="Prrafodelista"/>
        <w:numPr>
          <w:ilvl w:val="0"/>
          <w:numId w:val="3"/>
        </w:numPr>
        <w:spacing w:after="0" w:line="360" w:lineRule="auto"/>
        <w:ind w:right="-28"/>
        <w:rPr>
          <w:rFonts w:eastAsia="Times New Roman" w:cs="Tahoma"/>
          <w:bCs/>
          <w:color w:val="auto"/>
          <w:lang w:eastAsia="es-ES"/>
        </w:rPr>
      </w:pPr>
      <w:r w:rsidRPr="005556DE">
        <w:rPr>
          <w:b/>
        </w:rPr>
        <w:t>Formato accesible:</w:t>
      </w:r>
      <w:r w:rsidRPr="005556DE">
        <w:t xml:space="preserve">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05C996C1" w14:textId="77777777" w:rsidR="0095381C" w:rsidRPr="005556DE" w:rsidRDefault="0095381C" w:rsidP="00A62148">
      <w:pPr>
        <w:spacing w:after="0" w:line="360" w:lineRule="auto"/>
        <w:ind w:right="-28"/>
        <w:contextualSpacing/>
      </w:pPr>
    </w:p>
    <w:p w14:paraId="4CC76261" w14:textId="268D7299" w:rsidR="008C6F94" w:rsidRPr="005556DE" w:rsidRDefault="0095381C" w:rsidP="00A62148">
      <w:pPr>
        <w:spacing w:after="0" w:line="360" w:lineRule="auto"/>
        <w:ind w:right="-28"/>
        <w:contextualSpacing/>
        <w:rPr>
          <w:rFonts w:eastAsia="Times New Roman" w:cs="Tahoma"/>
          <w:bCs/>
          <w:color w:val="auto"/>
          <w:lang w:eastAsia="es-ES"/>
        </w:rPr>
      </w:pPr>
      <w:r w:rsidRPr="005556DE">
        <w:t>Conforme a lo anterior, se considera que en el caso de que la información peticionada obre en ligas electrónicas, el Sujeto Obligado deberá privilegiar la entrega de estas, en datos abiertos, es decir, en un formato que permita la accesibilidad y facilidad a los Particulares, para obtener la información contenida en estas.</w:t>
      </w:r>
    </w:p>
    <w:p w14:paraId="40C51A68" w14:textId="77777777" w:rsidR="00A62148" w:rsidRPr="005556DE" w:rsidRDefault="00A62148" w:rsidP="00A62148">
      <w:pPr>
        <w:spacing w:after="0" w:line="360" w:lineRule="auto"/>
        <w:ind w:right="-28"/>
        <w:contextualSpacing/>
      </w:pPr>
    </w:p>
    <w:p w14:paraId="70D54EB8" w14:textId="77777777" w:rsidR="00A62148" w:rsidRPr="005556DE" w:rsidRDefault="00A62148" w:rsidP="00A62148">
      <w:pPr>
        <w:spacing w:after="0" w:line="360" w:lineRule="auto"/>
        <w:ind w:right="-28"/>
        <w:contextualSpacing/>
      </w:pPr>
    </w:p>
    <w:p w14:paraId="3E0B1898" w14:textId="77777777" w:rsidR="00A62148" w:rsidRPr="005556DE" w:rsidRDefault="00A62148" w:rsidP="00A62148">
      <w:pPr>
        <w:spacing w:after="0" w:line="360" w:lineRule="auto"/>
        <w:ind w:right="-28"/>
        <w:contextualSpacing/>
      </w:pPr>
    </w:p>
    <w:p w14:paraId="032A3896" w14:textId="4239CA1A" w:rsidR="0095381C" w:rsidRPr="005556DE" w:rsidRDefault="0095381C" w:rsidP="00A62148">
      <w:pPr>
        <w:spacing w:after="0" w:line="360" w:lineRule="auto"/>
        <w:ind w:right="-28"/>
        <w:contextualSpacing/>
      </w:pPr>
      <w:r w:rsidRPr="005556DE">
        <w:t>Al respecto, el artículo 161 de la Ley de Transparencia y Acceso a la Información Pública del Estado de México y Municipios, establece que cuando la documentación peticionada ya se encuentra disponible al público, entre otros, en formatos electrónicos disponibles en internet, los sujetos obligados cumplirán el derecho de acceso a la información, cuando le hagan saber de manera precisa a los solicitantes, la fuente, el lugar y la forma en que se puede obtener la información.</w:t>
      </w:r>
    </w:p>
    <w:p w14:paraId="7E2F63B3" w14:textId="77777777" w:rsidR="0095381C" w:rsidRPr="005556DE" w:rsidRDefault="0095381C" w:rsidP="00A62148">
      <w:pPr>
        <w:spacing w:after="0" w:line="360" w:lineRule="auto"/>
        <w:ind w:right="-28"/>
        <w:contextualSpacing/>
        <w:rPr>
          <w:rFonts w:eastAsia="Times New Roman" w:cs="Tahoma"/>
          <w:bCs/>
          <w:color w:val="auto"/>
          <w:lang w:eastAsia="es-ES"/>
        </w:rPr>
      </w:pPr>
    </w:p>
    <w:p w14:paraId="7B10CC40" w14:textId="6BA9993A" w:rsidR="0095381C" w:rsidRPr="005556DE" w:rsidRDefault="0095381C" w:rsidP="00A62148">
      <w:pPr>
        <w:spacing w:after="0" w:line="360" w:lineRule="auto"/>
        <w:ind w:right="-28"/>
        <w:contextualSpacing/>
      </w:pPr>
      <w:r w:rsidRPr="005556DE">
        <w:t>Como se logra observar, el Sujeto Obligado si bien señaló una liga electrónica, omitió proporcionarla en formato abierto, lo cual implica la dificultad de acceder a la misma, pues se traduce al hecho de que el Particular tendría que colocar cada dígito alfanumérico, y cuya equivocación implicaría no acceder a la información contenida en las misma; además de que no señaló  el procedimiento para acceder a los documentos o registros para acceder a la información; por lo que, se considera que incumplió con lo establecido en el artículo 161 de la Ley de Transparencia y Acceso a la Información Pública del Estado de México y Municipios.</w:t>
      </w:r>
    </w:p>
    <w:p w14:paraId="38B8E14F" w14:textId="77777777" w:rsidR="006C78B0" w:rsidRPr="005556DE" w:rsidRDefault="006C78B0" w:rsidP="00A62148">
      <w:pPr>
        <w:spacing w:after="0" w:line="360" w:lineRule="auto"/>
        <w:ind w:right="-28"/>
        <w:contextualSpacing/>
      </w:pPr>
    </w:p>
    <w:p w14:paraId="31B931BA" w14:textId="0E9F93EB" w:rsidR="001B223B" w:rsidRPr="005556DE" w:rsidRDefault="00A942BE" w:rsidP="00A62148">
      <w:pPr>
        <w:spacing w:after="0" w:line="360" w:lineRule="auto"/>
        <w:ind w:right="-28"/>
        <w:contextualSpacing/>
      </w:pPr>
      <w:r w:rsidRPr="005556DE">
        <w:t xml:space="preserve">Así, se considera que el agravio resulta </w:t>
      </w:r>
      <w:r w:rsidRPr="005556DE">
        <w:rPr>
          <w:b/>
          <w:bCs/>
        </w:rPr>
        <w:t xml:space="preserve">FUNDADO, </w:t>
      </w:r>
      <w:r w:rsidRPr="005556DE">
        <w:t xml:space="preserve">pues el Sujeto Obligado no entregó los contratos solicitados por la parte Recurrente; por lo que, </w:t>
      </w:r>
      <w:r w:rsidR="005A21DB" w:rsidRPr="005556DE">
        <w:t>para atender el requerimiento el requerimiento de información, el Sujeto Obligado deberá realizar una búsqueda exhaustiva y razonable en los archivos de todas sus áreas competentes, a efecto</w:t>
      </w:r>
      <w:r w:rsidRPr="005556DE">
        <w:t xml:space="preserve"> de</w:t>
      </w:r>
      <w:r w:rsidR="005A21DB" w:rsidRPr="005556DE">
        <w:t xml:space="preserve"> que proporcione</w:t>
      </w:r>
      <w:r w:rsidR="005A21DB" w:rsidRPr="005556DE">
        <w:rPr>
          <w:rFonts w:eastAsia="Calibri" w:cs="Tahoma"/>
          <w:bCs/>
          <w:color w:val="auto"/>
        </w:rPr>
        <w:t xml:space="preserve"> los contratos</w:t>
      </w:r>
      <w:r w:rsidRPr="005556DE">
        <w:rPr>
          <w:rFonts w:eastAsia="Calibri" w:cs="Tahoma"/>
          <w:bCs/>
          <w:color w:val="auto"/>
        </w:rPr>
        <w:t xml:space="preserve"> (de cualquier naturaleza)</w:t>
      </w:r>
      <w:r w:rsidR="005A21DB" w:rsidRPr="005556DE">
        <w:rPr>
          <w:rFonts w:eastAsia="Calibri" w:cs="Tahoma"/>
          <w:bCs/>
          <w:color w:val="auto"/>
        </w:rPr>
        <w:t xml:space="preserve"> </w:t>
      </w:r>
      <w:r w:rsidR="005A21DB" w:rsidRPr="005556DE">
        <w:rPr>
          <w:color w:val="auto"/>
        </w:rPr>
        <w:t>firmados por el</w:t>
      </w:r>
      <w:r w:rsidRPr="005556DE">
        <w:rPr>
          <w:rFonts w:eastAsia="Times New Roman" w:cs="Tahoma"/>
          <w:bCs/>
          <w:color w:val="auto"/>
          <w:lang w:eastAsia="es-ES"/>
        </w:rPr>
        <w:t xml:space="preserve"> Ayuntamiento de Toluca y el </w:t>
      </w:r>
      <w:r w:rsidR="005A21DB" w:rsidRPr="005556DE">
        <w:rPr>
          <w:rFonts w:eastAsia="Times New Roman" w:cs="Tahoma"/>
          <w:bCs/>
          <w:color w:val="auto"/>
          <w:lang w:eastAsia="es-ES"/>
        </w:rPr>
        <w:t>Instituto Municipal de la Mujer de Toluca, del primero de enero al treinta y uno de diciembre de dos mil veinticuatro; d</w:t>
      </w:r>
      <w:r w:rsidR="001B223B" w:rsidRPr="005556DE">
        <w:rPr>
          <w:rFonts w:eastAsia="Calibri" w:cs="Tahoma"/>
          <w:bCs/>
          <w:color w:val="auto"/>
        </w:rPr>
        <w:t>icha</w:t>
      </w:r>
      <w:r w:rsidR="001B223B" w:rsidRPr="005556DE">
        <w:rPr>
          <w:rFonts w:eastAsia="Times New Roman" w:cs="Tahoma"/>
          <w:bCs/>
          <w:iCs/>
          <w:color w:val="auto"/>
          <w:szCs w:val="24"/>
          <w:lang w:val="es-ES" w:eastAsia="es-ES"/>
        </w:rPr>
        <w:t xml:space="preserve"> determinación toma relevancia, pues </w:t>
      </w:r>
      <w:r w:rsidR="001B223B" w:rsidRPr="005556DE">
        <w:rPr>
          <w:rFonts w:eastAsia="Times New Roman" w:cs="Tahoma"/>
          <w:color w:val="auto"/>
          <w:lang w:eastAsia="es-ES"/>
        </w:rPr>
        <w:t xml:space="preserve">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w:t>
      </w:r>
      <w:r w:rsidR="001B223B" w:rsidRPr="005556DE">
        <w:rPr>
          <w:rFonts w:eastAsia="Times New Roman" w:cs="Tahoma"/>
          <w:color w:val="auto"/>
          <w:lang w:eastAsia="es-ES"/>
        </w:rPr>
        <w:lastRenderedPageBreak/>
        <w:t>procesamiento de la misma, ni presentarla conforme al interés del Solicitante, además, que tampoco deberá generarla, resumirla, efectuar cálculos o practicar investigaciones.</w:t>
      </w:r>
    </w:p>
    <w:p w14:paraId="28B574CE" w14:textId="77777777" w:rsidR="001B223B" w:rsidRPr="005556DE" w:rsidRDefault="001B223B" w:rsidP="00A62148">
      <w:pPr>
        <w:tabs>
          <w:tab w:val="left" w:pos="4962"/>
        </w:tabs>
        <w:spacing w:after="0" w:line="360" w:lineRule="auto"/>
        <w:rPr>
          <w:rFonts w:eastAsia="Times New Roman" w:cs="Tahoma"/>
          <w:color w:val="FF0000"/>
          <w:lang w:eastAsia="es-ES"/>
        </w:rPr>
      </w:pPr>
    </w:p>
    <w:p w14:paraId="544EBA35" w14:textId="77777777" w:rsidR="001B223B" w:rsidRPr="005556DE" w:rsidRDefault="001B223B" w:rsidP="00A62148">
      <w:pPr>
        <w:spacing w:after="0" w:line="360" w:lineRule="auto"/>
        <w:rPr>
          <w:rFonts w:eastAsia="Times New Roman" w:cs="Tahoma"/>
          <w:color w:val="auto"/>
          <w:lang w:eastAsia="es-ES"/>
        </w:rPr>
      </w:pPr>
      <w:r w:rsidRPr="005556DE">
        <w:rPr>
          <w:rFonts w:eastAsia="Times New Roman" w:cs="Tahoma"/>
          <w:color w:val="auto"/>
          <w:lang w:eastAsia="es-ES"/>
        </w:rPr>
        <w:t xml:space="preserve">De esta manera, </w:t>
      </w:r>
      <w:r w:rsidRPr="005556DE">
        <w:rPr>
          <w:rFonts w:eastAsia="Times New Roman" w:cs="Tahoma"/>
          <w:color w:val="auto"/>
          <w:szCs w:val="24"/>
          <w:lang w:val="es-ES" w:eastAsia="es-ES"/>
        </w:rPr>
        <w:t xml:space="preserve">el derecho de acceso a la información pública se satisface en aquellos casos en que se entregue el soporte documental en el que conste la información solicitada, sin necesidad de elaborar documentos </w:t>
      </w:r>
      <w:r w:rsidRPr="005556DE">
        <w:rPr>
          <w:rFonts w:eastAsia="Times New Roman" w:cs="Tahoma"/>
          <w:i/>
          <w:color w:val="auto"/>
          <w:lang w:eastAsia="es-ES"/>
        </w:rPr>
        <w:t>ad hoc</w:t>
      </w:r>
      <w:r w:rsidRPr="005556DE">
        <w:rPr>
          <w:rFonts w:eastAsia="Times New Roman" w:cs="Tahoma"/>
          <w:color w:val="auto"/>
          <w:lang w:eastAsia="es-ES"/>
        </w:rPr>
        <w:t>, situación que toma sustento, toma sustento en el artículo 160 de la Ley de Transparencia y Acceso a la Información Pública del Estado de México y Municipios, el cual refiere que los sujetos obligados únicamente deberán entregar la información que obre en sus archivos.</w:t>
      </w:r>
    </w:p>
    <w:p w14:paraId="6B4A6602" w14:textId="77777777" w:rsidR="001B223B" w:rsidRPr="005556DE" w:rsidRDefault="001B223B" w:rsidP="00A62148">
      <w:pPr>
        <w:spacing w:after="0" w:line="360" w:lineRule="auto"/>
        <w:ind w:right="-28"/>
        <w:rPr>
          <w:rFonts w:eastAsia="Times New Roman" w:cs="Tahoma"/>
          <w:iCs/>
          <w:color w:val="FF0000"/>
          <w:lang w:eastAsia="es-ES"/>
        </w:rPr>
      </w:pPr>
    </w:p>
    <w:p w14:paraId="02DA95E4" w14:textId="7F079FFD" w:rsidR="008F179C" w:rsidRPr="005556DE" w:rsidRDefault="001B223B" w:rsidP="00A62148">
      <w:pPr>
        <w:spacing w:after="0" w:line="360" w:lineRule="auto"/>
        <w:ind w:right="-28"/>
        <w:contextualSpacing/>
        <w:rPr>
          <w:rFonts w:eastAsia="Times New Roman" w:cs="Times New Roman"/>
          <w:bCs/>
          <w:iCs/>
          <w:color w:val="auto"/>
          <w:szCs w:val="20"/>
          <w:lang w:val="es-ES" w:eastAsia="es-ES"/>
        </w:rPr>
      </w:pPr>
      <w:r w:rsidRPr="005556DE">
        <w:rPr>
          <w:rFonts w:eastAsia="Times New Roman" w:cs="Tahoma"/>
          <w:color w:val="auto"/>
          <w:szCs w:val="24"/>
          <w:lang w:val="es-ES" w:eastAsia="es-E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el Sujeto Obligado deberá entregar </w:t>
      </w:r>
      <w:r w:rsidR="00CB3E41" w:rsidRPr="005556DE">
        <w:rPr>
          <w:rFonts w:eastAsia="Times New Roman" w:cs="Tahoma"/>
          <w:color w:val="auto"/>
          <w:szCs w:val="24"/>
          <w:lang w:val="es-ES" w:eastAsia="es-ES"/>
        </w:rPr>
        <w:t>l</w:t>
      </w:r>
      <w:r w:rsidR="00CB3E41" w:rsidRPr="005556DE">
        <w:rPr>
          <w:rFonts w:eastAsia="Calibri" w:cs="Tahoma"/>
          <w:bCs/>
          <w:color w:val="auto"/>
        </w:rPr>
        <w:t>os</w:t>
      </w:r>
      <w:r w:rsidR="005A21DB" w:rsidRPr="005556DE">
        <w:rPr>
          <w:rFonts w:eastAsia="Calibri" w:cs="Tahoma"/>
          <w:bCs/>
          <w:color w:val="auto"/>
        </w:rPr>
        <w:t xml:space="preserve"> contratos de cualquier naturalez</w:t>
      </w:r>
      <w:r w:rsidR="008F179C" w:rsidRPr="005556DE">
        <w:rPr>
          <w:rFonts w:eastAsia="Calibri" w:cs="Tahoma"/>
          <w:bCs/>
          <w:color w:val="auto"/>
        </w:rPr>
        <w:t>a celebrados por el Ayuntamiento de Toluca y el Instituto Municipal de Toluca</w:t>
      </w:r>
      <w:r w:rsidR="00A942BE" w:rsidRPr="005556DE">
        <w:rPr>
          <w:rFonts w:eastAsia="Calibri" w:cs="Tahoma"/>
          <w:bCs/>
          <w:color w:val="auto"/>
        </w:rPr>
        <w:t>.</w:t>
      </w:r>
    </w:p>
    <w:p w14:paraId="20384401" w14:textId="16B4F51E" w:rsidR="001B223B" w:rsidRPr="005556DE" w:rsidRDefault="001B223B" w:rsidP="00A62148">
      <w:pPr>
        <w:spacing w:after="0" w:line="360" w:lineRule="auto"/>
        <w:ind w:right="-28"/>
        <w:contextualSpacing/>
        <w:rPr>
          <w:rFonts w:eastAsia="Calibri" w:cs="Tahoma"/>
          <w:bCs/>
          <w:color w:val="auto"/>
        </w:rPr>
      </w:pPr>
    </w:p>
    <w:p w14:paraId="70E7BD82" w14:textId="7E097BDC" w:rsidR="008E78E6" w:rsidRPr="005556DE" w:rsidRDefault="008E78E6" w:rsidP="00A62148">
      <w:pPr>
        <w:widowControl w:val="0"/>
        <w:tabs>
          <w:tab w:val="center" w:pos="4522"/>
        </w:tabs>
        <w:spacing w:after="0" w:line="360" w:lineRule="auto"/>
        <w:rPr>
          <w:rFonts w:eastAsia="Calibri" w:cs="Tahoma"/>
          <w:color w:val="000000"/>
          <w:szCs w:val="24"/>
          <w:lang w:val="es-ES"/>
        </w:rPr>
      </w:pPr>
      <w:r w:rsidRPr="005556DE">
        <w:rPr>
          <w:rFonts w:eastAsia="Calibri" w:cs="Tahoma"/>
          <w:color w:val="000000"/>
          <w:szCs w:val="24"/>
          <w:lang w:val="es-ES"/>
        </w:rPr>
        <w:t>Ahora bien, no pasa desapercibido que, de los contratos pudieran contar con diversos datos, como los siguientes:</w:t>
      </w:r>
    </w:p>
    <w:p w14:paraId="055E0FC1" w14:textId="77777777" w:rsidR="008E78E6" w:rsidRPr="005556DE" w:rsidRDefault="008E78E6" w:rsidP="00A62148">
      <w:pPr>
        <w:widowControl w:val="0"/>
        <w:tabs>
          <w:tab w:val="center" w:pos="4522"/>
        </w:tabs>
        <w:spacing w:after="0" w:line="360" w:lineRule="auto"/>
        <w:rPr>
          <w:rFonts w:eastAsia="Calibri" w:cs="Tahoma"/>
          <w:color w:val="000000"/>
          <w:szCs w:val="24"/>
          <w:lang w:val="es-ES"/>
        </w:rPr>
      </w:pPr>
    </w:p>
    <w:p w14:paraId="048F0568" w14:textId="77777777" w:rsidR="008E78E6" w:rsidRPr="005556DE" w:rsidRDefault="008E78E6" w:rsidP="00A62148">
      <w:pPr>
        <w:pStyle w:val="Prrafodelista"/>
        <w:widowControl w:val="0"/>
        <w:numPr>
          <w:ilvl w:val="0"/>
          <w:numId w:val="5"/>
        </w:numPr>
        <w:tabs>
          <w:tab w:val="center" w:pos="4522"/>
        </w:tabs>
        <w:spacing w:after="0" w:line="360" w:lineRule="auto"/>
        <w:rPr>
          <w:rFonts w:eastAsia="Calibri" w:cs="Tahoma"/>
          <w:color w:val="000000"/>
          <w:szCs w:val="24"/>
          <w:lang w:val="es-ES"/>
        </w:rPr>
      </w:pPr>
      <w:r w:rsidRPr="005556DE">
        <w:rPr>
          <w:rFonts w:eastAsia="Calibri" w:cs="Tahoma"/>
          <w:color w:val="000000"/>
          <w:szCs w:val="24"/>
          <w:lang w:val="es-ES"/>
        </w:rPr>
        <w:t>Registro Federal de Contribuyente de Proveedor o Contratista</w:t>
      </w:r>
    </w:p>
    <w:p w14:paraId="7DCF1349" w14:textId="77777777" w:rsidR="008E78E6" w:rsidRPr="005556DE" w:rsidRDefault="008E78E6" w:rsidP="00A62148">
      <w:pPr>
        <w:pStyle w:val="Prrafodelista"/>
        <w:widowControl w:val="0"/>
        <w:numPr>
          <w:ilvl w:val="0"/>
          <w:numId w:val="5"/>
        </w:numPr>
        <w:tabs>
          <w:tab w:val="center" w:pos="4522"/>
        </w:tabs>
        <w:spacing w:after="0" w:line="360" w:lineRule="auto"/>
        <w:rPr>
          <w:rFonts w:eastAsia="Calibri" w:cs="Tahoma"/>
          <w:color w:val="000000"/>
          <w:szCs w:val="24"/>
          <w:lang w:val="es-ES"/>
        </w:rPr>
      </w:pPr>
      <w:r w:rsidRPr="005556DE">
        <w:rPr>
          <w:rFonts w:eastAsia="Calibri" w:cs="Tahoma"/>
          <w:color w:val="000000"/>
          <w:szCs w:val="24"/>
          <w:lang w:val="es-ES"/>
        </w:rPr>
        <w:t>Número de teléfono y correo electrónico de Proveedor o Contratista</w:t>
      </w:r>
    </w:p>
    <w:p w14:paraId="0C23D3AE" w14:textId="77777777" w:rsidR="008E78E6" w:rsidRPr="005556DE" w:rsidRDefault="008E78E6" w:rsidP="00A62148">
      <w:pPr>
        <w:widowControl w:val="0"/>
        <w:numPr>
          <w:ilvl w:val="0"/>
          <w:numId w:val="5"/>
        </w:numPr>
        <w:tabs>
          <w:tab w:val="center" w:pos="4522"/>
        </w:tabs>
        <w:spacing w:after="0" w:line="360" w:lineRule="auto"/>
        <w:rPr>
          <w:rFonts w:eastAsia="Calibri" w:cs="Tahoma"/>
          <w:bCs/>
          <w:color w:val="000000"/>
          <w:szCs w:val="24"/>
        </w:rPr>
      </w:pPr>
      <w:r w:rsidRPr="005556DE">
        <w:rPr>
          <w:rFonts w:eastAsia="Calibri" w:cs="Tahoma"/>
          <w:bCs/>
          <w:color w:val="000000"/>
          <w:szCs w:val="24"/>
        </w:rPr>
        <w:t>Domicilio Fiscal o legal para recibir y oír notificaciones (proveedor o contratista persona física o moral).</w:t>
      </w:r>
    </w:p>
    <w:p w14:paraId="557C6CF0" w14:textId="77777777" w:rsidR="008E78E6" w:rsidRPr="005556DE" w:rsidRDefault="008E78E6" w:rsidP="00A62148">
      <w:pPr>
        <w:pStyle w:val="Prrafodelista"/>
        <w:widowControl w:val="0"/>
        <w:numPr>
          <w:ilvl w:val="0"/>
          <w:numId w:val="5"/>
        </w:numPr>
        <w:tabs>
          <w:tab w:val="center" w:pos="4522"/>
        </w:tabs>
        <w:spacing w:after="0" w:line="360" w:lineRule="auto"/>
        <w:rPr>
          <w:rFonts w:eastAsia="Calibri" w:cs="Tahoma"/>
          <w:bCs/>
          <w:color w:val="000000"/>
          <w:szCs w:val="24"/>
          <w:lang w:val="es-ES"/>
        </w:rPr>
      </w:pPr>
      <w:r w:rsidRPr="005556DE">
        <w:rPr>
          <w:rFonts w:eastAsia="Calibri" w:cs="Tahoma"/>
          <w:bCs/>
          <w:color w:val="000000"/>
          <w:szCs w:val="24"/>
          <w:lang w:val="es-ES"/>
        </w:rPr>
        <w:t>Firma del proveedor, contratista o representante legal de este;</w:t>
      </w:r>
    </w:p>
    <w:p w14:paraId="216C0BE8" w14:textId="77777777" w:rsidR="008E78E6" w:rsidRPr="005556DE" w:rsidRDefault="008E78E6" w:rsidP="00A62148">
      <w:pPr>
        <w:pStyle w:val="Prrafodelista"/>
        <w:widowControl w:val="0"/>
        <w:numPr>
          <w:ilvl w:val="0"/>
          <w:numId w:val="5"/>
        </w:numPr>
        <w:tabs>
          <w:tab w:val="center" w:pos="4522"/>
        </w:tabs>
        <w:spacing w:after="0" w:line="360" w:lineRule="auto"/>
        <w:rPr>
          <w:rFonts w:eastAsia="Calibri" w:cs="Tahoma"/>
          <w:color w:val="000000"/>
          <w:szCs w:val="24"/>
          <w:lang w:val="es-ES"/>
        </w:rPr>
      </w:pPr>
      <w:r w:rsidRPr="005556DE">
        <w:rPr>
          <w:rFonts w:eastAsia="Calibri" w:cs="Tahoma"/>
          <w:color w:val="000000"/>
          <w:szCs w:val="24"/>
          <w:lang w:val="es-ES"/>
        </w:rPr>
        <w:t>Número de clave de elector de proveedor, contratista o representante legal;</w:t>
      </w:r>
    </w:p>
    <w:p w14:paraId="49117928" w14:textId="77777777" w:rsidR="008E78E6" w:rsidRPr="005556DE" w:rsidRDefault="008E78E6" w:rsidP="00A62148">
      <w:pPr>
        <w:pStyle w:val="Prrafodelista"/>
        <w:widowControl w:val="0"/>
        <w:numPr>
          <w:ilvl w:val="0"/>
          <w:numId w:val="5"/>
        </w:numPr>
        <w:tabs>
          <w:tab w:val="center" w:pos="4522"/>
        </w:tabs>
        <w:spacing w:after="0" w:line="360" w:lineRule="auto"/>
        <w:rPr>
          <w:rFonts w:eastAsia="Calibri" w:cs="Tahoma"/>
          <w:bCs/>
          <w:color w:val="000000"/>
          <w:szCs w:val="24"/>
          <w:lang w:val="es-ES"/>
        </w:rPr>
      </w:pPr>
      <w:r w:rsidRPr="005556DE">
        <w:rPr>
          <w:rFonts w:eastAsia="Calibri" w:cs="Tahoma"/>
          <w:bCs/>
          <w:iCs/>
          <w:color w:val="000000"/>
          <w:szCs w:val="24"/>
          <w:lang w:val="es-ES"/>
        </w:rPr>
        <w:t>Cuenta bancaria y clave interbancaria de Proveedor o Contratista, y</w:t>
      </w:r>
    </w:p>
    <w:p w14:paraId="0EB398E0" w14:textId="77777777" w:rsidR="00A62148" w:rsidRPr="005556DE" w:rsidRDefault="00A62148" w:rsidP="00A62148">
      <w:pPr>
        <w:pStyle w:val="Prrafodelista"/>
        <w:widowControl w:val="0"/>
        <w:tabs>
          <w:tab w:val="center" w:pos="4522"/>
        </w:tabs>
        <w:spacing w:after="0" w:line="360" w:lineRule="auto"/>
        <w:rPr>
          <w:rFonts w:eastAsia="Calibri" w:cs="Tahoma"/>
          <w:bCs/>
          <w:iCs/>
          <w:color w:val="000000"/>
          <w:szCs w:val="24"/>
          <w:lang w:val="es-ES"/>
        </w:rPr>
      </w:pPr>
    </w:p>
    <w:p w14:paraId="668D437D" w14:textId="77777777" w:rsidR="00A62148" w:rsidRPr="005556DE" w:rsidRDefault="00A62148" w:rsidP="00A62148">
      <w:pPr>
        <w:pStyle w:val="Prrafodelista"/>
        <w:widowControl w:val="0"/>
        <w:tabs>
          <w:tab w:val="center" w:pos="4522"/>
        </w:tabs>
        <w:spacing w:after="0" w:line="360" w:lineRule="auto"/>
        <w:rPr>
          <w:rFonts w:eastAsia="Calibri" w:cs="Tahoma"/>
          <w:bCs/>
          <w:color w:val="000000"/>
          <w:szCs w:val="24"/>
          <w:lang w:val="es-ES"/>
        </w:rPr>
      </w:pPr>
    </w:p>
    <w:p w14:paraId="3E61BE03" w14:textId="77777777" w:rsidR="008E78E6" w:rsidRPr="005556DE" w:rsidRDefault="008E78E6" w:rsidP="00A62148">
      <w:pPr>
        <w:pStyle w:val="Prrafodelista"/>
        <w:widowControl w:val="0"/>
        <w:numPr>
          <w:ilvl w:val="0"/>
          <w:numId w:val="5"/>
        </w:numPr>
        <w:tabs>
          <w:tab w:val="center" w:pos="4522"/>
        </w:tabs>
        <w:spacing w:after="0" w:line="360" w:lineRule="auto"/>
        <w:rPr>
          <w:rFonts w:eastAsia="Calibri" w:cs="Tahoma"/>
          <w:bCs/>
          <w:color w:val="000000"/>
          <w:szCs w:val="24"/>
          <w:lang w:val="es-ES"/>
        </w:rPr>
      </w:pPr>
      <w:r w:rsidRPr="005556DE">
        <w:rPr>
          <w:rFonts w:eastAsia="Calibri" w:cs="Tahoma"/>
          <w:bCs/>
          <w:iCs/>
          <w:color w:val="000000"/>
          <w:szCs w:val="24"/>
          <w:lang w:val="es-ES"/>
        </w:rPr>
        <w:t>Nombre de institución bancaria de Proveedor o Contratista.</w:t>
      </w:r>
    </w:p>
    <w:p w14:paraId="63090E0C" w14:textId="57139F19" w:rsidR="008E78E6" w:rsidRPr="005556DE" w:rsidRDefault="008E78E6" w:rsidP="00A62148">
      <w:pPr>
        <w:spacing w:after="0" w:line="360" w:lineRule="auto"/>
        <w:ind w:right="-93"/>
        <w:rPr>
          <w:rFonts w:eastAsia="Calibri" w:cs="Tahoma"/>
          <w:bCs/>
          <w:color w:val="000000"/>
          <w:szCs w:val="24"/>
          <w:lang w:val="es-ES"/>
        </w:rPr>
      </w:pPr>
    </w:p>
    <w:p w14:paraId="5C61BB9C" w14:textId="18C8FE2E" w:rsidR="008E78E6" w:rsidRPr="005556DE" w:rsidRDefault="008E78E6" w:rsidP="00A62148">
      <w:pPr>
        <w:spacing w:after="0" w:line="360" w:lineRule="auto"/>
        <w:ind w:right="-93"/>
        <w:rPr>
          <w:bCs/>
        </w:rPr>
      </w:pPr>
      <w:r w:rsidRPr="005556DE">
        <w:rPr>
          <w:rFonts w:cs="Tahoma"/>
          <w:bCs/>
          <w:iCs/>
          <w:lang w:val="es-ES_tradnl" w:eastAsia="es-ES"/>
        </w:rPr>
        <w:t xml:space="preserve">Así, es necesario analizar si los datos son de naturaleza pública o privada; para lo cual, </w:t>
      </w:r>
      <w:r w:rsidRPr="005556DE">
        <w:rPr>
          <w:bCs/>
          <w:lang w:val="es-ES_tradnl"/>
        </w:rPr>
        <w:t>c</w:t>
      </w:r>
      <w:r w:rsidRPr="005556DE">
        <w:rPr>
          <w:bCs/>
        </w:rPr>
        <w:t>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2C674623" w14:textId="77777777" w:rsidR="008E78E6" w:rsidRPr="005556DE" w:rsidRDefault="008E78E6" w:rsidP="00A62148">
      <w:pPr>
        <w:spacing w:after="0" w:line="360" w:lineRule="auto"/>
        <w:rPr>
          <w:bCs/>
        </w:rPr>
      </w:pPr>
    </w:p>
    <w:p w14:paraId="10FA66DD" w14:textId="77777777" w:rsidR="008E78E6" w:rsidRPr="005556DE" w:rsidRDefault="008E78E6" w:rsidP="00A62148">
      <w:pPr>
        <w:spacing w:after="0" w:line="360" w:lineRule="auto"/>
        <w:rPr>
          <w:bCs/>
        </w:rPr>
      </w:pPr>
      <w:r w:rsidRPr="005556DE">
        <w:rPr>
          <w:bCs/>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7148DDF6" w14:textId="77777777" w:rsidR="008E78E6" w:rsidRPr="005556DE" w:rsidRDefault="008E78E6" w:rsidP="00A62148">
      <w:pPr>
        <w:spacing w:after="0" w:line="360" w:lineRule="auto"/>
        <w:rPr>
          <w:bCs/>
        </w:rPr>
      </w:pPr>
    </w:p>
    <w:p w14:paraId="1378109E" w14:textId="77777777" w:rsidR="008E78E6" w:rsidRPr="005556DE" w:rsidRDefault="008E78E6" w:rsidP="00A62148">
      <w:pPr>
        <w:spacing w:after="0" w:line="360" w:lineRule="auto"/>
        <w:rPr>
          <w:bCs/>
        </w:rPr>
      </w:pPr>
      <w:r w:rsidRPr="005556DE">
        <w:rPr>
          <w:bCs/>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002246C2" w14:textId="77777777" w:rsidR="008E78E6" w:rsidRPr="005556DE" w:rsidRDefault="008E78E6" w:rsidP="00A62148">
      <w:pPr>
        <w:spacing w:after="0" w:line="360" w:lineRule="auto"/>
        <w:rPr>
          <w:bCs/>
        </w:rPr>
      </w:pPr>
    </w:p>
    <w:p w14:paraId="3E012D49" w14:textId="77777777" w:rsidR="008E78E6" w:rsidRPr="005556DE" w:rsidRDefault="008E78E6" w:rsidP="00A62148">
      <w:pPr>
        <w:spacing w:after="0" w:line="360" w:lineRule="auto"/>
        <w:rPr>
          <w:bCs/>
        </w:rPr>
      </w:pPr>
      <w:r w:rsidRPr="005556DE">
        <w:rPr>
          <w:bCs/>
        </w:rPr>
        <w:t xml:space="preserve">Por su parte, el artículo 24, fracción VI, de la Ley de Transparencia y Acceso a la Información Pública del Estado de México y Municipios, precisa que los Sujetos Obligados serán los </w:t>
      </w:r>
      <w:r w:rsidRPr="005556DE">
        <w:rPr>
          <w:bCs/>
        </w:rPr>
        <w:lastRenderedPageBreak/>
        <w:t>responsables de proteger y resguardar la información clasificada como reservada o confidencial.</w:t>
      </w:r>
    </w:p>
    <w:p w14:paraId="4E3314D3" w14:textId="77777777" w:rsidR="008E78E6" w:rsidRPr="005556DE" w:rsidRDefault="008E78E6" w:rsidP="00A62148">
      <w:pPr>
        <w:spacing w:after="0" w:line="360" w:lineRule="auto"/>
        <w:rPr>
          <w:bCs/>
        </w:rPr>
      </w:pPr>
    </w:p>
    <w:p w14:paraId="18B2B992" w14:textId="77777777" w:rsidR="008E78E6" w:rsidRPr="005556DE" w:rsidRDefault="008E78E6" w:rsidP="00A62148">
      <w:pPr>
        <w:spacing w:after="0" w:line="360" w:lineRule="auto"/>
        <w:rPr>
          <w:bCs/>
        </w:rPr>
      </w:pPr>
      <w:r w:rsidRPr="005556DE">
        <w:rPr>
          <w:bCs/>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1B85E47E" w14:textId="77777777" w:rsidR="008E78E6" w:rsidRPr="005556DE" w:rsidRDefault="008E78E6" w:rsidP="00A62148">
      <w:pPr>
        <w:spacing w:after="0" w:line="360" w:lineRule="auto"/>
        <w:rPr>
          <w:bCs/>
        </w:rPr>
      </w:pPr>
    </w:p>
    <w:p w14:paraId="7A9B7010" w14:textId="77777777" w:rsidR="008E78E6" w:rsidRPr="005556DE" w:rsidRDefault="008E78E6" w:rsidP="00A62148">
      <w:pPr>
        <w:spacing w:after="0" w:line="360" w:lineRule="auto"/>
        <w:rPr>
          <w:bCs/>
        </w:rPr>
      </w:pPr>
      <w:r w:rsidRPr="005556DE">
        <w:rPr>
          <w:bCs/>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38272227" w14:textId="77777777" w:rsidR="008E78E6" w:rsidRPr="005556DE" w:rsidRDefault="008E78E6" w:rsidP="00A62148">
      <w:pPr>
        <w:spacing w:after="0" w:line="360" w:lineRule="auto"/>
        <w:rPr>
          <w:bCs/>
        </w:rPr>
      </w:pPr>
    </w:p>
    <w:p w14:paraId="50561440" w14:textId="77777777" w:rsidR="008E78E6" w:rsidRPr="005556DE" w:rsidRDefault="008E78E6" w:rsidP="00A62148">
      <w:pPr>
        <w:spacing w:after="0" w:line="360" w:lineRule="auto"/>
        <w:rPr>
          <w:bCs/>
        </w:rPr>
      </w:pPr>
      <w:r w:rsidRPr="005556DE">
        <w:rPr>
          <w:bCs/>
        </w:rPr>
        <w:t>En términos de lo expuesto, la documentación y aquellos datos que se consideren confidenciales, serán una limitante del derecho de acceso a la información, siempre y cuando:</w:t>
      </w:r>
    </w:p>
    <w:p w14:paraId="1153AC2D" w14:textId="77777777" w:rsidR="008E78E6" w:rsidRPr="005556DE" w:rsidRDefault="008E78E6" w:rsidP="00A62148">
      <w:pPr>
        <w:spacing w:after="0" w:line="360" w:lineRule="auto"/>
        <w:rPr>
          <w:bCs/>
        </w:rPr>
      </w:pPr>
    </w:p>
    <w:p w14:paraId="5200F46B" w14:textId="77777777" w:rsidR="008E78E6" w:rsidRPr="005556DE" w:rsidRDefault="008E78E6" w:rsidP="00A62148">
      <w:pPr>
        <w:numPr>
          <w:ilvl w:val="0"/>
          <w:numId w:val="9"/>
        </w:numPr>
        <w:spacing w:after="0" w:line="360" w:lineRule="auto"/>
        <w:jc w:val="left"/>
        <w:rPr>
          <w:bCs/>
        </w:rPr>
      </w:pPr>
      <w:r w:rsidRPr="005556DE">
        <w:rPr>
          <w:bCs/>
        </w:rPr>
        <w:t xml:space="preserve">Se trate de datos personales o información privada; esto es, información concerniente a una persona física o jurídico colectiva y que esta sea identificada o identificable. </w:t>
      </w:r>
    </w:p>
    <w:p w14:paraId="36692ACA" w14:textId="77777777" w:rsidR="00A62148" w:rsidRPr="005556DE" w:rsidRDefault="00A62148" w:rsidP="00A62148">
      <w:pPr>
        <w:spacing w:after="0" w:line="360" w:lineRule="auto"/>
        <w:ind w:left="720"/>
        <w:jc w:val="left"/>
        <w:rPr>
          <w:bCs/>
        </w:rPr>
      </w:pPr>
    </w:p>
    <w:p w14:paraId="09AD7DF2" w14:textId="77777777" w:rsidR="008E78E6" w:rsidRPr="005556DE" w:rsidRDefault="008E78E6" w:rsidP="00A62148">
      <w:pPr>
        <w:numPr>
          <w:ilvl w:val="0"/>
          <w:numId w:val="9"/>
        </w:numPr>
        <w:spacing w:after="0" w:line="360" w:lineRule="auto"/>
        <w:jc w:val="left"/>
        <w:rPr>
          <w:bCs/>
        </w:rPr>
      </w:pPr>
      <w:r w:rsidRPr="005556DE">
        <w:rPr>
          <w:bCs/>
        </w:rPr>
        <w:t xml:space="preserve">Para la difusión de los datos, se requiera el consentimiento del titular. </w:t>
      </w:r>
    </w:p>
    <w:p w14:paraId="5FC574EB" w14:textId="77777777" w:rsidR="008E78E6" w:rsidRPr="005556DE" w:rsidRDefault="008E78E6" w:rsidP="00A62148">
      <w:pPr>
        <w:spacing w:after="0" w:line="360" w:lineRule="auto"/>
        <w:rPr>
          <w:bCs/>
        </w:rPr>
      </w:pPr>
    </w:p>
    <w:p w14:paraId="35234A91" w14:textId="77777777" w:rsidR="008E78E6" w:rsidRPr="005556DE" w:rsidRDefault="008E78E6" w:rsidP="00A62148">
      <w:pPr>
        <w:spacing w:after="0" w:line="360" w:lineRule="auto"/>
        <w:rPr>
          <w:bCs/>
        </w:rPr>
      </w:pPr>
      <w:r w:rsidRPr="005556DE">
        <w:rPr>
          <w:bCs/>
        </w:rPr>
        <w:t xml:space="preserve">En ese orden de ideas, de conformidad con el artículo 3°, fracción IX, de la Ley de Transparencia y Acceso a la Información Pública del Estado de México y Municipios, con </w:t>
      </w:r>
      <w:r w:rsidRPr="005556DE">
        <w:rPr>
          <w:bCs/>
        </w:rPr>
        <w:lastRenderedPageBreak/>
        <w:t xml:space="preserve">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25F0656F" w14:textId="77777777" w:rsidR="008E78E6" w:rsidRPr="005556DE" w:rsidRDefault="008E78E6" w:rsidP="00A62148">
      <w:pPr>
        <w:spacing w:after="0" w:line="360" w:lineRule="auto"/>
        <w:rPr>
          <w:bCs/>
        </w:rPr>
      </w:pPr>
    </w:p>
    <w:p w14:paraId="1270151D" w14:textId="77777777" w:rsidR="008E78E6" w:rsidRPr="005556DE" w:rsidRDefault="008E78E6" w:rsidP="00A62148">
      <w:pPr>
        <w:spacing w:after="0" w:line="360" w:lineRule="auto"/>
        <w:rPr>
          <w:bCs/>
        </w:rPr>
      </w:pPr>
      <w:r w:rsidRPr="005556DE">
        <w:rPr>
          <w:bCs/>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70E6BF71" w14:textId="77777777" w:rsidR="008E78E6" w:rsidRPr="005556DE" w:rsidRDefault="008E78E6" w:rsidP="00A62148">
      <w:pPr>
        <w:spacing w:after="0" w:line="360" w:lineRule="auto"/>
        <w:rPr>
          <w:bCs/>
        </w:rPr>
      </w:pPr>
    </w:p>
    <w:p w14:paraId="72B9D475" w14:textId="3E41F140" w:rsidR="008E78E6" w:rsidRPr="005556DE" w:rsidRDefault="008E78E6" w:rsidP="00A62148">
      <w:pPr>
        <w:spacing w:after="0" w:line="360" w:lineRule="auto"/>
        <w:rPr>
          <w:bCs/>
        </w:rPr>
      </w:pPr>
      <w:r w:rsidRPr="005556DE">
        <w:rPr>
          <w:bCs/>
        </w:rPr>
        <w:t>Por lo cual, la confidencialidad de los datos personales, tiene por objetivo establecer el límite del derecho de acceso a la información a partir del derecho a la intimidad y la vida privada de los individuos; por lo cual, resulta necesario analizar si los datos mencionados, deben ser considerados confidenciales, en términos del artículo 143, fracción I, de la Ley de Transparencia y Acceso a la Información Pública del Estado de México y Municipios, o públicos tal como se expone a continuación:</w:t>
      </w:r>
    </w:p>
    <w:p w14:paraId="5E188E34" w14:textId="77777777" w:rsidR="008E78E6" w:rsidRPr="005556DE" w:rsidRDefault="008E78E6" w:rsidP="00A62148">
      <w:pPr>
        <w:widowControl w:val="0"/>
        <w:tabs>
          <w:tab w:val="center" w:pos="4522"/>
        </w:tabs>
        <w:spacing w:after="0" w:line="360" w:lineRule="auto"/>
        <w:rPr>
          <w:rFonts w:eastAsia="Calibri" w:cs="Tahoma"/>
          <w:color w:val="000000"/>
          <w:szCs w:val="24"/>
        </w:rPr>
      </w:pPr>
    </w:p>
    <w:p w14:paraId="6F144AE9" w14:textId="77777777" w:rsidR="008E78E6" w:rsidRPr="005556DE" w:rsidRDefault="008E78E6" w:rsidP="00A62148">
      <w:pPr>
        <w:numPr>
          <w:ilvl w:val="0"/>
          <w:numId w:val="7"/>
        </w:numPr>
        <w:spacing w:after="0" w:line="360" w:lineRule="auto"/>
        <w:jc w:val="left"/>
        <w:rPr>
          <w:rFonts w:eastAsia="Calibri" w:cs="Tahoma"/>
          <w:b/>
          <w:iCs/>
          <w:color w:val="000000"/>
          <w:szCs w:val="24"/>
          <w:lang w:val="es-ES"/>
        </w:rPr>
      </w:pPr>
      <w:r w:rsidRPr="005556DE">
        <w:rPr>
          <w:rFonts w:eastAsia="Calibri" w:cs="Tahoma"/>
          <w:b/>
          <w:bCs/>
          <w:color w:val="000000"/>
          <w:szCs w:val="24"/>
        </w:rPr>
        <w:t>Registro Federal de Contribuyentes de proveedor o contratista</w:t>
      </w:r>
    </w:p>
    <w:p w14:paraId="788ACDAB" w14:textId="77777777" w:rsidR="008E78E6" w:rsidRPr="005556DE" w:rsidRDefault="008E78E6" w:rsidP="00A62148">
      <w:pPr>
        <w:widowControl w:val="0"/>
        <w:tabs>
          <w:tab w:val="center" w:pos="4522"/>
        </w:tabs>
        <w:spacing w:after="0" w:line="360" w:lineRule="auto"/>
        <w:rPr>
          <w:rFonts w:eastAsia="Calibri" w:cs="Tahoma"/>
          <w:b/>
          <w:bCs/>
          <w:iCs/>
          <w:color w:val="000000"/>
          <w:szCs w:val="24"/>
          <w:lang w:val="es-ES"/>
        </w:rPr>
      </w:pPr>
    </w:p>
    <w:p w14:paraId="0001113C" w14:textId="77777777" w:rsidR="008E78E6" w:rsidRPr="005556DE" w:rsidRDefault="008E78E6" w:rsidP="00A62148">
      <w:pPr>
        <w:widowControl w:val="0"/>
        <w:tabs>
          <w:tab w:val="center" w:pos="4522"/>
        </w:tabs>
        <w:spacing w:after="0" w:line="360" w:lineRule="auto"/>
        <w:rPr>
          <w:rFonts w:eastAsia="Calibri" w:cs="Tahoma"/>
          <w:b/>
          <w:bCs/>
          <w:color w:val="000000"/>
          <w:szCs w:val="24"/>
          <w:lang w:val="es-ES_tradnl"/>
        </w:rPr>
      </w:pPr>
      <w:r w:rsidRPr="005556DE">
        <w:rPr>
          <w:rFonts w:eastAsia="Calibri" w:cs="Tahoma"/>
          <w:b/>
          <w:bCs/>
          <w:color w:val="000000"/>
          <w:szCs w:val="24"/>
          <w:lang w:val="es-ES_tradnl"/>
        </w:rPr>
        <w:t>Persona física</w:t>
      </w:r>
    </w:p>
    <w:p w14:paraId="43FEE4DE" w14:textId="77777777" w:rsidR="008E78E6" w:rsidRPr="005556DE" w:rsidRDefault="008E78E6" w:rsidP="00A62148">
      <w:pPr>
        <w:widowControl w:val="0"/>
        <w:tabs>
          <w:tab w:val="center" w:pos="4522"/>
        </w:tabs>
        <w:spacing w:after="0" w:line="360" w:lineRule="auto"/>
        <w:rPr>
          <w:rFonts w:eastAsia="Calibri" w:cs="Tahoma"/>
          <w:b/>
          <w:bCs/>
          <w:color w:val="000000"/>
          <w:szCs w:val="24"/>
          <w:lang w:val="es-ES_tradnl"/>
        </w:rPr>
      </w:pPr>
    </w:p>
    <w:p w14:paraId="249EE9B9" w14:textId="77777777" w:rsidR="008E78E6" w:rsidRPr="005556DE" w:rsidRDefault="008E78E6" w:rsidP="00A62148">
      <w:pPr>
        <w:widowControl w:val="0"/>
        <w:tabs>
          <w:tab w:val="center" w:pos="4522"/>
        </w:tabs>
        <w:spacing w:after="0" w:line="360" w:lineRule="auto"/>
        <w:rPr>
          <w:rFonts w:eastAsia="Calibri" w:cs="Tahoma"/>
          <w:bCs/>
          <w:color w:val="000000"/>
          <w:szCs w:val="24"/>
        </w:rPr>
      </w:pPr>
      <w:r w:rsidRPr="005556DE">
        <w:rPr>
          <w:rFonts w:eastAsia="Calibri" w:cs="Tahoma"/>
          <w:color w:val="000000"/>
          <w:szCs w:val="24"/>
        </w:rPr>
        <w:t>Al respecto, es necesario precisar que</w:t>
      </w:r>
      <w:r w:rsidRPr="005556DE">
        <w:rPr>
          <w:rFonts w:eastAsia="Calibri" w:cs="Tahoma"/>
          <w:bCs/>
          <w:color w:val="000000"/>
          <w:szCs w:val="24"/>
          <w:lang w:val="es-ES_tradnl"/>
        </w:rPr>
        <w:t xml:space="preserve"> </w:t>
      </w:r>
      <w:r w:rsidRPr="005556DE">
        <w:rPr>
          <w:rFonts w:eastAsia="Calibri" w:cs="Tahoma"/>
          <w:bCs/>
          <w:color w:val="000000"/>
          <w:szCs w:val="24"/>
        </w:rPr>
        <w:t xml:space="preserve">el proveedor de cualquier Sujeto Obligado de la Ley de la materia, que sea una persona física, debe cumplir con los requisitos establecidos en los </w:t>
      </w:r>
      <w:r w:rsidRPr="005556DE">
        <w:rPr>
          <w:rFonts w:eastAsia="Calibri" w:cs="Tahoma"/>
          <w:bCs/>
          <w:color w:val="000000"/>
          <w:szCs w:val="24"/>
        </w:rPr>
        <w:lastRenderedPageBreak/>
        <w:t xml:space="preserve">artículos 29 y 32 del Reglamento de la Ley de Contratación Pública del Estado de México y Municipios; es decir, para que los individuos puedan participar en actos de adquisición o de contratación de servicios que requieran las dependencias, organismos auxiliares y tribunales administrativos, así como los Gobiernos Municipales, deberán presentar, entre otras cosas, </w:t>
      </w:r>
      <w:r w:rsidRPr="005556DE">
        <w:rPr>
          <w:rFonts w:eastAsia="Calibri" w:cs="Tahoma"/>
          <w:b/>
          <w:bCs/>
          <w:color w:val="000000"/>
          <w:szCs w:val="24"/>
        </w:rPr>
        <w:t>la cédula de identificación fiscal (Registro Federal de Contribuyentes);</w:t>
      </w:r>
      <w:r w:rsidRPr="005556DE">
        <w:rPr>
          <w:rFonts w:eastAsia="Calibri" w:cs="Tahoma"/>
          <w:bCs/>
          <w:color w:val="000000"/>
          <w:szCs w:val="24"/>
        </w:rPr>
        <w:t xml:space="preserve"> por lo que la entrega de dicho dato permite verificar cumplimiento de esta disposición legal.</w:t>
      </w:r>
    </w:p>
    <w:p w14:paraId="7F793412" w14:textId="77777777" w:rsidR="008E78E6" w:rsidRPr="005556DE" w:rsidRDefault="008E78E6" w:rsidP="00A62148">
      <w:pPr>
        <w:widowControl w:val="0"/>
        <w:tabs>
          <w:tab w:val="center" w:pos="4522"/>
        </w:tabs>
        <w:spacing w:after="0" w:line="360" w:lineRule="auto"/>
        <w:rPr>
          <w:rFonts w:eastAsia="Calibri" w:cs="Tahoma"/>
          <w:bCs/>
          <w:color w:val="000000"/>
          <w:szCs w:val="24"/>
        </w:rPr>
      </w:pPr>
    </w:p>
    <w:p w14:paraId="67CF9CE2" w14:textId="77777777" w:rsidR="008E78E6" w:rsidRPr="005556DE" w:rsidRDefault="008E78E6" w:rsidP="00A62148">
      <w:pPr>
        <w:widowControl w:val="0"/>
        <w:tabs>
          <w:tab w:val="center" w:pos="4522"/>
        </w:tabs>
        <w:spacing w:after="0" w:line="360" w:lineRule="auto"/>
        <w:rPr>
          <w:rFonts w:eastAsia="Calibri" w:cs="Tahoma"/>
          <w:b/>
          <w:bCs/>
          <w:color w:val="000000"/>
          <w:szCs w:val="24"/>
        </w:rPr>
      </w:pPr>
      <w:r w:rsidRPr="005556DE">
        <w:rPr>
          <w:rFonts w:eastAsia="Calibri" w:cs="Tahoma"/>
          <w:bCs/>
          <w:color w:val="000000"/>
          <w:szCs w:val="24"/>
        </w:rPr>
        <w:t xml:space="preserve">Por lo tanto, </w:t>
      </w:r>
      <w:r w:rsidRPr="005556DE">
        <w:rPr>
          <w:rFonts w:eastAsia="Calibri" w:cs="Tahoma"/>
          <w:b/>
          <w:bCs/>
          <w:color w:val="000000"/>
          <w:szCs w:val="24"/>
        </w:rPr>
        <w:t>en el presente caso, si bien el Registro Federal de Contribuyentes de personas físicas es un dato personal, también lo es, que corresponde a un requisito indispensable para ser proveedor y poder llevar a cabo actividades comerciales con la Entidad</w:t>
      </w:r>
      <w:r w:rsidRPr="005556DE">
        <w:rPr>
          <w:rFonts w:eastAsia="Calibri" w:cs="Tahoma"/>
          <w:bCs/>
          <w:color w:val="000000"/>
          <w:szCs w:val="24"/>
        </w:rPr>
        <w:t xml:space="preserve">, ya que, sin este, no se pueden realizar dichas acciones, </w:t>
      </w:r>
      <w:r w:rsidRPr="005556DE">
        <w:rPr>
          <w:rFonts w:eastAsia="Calibri" w:cs="Tahoma"/>
          <w:b/>
          <w:bCs/>
          <w:color w:val="000000"/>
          <w:szCs w:val="24"/>
        </w:rPr>
        <w:t>por lo que su entrega es un elemento adicional que respalda la legalidad de los procesos adquisitivos.</w:t>
      </w:r>
    </w:p>
    <w:p w14:paraId="22C27E2B" w14:textId="77777777" w:rsidR="008E78E6" w:rsidRPr="005556DE" w:rsidRDefault="008E78E6" w:rsidP="00A62148">
      <w:pPr>
        <w:widowControl w:val="0"/>
        <w:tabs>
          <w:tab w:val="center" w:pos="4522"/>
        </w:tabs>
        <w:spacing w:after="0" w:line="360" w:lineRule="auto"/>
        <w:rPr>
          <w:rFonts w:eastAsia="Calibri" w:cs="Tahoma"/>
          <w:b/>
          <w:bCs/>
          <w:color w:val="000000"/>
          <w:szCs w:val="24"/>
        </w:rPr>
      </w:pPr>
    </w:p>
    <w:p w14:paraId="1A6EF8F6" w14:textId="77777777" w:rsidR="008E78E6" w:rsidRPr="005556DE" w:rsidRDefault="008E78E6" w:rsidP="00A62148">
      <w:pPr>
        <w:widowControl w:val="0"/>
        <w:tabs>
          <w:tab w:val="center" w:pos="4522"/>
        </w:tabs>
        <w:spacing w:after="0" w:line="360" w:lineRule="auto"/>
        <w:rPr>
          <w:rFonts w:eastAsia="Calibri" w:cs="Tahoma"/>
          <w:bCs/>
          <w:color w:val="000000"/>
          <w:szCs w:val="24"/>
        </w:rPr>
      </w:pPr>
      <w:r w:rsidRPr="005556DE">
        <w:rPr>
          <w:rFonts w:eastAsia="Calibri" w:cs="Tahoma"/>
          <w:bCs/>
          <w:color w:val="000000"/>
          <w:szCs w:val="24"/>
        </w:rPr>
        <w:t xml:space="preserve">En ese contexto, entregar el Registro Federal de Contribuyentes aún de personas físicas cuando son proveedores de instituciones públicas, </w:t>
      </w:r>
      <w:r w:rsidRPr="005556DE">
        <w:rPr>
          <w:rFonts w:eastAsia="Calibri" w:cs="Tahoma"/>
          <w:b/>
          <w:bCs/>
          <w:color w:val="000000"/>
          <w:szCs w:val="24"/>
        </w:rPr>
        <w:t>propiciaría la rendición de cuentas</w:t>
      </w:r>
      <w:r w:rsidRPr="005556DE">
        <w:rPr>
          <w:rFonts w:eastAsia="Calibri" w:cs="Tahoma"/>
          <w:bCs/>
          <w:color w:val="000000"/>
          <w:szCs w:val="24"/>
        </w:rPr>
        <w:t>, al permitir verificar que se cumplió con uno de los requisitos necesarios conforme a la normatividad aplicable en materia de contrataciones, lo cual, transparenta el correcto ejercicio de recursos públicos por parte de los sujetos obligados, lo que es acorde con el principio de máxima publicidad.</w:t>
      </w:r>
    </w:p>
    <w:p w14:paraId="2E51B7D4" w14:textId="77777777" w:rsidR="008E78E6" w:rsidRPr="005556DE" w:rsidRDefault="008E78E6" w:rsidP="00A62148">
      <w:pPr>
        <w:widowControl w:val="0"/>
        <w:tabs>
          <w:tab w:val="center" w:pos="4522"/>
        </w:tabs>
        <w:spacing w:after="0" w:line="360" w:lineRule="auto"/>
        <w:rPr>
          <w:rFonts w:eastAsia="Calibri" w:cs="Tahoma"/>
          <w:bCs/>
          <w:color w:val="000000"/>
          <w:szCs w:val="24"/>
        </w:rPr>
      </w:pPr>
    </w:p>
    <w:p w14:paraId="10061E47" w14:textId="77777777" w:rsidR="008E78E6" w:rsidRPr="005556DE" w:rsidRDefault="008E78E6" w:rsidP="00A62148">
      <w:pPr>
        <w:widowControl w:val="0"/>
        <w:tabs>
          <w:tab w:val="center" w:pos="4522"/>
        </w:tabs>
        <w:spacing w:after="0" w:line="360" w:lineRule="auto"/>
        <w:rPr>
          <w:rFonts w:eastAsia="Calibri" w:cs="Tahoma"/>
          <w:bCs/>
          <w:color w:val="000000"/>
          <w:szCs w:val="24"/>
        </w:rPr>
      </w:pPr>
      <w:r w:rsidRPr="005556DE">
        <w:rPr>
          <w:rFonts w:eastAsia="Calibri" w:cs="Tahoma"/>
          <w:bCs/>
          <w:color w:val="000000"/>
          <w:szCs w:val="24"/>
        </w:rPr>
        <w:t xml:space="preserve">Lo anterior, se robustece con el </w:t>
      </w:r>
      <w:r w:rsidRPr="005556DE">
        <w:rPr>
          <w:rFonts w:eastAsia="Calibri" w:cs="Tahoma"/>
          <w:bCs/>
          <w:color w:val="000000"/>
          <w:szCs w:val="24"/>
          <w:lang w:val="es-ES"/>
        </w:rPr>
        <w:t xml:space="preserve">Criterio de Interpretación, de la Segunda Época, con número de registro </w:t>
      </w:r>
      <w:r w:rsidRPr="005556DE">
        <w:rPr>
          <w:rFonts w:eastAsia="Calibri" w:cs="Tahoma"/>
          <w:bCs/>
          <w:color w:val="000000"/>
          <w:szCs w:val="24"/>
        </w:rPr>
        <w:t>SO/004/2021, emitido por el Instituto Nacional de Transparencia, Acceso a la Información y Protección de Datos Personales, en el cual se señala lo siguiente:</w:t>
      </w:r>
    </w:p>
    <w:p w14:paraId="55C45099" w14:textId="77777777" w:rsidR="008E78E6" w:rsidRPr="005556DE" w:rsidRDefault="008E78E6" w:rsidP="00A62148">
      <w:pPr>
        <w:widowControl w:val="0"/>
        <w:tabs>
          <w:tab w:val="center" w:pos="4522"/>
        </w:tabs>
        <w:spacing w:after="0" w:line="360" w:lineRule="auto"/>
        <w:rPr>
          <w:rFonts w:eastAsia="Calibri" w:cs="Tahoma"/>
          <w:bCs/>
          <w:color w:val="000000"/>
          <w:szCs w:val="24"/>
        </w:rPr>
      </w:pPr>
    </w:p>
    <w:p w14:paraId="6754F05F" w14:textId="77777777" w:rsidR="008E78E6" w:rsidRPr="005556DE" w:rsidRDefault="008E78E6" w:rsidP="00A62148">
      <w:pPr>
        <w:widowControl w:val="0"/>
        <w:tabs>
          <w:tab w:val="center" w:pos="4522"/>
        </w:tabs>
        <w:spacing w:after="0" w:line="360" w:lineRule="auto"/>
        <w:ind w:left="567" w:right="567"/>
        <w:rPr>
          <w:rFonts w:eastAsia="Calibri" w:cs="Tahoma"/>
          <w:bCs/>
          <w:i/>
          <w:color w:val="000000"/>
          <w:sz w:val="20"/>
        </w:rPr>
      </w:pPr>
      <w:r w:rsidRPr="005556DE">
        <w:rPr>
          <w:rFonts w:eastAsia="Calibri" w:cs="Tahoma"/>
          <w:b/>
          <w:i/>
          <w:color w:val="000000"/>
          <w:sz w:val="20"/>
        </w:rPr>
        <w:t xml:space="preserve">“Registro Federal de Contribuyentes (RFC) de personas físicas proveedores o contratistas. </w:t>
      </w:r>
      <w:r w:rsidRPr="005556DE">
        <w:rPr>
          <w:rFonts w:eastAsia="Calibri" w:cs="Tahoma"/>
          <w:bCs/>
          <w:i/>
          <w:color w:val="000000"/>
          <w:sz w:val="20"/>
        </w:rPr>
        <w:t xml:space="preserve">El RFC de contratistas o proveedores de sujetos obligados debe ser público, ya que al tratarse de personas relacionadas con contrataciones públicas, su difusión favorece la </w:t>
      </w:r>
      <w:r w:rsidRPr="005556DE">
        <w:rPr>
          <w:rFonts w:eastAsia="Calibri" w:cs="Tahoma"/>
          <w:bCs/>
          <w:i/>
          <w:color w:val="000000"/>
          <w:sz w:val="20"/>
        </w:rPr>
        <w:lastRenderedPageBreak/>
        <w:t>transparencia con la que deben administrarse los recursos públicos, en términos del artículo 134 de la Constitución Política de los Estados Unidos Mexicanos. “</w:t>
      </w:r>
    </w:p>
    <w:p w14:paraId="409650D7" w14:textId="77777777" w:rsidR="008E78E6" w:rsidRPr="005556DE" w:rsidRDefault="008E78E6" w:rsidP="00A62148">
      <w:pPr>
        <w:widowControl w:val="0"/>
        <w:tabs>
          <w:tab w:val="center" w:pos="4522"/>
        </w:tabs>
        <w:spacing w:after="0" w:line="360" w:lineRule="auto"/>
        <w:rPr>
          <w:rFonts w:eastAsia="Calibri" w:cs="Tahoma"/>
          <w:bCs/>
          <w:color w:val="000000"/>
          <w:szCs w:val="24"/>
        </w:rPr>
      </w:pPr>
    </w:p>
    <w:p w14:paraId="61A82A43" w14:textId="77777777" w:rsidR="008E78E6" w:rsidRPr="005556DE" w:rsidRDefault="008E78E6" w:rsidP="00A62148">
      <w:pPr>
        <w:tabs>
          <w:tab w:val="center" w:pos="4522"/>
        </w:tabs>
        <w:spacing w:after="0" w:line="360" w:lineRule="auto"/>
        <w:rPr>
          <w:rFonts w:eastAsia="Calibri" w:cs="Tahoma"/>
          <w:b/>
          <w:color w:val="000000"/>
          <w:szCs w:val="24"/>
          <w:u w:val="single"/>
        </w:rPr>
      </w:pPr>
      <w:r w:rsidRPr="005556DE">
        <w:rPr>
          <w:rFonts w:eastAsia="Calibri" w:cs="Tahoma"/>
          <w:bCs/>
          <w:color w:val="000000"/>
          <w:szCs w:val="24"/>
        </w:rPr>
        <w:t>En conclusión, toda vez, que el Registro Federal de Contribuyentes de proveedores, es un requisito indispensable, para poder participar en adquisiciones públicas y contracción de servicios y que abona a la transparencia con la que deben administrarse los recursos públicos, no actualiza la causal de clasificación prevista en el artículo 143, fracción I de la Ley de Transparencia y Acceso a la Información Pública del Estado de México y Municipios.</w:t>
      </w:r>
    </w:p>
    <w:p w14:paraId="0B6A243C" w14:textId="77777777" w:rsidR="008E78E6" w:rsidRPr="005556DE" w:rsidRDefault="008E78E6" w:rsidP="00A62148">
      <w:pPr>
        <w:widowControl w:val="0"/>
        <w:tabs>
          <w:tab w:val="center" w:pos="4522"/>
        </w:tabs>
        <w:spacing w:after="0" w:line="360" w:lineRule="auto"/>
        <w:rPr>
          <w:rFonts w:eastAsia="Calibri" w:cs="Tahoma"/>
          <w:b/>
          <w:color w:val="000000"/>
          <w:szCs w:val="24"/>
          <w:lang w:val="es-ES_tradnl"/>
        </w:rPr>
      </w:pPr>
    </w:p>
    <w:p w14:paraId="01FCC7C0" w14:textId="77777777" w:rsidR="008E78E6" w:rsidRPr="005556DE" w:rsidRDefault="008E78E6" w:rsidP="00A62148">
      <w:pPr>
        <w:widowControl w:val="0"/>
        <w:tabs>
          <w:tab w:val="center" w:pos="4522"/>
        </w:tabs>
        <w:spacing w:after="0" w:line="360" w:lineRule="auto"/>
        <w:rPr>
          <w:rFonts w:eastAsia="Calibri" w:cs="Tahoma"/>
          <w:b/>
          <w:color w:val="000000"/>
          <w:szCs w:val="24"/>
        </w:rPr>
      </w:pPr>
      <w:r w:rsidRPr="005556DE">
        <w:rPr>
          <w:rFonts w:eastAsia="Calibri" w:cs="Tahoma"/>
          <w:b/>
          <w:color w:val="000000"/>
          <w:szCs w:val="24"/>
        </w:rPr>
        <w:t>Persona Moral</w:t>
      </w:r>
    </w:p>
    <w:p w14:paraId="5987BBD5" w14:textId="77777777" w:rsidR="008E78E6" w:rsidRPr="005556DE" w:rsidRDefault="008E78E6" w:rsidP="00A62148">
      <w:pPr>
        <w:widowControl w:val="0"/>
        <w:tabs>
          <w:tab w:val="center" w:pos="4522"/>
        </w:tabs>
        <w:spacing w:after="0" w:line="360" w:lineRule="auto"/>
        <w:rPr>
          <w:rFonts w:eastAsia="Calibri" w:cs="Tahoma"/>
          <w:bCs/>
          <w:color w:val="000000"/>
          <w:szCs w:val="24"/>
        </w:rPr>
      </w:pPr>
    </w:p>
    <w:p w14:paraId="27C433AA" w14:textId="77777777" w:rsidR="008E78E6" w:rsidRPr="005556DE" w:rsidRDefault="008E78E6" w:rsidP="00A62148">
      <w:pPr>
        <w:widowControl w:val="0"/>
        <w:tabs>
          <w:tab w:val="center" w:pos="4522"/>
        </w:tabs>
        <w:spacing w:after="0" w:line="360" w:lineRule="auto"/>
        <w:rPr>
          <w:rFonts w:eastAsia="Calibri" w:cs="Tahoma"/>
          <w:bCs/>
          <w:color w:val="000000"/>
          <w:szCs w:val="24"/>
        </w:rPr>
      </w:pPr>
      <w:r w:rsidRPr="005556DE">
        <w:rPr>
          <w:rFonts w:eastAsia="Calibri" w:cs="Tahoma"/>
          <w:bCs/>
          <w:color w:val="000000"/>
          <w:szCs w:val="24"/>
        </w:rPr>
        <w:t>Al respecto, el Registro Federal de Contribuyentes, inicia con un preinscripción por Internet y se concluye en cualquier Administración Desconcentrada de Servicios al Contribuyente, en donde aquellas personas que realicen el trámite tendrán que entregar ciertos documentos, que para las personas jurídico colectivas, serán, entre otros, la copia certificada del documento constitutivo debidamente protocolizado, comprobante de domicilio, identificación personal, número de folio asignado que se le proporcionó al realizar el envío de su preinscripción y copia certificada del poder notarial con el que se acredite la personalidad del representante legal, o carta poder firmada ante dos testigos y ratificadas las firmas ante las autoridades fiscales o ante notario o fedatario público. Derivado del trámite se obtiene, entre otros, la cédula de identificación fiscal o constancia de registro.</w:t>
      </w:r>
    </w:p>
    <w:p w14:paraId="2CFEC252" w14:textId="77777777" w:rsidR="008E78E6" w:rsidRPr="005556DE" w:rsidRDefault="008E78E6" w:rsidP="00A62148">
      <w:pPr>
        <w:widowControl w:val="0"/>
        <w:tabs>
          <w:tab w:val="center" w:pos="4522"/>
        </w:tabs>
        <w:spacing w:after="0" w:line="360" w:lineRule="auto"/>
        <w:rPr>
          <w:rFonts w:eastAsia="Calibri" w:cs="Tahoma"/>
          <w:bCs/>
          <w:color w:val="000000"/>
          <w:szCs w:val="24"/>
        </w:rPr>
      </w:pPr>
    </w:p>
    <w:p w14:paraId="44719B28" w14:textId="77777777" w:rsidR="008E78E6" w:rsidRPr="005556DE" w:rsidRDefault="008E78E6" w:rsidP="00A62148">
      <w:pPr>
        <w:widowControl w:val="0"/>
        <w:tabs>
          <w:tab w:val="center" w:pos="4522"/>
        </w:tabs>
        <w:spacing w:after="0" w:line="360" w:lineRule="auto"/>
        <w:rPr>
          <w:rFonts w:eastAsia="Calibri" w:cs="Tahoma"/>
          <w:bCs/>
          <w:color w:val="000000"/>
          <w:szCs w:val="24"/>
        </w:rPr>
      </w:pPr>
      <w:r w:rsidRPr="005556DE">
        <w:rPr>
          <w:rFonts w:eastAsia="Calibri" w:cs="Tahoma"/>
          <w:bCs/>
          <w:color w:val="000000"/>
          <w:szCs w:val="24"/>
        </w:rPr>
        <w:t>Por ende, la información correspondiente al Registro Federal de Contribuyentes de una persona moral da cuenta del cumplimiento o no en sus obligaciones fiscales; por tanto, no se actualiza su clasificación como confidencial.</w:t>
      </w:r>
    </w:p>
    <w:p w14:paraId="555A1F6D" w14:textId="77777777" w:rsidR="008E78E6" w:rsidRPr="005556DE" w:rsidRDefault="008E78E6" w:rsidP="00A62148">
      <w:pPr>
        <w:widowControl w:val="0"/>
        <w:tabs>
          <w:tab w:val="center" w:pos="4522"/>
        </w:tabs>
        <w:spacing w:after="0" w:line="360" w:lineRule="auto"/>
        <w:rPr>
          <w:rFonts w:eastAsia="Calibri" w:cs="Tahoma"/>
          <w:bCs/>
          <w:color w:val="000000"/>
          <w:szCs w:val="24"/>
        </w:rPr>
      </w:pPr>
    </w:p>
    <w:p w14:paraId="0EDFE812" w14:textId="77777777" w:rsidR="00A62148" w:rsidRPr="005556DE" w:rsidRDefault="00A62148" w:rsidP="00A62148">
      <w:pPr>
        <w:widowControl w:val="0"/>
        <w:tabs>
          <w:tab w:val="center" w:pos="4522"/>
        </w:tabs>
        <w:spacing w:after="0" w:line="360" w:lineRule="auto"/>
        <w:rPr>
          <w:rFonts w:eastAsia="Calibri" w:cs="Tahoma"/>
          <w:bCs/>
          <w:color w:val="000000"/>
          <w:szCs w:val="24"/>
        </w:rPr>
      </w:pPr>
    </w:p>
    <w:p w14:paraId="7D7486E4" w14:textId="77777777" w:rsidR="008E78E6" w:rsidRPr="005556DE" w:rsidRDefault="008E78E6" w:rsidP="00A62148">
      <w:pPr>
        <w:widowControl w:val="0"/>
        <w:tabs>
          <w:tab w:val="center" w:pos="4522"/>
        </w:tabs>
        <w:spacing w:after="0" w:line="360" w:lineRule="auto"/>
        <w:rPr>
          <w:rFonts w:eastAsia="Calibri" w:cs="Tahoma"/>
          <w:bCs/>
          <w:color w:val="000000"/>
          <w:szCs w:val="24"/>
        </w:rPr>
      </w:pPr>
      <w:r w:rsidRPr="005556DE">
        <w:rPr>
          <w:rFonts w:eastAsia="Calibri" w:cs="Tahoma"/>
          <w:bCs/>
          <w:color w:val="000000"/>
          <w:szCs w:val="24"/>
        </w:rPr>
        <w:lastRenderedPageBreak/>
        <w:t xml:space="preserve">Además, resulta aplicable por analogía el </w:t>
      </w:r>
      <w:r w:rsidRPr="005556DE">
        <w:rPr>
          <w:rFonts w:eastAsia="Calibri" w:cs="Tahoma"/>
          <w:bCs/>
          <w:color w:val="000000"/>
          <w:szCs w:val="24"/>
          <w:lang w:val="es-ES"/>
        </w:rPr>
        <w:t xml:space="preserve">Criterio de Interpretación, de la Segunda Época, con número de registro </w:t>
      </w:r>
      <w:r w:rsidRPr="005556DE">
        <w:rPr>
          <w:rFonts w:eastAsia="Calibri" w:cs="Tahoma"/>
          <w:bCs/>
          <w:color w:val="000000"/>
          <w:szCs w:val="24"/>
        </w:rPr>
        <w:t>SO/008/2019, emitido por el Instituto Nacional de Transparencia, Acceso a la Información y Protección de Datos Personales, que precisa que el Registro Federal de Contribuyentes de personas morales, es público, al no referir a hechos o actos de carácter económico, contable, jurídico o administrativo que sean útiles o representen una ventaja a sus competidores.</w:t>
      </w:r>
    </w:p>
    <w:p w14:paraId="7A67C10D" w14:textId="77777777" w:rsidR="008E78E6" w:rsidRPr="005556DE" w:rsidRDefault="008E78E6" w:rsidP="00A62148">
      <w:pPr>
        <w:widowControl w:val="0"/>
        <w:tabs>
          <w:tab w:val="center" w:pos="4522"/>
        </w:tabs>
        <w:spacing w:after="0" w:line="360" w:lineRule="auto"/>
        <w:rPr>
          <w:rFonts w:eastAsia="Calibri" w:cs="Tahoma"/>
          <w:bCs/>
          <w:color w:val="000000"/>
          <w:szCs w:val="24"/>
        </w:rPr>
      </w:pPr>
    </w:p>
    <w:p w14:paraId="79660309" w14:textId="77777777" w:rsidR="008E78E6" w:rsidRPr="005556DE" w:rsidRDefault="008E78E6" w:rsidP="00A62148">
      <w:pPr>
        <w:widowControl w:val="0"/>
        <w:tabs>
          <w:tab w:val="center" w:pos="4522"/>
        </w:tabs>
        <w:spacing w:after="0" w:line="360" w:lineRule="auto"/>
        <w:rPr>
          <w:rFonts w:eastAsia="Calibri" w:cs="Tahoma"/>
          <w:bCs/>
          <w:color w:val="000000"/>
          <w:szCs w:val="24"/>
        </w:rPr>
      </w:pPr>
      <w:r w:rsidRPr="005556DE">
        <w:rPr>
          <w:rFonts w:eastAsia="Calibri" w:cs="Tahoma"/>
          <w:bCs/>
          <w:color w:val="000000"/>
          <w:szCs w:val="24"/>
        </w:rPr>
        <w:t>De tales circunstancias, el Registro Federal de Contribuyentes de personas morales, no actualizan la causal de clasificación, prevista en el artículo 143, fracción I de la Ley de Transparencia y Acceso a la Información Pública del Estado de México y Municipios, al ser de naturaleza pública.</w:t>
      </w:r>
    </w:p>
    <w:p w14:paraId="598F5F16" w14:textId="77777777" w:rsidR="008E78E6" w:rsidRPr="005556DE" w:rsidRDefault="008E78E6" w:rsidP="00A62148">
      <w:pPr>
        <w:widowControl w:val="0"/>
        <w:tabs>
          <w:tab w:val="center" w:pos="4522"/>
        </w:tabs>
        <w:spacing w:after="0" w:line="360" w:lineRule="auto"/>
        <w:rPr>
          <w:rFonts w:eastAsia="Calibri" w:cs="Tahoma"/>
          <w:b/>
          <w:color w:val="000000"/>
          <w:szCs w:val="24"/>
        </w:rPr>
      </w:pPr>
    </w:p>
    <w:p w14:paraId="6C3FC1B4" w14:textId="77777777" w:rsidR="008E78E6" w:rsidRPr="005556DE" w:rsidRDefault="008E78E6" w:rsidP="00A62148">
      <w:pPr>
        <w:numPr>
          <w:ilvl w:val="0"/>
          <w:numId w:val="7"/>
        </w:numPr>
        <w:spacing w:after="0" w:line="360" w:lineRule="auto"/>
        <w:jc w:val="left"/>
        <w:rPr>
          <w:rFonts w:eastAsia="Calibri" w:cs="Tahoma"/>
          <w:b/>
          <w:color w:val="000000"/>
          <w:szCs w:val="24"/>
        </w:rPr>
      </w:pPr>
      <w:r w:rsidRPr="005556DE">
        <w:rPr>
          <w:rFonts w:eastAsia="Calibri" w:cs="Tahoma"/>
          <w:b/>
          <w:color w:val="000000"/>
          <w:szCs w:val="24"/>
        </w:rPr>
        <w:t>Número de teléfono y correo electrónico de proveedor o contratista</w:t>
      </w:r>
    </w:p>
    <w:p w14:paraId="64F71A1D" w14:textId="77777777" w:rsidR="008E78E6" w:rsidRPr="005556DE" w:rsidRDefault="008E78E6" w:rsidP="00A62148">
      <w:pPr>
        <w:widowControl w:val="0"/>
        <w:tabs>
          <w:tab w:val="center" w:pos="4522"/>
        </w:tabs>
        <w:spacing w:after="0" w:line="360" w:lineRule="auto"/>
        <w:rPr>
          <w:rFonts w:eastAsia="Calibri" w:cs="Tahoma"/>
          <w:b/>
          <w:bCs/>
          <w:iCs/>
          <w:color w:val="000000"/>
          <w:szCs w:val="24"/>
          <w:lang w:val="es-ES_tradnl"/>
        </w:rPr>
      </w:pPr>
    </w:p>
    <w:p w14:paraId="76B1B0F6" w14:textId="4BD22234" w:rsidR="008E78E6" w:rsidRPr="005556DE" w:rsidRDefault="008E78E6" w:rsidP="00A62148">
      <w:pPr>
        <w:widowControl w:val="0"/>
        <w:tabs>
          <w:tab w:val="center" w:pos="4522"/>
        </w:tabs>
        <w:spacing w:after="0" w:line="360" w:lineRule="auto"/>
        <w:rPr>
          <w:rFonts w:eastAsia="Calibri" w:cs="Tahoma"/>
          <w:bCs/>
          <w:color w:val="000000"/>
          <w:szCs w:val="24"/>
          <w:lang w:val="es-ES_tradnl"/>
        </w:rPr>
      </w:pPr>
      <w:r w:rsidRPr="005556DE">
        <w:rPr>
          <w:rFonts w:eastAsia="Calibri" w:cs="Tahoma"/>
          <w:color w:val="000000"/>
          <w:szCs w:val="24"/>
          <w:lang w:val="es-ES_tradnl"/>
        </w:rPr>
        <w:t xml:space="preserve">El número asignado a un teléfono permite localizar, en el presente caso, de un proveedor, ya sea a través de un dispositivo móvil o bien, en un lugar como el domicilio; mientras que </w:t>
      </w:r>
      <w:r w:rsidRPr="005556DE">
        <w:rPr>
          <w:rFonts w:eastAsia="Calibri" w:cs="Tahoma"/>
          <w:bCs/>
          <w:color w:val="000000"/>
          <w:szCs w:val="24"/>
          <w:lang w:val="es-ES_tradnl"/>
        </w:rPr>
        <w:t>correo electrónico es un sistema de transmisión de mensajes por computadora a través de redes informáticas. Dicho dato se puede asimilar al teléfono o domicilio, toda vez que es un medio para comunicarse con un proveedor, en el presente caso.</w:t>
      </w:r>
    </w:p>
    <w:p w14:paraId="19DEB2D3" w14:textId="77777777" w:rsidR="008E78E6" w:rsidRPr="005556DE" w:rsidRDefault="008E78E6" w:rsidP="00A62148">
      <w:pPr>
        <w:widowControl w:val="0"/>
        <w:tabs>
          <w:tab w:val="center" w:pos="4522"/>
        </w:tabs>
        <w:spacing w:after="0" w:line="360" w:lineRule="auto"/>
        <w:rPr>
          <w:rFonts w:eastAsia="Calibri" w:cs="Tahoma"/>
          <w:bCs/>
          <w:color w:val="000000"/>
          <w:szCs w:val="24"/>
          <w:lang w:val="es-ES_tradnl"/>
        </w:rPr>
      </w:pPr>
    </w:p>
    <w:p w14:paraId="0F7EFA09" w14:textId="0AC98C91" w:rsidR="008E78E6" w:rsidRPr="005556DE" w:rsidRDefault="008E78E6" w:rsidP="00A62148">
      <w:pPr>
        <w:widowControl w:val="0"/>
        <w:tabs>
          <w:tab w:val="center" w:pos="4522"/>
        </w:tabs>
        <w:spacing w:after="0" w:line="360" w:lineRule="auto"/>
        <w:rPr>
          <w:rFonts w:eastAsia="Calibri" w:cs="Tahoma"/>
          <w:bCs/>
          <w:color w:val="000000"/>
          <w:szCs w:val="24"/>
          <w:lang w:val="es-ES_tradnl"/>
        </w:rPr>
      </w:pPr>
      <w:r w:rsidRPr="005556DE">
        <w:rPr>
          <w:rFonts w:eastAsia="Calibri" w:cs="Tahoma"/>
          <w:bCs/>
          <w:color w:val="000000"/>
          <w:szCs w:val="24"/>
          <w:lang w:val="es-ES_tradnl"/>
        </w:rPr>
        <w:t xml:space="preserve">Como se refirió, en el presente caso, los datos en comento se tratan de los medios de contacto de los proveedores que tiene la </w:t>
      </w:r>
      <w:r w:rsidRPr="005556DE">
        <w:rPr>
          <w:rFonts w:eastAsia="Calibri" w:cs="Tahoma"/>
          <w:color w:val="000000"/>
          <w:szCs w:val="24"/>
        </w:rPr>
        <w:t>Secretaría de Cultura y Turismo</w:t>
      </w:r>
      <w:r w:rsidRPr="005556DE">
        <w:rPr>
          <w:rFonts w:eastAsia="Calibri" w:cs="Tahoma"/>
          <w:bCs/>
          <w:color w:val="000000"/>
          <w:szCs w:val="24"/>
          <w:lang w:val="es-ES_tradnl"/>
        </w:rPr>
        <w:t>, los cuales, si bien hacen identificable a una persona, en el presente caso, se trata de una persona proveedora que recibe recursos públicos, derivado de los contratos celebrados con la Dependencia y, por lo tanto, dichos datos guardan la naturaleza de públicos.</w:t>
      </w:r>
    </w:p>
    <w:p w14:paraId="154AD349" w14:textId="77777777" w:rsidR="008E78E6" w:rsidRPr="005556DE" w:rsidRDefault="008E78E6" w:rsidP="00A62148">
      <w:pPr>
        <w:widowControl w:val="0"/>
        <w:tabs>
          <w:tab w:val="center" w:pos="4522"/>
        </w:tabs>
        <w:spacing w:after="0" w:line="360" w:lineRule="auto"/>
        <w:rPr>
          <w:rFonts w:eastAsia="Calibri" w:cs="Tahoma"/>
          <w:bCs/>
          <w:color w:val="000000"/>
          <w:szCs w:val="24"/>
          <w:lang w:val="es-ES_tradnl"/>
        </w:rPr>
      </w:pPr>
    </w:p>
    <w:p w14:paraId="4B8B7063" w14:textId="77777777" w:rsidR="00A62148" w:rsidRPr="005556DE" w:rsidRDefault="00A62148" w:rsidP="00A62148">
      <w:pPr>
        <w:widowControl w:val="0"/>
        <w:tabs>
          <w:tab w:val="center" w:pos="4522"/>
        </w:tabs>
        <w:spacing w:after="0" w:line="360" w:lineRule="auto"/>
        <w:rPr>
          <w:rFonts w:eastAsia="Calibri" w:cs="Tahoma"/>
          <w:bCs/>
          <w:color w:val="000000"/>
          <w:szCs w:val="24"/>
          <w:lang w:val="es-ES_tradnl"/>
        </w:rPr>
      </w:pPr>
    </w:p>
    <w:p w14:paraId="72984AD8" w14:textId="77777777" w:rsidR="008E78E6" w:rsidRPr="005556DE" w:rsidRDefault="008E78E6" w:rsidP="00A62148">
      <w:pPr>
        <w:widowControl w:val="0"/>
        <w:tabs>
          <w:tab w:val="center" w:pos="4522"/>
        </w:tabs>
        <w:spacing w:after="0" w:line="360" w:lineRule="auto"/>
        <w:rPr>
          <w:rFonts w:eastAsia="Calibri" w:cs="Tahoma"/>
          <w:bCs/>
          <w:color w:val="000000"/>
          <w:szCs w:val="24"/>
          <w:lang w:val="es-ES_tradnl"/>
        </w:rPr>
      </w:pPr>
      <w:r w:rsidRPr="005556DE">
        <w:rPr>
          <w:rFonts w:eastAsia="Calibri" w:cs="Tahoma"/>
          <w:bCs/>
          <w:color w:val="000000"/>
          <w:szCs w:val="24"/>
          <w:lang w:val="es-ES_tradnl"/>
        </w:rPr>
        <w:lastRenderedPageBreak/>
        <w:t>Lo anterior, se robustece con los formatos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tal como se muestran a continuación:</w:t>
      </w:r>
    </w:p>
    <w:p w14:paraId="577C2A91" w14:textId="77777777" w:rsidR="008E78E6" w:rsidRPr="005556DE" w:rsidRDefault="008E78E6" w:rsidP="00A62148">
      <w:pPr>
        <w:widowControl w:val="0"/>
        <w:tabs>
          <w:tab w:val="center" w:pos="4522"/>
        </w:tabs>
        <w:spacing w:after="0" w:line="360" w:lineRule="auto"/>
        <w:rPr>
          <w:rFonts w:eastAsia="Calibri" w:cs="Tahoma"/>
          <w:b/>
          <w:bCs/>
          <w:iCs/>
          <w:color w:val="000000"/>
          <w:szCs w:val="24"/>
          <w:lang w:val="es-ES"/>
        </w:rPr>
      </w:pPr>
    </w:p>
    <w:p w14:paraId="5179DE4E" w14:textId="77777777" w:rsidR="008E78E6" w:rsidRPr="005556DE" w:rsidRDefault="008E78E6" w:rsidP="00A62148">
      <w:pPr>
        <w:widowControl w:val="0"/>
        <w:tabs>
          <w:tab w:val="center" w:pos="4522"/>
        </w:tabs>
        <w:spacing w:after="0" w:line="360" w:lineRule="auto"/>
        <w:jc w:val="center"/>
        <w:rPr>
          <w:rFonts w:eastAsia="Calibri" w:cs="Tahoma"/>
          <w:bCs/>
          <w:color w:val="000000"/>
          <w:szCs w:val="24"/>
        </w:rPr>
      </w:pPr>
      <w:r w:rsidRPr="005556DE">
        <w:rPr>
          <w:rFonts w:eastAsia="Calibri" w:cs="Tahoma"/>
          <w:noProof/>
          <w:color w:val="000000"/>
          <w:szCs w:val="24"/>
          <w:lang w:eastAsia="es-MX"/>
        </w:rPr>
        <w:drawing>
          <wp:inline distT="0" distB="0" distL="0" distR="0" wp14:anchorId="70F471DB" wp14:editId="445F8082">
            <wp:extent cx="4787900" cy="1226058"/>
            <wp:effectExtent l="0" t="0" r="0" b="6350"/>
            <wp:docPr id="748792996" name="Imagen 1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792996" name="Imagen 11" descr="Tabl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2687" cy="1229845"/>
                    </a:xfrm>
                    <a:prstGeom prst="rect">
                      <a:avLst/>
                    </a:prstGeom>
                    <a:noFill/>
                    <a:ln>
                      <a:noFill/>
                    </a:ln>
                  </pic:spPr>
                </pic:pic>
              </a:graphicData>
            </a:graphic>
          </wp:inline>
        </w:drawing>
      </w:r>
    </w:p>
    <w:p w14:paraId="4B524A2D" w14:textId="77777777" w:rsidR="008E78E6" w:rsidRPr="005556DE" w:rsidRDefault="008E78E6" w:rsidP="00A62148">
      <w:pPr>
        <w:widowControl w:val="0"/>
        <w:tabs>
          <w:tab w:val="center" w:pos="4522"/>
        </w:tabs>
        <w:spacing w:after="0" w:line="360" w:lineRule="auto"/>
        <w:rPr>
          <w:rFonts w:eastAsia="Calibri" w:cs="Tahoma"/>
          <w:color w:val="000000"/>
          <w:szCs w:val="24"/>
        </w:rPr>
      </w:pPr>
    </w:p>
    <w:p w14:paraId="2EF47325" w14:textId="77777777" w:rsidR="008E78E6" w:rsidRPr="005556DE" w:rsidRDefault="008E78E6" w:rsidP="00A62148">
      <w:pPr>
        <w:widowControl w:val="0"/>
        <w:tabs>
          <w:tab w:val="center" w:pos="4522"/>
        </w:tabs>
        <w:spacing w:after="0" w:line="360" w:lineRule="auto"/>
        <w:rPr>
          <w:rFonts w:eastAsia="Calibri" w:cs="Tahoma"/>
          <w:color w:val="000000"/>
          <w:szCs w:val="24"/>
        </w:rPr>
      </w:pPr>
      <w:r w:rsidRPr="005556DE">
        <w:rPr>
          <w:rFonts w:eastAsia="Calibri" w:cs="Tahoma"/>
          <w:color w:val="000000"/>
          <w:szCs w:val="24"/>
        </w:rPr>
        <w:t>Como se logra observar, el correo electrónico y teléfono de los proveedores son públicos y deben ser publicados por los Sujetos Obligados, al cumplir con sus obligaciones comunes de transparencia y, por lo tanto, no actualizan la causal de clasificación en términos del artículo 143, fracción I, de la Ley de Transparencia y Acceso a la Información Pública del Estado de México y Municipios.</w:t>
      </w:r>
    </w:p>
    <w:p w14:paraId="72F22143" w14:textId="77777777" w:rsidR="008E78E6" w:rsidRPr="005556DE" w:rsidRDefault="008E78E6" w:rsidP="00A62148">
      <w:pPr>
        <w:widowControl w:val="0"/>
        <w:tabs>
          <w:tab w:val="center" w:pos="4522"/>
        </w:tabs>
        <w:spacing w:after="0" w:line="360" w:lineRule="auto"/>
        <w:rPr>
          <w:rFonts w:eastAsia="Calibri" w:cs="Tahoma"/>
          <w:bCs/>
          <w:color w:val="000000"/>
          <w:szCs w:val="24"/>
        </w:rPr>
      </w:pPr>
    </w:p>
    <w:p w14:paraId="4DF30AD7" w14:textId="77777777" w:rsidR="008E78E6" w:rsidRPr="005556DE" w:rsidRDefault="008E78E6" w:rsidP="00A62148">
      <w:pPr>
        <w:numPr>
          <w:ilvl w:val="0"/>
          <w:numId w:val="7"/>
        </w:numPr>
        <w:spacing w:after="0" w:line="360" w:lineRule="auto"/>
        <w:jc w:val="left"/>
        <w:rPr>
          <w:rFonts w:eastAsia="Calibri" w:cs="Tahoma"/>
          <w:b/>
          <w:color w:val="000000"/>
          <w:szCs w:val="24"/>
        </w:rPr>
      </w:pPr>
      <w:r w:rsidRPr="005556DE">
        <w:rPr>
          <w:rFonts w:eastAsia="Calibri" w:cs="Tahoma"/>
          <w:b/>
          <w:color w:val="000000"/>
          <w:szCs w:val="24"/>
        </w:rPr>
        <w:t>Domicilio Fiscal o legal para recibir y oír notificaciones (proveedor o contratista persona física o moral).</w:t>
      </w:r>
    </w:p>
    <w:p w14:paraId="7FF3AB8D" w14:textId="77777777" w:rsidR="008E78E6" w:rsidRPr="005556DE" w:rsidRDefault="008E78E6" w:rsidP="00A62148">
      <w:pPr>
        <w:widowControl w:val="0"/>
        <w:tabs>
          <w:tab w:val="center" w:pos="4522"/>
        </w:tabs>
        <w:spacing w:after="0" w:line="360" w:lineRule="auto"/>
        <w:rPr>
          <w:rFonts w:eastAsia="Calibri" w:cs="Tahoma"/>
          <w:color w:val="000000"/>
          <w:szCs w:val="24"/>
        </w:rPr>
      </w:pPr>
    </w:p>
    <w:p w14:paraId="42092B12" w14:textId="70D6D6A4" w:rsidR="008E78E6" w:rsidRPr="005556DE" w:rsidRDefault="008E78E6" w:rsidP="00A62148">
      <w:pPr>
        <w:widowControl w:val="0"/>
        <w:tabs>
          <w:tab w:val="center" w:pos="4522"/>
        </w:tabs>
        <w:spacing w:after="0" w:line="360" w:lineRule="auto"/>
        <w:rPr>
          <w:rFonts w:eastAsia="Calibri" w:cs="Tahoma"/>
          <w:color w:val="000000"/>
          <w:szCs w:val="24"/>
          <w:lang w:val="es-ES"/>
        </w:rPr>
      </w:pPr>
      <w:r w:rsidRPr="005556DE">
        <w:rPr>
          <w:rFonts w:eastAsia="Calibri" w:cs="Tahoma"/>
          <w:color w:val="000000"/>
          <w:szCs w:val="24"/>
          <w:lang w:val="es-ES"/>
        </w:rPr>
        <w:t>De acuerdo a lo señalado en los artículos 2.17 y 2.21 del Código Civil del Estado de México, el domicilio de una persona física es el lugar donde reside, en donde tiene el principal asiente de negocios, o en su caso, el dónde se halle; mientras, que el de personas jurídicas colectivas, es aquel donde se halle establecida su administración o ejerza sus actividades.</w:t>
      </w:r>
    </w:p>
    <w:p w14:paraId="74C62C46" w14:textId="77777777" w:rsidR="008E78E6" w:rsidRPr="005556DE" w:rsidRDefault="008E78E6" w:rsidP="00A62148">
      <w:pPr>
        <w:widowControl w:val="0"/>
        <w:tabs>
          <w:tab w:val="center" w:pos="4522"/>
        </w:tabs>
        <w:spacing w:after="0" w:line="360" w:lineRule="auto"/>
        <w:rPr>
          <w:rFonts w:eastAsia="Calibri" w:cs="Tahoma"/>
          <w:color w:val="000000"/>
          <w:szCs w:val="24"/>
          <w:lang w:val="es-ES"/>
        </w:rPr>
      </w:pPr>
    </w:p>
    <w:p w14:paraId="719D785B" w14:textId="77777777" w:rsidR="008E78E6" w:rsidRPr="005556DE" w:rsidRDefault="008E78E6" w:rsidP="00A62148">
      <w:pPr>
        <w:widowControl w:val="0"/>
        <w:tabs>
          <w:tab w:val="center" w:pos="4522"/>
        </w:tabs>
        <w:spacing w:after="0" w:line="360" w:lineRule="auto"/>
        <w:rPr>
          <w:rFonts w:eastAsia="Calibri" w:cs="Tahoma"/>
          <w:color w:val="000000"/>
          <w:szCs w:val="24"/>
          <w:lang w:val="es-ES"/>
        </w:rPr>
      </w:pPr>
      <w:r w:rsidRPr="005556DE">
        <w:rPr>
          <w:rFonts w:eastAsia="Calibri" w:cs="Tahoma"/>
          <w:color w:val="000000"/>
          <w:szCs w:val="24"/>
          <w:lang w:val="es-ES"/>
        </w:rPr>
        <w:lastRenderedPageBreak/>
        <w:t>De la misma manera, lo establece los diversos 29 y 33 del Código Civil Federal, al precisar que el domicilio de personas físicas</w:t>
      </w:r>
      <w:r w:rsidRPr="005556DE">
        <w:rPr>
          <w:rFonts w:eastAsia="Calibri" w:cs="Tahoma"/>
          <w:b/>
          <w:color w:val="000000"/>
          <w:szCs w:val="24"/>
          <w:lang w:val="es-ES"/>
        </w:rPr>
        <w:t xml:space="preserve">, es el lugar donde residen habitualmente, el lugar del centro principal de sus negocios, donde residan o el lugar donde se encuentren; </w:t>
      </w:r>
      <w:r w:rsidRPr="005556DE">
        <w:rPr>
          <w:rFonts w:eastAsia="Calibri" w:cs="Tahoma"/>
          <w:color w:val="000000"/>
          <w:szCs w:val="24"/>
          <w:lang w:val="es-ES"/>
        </w:rPr>
        <w:t>mientras que, de las personas morales, aquel donde se halle su administración.</w:t>
      </w:r>
    </w:p>
    <w:p w14:paraId="411F2FDF" w14:textId="77777777" w:rsidR="008E78E6" w:rsidRPr="005556DE" w:rsidRDefault="008E78E6" w:rsidP="00A62148">
      <w:pPr>
        <w:widowControl w:val="0"/>
        <w:tabs>
          <w:tab w:val="center" w:pos="4522"/>
        </w:tabs>
        <w:spacing w:after="0" w:line="360" w:lineRule="auto"/>
        <w:rPr>
          <w:rFonts w:eastAsia="Calibri" w:cs="Tahoma"/>
          <w:b/>
          <w:bCs/>
          <w:iCs/>
          <w:color w:val="000000"/>
          <w:szCs w:val="24"/>
          <w:lang w:val="es-ES"/>
        </w:rPr>
      </w:pPr>
    </w:p>
    <w:p w14:paraId="647C5EBE" w14:textId="77777777" w:rsidR="008E78E6" w:rsidRPr="005556DE" w:rsidRDefault="008E78E6" w:rsidP="00A62148">
      <w:pPr>
        <w:widowControl w:val="0"/>
        <w:tabs>
          <w:tab w:val="center" w:pos="4522"/>
        </w:tabs>
        <w:spacing w:after="0" w:line="360" w:lineRule="auto"/>
        <w:rPr>
          <w:rFonts w:eastAsia="Calibri" w:cs="Tahoma"/>
          <w:color w:val="000000"/>
          <w:szCs w:val="24"/>
        </w:rPr>
      </w:pPr>
      <w:r w:rsidRPr="005556DE">
        <w:rPr>
          <w:rFonts w:eastAsia="Calibri" w:cs="Tahoma"/>
          <w:color w:val="000000"/>
          <w:szCs w:val="24"/>
        </w:rPr>
        <w:t>Además, respecto al domicilio fiscal, resulta necesario traer el artículo 10 del Código Fiscal de la Federación, que establece que, tratándose de personas físicas, corresponderá dicho dato:</w:t>
      </w:r>
    </w:p>
    <w:p w14:paraId="124B8BF9" w14:textId="77777777" w:rsidR="008E78E6" w:rsidRPr="005556DE" w:rsidRDefault="008E78E6" w:rsidP="00A62148">
      <w:pPr>
        <w:widowControl w:val="0"/>
        <w:tabs>
          <w:tab w:val="center" w:pos="4522"/>
        </w:tabs>
        <w:spacing w:after="0" w:line="360" w:lineRule="auto"/>
        <w:rPr>
          <w:rFonts w:eastAsia="Calibri" w:cs="Tahoma"/>
          <w:color w:val="000000"/>
          <w:szCs w:val="24"/>
        </w:rPr>
      </w:pPr>
    </w:p>
    <w:p w14:paraId="41581583" w14:textId="67925C0A" w:rsidR="008E78E6" w:rsidRPr="005556DE" w:rsidRDefault="008E78E6" w:rsidP="00A62148">
      <w:pPr>
        <w:widowControl w:val="0"/>
        <w:numPr>
          <w:ilvl w:val="0"/>
          <w:numId w:val="6"/>
        </w:numPr>
        <w:tabs>
          <w:tab w:val="center" w:pos="4522"/>
        </w:tabs>
        <w:spacing w:after="0" w:line="360" w:lineRule="auto"/>
        <w:rPr>
          <w:rFonts w:eastAsia="Calibri" w:cs="Tahoma"/>
          <w:color w:val="000000"/>
          <w:szCs w:val="24"/>
        </w:rPr>
      </w:pPr>
      <w:r w:rsidRPr="005556DE">
        <w:rPr>
          <w:rFonts w:eastAsia="Calibri" w:cs="Tahoma"/>
          <w:color w:val="000000"/>
          <w:szCs w:val="24"/>
        </w:rPr>
        <w:t>El lugar donde realizan actividades empresariales, el local, en que se encuentre el principal asiente de sus negocios, y</w:t>
      </w:r>
    </w:p>
    <w:p w14:paraId="6B3E239F" w14:textId="77777777" w:rsidR="008E78E6" w:rsidRPr="005556DE" w:rsidRDefault="008E78E6" w:rsidP="00A62148">
      <w:pPr>
        <w:widowControl w:val="0"/>
        <w:numPr>
          <w:ilvl w:val="0"/>
          <w:numId w:val="6"/>
        </w:numPr>
        <w:tabs>
          <w:tab w:val="center" w:pos="4522"/>
        </w:tabs>
        <w:spacing w:after="0" w:line="360" w:lineRule="auto"/>
        <w:rPr>
          <w:rFonts w:eastAsia="Calibri" w:cs="Tahoma"/>
          <w:color w:val="000000"/>
          <w:szCs w:val="24"/>
        </w:rPr>
      </w:pPr>
      <w:r w:rsidRPr="005556DE">
        <w:rPr>
          <w:rFonts w:eastAsia="Calibri" w:cs="Tahoma"/>
          <w:color w:val="000000"/>
          <w:szCs w:val="24"/>
        </w:rPr>
        <w:t>La casa habitación, cuando no cuenta con un local o lugar donde realice las acciones previamente señaladas.</w:t>
      </w:r>
    </w:p>
    <w:p w14:paraId="49E96D38" w14:textId="77777777" w:rsidR="008E78E6" w:rsidRPr="005556DE" w:rsidRDefault="008E78E6" w:rsidP="00A62148">
      <w:pPr>
        <w:widowControl w:val="0"/>
        <w:tabs>
          <w:tab w:val="center" w:pos="4522"/>
        </w:tabs>
        <w:spacing w:after="0" w:line="360" w:lineRule="auto"/>
        <w:rPr>
          <w:rFonts w:eastAsia="Calibri" w:cs="Tahoma"/>
          <w:color w:val="000000"/>
          <w:szCs w:val="24"/>
        </w:rPr>
      </w:pPr>
    </w:p>
    <w:p w14:paraId="1B0FCAE6" w14:textId="77777777" w:rsidR="008E78E6" w:rsidRPr="005556DE" w:rsidRDefault="008E78E6" w:rsidP="00A62148">
      <w:pPr>
        <w:widowControl w:val="0"/>
        <w:tabs>
          <w:tab w:val="center" w:pos="4522"/>
        </w:tabs>
        <w:spacing w:after="0" w:line="360" w:lineRule="auto"/>
        <w:rPr>
          <w:rFonts w:eastAsia="Calibri" w:cs="Tahoma"/>
          <w:color w:val="000000"/>
          <w:szCs w:val="24"/>
        </w:rPr>
      </w:pPr>
      <w:r w:rsidRPr="005556DE">
        <w:rPr>
          <w:rFonts w:eastAsia="Calibri" w:cs="Tahoma"/>
          <w:color w:val="000000"/>
          <w:szCs w:val="24"/>
        </w:rPr>
        <w:t>Mientras que, en el caso de personas morales, el domicilio fiscal, corresponderá al local donde se encuentra la administración principal del negocio. Como se logra observar, el domicilio fiscal de los proveedores personas físicas, se encuentra en dos supuestos, por lo que, se procede a su análisis.</w:t>
      </w:r>
    </w:p>
    <w:p w14:paraId="47E78CF5" w14:textId="77777777" w:rsidR="008E78E6" w:rsidRPr="005556DE" w:rsidRDefault="008E78E6" w:rsidP="00A62148">
      <w:pPr>
        <w:widowControl w:val="0"/>
        <w:tabs>
          <w:tab w:val="center" w:pos="4522"/>
        </w:tabs>
        <w:spacing w:after="0" w:line="360" w:lineRule="auto"/>
        <w:rPr>
          <w:rFonts w:eastAsia="Calibri" w:cs="Tahoma"/>
          <w:color w:val="000000"/>
          <w:szCs w:val="24"/>
        </w:rPr>
      </w:pPr>
    </w:p>
    <w:p w14:paraId="19175DB6" w14:textId="77777777" w:rsidR="008E78E6" w:rsidRPr="005556DE" w:rsidRDefault="008E78E6" w:rsidP="00A62148">
      <w:pPr>
        <w:tabs>
          <w:tab w:val="center" w:pos="4522"/>
        </w:tabs>
        <w:spacing w:after="0" w:line="360" w:lineRule="auto"/>
        <w:rPr>
          <w:rFonts w:eastAsia="Calibri" w:cs="Tahoma"/>
          <w:color w:val="000000"/>
          <w:szCs w:val="24"/>
          <w:lang w:val="es-ES"/>
        </w:rPr>
      </w:pPr>
      <w:r w:rsidRPr="005556DE">
        <w:rPr>
          <w:rFonts w:eastAsia="Calibri" w:cs="Tahoma"/>
          <w:color w:val="000000"/>
          <w:szCs w:val="24"/>
          <w:lang w:val="es-ES"/>
        </w:rPr>
        <w:t xml:space="preserve">Si bien es cierto que el primero, corresponde al lugar en donde reside habitualmente una persona en comento y, permite hacerlo identificable y ubicable, propiciando que pueda ser molestado en su casa, de este modo, los datos que permiten a cualquier individuo con esfuerzos mínimos identificar el lugar de residencia constituye un dato personal y, por ende, susceptible de clasificarse como confidencial, ya que incide directamente en la vida priva del individuo identificado, no debe dejarse de lado que, aquellas personas que deciden tener relaciones comerciales con las instituciones públicas, tienen una expectativa de privacidad menor, respecto del resto de las personas, en razón de obtener el beneficio de vender sus </w:t>
      </w:r>
      <w:r w:rsidRPr="005556DE">
        <w:rPr>
          <w:rFonts w:eastAsia="Calibri" w:cs="Tahoma"/>
          <w:color w:val="000000"/>
          <w:szCs w:val="24"/>
          <w:lang w:val="es-ES"/>
        </w:rPr>
        <w:lastRenderedPageBreak/>
        <w:t>productos o servicios y recibir por ellos dinero del erario, situación que debe ser transparentada.</w:t>
      </w:r>
    </w:p>
    <w:p w14:paraId="3072C644" w14:textId="77777777" w:rsidR="008E78E6" w:rsidRPr="005556DE" w:rsidRDefault="008E78E6" w:rsidP="00A62148">
      <w:pPr>
        <w:widowControl w:val="0"/>
        <w:tabs>
          <w:tab w:val="center" w:pos="4522"/>
        </w:tabs>
        <w:spacing w:after="0" w:line="360" w:lineRule="auto"/>
        <w:rPr>
          <w:rFonts w:eastAsia="Calibri" w:cs="Tahoma"/>
          <w:bCs/>
          <w:iCs/>
          <w:color w:val="000000"/>
          <w:szCs w:val="24"/>
          <w:lang w:val="es-ES"/>
        </w:rPr>
      </w:pPr>
    </w:p>
    <w:p w14:paraId="3E2CEC8E" w14:textId="77777777" w:rsidR="008E78E6" w:rsidRPr="005556DE" w:rsidRDefault="008E78E6" w:rsidP="00A62148">
      <w:pPr>
        <w:widowControl w:val="0"/>
        <w:tabs>
          <w:tab w:val="center" w:pos="4522"/>
        </w:tabs>
        <w:spacing w:after="0" w:line="360" w:lineRule="auto"/>
        <w:rPr>
          <w:rFonts w:eastAsia="Calibri" w:cs="Tahoma"/>
          <w:bCs/>
          <w:color w:val="000000"/>
          <w:szCs w:val="24"/>
          <w:lang w:val="es-ES_tradnl"/>
        </w:rPr>
      </w:pPr>
      <w:r w:rsidRPr="005556DE">
        <w:rPr>
          <w:rFonts w:eastAsia="Calibri" w:cs="Tahoma"/>
          <w:bCs/>
          <w:iCs/>
          <w:color w:val="000000"/>
          <w:szCs w:val="24"/>
          <w:lang w:val="es-ES"/>
        </w:rPr>
        <w:t xml:space="preserve">Ahora bien, en el caso de que el domicilio corresponda al lugar donde realiza sus actividades empresariales, como es el caso de las personas morales, se considera necesario traer a colación, </w:t>
      </w:r>
      <w:r w:rsidRPr="005556DE">
        <w:rPr>
          <w:rFonts w:eastAsia="Calibri" w:cs="Tahoma"/>
          <w:bCs/>
          <w:color w:val="000000"/>
          <w:szCs w:val="24"/>
        </w:rPr>
        <w:t>los formatos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tal como se muestran a continuación:</w:t>
      </w:r>
    </w:p>
    <w:p w14:paraId="5C7BD2DC" w14:textId="77777777" w:rsidR="008E78E6" w:rsidRPr="005556DE" w:rsidRDefault="008E78E6" w:rsidP="00A62148">
      <w:pPr>
        <w:widowControl w:val="0"/>
        <w:tabs>
          <w:tab w:val="center" w:pos="4522"/>
        </w:tabs>
        <w:spacing w:after="0" w:line="360" w:lineRule="auto"/>
        <w:jc w:val="center"/>
        <w:rPr>
          <w:rFonts w:eastAsia="Calibri" w:cs="Tahoma"/>
          <w:color w:val="000000"/>
          <w:szCs w:val="24"/>
        </w:rPr>
      </w:pPr>
    </w:p>
    <w:p w14:paraId="189A5401" w14:textId="739574EA" w:rsidR="008E78E6" w:rsidRPr="005556DE" w:rsidRDefault="008E78E6" w:rsidP="00A62148">
      <w:pPr>
        <w:widowControl w:val="0"/>
        <w:tabs>
          <w:tab w:val="center" w:pos="4522"/>
        </w:tabs>
        <w:spacing w:after="0" w:line="360" w:lineRule="auto"/>
        <w:ind w:left="4522" w:hanging="4522"/>
        <w:jc w:val="center"/>
        <w:rPr>
          <w:rFonts w:eastAsia="Calibri" w:cs="Tahoma"/>
          <w:color w:val="000000"/>
          <w:szCs w:val="24"/>
        </w:rPr>
      </w:pPr>
      <w:r w:rsidRPr="005556DE">
        <w:rPr>
          <w:rFonts w:eastAsia="Calibri" w:cs="Tahoma"/>
          <w:noProof/>
          <w:color w:val="000000"/>
          <w:szCs w:val="24"/>
          <w:lang w:eastAsia="es-MX"/>
        </w:rPr>
        <w:drawing>
          <wp:inline distT="0" distB="0" distL="0" distR="0" wp14:anchorId="3B884F1C" wp14:editId="774FACBA">
            <wp:extent cx="4678680" cy="624840"/>
            <wp:effectExtent l="0" t="0" r="7620" b="3810"/>
            <wp:docPr id="2095603088" name="Imagen 10"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603088" name="Imagen 10" descr="Diagram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b="18367"/>
                    <a:stretch>
                      <a:fillRect/>
                    </a:stretch>
                  </pic:blipFill>
                  <pic:spPr bwMode="auto">
                    <a:xfrm>
                      <a:off x="0" y="0"/>
                      <a:ext cx="4678680" cy="624840"/>
                    </a:xfrm>
                    <a:prstGeom prst="rect">
                      <a:avLst/>
                    </a:prstGeom>
                    <a:noFill/>
                    <a:ln>
                      <a:noFill/>
                    </a:ln>
                  </pic:spPr>
                </pic:pic>
              </a:graphicData>
            </a:graphic>
          </wp:inline>
        </w:drawing>
      </w:r>
    </w:p>
    <w:p w14:paraId="7E198DDE" w14:textId="77777777" w:rsidR="008E78E6" w:rsidRPr="005556DE" w:rsidRDefault="008E78E6" w:rsidP="00A62148">
      <w:pPr>
        <w:widowControl w:val="0"/>
        <w:tabs>
          <w:tab w:val="center" w:pos="4522"/>
        </w:tabs>
        <w:spacing w:after="0" w:line="360" w:lineRule="auto"/>
        <w:jc w:val="center"/>
        <w:rPr>
          <w:rFonts w:eastAsia="Calibri" w:cs="Tahoma"/>
          <w:color w:val="000000"/>
          <w:szCs w:val="24"/>
        </w:rPr>
      </w:pPr>
      <w:r w:rsidRPr="005556DE">
        <w:rPr>
          <w:rFonts w:eastAsia="Calibri" w:cs="Tahoma"/>
          <w:noProof/>
          <w:color w:val="000000"/>
          <w:szCs w:val="24"/>
          <w:lang w:eastAsia="es-MX"/>
        </w:rPr>
        <mc:AlternateContent>
          <mc:Choice Requires="wps">
            <w:drawing>
              <wp:anchor distT="0" distB="0" distL="114300" distR="114300" simplePos="0" relativeHeight="251659264" behindDoc="0" locked="0" layoutInCell="1" allowOverlap="1" wp14:anchorId="46A24751" wp14:editId="15311040">
                <wp:simplePos x="0" y="0"/>
                <wp:positionH relativeFrom="margin">
                  <wp:posOffset>495300</wp:posOffset>
                </wp:positionH>
                <wp:positionV relativeFrom="paragraph">
                  <wp:posOffset>1565275</wp:posOffset>
                </wp:positionV>
                <wp:extent cx="4619625" cy="1209675"/>
                <wp:effectExtent l="19050" t="19050" r="28575" b="28575"/>
                <wp:wrapNone/>
                <wp:docPr id="1174983779" name="Rectángulo 12"/>
                <wp:cNvGraphicFramePr/>
                <a:graphic xmlns:a="http://schemas.openxmlformats.org/drawingml/2006/main">
                  <a:graphicData uri="http://schemas.microsoft.com/office/word/2010/wordprocessingShape">
                    <wps:wsp>
                      <wps:cNvSpPr/>
                      <wps:spPr>
                        <a:xfrm>
                          <a:off x="0" y="0"/>
                          <a:ext cx="4619625" cy="1209675"/>
                        </a:xfrm>
                        <a:prstGeom prst="rect">
                          <a:avLst/>
                        </a:prstGeom>
                        <a:noFill/>
                        <a:ln w="381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25C51" id="Rectángulo 12" o:spid="_x0000_s1026" style="position:absolute;margin-left:39pt;margin-top:123.25pt;width:363.75pt;height:9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" filled="f" strokecolor="windowText" strokeweight="3pt">
                <w10:wrap anchorx="margin"/>
              </v:rect>
            </w:pict>
          </mc:Fallback>
        </mc:AlternateContent>
      </w:r>
      <w:r w:rsidRPr="005556DE">
        <w:rPr>
          <w:rFonts w:eastAsia="Calibri" w:cs="Tahoma"/>
          <w:noProof/>
          <w:color w:val="000000"/>
          <w:szCs w:val="24"/>
          <w:lang w:eastAsia="es-MX"/>
        </w:rPr>
        <w:drawing>
          <wp:inline distT="0" distB="0" distL="0" distR="0" wp14:anchorId="66B89CEC" wp14:editId="536902E4">
            <wp:extent cx="4693920" cy="2811780"/>
            <wp:effectExtent l="0" t="0" r="0" b="7620"/>
            <wp:docPr id="835420769" name="Imagen 9"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420769" name="Imagen 9" descr="Tabl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3920" cy="2811780"/>
                    </a:xfrm>
                    <a:prstGeom prst="rect">
                      <a:avLst/>
                    </a:prstGeom>
                    <a:noFill/>
                    <a:ln>
                      <a:noFill/>
                    </a:ln>
                  </pic:spPr>
                </pic:pic>
              </a:graphicData>
            </a:graphic>
          </wp:inline>
        </w:drawing>
      </w:r>
    </w:p>
    <w:p w14:paraId="35648A24" w14:textId="77777777" w:rsidR="008E78E6" w:rsidRPr="005556DE" w:rsidRDefault="008E78E6" w:rsidP="00A62148">
      <w:pPr>
        <w:widowControl w:val="0"/>
        <w:tabs>
          <w:tab w:val="center" w:pos="4522"/>
        </w:tabs>
        <w:spacing w:after="0" w:line="360" w:lineRule="auto"/>
        <w:jc w:val="center"/>
        <w:rPr>
          <w:rFonts w:eastAsia="Calibri" w:cs="Tahoma"/>
          <w:color w:val="000000"/>
          <w:szCs w:val="24"/>
        </w:rPr>
      </w:pPr>
    </w:p>
    <w:p w14:paraId="6D1450BB" w14:textId="77777777" w:rsidR="008E78E6" w:rsidRPr="005556DE" w:rsidRDefault="008E78E6" w:rsidP="00A62148">
      <w:pPr>
        <w:widowControl w:val="0"/>
        <w:tabs>
          <w:tab w:val="center" w:pos="4522"/>
        </w:tabs>
        <w:spacing w:after="0" w:line="360" w:lineRule="auto"/>
        <w:rPr>
          <w:rFonts w:eastAsia="Calibri" w:cs="Tahoma"/>
          <w:color w:val="000000"/>
          <w:szCs w:val="24"/>
          <w:lang w:val="es-ES"/>
        </w:rPr>
      </w:pPr>
      <w:r w:rsidRPr="005556DE">
        <w:rPr>
          <w:rFonts w:eastAsia="Calibri" w:cs="Tahoma"/>
          <w:color w:val="000000"/>
          <w:szCs w:val="24"/>
          <w:lang w:val="es-ES"/>
        </w:rPr>
        <w:t xml:space="preserve">Como se logra observar, es obligación de transparencia proporcionar el domicilio fiscal de los proveedores, por lo que, se considera que, en el caso, de que dicho dato, corresponda a </w:t>
      </w:r>
      <w:r w:rsidRPr="005556DE">
        <w:rPr>
          <w:rFonts w:eastAsia="Calibri" w:cs="Tahoma"/>
          <w:color w:val="000000"/>
          <w:szCs w:val="24"/>
          <w:lang w:val="es-ES"/>
        </w:rPr>
        <w:lastRenderedPageBreak/>
        <w:t>un local o lugar donde realice sus actividades empresariales, se debe entregar.</w:t>
      </w:r>
    </w:p>
    <w:p w14:paraId="3F6A04FA" w14:textId="77777777" w:rsidR="008E78E6" w:rsidRPr="005556DE" w:rsidRDefault="008E78E6" w:rsidP="00A62148">
      <w:pPr>
        <w:widowControl w:val="0"/>
        <w:tabs>
          <w:tab w:val="center" w:pos="4522"/>
        </w:tabs>
        <w:spacing w:after="0" w:line="360" w:lineRule="auto"/>
        <w:rPr>
          <w:rFonts w:eastAsia="Calibri" w:cs="Tahoma"/>
          <w:bCs/>
          <w:iCs/>
          <w:color w:val="000000"/>
          <w:szCs w:val="24"/>
          <w:lang w:val="es-ES"/>
        </w:rPr>
      </w:pPr>
    </w:p>
    <w:p w14:paraId="614DCC27" w14:textId="77777777" w:rsidR="008E78E6" w:rsidRPr="005556DE" w:rsidRDefault="008E78E6" w:rsidP="00A62148">
      <w:pPr>
        <w:widowControl w:val="0"/>
        <w:tabs>
          <w:tab w:val="center" w:pos="4522"/>
        </w:tabs>
        <w:spacing w:after="0" w:line="360" w:lineRule="auto"/>
        <w:rPr>
          <w:rFonts w:eastAsia="Calibri" w:cs="Tahoma"/>
          <w:color w:val="000000"/>
          <w:szCs w:val="24"/>
        </w:rPr>
      </w:pPr>
      <w:r w:rsidRPr="005556DE">
        <w:rPr>
          <w:rFonts w:eastAsia="Calibri" w:cs="Tahoma"/>
          <w:color w:val="000000"/>
          <w:szCs w:val="24"/>
        </w:rPr>
        <w:t>De tal suerte que, tratándose de proveedores (personas físicas o jurídico-colectivas), el domicilio fiscal, no actualiza la causal de clasificación, establecida en el artículo 143, fracción I de la Ley de Transparencia y Acceso a la Información Pública del Estado de México y Municipios.</w:t>
      </w:r>
    </w:p>
    <w:p w14:paraId="009DCC23" w14:textId="77777777" w:rsidR="008E78E6" w:rsidRPr="005556DE" w:rsidRDefault="008E78E6" w:rsidP="00A62148">
      <w:pPr>
        <w:widowControl w:val="0"/>
        <w:tabs>
          <w:tab w:val="center" w:pos="4522"/>
        </w:tabs>
        <w:spacing w:after="0" w:line="360" w:lineRule="auto"/>
        <w:rPr>
          <w:rFonts w:eastAsia="Calibri" w:cs="Tahoma"/>
          <w:bCs/>
          <w:color w:val="000000"/>
          <w:szCs w:val="24"/>
        </w:rPr>
      </w:pPr>
    </w:p>
    <w:p w14:paraId="40AD17A2" w14:textId="77777777" w:rsidR="008E78E6" w:rsidRPr="005556DE" w:rsidRDefault="008E78E6" w:rsidP="00A62148">
      <w:pPr>
        <w:widowControl w:val="0"/>
        <w:numPr>
          <w:ilvl w:val="0"/>
          <w:numId w:val="1"/>
        </w:numPr>
        <w:tabs>
          <w:tab w:val="center" w:pos="4522"/>
        </w:tabs>
        <w:spacing w:after="0" w:line="360" w:lineRule="auto"/>
        <w:rPr>
          <w:rFonts w:eastAsia="Calibri" w:cs="Tahoma"/>
          <w:color w:val="000000"/>
          <w:szCs w:val="24"/>
          <w:lang w:val="es-ES_tradnl"/>
        </w:rPr>
      </w:pPr>
      <w:r w:rsidRPr="005556DE">
        <w:rPr>
          <w:rFonts w:eastAsia="Calibri" w:cs="Tahoma"/>
          <w:b/>
          <w:color w:val="000000"/>
          <w:szCs w:val="24"/>
          <w:lang w:val="es-ES"/>
        </w:rPr>
        <w:t>Firma del proveedor, contratista o representante legal</w:t>
      </w:r>
    </w:p>
    <w:p w14:paraId="4B706F2E" w14:textId="77777777" w:rsidR="008E78E6" w:rsidRPr="005556DE" w:rsidRDefault="008E78E6" w:rsidP="00A62148">
      <w:pPr>
        <w:widowControl w:val="0"/>
        <w:tabs>
          <w:tab w:val="center" w:pos="4522"/>
        </w:tabs>
        <w:spacing w:after="0" w:line="360" w:lineRule="auto"/>
        <w:rPr>
          <w:rFonts w:eastAsia="Calibri" w:cs="Tahoma"/>
          <w:color w:val="000000"/>
          <w:szCs w:val="24"/>
          <w:lang w:val="es-ES_tradnl"/>
        </w:rPr>
      </w:pPr>
    </w:p>
    <w:p w14:paraId="33660809" w14:textId="77777777" w:rsidR="008E78E6" w:rsidRPr="005556DE" w:rsidRDefault="008E78E6" w:rsidP="00A62148">
      <w:pPr>
        <w:widowControl w:val="0"/>
        <w:tabs>
          <w:tab w:val="center" w:pos="4522"/>
        </w:tabs>
        <w:spacing w:after="0" w:line="360" w:lineRule="auto"/>
        <w:rPr>
          <w:rFonts w:eastAsia="Calibri" w:cs="Tahoma"/>
          <w:color w:val="000000"/>
          <w:szCs w:val="24"/>
          <w:lang w:val="es-ES_tradnl"/>
        </w:rPr>
      </w:pPr>
      <w:r w:rsidRPr="005556DE">
        <w:rPr>
          <w:rFonts w:eastAsia="Calibri" w:cs="Tahoma"/>
          <w:bCs/>
          <w:color w:val="000000"/>
          <w:szCs w:val="24"/>
          <w:lang w:val="es-ES_tradnl"/>
        </w:rPr>
        <w:t xml:space="preserve">Al respecto, la firma es considerada un dato personal, al tratarse de información gráfica a través de la cual su titular exterioriza su voluntad en actos públicos y privados; </w:t>
      </w:r>
      <w:r w:rsidRPr="005556DE">
        <w:rPr>
          <w:rFonts w:eastAsia="Calibri" w:cs="Tahoma"/>
          <w:color w:val="000000"/>
          <w:szCs w:val="24"/>
          <w:lang w:val="es-ES"/>
        </w:rPr>
        <w:t>dicho dato  exterioriza la voluntad en un acto público y que lo realiza una persona física identificada o identificable, en su calidad de proveedor o representante legal, por lo que, expresa el consentimiento del contratista para realizar o recibir ciertas obligaciones; además, que le otorga validez al instrumento jurídico, en el presente caso, la celebración de contratos para la adquisición  o arrendamiento de bienes y servicios.</w:t>
      </w:r>
    </w:p>
    <w:p w14:paraId="6C4F1051" w14:textId="77777777" w:rsidR="008E78E6" w:rsidRPr="005556DE" w:rsidRDefault="008E78E6" w:rsidP="00A62148">
      <w:pPr>
        <w:widowControl w:val="0"/>
        <w:tabs>
          <w:tab w:val="center" w:pos="4522"/>
        </w:tabs>
        <w:spacing w:after="0" w:line="360" w:lineRule="auto"/>
        <w:rPr>
          <w:rFonts w:eastAsia="Calibri" w:cs="Tahoma"/>
          <w:color w:val="000000"/>
          <w:szCs w:val="24"/>
          <w:lang w:val="es-ES_tradnl"/>
        </w:rPr>
      </w:pPr>
    </w:p>
    <w:p w14:paraId="3031E578" w14:textId="77777777" w:rsidR="008E78E6" w:rsidRPr="005556DE" w:rsidRDefault="008E78E6" w:rsidP="00A62148">
      <w:pPr>
        <w:widowControl w:val="0"/>
        <w:tabs>
          <w:tab w:val="center" w:pos="4522"/>
        </w:tabs>
        <w:spacing w:after="0" w:line="360" w:lineRule="auto"/>
        <w:rPr>
          <w:rFonts w:eastAsia="Calibri" w:cs="Tahoma"/>
          <w:color w:val="000000"/>
          <w:szCs w:val="24"/>
          <w:lang w:val="es-ES"/>
        </w:rPr>
      </w:pPr>
      <w:r w:rsidRPr="005556DE">
        <w:rPr>
          <w:rFonts w:eastAsia="Calibri" w:cs="Tahoma"/>
          <w:color w:val="000000"/>
          <w:szCs w:val="24"/>
          <w:lang w:val="es-ES"/>
        </w:rPr>
        <w:t>Conforme a lo anterior, no procede la clasificación de la firma del proveedor o representante legal, localizados en los documentos que den cuenta de la información solicitada, en términos del artículo 143, fracción I de la Ley de Transparencia y Acceso a la Información Pública del Estado de México y Municipios.</w:t>
      </w:r>
    </w:p>
    <w:p w14:paraId="053CF1C2" w14:textId="77777777" w:rsidR="008E78E6" w:rsidRPr="005556DE" w:rsidRDefault="008E78E6" w:rsidP="00A62148">
      <w:pPr>
        <w:widowControl w:val="0"/>
        <w:tabs>
          <w:tab w:val="center" w:pos="4522"/>
        </w:tabs>
        <w:spacing w:after="0" w:line="360" w:lineRule="auto"/>
        <w:rPr>
          <w:rFonts w:eastAsia="Calibri" w:cs="Tahoma"/>
          <w:color w:val="000000"/>
          <w:szCs w:val="24"/>
          <w:lang w:val="es-ES"/>
        </w:rPr>
      </w:pPr>
    </w:p>
    <w:p w14:paraId="0E1345B2" w14:textId="77777777" w:rsidR="008E78E6" w:rsidRPr="005556DE" w:rsidRDefault="008E78E6" w:rsidP="00A62148">
      <w:pPr>
        <w:numPr>
          <w:ilvl w:val="0"/>
          <w:numId w:val="7"/>
        </w:numPr>
        <w:spacing w:after="0" w:line="360" w:lineRule="auto"/>
        <w:jc w:val="left"/>
        <w:rPr>
          <w:rFonts w:eastAsia="Calibri" w:cs="Tahoma"/>
          <w:b/>
          <w:color w:val="000000"/>
          <w:szCs w:val="24"/>
        </w:rPr>
      </w:pPr>
      <w:r w:rsidRPr="005556DE">
        <w:rPr>
          <w:rFonts w:eastAsia="Calibri" w:cs="Tahoma"/>
          <w:b/>
          <w:color w:val="000000"/>
          <w:szCs w:val="24"/>
        </w:rPr>
        <w:t>Clave de registro o elector del representante legal</w:t>
      </w:r>
    </w:p>
    <w:p w14:paraId="14656335" w14:textId="77777777" w:rsidR="008E78E6" w:rsidRPr="005556DE" w:rsidRDefault="008E78E6" w:rsidP="00A62148">
      <w:pPr>
        <w:widowControl w:val="0"/>
        <w:tabs>
          <w:tab w:val="center" w:pos="4522"/>
        </w:tabs>
        <w:spacing w:after="0" w:line="360" w:lineRule="auto"/>
        <w:rPr>
          <w:rFonts w:eastAsia="Calibri" w:cs="Tahoma"/>
          <w:color w:val="000000"/>
          <w:szCs w:val="24"/>
        </w:rPr>
      </w:pPr>
    </w:p>
    <w:p w14:paraId="109B9BCF" w14:textId="77777777" w:rsidR="008E78E6" w:rsidRPr="005556DE" w:rsidRDefault="008E78E6" w:rsidP="00A62148">
      <w:pPr>
        <w:widowControl w:val="0"/>
        <w:tabs>
          <w:tab w:val="center" w:pos="4522"/>
        </w:tabs>
        <w:spacing w:after="0" w:line="360" w:lineRule="auto"/>
        <w:rPr>
          <w:rFonts w:eastAsia="Calibri" w:cs="Tahoma"/>
          <w:color w:val="000000"/>
          <w:szCs w:val="24"/>
        </w:rPr>
      </w:pPr>
      <w:r w:rsidRPr="005556DE">
        <w:rPr>
          <w:rFonts w:eastAsia="Calibri" w:cs="Tahoma"/>
          <w:color w:val="000000"/>
          <w:szCs w:val="24"/>
        </w:rPr>
        <w:t xml:space="preserve">Al respecto, este Instituto localizó el Acuerdo del Consejo General del Instituto Federal Electoral, por el que se aprueban diversas disposiciones relativas a la forma y contenido de la Lista nominal de electores residentes en el extranjero, que se utilizará con motivo de la </w:t>
      </w:r>
      <w:r w:rsidRPr="005556DE">
        <w:rPr>
          <w:rFonts w:eastAsia="Calibri" w:cs="Tahoma"/>
          <w:color w:val="000000"/>
          <w:szCs w:val="24"/>
        </w:rPr>
        <w:lastRenderedPageBreak/>
        <w:t>jornada electoral del primero de julio de dos mil doce, publicado en el Diario Oficial de la Federación el cinco de abril de dos mil doce, en el cual establece que la clave de elector, se conforma por las consonantes iniciales de los apellidos y el nombre del elector, seguido de su fecha de nacimiento (dos dígitos para el año, dos dígitos para el mes, dos dígitos para el día), número de la entidad federativa de nacimiento, letra que identifica el género y una homoclave compuesta de tres dígitos, dando un total de 18 caracteres.</w:t>
      </w:r>
    </w:p>
    <w:p w14:paraId="3CB5067A" w14:textId="77777777" w:rsidR="008E78E6" w:rsidRPr="005556DE" w:rsidRDefault="008E78E6" w:rsidP="00A62148">
      <w:pPr>
        <w:widowControl w:val="0"/>
        <w:tabs>
          <w:tab w:val="center" w:pos="4522"/>
        </w:tabs>
        <w:spacing w:after="0" w:line="360" w:lineRule="auto"/>
        <w:rPr>
          <w:rFonts w:eastAsia="Calibri" w:cs="Tahoma"/>
          <w:color w:val="000000"/>
          <w:szCs w:val="24"/>
        </w:rPr>
      </w:pPr>
    </w:p>
    <w:p w14:paraId="07C64B98" w14:textId="77777777" w:rsidR="008E78E6" w:rsidRPr="005556DE" w:rsidRDefault="008E78E6" w:rsidP="00A62148">
      <w:pPr>
        <w:widowControl w:val="0"/>
        <w:tabs>
          <w:tab w:val="center" w:pos="4522"/>
        </w:tabs>
        <w:spacing w:after="0" w:line="360" w:lineRule="auto"/>
        <w:rPr>
          <w:rFonts w:eastAsia="Calibri" w:cs="Tahoma"/>
          <w:color w:val="000000"/>
          <w:szCs w:val="24"/>
        </w:rPr>
      </w:pPr>
      <w:r w:rsidRPr="005556DE">
        <w:rPr>
          <w:rFonts w:eastAsia="Calibri" w:cs="Tahoma"/>
          <w:color w:val="000000"/>
          <w:szCs w:val="24"/>
        </w:rPr>
        <w:t>Conforme a lo anterior, se puede advertir que, con la clave de elector, se podrían obtener indicios o datos completos de una persona, que la podría ser identificada e identificable, pues se podría inferir el nombre de la persona, así como, su fecha y entidad de nacimiento, los cuales son considerados de su vida privada.</w:t>
      </w:r>
    </w:p>
    <w:p w14:paraId="5D4EAE74" w14:textId="77777777" w:rsidR="008E78E6" w:rsidRPr="005556DE" w:rsidRDefault="008E78E6" w:rsidP="00A62148">
      <w:pPr>
        <w:widowControl w:val="0"/>
        <w:tabs>
          <w:tab w:val="center" w:pos="4522"/>
        </w:tabs>
        <w:spacing w:after="0" w:line="360" w:lineRule="auto"/>
        <w:rPr>
          <w:rFonts w:eastAsia="Calibri" w:cs="Tahoma"/>
          <w:color w:val="000000"/>
          <w:szCs w:val="24"/>
        </w:rPr>
      </w:pPr>
    </w:p>
    <w:p w14:paraId="2E8786BC" w14:textId="77777777" w:rsidR="008E78E6" w:rsidRPr="005556DE" w:rsidRDefault="008E78E6" w:rsidP="00A62148">
      <w:pPr>
        <w:widowControl w:val="0"/>
        <w:tabs>
          <w:tab w:val="center" w:pos="4522"/>
        </w:tabs>
        <w:spacing w:after="0" w:line="360" w:lineRule="auto"/>
        <w:rPr>
          <w:rFonts w:eastAsia="Calibri" w:cs="Tahoma"/>
          <w:b/>
          <w:bCs/>
          <w:color w:val="000000"/>
          <w:szCs w:val="24"/>
        </w:rPr>
      </w:pPr>
      <w:r w:rsidRPr="005556DE">
        <w:rPr>
          <w:rFonts w:eastAsia="Calibri" w:cs="Tahoma"/>
          <w:color w:val="000000"/>
          <w:szCs w:val="24"/>
        </w:rPr>
        <w:t xml:space="preserve">Por lo tanto, al ser un dato que hace reconocible a una persona física, </w:t>
      </w:r>
      <w:r w:rsidRPr="005556DE">
        <w:rPr>
          <w:rFonts w:eastAsia="Calibri" w:cs="Tahoma"/>
          <w:b/>
          <w:bCs/>
          <w:color w:val="000000"/>
          <w:szCs w:val="24"/>
        </w:rPr>
        <w:t>resulta procedente su clasificación como información confidencial en términos de lo dispuesto por el artículo 143, fracción I de la Ley de Transparencia y Acceso a la Información Pública del Estado de México y Municipios.</w:t>
      </w:r>
    </w:p>
    <w:p w14:paraId="2048B809" w14:textId="77777777" w:rsidR="008E78E6" w:rsidRPr="005556DE" w:rsidRDefault="008E78E6" w:rsidP="00A62148">
      <w:pPr>
        <w:widowControl w:val="0"/>
        <w:tabs>
          <w:tab w:val="center" w:pos="4522"/>
        </w:tabs>
        <w:spacing w:after="0" w:line="360" w:lineRule="auto"/>
        <w:rPr>
          <w:rFonts w:eastAsia="Calibri" w:cs="Tahoma"/>
          <w:color w:val="000000"/>
          <w:szCs w:val="24"/>
        </w:rPr>
      </w:pPr>
    </w:p>
    <w:p w14:paraId="20C8EDAA" w14:textId="77777777" w:rsidR="008E78E6" w:rsidRPr="005556DE" w:rsidRDefault="008E78E6" w:rsidP="00A62148">
      <w:pPr>
        <w:widowControl w:val="0"/>
        <w:numPr>
          <w:ilvl w:val="0"/>
          <w:numId w:val="8"/>
        </w:numPr>
        <w:tabs>
          <w:tab w:val="center" w:pos="4522"/>
        </w:tabs>
        <w:spacing w:after="0" w:line="360" w:lineRule="auto"/>
        <w:rPr>
          <w:rFonts w:eastAsia="Calibri" w:cs="Tahoma"/>
          <w:b/>
          <w:bCs/>
          <w:iCs/>
          <w:color w:val="000000"/>
          <w:szCs w:val="24"/>
          <w:lang w:val="es-ES"/>
        </w:rPr>
      </w:pPr>
      <w:r w:rsidRPr="005556DE">
        <w:rPr>
          <w:rFonts w:eastAsia="Calibri" w:cs="Tahoma"/>
          <w:b/>
          <w:bCs/>
          <w:iCs/>
          <w:color w:val="000000"/>
          <w:szCs w:val="24"/>
          <w:lang w:val="es-ES"/>
        </w:rPr>
        <w:t>Cuenta bancaria y clave interbancaria del proveedor</w:t>
      </w:r>
    </w:p>
    <w:p w14:paraId="575255AB" w14:textId="77777777" w:rsidR="008E78E6" w:rsidRPr="005556DE" w:rsidRDefault="008E78E6" w:rsidP="00A62148">
      <w:pPr>
        <w:widowControl w:val="0"/>
        <w:tabs>
          <w:tab w:val="center" w:pos="4522"/>
        </w:tabs>
        <w:spacing w:after="0" w:line="360" w:lineRule="auto"/>
        <w:rPr>
          <w:rFonts w:eastAsia="Calibri" w:cs="Tahoma"/>
          <w:bCs/>
          <w:color w:val="000000"/>
          <w:szCs w:val="24"/>
        </w:rPr>
      </w:pPr>
    </w:p>
    <w:p w14:paraId="0CAD62D5" w14:textId="77777777" w:rsidR="008E78E6" w:rsidRPr="005556DE" w:rsidRDefault="008E78E6" w:rsidP="00A62148">
      <w:pPr>
        <w:widowControl w:val="0"/>
        <w:tabs>
          <w:tab w:val="center" w:pos="4522"/>
        </w:tabs>
        <w:spacing w:after="0" w:line="360" w:lineRule="auto"/>
        <w:rPr>
          <w:rFonts w:eastAsia="Calibri" w:cs="Tahoma"/>
          <w:bCs/>
          <w:color w:val="000000"/>
          <w:szCs w:val="24"/>
        </w:rPr>
      </w:pPr>
      <w:r w:rsidRPr="005556DE">
        <w:rPr>
          <w:rFonts w:eastAsia="Calibri" w:cs="Tahoma"/>
          <w:bCs/>
          <w:color w:val="000000"/>
          <w:szCs w:val="24"/>
        </w:rPr>
        <w:t>Al respecto, se estima que dichos datos se relacionan con hechos y actos de carácter económico, pues los mismos darían cuenta, de la relación que tiene una institución financiero con un particular, ya sea persona física o moral; además, que con dicha información se podría obtener los recursos enviados a las órdenes de cargo, pago o a las transferencias electrónicas e fondos interbancarios, entre otros movimientos que sean utilizados exclusivamente en la cuenta señalada por el cliente y, por lo tanto, los datos bancarios corresponden a información que se encuentra relacionada con el patrimonio de la persona titular de la cuenta.</w:t>
      </w:r>
    </w:p>
    <w:p w14:paraId="72B53375" w14:textId="77777777" w:rsidR="008E78E6" w:rsidRPr="005556DE" w:rsidRDefault="008E78E6" w:rsidP="00A62148">
      <w:pPr>
        <w:widowControl w:val="0"/>
        <w:tabs>
          <w:tab w:val="center" w:pos="4522"/>
        </w:tabs>
        <w:spacing w:after="0" w:line="360" w:lineRule="auto"/>
        <w:rPr>
          <w:rFonts w:eastAsia="Calibri" w:cs="Tahoma"/>
          <w:bCs/>
          <w:color w:val="000000"/>
          <w:szCs w:val="24"/>
        </w:rPr>
      </w:pPr>
      <w:r w:rsidRPr="005556DE">
        <w:rPr>
          <w:rFonts w:eastAsia="Calibri" w:cs="Tahoma"/>
          <w:bCs/>
          <w:color w:val="000000"/>
          <w:szCs w:val="24"/>
        </w:rPr>
        <w:t> </w:t>
      </w:r>
    </w:p>
    <w:p w14:paraId="2C84048B" w14:textId="77777777" w:rsidR="008E78E6" w:rsidRPr="005556DE" w:rsidRDefault="008E78E6" w:rsidP="00A62148">
      <w:pPr>
        <w:widowControl w:val="0"/>
        <w:tabs>
          <w:tab w:val="center" w:pos="4522"/>
        </w:tabs>
        <w:spacing w:after="0" w:line="360" w:lineRule="auto"/>
        <w:rPr>
          <w:rFonts w:eastAsia="Calibri" w:cs="Tahoma"/>
          <w:bCs/>
          <w:color w:val="000000"/>
          <w:szCs w:val="24"/>
        </w:rPr>
      </w:pPr>
      <w:r w:rsidRPr="005556DE">
        <w:rPr>
          <w:rFonts w:eastAsia="Calibri" w:cs="Tahoma"/>
          <w:bCs/>
          <w:color w:val="000000"/>
          <w:szCs w:val="24"/>
        </w:rPr>
        <w:lastRenderedPageBreak/>
        <w:t xml:space="preserve">A mayor abundamiento, resulta necesario traer a colación el </w:t>
      </w:r>
      <w:r w:rsidRPr="005556DE">
        <w:rPr>
          <w:rFonts w:eastAsia="Calibri" w:cs="Tahoma"/>
          <w:bCs/>
          <w:iCs/>
          <w:color w:val="000000"/>
          <w:szCs w:val="24"/>
          <w:lang w:val="es-ES"/>
        </w:rPr>
        <w:t xml:space="preserve">Criterio de Interpretación, de la Segunda Época, con número de registro </w:t>
      </w:r>
      <w:r w:rsidRPr="005556DE">
        <w:rPr>
          <w:rFonts w:eastAsia="Calibri" w:cs="Tahoma"/>
          <w:bCs/>
          <w:iCs/>
          <w:color w:val="000000"/>
          <w:szCs w:val="24"/>
        </w:rPr>
        <w:t xml:space="preserve">SO/010/2017, </w:t>
      </w:r>
      <w:r w:rsidRPr="005556DE">
        <w:rPr>
          <w:rFonts w:eastAsia="Calibri" w:cs="Tahoma"/>
          <w:bCs/>
          <w:iCs/>
          <w:color w:val="000000"/>
          <w:szCs w:val="24"/>
          <w:lang w:val="es-ES"/>
        </w:rPr>
        <w:t>emitido por el Instituto Nacional de Transparencia, Acceso a la Información y Protección de Datos Personales</w:t>
      </w:r>
      <w:r w:rsidRPr="005556DE">
        <w:rPr>
          <w:rFonts w:eastAsia="Calibri" w:cs="Tahoma"/>
          <w:bCs/>
          <w:color w:val="000000"/>
          <w:szCs w:val="24"/>
        </w:rPr>
        <w:t>, mismo que establece lo siguiente:</w:t>
      </w:r>
    </w:p>
    <w:p w14:paraId="5FAF17D8" w14:textId="77777777" w:rsidR="008E78E6" w:rsidRPr="005556DE" w:rsidRDefault="008E78E6" w:rsidP="00A62148">
      <w:pPr>
        <w:widowControl w:val="0"/>
        <w:tabs>
          <w:tab w:val="center" w:pos="4522"/>
        </w:tabs>
        <w:spacing w:after="0" w:line="360" w:lineRule="auto"/>
        <w:rPr>
          <w:rFonts w:eastAsia="Calibri" w:cs="Tahoma"/>
          <w:bCs/>
          <w:color w:val="000000"/>
          <w:szCs w:val="24"/>
        </w:rPr>
      </w:pPr>
      <w:r w:rsidRPr="005556DE">
        <w:rPr>
          <w:rFonts w:eastAsia="Calibri" w:cs="Tahoma"/>
          <w:bCs/>
          <w:color w:val="000000"/>
          <w:szCs w:val="24"/>
        </w:rPr>
        <w:t> </w:t>
      </w:r>
    </w:p>
    <w:p w14:paraId="5B32A105" w14:textId="77777777" w:rsidR="008E78E6" w:rsidRPr="005556DE" w:rsidRDefault="008E78E6" w:rsidP="00A62148">
      <w:pPr>
        <w:widowControl w:val="0"/>
        <w:tabs>
          <w:tab w:val="center" w:pos="4522"/>
        </w:tabs>
        <w:spacing w:after="0" w:line="360" w:lineRule="auto"/>
        <w:ind w:left="567" w:right="567"/>
        <w:rPr>
          <w:rFonts w:eastAsia="Calibri" w:cs="Tahoma"/>
          <w:bCs/>
          <w:i/>
          <w:color w:val="000000"/>
          <w:sz w:val="20"/>
          <w:szCs w:val="20"/>
        </w:rPr>
      </w:pPr>
      <w:r w:rsidRPr="005556DE">
        <w:rPr>
          <w:rFonts w:eastAsia="Calibri" w:cs="Tahoma"/>
          <w:bCs/>
          <w:i/>
          <w:color w:val="000000"/>
          <w:szCs w:val="24"/>
        </w:rPr>
        <w:t>“</w:t>
      </w:r>
      <w:r w:rsidRPr="005556DE">
        <w:rPr>
          <w:rFonts w:eastAsia="Calibri" w:cs="Tahoma"/>
          <w:b/>
          <w:bCs/>
          <w:i/>
          <w:color w:val="000000"/>
          <w:sz w:val="20"/>
          <w:szCs w:val="20"/>
        </w:rPr>
        <w:t>Cuentas bancarias y/o CLABE interbancaria de personas físicas y morales privadas.</w:t>
      </w:r>
      <w:r w:rsidRPr="005556DE">
        <w:rPr>
          <w:rFonts w:eastAsia="Calibri" w:cs="Tahoma"/>
          <w:bCs/>
          <w:i/>
          <w:color w:val="000000"/>
          <w:sz w:val="20"/>
          <w:szCs w:val="20"/>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405817B4" w14:textId="77777777" w:rsidR="008E78E6" w:rsidRPr="005556DE" w:rsidRDefault="008E78E6" w:rsidP="00A62148">
      <w:pPr>
        <w:widowControl w:val="0"/>
        <w:tabs>
          <w:tab w:val="center" w:pos="4522"/>
        </w:tabs>
        <w:spacing w:after="0" w:line="360" w:lineRule="auto"/>
        <w:rPr>
          <w:rFonts w:eastAsia="Calibri" w:cs="Tahoma"/>
          <w:bCs/>
          <w:color w:val="000000"/>
          <w:szCs w:val="24"/>
        </w:rPr>
      </w:pPr>
      <w:r w:rsidRPr="005556DE">
        <w:rPr>
          <w:rFonts w:eastAsia="Calibri" w:cs="Tahoma"/>
          <w:bCs/>
          <w:color w:val="000000"/>
          <w:szCs w:val="24"/>
        </w:rPr>
        <w:t> </w:t>
      </w:r>
    </w:p>
    <w:p w14:paraId="0E923AE5" w14:textId="77777777" w:rsidR="008E78E6" w:rsidRPr="005556DE" w:rsidRDefault="008E78E6" w:rsidP="00A62148">
      <w:pPr>
        <w:widowControl w:val="0"/>
        <w:tabs>
          <w:tab w:val="center" w:pos="4522"/>
        </w:tabs>
        <w:spacing w:after="0" w:line="360" w:lineRule="auto"/>
        <w:rPr>
          <w:rFonts w:eastAsia="Calibri" w:cs="Tahoma"/>
          <w:bCs/>
          <w:color w:val="000000"/>
          <w:szCs w:val="24"/>
        </w:rPr>
      </w:pPr>
      <w:r w:rsidRPr="005556DE">
        <w:rPr>
          <w:rFonts w:eastAsia="Calibri" w:cs="Tahoma"/>
          <w:bCs/>
          <w:color w:val="000000"/>
          <w:szCs w:val="24"/>
        </w:rPr>
        <w:t xml:space="preserve">Por lo cual, se puede colegir que dichos datos no guardan relación con el servicio público ni con los recursos públicos, pues solo corresponde a información, que le atañe a la institución financiera y al cliente; por lo que este número constituye información confidencial al pertenecer exclusivamente al ámbito de la vida privada del proveedor y procede su eliminación de conformidad con el artículo 143, fracción I, de la Ley de Transparencia y Acceso a la Información Pública del Estado de México y Municipios. </w:t>
      </w:r>
    </w:p>
    <w:p w14:paraId="1AEA2940" w14:textId="77777777" w:rsidR="008E78E6" w:rsidRPr="005556DE" w:rsidRDefault="008E78E6" w:rsidP="00A62148">
      <w:pPr>
        <w:widowControl w:val="0"/>
        <w:tabs>
          <w:tab w:val="center" w:pos="4522"/>
        </w:tabs>
        <w:spacing w:after="0" w:line="360" w:lineRule="auto"/>
        <w:rPr>
          <w:rFonts w:eastAsia="Calibri" w:cs="Tahoma"/>
          <w:color w:val="000000"/>
          <w:szCs w:val="24"/>
          <w:lang w:val="es-ES"/>
        </w:rPr>
      </w:pPr>
    </w:p>
    <w:p w14:paraId="243D4FB9" w14:textId="77777777" w:rsidR="008E78E6" w:rsidRPr="005556DE" w:rsidRDefault="008E78E6" w:rsidP="00A62148">
      <w:pPr>
        <w:widowControl w:val="0"/>
        <w:numPr>
          <w:ilvl w:val="0"/>
          <w:numId w:val="1"/>
        </w:numPr>
        <w:tabs>
          <w:tab w:val="center" w:pos="4522"/>
        </w:tabs>
        <w:spacing w:after="0" w:line="360" w:lineRule="auto"/>
        <w:rPr>
          <w:rFonts w:eastAsia="Calibri" w:cs="Tahoma"/>
          <w:b/>
          <w:bCs/>
          <w:iCs/>
          <w:color w:val="000000"/>
          <w:szCs w:val="24"/>
        </w:rPr>
      </w:pPr>
      <w:r w:rsidRPr="005556DE">
        <w:rPr>
          <w:rFonts w:eastAsia="Calibri" w:cs="Tahoma"/>
          <w:b/>
          <w:bCs/>
          <w:iCs/>
          <w:color w:val="000000"/>
          <w:szCs w:val="24"/>
        </w:rPr>
        <w:t>Nombre de institución bancaria</w:t>
      </w:r>
    </w:p>
    <w:p w14:paraId="5F282D05" w14:textId="77777777" w:rsidR="008E78E6" w:rsidRPr="005556DE" w:rsidRDefault="008E78E6" w:rsidP="00A62148">
      <w:pPr>
        <w:widowControl w:val="0"/>
        <w:tabs>
          <w:tab w:val="center" w:pos="4522"/>
        </w:tabs>
        <w:spacing w:after="0" w:line="360" w:lineRule="auto"/>
        <w:rPr>
          <w:rFonts w:eastAsia="Calibri" w:cs="Tahoma"/>
          <w:bCs/>
          <w:color w:val="000000"/>
          <w:szCs w:val="24"/>
        </w:rPr>
      </w:pPr>
    </w:p>
    <w:p w14:paraId="2353F73A" w14:textId="77777777" w:rsidR="008E78E6" w:rsidRPr="005556DE" w:rsidRDefault="008E78E6" w:rsidP="00A62148">
      <w:pPr>
        <w:widowControl w:val="0"/>
        <w:tabs>
          <w:tab w:val="center" w:pos="4522"/>
        </w:tabs>
        <w:spacing w:after="0" w:line="360" w:lineRule="auto"/>
        <w:rPr>
          <w:rFonts w:eastAsia="Calibri" w:cs="Tahoma"/>
          <w:bCs/>
          <w:color w:val="000000"/>
          <w:szCs w:val="24"/>
        </w:rPr>
      </w:pPr>
      <w:r w:rsidRPr="005556DE">
        <w:rPr>
          <w:rFonts w:eastAsia="Calibri" w:cs="Tahoma"/>
          <w:bCs/>
          <w:color w:val="000000"/>
          <w:szCs w:val="24"/>
        </w:rPr>
        <w:t xml:space="preserve">En principio, es necesario señalar que conforme al artículo 2°, fracción IV  de la Ley de Protección y Defensa al Usuario de Servicios Financieros, establece que una institución financiera, se le denomina a las sociedades controladoras, instituciones de crédito, sociedades financieras de objeto múltiple, sociedades de información crediticia, casas de bolsa, especialistas bursátiles,  fondos de inversión, almacenes generales de depósito, uniones de </w:t>
      </w:r>
      <w:r w:rsidRPr="005556DE">
        <w:rPr>
          <w:rFonts w:eastAsia="Calibri" w:cs="Tahoma"/>
          <w:bCs/>
          <w:color w:val="000000"/>
          <w:szCs w:val="24"/>
        </w:rPr>
        <w:lastRenderedPageBreak/>
        <w:t>crédito, casas de cambio, instituciones de seguros, sociedades mutualistas de seguros, instituciones de fianzas, administradoras de fondos para el retiro, PENSIONISSSTE, empresas operadoras de la base de datos nacional del sistema de ahorro para el retiro, Instituto del Fondo Nacional para el Consumo de los Trabajadores, sociedades cooperativas de ahorro y préstamo, sociedades financieras populares, sociedades financieras comunitarias, y cualquiera otra sociedad que requiera de la autorización de la Secretaría de Hacienda y Crédito Público o de cualesquiera de las Comisiones Nacionales para constituirse y funcionar como tales y ofrecer un producto o servicio financiero a los usuarios. </w:t>
      </w:r>
    </w:p>
    <w:p w14:paraId="0E9017DD" w14:textId="77777777" w:rsidR="008E78E6" w:rsidRPr="005556DE" w:rsidRDefault="008E78E6" w:rsidP="00A62148">
      <w:pPr>
        <w:widowControl w:val="0"/>
        <w:tabs>
          <w:tab w:val="center" w:pos="4522"/>
        </w:tabs>
        <w:spacing w:after="0" w:line="360" w:lineRule="auto"/>
        <w:rPr>
          <w:rFonts w:eastAsia="Calibri" w:cs="Tahoma"/>
          <w:bCs/>
          <w:color w:val="000000"/>
          <w:szCs w:val="24"/>
        </w:rPr>
      </w:pPr>
    </w:p>
    <w:p w14:paraId="2703561D" w14:textId="77777777" w:rsidR="008E78E6" w:rsidRPr="005556DE" w:rsidRDefault="008E78E6" w:rsidP="00A62148">
      <w:pPr>
        <w:widowControl w:val="0"/>
        <w:tabs>
          <w:tab w:val="center" w:pos="4522"/>
        </w:tabs>
        <w:spacing w:after="0" w:line="360" w:lineRule="auto"/>
        <w:rPr>
          <w:rFonts w:eastAsia="Calibri" w:cs="Tahoma"/>
          <w:bCs/>
          <w:color w:val="000000"/>
          <w:szCs w:val="24"/>
        </w:rPr>
      </w:pPr>
      <w:r w:rsidRPr="005556DE">
        <w:rPr>
          <w:rFonts w:eastAsia="Calibri" w:cs="Tahoma"/>
          <w:bCs/>
          <w:color w:val="000000"/>
          <w:szCs w:val="24"/>
        </w:rPr>
        <w:t>En ese orden de ideas, en el portal de la Comisión Nacional para la Protección y Defensa de los Usuarios de Servicios Financieros (</w:t>
      </w:r>
      <w:r w:rsidRPr="005556DE">
        <w:rPr>
          <w:rFonts w:eastAsia="Calibri" w:cs="Tahoma"/>
          <w:bCs/>
          <w:iCs/>
          <w:color w:val="000000"/>
          <w:szCs w:val="24"/>
        </w:rPr>
        <w:t xml:space="preserve">consultadas el dieciocho de enero de dos mil veintitrés), </w:t>
      </w:r>
      <w:r w:rsidRPr="005556DE">
        <w:rPr>
          <w:rFonts w:eastAsia="Calibri" w:cs="Tahoma"/>
          <w:bCs/>
          <w:color w:val="000000"/>
          <w:szCs w:val="24"/>
        </w:rPr>
        <w:t xml:space="preserve">en </w:t>
      </w:r>
      <w:hyperlink r:id="rId12" w:history="1">
        <w:r w:rsidRPr="005556DE">
          <w:rPr>
            <w:rStyle w:val="Hipervnculo"/>
            <w:rFonts w:eastAsia="Calibri" w:cs="Tahoma"/>
            <w:bCs/>
            <w:szCs w:val="24"/>
          </w:rPr>
          <w:t>https://www.condusef.gob.mx/Revista/index.php/usuario-inteligente/condusef-responde/777-la-condusef-te-puede-ayudar</w:t>
        </w:r>
      </w:hyperlink>
      <w:r w:rsidRPr="005556DE">
        <w:rPr>
          <w:rFonts w:eastAsia="Calibri" w:cs="Tahoma"/>
          <w:bCs/>
          <w:color w:val="000000"/>
          <w:szCs w:val="24"/>
        </w:rPr>
        <w:t>), se establece que los bancos son instituciones financieras; conforme a lo anterior, se puede advertir que las instituciones bancarias, son personas morales.</w:t>
      </w:r>
    </w:p>
    <w:p w14:paraId="460B5540" w14:textId="77777777" w:rsidR="008E78E6" w:rsidRPr="005556DE" w:rsidRDefault="008E78E6" w:rsidP="00A62148">
      <w:pPr>
        <w:widowControl w:val="0"/>
        <w:tabs>
          <w:tab w:val="center" w:pos="4522"/>
        </w:tabs>
        <w:spacing w:after="0" w:line="360" w:lineRule="auto"/>
        <w:rPr>
          <w:rFonts w:eastAsia="Calibri" w:cs="Tahoma"/>
          <w:bCs/>
          <w:color w:val="000000"/>
          <w:szCs w:val="24"/>
        </w:rPr>
      </w:pPr>
    </w:p>
    <w:p w14:paraId="3BD2535D" w14:textId="77777777" w:rsidR="008E78E6" w:rsidRPr="005556DE" w:rsidRDefault="008E78E6" w:rsidP="00A62148">
      <w:pPr>
        <w:widowControl w:val="0"/>
        <w:tabs>
          <w:tab w:val="center" w:pos="4522"/>
        </w:tabs>
        <w:spacing w:after="0" w:line="360" w:lineRule="auto"/>
        <w:rPr>
          <w:rFonts w:eastAsia="Calibri" w:cs="Tahoma"/>
          <w:bCs/>
          <w:color w:val="000000"/>
          <w:szCs w:val="24"/>
        </w:rPr>
      </w:pPr>
      <w:r w:rsidRPr="005556DE">
        <w:rPr>
          <w:rFonts w:eastAsia="Calibri" w:cs="Tahoma"/>
          <w:bCs/>
          <w:color w:val="000000"/>
          <w:szCs w:val="24"/>
        </w:rPr>
        <w:t xml:space="preserve">En ese orden de ideas, se considera que la denominación o razón social de una persona moral, es pública, pues dichos datos se encuentran inscritos en el Registro Público del Comercio; lo anterior, toma sustento en el </w:t>
      </w:r>
      <w:r w:rsidRPr="005556DE">
        <w:rPr>
          <w:rFonts w:eastAsia="Calibri" w:cs="Tahoma"/>
          <w:bCs/>
          <w:iCs/>
          <w:color w:val="000000"/>
          <w:szCs w:val="24"/>
          <w:lang w:val="es-ES"/>
        </w:rPr>
        <w:t xml:space="preserve">Criterio de Interpretación, de la Segunda Época, con número de registro </w:t>
      </w:r>
      <w:r w:rsidRPr="005556DE">
        <w:rPr>
          <w:rFonts w:eastAsia="Calibri" w:cs="Tahoma"/>
          <w:bCs/>
          <w:iCs/>
          <w:color w:val="000000"/>
          <w:szCs w:val="24"/>
        </w:rPr>
        <w:t xml:space="preserve">SO/008/2019, </w:t>
      </w:r>
      <w:r w:rsidRPr="005556DE">
        <w:rPr>
          <w:rFonts w:eastAsia="Calibri" w:cs="Tahoma"/>
          <w:bCs/>
          <w:iCs/>
          <w:color w:val="000000"/>
          <w:szCs w:val="24"/>
          <w:lang w:val="es-ES"/>
        </w:rPr>
        <w:t>emitido por el Instituto Nacional de Transparencia, Acceso a la Información y Protección de Datos Personales,</w:t>
      </w:r>
      <w:r w:rsidRPr="005556DE">
        <w:rPr>
          <w:rFonts w:eastAsia="Calibri" w:cs="Tahoma"/>
          <w:bCs/>
          <w:color w:val="000000"/>
          <w:szCs w:val="24"/>
        </w:rPr>
        <w:t xml:space="preserve"> previamente referido.</w:t>
      </w:r>
    </w:p>
    <w:p w14:paraId="0ED4EBD5" w14:textId="77777777" w:rsidR="008E78E6" w:rsidRPr="005556DE" w:rsidRDefault="008E78E6" w:rsidP="00A62148">
      <w:pPr>
        <w:widowControl w:val="0"/>
        <w:tabs>
          <w:tab w:val="center" w:pos="4522"/>
        </w:tabs>
        <w:spacing w:after="0" w:line="360" w:lineRule="auto"/>
        <w:rPr>
          <w:rFonts w:eastAsia="Calibri" w:cs="Tahoma"/>
          <w:bCs/>
          <w:color w:val="000000"/>
          <w:szCs w:val="24"/>
        </w:rPr>
      </w:pPr>
    </w:p>
    <w:p w14:paraId="19680414" w14:textId="77777777" w:rsidR="008E78E6" w:rsidRPr="005556DE" w:rsidRDefault="008E78E6" w:rsidP="00A62148">
      <w:pPr>
        <w:tabs>
          <w:tab w:val="center" w:pos="4522"/>
        </w:tabs>
        <w:spacing w:after="0" w:line="360" w:lineRule="auto"/>
        <w:rPr>
          <w:rFonts w:eastAsia="Calibri" w:cs="Tahoma"/>
          <w:bCs/>
          <w:color w:val="000000"/>
          <w:szCs w:val="24"/>
        </w:rPr>
      </w:pPr>
      <w:r w:rsidRPr="005556DE">
        <w:rPr>
          <w:rFonts w:eastAsia="Calibri" w:cs="Tahoma"/>
          <w:bCs/>
          <w:color w:val="000000"/>
          <w:szCs w:val="24"/>
        </w:rPr>
        <w:t>Lo anterior, se robustece con el hecho de que existe el Sistema de Registro de Prestadores de Servicios Financieros (</w:t>
      </w:r>
      <w:r w:rsidRPr="005556DE">
        <w:rPr>
          <w:rFonts w:eastAsia="Calibri" w:cs="Tahoma"/>
          <w:bCs/>
          <w:iCs/>
          <w:color w:val="000000"/>
          <w:szCs w:val="24"/>
        </w:rPr>
        <w:t>consultadas el dieciocho de enero de dos mil veintitrés)</w:t>
      </w:r>
      <w:r w:rsidRPr="005556DE">
        <w:rPr>
          <w:rFonts w:eastAsia="Calibri" w:cs="Tahoma"/>
          <w:bCs/>
          <w:color w:val="000000"/>
          <w:szCs w:val="24"/>
        </w:rPr>
        <w:t xml:space="preserve">, a las trece horas, en la liga </w:t>
      </w:r>
      <w:hyperlink r:id="rId13" w:history="1">
        <w:r w:rsidRPr="005556DE">
          <w:rPr>
            <w:rStyle w:val="Hipervnculo"/>
            <w:rFonts w:eastAsia="Calibri" w:cs="Tahoma"/>
            <w:bCs/>
            <w:szCs w:val="24"/>
          </w:rPr>
          <w:t>https://webapps.condusef.gob.mx/SIPRES/jsp/pub/index.jsp</w:t>
        </w:r>
      </w:hyperlink>
      <w:r w:rsidRPr="005556DE">
        <w:rPr>
          <w:rFonts w:eastAsia="Calibri" w:cs="Tahoma"/>
          <w:bCs/>
          <w:color w:val="000000"/>
          <w:szCs w:val="24"/>
        </w:rPr>
        <w:t xml:space="preserve">), que es un registro de </w:t>
      </w:r>
      <w:r w:rsidRPr="005556DE">
        <w:rPr>
          <w:rFonts w:eastAsia="Calibri" w:cs="Tahoma"/>
          <w:b/>
          <w:bCs/>
          <w:color w:val="000000"/>
          <w:szCs w:val="24"/>
        </w:rPr>
        <w:t xml:space="preserve">carácter público, </w:t>
      </w:r>
      <w:r w:rsidRPr="005556DE">
        <w:rPr>
          <w:rFonts w:eastAsia="Calibri" w:cs="Tahoma"/>
          <w:bCs/>
          <w:color w:val="000000"/>
          <w:szCs w:val="24"/>
        </w:rPr>
        <w:t xml:space="preserve">cuyo objetivo principal, consiste en proporcionar información </w:t>
      </w:r>
      <w:r w:rsidRPr="005556DE">
        <w:rPr>
          <w:rFonts w:eastAsia="Calibri" w:cs="Tahoma"/>
          <w:bCs/>
          <w:color w:val="000000"/>
          <w:szCs w:val="24"/>
        </w:rPr>
        <w:lastRenderedPageBreak/>
        <w:t>corporativa y general de las instituciones financieras</w:t>
      </w:r>
      <w:r w:rsidRPr="005556DE">
        <w:rPr>
          <w:rFonts w:eastAsia="Calibri" w:cs="Tahoma"/>
          <w:b/>
          <w:bCs/>
          <w:color w:val="000000"/>
          <w:szCs w:val="24"/>
        </w:rPr>
        <w:t xml:space="preserve">; además, que permite conocer al público general, información de dichos entes, </w:t>
      </w:r>
      <w:r w:rsidRPr="005556DE">
        <w:rPr>
          <w:rFonts w:eastAsia="Calibri" w:cs="Tahoma"/>
          <w:bCs/>
          <w:color w:val="000000"/>
          <w:szCs w:val="24"/>
        </w:rPr>
        <w:t xml:space="preserve">se muestra un ejemplo a continuación: </w:t>
      </w:r>
    </w:p>
    <w:p w14:paraId="4671217F" w14:textId="77777777" w:rsidR="008E78E6" w:rsidRPr="005556DE" w:rsidRDefault="008E78E6" w:rsidP="00A62148">
      <w:pPr>
        <w:widowControl w:val="0"/>
        <w:tabs>
          <w:tab w:val="center" w:pos="4522"/>
        </w:tabs>
        <w:spacing w:after="0" w:line="360" w:lineRule="auto"/>
        <w:rPr>
          <w:rFonts w:eastAsia="Calibri" w:cs="Tahoma"/>
          <w:bCs/>
          <w:color w:val="000000"/>
          <w:szCs w:val="24"/>
        </w:rPr>
      </w:pPr>
    </w:p>
    <w:p w14:paraId="7D1EE1BF" w14:textId="77777777" w:rsidR="008E78E6" w:rsidRPr="005556DE" w:rsidRDefault="008E78E6" w:rsidP="00A62148">
      <w:pPr>
        <w:widowControl w:val="0"/>
        <w:tabs>
          <w:tab w:val="center" w:pos="4522"/>
        </w:tabs>
        <w:spacing w:after="0" w:line="360" w:lineRule="auto"/>
        <w:jc w:val="center"/>
        <w:rPr>
          <w:rFonts w:eastAsia="Calibri" w:cs="Tahoma"/>
          <w:bCs/>
          <w:color w:val="000000"/>
          <w:szCs w:val="24"/>
        </w:rPr>
      </w:pPr>
      <w:r w:rsidRPr="005556DE">
        <w:rPr>
          <w:rFonts w:eastAsia="Calibri" w:cs="Tahoma"/>
          <w:noProof/>
          <w:color w:val="000000"/>
          <w:szCs w:val="24"/>
          <w:lang w:eastAsia="es-MX"/>
        </w:rPr>
        <w:drawing>
          <wp:inline distT="0" distB="0" distL="0" distR="0" wp14:anchorId="7EA0DA03" wp14:editId="58859457">
            <wp:extent cx="4676140" cy="1133475"/>
            <wp:effectExtent l="0" t="0" r="0" b="9525"/>
            <wp:docPr id="1432513716" name="Imagen 8" descr="Imagen que contiene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Imagen que contiene Escala de tiempo&#10;&#10;Descripción generada automáticamente"/>
                    <pic:cNvPicPr>
                      <a:picLocks noChangeAspect="1" noChangeArrowheads="1"/>
                    </pic:cNvPicPr>
                  </pic:nvPicPr>
                  <pic:blipFill rotWithShape="1">
                    <a:blip r:embed="rId14">
                      <a:extLst>
                        <a:ext uri="{28A0092B-C50C-407E-A947-70E740481C1C}">
                          <a14:useLocalDpi xmlns:a14="http://schemas.microsoft.com/office/drawing/2010/main" val="0"/>
                        </a:ext>
                      </a:extLst>
                    </a:blip>
                    <a:srcRect t="1" b="53414"/>
                    <a:stretch/>
                  </pic:blipFill>
                  <pic:spPr bwMode="auto">
                    <a:xfrm>
                      <a:off x="0" y="0"/>
                      <a:ext cx="4714059" cy="1142666"/>
                    </a:xfrm>
                    <a:prstGeom prst="rect">
                      <a:avLst/>
                    </a:prstGeom>
                    <a:noFill/>
                    <a:ln>
                      <a:noFill/>
                    </a:ln>
                    <a:extLst>
                      <a:ext uri="{53640926-AAD7-44D8-BBD7-CCE9431645EC}">
                        <a14:shadowObscured xmlns:a14="http://schemas.microsoft.com/office/drawing/2010/main"/>
                      </a:ext>
                    </a:extLst>
                  </pic:spPr>
                </pic:pic>
              </a:graphicData>
            </a:graphic>
          </wp:inline>
        </w:drawing>
      </w:r>
    </w:p>
    <w:p w14:paraId="24C749B6" w14:textId="77777777" w:rsidR="008E78E6" w:rsidRPr="005556DE" w:rsidRDefault="008E78E6" w:rsidP="00A62148">
      <w:pPr>
        <w:widowControl w:val="0"/>
        <w:tabs>
          <w:tab w:val="center" w:pos="4522"/>
        </w:tabs>
        <w:spacing w:after="0" w:line="360" w:lineRule="auto"/>
        <w:jc w:val="center"/>
        <w:rPr>
          <w:rFonts w:eastAsia="Calibri" w:cs="Tahoma"/>
          <w:bCs/>
          <w:color w:val="000000"/>
          <w:szCs w:val="24"/>
        </w:rPr>
      </w:pPr>
    </w:p>
    <w:p w14:paraId="0C637F32" w14:textId="77777777" w:rsidR="008E78E6" w:rsidRPr="005556DE" w:rsidRDefault="008E78E6" w:rsidP="00A62148">
      <w:pPr>
        <w:widowControl w:val="0"/>
        <w:tabs>
          <w:tab w:val="center" w:pos="4522"/>
        </w:tabs>
        <w:spacing w:after="0" w:line="360" w:lineRule="auto"/>
        <w:rPr>
          <w:rFonts w:eastAsia="Calibri" w:cs="Tahoma"/>
          <w:bCs/>
          <w:color w:val="000000"/>
          <w:szCs w:val="24"/>
        </w:rPr>
      </w:pPr>
      <w:r w:rsidRPr="005556DE">
        <w:rPr>
          <w:rFonts w:eastAsia="Calibri" w:cs="Tahoma"/>
          <w:bCs/>
          <w:color w:val="000000"/>
          <w:szCs w:val="24"/>
        </w:rPr>
        <w:t>Conforme a lo anterior, se logra vislumbrar que el nombre de las instituciones bancarias en primera instancia es de naturaleza pública; sin embargo, en el presente caso, se relacionada con el hecho de que corresponde al banco en el cual un proveedor o contratista decidió recibir el pago de sus servicios; es decir, daría cuenta de la decisión voluntaria de recibir el pago de sus servicios en una determinada institución; lo cual se relaciona con la cuenta y clave interbancaria, mismos que son confidenciales.</w:t>
      </w:r>
    </w:p>
    <w:p w14:paraId="60135DDB" w14:textId="77777777" w:rsidR="008E78E6" w:rsidRPr="005556DE" w:rsidRDefault="008E78E6" w:rsidP="00A62148">
      <w:pPr>
        <w:widowControl w:val="0"/>
        <w:tabs>
          <w:tab w:val="center" w:pos="4522"/>
        </w:tabs>
        <w:spacing w:after="0" w:line="360" w:lineRule="auto"/>
        <w:rPr>
          <w:rFonts w:eastAsia="Calibri" w:cs="Tahoma"/>
          <w:bCs/>
          <w:color w:val="000000"/>
          <w:szCs w:val="24"/>
        </w:rPr>
      </w:pPr>
    </w:p>
    <w:p w14:paraId="62047957" w14:textId="77777777" w:rsidR="008E78E6" w:rsidRPr="005556DE" w:rsidRDefault="008E78E6" w:rsidP="00A62148">
      <w:pPr>
        <w:widowControl w:val="0"/>
        <w:tabs>
          <w:tab w:val="center" w:pos="4522"/>
        </w:tabs>
        <w:spacing w:after="0" w:line="360" w:lineRule="auto"/>
        <w:rPr>
          <w:rFonts w:eastAsia="Calibri" w:cs="Tahoma"/>
          <w:bCs/>
          <w:color w:val="000000"/>
          <w:szCs w:val="24"/>
        </w:rPr>
      </w:pPr>
      <w:r w:rsidRPr="005556DE">
        <w:rPr>
          <w:rFonts w:eastAsia="Calibri" w:cs="Tahoma"/>
          <w:bCs/>
          <w:color w:val="000000"/>
          <w:szCs w:val="24"/>
        </w:rPr>
        <w:t>Además, revelaría el lugar en donde el proveedor recibió los recursos por prestar sus servicios, lo cual únicamente está relacionado a su vida íntima o privada de la persona moral; por lo que, este Instituto considera que el nombre de la institución bancaria, actualiza la causal de clasificación prevista en el artículo 143, fracción I, de la Ley de Transparencia y Acceso a la Información Pública del Estado de México y Municipios.</w:t>
      </w:r>
    </w:p>
    <w:p w14:paraId="60AFF630" w14:textId="77777777" w:rsidR="008E78E6" w:rsidRPr="005556DE" w:rsidRDefault="008E78E6" w:rsidP="00A62148">
      <w:pPr>
        <w:widowControl w:val="0"/>
        <w:tabs>
          <w:tab w:val="center" w:pos="4522"/>
        </w:tabs>
        <w:spacing w:after="0" w:line="360" w:lineRule="auto"/>
        <w:rPr>
          <w:rFonts w:eastAsia="Calibri" w:cs="Tahoma"/>
          <w:color w:val="000000"/>
          <w:szCs w:val="24"/>
          <w:lang w:val="es-ES"/>
        </w:rPr>
      </w:pPr>
    </w:p>
    <w:p w14:paraId="59848BBE" w14:textId="77777777" w:rsidR="008E78E6" w:rsidRPr="005556DE" w:rsidRDefault="008E78E6" w:rsidP="00A62148">
      <w:pPr>
        <w:spacing w:after="0" w:line="360" w:lineRule="auto"/>
        <w:rPr>
          <w:bCs/>
          <w:iCs/>
          <w:color w:val="000000"/>
          <w:lang w:val="es-ES"/>
        </w:rPr>
      </w:pPr>
      <w:r w:rsidRPr="005556DE">
        <w:rPr>
          <w:bCs/>
          <w:iCs/>
          <w:color w:val="000000"/>
          <w:lang w:val="es-ES_tradnl"/>
        </w:rPr>
        <w:t>Además, el Sujeto Obligado, deberá elaborar la versión pública respectiva, tomando en consideración los datos analizados; a</w:t>
      </w:r>
      <w:r w:rsidRPr="005556DE">
        <w:rPr>
          <w:bCs/>
          <w:iCs/>
          <w:color w:val="000000"/>
          <w:lang w:val="es-ES"/>
        </w:rPr>
        <w:t xml:space="preserve">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w:t>
      </w:r>
      <w:r w:rsidRPr="005556DE">
        <w:rPr>
          <w:bCs/>
          <w:iCs/>
          <w:color w:val="000000"/>
          <w:lang w:val="es-ES"/>
        </w:rPr>
        <w:lastRenderedPageBreak/>
        <w:t xml:space="preserve">informativo, deberá elaborar una versión pública en la que se testen las partes o secciones clasificadas, indicando su contenido de manera genérica y fundando y motivando su clasificación. </w:t>
      </w:r>
    </w:p>
    <w:p w14:paraId="4CF1DEF9" w14:textId="77777777" w:rsidR="008E78E6" w:rsidRPr="005556DE" w:rsidRDefault="008E78E6" w:rsidP="00A62148">
      <w:pPr>
        <w:spacing w:after="0" w:line="360" w:lineRule="auto"/>
        <w:rPr>
          <w:bCs/>
          <w:iCs/>
          <w:color w:val="000000"/>
          <w:lang w:val="es-ES"/>
        </w:rPr>
      </w:pPr>
    </w:p>
    <w:p w14:paraId="7603E652" w14:textId="5882A906" w:rsidR="008E78E6" w:rsidRPr="005556DE" w:rsidRDefault="008E78E6" w:rsidP="00A62148">
      <w:pPr>
        <w:spacing w:after="0" w:line="360" w:lineRule="auto"/>
        <w:rPr>
          <w:bCs/>
          <w:iCs/>
          <w:color w:val="000000"/>
          <w:lang w:val="es-ES"/>
        </w:rPr>
      </w:pPr>
      <w:r w:rsidRPr="005556DE">
        <w:rPr>
          <w:bCs/>
          <w:iCs/>
          <w:color w:val="000000"/>
          <w:lang w:val="es-ES"/>
        </w:rPr>
        <w:t xml:space="preserve">Para tal situación, el Sujeto Obligado deberá seguir el procedimiento establecido en el artículo 168 </w:t>
      </w:r>
      <w:r w:rsidR="004617CA" w:rsidRPr="005556DE">
        <w:rPr>
          <w:bCs/>
          <w:iCs/>
          <w:color w:val="000000"/>
          <w:lang w:val="es-ES"/>
        </w:rPr>
        <w:t>de la Ley de Transparencia y Acceso a la Información Pública del Estado de México y Municipios</w:t>
      </w:r>
      <w:r w:rsidRPr="005556DE">
        <w:rPr>
          <w:bCs/>
          <w:iCs/>
          <w:color w:val="000000"/>
          <w:lang w:val="es-ES"/>
        </w:rPr>
        <w:t>; esto es, que el área competente deberá elaborar la versión pública, así como emitir el Acuerdo, por parte del Comité de Transparencia, donde confirme la clasificación de los datos, fundando y motivando la clasificación.</w:t>
      </w:r>
    </w:p>
    <w:p w14:paraId="4B32B04E" w14:textId="77777777" w:rsidR="00D30265" w:rsidRPr="005556DE" w:rsidRDefault="00D30265" w:rsidP="00A62148">
      <w:pPr>
        <w:spacing w:after="0" w:line="360" w:lineRule="auto"/>
        <w:contextualSpacing/>
        <w:rPr>
          <w:iCs/>
          <w:lang w:val="es-ES"/>
        </w:rPr>
      </w:pPr>
    </w:p>
    <w:p w14:paraId="72A288DC" w14:textId="1E3D756D" w:rsidR="00D30265" w:rsidRPr="005556DE" w:rsidRDefault="00D30265" w:rsidP="00A62148">
      <w:pPr>
        <w:spacing w:after="0" w:line="360" w:lineRule="auto"/>
        <w:rPr>
          <w:rFonts w:eastAsia="Times New Roman" w:cs="Tahoma"/>
          <w:bCs/>
          <w:iCs/>
          <w:color w:val="auto"/>
          <w:lang w:eastAsia="es-ES"/>
        </w:rPr>
      </w:pPr>
      <w:r w:rsidRPr="005556DE">
        <w:rPr>
          <w:rFonts w:eastAsia="Times New Roman" w:cs="Tahoma"/>
          <w:bCs/>
          <w:iCs/>
          <w:color w:val="auto"/>
          <w:lang w:val="es-ES" w:eastAsia="es-ES"/>
        </w:rPr>
        <w:t xml:space="preserve">Finalmente, no pasa desapercibido, que el ahora Recurrente, requirió que sea sancionado el </w:t>
      </w:r>
      <w:r w:rsidR="00A62148" w:rsidRPr="005556DE">
        <w:rPr>
          <w:rFonts w:eastAsia="Times New Roman" w:cs="Tahoma"/>
          <w:bCs/>
          <w:iCs/>
          <w:color w:val="auto"/>
          <w:lang w:val="es-ES" w:eastAsia="es-ES"/>
        </w:rPr>
        <w:t>S</w:t>
      </w:r>
      <w:r w:rsidRPr="005556DE">
        <w:rPr>
          <w:rFonts w:eastAsia="Times New Roman" w:cs="Tahoma"/>
          <w:bCs/>
          <w:iCs/>
          <w:color w:val="auto"/>
          <w:lang w:val="es-ES" w:eastAsia="es-ES"/>
        </w:rPr>
        <w:t xml:space="preserve">ujeto </w:t>
      </w:r>
      <w:r w:rsidR="00A62148" w:rsidRPr="005556DE">
        <w:rPr>
          <w:rFonts w:eastAsia="Times New Roman" w:cs="Tahoma"/>
          <w:bCs/>
          <w:iCs/>
          <w:color w:val="auto"/>
          <w:lang w:val="es-ES" w:eastAsia="es-ES"/>
        </w:rPr>
        <w:t>O</w:t>
      </w:r>
      <w:r w:rsidRPr="005556DE">
        <w:rPr>
          <w:rFonts w:eastAsia="Times New Roman" w:cs="Tahoma"/>
          <w:bCs/>
          <w:iCs/>
          <w:color w:val="auto"/>
          <w:lang w:val="es-ES" w:eastAsia="es-ES"/>
        </w:rPr>
        <w:t>bligado</w:t>
      </w:r>
      <w:r w:rsidR="00A62148" w:rsidRPr="005556DE">
        <w:rPr>
          <w:rFonts w:eastAsia="Times New Roman" w:cs="Tahoma"/>
          <w:bCs/>
          <w:iCs/>
          <w:color w:val="auto"/>
          <w:lang w:val="es-ES" w:eastAsia="es-ES"/>
        </w:rPr>
        <w:t>, por su actuar doloso al no entregar lo peticionado; sobre el tema</w:t>
      </w:r>
      <w:r w:rsidRPr="005556DE">
        <w:rPr>
          <w:rFonts w:eastAsia="Times New Roman" w:cs="Tahoma"/>
          <w:bCs/>
          <w:iCs/>
          <w:color w:val="auto"/>
          <w:lang w:eastAsia="es-ES"/>
        </w:rPr>
        <w:t xml:space="preserve">, </w:t>
      </w:r>
      <w:r w:rsidR="00A62148" w:rsidRPr="005556DE">
        <w:rPr>
          <w:rFonts w:eastAsia="Times New Roman" w:cs="Tahoma"/>
          <w:bCs/>
          <w:iCs/>
          <w:color w:val="auto"/>
          <w:lang w:eastAsia="es-ES"/>
        </w:rPr>
        <w:t>e</w:t>
      </w:r>
      <w:r w:rsidRPr="005556DE">
        <w:rPr>
          <w:rFonts w:eastAsia="Times New Roman" w:cs="Tahoma"/>
          <w:bCs/>
          <w:iCs/>
          <w:color w:val="auto"/>
          <w:lang w:eastAsia="es-ES"/>
        </w:rPr>
        <w:t>l artículo 36, fracción X, de la Ley de Transparencia y Acceso a la Información Pública del Estado de México y Municipios, establece que es atribución de este Instituto hacer del conocimiento del Órgano Interno de Control o equivalente de cada Sujeto Obligado las infracciones a esta Ley.</w:t>
      </w:r>
    </w:p>
    <w:p w14:paraId="606948AC" w14:textId="77777777" w:rsidR="00D30265" w:rsidRPr="005556DE" w:rsidRDefault="00D30265" w:rsidP="00A62148">
      <w:pPr>
        <w:spacing w:after="0" w:line="360" w:lineRule="auto"/>
        <w:rPr>
          <w:rFonts w:eastAsia="Times New Roman" w:cs="Tahoma"/>
          <w:bCs/>
          <w:iCs/>
          <w:color w:val="auto"/>
          <w:lang w:eastAsia="es-ES"/>
        </w:rPr>
      </w:pPr>
    </w:p>
    <w:p w14:paraId="2FD97C8D" w14:textId="77777777" w:rsidR="00A62148" w:rsidRPr="005556DE" w:rsidRDefault="00D30265" w:rsidP="00A62148">
      <w:pPr>
        <w:spacing w:after="0" w:line="360" w:lineRule="auto"/>
        <w:rPr>
          <w:rFonts w:eastAsia="Times New Roman" w:cs="Tahoma"/>
          <w:bCs/>
          <w:iCs/>
          <w:color w:val="auto"/>
          <w:lang w:eastAsia="es-ES"/>
        </w:rPr>
      </w:pPr>
      <w:r w:rsidRPr="005556DE">
        <w:rPr>
          <w:rFonts w:eastAsia="Times New Roman" w:cs="Tahoma"/>
          <w:bCs/>
          <w:iCs/>
          <w:color w:val="auto"/>
          <w:lang w:eastAsia="es-ES"/>
        </w:rPr>
        <w:t>En ese sentido, de conformidad con lo previsto en el artículo 222, fracción III, de dicho ordenamiento, son causas de sanción por incumplimiento de las obligaciones establecida en la Ley de la materia, entre otras conductas, el actuar con negligencia, dolo o mala fe en la atención de las solicitudes de información.</w:t>
      </w:r>
      <w:r w:rsidR="00A62148" w:rsidRPr="005556DE">
        <w:rPr>
          <w:rFonts w:eastAsia="Times New Roman" w:cs="Tahoma"/>
          <w:bCs/>
          <w:iCs/>
          <w:color w:val="auto"/>
          <w:lang w:eastAsia="es-ES"/>
        </w:rPr>
        <w:t xml:space="preserve"> </w:t>
      </w:r>
    </w:p>
    <w:p w14:paraId="234BF849" w14:textId="77777777" w:rsidR="00A62148" w:rsidRPr="005556DE" w:rsidRDefault="00A62148" w:rsidP="00A62148">
      <w:pPr>
        <w:spacing w:after="0" w:line="360" w:lineRule="auto"/>
        <w:rPr>
          <w:rFonts w:eastAsia="Times New Roman" w:cs="Tahoma"/>
          <w:bCs/>
          <w:iCs/>
          <w:color w:val="auto"/>
          <w:lang w:eastAsia="es-ES"/>
        </w:rPr>
      </w:pPr>
    </w:p>
    <w:p w14:paraId="19F3E08B" w14:textId="458BE7E4" w:rsidR="00D30265" w:rsidRPr="005556DE" w:rsidRDefault="00D30265" w:rsidP="00A62148">
      <w:pPr>
        <w:spacing w:after="0" w:line="360" w:lineRule="auto"/>
        <w:rPr>
          <w:rFonts w:eastAsia="Times New Roman" w:cs="Tahoma"/>
          <w:bCs/>
          <w:iCs/>
          <w:color w:val="auto"/>
          <w:lang w:eastAsia="es-ES"/>
        </w:rPr>
      </w:pPr>
      <w:r w:rsidRPr="005556DE">
        <w:rPr>
          <w:rFonts w:eastAsia="Times New Roman" w:cs="Tahoma"/>
          <w:bCs/>
          <w:iCs/>
          <w:color w:val="auto"/>
          <w:lang w:eastAsia="es-ES"/>
        </w:rPr>
        <w:t>Por su parte, el artículo 223 de la Ley de Transparencia y Acceso a la Información Pública del Estado de México y Municipios, prevé que este Instituto deberá dar vista a la Contraloría Interna, con el fin de que determine el grado de responsabilidad de los servidores públicos que incumplan con las obligaciones establecidas en la Ley.</w:t>
      </w:r>
    </w:p>
    <w:p w14:paraId="3BF9F6BC" w14:textId="77777777" w:rsidR="00D30265" w:rsidRPr="005556DE" w:rsidRDefault="00D30265" w:rsidP="00A62148">
      <w:pPr>
        <w:spacing w:after="0" w:line="360" w:lineRule="auto"/>
        <w:rPr>
          <w:rFonts w:eastAsia="Times New Roman" w:cs="Tahoma"/>
          <w:bCs/>
          <w:iCs/>
          <w:color w:val="auto"/>
          <w:lang w:val="es-ES" w:eastAsia="es-ES"/>
        </w:rPr>
      </w:pPr>
    </w:p>
    <w:p w14:paraId="7F7B53A6" w14:textId="0BB83EFB" w:rsidR="00D30265" w:rsidRPr="005556DE" w:rsidRDefault="00D30265" w:rsidP="00A62148">
      <w:pPr>
        <w:spacing w:after="0" w:line="360" w:lineRule="auto"/>
        <w:rPr>
          <w:rFonts w:eastAsia="Times New Roman" w:cs="Tahoma"/>
          <w:bCs/>
          <w:iCs/>
          <w:color w:val="auto"/>
          <w:lang w:val="es-ES" w:eastAsia="es-ES"/>
        </w:rPr>
      </w:pPr>
      <w:r w:rsidRPr="005556DE">
        <w:rPr>
          <w:rFonts w:eastAsia="Times New Roman" w:cs="Tahoma"/>
          <w:bCs/>
          <w:iCs/>
          <w:color w:val="auto"/>
          <w:lang w:val="es-ES" w:eastAsia="es-ES"/>
        </w:rPr>
        <w:lastRenderedPageBreak/>
        <w:t xml:space="preserve">En el presente caso, este Instituto no cuenta con elementos necesarios para indicar que el actuar del Sujeto Obligado actuó con negligencia, dolo o mala fe al atender la solicitud de </w:t>
      </w:r>
      <w:r w:rsidR="00A62148" w:rsidRPr="005556DE">
        <w:rPr>
          <w:rFonts w:eastAsia="Times New Roman" w:cs="Tahoma"/>
          <w:bCs/>
          <w:iCs/>
          <w:color w:val="auto"/>
          <w:lang w:val="es-ES" w:eastAsia="es-ES"/>
        </w:rPr>
        <w:t>información; por</w:t>
      </w:r>
      <w:r w:rsidRPr="005556DE">
        <w:rPr>
          <w:rFonts w:eastAsia="Times New Roman" w:cs="Tahoma"/>
          <w:bCs/>
          <w:iCs/>
          <w:color w:val="auto"/>
          <w:lang w:val="es-ES" w:eastAsia="es-ES"/>
        </w:rPr>
        <w:t xml:space="preserve"> lo que, no resulta procedente dar vista a la </w:t>
      </w:r>
      <w:r w:rsidR="00A62148" w:rsidRPr="005556DE">
        <w:rPr>
          <w:rFonts w:eastAsia="Times New Roman" w:cs="Tahoma"/>
          <w:bCs/>
          <w:iCs/>
          <w:color w:val="auto"/>
          <w:lang w:val="es-ES" w:eastAsia="es-ES"/>
        </w:rPr>
        <w:t xml:space="preserve">autoridad competente </w:t>
      </w:r>
      <w:r w:rsidRPr="005556DE">
        <w:rPr>
          <w:rFonts w:eastAsia="Times New Roman" w:cs="Tahoma"/>
          <w:bCs/>
          <w:iCs/>
          <w:color w:val="auto"/>
          <w:lang w:val="es-ES" w:eastAsia="es-ES"/>
        </w:rPr>
        <w:t>en el presente asunto. Sin embargo, se dejan a salvo los derechos del Particular, para que dé así requerirlo, presente la queja o denuncia</w:t>
      </w:r>
      <w:r w:rsidR="00A62148" w:rsidRPr="005556DE">
        <w:rPr>
          <w:rFonts w:eastAsia="Times New Roman" w:cs="Tahoma"/>
          <w:bCs/>
          <w:iCs/>
          <w:color w:val="auto"/>
          <w:lang w:val="es-ES" w:eastAsia="es-ES"/>
        </w:rPr>
        <w:t xml:space="preserve"> ante la Contraloría</w:t>
      </w:r>
      <w:r w:rsidRPr="005556DE">
        <w:rPr>
          <w:rFonts w:eastAsia="Times New Roman" w:cs="Tahoma"/>
          <w:bCs/>
          <w:iCs/>
          <w:color w:val="auto"/>
          <w:lang w:val="es-ES" w:eastAsia="es-ES"/>
        </w:rPr>
        <w:t xml:space="preserve"> del </w:t>
      </w:r>
      <w:r w:rsidRPr="005556DE">
        <w:rPr>
          <w:rFonts w:eastAsia="Times New Roman" w:cs="Tahoma"/>
          <w:iCs/>
          <w:color w:val="auto"/>
          <w:lang w:eastAsia="es-ES"/>
        </w:rPr>
        <w:t xml:space="preserve">Sujeto Obligado. </w:t>
      </w:r>
    </w:p>
    <w:p w14:paraId="4B5058FE" w14:textId="77777777" w:rsidR="00AF43DD" w:rsidRPr="005556DE" w:rsidRDefault="00AF43DD" w:rsidP="00A62148">
      <w:pPr>
        <w:spacing w:after="0" w:line="360" w:lineRule="auto"/>
        <w:ind w:right="-28"/>
        <w:rPr>
          <w:color w:val="FF0000"/>
          <w:lang w:val="es-ES"/>
        </w:rPr>
      </w:pPr>
    </w:p>
    <w:p w14:paraId="6472DA78" w14:textId="77777777" w:rsidR="00AF43DD" w:rsidRPr="005556DE" w:rsidRDefault="00AF43DD" w:rsidP="00A62148">
      <w:pPr>
        <w:spacing w:after="0" w:line="360" w:lineRule="auto"/>
        <w:rPr>
          <w:b/>
          <w:color w:val="auto"/>
        </w:rPr>
      </w:pPr>
      <w:r w:rsidRPr="005556DE">
        <w:rPr>
          <w:b/>
          <w:color w:val="auto"/>
        </w:rPr>
        <w:t>SEXTO. Decisión</w:t>
      </w:r>
    </w:p>
    <w:p w14:paraId="25341166" w14:textId="77777777" w:rsidR="00AF43DD" w:rsidRPr="005556DE" w:rsidRDefault="00AF43DD" w:rsidP="00A62148">
      <w:pPr>
        <w:spacing w:after="0" w:line="360" w:lineRule="auto"/>
        <w:rPr>
          <w:b/>
          <w:color w:val="FF0000"/>
        </w:rPr>
      </w:pPr>
    </w:p>
    <w:p w14:paraId="598C4DCB" w14:textId="5713C69D" w:rsidR="00AF43DD" w:rsidRPr="005556DE" w:rsidRDefault="00AF43DD" w:rsidP="00A62148">
      <w:pPr>
        <w:spacing w:after="0" w:line="360" w:lineRule="auto"/>
        <w:ind w:right="-93"/>
        <w:rPr>
          <w:color w:val="auto"/>
        </w:rPr>
      </w:pPr>
      <w:r w:rsidRPr="005556DE">
        <w:rPr>
          <w:rFonts w:cs="Tahoma"/>
          <w:color w:val="auto"/>
        </w:rPr>
        <w:t xml:space="preserve">Con fundamento en el artículo 186, fracción III, de la Ley de Transparencia y Acceso a la Información Pública del Estado de México y Municipios, este Instituto considera procedente </w:t>
      </w:r>
      <w:r w:rsidRPr="005556DE">
        <w:rPr>
          <w:rFonts w:cs="Tahoma"/>
          <w:b/>
          <w:color w:val="auto"/>
        </w:rPr>
        <w:t xml:space="preserve">REVOCAR </w:t>
      </w:r>
      <w:r w:rsidRPr="005556DE">
        <w:rPr>
          <w:color w:val="auto"/>
        </w:rPr>
        <w:t>la respuesta otorgada a la solicitud de información, toda vez que el Sujeto Obligado, no proporcionó la información requerida</w:t>
      </w:r>
      <w:r w:rsidR="00672FE0" w:rsidRPr="005556DE">
        <w:rPr>
          <w:color w:val="auto"/>
        </w:rPr>
        <w:t xml:space="preserve"> y fue omiso en turnar la solicitud de información a todas las áreas competentes para conocer de lo solicitado.</w:t>
      </w:r>
    </w:p>
    <w:p w14:paraId="6BA40279" w14:textId="77777777" w:rsidR="00D54702" w:rsidRPr="005556DE" w:rsidRDefault="00D54702" w:rsidP="00A62148">
      <w:pPr>
        <w:spacing w:after="0" w:line="360" w:lineRule="auto"/>
        <w:ind w:right="-93"/>
        <w:rPr>
          <w:color w:val="FF0000"/>
        </w:rPr>
      </w:pPr>
    </w:p>
    <w:p w14:paraId="4122C3BC" w14:textId="77777777" w:rsidR="00AF43DD" w:rsidRPr="005556DE" w:rsidRDefault="00AF43DD" w:rsidP="00A62148">
      <w:pPr>
        <w:spacing w:after="0" w:line="360" w:lineRule="auto"/>
        <w:rPr>
          <w:b/>
          <w:color w:val="auto"/>
        </w:rPr>
      </w:pPr>
      <w:r w:rsidRPr="005556DE">
        <w:rPr>
          <w:b/>
          <w:color w:val="auto"/>
        </w:rPr>
        <w:t>Términos de la Resolución para conocimiento del Particular</w:t>
      </w:r>
    </w:p>
    <w:p w14:paraId="6DBBED78" w14:textId="77777777" w:rsidR="00AF43DD" w:rsidRPr="005556DE" w:rsidRDefault="00AF43DD" w:rsidP="00A62148">
      <w:pPr>
        <w:spacing w:after="0" w:line="360" w:lineRule="auto"/>
        <w:rPr>
          <w:b/>
          <w:color w:val="FF0000"/>
        </w:rPr>
      </w:pPr>
    </w:p>
    <w:p w14:paraId="56FEB185" w14:textId="1567BD8A" w:rsidR="004617CA" w:rsidRPr="005556DE" w:rsidRDefault="00AF43DD" w:rsidP="00A62148">
      <w:pPr>
        <w:spacing w:after="0" w:line="360" w:lineRule="auto"/>
        <w:rPr>
          <w:color w:val="auto"/>
        </w:rPr>
      </w:pPr>
      <w:r w:rsidRPr="005556DE">
        <w:rPr>
          <w:color w:val="auto"/>
        </w:rPr>
        <w:t xml:space="preserve">Se le hace del conocimiento al Particular, que, en el presente caso, se le concede la razón, pues el Sujeto Obligado, </w:t>
      </w:r>
      <w:r w:rsidR="00C24833" w:rsidRPr="005556DE">
        <w:rPr>
          <w:color w:val="auto"/>
        </w:rPr>
        <w:t>mencionó que adjuntaba</w:t>
      </w:r>
      <w:r w:rsidR="009F3FF7" w:rsidRPr="005556DE">
        <w:rPr>
          <w:color w:val="auto"/>
        </w:rPr>
        <w:t xml:space="preserve"> parte de los contratos solicitados</w:t>
      </w:r>
      <w:r w:rsidR="00C24833" w:rsidRPr="005556DE">
        <w:rPr>
          <w:color w:val="auto"/>
        </w:rPr>
        <w:t>, omitió adjuntarlos</w:t>
      </w:r>
      <w:r w:rsidRPr="005556DE">
        <w:rPr>
          <w:color w:val="auto"/>
        </w:rPr>
        <w:t>,</w:t>
      </w:r>
      <w:r w:rsidR="009F3FF7" w:rsidRPr="005556DE">
        <w:rPr>
          <w:color w:val="auto"/>
        </w:rPr>
        <w:t xml:space="preserve"> remitió una liga en formato cerrado y fue omiso en turnar la solicitud de información a todas las áreas competentes para conocer de lo solicitado, </w:t>
      </w:r>
      <w:r w:rsidRPr="005556DE">
        <w:rPr>
          <w:color w:val="auto"/>
        </w:rPr>
        <w:t xml:space="preserve"> por lo que, deberá entregar </w:t>
      </w:r>
      <w:r w:rsidR="004617CA" w:rsidRPr="005556DE">
        <w:rPr>
          <w:color w:val="auto"/>
        </w:rPr>
        <w:t>todos los contratos celebrados, no importa la naturaleza de estos, pues inclusive dicha información es una obligación de transparencia.</w:t>
      </w:r>
      <w:r w:rsidRPr="005556DE">
        <w:rPr>
          <w:color w:val="auto"/>
        </w:rPr>
        <w:t xml:space="preserve"> </w:t>
      </w:r>
    </w:p>
    <w:p w14:paraId="3A48A615" w14:textId="77777777" w:rsidR="004617CA" w:rsidRPr="005556DE" w:rsidRDefault="004617CA" w:rsidP="00A62148">
      <w:pPr>
        <w:spacing w:after="0" w:line="360" w:lineRule="auto"/>
        <w:rPr>
          <w:color w:val="auto"/>
        </w:rPr>
      </w:pPr>
    </w:p>
    <w:p w14:paraId="5D91FD31" w14:textId="0EF5DD99" w:rsidR="00AF43DD" w:rsidRPr="005556DE" w:rsidRDefault="00AF43DD" w:rsidP="00A62148">
      <w:pPr>
        <w:spacing w:after="0" w:line="360" w:lineRule="auto"/>
        <w:rPr>
          <w:color w:val="auto"/>
        </w:rPr>
      </w:pPr>
      <w:r w:rsidRPr="005556DE">
        <w:rPr>
          <w:rFonts w:eastAsia="Calibri" w:cs="Times New Roman"/>
          <w:color w:val="auto"/>
        </w:rPr>
        <w:t>Finalmente,</w:t>
      </w:r>
      <w:r w:rsidR="004617CA" w:rsidRPr="005556DE">
        <w:rPr>
          <w:rFonts w:eastAsia="Calibri" w:cs="Times New Roman"/>
          <w:color w:val="auto"/>
        </w:rPr>
        <w:t xml:space="preserve"> se le informa que</w:t>
      </w:r>
      <w:r w:rsidRPr="005556DE">
        <w:rPr>
          <w:rFonts w:eastAsia="Calibri" w:cs="Times New Roman"/>
          <w:color w:val="auto"/>
        </w:rPr>
        <w:t xml:space="preserve"> la labor </w:t>
      </w:r>
      <w:r w:rsidR="000B1245" w:rsidRPr="005556DE">
        <w:rPr>
          <w:rFonts w:eastAsia="Calibri" w:cs="Times New Roman"/>
          <w:color w:val="auto"/>
        </w:rPr>
        <w:t>d</w:t>
      </w:r>
      <w:r w:rsidR="004617CA" w:rsidRPr="005556DE">
        <w:rPr>
          <w:rFonts w:eastAsia="Calibri" w:cs="Times New Roman"/>
          <w:color w:val="auto"/>
        </w:rPr>
        <w:t>e este</w:t>
      </w:r>
      <w:r w:rsidRPr="005556DE">
        <w:rPr>
          <w:rFonts w:eastAsia="Calibri" w:cs="Times New Roman"/>
          <w:color w:val="auto"/>
        </w:rPr>
        <w:t xml:space="preserve"> Instituto</w:t>
      </w:r>
      <w:r w:rsidR="004617CA" w:rsidRPr="005556DE">
        <w:rPr>
          <w:rFonts w:eastAsia="Calibri" w:cs="Times New Roman"/>
          <w:color w:val="auto"/>
        </w:rPr>
        <w:t xml:space="preserve"> de Transparencia, Acceso a la Información Pública y Protección de Datos Personales del Estado de México y Municipios</w:t>
      </w:r>
      <w:r w:rsidRPr="005556DE">
        <w:rPr>
          <w:rFonts w:eastAsia="Calibri" w:cs="Times New Roman"/>
          <w:color w:val="auto"/>
        </w:rPr>
        <w:t>, es apoyar a la población a acceder a la información pública y garantizar la protección de los datos personales.</w:t>
      </w:r>
    </w:p>
    <w:p w14:paraId="7671317C" w14:textId="77777777" w:rsidR="00AF43DD" w:rsidRPr="005556DE" w:rsidRDefault="00AF43DD" w:rsidP="00A62148">
      <w:pPr>
        <w:spacing w:after="0" w:line="360" w:lineRule="auto"/>
        <w:rPr>
          <w:color w:val="auto"/>
        </w:rPr>
      </w:pPr>
      <w:r w:rsidRPr="005556DE">
        <w:rPr>
          <w:color w:val="auto"/>
        </w:rPr>
        <w:lastRenderedPageBreak/>
        <w:t>Por lo expuesto y fundado, este Pleno:</w:t>
      </w:r>
    </w:p>
    <w:p w14:paraId="35DC8BD2" w14:textId="77777777" w:rsidR="004617CA" w:rsidRPr="005556DE" w:rsidRDefault="004617CA" w:rsidP="00A62148">
      <w:pPr>
        <w:spacing w:after="0" w:line="360" w:lineRule="auto"/>
        <w:rPr>
          <w:b/>
          <w:color w:val="auto"/>
        </w:rPr>
      </w:pPr>
    </w:p>
    <w:p w14:paraId="428C5C16" w14:textId="77777777" w:rsidR="00AF43DD" w:rsidRPr="005556DE" w:rsidRDefault="00AF43DD" w:rsidP="00A62148">
      <w:pPr>
        <w:spacing w:after="0" w:line="360" w:lineRule="auto"/>
        <w:jc w:val="center"/>
        <w:rPr>
          <w:b/>
          <w:color w:val="auto"/>
        </w:rPr>
      </w:pPr>
      <w:r w:rsidRPr="005556DE">
        <w:rPr>
          <w:b/>
          <w:color w:val="auto"/>
        </w:rPr>
        <w:t>R E S U E L V E</w:t>
      </w:r>
    </w:p>
    <w:p w14:paraId="1DB59248" w14:textId="77777777" w:rsidR="00AF43DD" w:rsidRPr="005556DE" w:rsidRDefault="00AF43DD" w:rsidP="00A62148">
      <w:pPr>
        <w:spacing w:after="0" w:line="360" w:lineRule="auto"/>
        <w:rPr>
          <w:color w:val="auto"/>
        </w:rPr>
      </w:pPr>
    </w:p>
    <w:p w14:paraId="59B9A946" w14:textId="063731CD" w:rsidR="00AF43DD" w:rsidRPr="005556DE" w:rsidRDefault="00AF43DD" w:rsidP="00A62148">
      <w:pPr>
        <w:spacing w:after="0" w:line="360" w:lineRule="auto"/>
        <w:rPr>
          <w:color w:val="auto"/>
        </w:rPr>
      </w:pPr>
      <w:r w:rsidRPr="005556DE">
        <w:rPr>
          <w:b/>
          <w:color w:val="auto"/>
        </w:rPr>
        <w:t xml:space="preserve">PRIMERO. </w:t>
      </w:r>
      <w:r w:rsidRPr="005556DE">
        <w:rPr>
          <w:color w:val="auto"/>
        </w:rPr>
        <w:t xml:space="preserve">Se </w:t>
      </w:r>
      <w:r w:rsidRPr="005556DE">
        <w:rPr>
          <w:b/>
          <w:color w:val="auto"/>
        </w:rPr>
        <w:t xml:space="preserve">REVOCA </w:t>
      </w:r>
      <w:r w:rsidRPr="005556DE">
        <w:rPr>
          <w:color w:val="auto"/>
        </w:rPr>
        <w:t xml:space="preserve">la respuesta otorgada por el Sujeto Obligado a la solicitud de acceso a la información </w:t>
      </w:r>
      <w:r w:rsidR="009F3FF7" w:rsidRPr="005556DE">
        <w:rPr>
          <w:color w:val="auto"/>
        </w:rPr>
        <w:t>03449/TOLUCA/IP/2024</w:t>
      </w:r>
      <w:r w:rsidRPr="005556DE">
        <w:rPr>
          <w:color w:val="auto"/>
        </w:rPr>
        <w:t xml:space="preserve">, por resultar </w:t>
      </w:r>
      <w:r w:rsidRPr="005556DE">
        <w:rPr>
          <w:b/>
          <w:color w:val="auto"/>
        </w:rPr>
        <w:t xml:space="preserve">FUNDADOS </w:t>
      </w:r>
      <w:r w:rsidRPr="005556DE">
        <w:rPr>
          <w:color w:val="auto"/>
        </w:rPr>
        <w:t>los agravios</w:t>
      </w:r>
      <w:r w:rsidRPr="005556DE">
        <w:rPr>
          <w:b/>
          <w:color w:val="auto"/>
        </w:rPr>
        <w:t xml:space="preserve"> </w:t>
      </w:r>
      <w:r w:rsidRPr="005556DE">
        <w:rPr>
          <w:color w:val="auto"/>
        </w:rPr>
        <w:t>hechos valer por el Particular, en el Recurso de Revisión</w:t>
      </w:r>
      <w:r w:rsidRPr="005556DE">
        <w:rPr>
          <w:b/>
          <w:color w:val="auto"/>
        </w:rPr>
        <w:t xml:space="preserve">, </w:t>
      </w:r>
      <w:r w:rsidRPr="005556DE">
        <w:rPr>
          <w:color w:val="auto"/>
        </w:rPr>
        <w:t xml:space="preserve">en términos de los Considerandos QUINTO y SEXTO de la presente Resolución.  </w:t>
      </w:r>
    </w:p>
    <w:p w14:paraId="429FC975" w14:textId="77777777" w:rsidR="00AF43DD" w:rsidRPr="005556DE" w:rsidRDefault="00AF43DD" w:rsidP="00A62148">
      <w:pPr>
        <w:spacing w:after="0" w:line="360" w:lineRule="auto"/>
        <w:rPr>
          <w:b/>
          <w:color w:val="FF0000"/>
        </w:rPr>
      </w:pPr>
    </w:p>
    <w:p w14:paraId="459A9C72" w14:textId="6D39A9A2" w:rsidR="008E78E6" w:rsidRPr="005556DE" w:rsidRDefault="00AF43DD" w:rsidP="00A62148">
      <w:pPr>
        <w:spacing w:after="0" w:line="360" w:lineRule="auto"/>
        <w:rPr>
          <w:color w:val="auto"/>
        </w:rPr>
      </w:pPr>
      <w:r w:rsidRPr="005556DE">
        <w:rPr>
          <w:b/>
          <w:color w:val="auto"/>
        </w:rPr>
        <w:t xml:space="preserve">SEGUNDO. </w:t>
      </w:r>
      <w:r w:rsidRPr="005556DE">
        <w:rPr>
          <w:color w:val="auto"/>
        </w:rPr>
        <w:t xml:space="preserve">Se </w:t>
      </w:r>
      <w:r w:rsidRPr="005556DE">
        <w:rPr>
          <w:b/>
          <w:color w:val="auto"/>
        </w:rPr>
        <w:t>ORDENA</w:t>
      </w:r>
      <w:r w:rsidRPr="005556DE">
        <w:rPr>
          <w:color w:val="auto"/>
        </w:rPr>
        <w:t xml:space="preserve"> al Sujeto Obligado, a efecto de que, previa búsqueda exhaustiva y razonable en las áreas competentes, a través del Sistema de Acceso a la Información Mexiquense (SAIMEX), entregue</w:t>
      </w:r>
      <w:r w:rsidR="00716A83" w:rsidRPr="005556DE">
        <w:rPr>
          <w:color w:val="auto"/>
        </w:rPr>
        <w:t xml:space="preserve">, </w:t>
      </w:r>
      <w:r w:rsidR="008E78E6" w:rsidRPr="005556DE">
        <w:rPr>
          <w:color w:val="auto"/>
        </w:rPr>
        <w:t xml:space="preserve">en su caso, </w:t>
      </w:r>
      <w:r w:rsidR="00716A83" w:rsidRPr="005556DE">
        <w:rPr>
          <w:color w:val="auto"/>
        </w:rPr>
        <w:t xml:space="preserve">en versión pública, </w:t>
      </w:r>
      <w:r w:rsidR="008E78E6" w:rsidRPr="005556DE">
        <w:rPr>
          <w:color w:val="auto"/>
        </w:rPr>
        <w:t>los contratos (de cualquier naturaleza),</w:t>
      </w:r>
      <w:r w:rsidR="004617CA" w:rsidRPr="005556DE">
        <w:rPr>
          <w:color w:val="auto"/>
        </w:rPr>
        <w:t xml:space="preserve"> celebrados</w:t>
      </w:r>
      <w:r w:rsidR="008E78E6" w:rsidRPr="005556DE">
        <w:rPr>
          <w:color w:val="auto"/>
        </w:rPr>
        <w:t xml:space="preserve"> del primero de enero al diez de diciembre de dos mil veinticuatro, </w:t>
      </w:r>
      <w:r w:rsidR="004617CA" w:rsidRPr="005556DE">
        <w:rPr>
          <w:color w:val="auto"/>
        </w:rPr>
        <w:t xml:space="preserve">por </w:t>
      </w:r>
      <w:r w:rsidR="008E78E6" w:rsidRPr="005556DE">
        <w:rPr>
          <w:color w:val="auto"/>
        </w:rPr>
        <w:t>las siguientes instituciones:</w:t>
      </w:r>
    </w:p>
    <w:p w14:paraId="791E79F0" w14:textId="77777777" w:rsidR="00896FB9" w:rsidRPr="005556DE" w:rsidRDefault="00896FB9" w:rsidP="00A62148">
      <w:pPr>
        <w:spacing w:after="0" w:line="360" w:lineRule="auto"/>
        <w:rPr>
          <w:rFonts w:cs="Tahoma"/>
          <w:color w:val="FF0000"/>
        </w:rPr>
      </w:pPr>
    </w:p>
    <w:p w14:paraId="0092E18C" w14:textId="582D9A4B" w:rsidR="00FE6217" w:rsidRPr="005556DE" w:rsidRDefault="008E78E6" w:rsidP="00A62148">
      <w:pPr>
        <w:pStyle w:val="Prrafodelista"/>
        <w:numPr>
          <w:ilvl w:val="0"/>
          <w:numId w:val="4"/>
        </w:numPr>
        <w:spacing w:after="0" w:line="360" w:lineRule="auto"/>
        <w:ind w:left="993" w:right="-28"/>
        <w:jc w:val="left"/>
        <w:rPr>
          <w:rFonts w:eastAsia="Times New Roman" w:cs="Tahoma"/>
          <w:bCs/>
          <w:color w:val="auto"/>
          <w:lang w:eastAsia="es-ES"/>
        </w:rPr>
      </w:pPr>
      <w:r w:rsidRPr="005556DE">
        <w:rPr>
          <w:rFonts w:eastAsia="Times New Roman" w:cs="Tahoma"/>
          <w:bCs/>
          <w:color w:val="auto"/>
          <w:lang w:eastAsia="es-ES"/>
        </w:rPr>
        <w:t>Ayuntamiento de Toluca, y</w:t>
      </w:r>
    </w:p>
    <w:p w14:paraId="62BDC77E" w14:textId="1E971B69" w:rsidR="008E78E6" w:rsidRPr="005556DE" w:rsidRDefault="008E78E6" w:rsidP="00A62148">
      <w:pPr>
        <w:pStyle w:val="Prrafodelista"/>
        <w:numPr>
          <w:ilvl w:val="0"/>
          <w:numId w:val="4"/>
        </w:numPr>
        <w:spacing w:after="0" w:line="360" w:lineRule="auto"/>
        <w:ind w:left="993" w:right="-28"/>
        <w:jc w:val="left"/>
        <w:rPr>
          <w:rFonts w:eastAsia="Times New Roman" w:cs="Tahoma"/>
          <w:bCs/>
          <w:color w:val="auto"/>
          <w:lang w:eastAsia="es-ES"/>
        </w:rPr>
      </w:pPr>
      <w:r w:rsidRPr="005556DE">
        <w:rPr>
          <w:rFonts w:eastAsia="Times New Roman" w:cs="Tahoma"/>
          <w:bCs/>
          <w:color w:val="auto"/>
          <w:lang w:eastAsia="es-ES"/>
        </w:rPr>
        <w:t>Instituto Municipal de la Mujer.</w:t>
      </w:r>
    </w:p>
    <w:p w14:paraId="60819651" w14:textId="77777777" w:rsidR="00AF43DD" w:rsidRPr="005556DE" w:rsidRDefault="00AF43DD" w:rsidP="00A62148">
      <w:pPr>
        <w:pBdr>
          <w:top w:val="nil"/>
          <w:left w:val="nil"/>
          <w:bottom w:val="nil"/>
          <w:right w:val="nil"/>
          <w:between w:val="nil"/>
        </w:pBdr>
        <w:spacing w:after="0" w:line="360" w:lineRule="auto"/>
        <w:ind w:right="-28"/>
        <w:rPr>
          <w:color w:val="FF0000"/>
        </w:rPr>
      </w:pPr>
    </w:p>
    <w:p w14:paraId="197C4E46" w14:textId="22803460" w:rsidR="00896FB9" w:rsidRPr="005556DE" w:rsidRDefault="00896FB9" w:rsidP="00A62148">
      <w:pPr>
        <w:spacing w:after="0" w:line="360" w:lineRule="auto"/>
        <w:rPr>
          <w:rFonts w:eastAsia="Calibri" w:cs="Tahoma"/>
          <w:bCs/>
          <w:iCs/>
          <w:color w:val="auto"/>
          <w:lang w:eastAsia="es-ES"/>
        </w:rPr>
      </w:pPr>
      <w:r w:rsidRPr="005556DE">
        <w:rPr>
          <w:rFonts w:eastAsia="Calibri" w:cs="Tahoma"/>
          <w:bCs/>
          <w:iCs/>
          <w:color w:val="auto"/>
          <w:lang w:eastAsia="es-ES"/>
        </w:rPr>
        <w:t>Además, deberá proporcionar el Acuerdo de Clasificación donde el Comité de Transparencia, confirme la eliminación de los datos confidenciales, en la versión pública, de conformidad con los artículos 49, fracciones II y VIII y 132, fracción II de la Ley de Transparencia y Acceso a la Información Pública del Estado de México y Municipios.</w:t>
      </w:r>
    </w:p>
    <w:p w14:paraId="39FE84D8" w14:textId="77777777" w:rsidR="00896FB9" w:rsidRPr="005556DE" w:rsidRDefault="00896FB9" w:rsidP="00A62148">
      <w:pPr>
        <w:pBdr>
          <w:top w:val="nil"/>
          <w:left w:val="nil"/>
          <w:bottom w:val="nil"/>
          <w:right w:val="nil"/>
          <w:between w:val="nil"/>
        </w:pBdr>
        <w:spacing w:after="0" w:line="360" w:lineRule="auto"/>
        <w:ind w:right="-28"/>
        <w:rPr>
          <w:color w:val="FF0000"/>
          <w:lang w:val="es-ES_tradnl"/>
        </w:rPr>
      </w:pPr>
    </w:p>
    <w:p w14:paraId="66708C46" w14:textId="2C2057DF" w:rsidR="00AF43DD" w:rsidRPr="005556DE" w:rsidRDefault="00AF43DD" w:rsidP="00A62148">
      <w:pPr>
        <w:spacing w:after="0" w:line="360" w:lineRule="auto"/>
        <w:ind w:right="-28"/>
        <w:rPr>
          <w:b/>
          <w:color w:val="auto"/>
        </w:rPr>
      </w:pPr>
      <w:r w:rsidRPr="005556DE">
        <w:rPr>
          <w:b/>
          <w:color w:val="auto"/>
        </w:rPr>
        <w:t xml:space="preserve">TERCERO. </w:t>
      </w:r>
      <w:r w:rsidRPr="005556DE">
        <w:rPr>
          <w:rFonts w:eastAsia="Calibri" w:cs="Tahoma"/>
          <w:b/>
          <w:bCs/>
          <w:iCs/>
          <w:color w:val="auto"/>
        </w:rPr>
        <w:t>NOTIFÍQUESE</w:t>
      </w:r>
      <w:r w:rsidRPr="005556DE">
        <w:rPr>
          <w:b/>
          <w:bCs/>
          <w:color w:val="auto"/>
        </w:rPr>
        <w:t xml:space="preserve"> </w:t>
      </w:r>
      <w:r w:rsidR="00C83219" w:rsidRPr="005556DE">
        <w:rPr>
          <w:b/>
          <w:bCs/>
          <w:color w:val="auto"/>
        </w:rPr>
        <w:t>POR SAIMEX</w:t>
      </w:r>
      <w:r w:rsidR="00C83219" w:rsidRPr="005556DE">
        <w:rPr>
          <w:color w:val="auto"/>
        </w:rPr>
        <w:t xml:space="preserve"> </w:t>
      </w:r>
      <w:r w:rsidRPr="005556DE">
        <w:rPr>
          <w:color w:val="auto"/>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w:t>
      </w:r>
      <w:r w:rsidRPr="005556DE">
        <w:rPr>
          <w:color w:val="auto"/>
        </w:rPr>
        <w:lastRenderedPageBreak/>
        <w:t>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6C23406" w14:textId="77777777" w:rsidR="00AF43DD" w:rsidRPr="005556DE" w:rsidRDefault="00AF43DD" w:rsidP="00A62148">
      <w:pPr>
        <w:spacing w:after="0" w:line="360" w:lineRule="auto"/>
        <w:ind w:right="-28"/>
        <w:rPr>
          <w:color w:val="auto"/>
        </w:rPr>
      </w:pPr>
    </w:p>
    <w:p w14:paraId="63526E71" w14:textId="77777777" w:rsidR="00AF43DD" w:rsidRPr="005556DE" w:rsidRDefault="00AF43DD" w:rsidP="00A62148">
      <w:pPr>
        <w:spacing w:after="0" w:line="360" w:lineRule="auto"/>
        <w:rPr>
          <w:color w:val="auto"/>
        </w:rPr>
      </w:pPr>
      <w:r w:rsidRPr="005556DE">
        <w:rPr>
          <w:color w:val="auto"/>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C63E1F4" w14:textId="77777777" w:rsidR="00AF43DD" w:rsidRPr="005556DE" w:rsidRDefault="00AF43DD" w:rsidP="00A62148">
      <w:pPr>
        <w:spacing w:after="0" w:line="360" w:lineRule="auto"/>
        <w:rPr>
          <w:color w:val="auto"/>
        </w:rPr>
      </w:pPr>
    </w:p>
    <w:p w14:paraId="4EE045FA" w14:textId="3EEEE4B8" w:rsidR="00AF43DD" w:rsidRPr="005556DE" w:rsidRDefault="00AF43DD" w:rsidP="00A62148">
      <w:pPr>
        <w:spacing w:after="0" w:line="360" w:lineRule="auto"/>
        <w:rPr>
          <w:rFonts w:eastAsia="Calibri" w:cs="Tahoma"/>
          <w:b/>
          <w:bCs/>
          <w:iCs/>
          <w:color w:val="auto"/>
        </w:rPr>
      </w:pPr>
      <w:r w:rsidRPr="005556DE">
        <w:rPr>
          <w:b/>
          <w:color w:val="auto"/>
        </w:rPr>
        <w:t xml:space="preserve">CUARTO. </w:t>
      </w:r>
      <w:r w:rsidRPr="005556DE">
        <w:rPr>
          <w:rFonts w:eastAsia="Calibri" w:cs="Tahoma"/>
          <w:b/>
          <w:bCs/>
          <w:iCs/>
          <w:color w:val="auto"/>
        </w:rPr>
        <w:t>NOTIFÍQUESE</w:t>
      </w:r>
      <w:r w:rsidR="00C83219" w:rsidRPr="005556DE">
        <w:rPr>
          <w:rFonts w:eastAsia="Calibri" w:cs="Tahoma"/>
          <w:b/>
          <w:bCs/>
          <w:iCs/>
          <w:color w:val="auto"/>
        </w:rPr>
        <w:t xml:space="preserve"> POR SAIMEX</w:t>
      </w:r>
      <w:r w:rsidRPr="005556DE">
        <w:rPr>
          <w:color w:val="auto"/>
        </w:rPr>
        <w:t xml:space="preserve"> </w:t>
      </w:r>
      <w:r w:rsidRPr="005556DE">
        <w:rPr>
          <w:rFonts w:eastAsia="Calibri" w:cs="Tahoma"/>
          <w:iCs/>
          <w:color w:val="auto"/>
        </w:rPr>
        <w:t xml:space="preserve">a </w:t>
      </w:r>
      <w:r w:rsidRPr="005556DE">
        <w:rPr>
          <w:rFonts w:eastAsia="Calibri" w:cs="Tahoma"/>
          <w:bCs/>
          <w:iCs/>
          <w:color w:val="auto"/>
        </w:rPr>
        <w:t xml:space="preserve">la persona </w:t>
      </w:r>
      <w:r w:rsidRPr="005556DE">
        <w:rPr>
          <w:rFonts w:eastAsia="Calibri" w:cs="Tahoma"/>
          <w:iCs/>
          <w:color w:val="auto"/>
        </w:rPr>
        <w:t>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CE956E0" w14:textId="77777777" w:rsidR="00AF43DD" w:rsidRPr="005556DE" w:rsidRDefault="00AF43DD" w:rsidP="00A62148">
      <w:pPr>
        <w:spacing w:after="0" w:line="360" w:lineRule="auto"/>
        <w:rPr>
          <w:b/>
          <w:color w:val="auto"/>
        </w:rPr>
      </w:pPr>
    </w:p>
    <w:p w14:paraId="6EB674B0" w14:textId="397381B0" w:rsidR="00AF43DD" w:rsidRPr="00F17FEF" w:rsidRDefault="00AF43DD" w:rsidP="00A62148">
      <w:pPr>
        <w:spacing w:after="0" w:line="360" w:lineRule="auto"/>
        <w:rPr>
          <w:b/>
          <w:color w:val="auto"/>
        </w:rPr>
      </w:pPr>
      <w:r w:rsidRPr="005556DE">
        <w:rPr>
          <w:color w:val="auto"/>
        </w:rPr>
        <w:t>ASÍ LO RESUELVE, POR </w:t>
      </w:r>
      <w:r w:rsidRPr="005556DE">
        <w:rPr>
          <w:b/>
          <w:color w:val="auto"/>
        </w:rPr>
        <w:t>UNANIMIDAD</w:t>
      </w:r>
      <w:r w:rsidRPr="005556DE">
        <w:rPr>
          <w:color w:val="auto"/>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063AC" w:rsidRPr="005556DE">
        <w:rPr>
          <w:color w:val="auto"/>
        </w:rPr>
        <w:t xml:space="preserve">QUINTA </w:t>
      </w:r>
      <w:r w:rsidR="00C82FED" w:rsidRPr="005556DE">
        <w:rPr>
          <w:color w:val="auto"/>
        </w:rPr>
        <w:t>S</w:t>
      </w:r>
      <w:r w:rsidRPr="005556DE">
        <w:rPr>
          <w:color w:val="auto"/>
        </w:rPr>
        <w:t xml:space="preserve">ESIÓN ORDINARIA, CELEBRADA EL </w:t>
      </w:r>
      <w:r w:rsidR="008063AC" w:rsidRPr="005556DE">
        <w:rPr>
          <w:color w:val="auto"/>
        </w:rPr>
        <w:t xml:space="preserve">DOCE </w:t>
      </w:r>
      <w:r w:rsidR="00B014EB" w:rsidRPr="005556DE">
        <w:rPr>
          <w:color w:val="auto"/>
        </w:rPr>
        <w:t>DE</w:t>
      </w:r>
      <w:r w:rsidR="00F17FEF" w:rsidRPr="005556DE">
        <w:rPr>
          <w:color w:val="auto"/>
        </w:rPr>
        <w:t xml:space="preserve"> FEBRERO DOS MIL VEINTICINCO</w:t>
      </w:r>
      <w:r w:rsidRPr="005556DE">
        <w:rPr>
          <w:color w:val="auto"/>
        </w:rPr>
        <w:t>, ANTE EL SECRETARIO TÉCNICO DEL PLENO, ALEXIS TAPIA RAMÍREZ.</w:t>
      </w:r>
    </w:p>
    <w:p w14:paraId="7EF21FCB" w14:textId="77777777" w:rsidR="00AF43DD" w:rsidRPr="00C672B0" w:rsidRDefault="00AF43DD" w:rsidP="00A62148">
      <w:pPr>
        <w:spacing w:after="0" w:line="360" w:lineRule="auto"/>
        <w:ind w:right="-28"/>
        <w:contextualSpacing/>
        <w:rPr>
          <w:rFonts w:eastAsia="Calibri" w:cs="Tahoma"/>
          <w:bCs/>
          <w:color w:val="FF0000"/>
        </w:rPr>
      </w:pPr>
    </w:p>
    <w:p w14:paraId="33772A6E" w14:textId="77777777" w:rsidR="00AF43DD" w:rsidRPr="00C672B0" w:rsidRDefault="00AF43DD" w:rsidP="00A62148">
      <w:pPr>
        <w:spacing w:after="0" w:line="360" w:lineRule="auto"/>
        <w:ind w:right="-28"/>
        <w:contextualSpacing/>
        <w:rPr>
          <w:rFonts w:eastAsia="Calibri" w:cs="Tahoma"/>
          <w:bCs/>
          <w:color w:val="FF0000"/>
        </w:rPr>
      </w:pPr>
    </w:p>
    <w:p w14:paraId="697BA1BE" w14:textId="45CEE056" w:rsidR="009C399F" w:rsidRPr="00C672B0" w:rsidRDefault="009C399F" w:rsidP="00A62148">
      <w:pPr>
        <w:spacing w:after="0" w:line="360" w:lineRule="auto"/>
        <w:rPr>
          <w:rFonts w:eastAsia="Calibri" w:cs="Times New Roman"/>
          <w:color w:val="FF0000"/>
        </w:rPr>
      </w:pPr>
      <w:r w:rsidRPr="00C672B0">
        <w:rPr>
          <w:rFonts w:eastAsia="Calibri" w:cs="Times New Roman"/>
          <w:color w:val="FF0000"/>
        </w:rPr>
        <w:t xml:space="preserve"> </w:t>
      </w:r>
    </w:p>
    <w:p w14:paraId="2C8AF4F9" w14:textId="511F4039" w:rsidR="00E11886" w:rsidRPr="00C672B0" w:rsidRDefault="00E11886" w:rsidP="00A62148">
      <w:pPr>
        <w:spacing w:after="0" w:line="360" w:lineRule="auto"/>
        <w:rPr>
          <w:rFonts w:eastAsia="Times New Roman" w:cs="Tahoma"/>
          <w:color w:val="FF0000"/>
          <w:lang w:eastAsia="es-ES"/>
        </w:rPr>
      </w:pPr>
    </w:p>
    <w:p w14:paraId="44B12A6B" w14:textId="77777777" w:rsidR="00FD19A9" w:rsidRPr="00C672B0" w:rsidRDefault="00FD19A9" w:rsidP="00A62148">
      <w:pPr>
        <w:tabs>
          <w:tab w:val="left" w:pos="993"/>
        </w:tabs>
        <w:spacing w:after="0" w:line="360" w:lineRule="auto"/>
        <w:ind w:right="-28"/>
        <w:rPr>
          <w:rFonts w:cs="Tahoma"/>
          <w:color w:val="FF0000"/>
        </w:rPr>
      </w:pPr>
    </w:p>
    <w:p w14:paraId="7A046C5A" w14:textId="77777777" w:rsidR="00D6151E" w:rsidRPr="00C672B0" w:rsidRDefault="00D6151E" w:rsidP="00A62148">
      <w:pPr>
        <w:widowControl w:val="0"/>
        <w:autoSpaceDE w:val="0"/>
        <w:autoSpaceDN w:val="0"/>
        <w:adjustRightInd w:val="0"/>
        <w:spacing w:after="0" w:line="360" w:lineRule="auto"/>
        <w:contextualSpacing/>
        <w:rPr>
          <w:rFonts w:eastAsia="Times New Roman" w:cs="Times New Roman"/>
          <w:color w:val="FF0000"/>
          <w:lang w:eastAsia="es-ES"/>
        </w:rPr>
      </w:pPr>
    </w:p>
    <w:p w14:paraId="046E83B5" w14:textId="7D8D3E8F" w:rsidR="00D6151E" w:rsidRPr="00C672B0" w:rsidRDefault="00D6151E" w:rsidP="00A62148">
      <w:pPr>
        <w:widowControl w:val="0"/>
        <w:autoSpaceDE w:val="0"/>
        <w:autoSpaceDN w:val="0"/>
        <w:adjustRightInd w:val="0"/>
        <w:spacing w:after="0" w:line="360" w:lineRule="auto"/>
        <w:contextualSpacing/>
        <w:rPr>
          <w:rFonts w:eastAsia="Times New Roman" w:cs="Times New Roman"/>
          <w:color w:val="FF0000"/>
          <w:lang w:eastAsia="es-ES"/>
        </w:rPr>
      </w:pPr>
    </w:p>
    <w:p w14:paraId="38DCDD5A" w14:textId="77777777" w:rsidR="00A96F3B" w:rsidRPr="00C672B0" w:rsidRDefault="00A96F3B" w:rsidP="00A62148">
      <w:pPr>
        <w:widowControl w:val="0"/>
        <w:autoSpaceDE w:val="0"/>
        <w:autoSpaceDN w:val="0"/>
        <w:adjustRightInd w:val="0"/>
        <w:spacing w:after="0" w:line="360" w:lineRule="auto"/>
        <w:contextualSpacing/>
        <w:rPr>
          <w:rFonts w:eastAsia="Times New Roman" w:cs="Times New Roman"/>
          <w:color w:val="FF0000"/>
          <w:lang w:eastAsia="es-ES"/>
        </w:rPr>
      </w:pPr>
    </w:p>
    <w:p w14:paraId="702F28CC" w14:textId="77777777" w:rsidR="00A96F3B" w:rsidRPr="00C672B0" w:rsidRDefault="00A96F3B" w:rsidP="00A62148">
      <w:pPr>
        <w:widowControl w:val="0"/>
        <w:autoSpaceDE w:val="0"/>
        <w:autoSpaceDN w:val="0"/>
        <w:adjustRightInd w:val="0"/>
        <w:spacing w:after="0" w:line="360" w:lineRule="auto"/>
        <w:contextualSpacing/>
        <w:rPr>
          <w:rFonts w:eastAsia="Times New Roman" w:cs="Times New Roman"/>
          <w:color w:val="FF0000"/>
          <w:lang w:eastAsia="es-ES"/>
        </w:rPr>
      </w:pPr>
    </w:p>
    <w:p w14:paraId="2EE29C0C" w14:textId="77777777" w:rsidR="00D6151E" w:rsidRPr="00C672B0" w:rsidRDefault="00D6151E" w:rsidP="00A62148">
      <w:pPr>
        <w:widowControl w:val="0"/>
        <w:autoSpaceDE w:val="0"/>
        <w:autoSpaceDN w:val="0"/>
        <w:adjustRightInd w:val="0"/>
        <w:spacing w:after="0" w:line="360" w:lineRule="auto"/>
        <w:contextualSpacing/>
        <w:rPr>
          <w:rFonts w:eastAsia="Times New Roman" w:cs="Times New Roman"/>
          <w:color w:val="FF0000"/>
          <w:lang w:eastAsia="es-ES"/>
        </w:rPr>
      </w:pPr>
    </w:p>
    <w:p w14:paraId="7273145F" w14:textId="77777777" w:rsidR="007E4AAE" w:rsidRPr="00C672B0" w:rsidRDefault="007E4AAE" w:rsidP="00A62148">
      <w:pPr>
        <w:spacing w:after="0" w:line="360" w:lineRule="auto"/>
        <w:rPr>
          <w:rFonts w:eastAsia="Calibri" w:cs="Times New Roman"/>
          <w:color w:val="FF0000"/>
        </w:rPr>
      </w:pPr>
    </w:p>
    <w:p w14:paraId="32F8BBAB" w14:textId="5C00D1FB" w:rsidR="00945466" w:rsidRPr="00C672B0" w:rsidRDefault="00945466" w:rsidP="00A62148">
      <w:pPr>
        <w:widowControl w:val="0"/>
        <w:autoSpaceDE w:val="0"/>
        <w:autoSpaceDN w:val="0"/>
        <w:adjustRightInd w:val="0"/>
        <w:spacing w:after="0" w:line="360" w:lineRule="auto"/>
        <w:contextualSpacing/>
        <w:rPr>
          <w:rFonts w:eastAsia="Times New Roman" w:cs="Times New Roman"/>
          <w:bCs/>
          <w:iCs/>
          <w:color w:val="FF0000"/>
          <w:szCs w:val="20"/>
          <w:lang w:val="x-none" w:eastAsia="es-ES"/>
        </w:rPr>
      </w:pPr>
    </w:p>
    <w:p w14:paraId="6D31EDA1" w14:textId="4A64EE2E" w:rsidR="00D30F6C" w:rsidRPr="00C672B0" w:rsidRDefault="00D30F6C" w:rsidP="00A62148">
      <w:pPr>
        <w:spacing w:after="0" w:line="360" w:lineRule="auto"/>
        <w:contextualSpacing/>
        <w:rPr>
          <w:rFonts w:eastAsia="Calibri" w:cs="Tahoma"/>
          <w:bCs/>
          <w:color w:val="FF0000"/>
          <w:szCs w:val="24"/>
        </w:rPr>
      </w:pPr>
    </w:p>
    <w:p w14:paraId="089103C8" w14:textId="77777777" w:rsidR="00EB3DC8" w:rsidRPr="00C672B0" w:rsidRDefault="00EB3DC8" w:rsidP="00A62148">
      <w:pPr>
        <w:spacing w:after="0" w:line="360" w:lineRule="auto"/>
        <w:rPr>
          <w:bCs/>
          <w:iCs/>
          <w:color w:val="FF0000"/>
          <w:lang w:val="es-ES"/>
        </w:rPr>
      </w:pPr>
    </w:p>
    <w:p w14:paraId="3FEE71BE" w14:textId="77777777" w:rsidR="0024566F" w:rsidRPr="00C672B0" w:rsidRDefault="0024566F" w:rsidP="00A62148">
      <w:pPr>
        <w:spacing w:after="0" w:line="360" w:lineRule="auto"/>
        <w:rPr>
          <w:color w:val="FF0000"/>
        </w:rPr>
      </w:pPr>
    </w:p>
    <w:p w14:paraId="25345C24" w14:textId="77777777" w:rsidR="0024566F" w:rsidRPr="00C672B0" w:rsidRDefault="0024566F" w:rsidP="00A62148">
      <w:pPr>
        <w:spacing w:after="0" w:line="360" w:lineRule="auto"/>
        <w:rPr>
          <w:color w:val="FF0000"/>
        </w:rPr>
      </w:pPr>
    </w:p>
    <w:p w14:paraId="46B8462E" w14:textId="77777777" w:rsidR="007C1DD1" w:rsidRPr="00C672B0" w:rsidRDefault="007C1DD1" w:rsidP="00A62148">
      <w:pPr>
        <w:pStyle w:val="NormalWeb"/>
        <w:spacing w:after="0" w:line="360" w:lineRule="auto"/>
        <w:rPr>
          <w:rFonts w:ascii="Palatino Linotype" w:hAnsi="Palatino Linotype"/>
          <w:color w:val="FF0000"/>
          <w:sz w:val="22"/>
          <w:szCs w:val="22"/>
        </w:rPr>
      </w:pPr>
    </w:p>
    <w:p w14:paraId="5077347B" w14:textId="77777777" w:rsidR="007C1DD1" w:rsidRPr="00C672B0" w:rsidRDefault="007C1DD1" w:rsidP="00A62148">
      <w:pPr>
        <w:pStyle w:val="NormalWeb"/>
        <w:spacing w:after="0" w:line="360" w:lineRule="auto"/>
        <w:rPr>
          <w:rFonts w:ascii="Palatino Linotype" w:hAnsi="Palatino Linotype"/>
          <w:color w:val="FF0000"/>
          <w:sz w:val="22"/>
          <w:szCs w:val="22"/>
        </w:rPr>
      </w:pPr>
    </w:p>
    <w:p w14:paraId="096E1AE8" w14:textId="77777777" w:rsidR="009443DE" w:rsidRPr="00C672B0" w:rsidRDefault="009443DE" w:rsidP="00A62148">
      <w:pPr>
        <w:widowControl w:val="0"/>
        <w:autoSpaceDE w:val="0"/>
        <w:autoSpaceDN w:val="0"/>
        <w:adjustRightInd w:val="0"/>
        <w:spacing w:after="0" w:line="360" w:lineRule="auto"/>
        <w:contextualSpacing/>
        <w:rPr>
          <w:rFonts w:eastAsia="Times New Roman" w:cs="Times New Roman"/>
          <w:color w:val="FF0000"/>
          <w:lang w:eastAsia="es-ES"/>
        </w:rPr>
      </w:pPr>
    </w:p>
    <w:p w14:paraId="7E577313" w14:textId="77777777" w:rsidR="009443DE" w:rsidRPr="00C672B0" w:rsidRDefault="009443DE" w:rsidP="00A62148">
      <w:pPr>
        <w:widowControl w:val="0"/>
        <w:autoSpaceDE w:val="0"/>
        <w:autoSpaceDN w:val="0"/>
        <w:adjustRightInd w:val="0"/>
        <w:spacing w:after="0" w:line="360" w:lineRule="auto"/>
        <w:contextualSpacing/>
        <w:rPr>
          <w:rFonts w:eastAsia="Times New Roman" w:cs="Times New Roman"/>
          <w:color w:val="FF0000"/>
          <w:lang w:eastAsia="es-ES"/>
        </w:rPr>
      </w:pPr>
    </w:p>
    <w:p w14:paraId="57C192C4" w14:textId="77777777" w:rsidR="009443DE" w:rsidRPr="00C672B0" w:rsidRDefault="009443DE" w:rsidP="00A62148">
      <w:pPr>
        <w:widowControl w:val="0"/>
        <w:autoSpaceDE w:val="0"/>
        <w:autoSpaceDN w:val="0"/>
        <w:adjustRightInd w:val="0"/>
        <w:spacing w:after="0" w:line="360" w:lineRule="auto"/>
        <w:contextualSpacing/>
        <w:rPr>
          <w:rFonts w:eastAsia="Times New Roman" w:cs="Times New Roman"/>
          <w:color w:val="FF0000"/>
          <w:lang w:eastAsia="es-ES"/>
        </w:rPr>
      </w:pPr>
    </w:p>
    <w:p w14:paraId="7A6A5CA2" w14:textId="77777777" w:rsidR="009443DE" w:rsidRPr="00C672B0" w:rsidRDefault="009443DE" w:rsidP="00A62148">
      <w:pPr>
        <w:widowControl w:val="0"/>
        <w:autoSpaceDE w:val="0"/>
        <w:autoSpaceDN w:val="0"/>
        <w:adjustRightInd w:val="0"/>
        <w:spacing w:after="0" w:line="360" w:lineRule="auto"/>
        <w:contextualSpacing/>
        <w:rPr>
          <w:rFonts w:eastAsia="Times New Roman" w:cs="Times New Roman"/>
          <w:color w:val="FF0000"/>
          <w:lang w:eastAsia="es-ES"/>
        </w:rPr>
      </w:pPr>
    </w:p>
    <w:p w14:paraId="45364CFE" w14:textId="77777777" w:rsidR="009443DE" w:rsidRPr="00C672B0" w:rsidRDefault="009443DE" w:rsidP="00A62148">
      <w:pPr>
        <w:widowControl w:val="0"/>
        <w:autoSpaceDE w:val="0"/>
        <w:autoSpaceDN w:val="0"/>
        <w:adjustRightInd w:val="0"/>
        <w:spacing w:after="0" w:line="360" w:lineRule="auto"/>
        <w:contextualSpacing/>
        <w:rPr>
          <w:rFonts w:eastAsia="Times New Roman" w:cs="Times New Roman"/>
          <w:color w:val="FF0000"/>
          <w:lang w:eastAsia="es-ES"/>
        </w:rPr>
      </w:pPr>
    </w:p>
    <w:p w14:paraId="14676EB8" w14:textId="77777777" w:rsidR="00C56B8B" w:rsidRPr="00C672B0" w:rsidRDefault="00C56B8B" w:rsidP="00A62148">
      <w:pPr>
        <w:spacing w:after="0" w:line="360" w:lineRule="auto"/>
        <w:ind w:right="-93"/>
        <w:rPr>
          <w:color w:val="FF0000"/>
          <w:lang w:val="es-ES"/>
        </w:rPr>
      </w:pPr>
    </w:p>
    <w:p w14:paraId="1950A4FE" w14:textId="145680F6" w:rsidR="00C50842" w:rsidRPr="00C672B0" w:rsidRDefault="00C50842" w:rsidP="00A62148">
      <w:pPr>
        <w:spacing w:after="0" w:line="360" w:lineRule="auto"/>
        <w:rPr>
          <w:color w:val="FF0000"/>
        </w:rPr>
      </w:pPr>
    </w:p>
    <w:sectPr w:rsidR="00C50842" w:rsidRPr="00C672B0" w:rsidSect="009B3229">
      <w:headerReference w:type="even" r:id="rId15"/>
      <w:headerReference w:type="default" r:id="rId16"/>
      <w:footerReference w:type="even" r:id="rId17"/>
      <w:footerReference w:type="default" r:id="rId18"/>
      <w:headerReference w:type="first" r:id="rId19"/>
      <w:footerReference w:type="first" r:id="rId20"/>
      <w:pgSz w:w="12240" w:h="15840"/>
      <w:pgMar w:top="1418" w:right="1608" w:bottom="1560" w:left="1701" w:header="57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583D0" w14:textId="77777777" w:rsidR="00F47BE3" w:rsidRDefault="00F47BE3" w:rsidP="00EC77D9">
      <w:pPr>
        <w:spacing w:after="0" w:line="240" w:lineRule="auto"/>
      </w:pPr>
      <w:r>
        <w:separator/>
      </w:r>
    </w:p>
  </w:endnote>
  <w:endnote w:type="continuationSeparator" w:id="0">
    <w:p w14:paraId="25D0EB06" w14:textId="77777777" w:rsidR="00F47BE3" w:rsidRDefault="00F47BE3" w:rsidP="00EC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50137D61" w14:textId="77777777" w:rsidR="00BD0FDF" w:rsidRDefault="00BD0FD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16BDDDFD" w14:textId="77777777" w:rsidR="00BD0FDF" w:rsidRDefault="00BD0FD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6B2D6871" w14:textId="77777777" w:rsidR="00BD0FDF" w:rsidRDefault="00BD0FD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556DE">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556DE">
              <w:rPr>
                <w:b/>
                <w:bCs/>
                <w:noProof/>
              </w:rPr>
              <w:t>37</w:t>
            </w:r>
            <w:r>
              <w:rPr>
                <w:b/>
                <w:bCs/>
                <w:sz w:val="24"/>
                <w:szCs w:val="24"/>
              </w:rPr>
              <w:fldChar w:fldCharType="end"/>
            </w:r>
          </w:p>
        </w:sdtContent>
      </w:sdt>
    </w:sdtContent>
  </w:sdt>
  <w:p w14:paraId="480CB874" w14:textId="77777777" w:rsidR="00BD0FDF" w:rsidRDefault="00BD0F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63BCE2A5" w14:textId="77777777" w:rsidR="00BD0FDF" w:rsidRDefault="00BD0FD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556DE">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556DE">
              <w:rPr>
                <w:b/>
                <w:bCs/>
                <w:noProof/>
              </w:rPr>
              <w:t>37</w:t>
            </w:r>
            <w:r>
              <w:rPr>
                <w:b/>
                <w:bCs/>
                <w:sz w:val="24"/>
                <w:szCs w:val="24"/>
              </w:rPr>
              <w:fldChar w:fldCharType="end"/>
            </w:r>
          </w:p>
        </w:sdtContent>
      </w:sdt>
    </w:sdtContent>
  </w:sdt>
  <w:p w14:paraId="604FB1E6" w14:textId="77777777" w:rsidR="00BD0FDF" w:rsidRDefault="00BD0F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624ED" w14:textId="77777777" w:rsidR="00F47BE3" w:rsidRDefault="00F47BE3" w:rsidP="00EC77D9">
      <w:pPr>
        <w:spacing w:after="0" w:line="240" w:lineRule="auto"/>
      </w:pPr>
      <w:r>
        <w:separator/>
      </w:r>
    </w:p>
  </w:footnote>
  <w:footnote w:type="continuationSeparator" w:id="0">
    <w:p w14:paraId="0769756B" w14:textId="77777777" w:rsidR="00F47BE3" w:rsidRDefault="00F47BE3" w:rsidP="00EC7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BD0FDF" w:rsidRPr="00E152D8" w14:paraId="4A0009A6" w14:textId="77777777" w:rsidTr="00F34E0A">
      <w:trPr>
        <w:trHeight w:val="132"/>
      </w:trPr>
      <w:tc>
        <w:tcPr>
          <w:tcW w:w="2691" w:type="dxa"/>
        </w:tcPr>
        <w:p w14:paraId="76E98208" w14:textId="77777777" w:rsidR="00BD0FDF" w:rsidRPr="00E152D8" w:rsidRDefault="00BD0FDF" w:rsidP="00F34E0A">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772E65B0" w14:textId="77777777" w:rsidR="00BD0FDF" w:rsidRPr="00EE1572" w:rsidRDefault="00BD0FDF" w:rsidP="00F34E0A">
          <w:pPr>
            <w:tabs>
              <w:tab w:val="right" w:pos="8838"/>
            </w:tabs>
            <w:ind w:left="-28" w:right="-32"/>
            <w:rPr>
              <w:rFonts w:eastAsia="Calibri" w:cs="Tahoma"/>
            </w:rPr>
          </w:pPr>
          <w:r w:rsidRPr="00EE1572">
            <w:rPr>
              <w:rFonts w:eastAsia="Calibri" w:cs="Tahoma"/>
            </w:rPr>
            <w:t>03846/INFOEM/IP/RR/2020</w:t>
          </w:r>
        </w:p>
      </w:tc>
    </w:tr>
    <w:tr w:rsidR="00BD0FDF" w:rsidRPr="00E152D8" w14:paraId="4AB4C711" w14:textId="77777777" w:rsidTr="00F34E0A">
      <w:trPr>
        <w:trHeight w:val="261"/>
      </w:trPr>
      <w:tc>
        <w:tcPr>
          <w:tcW w:w="2691" w:type="dxa"/>
        </w:tcPr>
        <w:p w14:paraId="7E7EF0C1" w14:textId="77777777" w:rsidR="00BD0FDF" w:rsidRPr="00E152D8" w:rsidRDefault="00BD0FDF" w:rsidP="00F34E0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66E718F1" w14:textId="424E7C01" w:rsidR="00BD0FDF" w:rsidRPr="00EE1572" w:rsidRDefault="00BD0FDF" w:rsidP="00F34E0A">
          <w:pPr>
            <w:tabs>
              <w:tab w:val="right" w:pos="8838"/>
            </w:tabs>
            <w:ind w:right="-32"/>
            <w:rPr>
              <w:rFonts w:eastAsia="Calibri" w:cs="Tahoma"/>
              <w:lang w:val="es-MX"/>
            </w:rPr>
          </w:pPr>
          <w:r>
            <w:rPr>
              <w:rFonts w:eastAsia="Calibri" w:cs="Tahoma"/>
              <w:lang w:val="es-MX"/>
            </w:rPr>
            <w:t>Ayuntamiento de Valle de Chalco Solidaridad</w:t>
          </w:r>
        </w:p>
      </w:tc>
    </w:tr>
    <w:tr w:rsidR="00BD0FDF" w:rsidRPr="00E152D8" w14:paraId="4659C8A1" w14:textId="77777777" w:rsidTr="00F34E0A">
      <w:trPr>
        <w:trHeight w:val="261"/>
      </w:trPr>
      <w:tc>
        <w:tcPr>
          <w:tcW w:w="2691" w:type="dxa"/>
        </w:tcPr>
        <w:p w14:paraId="1445B823" w14:textId="77777777" w:rsidR="00BD0FDF" w:rsidRPr="00E152D8" w:rsidRDefault="00BD0FDF" w:rsidP="00F34E0A">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51B5CBD7" w14:textId="77777777" w:rsidR="00BD0FDF" w:rsidRPr="00E152D8" w:rsidRDefault="00BD0FDF" w:rsidP="00F34E0A">
          <w:pPr>
            <w:tabs>
              <w:tab w:val="right" w:pos="8838"/>
            </w:tabs>
            <w:ind w:right="-32"/>
            <w:rPr>
              <w:rFonts w:eastAsia="Calibri" w:cs="Tahoma"/>
              <w:b/>
              <w:lang w:val="es-MX"/>
            </w:rPr>
          </w:pPr>
          <w:r w:rsidRPr="00E152D8">
            <w:rPr>
              <w:rFonts w:eastAsia="Calibri" w:cs="Tahoma"/>
              <w:lang w:val="es-MX"/>
            </w:rPr>
            <w:t>Luis Gustavo Parra Noriega</w:t>
          </w:r>
        </w:p>
      </w:tc>
    </w:tr>
  </w:tbl>
  <w:p w14:paraId="7D7293F0" w14:textId="77777777" w:rsidR="00BD0FDF" w:rsidRDefault="002F395B">
    <w:pPr>
      <w:pStyle w:val="Encabezado"/>
    </w:pPr>
    <w:r>
      <w:rPr>
        <w:noProof/>
      </w:rPr>
      <w:pict w14:anchorId="0C215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59323" w14:textId="77777777" w:rsidR="00BD0FDF" w:rsidRDefault="00BD0FDF"/>
  <w:tbl>
    <w:tblPr>
      <w:tblStyle w:val="Tablaconcuadrcula"/>
      <w:tblW w:w="6804"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1"/>
      <w:gridCol w:w="4403"/>
    </w:tblGrid>
    <w:tr w:rsidR="00BD0FDF" w:rsidRPr="00E152D8" w14:paraId="62A5EE36" w14:textId="77777777" w:rsidTr="003D0B51">
      <w:trPr>
        <w:trHeight w:val="138"/>
      </w:trPr>
      <w:tc>
        <w:tcPr>
          <w:tcW w:w="2401" w:type="dxa"/>
          <w:vAlign w:val="center"/>
        </w:tcPr>
        <w:p w14:paraId="028A99F9" w14:textId="77777777" w:rsidR="00BD0FDF" w:rsidRPr="00E152D8" w:rsidRDefault="00BD0FDF" w:rsidP="00F34E0A">
          <w:pPr>
            <w:tabs>
              <w:tab w:val="right" w:pos="8838"/>
            </w:tabs>
            <w:ind w:right="-105"/>
            <w:jc w:val="left"/>
            <w:rPr>
              <w:rFonts w:eastAsia="Calibri" w:cs="Tahoma"/>
              <w:b/>
              <w:lang w:val="es-MX"/>
            </w:rPr>
          </w:pPr>
          <w:r w:rsidRPr="00E152D8">
            <w:rPr>
              <w:rFonts w:eastAsia="Calibri" w:cs="Tahoma"/>
              <w:b/>
              <w:lang w:val="es-MX"/>
            </w:rPr>
            <w:t>Recurso de Revisión:</w:t>
          </w:r>
        </w:p>
      </w:tc>
      <w:tc>
        <w:tcPr>
          <w:tcW w:w="4403" w:type="dxa"/>
        </w:tcPr>
        <w:p w14:paraId="1A41A00E" w14:textId="1C8B018F" w:rsidR="00BD0FDF" w:rsidRPr="00051642" w:rsidRDefault="00BD0FDF" w:rsidP="00F34E0A">
          <w:pPr>
            <w:tabs>
              <w:tab w:val="right" w:pos="8838"/>
            </w:tabs>
            <w:ind w:right="-32"/>
            <w:rPr>
              <w:rFonts w:eastAsia="Calibri" w:cs="Tahoma"/>
            </w:rPr>
          </w:pPr>
          <w:r>
            <w:rPr>
              <w:rFonts w:eastAsia="Calibri" w:cs="Tahoma"/>
              <w:lang w:val="es-MX"/>
            </w:rPr>
            <w:t>00176/INFOEM/IP/RR/2025</w:t>
          </w:r>
        </w:p>
      </w:tc>
    </w:tr>
    <w:tr w:rsidR="00BD0FDF" w:rsidRPr="00E152D8" w14:paraId="25EB3B4F" w14:textId="77777777" w:rsidTr="003D0B51">
      <w:trPr>
        <w:trHeight w:val="273"/>
      </w:trPr>
      <w:tc>
        <w:tcPr>
          <w:tcW w:w="2401" w:type="dxa"/>
        </w:tcPr>
        <w:p w14:paraId="12B07625" w14:textId="77777777" w:rsidR="00BD0FDF" w:rsidRPr="00E152D8" w:rsidRDefault="00BD0FDF" w:rsidP="009E6F8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403" w:type="dxa"/>
        </w:tcPr>
        <w:p w14:paraId="16B12BD5" w14:textId="2AF97402" w:rsidR="00BD0FDF" w:rsidRPr="00051642" w:rsidRDefault="00BD0FDF" w:rsidP="008E1582">
          <w:pPr>
            <w:tabs>
              <w:tab w:val="right" w:pos="8838"/>
            </w:tabs>
            <w:ind w:left="-28" w:right="597"/>
            <w:rPr>
              <w:rFonts w:eastAsia="Calibri" w:cs="Tahoma"/>
              <w:lang w:val="es-MX"/>
            </w:rPr>
          </w:pPr>
          <w:r>
            <w:rPr>
              <w:lang w:val="es-MX"/>
            </w:rPr>
            <w:t xml:space="preserve">Ayuntamiento de Toluca </w:t>
          </w:r>
        </w:p>
      </w:tc>
    </w:tr>
    <w:tr w:rsidR="00BD0FDF" w:rsidRPr="00E152D8" w14:paraId="2B76E1FC" w14:textId="77777777" w:rsidTr="003D0B51">
      <w:trPr>
        <w:trHeight w:val="273"/>
      </w:trPr>
      <w:tc>
        <w:tcPr>
          <w:tcW w:w="2401" w:type="dxa"/>
        </w:tcPr>
        <w:p w14:paraId="4C4F10A1" w14:textId="77777777" w:rsidR="00BD0FDF" w:rsidRPr="00E152D8" w:rsidRDefault="00BD0FDF" w:rsidP="009E6F8A">
          <w:pPr>
            <w:tabs>
              <w:tab w:val="right" w:pos="8838"/>
            </w:tabs>
            <w:ind w:right="-105"/>
            <w:rPr>
              <w:rFonts w:eastAsia="Calibri" w:cs="Tahoma"/>
              <w:b/>
              <w:lang w:val="es-MX"/>
            </w:rPr>
          </w:pPr>
          <w:r w:rsidRPr="00E152D8">
            <w:rPr>
              <w:rFonts w:eastAsia="Calibri" w:cs="Tahoma"/>
              <w:b/>
              <w:lang w:val="es-MX"/>
            </w:rPr>
            <w:t>Comisionado Ponente:</w:t>
          </w:r>
        </w:p>
      </w:tc>
      <w:tc>
        <w:tcPr>
          <w:tcW w:w="4403" w:type="dxa"/>
        </w:tcPr>
        <w:p w14:paraId="103DBC8B" w14:textId="77777777" w:rsidR="00BD0FDF" w:rsidRPr="00E152D8" w:rsidRDefault="00BD0FDF" w:rsidP="009E6F8A">
          <w:pPr>
            <w:tabs>
              <w:tab w:val="right" w:pos="8838"/>
            </w:tabs>
            <w:ind w:left="-28" w:right="-32"/>
            <w:rPr>
              <w:rFonts w:eastAsia="Calibri" w:cs="Tahoma"/>
              <w:b/>
              <w:lang w:val="es-MX"/>
            </w:rPr>
          </w:pPr>
          <w:r w:rsidRPr="00E152D8">
            <w:rPr>
              <w:rFonts w:eastAsia="Calibri" w:cs="Tahoma"/>
              <w:lang w:val="es-MX"/>
            </w:rPr>
            <w:t>Luis Gustavo Parra Noriega</w:t>
          </w:r>
        </w:p>
      </w:tc>
    </w:tr>
  </w:tbl>
  <w:p w14:paraId="0AC850F3" w14:textId="77777777" w:rsidR="00BD0FDF" w:rsidRDefault="002F395B" w:rsidP="00F34E0A">
    <w:pPr>
      <w:pStyle w:val="Encabezado"/>
    </w:pPr>
    <w:r>
      <w:rPr>
        <w:noProof/>
      </w:rPr>
      <w:pict w14:anchorId="76B6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84.6pt;margin-top:-122.9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AAD62" w14:textId="77777777" w:rsidR="00BD0FDF" w:rsidRDefault="00BD0FDF"/>
  <w:tbl>
    <w:tblPr>
      <w:tblStyle w:val="Tablaconcuadrcula"/>
      <w:tblW w:w="6950"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111"/>
      <w:gridCol w:w="429"/>
    </w:tblGrid>
    <w:tr w:rsidR="00BD0FDF" w:rsidRPr="00E152D8" w14:paraId="03E85E0E" w14:textId="77777777" w:rsidTr="003D0B51">
      <w:trPr>
        <w:trHeight w:val="132"/>
      </w:trPr>
      <w:tc>
        <w:tcPr>
          <w:tcW w:w="2410" w:type="dxa"/>
        </w:tcPr>
        <w:p w14:paraId="67360501" w14:textId="1B94502D" w:rsidR="00BD0FDF" w:rsidRPr="00E152D8" w:rsidRDefault="00BD0FDF" w:rsidP="00F34E0A">
          <w:pPr>
            <w:tabs>
              <w:tab w:val="right" w:pos="8838"/>
            </w:tabs>
            <w:ind w:right="-105"/>
            <w:rPr>
              <w:rFonts w:eastAsia="Calibri" w:cs="Tahoma"/>
              <w:b/>
              <w:lang w:val="es-MX"/>
            </w:rPr>
          </w:pPr>
          <w:r>
            <w:rPr>
              <w:rFonts w:eastAsia="Calibri" w:cs="Tahoma"/>
              <w:b/>
              <w:lang w:val="es-MX"/>
            </w:rPr>
            <w:t>R</w:t>
          </w:r>
          <w:r w:rsidRPr="00E152D8">
            <w:rPr>
              <w:rFonts w:eastAsia="Calibri" w:cs="Tahoma"/>
              <w:b/>
              <w:lang w:val="es-MX"/>
            </w:rPr>
            <w:t>ecurso de Revisión:</w:t>
          </w:r>
        </w:p>
      </w:tc>
      <w:tc>
        <w:tcPr>
          <w:tcW w:w="4540" w:type="dxa"/>
          <w:gridSpan w:val="2"/>
        </w:tcPr>
        <w:p w14:paraId="1E6AD7E0" w14:textId="2DD0C6E5" w:rsidR="00BD0FDF" w:rsidRPr="00051642" w:rsidRDefault="00BD0FDF" w:rsidP="009B3229">
          <w:pPr>
            <w:tabs>
              <w:tab w:val="right" w:pos="8838"/>
            </w:tabs>
            <w:ind w:right="-32"/>
            <w:rPr>
              <w:rFonts w:eastAsia="Calibri" w:cs="Tahoma"/>
            </w:rPr>
          </w:pPr>
          <w:r>
            <w:rPr>
              <w:rFonts w:eastAsia="Calibri" w:cs="Tahoma"/>
              <w:lang w:val="es-MX"/>
            </w:rPr>
            <w:t>00176/INFOEM/IP/RR/2025</w:t>
          </w:r>
        </w:p>
      </w:tc>
    </w:tr>
    <w:tr w:rsidR="00BD0FDF" w:rsidRPr="00E152D8" w14:paraId="5E1FE5FD" w14:textId="77777777" w:rsidTr="003D0B51">
      <w:trPr>
        <w:trHeight w:val="132"/>
      </w:trPr>
      <w:tc>
        <w:tcPr>
          <w:tcW w:w="2410" w:type="dxa"/>
        </w:tcPr>
        <w:p w14:paraId="046D02FA" w14:textId="77777777" w:rsidR="00BD0FDF" w:rsidRPr="00E152D8" w:rsidRDefault="00BD0FDF" w:rsidP="00F34E0A">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540" w:type="dxa"/>
          <w:gridSpan w:val="2"/>
        </w:tcPr>
        <w:p w14:paraId="6517D3A9" w14:textId="3D6AFCA2" w:rsidR="00BD0FDF" w:rsidRPr="00E152D8" w:rsidRDefault="00BD0FDF" w:rsidP="009B3229">
          <w:pPr>
            <w:tabs>
              <w:tab w:val="right" w:pos="8838"/>
            </w:tabs>
            <w:ind w:right="-48"/>
            <w:rPr>
              <w:rFonts w:eastAsia="Calibri" w:cs="Tahoma"/>
              <w:lang w:val="es-MX"/>
            </w:rPr>
          </w:pPr>
        </w:p>
      </w:tc>
    </w:tr>
    <w:tr w:rsidR="00BD0FDF" w:rsidRPr="00E152D8" w14:paraId="55B580D4" w14:textId="77777777" w:rsidTr="003D0B51">
      <w:trPr>
        <w:gridAfter w:val="1"/>
        <w:wAfter w:w="429" w:type="dxa"/>
        <w:trHeight w:val="261"/>
      </w:trPr>
      <w:tc>
        <w:tcPr>
          <w:tcW w:w="2410" w:type="dxa"/>
        </w:tcPr>
        <w:p w14:paraId="08C714D2" w14:textId="77777777" w:rsidR="00BD0FDF" w:rsidRPr="00E152D8" w:rsidRDefault="00BD0FDF" w:rsidP="00F34E0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111" w:type="dxa"/>
        </w:tcPr>
        <w:p w14:paraId="58768412" w14:textId="5E402153" w:rsidR="00BD0FDF" w:rsidRPr="00FD6846" w:rsidRDefault="00BD0FDF" w:rsidP="009B3229">
          <w:r>
            <w:rPr>
              <w:lang w:val="es-MX"/>
            </w:rPr>
            <w:t>Ayuntamiento de Toluca</w:t>
          </w:r>
        </w:p>
      </w:tc>
    </w:tr>
    <w:tr w:rsidR="00BD0FDF" w:rsidRPr="00E152D8" w14:paraId="3EC166B6" w14:textId="77777777" w:rsidTr="003D0B51">
      <w:trPr>
        <w:trHeight w:val="261"/>
      </w:trPr>
      <w:tc>
        <w:tcPr>
          <w:tcW w:w="2410" w:type="dxa"/>
        </w:tcPr>
        <w:p w14:paraId="2F1C1A23" w14:textId="77777777" w:rsidR="00BD0FDF" w:rsidRPr="00E152D8" w:rsidRDefault="00BD0FDF" w:rsidP="00F34E0A">
          <w:pPr>
            <w:tabs>
              <w:tab w:val="right" w:pos="8838"/>
            </w:tabs>
            <w:ind w:right="-105"/>
            <w:rPr>
              <w:rFonts w:eastAsia="Calibri" w:cs="Tahoma"/>
              <w:b/>
              <w:lang w:val="es-MX"/>
            </w:rPr>
          </w:pPr>
          <w:r w:rsidRPr="00E152D8">
            <w:rPr>
              <w:rFonts w:eastAsia="Calibri" w:cs="Tahoma"/>
              <w:b/>
              <w:lang w:val="es-MX"/>
            </w:rPr>
            <w:t>Comisionado Ponente:</w:t>
          </w:r>
        </w:p>
      </w:tc>
      <w:tc>
        <w:tcPr>
          <w:tcW w:w="4540" w:type="dxa"/>
          <w:gridSpan w:val="2"/>
        </w:tcPr>
        <w:p w14:paraId="64237160" w14:textId="77777777" w:rsidR="00BD0FDF" w:rsidRPr="00E152D8" w:rsidRDefault="00BD0FDF" w:rsidP="009B3229">
          <w:pPr>
            <w:tabs>
              <w:tab w:val="right" w:pos="8838"/>
            </w:tabs>
            <w:ind w:right="-32"/>
            <w:rPr>
              <w:rFonts w:eastAsia="Calibri" w:cs="Tahoma"/>
              <w:b/>
              <w:lang w:val="es-MX"/>
            </w:rPr>
          </w:pPr>
          <w:r w:rsidRPr="00E152D8">
            <w:rPr>
              <w:rFonts w:eastAsia="Calibri" w:cs="Tahoma"/>
              <w:lang w:val="es-MX"/>
            </w:rPr>
            <w:t>Luis Gustavo Parra Noriega</w:t>
          </w:r>
        </w:p>
      </w:tc>
    </w:tr>
  </w:tbl>
  <w:p w14:paraId="1C8E311B" w14:textId="1C645A76" w:rsidR="00BD0FDF" w:rsidRDefault="002F395B" w:rsidP="00F34E0A">
    <w:pPr>
      <w:pStyle w:val="Encabezado"/>
      <w:tabs>
        <w:tab w:val="left" w:pos="5812"/>
      </w:tabs>
    </w:pPr>
    <w:r>
      <w:rPr>
        <w:noProof/>
      </w:rPr>
      <w:pict w14:anchorId="50F58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5.15pt;margin-top:-124.2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7240"/>
    <w:multiLevelType w:val="hybridMultilevel"/>
    <w:tmpl w:val="C922D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F2D0CBB"/>
    <w:multiLevelType w:val="hybridMultilevel"/>
    <w:tmpl w:val="1C7E7F2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312A450F"/>
    <w:multiLevelType w:val="hybridMultilevel"/>
    <w:tmpl w:val="3A508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854B3D"/>
    <w:multiLevelType w:val="hybridMultilevel"/>
    <w:tmpl w:val="6902FC9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38153116"/>
    <w:multiLevelType w:val="hybridMultilevel"/>
    <w:tmpl w:val="D206B0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EFF4574"/>
    <w:multiLevelType w:val="hybridMultilevel"/>
    <w:tmpl w:val="69160B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6C1372AB"/>
    <w:multiLevelType w:val="hybridMultilevel"/>
    <w:tmpl w:val="97F4FF36"/>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75CC7057"/>
    <w:multiLevelType w:val="hybridMultilevel"/>
    <w:tmpl w:val="13DEB03E"/>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846363666">
    <w:abstractNumId w:val="1"/>
  </w:num>
  <w:num w:numId="2" w16cid:durableId="1430152879">
    <w:abstractNumId w:val="5"/>
  </w:num>
  <w:num w:numId="3" w16cid:durableId="781145043">
    <w:abstractNumId w:val="3"/>
  </w:num>
  <w:num w:numId="4" w16cid:durableId="1149904952">
    <w:abstractNumId w:val="4"/>
  </w:num>
  <w:num w:numId="5" w16cid:durableId="828716126">
    <w:abstractNumId w:val="0"/>
  </w:num>
  <w:num w:numId="6" w16cid:durableId="284697706">
    <w:abstractNumId w:val="6"/>
  </w:num>
  <w:num w:numId="7" w16cid:durableId="1659116751">
    <w:abstractNumId w:val="8"/>
  </w:num>
  <w:num w:numId="8" w16cid:durableId="1054355895">
    <w:abstractNumId w:val="7"/>
  </w:num>
  <w:num w:numId="9" w16cid:durableId="5123048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D9"/>
    <w:rsid w:val="00000178"/>
    <w:rsid w:val="00005346"/>
    <w:rsid w:val="0001164A"/>
    <w:rsid w:val="000118C2"/>
    <w:rsid w:val="0001218F"/>
    <w:rsid w:val="00012400"/>
    <w:rsid w:val="00013F59"/>
    <w:rsid w:val="000144E2"/>
    <w:rsid w:val="00016654"/>
    <w:rsid w:val="00020AB8"/>
    <w:rsid w:val="000355E1"/>
    <w:rsid w:val="000374E9"/>
    <w:rsid w:val="0004033B"/>
    <w:rsid w:val="00047686"/>
    <w:rsid w:val="00051EE6"/>
    <w:rsid w:val="00054D31"/>
    <w:rsid w:val="00055ECC"/>
    <w:rsid w:val="00061DFC"/>
    <w:rsid w:val="00061E08"/>
    <w:rsid w:val="00063582"/>
    <w:rsid w:val="00066FDF"/>
    <w:rsid w:val="00070CB0"/>
    <w:rsid w:val="00071380"/>
    <w:rsid w:val="00077A6E"/>
    <w:rsid w:val="00077B14"/>
    <w:rsid w:val="00081C90"/>
    <w:rsid w:val="000823E5"/>
    <w:rsid w:val="00084522"/>
    <w:rsid w:val="00084933"/>
    <w:rsid w:val="00092121"/>
    <w:rsid w:val="0009234B"/>
    <w:rsid w:val="00094453"/>
    <w:rsid w:val="000964A3"/>
    <w:rsid w:val="00096C42"/>
    <w:rsid w:val="000A4685"/>
    <w:rsid w:val="000B1245"/>
    <w:rsid w:val="000B5550"/>
    <w:rsid w:val="000B5614"/>
    <w:rsid w:val="000B6867"/>
    <w:rsid w:val="000C006D"/>
    <w:rsid w:val="000C00CC"/>
    <w:rsid w:val="000C64B6"/>
    <w:rsid w:val="000D1D08"/>
    <w:rsid w:val="000D214C"/>
    <w:rsid w:val="000D30AB"/>
    <w:rsid w:val="000D3754"/>
    <w:rsid w:val="000D3D74"/>
    <w:rsid w:val="000D64A4"/>
    <w:rsid w:val="000E12E9"/>
    <w:rsid w:val="000F08D4"/>
    <w:rsid w:val="000F4364"/>
    <w:rsid w:val="000F5705"/>
    <w:rsid w:val="000F62E3"/>
    <w:rsid w:val="000F6396"/>
    <w:rsid w:val="000F6C3B"/>
    <w:rsid w:val="000F7377"/>
    <w:rsid w:val="000F7477"/>
    <w:rsid w:val="000F7709"/>
    <w:rsid w:val="001049AC"/>
    <w:rsid w:val="00104B20"/>
    <w:rsid w:val="00107737"/>
    <w:rsid w:val="001132A0"/>
    <w:rsid w:val="00120610"/>
    <w:rsid w:val="00122140"/>
    <w:rsid w:val="00123122"/>
    <w:rsid w:val="00127270"/>
    <w:rsid w:val="00132209"/>
    <w:rsid w:val="0013258E"/>
    <w:rsid w:val="001327F2"/>
    <w:rsid w:val="001448D9"/>
    <w:rsid w:val="00152DB9"/>
    <w:rsid w:val="001570AC"/>
    <w:rsid w:val="001613C8"/>
    <w:rsid w:val="00165240"/>
    <w:rsid w:val="00165CC4"/>
    <w:rsid w:val="001700C7"/>
    <w:rsid w:val="00172038"/>
    <w:rsid w:val="00173914"/>
    <w:rsid w:val="001756F2"/>
    <w:rsid w:val="00180096"/>
    <w:rsid w:val="00182C11"/>
    <w:rsid w:val="001855D3"/>
    <w:rsid w:val="00191FDE"/>
    <w:rsid w:val="001928BD"/>
    <w:rsid w:val="001952CF"/>
    <w:rsid w:val="00196794"/>
    <w:rsid w:val="00197E2A"/>
    <w:rsid w:val="001A6395"/>
    <w:rsid w:val="001A7755"/>
    <w:rsid w:val="001B0790"/>
    <w:rsid w:val="001B223B"/>
    <w:rsid w:val="001B6A39"/>
    <w:rsid w:val="001C21EE"/>
    <w:rsid w:val="001C2619"/>
    <w:rsid w:val="001C2EBC"/>
    <w:rsid w:val="001C62B4"/>
    <w:rsid w:val="001D0453"/>
    <w:rsid w:val="001D3031"/>
    <w:rsid w:val="001D7434"/>
    <w:rsid w:val="001E01FD"/>
    <w:rsid w:val="001E0CFE"/>
    <w:rsid w:val="001E478B"/>
    <w:rsid w:val="001E5E4A"/>
    <w:rsid w:val="001E69B5"/>
    <w:rsid w:val="001F1688"/>
    <w:rsid w:val="001F1B13"/>
    <w:rsid w:val="001F55A5"/>
    <w:rsid w:val="001F560E"/>
    <w:rsid w:val="001F6AAF"/>
    <w:rsid w:val="0020058C"/>
    <w:rsid w:val="002031DD"/>
    <w:rsid w:val="002049A7"/>
    <w:rsid w:val="00206B4A"/>
    <w:rsid w:val="00207C6F"/>
    <w:rsid w:val="00220B1D"/>
    <w:rsid w:val="002245BC"/>
    <w:rsid w:val="00232DCC"/>
    <w:rsid w:val="0024566F"/>
    <w:rsid w:val="002552D9"/>
    <w:rsid w:val="00255743"/>
    <w:rsid w:val="00255DE0"/>
    <w:rsid w:val="00265193"/>
    <w:rsid w:val="00265B53"/>
    <w:rsid w:val="00270575"/>
    <w:rsid w:val="002708CA"/>
    <w:rsid w:val="002711D3"/>
    <w:rsid w:val="002736F9"/>
    <w:rsid w:val="002753AC"/>
    <w:rsid w:val="002762F3"/>
    <w:rsid w:val="002771B1"/>
    <w:rsid w:val="00281566"/>
    <w:rsid w:val="0028160B"/>
    <w:rsid w:val="0028211E"/>
    <w:rsid w:val="0029016A"/>
    <w:rsid w:val="002912C0"/>
    <w:rsid w:val="00292591"/>
    <w:rsid w:val="002945EF"/>
    <w:rsid w:val="0029541E"/>
    <w:rsid w:val="0029791B"/>
    <w:rsid w:val="002A5660"/>
    <w:rsid w:val="002A6F8F"/>
    <w:rsid w:val="002A7380"/>
    <w:rsid w:val="002B2A85"/>
    <w:rsid w:val="002B2DFE"/>
    <w:rsid w:val="002B67F9"/>
    <w:rsid w:val="002D2283"/>
    <w:rsid w:val="002D4674"/>
    <w:rsid w:val="002E19CF"/>
    <w:rsid w:val="002E44C3"/>
    <w:rsid w:val="002E4B22"/>
    <w:rsid w:val="002E6038"/>
    <w:rsid w:val="002F07DF"/>
    <w:rsid w:val="002F395B"/>
    <w:rsid w:val="002F48EA"/>
    <w:rsid w:val="003044BA"/>
    <w:rsid w:val="00304AD6"/>
    <w:rsid w:val="00311C91"/>
    <w:rsid w:val="00320553"/>
    <w:rsid w:val="003219DA"/>
    <w:rsid w:val="00324215"/>
    <w:rsid w:val="00324F7C"/>
    <w:rsid w:val="003318DB"/>
    <w:rsid w:val="00334E76"/>
    <w:rsid w:val="00341434"/>
    <w:rsid w:val="00341982"/>
    <w:rsid w:val="00344C97"/>
    <w:rsid w:val="0034595E"/>
    <w:rsid w:val="003459B3"/>
    <w:rsid w:val="00345CD3"/>
    <w:rsid w:val="00355FC7"/>
    <w:rsid w:val="0035655F"/>
    <w:rsid w:val="00356A74"/>
    <w:rsid w:val="003573E6"/>
    <w:rsid w:val="00361155"/>
    <w:rsid w:val="00361D01"/>
    <w:rsid w:val="003644DC"/>
    <w:rsid w:val="00364B33"/>
    <w:rsid w:val="003672E3"/>
    <w:rsid w:val="00372CF6"/>
    <w:rsid w:val="00375AEB"/>
    <w:rsid w:val="00377F05"/>
    <w:rsid w:val="00382767"/>
    <w:rsid w:val="00383F4C"/>
    <w:rsid w:val="00392509"/>
    <w:rsid w:val="00392B31"/>
    <w:rsid w:val="00393B51"/>
    <w:rsid w:val="0039476D"/>
    <w:rsid w:val="00394979"/>
    <w:rsid w:val="00394EBC"/>
    <w:rsid w:val="003A1D06"/>
    <w:rsid w:val="003A280A"/>
    <w:rsid w:val="003A2DD8"/>
    <w:rsid w:val="003A3736"/>
    <w:rsid w:val="003A3D30"/>
    <w:rsid w:val="003B121B"/>
    <w:rsid w:val="003B1CBE"/>
    <w:rsid w:val="003B444F"/>
    <w:rsid w:val="003B66D4"/>
    <w:rsid w:val="003B7EAA"/>
    <w:rsid w:val="003C2F7C"/>
    <w:rsid w:val="003C39F9"/>
    <w:rsid w:val="003C7592"/>
    <w:rsid w:val="003D0090"/>
    <w:rsid w:val="003D0737"/>
    <w:rsid w:val="003D0B51"/>
    <w:rsid w:val="003D130A"/>
    <w:rsid w:val="003D3877"/>
    <w:rsid w:val="003D3AD3"/>
    <w:rsid w:val="003D4253"/>
    <w:rsid w:val="003D4DFE"/>
    <w:rsid w:val="003D7C2C"/>
    <w:rsid w:val="003E3B2A"/>
    <w:rsid w:val="003E5DCB"/>
    <w:rsid w:val="004003DF"/>
    <w:rsid w:val="0040057B"/>
    <w:rsid w:val="00404348"/>
    <w:rsid w:val="00405044"/>
    <w:rsid w:val="004061A3"/>
    <w:rsid w:val="004063F9"/>
    <w:rsid w:val="00407974"/>
    <w:rsid w:val="004100AC"/>
    <w:rsid w:val="00427609"/>
    <w:rsid w:val="00430E8A"/>
    <w:rsid w:val="00431452"/>
    <w:rsid w:val="00431D14"/>
    <w:rsid w:val="00437156"/>
    <w:rsid w:val="00437331"/>
    <w:rsid w:val="00443F0D"/>
    <w:rsid w:val="004453F4"/>
    <w:rsid w:val="00451C54"/>
    <w:rsid w:val="00454CCA"/>
    <w:rsid w:val="004617CA"/>
    <w:rsid w:val="00463532"/>
    <w:rsid w:val="004655A7"/>
    <w:rsid w:val="00470FD1"/>
    <w:rsid w:val="00471720"/>
    <w:rsid w:val="004732B4"/>
    <w:rsid w:val="004850BB"/>
    <w:rsid w:val="00487553"/>
    <w:rsid w:val="0049048A"/>
    <w:rsid w:val="00494A1F"/>
    <w:rsid w:val="00494ADB"/>
    <w:rsid w:val="004957E2"/>
    <w:rsid w:val="004A5EC7"/>
    <w:rsid w:val="004A7050"/>
    <w:rsid w:val="004B20E0"/>
    <w:rsid w:val="004B54D0"/>
    <w:rsid w:val="004B7612"/>
    <w:rsid w:val="004C09DA"/>
    <w:rsid w:val="004C2175"/>
    <w:rsid w:val="004C2C37"/>
    <w:rsid w:val="004C6C16"/>
    <w:rsid w:val="004D33FF"/>
    <w:rsid w:val="004D5B25"/>
    <w:rsid w:val="004D7869"/>
    <w:rsid w:val="004E44D2"/>
    <w:rsid w:val="004E5AED"/>
    <w:rsid w:val="004F0E43"/>
    <w:rsid w:val="004F7F38"/>
    <w:rsid w:val="00502FA9"/>
    <w:rsid w:val="0050747C"/>
    <w:rsid w:val="00511A67"/>
    <w:rsid w:val="00515860"/>
    <w:rsid w:val="00520569"/>
    <w:rsid w:val="00526532"/>
    <w:rsid w:val="00533430"/>
    <w:rsid w:val="0053490D"/>
    <w:rsid w:val="00537966"/>
    <w:rsid w:val="0054037C"/>
    <w:rsid w:val="00541CD3"/>
    <w:rsid w:val="00543143"/>
    <w:rsid w:val="005439B3"/>
    <w:rsid w:val="0054421E"/>
    <w:rsid w:val="0054509E"/>
    <w:rsid w:val="00551348"/>
    <w:rsid w:val="00551D7E"/>
    <w:rsid w:val="0055491F"/>
    <w:rsid w:val="00555330"/>
    <w:rsid w:val="005556DE"/>
    <w:rsid w:val="00563865"/>
    <w:rsid w:val="005647A2"/>
    <w:rsid w:val="00577C8E"/>
    <w:rsid w:val="0058579C"/>
    <w:rsid w:val="0059130C"/>
    <w:rsid w:val="00591706"/>
    <w:rsid w:val="005A0B5F"/>
    <w:rsid w:val="005A0CE3"/>
    <w:rsid w:val="005A21DB"/>
    <w:rsid w:val="005A2DBB"/>
    <w:rsid w:val="005B14D2"/>
    <w:rsid w:val="005B351C"/>
    <w:rsid w:val="005B6354"/>
    <w:rsid w:val="005B709F"/>
    <w:rsid w:val="005B78CE"/>
    <w:rsid w:val="005D1AB8"/>
    <w:rsid w:val="005D3BC9"/>
    <w:rsid w:val="005D6A89"/>
    <w:rsid w:val="005E24DB"/>
    <w:rsid w:val="005E24F8"/>
    <w:rsid w:val="005E310D"/>
    <w:rsid w:val="005E34EA"/>
    <w:rsid w:val="005E6021"/>
    <w:rsid w:val="005E7AE7"/>
    <w:rsid w:val="005F4789"/>
    <w:rsid w:val="005F5459"/>
    <w:rsid w:val="005F71FE"/>
    <w:rsid w:val="005F7AB9"/>
    <w:rsid w:val="00601AF0"/>
    <w:rsid w:val="0060301A"/>
    <w:rsid w:val="00603286"/>
    <w:rsid w:val="006069B1"/>
    <w:rsid w:val="00610BB9"/>
    <w:rsid w:val="006120A3"/>
    <w:rsid w:val="00617C09"/>
    <w:rsid w:val="00617C0F"/>
    <w:rsid w:val="006301F7"/>
    <w:rsid w:val="00634B59"/>
    <w:rsid w:val="00636809"/>
    <w:rsid w:val="006502FE"/>
    <w:rsid w:val="00657F1C"/>
    <w:rsid w:val="006607EA"/>
    <w:rsid w:val="006654FC"/>
    <w:rsid w:val="00666AA9"/>
    <w:rsid w:val="00667419"/>
    <w:rsid w:val="00667F19"/>
    <w:rsid w:val="00670BBA"/>
    <w:rsid w:val="006724BD"/>
    <w:rsid w:val="00672FE0"/>
    <w:rsid w:val="00681069"/>
    <w:rsid w:val="00683D04"/>
    <w:rsid w:val="00683E00"/>
    <w:rsid w:val="00683FC3"/>
    <w:rsid w:val="0068447E"/>
    <w:rsid w:val="00686C69"/>
    <w:rsid w:val="00687A5B"/>
    <w:rsid w:val="00695D3F"/>
    <w:rsid w:val="006A0DD0"/>
    <w:rsid w:val="006A117F"/>
    <w:rsid w:val="006A271A"/>
    <w:rsid w:val="006A52AF"/>
    <w:rsid w:val="006A54DA"/>
    <w:rsid w:val="006A7D41"/>
    <w:rsid w:val="006B2DBE"/>
    <w:rsid w:val="006C291D"/>
    <w:rsid w:val="006C35BB"/>
    <w:rsid w:val="006C4C51"/>
    <w:rsid w:val="006C5476"/>
    <w:rsid w:val="006C78B0"/>
    <w:rsid w:val="006D607E"/>
    <w:rsid w:val="006D72E9"/>
    <w:rsid w:val="006E3C98"/>
    <w:rsid w:val="006E4169"/>
    <w:rsid w:val="006E4CE6"/>
    <w:rsid w:val="006F011A"/>
    <w:rsid w:val="006F0B2A"/>
    <w:rsid w:val="006F1C52"/>
    <w:rsid w:val="006F1D63"/>
    <w:rsid w:val="006F6518"/>
    <w:rsid w:val="00703548"/>
    <w:rsid w:val="00703C07"/>
    <w:rsid w:val="0070685D"/>
    <w:rsid w:val="00716A83"/>
    <w:rsid w:val="007173BE"/>
    <w:rsid w:val="007202EE"/>
    <w:rsid w:val="007221BA"/>
    <w:rsid w:val="0072796F"/>
    <w:rsid w:val="0073646F"/>
    <w:rsid w:val="00737A6B"/>
    <w:rsid w:val="007505E8"/>
    <w:rsid w:val="007547EC"/>
    <w:rsid w:val="0076755B"/>
    <w:rsid w:val="007727DE"/>
    <w:rsid w:val="00773098"/>
    <w:rsid w:val="0077314F"/>
    <w:rsid w:val="00773977"/>
    <w:rsid w:val="00775A95"/>
    <w:rsid w:val="00775DBC"/>
    <w:rsid w:val="00780243"/>
    <w:rsid w:val="00780B8A"/>
    <w:rsid w:val="00782DF8"/>
    <w:rsid w:val="00784FF6"/>
    <w:rsid w:val="00786A7B"/>
    <w:rsid w:val="00787D60"/>
    <w:rsid w:val="00792D79"/>
    <w:rsid w:val="00793831"/>
    <w:rsid w:val="007A0DC6"/>
    <w:rsid w:val="007A5636"/>
    <w:rsid w:val="007B02AA"/>
    <w:rsid w:val="007B0D14"/>
    <w:rsid w:val="007B4060"/>
    <w:rsid w:val="007B77CD"/>
    <w:rsid w:val="007B781E"/>
    <w:rsid w:val="007C1DD1"/>
    <w:rsid w:val="007C5E89"/>
    <w:rsid w:val="007C7368"/>
    <w:rsid w:val="007D1ADE"/>
    <w:rsid w:val="007D32AF"/>
    <w:rsid w:val="007D3602"/>
    <w:rsid w:val="007D64DF"/>
    <w:rsid w:val="007D6E5D"/>
    <w:rsid w:val="007D71D0"/>
    <w:rsid w:val="007E4AAE"/>
    <w:rsid w:val="007E771E"/>
    <w:rsid w:val="007F1E03"/>
    <w:rsid w:val="007F20F1"/>
    <w:rsid w:val="007F228A"/>
    <w:rsid w:val="007F316A"/>
    <w:rsid w:val="00800152"/>
    <w:rsid w:val="00801331"/>
    <w:rsid w:val="00804735"/>
    <w:rsid w:val="008063AC"/>
    <w:rsid w:val="00806DB3"/>
    <w:rsid w:val="00807E43"/>
    <w:rsid w:val="00812612"/>
    <w:rsid w:val="008175CD"/>
    <w:rsid w:val="00817C75"/>
    <w:rsid w:val="00822B62"/>
    <w:rsid w:val="00822D03"/>
    <w:rsid w:val="00823825"/>
    <w:rsid w:val="008238C5"/>
    <w:rsid w:val="00824195"/>
    <w:rsid w:val="00824827"/>
    <w:rsid w:val="008263E3"/>
    <w:rsid w:val="00837814"/>
    <w:rsid w:val="00840587"/>
    <w:rsid w:val="00842C30"/>
    <w:rsid w:val="00844441"/>
    <w:rsid w:val="00845102"/>
    <w:rsid w:val="008462E0"/>
    <w:rsid w:val="00850E31"/>
    <w:rsid w:val="0085133C"/>
    <w:rsid w:val="00855CF6"/>
    <w:rsid w:val="00860287"/>
    <w:rsid w:val="0086489A"/>
    <w:rsid w:val="00871A8D"/>
    <w:rsid w:val="008851B3"/>
    <w:rsid w:val="00885EEA"/>
    <w:rsid w:val="008866A4"/>
    <w:rsid w:val="00886CD4"/>
    <w:rsid w:val="00890243"/>
    <w:rsid w:val="008942CE"/>
    <w:rsid w:val="00894760"/>
    <w:rsid w:val="00894B74"/>
    <w:rsid w:val="00895475"/>
    <w:rsid w:val="00896CD8"/>
    <w:rsid w:val="00896FB9"/>
    <w:rsid w:val="008A3936"/>
    <w:rsid w:val="008A558B"/>
    <w:rsid w:val="008A6086"/>
    <w:rsid w:val="008A6E52"/>
    <w:rsid w:val="008B4387"/>
    <w:rsid w:val="008B60E3"/>
    <w:rsid w:val="008C1A3E"/>
    <w:rsid w:val="008C4CB3"/>
    <w:rsid w:val="008C576A"/>
    <w:rsid w:val="008C6F94"/>
    <w:rsid w:val="008C7A9D"/>
    <w:rsid w:val="008E0E17"/>
    <w:rsid w:val="008E1582"/>
    <w:rsid w:val="008E3332"/>
    <w:rsid w:val="008E4F87"/>
    <w:rsid w:val="008E558B"/>
    <w:rsid w:val="008E5F4B"/>
    <w:rsid w:val="008E78E6"/>
    <w:rsid w:val="008F179C"/>
    <w:rsid w:val="008F1933"/>
    <w:rsid w:val="008F5178"/>
    <w:rsid w:val="00904745"/>
    <w:rsid w:val="00910469"/>
    <w:rsid w:val="00911580"/>
    <w:rsid w:val="0091577C"/>
    <w:rsid w:val="00916765"/>
    <w:rsid w:val="00917C3C"/>
    <w:rsid w:val="00931EA9"/>
    <w:rsid w:val="0093261A"/>
    <w:rsid w:val="009337EE"/>
    <w:rsid w:val="009341FE"/>
    <w:rsid w:val="0093576C"/>
    <w:rsid w:val="00936C3A"/>
    <w:rsid w:val="00941D19"/>
    <w:rsid w:val="009428BC"/>
    <w:rsid w:val="009443DE"/>
    <w:rsid w:val="00945466"/>
    <w:rsid w:val="0095180B"/>
    <w:rsid w:val="0095381C"/>
    <w:rsid w:val="00953F07"/>
    <w:rsid w:val="009603B7"/>
    <w:rsid w:val="00963B00"/>
    <w:rsid w:val="0096478B"/>
    <w:rsid w:val="00966C3B"/>
    <w:rsid w:val="00970AE3"/>
    <w:rsid w:val="009711D8"/>
    <w:rsid w:val="0097128D"/>
    <w:rsid w:val="0097492D"/>
    <w:rsid w:val="00975E93"/>
    <w:rsid w:val="00986275"/>
    <w:rsid w:val="009876BA"/>
    <w:rsid w:val="009933C5"/>
    <w:rsid w:val="009955C1"/>
    <w:rsid w:val="009A07AE"/>
    <w:rsid w:val="009A3066"/>
    <w:rsid w:val="009A5A84"/>
    <w:rsid w:val="009B3229"/>
    <w:rsid w:val="009B4AE7"/>
    <w:rsid w:val="009B4F07"/>
    <w:rsid w:val="009B568A"/>
    <w:rsid w:val="009B5FF8"/>
    <w:rsid w:val="009B7B92"/>
    <w:rsid w:val="009C1D2E"/>
    <w:rsid w:val="009C399F"/>
    <w:rsid w:val="009C5452"/>
    <w:rsid w:val="009D3479"/>
    <w:rsid w:val="009E1FAE"/>
    <w:rsid w:val="009E6F8A"/>
    <w:rsid w:val="009E7021"/>
    <w:rsid w:val="009F0623"/>
    <w:rsid w:val="009F2BE0"/>
    <w:rsid w:val="009F3FF7"/>
    <w:rsid w:val="009F41C9"/>
    <w:rsid w:val="009F51BE"/>
    <w:rsid w:val="00A01721"/>
    <w:rsid w:val="00A0338D"/>
    <w:rsid w:val="00A0396E"/>
    <w:rsid w:val="00A0453B"/>
    <w:rsid w:val="00A05C78"/>
    <w:rsid w:val="00A17D4E"/>
    <w:rsid w:val="00A2050F"/>
    <w:rsid w:val="00A20C59"/>
    <w:rsid w:val="00A21466"/>
    <w:rsid w:val="00A235FA"/>
    <w:rsid w:val="00A3160A"/>
    <w:rsid w:val="00A329C5"/>
    <w:rsid w:val="00A32BB9"/>
    <w:rsid w:val="00A33BF8"/>
    <w:rsid w:val="00A37D74"/>
    <w:rsid w:val="00A47197"/>
    <w:rsid w:val="00A500EE"/>
    <w:rsid w:val="00A502CA"/>
    <w:rsid w:val="00A54574"/>
    <w:rsid w:val="00A54976"/>
    <w:rsid w:val="00A56556"/>
    <w:rsid w:val="00A568F2"/>
    <w:rsid w:val="00A62148"/>
    <w:rsid w:val="00A62376"/>
    <w:rsid w:val="00A64BAC"/>
    <w:rsid w:val="00A66E98"/>
    <w:rsid w:val="00A67272"/>
    <w:rsid w:val="00A76FDA"/>
    <w:rsid w:val="00A7744F"/>
    <w:rsid w:val="00A7785B"/>
    <w:rsid w:val="00A864C8"/>
    <w:rsid w:val="00A9167D"/>
    <w:rsid w:val="00A942BE"/>
    <w:rsid w:val="00A953B4"/>
    <w:rsid w:val="00A96314"/>
    <w:rsid w:val="00A96F3B"/>
    <w:rsid w:val="00AA0825"/>
    <w:rsid w:val="00AA2E44"/>
    <w:rsid w:val="00AA4DA6"/>
    <w:rsid w:val="00AA4DCE"/>
    <w:rsid w:val="00AA775E"/>
    <w:rsid w:val="00AB2B19"/>
    <w:rsid w:val="00AB5E61"/>
    <w:rsid w:val="00AB6E48"/>
    <w:rsid w:val="00AC2A23"/>
    <w:rsid w:val="00AC66FF"/>
    <w:rsid w:val="00AD2531"/>
    <w:rsid w:val="00AD294A"/>
    <w:rsid w:val="00AD7BB9"/>
    <w:rsid w:val="00AE0541"/>
    <w:rsid w:val="00AE0B8C"/>
    <w:rsid w:val="00AE3612"/>
    <w:rsid w:val="00AE68A4"/>
    <w:rsid w:val="00AF1426"/>
    <w:rsid w:val="00AF43DD"/>
    <w:rsid w:val="00AF54A6"/>
    <w:rsid w:val="00AF590D"/>
    <w:rsid w:val="00AF6587"/>
    <w:rsid w:val="00B014EB"/>
    <w:rsid w:val="00B0253B"/>
    <w:rsid w:val="00B02DD6"/>
    <w:rsid w:val="00B03065"/>
    <w:rsid w:val="00B04C84"/>
    <w:rsid w:val="00B0598B"/>
    <w:rsid w:val="00B064A4"/>
    <w:rsid w:val="00B11CEA"/>
    <w:rsid w:val="00B12193"/>
    <w:rsid w:val="00B172D4"/>
    <w:rsid w:val="00B21155"/>
    <w:rsid w:val="00B2169F"/>
    <w:rsid w:val="00B22482"/>
    <w:rsid w:val="00B2451A"/>
    <w:rsid w:val="00B24607"/>
    <w:rsid w:val="00B2617B"/>
    <w:rsid w:val="00B43F5C"/>
    <w:rsid w:val="00B470E8"/>
    <w:rsid w:val="00B53856"/>
    <w:rsid w:val="00B57108"/>
    <w:rsid w:val="00B614AA"/>
    <w:rsid w:val="00B617E5"/>
    <w:rsid w:val="00B61BF0"/>
    <w:rsid w:val="00B65594"/>
    <w:rsid w:val="00B66997"/>
    <w:rsid w:val="00B66E59"/>
    <w:rsid w:val="00B7100A"/>
    <w:rsid w:val="00B77668"/>
    <w:rsid w:val="00B8289E"/>
    <w:rsid w:val="00B9075D"/>
    <w:rsid w:val="00B90EF8"/>
    <w:rsid w:val="00B936C7"/>
    <w:rsid w:val="00B956E6"/>
    <w:rsid w:val="00B95F59"/>
    <w:rsid w:val="00BA3DDB"/>
    <w:rsid w:val="00BA5C25"/>
    <w:rsid w:val="00BB2153"/>
    <w:rsid w:val="00BB3910"/>
    <w:rsid w:val="00BB6216"/>
    <w:rsid w:val="00BB670F"/>
    <w:rsid w:val="00BB7194"/>
    <w:rsid w:val="00BB7A3E"/>
    <w:rsid w:val="00BC05D7"/>
    <w:rsid w:val="00BC30E5"/>
    <w:rsid w:val="00BD0FDF"/>
    <w:rsid w:val="00BD5986"/>
    <w:rsid w:val="00BD7F30"/>
    <w:rsid w:val="00BE39D1"/>
    <w:rsid w:val="00BE3B2E"/>
    <w:rsid w:val="00BE44F4"/>
    <w:rsid w:val="00BE75BB"/>
    <w:rsid w:val="00BF1227"/>
    <w:rsid w:val="00BF3376"/>
    <w:rsid w:val="00BF79B2"/>
    <w:rsid w:val="00C00AC6"/>
    <w:rsid w:val="00C0402C"/>
    <w:rsid w:val="00C11D49"/>
    <w:rsid w:val="00C12448"/>
    <w:rsid w:val="00C13E00"/>
    <w:rsid w:val="00C140F1"/>
    <w:rsid w:val="00C147F9"/>
    <w:rsid w:val="00C1531D"/>
    <w:rsid w:val="00C17F74"/>
    <w:rsid w:val="00C20BF0"/>
    <w:rsid w:val="00C22BE9"/>
    <w:rsid w:val="00C238BB"/>
    <w:rsid w:val="00C24833"/>
    <w:rsid w:val="00C27F4A"/>
    <w:rsid w:val="00C31A4B"/>
    <w:rsid w:val="00C478B8"/>
    <w:rsid w:val="00C47955"/>
    <w:rsid w:val="00C50335"/>
    <w:rsid w:val="00C50842"/>
    <w:rsid w:val="00C555B3"/>
    <w:rsid w:val="00C5585E"/>
    <w:rsid w:val="00C56B8B"/>
    <w:rsid w:val="00C573A0"/>
    <w:rsid w:val="00C60547"/>
    <w:rsid w:val="00C672B0"/>
    <w:rsid w:val="00C67EF9"/>
    <w:rsid w:val="00C71C92"/>
    <w:rsid w:val="00C72E9C"/>
    <w:rsid w:val="00C77736"/>
    <w:rsid w:val="00C82FED"/>
    <w:rsid w:val="00C83219"/>
    <w:rsid w:val="00C867B6"/>
    <w:rsid w:val="00C87D0E"/>
    <w:rsid w:val="00C87FF5"/>
    <w:rsid w:val="00C90653"/>
    <w:rsid w:val="00C914D9"/>
    <w:rsid w:val="00C91799"/>
    <w:rsid w:val="00C92269"/>
    <w:rsid w:val="00C97CAB"/>
    <w:rsid w:val="00CA0F19"/>
    <w:rsid w:val="00CA4B18"/>
    <w:rsid w:val="00CA5434"/>
    <w:rsid w:val="00CA5E67"/>
    <w:rsid w:val="00CB14D9"/>
    <w:rsid w:val="00CB3D04"/>
    <w:rsid w:val="00CB3E41"/>
    <w:rsid w:val="00CB7980"/>
    <w:rsid w:val="00CC313F"/>
    <w:rsid w:val="00CC519B"/>
    <w:rsid w:val="00CD4962"/>
    <w:rsid w:val="00CD69E9"/>
    <w:rsid w:val="00CE0477"/>
    <w:rsid w:val="00CE3BBE"/>
    <w:rsid w:val="00CE52C5"/>
    <w:rsid w:val="00CE5773"/>
    <w:rsid w:val="00CE6E93"/>
    <w:rsid w:val="00CF3906"/>
    <w:rsid w:val="00CF5BEA"/>
    <w:rsid w:val="00CF60DA"/>
    <w:rsid w:val="00D00C3E"/>
    <w:rsid w:val="00D01379"/>
    <w:rsid w:val="00D06A1A"/>
    <w:rsid w:val="00D1670B"/>
    <w:rsid w:val="00D1671B"/>
    <w:rsid w:val="00D17D14"/>
    <w:rsid w:val="00D24FB2"/>
    <w:rsid w:val="00D25560"/>
    <w:rsid w:val="00D26876"/>
    <w:rsid w:val="00D30265"/>
    <w:rsid w:val="00D30E70"/>
    <w:rsid w:val="00D30F6C"/>
    <w:rsid w:val="00D3330B"/>
    <w:rsid w:val="00D376D0"/>
    <w:rsid w:val="00D4257C"/>
    <w:rsid w:val="00D445DC"/>
    <w:rsid w:val="00D47421"/>
    <w:rsid w:val="00D502AB"/>
    <w:rsid w:val="00D54702"/>
    <w:rsid w:val="00D54DBD"/>
    <w:rsid w:val="00D55E2F"/>
    <w:rsid w:val="00D569D4"/>
    <w:rsid w:val="00D56F7F"/>
    <w:rsid w:val="00D6151E"/>
    <w:rsid w:val="00D61C83"/>
    <w:rsid w:val="00D646C1"/>
    <w:rsid w:val="00D75F21"/>
    <w:rsid w:val="00D76E10"/>
    <w:rsid w:val="00D84796"/>
    <w:rsid w:val="00D86083"/>
    <w:rsid w:val="00D94DEB"/>
    <w:rsid w:val="00D96589"/>
    <w:rsid w:val="00D97102"/>
    <w:rsid w:val="00DA4C87"/>
    <w:rsid w:val="00DA74FF"/>
    <w:rsid w:val="00DB31D6"/>
    <w:rsid w:val="00DB5C3E"/>
    <w:rsid w:val="00DB677D"/>
    <w:rsid w:val="00DC3802"/>
    <w:rsid w:val="00DC6ABD"/>
    <w:rsid w:val="00DD0465"/>
    <w:rsid w:val="00DD2681"/>
    <w:rsid w:val="00DD407A"/>
    <w:rsid w:val="00DD5123"/>
    <w:rsid w:val="00DD6872"/>
    <w:rsid w:val="00DD6E79"/>
    <w:rsid w:val="00DD7483"/>
    <w:rsid w:val="00DD7A69"/>
    <w:rsid w:val="00DE37B9"/>
    <w:rsid w:val="00DE4F79"/>
    <w:rsid w:val="00DF1476"/>
    <w:rsid w:val="00E000AA"/>
    <w:rsid w:val="00E003E9"/>
    <w:rsid w:val="00E03699"/>
    <w:rsid w:val="00E0386E"/>
    <w:rsid w:val="00E03FA3"/>
    <w:rsid w:val="00E075E2"/>
    <w:rsid w:val="00E10653"/>
    <w:rsid w:val="00E11886"/>
    <w:rsid w:val="00E14EDC"/>
    <w:rsid w:val="00E15450"/>
    <w:rsid w:val="00E156EB"/>
    <w:rsid w:val="00E161BB"/>
    <w:rsid w:val="00E16503"/>
    <w:rsid w:val="00E17875"/>
    <w:rsid w:val="00E21940"/>
    <w:rsid w:val="00E22B52"/>
    <w:rsid w:val="00E25189"/>
    <w:rsid w:val="00E35735"/>
    <w:rsid w:val="00E36E12"/>
    <w:rsid w:val="00E40057"/>
    <w:rsid w:val="00E40738"/>
    <w:rsid w:val="00E41269"/>
    <w:rsid w:val="00E4507A"/>
    <w:rsid w:val="00E5008F"/>
    <w:rsid w:val="00E50564"/>
    <w:rsid w:val="00E511FA"/>
    <w:rsid w:val="00E529BB"/>
    <w:rsid w:val="00E53809"/>
    <w:rsid w:val="00E57A08"/>
    <w:rsid w:val="00E61B48"/>
    <w:rsid w:val="00E6319B"/>
    <w:rsid w:val="00E635B7"/>
    <w:rsid w:val="00E6783D"/>
    <w:rsid w:val="00E702F3"/>
    <w:rsid w:val="00E70445"/>
    <w:rsid w:val="00E752ED"/>
    <w:rsid w:val="00E75851"/>
    <w:rsid w:val="00E84509"/>
    <w:rsid w:val="00E84FAD"/>
    <w:rsid w:val="00E90E82"/>
    <w:rsid w:val="00EA0E69"/>
    <w:rsid w:val="00EA2DD0"/>
    <w:rsid w:val="00EA35D9"/>
    <w:rsid w:val="00EA79A8"/>
    <w:rsid w:val="00EB3DC8"/>
    <w:rsid w:val="00EB466E"/>
    <w:rsid w:val="00EB495E"/>
    <w:rsid w:val="00EB6538"/>
    <w:rsid w:val="00EC1C03"/>
    <w:rsid w:val="00EC31FB"/>
    <w:rsid w:val="00EC4A2E"/>
    <w:rsid w:val="00EC612F"/>
    <w:rsid w:val="00EC77D9"/>
    <w:rsid w:val="00ED3762"/>
    <w:rsid w:val="00ED609B"/>
    <w:rsid w:val="00ED7013"/>
    <w:rsid w:val="00EE6AAF"/>
    <w:rsid w:val="00EF077C"/>
    <w:rsid w:val="00EF2DE1"/>
    <w:rsid w:val="00F0085C"/>
    <w:rsid w:val="00F02F7E"/>
    <w:rsid w:val="00F03558"/>
    <w:rsid w:val="00F038A9"/>
    <w:rsid w:val="00F108D1"/>
    <w:rsid w:val="00F10CB5"/>
    <w:rsid w:val="00F15472"/>
    <w:rsid w:val="00F167B7"/>
    <w:rsid w:val="00F1768D"/>
    <w:rsid w:val="00F17FEF"/>
    <w:rsid w:val="00F21EE0"/>
    <w:rsid w:val="00F2667C"/>
    <w:rsid w:val="00F27576"/>
    <w:rsid w:val="00F27E6C"/>
    <w:rsid w:val="00F34E0A"/>
    <w:rsid w:val="00F36F8C"/>
    <w:rsid w:val="00F37243"/>
    <w:rsid w:val="00F41B18"/>
    <w:rsid w:val="00F47BE3"/>
    <w:rsid w:val="00F53AEA"/>
    <w:rsid w:val="00F5589F"/>
    <w:rsid w:val="00F60083"/>
    <w:rsid w:val="00F632F8"/>
    <w:rsid w:val="00F67477"/>
    <w:rsid w:val="00F70988"/>
    <w:rsid w:val="00F72248"/>
    <w:rsid w:val="00F7251D"/>
    <w:rsid w:val="00F73369"/>
    <w:rsid w:val="00F752FD"/>
    <w:rsid w:val="00F75F69"/>
    <w:rsid w:val="00F84FF3"/>
    <w:rsid w:val="00F931F8"/>
    <w:rsid w:val="00F93351"/>
    <w:rsid w:val="00F94E52"/>
    <w:rsid w:val="00F967B1"/>
    <w:rsid w:val="00FA1E5E"/>
    <w:rsid w:val="00FA29C4"/>
    <w:rsid w:val="00FA38D9"/>
    <w:rsid w:val="00FA65FF"/>
    <w:rsid w:val="00FA701C"/>
    <w:rsid w:val="00FA7798"/>
    <w:rsid w:val="00FB21F8"/>
    <w:rsid w:val="00FB7385"/>
    <w:rsid w:val="00FD11C2"/>
    <w:rsid w:val="00FD19A9"/>
    <w:rsid w:val="00FD2D2D"/>
    <w:rsid w:val="00FD569A"/>
    <w:rsid w:val="00FD6846"/>
    <w:rsid w:val="00FD7076"/>
    <w:rsid w:val="00FE00F5"/>
    <w:rsid w:val="00FE02C9"/>
    <w:rsid w:val="00FE4AB3"/>
    <w:rsid w:val="00FE6217"/>
    <w:rsid w:val="00FF5246"/>
    <w:rsid w:val="00FF55AC"/>
    <w:rsid w:val="00FF667F"/>
    <w:rsid w:val="00FF7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E55BEB"/>
  <w15:chartTrackingRefBased/>
  <w15:docId w15:val="{ED4E1D90-81AE-4BC6-AC07-8B3171D4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FB9"/>
    <w:pPr>
      <w:jc w:val="both"/>
    </w:pPr>
    <w:rPr>
      <w:rFonts w:ascii="Palatino Linotype" w:hAnsi="Palatino Linotype"/>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3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aliases w:val="Hipervínculo1,Hipervínculo11,Hipervínculo12,Hipervínculo13,Hipervínculo14,Hipervínculo15"/>
    <w:basedOn w:val="Fuentedeprrafopredeter"/>
    <w:uiPriority w:val="99"/>
    <w:unhideWhenUsed/>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character" w:customStyle="1" w:styleId="Mencinsinresolver2">
    <w:name w:val="Mención sin resolver2"/>
    <w:basedOn w:val="Fuentedeprrafopredeter"/>
    <w:uiPriority w:val="99"/>
    <w:semiHidden/>
    <w:unhideWhenUsed/>
    <w:rsid w:val="00C13E00"/>
    <w:rPr>
      <w:color w:val="605E5C"/>
      <w:shd w:val="clear" w:color="auto" w:fill="E1DFDD"/>
    </w:rPr>
  </w:style>
  <w:style w:type="character" w:customStyle="1" w:styleId="Mencinsinresolver3">
    <w:name w:val="Mención sin resolver3"/>
    <w:basedOn w:val="Fuentedeprrafopredeter"/>
    <w:uiPriority w:val="99"/>
    <w:semiHidden/>
    <w:unhideWhenUsed/>
    <w:rsid w:val="009B568A"/>
    <w:rPr>
      <w:color w:val="605E5C"/>
      <w:shd w:val="clear" w:color="auto" w:fill="E1DFDD"/>
    </w:rPr>
  </w:style>
  <w:style w:type="character" w:styleId="Hipervnculovisitado">
    <w:name w:val="FollowedHyperlink"/>
    <w:basedOn w:val="Fuentedeprrafopredeter"/>
    <w:uiPriority w:val="99"/>
    <w:semiHidden/>
    <w:unhideWhenUsed/>
    <w:rsid w:val="005917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78675">
      <w:bodyDiv w:val="1"/>
      <w:marLeft w:val="0"/>
      <w:marRight w:val="0"/>
      <w:marTop w:val="0"/>
      <w:marBottom w:val="0"/>
      <w:divBdr>
        <w:top w:val="none" w:sz="0" w:space="0" w:color="auto"/>
        <w:left w:val="none" w:sz="0" w:space="0" w:color="auto"/>
        <w:bottom w:val="none" w:sz="0" w:space="0" w:color="auto"/>
        <w:right w:val="none" w:sz="0" w:space="0" w:color="auto"/>
      </w:divBdr>
    </w:div>
    <w:div w:id="210264203">
      <w:bodyDiv w:val="1"/>
      <w:marLeft w:val="0"/>
      <w:marRight w:val="0"/>
      <w:marTop w:val="0"/>
      <w:marBottom w:val="0"/>
      <w:divBdr>
        <w:top w:val="none" w:sz="0" w:space="0" w:color="auto"/>
        <w:left w:val="none" w:sz="0" w:space="0" w:color="auto"/>
        <w:bottom w:val="none" w:sz="0" w:space="0" w:color="auto"/>
        <w:right w:val="none" w:sz="0" w:space="0" w:color="auto"/>
      </w:divBdr>
    </w:div>
    <w:div w:id="218320696">
      <w:bodyDiv w:val="1"/>
      <w:marLeft w:val="0"/>
      <w:marRight w:val="0"/>
      <w:marTop w:val="0"/>
      <w:marBottom w:val="0"/>
      <w:divBdr>
        <w:top w:val="none" w:sz="0" w:space="0" w:color="auto"/>
        <w:left w:val="none" w:sz="0" w:space="0" w:color="auto"/>
        <w:bottom w:val="none" w:sz="0" w:space="0" w:color="auto"/>
        <w:right w:val="none" w:sz="0" w:space="0" w:color="auto"/>
      </w:divBdr>
    </w:div>
    <w:div w:id="225843625">
      <w:bodyDiv w:val="1"/>
      <w:marLeft w:val="0"/>
      <w:marRight w:val="0"/>
      <w:marTop w:val="0"/>
      <w:marBottom w:val="0"/>
      <w:divBdr>
        <w:top w:val="none" w:sz="0" w:space="0" w:color="auto"/>
        <w:left w:val="none" w:sz="0" w:space="0" w:color="auto"/>
        <w:bottom w:val="none" w:sz="0" w:space="0" w:color="auto"/>
        <w:right w:val="none" w:sz="0" w:space="0" w:color="auto"/>
      </w:divBdr>
    </w:div>
    <w:div w:id="230510293">
      <w:bodyDiv w:val="1"/>
      <w:marLeft w:val="0"/>
      <w:marRight w:val="0"/>
      <w:marTop w:val="0"/>
      <w:marBottom w:val="0"/>
      <w:divBdr>
        <w:top w:val="none" w:sz="0" w:space="0" w:color="auto"/>
        <w:left w:val="none" w:sz="0" w:space="0" w:color="auto"/>
        <w:bottom w:val="none" w:sz="0" w:space="0" w:color="auto"/>
        <w:right w:val="none" w:sz="0" w:space="0" w:color="auto"/>
      </w:divBdr>
    </w:div>
    <w:div w:id="237398710">
      <w:bodyDiv w:val="1"/>
      <w:marLeft w:val="0"/>
      <w:marRight w:val="0"/>
      <w:marTop w:val="0"/>
      <w:marBottom w:val="0"/>
      <w:divBdr>
        <w:top w:val="none" w:sz="0" w:space="0" w:color="auto"/>
        <w:left w:val="none" w:sz="0" w:space="0" w:color="auto"/>
        <w:bottom w:val="none" w:sz="0" w:space="0" w:color="auto"/>
        <w:right w:val="none" w:sz="0" w:space="0" w:color="auto"/>
      </w:divBdr>
    </w:div>
    <w:div w:id="299651580">
      <w:bodyDiv w:val="1"/>
      <w:marLeft w:val="0"/>
      <w:marRight w:val="0"/>
      <w:marTop w:val="0"/>
      <w:marBottom w:val="0"/>
      <w:divBdr>
        <w:top w:val="none" w:sz="0" w:space="0" w:color="auto"/>
        <w:left w:val="none" w:sz="0" w:space="0" w:color="auto"/>
        <w:bottom w:val="none" w:sz="0" w:space="0" w:color="auto"/>
        <w:right w:val="none" w:sz="0" w:space="0" w:color="auto"/>
      </w:divBdr>
    </w:div>
    <w:div w:id="347409997">
      <w:bodyDiv w:val="1"/>
      <w:marLeft w:val="0"/>
      <w:marRight w:val="0"/>
      <w:marTop w:val="0"/>
      <w:marBottom w:val="0"/>
      <w:divBdr>
        <w:top w:val="none" w:sz="0" w:space="0" w:color="auto"/>
        <w:left w:val="none" w:sz="0" w:space="0" w:color="auto"/>
        <w:bottom w:val="none" w:sz="0" w:space="0" w:color="auto"/>
        <w:right w:val="none" w:sz="0" w:space="0" w:color="auto"/>
      </w:divBdr>
    </w:div>
    <w:div w:id="349452862">
      <w:bodyDiv w:val="1"/>
      <w:marLeft w:val="0"/>
      <w:marRight w:val="0"/>
      <w:marTop w:val="0"/>
      <w:marBottom w:val="0"/>
      <w:divBdr>
        <w:top w:val="none" w:sz="0" w:space="0" w:color="auto"/>
        <w:left w:val="none" w:sz="0" w:space="0" w:color="auto"/>
        <w:bottom w:val="none" w:sz="0" w:space="0" w:color="auto"/>
        <w:right w:val="none" w:sz="0" w:space="0" w:color="auto"/>
      </w:divBdr>
    </w:div>
    <w:div w:id="427774346">
      <w:bodyDiv w:val="1"/>
      <w:marLeft w:val="0"/>
      <w:marRight w:val="0"/>
      <w:marTop w:val="0"/>
      <w:marBottom w:val="0"/>
      <w:divBdr>
        <w:top w:val="none" w:sz="0" w:space="0" w:color="auto"/>
        <w:left w:val="none" w:sz="0" w:space="0" w:color="auto"/>
        <w:bottom w:val="none" w:sz="0" w:space="0" w:color="auto"/>
        <w:right w:val="none" w:sz="0" w:space="0" w:color="auto"/>
      </w:divBdr>
    </w:div>
    <w:div w:id="435249312">
      <w:bodyDiv w:val="1"/>
      <w:marLeft w:val="0"/>
      <w:marRight w:val="0"/>
      <w:marTop w:val="0"/>
      <w:marBottom w:val="0"/>
      <w:divBdr>
        <w:top w:val="none" w:sz="0" w:space="0" w:color="auto"/>
        <w:left w:val="none" w:sz="0" w:space="0" w:color="auto"/>
        <w:bottom w:val="none" w:sz="0" w:space="0" w:color="auto"/>
        <w:right w:val="none" w:sz="0" w:space="0" w:color="auto"/>
      </w:divBdr>
    </w:div>
    <w:div w:id="523136080">
      <w:bodyDiv w:val="1"/>
      <w:marLeft w:val="0"/>
      <w:marRight w:val="0"/>
      <w:marTop w:val="0"/>
      <w:marBottom w:val="0"/>
      <w:divBdr>
        <w:top w:val="none" w:sz="0" w:space="0" w:color="auto"/>
        <w:left w:val="none" w:sz="0" w:space="0" w:color="auto"/>
        <w:bottom w:val="none" w:sz="0" w:space="0" w:color="auto"/>
        <w:right w:val="none" w:sz="0" w:space="0" w:color="auto"/>
      </w:divBdr>
    </w:div>
    <w:div w:id="531186985">
      <w:bodyDiv w:val="1"/>
      <w:marLeft w:val="0"/>
      <w:marRight w:val="0"/>
      <w:marTop w:val="0"/>
      <w:marBottom w:val="0"/>
      <w:divBdr>
        <w:top w:val="none" w:sz="0" w:space="0" w:color="auto"/>
        <w:left w:val="none" w:sz="0" w:space="0" w:color="auto"/>
        <w:bottom w:val="none" w:sz="0" w:space="0" w:color="auto"/>
        <w:right w:val="none" w:sz="0" w:space="0" w:color="auto"/>
      </w:divBdr>
    </w:div>
    <w:div w:id="553933420">
      <w:bodyDiv w:val="1"/>
      <w:marLeft w:val="0"/>
      <w:marRight w:val="0"/>
      <w:marTop w:val="0"/>
      <w:marBottom w:val="0"/>
      <w:divBdr>
        <w:top w:val="none" w:sz="0" w:space="0" w:color="auto"/>
        <w:left w:val="none" w:sz="0" w:space="0" w:color="auto"/>
        <w:bottom w:val="none" w:sz="0" w:space="0" w:color="auto"/>
        <w:right w:val="none" w:sz="0" w:space="0" w:color="auto"/>
      </w:divBdr>
    </w:div>
    <w:div w:id="584611720">
      <w:bodyDiv w:val="1"/>
      <w:marLeft w:val="0"/>
      <w:marRight w:val="0"/>
      <w:marTop w:val="0"/>
      <w:marBottom w:val="0"/>
      <w:divBdr>
        <w:top w:val="none" w:sz="0" w:space="0" w:color="auto"/>
        <w:left w:val="none" w:sz="0" w:space="0" w:color="auto"/>
        <w:bottom w:val="none" w:sz="0" w:space="0" w:color="auto"/>
        <w:right w:val="none" w:sz="0" w:space="0" w:color="auto"/>
      </w:divBdr>
    </w:div>
    <w:div w:id="626550073">
      <w:bodyDiv w:val="1"/>
      <w:marLeft w:val="0"/>
      <w:marRight w:val="0"/>
      <w:marTop w:val="0"/>
      <w:marBottom w:val="0"/>
      <w:divBdr>
        <w:top w:val="none" w:sz="0" w:space="0" w:color="auto"/>
        <w:left w:val="none" w:sz="0" w:space="0" w:color="auto"/>
        <w:bottom w:val="none" w:sz="0" w:space="0" w:color="auto"/>
        <w:right w:val="none" w:sz="0" w:space="0" w:color="auto"/>
      </w:divBdr>
    </w:div>
    <w:div w:id="638846073">
      <w:bodyDiv w:val="1"/>
      <w:marLeft w:val="0"/>
      <w:marRight w:val="0"/>
      <w:marTop w:val="0"/>
      <w:marBottom w:val="0"/>
      <w:divBdr>
        <w:top w:val="none" w:sz="0" w:space="0" w:color="auto"/>
        <w:left w:val="none" w:sz="0" w:space="0" w:color="auto"/>
        <w:bottom w:val="none" w:sz="0" w:space="0" w:color="auto"/>
        <w:right w:val="none" w:sz="0" w:space="0" w:color="auto"/>
      </w:divBdr>
    </w:div>
    <w:div w:id="730077914">
      <w:bodyDiv w:val="1"/>
      <w:marLeft w:val="0"/>
      <w:marRight w:val="0"/>
      <w:marTop w:val="0"/>
      <w:marBottom w:val="0"/>
      <w:divBdr>
        <w:top w:val="none" w:sz="0" w:space="0" w:color="auto"/>
        <w:left w:val="none" w:sz="0" w:space="0" w:color="auto"/>
        <w:bottom w:val="none" w:sz="0" w:space="0" w:color="auto"/>
        <w:right w:val="none" w:sz="0" w:space="0" w:color="auto"/>
      </w:divBdr>
    </w:div>
    <w:div w:id="918564118">
      <w:bodyDiv w:val="1"/>
      <w:marLeft w:val="0"/>
      <w:marRight w:val="0"/>
      <w:marTop w:val="0"/>
      <w:marBottom w:val="0"/>
      <w:divBdr>
        <w:top w:val="none" w:sz="0" w:space="0" w:color="auto"/>
        <w:left w:val="none" w:sz="0" w:space="0" w:color="auto"/>
        <w:bottom w:val="none" w:sz="0" w:space="0" w:color="auto"/>
        <w:right w:val="none" w:sz="0" w:space="0" w:color="auto"/>
      </w:divBdr>
    </w:div>
    <w:div w:id="998579141">
      <w:bodyDiv w:val="1"/>
      <w:marLeft w:val="0"/>
      <w:marRight w:val="0"/>
      <w:marTop w:val="0"/>
      <w:marBottom w:val="0"/>
      <w:divBdr>
        <w:top w:val="none" w:sz="0" w:space="0" w:color="auto"/>
        <w:left w:val="none" w:sz="0" w:space="0" w:color="auto"/>
        <w:bottom w:val="none" w:sz="0" w:space="0" w:color="auto"/>
        <w:right w:val="none" w:sz="0" w:space="0" w:color="auto"/>
      </w:divBdr>
    </w:div>
    <w:div w:id="1006399352">
      <w:bodyDiv w:val="1"/>
      <w:marLeft w:val="0"/>
      <w:marRight w:val="0"/>
      <w:marTop w:val="0"/>
      <w:marBottom w:val="0"/>
      <w:divBdr>
        <w:top w:val="none" w:sz="0" w:space="0" w:color="auto"/>
        <w:left w:val="none" w:sz="0" w:space="0" w:color="auto"/>
        <w:bottom w:val="none" w:sz="0" w:space="0" w:color="auto"/>
        <w:right w:val="none" w:sz="0" w:space="0" w:color="auto"/>
      </w:divBdr>
    </w:div>
    <w:div w:id="1046949498">
      <w:bodyDiv w:val="1"/>
      <w:marLeft w:val="0"/>
      <w:marRight w:val="0"/>
      <w:marTop w:val="0"/>
      <w:marBottom w:val="0"/>
      <w:divBdr>
        <w:top w:val="none" w:sz="0" w:space="0" w:color="auto"/>
        <w:left w:val="none" w:sz="0" w:space="0" w:color="auto"/>
        <w:bottom w:val="none" w:sz="0" w:space="0" w:color="auto"/>
        <w:right w:val="none" w:sz="0" w:space="0" w:color="auto"/>
      </w:divBdr>
    </w:div>
    <w:div w:id="1113554631">
      <w:bodyDiv w:val="1"/>
      <w:marLeft w:val="0"/>
      <w:marRight w:val="0"/>
      <w:marTop w:val="0"/>
      <w:marBottom w:val="0"/>
      <w:divBdr>
        <w:top w:val="none" w:sz="0" w:space="0" w:color="auto"/>
        <w:left w:val="none" w:sz="0" w:space="0" w:color="auto"/>
        <w:bottom w:val="none" w:sz="0" w:space="0" w:color="auto"/>
        <w:right w:val="none" w:sz="0" w:space="0" w:color="auto"/>
      </w:divBdr>
    </w:div>
    <w:div w:id="1143693515">
      <w:bodyDiv w:val="1"/>
      <w:marLeft w:val="0"/>
      <w:marRight w:val="0"/>
      <w:marTop w:val="0"/>
      <w:marBottom w:val="0"/>
      <w:divBdr>
        <w:top w:val="none" w:sz="0" w:space="0" w:color="auto"/>
        <w:left w:val="none" w:sz="0" w:space="0" w:color="auto"/>
        <w:bottom w:val="none" w:sz="0" w:space="0" w:color="auto"/>
        <w:right w:val="none" w:sz="0" w:space="0" w:color="auto"/>
      </w:divBdr>
    </w:div>
    <w:div w:id="1147404500">
      <w:bodyDiv w:val="1"/>
      <w:marLeft w:val="0"/>
      <w:marRight w:val="0"/>
      <w:marTop w:val="0"/>
      <w:marBottom w:val="0"/>
      <w:divBdr>
        <w:top w:val="none" w:sz="0" w:space="0" w:color="auto"/>
        <w:left w:val="none" w:sz="0" w:space="0" w:color="auto"/>
        <w:bottom w:val="none" w:sz="0" w:space="0" w:color="auto"/>
        <w:right w:val="none" w:sz="0" w:space="0" w:color="auto"/>
      </w:divBdr>
    </w:div>
    <w:div w:id="1181166898">
      <w:bodyDiv w:val="1"/>
      <w:marLeft w:val="0"/>
      <w:marRight w:val="0"/>
      <w:marTop w:val="0"/>
      <w:marBottom w:val="0"/>
      <w:divBdr>
        <w:top w:val="none" w:sz="0" w:space="0" w:color="auto"/>
        <w:left w:val="none" w:sz="0" w:space="0" w:color="auto"/>
        <w:bottom w:val="none" w:sz="0" w:space="0" w:color="auto"/>
        <w:right w:val="none" w:sz="0" w:space="0" w:color="auto"/>
      </w:divBdr>
    </w:div>
    <w:div w:id="1302492042">
      <w:bodyDiv w:val="1"/>
      <w:marLeft w:val="0"/>
      <w:marRight w:val="0"/>
      <w:marTop w:val="0"/>
      <w:marBottom w:val="0"/>
      <w:divBdr>
        <w:top w:val="none" w:sz="0" w:space="0" w:color="auto"/>
        <w:left w:val="none" w:sz="0" w:space="0" w:color="auto"/>
        <w:bottom w:val="none" w:sz="0" w:space="0" w:color="auto"/>
        <w:right w:val="none" w:sz="0" w:space="0" w:color="auto"/>
      </w:divBdr>
    </w:div>
    <w:div w:id="1518889302">
      <w:bodyDiv w:val="1"/>
      <w:marLeft w:val="0"/>
      <w:marRight w:val="0"/>
      <w:marTop w:val="0"/>
      <w:marBottom w:val="0"/>
      <w:divBdr>
        <w:top w:val="none" w:sz="0" w:space="0" w:color="auto"/>
        <w:left w:val="none" w:sz="0" w:space="0" w:color="auto"/>
        <w:bottom w:val="none" w:sz="0" w:space="0" w:color="auto"/>
        <w:right w:val="none" w:sz="0" w:space="0" w:color="auto"/>
      </w:divBdr>
    </w:div>
    <w:div w:id="1529487746">
      <w:bodyDiv w:val="1"/>
      <w:marLeft w:val="0"/>
      <w:marRight w:val="0"/>
      <w:marTop w:val="0"/>
      <w:marBottom w:val="0"/>
      <w:divBdr>
        <w:top w:val="none" w:sz="0" w:space="0" w:color="auto"/>
        <w:left w:val="none" w:sz="0" w:space="0" w:color="auto"/>
        <w:bottom w:val="none" w:sz="0" w:space="0" w:color="auto"/>
        <w:right w:val="none" w:sz="0" w:space="0" w:color="auto"/>
      </w:divBdr>
    </w:div>
    <w:div w:id="1561207927">
      <w:bodyDiv w:val="1"/>
      <w:marLeft w:val="0"/>
      <w:marRight w:val="0"/>
      <w:marTop w:val="0"/>
      <w:marBottom w:val="0"/>
      <w:divBdr>
        <w:top w:val="none" w:sz="0" w:space="0" w:color="auto"/>
        <w:left w:val="none" w:sz="0" w:space="0" w:color="auto"/>
        <w:bottom w:val="none" w:sz="0" w:space="0" w:color="auto"/>
        <w:right w:val="none" w:sz="0" w:space="0" w:color="auto"/>
      </w:divBdr>
    </w:div>
    <w:div w:id="1567296594">
      <w:bodyDiv w:val="1"/>
      <w:marLeft w:val="0"/>
      <w:marRight w:val="0"/>
      <w:marTop w:val="0"/>
      <w:marBottom w:val="0"/>
      <w:divBdr>
        <w:top w:val="none" w:sz="0" w:space="0" w:color="auto"/>
        <w:left w:val="none" w:sz="0" w:space="0" w:color="auto"/>
        <w:bottom w:val="none" w:sz="0" w:space="0" w:color="auto"/>
        <w:right w:val="none" w:sz="0" w:space="0" w:color="auto"/>
      </w:divBdr>
    </w:div>
    <w:div w:id="1618876612">
      <w:bodyDiv w:val="1"/>
      <w:marLeft w:val="0"/>
      <w:marRight w:val="0"/>
      <w:marTop w:val="0"/>
      <w:marBottom w:val="0"/>
      <w:divBdr>
        <w:top w:val="none" w:sz="0" w:space="0" w:color="auto"/>
        <w:left w:val="none" w:sz="0" w:space="0" w:color="auto"/>
        <w:bottom w:val="none" w:sz="0" w:space="0" w:color="auto"/>
        <w:right w:val="none" w:sz="0" w:space="0" w:color="auto"/>
      </w:divBdr>
    </w:div>
    <w:div w:id="1655065929">
      <w:bodyDiv w:val="1"/>
      <w:marLeft w:val="0"/>
      <w:marRight w:val="0"/>
      <w:marTop w:val="0"/>
      <w:marBottom w:val="0"/>
      <w:divBdr>
        <w:top w:val="none" w:sz="0" w:space="0" w:color="auto"/>
        <w:left w:val="none" w:sz="0" w:space="0" w:color="auto"/>
        <w:bottom w:val="none" w:sz="0" w:space="0" w:color="auto"/>
        <w:right w:val="none" w:sz="0" w:space="0" w:color="auto"/>
      </w:divBdr>
    </w:div>
    <w:div w:id="1687098609">
      <w:bodyDiv w:val="1"/>
      <w:marLeft w:val="0"/>
      <w:marRight w:val="0"/>
      <w:marTop w:val="0"/>
      <w:marBottom w:val="0"/>
      <w:divBdr>
        <w:top w:val="none" w:sz="0" w:space="0" w:color="auto"/>
        <w:left w:val="none" w:sz="0" w:space="0" w:color="auto"/>
        <w:bottom w:val="none" w:sz="0" w:space="0" w:color="auto"/>
        <w:right w:val="none" w:sz="0" w:space="0" w:color="auto"/>
      </w:divBdr>
    </w:div>
    <w:div w:id="1727099798">
      <w:bodyDiv w:val="1"/>
      <w:marLeft w:val="0"/>
      <w:marRight w:val="0"/>
      <w:marTop w:val="0"/>
      <w:marBottom w:val="0"/>
      <w:divBdr>
        <w:top w:val="none" w:sz="0" w:space="0" w:color="auto"/>
        <w:left w:val="none" w:sz="0" w:space="0" w:color="auto"/>
        <w:bottom w:val="none" w:sz="0" w:space="0" w:color="auto"/>
        <w:right w:val="none" w:sz="0" w:space="0" w:color="auto"/>
      </w:divBdr>
    </w:div>
    <w:div w:id="1765960153">
      <w:bodyDiv w:val="1"/>
      <w:marLeft w:val="0"/>
      <w:marRight w:val="0"/>
      <w:marTop w:val="0"/>
      <w:marBottom w:val="0"/>
      <w:divBdr>
        <w:top w:val="none" w:sz="0" w:space="0" w:color="auto"/>
        <w:left w:val="none" w:sz="0" w:space="0" w:color="auto"/>
        <w:bottom w:val="none" w:sz="0" w:space="0" w:color="auto"/>
        <w:right w:val="none" w:sz="0" w:space="0" w:color="auto"/>
      </w:divBdr>
    </w:div>
    <w:div w:id="1793160828">
      <w:bodyDiv w:val="1"/>
      <w:marLeft w:val="0"/>
      <w:marRight w:val="0"/>
      <w:marTop w:val="0"/>
      <w:marBottom w:val="0"/>
      <w:divBdr>
        <w:top w:val="none" w:sz="0" w:space="0" w:color="auto"/>
        <w:left w:val="none" w:sz="0" w:space="0" w:color="auto"/>
        <w:bottom w:val="none" w:sz="0" w:space="0" w:color="auto"/>
        <w:right w:val="none" w:sz="0" w:space="0" w:color="auto"/>
      </w:divBdr>
    </w:div>
    <w:div w:id="1816994301">
      <w:bodyDiv w:val="1"/>
      <w:marLeft w:val="0"/>
      <w:marRight w:val="0"/>
      <w:marTop w:val="0"/>
      <w:marBottom w:val="0"/>
      <w:divBdr>
        <w:top w:val="none" w:sz="0" w:space="0" w:color="auto"/>
        <w:left w:val="none" w:sz="0" w:space="0" w:color="auto"/>
        <w:bottom w:val="none" w:sz="0" w:space="0" w:color="auto"/>
        <w:right w:val="none" w:sz="0" w:space="0" w:color="auto"/>
      </w:divBdr>
    </w:div>
    <w:div w:id="1862429101">
      <w:bodyDiv w:val="1"/>
      <w:marLeft w:val="0"/>
      <w:marRight w:val="0"/>
      <w:marTop w:val="0"/>
      <w:marBottom w:val="0"/>
      <w:divBdr>
        <w:top w:val="none" w:sz="0" w:space="0" w:color="auto"/>
        <w:left w:val="none" w:sz="0" w:space="0" w:color="auto"/>
        <w:bottom w:val="none" w:sz="0" w:space="0" w:color="auto"/>
        <w:right w:val="none" w:sz="0" w:space="0" w:color="auto"/>
      </w:divBdr>
    </w:div>
    <w:div w:id="1934313724">
      <w:bodyDiv w:val="1"/>
      <w:marLeft w:val="0"/>
      <w:marRight w:val="0"/>
      <w:marTop w:val="0"/>
      <w:marBottom w:val="0"/>
      <w:divBdr>
        <w:top w:val="none" w:sz="0" w:space="0" w:color="auto"/>
        <w:left w:val="none" w:sz="0" w:space="0" w:color="auto"/>
        <w:bottom w:val="none" w:sz="0" w:space="0" w:color="auto"/>
        <w:right w:val="none" w:sz="0" w:space="0" w:color="auto"/>
      </w:divBdr>
    </w:div>
    <w:div w:id="2042898527">
      <w:bodyDiv w:val="1"/>
      <w:marLeft w:val="0"/>
      <w:marRight w:val="0"/>
      <w:marTop w:val="0"/>
      <w:marBottom w:val="0"/>
      <w:divBdr>
        <w:top w:val="none" w:sz="0" w:space="0" w:color="auto"/>
        <w:left w:val="none" w:sz="0" w:space="0" w:color="auto"/>
        <w:bottom w:val="none" w:sz="0" w:space="0" w:color="auto"/>
        <w:right w:val="none" w:sz="0" w:space="0" w:color="auto"/>
      </w:divBdr>
    </w:div>
    <w:div w:id="2048336055">
      <w:bodyDiv w:val="1"/>
      <w:marLeft w:val="0"/>
      <w:marRight w:val="0"/>
      <w:marTop w:val="0"/>
      <w:marBottom w:val="0"/>
      <w:divBdr>
        <w:top w:val="none" w:sz="0" w:space="0" w:color="auto"/>
        <w:left w:val="none" w:sz="0" w:space="0" w:color="auto"/>
        <w:bottom w:val="none" w:sz="0" w:space="0" w:color="auto"/>
        <w:right w:val="none" w:sz="0" w:space="0" w:color="auto"/>
      </w:divBdr>
    </w:div>
    <w:div w:id="2081901191">
      <w:bodyDiv w:val="1"/>
      <w:marLeft w:val="0"/>
      <w:marRight w:val="0"/>
      <w:marTop w:val="0"/>
      <w:marBottom w:val="0"/>
      <w:divBdr>
        <w:top w:val="none" w:sz="0" w:space="0" w:color="auto"/>
        <w:left w:val="none" w:sz="0" w:space="0" w:color="auto"/>
        <w:bottom w:val="none" w:sz="0" w:space="0" w:color="auto"/>
        <w:right w:val="none" w:sz="0" w:space="0" w:color="auto"/>
      </w:divBdr>
    </w:div>
    <w:div w:id="2103869248">
      <w:bodyDiv w:val="1"/>
      <w:marLeft w:val="0"/>
      <w:marRight w:val="0"/>
      <w:marTop w:val="0"/>
      <w:marBottom w:val="0"/>
      <w:divBdr>
        <w:top w:val="none" w:sz="0" w:space="0" w:color="auto"/>
        <w:left w:val="none" w:sz="0" w:space="0" w:color="auto"/>
        <w:bottom w:val="none" w:sz="0" w:space="0" w:color="auto"/>
        <w:right w:val="none" w:sz="0" w:space="0" w:color="auto"/>
      </w:divBdr>
    </w:div>
    <w:div w:id="2122214483">
      <w:bodyDiv w:val="1"/>
      <w:marLeft w:val="0"/>
      <w:marRight w:val="0"/>
      <w:marTop w:val="0"/>
      <w:marBottom w:val="0"/>
      <w:divBdr>
        <w:top w:val="none" w:sz="0" w:space="0" w:color="auto"/>
        <w:left w:val="none" w:sz="0" w:space="0" w:color="auto"/>
        <w:bottom w:val="none" w:sz="0" w:space="0" w:color="auto"/>
        <w:right w:val="none" w:sz="0" w:space="0" w:color="auto"/>
      </w:divBdr>
    </w:div>
    <w:div w:id="213255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em2.ipomex.org.mx/ipomex/" TargetMode="External"/><Relationship Id="rId13" Type="http://schemas.openxmlformats.org/officeDocument/2006/relationships/hyperlink" Target="https://webapps.condusef.gob.mx/SIPRES/jsp/pub/index.js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ndusef.gob.mx/Revista/index.php/usuario-inteligente/condusef-responde/777-la-condusef-te-puede-ayuda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66A3F-FD43-444B-97CB-E42BA52FB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9558</Words>
  <Characters>52569</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Office</cp:lastModifiedBy>
  <cp:revision>3</cp:revision>
  <cp:lastPrinted>2025-02-14T02:28:00Z</cp:lastPrinted>
  <dcterms:created xsi:type="dcterms:W3CDTF">2025-02-14T02:28:00Z</dcterms:created>
  <dcterms:modified xsi:type="dcterms:W3CDTF">2025-02-14T02:29:00Z</dcterms:modified>
</cp:coreProperties>
</file>