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0F2716AF"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BF4EB7">
        <w:rPr>
          <w:rFonts w:eastAsia="Palatino Linotype" w:cs="Palatino Linotype"/>
          <w:color w:val="000000" w:themeColor="text1"/>
        </w:rPr>
        <w:t xml:space="preserve"> </w:t>
      </w:r>
      <w:r w:rsidR="00D674E0">
        <w:rPr>
          <w:rFonts w:eastAsia="Palatino Linotype" w:cs="Palatino Linotype"/>
          <w:color w:val="000000" w:themeColor="text1"/>
        </w:rPr>
        <w:t>dos de julio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431655AA"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b/>
          <w:bCs/>
          <w:color w:val="000000" w:themeColor="text1"/>
          <w:lang w:val="es-ES"/>
        </w:rPr>
        <w:t>VISTO</w:t>
      </w:r>
      <w:r w:rsidRPr="4DD9124E">
        <w:rPr>
          <w:rFonts w:eastAsia="Palatino Linotype" w:cs="Palatino Linotype"/>
          <w:color w:val="000000" w:themeColor="text1"/>
          <w:lang w:val="es-ES"/>
        </w:rPr>
        <w:t xml:space="preserve"> el expediente electrónico formado con motivo del recurso de revisión número </w:t>
      </w:r>
      <w:r w:rsidR="00FF127E">
        <w:rPr>
          <w:rFonts w:eastAsia="Palatino Linotype" w:cs="Palatino Linotype"/>
          <w:b/>
          <w:bCs/>
          <w:color w:val="000000" w:themeColor="text1"/>
          <w:lang w:val="es-ES"/>
        </w:rPr>
        <w:t>03815/INFOEM/IP/RR/2025</w:t>
      </w:r>
      <w:r w:rsidRPr="4DD9124E">
        <w:rPr>
          <w:rFonts w:eastAsia="Palatino Linotype" w:cs="Palatino Linotype"/>
          <w:color w:val="000000" w:themeColor="text1"/>
          <w:lang w:val="es-ES"/>
        </w:rPr>
        <w:t xml:space="preserve">, interpuesto por </w:t>
      </w:r>
      <w:r w:rsidR="00E33D5C">
        <w:rPr>
          <w:rFonts w:eastAsia="Palatino Linotype" w:cs="Palatino Linotype"/>
          <w:b/>
          <w:bCs/>
          <w:color w:val="000000" w:themeColor="text1"/>
          <w:lang w:val="es-ES"/>
        </w:rPr>
        <w:t>una persona de manera anónima</w:t>
      </w:r>
      <w:r w:rsidRPr="4DD9124E">
        <w:rPr>
          <w:rFonts w:eastAsia="Palatino Linotype" w:cs="Palatino Linotype"/>
          <w:color w:val="000000" w:themeColor="text1"/>
          <w:lang w:val="es-ES"/>
        </w:rPr>
        <w:t xml:space="preserve">, en lo sucesivo el </w:t>
      </w:r>
      <w:r w:rsidRPr="4DD9124E">
        <w:rPr>
          <w:rFonts w:eastAsia="Palatino Linotype" w:cs="Palatino Linotype"/>
          <w:b/>
          <w:bCs/>
          <w:color w:val="000000" w:themeColor="text1"/>
          <w:lang w:val="es-ES"/>
        </w:rPr>
        <w:t>Recurrente</w:t>
      </w:r>
      <w:r w:rsidRPr="4DD9124E">
        <w:rPr>
          <w:rFonts w:eastAsia="Palatino Linotype" w:cs="Palatino Linotype"/>
          <w:color w:val="000000" w:themeColor="text1"/>
          <w:lang w:val="es-ES"/>
        </w:rPr>
        <w:t>, en contra de la respuesta de</w:t>
      </w:r>
      <w:r w:rsidR="00E16DEF">
        <w:rPr>
          <w:rFonts w:eastAsia="Palatino Linotype" w:cs="Palatino Linotype"/>
          <w:color w:val="000000" w:themeColor="text1"/>
          <w:lang w:val="es-ES"/>
        </w:rPr>
        <w:t>l</w:t>
      </w:r>
      <w:r w:rsidR="00F851EA">
        <w:rPr>
          <w:rFonts w:eastAsia="Palatino Linotype" w:cs="Palatino Linotype"/>
          <w:b/>
          <w:bCs/>
          <w:color w:val="000000" w:themeColor="text1"/>
          <w:lang w:val="es-ES"/>
        </w:rPr>
        <w:t xml:space="preserve"> </w:t>
      </w:r>
      <w:r w:rsidR="00F71718">
        <w:rPr>
          <w:rFonts w:eastAsia="Palatino Linotype" w:cs="Palatino Linotype"/>
          <w:b/>
          <w:bCs/>
          <w:color w:val="000000" w:themeColor="text1"/>
          <w:lang w:val="es-ES"/>
        </w:rPr>
        <w:t>Comisión del Agua del Estado de México</w:t>
      </w:r>
      <w:r w:rsidRPr="4DD9124E">
        <w:rPr>
          <w:rFonts w:eastAsia="Palatino Linotype" w:cs="Palatino Linotype"/>
          <w:color w:val="000000" w:themeColor="text1"/>
          <w:lang w:val="es-ES"/>
        </w:rPr>
        <w:t>, en lo subsecuente el</w:t>
      </w:r>
      <w:r w:rsidRPr="4DD9124E">
        <w:rPr>
          <w:rFonts w:eastAsia="Palatino Linotype" w:cs="Palatino Linotype"/>
          <w:b/>
          <w:bCs/>
          <w:color w:val="000000" w:themeColor="text1"/>
          <w:lang w:val="es-ES"/>
        </w:rPr>
        <w:t xml:space="preserve"> Sujeto Obligado, </w:t>
      </w:r>
      <w:r w:rsidRPr="4DD9124E">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bookmarkStart w:id="0" w:name="_GoBack"/>
      <w:bookmarkEnd w:id="0"/>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31D2E915"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704E9C">
        <w:rPr>
          <w:rFonts w:eastAsia="Palatino Linotype" w:cs="Palatino Linotype"/>
          <w:color w:val="000000" w:themeColor="text1"/>
        </w:rPr>
        <w:t>seis de marzo</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F71718">
        <w:rPr>
          <w:rFonts w:eastAsia="Palatino Linotype" w:cs="Palatino Linotype"/>
          <w:b/>
          <w:bCs/>
          <w:color w:val="000000" w:themeColor="text1"/>
        </w:rPr>
        <w:t>00120/CAEM/IP/2025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198DA2FC" w:rsidR="00663A37" w:rsidRPr="009D62BC" w:rsidRDefault="4DD9124E" w:rsidP="4DD9124E">
      <w:pPr>
        <w:pStyle w:val="Sinespaciado"/>
        <w:rPr>
          <w:rFonts w:eastAsia="Palatino Linotype"/>
          <w:lang w:val="es-ES"/>
        </w:rPr>
      </w:pPr>
      <w:r w:rsidRPr="7B4D60A3">
        <w:rPr>
          <w:rFonts w:eastAsia="Palatino Linotype"/>
          <w:lang w:val="es-ES"/>
        </w:rPr>
        <w:t>«</w:t>
      </w:r>
      <w:r w:rsidR="004243E8" w:rsidRPr="004243E8">
        <w:rPr>
          <w:rFonts w:eastAsia="Palatino Linotype"/>
          <w:lang w:val="es-ES"/>
        </w:rPr>
        <w:t xml:space="preserve">A la Vocal Ejecutiva y al titular de la Dirección General de Asuntos Jurídicos e Igualdad de Género, se solicita nos informen respetuosamente si la C. Marisol Tapia Solano quien está encargada de los asuntos de Género y Ética en esa Comisión seguirá al frente de dichos asuntos ya que no se conoce que haya implementado protocolos para evitar los actos de acoso y hostigamiento que ha ejercido el C. Francisco Aarón García Frías, quien además con actos déspotas y arbitrarios corrió injustificadamente al personal de la citada Dirección General e ilegalmente instruyó retener finiquitos a ex servidores públicos que EI justamente corrió y que la C. Marisol Tapia Solano omitió tomar las denuncias del personal que laboró durante años en esa Comisión del Agua, por los actos de acoso y hostigamiento de su jefe, y de ella misma se </w:t>
      </w:r>
      <w:proofErr w:type="gramStart"/>
      <w:r w:rsidR="004243E8" w:rsidRPr="004243E8">
        <w:rPr>
          <w:rFonts w:eastAsia="Palatino Linotype"/>
          <w:lang w:val="es-ES"/>
        </w:rPr>
        <w:lastRenderedPageBreak/>
        <w:t>conocen</w:t>
      </w:r>
      <w:proofErr w:type="gramEnd"/>
      <w:r w:rsidR="004243E8" w:rsidRPr="004243E8">
        <w:rPr>
          <w:rFonts w:eastAsia="Palatino Linotype"/>
          <w:lang w:val="es-ES"/>
        </w:rPr>
        <w:t xml:space="preserve"> los mismos actos ilegales. Lo cual se solicita del 01 de enero del 2025 a la fecha de la presentación de la presente solicitud.</w:t>
      </w:r>
      <w:r w:rsidRPr="7B4D60A3">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t>SEGUNDO</w:t>
      </w:r>
      <w:r w:rsidR="00663A37" w:rsidRPr="009D62BC">
        <w:rPr>
          <w:rFonts w:eastAsia="Palatino Linotype"/>
        </w:rPr>
        <w:t>. De la respuesta del Sujeto Obligado.</w:t>
      </w:r>
    </w:p>
    <w:p w14:paraId="7C156F33" w14:textId="2FD9D3FA"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1149FA">
        <w:rPr>
          <w:rFonts w:eastAsia="Palatino Linotype" w:cs="Palatino Linotype"/>
          <w:color w:val="000000"/>
          <w:szCs w:val="24"/>
        </w:rPr>
        <w:t>veintiocho</w:t>
      </w:r>
      <w:r w:rsidR="00704E9C">
        <w:rPr>
          <w:rFonts w:eastAsia="Palatino Linotype" w:cs="Palatino Linotype"/>
          <w:color w:val="000000"/>
          <w:szCs w:val="24"/>
        </w:rPr>
        <w:t xml:space="preserve"> de marzo</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542675" w:rsidRDefault="00663A37" w:rsidP="00663A37">
      <w:pPr>
        <w:pBdr>
          <w:top w:val="nil"/>
          <w:left w:val="nil"/>
          <w:bottom w:val="nil"/>
          <w:right w:val="nil"/>
          <w:between w:val="nil"/>
        </w:pBdr>
        <w:contextualSpacing/>
        <w:rPr>
          <w:rFonts w:eastAsia="Palatino Linotype" w:cs="Palatino Linotype"/>
          <w:color w:val="000000"/>
          <w:sz w:val="20"/>
          <w:szCs w:val="24"/>
        </w:rPr>
      </w:pPr>
    </w:p>
    <w:p w14:paraId="37CB11DC" w14:textId="77777777" w:rsidR="0044148C" w:rsidRDefault="4DD9124E" w:rsidP="0044148C">
      <w:pPr>
        <w:pStyle w:val="Sinespaciado"/>
        <w:rPr>
          <w:rFonts w:eastAsia="Palatino Linotype"/>
          <w:lang w:val="es-ES"/>
        </w:rPr>
      </w:pPr>
      <w:r w:rsidRPr="4DD9124E">
        <w:rPr>
          <w:rFonts w:eastAsia="Palatino Linotype"/>
          <w:lang w:val="es-ES"/>
        </w:rPr>
        <w:t>«</w:t>
      </w:r>
      <w:r w:rsidR="0044148C" w:rsidRPr="0044148C">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7E2055" w14:textId="77777777" w:rsidR="0044148C" w:rsidRPr="0044148C" w:rsidRDefault="0044148C" w:rsidP="0044148C">
      <w:pPr>
        <w:pStyle w:val="Sinespaciado"/>
        <w:rPr>
          <w:rFonts w:eastAsia="Palatino Linotype"/>
          <w:lang w:val="es-ES"/>
        </w:rPr>
      </w:pPr>
    </w:p>
    <w:p w14:paraId="04790103" w14:textId="1686BE2E" w:rsidR="0044148C" w:rsidRDefault="0044148C" w:rsidP="0044148C">
      <w:pPr>
        <w:pStyle w:val="Sinespaciado"/>
        <w:rPr>
          <w:rFonts w:eastAsia="Palatino Linotype"/>
          <w:lang w:val="es-ES"/>
        </w:rPr>
      </w:pPr>
      <w:r w:rsidRPr="0044148C">
        <w:rPr>
          <w:rFonts w:eastAsia="Palatino Linotype"/>
          <w:lang w:val="es-ES"/>
        </w:rPr>
        <w:t xml:space="preserve">Oficio No. 219C0110010000S/0386/2025 Naucalpan de Juárez, Estado de México 28 de marzo de 2025 ESTIMADO PETICIONARIO FOLIO DE LA SOLICITUD: 00120/CAEM/IP/2025 En respuesta a la solicitud recibida, nos permitimos hacer de su conocimiento que con fundamento en los </w:t>
      </w:r>
      <w:proofErr w:type="spellStart"/>
      <w:r w:rsidRPr="0044148C">
        <w:rPr>
          <w:rFonts w:eastAsia="Palatino Linotype"/>
          <w:lang w:val="es-ES"/>
        </w:rPr>
        <w:t>ar-tículos</w:t>
      </w:r>
      <w:proofErr w:type="spellEnd"/>
      <w:r w:rsidRPr="0044148C">
        <w:rPr>
          <w:rFonts w:eastAsia="Palatino Linotype"/>
          <w:lang w:val="es-ES"/>
        </w:rPr>
        <w:t xml:space="preserve"> 2, fracciones III, VII; 4; 15; 24 fracciones XI y XXIV de la Ley de Transparencia y Acceso a la Información Pública del Estado de México y Municipios, y en cumplimiento a lo establecido en el artículo 53, fracciones II, V y VI, su petición formulada en la Unidad de Transparencia de la Comisión del Agua del Estado de México vía electrónica se ha registrado con el número de folio 00120/CAEM/IP/2025, misma que a la letra dice: “A la Vocal Ejecutiva y al titular de la Dirección General de Asuntos Jurídicos e Igualdad de Género, se solicita nos informen respetuosamente si la </w:t>
      </w:r>
      <w:proofErr w:type="spellStart"/>
      <w:r w:rsidRPr="0044148C">
        <w:rPr>
          <w:rFonts w:eastAsia="Palatino Linotype"/>
          <w:lang w:val="es-ES"/>
        </w:rPr>
        <w:t>C.Marisol</w:t>
      </w:r>
      <w:proofErr w:type="spellEnd"/>
      <w:r w:rsidRPr="0044148C">
        <w:rPr>
          <w:rFonts w:eastAsia="Palatino Linotype"/>
          <w:lang w:val="es-ES"/>
        </w:rPr>
        <w:t xml:space="preserve"> Tapia Solano quien está en-cargada de los asuntos de Género y Ética en esa Comisión seguirá al frente de dichos asuntos ya que no se </w:t>
      </w:r>
      <w:proofErr w:type="spellStart"/>
      <w:r w:rsidRPr="0044148C">
        <w:rPr>
          <w:rFonts w:eastAsia="Palatino Linotype"/>
          <w:lang w:val="es-ES"/>
        </w:rPr>
        <w:t>conoceque</w:t>
      </w:r>
      <w:proofErr w:type="spellEnd"/>
      <w:r w:rsidRPr="0044148C">
        <w:rPr>
          <w:rFonts w:eastAsia="Palatino Linotype"/>
          <w:lang w:val="es-ES"/>
        </w:rPr>
        <w:t xml:space="preserve"> haya implementado protocolos para evitar los actos de acoso y </w:t>
      </w:r>
      <w:proofErr w:type="spellStart"/>
      <w:r w:rsidRPr="0044148C">
        <w:rPr>
          <w:rFonts w:eastAsia="Palatino Linotype"/>
          <w:lang w:val="es-ES"/>
        </w:rPr>
        <w:t>hos-tigamiento</w:t>
      </w:r>
      <w:proofErr w:type="spellEnd"/>
      <w:r w:rsidRPr="0044148C">
        <w:rPr>
          <w:rFonts w:eastAsia="Palatino Linotype"/>
          <w:lang w:val="es-ES"/>
        </w:rPr>
        <w:t xml:space="preserve"> que ha ejercido el C. Francisco Aarón García Frías, quien además </w:t>
      </w:r>
      <w:proofErr w:type="spellStart"/>
      <w:r w:rsidRPr="0044148C">
        <w:rPr>
          <w:rFonts w:eastAsia="Palatino Linotype"/>
          <w:lang w:val="es-ES"/>
        </w:rPr>
        <w:t>conactos</w:t>
      </w:r>
      <w:proofErr w:type="spellEnd"/>
      <w:r w:rsidRPr="0044148C">
        <w:rPr>
          <w:rFonts w:eastAsia="Palatino Linotype"/>
          <w:lang w:val="es-ES"/>
        </w:rPr>
        <w:t xml:space="preserve"> </w:t>
      </w:r>
      <w:proofErr w:type="spellStart"/>
      <w:r w:rsidRPr="0044148C">
        <w:rPr>
          <w:rFonts w:eastAsia="Palatino Linotype"/>
          <w:lang w:val="es-ES"/>
        </w:rPr>
        <w:t>déspo</w:t>
      </w:r>
      <w:proofErr w:type="spellEnd"/>
      <w:r w:rsidRPr="0044148C">
        <w:rPr>
          <w:rFonts w:eastAsia="Palatino Linotype"/>
          <w:lang w:val="es-ES"/>
        </w:rPr>
        <w:t xml:space="preserve">-tas y arbitrarios corrió injustificadamente al personal de la citada Dirección General e ilegal-mente instruyó retener finiquitos a ex </w:t>
      </w:r>
      <w:proofErr w:type="spellStart"/>
      <w:r w:rsidRPr="0044148C">
        <w:rPr>
          <w:rFonts w:eastAsia="Palatino Linotype"/>
          <w:lang w:val="es-ES"/>
        </w:rPr>
        <w:t>servidorespúblicos</w:t>
      </w:r>
      <w:proofErr w:type="spellEnd"/>
      <w:r w:rsidRPr="0044148C">
        <w:rPr>
          <w:rFonts w:eastAsia="Palatino Linotype"/>
          <w:lang w:val="es-ES"/>
        </w:rPr>
        <w:t xml:space="preserve"> que EI justamente corrió y que la C. Marisol Tapia Solano omitió tomar las denuncias del personal que laboró durante años en esa Comisión </w:t>
      </w:r>
      <w:proofErr w:type="spellStart"/>
      <w:r w:rsidRPr="0044148C">
        <w:rPr>
          <w:rFonts w:eastAsia="Palatino Linotype"/>
          <w:lang w:val="es-ES"/>
        </w:rPr>
        <w:t>delAgua</w:t>
      </w:r>
      <w:proofErr w:type="spellEnd"/>
      <w:r w:rsidRPr="0044148C">
        <w:rPr>
          <w:rFonts w:eastAsia="Palatino Linotype"/>
          <w:lang w:val="es-ES"/>
        </w:rPr>
        <w:t>, por los actos de acoso y hostigamiento de su jefe, y de ella misma se cono-</w:t>
      </w:r>
      <w:proofErr w:type="spellStart"/>
      <w:r w:rsidRPr="0044148C">
        <w:rPr>
          <w:rFonts w:eastAsia="Palatino Linotype"/>
          <w:lang w:val="es-ES"/>
        </w:rPr>
        <w:t>cen</w:t>
      </w:r>
      <w:proofErr w:type="spellEnd"/>
      <w:r w:rsidRPr="0044148C">
        <w:rPr>
          <w:rFonts w:eastAsia="Palatino Linotype"/>
          <w:lang w:val="es-ES"/>
        </w:rPr>
        <w:t xml:space="preserve"> los mismos actos ilegales. Lo cual se solicita del 01 de enero del2025 a la fecha de la pre-</w:t>
      </w:r>
      <w:proofErr w:type="spellStart"/>
      <w:r w:rsidRPr="0044148C">
        <w:rPr>
          <w:rFonts w:eastAsia="Palatino Linotype"/>
          <w:lang w:val="es-ES"/>
        </w:rPr>
        <w:t>sentación</w:t>
      </w:r>
      <w:proofErr w:type="spellEnd"/>
      <w:r w:rsidRPr="0044148C">
        <w:rPr>
          <w:rFonts w:eastAsia="Palatino Linotype"/>
          <w:lang w:val="es-ES"/>
        </w:rPr>
        <w:t xml:space="preserve"> de la presente solicitud.” (</w:t>
      </w:r>
      <w:proofErr w:type="gramStart"/>
      <w:r w:rsidRPr="0044148C">
        <w:rPr>
          <w:rFonts w:eastAsia="Palatino Linotype"/>
          <w:lang w:val="es-ES"/>
        </w:rPr>
        <w:t>sic</w:t>
      </w:r>
      <w:proofErr w:type="gramEnd"/>
      <w:r w:rsidRPr="0044148C">
        <w:rPr>
          <w:rFonts w:eastAsia="Palatino Linotype"/>
          <w:lang w:val="es-ES"/>
        </w:rPr>
        <w:t xml:space="preserve">) Al respecto. </w:t>
      </w:r>
      <w:proofErr w:type="gramStart"/>
      <w:r w:rsidRPr="0044148C">
        <w:rPr>
          <w:rFonts w:eastAsia="Palatino Linotype"/>
          <w:lang w:val="es-ES"/>
        </w:rPr>
        <w:t>le</w:t>
      </w:r>
      <w:proofErr w:type="gramEnd"/>
      <w:r w:rsidRPr="0044148C">
        <w:rPr>
          <w:rFonts w:eastAsia="Palatino Linotype"/>
          <w:lang w:val="es-ES"/>
        </w:rPr>
        <w:t xml:space="preserve"> informo </w:t>
      </w:r>
      <w:r w:rsidRPr="0044148C">
        <w:rPr>
          <w:rFonts w:eastAsia="Palatino Linotype"/>
          <w:lang w:val="es-ES"/>
        </w:rPr>
        <w:lastRenderedPageBreak/>
        <w:t xml:space="preserve">que, en primer término, debe precisarse que de conformidad con el párrafo segundo del artículo 12 de la Ley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w:t>
      </w:r>
      <w:proofErr w:type="spellStart"/>
      <w:r w:rsidRPr="0044148C">
        <w:rPr>
          <w:rFonts w:eastAsia="Palatino Linotype"/>
          <w:lang w:val="es-ES"/>
        </w:rPr>
        <w:t>inves-tigaciones</w:t>
      </w:r>
      <w:proofErr w:type="spellEnd"/>
      <w:r w:rsidRPr="0044148C">
        <w:rPr>
          <w:rFonts w:eastAsia="Palatino Linotype"/>
          <w:lang w:val="es-ES"/>
        </w:rPr>
        <w:t>."(</w:t>
      </w:r>
      <w:proofErr w:type="gramStart"/>
      <w:r w:rsidRPr="0044148C">
        <w:rPr>
          <w:rFonts w:eastAsia="Palatino Linotype"/>
          <w:lang w:val="es-ES"/>
        </w:rPr>
        <w:t>sic</w:t>
      </w:r>
      <w:proofErr w:type="gramEnd"/>
      <w:r w:rsidRPr="0044148C">
        <w:rPr>
          <w:rFonts w:eastAsia="Palatino Linotype"/>
          <w:lang w:val="es-ES"/>
        </w:rPr>
        <w:t xml:space="preserve">) Por lo anterior comparto con usted las respuestas por parte de la Dirección General de Asuntos </w:t>
      </w:r>
      <w:proofErr w:type="spellStart"/>
      <w:r w:rsidRPr="0044148C">
        <w:rPr>
          <w:rFonts w:eastAsia="Palatino Linotype"/>
          <w:lang w:val="es-ES"/>
        </w:rPr>
        <w:t>Juridicos</w:t>
      </w:r>
      <w:proofErr w:type="spellEnd"/>
      <w:r w:rsidRPr="0044148C">
        <w:rPr>
          <w:rFonts w:eastAsia="Palatino Linotype"/>
          <w:lang w:val="es-ES"/>
        </w:rPr>
        <w:t xml:space="preserve"> e Igualdad de Género con numero de oficio 219C011600000L/391/2025 con la información solicitada. Sin otro particular por el momento, aprovecho la ocasión para enviarle un cordial saludo.</w:t>
      </w:r>
    </w:p>
    <w:p w14:paraId="44B1162C" w14:textId="77777777" w:rsidR="0044148C" w:rsidRPr="0044148C" w:rsidRDefault="0044148C" w:rsidP="0044148C">
      <w:pPr>
        <w:pStyle w:val="Sinespaciado"/>
        <w:rPr>
          <w:rFonts w:eastAsia="Palatino Linotype"/>
          <w:lang w:val="es-ES"/>
        </w:rPr>
      </w:pPr>
    </w:p>
    <w:p w14:paraId="31288CA2" w14:textId="77777777" w:rsidR="0044148C" w:rsidRPr="0044148C" w:rsidRDefault="0044148C" w:rsidP="0044148C">
      <w:pPr>
        <w:pStyle w:val="Sinespaciado"/>
        <w:rPr>
          <w:rFonts w:eastAsia="Palatino Linotype"/>
          <w:lang w:val="es-ES"/>
        </w:rPr>
      </w:pPr>
      <w:r w:rsidRPr="0044148C">
        <w:rPr>
          <w:rFonts w:eastAsia="Palatino Linotype"/>
          <w:lang w:val="es-ES"/>
        </w:rPr>
        <w:t>ATENTAMENTE</w:t>
      </w:r>
    </w:p>
    <w:p w14:paraId="38DF58A5" w14:textId="7BA7F3B2" w:rsidR="00663A37" w:rsidRPr="009D62BC" w:rsidRDefault="0044148C" w:rsidP="0044148C">
      <w:pPr>
        <w:pStyle w:val="Sinespaciado"/>
        <w:rPr>
          <w:rFonts w:eastAsia="Palatino Linotype"/>
        </w:rPr>
      </w:pPr>
      <w:r w:rsidRPr="0044148C">
        <w:rPr>
          <w:rFonts w:eastAsia="Palatino Linotype"/>
          <w:lang w:val="es-ES"/>
        </w:rPr>
        <w:t xml:space="preserve">Mtro. Fernando Daniel Cabrera </w:t>
      </w:r>
      <w:proofErr w:type="spellStart"/>
      <w:r w:rsidRPr="0044148C">
        <w:rPr>
          <w:rFonts w:eastAsia="Palatino Linotype"/>
          <w:lang w:val="es-ES"/>
        </w:rPr>
        <w:t>Ramirez</w:t>
      </w:r>
      <w:proofErr w:type="spellEnd"/>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542675" w:rsidRDefault="00663A37" w:rsidP="00FA27A4">
      <w:pPr>
        <w:pBdr>
          <w:top w:val="nil"/>
          <w:left w:val="nil"/>
          <w:bottom w:val="nil"/>
          <w:right w:val="nil"/>
          <w:between w:val="nil"/>
        </w:pBdr>
        <w:ind w:right="567"/>
        <w:contextualSpacing/>
        <w:rPr>
          <w:rFonts w:eastAsia="Palatino Linotype" w:cs="Palatino Linotype"/>
          <w:iCs/>
          <w:color w:val="000000"/>
          <w:sz w:val="20"/>
          <w:szCs w:val="21"/>
        </w:rPr>
      </w:pPr>
    </w:p>
    <w:p w14:paraId="3D031FD5" w14:textId="67B68C24"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w:t>
      </w:r>
      <w:r w:rsidR="003415FD">
        <w:rPr>
          <w:rFonts w:eastAsia="Palatino Linotype" w:cs="Palatino Linotype"/>
          <w:color w:val="000000" w:themeColor="text1"/>
          <w:lang w:val="es-ES"/>
        </w:rPr>
        <w:t>ajuntó</w:t>
      </w:r>
      <w:r w:rsidRPr="4DD9124E">
        <w:rPr>
          <w:rFonts w:eastAsia="Palatino Linotype" w:cs="Palatino Linotype"/>
          <w:color w:val="000000" w:themeColor="text1"/>
          <w:lang w:val="es-ES"/>
        </w:rPr>
        <w:t xml:space="preserve"> a su respuesta </w:t>
      </w:r>
      <w:r w:rsidR="004238AA">
        <w:rPr>
          <w:rFonts w:eastAsia="Palatino Linotype" w:cs="Palatino Linotype"/>
          <w:color w:val="000000" w:themeColor="text1"/>
          <w:lang w:val="es-ES"/>
        </w:rPr>
        <w:t>los</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004238AA">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denominado</w:t>
      </w:r>
      <w:r w:rsidR="004238AA">
        <w:rPr>
          <w:rFonts w:eastAsia="Palatino Linotype" w:cs="Palatino Linotype"/>
          <w:color w:val="000000" w:themeColor="text1"/>
          <w:lang w:val="es-ES"/>
        </w:rPr>
        <w:t>s</w:t>
      </w:r>
      <w:r w:rsidRPr="4DD9124E">
        <w:rPr>
          <w:rFonts w:eastAsia="Palatino Linotype" w:cs="Palatino Linotype"/>
          <w:color w:val="000000" w:themeColor="text1"/>
          <w:lang w:val="es-ES"/>
        </w:rPr>
        <w:t xml:space="preserve"> </w:t>
      </w:r>
      <w:r w:rsidRPr="4DD9124E">
        <w:rPr>
          <w:rFonts w:eastAsia="Palatino Linotype" w:cs="Palatino Linotype"/>
          <w:b/>
          <w:bCs/>
          <w:color w:val="000000" w:themeColor="text1"/>
          <w:lang w:val="es-ES"/>
        </w:rPr>
        <w:t>«</w:t>
      </w:r>
      <w:r w:rsidR="004238AA" w:rsidRPr="004238AA">
        <w:rPr>
          <w:rFonts w:eastAsia="Palatino Linotype" w:cs="Palatino Linotype"/>
          <w:b/>
          <w:bCs/>
          <w:color w:val="000000" w:themeColor="text1"/>
          <w:lang w:val="es-ES"/>
        </w:rPr>
        <w:t>219C01160000000L-391-2025 TRANSPARENCIA 00120.pdf</w:t>
      </w:r>
      <w:r w:rsidR="00673F74" w:rsidRPr="4DD9124E">
        <w:rPr>
          <w:rFonts w:eastAsia="Palatino Linotype" w:cs="Palatino Linotype"/>
          <w:b/>
          <w:bCs/>
          <w:color w:val="000000" w:themeColor="text1"/>
          <w:lang w:val="es-ES"/>
        </w:rPr>
        <w:t>»</w:t>
      </w:r>
      <w:r w:rsidR="00673F74" w:rsidRPr="4DD9124E">
        <w:rPr>
          <w:rFonts w:eastAsia="Palatino Linotype" w:cs="Palatino Linotype"/>
          <w:color w:val="000000" w:themeColor="text1"/>
          <w:lang w:val="es-ES"/>
        </w:rPr>
        <w:t xml:space="preserve">, </w:t>
      </w:r>
      <w:r w:rsidR="004238AA">
        <w:rPr>
          <w:rFonts w:eastAsia="Palatino Linotype" w:cs="Palatino Linotype"/>
          <w:color w:val="000000" w:themeColor="text1"/>
          <w:lang w:val="es-ES"/>
        </w:rPr>
        <w:t xml:space="preserve">y </w:t>
      </w:r>
      <w:r w:rsidR="008200DE">
        <w:rPr>
          <w:rFonts w:eastAsia="Palatino Linotype" w:cs="Palatino Linotype"/>
          <w:b/>
          <w:bCs/>
          <w:color w:val="000000" w:themeColor="text1"/>
          <w:lang w:val="es-ES"/>
        </w:rPr>
        <w:t>«</w:t>
      </w:r>
      <w:r w:rsidR="008200DE" w:rsidRPr="008200DE">
        <w:rPr>
          <w:rFonts w:eastAsia="Palatino Linotype" w:cs="Palatino Linotype"/>
          <w:b/>
          <w:bCs/>
          <w:color w:val="000000" w:themeColor="text1"/>
          <w:lang w:val="es-ES"/>
        </w:rPr>
        <w:t>120.pdf</w:t>
      </w:r>
      <w:r w:rsidR="008200DE">
        <w:rPr>
          <w:rFonts w:eastAsia="Palatino Linotype" w:cs="Palatino Linotype"/>
          <w:b/>
          <w:bCs/>
          <w:color w:val="000000" w:themeColor="text1"/>
          <w:lang w:val="es-ES"/>
        </w:rPr>
        <w:t xml:space="preserve">» </w:t>
      </w:r>
      <w:r w:rsidR="008200DE" w:rsidRPr="008200DE">
        <w:rPr>
          <w:rFonts w:eastAsia="Palatino Linotype" w:cs="Palatino Linotype"/>
          <w:color w:val="000000" w:themeColor="text1"/>
          <w:lang w:val="es-ES"/>
        </w:rPr>
        <w:t xml:space="preserve">(por triplicado), </w:t>
      </w:r>
      <w:r w:rsidR="000026F4">
        <w:rPr>
          <w:rFonts w:eastAsia="Palatino Linotype" w:cs="Palatino Linotype"/>
          <w:color w:val="000000" w:themeColor="text1"/>
          <w:lang w:val="es-ES"/>
        </w:rPr>
        <w:t xml:space="preserve">cuyo contenido </w:t>
      </w:r>
      <w:r w:rsidR="008B07F2">
        <w:rPr>
          <w:rFonts w:eastAsia="Palatino Linotype" w:cs="Palatino Linotype"/>
          <w:color w:val="000000" w:themeColor="text1"/>
          <w:lang w:val="es-ES"/>
        </w:rPr>
        <w:t xml:space="preserve">no se reproduce por ser del conocimiento de las partes; no obstante, </w:t>
      </w:r>
      <w:r w:rsidR="000026F4">
        <w:rPr>
          <w:rFonts w:eastAsia="Palatino Linotype" w:cs="Palatino Linotype"/>
          <w:color w:val="000000" w:themeColor="text1"/>
          <w:lang w:val="es-ES"/>
        </w:rPr>
        <w:t xml:space="preserve">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7F8982C5" w14:textId="2185D0C4"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702475">
        <w:rPr>
          <w:rFonts w:eastAsia="Palatino Linotype" w:cs="Palatino Linotype"/>
          <w:color w:val="000000"/>
          <w:szCs w:val="24"/>
        </w:rPr>
        <w:t xml:space="preserve"> por el Sujeto Obligado</w:t>
      </w:r>
      <w:r w:rsidR="007363B4" w:rsidRPr="009D62BC">
        <w:rPr>
          <w:rFonts w:eastAsia="Palatino Linotype" w:cs="Palatino Linotype"/>
          <w:color w:val="000000"/>
          <w:szCs w:val="24"/>
        </w:rPr>
        <w:t>,</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A42897">
        <w:rPr>
          <w:rFonts w:eastAsia="Palatino Linotype" w:cs="Palatino Linotype"/>
          <w:color w:val="000000"/>
          <w:szCs w:val="24"/>
        </w:rPr>
        <w:t>primero de abril</w:t>
      </w:r>
      <w:r w:rsidR="00463717">
        <w:rPr>
          <w:rFonts w:eastAsia="Palatino Linotype" w:cs="Palatino Linotype"/>
          <w:color w:val="000000"/>
          <w:szCs w:val="24"/>
        </w:rPr>
        <w:t xml:space="preserve"> de dos mil veinticinco</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FF127E">
        <w:rPr>
          <w:rFonts w:eastAsia="Palatino Linotype" w:cs="Palatino Linotype"/>
          <w:b/>
          <w:color w:val="000000"/>
          <w:szCs w:val="24"/>
        </w:rPr>
        <w:t>03815/INFOEM/IP/RR/2025</w:t>
      </w:r>
      <w:r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1692A729" w:rsidR="00663A37" w:rsidRPr="009D62BC" w:rsidRDefault="4DD9124E" w:rsidP="4DD9124E">
      <w:pPr>
        <w:pStyle w:val="Sinespaciado"/>
        <w:rPr>
          <w:rFonts w:eastAsia="Palatino Linotype"/>
          <w:b/>
          <w:bCs/>
          <w:lang w:val="es-ES"/>
        </w:rPr>
      </w:pPr>
      <w:r w:rsidRPr="4DD9124E">
        <w:rPr>
          <w:rFonts w:eastAsia="Palatino Linotype"/>
          <w:lang w:val="es-ES"/>
        </w:rPr>
        <w:t>«</w:t>
      </w:r>
      <w:r w:rsidR="00702475" w:rsidRPr="00702475">
        <w:rPr>
          <w:rFonts w:eastAsia="Palatino Linotype"/>
          <w:lang w:val="es-ES"/>
        </w:rPr>
        <w:t>La respuesta recaída a la presente solicitud deviene ilegal por arbitraria y en ella se advierte la notoria violación a los principios de transparencia.</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32FA2071" w14:textId="77777777" w:rsidR="008C2631" w:rsidRDefault="008C2631"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lastRenderedPageBreak/>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2EC2F2BA" w:rsidR="004B62DB" w:rsidRPr="009D62BC" w:rsidRDefault="004B62DB" w:rsidP="004B62DB">
      <w:pPr>
        <w:pStyle w:val="Sinespaciado"/>
        <w:rPr>
          <w:rFonts w:eastAsia="Palatino Linotype"/>
          <w:b/>
          <w:bCs/>
          <w:lang w:val="es-ES"/>
        </w:rPr>
      </w:pPr>
      <w:r w:rsidRPr="4DD9124E">
        <w:rPr>
          <w:rFonts w:eastAsia="Palatino Linotype"/>
          <w:lang w:val="es-ES"/>
        </w:rPr>
        <w:t>«</w:t>
      </w:r>
      <w:r w:rsidR="00345996" w:rsidRPr="00345996">
        <w:rPr>
          <w:rFonts w:eastAsia="Palatino Linotype"/>
          <w:lang w:val="es-ES"/>
        </w:rPr>
        <w:t xml:space="preserve">En efecto como se advierte de lo solicitado, es evidente el uso arbitrario </w:t>
      </w:r>
      <w:proofErr w:type="spellStart"/>
      <w:r w:rsidR="00345996" w:rsidRPr="00345996">
        <w:rPr>
          <w:rFonts w:eastAsia="Palatino Linotype"/>
          <w:lang w:val="es-ES"/>
        </w:rPr>
        <w:t>eñy</w:t>
      </w:r>
      <w:proofErr w:type="spellEnd"/>
      <w:r w:rsidR="00345996" w:rsidRPr="00345996">
        <w:rPr>
          <w:rFonts w:eastAsia="Palatino Linotype"/>
          <w:lang w:val="es-ES"/>
        </w:rPr>
        <w:t xml:space="preserve"> el abuso de funciones en que incurre la respondiente quien es evidente manipula las respuestas de </w:t>
      </w:r>
      <w:proofErr w:type="spellStart"/>
      <w:r w:rsidR="00345996" w:rsidRPr="00345996">
        <w:rPr>
          <w:rFonts w:eastAsia="Palatino Linotype"/>
          <w:lang w:val="es-ES"/>
        </w:rPr>
        <w:t>trasnparencia</w:t>
      </w:r>
      <w:proofErr w:type="spellEnd"/>
      <w:r w:rsidR="00345996" w:rsidRPr="00345996">
        <w:rPr>
          <w:rFonts w:eastAsia="Palatino Linotype"/>
          <w:lang w:val="es-ES"/>
        </w:rPr>
        <w:t xml:space="preserve"> a su arbitrio y de </w:t>
      </w:r>
      <w:proofErr w:type="spellStart"/>
      <w:r w:rsidR="00345996" w:rsidRPr="00345996">
        <w:rPr>
          <w:rFonts w:eastAsia="Palatino Linotype"/>
          <w:lang w:val="es-ES"/>
        </w:rPr>
        <w:t>lo.cuam</w:t>
      </w:r>
      <w:proofErr w:type="spellEnd"/>
      <w:r w:rsidR="00345996" w:rsidRPr="00345996">
        <w:rPr>
          <w:rFonts w:eastAsia="Palatino Linotype"/>
          <w:lang w:val="es-ES"/>
        </w:rPr>
        <w:t xml:space="preserve"> solicito a ese H. Instituto se tomen medidas pues contrario a lo que reza el derecho de acceso a </w:t>
      </w:r>
      <w:proofErr w:type="spellStart"/>
      <w:r w:rsidR="00345996" w:rsidRPr="00345996">
        <w:rPr>
          <w:rFonts w:eastAsia="Palatino Linotype"/>
          <w:lang w:val="es-ES"/>
        </w:rPr>
        <w:t>la.informacion</w:t>
      </w:r>
      <w:proofErr w:type="spellEnd"/>
      <w:r w:rsidR="00345996" w:rsidRPr="00345996">
        <w:rPr>
          <w:rFonts w:eastAsia="Palatino Linotype"/>
          <w:lang w:val="es-ES"/>
        </w:rPr>
        <w:t xml:space="preserve"> precisamente está involucrada la C. Marisol Tapia Solano en cuanto a los datos de respuesta de la presente solicitud y de manera dolosa y e insidiosa sin objetividad y sin cumplir con los principios de certeza jurídica, </w:t>
      </w:r>
      <w:proofErr w:type="spellStart"/>
      <w:r w:rsidR="00345996" w:rsidRPr="00345996">
        <w:rPr>
          <w:rFonts w:eastAsia="Palatino Linotype"/>
          <w:lang w:val="es-ES"/>
        </w:rPr>
        <w:t>fundamentacion</w:t>
      </w:r>
      <w:proofErr w:type="spellEnd"/>
      <w:r w:rsidR="00345996" w:rsidRPr="00345996">
        <w:rPr>
          <w:rFonts w:eastAsia="Palatino Linotype"/>
          <w:lang w:val="es-ES"/>
        </w:rPr>
        <w:t xml:space="preserve"> y motivación se presente por medio de esta y por medio que quien no se identifica en nombre y firma ya que solo se contiene en el oficio de respuesta de la Dirección General de Asuntos Jurídicos e Igualdad de Género un garabato que se desconoce de qué persona sea y que desde este momento se tilda de ilegal dicha firma, para lo cual se ofrece como prueba a cardo de la autoridad respondiente el nombramiento del titular de la Dirección General de Asuntos Jurídicos e Igualdad de Género, vigente a la fecha de la respuesta correspondiente y en virtud de que en un exceso de facultades se presente con una inverosímil orientación para identificar el derecho de acceso a la información a los datos personales y al derecho de petición, se impugna la presente solicitud ya que se omite dar respuesta en su totalidad a lo solicitado y de manera parcial parece intervenir en dicha respuesta la C. Marisol Tapia Solano quien además no se excusa del conocimiento correspondiente y de la cual se dará vista a las autoridades competentes en materia de investigación, por lo cual solicitamos respetuosa a ese H. Instituto se revoque la respuesta recurrida y se emita una nueva en la que se conmine a la autoridad respondiente a cumplir con el derecho de acceso a </w:t>
      </w:r>
      <w:proofErr w:type="spellStart"/>
      <w:r w:rsidR="00345996" w:rsidRPr="00345996">
        <w:rPr>
          <w:rFonts w:eastAsia="Palatino Linotype"/>
          <w:lang w:val="es-ES"/>
        </w:rPr>
        <w:t>la.informacion</w:t>
      </w:r>
      <w:proofErr w:type="spellEnd"/>
      <w:r w:rsidR="00345996" w:rsidRPr="00345996">
        <w:rPr>
          <w:rFonts w:eastAsia="Palatino Linotype"/>
          <w:lang w:val="es-ES"/>
        </w:rPr>
        <w:t xml:space="preserve"> publica y se revise el actuar de la citada servidora </w:t>
      </w:r>
      <w:proofErr w:type="spellStart"/>
      <w:r w:rsidR="00345996" w:rsidRPr="00345996">
        <w:rPr>
          <w:rFonts w:eastAsia="Palatino Linotype"/>
          <w:lang w:val="es-ES"/>
        </w:rPr>
        <w:t>publica</w:t>
      </w:r>
      <w:proofErr w:type="spellEnd"/>
      <w:r w:rsidR="00345996" w:rsidRPr="00345996">
        <w:rPr>
          <w:rFonts w:eastAsia="Palatino Linotype"/>
          <w:lang w:val="es-ES"/>
        </w:rPr>
        <w:t xml:space="preserve"> en torno al derecho de acceso a la información o se de vista a las autoridades competentes.</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34897B67"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7A44D3">
        <w:rPr>
          <w:rFonts w:eastAsia="Palatino Linotype" w:cs="Palatino Linotype"/>
          <w:color w:val="000000" w:themeColor="text1"/>
          <w:lang w:val="es-ES"/>
        </w:rPr>
        <w:t>tres de abril</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lastRenderedPageBreak/>
        <w:t>QUIN</w:t>
      </w:r>
      <w:r w:rsidR="00663A37" w:rsidRPr="009D62BC">
        <w:rPr>
          <w:rFonts w:eastAsia="Palatino Linotype"/>
        </w:rPr>
        <w:t>TO. De la etapa de instrucción.</w:t>
      </w:r>
    </w:p>
    <w:p w14:paraId="1C242EEA" w14:textId="70536668" w:rsidR="006438D3" w:rsidRPr="009D62BC" w:rsidRDefault="006438D3" w:rsidP="006438D3">
      <w:pPr>
        <w:pBdr>
          <w:top w:val="nil"/>
          <w:left w:val="nil"/>
          <w:bottom w:val="nil"/>
          <w:right w:val="nil"/>
          <w:between w:val="nil"/>
        </w:pBdr>
        <w:contextualSpacing/>
        <w:rPr>
          <w:rFonts w:eastAsia="Palatino Linotype" w:cs="Palatino Linotype"/>
          <w:color w:val="000000"/>
          <w:lang w:val="es-ES"/>
        </w:rPr>
      </w:pPr>
      <w:r w:rsidRPr="1064B07E">
        <w:rPr>
          <w:rFonts w:eastAsia="Palatino Linotype" w:cs="Palatino Linotype"/>
          <w:color w:val="000000" w:themeColor="text1"/>
          <w:lang w:val="es-ES"/>
        </w:rPr>
        <w:t>Durante la etapa de inst</w:t>
      </w:r>
      <w:r>
        <w:rPr>
          <w:rFonts w:eastAsia="Palatino Linotype" w:cs="Palatino Linotype"/>
          <w:color w:val="000000" w:themeColor="text1"/>
          <w:lang w:val="es-ES"/>
        </w:rPr>
        <w:t>rucción, se observa que el</w:t>
      </w:r>
      <w:r w:rsidR="006A0533">
        <w:rPr>
          <w:rFonts w:eastAsia="Palatino Linotype" w:cs="Palatino Linotype"/>
          <w:color w:val="000000" w:themeColor="text1"/>
          <w:lang w:val="es-ES"/>
        </w:rPr>
        <w:t xml:space="preserve"> veintiuno</w:t>
      </w:r>
      <w:r>
        <w:rPr>
          <w:rFonts w:eastAsia="Palatino Linotype" w:cs="Palatino Linotype"/>
          <w:color w:val="000000" w:themeColor="text1"/>
          <w:lang w:val="es-ES"/>
        </w:rPr>
        <w:t xml:space="preserve"> de abril de dos mil veinticinco</w:t>
      </w:r>
      <w:r w:rsidRPr="1064B07E">
        <w:rPr>
          <w:rFonts w:eastAsia="Palatino Linotype" w:cs="Palatino Linotype"/>
          <w:color w:val="000000" w:themeColor="text1"/>
          <w:lang w:val="es-ES"/>
        </w:rPr>
        <w:t>, el Sujeto Obligado rindió su Informe Justificado, consistente en los documentos denominados</w:t>
      </w:r>
      <w:r w:rsidR="000D6218">
        <w:rPr>
          <w:rFonts w:eastAsia="Palatino Linotype" w:cs="Palatino Linotype"/>
          <w:color w:val="000000" w:themeColor="text1"/>
          <w:lang w:val="es-ES"/>
        </w:rPr>
        <w:t xml:space="preserve"> </w:t>
      </w:r>
      <w:r w:rsidR="000D6218">
        <w:rPr>
          <w:rFonts w:eastAsia="Palatino Linotype" w:cs="Palatino Linotype"/>
          <w:b/>
          <w:bCs/>
          <w:color w:val="000000" w:themeColor="text1"/>
          <w:lang w:val="es-ES"/>
        </w:rPr>
        <w:t>«</w:t>
      </w:r>
      <w:r w:rsidR="00750962" w:rsidRPr="00750962">
        <w:rPr>
          <w:rFonts w:eastAsia="Palatino Linotype" w:cs="Palatino Linotype"/>
          <w:b/>
          <w:bCs/>
          <w:color w:val="000000" w:themeColor="text1"/>
          <w:lang w:val="es-ES"/>
        </w:rPr>
        <w:t>respuesta comisionado.pdf</w:t>
      </w:r>
      <w:r w:rsidR="000D6218" w:rsidRPr="1064B07E">
        <w:rPr>
          <w:rFonts w:eastAsia="Palatino Linotype" w:cs="Palatino Linotype"/>
          <w:b/>
          <w:bCs/>
          <w:color w:val="000000" w:themeColor="text1"/>
          <w:lang w:val="es-ES"/>
        </w:rPr>
        <w:t>»</w:t>
      </w:r>
      <w:r w:rsidR="000D6218" w:rsidRPr="1064B07E">
        <w:rPr>
          <w:rFonts w:eastAsia="Palatino Linotype" w:cs="Palatino Linotype"/>
          <w:color w:val="000000" w:themeColor="text1"/>
          <w:lang w:val="es-ES"/>
        </w:rPr>
        <w:t xml:space="preserve">, </w:t>
      </w:r>
      <w:r>
        <w:rPr>
          <w:rFonts w:eastAsia="Palatino Linotype" w:cs="Palatino Linotype"/>
          <w:b/>
          <w:bCs/>
          <w:color w:val="000000" w:themeColor="text1"/>
          <w:lang w:val="es-ES"/>
        </w:rPr>
        <w:t>«</w:t>
      </w:r>
      <w:r w:rsidR="00B02B62" w:rsidRPr="00B02B62">
        <w:rPr>
          <w:rFonts w:eastAsia="Palatino Linotype" w:cs="Palatino Linotype"/>
          <w:b/>
          <w:bCs/>
          <w:color w:val="000000" w:themeColor="text1"/>
          <w:lang w:val="es-ES"/>
        </w:rPr>
        <w:t>anexo 1.pdf</w:t>
      </w:r>
      <w:r w:rsidRPr="1064B07E">
        <w:rPr>
          <w:rFonts w:eastAsia="Palatino Linotype" w:cs="Palatino Linotype"/>
          <w:b/>
          <w:bCs/>
          <w:color w:val="000000" w:themeColor="text1"/>
          <w:lang w:val="es-ES"/>
        </w:rPr>
        <w:t>»</w:t>
      </w:r>
      <w:r>
        <w:rPr>
          <w:rFonts w:eastAsia="Palatino Linotype" w:cs="Palatino Linotype"/>
          <w:b/>
          <w:bCs/>
          <w:color w:val="000000" w:themeColor="text1"/>
          <w:lang w:val="es-ES"/>
        </w:rPr>
        <w:t xml:space="preserve"> </w:t>
      </w:r>
      <w:r w:rsidRPr="1064B07E">
        <w:rPr>
          <w:rFonts w:eastAsia="Palatino Linotype" w:cs="Palatino Linotype"/>
          <w:color w:val="000000" w:themeColor="text1"/>
          <w:lang w:val="es-ES"/>
        </w:rPr>
        <w:t xml:space="preserve">y </w:t>
      </w:r>
      <w:r>
        <w:rPr>
          <w:rFonts w:eastAsia="Palatino Linotype" w:cs="Palatino Linotype"/>
          <w:b/>
          <w:bCs/>
          <w:color w:val="000000" w:themeColor="text1"/>
          <w:lang w:val="es-ES"/>
        </w:rPr>
        <w:t>«</w:t>
      </w:r>
      <w:r w:rsidR="000C5CF8" w:rsidRPr="000C5CF8">
        <w:rPr>
          <w:rFonts w:eastAsia="Palatino Linotype" w:cs="Palatino Linotype"/>
          <w:b/>
          <w:bCs/>
          <w:color w:val="000000" w:themeColor="text1"/>
          <w:lang w:val="es-ES"/>
        </w:rPr>
        <w:t>anexo 2.pdf</w:t>
      </w:r>
      <w:r w:rsidRPr="1064B07E">
        <w:rPr>
          <w:rFonts w:eastAsia="Palatino Linotype" w:cs="Palatino Linotype"/>
          <w:b/>
          <w:bCs/>
          <w:color w:val="000000" w:themeColor="text1"/>
          <w:lang w:val="es-ES"/>
        </w:rPr>
        <w:t>»</w:t>
      </w:r>
      <w:r w:rsidRPr="1064B07E">
        <w:rPr>
          <w:rFonts w:eastAsia="Palatino Linotype" w:cs="Palatino Linotype"/>
          <w:color w:val="000000" w:themeColor="text1"/>
          <w:lang w:val="es-ES"/>
        </w:rPr>
        <w:t xml:space="preserve">, </w:t>
      </w:r>
      <w:r w:rsidR="007B65DF">
        <w:rPr>
          <w:rFonts w:eastAsia="Palatino Linotype" w:cs="Palatino Linotype"/>
          <w:color w:val="000000" w:themeColor="text1"/>
          <w:lang w:val="es-ES"/>
        </w:rPr>
        <w:t xml:space="preserve">documentación que fue puesta </w:t>
      </w:r>
      <w:r>
        <w:rPr>
          <w:rFonts w:eastAsia="Palatino Linotype" w:cs="Palatino Linotype"/>
          <w:color w:val="000000" w:themeColor="text1"/>
          <w:lang w:val="es-ES"/>
        </w:rPr>
        <w:t xml:space="preserve">a la vista del Recurrente </w:t>
      </w:r>
      <w:r w:rsidRPr="1064B07E">
        <w:rPr>
          <w:rFonts w:eastAsia="Palatino Linotype" w:cs="Palatino Linotype"/>
          <w:color w:val="000000" w:themeColor="text1"/>
          <w:lang w:val="es-ES"/>
        </w:rPr>
        <w:t>mediante acuerdo</w:t>
      </w:r>
      <w:r>
        <w:rPr>
          <w:rFonts w:eastAsia="Palatino Linotype" w:cs="Palatino Linotype"/>
          <w:color w:val="000000" w:themeColor="text1"/>
          <w:lang w:val="es-ES"/>
        </w:rPr>
        <w:t xml:space="preserve"> de fecha </w:t>
      </w:r>
      <w:r w:rsidR="006A0533">
        <w:rPr>
          <w:rFonts w:eastAsia="Palatino Linotype" w:cs="Palatino Linotype"/>
          <w:color w:val="000000" w:themeColor="text1"/>
          <w:lang w:val="es-ES"/>
        </w:rPr>
        <w:t>veinticuatro</w:t>
      </w:r>
      <w:r>
        <w:rPr>
          <w:rFonts w:eastAsia="Palatino Linotype" w:cs="Palatino Linotype"/>
          <w:color w:val="000000" w:themeColor="text1"/>
          <w:lang w:val="es-ES"/>
        </w:rPr>
        <w:t xml:space="preserve"> de abril</w:t>
      </w:r>
      <w:r w:rsidRPr="1064B07E">
        <w:rPr>
          <w:rFonts w:eastAsia="Palatino Linotype" w:cs="Palatino Linotype"/>
          <w:color w:val="000000" w:themeColor="text1"/>
          <w:lang w:val="es-ES"/>
        </w:rPr>
        <w:t xml:space="preserve"> del año en curso, en términos de la fracción III del artículo 185 de la Ley de Transparencia y Acceso a la Información Pública del Estado de México y Municipios; y se otorgó al particular un término de tres días para manifestar lo que a su derecho conviniera. Por otra parte, se observa que el Recurrente no emitió manifestaciones vertió alegatos o presentó pruebas que a su derecho conviniera, del mismo modo, tampoco realizó pronunciamiento alguno respecto del Informe Justificado del Sujeto Obligado. El contenido de l</w:t>
      </w:r>
      <w:r w:rsidR="00AB56C5">
        <w:rPr>
          <w:rFonts w:eastAsia="Palatino Linotype" w:cs="Palatino Linotype"/>
          <w:color w:val="000000" w:themeColor="text1"/>
          <w:lang w:val="es-ES"/>
        </w:rPr>
        <w:t>a documentación</w:t>
      </w:r>
      <w:r w:rsidRPr="1064B07E">
        <w:rPr>
          <w:rFonts w:eastAsia="Palatino Linotype" w:cs="Palatino Linotype"/>
          <w:color w:val="000000" w:themeColor="text1"/>
          <w:lang w:val="es-ES"/>
        </w:rPr>
        <w:t xml:space="preserve"> referid</w:t>
      </w:r>
      <w:r w:rsidR="00AB56C5">
        <w:rPr>
          <w:rFonts w:eastAsia="Palatino Linotype" w:cs="Palatino Linotype"/>
          <w:color w:val="000000" w:themeColor="text1"/>
          <w:lang w:val="es-ES"/>
        </w:rPr>
        <w:t>a</w:t>
      </w:r>
      <w:r w:rsidRPr="1064B07E">
        <w:rPr>
          <w:rFonts w:eastAsia="Palatino Linotype" w:cs="Palatino Linotype"/>
          <w:color w:val="000000" w:themeColor="text1"/>
          <w:lang w:val="es-ES"/>
        </w:rPr>
        <w:t xml:space="preserve"> será motivo de análisis durante el estudio respectivo.</w:t>
      </w:r>
    </w:p>
    <w:p w14:paraId="4B9B94B1" w14:textId="23BE4C11" w:rsidR="00663A37" w:rsidRPr="00022679" w:rsidRDefault="00663A37" w:rsidP="00663A37">
      <w:pPr>
        <w:pBdr>
          <w:top w:val="nil"/>
          <w:left w:val="nil"/>
          <w:bottom w:val="nil"/>
          <w:right w:val="nil"/>
          <w:between w:val="nil"/>
        </w:pBdr>
        <w:contextualSpacing/>
        <w:rPr>
          <w:rFonts w:eastAsia="Palatino Linotype" w:cs="Palatino Linotype"/>
          <w:color w:val="000000"/>
          <w:szCs w:val="24"/>
          <w:lang w:val="es-ES"/>
        </w:rPr>
      </w:pPr>
    </w:p>
    <w:p w14:paraId="2AA432C1" w14:textId="60A3BFAB" w:rsidR="00663A37" w:rsidRPr="009D62BC" w:rsidRDefault="00663A37" w:rsidP="00191B81">
      <w:pPr>
        <w:pStyle w:val="Ttulo2"/>
        <w:rPr>
          <w:rFonts w:eastAsia="Palatino Linotype"/>
        </w:rPr>
      </w:pPr>
      <w:r w:rsidRPr="009D62BC">
        <w:rPr>
          <w:rFonts w:eastAsia="Palatino Linotype"/>
        </w:rPr>
        <w:t>S</w:t>
      </w:r>
      <w:r w:rsidR="00671EA3" w:rsidRPr="009D62BC">
        <w:rPr>
          <w:rFonts w:eastAsia="Palatino Linotype"/>
        </w:rPr>
        <w:t>EXTO</w:t>
      </w:r>
      <w:r w:rsidRPr="009D62BC">
        <w:rPr>
          <w:rFonts w:eastAsia="Palatino Linotype"/>
        </w:rPr>
        <w:t>. Del cierre de instrucción.</w:t>
      </w:r>
    </w:p>
    <w:p w14:paraId="6E2F1FC8" w14:textId="709AF6EE" w:rsidR="001A0CCD" w:rsidRDefault="0028415D" w:rsidP="3098B94B">
      <w:pPr>
        <w:pBdr>
          <w:top w:val="nil"/>
          <w:left w:val="nil"/>
          <w:bottom w:val="nil"/>
          <w:right w:val="nil"/>
          <w:between w:val="nil"/>
        </w:pBdr>
        <w:contextualSpacing/>
        <w:rPr>
          <w:rFonts w:eastAsia="Palatino Linotype" w:cs="Palatino Linotype"/>
          <w:color w:val="000000"/>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132368">
        <w:rPr>
          <w:rFonts w:eastAsia="Palatino Linotype" w:cs="Palatino Linotype"/>
          <w:color w:val="000000" w:themeColor="text1"/>
        </w:rPr>
        <w:t>veintiocho</w:t>
      </w:r>
      <w:r w:rsidR="00704E9C">
        <w:rPr>
          <w:rFonts w:eastAsia="Palatino Linotype" w:cs="Palatino Linotype"/>
          <w:color w:val="000000" w:themeColor="text1"/>
          <w:lang w:val="es-ES"/>
        </w:rPr>
        <w:t xml:space="preserve"> de abril </w:t>
      </w:r>
      <w:r w:rsidR="00694ED6" w:rsidRPr="3098B94B">
        <w:rPr>
          <w:rFonts w:eastAsia="Palatino Linotype" w:cs="Palatino Linotype"/>
          <w:color w:val="000000" w:themeColor="text1"/>
          <w:lang w:val="es-ES"/>
        </w:rPr>
        <w:t>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racción VI de la Ley de Transparencia y Acceso a la Información Pública del Estado de México y Municipios, iniciando el término legal para dictar resolución definitiva del asunto.</w:t>
      </w:r>
    </w:p>
    <w:p w14:paraId="7424A935" w14:textId="77777777" w:rsidR="00E95FAE" w:rsidRDefault="00E95FAE" w:rsidP="00E95FAE">
      <w:pPr>
        <w:pBdr>
          <w:top w:val="nil"/>
          <w:left w:val="nil"/>
          <w:bottom w:val="nil"/>
          <w:right w:val="nil"/>
          <w:between w:val="nil"/>
        </w:pBdr>
        <w:contextualSpacing/>
        <w:rPr>
          <w:rFonts w:eastAsiaTheme="minorHAnsi" w:cstheme="minorBidi"/>
          <w:szCs w:val="24"/>
          <w:lang w:eastAsia="en-US"/>
        </w:rPr>
      </w:pPr>
    </w:p>
    <w:p w14:paraId="675E5B01" w14:textId="77777777" w:rsidR="00523F6A" w:rsidRPr="006054AA" w:rsidRDefault="00523F6A" w:rsidP="00523F6A">
      <w:pPr>
        <w:pStyle w:val="Ttulo2"/>
        <w:rPr>
          <w:rFonts w:eastAsiaTheme="minorHAnsi"/>
          <w:lang w:eastAsia="en-US"/>
        </w:rPr>
      </w:pPr>
      <w:r w:rsidRPr="006054AA">
        <w:rPr>
          <w:rFonts w:eastAsiaTheme="minorHAnsi"/>
          <w:lang w:eastAsia="en-US"/>
        </w:rPr>
        <w:t>SÉPTIMO. De la ampliación del término para resolver.</w:t>
      </w:r>
    </w:p>
    <w:p w14:paraId="29D616D9" w14:textId="1DCC243D" w:rsidR="00523F6A" w:rsidRPr="00546575" w:rsidRDefault="00523F6A" w:rsidP="00523F6A">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w:t>
      </w:r>
      <w:r w:rsidRPr="006054AA">
        <w:rPr>
          <w:rFonts w:eastAsiaTheme="minorHAnsi" w:cstheme="minorBidi"/>
          <w:szCs w:val="24"/>
          <w:lang w:eastAsia="en-US"/>
        </w:rPr>
        <w:lastRenderedPageBreak/>
        <w:t>lo que el</w:t>
      </w:r>
      <w:r w:rsidR="00132368">
        <w:rPr>
          <w:rFonts w:eastAsiaTheme="minorHAnsi" w:cstheme="minorBidi"/>
          <w:szCs w:val="24"/>
          <w:lang w:eastAsia="en-US"/>
        </w:rPr>
        <w:t xml:space="preserve"> veintiséis</w:t>
      </w:r>
      <w:r w:rsidR="00704E9C">
        <w:rPr>
          <w:rFonts w:eastAsiaTheme="minorHAnsi" w:cstheme="minorBidi"/>
          <w:szCs w:val="24"/>
          <w:lang w:eastAsia="en-US"/>
        </w:rPr>
        <w:t xml:space="preserve"> de mayo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5FD742B" w14:textId="77777777" w:rsidR="00523F6A" w:rsidRPr="00E95FAE" w:rsidRDefault="00523F6A" w:rsidP="00E95FAE">
      <w:pPr>
        <w:pBdr>
          <w:top w:val="nil"/>
          <w:left w:val="nil"/>
          <w:bottom w:val="nil"/>
          <w:right w:val="nil"/>
          <w:between w:val="nil"/>
        </w:pBdr>
        <w:contextualSpacing/>
        <w:rPr>
          <w:rFonts w:eastAsiaTheme="minorHAnsi" w:cstheme="minorBidi"/>
          <w:szCs w:val="24"/>
          <w:lang w:eastAsia="en-US"/>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53767382"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5, párrafos </w:t>
      </w:r>
      <w:r w:rsidR="00E1672A">
        <w:rPr>
          <w:rFonts w:eastAsia="Palatino Linotype" w:cs="Palatino Linotype"/>
          <w:color w:val="000000"/>
          <w:szCs w:val="24"/>
        </w:rPr>
        <w:t>trigésimo noveno, cuadragésimo y cuadragésimo primero</w:t>
      </w:r>
      <w:r w:rsidRPr="2F580D8D">
        <w:rPr>
          <w:rFonts w:eastAsia="Palatino Linotype" w:cs="Palatino Linotype"/>
          <w:szCs w:val="24"/>
          <w:lang w:val="es-ES"/>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w:t>
      </w:r>
      <w:r w:rsidRPr="009D62BC">
        <w:rPr>
          <w:rFonts w:eastAsia="Palatino Linotype" w:cs="Palatino Linotype"/>
          <w:color w:val="000000"/>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57EF4436" w14:textId="77777777" w:rsidR="00694ED6" w:rsidRPr="00F34F85" w:rsidRDefault="00694ED6" w:rsidP="00694ED6">
      <w:pPr>
        <w:pStyle w:val="Ttulo2"/>
      </w:pPr>
      <w:r w:rsidRPr="00F34F85">
        <w:t xml:space="preserve">TERCERO. Cuestiones de previo y especial pronunciamiento. </w:t>
      </w:r>
    </w:p>
    <w:p w14:paraId="1B24AEAA" w14:textId="77777777" w:rsidR="00187A0A" w:rsidRPr="00F34F85" w:rsidRDefault="00187A0A" w:rsidP="00187A0A">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694D6DF2" w14:textId="77777777" w:rsidR="00187A0A" w:rsidRPr="00F34F85" w:rsidRDefault="00187A0A" w:rsidP="00187A0A">
      <w:pPr>
        <w:rPr>
          <w:rFonts w:eastAsia="Palatino Linotype" w:cs="Palatino Linotype"/>
        </w:rPr>
      </w:pPr>
    </w:p>
    <w:p w14:paraId="5A7FD3F9"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74F3E95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4C4BD8C4"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14C7C4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4ECB230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20C391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9F6BD8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59D2019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6894E3DC"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2F66A7B" w14:textId="77777777" w:rsidR="00187A0A" w:rsidRPr="00F34F85" w:rsidRDefault="00187A0A" w:rsidP="00187A0A">
      <w:pPr>
        <w:spacing w:line="240" w:lineRule="auto"/>
        <w:ind w:left="567" w:right="567"/>
        <w:rPr>
          <w:rFonts w:eastAsia="Palatino Linotype" w:cs="Palatino Linotype"/>
          <w:i/>
          <w:sz w:val="22"/>
        </w:rPr>
      </w:pPr>
    </w:p>
    <w:p w14:paraId="325FB85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1D2EC7C8" w14:textId="77777777" w:rsidR="00187A0A" w:rsidRPr="00F34F85" w:rsidRDefault="00187A0A" w:rsidP="00187A0A">
      <w:pPr>
        <w:spacing w:line="240" w:lineRule="auto"/>
        <w:ind w:left="567" w:right="567"/>
        <w:rPr>
          <w:rFonts w:eastAsia="Palatino Linotype" w:cs="Palatino Linotype"/>
          <w:i/>
          <w:sz w:val="22"/>
        </w:rPr>
      </w:pPr>
    </w:p>
    <w:p w14:paraId="26B2FAA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3B46BEF2" w14:textId="77777777" w:rsidR="00187A0A" w:rsidRPr="00F34F85" w:rsidRDefault="00187A0A" w:rsidP="00187A0A">
      <w:pPr>
        <w:spacing w:line="240" w:lineRule="auto"/>
        <w:ind w:left="567" w:right="567"/>
        <w:rPr>
          <w:rFonts w:eastAsia="Palatino Linotype" w:cs="Palatino Linotype"/>
          <w:i/>
          <w:sz w:val="22"/>
        </w:rPr>
      </w:pPr>
    </w:p>
    <w:p w14:paraId="2418216F" w14:textId="77777777" w:rsidR="00187A0A" w:rsidRPr="00F34F85" w:rsidRDefault="00187A0A" w:rsidP="00187A0A">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lastRenderedPageBreak/>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4CC758CB" w14:textId="77777777" w:rsidR="00187A0A" w:rsidRPr="00F34F85" w:rsidRDefault="00187A0A" w:rsidP="00187A0A">
      <w:pPr>
        <w:rPr>
          <w:rFonts w:eastAsia="Palatino Linotype" w:cs="Palatino Linotype"/>
          <w:b/>
          <w:i/>
        </w:rPr>
      </w:pPr>
    </w:p>
    <w:p w14:paraId="16A649CD" w14:textId="77777777" w:rsidR="00187A0A" w:rsidRPr="00F34F85" w:rsidRDefault="00187A0A" w:rsidP="00187A0A">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46A0016" w14:textId="77777777" w:rsidR="00187A0A" w:rsidRPr="00F34F85" w:rsidRDefault="00187A0A" w:rsidP="00187A0A">
      <w:pPr>
        <w:rPr>
          <w:rFonts w:eastAsia="Palatino Linotype" w:cs="Palatino Linotype"/>
        </w:rPr>
      </w:pPr>
    </w:p>
    <w:p w14:paraId="719211D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0BC2B096" w14:textId="77777777" w:rsidR="00187A0A" w:rsidRPr="00F34F85" w:rsidRDefault="00187A0A" w:rsidP="00187A0A">
      <w:pPr>
        <w:spacing w:line="240" w:lineRule="auto"/>
        <w:ind w:left="567" w:right="567"/>
        <w:rPr>
          <w:rFonts w:eastAsia="Palatino Linotype" w:cs="Palatino Linotype"/>
          <w:i/>
          <w:sz w:val="22"/>
        </w:rPr>
      </w:pPr>
    </w:p>
    <w:p w14:paraId="46FD1161"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5909A7D"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783AEF6" w14:textId="77777777" w:rsidR="00187A0A" w:rsidRPr="00F34F85" w:rsidRDefault="00187A0A" w:rsidP="00187A0A">
      <w:pPr>
        <w:rPr>
          <w:rFonts w:eastAsia="Palatino Linotype" w:cs="Palatino Linotype"/>
        </w:rPr>
      </w:pPr>
    </w:p>
    <w:p w14:paraId="21DBEF75" w14:textId="100902CE" w:rsidR="00187A0A" w:rsidRPr="00F34F85" w:rsidRDefault="00187A0A" w:rsidP="00187A0A">
      <w:pPr>
        <w:rPr>
          <w:rFonts w:eastAsia="Palatino Linotype" w:cs="Palatino Linotype"/>
        </w:rPr>
      </w:pPr>
      <w:r w:rsidRPr="00B97A1F">
        <w:rPr>
          <w:rFonts w:eastAsia="Palatino Linotype" w:cs="Palatino Linotype"/>
        </w:rPr>
        <w:t xml:space="preserve">Robusteciendo lo anterior se encuentra lo dispuesto en el artículo 5 párrafos </w:t>
      </w:r>
      <w:r w:rsidR="00E1672A">
        <w:rPr>
          <w:rFonts w:eastAsia="Palatino Linotype" w:cs="Palatino Linotype"/>
          <w:color w:val="000000"/>
          <w:szCs w:val="24"/>
        </w:rPr>
        <w:t>trigésimo noveno, cuadragésimo y cuadragésimo primero</w:t>
      </w:r>
      <w:r w:rsidRPr="00B97A1F">
        <w:rPr>
          <w:rFonts w:eastAsia="Palatino Linotype" w:cs="Palatino Linotype"/>
        </w:rPr>
        <w:t xml:space="preserve"> de la Constitución Política del Estado Libre y Soberano de México, se establece lo siguiente</w:t>
      </w:r>
      <w:r w:rsidRPr="00F34F85">
        <w:rPr>
          <w:rFonts w:eastAsia="Palatino Linotype" w:cs="Palatino Linotype"/>
        </w:rPr>
        <w:t>:</w:t>
      </w:r>
    </w:p>
    <w:p w14:paraId="0D7E180D" w14:textId="77777777" w:rsidR="00187A0A" w:rsidRPr="00F34F85" w:rsidRDefault="00187A0A" w:rsidP="00187A0A">
      <w:pPr>
        <w:rPr>
          <w:rFonts w:eastAsia="Palatino Linotype" w:cs="Palatino Linotype"/>
        </w:rPr>
      </w:pPr>
    </w:p>
    <w:p w14:paraId="396D553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6AABB8"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414A870A" w14:textId="77777777" w:rsidR="00187A0A" w:rsidRPr="00F34F85" w:rsidRDefault="00187A0A" w:rsidP="00187A0A">
      <w:pPr>
        <w:spacing w:line="240" w:lineRule="auto"/>
        <w:ind w:left="567" w:right="567"/>
        <w:rPr>
          <w:rFonts w:eastAsia="Palatino Linotype" w:cs="Palatino Linotype"/>
          <w:i/>
          <w:iCs/>
          <w:sz w:val="22"/>
          <w:lang w:val="es-ES"/>
        </w:rPr>
      </w:pPr>
      <w:r w:rsidRPr="4EE559BE">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632B5243"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lastRenderedPageBreak/>
        <w:t>[…]</w:t>
      </w:r>
    </w:p>
    <w:p w14:paraId="0FFFC70F"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2844172" w14:textId="77777777" w:rsidR="00187A0A" w:rsidRPr="00F34F85" w:rsidRDefault="00187A0A" w:rsidP="00187A0A">
      <w:pPr>
        <w:spacing w:line="240" w:lineRule="auto"/>
        <w:ind w:left="567" w:right="567"/>
        <w:rPr>
          <w:rFonts w:eastAsia="Palatino Linotype" w:cs="Palatino Linotype"/>
          <w:i/>
          <w:sz w:val="22"/>
        </w:rPr>
      </w:pPr>
    </w:p>
    <w:p w14:paraId="06CF98B2" w14:textId="77777777" w:rsidR="00187A0A" w:rsidRPr="00F34F85" w:rsidRDefault="00187A0A" w:rsidP="00187A0A">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52195D1" w14:textId="77777777" w:rsidR="00187A0A" w:rsidRPr="00F34F85" w:rsidRDefault="00187A0A" w:rsidP="00187A0A">
      <w:pPr>
        <w:spacing w:line="240" w:lineRule="auto"/>
        <w:ind w:left="567" w:right="567"/>
        <w:rPr>
          <w:rFonts w:eastAsia="Palatino Linotype" w:cs="Palatino Linotype"/>
          <w:i/>
          <w:sz w:val="22"/>
        </w:rPr>
      </w:pPr>
    </w:p>
    <w:p w14:paraId="547D52C2"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6DCC28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3E1F9E05"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DFDEBA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7146243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AE8DEFA"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2BED3BE"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w:t>
      </w:r>
    </w:p>
    <w:p w14:paraId="2DCDFF55" w14:textId="77777777" w:rsidR="00187A0A" w:rsidRPr="00F34F85" w:rsidRDefault="00187A0A" w:rsidP="00187A0A">
      <w:pPr>
        <w:ind w:left="567" w:right="567"/>
        <w:rPr>
          <w:rFonts w:eastAsia="Palatino Linotype" w:cs="Palatino Linotype"/>
        </w:rPr>
      </w:pPr>
    </w:p>
    <w:p w14:paraId="52C93B84" w14:textId="77777777" w:rsidR="00187A0A" w:rsidRPr="00F34F85" w:rsidRDefault="00187A0A" w:rsidP="00187A0A">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0CFD166A" w14:textId="77777777" w:rsidR="00187A0A" w:rsidRPr="00F34F85" w:rsidRDefault="00187A0A" w:rsidP="00187A0A">
      <w:pPr>
        <w:spacing w:line="240" w:lineRule="auto"/>
        <w:ind w:left="567" w:right="567"/>
        <w:rPr>
          <w:rFonts w:eastAsia="Palatino Linotype" w:cs="Palatino Linotype"/>
        </w:rPr>
      </w:pPr>
    </w:p>
    <w:p w14:paraId="6451A3B7"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B02A110" w14:textId="77777777" w:rsidR="00187A0A" w:rsidRPr="00F34F85" w:rsidRDefault="00187A0A" w:rsidP="00187A0A">
      <w:pPr>
        <w:spacing w:line="240" w:lineRule="auto"/>
        <w:ind w:left="567" w:right="567"/>
        <w:rPr>
          <w:rFonts w:eastAsia="Palatino Linotype" w:cs="Palatino Linotype"/>
          <w:i/>
          <w:sz w:val="22"/>
        </w:rPr>
      </w:pPr>
    </w:p>
    <w:p w14:paraId="1EE9A6C6"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04AFCA1B" w14:textId="77777777" w:rsidR="00187A0A" w:rsidRPr="00F34F85" w:rsidRDefault="00187A0A" w:rsidP="00187A0A">
      <w:pPr>
        <w:spacing w:line="240" w:lineRule="auto"/>
        <w:ind w:left="567" w:right="567"/>
        <w:rPr>
          <w:rFonts w:eastAsia="Palatino Linotype" w:cs="Palatino Linotype"/>
          <w:i/>
          <w:sz w:val="22"/>
        </w:rPr>
      </w:pPr>
    </w:p>
    <w:p w14:paraId="66E92EEB" w14:textId="77777777" w:rsidR="00187A0A" w:rsidRPr="00F34F85" w:rsidRDefault="00187A0A" w:rsidP="00187A0A">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AB9E7A8" w14:textId="77777777" w:rsidR="00187A0A" w:rsidRPr="00F34F85" w:rsidRDefault="00187A0A" w:rsidP="00187A0A">
      <w:pPr>
        <w:ind w:left="567" w:right="567"/>
        <w:rPr>
          <w:rFonts w:eastAsia="Palatino Linotype" w:cs="Palatino Linotype"/>
        </w:rPr>
      </w:pPr>
    </w:p>
    <w:p w14:paraId="68F8DC4A" w14:textId="77777777" w:rsidR="00187A0A" w:rsidRPr="00F34F85" w:rsidRDefault="00187A0A" w:rsidP="00187A0A">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E27EEEE" w14:textId="77777777" w:rsidR="00187A0A" w:rsidRPr="00F34F85" w:rsidRDefault="00187A0A" w:rsidP="00187A0A">
      <w:pPr>
        <w:rPr>
          <w:rFonts w:eastAsia="Palatino Linotype" w:cs="Palatino Linotype"/>
        </w:rPr>
      </w:pPr>
    </w:p>
    <w:p w14:paraId="03BB5915" w14:textId="0BA0DCC4" w:rsidR="00C5688E" w:rsidRPr="00C82353" w:rsidRDefault="00694ED6" w:rsidP="00191B81">
      <w:pPr>
        <w:pStyle w:val="Ttulo2"/>
        <w:rPr>
          <w:rFonts w:eastAsiaTheme="minorHAnsi"/>
          <w:lang w:eastAsia="en-US"/>
        </w:rPr>
      </w:pPr>
      <w:r>
        <w:rPr>
          <w:rFonts w:eastAsiaTheme="minorHAnsi"/>
          <w:lang w:eastAsia="en-US"/>
        </w:rPr>
        <w:t>CUARTO</w:t>
      </w:r>
      <w:r w:rsidR="00C5688E" w:rsidRPr="00C82353">
        <w:rPr>
          <w:rFonts w:eastAsiaTheme="minorHAnsi"/>
          <w:lang w:eastAsia="en-US"/>
        </w:rPr>
        <w:t xml:space="preserve">. </w:t>
      </w:r>
      <w:r w:rsidR="00C5688E" w:rsidRPr="006769D8">
        <w:rPr>
          <w:rFonts w:eastAsiaTheme="minorHAnsi"/>
          <w:lang w:eastAsia="en-US"/>
        </w:rPr>
        <w:t>Del estudio de las causas de improcedencia y sobreseimiento.</w:t>
      </w:r>
    </w:p>
    <w:p w14:paraId="4555361F" w14:textId="77777777" w:rsidR="00C5688E" w:rsidRPr="006769D8" w:rsidRDefault="00C5688E" w:rsidP="00C5688E">
      <w:pPr>
        <w:rPr>
          <w:rFonts w:eastAsiaTheme="minorHAnsi" w:cstheme="minorBidi"/>
          <w:szCs w:val="24"/>
          <w:lang w:eastAsia="en-US"/>
        </w:rPr>
      </w:pPr>
      <w:r>
        <w:rPr>
          <w:rFonts w:eastAsiaTheme="minorHAnsi" w:cstheme="minorBidi"/>
          <w:szCs w:val="24"/>
          <w:lang w:eastAsia="en-US"/>
        </w:rPr>
        <w:t>Es importante</w:t>
      </w:r>
      <w:r w:rsidRPr="006769D8">
        <w:rPr>
          <w:rFonts w:eastAsiaTheme="minorHAnsi" w:cstheme="minorBidi"/>
          <w:szCs w:val="24"/>
          <w:lang w:eastAsia="en-US"/>
        </w:rPr>
        <w:t xml:space="preserve"> resaltar que en el procedimiento de acceso a la información pública y de los medios de impugnación de la materia, se advierten diversos supuestos de </w:t>
      </w:r>
      <w:proofErr w:type="spellStart"/>
      <w:r w:rsidRPr="006769D8">
        <w:rPr>
          <w:rFonts w:eastAsiaTheme="minorHAnsi" w:cstheme="minorBidi"/>
          <w:szCs w:val="24"/>
          <w:lang w:eastAsia="en-US"/>
        </w:rPr>
        <w:t>procedibilidad</w:t>
      </w:r>
      <w:proofErr w:type="spellEnd"/>
      <w:r w:rsidRPr="006769D8">
        <w:rPr>
          <w:rFonts w:eastAsiaTheme="minorHAnsi" w:cstheme="minorBidi"/>
          <w:szCs w:val="24"/>
          <w:lang w:eastAsia="en-US"/>
        </w:rPr>
        <w:t xml:space="preserve"> que deben estudiarse con la finalidad de dar cumplimiento a los principios de legalidad y objeti</w:t>
      </w:r>
      <w:r>
        <w:rPr>
          <w:rFonts w:eastAsiaTheme="minorHAnsi" w:cstheme="minorBidi"/>
          <w:szCs w:val="24"/>
          <w:lang w:eastAsia="en-US"/>
        </w:rPr>
        <w:t>vidad inmersos en el artículo 9</w:t>
      </w:r>
      <w:r w:rsidRPr="006769D8">
        <w:rPr>
          <w:rFonts w:eastAsiaTheme="minorHAnsi" w:cstheme="minorBidi"/>
          <w:szCs w:val="24"/>
          <w:lang w:eastAsia="en-US"/>
        </w:rPr>
        <w:t xml:space="preserve"> de Ley de Transparencia y Acceso a la Información Pública del Estado de México y Municipios, en correlación con la seguridad jurídica que debe generar lo actuado ante este Organismo garante.</w:t>
      </w:r>
    </w:p>
    <w:p w14:paraId="710A25A4" w14:textId="77777777" w:rsidR="00C5688E" w:rsidRPr="006769D8" w:rsidRDefault="00C5688E" w:rsidP="00C5688E">
      <w:pPr>
        <w:rPr>
          <w:rFonts w:eastAsiaTheme="minorHAnsi" w:cstheme="minorBidi"/>
          <w:szCs w:val="24"/>
          <w:lang w:eastAsia="en-US"/>
        </w:rPr>
      </w:pPr>
    </w:p>
    <w:p w14:paraId="2D52F160"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lastRenderedPageBreak/>
        <w:t>Siendo una facultad legal entrar al estudio de las causas de improcedencia que hagan valer las partes o que se advier</w:t>
      </w:r>
      <w:r>
        <w:rPr>
          <w:rFonts w:eastAsiaTheme="minorHAnsi" w:cstheme="minorBidi"/>
          <w:szCs w:val="24"/>
          <w:lang w:eastAsia="en-US"/>
        </w:rPr>
        <w:t>tan de oficio por este Instituto</w:t>
      </w:r>
      <w:r w:rsidRPr="006769D8">
        <w:rPr>
          <w:rFonts w:eastAsiaTheme="minorHAnsi" w:cstheme="minorBidi"/>
          <w:szCs w:val="24"/>
          <w:lang w:eastAsia="en-US"/>
        </w:rPr>
        <w:t xml:space="preserve">; presupuestos procesales de inicio o trámite de un proceso que dotan de seguridad jurídica las resoluciones emitidas por </w:t>
      </w:r>
      <w:r>
        <w:rPr>
          <w:rFonts w:eastAsiaTheme="minorHAnsi" w:cstheme="minorBidi"/>
          <w:szCs w:val="24"/>
          <w:lang w:eastAsia="en-US"/>
        </w:rPr>
        <w:t>este organismo colegiado dado</w:t>
      </w:r>
      <w:r w:rsidRPr="006769D8">
        <w:rPr>
          <w:rFonts w:eastAsiaTheme="minorHAnsi" w:cstheme="minorBidi"/>
          <w:szCs w:val="24"/>
          <w:lang w:eastAsia="en-US"/>
        </w:rPr>
        <w:t xml:space="preserv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202BFD2" w14:textId="77777777" w:rsidR="00C5688E" w:rsidRPr="006769D8" w:rsidRDefault="00C5688E" w:rsidP="00C5688E">
      <w:pPr>
        <w:rPr>
          <w:rFonts w:eastAsiaTheme="minorHAnsi" w:cstheme="minorBidi"/>
          <w:szCs w:val="24"/>
          <w:lang w:eastAsia="en-US"/>
        </w:rPr>
      </w:pPr>
    </w:p>
    <w:p w14:paraId="1E85D43A" w14:textId="77777777" w:rsidR="00C5688E" w:rsidRPr="006769D8" w:rsidRDefault="00C5688E" w:rsidP="00C5688E">
      <w:pPr>
        <w:autoSpaceDE w:val="0"/>
        <w:autoSpaceDN w:val="0"/>
        <w:adjustRightInd w:val="0"/>
        <w:rPr>
          <w:rFonts w:eastAsia="Times New Roman" w:cs="Arial"/>
          <w:szCs w:val="24"/>
          <w:lang w:val="es-ES" w:eastAsia="es-ES"/>
        </w:rPr>
      </w:pPr>
      <w:r w:rsidRPr="006769D8">
        <w:rPr>
          <w:rFonts w:eastAsia="Times New Roman" w:cs="Arial"/>
          <w:szCs w:val="24"/>
          <w:lang w:val="es-ES" w:eastAsia="es-ES"/>
        </w:rPr>
        <w:t>Estudio de causales de improcedencia que no son incompatibles con el derecho de acceso a la justicia, ya que éste no se coarta por regular causas de improcedencia y sobreseimiento con tales fines</w:t>
      </w:r>
      <w:r w:rsidRPr="006769D8">
        <w:rPr>
          <w:rFonts w:eastAsia="Times New Roman" w:cs="Arial"/>
          <w:szCs w:val="24"/>
          <w:vertAlign w:val="superscript"/>
          <w:lang w:val="es-ES" w:eastAsia="es-ES"/>
        </w:rPr>
        <w:footnoteReference w:id="2"/>
      </w:r>
      <w:r w:rsidRPr="006769D8">
        <w:rPr>
          <w:rFonts w:eastAsia="Times New Roman" w:cs="Arial"/>
          <w:szCs w:val="24"/>
          <w:lang w:val="es-ES" w:eastAsia="es-ES"/>
        </w:rPr>
        <w:t>.</w:t>
      </w:r>
    </w:p>
    <w:p w14:paraId="0F2B6EFE" w14:textId="77777777" w:rsidR="00C5688E" w:rsidRPr="006769D8" w:rsidRDefault="00C5688E" w:rsidP="00C5688E">
      <w:pPr>
        <w:rPr>
          <w:rFonts w:eastAsiaTheme="minorHAnsi" w:cstheme="minorBidi"/>
          <w:szCs w:val="24"/>
          <w:lang w:eastAsia="en-US"/>
        </w:rPr>
      </w:pPr>
    </w:p>
    <w:p w14:paraId="104DC96A"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w:t>
      </w:r>
      <w:r w:rsidRPr="006769D8">
        <w:rPr>
          <w:rFonts w:eastAsiaTheme="minorHAnsi" w:cstheme="minorBidi"/>
          <w:szCs w:val="24"/>
          <w:lang w:eastAsia="en-US"/>
        </w:rPr>
        <w:lastRenderedPageBreak/>
        <w:t>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w:t>
      </w:r>
      <w:r>
        <w:rPr>
          <w:rFonts w:eastAsiaTheme="minorHAnsi" w:cstheme="minorBidi"/>
          <w:szCs w:val="24"/>
          <w:lang w:eastAsia="en-US"/>
        </w:rPr>
        <w:t>e revisión; es decir, no es posible</w:t>
      </w:r>
      <w:r w:rsidRPr="006769D8">
        <w:rPr>
          <w:rFonts w:eastAsiaTheme="minorHAnsi" w:cstheme="minorBidi"/>
          <w:szCs w:val="24"/>
          <w:lang w:eastAsia="en-US"/>
        </w:rPr>
        <w:t xml:space="preserve"> establecer una materia o un tema como objeto de derecho de acceso a la información, si de la solicitud no se entiende o no se precisan temas o materias objetivas; por ello es de notoria importancia el trabajo de interpretación que se le dé a las solicit</w:t>
      </w:r>
      <w:r>
        <w:rPr>
          <w:rFonts w:eastAsiaTheme="minorHAnsi" w:cstheme="minorBidi"/>
          <w:szCs w:val="24"/>
          <w:lang w:eastAsia="en-US"/>
        </w:rPr>
        <w:t>udes de información, ya que el Sujeto O</w:t>
      </w:r>
      <w:r w:rsidRPr="006769D8">
        <w:rPr>
          <w:rFonts w:eastAsiaTheme="minorHAnsi" w:cstheme="minorBidi"/>
          <w:szCs w:val="24"/>
          <w:lang w:eastAsia="en-US"/>
        </w:rPr>
        <w:t xml:space="preserve">bligado puede considerar una circunstancia en particular diversa a la que </w:t>
      </w:r>
      <w:r>
        <w:rPr>
          <w:rFonts w:eastAsiaTheme="minorHAnsi" w:cstheme="minorBidi"/>
          <w:szCs w:val="24"/>
          <w:lang w:eastAsia="en-US"/>
        </w:rPr>
        <w:t>el particular</w:t>
      </w:r>
      <w:r w:rsidRPr="006769D8">
        <w:rPr>
          <w:rFonts w:eastAsiaTheme="minorHAnsi" w:cstheme="minorBidi"/>
          <w:szCs w:val="24"/>
          <w:lang w:eastAsia="en-US"/>
        </w:rPr>
        <w:t xml:space="preserve"> objetivamente requiere.</w:t>
      </w:r>
    </w:p>
    <w:p w14:paraId="13349165" w14:textId="77777777" w:rsidR="00C5688E" w:rsidRPr="006769D8" w:rsidRDefault="00C5688E" w:rsidP="00C5688E">
      <w:pPr>
        <w:rPr>
          <w:rFonts w:eastAsiaTheme="minorHAnsi" w:cstheme="minorBidi"/>
          <w:szCs w:val="24"/>
          <w:lang w:eastAsia="en-US"/>
        </w:rPr>
      </w:pPr>
    </w:p>
    <w:p w14:paraId="62BA97C5"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B5D56BB" w14:textId="77777777" w:rsidR="00C5688E" w:rsidRPr="006769D8" w:rsidRDefault="00C5688E" w:rsidP="00C5688E">
      <w:pPr>
        <w:rPr>
          <w:rFonts w:eastAsiaTheme="minorHAnsi" w:cstheme="minorBidi"/>
          <w:szCs w:val="24"/>
          <w:lang w:eastAsia="en-US"/>
        </w:rPr>
      </w:pPr>
    </w:p>
    <w:p w14:paraId="36D50892" w14:textId="77777777" w:rsidR="00C5688E" w:rsidRDefault="00C5688E" w:rsidP="00C5688E">
      <w:pPr>
        <w:rPr>
          <w:rFonts w:eastAsiaTheme="minorHAnsi" w:cstheme="minorBidi"/>
          <w:szCs w:val="24"/>
          <w:lang w:eastAsia="en-US"/>
        </w:rPr>
      </w:pPr>
      <w:r w:rsidRPr="006769D8">
        <w:rPr>
          <w:rFonts w:eastAsiaTheme="minorHAnsi" w:cstheme="minorBidi"/>
          <w:szCs w:val="24"/>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w:t>
      </w:r>
      <w:r>
        <w:rPr>
          <w:rFonts w:eastAsiaTheme="minorHAnsi" w:cstheme="minorBidi"/>
          <w:szCs w:val="24"/>
          <w:lang w:eastAsia="en-US"/>
        </w:rPr>
        <w:t>titución Federal y el artículo 8</w:t>
      </w:r>
      <w:r w:rsidRPr="006769D8">
        <w:rPr>
          <w:rFonts w:eastAsiaTheme="minorHAnsi" w:cstheme="minorBidi"/>
          <w:szCs w:val="24"/>
          <w:lang w:eastAsia="en-US"/>
        </w:rPr>
        <w:t xml:space="preserve"> de la Ley de Transparencia local.</w:t>
      </w:r>
    </w:p>
    <w:p w14:paraId="25B68B34" w14:textId="77777777" w:rsidR="00C5688E" w:rsidRDefault="00C5688E" w:rsidP="00C5688E">
      <w:pPr>
        <w:rPr>
          <w:rFonts w:eastAsiaTheme="minorHAnsi" w:cstheme="minorBidi"/>
          <w:szCs w:val="24"/>
          <w:lang w:eastAsia="en-US"/>
        </w:rPr>
      </w:pPr>
    </w:p>
    <w:p w14:paraId="67070C46"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146ED716" w14:textId="77777777" w:rsidR="00C5688E" w:rsidRDefault="00C5688E" w:rsidP="00C5688E">
      <w:pPr>
        <w:rPr>
          <w:rFonts w:eastAsiaTheme="minorHAnsi" w:cstheme="minorBidi"/>
          <w:szCs w:val="24"/>
          <w:lang w:eastAsia="en-US"/>
        </w:rPr>
      </w:pPr>
    </w:p>
    <w:p w14:paraId="7B3E31EB" w14:textId="77777777" w:rsidR="00C5688E" w:rsidRPr="00C82353" w:rsidRDefault="00C5688E" w:rsidP="00C5688E">
      <w:pPr>
        <w:rPr>
          <w:rFonts w:eastAsiaTheme="minorEastAsia" w:cstheme="minorBidi"/>
          <w:lang w:val="es-ES" w:eastAsia="en-US"/>
        </w:rPr>
      </w:pPr>
      <w:r w:rsidRPr="0B3F3BD6">
        <w:rPr>
          <w:rFonts w:eastAsiaTheme="minorEastAsia" w:cstheme="minorBidi"/>
          <w:lang w:val="es-ES" w:eastAsia="en-US"/>
        </w:rPr>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1C0DF6CA" w14:textId="77777777" w:rsidR="00C5688E" w:rsidRPr="00213154" w:rsidRDefault="00C5688E" w:rsidP="00C5688E">
      <w:pPr>
        <w:rPr>
          <w:rFonts w:eastAsiaTheme="minorHAnsi" w:cstheme="minorBidi"/>
          <w:sz w:val="22"/>
          <w:lang w:eastAsia="en-US"/>
        </w:rPr>
      </w:pPr>
    </w:p>
    <w:p w14:paraId="258D5D0B" w14:textId="19B7BB1E" w:rsidR="00B161E6" w:rsidRDefault="32A7C440" w:rsidP="0074470E">
      <w:pPr>
        <w:rPr>
          <w:rFonts w:eastAsiaTheme="minorEastAsia" w:cstheme="minorBidi"/>
          <w:lang w:val="es-ES" w:eastAsia="en-US"/>
        </w:rPr>
      </w:pPr>
      <w:r w:rsidRPr="32A7C440">
        <w:rPr>
          <w:rFonts w:eastAsiaTheme="minorEastAsia" w:cstheme="minorBidi"/>
          <w:lang w:val="es-ES" w:eastAsia="en-US"/>
        </w:rPr>
        <w:t>En virtud de lo anterior, es conveniente recordar que el Recurrente</w:t>
      </w:r>
      <w:r w:rsidR="00EC3C6C">
        <w:rPr>
          <w:rFonts w:eastAsiaTheme="minorEastAsia" w:cstheme="minorBidi"/>
          <w:lang w:val="es-ES" w:eastAsia="en-US"/>
        </w:rPr>
        <w:t xml:space="preserve"> </w:t>
      </w:r>
      <w:r w:rsidR="008C652A">
        <w:rPr>
          <w:rFonts w:eastAsiaTheme="minorEastAsia" w:cstheme="minorBidi"/>
          <w:lang w:val="es-ES" w:eastAsia="en-US"/>
        </w:rPr>
        <w:t>expresó en su solicitud lo siguiente:</w:t>
      </w:r>
    </w:p>
    <w:p w14:paraId="5CD1869C" w14:textId="77777777" w:rsidR="008C652A" w:rsidRDefault="008C652A" w:rsidP="0074470E">
      <w:pPr>
        <w:rPr>
          <w:rFonts w:eastAsiaTheme="minorEastAsia" w:cstheme="minorBidi"/>
          <w:lang w:val="es-ES" w:eastAsia="en-US"/>
        </w:rPr>
      </w:pPr>
    </w:p>
    <w:p w14:paraId="11920E83" w14:textId="77777777" w:rsidR="008C652A" w:rsidRPr="009D62BC" w:rsidRDefault="008C652A" w:rsidP="008C652A">
      <w:pPr>
        <w:pStyle w:val="Sinespaciado"/>
        <w:rPr>
          <w:rFonts w:eastAsia="Palatino Linotype"/>
          <w:lang w:val="es-ES"/>
        </w:rPr>
      </w:pPr>
      <w:r w:rsidRPr="7B4D60A3">
        <w:rPr>
          <w:rFonts w:eastAsia="Palatino Linotype"/>
          <w:lang w:val="es-ES"/>
        </w:rPr>
        <w:t>«</w:t>
      </w:r>
      <w:r w:rsidRPr="004243E8">
        <w:rPr>
          <w:rFonts w:eastAsia="Palatino Linotype"/>
          <w:lang w:val="es-ES"/>
        </w:rPr>
        <w:t xml:space="preserve">A la Vocal Ejecutiva y al titular de la Dirección General de Asuntos Jurídicos e Igualdad de Género, </w:t>
      </w:r>
      <w:r w:rsidRPr="00B835C0">
        <w:rPr>
          <w:rFonts w:eastAsia="Palatino Linotype"/>
          <w:b/>
          <w:bCs/>
          <w:lang w:val="es-ES"/>
        </w:rPr>
        <w:t xml:space="preserve">se solicita nos </w:t>
      </w:r>
      <w:r w:rsidRPr="00CA4C84">
        <w:rPr>
          <w:rFonts w:eastAsia="Palatino Linotype"/>
          <w:b/>
          <w:bCs/>
          <w:lang w:val="es-ES"/>
        </w:rPr>
        <w:t>informen respetuosamente si la C. Marisol Tapia Solano quien está encargada de los asuntos de Género y Ética en esa Comisión seguirá al frente de dichos asuntos</w:t>
      </w:r>
      <w:r w:rsidRPr="004243E8">
        <w:rPr>
          <w:rFonts w:eastAsia="Palatino Linotype"/>
          <w:lang w:val="es-ES"/>
        </w:rPr>
        <w:t xml:space="preserve"> ya que no se conoce que haya implementado protocolos para evitar los actos de acoso y hostigamiento que ha ejercido el C. Francisco Aarón García Frías, quien además con actos déspotas y arbitrarios corrió injustificadamente al personal de la citada Dirección General e ilegalmente instruyó retener finiquitos a ex servidores públicos que EI justamente corrió y que la C. Marisol Tapia Solano omitió tomar las denuncias del personal que laboró durante años en esa Comisión del Agua, por los actos de acoso y hostigamiento de su jefe, y de ella misma se conocen los mismos actos ilegales. </w:t>
      </w:r>
      <w:r w:rsidRPr="008526A4">
        <w:rPr>
          <w:rFonts w:eastAsia="Palatino Linotype"/>
          <w:b/>
          <w:bCs/>
          <w:lang w:val="es-ES"/>
        </w:rPr>
        <w:t>Lo cual se solicita del 01 de enero del 2025 a la fecha de la presentación de la presente solicitud</w:t>
      </w:r>
      <w:r w:rsidRPr="004243E8">
        <w:rPr>
          <w:rFonts w:eastAsia="Palatino Linotype"/>
          <w:lang w:val="es-ES"/>
        </w:rPr>
        <w:t>.</w:t>
      </w:r>
      <w:r w:rsidRPr="7B4D60A3">
        <w:rPr>
          <w:rFonts w:eastAsia="Palatino Linotype"/>
          <w:lang w:val="es-ES"/>
        </w:rPr>
        <w:t>» (Sic)</w:t>
      </w:r>
    </w:p>
    <w:p w14:paraId="6432E5CB" w14:textId="77777777" w:rsidR="008C652A" w:rsidRDefault="008C652A" w:rsidP="0074470E">
      <w:pPr>
        <w:rPr>
          <w:rFonts w:eastAsiaTheme="minorEastAsia" w:cstheme="minorBidi"/>
          <w:lang w:val="es-ES" w:eastAsia="en-US"/>
        </w:rPr>
      </w:pPr>
    </w:p>
    <w:p w14:paraId="599D5F1B" w14:textId="432C5AA0" w:rsidR="00837584"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lastRenderedPageBreak/>
        <w:t xml:space="preserve">Al respecto, el Sujeto Obligado respondió al solicitante </w:t>
      </w:r>
      <w:r w:rsidR="00E52089">
        <w:rPr>
          <w:rFonts w:eastAsia="Palatino Linotype" w:cs="Palatino Linotype"/>
          <w:color w:val="000000"/>
          <w:szCs w:val="24"/>
        </w:rPr>
        <w:t>mediante la entrega de</w:t>
      </w:r>
      <w:r w:rsidR="000F69CC">
        <w:rPr>
          <w:rFonts w:eastAsia="Palatino Linotype" w:cs="Palatino Linotype"/>
          <w:color w:val="000000"/>
          <w:szCs w:val="24"/>
        </w:rPr>
        <w:t xml:space="preserve"> </w:t>
      </w:r>
      <w:r w:rsidR="00022E67">
        <w:rPr>
          <w:rFonts w:eastAsia="Palatino Linotype" w:cs="Palatino Linotype"/>
          <w:color w:val="000000"/>
          <w:szCs w:val="24"/>
        </w:rPr>
        <w:t>l</w:t>
      </w:r>
      <w:r w:rsidR="000F69CC">
        <w:rPr>
          <w:rFonts w:eastAsia="Palatino Linotype" w:cs="Palatino Linotype"/>
          <w:color w:val="000000"/>
          <w:szCs w:val="24"/>
        </w:rPr>
        <w:t>os</w:t>
      </w:r>
      <w:r w:rsidR="00E52089">
        <w:rPr>
          <w:rFonts w:eastAsia="Palatino Linotype" w:cs="Palatino Linotype"/>
          <w:color w:val="000000"/>
          <w:szCs w:val="24"/>
        </w:rPr>
        <w:t xml:space="preserve"> siguiente</w:t>
      </w:r>
      <w:r w:rsidR="000F69CC">
        <w:rPr>
          <w:rFonts w:eastAsia="Palatino Linotype" w:cs="Palatino Linotype"/>
          <w:color w:val="000000"/>
          <w:szCs w:val="24"/>
        </w:rPr>
        <w:t>s</w:t>
      </w:r>
      <w:r w:rsidR="00E52089">
        <w:rPr>
          <w:rFonts w:eastAsia="Palatino Linotype" w:cs="Palatino Linotype"/>
          <w:color w:val="000000"/>
          <w:szCs w:val="24"/>
        </w:rPr>
        <w:t xml:space="preserve"> documento</w:t>
      </w:r>
      <w:r w:rsidR="000F69CC">
        <w:rPr>
          <w:rFonts w:eastAsia="Palatino Linotype" w:cs="Palatino Linotype"/>
          <w:color w:val="000000"/>
          <w:szCs w:val="24"/>
        </w:rPr>
        <w:t>s</w:t>
      </w:r>
      <w:r w:rsidR="00E52089">
        <w:rPr>
          <w:rFonts w:eastAsia="Palatino Linotype" w:cs="Palatino Linotype"/>
          <w:color w:val="000000"/>
          <w:szCs w:val="24"/>
        </w:rPr>
        <w:t>:</w:t>
      </w:r>
    </w:p>
    <w:p w14:paraId="459DDA66" w14:textId="77777777" w:rsidR="00E52089" w:rsidRDefault="00E52089" w:rsidP="00663A37">
      <w:pPr>
        <w:pBdr>
          <w:top w:val="nil"/>
          <w:left w:val="nil"/>
          <w:bottom w:val="nil"/>
          <w:right w:val="nil"/>
          <w:between w:val="nil"/>
        </w:pBdr>
        <w:contextualSpacing/>
        <w:rPr>
          <w:rFonts w:eastAsia="Palatino Linotype" w:cs="Palatino Linotype"/>
          <w:color w:val="000000"/>
          <w:szCs w:val="24"/>
        </w:rPr>
      </w:pPr>
    </w:p>
    <w:p w14:paraId="0CA5B227" w14:textId="5EF0FEF3" w:rsidR="00D110E4" w:rsidRPr="00D110E4" w:rsidRDefault="00400F00" w:rsidP="000F69CC">
      <w:pPr>
        <w:pStyle w:val="Prrafodelista"/>
        <w:numPr>
          <w:ilvl w:val="0"/>
          <w:numId w:val="48"/>
        </w:numPr>
        <w:pBdr>
          <w:top w:val="nil"/>
          <w:left w:val="nil"/>
          <w:bottom w:val="nil"/>
          <w:right w:val="nil"/>
          <w:between w:val="nil"/>
        </w:pBdr>
        <w:contextualSpacing/>
        <w:rPr>
          <w:rFonts w:eastAsia="Palatino Linotype" w:cs="Palatino Linotype"/>
          <w:color w:val="000000"/>
        </w:rPr>
      </w:pPr>
      <w:r w:rsidRPr="00D110E4">
        <w:rPr>
          <w:rFonts w:eastAsia="Palatino Linotype" w:cs="Palatino Linotype"/>
          <w:b/>
          <w:bCs/>
          <w:color w:val="000000" w:themeColor="text1"/>
        </w:rPr>
        <w:t>120</w:t>
      </w:r>
      <w:proofErr w:type="gramStart"/>
      <w:r w:rsidRPr="00D110E4">
        <w:rPr>
          <w:rFonts w:eastAsia="Palatino Linotype" w:cs="Palatino Linotype"/>
          <w:b/>
          <w:bCs/>
          <w:color w:val="000000" w:themeColor="text1"/>
        </w:rPr>
        <w:t>.pdf</w:t>
      </w:r>
      <w:proofErr w:type="gramEnd"/>
      <w:r w:rsidRPr="00D110E4">
        <w:rPr>
          <w:rFonts w:eastAsia="Palatino Linotype" w:cs="Palatino Linotype"/>
          <w:bCs/>
          <w:color w:val="000000"/>
        </w:rPr>
        <w:t xml:space="preserve">. Oficio número </w:t>
      </w:r>
      <w:r>
        <w:rPr>
          <w:rFonts w:eastAsia="Palatino Linotype" w:cs="Palatino Linotype"/>
          <w:bCs/>
          <w:color w:val="000000"/>
        </w:rPr>
        <w:t>219</w:t>
      </w:r>
      <w:r w:rsidR="00430704">
        <w:rPr>
          <w:rFonts w:eastAsia="Palatino Linotype" w:cs="Palatino Linotype"/>
          <w:bCs/>
          <w:color w:val="000000"/>
        </w:rPr>
        <w:t xml:space="preserve">C0110010000S/0386/2025 suscrito por </w:t>
      </w:r>
      <w:r w:rsidR="00AA17B8">
        <w:rPr>
          <w:rFonts w:eastAsia="Palatino Linotype" w:cs="Palatino Linotype"/>
          <w:color w:val="000000" w:themeColor="text1"/>
        </w:rPr>
        <w:t xml:space="preserve">el Titular de la Unidad de Transparencia, </w:t>
      </w:r>
      <w:r w:rsidR="00256C6D">
        <w:rPr>
          <w:rFonts w:eastAsia="Palatino Linotype" w:cs="Palatino Linotype"/>
          <w:color w:val="000000" w:themeColor="text1"/>
        </w:rPr>
        <w:t>quien manifestó que se proporcionaba la respuesta de la Dirección General de Asuntos Jurídicos e Igualdad de Género</w:t>
      </w:r>
      <w:r w:rsidR="00244E59">
        <w:rPr>
          <w:rFonts w:eastAsia="Palatino Linotype" w:cs="Palatino Linotype"/>
          <w:color w:val="000000" w:themeColor="text1"/>
        </w:rPr>
        <w:t>.</w:t>
      </w:r>
    </w:p>
    <w:p w14:paraId="6D793C80" w14:textId="3C5C8068" w:rsidR="000F69CC" w:rsidRPr="00D75A5B" w:rsidRDefault="00400F00" w:rsidP="00D34BF1">
      <w:pPr>
        <w:pStyle w:val="Prrafodelista"/>
        <w:numPr>
          <w:ilvl w:val="0"/>
          <w:numId w:val="48"/>
        </w:numPr>
        <w:pBdr>
          <w:top w:val="nil"/>
          <w:left w:val="nil"/>
          <w:bottom w:val="nil"/>
          <w:right w:val="nil"/>
          <w:between w:val="nil"/>
        </w:pBdr>
        <w:contextualSpacing/>
        <w:rPr>
          <w:rFonts w:eastAsia="Palatino Linotype" w:cs="Palatino Linotype"/>
          <w:color w:val="000000"/>
        </w:rPr>
      </w:pPr>
      <w:r w:rsidRPr="00D75A5B">
        <w:rPr>
          <w:rFonts w:eastAsia="Palatino Linotype" w:cs="Palatino Linotype"/>
          <w:b/>
          <w:bCs/>
          <w:color w:val="000000" w:themeColor="text1"/>
        </w:rPr>
        <w:t>219C01160000000L-391-2025 TRANSPARENCIA 00120.pdf</w:t>
      </w:r>
      <w:r w:rsidRPr="00D75A5B">
        <w:rPr>
          <w:rFonts w:eastAsia="Palatino Linotype" w:cs="Palatino Linotype"/>
          <w:color w:val="000000" w:themeColor="text1"/>
        </w:rPr>
        <w:t xml:space="preserve">. Oficio número 219C0116000000L/391/2025 </w:t>
      </w:r>
      <w:r w:rsidR="00244E59" w:rsidRPr="00D75A5B">
        <w:rPr>
          <w:rFonts w:eastAsia="Palatino Linotype" w:cs="Palatino Linotype"/>
          <w:color w:val="000000" w:themeColor="text1"/>
        </w:rPr>
        <w:t>emitido por la Dirección General de Asuntos Jurídicos e Igualdad de Género</w:t>
      </w:r>
      <w:r w:rsidR="00984297" w:rsidRPr="00D75A5B">
        <w:rPr>
          <w:rFonts w:eastAsia="Palatino Linotype" w:cs="Palatino Linotype"/>
          <w:color w:val="000000" w:themeColor="text1"/>
        </w:rPr>
        <w:t>, por medio del cual se informó</w:t>
      </w:r>
      <w:r w:rsidR="00244E59" w:rsidRPr="00D75A5B">
        <w:rPr>
          <w:rFonts w:eastAsia="Palatino Linotype" w:cs="Palatino Linotype"/>
          <w:color w:val="000000" w:themeColor="text1"/>
        </w:rPr>
        <w:t xml:space="preserve"> </w:t>
      </w:r>
      <w:r w:rsidR="00AA17B8" w:rsidRPr="00D75A5B">
        <w:rPr>
          <w:rFonts w:eastAsia="Palatino Linotype" w:cs="Palatino Linotype"/>
          <w:color w:val="000000" w:themeColor="text1"/>
        </w:rPr>
        <w:t>que la atribución referida por el solicitante corresponde solamente al titular de la Dirección General de Asuntos Jurídicos</w:t>
      </w:r>
      <w:r w:rsidRPr="00D75A5B">
        <w:rPr>
          <w:rFonts w:eastAsia="Palatino Linotype" w:cs="Palatino Linotype"/>
          <w:color w:val="000000" w:themeColor="text1"/>
        </w:rPr>
        <w:t xml:space="preserve">, </w:t>
      </w:r>
      <w:r w:rsidR="00A15F33" w:rsidRPr="00D75A5B">
        <w:rPr>
          <w:rFonts w:eastAsia="Palatino Linotype" w:cs="Palatino Linotype"/>
          <w:color w:val="000000" w:themeColor="text1"/>
        </w:rPr>
        <w:t xml:space="preserve">conforme al artículo 21 </w:t>
      </w:r>
      <w:r w:rsidR="00F72FD1" w:rsidRPr="00D75A5B">
        <w:rPr>
          <w:rFonts w:eastAsia="Palatino Linotype" w:cs="Palatino Linotype"/>
          <w:color w:val="000000" w:themeColor="text1"/>
        </w:rPr>
        <w:t xml:space="preserve">fracción XI del Reglamento Interior de la Comisión del Agua del Estado de México; </w:t>
      </w:r>
      <w:r w:rsidR="00531528" w:rsidRPr="00D75A5B">
        <w:rPr>
          <w:rFonts w:eastAsia="Palatino Linotype" w:cs="Palatino Linotype"/>
          <w:color w:val="000000" w:themeColor="text1"/>
        </w:rPr>
        <w:t xml:space="preserve">asimismo, se señaló que lo relacionado con el tema de renuncias, rescisiones y demás acciones en materia laboral, se </w:t>
      </w:r>
      <w:r w:rsidR="00D75A5B" w:rsidRPr="00D75A5B">
        <w:rPr>
          <w:rFonts w:eastAsia="Palatino Linotype" w:cs="Palatino Linotype"/>
          <w:color w:val="000000" w:themeColor="text1"/>
        </w:rPr>
        <w:t xml:space="preserve">llevan a cabo de conformidad con la Ley del Trabajo de los Servidores Públicos del Estado y Municipios y el Reglamento de Condiciones Generales de Trabajo de los Servidores Públicos Generales de la Comisión del Agua del Estado de México, respetando en todo </w:t>
      </w:r>
      <w:r w:rsidR="00D75A5B">
        <w:rPr>
          <w:rFonts w:eastAsia="Palatino Linotype" w:cs="Palatino Linotype"/>
          <w:color w:val="000000" w:themeColor="text1"/>
        </w:rPr>
        <w:t xml:space="preserve">momento </w:t>
      </w:r>
      <w:r w:rsidR="00D75A5B" w:rsidRPr="00D75A5B">
        <w:rPr>
          <w:rFonts w:eastAsia="Palatino Linotype" w:cs="Palatino Linotype"/>
          <w:color w:val="000000" w:themeColor="text1"/>
        </w:rPr>
        <w:t>los derechos de los trabajadores</w:t>
      </w:r>
      <w:r w:rsidR="005A1A67">
        <w:rPr>
          <w:rFonts w:eastAsia="Palatino Linotype" w:cs="Palatino Linotype"/>
          <w:color w:val="000000" w:themeColor="text1"/>
        </w:rPr>
        <w:t xml:space="preserve">; por último, se manifestó que lo </w:t>
      </w:r>
      <w:r w:rsidR="006F22E2">
        <w:rPr>
          <w:rFonts w:eastAsia="Palatino Linotype" w:cs="Palatino Linotype"/>
          <w:color w:val="000000" w:themeColor="text1"/>
        </w:rPr>
        <w:t xml:space="preserve">expresado por el Recurrente constituyen </w:t>
      </w:r>
      <w:r w:rsidR="000B0C73">
        <w:rPr>
          <w:rFonts w:eastAsia="Palatino Linotype" w:cs="Palatino Linotype"/>
          <w:color w:val="000000" w:themeColor="text1"/>
        </w:rPr>
        <w:t xml:space="preserve">interrogantes y cuestionamientos, por lo que no se está frente al derecho de acceso a la información, sino </w:t>
      </w:r>
      <w:r w:rsidR="00550F34">
        <w:rPr>
          <w:rFonts w:eastAsia="Palatino Linotype" w:cs="Palatino Linotype"/>
          <w:color w:val="000000" w:themeColor="text1"/>
        </w:rPr>
        <w:t>al ejercicio del derecho de petición.</w:t>
      </w:r>
    </w:p>
    <w:p w14:paraId="423A0245" w14:textId="77777777" w:rsidR="00022E67" w:rsidRDefault="00022E67" w:rsidP="00663A37">
      <w:pPr>
        <w:pBdr>
          <w:top w:val="nil"/>
          <w:left w:val="nil"/>
          <w:bottom w:val="nil"/>
          <w:right w:val="nil"/>
          <w:between w:val="nil"/>
        </w:pBdr>
        <w:contextualSpacing/>
        <w:rPr>
          <w:rFonts w:eastAsia="Palatino Linotype" w:cs="Palatino Linotype"/>
          <w:color w:val="000000"/>
          <w:szCs w:val="24"/>
        </w:rPr>
      </w:pPr>
    </w:p>
    <w:p w14:paraId="6419ECD9" w14:textId="3CB99788" w:rsidR="00663A37" w:rsidRPr="0027327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w:t>
      </w:r>
      <w:r w:rsidR="00B031E2">
        <w:rPr>
          <w:rFonts w:eastAsia="Palatino Linotype" w:cs="Palatino Linotype"/>
          <w:color w:val="000000"/>
          <w:szCs w:val="24"/>
        </w:rPr>
        <w:t xml:space="preserve">consideró que se trasgredió su derecho de acceso a la información, por lo que </w:t>
      </w:r>
      <w:r w:rsidRPr="009D62BC">
        <w:rPr>
          <w:rFonts w:eastAsia="Palatino Linotype" w:cs="Palatino Linotype"/>
          <w:color w:val="000000"/>
          <w:szCs w:val="24"/>
        </w:rPr>
        <w:t xml:space="preserve">interpuso el presente recurso de revisión </w:t>
      </w:r>
      <w:r w:rsidR="00B05A97" w:rsidRPr="009D62BC">
        <w:rPr>
          <w:rFonts w:eastAsia="Palatino Linotype" w:cs="Palatino Linotype"/>
          <w:color w:val="000000"/>
          <w:szCs w:val="24"/>
        </w:rPr>
        <w:lastRenderedPageBreak/>
        <w:t xml:space="preserve">señalando como </w:t>
      </w:r>
      <w:r w:rsidR="001060F0" w:rsidRPr="009D62BC">
        <w:rPr>
          <w:rFonts w:eastAsia="Palatino Linotype" w:cs="Palatino Linotype"/>
          <w:color w:val="000000"/>
          <w:szCs w:val="24"/>
        </w:rPr>
        <w:t>acto</w:t>
      </w:r>
      <w:r w:rsidR="00273277">
        <w:rPr>
          <w:rFonts w:eastAsia="Palatino Linotype" w:cs="Palatino Linotype"/>
          <w:color w:val="000000"/>
          <w:szCs w:val="24"/>
        </w:rPr>
        <w:t xml:space="preserve"> impugnado</w:t>
      </w:r>
      <w:r w:rsidR="00242DC4">
        <w:rPr>
          <w:rFonts w:eastAsia="Palatino Linotype" w:cs="Palatino Linotype"/>
          <w:color w:val="000000"/>
          <w:szCs w:val="24"/>
        </w:rPr>
        <w:t xml:space="preserve"> </w:t>
      </w:r>
      <w:r w:rsidR="00550F34">
        <w:rPr>
          <w:rFonts w:eastAsia="Palatino Linotype" w:cs="Palatino Linotype"/>
          <w:color w:val="000000"/>
          <w:szCs w:val="24"/>
        </w:rPr>
        <w:t>la respuesta, por considerarla ilegal por arbitraría y porque se advierte</w:t>
      </w:r>
      <w:r w:rsidR="00F57177">
        <w:rPr>
          <w:rFonts w:eastAsia="Palatino Linotype" w:cs="Palatino Linotype"/>
          <w:color w:val="000000"/>
          <w:szCs w:val="24"/>
        </w:rPr>
        <w:t xml:space="preserve"> la notoria violación a los principios de transparencia; dando como</w:t>
      </w:r>
      <w:r w:rsidR="00065A8D">
        <w:rPr>
          <w:rFonts w:eastAsia="Palatino Linotype" w:cs="Palatino Linotype"/>
          <w:color w:val="000000"/>
          <w:szCs w:val="24"/>
        </w:rPr>
        <w:t xml:space="preserve"> razones o motivos de inconformidad que </w:t>
      </w:r>
      <w:r w:rsidR="00F57177">
        <w:rPr>
          <w:rFonts w:eastAsia="Palatino Linotype" w:cs="Palatino Linotype"/>
          <w:color w:val="000000"/>
          <w:szCs w:val="24"/>
        </w:rPr>
        <w:t xml:space="preserve">es evidente el uso arbitrario </w:t>
      </w:r>
      <w:r w:rsidR="000B30E2">
        <w:rPr>
          <w:rFonts w:eastAsia="Palatino Linotype" w:cs="Palatino Linotype"/>
          <w:color w:val="000000"/>
          <w:szCs w:val="24"/>
        </w:rPr>
        <w:t>y abuso de funciones de quien respondió la solicitud, porque es evidente la manipulación de las respuestas a su arbitrio</w:t>
      </w:r>
      <w:r w:rsidR="00E35107">
        <w:rPr>
          <w:rFonts w:eastAsia="Palatino Linotype" w:cs="Palatino Linotype"/>
          <w:color w:val="000000"/>
          <w:szCs w:val="24"/>
        </w:rPr>
        <w:t xml:space="preserve">, solicitando a este Instituto que se tomen medidas, pues </w:t>
      </w:r>
      <w:r w:rsidR="003C4E9B">
        <w:rPr>
          <w:rFonts w:eastAsia="Palatino Linotype" w:cs="Palatino Linotype"/>
          <w:color w:val="000000"/>
          <w:szCs w:val="24"/>
        </w:rPr>
        <w:t>la persona referida en la solicitud está involucrada en la respuesta dada</w:t>
      </w:r>
      <w:r w:rsidR="007F08F9">
        <w:rPr>
          <w:rFonts w:eastAsia="Palatino Linotype" w:cs="Palatino Linotype"/>
          <w:color w:val="000000"/>
          <w:szCs w:val="24"/>
        </w:rPr>
        <w:t xml:space="preserve"> de manera dolosa, insidiosa, sin objetividad y sin cumplir con los principios de certeza </w:t>
      </w:r>
      <w:r w:rsidR="00D96820">
        <w:rPr>
          <w:rFonts w:eastAsia="Palatino Linotype" w:cs="Palatino Linotype"/>
          <w:color w:val="000000"/>
          <w:szCs w:val="24"/>
        </w:rPr>
        <w:t>jurídica, fundamentación y motivación, ya que no se identifica el nombre y firma de quien emitió el oficio de respuesta</w:t>
      </w:r>
      <w:r w:rsidR="00033A86">
        <w:rPr>
          <w:rFonts w:eastAsia="Palatino Linotype" w:cs="Palatino Linotype"/>
          <w:color w:val="000000"/>
          <w:szCs w:val="24"/>
        </w:rPr>
        <w:t>; que se impugna la respuesta por que se omitió atender en su totalidad lo solicitado.</w:t>
      </w:r>
    </w:p>
    <w:p w14:paraId="72D287F5" w14:textId="77777777" w:rsidR="008B1E60" w:rsidRDefault="008B1E60" w:rsidP="003E7329"/>
    <w:p w14:paraId="61A2F954" w14:textId="2FF5189B" w:rsidR="00A307E5" w:rsidRDefault="00033A86" w:rsidP="00A307E5">
      <w:r>
        <w:t>Durante la etapa de manifestaciones, el Sujeto Obligado rindió su Informe mediante la entrega de los siguientes documentos:</w:t>
      </w:r>
    </w:p>
    <w:p w14:paraId="68BDBC43" w14:textId="77777777" w:rsidR="00033A86" w:rsidRDefault="00033A86" w:rsidP="00A307E5"/>
    <w:p w14:paraId="19FE2D4B" w14:textId="271B8673" w:rsidR="00033A86" w:rsidRPr="00033A86" w:rsidRDefault="00033A86" w:rsidP="00033A86">
      <w:pPr>
        <w:pStyle w:val="Prrafodelista"/>
        <w:numPr>
          <w:ilvl w:val="0"/>
          <w:numId w:val="49"/>
        </w:numPr>
        <w:rPr>
          <w:rFonts w:eastAsia="Palatino Linotype" w:cs="Palatino Linotype"/>
          <w:b/>
          <w:bCs/>
          <w:color w:val="000000" w:themeColor="text1"/>
        </w:rPr>
      </w:pPr>
      <w:r w:rsidRPr="00033A86">
        <w:rPr>
          <w:rFonts w:eastAsia="Palatino Linotype" w:cs="Palatino Linotype"/>
          <w:b/>
          <w:bCs/>
          <w:color w:val="000000" w:themeColor="text1"/>
        </w:rPr>
        <w:t>respuesta comisionado.pdf</w:t>
      </w:r>
      <w:r>
        <w:rPr>
          <w:rFonts w:eastAsia="Palatino Linotype" w:cs="Palatino Linotype"/>
          <w:bCs/>
          <w:color w:val="000000" w:themeColor="text1"/>
        </w:rPr>
        <w:t xml:space="preserve">. Oficio número 219C01100003000S-UT/497/2025 suscrito por el Titular de la Unidad de Transparencia, </w:t>
      </w:r>
      <w:r w:rsidR="00D34BF1">
        <w:rPr>
          <w:rFonts w:eastAsia="Palatino Linotype" w:cs="Palatino Linotype"/>
          <w:bCs/>
          <w:color w:val="000000" w:themeColor="text1"/>
        </w:rPr>
        <w:t>quien refiere adjuntar el oficio de turno a la Dirección General de Asuntos Jurídicos e Igualdad de Género para rendir el Informe Justificado y la respuesta a dicho oficio.</w:t>
      </w:r>
    </w:p>
    <w:p w14:paraId="3FD69321" w14:textId="67503608" w:rsidR="00033A86" w:rsidRPr="00033A86" w:rsidRDefault="00033A86" w:rsidP="00033A86">
      <w:pPr>
        <w:pStyle w:val="Prrafodelista"/>
        <w:numPr>
          <w:ilvl w:val="0"/>
          <w:numId w:val="49"/>
        </w:numPr>
        <w:rPr>
          <w:rFonts w:eastAsia="Palatino Linotype" w:cs="Palatino Linotype"/>
          <w:b/>
          <w:bCs/>
          <w:color w:val="000000" w:themeColor="text1"/>
        </w:rPr>
      </w:pPr>
      <w:r w:rsidRPr="00033A86">
        <w:rPr>
          <w:rFonts w:eastAsia="Palatino Linotype" w:cs="Palatino Linotype"/>
          <w:b/>
          <w:bCs/>
          <w:color w:val="000000" w:themeColor="text1"/>
        </w:rPr>
        <w:t>anexo 1.pdf</w:t>
      </w:r>
      <w:r>
        <w:rPr>
          <w:rFonts w:eastAsia="Palatino Linotype" w:cs="Palatino Linotype"/>
          <w:bCs/>
          <w:color w:val="000000" w:themeColor="text1"/>
        </w:rPr>
        <w:t>.</w:t>
      </w:r>
      <w:r w:rsidR="00D34BF1">
        <w:rPr>
          <w:rFonts w:eastAsia="Palatino Linotype" w:cs="Palatino Linotype"/>
          <w:bCs/>
          <w:color w:val="000000" w:themeColor="text1"/>
        </w:rPr>
        <w:t xml:space="preserve"> Oficio número 219C01100003000S-UT/446/2025 signado por el Titular de la Unidad de Transparencia y dirigido a la Dirección General de Asuntos Jurídicos e Igualdad de Género, con el que se requirió la entrega de los documentos necesarios para rendir el Informe Justificado.</w:t>
      </w:r>
    </w:p>
    <w:p w14:paraId="51EC3AE5" w14:textId="128FE1CE" w:rsidR="00033A86" w:rsidRDefault="00033A86" w:rsidP="00033A86">
      <w:pPr>
        <w:pStyle w:val="Prrafodelista"/>
        <w:numPr>
          <w:ilvl w:val="0"/>
          <w:numId w:val="49"/>
        </w:numPr>
      </w:pPr>
      <w:r w:rsidRPr="00033A86">
        <w:rPr>
          <w:rFonts w:eastAsia="Palatino Linotype" w:cs="Palatino Linotype"/>
          <w:b/>
          <w:bCs/>
          <w:color w:val="000000" w:themeColor="text1"/>
        </w:rPr>
        <w:lastRenderedPageBreak/>
        <w:t>anexo 2.pdf</w:t>
      </w:r>
      <w:r>
        <w:rPr>
          <w:rFonts w:eastAsia="Palatino Linotype" w:cs="Palatino Linotype"/>
          <w:bCs/>
          <w:color w:val="000000" w:themeColor="text1"/>
        </w:rPr>
        <w:t>.</w:t>
      </w:r>
      <w:r w:rsidR="0035277B">
        <w:rPr>
          <w:rFonts w:eastAsia="Palatino Linotype" w:cs="Palatino Linotype"/>
          <w:bCs/>
          <w:color w:val="000000" w:themeColor="text1"/>
        </w:rPr>
        <w:t xml:space="preserve"> Oficio 219C0116000000L/457/2025 emitido por la Dirección General de Asuntos Jurídicos e Igualdad de Género, por medio del cual se informó que la servidora pública referida en la solicitud no es ni era la encargada de los asuntos de género, sino que su cargo era la de Subdirectora en Materia Administrativa, Fiscal, Normatividad y de consulta y como suplente de Transparencia de esa Dirección General. Asimismo, se señaló que los asuntos en materia de ética le corresponden al Comité de Ética de esa institución, cuya área responsable es la Unidad de Modernización Administrativa e Informática. Por último, se reiteró la respuesta proporcionada.</w:t>
      </w:r>
    </w:p>
    <w:p w14:paraId="6E9C33E3" w14:textId="77777777" w:rsidR="00033A86" w:rsidRDefault="00033A86" w:rsidP="00A307E5"/>
    <w:p w14:paraId="34D65216" w14:textId="659F38EC" w:rsidR="0035277B" w:rsidRDefault="0035277B" w:rsidP="00A307E5">
      <w:r>
        <w:t>Por su parte, el Recurrente no emitió manifestaciones, vertió alegatos ni presentó pruebas que a su derecho conviniera, así como tampoco se pronunció respecto del Informe Justificado rendido por el Sujeto Obligado.</w:t>
      </w:r>
    </w:p>
    <w:p w14:paraId="1D17DCF4" w14:textId="77777777" w:rsidR="0035277B" w:rsidRPr="00A06672" w:rsidRDefault="0035277B" w:rsidP="00A307E5"/>
    <w:p w14:paraId="2EF3CEB6" w14:textId="6D806C0F"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Así, una vez descritas las actuaciones en el expediente del recurso de revisión,</w:t>
      </w:r>
      <w:r w:rsidR="00020209">
        <w:rPr>
          <w:rFonts w:eastAsia="Palatino Linotype" w:cs="Palatino Linotype"/>
          <w:color w:val="000000"/>
          <w:szCs w:val="24"/>
        </w:rPr>
        <w:t xml:space="preserve"> es pertinente enfatizar lo que</w:t>
      </w:r>
      <w:r w:rsidR="00CE12DE">
        <w:rPr>
          <w:rFonts w:eastAsia="Palatino Linotype" w:cs="Palatino Linotype"/>
          <w:color w:val="000000"/>
          <w:szCs w:val="24"/>
        </w:rPr>
        <w:t>,</w:t>
      </w:r>
      <w:r w:rsidRPr="00C82353">
        <w:rPr>
          <w:rFonts w:eastAsia="Palatino Linotype" w:cs="Palatino Linotype"/>
          <w:color w:val="000000"/>
          <w:szCs w:val="24"/>
        </w:rPr>
        <w:t xml:space="preserve"> respecto al derecho de acceso a la informació</w:t>
      </w:r>
      <w:r w:rsidR="00273277">
        <w:rPr>
          <w:rFonts w:eastAsia="Palatino Linotype" w:cs="Palatino Linotype"/>
          <w:color w:val="000000"/>
          <w:szCs w:val="24"/>
        </w:rPr>
        <w:t xml:space="preserve">n pública, refiere el artículo 5° de </w:t>
      </w:r>
      <w:r w:rsidRPr="00C82353">
        <w:rPr>
          <w:rFonts w:eastAsia="Palatino Linotype" w:cs="Palatino Linotype"/>
          <w:color w:val="000000"/>
          <w:szCs w:val="24"/>
        </w:rPr>
        <w:t xml:space="preserve">la Constitución Política del Estado Libre y Soberano de México, </w:t>
      </w:r>
      <w:r w:rsidR="00020209">
        <w:rPr>
          <w:rFonts w:eastAsia="Palatino Linotype" w:cs="Palatino Linotype"/>
          <w:color w:val="000000"/>
          <w:szCs w:val="24"/>
        </w:rPr>
        <w:t xml:space="preserve">que en su parte conducente dispone </w:t>
      </w:r>
      <w:r w:rsidRPr="00C82353">
        <w:rPr>
          <w:rFonts w:eastAsia="Palatino Linotype" w:cs="Palatino Linotype"/>
          <w:color w:val="000000"/>
          <w:szCs w:val="24"/>
        </w:rPr>
        <w:t>lo siguiente:</w:t>
      </w:r>
    </w:p>
    <w:p w14:paraId="5A4DDF7A"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1257435E" w:rsidR="009A451E"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themeColor="text1"/>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w:t>
      </w:r>
      <w:r w:rsidR="00A16FEE">
        <w:rPr>
          <w:rFonts w:eastAsia="Palatino Linotype" w:cs="Palatino Linotype"/>
          <w:i/>
          <w:iCs/>
          <w:color w:val="000000" w:themeColor="text1"/>
          <w:sz w:val="22"/>
          <w:lang w:val="es-ES"/>
        </w:rPr>
        <w:t>[…]</w:t>
      </w:r>
    </w:p>
    <w:p w14:paraId="38C035AE" w14:textId="77777777" w:rsidR="00A16FEE" w:rsidRPr="00C82353" w:rsidRDefault="00A16FE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E7740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w:t>
      </w:r>
      <w:r w:rsidRPr="665C2826">
        <w:rPr>
          <w:rFonts w:eastAsia="Palatino Linotype" w:cs="Palatino Linotype"/>
          <w:i/>
          <w:iCs/>
          <w:color w:val="000000" w:themeColor="text1"/>
          <w:sz w:val="22"/>
          <w:lang w:val="es-ES"/>
        </w:rPr>
        <w:lastRenderedPageBreak/>
        <w:t xml:space="preserve">transparentarán sus acciones, en términos de las disposiciones aplicables, la información será oportuna, clara, veraz y de fácil acceso. </w:t>
      </w:r>
    </w:p>
    <w:p w14:paraId="301E96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18FE27F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073CF4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5444AD"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285792B9" w:rsidR="009A451E" w:rsidRPr="005444AD" w:rsidRDefault="009A451E" w:rsidP="009A451E">
      <w:pPr>
        <w:rPr>
          <w:rFonts w:eastAsia="Palatino Linotype" w:cs="Palatino Linotype"/>
          <w:szCs w:val="24"/>
        </w:rPr>
      </w:pPr>
      <w:r w:rsidRPr="005444AD">
        <w:rPr>
          <w:rFonts w:eastAsia="Palatino Linotype" w:cs="Palatino Linotype"/>
          <w:szCs w:val="24"/>
        </w:rPr>
        <w:t>En ese orden de ideas, la Ley de Transparencia y Acceso a la Información Pública del Estado de México y Municipios, pre</w:t>
      </w:r>
      <w:r>
        <w:rPr>
          <w:rFonts w:eastAsia="Palatino Linotype" w:cs="Palatino Linotype"/>
          <w:szCs w:val="24"/>
        </w:rPr>
        <w:t xml:space="preserve">vé en su artículo 23, fracción </w:t>
      </w:r>
      <w:r w:rsidR="00B16FB0">
        <w:rPr>
          <w:rFonts w:eastAsia="Palatino Linotype" w:cs="Palatino Linotype"/>
          <w:szCs w:val="24"/>
        </w:rPr>
        <w:t>I</w:t>
      </w:r>
      <w:r w:rsidRPr="005444AD">
        <w:rPr>
          <w:rFonts w:eastAsia="Palatino Linotype" w:cs="Palatino Linotype"/>
          <w:szCs w:val="24"/>
        </w:rPr>
        <w:t>, lo siguiente:</w:t>
      </w:r>
    </w:p>
    <w:p w14:paraId="2A99F2B1" w14:textId="77777777" w:rsidR="009A451E" w:rsidRPr="005444AD" w:rsidRDefault="009A451E" w:rsidP="009A451E">
      <w:pPr>
        <w:rPr>
          <w:rFonts w:eastAsia="Palatino Linotype" w:cs="Palatino Linotype"/>
          <w:szCs w:val="24"/>
        </w:rPr>
      </w:pPr>
    </w:p>
    <w:p w14:paraId="6F00330F" w14:textId="77777777" w:rsidR="009A451E"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4D8CCE2A" w:rsidR="009A451E" w:rsidRPr="00C82353" w:rsidRDefault="009A451E" w:rsidP="009A451E">
      <w:pPr>
        <w:spacing w:line="240" w:lineRule="auto"/>
        <w:ind w:left="567" w:right="567"/>
        <w:rPr>
          <w:rFonts w:eastAsia="Palatino Linotype" w:cs="Palatino Linotype"/>
          <w:i/>
          <w:iCs/>
          <w:sz w:val="22"/>
          <w:lang w:val="es-ES"/>
        </w:rPr>
      </w:pPr>
    </w:p>
    <w:p w14:paraId="0BEFF0D2" w14:textId="130FA929" w:rsidR="009A451E" w:rsidRPr="00C82353" w:rsidRDefault="00B16FB0" w:rsidP="009A451E">
      <w:pPr>
        <w:spacing w:line="240" w:lineRule="auto"/>
        <w:ind w:left="567" w:right="567"/>
        <w:rPr>
          <w:rFonts w:eastAsia="Palatino Linotype" w:cs="Palatino Linotype"/>
          <w:i/>
          <w:iCs/>
          <w:sz w:val="22"/>
          <w:lang w:val="es-ES"/>
        </w:rPr>
      </w:pPr>
      <w:r>
        <w:rPr>
          <w:rFonts w:eastAsia="Palatino Linotype" w:cs="Palatino Linotype"/>
          <w:b/>
          <w:bCs/>
          <w:i/>
          <w:iCs/>
          <w:sz w:val="22"/>
          <w:lang w:val="es-ES"/>
        </w:rPr>
        <w:t>I</w:t>
      </w:r>
      <w:r w:rsidR="009A451E" w:rsidRPr="665C2826">
        <w:rPr>
          <w:rFonts w:eastAsia="Palatino Linotype" w:cs="Palatino Linotype"/>
          <w:b/>
          <w:bCs/>
          <w:i/>
          <w:iCs/>
          <w:sz w:val="22"/>
          <w:lang w:val="es-ES"/>
        </w:rPr>
        <w:t>.</w:t>
      </w:r>
      <w:r w:rsidR="009A451E" w:rsidRPr="665C2826">
        <w:rPr>
          <w:rFonts w:eastAsia="Palatino Linotype" w:cs="Palatino Linotype"/>
          <w:i/>
          <w:iCs/>
          <w:sz w:val="22"/>
          <w:lang w:val="es-ES"/>
        </w:rPr>
        <w:t xml:space="preserve"> </w:t>
      </w:r>
      <w:r w:rsidR="0035277B">
        <w:rPr>
          <w:rFonts w:eastAsia="Palatino Linotype" w:cs="Palatino Linotype"/>
          <w:i/>
          <w:iCs/>
          <w:sz w:val="22"/>
          <w:lang w:val="es-ES"/>
        </w:rPr>
        <w:t>El</w:t>
      </w:r>
      <w:r w:rsidR="009A451E">
        <w:rPr>
          <w:rFonts w:eastAsia="Palatino Linotype" w:cs="Palatino Linotype"/>
          <w:i/>
          <w:iCs/>
          <w:sz w:val="22"/>
          <w:lang w:val="es-ES"/>
        </w:rPr>
        <w:t xml:space="preserve"> </w:t>
      </w:r>
      <w:r w:rsidR="00421EB7" w:rsidRPr="00421EB7">
        <w:rPr>
          <w:rFonts w:eastAsia="Palatino Linotype" w:cs="Palatino Linotype"/>
          <w:i/>
          <w:iCs/>
          <w:sz w:val="22"/>
          <w:lang w:val="es-ES"/>
        </w:rPr>
        <w:t>Poder Legislativo del Estado, los organismos, órganos y entidades de la Legislatura y sus dependencias</w:t>
      </w:r>
      <w:r w:rsidR="009A451E" w:rsidRPr="665C2826">
        <w:rPr>
          <w:rFonts w:eastAsia="Palatino Linotype" w:cs="Palatino Linotype"/>
          <w:i/>
          <w:iCs/>
          <w:sz w:val="22"/>
          <w:lang w:val="es-ES"/>
        </w:rPr>
        <w:t>;</w:t>
      </w:r>
    </w:p>
    <w:p w14:paraId="0EF64FEE" w14:textId="73A69CA3" w:rsidR="009A451E" w:rsidRPr="00C82353" w:rsidRDefault="00E02FC8"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r w:rsidR="009A451E" w:rsidRPr="665C2826">
        <w:rPr>
          <w:rFonts w:eastAsia="Palatino Linotype" w:cs="Palatino Linotype"/>
          <w:i/>
          <w:iCs/>
          <w:sz w:val="22"/>
          <w:lang w:val="es-ES"/>
        </w:rPr>
        <w:t>…</w:t>
      </w:r>
      <w:r>
        <w:rPr>
          <w:rFonts w:eastAsia="Palatino Linotype" w:cs="Palatino Linotype"/>
          <w:i/>
          <w:iCs/>
          <w:sz w:val="22"/>
          <w:lang w:val="es-ES"/>
        </w:rPr>
        <w:t>]</w:t>
      </w:r>
    </w:p>
    <w:p w14:paraId="1A651450"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77777777" w:rsidR="009A451E"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Es así </w:t>
      </w:r>
      <w:r>
        <w:rPr>
          <w:rFonts w:eastAsia="Palatino Linotype" w:cs="Palatino Linotype"/>
          <w:color w:val="000000"/>
          <w:szCs w:val="24"/>
        </w:rPr>
        <w:t>como</w:t>
      </w:r>
      <w:r w:rsidRPr="00C82353">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w:t>
      </w:r>
      <w:r>
        <w:rPr>
          <w:rFonts w:eastAsia="Palatino Linotype" w:cs="Palatino Linotype"/>
          <w:color w:val="000000"/>
          <w:szCs w:val="24"/>
        </w:rPr>
        <w:t xml:space="preserve"> y autónomos</w:t>
      </w:r>
      <w:r w:rsidRPr="00C82353">
        <w:rPr>
          <w:rFonts w:eastAsia="Palatino Linotype" w:cs="Palatino Linotype"/>
          <w:color w:val="000000"/>
          <w:szCs w:val="24"/>
        </w:rPr>
        <w:t>, con el fin de que los particulares conozcan toda aquella información que es considerada como pública.</w:t>
      </w:r>
    </w:p>
    <w:p w14:paraId="70BB6D39" w14:textId="77777777" w:rsidR="009049EA" w:rsidRDefault="009049EA" w:rsidP="009A451E">
      <w:pPr>
        <w:pBdr>
          <w:top w:val="nil"/>
          <w:left w:val="nil"/>
          <w:bottom w:val="nil"/>
          <w:right w:val="nil"/>
          <w:between w:val="nil"/>
        </w:pBdr>
        <w:contextualSpacing/>
        <w:rPr>
          <w:rFonts w:eastAsia="Palatino Linotype" w:cs="Palatino Linotype"/>
          <w:color w:val="000000"/>
          <w:szCs w:val="24"/>
        </w:rPr>
      </w:pPr>
    </w:p>
    <w:p w14:paraId="47C57883" w14:textId="2FAB9654" w:rsidR="001136E6" w:rsidRDefault="009049EA" w:rsidP="003059EF">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segundo término</w:t>
      </w:r>
      <w:r w:rsidR="00F0272B">
        <w:rPr>
          <w:rFonts w:eastAsia="Palatino Linotype" w:cs="Palatino Linotype"/>
          <w:color w:val="000000"/>
          <w:szCs w:val="24"/>
        </w:rPr>
        <w:t xml:space="preserve">, </w:t>
      </w:r>
      <w:r w:rsidR="003059EF">
        <w:rPr>
          <w:rFonts w:eastAsia="Palatino Linotype" w:cs="Palatino Linotype"/>
          <w:color w:val="000000"/>
          <w:szCs w:val="24"/>
        </w:rPr>
        <w:t>se debe destacar que</w:t>
      </w:r>
      <w:r w:rsidR="00421EB7">
        <w:rPr>
          <w:rFonts w:eastAsia="Palatino Linotype" w:cs="Palatino Linotype"/>
          <w:color w:val="000000"/>
          <w:szCs w:val="24"/>
        </w:rPr>
        <w:t>, una vez analizada la solicitud, se desprende que</w:t>
      </w:r>
      <w:r w:rsidR="00E01DCE">
        <w:rPr>
          <w:rFonts w:eastAsia="Palatino Linotype" w:cs="Palatino Linotype"/>
          <w:color w:val="000000"/>
          <w:szCs w:val="24"/>
        </w:rPr>
        <w:t xml:space="preserve"> el Recurrente requirió </w:t>
      </w:r>
      <w:r w:rsidR="00421EB7">
        <w:rPr>
          <w:rFonts w:eastAsia="Palatino Linotype" w:cs="Palatino Linotype"/>
          <w:color w:val="000000"/>
          <w:szCs w:val="24"/>
        </w:rPr>
        <w:t xml:space="preserve">que se le informe si la servidora pública referida seguirá al frente de los asuntos de Género y Ética en la Comisión como encargada de dichos asuntos, esto durante el periodo del primero de enero al seis de marzo de dos mil veinticinco. Asimismo, en la solicitud se observa que el Recurrente expresa diversas situaciones respecto de las actuaciones de la servidora pública sin que se advierta </w:t>
      </w:r>
      <w:r w:rsidR="007E3F73">
        <w:rPr>
          <w:rFonts w:eastAsia="Palatino Linotype" w:cs="Palatino Linotype"/>
          <w:color w:val="000000"/>
          <w:szCs w:val="24"/>
        </w:rPr>
        <w:t>el requerimiento de algún documento generado en el ejercicio de sus atribuciones.</w:t>
      </w:r>
    </w:p>
    <w:p w14:paraId="1C680E7D" w14:textId="77777777" w:rsidR="00923AFC" w:rsidRDefault="00923AFC" w:rsidP="003059EF">
      <w:pPr>
        <w:pBdr>
          <w:top w:val="nil"/>
          <w:left w:val="nil"/>
          <w:bottom w:val="nil"/>
          <w:right w:val="nil"/>
          <w:between w:val="nil"/>
        </w:pBdr>
        <w:contextualSpacing/>
        <w:rPr>
          <w:rFonts w:eastAsia="Palatino Linotype" w:cs="Palatino Linotype"/>
          <w:color w:val="000000"/>
          <w:szCs w:val="24"/>
        </w:rPr>
      </w:pPr>
    </w:p>
    <w:p w14:paraId="49D671FD" w14:textId="267879FF" w:rsidR="00A078D0" w:rsidRDefault="00B510AA" w:rsidP="00B510AA">
      <w:pPr>
        <w:rPr>
          <w:rFonts w:eastAsia="Palatino Linotype" w:cs="Palatino Linotype"/>
          <w:lang w:val="es-ES"/>
        </w:rPr>
      </w:pPr>
      <w:r w:rsidRPr="6A5992C8">
        <w:rPr>
          <w:rFonts w:eastAsia="Palatino Linotype" w:cs="Palatino Linotype"/>
          <w:lang w:val="es-ES"/>
        </w:rPr>
        <w:lastRenderedPageBreak/>
        <w:t xml:space="preserve">Al respecto, </w:t>
      </w:r>
      <w:r w:rsidR="00A078D0">
        <w:rPr>
          <w:rFonts w:eastAsia="Palatino Linotype" w:cs="Palatino Linotype"/>
          <w:lang w:val="es-ES"/>
        </w:rPr>
        <w:t>se tiene que, del análisis a la solicitud planteada, s</w:t>
      </w:r>
      <w:r w:rsidR="007E3F73">
        <w:rPr>
          <w:rFonts w:eastAsia="Palatino Linotype" w:cs="Palatino Linotype"/>
          <w:lang w:val="es-ES"/>
        </w:rPr>
        <w:t xml:space="preserve">e desprende que la pretensión del particular se limita a que se le proporcione respuesta a su planteamiento, sin que </w:t>
      </w:r>
      <w:r w:rsidR="00100A4C">
        <w:rPr>
          <w:rFonts w:eastAsia="Palatino Linotype" w:cs="Palatino Linotype"/>
          <w:lang w:val="es-ES"/>
        </w:rPr>
        <w:t>se advierta que solicite algún documento que el Sujeto Obligado genere, posea o administre en el ejercicio de sus atribuciones, facultades o competencias.</w:t>
      </w:r>
    </w:p>
    <w:p w14:paraId="22604482" w14:textId="77777777" w:rsidR="00A078D0" w:rsidRDefault="00A078D0" w:rsidP="00B510AA">
      <w:pPr>
        <w:rPr>
          <w:rFonts w:eastAsia="Palatino Linotype" w:cs="Palatino Linotype"/>
          <w:lang w:val="es-ES"/>
        </w:rPr>
      </w:pPr>
    </w:p>
    <w:p w14:paraId="4E6455AF" w14:textId="2B3D39AB" w:rsidR="00B510AA" w:rsidRDefault="00A078D0" w:rsidP="00B510AA">
      <w:pPr>
        <w:rPr>
          <w:rFonts w:eastAsia="Palatino Linotype" w:cs="Palatino Linotype"/>
          <w:lang w:val="es-ES"/>
        </w:rPr>
      </w:pPr>
      <w:r>
        <w:rPr>
          <w:rFonts w:eastAsia="Palatino Linotype" w:cs="Palatino Linotype"/>
          <w:lang w:val="es-ES"/>
        </w:rPr>
        <w:t xml:space="preserve">Por lo anterior, se estima que en el caso en concreto </w:t>
      </w:r>
      <w:r w:rsidR="00B510AA" w:rsidRPr="6A5992C8">
        <w:rPr>
          <w:rFonts w:eastAsia="Palatino Linotype" w:cs="Palatino Linotype"/>
          <w:lang w:val="es-ES"/>
        </w:rPr>
        <w:t>no se está ante el ejercicio del derecho de acceso a la información pública, sino ante el derecho de petición. Lo anterior porque se considera que</w:t>
      </w:r>
      <w:r w:rsidR="00100A4C">
        <w:rPr>
          <w:rFonts w:eastAsia="Palatino Linotype" w:cs="Palatino Linotype"/>
          <w:lang w:val="es-ES"/>
        </w:rPr>
        <w:t xml:space="preserve"> el</w:t>
      </w:r>
      <w:r w:rsidR="00B510AA" w:rsidRPr="6A5992C8">
        <w:rPr>
          <w:rFonts w:eastAsia="Palatino Linotype" w:cs="Palatino Linotype"/>
          <w:lang w:val="es-ES"/>
        </w:rPr>
        <w:t xml:space="preserve"> requerimiento constituye un cuestionamiento </w:t>
      </w:r>
      <w:r w:rsidR="00100A4C">
        <w:rPr>
          <w:rFonts w:eastAsia="Palatino Linotype" w:cs="Palatino Linotype"/>
          <w:lang w:val="es-ES"/>
        </w:rPr>
        <w:t xml:space="preserve">y manifestaciones subjetivas </w:t>
      </w:r>
      <w:r w:rsidR="00B510AA" w:rsidRPr="6A5992C8">
        <w:rPr>
          <w:rFonts w:eastAsia="Palatino Linotype" w:cs="Palatino Linotype"/>
          <w:lang w:val="es-ES"/>
        </w:rPr>
        <w:t>respecto de presuntas situaciones referidas por el particular. Esto en virtud de que los requerido difícilmente puede colmarse con documentos previamente generados</w:t>
      </w:r>
      <w:r w:rsidR="00B510AA" w:rsidRPr="6A5992C8">
        <w:rPr>
          <w:rFonts w:eastAsia="Palatino Linotype" w:cs="Palatino Linotype"/>
          <w:color w:val="000000" w:themeColor="text1"/>
          <w:lang w:val="es-ES"/>
        </w:rPr>
        <w:t xml:space="preserve">, por lo que </w:t>
      </w:r>
      <w:r w:rsidR="00B510AA" w:rsidRPr="6A5992C8">
        <w:rPr>
          <w:rFonts w:eastAsia="Palatino Linotype" w:cs="Palatino Linotype"/>
          <w:lang w:val="es-ES"/>
        </w:rPr>
        <w:t>al no colmarse con la entrega de documentos sino con un pronunciamiento o posicionamiento por parte del Sujeto Obligado ante lo referido por el hoy Recurrente, se concluye que no se está en presencia del ejercicio del derecho de acceso a la información y por lo tanto no es atendible mediante una solicitud de acceso a la información, toda vez que se tratan de manifestaciones subjetivas vertidas por el Recurrente, es decir, se trata de interrogantes y cuestionamientos que no se colman con la entrega de documentos, sino con una postura o pronunciamiento ex profeso por parte del Sujeto Obligado.</w:t>
      </w:r>
    </w:p>
    <w:p w14:paraId="7A380126" w14:textId="0B285826" w:rsidR="00B510AA" w:rsidRDefault="00B510AA" w:rsidP="00B510AA"/>
    <w:p w14:paraId="51910232" w14:textId="77777777" w:rsidR="00B510AA" w:rsidRDefault="00B510AA" w:rsidP="00B510AA">
      <w:pPr>
        <w:rPr>
          <w:rFonts w:eastAsia="Palatino Linotype" w:cs="Palatino Linotype"/>
          <w:sz w:val="22"/>
          <w:lang w:val="es-ES"/>
        </w:rPr>
      </w:pPr>
      <w:r w:rsidRPr="6A5992C8">
        <w:rPr>
          <w:rFonts w:eastAsia="Palatino Linotype" w:cs="Palatino Linotype"/>
          <w:lang w:val="es-ES"/>
        </w:rPr>
        <w:t xml:space="preserve">Es de destacarse que la entrega de una explicación o un razonamiento por parte del Sujeto Obligado no es algo que la ley establezca como atribución, derecho, o facultad; pues ello implicaría un juicio de valor referente a un cuestionamiento realizado, lo cual se satisface vía derecho de petición dado que constituyen interrogantes, inquietudes y manifestaciones. </w:t>
      </w:r>
    </w:p>
    <w:p w14:paraId="430E0783" w14:textId="77777777" w:rsidR="00B510AA" w:rsidRDefault="00B510AA" w:rsidP="00B510AA">
      <w:pPr>
        <w:rPr>
          <w:rFonts w:eastAsia="Palatino Linotype" w:cs="Palatino Linotype"/>
          <w:lang w:val="es-ES"/>
        </w:rPr>
      </w:pPr>
    </w:p>
    <w:p w14:paraId="0C431425" w14:textId="77777777" w:rsidR="00B510AA" w:rsidRDefault="00B510AA" w:rsidP="00B510AA">
      <w:pPr>
        <w:rPr>
          <w:rFonts w:eastAsia="Palatino Linotype" w:cs="Palatino Linotype"/>
          <w:sz w:val="22"/>
          <w:lang w:val="es-ES"/>
        </w:rPr>
      </w:pPr>
      <w:r w:rsidRPr="6A5992C8">
        <w:rPr>
          <w:rFonts w:eastAsia="Palatino Linotype" w:cs="Palatino Linotype"/>
          <w:lang w:val="es-ES"/>
        </w:rPr>
        <w:t>Luego entonces, es importante dejar en claro lo que debe entenderse por derecho de petición y por derecho de acceso a la información pública.</w:t>
      </w:r>
    </w:p>
    <w:p w14:paraId="046883F8" w14:textId="25CA6AEB" w:rsidR="00B510AA" w:rsidRDefault="00B510AA" w:rsidP="00B510AA">
      <w:pPr>
        <w:rPr>
          <w:rFonts w:eastAsia="Palatino Linotype" w:cs="Palatino Linotype"/>
          <w:lang w:val="es-ES"/>
        </w:rPr>
      </w:pPr>
    </w:p>
    <w:p w14:paraId="389B813C" w14:textId="1AC251E2" w:rsidR="00B510AA" w:rsidRDefault="00B510AA" w:rsidP="00B510AA">
      <w:pPr>
        <w:rPr>
          <w:rFonts w:eastAsia="Palatino Linotype" w:cs="Palatino Linotype"/>
          <w:i/>
          <w:iCs/>
          <w:lang w:val="es-ES"/>
        </w:rPr>
      </w:pPr>
      <w:r w:rsidRPr="6A5992C8">
        <w:rPr>
          <w:rFonts w:eastAsia="Palatino Linotype" w:cs="Palatino Linotype"/>
          <w:lang w:val="es-ES"/>
        </w:rPr>
        <w:t xml:space="preserve">Por lo que respecta a la definición de derecho de petición, el Maestro Ignacio Burgoa Orihuela refiere: </w:t>
      </w:r>
      <w:proofErr w:type="gramStart"/>
      <w:r w:rsidRPr="6A5992C8">
        <w:rPr>
          <w:rFonts w:eastAsia="Palatino Linotype" w:cs="Palatino Linotype"/>
          <w:i/>
          <w:iCs/>
          <w:lang w:val="es-ES"/>
        </w:rPr>
        <w:t>«</w:t>
      </w:r>
      <w:r w:rsidR="0004465B">
        <w:rPr>
          <w:rFonts w:eastAsia="Palatino Linotype" w:cs="Palatino Linotype"/>
          <w:i/>
          <w:iCs/>
          <w:lang w:val="es-ES"/>
        </w:rPr>
        <w:t>[</w:t>
      </w:r>
      <w:proofErr w:type="gramEnd"/>
      <w:r w:rsidRPr="6A5992C8">
        <w:rPr>
          <w:rFonts w:eastAsia="Palatino Linotype" w:cs="Palatino Linotype"/>
          <w:i/>
          <w:iCs/>
          <w:lang w:val="es-ES"/>
        </w:rPr>
        <w:t>…</w:t>
      </w:r>
      <w:r w:rsidR="0004465B">
        <w:rPr>
          <w:rFonts w:eastAsia="Palatino Linotype" w:cs="Palatino Linotype"/>
          <w:i/>
          <w:iCs/>
          <w:lang w:val="es-ES"/>
        </w:rPr>
        <w:t>]</w:t>
      </w:r>
      <w:r w:rsidRPr="6A5992C8">
        <w:rPr>
          <w:rFonts w:eastAsia="Palatino Linotype" w:cs="Palatino Linotype"/>
          <w:i/>
          <w:iCs/>
          <w:lang w:val="es-ES"/>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04465B">
        <w:rPr>
          <w:rStyle w:val="Refdenotaalpie"/>
          <w:rFonts w:eastAsia="Palatino Linotype" w:cs="Palatino Linotype"/>
          <w:i/>
          <w:iCs/>
          <w:lang w:val="es-ES"/>
        </w:rPr>
        <w:footnoteReference w:id="3"/>
      </w:r>
      <w:r w:rsidR="0004465B" w:rsidRPr="6A5992C8">
        <w:rPr>
          <w:rFonts w:eastAsia="Palatino Linotype" w:cs="Palatino Linotype"/>
          <w:i/>
          <w:iCs/>
          <w:lang w:val="es-ES"/>
        </w:rPr>
        <w:t xml:space="preserve"> </w:t>
      </w:r>
      <w:r w:rsidRPr="6A5992C8">
        <w:rPr>
          <w:rFonts w:eastAsia="Palatino Linotype" w:cs="Palatino Linotype"/>
          <w:i/>
          <w:iCs/>
          <w:lang w:val="es-ES"/>
        </w:rPr>
        <w:t>(Sic)</w:t>
      </w:r>
    </w:p>
    <w:p w14:paraId="40B9A0DB" w14:textId="61748D4A" w:rsidR="00B510AA" w:rsidRDefault="00B510AA" w:rsidP="00B510AA"/>
    <w:p w14:paraId="2C5CC508" w14:textId="7F805C74" w:rsidR="00B510AA" w:rsidRDefault="00B510AA" w:rsidP="00B510AA">
      <w:r w:rsidRPr="6A5992C8">
        <w:rPr>
          <w:rFonts w:eastAsia="Palatino Linotype" w:cs="Palatino Linotype"/>
          <w:lang w:val="es-ES"/>
        </w:rPr>
        <w:t xml:space="preserve">Por su parte, David Cienfuegos Salgado, concibe al derecho de petición como </w:t>
      </w:r>
      <w:r w:rsidRPr="6A5992C8">
        <w:rPr>
          <w:rFonts w:eastAsia="Palatino Linotype" w:cs="Palatino Linotype"/>
          <w:i/>
          <w:iCs/>
          <w:lang w:val="es-ES"/>
        </w:rPr>
        <w:t xml:space="preserve">«el derecho de toda persona a ser escuchado por quienes ejercen el poder público.» </w:t>
      </w:r>
      <w:r w:rsidR="0004465B">
        <w:rPr>
          <w:rStyle w:val="Refdenotaalpie"/>
          <w:rFonts w:eastAsia="Palatino Linotype" w:cs="Palatino Linotype"/>
          <w:i/>
          <w:iCs/>
          <w:lang w:val="es-ES"/>
        </w:rPr>
        <w:footnoteReference w:id="4"/>
      </w:r>
      <w:r w:rsidRPr="6A5992C8">
        <w:rPr>
          <w:rFonts w:eastAsia="Palatino Linotype" w:cs="Palatino Linotype"/>
          <w:i/>
          <w:iCs/>
          <w:lang w:val="es-ES"/>
        </w:rPr>
        <w:t>(Sic)</w:t>
      </w:r>
      <w:r w:rsidRPr="6A5992C8">
        <w:rPr>
          <w:rFonts w:eastAsia="Palatino Linotype" w:cs="Palatino Linotype"/>
          <w:lang w:val="es-ES"/>
        </w:rPr>
        <w:t xml:space="preserve"> </w:t>
      </w:r>
    </w:p>
    <w:p w14:paraId="7DFF84B7" w14:textId="4F5D3A81" w:rsidR="00B510AA" w:rsidRDefault="00B510AA" w:rsidP="00B510AA"/>
    <w:p w14:paraId="4E936541" w14:textId="62ADD5A8" w:rsidR="00B510AA" w:rsidRDefault="00B510AA" w:rsidP="00B510AA">
      <w:r w:rsidRPr="6A5992C8">
        <w:rPr>
          <w:rFonts w:eastAsia="Palatino Linotype" w:cs="Palatino Linotype"/>
          <w:lang w:val="es-ES"/>
        </w:rPr>
        <w:t xml:space="preserve">Al respecto, para diferenciar el derecho de petición al derecho de acceso a la información, resulta conducente señalar que José Guadalupe Robles, conceptualiza el derecho a la información como </w:t>
      </w:r>
      <w:r w:rsidRPr="6A5992C8">
        <w:rPr>
          <w:rFonts w:eastAsia="Palatino Linotype" w:cs="Palatino Linotype"/>
          <w:i/>
          <w:iCs/>
          <w:lang w:val="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w:t>
      </w:r>
      <w:r w:rsidRPr="6A5992C8">
        <w:rPr>
          <w:rFonts w:eastAsia="Palatino Linotype" w:cs="Palatino Linotype"/>
          <w:i/>
          <w:iCs/>
          <w:lang w:val="es-ES"/>
        </w:rPr>
        <w:lastRenderedPageBreak/>
        <w:t>desarrollo de las personas y a la formación de opinión pública de calidad para poder participar y luego influir en la vida pública.»</w:t>
      </w:r>
      <w:r w:rsidR="00375DF2">
        <w:rPr>
          <w:rStyle w:val="Refdenotaalpie"/>
          <w:rFonts w:eastAsia="Palatino Linotype" w:cs="Palatino Linotype"/>
          <w:i/>
          <w:iCs/>
          <w:lang w:val="es-ES"/>
        </w:rPr>
        <w:footnoteReference w:id="5"/>
      </w:r>
      <w:r w:rsidRPr="6A5992C8">
        <w:rPr>
          <w:rFonts w:eastAsia="Palatino Linotype" w:cs="Palatino Linotype"/>
          <w:i/>
          <w:iCs/>
          <w:lang w:val="es-ES"/>
        </w:rPr>
        <w:t xml:space="preserve"> (Sic) </w:t>
      </w:r>
    </w:p>
    <w:p w14:paraId="07A0435C" w14:textId="469A52E9" w:rsidR="00B510AA" w:rsidRPr="000D4B93" w:rsidRDefault="00B510AA" w:rsidP="00B510AA"/>
    <w:p w14:paraId="2A44E49C" w14:textId="3B5869A9" w:rsidR="00B510AA" w:rsidRDefault="00B510AA" w:rsidP="00B510AA">
      <w:r w:rsidRPr="6A5992C8">
        <w:rPr>
          <w:rFonts w:eastAsia="Palatino Linotype" w:cs="Palatino Linotype"/>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6A5992C8">
        <w:rPr>
          <w:rFonts w:eastAsia="Palatino Linotype" w:cs="Palatino Linotype"/>
          <w:lang w:val="es-ES"/>
        </w:rPr>
        <w:t>Villanueva</w:t>
      </w:r>
      <w:proofErr w:type="spellEnd"/>
      <w:r w:rsidRPr="6A5992C8">
        <w:rPr>
          <w:rFonts w:eastAsia="Palatino Linotype" w:cs="Palatino Linotype"/>
          <w:lang w:val="es-ES"/>
        </w:rPr>
        <w:t xml:space="preserve"> que dice: </w:t>
      </w:r>
      <w:r w:rsidRPr="6A5992C8">
        <w:rPr>
          <w:rFonts w:eastAsia="Palatino Linotype" w:cs="Palatino Linotype"/>
          <w:i/>
          <w:iCs/>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375DF2">
        <w:rPr>
          <w:rStyle w:val="Refdenotaalpie"/>
          <w:rFonts w:eastAsia="Palatino Linotype" w:cs="Palatino Linotype"/>
          <w:i/>
          <w:iCs/>
          <w:lang w:val="es-ES"/>
        </w:rPr>
        <w:footnoteReference w:id="6"/>
      </w:r>
      <w:r w:rsidRPr="6A5992C8">
        <w:rPr>
          <w:rFonts w:eastAsia="Palatino Linotype" w:cs="Palatino Linotype"/>
          <w:i/>
          <w:iCs/>
          <w:lang w:val="es-ES"/>
        </w:rPr>
        <w:t xml:space="preserve"> (Sic)</w:t>
      </w:r>
    </w:p>
    <w:p w14:paraId="3002F363" w14:textId="296B8BA3" w:rsidR="00B510AA" w:rsidRPr="000D4B93" w:rsidRDefault="00B510AA" w:rsidP="00B510AA"/>
    <w:p w14:paraId="7C3FF813" w14:textId="5F5A5C72" w:rsidR="00B510AA" w:rsidRDefault="00B510AA" w:rsidP="00B510AA">
      <w:r w:rsidRPr="6A5992C8">
        <w:rPr>
          <w:rFonts w:eastAsia="Palatino Linotype" w:cs="Palatino Linotype"/>
          <w:lang w:val="es-ES"/>
        </w:rPr>
        <w:t>Ahora bien</w:t>
      </w:r>
      <w:r w:rsidR="00375DF2">
        <w:rPr>
          <w:rFonts w:eastAsia="Palatino Linotype" w:cs="Palatino Linotype"/>
          <w:lang w:val="es-ES"/>
        </w:rPr>
        <w:t>,</w:t>
      </w:r>
      <w:r w:rsidRPr="6A5992C8">
        <w:rPr>
          <w:rFonts w:eastAsia="Palatino Linotype" w:cs="Palatino Linotype"/>
          <w:lang w:val="es-ES"/>
        </w:rPr>
        <w:t xml:space="preserv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D1CEC4F" w14:textId="1DD8C1A3" w:rsidR="00B510AA" w:rsidRDefault="00B510AA" w:rsidP="00B510AA"/>
    <w:p w14:paraId="19A272D6" w14:textId="0407F617" w:rsidR="00B510AA" w:rsidRDefault="00B510AA" w:rsidP="7B4D60A3">
      <w:pPr>
        <w:pStyle w:val="Sinespaciado"/>
        <w:rPr>
          <w:rFonts w:eastAsia="Palatino Linotype"/>
          <w:lang w:val="es-ES"/>
        </w:rPr>
      </w:pPr>
      <w:r w:rsidRPr="7B4D60A3">
        <w:rPr>
          <w:rFonts w:eastAsia="Palatino Linotype"/>
          <w:b/>
          <w:bCs/>
          <w:lang w:val="es-ES"/>
        </w:rPr>
        <w:t>INFORMACIÓN PÚBLICA, CONCEPTO DE, EN MATERIA DE TRANSPARENCIA. INTERPRETACIÓN TEMÁTICA DE LOS ARTÍCULOS 2</w:t>
      </w:r>
      <w:r w:rsidR="00432EF2" w:rsidRPr="7B4D60A3">
        <w:rPr>
          <w:rFonts w:eastAsia="Palatino Linotype"/>
          <w:b/>
          <w:bCs/>
          <w:lang w:val="es-ES"/>
        </w:rPr>
        <w:t>º</w:t>
      </w:r>
      <w:r w:rsidRPr="7B4D60A3">
        <w:rPr>
          <w:rFonts w:eastAsia="Palatino Linotype"/>
          <w:b/>
          <w:bCs/>
          <w:lang w:val="es-ES"/>
        </w:rPr>
        <w:t>, FRACCIÓN V, XV, Y XVI, 3</w:t>
      </w:r>
      <w:r w:rsidR="00C24761" w:rsidRPr="7B4D60A3">
        <w:rPr>
          <w:rFonts w:eastAsia="Palatino Linotype"/>
          <w:b/>
          <w:bCs/>
          <w:lang w:val="es-ES"/>
        </w:rPr>
        <w:t>º</w:t>
      </w:r>
      <w:r w:rsidRPr="7B4D60A3">
        <w:rPr>
          <w:rFonts w:eastAsia="Palatino Linotype"/>
          <w:b/>
          <w:bCs/>
          <w:lang w:val="es-ES"/>
        </w:rPr>
        <w:t>, 4</w:t>
      </w:r>
      <w:r w:rsidR="00C24761" w:rsidRPr="7B4D60A3">
        <w:rPr>
          <w:rFonts w:eastAsia="Palatino Linotype"/>
          <w:b/>
          <w:bCs/>
          <w:lang w:val="es-ES"/>
        </w:rPr>
        <w:t>º</w:t>
      </w:r>
      <w:r w:rsidRPr="7B4D60A3">
        <w:rPr>
          <w:rFonts w:eastAsia="Palatino Linotype"/>
          <w:b/>
          <w:bCs/>
          <w:lang w:val="es-ES"/>
        </w:rPr>
        <w:t xml:space="preserve">,11 Y 41. </w:t>
      </w:r>
      <w:r w:rsidRPr="7B4D60A3">
        <w:rPr>
          <w:rFonts w:eastAsia="Palatino Linotype"/>
          <w:lang w:val="es-ES"/>
        </w:rPr>
        <w:t xml:space="preserve">De conformidad con los artículos antes referidos, el derecho de acceso a la información pública, se define en cuanto a su alcance y resultado material, el acceso a los archivos, registros y documentos públicos, administrados, generados </w:t>
      </w:r>
      <w:r w:rsidRPr="7B4D60A3">
        <w:rPr>
          <w:rFonts w:eastAsia="Palatino Linotype"/>
          <w:lang w:val="es-ES"/>
        </w:rPr>
        <w:lastRenderedPageBreak/>
        <w:t>o en posesión de los órganos u organismos públicos, en virtud del ejercicio de sus funciones de derecho público, sin importar su fuente, soporte o fecha de elaboración.</w:t>
      </w:r>
    </w:p>
    <w:p w14:paraId="12643721" w14:textId="77777777" w:rsidR="00C05A11" w:rsidRDefault="00C05A11" w:rsidP="004572A8">
      <w:pPr>
        <w:pStyle w:val="Sinespaciado"/>
      </w:pPr>
    </w:p>
    <w:p w14:paraId="081C30F2" w14:textId="77777777" w:rsidR="00B510AA" w:rsidRDefault="00B510AA" w:rsidP="7B4D60A3">
      <w:pPr>
        <w:pStyle w:val="Sinespaciado"/>
        <w:rPr>
          <w:rFonts w:eastAsia="Palatino Linotype"/>
          <w:lang w:val="es-ES"/>
        </w:rPr>
      </w:pPr>
      <w:r w:rsidRPr="7B4D60A3">
        <w:rPr>
          <w:rFonts w:eastAsia="Palatino Linotype"/>
          <w:lang w:val="es-ES"/>
        </w:rPr>
        <w:t>En consecuencia el acceso a la información se refiere a que se cumplan cualquiera de los siguientes tres supuestos:</w:t>
      </w:r>
    </w:p>
    <w:p w14:paraId="06133E1D" w14:textId="77777777" w:rsidR="00C05A11" w:rsidRDefault="00C05A11" w:rsidP="004572A8">
      <w:pPr>
        <w:pStyle w:val="Sinespaciado"/>
      </w:pPr>
    </w:p>
    <w:p w14:paraId="3C8E660B" w14:textId="77777777" w:rsidR="00B510AA" w:rsidRDefault="00B510AA" w:rsidP="003F2479">
      <w:pPr>
        <w:pStyle w:val="Sinespaciado"/>
        <w:numPr>
          <w:ilvl w:val="0"/>
          <w:numId w:val="46"/>
        </w:numPr>
      </w:pPr>
      <w:r w:rsidRPr="7B4D60A3">
        <w:rPr>
          <w:rFonts w:eastAsia="Palatino Linotype"/>
          <w:lang w:val="es-ES"/>
        </w:rPr>
        <w:t>Que se trate de información registrada en cualquier soporte documental, que en ejercicio de las atribuciones conferidas, sea generada por los Sujetos Obligados;</w:t>
      </w:r>
    </w:p>
    <w:p w14:paraId="3DED7B54" w14:textId="77777777" w:rsidR="00B510AA" w:rsidRDefault="00B510AA" w:rsidP="003F2479">
      <w:pPr>
        <w:pStyle w:val="Sinespaciado"/>
        <w:numPr>
          <w:ilvl w:val="0"/>
          <w:numId w:val="46"/>
        </w:numPr>
      </w:pPr>
      <w:r w:rsidRPr="7B4D60A3">
        <w:rPr>
          <w:rFonts w:eastAsia="Palatino Linotype"/>
          <w:lang w:val="es-ES"/>
        </w:rPr>
        <w:t>Que se trate de información registrada en cualquier soporte documental, que en ejercicio de las atribuciones conferidas, sea administrada por los Sujetos Obligados, y</w:t>
      </w:r>
    </w:p>
    <w:p w14:paraId="5AA11C5B" w14:textId="77777777" w:rsidR="00B510AA" w:rsidRDefault="00B510AA" w:rsidP="003F2479">
      <w:pPr>
        <w:pStyle w:val="Sinespaciado"/>
        <w:numPr>
          <w:ilvl w:val="0"/>
          <w:numId w:val="46"/>
        </w:numPr>
      </w:pPr>
      <w:r w:rsidRPr="7B4D60A3">
        <w:rPr>
          <w:rFonts w:eastAsia="Palatino Linotype"/>
          <w:lang w:val="es-ES"/>
        </w:rPr>
        <w:t>Que se trate de información registrada en cualquier soporte documental, que en ejercicio de las atribuciones conferidas, se encuentre en posesión de los Sujetos Obligados.</w:t>
      </w:r>
    </w:p>
    <w:p w14:paraId="71C9BCE7" w14:textId="77777777" w:rsidR="00B510AA" w:rsidRDefault="00B510AA" w:rsidP="00B510AA">
      <w:r w:rsidRPr="6A5992C8">
        <w:rPr>
          <w:rFonts w:eastAsia="Palatino Linotype" w:cs="Palatino Linotype"/>
          <w:lang w:val="es-ES"/>
        </w:rPr>
        <w:t xml:space="preserve"> </w:t>
      </w:r>
    </w:p>
    <w:p w14:paraId="6360CEB2" w14:textId="66DA3122" w:rsidR="00B510AA" w:rsidRDefault="00B510AA" w:rsidP="00B510AA">
      <w:r w:rsidRPr="6A5992C8">
        <w:rPr>
          <w:rFonts w:eastAsia="Palatino Linotype" w:cs="Palatino Linotype"/>
          <w:lang w:val="es-ES"/>
        </w:rPr>
        <w:t xml:space="preserve">Es decir, el derecho a la información constituye una prerrogativa a acceder a documentación en poder de los </w:t>
      </w:r>
      <w:r w:rsidR="003F2479">
        <w:rPr>
          <w:rFonts w:eastAsia="Palatino Linotype" w:cs="Palatino Linotype"/>
          <w:lang w:val="es-ES"/>
        </w:rPr>
        <w:t>s</w:t>
      </w:r>
      <w:r w:rsidRPr="6A5992C8">
        <w:rPr>
          <w:rFonts w:eastAsia="Palatino Linotype" w:cs="Palatino Linotype"/>
          <w:lang w:val="es-ES"/>
        </w:rPr>
        <w:t xml:space="preserve">ujetos </w:t>
      </w:r>
      <w:r w:rsidR="003F2479">
        <w:rPr>
          <w:rFonts w:eastAsia="Palatino Linotype" w:cs="Palatino Linotype"/>
          <w:lang w:val="es-ES"/>
        </w:rPr>
        <w:t>o</w:t>
      </w:r>
      <w:r w:rsidRPr="6A5992C8">
        <w:rPr>
          <w:rFonts w:eastAsia="Palatino Linotype" w:cs="Palatino Linotype"/>
          <w:lang w:val="es-ES"/>
        </w:rPr>
        <w:t xml:space="preserve">bligados, no así a realizar cuestionamientos o manifestaciones subjetivas. Sirve de apoyo a lo anterior la definición de derecho a la información de Ernesto Villanueva </w:t>
      </w:r>
      <w:proofErr w:type="spellStart"/>
      <w:r w:rsidRPr="6A5992C8">
        <w:rPr>
          <w:rFonts w:eastAsia="Palatino Linotype" w:cs="Palatino Linotype"/>
          <w:lang w:val="es-ES"/>
        </w:rPr>
        <w:t>Villanueva</w:t>
      </w:r>
      <w:proofErr w:type="spellEnd"/>
      <w:r w:rsidRPr="6A5992C8">
        <w:rPr>
          <w:rFonts w:eastAsia="Palatino Linotype" w:cs="Palatino Linotype"/>
          <w:lang w:val="es-ES"/>
        </w:rPr>
        <w:t xml:space="preserve"> que dice: «</w:t>
      </w:r>
      <w:r w:rsidRPr="6A5992C8">
        <w:rPr>
          <w:rFonts w:eastAsia="Palatino Linotype" w:cs="Palatino Linotype"/>
          <w:i/>
          <w:iCs/>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13E66858" w14:textId="77777777" w:rsidR="00B510AA" w:rsidRDefault="00B510AA" w:rsidP="00B510AA">
      <w:r w:rsidRPr="6A5992C8">
        <w:rPr>
          <w:rFonts w:eastAsia="Palatino Linotype" w:cs="Palatino Linotype"/>
          <w:i/>
          <w:iCs/>
          <w:lang w:val="es-ES"/>
        </w:rPr>
        <w:t xml:space="preserve"> </w:t>
      </w:r>
    </w:p>
    <w:p w14:paraId="093DBE1B" w14:textId="4E2023EB" w:rsidR="00B510AA" w:rsidRDefault="00B510AA" w:rsidP="00B510AA">
      <w:pPr>
        <w:rPr>
          <w:rFonts w:eastAsia="Palatino Linotype" w:cs="Palatino Linotype"/>
          <w:bCs/>
          <w:color w:val="000000" w:themeColor="text1"/>
        </w:rPr>
      </w:pPr>
      <w:r w:rsidRPr="6A5992C8">
        <w:rPr>
          <w:rFonts w:eastAsia="Palatino Linotype" w:cs="Palatino Linotype"/>
          <w:lang w:val="es-ES"/>
        </w:rPr>
        <w:t>Por lo anterior, al no constituirse dicho cuestionamiento como materia del derecho de acceso a la información, se considera que el Sujeto Obligado no se encontraba constreñido a emitir una respuesta</w:t>
      </w:r>
      <w:r w:rsidR="002B71A8">
        <w:rPr>
          <w:rFonts w:eastAsia="Palatino Linotype" w:cs="Palatino Linotype"/>
          <w:lang w:val="es-ES"/>
        </w:rPr>
        <w:t xml:space="preserve">; sin embargo, esa autoridad </w:t>
      </w:r>
      <w:r w:rsidR="000D4B93">
        <w:rPr>
          <w:rFonts w:eastAsia="Palatino Linotype" w:cs="Palatino Linotype"/>
          <w:lang w:val="es-ES"/>
        </w:rPr>
        <w:t>hizo del con</w:t>
      </w:r>
      <w:r w:rsidR="000D4F4F">
        <w:rPr>
          <w:rFonts w:eastAsia="Palatino Linotype" w:cs="Palatino Linotype"/>
          <w:lang w:val="es-ES"/>
        </w:rPr>
        <w:t xml:space="preserve">ocimiento del Recurrente que las atribuciones referidas en la solicitud corresponden únicamente al titular de la Dirección General de Asuntos Jurídicos, que los temas relativos a renuncias, rescisiones y demás acciones en materia laboral </w:t>
      </w:r>
      <w:r w:rsidR="000D4F4F" w:rsidRPr="000D4F4F">
        <w:rPr>
          <w:rFonts w:eastAsia="Palatino Linotype" w:cs="Palatino Linotype"/>
          <w:lang w:val="es-ES"/>
        </w:rPr>
        <w:t xml:space="preserve">se llevan a cabo de conformidad con la Ley del Trabajo de los Servidores Públicos del Estado y Municipios y el Reglamento de </w:t>
      </w:r>
      <w:r w:rsidR="000D4F4F" w:rsidRPr="000D4F4F">
        <w:rPr>
          <w:rFonts w:eastAsia="Palatino Linotype" w:cs="Palatino Linotype"/>
          <w:lang w:val="es-ES"/>
        </w:rPr>
        <w:lastRenderedPageBreak/>
        <w:t>Condiciones Generales de Trabajo de los Servidores Públicos Generales de la Comisión del Agua del Estado de México</w:t>
      </w:r>
      <w:r w:rsidR="000D4F4F">
        <w:rPr>
          <w:rFonts w:eastAsia="Palatino Linotype" w:cs="Palatino Linotype"/>
          <w:lang w:val="es-ES"/>
        </w:rPr>
        <w:t xml:space="preserve"> y en Informe Justificado se señaló que la servidora pública tenía el cargo </w:t>
      </w:r>
      <w:r w:rsidR="000D4F4F">
        <w:rPr>
          <w:rFonts w:eastAsia="Palatino Linotype" w:cs="Palatino Linotype"/>
          <w:bCs/>
          <w:color w:val="000000" w:themeColor="text1"/>
        </w:rPr>
        <w:t xml:space="preserve">de Subdirectora en Materia Administrativa, Fiscal, Normatividad y de consulta y como suplente de Transparencia de esa Dirección General, mientras que los </w:t>
      </w:r>
      <w:proofErr w:type="spellStart"/>
      <w:r w:rsidR="000D4F4F">
        <w:rPr>
          <w:rFonts w:eastAsia="Palatino Linotype" w:cs="Palatino Linotype"/>
          <w:bCs/>
          <w:color w:val="000000" w:themeColor="text1"/>
        </w:rPr>
        <w:t>los</w:t>
      </w:r>
      <w:proofErr w:type="spellEnd"/>
      <w:r w:rsidR="000D4F4F">
        <w:rPr>
          <w:rFonts w:eastAsia="Palatino Linotype" w:cs="Palatino Linotype"/>
          <w:bCs/>
          <w:color w:val="000000" w:themeColor="text1"/>
        </w:rPr>
        <w:t xml:space="preserve"> asuntos en materia de ética le corresponden al Comité de Ética de esa institución, cuya área responsable es la Unidad de Modernización Administrativa e Informática.</w:t>
      </w:r>
    </w:p>
    <w:p w14:paraId="420EC8BC" w14:textId="77777777" w:rsidR="000D4F4F" w:rsidRDefault="000D4F4F" w:rsidP="00B510AA">
      <w:pPr>
        <w:rPr>
          <w:rFonts w:eastAsia="Palatino Linotype" w:cs="Palatino Linotype"/>
          <w:bCs/>
          <w:color w:val="000000" w:themeColor="text1"/>
        </w:rPr>
      </w:pPr>
    </w:p>
    <w:p w14:paraId="458D6361" w14:textId="58CB8278" w:rsidR="000C106D" w:rsidRDefault="008C5F89" w:rsidP="0D842A51">
      <w:pPr>
        <w:pBdr>
          <w:top w:val="nil"/>
          <w:left w:val="nil"/>
          <w:bottom w:val="nil"/>
          <w:right w:val="nil"/>
          <w:between w:val="nil"/>
        </w:pBdr>
        <w:tabs>
          <w:tab w:val="left" w:pos="2044"/>
        </w:tabs>
        <w:rPr>
          <w:rFonts w:eastAsia="Times New Roman" w:cs="Times New Roman"/>
          <w:lang w:val="es-ES" w:eastAsia="es-ES"/>
        </w:rPr>
      </w:pPr>
      <w:r w:rsidRPr="0D842A51">
        <w:rPr>
          <w:rFonts w:eastAsia="Times New Roman" w:cs="Times New Roman"/>
          <w:lang w:val="es-ES" w:eastAsia="es-ES"/>
        </w:rPr>
        <w:t>De tal forma que</w:t>
      </w:r>
      <w:r w:rsidR="4B5FA3A8" w:rsidRPr="0D842A51">
        <w:rPr>
          <w:rFonts w:eastAsia="Times New Roman" w:cs="Times New Roman"/>
          <w:lang w:val="es-ES" w:eastAsia="es-ES"/>
        </w:rPr>
        <w:t>,</w:t>
      </w:r>
      <w:r w:rsidR="00302B98" w:rsidRPr="0D842A51">
        <w:rPr>
          <w:rFonts w:eastAsia="Times New Roman" w:cs="Times New Roman"/>
          <w:lang w:val="es-ES" w:eastAsia="es-ES"/>
        </w:rPr>
        <w:t xml:space="preserve"> en el presente caso, al tratarse de</w:t>
      </w:r>
      <w:r w:rsidR="009B4FF8" w:rsidRPr="0D842A51">
        <w:rPr>
          <w:rFonts w:eastAsia="Times New Roman" w:cs="Times New Roman"/>
          <w:lang w:val="es-ES" w:eastAsia="es-ES"/>
        </w:rPr>
        <w:t>l ejercicio del derecho de petición, se estima que se actualiza</w:t>
      </w:r>
      <w:r w:rsidR="000C106D" w:rsidRPr="0D842A51">
        <w:rPr>
          <w:rFonts w:eastAsia="Times New Roman" w:cs="Times New Roman"/>
          <w:lang w:val="es-ES" w:eastAsia="es-ES"/>
        </w:rPr>
        <w:t xml:space="preserve"> la hipótesis prevista en la fracción </w:t>
      </w:r>
      <w:r w:rsidR="00C32224" w:rsidRPr="0D842A51">
        <w:rPr>
          <w:rFonts w:eastAsia="Times New Roman" w:cs="Times New Roman"/>
          <w:lang w:val="es-ES" w:eastAsia="es-ES"/>
        </w:rPr>
        <w:t>VI</w:t>
      </w:r>
      <w:r w:rsidR="000C106D" w:rsidRPr="0D842A51">
        <w:rPr>
          <w:rFonts w:eastAsia="Times New Roman" w:cs="Times New Roman"/>
          <w:lang w:val="es-ES" w:eastAsia="es-ES"/>
        </w:rPr>
        <w:t xml:space="preserve"> del artículo 191 con relación al artículo 192 fracción IV de la Ley de Transparencia estatal, que a la letra disponen lo siguiente:</w:t>
      </w:r>
    </w:p>
    <w:p w14:paraId="5C2A4805" w14:textId="77777777" w:rsidR="000C106D" w:rsidRDefault="000C106D" w:rsidP="000C106D">
      <w:pPr>
        <w:pBdr>
          <w:top w:val="nil"/>
          <w:left w:val="nil"/>
          <w:bottom w:val="nil"/>
          <w:right w:val="nil"/>
          <w:between w:val="nil"/>
        </w:pBdr>
        <w:tabs>
          <w:tab w:val="left" w:pos="2044"/>
        </w:tabs>
        <w:rPr>
          <w:rFonts w:eastAsia="Times New Roman" w:cs="Times New Roman"/>
          <w:bCs/>
          <w:szCs w:val="24"/>
          <w:lang w:val="es-ES" w:eastAsia="es-ES"/>
        </w:rPr>
      </w:pPr>
    </w:p>
    <w:p w14:paraId="66840CC4" w14:textId="77777777" w:rsidR="000C106D" w:rsidRPr="000C106D" w:rsidRDefault="000C106D" w:rsidP="000C106D">
      <w:pPr>
        <w:pStyle w:val="Sinespaciado"/>
        <w:rPr>
          <w:rFonts w:eastAsia="Palatino Linotype"/>
          <w:bCs/>
          <w:lang w:val="es-ES_tradnl"/>
        </w:rPr>
      </w:pPr>
      <w:r w:rsidRPr="000C106D">
        <w:rPr>
          <w:rFonts w:eastAsia="Palatino Linotype"/>
          <w:b/>
          <w:lang w:val="es-ES_tradnl"/>
        </w:rPr>
        <w:t xml:space="preserve">Artículo 191. </w:t>
      </w:r>
      <w:r w:rsidRPr="000C106D">
        <w:rPr>
          <w:rFonts w:eastAsia="Palatino Linotype"/>
          <w:bCs/>
          <w:lang w:val="es-ES_tradnl"/>
        </w:rPr>
        <w:t>El recurso será desechado por improcedente cuando:</w:t>
      </w:r>
    </w:p>
    <w:p w14:paraId="72EAAEAA" w14:textId="508DD95B" w:rsidR="000C106D" w:rsidRPr="000C106D" w:rsidRDefault="000C106D" w:rsidP="000C106D">
      <w:pPr>
        <w:pStyle w:val="Sinespaciado"/>
        <w:rPr>
          <w:rFonts w:eastAsia="Palatino Linotype"/>
          <w:bCs/>
          <w:lang w:val="es-ES_tradnl"/>
        </w:rPr>
      </w:pPr>
      <w:r>
        <w:rPr>
          <w:rFonts w:eastAsia="Palatino Linotype"/>
          <w:bCs/>
          <w:lang w:val="es-ES_tradnl"/>
        </w:rPr>
        <w:t>[…]</w:t>
      </w:r>
    </w:p>
    <w:p w14:paraId="303BAC71" w14:textId="54C31B51" w:rsidR="000C106D" w:rsidRPr="000C106D" w:rsidRDefault="00405AC4" w:rsidP="000C106D">
      <w:pPr>
        <w:pStyle w:val="Sinespaciado"/>
        <w:rPr>
          <w:rFonts w:eastAsia="Palatino Linotype"/>
          <w:bCs/>
          <w:lang w:val="es-ES_tradnl"/>
        </w:rPr>
      </w:pPr>
      <w:r>
        <w:rPr>
          <w:rFonts w:eastAsia="Palatino Linotype"/>
          <w:b/>
          <w:lang w:val="es-ES_tradnl"/>
        </w:rPr>
        <w:t>VI</w:t>
      </w:r>
      <w:r w:rsidR="000C106D" w:rsidRPr="000C106D">
        <w:rPr>
          <w:rFonts w:eastAsia="Palatino Linotype"/>
          <w:b/>
          <w:lang w:val="es-ES_tradnl"/>
        </w:rPr>
        <w:t>.</w:t>
      </w:r>
      <w:r w:rsidR="000C106D" w:rsidRPr="000C106D">
        <w:rPr>
          <w:rFonts w:eastAsia="Palatino Linotype"/>
          <w:bCs/>
          <w:lang w:val="es-ES_tradnl"/>
        </w:rPr>
        <w:t xml:space="preserve"> </w:t>
      </w:r>
      <w:r>
        <w:rPr>
          <w:rFonts w:eastAsia="Palatino Linotype"/>
          <w:bCs/>
          <w:lang w:val="es-ES_tradnl"/>
        </w:rPr>
        <w:t>Se</w:t>
      </w:r>
      <w:r w:rsidR="000C106D" w:rsidRPr="000C106D">
        <w:rPr>
          <w:rFonts w:eastAsia="Palatino Linotype"/>
          <w:bCs/>
          <w:lang w:val="es-ES_tradnl"/>
        </w:rPr>
        <w:t xml:space="preserve"> </w:t>
      </w:r>
      <w:r w:rsidRPr="00405AC4">
        <w:rPr>
          <w:rFonts w:eastAsia="Palatino Linotype"/>
          <w:bCs/>
          <w:lang w:val="es-ES_tradnl"/>
        </w:rPr>
        <w:t>trate de una consulta, o trámite en específico; y</w:t>
      </w:r>
    </w:p>
    <w:p w14:paraId="7C53281D" w14:textId="19EF794D" w:rsidR="000C106D" w:rsidRPr="000C106D" w:rsidRDefault="000C106D" w:rsidP="000C106D">
      <w:pPr>
        <w:pStyle w:val="Sinespaciado"/>
        <w:rPr>
          <w:rFonts w:eastAsia="Palatino Linotype"/>
          <w:bCs/>
          <w:lang w:val="es-ES_tradnl"/>
        </w:rPr>
      </w:pPr>
      <w:r>
        <w:rPr>
          <w:rFonts w:eastAsia="Palatino Linotype"/>
          <w:bCs/>
          <w:lang w:val="es-ES_tradnl"/>
        </w:rPr>
        <w:t>[…]</w:t>
      </w:r>
    </w:p>
    <w:p w14:paraId="1D36E22A" w14:textId="77777777" w:rsidR="000C106D" w:rsidRPr="000C106D" w:rsidRDefault="000C106D" w:rsidP="000C106D">
      <w:pPr>
        <w:pStyle w:val="Sinespaciado"/>
        <w:rPr>
          <w:rFonts w:eastAsia="Palatino Linotype"/>
          <w:b/>
          <w:lang w:val="es-ES_tradnl"/>
        </w:rPr>
      </w:pPr>
    </w:p>
    <w:p w14:paraId="5D8F2206" w14:textId="77777777" w:rsidR="000C106D" w:rsidRPr="000C106D" w:rsidRDefault="000C106D" w:rsidP="000C106D">
      <w:pPr>
        <w:pStyle w:val="Sinespaciado"/>
        <w:rPr>
          <w:rFonts w:eastAsia="Palatino Linotype"/>
          <w:lang w:val="es-ES_tradnl"/>
        </w:rPr>
      </w:pPr>
      <w:r w:rsidRPr="000C106D">
        <w:rPr>
          <w:rFonts w:eastAsia="Palatino Linotype"/>
          <w:b/>
          <w:lang w:val="es-ES_tradnl"/>
        </w:rPr>
        <w:t xml:space="preserve">Artículo 192. </w:t>
      </w:r>
      <w:r w:rsidRPr="000C106D">
        <w:rPr>
          <w:rFonts w:eastAsia="Palatino Linotype"/>
          <w:lang w:val="es-ES_tradnl"/>
        </w:rPr>
        <w:t>El recurso será sobreseído, en todo o en parte, cuando una vez admitido, se actualicen alguno de los siguientes supuestos:</w:t>
      </w:r>
    </w:p>
    <w:p w14:paraId="571925EE" w14:textId="2726AFB3" w:rsidR="000C106D" w:rsidRPr="000C106D" w:rsidRDefault="000C106D" w:rsidP="000C106D">
      <w:pPr>
        <w:pStyle w:val="Sinespaciado"/>
        <w:rPr>
          <w:rFonts w:eastAsia="Palatino Linotype"/>
          <w:lang w:val="es-ES_tradnl"/>
        </w:rPr>
      </w:pPr>
      <w:r>
        <w:rPr>
          <w:rFonts w:eastAsia="Palatino Linotype"/>
          <w:lang w:val="es-ES_tradnl"/>
        </w:rPr>
        <w:t>[…]</w:t>
      </w:r>
    </w:p>
    <w:p w14:paraId="7AD10EEC" w14:textId="77777777" w:rsidR="000C106D" w:rsidRPr="000C106D" w:rsidRDefault="000C106D" w:rsidP="000C106D">
      <w:pPr>
        <w:pStyle w:val="Sinespaciado"/>
        <w:rPr>
          <w:rFonts w:eastAsia="Palatino Linotype"/>
          <w:b/>
          <w:lang w:val="es-ES_tradnl"/>
        </w:rPr>
      </w:pPr>
      <w:r w:rsidRPr="000C106D">
        <w:rPr>
          <w:rFonts w:eastAsia="Palatino Linotype"/>
          <w:b/>
          <w:lang w:val="es-ES_tradnl"/>
        </w:rPr>
        <w:t xml:space="preserve">IV. </w:t>
      </w:r>
      <w:r w:rsidRPr="000C106D">
        <w:rPr>
          <w:rFonts w:eastAsia="Palatino Linotype"/>
          <w:bCs/>
          <w:lang w:val="es-ES_tradnl"/>
        </w:rPr>
        <w:t>Admitido el recurso de revisión, aparezca alguna causal de improcedencia en los términos de la presente Ley; y</w:t>
      </w:r>
    </w:p>
    <w:p w14:paraId="7EAD0F01" w14:textId="74035C0A" w:rsidR="004C7CA5" w:rsidRPr="000C106D" w:rsidRDefault="000C106D" w:rsidP="000C106D">
      <w:pPr>
        <w:pStyle w:val="Sinespaciado"/>
        <w:rPr>
          <w:rFonts w:eastAsia="Palatino Linotype"/>
          <w:bCs/>
          <w:lang w:val="es-ES_tradnl"/>
        </w:rPr>
      </w:pPr>
      <w:r>
        <w:rPr>
          <w:rFonts w:eastAsia="Palatino Linotype"/>
          <w:bCs/>
          <w:lang w:val="es-ES_tradnl"/>
        </w:rPr>
        <w:t>[…]</w:t>
      </w:r>
    </w:p>
    <w:p w14:paraId="5025893B" w14:textId="77777777" w:rsidR="004C7CA5" w:rsidRDefault="004C7CA5" w:rsidP="00C42B07">
      <w:pPr>
        <w:pBdr>
          <w:top w:val="nil"/>
          <w:left w:val="nil"/>
          <w:bottom w:val="nil"/>
          <w:right w:val="nil"/>
          <w:between w:val="nil"/>
        </w:pBdr>
        <w:contextualSpacing/>
        <w:rPr>
          <w:rFonts w:eastAsia="Palatino Linotype" w:cs="Palatino Linotype"/>
          <w:color w:val="000000"/>
          <w:szCs w:val="24"/>
          <w:lang w:val="es-ES"/>
        </w:rPr>
      </w:pPr>
    </w:p>
    <w:p w14:paraId="228DC81A" w14:textId="210595BB" w:rsidR="005B29AC" w:rsidRPr="00CB5413" w:rsidRDefault="005B29AC" w:rsidP="005B29AC">
      <w:pPr>
        <w:rPr>
          <w:szCs w:val="24"/>
          <w:lang w:val="es-ES"/>
        </w:rPr>
      </w:pPr>
      <w:r w:rsidRPr="00CB5413">
        <w:rPr>
          <w:szCs w:val="24"/>
        </w:rPr>
        <w:t xml:space="preserve">En ese sentido, es necesario referir que </w:t>
      </w:r>
      <w:r w:rsidRPr="00CB5413">
        <w:rPr>
          <w:szCs w:val="24"/>
          <w:lang w:val="es-ES"/>
        </w:rPr>
        <w:t>las causales de improcedencia deben ser examinadas de oficio y si de dicho examen se actualiza una causal de improcedencia, por técnica jurídica, es de estudio preferente.</w:t>
      </w:r>
      <w:r w:rsidR="000C106D">
        <w:rPr>
          <w:szCs w:val="24"/>
          <w:lang w:val="es-ES"/>
        </w:rPr>
        <w:t xml:space="preserve"> </w:t>
      </w:r>
      <w:r w:rsidRPr="00CB5413">
        <w:rPr>
          <w:szCs w:val="24"/>
          <w:lang w:val="es-ES"/>
        </w:rPr>
        <w:t xml:space="preserve">Sirve como criterio orientador, lo establecido en </w:t>
      </w:r>
      <w:r w:rsidRPr="00CB5413">
        <w:rPr>
          <w:szCs w:val="24"/>
          <w:lang w:val="es-ES"/>
        </w:rPr>
        <w:lastRenderedPageBreak/>
        <w:t>la jurisprudencia por reiteración con número de registro digital 194697</w:t>
      </w:r>
      <w:r w:rsidRPr="00CB5413">
        <w:rPr>
          <w:szCs w:val="24"/>
          <w:vertAlign w:val="superscript"/>
          <w:lang w:val="es-ES"/>
        </w:rPr>
        <w:footnoteReference w:id="7"/>
      </w:r>
      <w:r w:rsidRPr="00CB5413">
        <w:rPr>
          <w:szCs w:val="24"/>
          <w:lang w:val="es-ES"/>
        </w:rPr>
        <w:t xml:space="preserve">, emitida por la Primera Sala de la Suprema Corte de Justicia de la Nación, en la que se dispone lo siguiente: </w:t>
      </w:r>
    </w:p>
    <w:p w14:paraId="344247D1" w14:textId="77777777" w:rsidR="005B29AC" w:rsidRPr="00CB5413" w:rsidRDefault="005B29AC" w:rsidP="005B29AC">
      <w:pPr>
        <w:rPr>
          <w:szCs w:val="24"/>
          <w:lang w:val="es-ES"/>
        </w:rPr>
      </w:pPr>
    </w:p>
    <w:p w14:paraId="6DC9E381" w14:textId="77777777" w:rsidR="005B29AC" w:rsidRPr="00CB5413" w:rsidRDefault="005B29AC" w:rsidP="005B29AC">
      <w:pPr>
        <w:spacing w:line="240" w:lineRule="auto"/>
        <w:ind w:left="567" w:right="567"/>
        <w:rPr>
          <w:rFonts w:eastAsia="Times New Roman" w:cs="Times New Roman"/>
          <w:b/>
          <w:bCs/>
          <w:i/>
          <w:sz w:val="22"/>
          <w:szCs w:val="24"/>
          <w:lang w:val="es-MX" w:eastAsia="es-ES"/>
        </w:rPr>
      </w:pPr>
      <w:r w:rsidRPr="00CB5413">
        <w:rPr>
          <w:rFonts w:eastAsia="Times New Roman" w:cs="Times New Roman"/>
          <w:b/>
          <w:bCs/>
          <w:i/>
          <w:sz w:val="22"/>
          <w:szCs w:val="24"/>
          <w:lang w:val="es-MX" w:eastAsia="es-ES"/>
        </w:rPr>
        <w:t xml:space="preserve">IMPROCEDENCIA. ESTUDIO PREFERENCIAL DE LAS CAUSALES PREVISTAS EN EL ARTÍCULO 73 DE LA LEY DE AMPARO. </w:t>
      </w:r>
    </w:p>
    <w:p w14:paraId="7529D01C" w14:textId="77777777" w:rsidR="005B29AC" w:rsidRPr="00CB5413" w:rsidRDefault="005B29AC" w:rsidP="005B29AC">
      <w:pPr>
        <w:spacing w:line="240" w:lineRule="auto"/>
        <w:ind w:left="567" w:right="567"/>
        <w:rPr>
          <w:rFonts w:eastAsia="Times New Roman" w:cs="Times New Roman"/>
          <w:i/>
          <w:sz w:val="22"/>
          <w:szCs w:val="24"/>
          <w:lang w:val="es-MX" w:eastAsia="es-ES"/>
        </w:rPr>
      </w:pPr>
      <w:r w:rsidRPr="00CB5413">
        <w:rPr>
          <w:rFonts w:eastAsia="Times New Roman" w:cs="Times New Roman"/>
          <w:i/>
          <w:sz w:val="22"/>
          <w:szCs w:val="24"/>
          <w:lang w:val="es-MX" w:eastAsia="es-ES"/>
        </w:rPr>
        <w:t xml:space="preserve">De conformidad con lo dispuesto en el último párrafo del artículo 73 de la Ley de Amparo </w:t>
      </w:r>
      <w:r w:rsidRPr="00CB5413">
        <w:rPr>
          <w:rFonts w:eastAsia="Times New Roman" w:cs="Times New Roman"/>
          <w:b/>
          <w:bCs/>
          <w:i/>
          <w:sz w:val="22"/>
          <w:szCs w:val="24"/>
          <w:u w:val="single"/>
          <w:lang w:val="es-MX" w:eastAsia="es-ES"/>
        </w:rPr>
        <w:t xml:space="preserve">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w:t>
      </w:r>
      <w:r>
        <w:rPr>
          <w:rFonts w:eastAsia="Times New Roman" w:cs="Times New Roman"/>
          <w:b/>
          <w:bCs/>
          <w:i/>
          <w:sz w:val="22"/>
          <w:szCs w:val="24"/>
          <w:u w:val="single"/>
          <w:lang w:val="es-MX" w:eastAsia="es-ES"/>
        </w:rPr>
        <w:t>la Recurrente</w:t>
      </w:r>
      <w:r w:rsidRPr="00CB5413">
        <w:rPr>
          <w:rFonts w:eastAsia="Times New Roman" w:cs="Times New Roman"/>
          <w:i/>
          <w:sz w:val="22"/>
          <w:szCs w:val="24"/>
          <w:lang w:val="es-MX" w:eastAsia="es-ES"/>
        </w:rPr>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xml:space="preserve">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021B2F0" w14:textId="77777777" w:rsidR="005B29AC" w:rsidRPr="00CB5413" w:rsidRDefault="005B29AC" w:rsidP="005B29AC">
      <w:pPr>
        <w:rPr>
          <w:szCs w:val="24"/>
          <w:lang w:val="es-ES"/>
        </w:rPr>
      </w:pPr>
    </w:p>
    <w:p w14:paraId="07DA8944" w14:textId="77777777" w:rsidR="005B29AC" w:rsidRPr="00CB5413" w:rsidRDefault="005B29AC" w:rsidP="005B29AC">
      <w:pPr>
        <w:rPr>
          <w:b/>
          <w:szCs w:val="24"/>
          <w:lang w:val="es-ES"/>
        </w:rPr>
      </w:pPr>
      <w:r w:rsidRPr="00CB5413">
        <w:rPr>
          <w:szCs w:val="24"/>
          <w:lang w:val="es-ES"/>
        </w:rPr>
        <w:t xml:space="preserve">Es importante resaltar a manera de analogía que la Suprema Corte de Justicia de la Nación mediante el número 2 de la Serie </w:t>
      </w:r>
      <w:r w:rsidRPr="00CB5413">
        <w:rPr>
          <w:i/>
          <w:szCs w:val="24"/>
          <w:lang w:val="es-ES"/>
        </w:rPr>
        <w:t xml:space="preserve">Estudios Introductorios sobre el Juicio de Amparo </w:t>
      </w:r>
      <w:r w:rsidRPr="00CB5413">
        <w:rPr>
          <w:szCs w:val="24"/>
          <w:lang w:val="es-ES"/>
        </w:rPr>
        <w:t xml:space="preserve">relativo a </w:t>
      </w:r>
      <w:r w:rsidRPr="00CB5413">
        <w:rPr>
          <w:i/>
          <w:szCs w:val="24"/>
          <w:lang w:val="es-ES"/>
        </w:rPr>
        <w:t xml:space="preserve">LA IMPROCEDENCIA DE LA ACCIÓN DE AMPARO </w:t>
      </w:r>
      <w:r w:rsidRPr="00CB5413">
        <w:rPr>
          <w:szCs w:val="24"/>
          <w:lang w:val="es-ES"/>
        </w:rPr>
        <w:t xml:space="preserve">definió a la </w:t>
      </w:r>
      <w:r w:rsidRPr="00CB5413">
        <w:rPr>
          <w:szCs w:val="24"/>
          <w:lang w:val="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B5413">
        <w:rPr>
          <w:b/>
          <w:szCs w:val="24"/>
          <w:lang w:val="es-ES"/>
        </w:rPr>
        <w:t>lo que generará que la demanda sea desechada; o bien, después de admitida la demanda, lo que tendrá como consecuencia que se sobresea en el juicio.</w:t>
      </w:r>
    </w:p>
    <w:p w14:paraId="65D0B4A4" w14:textId="77777777" w:rsidR="005B29AC" w:rsidRPr="00CB5413" w:rsidRDefault="005B29AC" w:rsidP="005B29AC">
      <w:pPr>
        <w:rPr>
          <w:szCs w:val="24"/>
          <w:lang w:val="es-ES"/>
        </w:rPr>
      </w:pPr>
    </w:p>
    <w:p w14:paraId="12AEE799" w14:textId="77777777" w:rsidR="005B29AC" w:rsidRPr="00CB5413" w:rsidRDefault="005B29AC" w:rsidP="005B29AC">
      <w:r w:rsidRPr="00CB5413">
        <w:rPr>
          <w:szCs w:val="24"/>
        </w:rPr>
        <w:t>Por lo anterior, al acreditarse la procedencia del sobreseimiento, este Instituto está</w:t>
      </w:r>
      <w:r w:rsidRPr="00CB5413">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CB5413">
        <w:rPr>
          <w:rFonts w:eastAsia="Palatino Linotype" w:cs="Palatino Linotype"/>
          <w:vertAlign w:val="superscript"/>
        </w:rPr>
        <w:footnoteReference w:id="8"/>
      </w:r>
      <w:r w:rsidRPr="00CB5413">
        <w:t>, en la que se estipula lo siguiente:</w:t>
      </w:r>
    </w:p>
    <w:p w14:paraId="5AF7A143" w14:textId="77777777" w:rsidR="005B29AC" w:rsidRDefault="005B29AC" w:rsidP="005B29AC">
      <w:pPr>
        <w:rPr>
          <w:szCs w:val="24"/>
        </w:rPr>
      </w:pPr>
    </w:p>
    <w:p w14:paraId="68F26885" w14:textId="77777777" w:rsidR="005B29AC" w:rsidRPr="00CB5413" w:rsidRDefault="005B29AC" w:rsidP="005B29AC">
      <w:pPr>
        <w:spacing w:line="240" w:lineRule="auto"/>
        <w:ind w:left="567" w:right="567"/>
        <w:rPr>
          <w:rFonts w:eastAsia="Palatino Linotype" w:cs="Palatino Linotype"/>
          <w:b/>
          <w:bCs/>
          <w:iCs/>
          <w:sz w:val="22"/>
          <w:lang w:eastAsia="es-ES"/>
        </w:rPr>
      </w:pPr>
      <w:r w:rsidRPr="00CB5413">
        <w:rPr>
          <w:rFonts w:eastAsia="Palatino Linotype" w:cs="Palatino Linotype"/>
          <w:b/>
          <w:bCs/>
          <w:i/>
          <w:iCs/>
          <w:sz w:val="22"/>
          <w:lang w:eastAsia="es-ES"/>
        </w:rPr>
        <w:t>SOBRESEIMIENTO. IMPIDE EL ESTUDIO DE LAS CUESTIONES DE FONDO.</w:t>
      </w:r>
    </w:p>
    <w:p w14:paraId="36A0A6B6" w14:textId="77777777" w:rsidR="005B29AC" w:rsidRPr="00CB5413" w:rsidRDefault="005B29AC" w:rsidP="005B29AC">
      <w:pPr>
        <w:spacing w:line="240" w:lineRule="auto"/>
        <w:ind w:left="567" w:right="567"/>
        <w:rPr>
          <w:rFonts w:eastAsia="Palatino Linotype" w:cs="Palatino Linotype"/>
          <w:iCs/>
          <w:sz w:val="22"/>
          <w:lang w:eastAsia="es-ES"/>
        </w:rPr>
      </w:pPr>
      <w:r w:rsidRPr="00CB5413">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4C285947" w14:textId="77777777" w:rsidR="005B29AC" w:rsidRPr="00CB5413" w:rsidRDefault="005B29AC" w:rsidP="005B29AC"/>
    <w:p w14:paraId="42F5C55F" w14:textId="0C1BC537" w:rsidR="005B29AC" w:rsidRPr="00CB5413" w:rsidRDefault="005B29AC" w:rsidP="005B29AC">
      <w:pPr>
        <w:rPr>
          <w:szCs w:val="24"/>
        </w:rPr>
      </w:pPr>
      <w:r w:rsidRPr="00CB5413">
        <w:rPr>
          <w:szCs w:val="24"/>
        </w:rPr>
        <w:t>Así, con fundamento en lo prescrito en los artículos 36 fracciones II y III, así como en la segunda hipótesis de la fracción I del artícul</w:t>
      </w:r>
      <w:r w:rsidR="005B7D9A">
        <w:rPr>
          <w:szCs w:val="24"/>
        </w:rPr>
        <w:t xml:space="preserve">o 186 fracción I, 191 </w:t>
      </w:r>
      <w:proofErr w:type="gramStart"/>
      <w:r w:rsidR="005B7D9A">
        <w:rPr>
          <w:szCs w:val="24"/>
        </w:rPr>
        <w:t>fracción</w:t>
      </w:r>
      <w:proofErr w:type="gramEnd"/>
      <w:r w:rsidR="005B7D9A">
        <w:rPr>
          <w:szCs w:val="24"/>
        </w:rPr>
        <w:t xml:space="preserve"> V</w:t>
      </w:r>
      <w:r w:rsidRPr="00CB5413">
        <w:rPr>
          <w:szCs w:val="24"/>
        </w:rPr>
        <w:t>I y 192 fracción IV de la Ley de Transparencia y Acceso a la Información Pública del Estado de México y Municipios el Pleno de este Órgano Garante:</w:t>
      </w:r>
    </w:p>
    <w:p w14:paraId="69A19969" w14:textId="77777777" w:rsidR="005B29AC" w:rsidRDefault="005B29AC" w:rsidP="005B29AC">
      <w:pPr>
        <w:rPr>
          <w:lang w:val="es-ES"/>
        </w:rPr>
      </w:pPr>
    </w:p>
    <w:p w14:paraId="7787516B" w14:textId="77777777" w:rsidR="005B29AC" w:rsidRDefault="005B29AC" w:rsidP="005B29AC">
      <w:pPr>
        <w:pStyle w:val="Ttulo1"/>
        <w:rPr>
          <w:rFonts w:eastAsia="Palatino Linotype"/>
        </w:rPr>
      </w:pPr>
      <w:r>
        <w:rPr>
          <w:rFonts w:eastAsia="Palatino Linotype"/>
        </w:rPr>
        <w:t>R E S U E L V E</w:t>
      </w:r>
    </w:p>
    <w:p w14:paraId="1D4B74E1" w14:textId="77777777" w:rsidR="005B29AC" w:rsidRPr="008A6AC0" w:rsidRDefault="005B29AC" w:rsidP="005B7D9A"/>
    <w:p w14:paraId="72CF8AB7" w14:textId="3270A415" w:rsidR="005B29AC" w:rsidRPr="008A6AC0" w:rsidRDefault="005B29AC" w:rsidP="005B7D9A">
      <w:pPr>
        <w:rPr>
          <w:color w:val="000000"/>
        </w:rPr>
      </w:pPr>
      <w:r w:rsidRPr="008A6AC0">
        <w:rPr>
          <w:b/>
        </w:rPr>
        <w:t>PRIMERO</w:t>
      </w:r>
      <w:r w:rsidRPr="008A6AC0">
        <w:rPr>
          <w:color w:val="000000"/>
        </w:rPr>
        <w:t xml:space="preserve"> Se</w:t>
      </w:r>
      <w:r w:rsidRPr="008A6AC0">
        <w:rPr>
          <w:b/>
          <w:color w:val="000000"/>
        </w:rPr>
        <w:t xml:space="preserve"> SOBRESEE </w:t>
      </w:r>
      <w:r w:rsidRPr="008A6AC0">
        <w:rPr>
          <w:color w:val="000000"/>
        </w:rPr>
        <w:t xml:space="preserve">el recurso de revisión número </w:t>
      </w:r>
      <w:r w:rsidR="00FF127E">
        <w:rPr>
          <w:b/>
          <w:color w:val="000000"/>
        </w:rPr>
        <w:t>03815/INFOEM/IP/RR/2025</w:t>
      </w:r>
      <w:r w:rsidRPr="008A6AC0">
        <w:rPr>
          <w:color w:val="000000"/>
        </w:rPr>
        <w:t xml:space="preserve">, por improcedente al actualizarse lo dispuesto en el artículo 192 fracción IV, con relación </w:t>
      </w:r>
      <w:r w:rsidR="000C106D">
        <w:rPr>
          <w:color w:val="000000"/>
        </w:rPr>
        <w:t xml:space="preserve">a la fracción </w:t>
      </w:r>
      <w:r w:rsidR="00B65CBD">
        <w:rPr>
          <w:color w:val="000000"/>
        </w:rPr>
        <w:t>V</w:t>
      </w:r>
      <w:r w:rsidRPr="008A6AC0">
        <w:rPr>
          <w:color w:val="000000"/>
        </w:rPr>
        <w:t xml:space="preserve">I del artículo 191 de la </w:t>
      </w:r>
      <w:r w:rsidRPr="008A6AC0">
        <w:t xml:space="preserve">Ley de Transparencia y Acceso a la Información Pública del Estado de México y Municipios, </w:t>
      </w:r>
      <w:r w:rsidRPr="008A6AC0">
        <w:rPr>
          <w:color w:val="000000"/>
        </w:rPr>
        <w:t xml:space="preserve">en términos del </w:t>
      </w:r>
      <w:r w:rsidR="000C106D">
        <w:rPr>
          <w:b/>
          <w:color w:val="000000"/>
        </w:rPr>
        <w:t>Considerando CUARTO</w:t>
      </w:r>
      <w:r w:rsidRPr="008A6AC0">
        <w:rPr>
          <w:color w:val="000000"/>
        </w:rPr>
        <w:t xml:space="preserve"> de la presente resolución.</w:t>
      </w:r>
    </w:p>
    <w:p w14:paraId="1F098A6A" w14:textId="77777777" w:rsidR="005B29AC" w:rsidRPr="008A6AC0" w:rsidRDefault="005B29AC" w:rsidP="005B7D9A"/>
    <w:p w14:paraId="4C0FC89E" w14:textId="77777777" w:rsidR="005B29AC" w:rsidRPr="008A6AC0" w:rsidRDefault="005B29AC" w:rsidP="005B7D9A">
      <w:r w:rsidRPr="008A6AC0">
        <w:rPr>
          <w:b/>
        </w:rPr>
        <w:t>SEGUNDO.</w:t>
      </w:r>
      <w:r w:rsidRPr="008A6AC0">
        <w:t xml:space="preserve"> </w:t>
      </w:r>
      <w:r w:rsidRPr="008A6AC0">
        <w:rPr>
          <w:b/>
        </w:rPr>
        <w:t>Notifíquese</w:t>
      </w:r>
      <w:r w:rsidRPr="008A6AC0">
        <w:t xml:space="preserve"> la presente resolución al Titular de la Unidad de Transparencia del Sujeto Obligado mediante el Sistema de Acceso a la Información Mexiquense (SAIMEX).</w:t>
      </w:r>
    </w:p>
    <w:p w14:paraId="14903383" w14:textId="77777777" w:rsidR="005B29AC" w:rsidRPr="008A6AC0" w:rsidRDefault="005B29AC" w:rsidP="005B7D9A"/>
    <w:p w14:paraId="7B14E175" w14:textId="77777777" w:rsidR="005B29AC" w:rsidRPr="008A6AC0" w:rsidRDefault="005B29AC" w:rsidP="005B7D9A">
      <w:r w:rsidRPr="008A6AC0">
        <w:rPr>
          <w:b/>
        </w:rPr>
        <w:t>TERCERO. Notifíquese</w:t>
      </w:r>
      <w:r>
        <w:t xml:space="preserve"> la presente resolución al</w:t>
      </w:r>
      <w:r w:rsidRPr="008A6AC0">
        <w:t xml:space="preserve"> Recurrente 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6B1A4089" w14:textId="77777777" w:rsidR="005B29AC" w:rsidRPr="005B7D9A" w:rsidRDefault="005B29AC" w:rsidP="005B7D9A">
      <w:pPr>
        <w:rPr>
          <w:rFonts w:eastAsia="Times New Roman" w:cs="Times New Roman"/>
          <w:bCs/>
          <w:lang w:val="es-ES" w:eastAsia="es-ES"/>
        </w:rPr>
      </w:pPr>
    </w:p>
    <w:p w14:paraId="1F7D5E1A" w14:textId="7B549EF2" w:rsidR="001F0CD5" w:rsidRPr="005B29AC" w:rsidRDefault="455F3573" w:rsidP="005B7D9A">
      <w:pPr>
        <w:ind w:right="-8"/>
        <w:rPr>
          <w:color w:val="000000"/>
        </w:rPr>
      </w:pPr>
      <w:r w:rsidRPr="455F3573">
        <w:rPr>
          <w:color w:val="000000" w:themeColor="text1"/>
        </w:rPr>
        <w:t xml:space="preserve">ASÍ LO RESUELVE POR </w:t>
      </w:r>
      <w:r w:rsidR="002500AB">
        <w:rPr>
          <w:color w:val="000000" w:themeColor="text1"/>
        </w:rPr>
        <w:t>UNANIMIDAD</w:t>
      </w:r>
      <w:r w:rsidRPr="455F3573">
        <w:rPr>
          <w:color w:val="000000" w:themeColor="text1"/>
        </w:rPr>
        <w:t xml:space="preserve"> DE VOTOS, EL PLENO DEL INSTITUTO DE TRANSPARENCIA, ACCESO A LA INFORMACIÓN PÚBLICA Y PROTECCIÓN DE DATOS PERSONALES DEL ESTADO DE MÉXICO Y MUNICIPIOS, CONFORMADO </w:t>
      </w:r>
      <w:r w:rsidRPr="455F3573">
        <w:rPr>
          <w:color w:val="000000" w:themeColor="text1"/>
        </w:rPr>
        <w:lastRenderedPageBreak/>
        <w:t>POR LOS COMISIONADOS JOSÉ MARTÍNEZ VILCHIS, MARÍA DEL ROSARIO MEJÍA AYALA, SHARON CRISTINA MORALES MARTÍNEZ, LUIS GUSTAVO PARRA NORIEGA</w:t>
      </w:r>
      <w:r w:rsidR="0061203C">
        <w:rPr>
          <w:color w:val="000000" w:themeColor="text1"/>
        </w:rPr>
        <w:t xml:space="preserve"> </w:t>
      </w:r>
      <w:r w:rsidRPr="455F3573">
        <w:rPr>
          <w:color w:val="000000" w:themeColor="text1"/>
        </w:rPr>
        <w:t>Y GUADALUPE RAMÍREZ PEÑA</w:t>
      </w:r>
      <w:r w:rsidR="00563D1D">
        <w:rPr>
          <w:color w:val="000000" w:themeColor="text1"/>
        </w:rPr>
        <w:t xml:space="preserve"> (</w:t>
      </w:r>
      <w:r w:rsidR="00A12BD7">
        <w:rPr>
          <w:color w:val="000000" w:themeColor="text1"/>
        </w:rPr>
        <w:t>AUSENCIA JUSTIFICADA)</w:t>
      </w:r>
      <w:r w:rsidRPr="455F3573">
        <w:rPr>
          <w:color w:val="000000" w:themeColor="text1"/>
        </w:rPr>
        <w:t>, EN LA</w:t>
      </w:r>
      <w:r w:rsidR="00F15651">
        <w:rPr>
          <w:color w:val="000000" w:themeColor="text1"/>
        </w:rPr>
        <w:t xml:space="preserve"> </w:t>
      </w:r>
      <w:r w:rsidR="001214E3">
        <w:rPr>
          <w:color w:val="000000" w:themeColor="text1"/>
        </w:rPr>
        <w:t>VIGÉSIMA</w:t>
      </w:r>
      <w:r w:rsidR="00433BF2">
        <w:rPr>
          <w:color w:val="000000" w:themeColor="text1"/>
        </w:rPr>
        <w:t xml:space="preserve"> </w:t>
      </w:r>
      <w:r w:rsidR="00D674E0">
        <w:rPr>
          <w:color w:val="000000" w:themeColor="text1"/>
        </w:rPr>
        <w:t>CUART</w:t>
      </w:r>
      <w:r w:rsidR="00CF39ED">
        <w:rPr>
          <w:color w:val="000000" w:themeColor="text1"/>
        </w:rPr>
        <w:t xml:space="preserve">A </w:t>
      </w:r>
      <w:r w:rsidRPr="455F3573">
        <w:rPr>
          <w:color w:val="000000" w:themeColor="text1"/>
        </w:rPr>
        <w:t>SESIÓN ORDINARIA CELEBRADA EL</w:t>
      </w:r>
      <w:r w:rsidR="00433BF2">
        <w:rPr>
          <w:color w:val="000000" w:themeColor="text1"/>
        </w:rPr>
        <w:t xml:space="preserve"> </w:t>
      </w:r>
      <w:r w:rsidR="00D674E0">
        <w:rPr>
          <w:color w:val="000000" w:themeColor="text1"/>
        </w:rPr>
        <w:t>DOS DE JULIO DE DOS MIL VEINTICINCO</w:t>
      </w:r>
      <w:r w:rsidRPr="005B29AC">
        <w:rPr>
          <w:color w:val="000000" w:themeColor="text1"/>
        </w:rPr>
        <w:t>, ANTE EL SECRETARIO TÉCNICO DEL PLENO, ALEXIS TAPIA RAMÍREZ.--------------</w:t>
      </w:r>
      <w:r w:rsidR="000C106D">
        <w:rPr>
          <w:color w:val="000000" w:themeColor="text1"/>
        </w:rPr>
        <w:t>-------</w:t>
      </w:r>
      <w:r w:rsidR="00763ADE">
        <w:rPr>
          <w:color w:val="000000" w:themeColor="text1"/>
        </w:rPr>
        <w:t>----------------------------------------------------------------------------------------------------------------------------------------------------------------------------------------------------------------------------------------------------------------------------------------------------------------------------------------------------------------------------------------------------------------------------------------------------------------------------------------------------------------------------------------------------------------------------------------------------------------------------------------------------------------------------------------------------------------------------------------------------------------------------------------------------------------------------------</w:t>
      </w:r>
      <w:r w:rsidR="00B37A2E">
        <w:rPr>
          <w:color w:val="000000" w:themeColor="text1"/>
        </w:rPr>
        <w:t>---------------------------------------------------------------------------------------------------------------------</w:t>
      </w:r>
      <w:r w:rsidR="00B65CBD">
        <w:rPr>
          <w:color w:val="000000" w:themeColor="text1"/>
        </w:rPr>
        <w:t>---------------------------------------------------------------------------------------------------------------------------------------------------------------------------------------------------------------------------------------------------------------------------------------------------------------------------------------------------------------------------------------------------------------------------------------------------------------------------------------------------------------------------------------------------------------------------------------------------------</w:t>
      </w:r>
      <w:r w:rsidR="005B7D9A">
        <w:rPr>
          <w:color w:val="000000" w:themeColor="text1"/>
        </w:rPr>
        <w:t>-----------------------</w:t>
      </w:r>
      <w:r w:rsidR="000D4F4F">
        <w:rPr>
          <w:color w:val="000000" w:themeColor="text1"/>
        </w:rPr>
        <w:t>------------------------------------------------------------------------------------------------------------------------------------------------------------------------------------------------------------------------------------------------------------------------------------------------------------------------------------------------------------------------------------------------------------------------</w:t>
      </w:r>
      <w:r w:rsidR="00563D1D">
        <w:rPr>
          <w:color w:val="000000" w:themeColor="text1"/>
        </w:rPr>
        <w:t>----------</w:t>
      </w:r>
      <w:r w:rsidR="000D4F4F">
        <w:rPr>
          <w:color w:val="000000" w:themeColor="text1"/>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w:t>
      </w:r>
      <w:proofErr w:type="spellStart"/>
      <w:r w:rsidRPr="32A7C440">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0526CC">
      <w:headerReference w:type="even" r:id="rId8"/>
      <w:headerReference w:type="default" r:id="rId9"/>
      <w:footerReference w:type="default" r:id="rId10"/>
      <w:headerReference w:type="first" r:id="rId11"/>
      <w:footerReference w:type="first" r:id="rId12"/>
      <w:pgSz w:w="12240" w:h="15800"/>
      <w:pgMar w:top="3261"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3D99A" w14:textId="77777777" w:rsidR="00947A2C" w:rsidRDefault="00947A2C" w:rsidP="00F2498E">
      <w:pPr>
        <w:spacing w:line="240" w:lineRule="auto"/>
      </w:pPr>
      <w:r>
        <w:separator/>
      </w:r>
    </w:p>
  </w:endnote>
  <w:endnote w:type="continuationSeparator" w:id="0">
    <w:p w14:paraId="3D7B9F75" w14:textId="77777777" w:rsidR="00947A2C" w:rsidRDefault="00947A2C" w:rsidP="00F2498E">
      <w:pPr>
        <w:spacing w:line="240" w:lineRule="auto"/>
      </w:pPr>
      <w:r>
        <w:continuationSeparator/>
      </w:r>
    </w:p>
  </w:endnote>
  <w:endnote w:type="continuationNotice" w:id="1">
    <w:p w14:paraId="22143ECD" w14:textId="77777777" w:rsidR="00947A2C" w:rsidRDefault="00947A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421EB7" w:rsidRPr="00165289" w:rsidRDefault="00421EB7"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63BB8">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63BB8">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421EB7" w:rsidRPr="0037201A" w:rsidRDefault="00421EB7"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63BB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63BB8">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15737" w14:textId="77777777" w:rsidR="00947A2C" w:rsidRDefault="00947A2C" w:rsidP="00F2498E">
      <w:pPr>
        <w:spacing w:line="240" w:lineRule="auto"/>
      </w:pPr>
      <w:r>
        <w:separator/>
      </w:r>
    </w:p>
  </w:footnote>
  <w:footnote w:type="continuationSeparator" w:id="0">
    <w:p w14:paraId="0540BB5B" w14:textId="77777777" w:rsidR="00947A2C" w:rsidRDefault="00947A2C" w:rsidP="00F2498E">
      <w:pPr>
        <w:spacing w:line="240" w:lineRule="auto"/>
      </w:pPr>
      <w:r>
        <w:continuationSeparator/>
      </w:r>
    </w:p>
  </w:footnote>
  <w:footnote w:type="continuationNotice" w:id="1">
    <w:p w14:paraId="4B07EE10" w14:textId="77777777" w:rsidR="00947A2C" w:rsidRDefault="00947A2C">
      <w:pPr>
        <w:spacing w:line="240" w:lineRule="auto"/>
      </w:pPr>
    </w:p>
  </w:footnote>
  <w:footnote w:id="2">
    <w:p w14:paraId="3C4A6F48" w14:textId="77777777" w:rsidR="00421EB7" w:rsidRPr="008544CF" w:rsidRDefault="00421EB7" w:rsidP="00C5688E">
      <w:pPr>
        <w:spacing w:line="240" w:lineRule="auto"/>
        <w:rPr>
          <w:rFonts w:eastAsia="Times New Roman"/>
          <w:b/>
          <w:bCs/>
          <w:i/>
          <w:sz w:val="18"/>
          <w:szCs w:val="18"/>
        </w:rPr>
      </w:pPr>
      <w:r w:rsidRPr="008544CF">
        <w:rPr>
          <w:rStyle w:val="Refdenotaalpie"/>
          <w:sz w:val="18"/>
          <w:szCs w:val="18"/>
        </w:rPr>
        <w:footnoteRef/>
      </w:r>
      <w:r w:rsidRPr="008544CF">
        <w:rPr>
          <w:sz w:val="18"/>
          <w:szCs w:val="18"/>
        </w:rPr>
        <w:t xml:space="preserve"> </w:t>
      </w:r>
      <w:r w:rsidRPr="008544CF">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E9BEF0E" w14:textId="77777777" w:rsidR="00421EB7" w:rsidRPr="008544CF" w:rsidRDefault="00421EB7" w:rsidP="00C5688E">
      <w:pPr>
        <w:spacing w:line="240" w:lineRule="auto"/>
        <w:rPr>
          <w:i/>
          <w:sz w:val="18"/>
          <w:szCs w:val="18"/>
        </w:rPr>
      </w:pPr>
      <w:r w:rsidRPr="008544CF">
        <w:rPr>
          <w:i/>
          <w:sz w:val="18"/>
          <w:szCs w:val="18"/>
        </w:rPr>
        <w:t>Del examen de compatibilidad de los artículos</w:t>
      </w:r>
      <w:r>
        <w:rPr>
          <w:rStyle w:val="apple-converted-space"/>
          <w:i/>
          <w:sz w:val="18"/>
          <w:szCs w:val="18"/>
        </w:rPr>
        <w:t xml:space="preserve"> </w:t>
      </w:r>
      <w:hyperlink r:id="rId1" w:history="1">
        <w:r w:rsidRPr="008544CF">
          <w:rPr>
            <w:rStyle w:val="Hipervnculo"/>
            <w:i/>
            <w:color w:val="auto"/>
            <w:sz w:val="18"/>
            <w:szCs w:val="18"/>
          </w:rPr>
          <w:t>73 y 74 de la Ley de Amparo</w:t>
        </w:r>
      </w:hyperlink>
      <w:r>
        <w:rPr>
          <w:rStyle w:val="apple-converted-space"/>
          <w:i/>
          <w:sz w:val="18"/>
          <w:szCs w:val="18"/>
        </w:rPr>
        <w:t xml:space="preserve"> </w:t>
      </w:r>
      <w:r w:rsidRPr="008544CF">
        <w:rPr>
          <w:i/>
          <w:sz w:val="18"/>
          <w:szCs w:val="18"/>
        </w:rPr>
        <w:t>con el artículo</w:t>
      </w:r>
      <w:r>
        <w:rPr>
          <w:rStyle w:val="apple-converted-space"/>
          <w:i/>
          <w:sz w:val="18"/>
          <w:szCs w:val="18"/>
        </w:rPr>
        <w:t xml:space="preserve"> </w:t>
      </w:r>
      <w:hyperlink r:id="rId2" w:history="1">
        <w:r w:rsidRPr="008544CF">
          <w:rPr>
            <w:rStyle w:val="Hipervnculo"/>
            <w:i/>
            <w:color w:val="auto"/>
            <w:sz w:val="18"/>
            <w:szCs w:val="18"/>
          </w:rPr>
          <w:t>25.1 de la Convención Americana sobre Derechos Humanos</w:t>
        </w:r>
      </w:hyperlink>
      <w:r>
        <w:rPr>
          <w:rStyle w:val="apple-converted-space"/>
          <w:i/>
          <w:sz w:val="18"/>
          <w:szCs w:val="18"/>
        </w:rPr>
        <w:t xml:space="preserve"> </w:t>
      </w:r>
      <w:r w:rsidRPr="008544CF">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44CF">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544CF">
        <w:rPr>
          <w:i/>
          <w:sz w:val="18"/>
          <w:szCs w:val="18"/>
        </w:rPr>
        <w:t>concesoria</w:t>
      </w:r>
      <w:proofErr w:type="spellEnd"/>
      <w:r w:rsidRPr="008544CF">
        <w:rPr>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BCC021A" w14:textId="3A0C23F7" w:rsidR="00421EB7" w:rsidRDefault="00421EB7">
      <w:pPr>
        <w:pStyle w:val="Textonotapie"/>
      </w:pPr>
      <w:r>
        <w:rPr>
          <w:rStyle w:val="Refdenotaalpie"/>
        </w:rPr>
        <w:footnoteRef/>
      </w:r>
      <w:r>
        <w:t xml:space="preserve"> </w:t>
      </w:r>
      <w:r w:rsidRPr="6A5992C8">
        <w:rPr>
          <w:rFonts w:eastAsia="Palatino Linotype" w:cs="Palatino Linotype"/>
          <w:sz w:val="16"/>
          <w:szCs w:val="16"/>
          <w:lang w:val="es-ES"/>
        </w:rPr>
        <w:t xml:space="preserve">BURGOA ORIHUELA Ignacio. </w:t>
      </w:r>
      <w:r w:rsidRPr="6A5992C8">
        <w:rPr>
          <w:rFonts w:eastAsia="Palatino Linotype" w:cs="Palatino Linotype"/>
          <w:i/>
          <w:iCs/>
          <w:sz w:val="16"/>
          <w:szCs w:val="16"/>
          <w:lang w:val="es-ES"/>
        </w:rPr>
        <w:t>Diccionario De Derecho Constitucional, Garantías y Amparo</w:t>
      </w:r>
      <w:r w:rsidRPr="6A5992C8">
        <w:rPr>
          <w:rFonts w:eastAsia="Palatino Linotype" w:cs="Palatino Linotype"/>
          <w:sz w:val="16"/>
          <w:szCs w:val="16"/>
          <w:lang w:val="es-ES"/>
        </w:rPr>
        <w:t xml:space="preserve">. Ed. Porrúa, S.A., México. 1992. </w:t>
      </w:r>
      <w:r>
        <w:rPr>
          <w:rFonts w:eastAsia="Palatino Linotype" w:cs="Palatino Linotype"/>
          <w:sz w:val="16"/>
          <w:szCs w:val="16"/>
          <w:lang w:val="es-ES"/>
        </w:rPr>
        <w:t>Pág</w:t>
      </w:r>
      <w:r w:rsidRPr="6A5992C8">
        <w:rPr>
          <w:rFonts w:eastAsia="Palatino Linotype" w:cs="Palatino Linotype"/>
          <w:sz w:val="16"/>
          <w:szCs w:val="16"/>
          <w:lang w:val="es-ES"/>
        </w:rPr>
        <w:t>. 115.</w:t>
      </w:r>
    </w:p>
  </w:footnote>
  <w:footnote w:id="4">
    <w:p w14:paraId="7A67C712" w14:textId="5E56FE34" w:rsidR="00421EB7" w:rsidRDefault="00421EB7">
      <w:pPr>
        <w:pStyle w:val="Textonotapie"/>
      </w:pPr>
      <w:r>
        <w:rPr>
          <w:rStyle w:val="Refdenotaalpie"/>
        </w:rPr>
        <w:footnoteRef/>
      </w:r>
      <w:r>
        <w:t xml:space="preserve"> </w:t>
      </w:r>
      <w:r w:rsidRPr="6A5992C8">
        <w:rPr>
          <w:rFonts w:eastAsia="Palatino Linotype" w:cs="Palatino Linotype"/>
          <w:sz w:val="16"/>
          <w:szCs w:val="16"/>
          <w:lang w:val="es-ES"/>
        </w:rPr>
        <w:t xml:space="preserve">CIENFUEGOS SALGADO David. </w:t>
      </w:r>
      <w:r w:rsidRPr="6A5992C8">
        <w:rPr>
          <w:rFonts w:eastAsia="Palatino Linotype" w:cs="Palatino Linotype"/>
          <w:i/>
          <w:iCs/>
          <w:sz w:val="16"/>
          <w:szCs w:val="16"/>
          <w:lang w:val="es-ES"/>
        </w:rPr>
        <w:t xml:space="preserve">El Derecho de Petición en México. </w:t>
      </w:r>
      <w:r w:rsidRPr="6A5992C8">
        <w:rPr>
          <w:rFonts w:eastAsia="Palatino Linotype" w:cs="Palatino Linotype"/>
          <w:sz w:val="16"/>
          <w:szCs w:val="16"/>
          <w:lang w:val="es-ES"/>
        </w:rPr>
        <w:t>Ed. Instituto de Investigaciones Jurídica UNAM. México 2004. P</w:t>
      </w:r>
      <w:r>
        <w:rPr>
          <w:rFonts w:eastAsia="Palatino Linotype" w:cs="Palatino Linotype"/>
          <w:sz w:val="16"/>
          <w:szCs w:val="16"/>
          <w:lang w:val="es-ES"/>
        </w:rPr>
        <w:t>ág.</w:t>
      </w:r>
      <w:r w:rsidRPr="6A5992C8">
        <w:rPr>
          <w:rFonts w:eastAsia="Palatino Linotype" w:cs="Palatino Linotype"/>
          <w:sz w:val="16"/>
          <w:szCs w:val="16"/>
          <w:lang w:val="es-ES"/>
        </w:rPr>
        <w:t xml:space="preserve"> 31</w:t>
      </w:r>
    </w:p>
  </w:footnote>
  <w:footnote w:id="5">
    <w:p w14:paraId="41EA767B" w14:textId="4C975859" w:rsidR="00421EB7" w:rsidRDefault="00421EB7">
      <w:pPr>
        <w:pStyle w:val="Textonotapie"/>
      </w:pPr>
      <w:r>
        <w:rPr>
          <w:rStyle w:val="Refdenotaalpie"/>
        </w:rPr>
        <w:footnoteRef/>
      </w:r>
      <w:r>
        <w:t xml:space="preserve"> </w:t>
      </w:r>
      <w:r w:rsidRPr="6A5992C8">
        <w:rPr>
          <w:rFonts w:eastAsia="Palatino Linotype" w:cs="Palatino Linotype"/>
          <w:sz w:val="16"/>
          <w:szCs w:val="16"/>
          <w:lang w:val="es-ES"/>
        </w:rPr>
        <w:t xml:space="preserve">ROBLES HERNÁNDEZ José Guadalupe. </w:t>
      </w:r>
      <w:r w:rsidRPr="6A5992C8">
        <w:rPr>
          <w:rFonts w:eastAsia="Palatino Linotype" w:cs="Palatino Linotype"/>
          <w:i/>
          <w:iCs/>
          <w:sz w:val="16"/>
          <w:szCs w:val="16"/>
          <w:lang w:val="es-ES"/>
        </w:rPr>
        <w:t xml:space="preserve">Derecho de la Información y Comunicación Pública. </w:t>
      </w:r>
      <w:r w:rsidRPr="6A5992C8">
        <w:rPr>
          <w:rFonts w:eastAsia="Palatino Linotype" w:cs="Palatino Linotype"/>
          <w:sz w:val="16"/>
          <w:szCs w:val="16"/>
          <w:lang w:val="es-ES"/>
        </w:rPr>
        <w:t>Ed. Universidad de Occidente. México. 2004, p</w:t>
      </w:r>
      <w:r>
        <w:rPr>
          <w:rFonts w:eastAsia="Palatino Linotype" w:cs="Palatino Linotype"/>
          <w:sz w:val="16"/>
          <w:szCs w:val="16"/>
          <w:lang w:val="es-ES"/>
        </w:rPr>
        <w:t>ág</w:t>
      </w:r>
      <w:r w:rsidRPr="6A5992C8">
        <w:rPr>
          <w:rFonts w:eastAsia="Palatino Linotype" w:cs="Palatino Linotype"/>
          <w:sz w:val="16"/>
          <w:szCs w:val="16"/>
          <w:lang w:val="es-ES"/>
        </w:rPr>
        <w:t>. 72</w:t>
      </w:r>
    </w:p>
  </w:footnote>
  <w:footnote w:id="6">
    <w:p w14:paraId="49DA3BAE" w14:textId="5DB5B774" w:rsidR="00421EB7" w:rsidRDefault="00421EB7">
      <w:pPr>
        <w:pStyle w:val="Textonotapie"/>
      </w:pPr>
      <w:r>
        <w:rPr>
          <w:rStyle w:val="Refdenotaalpie"/>
        </w:rPr>
        <w:footnoteRef/>
      </w:r>
      <w:r>
        <w:t xml:space="preserve"> </w:t>
      </w:r>
      <w:r w:rsidRPr="6A5992C8">
        <w:rPr>
          <w:rFonts w:eastAsia="Palatino Linotype" w:cs="Palatino Linotype"/>
          <w:sz w:val="16"/>
          <w:szCs w:val="16"/>
          <w:lang w:val="es-ES"/>
        </w:rPr>
        <w:t xml:space="preserve">VILLANUEVA </w:t>
      </w:r>
      <w:proofErr w:type="spellStart"/>
      <w:r w:rsidRPr="6A5992C8">
        <w:rPr>
          <w:rFonts w:eastAsia="Palatino Linotype" w:cs="Palatino Linotype"/>
          <w:sz w:val="16"/>
          <w:szCs w:val="16"/>
          <w:lang w:val="es-ES"/>
        </w:rPr>
        <w:t>VILLANUEVA</w:t>
      </w:r>
      <w:proofErr w:type="spellEnd"/>
      <w:r w:rsidRPr="6A5992C8">
        <w:rPr>
          <w:rFonts w:eastAsia="Palatino Linotype" w:cs="Palatino Linotype"/>
          <w:sz w:val="16"/>
          <w:szCs w:val="16"/>
          <w:lang w:val="es-ES"/>
        </w:rPr>
        <w:t xml:space="preserve"> Ernesto. Derecho de la Información, Ed. Porrúa. S.A., México. 2006. </w:t>
      </w:r>
      <w:r>
        <w:rPr>
          <w:rFonts w:eastAsia="Palatino Linotype" w:cs="Palatino Linotype"/>
          <w:sz w:val="16"/>
          <w:szCs w:val="16"/>
          <w:lang w:val="es-ES"/>
        </w:rPr>
        <w:t xml:space="preserve">Pág. </w:t>
      </w:r>
      <w:r w:rsidRPr="6A5992C8">
        <w:rPr>
          <w:rFonts w:eastAsia="Palatino Linotype" w:cs="Palatino Linotype"/>
          <w:sz w:val="16"/>
          <w:szCs w:val="16"/>
          <w:lang w:val="es-ES"/>
        </w:rPr>
        <w:t>270</w:t>
      </w:r>
    </w:p>
  </w:footnote>
  <w:footnote w:id="7">
    <w:p w14:paraId="692AAB59" w14:textId="77777777" w:rsidR="00421EB7" w:rsidRDefault="00421EB7" w:rsidP="005B29AC">
      <w:pPr>
        <w:pStyle w:val="Textonotapie"/>
      </w:pPr>
      <w:r>
        <w:rPr>
          <w:rStyle w:val="Refdenotaalpie"/>
        </w:rPr>
        <w:footnoteRef/>
      </w:r>
      <w:r>
        <w:t xml:space="preserve"> Tesis 1a</w:t>
      </w:r>
      <w:proofErr w:type="gramStart"/>
      <w:r>
        <w:t>./</w:t>
      </w:r>
      <w:proofErr w:type="gramEnd"/>
      <w:r>
        <w:t xml:space="preserve">J. 3/99, </w:t>
      </w:r>
      <w:r w:rsidRPr="00F74234">
        <w:rPr>
          <w:i/>
          <w:iCs/>
        </w:rPr>
        <w:t>Semanario Judicial de la Federación y su Gaceta</w:t>
      </w:r>
      <w:r>
        <w:t>, Novena Época, tomo IX, enero de 1999, pág. 13.</w:t>
      </w:r>
    </w:p>
  </w:footnote>
  <w:footnote w:id="8">
    <w:p w14:paraId="24FC5E9C" w14:textId="77777777" w:rsidR="00421EB7" w:rsidRPr="0027331A" w:rsidRDefault="00421EB7" w:rsidP="005B29AC">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21EB7" w:rsidRDefault="00963BB8">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21EB7" w:rsidRPr="00B17577" w14:paraId="37B9EBDE" w14:textId="77777777" w:rsidTr="00650CFB">
      <w:trPr>
        <w:trHeight w:val="227"/>
      </w:trPr>
      <w:tc>
        <w:tcPr>
          <w:tcW w:w="5103" w:type="dxa"/>
          <w:hideMark/>
        </w:tcPr>
        <w:p w14:paraId="4964FBC5" w14:textId="54CDA645" w:rsidR="00421EB7" w:rsidRPr="00096248" w:rsidRDefault="00421EB7"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C45172E" w:rsidR="00421EB7" w:rsidRPr="00096248" w:rsidRDefault="00421EB7" w:rsidP="00024178">
          <w:pPr>
            <w:spacing w:after="120" w:line="240" w:lineRule="auto"/>
            <w:ind w:right="71"/>
            <w:jc w:val="right"/>
            <w:rPr>
              <w:rFonts w:cs="Arial"/>
              <w:b/>
              <w:szCs w:val="24"/>
            </w:rPr>
          </w:pPr>
          <w:r>
            <w:rPr>
              <w:rFonts w:cs="Arial"/>
              <w:b/>
              <w:bCs/>
              <w:szCs w:val="24"/>
            </w:rPr>
            <w:t>03815/INFOEM/IP/RR/2025</w:t>
          </w:r>
        </w:p>
      </w:tc>
    </w:tr>
    <w:tr w:rsidR="00421EB7" w14:paraId="7591D3C9" w14:textId="77777777" w:rsidTr="00650CFB">
      <w:trPr>
        <w:trHeight w:val="242"/>
      </w:trPr>
      <w:tc>
        <w:tcPr>
          <w:tcW w:w="5103" w:type="dxa"/>
          <w:hideMark/>
        </w:tcPr>
        <w:p w14:paraId="729A65A8" w14:textId="77777777" w:rsidR="00421EB7" w:rsidRPr="00096248" w:rsidRDefault="00421EB7"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D9198E9" w:rsidR="00421EB7" w:rsidRPr="00096248" w:rsidRDefault="00421EB7" w:rsidP="003E60BE">
          <w:pPr>
            <w:spacing w:after="120" w:line="240" w:lineRule="auto"/>
            <w:ind w:left="-74" w:right="74"/>
            <w:jc w:val="right"/>
            <w:rPr>
              <w:rFonts w:cs="Arial"/>
              <w:szCs w:val="24"/>
            </w:rPr>
          </w:pPr>
          <w:r>
            <w:rPr>
              <w:rFonts w:cs="Arial"/>
              <w:szCs w:val="24"/>
            </w:rPr>
            <w:t>Comisión del Agua del Estado de México</w:t>
          </w:r>
        </w:p>
      </w:tc>
    </w:tr>
    <w:tr w:rsidR="00421EB7" w:rsidRPr="00F63239" w14:paraId="037E914D" w14:textId="77777777" w:rsidTr="00650CFB">
      <w:trPr>
        <w:trHeight w:val="342"/>
      </w:trPr>
      <w:tc>
        <w:tcPr>
          <w:tcW w:w="5103" w:type="dxa"/>
          <w:hideMark/>
        </w:tcPr>
        <w:p w14:paraId="7676B68F" w14:textId="64D69EAF" w:rsidR="00421EB7" w:rsidRPr="00096248" w:rsidRDefault="00421EB7"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421EB7" w:rsidRPr="00096248" w:rsidRDefault="00421EB7"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421EB7" w:rsidRPr="00165289" w:rsidRDefault="00963BB8">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82.25pt;margin-top:-157.7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421EB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421EB7" w14:paraId="0F9FE9B6" w14:textId="77777777" w:rsidTr="00650CFB">
      <w:trPr>
        <w:trHeight w:val="227"/>
      </w:trPr>
      <w:tc>
        <w:tcPr>
          <w:tcW w:w="5245" w:type="dxa"/>
          <w:hideMark/>
        </w:tcPr>
        <w:p w14:paraId="6D1D9D71" w14:textId="11150E5A" w:rsidR="00421EB7" w:rsidRPr="00663A37" w:rsidRDefault="00421EB7"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2704646" w:rsidR="00421EB7" w:rsidRPr="00096248" w:rsidRDefault="00421EB7" w:rsidP="007B095F">
          <w:pPr>
            <w:spacing w:after="120" w:line="240" w:lineRule="auto"/>
            <w:ind w:left="72" w:right="68"/>
            <w:jc w:val="right"/>
            <w:rPr>
              <w:rFonts w:cs="Arial"/>
              <w:b/>
              <w:szCs w:val="24"/>
            </w:rPr>
          </w:pPr>
          <w:r>
            <w:rPr>
              <w:rFonts w:cs="Arial"/>
              <w:b/>
              <w:bCs/>
              <w:szCs w:val="24"/>
            </w:rPr>
            <w:t>03815/INFOEM/IP/RR/2025</w:t>
          </w:r>
        </w:p>
      </w:tc>
    </w:tr>
    <w:tr w:rsidR="00421EB7" w:rsidRPr="001F57CD" w14:paraId="1377D264" w14:textId="77777777" w:rsidTr="00650CFB">
      <w:trPr>
        <w:trHeight w:val="196"/>
      </w:trPr>
      <w:tc>
        <w:tcPr>
          <w:tcW w:w="5245" w:type="dxa"/>
          <w:hideMark/>
        </w:tcPr>
        <w:p w14:paraId="04D597A1" w14:textId="77777777" w:rsidR="00421EB7" w:rsidRPr="00663A37" w:rsidRDefault="00421EB7"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4ECD70F" w:rsidR="00421EB7" w:rsidRPr="00791E10" w:rsidRDefault="00963BB8" w:rsidP="007B095F">
          <w:pPr>
            <w:spacing w:after="120" w:line="240" w:lineRule="auto"/>
            <w:ind w:left="-70" w:right="68"/>
            <w:jc w:val="right"/>
            <w:rPr>
              <w:rFonts w:cs="Arial"/>
              <w:szCs w:val="24"/>
            </w:rPr>
          </w:pPr>
          <w:r>
            <w:rPr>
              <w:rFonts w:cs="Arial"/>
              <w:szCs w:val="24"/>
            </w:rPr>
            <w:t>XXXX</w:t>
          </w:r>
        </w:p>
      </w:tc>
    </w:tr>
    <w:tr w:rsidR="00421EB7" w14:paraId="4DC11993" w14:textId="77777777" w:rsidTr="00650CFB">
      <w:trPr>
        <w:trHeight w:val="242"/>
      </w:trPr>
      <w:tc>
        <w:tcPr>
          <w:tcW w:w="5245" w:type="dxa"/>
          <w:hideMark/>
        </w:tcPr>
        <w:p w14:paraId="76CEF1B5" w14:textId="77777777" w:rsidR="00421EB7" w:rsidRPr="00663A37" w:rsidRDefault="00421EB7"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B9EDACF" w:rsidR="00421EB7" w:rsidRPr="00663A37" w:rsidRDefault="00421EB7" w:rsidP="007B095F">
          <w:pPr>
            <w:spacing w:after="120" w:line="240" w:lineRule="auto"/>
            <w:ind w:left="-70" w:right="68"/>
            <w:jc w:val="right"/>
            <w:rPr>
              <w:rFonts w:cs="Arial"/>
              <w:szCs w:val="24"/>
            </w:rPr>
          </w:pPr>
          <w:r>
            <w:rPr>
              <w:rFonts w:cs="Arial"/>
              <w:szCs w:val="24"/>
            </w:rPr>
            <w:t>Comisión del Agua del Estado de México</w:t>
          </w:r>
        </w:p>
      </w:tc>
    </w:tr>
    <w:tr w:rsidR="00421EB7" w14:paraId="5C2B511D" w14:textId="77777777" w:rsidTr="00650CFB">
      <w:trPr>
        <w:trHeight w:val="342"/>
      </w:trPr>
      <w:tc>
        <w:tcPr>
          <w:tcW w:w="5245" w:type="dxa"/>
          <w:hideMark/>
        </w:tcPr>
        <w:p w14:paraId="03FEF68C" w14:textId="45E91CF4" w:rsidR="00421EB7" w:rsidRPr="00663A37" w:rsidRDefault="00421EB7"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21EB7" w:rsidRPr="00663A37" w:rsidRDefault="00421EB7"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421EB7" w:rsidRPr="0037201A" w:rsidRDefault="00963BB8">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81.5pt;margin-top:-157.0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421EB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56B37"/>
    <w:multiLevelType w:val="hybridMultilevel"/>
    <w:tmpl w:val="C35C36A6"/>
    <w:lvl w:ilvl="0" w:tplc="E8A214DC">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A11412F"/>
    <w:multiLevelType w:val="hybridMultilevel"/>
    <w:tmpl w:val="BF90B314"/>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E41656"/>
    <w:multiLevelType w:val="hybridMultilevel"/>
    <w:tmpl w:val="A70CF7CC"/>
    <w:lvl w:ilvl="0" w:tplc="72FCA474">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265B292C"/>
    <w:multiLevelType w:val="hybridMultilevel"/>
    <w:tmpl w:val="5BE61A62"/>
    <w:lvl w:ilvl="0" w:tplc="89AE71AE">
      <w:start w:val="1"/>
      <w:numFmt w:val="decimal"/>
      <w:lvlText w:val="%1)"/>
      <w:lvlJc w:val="left"/>
      <w:pPr>
        <w:ind w:left="1559"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814C97"/>
    <w:multiLevelType w:val="hybridMultilevel"/>
    <w:tmpl w:val="218A1410"/>
    <w:lvl w:ilvl="0" w:tplc="21AE844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437B1476"/>
    <w:multiLevelType w:val="hybridMultilevel"/>
    <w:tmpl w:val="A1CCB246"/>
    <w:lvl w:ilvl="0" w:tplc="C39CB47E">
      <w:start w:val="1"/>
      <w:numFmt w:val="decimal"/>
      <w:lvlText w:val="%1."/>
      <w:lvlJc w:val="left"/>
      <w:pPr>
        <w:ind w:left="709" w:hanging="425"/>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EB3AB3"/>
    <w:multiLevelType w:val="hybridMultilevel"/>
    <w:tmpl w:val="497CA7D0"/>
    <w:lvl w:ilvl="0" w:tplc="C3A4142C">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8"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52C3253"/>
    <w:multiLevelType w:val="hybridMultilevel"/>
    <w:tmpl w:val="ABD832B0"/>
    <w:lvl w:ilvl="0" w:tplc="EDDEF01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66426D"/>
    <w:multiLevelType w:val="hybridMultilevel"/>
    <w:tmpl w:val="5E9E6FA4"/>
    <w:lvl w:ilvl="0" w:tplc="89AE71AE">
      <w:start w:val="1"/>
      <w:numFmt w:val="decimal"/>
      <w:lvlText w:val="%1)"/>
      <w:lvlJc w:val="left"/>
      <w:pPr>
        <w:ind w:left="992" w:hanging="425"/>
      </w:pPr>
      <w:rPr>
        <w:rFonts w:hint="default"/>
        <w:i/>
        <w:iCs/>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B7674A"/>
    <w:multiLevelType w:val="hybridMultilevel"/>
    <w:tmpl w:val="5C74223C"/>
    <w:lvl w:ilvl="0" w:tplc="0E5C4C3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06387D"/>
    <w:multiLevelType w:val="hybridMultilevel"/>
    <w:tmpl w:val="A70CF7CC"/>
    <w:lvl w:ilvl="0" w:tplc="72FCA474">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638362E0"/>
    <w:multiLevelType w:val="hybridMultilevel"/>
    <w:tmpl w:val="45902074"/>
    <w:lvl w:ilvl="0" w:tplc="E278BC0A">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3166E84"/>
    <w:multiLevelType w:val="hybridMultilevel"/>
    <w:tmpl w:val="20E44E92"/>
    <w:lvl w:ilvl="0" w:tplc="38DA763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6C31DF"/>
    <w:multiLevelType w:val="hybridMultilevel"/>
    <w:tmpl w:val="5456C38C"/>
    <w:lvl w:ilvl="0" w:tplc="4962C5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95401C"/>
    <w:multiLevelType w:val="hybridMultilevel"/>
    <w:tmpl w:val="AFDCFE5A"/>
    <w:lvl w:ilvl="0" w:tplc="A866EAF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48"/>
  </w:num>
  <w:num w:numId="3">
    <w:abstractNumId w:val="28"/>
  </w:num>
  <w:num w:numId="4">
    <w:abstractNumId w:val="38"/>
  </w:num>
  <w:num w:numId="5">
    <w:abstractNumId w:val="3"/>
  </w:num>
  <w:num w:numId="6">
    <w:abstractNumId w:val="37"/>
  </w:num>
  <w:num w:numId="7">
    <w:abstractNumId w:val="4"/>
  </w:num>
  <w:num w:numId="8">
    <w:abstractNumId w:val="34"/>
  </w:num>
  <w:num w:numId="9">
    <w:abstractNumId w:val="6"/>
  </w:num>
  <w:num w:numId="10">
    <w:abstractNumId w:val="41"/>
  </w:num>
  <w:num w:numId="11">
    <w:abstractNumId w:val="0"/>
  </w:num>
  <w:num w:numId="12">
    <w:abstractNumId w:val="16"/>
  </w:num>
  <w:num w:numId="13">
    <w:abstractNumId w:val="8"/>
  </w:num>
  <w:num w:numId="14">
    <w:abstractNumId w:val="14"/>
  </w:num>
  <w:num w:numId="15">
    <w:abstractNumId w:val="11"/>
  </w:num>
  <w:num w:numId="16">
    <w:abstractNumId w:val="19"/>
  </w:num>
  <w:num w:numId="17">
    <w:abstractNumId w:val="24"/>
  </w:num>
  <w:num w:numId="18">
    <w:abstractNumId w:val="39"/>
  </w:num>
  <w:num w:numId="19">
    <w:abstractNumId w:val="40"/>
  </w:num>
  <w:num w:numId="20">
    <w:abstractNumId w:val="23"/>
  </w:num>
  <w:num w:numId="21">
    <w:abstractNumId w:val="5"/>
  </w:num>
  <w:num w:numId="22">
    <w:abstractNumId w:val="32"/>
  </w:num>
  <w:num w:numId="23">
    <w:abstractNumId w:val="2"/>
  </w:num>
  <w:num w:numId="24">
    <w:abstractNumId w:val="13"/>
  </w:num>
  <w:num w:numId="25">
    <w:abstractNumId w:val="21"/>
  </w:num>
  <w:num w:numId="26">
    <w:abstractNumId w:val="18"/>
  </w:num>
  <w:num w:numId="27">
    <w:abstractNumId w:val="26"/>
  </w:num>
  <w:num w:numId="28">
    <w:abstractNumId w:val="25"/>
  </w:num>
  <w:num w:numId="29">
    <w:abstractNumId w:val="36"/>
  </w:num>
  <w:num w:numId="30">
    <w:abstractNumId w:val="17"/>
  </w:num>
  <w:num w:numId="31">
    <w:abstractNumId w:val="45"/>
  </w:num>
  <w:num w:numId="32">
    <w:abstractNumId w:val="1"/>
  </w:num>
  <w:num w:numId="33">
    <w:abstractNumId w:val="44"/>
  </w:num>
  <w:num w:numId="34">
    <w:abstractNumId w:val="35"/>
  </w:num>
  <w:num w:numId="35">
    <w:abstractNumId w:val="12"/>
  </w:num>
  <w:num w:numId="36">
    <w:abstractNumId w:val="43"/>
  </w:num>
  <w:num w:numId="37">
    <w:abstractNumId w:val="30"/>
  </w:num>
  <w:num w:numId="38">
    <w:abstractNumId w:val="46"/>
  </w:num>
  <w:num w:numId="39">
    <w:abstractNumId w:val="33"/>
  </w:num>
  <w:num w:numId="40">
    <w:abstractNumId w:val="22"/>
  </w:num>
  <w:num w:numId="41">
    <w:abstractNumId w:val="27"/>
  </w:num>
  <w:num w:numId="42">
    <w:abstractNumId w:val="47"/>
  </w:num>
  <w:num w:numId="43">
    <w:abstractNumId w:val="31"/>
  </w:num>
  <w:num w:numId="44">
    <w:abstractNumId w:val="29"/>
  </w:num>
  <w:num w:numId="45">
    <w:abstractNumId w:val="15"/>
  </w:num>
  <w:num w:numId="46">
    <w:abstractNumId w:val="10"/>
  </w:num>
  <w:num w:numId="47">
    <w:abstractNumId w:val="7"/>
  </w:num>
  <w:num w:numId="48">
    <w:abstractNumId w:val="9"/>
  </w:num>
  <w:num w:numId="49">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5EFC"/>
    <w:rsid w:val="00007857"/>
    <w:rsid w:val="00010701"/>
    <w:rsid w:val="000107F4"/>
    <w:rsid w:val="0001151F"/>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4178"/>
    <w:rsid w:val="00024A6D"/>
    <w:rsid w:val="00024E19"/>
    <w:rsid w:val="00026582"/>
    <w:rsid w:val="00027AEF"/>
    <w:rsid w:val="00031BA3"/>
    <w:rsid w:val="00033479"/>
    <w:rsid w:val="00033562"/>
    <w:rsid w:val="00033A86"/>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4416"/>
    <w:rsid w:val="0005480B"/>
    <w:rsid w:val="00054F6A"/>
    <w:rsid w:val="00055891"/>
    <w:rsid w:val="00055C90"/>
    <w:rsid w:val="000564B5"/>
    <w:rsid w:val="00056D77"/>
    <w:rsid w:val="000575E4"/>
    <w:rsid w:val="0005787D"/>
    <w:rsid w:val="00057B42"/>
    <w:rsid w:val="00060716"/>
    <w:rsid w:val="00061B46"/>
    <w:rsid w:val="00061B8D"/>
    <w:rsid w:val="000626A5"/>
    <w:rsid w:val="00064854"/>
    <w:rsid w:val="00065463"/>
    <w:rsid w:val="00065A8D"/>
    <w:rsid w:val="00065BD0"/>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0C73"/>
    <w:rsid w:val="000B139C"/>
    <w:rsid w:val="000B1C9E"/>
    <w:rsid w:val="000B1F27"/>
    <w:rsid w:val="000B28CF"/>
    <w:rsid w:val="000B2CD4"/>
    <w:rsid w:val="000B30E2"/>
    <w:rsid w:val="000B3E3F"/>
    <w:rsid w:val="000B51CE"/>
    <w:rsid w:val="000B5608"/>
    <w:rsid w:val="000B6502"/>
    <w:rsid w:val="000B65C3"/>
    <w:rsid w:val="000B7091"/>
    <w:rsid w:val="000C0203"/>
    <w:rsid w:val="000C04A1"/>
    <w:rsid w:val="000C066A"/>
    <w:rsid w:val="000C0E5D"/>
    <w:rsid w:val="000C106D"/>
    <w:rsid w:val="000C2D59"/>
    <w:rsid w:val="000C416A"/>
    <w:rsid w:val="000C4680"/>
    <w:rsid w:val="000C51AF"/>
    <w:rsid w:val="000C5CF8"/>
    <w:rsid w:val="000C661C"/>
    <w:rsid w:val="000C7F8F"/>
    <w:rsid w:val="000D14DA"/>
    <w:rsid w:val="000D28AE"/>
    <w:rsid w:val="000D3DF5"/>
    <w:rsid w:val="000D4B93"/>
    <w:rsid w:val="000D4F4F"/>
    <w:rsid w:val="000D55D2"/>
    <w:rsid w:val="000D5634"/>
    <w:rsid w:val="000D5C00"/>
    <w:rsid w:val="000D6218"/>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0F69CC"/>
    <w:rsid w:val="00100A4C"/>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49FA"/>
    <w:rsid w:val="001151B8"/>
    <w:rsid w:val="00115495"/>
    <w:rsid w:val="00116A5A"/>
    <w:rsid w:val="00116E4B"/>
    <w:rsid w:val="00116F6B"/>
    <w:rsid w:val="001214E3"/>
    <w:rsid w:val="00121BF4"/>
    <w:rsid w:val="001233DB"/>
    <w:rsid w:val="001235A0"/>
    <w:rsid w:val="00123D0B"/>
    <w:rsid w:val="00126F9B"/>
    <w:rsid w:val="0013017E"/>
    <w:rsid w:val="00130C18"/>
    <w:rsid w:val="00131C6C"/>
    <w:rsid w:val="00131F2D"/>
    <w:rsid w:val="00132368"/>
    <w:rsid w:val="00134071"/>
    <w:rsid w:val="00134513"/>
    <w:rsid w:val="0013657B"/>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60D0B"/>
    <w:rsid w:val="001624E8"/>
    <w:rsid w:val="00162CEA"/>
    <w:rsid w:val="0016322B"/>
    <w:rsid w:val="0016339A"/>
    <w:rsid w:val="0016393A"/>
    <w:rsid w:val="00164BC0"/>
    <w:rsid w:val="00164F47"/>
    <w:rsid w:val="00165289"/>
    <w:rsid w:val="00165898"/>
    <w:rsid w:val="00166171"/>
    <w:rsid w:val="001665C7"/>
    <w:rsid w:val="00167338"/>
    <w:rsid w:val="00171192"/>
    <w:rsid w:val="00171BBC"/>
    <w:rsid w:val="0017523B"/>
    <w:rsid w:val="00175B42"/>
    <w:rsid w:val="001762E7"/>
    <w:rsid w:val="00176522"/>
    <w:rsid w:val="001809A8"/>
    <w:rsid w:val="001814D7"/>
    <w:rsid w:val="00181A9D"/>
    <w:rsid w:val="00182FC0"/>
    <w:rsid w:val="00184AD2"/>
    <w:rsid w:val="00184AEA"/>
    <w:rsid w:val="00184E57"/>
    <w:rsid w:val="00185C61"/>
    <w:rsid w:val="00187A0A"/>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408E"/>
    <w:rsid w:val="001F4860"/>
    <w:rsid w:val="001F4EDD"/>
    <w:rsid w:val="001F57CD"/>
    <w:rsid w:val="001F5E58"/>
    <w:rsid w:val="001F6672"/>
    <w:rsid w:val="001F7890"/>
    <w:rsid w:val="00200FAD"/>
    <w:rsid w:val="00201765"/>
    <w:rsid w:val="00202496"/>
    <w:rsid w:val="00205FAC"/>
    <w:rsid w:val="00206618"/>
    <w:rsid w:val="0020763C"/>
    <w:rsid w:val="00207E11"/>
    <w:rsid w:val="0021063D"/>
    <w:rsid w:val="00210714"/>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4061"/>
    <w:rsid w:val="002350FF"/>
    <w:rsid w:val="0023573F"/>
    <w:rsid w:val="00236B9A"/>
    <w:rsid w:val="00236BFE"/>
    <w:rsid w:val="00240046"/>
    <w:rsid w:val="0024106E"/>
    <w:rsid w:val="00241510"/>
    <w:rsid w:val="002419CA"/>
    <w:rsid w:val="00242DC4"/>
    <w:rsid w:val="00243024"/>
    <w:rsid w:val="002432E1"/>
    <w:rsid w:val="002441CA"/>
    <w:rsid w:val="00244E59"/>
    <w:rsid w:val="00245AC1"/>
    <w:rsid w:val="00247AF4"/>
    <w:rsid w:val="00247C4A"/>
    <w:rsid w:val="002500AB"/>
    <w:rsid w:val="00252443"/>
    <w:rsid w:val="002547B2"/>
    <w:rsid w:val="0025565C"/>
    <w:rsid w:val="00255FD1"/>
    <w:rsid w:val="00256C6D"/>
    <w:rsid w:val="00256CE0"/>
    <w:rsid w:val="00257411"/>
    <w:rsid w:val="0025786B"/>
    <w:rsid w:val="00261A13"/>
    <w:rsid w:val="00264CA1"/>
    <w:rsid w:val="00264FD6"/>
    <w:rsid w:val="0026506A"/>
    <w:rsid w:val="002704DF"/>
    <w:rsid w:val="00270F03"/>
    <w:rsid w:val="002710B5"/>
    <w:rsid w:val="0027116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6073"/>
    <w:rsid w:val="00296626"/>
    <w:rsid w:val="00296E92"/>
    <w:rsid w:val="00297212"/>
    <w:rsid w:val="002976E7"/>
    <w:rsid w:val="00297CAE"/>
    <w:rsid w:val="002A02E8"/>
    <w:rsid w:val="002A12D4"/>
    <w:rsid w:val="002A1797"/>
    <w:rsid w:val="002A3F98"/>
    <w:rsid w:val="002A51B8"/>
    <w:rsid w:val="002A5ADD"/>
    <w:rsid w:val="002A5FDF"/>
    <w:rsid w:val="002A629C"/>
    <w:rsid w:val="002A6E01"/>
    <w:rsid w:val="002A6FCE"/>
    <w:rsid w:val="002A7370"/>
    <w:rsid w:val="002A7410"/>
    <w:rsid w:val="002A7501"/>
    <w:rsid w:val="002B0BA6"/>
    <w:rsid w:val="002B0EA1"/>
    <w:rsid w:val="002B11F1"/>
    <w:rsid w:val="002B14A2"/>
    <w:rsid w:val="002B317E"/>
    <w:rsid w:val="002B3CE2"/>
    <w:rsid w:val="002B40FF"/>
    <w:rsid w:val="002B5F48"/>
    <w:rsid w:val="002B71A8"/>
    <w:rsid w:val="002B7549"/>
    <w:rsid w:val="002B785F"/>
    <w:rsid w:val="002C0E65"/>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2F05"/>
    <w:rsid w:val="002D4953"/>
    <w:rsid w:val="002D4CD5"/>
    <w:rsid w:val="002D5CCE"/>
    <w:rsid w:val="002D6343"/>
    <w:rsid w:val="002D66E2"/>
    <w:rsid w:val="002E1023"/>
    <w:rsid w:val="002E1484"/>
    <w:rsid w:val="002E37DA"/>
    <w:rsid w:val="002E40AD"/>
    <w:rsid w:val="002E72F0"/>
    <w:rsid w:val="002F3312"/>
    <w:rsid w:val="002F368E"/>
    <w:rsid w:val="002F3AAF"/>
    <w:rsid w:val="002F40FF"/>
    <w:rsid w:val="002F5101"/>
    <w:rsid w:val="002F5D71"/>
    <w:rsid w:val="002F6D1E"/>
    <w:rsid w:val="002F713F"/>
    <w:rsid w:val="00300919"/>
    <w:rsid w:val="0030175D"/>
    <w:rsid w:val="00302B98"/>
    <w:rsid w:val="00302BF3"/>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AEC"/>
    <w:rsid w:val="003228CB"/>
    <w:rsid w:val="00324F09"/>
    <w:rsid w:val="003254AC"/>
    <w:rsid w:val="00327E82"/>
    <w:rsid w:val="00327FDF"/>
    <w:rsid w:val="0033070B"/>
    <w:rsid w:val="00331513"/>
    <w:rsid w:val="00332C5C"/>
    <w:rsid w:val="00333C1B"/>
    <w:rsid w:val="00333CC4"/>
    <w:rsid w:val="0033491A"/>
    <w:rsid w:val="00335395"/>
    <w:rsid w:val="00337088"/>
    <w:rsid w:val="00337638"/>
    <w:rsid w:val="00340ADD"/>
    <w:rsid w:val="00341178"/>
    <w:rsid w:val="003415FD"/>
    <w:rsid w:val="00341B42"/>
    <w:rsid w:val="003423FC"/>
    <w:rsid w:val="00343F62"/>
    <w:rsid w:val="00344766"/>
    <w:rsid w:val="00344AD3"/>
    <w:rsid w:val="00345687"/>
    <w:rsid w:val="00345708"/>
    <w:rsid w:val="00345996"/>
    <w:rsid w:val="00345B55"/>
    <w:rsid w:val="00346373"/>
    <w:rsid w:val="003467CD"/>
    <w:rsid w:val="0034772D"/>
    <w:rsid w:val="0035003B"/>
    <w:rsid w:val="003505B2"/>
    <w:rsid w:val="0035063B"/>
    <w:rsid w:val="0035102E"/>
    <w:rsid w:val="00352677"/>
    <w:rsid w:val="0035277B"/>
    <w:rsid w:val="00357344"/>
    <w:rsid w:val="0036188D"/>
    <w:rsid w:val="00362013"/>
    <w:rsid w:val="00363A92"/>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F77"/>
    <w:rsid w:val="003839F9"/>
    <w:rsid w:val="00385421"/>
    <w:rsid w:val="00386A48"/>
    <w:rsid w:val="00387CF3"/>
    <w:rsid w:val="003912F1"/>
    <w:rsid w:val="00391387"/>
    <w:rsid w:val="003915A6"/>
    <w:rsid w:val="00392022"/>
    <w:rsid w:val="0039214E"/>
    <w:rsid w:val="0039256B"/>
    <w:rsid w:val="00392BD0"/>
    <w:rsid w:val="0039393F"/>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E9B"/>
    <w:rsid w:val="003C4FF5"/>
    <w:rsid w:val="003C744C"/>
    <w:rsid w:val="003C76DE"/>
    <w:rsid w:val="003D0AE2"/>
    <w:rsid w:val="003D3477"/>
    <w:rsid w:val="003D5450"/>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E79CF"/>
    <w:rsid w:val="003F2479"/>
    <w:rsid w:val="003F2491"/>
    <w:rsid w:val="003F308A"/>
    <w:rsid w:val="003F5935"/>
    <w:rsid w:val="003F5A90"/>
    <w:rsid w:val="003F5BC3"/>
    <w:rsid w:val="003F5D5C"/>
    <w:rsid w:val="003F6192"/>
    <w:rsid w:val="00400915"/>
    <w:rsid w:val="00400F00"/>
    <w:rsid w:val="00403319"/>
    <w:rsid w:val="004036DA"/>
    <w:rsid w:val="00405AC4"/>
    <w:rsid w:val="00406793"/>
    <w:rsid w:val="0040697D"/>
    <w:rsid w:val="00411C60"/>
    <w:rsid w:val="00411F8F"/>
    <w:rsid w:val="004135D8"/>
    <w:rsid w:val="00414020"/>
    <w:rsid w:val="0041428D"/>
    <w:rsid w:val="004154DB"/>
    <w:rsid w:val="00416148"/>
    <w:rsid w:val="00417379"/>
    <w:rsid w:val="004176BF"/>
    <w:rsid w:val="004203BE"/>
    <w:rsid w:val="004204D0"/>
    <w:rsid w:val="00420AC4"/>
    <w:rsid w:val="00421EB7"/>
    <w:rsid w:val="004232C6"/>
    <w:rsid w:val="0042368D"/>
    <w:rsid w:val="004238AA"/>
    <w:rsid w:val="004243E8"/>
    <w:rsid w:val="00425304"/>
    <w:rsid w:val="00425702"/>
    <w:rsid w:val="00425AF3"/>
    <w:rsid w:val="00426124"/>
    <w:rsid w:val="00426F24"/>
    <w:rsid w:val="00430498"/>
    <w:rsid w:val="004306BE"/>
    <w:rsid w:val="00430704"/>
    <w:rsid w:val="004310BB"/>
    <w:rsid w:val="00432EF2"/>
    <w:rsid w:val="004338C7"/>
    <w:rsid w:val="00433A07"/>
    <w:rsid w:val="00433BF2"/>
    <w:rsid w:val="00433E65"/>
    <w:rsid w:val="00434C3F"/>
    <w:rsid w:val="00436A9A"/>
    <w:rsid w:val="004403F7"/>
    <w:rsid w:val="004406B5"/>
    <w:rsid w:val="0044148C"/>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EC9"/>
    <w:rsid w:val="004841AE"/>
    <w:rsid w:val="00484548"/>
    <w:rsid w:val="00484C7F"/>
    <w:rsid w:val="00485194"/>
    <w:rsid w:val="0048628D"/>
    <w:rsid w:val="00487A95"/>
    <w:rsid w:val="0049095E"/>
    <w:rsid w:val="004916E5"/>
    <w:rsid w:val="004933FC"/>
    <w:rsid w:val="00493B60"/>
    <w:rsid w:val="00493BA8"/>
    <w:rsid w:val="00494029"/>
    <w:rsid w:val="004960CF"/>
    <w:rsid w:val="004A212C"/>
    <w:rsid w:val="004A6D54"/>
    <w:rsid w:val="004B0090"/>
    <w:rsid w:val="004B05C6"/>
    <w:rsid w:val="004B100D"/>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7CA5"/>
    <w:rsid w:val="004C7D54"/>
    <w:rsid w:val="004D0234"/>
    <w:rsid w:val="004D0CC4"/>
    <w:rsid w:val="004D12E1"/>
    <w:rsid w:val="004D2698"/>
    <w:rsid w:val="004D3536"/>
    <w:rsid w:val="004D4942"/>
    <w:rsid w:val="004D571F"/>
    <w:rsid w:val="004D6095"/>
    <w:rsid w:val="004D65CC"/>
    <w:rsid w:val="004D66AD"/>
    <w:rsid w:val="004E07A1"/>
    <w:rsid w:val="004E1729"/>
    <w:rsid w:val="004E1B3C"/>
    <w:rsid w:val="004E2A2B"/>
    <w:rsid w:val="004E358F"/>
    <w:rsid w:val="004E3959"/>
    <w:rsid w:val="004E3F86"/>
    <w:rsid w:val="004E45CA"/>
    <w:rsid w:val="004E4AD1"/>
    <w:rsid w:val="004E5659"/>
    <w:rsid w:val="004E77E1"/>
    <w:rsid w:val="004F0AB7"/>
    <w:rsid w:val="004F2F9C"/>
    <w:rsid w:val="004F2F9E"/>
    <w:rsid w:val="004F3291"/>
    <w:rsid w:val="004F32D0"/>
    <w:rsid w:val="004F483D"/>
    <w:rsid w:val="004F6671"/>
    <w:rsid w:val="004F7009"/>
    <w:rsid w:val="004F784B"/>
    <w:rsid w:val="004F78C4"/>
    <w:rsid w:val="004F7BC1"/>
    <w:rsid w:val="00500557"/>
    <w:rsid w:val="00500E29"/>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66B"/>
    <w:rsid w:val="00527EF6"/>
    <w:rsid w:val="00531016"/>
    <w:rsid w:val="00531528"/>
    <w:rsid w:val="00532218"/>
    <w:rsid w:val="005336A5"/>
    <w:rsid w:val="00533D56"/>
    <w:rsid w:val="00533E23"/>
    <w:rsid w:val="00535912"/>
    <w:rsid w:val="005367E7"/>
    <w:rsid w:val="00541022"/>
    <w:rsid w:val="00542675"/>
    <w:rsid w:val="00542B22"/>
    <w:rsid w:val="00542CB1"/>
    <w:rsid w:val="00542CDB"/>
    <w:rsid w:val="00543B75"/>
    <w:rsid w:val="00544041"/>
    <w:rsid w:val="005444AD"/>
    <w:rsid w:val="005449D0"/>
    <w:rsid w:val="00550ECE"/>
    <w:rsid w:val="00550F34"/>
    <w:rsid w:val="005515F8"/>
    <w:rsid w:val="00553B9B"/>
    <w:rsid w:val="005543AF"/>
    <w:rsid w:val="005543BA"/>
    <w:rsid w:val="00554BD4"/>
    <w:rsid w:val="00555CE3"/>
    <w:rsid w:val="0055603D"/>
    <w:rsid w:val="005574AE"/>
    <w:rsid w:val="00557EAD"/>
    <w:rsid w:val="00560E60"/>
    <w:rsid w:val="00562117"/>
    <w:rsid w:val="005626FE"/>
    <w:rsid w:val="00562883"/>
    <w:rsid w:val="00563726"/>
    <w:rsid w:val="00563D1D"/>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A67"/>
    <w:rsid w:val="005A1D8A"/>
    <w:rsid w:val="005A2C57"/>
    <w:rsid w:val="005A2F92"/>
    <w:rsid w:val="005A43E7"/>
    <w:rsid w:val="005A4480"/>
    <w:rsid w:val="005A60E9"/>
    <w:rsid w:val="005A703A"/>
    <w:rsid w:val="005A7E33"/>
    <w:rsid w:val="005B10CC"/>
    <w:rsid w:val="005B29AC"/>
    <w:rsid w:val="005B3F0E"/>
    <w:rsid w:val="005B52A0"/>
    <w:rsid w:val="005B6FFD"/>
    <w:rsid w:val="005B72D5"/>
    <w:rsid w:val="005B7D9A"/>
    <w:rsid w:val="005C196C"/>
    <w:rsid w:val="005C309B"/>
    <w:rsid w:val="005C3DF3"/>
    <w:rsid w:val="005C5501"/>
    <w:rsid w:val="005C7AFE"/>
    <w:rsid w:val="005D01B4"/>
    <w:rsid w:val="005D10B3"/>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0A8"/>
    <w:rsid w:val="005F21B0"/>
    <w:rsid w:val="005F4D3D"/>
    <w:rsid w:val="005F5B10"/>
    <w:rsid w:val="005F6CAB"/>
    <w:rsid w:val="0060244C"/>
    <w:rsid w:val="006044C4"/>
    <w:rsid w:val="00605001"/>
    <w:rsid w:val="00610A95"/>
    <w:rsid w:val="0061203C"/>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38D3"/>
    <w:rsid w:val="006468ED"/>
    <w:rsid w:val="00650CFB"/>
    <w:rsid w:val="006512F6"/>
    <w:rsid w:val="006535FA"/>
    <w:rsid w:val="00653A9F"/>
    <w:rsid w:val="00653B0F"/>
    <w:rsid w:val="0065443A"/>
    <w:rsid w:val="0065599C"/>
    <w:rsid w:val="006609B3"/>
    <w:rsid w:val="00660E52"/>
    <w:rsid w:val="0066148E"/>
    <w:rsid w:val="00661B3F"/>
    <w:rsid w:val="00661DF2"/>
    <w:rsid w:val="006625F9"/>
    <w:rsid w:val="00662714"/>
    <w:rsid w:val="00663A37"/>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A0533"/>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868"/>
    <w:rsid w:val="006B704A"/>
    <w:rsid w:val="006B7074"/>
    <w:rsid w:val="006C074C"/>
    <w:rsid w:val="006C2214"/>
    <w:rsid w:val="006C372D"/>
    <w:rsid w:val="006C410C"/>
    <w:rsid w:val="006C52D3"/>
    <w:rsid w:val="006C55C2"/>
    <w:rsid w:val="006C662F"/>
    <w:rsid w:val="006C6C41"/>
    <w:rsid w:val="006D1EC8"/>
    <w:rsid w:val="006D23F9"/>
    <w:rsid w:val="006D2EAC"/>
    <w:rsid w:val="006D3F59"/>
    <w:rsid w:val="006D4EBC"/>
    <w:rsid w:val="006D6830"/>
    <w:rsid w:val="006D6F7C"/>
    <w:rsid w:val="006D719C"/>
    <w:rsid w:val="006D7DF3"/>
    <w:rsid w:val="006E12C4"/>
    <w:rsid w:val="006E136F"/>
    <w:rsid w:val="006E15A2"/>
    <w:rsid w:val="006E20F9"/>
    <w:rsid w:val="006E3F38"/>
    <w:rsid w:val="006E47CD"/>
    <w:rsid w:val="006E4C8D"/>
    <w:rsid w:val="006E6076"/>
    <w:rsid w:val="006E6DD7"/>
    <w:rsid w:val="006F0222"/>
    <w:rsid w:val="006F04A3"/>
    <w:rsid w:val="006F114C"/>
    <w:rsid w:val="006F1A99"/>
    <w:rsid w:val="006F1EFC"/>
    <w:rsid w:val="006F22E2"/>
    <w:rsid w:val="006F65AC"/>
    <w:rsid w:val="006F676C"/>
    <w:rsid w:val="006F7835"/>
    <w:rsid w:val="00700C90"/>
    <w:rsid w:val="00701374"/>
    <w:rsid w:val="00701F34"/>
    <w:rsid w:val="00701F61"/>
    <w:rsid w:val="00702475"/>
    <w:rsid w:val="00703191"/>
    <w:rsid w:val="007031A2"/>
    <w:rsid w:val="0070417A"/>
    <w:rsid w:val="00704693"/>
    <w:rsid w:val="00704AB9"/>
    <w:rsid w:val="00704ADC"/>
    <w:rsid w:val="00704E9C"/>
    <w:rsid w:val="007054D8"/>
    <w:rsid w:val="00706D47"/>
    <w:rsid w:val="00707440"/>
    <w:rsid w:val="00707515"/>
    <w:rsid w:val="00711EE2"/>
    <w:rsid w:val="007130DA"/>
    <w:rsid w:val="00713DD5"/>
    <w:rsid w:val="00715F69"/>
    <w:rsid w:val="0071601C"/>
    <w:rsid w:val="00720D8F"/>
    <w:rsid w:val="00720EA4"/>
    <w:rsid w:val="0072149D"/>
    <w:rsid w:val="007214D9"/>
    <w:rsid w:val="00722BCF"/>
    <w:rsid w:val="00722CAC"/>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DFE"/>
    <w:rsid w:val="007410C2"/>
    <w:rsid w:val="007411F0"/>
    <w:rsid w:val="0074208A"/>
    <w:rsid w:val="00742CA1"/>
    <w:rsid w:val="0074470E"/>
    <w:rsid w:val="0074687E"/>
    <w:rsid w:val="00746DD6"/>
    <w:rsid w:val="00746E60"/>
    <w:rsid w:val="00746FA8"/>
    <w:rsid w:val="007479B5"/>
    <w:rsid w:val="00750962"/>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90F10"/>
    <w:rsid w:val="00791490"/>
    <w:rsid w:val="00791C7A"/>
    <w:rsid w:val="00791D59"/>
    <w:rsid w:val="00791E10"/>
    <w:rsid w:val="00792D4C"/>
    <w:rsid w:val="007938AE"/>
    <w:rsid w:val="00793B7C"/>
    <w:rsid w:val="007942D8"/>
    <w:rsid w:val="007A0A87"/>
    <w:rsid w:val="007A0DC1"/>
    <w:rsid w:val="007A19E0"/>
    <w:rsid w:val="007A1AB6"/>
    <w:rsid w:val="007A23F8"/>
    <w:rsid w:val="007A2D52"/>
    <w:rsid w:val="007A3F7C"/>
    <w:rsid w:val="007A44D3"/>
    <w:rsid w:val="007A550A"/>
    <w:rsid w:val="007A5B2E"/>
    <w:rsid w:val="007A5BCB"/>
    <w:rsid w:val="007A5C18"/>
    <w:rsid w:val="007A6355"/>
    <w:rsid w:val="007A7CA2"/>
    <w:rsid w:val="007B095F"/>
    <w:rsid w:val="007B28B8"/>
    <w:rsid w:val="007B28CF"/>
    <w:rsid w:val="007B346F"/>
    <w:rsid w:val="007B4416"/>
    <w:rsid w:val="007B46BF"/>
    <w:rsid w:val="007B6226"/>
    <w:rsid w:val="007B65DF"/>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E06BB"/>
    <w:rsid w:val="007E18F8"/>
    <w:rsid w:val="007E38F1"/>
    <w:rsid w:val="007E3C2E"/>
    <w:rsid w:val="007E3F73"/>
    <w:rsid w:val="007E3F8B"/>
    <w:rsid w:val="007E5002"/>
    <w:rsid w:val="007E781F"/>
    <w:rsid w:val="007F08F9"/>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3762"/>
    <w:rsid w:val="00816C5A"/>
    <w:rsid w:val="00817678"/>
    <w:rsid w:val="008200DE"/>
    <w:rsid w:val="0082049D"/>
    <w:rsid w:val="008207C0"/>
    <w:rsid w:val="008210EE"/>
    <w:rsid w:val="008217BC"/>
    <w:rsid w:val="00822BA1"/>
    <w:rsid w:val="00822CEA"/>
    <w:rsid w:val="0082440E"/>
    <w:rsid w:val="00824E58"/>
    <w:rsid w:val="00827D60"/>
    <w:rsid w:val="00831D6C"/>
    <w:rsid w:val="00832F6C"/>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6A4"/>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A46"/>
    <w:rsid w:val="00882C01"/>
    <w:rsid w:val="00882E02"/>
    <w:rsid w:val="00883C16"/>
    <w:rsid w:val="008853EC"/>
    <w:rsid w:val="008873EE"/>
    <w:rsid w:val="008909CD"/>
    <w:rsid w:val="00891CFC"/>
    <w:rsid w:val="008921AE"/>
    <w:rsid w:val="00895187"/>
    <w:rsid w:val="00895BD3"/>
    <w:rsid w:val="00896EDC"/>
    <w:rsid w:val="008A02A7"/>
    <w:rsid w:val="008A0C9F"/>
    <w:rsid w:val="008A14F6"/>
    <w:rsid w:val="008A1645"/>
    <w:rsid w:val="008A2F05"/>
    <w:rsid w:val="008A31D4"/>
    <w:rsid w:val="008A3648"/>
    <w:rsid w:val="008A38D5"/>
    <w:rsid w:val="008A3E6F"/>
    <w:rsid w:val="008A5787"/>
    <w:rsid w:val="008A6DA7"/>
    <w:rsid w:val="008A7AD7"/>
    <w:rsid w:val="008A7BD4"/>
    <w:rsid w:val="008A7EF2"/>
    <w:rsid w:val="008B07F2"/>
    <w:rsid w:val="008B0DFB"/>
    <w:rsid w:val="008B1389"/>
    <w:rsid w:val="008B1E60"/>
    <w:rsid w:val="008B3DD0"/>
    <w:rsid w:val="008B646D"/>
    <w:rsid w:val="008B664E"/>
    <w:rsid w:val="008B6842"/>
    <w:rsid w:val="008B6ADF"/>
    <w:rsid w:val="008B70C4"/>
    <w:rsid w:val="008B7F11"/>
    <w:rsid w:val="008C12FF"/>
    <w:rsid w:val="008C18C1"/>
    <w:rsid w:val="008C2631"/>
    <w:rsid w:val="008C3DC2"/>
    <w:rsid w:val="008C442E"/>
    <w:rsid w:val="008C4943"/>
    <w:rsid w:val="008C499F"/>
    <w:rsid w:val="008C5658"/>
    <w:rsid w:val="008C5DCA"/>
    <w:rsid w:val="008C5F89"/>
    <w:rsid w:val="008C652A"/>
    <w:rsid w:val="008C794F"/>
    <w:rsid w:val="008D019B"/>
    <w:rsid w:val="008D0ADE"/>
    <w:rsid w:val="008D344B"/>
    <w:rsid w:val="008D346A"/>
    <w:rsid w:val="008D370B"/>
    <w:rsid w:val="008D3EB9"/>
    <w:rsid w:val="008D41FC"/>
    <w:rsid w:val="008D4E9A"/>
    <w:rsid w:val="008D4ED9"/>
    <w:rsid w:val="008D6B04"/>
    <w:rsid w:val="008E2654"/>
    <w:rsid w:val="008F0926"/>
    <w:rsid w:val="008F1C22"/>
    <w:rsid w:val="008F2212"/>
    <w:rsid w:val="008F2554"/>
    <w:rsid w:val="008F408C"/>
    <w:rsid w:val="008F47DC"/>
    <w:rsid w:val="008F66C1"/>
    <w:rsid w:val="008F72E9"/>
    <w:rsid w:val="00901964"/>
    <w:rsid w:val="009025FB"/>
    <w:rsid w:val="009029DB"/>
    <w:rsid w:val="00902BAC"/>
    <w:rsid w:val="009038A8"/>
    <w:rsid w:val="009049EA"/>
    <w:rsid w:val="0090753F"/>
    <w:rsid w:val="00910E28"/>
    <w:rsid w:val="009111A8"/>
    <w:rsid w:val="00913E51"/>
    <w:rsid w:val="00914986"/>
    <w:rsid w:val="00914DFE"/>
    <w:rsid w:val="0091614B"/>
    <w:rsid w:val="0092131F"/>
    <w:rsid w:val="00922B1E"/>
    <w:rsid w:val="00923AFC"/>
    <w:rsid w:val="00925D59"/>
    <w:rsid w:val="00926716"/>
    <w:rsid w:val="009274F4"/>
    <w:rsid w:val="00932A82"/>
    <w:rsid w:val="0093319A"/>
    <w:rsid w:val="0093321F"/>
    <w:rsid w:val="00933540"/>
    <w:rsid w:val="00933E6E"/>
    <w:rsid w:val="00934877"/>
    <w:rsid w:val="00935439"/>
    <w:rsid w:val="009357D5"/>
    <w:rsid w:val="00935CD9"/>
    <w:rsid w:val="0093768D"/>
    <w:rsid w:val="0093790F"/>
    <w:rsid w:val="00940F14"/>
    <w:rsid w:val="00941D0E"/>
    <w:rsid w:val="00942B41"/>
    <w:rsid w:val="009453A6"/>
    <w:rsid w:val="009464A3"/>
    <w:rsid w:val="00946522"/>
    <w:rsid w:val="00946796"/>
    <w:rsid w:val="00946A00"/>
    <w:rsid w:val="00947004"/>
    <w:rsid w:val="009472C7"/>
    <w:rsid w:val="00947A2C"/>
    <w:rsid w:val="00947B97"/>
    <w:rsid w:val="0095183B"/>
    <w:rsid w:val="0095204C"/>
    <w:rsid w:val="009520FE"/>
    <w:rsid w:val="00953406"/>
    <w:rsid w:val="00953424"/>
    <w:rsid w:val="00953B51"/>
    <w:rsid w:val="00953B7B"/>
    <w:rsid w:val="00954528"/>
    <w:rsid w:val="009558AA"/>
    <w:rsid w:val="00955DA9"/>
    <w:rsid w:val="00956001"/>
    <w:rsid w:val="0095728B"/>
    <w:rsid w:val="009603E5"/>
    <w:rsid w:val="0096071A"/>
    <w:rsid w:val="00960C91"/>
    <w:rsid w:val="00961AEB"/>
    <w:rsid w:val="00961B6D"/>
    <w:rsid w:val="009628DF"/>
    <w:rsid w:val="00963687"/>
    <w:rsid w:val="00963717"/>
    <w:rsid w:val="00963BB8"/>
    <w:rsid w:val="00965CC4"/>
    <w:rsid w:val="0096624D"/>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297"/>
    <w:rsid w:val="009845F3"/>
    <w:rsid w:val="009845FD"/>
    <w:rsid w:val="0098663B"/>
    <w:rsid w:val="00986714"/>
    <w:rsid w:val="0098719E"/>
    <w:rsid w:val="0098722A"/>
    <w:rsid w:val="009875C0"/>
    <w:rsid w:val="00990935"/>
    <w:rsid w:val="00990AFD"/>
    <w:rsid w:val="00991069"/>
    <w:rsid w:val="00992689"/>
    <w:rsid w:val="0099397C"/>
    <w:rsid w:val="0099458D"/>
    <w:rsid w:val="00996257"/>
    <w:rsid w:val="00996BCA"/>
    <w:rsid w:val="0099716F"/>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426E"/>
    <w:rsid w:val="009E439C"/>
    <w:rsid w:val="009E4CD1"/>
    <w:rsid w:val="009E6108"/>
    <w:rsid w:val="009E620D"/>
    <w:rsid w:val="009E68AA"/>
    <w:rsid w:val="009E7A1C"/>
    <w:rsid w:val="009E7F49"/>
    <w:rsid w:val="009F0B98"/>
    <w:rsid w:val="009F0BC2"/>
    <w:rsid w:val="009F1C46"/>
    <w:rsid w:val="009F206B"/>
    <w:rsid w:val="009F2079"/>
    <w:rsid w:val="009F3E42"/>
    <w:rsid w:val="009F4BE1"/>
    <w:rsid w:val="009F5C74"/>
    <w:rsid w:val="009F663A"/>
    <w:rsid w:val="009F69B5"/>
    <w:rsid w:val="00A004D3"/>
    <w:rsid w:val="00A0091D"/>
    <w:rsid w:val="00A015DE"/>
    <w:rsid w:val="00A04BF9"/>
    <w:rsid w:val="00A04D00"/>
    <w:rsid w:val="00A05378"/>
    <w:rsid w:val="00A078D0"/>
    <w:rsid w:val="00A07CA6"/>
    <w:rsid w:val="00A07FBC"/>
    <w:rsid w:val="00A1193F"/>
    <w:rsid w:val="00A12981"/>
    <w:rsid w:val="00A12BD7"/>
    <w:rsid w:val="00A14320"/>
    <w:rsid w:val="00A151A5"/>
    <w:rsid w:val="00A15263"/>
    <w:rsid w:val="00A15E74"/>
    <w:rsid w:val="00A15F33"/>
    <w:rsid w:val="00A164FB"/>
    <w:rsid w:val="00A16BEA"/>
    <w:rsid w:val="00A16FEE"/>
    <w:rsid w:val="00A1724D"/>
    <w:rsid w:val="00A17296"/>
    <w:rsid w:val="00A175E5"/>
    <w:rsid w:val="00A17E24"/>
    <w:rsid w:val="00A17EA1"/>
    <w:rsid w:val="00A17EDF"/>
    <w:rsid w:val="00A23B80"/>
    <w:rsid w:val="00A24B8B"/>
    <w:rsid w:val="00A24F60"/>
    <w:rsid w:val="00A254EA"/>
    <w:rsid w:val="00A277A0"/>
    <w:rsid w:val="00A307E5"/>
    <w:rsid w:val="00A30BC8"/>
    <w:rsid w:val="00A30DB1"/>
    <w:rsid w:val="00A31101"/>
    <w:rsid w:val="00A327E3"/>
    <w:rsid w:val="00A34451"/>
    <w:rsid w:val="00A35811"/>
    <w:rsid w:val="00A35D0A"/>
    <w:rsid w:val="00A365D6"/>
    <w:rsid w:val="00A42629"/>
    <w:rsid w:val="00A42897"/>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708E9"/>
    <w:rsid w:val="00A71395"/>
    <w:rsid w:val="00A73EF9"/>
    <w:rsid w:val="00A742B4"/>
    <w:rsid w:val="00A756C6"/>
    <w:rsid w:val="00A77200"/>
    <w:rsid w:val="00A77250"/>
    <w:rsid w:val="00A80476"/>
    <w:rsid w:val="00A80BB6"/>
    <w:rsid w:val="00A80C68"/>
    <w:rsid w:val="00A821AF"/>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91A"/>
    <w:rsid w:val="00AA0B4E"/>
    <w:rsid w:val="00AA17B8"/>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6C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359A"/>
    <w:rsid w:val="00AE5D09"/>
    <w:rsid w:val="00AE665A"/>
    <w:rsid w:val="00AF4EE4"/>
    <w:rsid w:val="00B0036F"/>
    <w:rsid w:val="00B00C8E"/>
    <w:rsid w:val="00B01E9C"/>
    <w:rsid w:val="00B02AA5"/>
    <w:rsid w:val="00B02B62"/>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7C4"/>
    <w:rsid w:val="00B359BA"/>
    <w:rsid w:val="00B35F3E"/>
    <w:rsid w:val="00B37176"/>
    <w:rsid w:val="00B373AA"/>
    <w:rsid w:val="00B37A2E"/>
    <w:rsid w:val="00B40823"/>
    <w:rsid w:val="00B40DF9"/>
    <w:rsid w:val="00B42083"/>
    <w:rsid w:val="00B421E1"/>
    <w:rsid w:val="00B43455"/>
    <w:rsid w:val="00B435F8"/>
    <w:rsid w:val="00B43948"/>
    <w:rsid w:val="00B45313"/>
    <w:rsid w:val="00B4589C"/>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35C0"/>
    <w:rsid w:val="00B84A8A"/>
    <w:rsid w:val="00B8745B"/>
    <w:rsid w:val="00B8769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277B"/>
    <w:rsid w:val="00BB3867"/>
    <w:rsid w:val="00BB4B5A"/>
    <w:rsid w:val="00BB5301"/>
    <w:rsid w:val="00BB57E8"/>
    <w:rsid w:val="00BB5A93"/>
    <w:rsid w:val="00BB7349"/>
    <w:rsid w:val="00BB73B0"/>
    <w:rsid w:val="00BB7A73"/>
    <w:rsid w:val="00BC0196"/>
    <w:rsid w:val="00BC0367"/>
    <w:rsid w:val="00BC0772"/>
    <w:rsid w:val="00BC2170"/>
    <w:rsid w:val="00BC219A"/>
    <w:rsid w:val="00BC38C1"/>
    <w:rsid w:val="00BC42A8"/>
    <w:rsid w:val="00BC4879"/>
    <w:rsid w:val="00BC66EE"/>
    <w:rsid w:val="00BC69F2"/>
    <w:rsid w:val="00BC7FFB"/>
    <w:rsid w:val="00BD034D"/>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3574"/>
    <w:rsid w:val="00BF36A5"/>
    <w:rsid w:val="00BF478C"/>
    <w:rsid w:val="00BF4EB7"/>
    <w:rsid w:val="00BF5945"/>
    <w:rsid w:val="00BF6362"/>
    <w:rsid w:val="00C0080E"/>
    <w:rsid w:val="00C009C1"/>
    <w:rsid w:val="00C01B8A"/>
    <w:rsid w:val="00C01FED"/>
    <w:rsid w:val="00C05398"/>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2B07"/>
    <w:rsid w:val="00C43810"/>
    <w:rsid w:val="00C439F1"/>
    <w:rsid w:val="00C44517"/>
    <w:rsid w:val="00C44907"/>
    <w:rsid w:val="00C45035"/>
    <w:rsid w:val="00C456AF"/>
    <w:rsid w:val="00C45EAE"/>
    <w:rsid w:val="00C514A9"/>
    <w:rsid w:val="00C51D13"/>
    <w:rsid w:val="00C536D2"/>
    <w:rsid w:val="00C54090"/>
    <w:rsid w:val="00C54558"/>
    <w:rsid w:val="00C558A4"/>
    <w:rsid w:val="00C559CD"/>
    <w:rsid w:val="00C560FA"/>
    <w:rsid w:val="00C5688E"/>
    <w:rsid w:val="00C57E04"/>
    <w:rsid w:val="00C61FEC"/>
    <w:rsid w:val="00C6288E"/>
    <w:rsid w:val="00C62B4F"/>
    <w:rsid w:val="00C65309"/>
    <w:rsid w:val="00C6557C"/>
    <w:rsid w:val="00C65918"/>
    <w:rsid w:val="00C659F8"/>
    <w:rsid w:val="00C65FA7"/>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742E"/>
    <w:rsid w:val="00C90FC8"/>
    <w:rsid w:val="00C91329"/>
    <w:rsid w:val="00C939D0"/>
    <w:rsid w:val="00C9443B"/>
    <w:rsid w:val="00C96E34"/>
    <w:rsid w:val="00C9717B"/>
    <w:rsid w:val="00C97586"/>
    <w:rsid w:val="00C97EB1"/>
    <w:rsid w:val="00C97F09"/>
    <w:rsid w:val="00CA0566"/>
    <w:rsid w:val="00CA1AD6"/>
    <w:rsid w:val="00CA2BF3"/>
    <w:rsid w:val="00CA2D1F"/>
    <w:rsid w:val="00CA39B7"/>
    <w:rsid w:val="00CA3C71"/>
    <w:rsid w:val="00CA40CE"/>
    <w:rsid w:val="00CA4C84"/>
    <w:rsid w:val="00CA5019"/>
    <w:rsid w:val="00CA5AF6"/>
    <w:rsid w:val="00CB1389"/>
    <w:rsid w:val="00CB2149"/>
    <w:rsid w:val="00CB2159"/>
    <w:rsid w:val="00CB3163"/>
    <w:rsid w:val="00CB4BBD"/>
    <w:rsid w:val="00CB4C86"/>
    <w:rsid w:val="00CB55B6"/>
    <w:rsid w:val="00CB5B7B"/>
    <w:rsid w:val="00CB6418"/>
    <w:rsid w:val="00CC05DF"/>
    <w:rsid w:val="00CC0C48"/>
    <w:rsid w:val="00CC36B6"/>
    <w:rsid w:val="00CC3DCA"/>
    <w:rsid w:val="00CC4C84"/>
    <w:rsid w:val="00CC4F1E"/>
    <w:rsid w:val="00CC5FBE"/>
    <w:rsid w:val="00CC6BC0"/>
    <w:rsid w:val="00CC6FFC"/>
    <w:rsid w:val="00CC7706"/>
    <w:rsid w:val="00CD09F1"/>
    <w:rsid w:val="00CD19A8"/>
    <w:rsid w:val="00CD19DB"/>
    <w:rsid w:val="00CD30FC"/>
    <w:rsid w:val="00CD39A2"/>
    <w:rsid w:val="00CD4B87"/>
    <w:rsid w:val="00CD4EE3"/>
    <w:rsid w:val="00CD55DB"/>
    <w:rsid w:val="00CD63AD"/>
    <w:rsid w:val="00CE0761"/>
    <w:rsid w:val="00CE12DE"/>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31B4"/>
    <w:rsid w:val="00CF39ED"/>
    <w:rsid w:val="00CF4CEF"/>
    <w:rsid w:val="00CF5852"/>
    <w:rsid w:val="00CF6431"/>
    <w:rsid w:val="00CF6E52"/>
    <w:rsid w:val="00D01DCF"/>
    <w:rsid w:val="00D04514"/>
    <w:rsid w:val="00D066F8"/>
    <w:rsid w:val="00D06BA4"/>
    <w:rsid w:val="00D076D9"/>
    <w:rsid w:val="00D110E4"/>
    <w:rsid w:val="00D112A2"/>
    <w:rsid w:val="00D11A35"/>
    <w:rsid w:val="00D11E06"/>
    <w:rsid w:val="00D1224D"/>
    <w:rsid w:val="00D1259C"/>
    <w:rsid w:val="00D130E0"/>
    <w:rsid w:val="00D13846"/>
    <w:rsid w:val="00D15A3D"/>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4BF1"/>
    <w:rsid w:val="00D3511F"/>
    <w:rsid w:val="00D3538B"/>
    <w:rsid w:val="00D369B5"/>
    <w:rsid w:val="00D36BE0"/>
    <w:rsid w:val="00D36DB6"/>
    <w:rsid w:val="00D3752B"/>
    <w:rsid w:val="00D40470"/>
    <w:rsid w:val="00D41147"/>
    <w:rsid w:val="00D411D6"/>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142C"/>
    <w:rsid w:val="00D6189E"/>
    <w:rsid w:val="00D61E4F"/>
    <w:rsid w:val="00D62E71"/>
    <w:rsid w:val="00D637A2"/>
    <w:rsid w:val="00D65159"/>
    <w:rsid w:val="00D65C56"/>
    <w:rsid w:val="00D66CBB"/>
    <w:rsid w:val="00D67367"/>
    <w:rsid w:val="00D674E0"/>
    <w:rsid w:val="00D70514"/>
    <w:rsid w:val="00D71305"/>
    <w:rsid w:val="00D718B8"/>
    <w:rsid w:val="00D71BF7"/>
    <w:rsid w:val="00D731D0"/>
    <w:rsid w:val="00D738D2"/>
    <w:rsid w:val="00D73CDD"/>
    <w:rsid w:val="00D749EC"/>
    <w:rsid w:val="00D74E94"/>
    <w:rsid w:val="00D75948"/>
    <w:rsid w:val="00D75A5B"/>
    <w:rsid w:val="00D766B4"/>
    <w:rsid w:val="00D77F87"/>
    <w:rsid w:val="00D809E4"/>
    <w:rsid w:val="00D8116E"/>
    <w:rsid w:val="00D815BA"/>
    <w:rsid w:val="00D81B85"/>
    <w:rsid w:val="00D833C3"/>
    <w:rsid w:val="00D84392"/>
    <w:rsid w:val="00D8486E"/>
    <w:rsid w:val="00D860B0"/>
    <w:rsid w:val="00D8663B"/>
    <w:rsid w:val="00D878B6"/>
    <w:rsid w:val="00D87FC0"/>
    <w:rsid w:val="00D90C1B"/>
    <w:rsid w:val="00D90FB3"/>
    <w:rsid w:val="00D91123"/>
    <w:rsid w:val="00D9245D"/>
    <w:rsid w:val="00D925D1"/>
    <w:rsid w:val="00D92668"/>
    <w:rsid w:val="00D94D8F"/>
    <w:rsid w:val="00D94F27"/>
    <w:rsid w:val="00D95B37"/>
    <w:rsid w:val="00D96820"/>
    <w:rsid w:val="00D979CF"/>
    <w:rsid w:val="00DA0B8F"/>
    <w:rsid w:val="00DA1F2A"/>
    <w:rsid w:val="00DA432C"/>
    <w:rsid w:val="00DA4387"/>
    <w:rsid w:val="00DA4518"/>
    <w:rsid w:val="00DA7E58"/>
    <w:rsid w:val="00DB08A2"/>
    <w:rsid w:val="00DB0D6D"/>
    <w:rsid w:val="00DB1035"/>
    <w:rsid w:val="00DB1F84"/>
    <w:rsid w:val="00DB3C79"/>
    <w:rsid w:val="00DB44A1"/>
    <w:rsid w:val="00DB46A3"/>
    <w:rsid w:val="00DB5CD7"/>
    <w:rsid w:val="00DB5DB4"/>
    <w:rsid w:val="00DB6647"/>
    <w:rsid w:val="00DC0C9F"/>
    <w:rsid w:val="00DC33BA"/>
    <w:rsid w:val="00DC4957"/>
    <w:rsid w:val="00DC4AE2"/>
    <w:rsid w:val="00DC5BCA"/>
    <w:rsid w:val="00DC5D46"/>
    <w:rsid w:val="00DC63B3"/>
    <w:rsid w:val="00DC6A1E"/>
    <w:rsid w:val="00DC6B6C"/>
    <w:rsid w:val="00DC79D7"/>
    <w:rsid w:val="00DD156D"/>
    <w:rsid w:val="00DD2877"/>
    <w:rsid w:val="00DD2EDE"/>
    <w:rsid w:val="00DD3060"/>
    <w:rsid w:val="00DD3144"/>
    <w:rsid w:val="00DD68C2"/>
    <w:rsid w:val="00DD7FD2"/>
    <w:rsid w:val="00DE0E0F"/>
    <w:rsid w:val="00DE0F3E"/>
    <w:rsid w:val="00DE1DEE"/>
    <w:rsid w:val="00DE3218"/>
    <w:rsid w:val="00DE33F9"/>
    <w:rsid w:val="00DF01C0"/>
    <w:rsid w:val="00DF06C4"/>
    <w:rsid w:val="00DF0BD1"/>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5FDE"/>
    <w:rsid w:val="00E1672A"/>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5C"/>
    <w:rsid w:val="00E34A4E"/>
    <w:rsid w:val="00E35107"/>
    <w:rsid w:val="00E35837"/>
    <w:rsid w:val="00E3699D"/>
    <w:rsid w:val="00E36B19"/>
    <w:rsid w:val="00E41D0D"/>
    <w:rsid w:val="00E45F63"/>
    <w:rsid w:val="00E46685"/>
    <w:rsid w:val="00E47D6C"/>
    <w:rsid w:val="00E507BE"/>
    <w:rsid w:val="00E50A06"/>
    <w:rsid w:val="00E51D63"/>
    <w:rsid w:val="00E52089"/>
    <w:rsid w:val="00E5265D"/>
    <w:rsid w:val="00E546D8"/>
    <w:rsid w:val="00E55C26"/>
    <w:rsid w:val="00E55EA0"/>
    <w:rsid w:val="00E55EDB"/>
    <w:rsid w:val="00E5775F"/>
    <w:rsid w:val="00E600CD"/>
    <w:rsid w:val="00E6032A"/>
    <w:rsid w:val="00E62EF4"/>
    <w:rsid w:val="00E64284"/>
    <w:rsid w:val="00E65521"/>
    <w:rsid w:val="00E6737E"/>
    <w:rsid w:val="00E67455"/>
    <w:rsid w:val="00E701AC"/>
    <w:rsid w:val="00E719E2"/>
    <w:rsid w:val="00E730F3"/>
    <w:rsid w:val="00E73660"/>
    <w:rsid w:val="00E73E43"/>
    <w:rsid w:val="00E75115"/>
    <w:rsid w:val="00E75386"/>
    <w:rsid w:val="00E758A1"/>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2106"/>
    <w:rsid w:val="00E92204"/>
    <w:rsid w:val="00E93AE1"/>
    <w:rsid w:val="00E93F35"/>
    <w:rsid w:val="00E9581A"/>
    <w:rsid w:val="00E95FAE"/>
    <w:rsid w:val="00E96F04"/>
    <w:rsid w:val="00E97F10"/>
    <w:rsid w:val="00EA3875"/>
    <w:rsid w:val="00EA4C1F"/>
    <w:rsid w:val="00EA5B2B"/>
    <w:rsid w:val="00EA7EA7"/>
    <w:rsid w:val="00EB0AFA"/>
    <w:rsid w:val="00EB1AEF"/>
    <w:rsid w:val="00EB1DED"/>
    <w:rsid w:val="00EB217D"/>
    <w:rsid w:val="00EB2BE8"/>
    <w:rsid w:val="00EB3FD5"/>
    <w:rsid w:val="00EB4897"/>
    <w:rsid w:val="00EB5F05"/>
    <w:rsid w:val="00EB6155"/>
    <w:rsid w:val="00EB65D1"/>
    <w:rsid w:val="00EC0642"/>
    <w:rsid w:val="00EC06A5"/>
    <w:rsid w:val="00EC0B7B"/>
    <w:rsid w:val="00EC1362"/>
    <w:rsid w:val="00EC1761"/>
    <w:rsid w:val="00EC238F"/>
    <w:rsid w:val="00EC291E"/>
    <w:rsid w:val="00EC2EEA"/>
    <w:rsid w:val="00EC330F"/>
    <w:rsid w:val="00EC3519"/>
    <w:rsid w:val="00EC3C6C"/>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72B"/>
    <w:rsid w:val="00F02D93"/>
    <w:rsid w:val="00F039E2"/>
    <w:rsid w:val="00F04A95"/>
    <w:rsid w:val="00F057C3"/>
    <w:rsid w:val="00F058D3"/>
    <w:rsid w:val="00F05D5B"/>
    <w:rsid w:val="00F069F8"/>
    <w:rsid w:val="00F10F66"/>
    <w:rsid w:val="00F11166"/>
    <w:rsid w:val="00F11FF3"/>
    <w:rsid w:val="00F12F4D"/>
    <w:rsid w:val="00F12FB0"/>
    <w:rsid w:val="00F14C8C"/>
    <w:rsid w:val="00F15651"/>
    <w:rsid w:val="00F16039"/>
    <w:rsid w:val="00F2066C"/>
    <w:rsid w:val="00F20DCF"/>
    <w:rsid w:val="00F22DC3"/>
    <w:rsid w:val="00F23227"/>
    <w:rsid w:val="00F2498E"/>
    <w:rsid w:val="00F31058"/>
    <w:rsid w:val="00F31A35"/>
    <w:rsid w:val="00F31A76"/>
    <w:rsid w:val="00F31A88"/>
    <w:rsid w:val="00F3246B"/>
    <w:rsid w:val="00F32EA3"/>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77"/>
    <w:rsid w:val="00F571D3"/>
    <w:rsid w:val="00F610C8"/>
    <w:rsid w:val="00F62371"/>
    <w:rsid w:val="00F63021"/>
    <w:rsid w:val="00F63239"/>
    <w:rsid w:val="00F656E5"/>
    <w:rsid w:val="00F672A8"/>
    <w:rsid w:val="00F6749A"/>
    <w:rsid w:val="00F70B12"/>
    <w:rsid w:val="00F71718"/>
    <w:rsid w:val="00F72FD1"/>
    <w:rsid w:val="00F74234"/>
    <w:rsid w:val="00F74A3D"/>
    <w:rsid w:val="00F74FB9"/>
    <w:rsid w:val="00F77D38"/>
    <w:rsid w:val="00F825E3"/>
    <w:rsid w:val="00F84E11"/>
    <w:rsid w:val="00F851EA"/>
    <w:rsid w:val="00F86C5F"/>
    <w:rsid w:val="00F86D62"/>
    <w:rsid w:val="00F874BB"/>
    <w:rsid w:val="00F87C9D"/>
    <w:rsid w:val="00F9030D"/>
    <w:rsid w:val="00F90DA5"/>
    <w:rsid w:val="00F90E5E"/>
    <w:rsid w:val="00F9118F"/>
    <w:rsid w:val="00F914C6"/>
    <w:rsid w:val="00F92013"/>
    <w:rsid w:val="00F92B59"/>
    <w:rsid w:val="00F93A41"/>
    <w:rsid w:val="00F957EF"/>
    <w:rsid w:val="00F97115"/>
    <w:rsid w:val="00F97289"/>
    <w:rsid w:val="00F97B3C"/>
    <w:rsid w:val="00F97DE7"/>
    <w:rsid w:val="00FA00A8"/>
    <w:rsid w:val="00FA1F4B"/>
    <w:rsid w:val="00FA27A4"/>
    <w:rsid w:val="00FA3644"/>
    <w:rsid w:val="00FA44C8"/>
    <w:rsid w:val="00FA4A6C"/>
    <w:rsid w:val="00FA4CAD"/>
    <w:rsid w:val="00FA4DC7"/>
    <w:rsid w:val="00FA5D15"/>
    <w:rsid w:val="00FA7190"/>
    <w:rsid w:val="00FB053B"/>
    <w:rsid w:val="00FB1D4C"/>
    <w:rsid w:val="00FB35CF"/>
    <w:rsid w:val="00FB4E64"/>
    <w:rsid w:val="00FB61F5"/>
    <w:rsid w:val="00FB6398"/>
    <w:rsid w:val="00FB654B"/>
    <w:rsid w:val="00FC16AB"/>
    <w:rsid w:val="00FC1A6C"/>
    <w:rsid w:val="00FC3FBD"/>
    <w:rsid w:val="00FC4BF1"/>
    <w:rsid w:val="00FC54A4"/>
    <w:rsid w:val="00FC5CDF"/>
    <w:rsid w:val="00FC71C7"/>
    <w:rsid w:val="00FD0A58"/>
    <w:rsid w:val="00FD160B"/>
    <w:rsid w:val="00FD19B7"/>
    <w:rsid w:val="00FD1AE2"/>
    <w:rsid w:val="00FD20F4"/>
    <w:rsid w:val="00FD39C9"/>
    <w:rsid w:val="00FD3CDC"/>
    <w:rsid w:val="00FD3FD2"/>
    <w:rsid w:val="00FD4378"/>
    <w:rsid w:val="00FD51DA"/>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27E"/>
    <w:rsid w:val="00FF1B91"/>
    <w:rsid w:val="00FF299D"/>
    <w:rsid w:val="00FF32F4"/>
    <w:rsid w:val="00FF3843"/>
    <w:rsid w:val="00FF47CD"/>
    <w:rsid w:val="00FF67D7"/>
    <w:rsid w:val="00FF7D8E"/>
    <w:rsid w:val="0D842A51"/>
    <w:rsid w:val="13514845"/>
    <w:rsid w:val="3098B94B"/>
    <w:rsid w:val="32A7C440"/>
    <w:rsid w:val="455F3573"/>
    <w:rsid w:val="4B5FA3A8"/>
    <w:rsid w:val="4DD9124E"/>
    <w:rsid w:val="51B6DF6F"/>
    <w:rsid w:val="7B4D6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10"/>
      </w:numPr>
    </w:pPr>
  </w:style>
  <w:style w:type="numbering" w:customStyle="1" w:styleId="Listaactual10">
    <w:name w:val="Lista actual10"/>
    <w:uiPriority w:val="99"/>
    <w:rsid w:val="00081FBA"/>
    <w:pPr>
      <w:numPr>
        <w:numId w:val="11"/>
      </w:numPr>
    </w:pPr>
  </w:style>
  <w:style w:type="numbering" w:customStyle="1" w:styleId="Listaactual11">
    <w:name w:val="Lista actual11"/>
    <w:uiPriority w:val="99"/>
    <w:rsid w:val="00D175DF"/>
    <w:pPr>
      <w:numPr>
        <w:numId w:val="12"/>
      </w:numPr>
    </w:pPr>
  </w:style>
  <w:style w:type="numbering" w:customStyle="1" w:styleId="Listaactual12">
    <w:name w:val="Lista actual12"/>
    <w:uiPriority w:val="99"/>
    <w:rsid w:val="00D175DF"/>
    <w:pPr>
      <w:numPr>
        <w:numId w:val="13"/>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4"/>
      </w:numPr>
    </w:pPr>
  </w:style>
  <w:style w:type="numbering" w:customStyle="1" w:styleId="Listaactual14">
    <w:name w:val="Lista actual14"/>
    <w:uiPriority w:val="99"/>
    <w:rsid w:val="00E00478"/>
    <w:pPr>
      <w:numPr>
        <w:numId w:val="15"/>
      </w:numPr>
    </w:pPr>
  </w:style>
  <w:style w:type="numbering" w:customStyle="1" w:styleId="Listaactual15">
    <w:name w:val="Lista actual15"/>
    <w:uiPriority w:val="99"/>
    <w:rsid w:val="00E00478"/>
    <w:pPr>
      <w:numPr>
        <w:numId w:val="16"/>
      </w:numPr>
    </w:pPr>
  </w:style>
  <w:style w:type="numbering" w:customStyle="1" w:styleId="Listaactual16">
    <w:name w:val="Lista actual16"/>
    <w:uiPriority w:val="99"/>
    <w:rsid w:val="00E00478"/>
    <w:pPr>
      <w:numPr>
        <w:numId w:val="17"/>
      </w:numPr>
    </w:pPr>
  </w:style>
  <w:style w:type="numbering" w:customStyle="1" w:styleId="Listaactual17">
    <w:name w:val="Lista actual17"/>
    <w:uiPriority w:val="99"/>
    <w:rsid w:val="00E00478"/>
    <w:pPr>
      <w:numPr>
        <w:numId w:val="18"/>
      </w:numPr>
    </w:pPr>
  </w:style>
  <w:style w:type="numbering" w:customStyle="1" w:styleId="Listaactual18">
    <w:name w:val="Lista actual18"/>
    <w:uiPriority w:val="99"/>
    <w:rsid w:val="00E00478"/>
    <w:pPr>
      <w:numPr>
        <w:numId w:val="19"/>
      </w:numPr>
    </w:pPr>
  </w:style>
  <w:style w:type="numbering" w:customStyle="1" w:styleId="Listaactual19">
    <w:name w:val="Lista actual19"/>
    <w:uiPriority w:val="99"/>
    <w:rsid w:val="00E00478"/>
    <w:pPr>
      <w:numPr>
        <w:numId w:val="20"/>
      </w:numPr>
    </w:pPr>
  </w:style>
  <w:style w:type="numbering" w:customStyle="1" w:styleId="Listaactual20">
    <w:name w:val="Lista actual20"/>
    <w:uiPriority w:val="99"/>
    <w:rsid w:val="00E00478"/>
    <w:pPr>
      <w:numPr>
        <w:numId w:val="21"/>
      </w:numPr>
    </w:pPr>
  </w:style>
  <w:style w:type="numbering" w:customStyle="1" w:styleId="Listaactual21">
    <w:name w:val="Lista actual21"/>
    <w:uiPriority w:val="99"/>
    <w:rsid w:val="002B14A2"/>
    <w:pPr>
      <w:numPr>
        <w:numId w:val="22"/>
      </w:numPr>
    </w:pPr>
  </w:style>
  <w:style w:type="numbering" w:customStyle="1" w:styleId="Listaactual22">
    <w:name w:val="Lista actual22"/>
    <w:uiPriority w:val="99"/>
    <w:rsid w:val="007D6BD4"/>
    <w:pPr>
      <w:numPr>
        <w:numId w:val="23"/>
      </w:numPr>
    </w:pPr>
  </w:style>
  <w:style w:type="numbering" w:customStyle="1" w:styleId="Listaactual23">
    <w:name w:val="Lista actual23"/>
    <w:uiPriority w:val="99"/>
    <w:rsid w:val="009628DF"/>
    <w:pPr>
      <w:numPr>
        <w:numId w:val="24"/>
      </w:numPr>
    </w:pPr>
  </w:style>
  <w:style w:type="numbering" w:customStyle="1" w:styleId="Listaactual24">
    <w:name w:val="Lista actual24"/>
    <w:uiPriority w:val="99"/>
    <w:rsid w:val="009628DF"/>
    <w:pPr>
      <w:numPr>
        <w:numId w:val="25"/>
      </w:numPr>
    </w:pPr>
  </w:style>
  <w:style w:type="numbering" w:customStyle="1" w:styleId="Listaactual25">
    <w:name w:val="Lista actual25"/>
    <w:uiPriority w:val="99"/>
    <w:rsid w:val="0099716F"/>
    <w:pPr>
      <w:numPr>
        <w:numId w:val="26"/>
      </w:numPr>
    </w:pPr>
  </w:style>
  <w:style w:type="numbering" w:customStyle="1" w:styleId="Listaactual26">
    <w:name w:val="Lista actual26"/>
    <w:uiPriority w:val="99"/>
    <w:rsid w:val="00854FC0"/>
    <w:pPr>
      <w:numPr>
        <w:numId w:val="27"/>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38"/>
      </w:numPr>
    </w:pPr>
  </w:style>
  <w:style w:type="numbering" w:customStyle="1" w:styleId="Listaactual28">
    <w:name w:val="Lista actual28"/>
    <w:uiPriority w:val="99"/>
    <w:rsid w:val="00116A5A"/>
    <w:pPr>
      <w:numPr>
        <w:numId w:val="40"/>
      </w:numPr>
    </w:pPr>
  </w:style>
  <w:style w:type="numbering" w:customStyle="1" w:styleId="Listaactual29">
    <w:name w:val="Lista actual29"/>
    <w:uiPriority w:val="99"/>
    <w:rsid w:val="00116A5A"/>
    <w:pPr>
      <w:numPr>
        <w:numId w:val="42"/>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44"/>
      </w:numPr>
    </w:pPr>
  </w:style>
  <w:style w:type="numbering" w:customStyle="1" w:styleId="Listaactual31">
    <w:name w:val="Lista actual31"/>
    <w:uiPriority w:val="99"/>
    <w:rsid w:val="003F247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97425-E62A-46FF-8AFD-A363DF8C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7385</Words>
  <Characters>40620</Characters>
  <Application>Microsoft Office Word</Application>
  <DocSecurity>0</DocSecurity>
  <Lines>338</Lines>
  <Paragraphs>95</Paragraphs>
  <ScaleCrop>false</ScaleCrop>
  <Company/>
  <LinksUpToDate>false</LinksUpToDate>
  <CharactersWithSpaces>47910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412</cp:revision>
  <cp:lastPrinted>2019-06-13T15:30:00Z</cp:lastPrinted>
  <dcterms:created xsi:type="dcterms:W3CDTF">2024-07-15T20:33:00Z</dcterms:created>
  <dcterms:modified xsi:type="dcterms:W3CDTF">2025-07-16T15:41:00Z</dcterms:modified>
</cp:coreProperties>
</file>