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1162C4">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0601EB8" w:rsidR="00C4052B" w:rsidRPr="00FB7E68" w:rsidRDefault="00C4052B" w:rsidP="001162C4">
          <w:pPr>
            <w:pStyle w:val="TtuloTDC"/>
            <w:spacing w:before="0" w:line="360" w:lineRule="auto"/>
            <w:jc w:val="center"/>
            <w:rPr>
              <w:rFonts w:ascii="Palatino Linotype" w:hAnsi="Palatino Linotype"/>
              <w:color w:val="auto"/>
              <w:sz w:val="22"/>
              <w:szCs w:val="22"/>
            </w:rPr>
          </w:pPr>
          <w:r w:rsidRPr="00FB7E68">
            <w:rPr>
              <w:rFonts w:ascii="Palatino Linotype" w:hAnsi="Palatino Linotype"/>
              <w:color w:val="auto"/>
              <w:sz w:val="22"/>
              <w:szCs w:val="22"/>
              <w:lang w:val="es-ES"/>
            </w:rPr>
            <w:t xml:space="preserve">RESOLUCIÓN DEL RECURSO DE REVISIÓN </w:t>
          </w:r>
          <w:r w:rsidR="001F3444" w:rsidRPr="00FB7E68">
            <w:rPr>
              <w:rFonts w:ascii="Palatino Linotype" w:hAnsi="Palatino Linotype"/>
              <w:color w:val="auto"/>
              <w:sz w:val="22"/>
              <w:szCs w:val="22"/>
            </w:rPr>
            <w:t>11146</w:t>
          </w:r>
          <w:r w:rsidR="000D392E" w:rsidRPr="00FB7E68">
            <w:rPr>
              <w:rFonts w:ascii="Palatino Linotype" w:hAnsi="Palatino Linotype"/>
              <w:color w:val="auto"/>
              <w:sz w:val="22"/>
              <w:szCs w:val="22"/>
            </w:rPr>
            <w:t>/INFOEM/IP/RR/2025</w:t>
          </w:r>
        </w:p>
        <w:p w14:paraId="73933EFA" w14:textId="77777777" w:rsidR="00C4052B" w:rsidRPr="00FB7E68" w:rsidRDefault="00C4052B" w:rsidP="001162C4">
          <w:pPr>
            <w:spacing w:after="0" w:line="360" w:lineRule="auto"/>
          </w:pPr>
        </w:p>
        <w:p w14:paraId="2DDA2176" w14:textId="200AF222" w:rsidR="00156343" w:rsidRPr="00FB7E68" w:rsidRDefault="00C4052B">
          <w:pPr>
            <w:pStyle w:val="TDC1"/>
            <w:tabs>
              <w:tab w:val="right" w:leader="dot" w:pos="8921"/>
            </w:tabs>
            <w:rPr>
              <w:rFonts w:asciiTheme="minorHAnsi" w:eastAsiaTheme="minorEastAsia" w:hAnsiTheme="minorHAnsi" w:cstheme="minorBidi"/>
              <w:noProof/>
              <w:color w:val="auto"/>
            </w:rPr>
          </w:pPr>
          <w:r w:rsidRPr="00FB7E68">
            <w:fldChar w:fldCharType="begin"/>
          </w:r>
          <w:r w:rsidRPr="00FB7E68">
            <w:instrText xml:space="preserve"> TOC \o "1-3" \h \z \u </w:instrText>
          </w:r>
          <w:r w:rsidRPr="00FB7E68">
            <w:fldChar w:fldCharType="separate"/>
          </w:r>
          <w:hyperlink w:anchor="_Toc215130110" w:history="1">
            <w:r w:rsidR="00156343" w:rsidRPr="00FB7E68">
              <w:rPr>
                <w:rStyle w:val="Hipervnculo"/>
                <w:noProof/>
              </w:rPr>
              <w:t>A N T E C E D E N T E S</w:t>
            </w:r>
            <w:r w:rsidR="00156343" w:rsidRPr="00FB7E68">
              <w:rPr>
                <w:noProof/>
                <w:webHidden/>
              </w:rPr>
              <w:tab/>
            </w:r>
            <w:r w:rsidR="00156343" w:rsidRPr="00FB7E68">
              <w:rPr>
                <w:noProof/>
                <w:webHidden/>
              </w:rPr>
              <w:fldChar w:fldCharType="begin"/>
            </w:r>
            <w:r w:rsidR="00156343" w:rsidRPr="00FB7E68">
              <w:rPr>
                <w:noProof/>
                <w:webHidden/>
              </w:rPr>
              <w:instrText xml:space="preserve"> PAGEREF _Toc215130110 \h </w:instrText>
            </w:r>
            <w:r w:rsidR="00156343" w:rsidRPr="00FB7E68">
              <w:rPr>
                <w:noProof/>
                <w:webHidden/>
              </w:rPr>
            </w:r>
            <w:r w:rsidR="00156343" w:rsidRPr="00FB7E68">
              <w:rPr>
                <w:noProof/>
                <w:webHidden/>
              </w:rPr>
              <w:fldChar w:fldCharType="separate"/>
            </w:r>
            <w:r w:rsidR="007F090C">
              <w:rPr>
                <w:noProof/>
                <w:webHidden/>
              </w:rPr>
              <w:t>2</w:t>
            </w:r>
            <w:r w:rsidR="00156343" w:rsidRPr="00FB7E68">
              <w:rPr>
                <w:noProof/>
                <w:webHidden/>
              </w:rPr>
              <w:fldChar w:fldCharType="end"/>
            </w:r>
          </w:hyperlink>
        </w:p>
        <w:p w14:paraId="24426650" w14:textId="0ED76A94" w:rsidR="00156343" w:rsidRPr="00FB7E68" w:rsidRDefault="00156343">
          <w:pPr>
            <w:pStyle w:val="TDC2"/>
            <w:tabs>
              <w:tab w:val="right" w:leader="dot" w:pos="8921"/>
            </w:tabs>
            <w:rPr>
              <w:rFonts w:asciiTheme="minorHAnsi" w:eastAsiaTheme="minorEastAsia" w:hAnsiTheme="minorHAnsi" w:cstheme="minorBidi"/>
              <w:noProof/>
              <w:color w:val="auto"/>
            </w:rPr>
          </w:pPr>
          <w:hyperlink w:anchor="_Toc215130111" w:history="1">
            <w:r w:rsidRPr="00FB7E68">
              <w:rPr>
                <w:rStyle w:val="Hipervnculo"/>
                <w:noProof/>
                <w:lang w:eastAsia="es-ES"/>
              </w:rPr>
              <w:t>I. Presentación de la solicitud de información</w:t>
            </w:r>
            <w:r w:rsidRPr="00FB7E68">
              <w:rPr>
                <w:noProof/>
                <w:webHidden/>
              </w:rPr>
              <w:tab/>
            </w:r>
            <w:r w:rsidRPr="00FB7E68">
              <w:rPr>
                <w:noProof/>
                <w:webHidden/>
              </w:rPr>
              <w:fldChar w:fldCharType="begin"/>
            </w:r>
            <w:r w:rsidRPr="00FB7E68">
              <w:rPr>
                <w:noProof/>
                <w:webHidden/>
              </w:rPr>
              <w:instrText xml:space="preserve"> PAGEREF _Toc215130111 \h </w:instrText>
            </w:r>
            <w:r w:rsidRPr="00FB7E68">
              <w:rPr>
                <w:noProof/>
                <w:webHidden/>
              </w:rPr>
            </w:r>
            <w:r w:rsidRPr="00FB7E68">
              <w:rPr>
                <w:noProof/>
                <w:webHidden/>
              </w:rPr>
              <w:fldChar w:fldCharType="separate"/>
            </w:r>
            <w:r w:rsidR="007F090C">
              <w:rPr>
                <w:noProof/>
                <w:webHidden/>
              </w:rPr>
              <w:t>2</w:t>
            </w:r>
            <w:r w:rsidRPr="00FB7E68">
              <w:rPr>
                <w:noProof/>
                <w:webHidden/>
              </w:rPr>
              <w:fldChar w:fldCharType="end"/>
            </w:r>
          </w:hyperlink>
        </w:p>
        <w:p w14:paraId="225BD89E" w14:textId="6C3E1FAA" w:rsidR="00156343" w:rsidRPr="00FB7E68" w:rsidRDefault="00156343">
          <w:pPr>
            <w:pStyle w:val="TDC2"/>
            <w:tabs>
              <w:tab w:val="right" w:leader="dot" w:pos="8921"/>
            </w:tabs>
            <w:rPr>
              <w:rFonts w:asciiTheme="minorHAnsi" w:eastAsiaTheme="minorEastAsia" w:hAnsiTheme="minorHAnsi" w:cstheme="minorBidi"/>
              <w:noProof/>
              <w:color w:val="auto"/>
            </w:rPr>
          </w:pPr>
          <w:hyperlink w:anchor="_Toc215130112" w:history="1">
            <w:r w:rsidRPr="00FB7E68">
              <w:rPr>
                <w:rStyle w:val="Hipervnculo"/>
                <w:rFonts w:cs="Tahoma"/>
                <w:noProof/>
              </w:rPr>
              <w:t>II.</w:t>
            </w:r>
            <w:r w:rsidRPr="00FB7E68">
              <w:rPr>
                <w:rStyle w:val="Hipervnculo"/>
                <w:noProof/>
              </w:rPr>
              <w:t xml:space="preserve"> Respuesta del Sujeto Obligado</w:t>
            </w:r>
            <w:r w:rsidRPr="00FB7E68">
              <w:rPr>
                <w:noProof/>
                <w:webHidden/>
              </w:rPr>
              <w:tab/>
            </w:r>
            <w:r w:rsidRPr="00FB7E68">
              <w:rPr>
                <w:noProof/>
                <w:webHidden/>
              </w:rPr>
              <w:fldChar w:fldCharType="begin"/>
            </w:r>
            <w:r w:rsidRPr="00FB7E68">
              <w:rPr>
                <w:noProof/>
                <w:webHidden/>
              </w:rPr>
              <w:instrText xml:space="preserve"> PAGEREF _Toc215130112 \h </w:instrText>
            </w:r>
            <w:r w:rsidRPr="00FB7E68">
              <w:rPr>
                <w:noProof/>
                <w:webHidden/>
              </w:rPr>
            </w:r>
            <w:r w:rsidRPr="00FB7E68">
              <w:rPr>
                <w:noProof/>
                <w:webHidden/>
              </w:rPr>
              <w:fldChar w:fldCharType="separate"/>
            </w:r>
            <w:r w:rsidR="007F090C">
              <w:rPr>
                <w:noProof/>
                <w:webHidden/>
              </w:rPr>
              <w:t>2</w:t>
            </w:r>
            <w:r w:rsidRPr="00FB7E68">
              <w:rPr>
                <w:noProof/>
                <w:webHidden/>
              </w:rPr>
              <w:fldChar w:fldCharType="end"/>
            </w:r>
          </w:hyperlink>
        </w:p>
        <w:p w14:paraId="3891D8CD" w14:textId="2777CA60" w:rsidR="00156343" w:rsidRPr="00FB7E68" w:rsidRDefault="00156343">
          <w:pPr>
            <w:pStyle w:val="TDC2"/>
            <w:tabs>
              <w:tab w:val="right" w:leader="dot" w:pos="8921"/>
            </w:tabs>
            <w:rPr>
              <w:rFonts w:asciiTheme="minorHAnsi" w:eastAsiaTheme="minorEastAsia" w:hAnsiTheme="minorHAnsi" w:cstheme="minorBidi"/>
              <w:noProof/>
              <w:color w:val="auto"/>
            </w:rPr>
          </w:pPr>
          <w:hyperlink w:anchor="_Toc215130113" w:history="1">
            <w:r w:rsidRPr="00FB7E68">
              <w:rPr>
                <w:rStyle w:val="Hipervnculo"/>
                <w:noProof/>
              </w:rPr>
              <w:t>III. Interposición del Recurso de Revisión</w:t>
            </w:r>
            <w:r w:rsidRPr="00FB7E68">
              <w:rPr>
                <w:noProof/>
                <w:webHidden/>
              </w:rPr>
              <w:tab/>
            </w:r>
            <w:r w:rsidRPr="00FB7E68">
              <w:rPr>
                <w:noProof/>
                <w:webHidden/>
              </w:rPr>
              <w:fldChar w:fldCharType="begin"/>
            </w:r>
            <w:r w:rsidRPr="00FB7E68">
              <w:rPr>
                <w:noProof/>
                <w:webHidden/>
              </w:rPr>
              <w:instrText xml:space="preserve"> PAGEREF _Toc215130113 \h </w:instrText>
            </w:r>
            <w:r w:rsidRPr="00FB7E68">
              <w:rPr>
                <w:noProof/>
                <w:webHidden/>
              </w:rPr>
            </w:r>
            <w:r w:rsidRPr="00FB7E68">
              <w:rPr>
                <w:noProof/>
                <w:webHidden/>
              </w:rPr>
              <w:fldChar w:fldCharType="separate"/>
            </w:r>
            <w:r w:rsidR="007F090C">
              <w:rPr>
                <w:noProof/>
                <w:webHidden/>
              </w:rPr>
              <w:t>3</w:t>
            </w:r>
            <w:r w:rsidRPr="00FB7E68">
              <w:rPr>
                <w:noProof/>
                <w:webHidden/>
              </w:rPr>
              <w:fldChar w:fldCharType="end"/>
            </w:r>
          </w:hyperlink>
        </w:p>
        <w:p w14:paraId="4E36FB2D" w14:textId="21418E5F" w:rsidR="00156343" w:rsidRPr="00FB7E68" w:rsidRDefault="00156343">
          <w:pPr>
            <w:pStyle w:val="TDC2"/>
            <w:tabs>
              <w:tab w:val="right" w:leader="dot" w:pos="8921"/>
            </w:tabs>
            <w:rPr>
              <w:rFonts w:asciiTheme="minorHAnsi" w:eastAsiaTheme="minorEastAsia" w:hAnsiTheme="minorHAnsi" w:cstheme="minorBidi"/>
              <w:noProof/>
              <w:color w:val="auto"/>
            </w:rPr>
          </w:pPr>
          <w:hyperlink w:anchor="_Toc215130114" w:history="1">
            <w:r w:rsidRPr="00FB7E68">
              <w:rPr>
                <w:rStyle w:val="Hipervnculo"/>
                <w:noProof/>
              </w:rPr>
              <w:t>IV. Trámite del Recurso de Revisión ante este Instituto</w:t>
            </w:r>
            <w:r w:rsidRPr="00FB7E68">
              <w:rPr>
                <w:noProof/>
                <w:webHidden/>
              </w:rPr>
              <w:tab/>
            </w:r>
            <w:r w:rsidRPr="00FB7E68">
              <w:rPr>
                <w:noProof/>
                <w:webHidden/>
              </w:rPr>
              <w:fldChar w:fldCharType="begin"/>
            </w:r>
            <w:r w:rsidRPr="00FB7E68">
              <w:rPr>
                <w:noProof/>
                <w:webHidden/>
              </w:rPr>
              <w:instrText xml:space="preserve"> PAGEREF _Toc215130114 \h </w:instrText>
            </w:r>
            <w:r w:rsidRPr="00FB7E68">
              <w:rPr>
                <w:noProof/>
                <w:webHidden/>
              </w:rPr>
            </w:r>
            <w:r w:rsidRPr="00FB7E68">
              <w:rPr>
                <w:noProof/>
                <w:webHidden/>
              </w:rPr>
              <w:fldChar w:fldCharType="separate"/>
            </w:r>
            <w:r w:rsidR="007F090C">
              <w:rPr>
                <w:noProof/>
                <w:webHidden/>
              </w:rPr>
              <w:t>4</w:t>
            </w:r>
            <w:r w:rsidRPr="00FB7E68">
              <w:rPr>
                <w:noProof/>
                <w:webHidden/>
              </w:rPr>
              <w:fldChar w:fldCharType="end"/>
            </w:r>
          </w:hyperlink>
        </w:p>
        <w:p w14:paraId="2E4ECADC" w14:textId="6A7E8D27" w:rsidR="00156343" w:rsidRPr="00FB7E68" w:rsidRDefault="00156343">
          <w:pPr>
            <w:pStyle w:val="TDC1"/>
            <w:tabs>
              <w:tab w:val="right" w:leader="dot" w:pos="8921"/>
            </w:tabs>
            <w:rPr>
              <w:rFonts w:asciiTheme="minorHAnsi" w:eastAsiaTheme="minorEastAsia" w:hAnsiTheme="minorHAnsi" w:cstheme="minorBidi"/>
              <w:noProof/>
              <w:color w:val="auto"/>
            </w:rPr>
          </w:pPr>
          <w:hyperlink w:anchor="_Toc215130115" w:history="1">
            <w:r w:rsidRPr="00FB7E68">
              <w:rPr>
                <w:rStyle w:val="Hipervnculo"/>
                <w:noProof/>
              </w:rPr>
              <w:t>C O N S I D E R A N D O S</w:t>
            </w:r>
            <w:r w:rsidRPr="00FB7E68">
              <w:rPr>
                <w:noProof/>
                <w:webHidden/>
              </w:rPr>
              <w:tab/>
            </w:r>
            <w:r w:rsidRPr="00FB7E68">
              <w:rPr>
                <w:noProof/>
                <w:webHidden/>
              </w:rPr>
              <w:fldChar w:fldCharType="begin"/>
            </w:r>
            <w:r w:rsidRPr="00FB7E68">
              <w:rPr>
                <w:noProof/>
                <w:webHidden/>
              </w:rPr>
              <w:instrText xml:space="preserve"> PAGEREF _Toc215130115 \h </w:instrText>
            </w:r>
            <w:r w:rsidRPr="00FB7E68">
              <w:rPr>
                <w:noProof/>
                <w:webHidden/>
              </w:rPr>
            </w:r>
            <w:r w:rsidRPr="00FB7E68">
              <w:rPr>
                <w:noProof/>
                <w:webHidden/>
              </w:rPr>
              <w:fldChar w:fldCharType="separate"/>
            </w:r>
            <w:r w:rsidR="007F090C">
              <w:rPr>
                <w:noProof/>
                <w:webHidden/>
              </w:rPr>
              <w:t>7</w:t>
            </w:r>
            <w:r w:rsidRPr="00FB7E68">
              <w:rPr>
                <w:noProof/>
                <w:webHidden/>
              </w:rPr>
              <w:fldChar w:fldCharType="end"/>
            </w:r>
          </w:hyperlink>
        </w:p>
        <w:p w14:paraId="1FC927C6" w14:textId="7AD282AE" w:rsidR="00156343" w:rsidRPr="00FB7E68" w:rsidRDefault="00156343">
          <w:pPr>
            <w:pStyle w:val="TDC2"/>
            <w:tabs>
              <w:tab w:val="right" w:leader="dot" w:pos="8921"/>
            </w:tabs>
            <w:rPr>
              <w:rFonts w:asciiTheme="minorHAnsi" w:eastAsiaTheme="minorEastAsia" w:hAnsiTheme="minorHAnsi" w:cstheme="minorBidi"/>
              <w:noProof/>
              <w:color w:val="auto"/>
            </w:rPr>
          </w:pPr>
          <w:hyperlink w:anchor="_Toc215130116" w:history="1">
            <w:r w:rsidRPr="00FB7E68">
              <w:rPr>
                <w:rStyle w:val="Hipervnculo"/>
                <w:noProof/>
              </w:rPr>
              <w:t>PRIMERO. Competencia</w:t>
            </w:r>
            <w:r w:rsidRPr="00FB7E68">
              <w:rPr>
                <w:noProof/>
                <w:webHidden/>
              </w:rPr>
              <w:tab/>
            </w:r>
            <w:r w:rsidRPr="00FB7E68">
              <w:rPr>
                <w:noProof/>
                <w:webHidden/>
              </w:rPr>
              <w:fldChar w:fldCharType="begin"/>
            </w:r>
            <w:r w:rsidRPr="00FB7E68">
              <w:rPr>
                <w:noProof/>
                <w:webHidden/>
              </w:rPr>
              <w:instrText xml:space="preserve"> PAGEREF _Toc215130116 \h </w:instrText>
            </w:r>
            <w:r w:rsidRPr="00FB7E68">
              <w:rPr>
                <w:noProof/>
                <w:webHidden/>
              </w:rPr>
            </w:r>
            <w:r w:rsidRPr="00FB7E68">
              <w:rPr>
                <w:noProof/>
                <w:webHidden/>
              </w:rPr>
              <w:fldChar w:fldCharType="separate"/>
            </w:r>
            <w:r w:rsidR="007F090C">
              <w:rPr>
                <w:noProof/>
                <w:webHidden/>
              </w:rPr>
              <w:t>7</w:t>
            </w:r>
            <w:r w:rsidRPr="00FB7E68">
              <w:rPr>
                <w:noProof/>
                <w:webHidden/>
              </w:rPr>
              <w:fldChar w:fldCharType="end"/>
            </w:r>
          </w:hyperlink>
        </w:p>
        <w:p w14:paraId="0307A635" w14:textId="1DA49EC6" w:rsidR="00156343" w:rsidRPr="00FB7E68" w:rsidRDefault="00156343">
          <w:pPr>
            <w:pStyle w:val="TDC2"/>
            <w:tabs>
              <w:tab w:val="right" w:leader="dot" w:pos="8921"/>
            </w:tabs>
            <w:rPr>
              <w:rFonts w:asciiTheme="minorHAnsi" w:eastAsiaTheme="minorEastAsia" w:hAnsiTheme="minorHAnsi" w:cstheme="minorBidi"/>
              <w:noProof/>
              <w:color w:val="auto"/>
            </w:rPr>
          </w:pPr>
          <w:hyperlink w:anchor="_Toc215130117" w:history="1">
            <w:r w:rsidRPr="00FB7E68">
              <w:rPr>
                <w:rStyle w:val="Hipervnculo"/>
                <w:noProof/>
              </w:rPr>
              <w:t>SEGUNDO. Causales de improcedencia y sobreseimiento</w:t>
            </w:r>
            <w:r w:rsidRPr="00FB7E68">
              <w:rPr>
                <w:noProof/>
                <w:webHidden/>
              </w:rPr>
              <w:tab/>
            </w:r>
            <w:r w:rsidRPr="00FB7E68">
              <w:rPr>
                <w:noProof/>
                <w:webHidden/>
              </w:rPr>
              <w:fldChar w:fldCharType="begin"/>
            </w:r>
            <w:r w:rsidRPr="00FB7E68">
              <w:rPr>
                <w:noProof/>
                <w:webHidden/>
              </w:rPr>
              <w:instrText xml:space="preserve"> PAGEREF _Toc215130117 \h </w:instrText>
            </w:r>
            <w:r w:rsidRPr="00FB7E68">
              <w:rPr>
                <w:noProof/>
                <w:webHidden/>
              </w:rPr>
            </w:r>
            <w:r w:rsidRPr="00FB7E68">
              <w:rPr>
                <w:noProof/>
                <w:webHidden/>
              </w:rPr>
              <w:fldChar w:fldCharType="separate"/>
            </w:r>
            <w:r w:rsidR="007F090C">
              <w:rPr>
                <w:noProof/>
                <w:webHidden/>
              </w:rPr>
              <w:t>8</w:t>
            </w:r>
            <w:r w:rsidRPr="00FB7E68">
              <w:rPr>
                <w:noProof/>
                <w:webHidden/>
              </w:rPr>
              <w:fldChar w:fldCharType="end"/>
            </w:r>
          </w:hyperlink>
        </w:p>
        <w:p w14:paraId="577FF979" w14:textId="754FEF24" w:rsidR="00156343" w:rsidRPr="00FB7E68" w:rsidRDefault="00156343">
          <w:pPr>
            <w:pStyle w:val="TDC2"/>
            <w:tabs>
              <w:tab w:val="right" w:leader="dot" w:pos="8921"/>
            </w:tabs>
            <w:rPr>
              <w:rFonts w:asciiTheme="minorHAnsi" w:eastAsiaTheme="minorEastAsia" w:hAnsiTheme="minorHAnsi" w:cstheme="minorBidi"/>
              <w:noProof/>
              <w:color w:val="auto"/>
            </w:rPr>
          </w:pPr>
          <w:hyperlink w:anchor="_Toc215130118" w:history="1">
            <w:r w:rsidRPr="00FB7E68">
              <w:rPr>
                <w:rStyle w:val="Hipervnculo"/>
                <w:noProof/>
              </w:rPr>
              <w:t>TERCERO. Determinación de la Controversia</w:t>
            </w:r>
            <w:r w:rsidRPr="00FB7E68">
              <w:rPr>
                <w:noProof/>
                <w:webHidden/>
              </w:rPr>
              <w:tab/>
            </w:r>
            <w:r w:rsidRPr="00FB7E68">
              <w:rPr>
                <w:noProof/>
                <w:webHidden/>
              </w:rPr>
              <w:fldChar w:fldCharType="begin"/>
            </w:r>
            <w:r w:rsidRPr="00FB7E68">
              <w:rPr>
                <w:noProof/>
                <w:webHidden/>
              </w:rPr>
              <w:instrText xml:space="preserve"> PAGEREF _Toc215130118 \h </w:instrText>
            </w:r>
            <w:r w:rsidRPr="00FB7E68">
              <w:rPr>
                <w:noProof/>
                <w:webHidden/>
              </w:rPr>
            </w:r>
            <w:r w:rsidRPr="00FB7E68">
              <w:rPr>
                <w:noProof/>
                <w:webHidden/>
              </w:rPr>
              <w:fldChar w:fldCharType="separate"/>
            </w:r>
            <w:r w:rsidR="007F090C">
              <w:rPr>
                <w:noProof/>
                <w:webHidden/>
              </w:rPr>
              <w:t>10</w:t>
            </w:r>
            <w:r w:rsidRPr="00FB7E68">
              <w:rPr>
                <w:noProof/>
                <w:webHidden/>
              </w:rPr>
              <w:fldChar w:fldCharType="end"/>
            </w:r>
          </w:hyperlink>
        </w:p>
        <w:p w14:paraId="639275F7" w14:textId="17AFE54F" w:rsidR="00156343" w:rsidRPr="00FB7E68" w:rsidRDefault="00156343">
          <w:pPr>
            <w:pStyle w:val="TDC2"/>
            <w:tabs>
              <w:tab w:val="right" w:leader="dot" w:pos="8921"/>
            </w:tabs>
            <w:rPr>
              <w:rFonts w:asciiTheme="minorHAnsi" w:eastAsiaTheme="minorEastAsia" w:hAnsiTheme="minorHAnsi" w:cstheme="minorBidi"/>
              <w:noProof/>
              <w:color w:val="auto"/>
            </w:rPr>
          </w:pPr>
          <w:hyperlink w:anchor="_Toc215130119" w:history="1">
            <w:r w:rsidRPr="00FB7E68">
              <w:rPr>
                <w:rStyle w:val="Hipervnculo"/>
                <w:noProof/>
              </w:rPr>
              <w:t>CUARTO. Marco normativo aplicable en materia de transparencia y acceso a la información pública</w:t>
            </w:r>
            <w:r w:rsidRPr="00FB7E68">
              <w:rPr>
                <w:noProof/>
                <w:webHidden/>
              </w:rPr>
              <w:tab/>
            </w:r>
            <w:r w:rsidRPr="00FB7E68">
              <w:rPr>
                <w:noProof/>
                <w:webHidden/>
              </w:rPr>
              <w:fldChar w:fldCharType="begin"/>
            </w:r>
            <w:r w:rsidRPr="00FB7E68">
              <w:rPr>
                <w:noProof/>
                <w:webHidden/>
              </w:rPr>
              <w:instrText xml:space="preserve"> PAGEREF _Toc215130119 \h </w:instrText>
            </w:r>
            <w:r w:rsidRPr="00FB7E68">
              <w:rPr>
                <w:noProof/>
                <w:webHidden/>
              </w:rPr>
            </w:r>
            <w:r w:rsidRPr="00FB7E68">
              <w:rPr>
                <w:noProof/>
                <w:webHidden/>
              </w:rPr>
              <w:fldChar w:fldCharType="separate"/>
            </w:r>
            <w:r w:rsidR="007F090C">
              <w:rPr>
                <w:noProof/>
                <w:webHidden/>
              </w:rPr>
              <w:t>11</w:t>
            </w:r>
            <w:r w:rsidRPr="00FB7E68">
              <w:rPr>
                <w:noProof/>
                <w:webHidden/>
              </w:rPr>
              <w:fldChar w:fldCharType="end"/>
            </w:r>
          </w:hyperlink>
        </w:p>
        <w:p w14:paraId="04C481DD" w14:textId="68D35170" w:rsidR="00156343" w:rsidRPr="00FB7E68" w:rsidRDefault="00156343">
          <w:pPr>
            <w:pStyle w:val="TDC2"/>
            <w:tabs>
              <w:tab w:val="right" w:leader="dot" w:pos="8921"/>
            </w:tabs>
            <w:rPr>
              <w:rFonts w:asciiTheme="minorHAnsi" w:eastAsiaTheme="minorEastAsia" w:hAnsiTheme="minorHAnsi" w:cstheme="minorBidi"/>
              <w:noProof/>
              <w:color w:val="auto"/>
            </w:rPr>
          </w:pPr>
          <w:hyperlink w:anchor="_Toc215130120" w:history="1">
            <w:r w:rsidRPr="00FB7E68">
              <w:rPr>
                <w:rStyle w:val="Hipervnculo"/>
                <w:noProof/>
              </w:rPr>
              <w:t>QUINTO. Estudio de Fondo</w:t>
            </w:r>
            <w:r w:rsidRPr="00FB7E68">
              <w:rPr>
                <w:noProof/>
                <w:webHidden/>
              </w:rPr>
              <w:tab/>
            </w:r>
            <w:r w:rsidRPr="00FB7E68">
              <w:rPr>
                <w:noProof/>
                <w:webHidden/>
              </w:rPr>
              <w:fldChar w:fldCharType="begin"/>
            </w:r>
            <w:r w:rsidRPr="00FB7E68">
              <w:rPr>
                <w:noProof/>
                <w:webHidden/>
              </w:rPr>
              <w:instrText xml:space="preserve"> PAGEREF _Toc215130120 \h </w:instrText>
            </w:r>
            <w:r w:rsidRPr="00FB7E68">
              <w:rPr>
                <w:noProof/>
                <w:webHidden/>
              </w:rPr>
            </w:r>
            <w:r w:rsidRPr="00FB7E68">
              <w:rPr>
                <w:noProof/>
                <w:webHidden/>
              </w:rPr>
              <w:fldChar w:fldCharType="separate"/>
            </w:r>
            <w:r w:rsidR="007F090C">
              <w:rPr>
                <w:noProof/>
                <w:webHidden/>
              </w:rPr>
              <w:t>12</w:t>
            </w:r>
            <w:r w:rsidRPr="00FB7E68">
              <w:rPr>
                <w:noProof/>
                <w:webHidden/>
              </w:rPr>
              <w:fldChar w:fldCharType="end"/>
            </w:r>
          </w:hyperlink>
        </w:p>
        <w:p w14:paraId="01B6BBCD" w14:textId="1EBBF0C6" w:rsidR="00156343" w:rsidRPr="00FB7E68" w:rsidRDefault="00156343">
          <w:pPr>
            <w:pStyle w:val="TDC2"/>
            <w:tabs>
              <w:tab w:val="right" w:leader="dot" w:pos="8921"/>
            </w:tabs>
            <w:rPr>
              <w:rFonts w:asciiTheme="minorHAnsi" w:eastAsiaTheme="minorEastAsia" w:hAnsiTheme="minorHAnsi" w:cstheme="minorBidi"/>
              <w:noProof/>
              <w:color w:val="auto"/>
            </w:rPr>
          </w:pPr>
          <w:hyperlink w:anchor="_Toc215130121" w:history="1">
            <w:r w:rsidRPr="00FB7E68">
              <w:rPr>
                <w:rStyle w:val="Hipervnculo"/>
                <w:noProof/>
              </w:rPr>
              <w:t>SEXTO. Decisión</w:t>
            </w:r>
            <w:r w:rsidRPr="00FB7E68">
              <w:rPr>
                <w:noProof/>
                <w:webHidden/>
              </w:rPr>
              <w:tab/>
            </w:r>
            <w:r w:rsidRPr="00FB7E68">
              <w:rPr>
                <w:noProof/>
                <w:webHidden/>
              </w:rPr>
              <w:fldChar w:fldCharType="begin"/>
            </w:r>
            <w:r w:rsidRPr="00FB7E68">
              <w:rPr>
                <w:noProof/>
                <w:webHidden/>
              </w:rPr>
              <w:instrText xml:space="preserve"> PAGEREF _Toc215130121 \h </w:instrText>
            </w:r>
            <w:r w:rsidRPr="00FB7E68">
              <w:rPr>
                <w:noProof/>
                <w:webHidden/>
              </w:rPr>
            </w:r>
            <w:r w:rsidRPr="00FB7E68">
              <w:rPr>
                <w:noProof/>
                <w:webHidden/>
              </w:rPr>
              <w:fldChar w:fldCharType="separate"/>
            </w:r>
            <w:r w:rsidR="007F090C">
              <w:rPr>
                <w:noProof/>
                <w:webHidden/>
              </w:rPr>
              <w:t>43</w:t>
            </w:r>
            <w:r w:rsidRPr="00FB7E68">
              <w:rPr>
                <w:noProof/>
                <w:webHidden/>
              </w:rPr>
              <w:fldChar w:fldCharType="end"/>
            </w:r>
          </w:hyperlink>
        </w:p>
        <w:p w14:paraId="5A4F6A02" w14:textId="3551BAD8" w:rsidR="00156343" w:rsidRPr="00FB7E68" w:rsidRDefault="00156343">
          <w:pPr>
            <w:pStyle w:val="TDC1"/>
            <w:tabs>
              <w:tab w:val="right" w:leader="dot" w:pos="8921"/>
            </w:tabs>
            <w:rPr>
              <w:rFonts w:asciiTheme="minorHAnsi" w:eastAsiaTheme="minorEastAsia" w:hAnsiTheme="minorHAnsi" w:cstheme="minorBidi"/>
              <w:noProof/>
              <w:color w:val="auto"/>
            </w:rPr>
          </w:pPr>
          <w:hyperlink w:anchor="_Toc215130122" w:history="1">
            <w:r w:rsidRPr="00FB7E68">
              <w:rPr>
                <w:rStyle w:val="Hipervnculo"/>
                <w:noProof/>
              </w:rPr>
              <w:t>R E S U E L V E</w:t>
            </w:r>
            <w:r w:rsidRPr="00FB7E68">
              <w:rPr>
                <w:noProof/>
                <w:webHidden/>
              </w:rPr>
              <w:tab/>
            </w:r>
            <w:r w:rsidRPr="00FB7E68">
              <w:rPr>
                <w:noProof/>
                <w:webHidden/>
              </w:rPr>
              <w:fldChar w:fldCharType="begin"/>
            </w:r>
            <w:r w:rsidRPr="00FB7E68">
              <w:rPr>
                <w:noProof/>
                <w:webHidden/>
              </w:rPr>
              <w:instrText xml:space="preserve"> PAGEREF _Toc215130122 \h </w:instrText>
            </w:r>
            <w:r w:rsidRPr="00FB7E68">
              <w:rPr>
                <w:noProof/>
                <w:webHidden/>
              </w:rPr>
            </w:r>
            <w:r w:rsidRPr="00FB7E68">
              <w:rPr>
                <w:noProof/>
                <w:webHidden/>
              </w:rPr>
              <w:fldChar w:fldCharType="separate"/>
            </w:r>
            <w:r w:rsidR="007F090C">
              <w:rPr>
                <w:noProof/>
                <w:webHidden/>
              </w:rPr>
              <w:t>44</w:t>
            </w:r>
            <w:r w:rsidRPr="00FB7E68">
              <w:rPr>
                <w:noProof/>
                <w:webHidden/>
              </w:rPr>
              <w:fldChar w:fldCharType="end"/>
            </w:r>
          </w:hyperlink>
        </w:p>
        <w:p w14:paraId="5B9D6C11" w14:textId="331DCCD6" w:rsidR="00C4052B" w:rsidRPr="00FB7E68" w:rsidRDefault="00C4052B" w:rsidP="001162C4">
          <w:pPr>
            <w:spacing w:after="0" w:line="360" w:lineRule="auto"/>
          </w:pPr>
          <w:r w:rsidRPr="00FB7E68">
            <w:rPr>
              <w:b/>
              <w:bCs/>
              <w:lang w:val="es-ES"/>
            </w:rPr>
            <w:fldChar w:fldCharType="end"/>
          </w:r>
        </w:p>
      </w:sdtContent>
    </w:sdt>
    <w:p w14:paraId="57481942" w14:textId="77777777" w:rsidR="00C4052B" w:rsidRPr="00FB7E68" w:rsidRDefault="00C4052B" w:rsidP="001162C4">
      <w:pPr>
        <w:tabs>
          <w:tab w:val="left" w:pos="8931"/>
        </w:tabs>
        <w:spacing w:after="0" w:line="360" w:lineRule="auto"/>
      </w:pPr>
    </w:p>
    <w:p w14:paraId="411B5995" w14:textId="77777777" w:rsidR="00C4052B" w:rsidRPr="00FB7E68" w:rsidRDefault="00C4052B" w:rsidP="001162C4">
      <w:pPr>
        <w:tabs>
          <w:tab w:val="left" w:pos="8931"/>
        </w:tabs>
        <w:spacing w:after="0" w:line="360" w:lineRule="auto"/>
      </w:pPr>
    </w:p>
    <w:p w14:paraId="6784625D" w14:textId="77777777" w:rsidR="00C4052B" w:rsidRPr="00FB7E68" w:rsidRDefault="00C4052B" w:rsidP="001162C4">
      <w:pPr>
        <w:tabs>
          <w:tab w:val="left" w:pos="8931"/>
        </w:tabs>
        <w:spacing w:after="0" w:line="360" w:lineRule="auto"/>
      </w:pPr>
    </w:p>
    <w:p w14:paraId="140888DD" w14:textId="77777777" w:rsidR="00C4052B" w:rsidRPr="00FB7E68" w:rsidRDefault="00C4052B" w:rsidP="001162C4">
      <w:pPr>
        <w:tabs>
          <w:tab w:val="left" w:pos="8931"/>
        </w:tabs>
        <w:spacing w:after="0" w:line="360" w:lineRule="auto"/>
      </w:pPr>
    </w:p>
    <w:p w14:paraId="46268890" w14:textId="77777777" w:rsidR="00C4052B" w:rsidRPr="00FB7E68" w:rsidRDefault="00C4052B" w:rsidP="001162C4">
      <w:pPr>
        <w:tabs>
          <w:tab w:val="left" w:pos="8931"/>
        </w:tabs>
        <w:spacing w:after="0" w:line="360" w:lineRule="auto"/>
      </w:pPr>
    </w:p>
    <w:p w14:paraId="147CC638" w14:textId="77777777" w:rsidR="00C4052B" w:rsidRPr="00FB7E68" w:rsidRDefault="00C4052B" w:rsidP="001162C4">
      <w:pPr>
        <w:tabs>
          <w:tab w:val="left" w:pos="8931"/>
        </w:tabs>
        <w:spacing w:after="0" w:line="360" w:lineRule="auto"/>
      </w:pPr>
    </w:p>
    <w:p w14:paraId="01BB5716" w14:textId="77777777" w:rsidR="00C4052B" w:rsidRPr="00FB7E68" w:rsidRDefault="00C4052B" w:rsidP="001162C4">
      <w:pPr>
        <w:tabs>
          <w:tab w:val="left" w:pos="8931"/>
        </w:tabs>
        <w:spacing w:after="0" w:line="360" w:lineRule="auto"/>
      </w:pPr>
    </w:p>
    <w:p w14:paraId="62C1CEC9" w14:textId="77777777" w:rsidR="00C4052B" w:rsidRPr="00FB7E68" w:rsidRDefault="00C4052B" w:rsidP="001162C4">
      <w:pPr>
        <w:tabs>
          <w:tab w:val="left" w:pos="8931"/>
        </w:tabs>
        <w:spacing w:after="0" w:line="360" w:lineRule="auto"/>
      </w:pPr>
    </w:p>
    <w:p w14:paraId="3FB7EB5E" w14:textId="019C9115" w:rsidR="005C690F" w:rsidRPr="00FB7E68" w:rsidRDefault="007D6307" w:rsidP="001162C4">
      <w:pPr>
        <w:tabs>
          <w:tab w:val="left" w:pos="8931"/>
        </w:tabs>
        <w:spacing w:after="0" w:line="360" w:lineRule="auto"/>
      </w:pPr>
      <w:r w:rsidRPr="00FB7E68">
        <w:lastRenderedPageBreak/>
        <w:t xml:space="preserve">Resolución del Pleno del Instituto de Transparencia, Acceso a la Información Pública y Protección de Datos Personales del Estado de México y Municipios, con domicilio en Metepec, Estado de México, de </w:t>
      </w:r>
      <w:r w:rsidR="00EF0C39" w:rsidRPr="00FB7E68">
        <w:t xml:space="preserve">fecha </w:t>
      </w:r>
      <w:r w:rsidR="00376326" w:rsidRPr="00FB7E68">
        <w:t>tres de diciembre</w:t>
      </w:r>
      <w:r w:rsidR="00CF7AA5" w:rsidRPr="00FB7E68">
        <w:t xml:space="preserve"> </w:t>
      </w:r>
      <w:r w:rsidR="00945CB8" w:rsidRPr="00FB7E68">
        <w:t>de dos mil veintic</w:t>
      </w:r>
      <w:r w:rsidR="00C11A18" w:rsidRPr="00FB7E68">
        <w:t>inco</w:t>
      </w:r>
      <w:r w:rsidRPr="00FB7E68">
        <w:t xml:space="preserve">. </w:t>
      </w:r>
    </w:p>
    <w:p w14:paraId="0DCD3B82" w14:textId="77777777" w:rsidR="005C690F" w:rsidRPr="00FB7E68" w:rsidRDefault="005C690F" w:rsidP="001162C4">
      <w:pPr>
        <w:spacing w:after="0" w:line="360" w:lineRule="auto"/>
        <w:rPr>
          <w:b/>
        </w:rPr>
      </w:pPr>
    </w:p>
    <w:p w14:paraId="1570B336" w14:textId="1C481841" w:rsidR="005C690F" w:rsidRPr="00FB7E68" w:rsidRDefault="007D6307" w:rsidP="001162C4">
      <w:pPr>
        <w:spacing w:after="0" w:line="360" w:lineRule="auto"/>
        <w:rPr>
          <w:color w:val="0D0D0D"/>
        </w:rPr>
      </w:pPr>
      <w:r w:rsidRPr="00FB7E68">
        <w:rPr>
          <w:b/>
        </w:rPr>
        <w:t xml:space="preserve">VISTO </w:t>
      </w:r>
      <w:r w:rsidRPr="00FB7E68">
        <w:t xml:space="preserve">el expediente electrónico conformado con motivo del Recurso de Revisión </w:t>
      </w:r>
      <w:r w:rsidR="001F3444" w:rsidRPr="00690060">
        <w:rPr>
          <w:b/>
        </w:rPr>
        <w:t>11146</w:t>
      </w:r>
      <w:r w:rsidR="000D392E" w:rsidRPr="00690060">
        <w:rPr>
          <w:b/>
        </w:rPr>
        <w:t>/INFOEM/IP/RR/2025</w:t>
      </w:r>
      <w:r w:rsidRPr="00690060">
        <w:rPr>
          <w:b/>
        </w:rPr>
        <w:t>,</w:t>
      </w:r>
      <w:r w:rsidRPr="00FB7E68">
        <w:rPr>
          <w:bCs/>
        </w:rPr>
        <w:t xml:space="preserve"> interpuesto </w:t>
      </w:r>
      <w:r w:rsidR="008415EA" w:rsidRPr="00FB7E68">
        <w:rPr>
          <w:bCs/>
        </w:rPr>
        <w:t>por</w:t>
      </w:r>
      <w:r w:rsidR="00EE1006" w:rsidRPr="00FB7E68">
        <w:rPr>
          <w:bCs/>
        </w:rPr>
        <w:t xml:space="preserve"> </w:t>
      </w:r>
      <w:r w:rsidR="00D906B2" w:rsidRPr="00FB7E68">
        <w:rPr>
          <w:bCs/>
        </w:rPr>
        <w:t>la persona</w:t>
      </w:r>
      <w:r w:rsidRPr="00FB7E68">
        <w:rPr>
          <w:bCs/>
        </w:rPr>
        <w:t xml:space="preserve"> </w:t>
      </w:r>
      <w:r w:rsidRPr="00FB7E68">
        <w:rPr>
          <w:bCs/>
          <w:color w:val="0D0D0D"/>
        </w:rPr>
        <w:t>Recurrente o Particular, en contra de la respuesta del Sujeto Obligado</w:t>
      </w:r>
      <w:r w:rsidR="00705FBB" w:rsidRPr="00FB7E68">
        <w:rPr>
          <w:bCs/>
          <w:color w:val="0D0D0D"/>
        </w:rPr>
        <w:t xml:space="preserve">, </w:t>
      </w:r>
      <w:r w:rsidR="008246F7" w:rsidRPr="00690060">
        <w:rPr>
          <w:b/>
          <w:bCs/>
        </w:rPr>
        <w:t>Ayuntamiento d</w:t>
      </w:r>
      <w:r w:rsidR="00EC7CBF" w:rsidRPr="00690060">
        <w:rPr>
          <w:b/>
          <w:bCs/>
        </w:rPr>
        <w:t xml:space="preserve">e </w:t>
      </w:r>
      <w:r w:rsidR="001F3444" w:rsidRPr="00690060">
        <w:rPr>
          <w:b/>
          <w:bCs/>
        </w:rPr>
        <w:t>Tecámac</w:t>
      </w:r>
      <w:r w:rsidR="00EF0C39" w:rsidRPr="00FB7E68">
        <w:rPr>
          <w:bCs/>
        </w:rPr>
        <w:t>,</w:t>
      </w:r>
      <w:r w:rsidRPr="00FB7E68">
        <w:rPr>
          <w:bCs/>
          <w:color w:val="0D0D0D"/>
        </w:rPr>
        <w:t xml:space="preserve"> </w:t>
      </w:r>
      <w:r w:rsidRPr="00FB7E68">
        <w:rPr>
          <w:color w:val="0D0D0D"/>
        </w:rPr>
        <w:t>a la solicitud de acceso a la información pública</w:t>
      </w:r>
      <w:r w:rsidR="00800641" w:rsidRPr="00FB7E68">
        <w:rPr>
          <w:color w:val="0D0D0D"/>
        </w:rPr>
        <w:t xml:space="preserve"> </w:t>
      </w:r>
      <w:r w:rsidR="001F3444" w:rsidRPr="00FB7E68">
        <w:t>00244</w:t>
      </w:r>
      <w:r w:rsidR="00EE1006" w:rsidRPr="00FB7E68">
        <w:t>/</w:t>
      </w:r>
      <w:r w:rsidR="001F3444" w:rsidRPr="00FB7E68">
        <w:t>TECAMAC</w:t>
      </w:r>
      <w:r w:rsidR="000D392E" w:rsidRPr="00FB7E68">
        <w:t>/IP/2025</w:t>
      </w:r>
      <w:r w:rsidRPr="00FB7E68">
        <w:rPr>
          <w:color w:val="000000"/>
        </w:rPr>
        <w:t xml:space="preserve">, </w:t>
      </w:r>
      <w:r w:rsidRPr="00FB7E68">
        <w:rPr>
          <w:color w:val="0D0D0D"/>
        </w:rPr>
        <w:t>se emite la presente Resolución, con base en los Antecedentes y Considerandos que se exponen a continuación:</w:t>
      </w:r>
    </w:p>
    <w:p w14:paraId="1F97CEF3" w14:textId="77777777" w:rsidR="005C690F" w:rsidRPr="00FB7E68" w:rsidRDefault="005C690F" w:rsidP="001162C4">
      <w:pPr>
        <w:spacing w:after="0" w:line="360" w:lineRule="auto"/>
        <w:rPr>
          <w:b/>
        </w:rPr>
      </w:pPr>
    </w:p>
    <w:p w14:paraId="1DEAF9D3" w14:textId="24D35555" w:rsidR="005C690F" w:rsidRPr="00FB7E68" w:rsidRDefault="00CD6238" w:rsidP="001162C4">
      <w:pPr>
        <w:pStyle w:val="Ttulo1"/>
        <w:spacing w:before="0" w:after="0" w:line="360" w:lineRule="auto"/>
        <w:jc w:val="center"/>
        <w:rPr>
          <w:sz w:val="22"/>
          <w:szCs w:val="22"/>
        </w:rPr>
      </w:pPr>
      <w:bookmarkStart w:id="0" w:name="_Toc215130110"/>
      <w:r w:rsidRPr="00FB7E68">
        <w:rPr>
          <w:sz w:val="22"/>
          <w:szCs w:val="22"/>
        </w:rPr>
        <w:t>A N T E C E D E N T E S</w:t>
      </w:r>
      <w:bookmarkEnd w:id="0"/>
    </w:p>
    <w:p w14:paraId="5A7EDA4F" w14:textId="77777777" w:rsidR="005C690F" w:rsidRPr="00FB7E68" w:rsidRDefault="005C690F" w:rsidP="001162C4">
      <w:pPr>
        <w:spacing w:after="0" w:line="360" w:lineRule="auto"/>
        <w:jc w:val="center"/>
        <w:rPr>
          <w:b/>
        </w:rPr>
      </w:pPr>
    </w:p>
    <w:p w14:paraId="4930DAB9" w14:textId="701611A7" w:rsidR="00E22EA8" w:rsidRPr="00FB7E68" w:rsidRDefault="009215C2" w:rsidP="001162C4">
      <w:pPr>
        <w:pStyle w:val="Ttulo2"/>
        <w:spacing w:before="0" w:after="0" w:line="360" w:lineRule="auto"/>
        <w:rPr>
          <w:sz w:val="22"/>
          <w:szCs w:val="22"/>
          <w:lang w:eastAsia="es-ES"/>
        </w:rPr>
      </w:pPr>
      <w:bookmarkStart w:id="1" w:name="_Toc215130111"/>
      <w:r w:rsidRPr="00FB7E68">
        <w:rPr>
          <w:sz w:val="22"/>
          <w:szCs w:val="22"/>
          <w:lang w:eastAsia="es-ES"/>
        </w:rPr>
        <w:t xml:space="preserve">I. </w:t>
      </w:r>
      <w:r w:rsidR="00E22EA8" w:rsidRPr="00FB7E68">
        <w:rPr>
          <w:sz w:val="22"/>
          <w:szCs w:val="22"/>
          <w:lang w:eastAsia="es-ES"/>
        </w:rPr>
        <w:t>Presentación de la solicitud de información</w:t>
      </w:r>
      <w:bookmarkEnd w:id="1"/>
    </w:p>
    <w:p w14:paraId="63A20E25" w14:textId="77777777" w:rsidR="009215C2" w:rsidRPr="00FB7E68" w:rsidRDefault="009215C2" w:rsidP="001162C4">
      <w:pPr>
        <w:tabs>
          <w:tab w:val="left" w:pos="567"/>
        </w:tabs>
        <w:spacing w:after="0" w:line="360" w:lineRule="auto"/>
        <w:rPr>
          <w:rFonts w:eastAsia="Times New Roman" w:cs="Tahoma"/>
          <w:lang w:eastAsia="es-ES"/>
        </w:rPr>
      </w:pPr>
    </w:p>
    <w:p w14:paraId="301B8A4E" w14:textId="4E1C8632" w:rsidR="00E22EA8" w:rsidRPr="00FB7E68" w:rsidRDefault="00D906B2" w:rsidP="001162C4">
      <w:pPr>
        <w:spacing w:after="0" w:line="360" w:lineRule="auto"/>
        <w:rPr>
          <w:rFonts w:eastAsia="Times New Roman" w:cs="Tahoma"/>
          <w:lang w:eastAsia="es-ES"/>
        </w:rPr>
      </w:pPr>
      <w:r w:rsidRPr="00FB7E68">
        <w:rPr>
          <w:rFonts w:eastAsia="Times New Roman" w:cs="Tahoma"/>
          <w:lang w:eastAsia="es-ES"/>
        </w:rPr>
        <w:t>El</w:t>
      </w:r>
      <w:r w:rsidR="00D52EC1" w:rsidRPr="00FB7E68">
        <w:rPr>
          <w:rFonts w:eastAsia="Times New Roman" w:cs="Tahoma"/>
          <w:lang w:eastAsia="es-ES"/>
        </w:rPr>
        <w:t xml:space="preserve"> </w:t>
      </w:r>
      <w:r w:rsidR="001F3444" w:rsidRPr="00FB7E68">
        <w:rPr>
          <w:rFonts w:eastAsia="Times New Roman" w:cs="Tahoma"/>
          <w:lang w:eastAsia="es-ES"/>
        </w:rPr>
        <w:t>primero</w:t>
      </w:r>
      <w:r w:rsidR="00203EED" w:rsidRPr="00FB7E68">
        <w:rPr>
          <w:rFonts w:eastAsia="Times New Roman" w:cs="Tahoma"/>
          <w:lang w:eastAsia="es-ES"/>
        </w:rPr>
        <w:t xml:space="preserve"> de septiembre</w:t>
      </w:r>
      <w:r w:rsidR="00A41789" w:rsidRPr="00FB7E68">
        <w:rPr>
          <w:rFonts w:eastAsia="Times New Roman" w:cs="Tahoma"/>
          <w:lang w:eastAsia="es-ES"/>
        </w:rPr>
        <w:t xml:space="preserve"> </w:t>
      </w:r>
      <w:r w:rsidR="008E0DC4" w:rsidRPr="00FB7E68">
        <w:rPr>
          <w:rFonts w:eastAsia="Times New Roman" w:cs="Tahoma"/>
          <w:lang w:eastAsia="es-ES"/>
        </w:rPr>
        <w:t>de dos mil veinticinco</w:t>
      </w:r>
      <w:r w:rsidR="00BF362A" w:rsidRPr="00FB7E68">
        <w:rPr>
          <w:rFonts w:eastAsia="Times New Roman" w:cs="Tahoma"/>
          <w:lang w:eastAsia="es-ES"/>
        </w:rPr>
        <w:t xml:space="preserve">, </w:t>
      </w:r>
      <w:r w:rsidR="00E22EA8" w:rsidRPr="00FB7E68">
        <w:rPr>
          <w:rFonts w:eastAsia="Times New Roman" w:cs="Tahoma"/>
          <w:lang w:eastAsia="es-ES"/>
        </w:rPr>
        <w:t>el Particular presentó una solicitud de acceso a la información pública, a través del Sistema de Acceso a la Información Mexiquense (SAIMEX), ante</w:t>
      </w:r>
      <w:r w:rsidR="000B3C56" w:rsidRPr="00FB7E68">
        <w:rPr>
          <w:rFonts w:eastAsia="Times New Roman" w:cs="Tahoma"/>
          <w:lang w:eastAsia="es-ES"/>
        </w:rPr>
        <w:t xml:space="preserve"> </w:t>
      </w:r>
      <w:r w:rsidR="00DC175C" w:rsidRPr="00FB7E68">
        <w:rPr>
          <w:rFonts w:eastAsia="Times New Roman" w:cs="Tahoma"/>
          <w:lang w:eastAsia="es-ES"/>
        </w:rPr>
        <w:t>el</w:t>
      </w:r>
      <w:r w:rsidR="008246F7" w:rsidRPr="00FB7E68">
        <w:t xml:space="preserve"> Ayuntamiento de </w:t>
      </w:r>
      <w:r w:rsidR="001F3444" w:rsidRPr="00FB7E68">
        <w:t>Tecámac</w:t>
      </w:r>
      <w:r w:rsidR="008E0DC4" w:rsidRPr="00FB7E68">
        <w:rPr>
          <w:rFonts w:eastAsia="Calibri" w:cs="Times New Roman"/>
          <w:color w:val="000000"/>
        </w:rPr>
        <w:t>,</w:t>
      </w:r>
      <w:r w:rsidR="00DC175C" w:rsidRPr="00FB7E68">
        <w:rPr>
          <w:rFonts w:eastAsia="Calibri" w:cs="Tahoma"/>
        </w:rPr>
        <w:t xml:space="preserve"> </w:t>
      </w:r>
      <w:r w:rsidR="00E22EA8" w:rsidRPr="00FB7E68">
        <w:rPr>
          <w:rFonts w:eastAsia="Calibri" w:cs="Tahoma"/>
        </w:rPr>
        <w:t xml:space="preserve">en los siguientes términos: </w:t>
      </w:r>
    </w:p>
    <w:p w14:paraId="2B959865" w14:textId="77777777" w:rsidR="00E22EA8" w:rsidRPr="00FB7E68" w:rsidRDefault="00E22EA8" w:rsidP="001162C4">
      <w:pPr>
        <w:spacing w:after="0" w:line="360" w:lineRule="auto"/>
        <w:rPr>
          <w:rFonts w:eastAsia="Calibri" w:cs="Tahoma"/>
        </w:rPr>
      </w:pPr>
    </w:p>
    <w:p w14:paraId="3FBC9D66" w14:textId="0F26255C" w:rsidR="00A41789" w:rsidRPr="00FB7E68" w:rsidRDefault="00125F26" w:rsidP="001162C4">
      <w:pPr>
        <w:tabs>
          <w:tab w:val="left" w:pos="4667"/>
        </w:tabs>
        <w:spacing w:after="0" w:line="360" w:lineRule="auto"/>
        <w:ind w:left="567" w:right="567"/>
        <w:rPr>
          <w:rFonts w:eastAsia="Times New Roman" w:cs="Tahoma"/>
          <w:b/>
          <w:i/>
          <w:iCs/>
          <w:sz w:val="20"/>
          <w:szCs w:val="20"/>
          <w:lang w:eastAsia="es-ES"/>
        </w:rPr>
      </w:pPr>
      <w:r w:rsidRPr="00FB7E68">
        <w:rPr>
          <w:rFonts w:eastAsia="Times New Roman" w:cs="Tahoma"/>
          <w:b/>
          <w:i/>
          <w:iCs/>
          <w:sz w:val="20"/>
          <w:szCs w:val="20"/>
          <w:lang w:eastAsia="es-ES"/>
        </w:rPr>
        <w:t>“</w:t>
      </w:r>
      <w:r w:rsidR="00E22EA8" w:rsidRPr="00FB7E68">
        <w:rPr>
          <w:rFonts w:eastAsia="Times New Roman" w:cs="Tahoma"/>
          <w:b/>
          <w:i/>
          <w:iCs/>
          <w:sz w:val="20"/>
          <w:szCs w:val="20"/>
          <w:lang w:eastAsia="es-ES"/>
        </w:rPr>
        <w:t>DESCRIPCIÓN CLARA Y PRECI</w:t>
      </w:r>
      <w:r w:rsidR="0084143D" w:rsidRPr="00FB7E68">
        <w:rPr>
          <w:rFonts w:eastAsia="Times New Roman" w:cs="Tahoma"/>
          <w:b/>
          <w:i/>
          <w:iCs/>
          <w:sz w:val="20"/>
          <w:szCs w:val="20"/>
          <w:lang w:eastAsia="es-ES"/>
        </w:rPr>
        <w:t xml:space="preserve">SA DE LA </w:t>
      </w:r>
      <w:r w:rsidR="00A41789" w:rsidRPr="00FB7E68">
        <w:rPr>
          <w:rFonts w:eastAsia="Times New Roman" w:cs="Tahoma"/>
          <w:b/>
          <w:i/>
          <w:iCs/>
          <w:sz w:val="20"/>
          <w:szCs w:val="20"/>
          <w:lang w:eastAsia="es-ES"/>
        </w:rPr>
        <w:t>INFORMACIÓN SOLICITADA</w:t>
      </w:r>
    </w:p>
    <w:p w14:paraId="2C6BC213" w14:textId="24331B1A" w:rsidR="00E22EA8" w:rsidRPr="00FB7E68" w:rsidRDefault="001F3444" w:rsidP="001162C4">
      <w:pPr>
        <w:tabs>
          <w:tab w:val="left" w:pos="4667"/>
        </w:tabs>
        <w:spacing w:after="0" w:line="360" w:lineRule="auto"/>
        <w:ind w:left="567" w:right="567"/>
        <w:rPr>
          <w:rFonts w:eastAsia="Times New Roman" w:cs="Tahoma"/>
          <w:bCs/>
          <w:i/>
          <w:iCs/>
          <w:sz w:val="20"/>
          <w:szCs w:val="20"/>
          <w:lang w:eastAsia="es-ES"/>
        </w:rPr>
      </w:pPr>
      <w:r w:rsidRPr="00FB7E68">
        <w:rPr>
          <w:i/>
          <w:iCs/>
          <w:sz w:val="20"/>
          <w:szCs w:val="20"/>
        </w:rPr>
        <w:t xml:space="preserve">Sueldos de todo el personal de presidencia, unidad de planeaciones o similar tesorería administración desarrollo económico y </w:t>
      </w:r>
      <w:proofErr w:type="gramStart"/>
      <w:r w:rsidRPr="00FB7E68">
        <w:rPr>
          <w:i/>
          <w:iCs/>
          <w:sz w:val="20"/>
          <w:szCs w:val="20"/>
        </w:rPr>
        <w:t>todas los titulares</w:t>
      </w:r>
      <w:proofErr w:type="gramEnd"/>
      <w:r w:rsidRPr="00FB7E68">
        <w:rPr>
          <w:i/>
          <w:iCs/>
          <w:sz w:val="20"/>
          <w:szCs w:val="20"/>
        </w:rPr>
        <w:t xml:space="preserve"> de área del mes de agosto de 2025</w:t>
      </w:r>
      <w:r w:rsidR="009215C2" w:rsidRPr="00FB7E68">
        <w:rPr>
          <w:i/>
          <w:iCs/>
          <w:sz w:val="20"/>
          <w:szCs w:val="20"/>
        </w:rPr>
        <w:t>”</w:t>
      </w:r>
      <w:r w:rsidR="00857C17" w:rsidRPr="00FB7E68">
        <w:rPr>
          <w:i/>
          <w:iCs/>
          <w:sz w:val="20"/>
          <w:szCs w:val="20"/>
        </w:rPr>
        <w:t xml:space="preserve"> (Sic.)</w:t>
      </w:r>
    </w:p>
    <w:p w14:paraId="5E88ED39" w14:textId="77777777" w:rsidR="00BF362A" w:rsidRPr="00FB7E68" w:rsidRDefault="00BF362A" w:rsidP="001162C4">
      <w:pPr>
        <w:tabs>
          <w:tab w:val="left" w:pos="4667"/>
        </w:tabs>
        <w:spacing w:after="0" w:line="360" w:lineRule="auto"/>
        <w:ind w:left="567" w:right="567"/>
        <w:rPr>
          <w:rFonts w:eastAsia="Times New Roman" w:cs="Tahoma"/>
          <w:b/>
          <w:bCs/>
          <w:i/>
          <w:iCs/>
          <w:sz w:val="20"/>
          <w:lang w:eastAsia="es-ES"/>
        </w:rPr>
      </w:pPr>
    </w:p>
    <w:p w14:paraId="6C0DE105" w14:textId="3FEE2196" w:rsidR="00E22EA8" w:rsidRPr="00FB7E68" w:rsidRDefault="00125F26" w:rsidP="001162C4">
      <w:pPr>
        <w:tabs>
          <w:tab w:val="left" w:pos="4667"/>
        </w:tabs>
        <w:spacing w:after="0" w:line="360" w:lineRule="auto"/>
        <w:ind w:left="567" w:right="567"/>
        <w:rPr>
          <w:rFonts w:eastAsia="Times New Roman" w:cs="Tahoma"/>
          <w:b/>
          <w:bCs/>
          <w:i/>
          <w:iCs/>
          <w:sz w:val="20"/>
          <w:lang w:eastAsia="es-ES"/>
        </w:rPr>
      </w:pPr>
      <w:r w:rsidRPr="00FB7E68">
        <w:rPr>
          <w:rFonts w:eastAsia="Times New Roman" w:cs="Tahoma"/>
          <w:b/>
          <w:bCs/>
          <w:i/>
          <w:iCs/>
          <w:sz w:val="20"/>
          <w:lang w:eastAsia="es-ES"/>
        </w:rPr>
        <w:t>“</w:t>
      </w:r>
      <w:r w:rsidR="00E22EA8" w:rsidRPr="00FB7E68">
        <w:rPr>
          <w:rFonts w:eastAsia="Times New Roman" w:cs="Tahoma"/>
          <w:b/>
          <w:bCs/>
          <w:i/>
          <w:iCs/>
          <w:sz w:val="20"/>
          <w:lang w:eastAsia="es-ES"/>
        </w:rPr>
        <w:t>MODALIDAD DE ENTREGA</w:t>
      </w:r>
    </w:p>
    <w:p w14:paraId="3CA8F82F" w14:textId="1B5A8200" w:rsidR="00EB386A" w:rsidRPr="00FB7E68" w:rsidRDefault="00BB6693" w:rsidP="001162C4">
      <w:pPr>
        <w:spacing w:after="0" w:line="360" w:lineRule="auto"/>
        <w:ind w:left="567" w:right="567"/>
        <w:rPr>
          <w:rFonts w:eastAsia="Times New Roman" w:cs="Arial"/>
          <w:bCs/>
          <w:i/>
          <w:iCs/>
          <w:sz w:val="20"/>
          <w:lang w:eastAsia="es-ES"/>
        </w:rPr>
      </w:pPr>
      <w:r w:rsidRPr="00FB7E68">
        <w:rPr>
          <w:rFonts w:eastAsia="Times New Roman" w:cs="Arial"/>
          <w:bCs/>
          <w:i/>
          <w:iCs/>
          <w:sz w:val="20"/>
          <w:lang w:eastAsia="es-ES"/>
        </w:rPr>
        <w:t>A través del SAIMEX</w:t>
      </w:r>
      <w:r w:rsidR="00E22EA8" w:rsidRPr="00FB7E68">
        <w:rPr>
          <w:rFonts w:eastAsia="Times New Roman" w:cs="Arial"/>
          <w:bCs/>
          <w:i/>
          <w:iCs/>
          <w:sz w:val="20"/>
          <w:lang w:eastAsia="es-ES"/>
        </w:rPr>
        <w:t>”</w:t>
      </w:r>
    </w:p>
    <w:p w14:paraId="552D72DA" w14:textId="77777777" w:rsidR="00A401C8" w:rsidRPr="00FB7E68" w:rsidRDefault="00A401C8" w:rsidP="001162C4">
      <w:pPr>
        <w:spacing w:after="0" w:line="360" w:lineRule="auto"/>
        <w:ind w:right="567"/>
        <w:rPr>
          <w:rFonts w:eastAsia="Times New Roman" w:cs="Arial"/>
          <w:bCs/>
          <w:i/>
          <w:iCs/>
          <w:sz w:val="20"/>
          <w:lang w:eastAsia="es-ES"/>
        </w:rPr>
      </w:pPr>
    </w:p>
    <w:p w14:paraId="0A604AAC" w14:textId="2CB627B9" w:rsidR="00E22EA8" w:rsidRPr="00FB7E68" w:rsidRDefault="000B3C56" w:rsidP="001162C4">
      <w:pPr>
        <w:pStyle w:val="Ttulo2"/>
        <w:spacing w:before="0" w:after="0" w:line="360" w:lineRule="auto"/>
        <w:rPr>
          <w:sz w:val="22"/>
          <w:szCs w:val="22"/>
        </w:rPr>
      </w:pPr>
      <w:bookmarkStart w:id="2" w:name="_Toc215130112"/>
      <w:r w:rsidRPr="00FB7E68">
        <w:rPr>
          <w:rFonts w:cs="Tahoma"/>
          <w:sz w:val="22"/>
          <w:szCs w:val="22"/>
        </w:rPr>
        <w:t>I</w:t>
      </w:r>
      <w:r w:rsidR="00720A55" w:rsidRPr="00FB7E68">
        <w:rPr>
          <w:rFonts w:cs="Tahoma"/>
          <w:sz w:val="22"/>
          <w:szCs w:val="22"/>
        </w:rPr>
        <w:t>I</w:t>
      </w:r>
      <w:r w:rsidR="00E22EA8" w:rsidRPr="00FB7E68">
        <w:rPr>
          <w:rFonts w:cs="Tahoma"/>
          <w:sz w:val="22"/>
          <w:szCs w:val="22"/>
        </w:rPr>
        <w:t>.</w:t>
      </w:r>
      <w:r w:rsidR="00E22EA8" w:rsidRPr="00FB7E68">
        <w:rPr>
          <w:sz w:val="22"/>
          <w:szCs w:val="22"/>
        </w:rPr>
        <w:t xml:space="preserve"> Respuesta del Sujeto Obligado</w:t>
      </w:r>
      <w:bookmarkEnd w:id="2"/>
    </w:p>
    <w:p w14:paraId="10CE94A9" w14:textId="77777777" w:rsidR="00C06004" w:rsidRPr="00FB7E68" w:rsidRDefault="00C06004" w:rsidP="001162C4">
      <w:pPr>
        <w:autoSpaceDE w:val="0"/>
        <w:autoSpaceDN w:val="0"/>
        <w:adjustRightInd w:val="0"/>
        <w:spacing w:after="0" w:line="360" w:lineRule="auto"/>
        <w:rPr>
          <w:b/>
          <w:bCs/>
        </w:rPr>
      </w:pPr>
    </w:p>
    <w:p w14:paraId="57A372A2" w14:textId="73B945A2" w:rsidR="001F3444" w:rsidRPr="00FB7E68" w:rsidRDefault="00EB386A" w:rsidP="001162C4">
      <w:pPr>
        <w:spacing w:after="0" w:line="360" w:lineRule="auto"/>
      </w:pPr>
      <w:r w:rsidRPr="00FB7E68">
        <w:lastRenderedPageBreak/>
        <w:t xml:space="preserve">El </w:t>
      </w:r>
      <w:r w:rsidR="005D70AC" w:rsidRPr="00FB7E68">
        <w:t>veintidós</w:t>
      </w:r>
      <w:r w:rsidR="005E380A" w:rsidRPr="00FB7E68">
        <w:t xml:space="preserve"> de septiembre</w:t>
      </w:r>
      <w:r w:rsidR="00CD4DE8" w:rsidRPr="00FB7E68">
        <w:t xml:space="preserve"> de dos mil veinticinco</w:t>
      </w:r>
      <w:r w:rsidR="00E22EA8" w:rsidRPr="00FB7E68">
        <w:t xml:space="preserve">, el Sujeto Obligado notificó, a través del Sistema de Acceso a la Información Mexiquense (SAIMEX), la respuesta a la solicitud de acceso a la información pública, </w:t>
      </w:r>
      <w:r w:rsidR="001F3444" w:rsidRPr="00FB7E68">
        <w:t>donde mencionó lo siguiente:</w:t>
      </w:r>
    </w:p>
    <w:p w14:paraId="25B15EB9" w14:textId="77777777" w:rsidR="001F3444" w:rsidRPr="00FB7E68" w:rsidRDefault="001F3444" w:rsidP="001162C4">
      <w:pPr>
        <w:spacing w:after="0" w:line="360" w:lineRule="auto"/>
      </w:pPr>
    </w:p>
    <w:p w14:paraId="208BB740" w14:textId="192AB685" w:rsidR="001F3444" w:rsidRPr="00FB7E68" w:rsidRDefault="001F3444" w:rsidP="001F3444">
      <w:pPr>
        <w:spacing w:after="0" w:line="360" w:lineRule="auto"/>
        <w:ind w:left="720"/>
        <w:rPr>
          <w:i/>
          <w:sz w:val="20"/>
        </w:rPr>
      </w:pPr>
      <w:r w:rsidRPr="00FB7E68">
        <w:rPr>
          <w:i/>
          <w:sz w:val="20"/>
        </w:rPr>
        <w:t xml:space="preserve">“… Al respecto y con fundamento en el artículo 12 de la Ley de Transparencia y Acceso a la información Pública del Estado de México y Municipios que a la letra señala: “Artículo 12. Los sujetos obligados sólo proporcionarán la información pública que se les requiera y que obre en sus archivos y en el estado en que ésta se encuentre. La obligación de proporcionar información no comprende el procesamiento de </w:t>
      </w:r>
      <w:proofErr w:type="gramStart"/>
      <w:r w:rsidRPr="00FB7E68">
        <w:rPr>
          <w:i/>
          <w:sz w:val="20"/>
        </w:rPr>
        <w:t>la misma</w:t>
      </w:r>
      <w:proofErr w:type="gramEnd"/>
      <w:r w:rsidRPr="00FB7E68">
        <w:rPr>
          <w:i/>
          <w:sz w:val="20"/>
        </w:rPr>
        <w:t xml:space="preserve">, ni el presentarla conforme al interés del solicitante; no estarán obligados a generarla, resumirla, efectuar cálculos o practicar investigaciones.” (Sic) Derivado de lo anterior y una vez analizada su solicitud, esta Subdirección de Recursos Humanos le invita a consultar el siguiente </w:t>
      </w:r>
      <w:proofErr w:type="gramStart"/>
      <w:r w:rsidRPr="00FB7E68">
        <w:rPr>
          <w:i/>
          <w:sz w:val="20"/>
        </w:rPr>
        <w:t>link</w:t>
      </w:r>
      <w:proofErr w:type="gramEnd"/>
      <w:r w:rsidRPr="00FB7E68">
        <w:rPr>
          <w:i/>
          <w:sz w:val="20"/>
        </w:rPr>
        <w:t xml:space="preserve"> donde podrá encontrar la información solicitada </w:t>
      </w:r>
      <w:hyperlink r:id="rId9" w:anchor="/obligaciones/172" w:history="1">
        <w:r w:rsidRPr="00FB7E68">
          <w:rPr>
            <w:rStyle w:val="Hipervnculo"/>
            <w:i/>
            <w:sz w:val="20"/>
          </w:rPr>
          <w:t>https://ipomex.org.mx/ipomex/#/obligaciones/172</w:t>
        </w:r>
      </w:hyperlink>
      <w:r w:rsidRPr="00FB7E68">
        <w:rPr>
          <w:i/>
          <w:sz w:val="20"/>
        </w:rPr>
        <w:t>.</w:t>
      </w:r>
    </w:p>
    <w:p w14:paraId="16A8D5D3" w14:textId="508DE3DB" w:rsidR="001F3444" w:rsidRPr="00FB7E68" w:rsidRDefault="001F3444" w:rsidP="001F3444">
      <w:pPr>
        <w:spacing w:after="0" w:line="360" w:lineRule="auto"/>
        <w:ind w:left="720"/>
        <w:rPr>
          <w:i/>
          <w:sz w:val="20"/>
        </w:rPr>
      </w:pPr>
      <w:r w:rsidRPr="00FB7E68">
        <w:rPr>
          <w:i/>
          <w:sz w:val="20"/>
        </w:rPr>
        <w:t>…”</w:t>
      </w:r>
    </w:p>
    <w:p w14:paraId="0743878A" w14:textId="77777777" w:rsidR="001F3444" w:rsidRPr="00FB7E68" w:rsidRDefault="001F3444" w:rsidP="001162C4">
      <w:pPr>
        <w:spacing w:after="0" w:line="360" w:lineRule="auto"/>
      </w:pPr>
    </w:p>
    <w:p w14:paraId="52D02890" w14:textId="50A5EB06" w:rsidR="001F3444" w:rsidRPr="00FB7E68" w:rsidRDefault="001F3444" w:rsidP="001162C4">
      <w:pPr>
        <w:spacing w:after="0" w:line="360" w:lineRule="auto"/>
      </w:pPr>
      <w:r w:rsidRPr="00FB7E68">
        <w:t xml:space="preserve">Asimismo, adjuntó la digitalización </w:t>
      </w:r>
      <w:r w:rsidR="005E380A" w:rsidRPr="00FB7E68">
        <w:t xml:space="preserve">del oficio número </w:t>
      </w:r>
      <w:r w:rsidRPr="00FB7E68">
        <w:t xml:space="preserve">TM/SEYA/SRH/0216/2025, del dieciocho de septiembre de dos mil veinticinco, suscrito por la </w:t>
      </w:r>
      <w:proofErr w:type="gramStart"/>
      <w:r w:rsidRPr="00FB7E68">
        <w:t>Subdirectora</w:t>
      </w:r>
      <w:proofErr w:type="gramEnd"/>
      <w:r w:rsidRPr="00FB7E68">
        <w:t xml:space="preserve"> de Recursos Humanos y dirigido al </w:t>
      </w:r>
      <w:proofErr w:type="gramStart"/>
      <w:r w:rsidRPr="00FB7E68">
        <w:t>Director</w:t>
      </w:r>
      <w:proofErr w:type="gramEnd"/>
      <w:r w:rsidRPr="00FB7E68">
        <w:t xml:space="preserve"> Jurídico y Consultivo, por medio del cual mencionó lo siguiente:</w:t>
      </w:r>
    </w:p>
    <w:p w14:paraId="08362F22" w14:textId="77777777" w:rsidR="001F3444" w:rsidRPr="00FB7E68" w:rsidRDefault="001F3444" w:rsidP="001162C4">
      <w:pPr>
        <w:spacing w:after="0" w:line="360" w:lineRule="auto"/>
      </w:pPr>
    </w:p>
    <w:p w14:paraId="2464C07A" w14:textId="77777777" w:rsidR="001F3444" w:rsidRPr="00FB7E68" w:rsidRDefault="001F3444" w:rsidP="001F3444">
      <w:pPr>
        <w:spacing w:after="0" w:line="360" w:lineRule="auto"/>
        <w:ind w:left="720"/>
        <w:rPr>
          <w:i/>
          <w:sz w:val="20"/>
        </w:rPr>
      </w:pPr>
      <w:r w:rsidRPr="00FB7E68">
        <w:rPr>
          <w:i/>
          <w:sz w:val="20"/>
        </w:rPr>
        <w:t xml:space="preserve">“…Derivado de lo anterior y una vez analizada su solicitud, esta Subdirección de Recursos Humanos le invita a consultar el siguiente </w:t>
      </w:r>
      <w:proofErr w:type="gramStart"/>
      <w:r w:rsidRPr="00FB7E68">
        <w:rPr>
          <w:i/>
          <w:sz w:val="20"/>
        </w:rPr>
        <w:t>link</w:t>
      </w:r>
      <w:proofErr w:type="gramEnd"/>
      <w:r w:rsidRPr="00FB7E68">
        <w:rPr>
          <w:i/>
          <w:sz w:val="20"/>
        </w:rPr>
        <w:t xml:space="preserve"> donde podrá encontrar la información solicitada </w:t>
      </w:r>
      <w:hyperlink r:id="rId10" w:anchor="/obligaciones/172" w:history="1">
        <w:r w:rsidRPr="00FB7E68">
          <w:rPr>
            <w:rStyle w:val="Hipervnculo"/>
            <w:i/>
            <w:sz w:val="20"/>
          </w:rPr>
          <w:t>https://ipomex.org.mx/ipomex/#/obligaciones/172</w:t>
        </w:r>
      </w:hyperlink>
      <w:r w:rsidRPr="00FB7E68">
        <w:rPr>
          <w:i/>
          <w:sz w:val="20"/>
        </w:rPr>
        <w:t>.</w:t>
      </w:r>
    </w:p>
    <w:p w14:paraId="21BAD8AF" w14:textId="0FF59A01" w:rsidR="001F3444" w:rsidRPr="00FB7E68" w:rsidRDefault="001F3444" w:rsidP="001F3444">
      <w:pPr>
        <w:spacing w:after="0" w:line="360" w:lineRule="auto"/>
        <w:ind w:left="720"/>
      </w:pPr>
      <w:r w:rsidRPr="00FB7E68">
        <w:rPr>
          <w:i/>
          <w:sz w:val="20"/>
        </w:rPr>
        <w:t>…”</w:t>
      </w:r>
      <w:r w:rsidRPr="00FB7E68">
        <w:t xml:space="preserve"> </w:t>
      </w:r>
    </w:p>
    <w:p w14:paraId="28CE829C" w14:textId="77777777" w:rsidR="005D70AC" w:rsidRPr="00FB7E68" w:rsidRDefault="005D70AC" w:rsidP="001F3444">
      <w:pPr>
        <w:spacing w:after="0" w:line="360" w:lineRule="auto"/>
        <w:rPr>
          <w:i/>
          <w:sz w:val="20"/>
        </w:rPr>
      </w:pPr>
    </w:p>
    <w:p w14:paraId="7E7FBB31" w14:textId="005B6AE4" w:rsidR="00E22EA8" w:rsidRPr="00FB7E68" w:rsidRDefault="00720A55" w:rsidP="001162C4">
      <w:pPr>
        <w:pStyle w:val="Ttulo2"/>
        <w:spacing w:before="0" w:after="0" w:line="360" w:lineRule="auto"/>
        <w:rPr>
          <w:sz w:val="22"/>
          <w:szCs w:val="22"/>
        </w:rPr>
      </w:pPr>
      <w:bookmarkStart w:id="3" w:name="_Toc215130113"/>
      <w:r w:rsidRPr="00FB7E68">
        <w:rPr>
          <w:sz w:val="22"/>
          <w:szCs w:val="22"/>
        </w:rPr>
        <w:t>III</w:t>
      </w:r>
      <w:r w:rsidR="00E22EA8" w:rsidRPr="00FB7E68">
        <w:rPr>
          <w:sz w:val="22"/>
          <w:szCs w:val="22"/>
        </w:rPr>
        <w:t>. Interposición del Recurso de Revisión</w:t>
      </w:r>
      <w:bookmarkEnd w:id="3"/>
    </w:p>
    <w:p w14:paraId="053D45CF" w14:textId="77777777" w:rsidR="00E22EA8" w:rsidRPr="00FB7E68" w:rsidRDefault="00E22EA8" w:rsidP="001162C4">
      <w:pPr>
        <w:spacing w:after="0" w:line="360" w:lineRule="auto"/>
        <w:rPr>
          <w:b/>
        </w:rPr>
      </w:pPr>
    </w:p>
    <w:p w14:paraId="355C8CC6" w14:textId="1A1DC2A8" w:rsidR="009C5A71" w:rsidRPr="00FB7E68" w:rsidRDefault="00083169" w:rsidP="001162C4">
      <w:pPr>
        <w:spacing w:after="0" w:line="360" w:lineRule="auto"/>
        <w:rPr>
          <w:bCs/>
        </w:rPr>
      </w:pPr>
      <w:r w:rsidRPr="00FB7E68">
        <w:rPr>
          <w:bCs/>
        </w:rPr>
        <w:t>El</w:t>
      </w:r>
      <w:r w:rsidR="008E5E71" w:rsidRPr="00FB7E68">
        <w:rPr>
          <w:bCs/>
        </w:rPr>
        <w:t xml:space="preserve"> </w:t>
      </w:r>
      <w:r w:rsidR="001F3444" w:rsidRPr="00FB7E68">
        <w:t>veintinueve</w:t>
      </w:r>
      <w:r w:rsidR="00F41361" w:rsidRPr="00FB7E68">
        <w:t xml:space="preserve"> de septiembre</w:t>
      </w:r>
      <w:r w:rsidR="00C2045C" w:rsidRPr="00FB7E68">
        <w:t xml:space="preserve"> </w:t>
      </w:r>
      <w:r w:rsidR="008E5E71" w:rsidRPr="00FB7E68">
        <w:t>de dos mil veinticinco</w:t>
      </w:r>
      <w:r w:rsidR="00E22EA8" w:rsidRPr="00FB7E68">
        <w:rPr>
          <w:bCs/>
        </w:rPr>
        <w:t xml:space="preserve">, se recibió en este Instituto, a través del </w:t>
      </w:r>
      <w:r w:rsidR="00E22EA8" w:rsidRPr="00FB7E68">
        <w:rPr>
          <w:bCs/>
          <w:lang w:val="es-ES"/>
        </w:rPr>
        <w:t>Sistema de Acceso a la Información Mexiquense (SAIMEX)</w:t>
      </w:r>
      <w:r w:rsidR="00E22EA8" w:rsidRPr="00FB7E68">
        <w:rPr>
          <w:bCs/>
        </w:rPr>
        <w:t xml:space="preserve">, </w:t>
      </w:r>
      <w:r w:rsidR="009019A8" w:rsidRPr="00FB7E68">
        <w:rPr>
          <w:bCs/>
        </w:rPr>
        <w:t xml:space="preserve">el </w:t>
      </w:r>
      <w:r w:rsidR="00E22EA8" w:rsidRPr="00FB7E68">
        <w:rPr>
          <w:bCs/>
        </w:rPr>
        <w:t xml:space="preserve">Recurso de Revisión </w:t>
      </w:r>
      <w:r w:rsidR="00E22EA8" w:rsidRPr="00FB7E68">
        <w:rPr>
          <w:bCs/>
        </w:rPr>
        <w:lastRenderedPageBreak/>
        <w:t>interpuesto por la p</w:t>
      </w:r>
      <w:r w:rsidRPr="00FB7E68">
        <w:rPr>
          <w:bCs/>
        </w:rPr>
        <w:t>ersona</w:t>
      </w:r>
      <w:r w:rsidR="00E22EA8" w:rsidRPr="00FB7E68">
        <w:rPr>
          <w:bCs/>
        </w:rPr>
        <w:t xml:space="preserve"> Recurrente, en contra de la respuesta por el Sujeto Obligado, a la solicitud de información</w:t>
      </w:r>
      <w:r w:rsidR="00F43789" w:rsidRPr="00FB7E68">
        <w:rPr>
          <w:rFonts w:eastAsia="Calibri" w:cs="Times New Roman"/>
        </w:rPr>
        <w:t xml:space="preserve">, </w:t>
      </w:r>
      <w:r w:rsidR="00E22EA8" w:rsidRPr="00FB7E68">
        <w:rPr>
          <w:bCs/>
        </w:rPr>
        <w:t>en los siguientes términos:</w:t>
      </w:r>
    </w:p>
    <w:p w14:paraId="499DDBDB" w14:textId="77777777" w:rsidR="008E5E71" w:rsidRPr="00FB7E68" w:rsidRDefault="008E5E71" w:rsidP="001162C4">
      <w:pPr>
        <w:spacing w:after="0" w:line="360" w:lineRule="auto"/>
        <w:ind w:left="567" w:right="567"/>
        <w:rPr>
          <w:b/>
          <w:bCs/>
          <w:i/>
          <w:sz w:val="20"/>
          <w:szCs w:val="20"/>
        </w:rPr>
      </w:pPr>
    </w:p>
    <w:p w14:paraId="1B2CCD45" w14:textId="1F34B3A9" w:rsidR="00E22EA8" w:rsidRPr="00FB7E68" w:rsidRDefault="00E12804" w:rsidP="001162C4">
      <w:pPr>
        <w:spacing w:after="0" w:line="360" w:lineRule="auto"/>
        <w:ind w:left="567" w:right="567"/>
        <w:rPr>
          <w:bCs/>
          <w:i/>
          <w:sz w:val="20"/>
          <w:szCs w:val="20"/>
        </w:rPr>
      </w:pPr>
      <w:r w:rsidRPr="00FB7E68">
        <w:rPr>
          <w:b/>
          <w:bCs/>
          <w:i/>
          <w:sz w:val="20"/>
          <w:szCs w:val="20"/>
        </w:rPr>
        <w:t>‘’</w:t>
      </w:r>
      <w:r w:rsidR="00E22EA8" w:rsidRPr="00FB7E68">
        <w:rPr>
          <w:b/>
          <w:bCs/>
          <w:i/>
          <w:sz w:val="20"/>
          <w:szCs w:val="20"/>
        </w:rPr>
        <w:t>ACTO IMPUGNADO</w:t>
      </w:r>
    </w:p>
    <w:p w14:paraId="20CB87D1" w14:textId="51C1D4DC" w:rsidR="00E22EA8" w:rsidRPr="00FB7E68" w:rsidRDefault="001F3444" w:rsidP="001162C4">
      <w:pPr>
        <w:spacing w:after="0" w:line="360" w:lineRule="auto"/>
        <w:ind w:left="567" w:right="567"/>
        <w:rPr>
          <w:i/>
          <w:sz w:val="20"/>
          <w:szCs w:val="20"/>
        </w:rPr>
      </w:pPr>
      <w:r w:rsidRPr="00FB7E68">
        <w:rPr>
          <w:i/>
          <w:iCs/>
          <w:sz w:val="20"/>
          <w:szCs w:val="20"/>
        </w:rPr>
        <w:t xml:space="preserve">no entrego la información solicitada, a parte denuncio que no </w:t>
      </w:r>
      <w:proofErr w:type="spellStart"/>
      <w:r w:rsidRPr="00FB7E68">
        <w:rPr>
          <w:i/>
          <w:iCs/>
          <w:sz w:val="20"/>
          <w:szCs w:val="20"/>
        </w:rPr>
        <w:t>esta</w:t>
      </w:r>
      <w:proofErr w:type="spellEnd"/>
      <w:r w:rsidRPr="00FB7E68">
        <w:rPr>
          <w:i/>
          <w:iCs/>
          <w:sz w:val="20"/>
          <w:szCs w:val="20"/>
        </w:rPr>
        <w:t xml:space="preserve"> actualizado su </w:t>
      </w:r>
      <w:proofErr w:type="spellStart"/>
      <w:r w:rsidRPr="00FB7E68">
        <w:rPr>
          <w:i/>
          <w:iCs/>
          <w:sz w:val="20"/>
          <w:szCs w:val="20"/>
        </w:rPr>
        <w:t>ipomex</w:t>
      </w:r>
      <w:proofErr w:type="spellEnd"/>
      <w:r w:rsidRPr="00FB7E68">
        <w:rPr>
          <w:i/>
          <w:iCs/>
          <w:sz w:val="20"/>
          <w:szCs w:val="20"/>
        </w:rPr>
        <w:t xml:space="preserve"> al </w:t>
      </w:r>
      <w:proofErr w:type="spellStart"/>
      <w:r w:rsidRPr="00FB7E68">
        <w:rPr>
          <w:i/>
          <w:iCs/>
          <w:sz w:val="20"/>
          <w:szCs w:val="20"/>
        </w:rPr>
        <w:t>ultimo</w:t>
      </w:r>
      <w:proofErr w:type="spellEnd"/>
      <w:r w:rsidRPr="00FB7E68">
        <w:rPr>
          <w:i/>
          <w:iCs/>
          <w:sz w:val="20"/>
          <w:szCs w:val="20"/>
        </w:rPr>
        <w:t xml:space="preserve"> trimestre que debería estar actualizado</w:t>
      </w:r>
      <w:r w:rsidR="00E22EA8" w:rsidRPr="00FB7E68">
        <w:rPr>
          <w:i/>
          <w:iCs/>
          <w:sz w:val="20"/>
          <w:szCs w:val="20"/>
        </w:rPr>
        <w:t>”</w:t>
      </w:r>
      <w:r w:rsidR="002D6CA6" w:rsidRPr="00FB7E68">
        <w:rPr>
          <w:i/>
          <w:iCs/>
          <w:sz w:val="20"/>
          <w:szCs w:val="20"/>
        </w:rPr>
        <w:t xml:space="preserve"> (Sic.)</w:t>
      </w:r>
    </w:p>
    <w:p w14:paraId="3B2615CC" w14:textId="77777777" w:rsidR="00E22EA8" w:rsidRPr="00FB7E68" w:rsidRDefault="00E22EA8" w:rsidP="001162C4">
      <w:pPr>
        <w:spacing w:after="0" w:line="360" w:lineRule="auto"/>
        <w:ind w:left="567" w:right="567"/>
        <w:rPr>
          <w:i/>
          <w:sz w:val="20"/>
          <w:szCs w:val="20"/>
        </w:rPr>
      </w:pPr>
    </w:p>
    <w:p w14:paraId="3F1F07C7" w14:textId="49F2AE96" w:rsidR="00E22EA8" w:rsidRPr="00FB7E68" w:rsidRDefault="00E12804" w:rsidP="001162C4">
      <w:pPr>
        <w:spacing w:after="0" w:line="360" w:lineRule="auto"/>
        <w:ind w:left="567" w:right="567"/>
        <w:rPr>
          <w:b/>
          <w:i/>
          <w:sz w:val="20"/>
          <w:szCs w:val="20"/>
        </w:rPr>
      </w:pPr>
      <w:r w:rsidRPr="00FB7E68">
        <w:rPr>
          <w:b/>
          <w:i/>
          <w:sz w:val="20"/>
          <w:szCs w:val="20"/>
        </w:rPr>
        <w:t>‘’</w:t>
      </w:r>
      <w:r w:rsidR="00E22EA8" w:rsidRPr="00FB7E68">
        <w:rPr>
          <w:b/>
          <w:i/>
          <w:sz w:val="20"/>
          <w:szCs w:val="20"/>
        </w:rPr>
        <w:t>RAZONES O MOTIVOS DE LA INCONFORMIDAD</w:t>
      </w:r>
    </w:p>
    <w:p w14:paraId="31B716B5" w14:textId="6E61DAB0" w:rsidR="00E12804" w:rsidRPr="00FB7E68" w:rsidRDefault="001F3444" w:rsidP="001162C4">
      <w:pPr>
        <w:spacing w:after="0" w:line="360" w:lineRule="auto"/>
        <w:ind w:left="567" w:right="567"/>
        <w:rPr>
          <w:i/>
          <w:iCs/>
          <w:sz w:val="20"/>
          <w:szCs w:val="20"/>
        </w:rPr>
      </w:pPr>
      <w:r w:rsidRPr="00FB7E68">
        <w:rPr>
          <w:i/>
          <w:iCs/>
          <w:sz w:val="20"/>
          <w:szCs w:val="20"/>
        </w:rPr>
        <w:t xml:space="preserve">no entrego la información solicitada, a parte denuncio que no </w:t>
      </w:r>
      <w:proofErr w:type="spellStart"/>
      <w:r w:rsidRPr="00FB7E68">
        <w:rPr>
          <w:i/>
          <w:iCs/>
          <w:sz w:val="20"/>
          <w:szCs w:val="20"/>
        </w:rPr>
        <w:t>esta</w:t>
      </w:r>
      <w:proofErr w:type="spellEnd"/>
      <w:r w:rsidRPr="00FB7E68">
        <w:rPr>
          <w:i/>
          <w:iCs/>
          <w:sz w:val="20"/>
          <w:szCs w:val="20"/>
        </w:rPr>
        <w:t xml:space="preserve"> actualizado su </w:t>
      </w:r>
      <w:proofErr w:type="spellStart"/>
      <w:r w:rsidRPr="00FB7E68">
        <w:rPr>
          <w:i/>
          <w:iCs/>
          <w:sz w:val="20"/>
          <w:szCs w:val="20"/>
        </w:rPr>
        <w:t>ipomex</w:t>
      </w:r>
      <w:proofErr w:type="spellEnd"/>
      <w:r w:rsidRPr="00FB7E68">
        <w:rPr>
          <w:i/>
          <w:iCs/>
          <w:sz w:val="20"/>
          <w:szCs w:val="20"/>
        </w:rPr>
        <w:t xml:space="preserve"> al </w:t>
      </w:r>
      <w:proofErr w:type="spellStart"/>
      <w:r w:rsidRPr="00FB7E68">
        <w:rPr>
          <w:i/>
          <w:iCs/>
          <w:sz w:val="20"/>
          <w:szCs w:val="20"/>
        </w:rPr>
        <w:t>ultimo</w:t>
      </w:r>
      <w:proofErr w:type="spellEnd"/>
      <w:r w:rsidRPr="00FB7E68">
        <w:rPr>
          <w:i/>
          <w:iCs/>
          <w:sz w:val="20"/>
          <w:szCs w:val="20"/>
        </w:rPr>
        <w:t xml:space="preserve"> trimestre que debería estar actualizado</w:t>
      </w:r>
      <w:r w:rsidR="003C5F59" w:rsidRPr="00FB7E68">
        <w:rPr>
          <w:i/>
          <w:iCs/>
          <w:sz w:val="20"/>
          <w:szCs w:val="20"/>
        </w:rPr>
        <w:t>”</w:t>
      </w:r>
      <w:r w:rsidR="002D6CA6" w:rsidRPr="00FB7E68">
        <w:rPr>
          <w:i/>
          <w:iCs/>
          <w:sz w:val="20"/>
          <w:szCs w:val="20"/>
        </w:rPr>
        <w:t xml:space="preserve"> (Sic.)</w:t>
      </w:r>
    </w:p>
    <w:p w14:paraId="1DB4737B" w14:textId="77777777" w:rsidR="00F41361" w:rsidRPr="00FB7E68" w:rsidRDefault="00F41361" w:rsidP="001162C4">
      <w:pPr>
        <w:spacing w:after="0" w:line="360" w:lineRule="auto"/>
        <w:ind w:left="567" w:right="567"/>
        <w:rPr>
          <w:i/>
          <w:sz w:val="20"/>
          <w:szCs w:val="20"/>
        </w:rPr>
      </w:pPr>
    </w:p>
    <w:p w14:paraId="009DB65C" w14:textId="4849E278" w:rsidR="00E22EA8" w:rsidRPr="00FB7E68" w:rsidRDefault="00720A55" w:rsidP="001162C4">
      <w:pPr>
        <w:pStyle w:val="Ttulo2"/>
        <w:spacing w:before="0" w:after="0" w:line="360" w:lineRule="auto"/>
        <w:rPr>
          <w:sz w:val="22"/>
          <w:szCs w:val="22"/>
        </w:rPr>
      </w:pPr>
      <w:bookmarkStart w:id="4" w:name="_Toc215130114"/>
      <w:r w:rsidRPr="00FB7E68">
        <w:rPr>
          <w:sz w:val="22"/>
          <w:szCs w:val="22"/>
        </w:rPr>
        <w:t>I</w:t>
      </w:r>
      <w:r w:rsidR="00E22EA8" w:rsidRPr="00FB7E68">
        <w:rPr>
          <w:sz w:val="22"/>
          <w:szCs w:val="22"/>
        </w:rPr>
        <w:t>V. Trámite del Recurso de Revisión ante este Instituto</w:t>
      </w:r>
      <w:bookmarkEnd w:id="4"/>
    </w:p>
    <w:p w14:paraId="5C9B63F8" w14:textId="77777777" w:rsidR="009B2DAB" w:rsidRPr="00FB7E68" w:rsidRDefault="009B2DAB" w:rsidP="001162C4">
      <w:pPr>
        <w:spacing w:after="0" w:line="360" w:lineRule="auto"/>
        <w:rPr>
          <w:b/>
          <w:bCs/>
        </w:rPr>
      </w:pPr>
    </w:p>
    <w:p w14:paraId="173768ED" w14:textId="4B837AAF" w:rsidR="00E22EA8" w:rsidRPr="00FB7E68" w:rsidRDefault="00E22EA8" w:rsidP="001162C4">
      <w:pPr>
        <w:spacing w:after="0" w:line="360" w:lineRule="auto"/>
        <w:rPr>
          <w:bCs/>
        </w:rPr>
      </w:pPr>
      <w:r w:rsidRPr="00FB7E68">
        <w:rPr>
          <w:b/>
          <w:bCs/>
        </w:rPr>
        <w:t>a) Turno del Medio de Impugnación.</w:t>
      </w:r>
      <w:r w:rsidR="000A706F" w:rsidRPr="00FB7E68">
        <w:rPr>
          <w:bCs/>
        </w:rPr>
        <w:t xml:space="preserve"> </w:t>
      </w:r>
      <w:r w:rsidR="003C5F59" w:rsidRPr="00FB7E68">
        <w:rPr>
          <w:bCs/>
        </w:rPr>
        <w:t xml:space="preserve">El </w:t>
      </w:r>
      <w:r w:rsidR="000C48DB" w:rsidRPr="00FB7E68">
        <w:rPr>
          <w:bCs/>
        </w:rPr>
        <w:t>veintinueve</w:t>
      </w:r>
      <w:r w:rsidR="00AB3C8D" w:rsidRPr="00FB7E68">
        <w:rPr>
          <w:bCs/>
        </w:rPr>
        <w:t xml:space="preserve"> de septiembre</w:t>
      </w:r>
      <w:r w:rsidR="00E64E18" w:rsidRPr="00FB7E68">
        <w:t xml:space="preserve"> de dos mil veinticinco</w:t>
      </w:r>
      <w:r w:rsidRPr="00FB7E68">
        <w:rPr>
          <w:bCs/>
        </w:rPr>
        <w:t xml:space="preserve">, el </w:t>
      </w:r>
      <w:r w:rsidRPr="00FB7E68">
        <w:rPr>
          <w:lang w:val="es-ES"/>
        </w:rPr>
        <w:t>Sistema de Acceso a la Información Mexiquense (SAIMEX),</w:t>
      </w:r>
      <w:r w:rsidRPr="00FB7E68">
        <w:rPr>
          <w:bCs/>
        </w:rPr>
        <w:t xml:space="preserve"> asignó el número de expediente </w:t>
      </w:r>
      <w:r w:rsidR="000C48DB" w:rsidRPr="00FB7E68">
        <w:rPr>
          <w:b/>
          <w:bCs/>
        </w:rPr>
        <w:t>11146</w:t>
      </w:r>
      <w:r w:rsidR="000D392E" w:rsidRPr="00FB7E68">
        <w:rPr>
          <w:b/>
          <w:bCs/>
        </w:rPr>
        <w:t>/INFOEM/IP/RR/2025</w:t>
      </w:r>
      <w:r w:rsidRPr="00FB7E68">
        <w:rPr>
          <w:bCs/>
        </w:rPr>
        <w:t xml:space="preserve">, al medio de impugnación que nos ocupa, con base en el sistema aprobado por el Pleno de este </w:t>
      </w:r>
      <w:r w:rsidR="00B65BCA" w:rsidRPr="00FB7E68">
        <w:rPr>
          <w:bCs/>
        </w:rPr>
        <w:t>Organismo</w:t>
      </w:r>
      <w:r w:rsidRPr="00FB7E68">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FB7E68" w:rsidRDefault="005914EE" w:rsidP="001162C4">
      <w:pPr>
        <w:spacing w:after="0" w:line="360" w:lineRule="auto"/>
        <w:rPr>
          <w:b/>
          <w:bCs/>
        </w:rPr>
      </w:pPr>
    </w:p>
    <w:p w14:paraId="61891480" w14:textId="4F85F314" w:rsidR="00E22EA8" w:rsidRPr="00FB7E68" w:rsidRDefault="00E22EA8" w:rsidP="001162C4">
      <w:pPr>
        <w:spacing w:after="0" w:line="360" w:lineRule="auto"/>
      </w:pPr>
      <w:r w:rsidRPr="00FB7E68">
        <w:rPr>
          <w:b/>
          <w:bCs/>
        </w:rPr>
        <w:t>b) Admisión del Recurso de Revisión</w:t>
      </w:r>
      <w:r w:rsidRPr="00FB7E68">
        <w:rPr>
          <w:b/>
          <w:bCs/>
          <w:lang w:val="es-ES_tradnl"/>
        </w:rPr>
        <w:t xml:space="preserve">. </w:t>
      </w:r>
      <w:r w:rsidR="003C5F59" w:rsidRPr="00FB7E68">
        <w:t xml:space="preserve">El </w:t>
      </w:r>
      <w:r w:rsidR="000C48DB" w:rsidRPr="00FB7E68">
        <w:t>dos de octubre</w:t>
      </w:r>
      <w:r w:rsidR="00E64E18" w:rsidRPr="00FB7E68">
        <w:t xml:space="preserve"> de dos mil veinticinco</w:t>
      </w:r>
      <w:r w:rsidRPr="00FB7E68">
        <w:rPr>
          <w:bCs/>
          <w:lang w:val="es-ES_tradnl"/>
        </w:rPr>
        <w:t xml:space="preserve">, se acordó la admisión del Recurso de Revisión interpuesto por </w:t>
      </w:r>
      <w:r w:rsidR="00261B92" w:rsidRPr="00FB7E68">
        <w:rPr>
          <w:bCs/>
          <w:lang w:val="es-ES_tradnl"/>
        </w:rPr>
        <w:t>la persona</w:t>
      </w:r>
      <w:r w:rsidRPr="00FB7E68">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FB7E68">
        <w:rPr>
          <w:bCs/>
          <w:lang w:val="es-ES_tradnl"/>
        </w:rPr>
        <w:t>el</w:t>
      </w:r>
      <w:r w:rsidR="007C4D4E" w:rsidRPr="00FB7E68">
        <w:rPr>
          <w:bCs/>
          <w:lang w:val="es-ES_tradnl"/>
        </w:rPr>
        <w:t xml:space="preserve"> mismo día</w:t>
      </w:r>
      <w:r w:rsidRPr="00FB7E68">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FB7E68" w:rsidRDefault="00E22EA8" w:rsidP="001162C4">
      <w:pPr>
        <w:spacing w:after="0" w:line="360" w:lineRule="auto"/>
        <w:rPr>
          <w:rFonts w:cs="Tahoma"/>
          <w:lang w:val="es-ES_tradnl"/>
        </w:rPr>
      </w:pPr>
    </w:p>
    <w:p w14:paraId="0BDB2657" w14:textId="7C09D072" w:rsidR="000C48DB" w:rsidRPr="00FB7E68" w:rsidRDefault="000410E6" w:rsidP="000C48DB">
      <w:pPr>
        <w:spacing w:after="0" w:line="360" w:lineRule="auto"/>
      </w:pPr>
      <w:r w:rsidRPr="00FB7E68">
        <w:rPr>
          <w:b/>
        </w:rPr>
        <w:t>c) Informe Justificado</w:t>
      </w:r>
      <w:r w:rsidR="000C48DB" w:rsidRPr="00FB7E68">
        <w:rPr>
          <w:b/>
        </w:rPr>
        <w:t xml:space="preserve">. </w:t>
      </w:r>
      <w:r w:rsidR="000C48DB" w:rsidRPr="00FB7E68">
        <w:t>El ocho de octubre de dos mil veinticinco, se recibió, a través del Sistema de Acceso a la Información Mexiquense (SAIMEX), el Informe Justificado del Sujeto Obligado, a través de los documentos siguientes:</w:t>
      </w:r>
      <w:r w:rsidR="00483F95" w:rsidRPr="00FB7E68">
        <w:t xml:space="preserve"> </w:t>
      </w:r>
    </w:p>
    <w:p w14:paraId="1F8EAAF0" w14:textId="77777777" w:rsidR="00483F95" w:rsidRPr="00FB7E68" w:rsidRDefault="00483F95" w:rsidP="000C48DB">
      <w:pPr>
        <w:spacing w:after="0" w:line="360" w:lineRule="auto"/>
      </w:pPr>
    </w:p>
    <w:p w14:paraId="3F40870A" w14:textId="391C61F7" w:rsidR="00483F95" w:rsidRPr="00FB7E68" w:rsidRDefault="00483F95" w:rsidP="000C48DB">
      <w:pPr>
        <w:spacing w:after="0" w:line="360" w:lineRule="auto"/>
      </w:pPr>
      <w:r w:rsidRPr="00FB7E68">
        <w:t xml:space="preserve">i. </w:t>
      </w:r>
      <w:r w:rsidR="003405F5" w:rsidRPr="00FB7E68">
        <w:t xml:space="preserve">Oficio número </w:t>
      </w:r>
      <w:r w:rsidR="007E5FB2" w:rsidRPr="00FB7E68">
        <w:t xml:space="preserve">TM/3035/2025, del ocho de octubre de dos mil veinticinco, suscrito por la Tesorera Municipal y dirigido al </w:t>
      </w:r>
      <w:proofErr w:type="gramStart"/>
      <w:r w:rsidR="007E5FB2" w:rsidRPr="00FB7E68">
        <w:t>Director</w:t>
      </w:r>
      <w:proofErr w:type="gramEnd"/>
      <w:r w:rsidR="007E5FB2" w:rsidRPr="00FB7E68">
        <w:t xml:space="preserve"> Jurídico y Consultivo, por medio del cual mencionó lo siguiente:</w:t>
      </w:r>
    </w:p>
    <w:p w14:paraId="10E70FEF" w14:textId="77777777" w:rsidR="007E5FB2" w:rsidRPr="00FB7E68" w:rsidRDefault="007E5FB2" w:rsidP="000C48DB">
      <w:pPr>
        <w:spacing w:after="0" w:line="360" w:lineRule="auto"/>
      </w:pPr>
    </w:p>
    <w:p w14:paraId="3AF15C20" w14:textId="1F21624A" w:rsidR="001F2F42" w:rsidRPr="00FB7E68" w:rsidRDefault="007E5FB2" w:rsidP="001F2F42">
      <w:pPr>
        <w:spacing w:after="0" w:line="360" w:lineRule="auto"/>
        <w:ind w:left="720"/>
        <w:rPr>
          <w:i/>
          <w:sz w:val="20"/>
        </w:rPr>
      </w:pPr>
      <w:r w:rsidRPr="00FB7E68">
        <w:rPr>
          <w:i/>
          <w:sz w:val="20"/>
        </w:rPr>
        <w:t>“…No obstante me permito informarle que la información se encuentra reservada toda vez que está en proceso de Auditoria por Órgano Interno de Control de la Administración Pública Municipal Centralizada con fundamento en el Artículo 140.- de la Ley de Transparencia y Acceso a la Información Pública del</w:t>
      </w:r>
      <w:r w:rsidR="001F2F42" w:rsidRPr="00FB7E68">
        <w:rPr>
          <w:i/>
          <w:sz w:val="20"/>
        </w:rPr>
        <w:t xml:space="preserve"> Estado de México y Municipios, que</w:t>
      </w:r>
      <w:r w:rsidRPr="00FB7E68">
        <w:rPr>
          <w:i/>
          <w:sz w:val="20"/>
        </w:rPr>
        <w:t xml:space="preserve"> a la letra dice: "El acceso a la información pública se</w:t>
      </w:r>
      <w:r w:rsidR="001F2F42" w:rsidRPr="00FB7E68">
        <w:rPr>
          <w:i/>
          <w:sz w:val="20"/>
        </w:rPr>
        <w:t>rá restringido excepcionalmente</w:t>
      </w:r>
      <w:r w:rsidRPr="00FB7E68">
        <w:rPr>
          <w:i/>
          <w:sz w:val="20"/>
        </w:rPr>
        <w:t xml:space="preserve"> cuando por razones de interés público ésta sea clasificada como reservada"</w:t>
      </w:r>
      <w:r w:rsidR="001F2F42" w:rsidRPr="00FB7E68">
        <w:rPr>
          <w:i/>
          <w:sz w:val="20"/>
        </w:rPr>
        <w:t xml:space="preserve">  Fracción V. numeral 1- Las actividades de fiscalización. Verificación, inspección, comprobación у auditoria sobre el cumplimiento de la Leyes.</w:t>
      </w:r>
    </w:p>
    <w:p w14:paraId="5EC47F2E" w14:textId="77777777" w:rsidR="001F2F42" w:rsidRPr="00FB7E68" w:rsidRDefault="001F2F42" w:rsidP="001F2F42">
      <w:pPr>
        <w:spacing w:after="0" w:line="360" w:lineRule="auto"/>
        <w:ind w:left="720"/>
        <w:rPr>
          <w:i/>
          <w:sz w:val="20"/>
        </w:rPr>
      </w:pPr>
    </w:p>
    <w:p w14:paraId="0B5AF714" w14:textId="197795ED" w:rsidR="007E5FB2" w:rsidRPr="00FB7E68" w:rsidRDefault="001F2F42" w:rsidP="00B5524F">
      <w:pPr>
        <w:spacing w:after="0" w:line="360" w:lineRule="auto"/>
        <w:ind w:left="720"/>
        <w:rPr>
          <w:i/>
          <w:sz w:val="20"/>
        </w:rPr>
      </w:pPr>
      <w:r w:rsidRPr="00FB7E68">
        <w:rPr>
          <w:i/>
          <w:sz w:val="20"/>
        </w:rPr>
        <w:t xml:space="preserve">Por lo anterior se anexa copia simple de la orden de auditoria </w:t>
      </w:r>
      <w:proofErr w:type="spellStart"/>
      <w:r w:rsidRPr="00FB7E68">
        <w:rPr>
          <w:i/>
          <w:sz w:val="20"/>
        </w:rPr>
        <w:t>N°</w:t>
      </w:r>
      <w:proofErr w:type="spellEnd"/>
      <w:r w:rsidRPr="00FB7E68">
        <w:rPr>
          <w:i/>
          <w:sz w:val="20"/>
        </w:rPr>
        <w:t xml:space="preserve"> OIC/CACE/2025/02, oficio</w:t>
      </w:r>
      <w:r w:rsidR="00B5524F" w:rsidRPr="00FB7E68">
        <w:rPr>
          <w:i/>
          <w:sz w:val="20"/>
        </w:rPr>
        <w:t xml:space="preserve"> </w:t>
      </w:r>
      <w:r w:rsidRPr="00FB7E68">
        <w:rPr>
          <w:i/>
          <w:sz w:val="20"/>
        </w:rPr>
        <w:t>OIC/APMC/0704/2025, de fecha 13 de junio de 2025 y copia simple de la notificación de ampliación del periodo auditado con número de oficio OIC/CACE/012/2025 de fecha 01 de octubre de 2025.</w:t>
      </w:r>
    </w:p>
    <w:p w14:paraId="5620DDE8" w14:textId="2AD3C842" w:rsidR="001F2F42" w:rsidRPr="00FB7E68" w:rsidRDefault="001F2F42" w:rsidP="001F2F42">
      <w:pPr>
        <w:spacing w:after="0" w:line="360" w:lineRule="auto"/>
        <w:ind w:left="720"/>
        <w:rPr>
          <w:i/>
          <w:sz w:val="20"/>
        </w:rPr>
      </w:pPr>
      <w:r w:rsidRPr="00FB7E68">
        <w:rPr>
          <w:i/>
          <w:sz w:val="20"/>
        </w:rPr>
        <w:t>…”</w:t>
      </w:r>
    </w:p>
    <w:p w14:paraId="5B468EF5" w14:textId="19FF2261" w:rsidR="004A5405" w:rsidRPr="00FB7E68" w:rsidRDefault="004A5405" w:rsidP="001162C4">
      <w:pPr>
        <w:spacing w:after="0" w:line="360" w:lineRule="auto"/>
        <w:rPr>
          <w:rFonts w:cs="Tahoma"/>
        </w:rPr>
      </w:pPr>
    </w:p>
    <w:p w14:paraId="5B38D281" w14:textId="612296BA" w:rsidR="0076162A" w:rsidRPr="00FB7E68" w:rsidRDefault="001F2F42" w:rsidP="00B5524F">
      <w:pPr>
        <w:spacing w:after="0" w:line="360" w:lineRule="auto"/>
        <w:rPr>
          <w:rFonts w:cs="Tahoma"/>
        </w:rPr>
      </w:pPr>
      <w:proofErr w:type="spellStart"/>
      <w:r w:rsidRPr="00FB7E68">
        <w:rPr>
          <w:rFonts w:cs="Tahoma"/>
        </w:rPr>
        <w:t>ii</w:t>
      </w:r>
      <w:proofErr w:type="spellEnd"/>
      <w:r w:rsidRPr="00FB7E68">
        <w:rPr>
          <w:rFonts w:cs="Tahoma"/>
        </w:rPr>
        <w:t xml:space="preserve">. </w:t>
      </w:r>
      <w:r w:rsidR="00EC1B9A" w:rsidRPr="00FB7E68">
        <w:rPr>
          <w:rFonts w:cs="Tahoma"/>
        </w:rPr>
        <w:t>Oficio número</w:t>
      </w:r>
      <w:r w:rsidR="00B5524F" w:rsidRPr="00FB7E68">
        <w:rPr>
          <w:rFonts w:cs="Tahoma"/>
        </w:rPr>
        <w:t xml:space="preserve"> </w:t>
      </w:r>
      <w:r w:rsidR="0076162A" w:rsidRPr="00FB7E68">
        <w:rPr>
          <w:rFonts w:cs="Tahoma"/>
        </w:rPr>
        <w:t xml:space="preserve">SA/DJC/1670/2025, del dos de septiembre de dos mil veinticinco, suscrito por el </w:t>
      </w:r>
      <w:proofErr w:type="gramStart"/>
      <w:r w:rsidR="0076162A" w:rsidRPr="00FB7E68">
        <w:rPr>
          <w:rFonts w:cs="Tahoma"/>
        </w:rPr>
        <w:t>Director</w:t>
      </w:r>
      <w:proofErr w:type="gramEnd"/>
      <w:r w:rsidR="0076162A" w:rsidRPr="00FB7E68">
        <w:rPr>
          <w:rFonts w:cs="Tahoma"/>
        </w:rPr>
        <w:t xml:space="preserve"> Jurídico y Consultivo y dirigido a la </w:t>
      </w:r>
      <w:proofErr w:type="gramStart"/>
      <w:r w:rsidR="0076162A" w:rsidRPr="00FB7E68">
        <w:rPr>
          <w:rFonts w:cs="Tahoma"/>
        </w:rPr>
        <w:t>Subdirectora</w:t>
      </w:r>
      <w:proofErr w:type="gramEnd"/>
      <w:r w:rsidR="0076162A" w:rsidRPr="00FB7E68">
        <w:rPr>
          <w:rFonts w:cs="Tahoma"/>
        </w:rPr>
        <w:t xml:space="preserve"> de Recursos Humanos, por medio del cual mencionó lo siguiente:</w:t>
      </w:r>
    </w:p>
    <w:p w14:paraId="06FD3684" w14:textId="77777777" w:rsidR="0076162A" w:rsidRPr="00FB7E68" w:rsidRDefault="0076162A" w:rsidP="00B5524F">
      <w:pPr>
        <w:spacing w:after="0" w:line="360" w:lineRule="auto"/>
        <w:rPr>
          <w:rFonts w:cs="Tahoma"/>
        </w:rPr>
      </w:pPr>
    </w:p>
    <w:p w14:paraId="3B210A5E" w14:textId="4FEDCC04" w:rsidR="0076162A" w:rsidRPr="00FB7E68" w:rsidRDefault="0076162A" w:rsidP="0076162A">
      <w:pPr>
        <w:spacing w:after="0" w:line="360" w:lineRule="auto"/>
        <w:ind w:left="720"/>
        <w:rPr>
          <w:rFonts w:cs="Tahoma"/>
          <w:i/>
          <w:sz w:val="20"/>
        </w:rPr>
      </w:pPr>
      <w:r w:rsidRPr="00FB7E68">
        <w:rPr>
          <w:rFonts w:cs="Tahoma"/>
          <w:i/>
          <w:sz w:val="20"/>
        </w:rPr>
        <w:t xml:space="preserve">“…En caso de que, una vez realizado un análisis exhaustivo del requerimiento vertido en la solicitud, advierta que la información deba ser clasificada como confidencial o reservada, se solicita atentamente, </w:t>
      </w:r>
      <w:r w:rsidRPr="00FB7E68">
        <w:rPr>
          <w:rFonts w:cs="Tahoma"/>
          <w:i/>
          <w:sz w:val="20"/>
        </w:rPr>
        <w:lastRenderedPageBreak/>
        <w:t>remitir al corteo electrónico lecamac@itaipem.org.mx el documento fuente (Word), de la respuesta y los archivos adjuntos que procedan a efecto de que dichos argumentos puedan ser insertados en la propuesta correspondiente que emita esta Unidad ce Transparencia para su presentación al Comité de Transparencia.</w:t>
      </w:r>
    </w:p>
    <w:p w14:paraId="70B8A432" w14:textId="41D09F3F" w:rsidR="0076162A" w:rsidRPr="00FB7E68" w:rsidRDefault="0076162A" w:rsidP="0076162A">
      <w:pPr>
        <w:spacing w:after="0" w:line="360" w:lineRule="auto"/>
        <w:ind w:left="720"/>
        <w:rPr>
          <w:rFonts w:cs="Tahoma"/>
          <w:i/>
          <w:sz w:val="20"/>
        </w:rPr>
      </w:pPr>
      <w:r w:rsidRPr="00FB7E68">
        <w:rPr>
          <w:rFonts w:cs="Tahoma"/>
          <w:i/>
          <w:sz w:val="20"/>
        </w:rPr>
        <w:t>…”</w:t>
      </w:r>
    </w:p>
    <w:p w14:paraId="61265BC5" w14:textId="77777777" w:rsidR="00EC1B9A" w:rsidRPr="00FB7E68" w:rsidRDefault="00EC1B9A" w:rsidP="001162C4">
      <w:pPr>
        <w:spacing w:after="0" w:line="360" w:lineRule="auto"/>
        <w:rPr>
          <w:rFonts w:cs="Tahoma"/>
        </w:rPr>
      </w:pPr>
    </w:p>
    <w:p w14:paraId="7B7A1A03" w14:textId="6E1CEB25" w:rsidR="0076162A" w:rsidRPr="00FB7E68" w:rsidRDefault="0076162A" w:rsidP="001162C4">
      <w:pPr>
        <w:spacing w:after="0" w:line="360" w:lineRule="auto"/>
        <w:rPr>
          <w:rFonts w:cs="Tahoma"/>
        </w:rPr>
      </w:pPr>
      <w:proofErr w:type="spellStart"/>
      <w:r w:rsidRPr="00FB7E68">
        <w:rPr>
          <w:rFonts w:cs="Tahoma"/>
        </w:rPr>
        <w:t>iii</w:t>
      </w:r>
      <w:proofErr w:type="spellEnd"/>
      <w:r w:rsidRPr="00FB7E68">
        <w:rPr>
          <w:rFonts w:cs="Tahoma"/>
        </w:rPr>
        <w:t>. Oficio número OIC/APMC/0704/2025, del trece de junio de dos mil veinticinco, suscrito por la Titular del Órgano Interno de Control y dirigido a la Tesorera Municipal, por medio del cual mencionó lo siguiente:</w:t>
      </w:r>
    </w:p>
    <w:p w14:paraId="6675D36A" w14:textId="77777777" w:rsidR="0076162A" w:rsidRPr="00FB7E68" w:rsidRDefault="0076162A" w:rsidP="001162C4">
      <w:pPr>
        <w:spacing w:after="0" w:line="360" w:lineRule="auto"/>
        <w:rPr>
          <w:rFonts w:cs="Tahoma"/>
        </w:rPr>
      </w:pPr>
    </w:p>
    <w:p w14:paraId="64A8B344" w14:textId="2C9AC9A3" w:rsidR="0076162A" w:rsidRPr="00FB7E68" w:rsidRDefault="0076162A" w:rsidP="00CB1204">
      <w:pPr>
        <w:spacing w:after="0" w:line="360" w:lineRule="auto"/>
        <w:ind w:left="720"/>
        <w:rPr>
          <w:rFonts w:cs="Tahoma"/>
          <w:i/>
          <w:sz w:val="20"/>
        </w:rPr>
      </w:pPr>
      <w:r w:rsidRPr="00FB7E68">
        <w:rPr>
          <w:rFonts w:cs="Tahoma"/>
          <w:i/>
          <w:sz w:val="20"/>
        </w:rPr>
        <w:t>“…de conformidad con el Programa Anual de Auditorias del Órgano Interno de Control 2025, se expide la presente Orden de Auditoría denominada "Auditoría de Gestión Y Liquidación de Nómina'' con número OIC/CACE/2025/02, misma que tendrá por objetivo, Verificar el cumplimiento de las disposiciones legales, normativas, políticas y procedimientos aplicables en la ejecución de las actividades desarrolladas en la gestión, liquidación y control de la nómina.</w:t>
      </w:r>
    </w:p>
    <w:p w14:paraId="49363640" w14:textId="77777777" w:rsidR="0076162A" w:rsidRPr="00FB7E68" w:rsidRDefault="0076162A" w:rsidP="00CB1204">
      <w:pPr>
        <w:spacing w:after="0" w:line="360" w:lineRule="auto"/>
        <w:ind w:left="720"/>
        <w:rPr>
          <w:rFonts w:cs="Tahoma"/>
          <w:i/>
          <w:sz w:val="20"/>
        </w:rPr>
      </w:pPr>
    </w:p>
    <w:p w14:paraId="513C75C7" w14:textId="36F22C5E" w:rsidR="0076162A" w:rsidRPr="00FB7E68" w:rsidRDefault="0076162A" w:rsidP="00CB1204">
      <w:pPr>
        <w:spacing w:after="0" w:line="360" w:lineRule="auto"/>
        <w:ind w:left="720"/>
        <w:rPr>
          <w:rFonts w:cs="Tahoma"/>
          <w:i/>
          <w:sz w:val="20"/>
        </w:rPr>
      </w:pPr>
      <w:r w:rsidRPr="00FB7E68">
        <w:rPr>
          <w:rFonts w:cs="Tahoma"/>
          <w:i/>
          <w:sz w:val="20"/>
        </w:rPr>
        <w:t xml:space="preserve">Para tal efecto, se comisiona a los CC. </w:t>
      </w:r>
      <w:proofErr w:type="spellStart"/>
      <w:r w:rsidRPr="00FB7E68">
        <w:rPr>
          <w:rFonts w:cs="Tahoma"/>
          <w:i/>
          <w:sz w:val="20"/>
        </w:rPr>
        <w:t>Wuilfrido</w:t>
      </w:r>
      <w:proofErr w:type="spellEnd"/>
      <w:r w:rsidRPr="00FB7E68">
        <w:rPr>
          <w:rFonts w:cs="Tahoma"/>
          <w:i/>
          <w:sz w:val="20"/>
        </w:rPr>
        <w:t xml:space="preserve"> Jiménez Villanueva y Elías Santacruz Garrido, servidores públicos adscritos a este Órgano Interno de Control de la Administración Pública Centralizada del Municipio de Tecámac, quienes podrán actuar indistintamente de forma conjunta o separada, para la práctica de diligencias y actuaciones que se requieran; debiendo proporcionarles los expedientes, registros, reportes, correspondencia, así como suministrarles todos los datos e informes que soliciten y otorgarles las facilidades para el acceso a las oficinas de las unidades administrativas que representa para el desarrollo de la visita, verificación e inspección de los documentos y expedientes necesarios que serán objeto de la misma, que estimen necesarios para la ejecución de la auditoria.</w:t>
      </w:r>
    </w:p>
    <w:p w14:paraId="47727CDE" w14:textId="2A597ACA" w:rsidR="00CB1204" w:rsidRPr="00FB7E68" w:rsidRDefault="00CB1204" w:rsidP="00CB1204">
      <w:pPr>
        <w:spacing w:after="0" w:line="360" w:lineRule="auto"/>
        <w:ind w:left="720"/>
        <w:rPr>
          <w:rFonts w:cs="Tahoma"/>
          <w:i/>
          <w:sz w:val="20"/>
        </w:rPr>
      </w:pPr>
      <w:r w:rsidRPr="00FB7E68">
        <w:rPr>
          <w:rFonts w:cs="Tahoma"/>
          <w:i/>
          <w:sz w:val="20"/>
        </w:rPr>
        <w:t>…”</w:t>
      </w:r>
    </w:p>
    <w:p w14:paraId="107241AD" w14:textId="77777777" w:rsidR="0076162A" w:rsidRPr="00FB7E68" w:rsidRDefault="0076162A" w:rsidP="001162C4">
      <w:pPr>
        <w:spacing w:after="0" w:line="360" w:lineRule="auto"/>
        <w:rPr>
          <w:rFonts w:cs="Tahoma"/>
        </w:rPr>
      </w:pPr>
    </w:p>
    <w:p w14:paraId="715A7EF1" w14:textId="0AC8C979" w:rsidR="000C48DB" w:rsidRPr="00FB7E68" w:rsidRDefault="000C48DB" w:rsidP="001162C4">
      <w:pPr>
        <w:spacing w:after="0" w:line="360" w:lineRule="auto"/>
        <w:rPr>
          <w:rFonts w:cs="Tahoma"/>
        </w:rPr>
      </w:pPr>
      <w:r w:rsidRPr="00FB7E68">
        <w:rPr>
          <w:b/>
        </w:rPr>
        <w:t>d) Vista del Informe Justificado.</w:t>
      </w:r>
      <w:r w:rsidRPr="00FB7E68">
        <w:t xml:space="preserve"> El dieciocho de noviembre de dos mil veinticinco, se dictó acuerdo mediante el cual se puso a la vista del Particular el Informe Justificado, entregado </w:t>
      </w:r>
      <w:r w:rsidRPr="00FB7E68">
        <w:lastRenderedPageBreak/>
        <w:t>por el Sujeto Obligado, así como los documentos adjuntos, el cual fue notificado a las partes, a través del Sistema de Acceso a la Información Mexiquense (SAIMEX). Cabe señalar que el Particular fue omiso en realizar manifestación alguna.</w:t>
      </w:r>
    </w:p>
    <w:p w14:paraId="111E50A5" w14:textId="77777777" w:rsidR="00A87D25" w:rsidRPr="00FB7E68" w:rsidRDefault="00A87D25" w:rsidP="001162C4">
      <w:pPr>
        <w:spacing w:after="0" w:line="360" w:lineRule="auto"/>
        <w:rPr>
          <w:rFonts w:cs="Tahoma"/>
        </w:rPr>
      </w:pPr>
    </w:p>
    <w:p w14:paraId="2CAFAFAD" w14:textId="4C8D0411" w:rsidR="00A87D25" w:rsidRPr="00FB7E68" w:rsidRDefault="000C48DB" w:rsidP="00A87D25">
      <w:pPr>
        <w:spacing w:after="0" w:line="360" w:lineRule="auto"/>
        <w:rPr>
          <w:rFonts w:cs="Tahoma"/>
        </w:rPr>
      </w:pPr>
      <w:bookmarkStart w:id="5" w:name="_Hlk182976945"/>
      <w:r w:rsidRPr="00FB7E68">
        <w:rPr>
          <w:b/>
        </w:rPr>
        <w:t>e</w:t>
      </w:r>
      <w:r w:rsidR="00A87D25" w:rsidRPr="00FB7E68">
        <w:rPr>
          <w:b/>
        </w:rPr>
        <w:t>) Ampliación de plazo para resolver.</w:t>
      </w:r>
      <w:r w:rsidR="00A87D25" w:rsidRPr="00FB7E68">
        <w:t xml:space="preserve"> El </w:t>
      </w:r>
      <w:r w:rsidR="00F17142" w:rsidRPr="00FB7E68">
        <w:t>dieciocho</w:t>
      </w:r>
      <w:r w:rsidR="00102110" w:rsidRPr="00FB7E68">
        <w:t xml:space="preserve"> de noviembre</w:t>
      </w:r>
      <w:r w:rsidR="00A87D25" w:rsidRPr="00FB7E68">
        <w:t xml:space="preserve"> de dos mil veinticinco, el Comisionado Ponente, con fundamento en lo dispuesto por el artículo 181, párrafo tercero, de la Ley de Transparencia y Acceso a la Información Pública del Estado de México y Municipios, acordó ampliar por un periodo de </w:t>
      </w:r>
      <w:r w:rsidR="00A87D25" w:rsidRPr="00FB7E68">
        <w:rPr>
          <w:b/>
        </w:rPr>
        <w:t>quince días hábiles</w:t>
      </w:r>
      <w:r w:rsidR="00A87D25" w:rsidRPr="00FB7E68">
        <w:t>, el plazo para resolver el Recurso de Revisión que nos ocupa; acto que fue notificado a las partes el mismo día, mediante el Sistema de Acceso a la Información Mexiquense (SAIMEX).</w:t>
      </w:r>
    </w:p>
    <w:p w14:paraId="01DA4C8E" w14:textId="77777777" w:rsidR="00A87D25" w:rsidRPr="00FB7E68" w:rsidRDefault="00A87D25" w:rsidP="001162C4">
      <w:pPr>
        <w:spacing w:after="0" w:line="360" w:lineRule="auto"/>
        <w:rPr>
          <w:b/>
          <w:color w:val="000000"/>
        </w:rPr>
      </w:pPr>
    </w:p>
    <w:p w14:paraId="1220E37C" w14:textId="7D94F536" w:rsidR="003C5FE0" w:rsidRPr="00FB7E68" w:rsidRDefault="000C48DB" w:rsidP="001162C4">
      <w:pPr>
        <w:spacing w:after="0" w:line="360" w:lineRule="auto"/>
        <w:contextualSpacing/>
      </w:pPr>
      <w:r w:rsidRPr="00FB7E68">
        <w:rPr>
          <w:rFonts w:eastAsia="Batang" w:cs="Tahoma"/>
          <w:b/>
        </w:rPr>
        <w:t>f</w:t>
      </w:r>
      <w:r w:rsidR="003C5FE0" w:rsidRPr="00FB7E68">
        <w:rPr>
          <w:rFonts w:eastAsia="Batang" w:cs="Tahoma"/>
          <w:b/>
        </w:rPr>
        <w:t xml:space="preserve">) </w:t>
      </w:r>
      <w:r w:rsidR="00002B20" w:rsidRPr="00FB7E68">
        <w:rPr>
          <w:rFonts w:eastAsia="Times New Roman" w:cs="Tahoma"/>
          <w:b/>
          <w:szCs w:val="24"/>
          <w:lang w:eastAsia="es-ES"/>
        </w:rPr>
        <w:t>Cierre de instrucción.</w:t>
      </w:r>
      <w:r w:rsidR="00C06C06" w:rsidRPr="00FB7E68">
        <w:rPr>
          <w:rFonts w:eastAsia="Times New Roman" w:cs="Tahoma"/>
          <w:szCs w:val="24"/>
          <w:lang w:eastAsia="es-ES"/>
        </w:rPr>
        <w:t xml:space="preserve"> El </w:t>
      </w:r>
      <w:r w:rsidR="00F94A84" w:rsidRPr="00FB7E68">
        <w:rPr>
          <w:rFonts w:eastAsia="Times New Roman" w:cs="Tahoma"/>
          <w:szCs w:val="24"/>
          <w:lang w:eastAsia="es-ES"/>
        </w:rPr>
        <w:t>dos de diciembre</w:t>
      </w:r>
      <w:r w:rsidR="00002B20" w:rsidRPr="00FB7E68">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FB7E68">
        <w:rPr>
          <w:lang w:val="es-ES"/>
        </w:rPr>
        <w:t>acto que fue notificado a las partes, mediante el Sistema de Acceso a la Información Mexiquense (SAIMEX), el mismo día.</w:t>
      </w:r>
    </w:p>
    <w:bookmarkEnd w:id="5"/>
    <w:p w14:paraId="08D98E1D" w14:textId="77777777" w:rsidR="000410E6" w:rsidRPr="00FB7E68" w:rsidRDefault="000410E6" w:rsidP="001162C4">
      <w:pPr>
        <w:spacing w:after="0" w:line="360" w:lineRule="auto"/>
        <w:rPr>
          <w:b/>
          <w:bCs/>
          <w:lang w:val="es-ES"/>
        </w:rPr>
      </w:pPr>
    </w:p>
    <w:p w14:paraId="1D2DAFCD" w14:textId="77777777" w:rsidR="000410E6" w:rsidRPr="00FB7E68" w:rsidRDefault="000410E6" w:rsidP="001162C4">
      <w:pPr>
        <w:spacing w:after="0" w:line="360" w:lineRule="auto"/>
        <w:rPr>
          <w:color w:val="000000"/>
        </w:rPr>
      </w:pPr>
      <w:proofErr w:type="gramStart"/>
      <w:r w:rsidRPr="00FB7E68">
        <w:rPr>
          <w:color w:val="000000"/>
        </w:rPr>
        <w:t>En razón de</w:t>
      </w:r>
      <w:proofErr w:type="gramEnd"/>
      <w:r w:rsidRPr="00FB7E68">
        <w:rPr>
          <w:color w:val="000000"/>
        </w:rPr>
        <w:t xml:space="preserve"> que fue debidamente sustanciado e integrado el expediente electrónico y no existe diligencia pendiente de desahogo, se emite la resolución que conforme a Derecho proceda, </w:t>
      </w:r>
      <w:proofErr w:type="gramStart"/>
      <w:r w:rsidRPr="00FB7E68">
        <w:rPr>
          <w:color w:val="000000"/>
        </w:rPr>
        <w:t>de acuerdo a</w:t>
      </w:r>
      <w:proofErr w:type="gramEnd"/>
      <w:r w:rsidRPr="00FB7E68">
        <w:rPr>
          <w:color w:val="000000"/>
        </w:rPr>
        <w:t xml:space="preserve"> los siguientes:</w:t>
      </w:r>
    </w:p>
    <w:p w14:paraId="3A10F1DA" w14:textId="77777777" w:rsidR="00674DAF" w:rsidRPr="00FB7E68" w:rsidRDefault="00674DAF" w:rsidP="001162C4">
      <w:pPr>
        <w:spacing w:after="0" w:line="360" w:lineRule="auto"/>
        <w:rPr>
          <w:color w:val="000000"/>
        </w:rPr>
      </w:pPr>
    </w:p>
    <w:p w14:paraId="250F6589" w14:textId="3F880C72" w:rsidR="005C690F" w:rsidRPr="00FB7E68" w:rsidRDefault="00CD6238" w:rsidP="001162C4">
      <w:pPr>
        <w:pStyle w:val="Ttulo1"/>
        <w:spacing w:before="0" w:after="0" w:line="360" w:lineRule="auto"/>
        <w:jc w:val="center"/>
        <w:rPr>
          <w:sz w:val="22"/>
          <w:szCs w:val="22"/>
        </w:rPr>
      </w:pPr>
      <w:bookmarkStart w:id="6" w:name="_Toc215130115"/>
      <w:r w:rsidRPr="00FB7E68">
        <w:rPr>
          <w:sz w:val="22"/>
          <w:szCs w:val="22"/>
        </w:rPr>
        <w:t>C O N S I D E R A N D O S</w:t>
      </w:r>
      <w:bookmarkEnd w:id="6"/>
    </w:p>
    <w:p w14:paraId="5AB6ED71" w14:textId="77777777" w:rsidR="005C690F" w:rsidRPr="00FB7E68" w:rsidRDefault="005C690F" w:rsidP="001162C4">
      <w:pPr>
        <w:spacing w:after="0" w:line="360" w:lineRule="auto"/>
        <w:jc w:val="center"/>
        <w:rPr>
          <w:b/>
          <w:color w:val="000000"/>
        </w:rPr>
      </w:pPr>
    </w:p>
    <w:p w14:paraId="36BFFC7E" w14:textId="2F0F17EA" w:rsidR="005C690F" w:rsidRPr="00FB7E68" w:rsidRDefault="007D6307" w:rsidP="001162C4">
      <w:pPr>
        <w:pStyle w:val="Ttulo2"/>
        <w:spacing w:before="0" w:after="0" w:line="360" w:lineRule="auto"/>
        <w:rPr>
          <w:sz w:val="22"/>
          <w:szCs w:val="22"/>
        </w:rPr>
      </w:pPr>
      <w:bookmarkStart w:id="7" w:name="_Toc215130116"/>
      <w:r w:rsidRPr="00FB7E68">
        <w:rPr>
          <w:sz w:val="22"/>
          <w:szCs w:val="22"/>
        </w:rPr>
        <w:t xml:space="preserve">PRIMERO. </w:t>
      </w:r>
      <w:r w:rsidR="00CD6238" w:rsidRPr="00FB7E68">
        <w:rPr>
          <w:sz w:val="22"/>
          <w:szCs w:val="22"/>
        </w:rPr>
        <w:t>Competencia</w:t>
      </w:r>
      <w:bookmarkEnd w:id="7"/>
    </w:p>
    <w:p w14:paraId="2F02418E" w14:textId="77777777" w:rsidR="00156343" w:rsidRPr="00FB7E68" w:rsidRDefault="00156343" w:rsidP="001162C4">
      <w:pPr>
        <w:spacing w:after="0" w:line="360" w:lineRule="auto"/>
        <w:contextualSpacing/>
        <w:rPr>
          <w:rFonts w:eastAsia="Times New Roman" w:cs="Tahoma"/>
          <w:bCs/>
          <w:lang w:eastAsia="es-ES"/>
        </w:rPr>
      </w:pPr>
      <w:bookmarkStart w:id="8" w:name="_heading=h.30j0zll" w:colFirst="0" w:colLast="0"/>
      <w:bookmarkEnd w:id="8"/>
    </w:p>
    <w:p w14:paraId="0499B104" w14:textId="5BDA861D" w:rsidR="00156343" w:rsidRPr="00FB7E68" w:rsidRDefault="00156343" w:rsidP="001162C4">
      <w:pPr>
        <w:spacing w:after="0" w:line="360" w:lineRule="auto"/>
        <w:contextualSpacing/>
        <w:rPr>
          <w:rFonts w:eastAsia="Times New Roman" w:cs="Tahoma"/>
          <w:bCs/>
          <w:lang w:eastAsia="es-ES"/>
        </w:rPr>
      </w:pPr>
      <w:r w:rsidRPr="00FB7E68">
        <w:rPr>
          <w:rFonts w:eastAsia="Times New Roman" w:cs="Tahoma"/>
          <w:bCs/>
          <w:lang w:eastAsia="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FB7E68" w:rsidRDefault="005C690F" w:rsidP="001162C4">
      <w:pPr>
        <w:spacing w:after="0" w:line="360" w:lineRule="auto"/>
        <w:rPr>
          <w:b/>
          <w:color w:val="000000"/>
        </w:rPr>
      </w:pPr>
    </w:p>
    <w:p w14:paraId="46691DD5" w14:textId="4C1C70AD" w:rsidR="005C690F" w:rsidRPr="00FB7E68" w:rsidRDefault="007D6307" w:rsidP="001162C4">
      <w:pPr>
        <w:pStyle w:val="Ttulo2"/>
        <w:spacing w:before="0" w:after="0" w:line="360" w:lineRule="auto"/>
        <w:rPr>
          <w:sz w:val="22"/>
          <w:szCs w:val="22"/>
        </w:rPr>
      </w:pPr>
      <w:bookmarkStart w:id="9" w:name="_Toc215130117"/>
      <w:r w:rsidRPr="00FB7E68">
        <w:rPr>
          <w:sz w:val="22"/>
          <w:szCs w:val="22"/>
        </w:rPr>
        <w:t>SEGUNDO. Causales de</w:t>
      </w:r>
      <w:r w:rsidR="00CD6238" w:rsidRPr="00FB7E68">
        <w:rPr>
          <w:sz w:val="22"/>
          <w:szCs w:val="22"/>
        </w:rPr>
        <w:t xml:space="preserve"> improcedencia y sobreseimiento</w:t>
      </w:r>
      <w:bookmarkEnd w:id="9"/>
    </w:p>
    <w:p w14:paraId="49AA4CDE" w14:textId="77777777" w:rsidR="005C690F" w:rsidRPr="00FB7E68" w:rsidRDefault="005C690F" w:rsidP="001162C4">
      <w:pPr>
        <w:spacing w:after="0" w:line="360" w:lineRule="auto"/>
        <w:rPr>
          <w:color w:val="000000"/>
        </w:rPr>
      </w:pPr>
    </w:p>
    <w:p w14:paraId="2553CE58" w14:textId="77777777" w:rsidR="005C690F" w:rsidRPr="00FB7E68" w:rsidRDefault="007D6307" w:rsidP="001162C4">
      <w:pPr>
        <w:spacing w:after="0" w:line="360" w:lineRule="auto"/>
        <w:rPr>
          <w:color w:val="000000"/>
        </w:rPr>
      </w:pPr>
      <w:r w:rsidRPr="00FB7E68">
        <w:rPr>
          <w:color w:val="000000"/>
        </w:rPr>
        <w:t xml:space="preserve">De las constancias que forma parte del Recurso de Revisión que se analiza, se advierte que previo al estudio del fondo de la </w:t>
      </w:r>
      <w:r w:rsidRPr="00FB7E68">
        <w:rPr>
          <w:i/>
          <w:color w:val="000000"/>
        </w:rPr>
        <w:t>litis</w:t>
      </w:r>
      <w:r w:rsidRPr="00FB7E68">
        <w:rPr>
          <w:color w:val="000000"/>
        </w:rPr>
        <w:t>, es necesario estudiar las causales de improcedencia y sobreseimiento que se adviertan, para determinar lo que en Derecho proceda.</w:t>
      </w:r>
    </w:p>
    <w:p w14:paraId="35A30074" w14:textId="77777777" w:rsidR="009B2DAB" w:rsidRPr="00FB7E68" w:rsidRDefault="009B2DAB" w:rsidP="001162C4">
      <w:pPr>
        <w:spacing w:after="0" w:line="360" w:lineRule="auto"/>
        <w:rPr>
          <w:color w:val="000000"/>
        </w:rPr>
      </w:pPr>
    </w:p>
    <w:p w14:paraId="3066DF0C" w14:textId="77777777" w:rsidR="005C690F" w:rsidRPr="00FB7E68" w:rsidRDefault="007D6307" w:rsidP="001162C4">
      <w:pPr>
        <w:spacing w:after="0" w:line="360" w:lineRule="auto"/>
        <w:rPr>
          <w:b/>
        </w:rPr>
      </w:pPr>
      <w:r w:rsidRPr="00FB7E68">
        <w:rPr>
          <w:b/>
        </w:rPr>
        <w:t>Causales de improcedencia</w:t>
      </w:r>
    </w:p>
    <w:p w14:paraId="706394D4" w14:textId="77777777" w:rsidR="00304DE6" w:rsidRPr="00FB7E68" w:rsidRDefault="00304DE6" w:rsidP="001162C4">
      <w:pPr>
        <w:spacing w:after="0" w:line="360" w:lineRule="auto"/>
        <w:rPr>
          <w:b/>
        </w:rPr>
      </w:pPr>
    </w:p>
    <w:p w14:paraId="6C56CA88" w14:textId="77777777" w:rsidR="005C690F" w:rsidRPr="00FB7E68" w:rsidRDefault="007D6307" w:rsidP="001162C4">
      <w:pPr>
        <w:spacing w:after="0" w:line="360" w:lineRule="auto"/>
        <w:rPr>
          <w:color w:val="000000"/>
        </w:rPr>
      </w:pPr>
      <w:r w:rsidRPr="00FB7E68">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FB7E68">
        <w:rPr>
          <w:color w:val="000000"/>
        </w:rPr>
        <w:lastRenderedPageBreak/>
        <w:t>actualice alguno de los supuestos establecidos en el artículo 191 de la Ley de Transparencia y Acceso a la Información Pública del Estado de México y Municipios, por ser improcedente.</w:t>
      </w:r>
    </w:p>
    <w:p w14:paraId="58A4A8EF" w14:textId="77777777" w:rsidR="005C690F" w:rsidRPr="00FB7E68" w:rsidRDefault="005C690F" w:rsidP="001162C4">
      <w:pPr>
        <w:spacing w:after="0" w:line="360" w:lineRule="auto"/>
        <w:rPr>
          <w:color w:val="000000"/>
        </w:rPr>
      </w:pPr>
    </w:p>
    <w:p w14:paraId="22563DDB" w14:textId="33D3D011" w:rsidR="008D3B3F" w:rsidRPr="00FB7E68" w:rsidRDefault="007D6307" w:rsidP="001162C4">
      <w:pPr>
        <w:spacing w:after="0" w:line="360" w:lineRule="auto"/>
        <w:rPr>
          <w:color w:val="000000"/>
        </w:rPr>
      </w:pPr>
      <w:r w:rsidRPr="00FB7E68">
        <w:rPr>
          <w:color w:val="000000"/>
        </w:rPr>
        <w:t>En el presente caso, </w:t>
      </w:r>
      <w:r w:rsidRPr="00FB7E68">
        <w:rPr>
          <w:b/>
          <w:color w:val="000000"/>
        </w:rPr>
        <w:t>no se actualiza ninguna de las causales de improcedencia</w:t>
      </w:r>
      <w:r w:rsidRPr="00FB7E68">
        <w:rPr>
          <w:color w:val="000000"/>
        </w:rPr>
        <w:t> establecidas en el ordenamiento jurídico previamente señalado, toda vez que: este Instituto no tiene conocimiento de que se encuentre en trámite algún medio de defensa presentado por la</w:t>
      </w:r>
      <w:r w:rsidR="00261B92" w:rsidRPr="00FB7E68">
        <w:rPr>
          <w:color w:val="000000"/>
        </w:rPr>
        <w:t xml:space="preserve"> persona</w:t>
      </w:r>
      <w:r w:rsidRPr="00FB7E68">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FB7E68" w:rsidRDefault="00874D8A" w:rsidP="001162C4">
      <w:pPr>
        <w:spacing w:after="0" w:line="360" w:lineRule="auto"/>
        <w:rPr>
          <w:color w:val="000000"/>
        </w:rPr>
      </w:pPr>
    </w:p>
    <w:p w14:paraId="1C21859B" w14:textId="31726B5A" w:rsidR="00E14735" w:rsidRPr="00FB7E68" w:rsidRDefault="007D6307" w:rsidP="00E14735">
      <w:pPr>
        <w:spacing w:after="0" w:line="360" w:lineRule="auto"/>
      </w:pPr>
      <w:r w:rsidRPr="00FB7E68">
        <w:t>Por lo cual, se actualiza la causal de procedencia del Recurso de Revisión señal</w:t>
      </w:r>
      <w:r w:rsidR="00261DF6" w:rsidRPr="00FB7E68">
        <w:t>ada en el artículo 179, fracci</w:t>
      </w:r>
      <w:r w:rsidR="00740736" w:rsidRPr="00FB7E68">
        <w:t>ón VI</w:t>
      </w:r>
      <w:r w:rsidRPr="00FB7E68">
        <w:t>, de la Ley en cita, pues la p</w:t>
      </w:r>
      <w:r w:rsidR="00261B92" w:rsidRPr="00FB7E68">
        <w:t>ersona</w:t>
      </w:r>
      <w:r w:rsidRPr="00FB7E68">
        <w:t xml:space="preserve"> Recurrente se inconformó </w:t>
      </w:r>
      <w:r w:rsidR="00E14735" w:rsidRPr="00FB7E68">
        <w:t>de</w:t>
      </w:r>
      <w:r w:rsidR="00D47418" w:rsidRPr="00FB7E68">
        <w:t xml:space="preserve"> la </w:t>
      </w:r>
      <w:r w:rsidR="00740736" w:rsidRPr="00FB7E68">
        <w:t>entrega de información que no corresponde con lo solicitado.</w:t>
      </w:r>
    </w:p>
    <w:p w14:paraId="6E155DDA" w14:textId="77777777" w:rsidR="008E5041" w:rsidRPr="00FB7E68" w:rsidRDefault="008E5041" w:rsidP="00E14735">
      <w:pPr>
        <w:spacing w:after="0" w:line="360" w:lineRule="auto"/>
      </w:pPr>
    </w:p>
    <w:p w14:paraId="55FF691A" w14:textId="6D373E30" w:rsidR="005C690F" w:rsidRPr="00FB7E68" w:rsidRDefault="007D6307" w:rsidP="001162C4">
      <w:pPr>
        <w:spacing w:after="0" w:line="360" w:lineRule="auto"/>
        <w:rPr>
          <w:color w:val="0D0D0D"/>
        </w:rPr>
      </w:pPr>
      <w:r w:rsidRPr="00FB7E68">
        <w:rPr>
          <w:b/>
          <w:color w:val="0D0D0D"/>
        </w:rPr>
        <w:t>Ca</w:t>
      </w:r>
      <w:r w:rsidR="00CD6238" w:rsidRPr="00FB7E68">
        <w:rPr>
          <w:b/>
          <w:color w:val="0D0D0D"/>
        </w:rPr>
        <w:t>usales de sobreseimiento</w:t>
      </w:r>
    </w:p>
    <w:p w14:paraId="426FEE7A" w14:textId="77777777" w:rsidR="005C690F" w:rsidRPr="00FB7E68" w:rsidRDefault="005C690F" w:rsidP="001162C4">
      <w:pPr>
        <w:spacing w:after="0" w:line="360" w:lineRule="auto"/>
        <w:rPr>
          <w:color w:val="0D0D0D"/>
        </w:rPr>
      </w:pPr>
    </w:p>
    <w:p w14:paraId="5B1C849A" w14:textId="77777777" w:rsidR="005C690F" w:rsidRPr="00FB7E68" w:rsidRDefault="007D6307" w:rsidP="001162C4">
      <w:pPr>
        <w:spacing w:after="0" w:line="360" w:lineRule="auto"/>
        <w:rPr>
          <w:color w:val="0D0D0D"/>
        </w:rPr>
      </w:pPr>
      <w:r w:rsidRPr="00FB7E68">
        <w:rPr>
          <w:color w:val="0D0D0D"/>
        </w:rPr>
        <w:t>Por ser de previo y especial pronunciamiento, este Instituto analiza si se actualiza alguna causal de sobreseimiento.</w:t>
      </w:r>
    </w:p>
    <w:p w14:paraId="5CEDF034" w14:textId="77777777" w:rsidR="00A96A4E" w:rsidRPr="00FB7E68" w:rsidRDefault="00A96A4E" w:rsidP="001162C4">
      <w:pPr>
        <w:spacing w:after="0" w:line="360" w:lineRule="auto"/>
        <w:rPr>
          <w:color w:val="0D0D0D"/>
        </w:rPr>
      </w:pPr>
    </w:p>
    <w:p w14:paraId="766AB72D" w14:textId="77777777" w:rsidR="00BC038B" w:rsidRPr="00FB7E68" w:rsidRDefault="00BC038B" w:rsidP="001162C4">
      <w:pPr>
        <w:spacing w:after="0" w:line="360" w:lineRule="auto"/>
        <w:rPr>
          <w:color w:val="000000"/>
        </w:rPr>
      </w:pPr>
      <w:r w:rsidRPr="00FB7E68">
        <w:rPr>
          <w:color w:val="0D0D0D"/>
        </w:rPr>
        <w:t>Sobre el tema, e</w:t>
      </w:r>
      <w:r w:rsidRPr="00FB7E68">
        <w:rPr>
          <w:color w:val="000000"/>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FB7E68">
        <w:rPr>
          <w:color w:val="000000"/>
        </w:rPr>
        <w:lastRenderedPageBreak/>
        <w:t>Obligado hubiese modificado o revocado el acto impugnado o bien, haya quedado sin materia.</w:t>
      </w:r>
    </w:p>
    <w:p w14:paraId="7702338D" w14:textId="77777777" w:rsidR="00BC038B" w:rsidRPr="00FB7E68" w:rsidRDefault="00BC038B" w:rsidP="001162C4">
      <w:pPr>
        <w:spacing w:after="0" w:line="360" w:lineRule="auto"/>
        <w:rPr>
          <w:color w:val="000000"/>
        </w:rPr>
      </w:pPr>
    </w:p>
    <w:p w14:paraId="5BDF3BB4" w14:textId="2A80B251" w:rsidR="00BC038B" w:rsidRPr="00FB7E68" w:rsidRDefault="00BC038B" w:rsidP="001162C4">
      <w:pPr>
        <w:spacing w:after="0" w:line="360" w:lineRule="auto"/>
        <w:rPr>
          <w:color w:val="0D0D0D"/>
        </w:rPr>
      </w:pPr>
      <w:r w:rsidRPr="00FB7E68">
        <w:rPr>
          <w:color w:val="0D0D0D"/>
        </w:rPr>
        <w:t>Por tales motivos, se considera procedente entrar al fondo del presente asunto.</w:t>
      </w:r>
    </w:p>
    <w:p w14:paraId="275D3AA1" w14:textId="77777777" w:rsidR="001A44D1" w:rsidRPr="00FB7E68" w:rsidRDefault="001A44D1" w:rsidP="001162C4">
      <w:pPr>
        <w:spacing w:after="0" w:line="360" w:lineRule="auto"/>
        <w:rPr>
          <w:b/>
          <w:color w:val="000000"/>
        </w:rPr>
      </w:pPr>
    </w:p>
    <w:p w14:paraId="0A6A0BAE" w14:textId="184EF292" w:rsidR="005C690F" w:rsidRPr="00FB7E68" w:rsidRDefault="007D6307" w:rsidP="001162C4">
      <w:pPr>
        <w:pStyle w:val="Ttulo2"/>
        <w:spacing w:before="0" w:after="0" w:line="360" w:lineRule="auto"/>
        <w:rPr>
          <w:sz w:val="22"/>
          <w:szCs w:val="22"/>
        </w:rPr>
      </w:pPr>
      <w:bookmarkStart w:id="10" w:name="_Toc215130118"/>
      <w:r w:rsidRPr="00FB7E68">
        <w:rPr>
          <w:sz w:val="22"/>
          <w:szCs w:val="22"/>
        </w:rPr>
        <w:t>TERCERO. De</w:t>
      </w:r>
      <w:r w:rsidR="00CD6238" w:rsidRPr="00FB7E68">
        <w:rPr>
          <w:sz w:val="22"/>
          <w:szCs w:val="22"/>
        </w:rPr>
        <w:t>terminación de la Controversia</w:t>
      </w:r>
      <w:bookmarkEnd w:id="10"/>
    </w:p>
    <w:p w14:paraId="4A0739CB" w14:textId="77777777" w:rsidR="00897A05" w:rsidRPr="00FB7E68" w:rsidRDefault="00897A05" w:rsidP="001162C4">
      <w:pPr>
        <w:spacing w:after="0" w:line="360" w:lineRule="auto"/>
        <w:rPr>
          <w:b/>
          <w:color w:val="000000"/>
        </w:rPr>
      </w:pPr>
    </w:p>
    <w:p w14:paraId="7A718794" w14:textId="5EF64313" w:rsidR="00D47418" w:rsidRPr="00FB7E68" w:rsidRDefault="007C7BAF" w:rsidP="00740736">
      <w:pPr>
        <w:spacing w:after="0" w:line="360" w:lineRule="auto"/>
        <w:rPr>
          <w:rFonts w:cs="Tahoma"/>
        </w:rPr>
      </w:pPr>
      <w:r w:rsidRPr="00FB7E68">
        <w:rPr>
          <w:rFonts w:cs="Tahoma"/>
        </w:rPr>
        <w:t xml:space="preserve">Con el objetivo de ilustrar la controversia planteada, resulta conveniente precisar, que una vez realizado el estudio de las constancias que integran el expediente en el que se actúa, se desprende que el Particular </w:t>
      </w:r>
      <w:r w:rsidR="00A27704" w:rsidRPr="00FB7E68">
        <w:rPr>
          <w:rFonts w:cs="Tahoma"/>
        </w:rPr>
        <w:t xml:space="preserve">requirió, </w:t>
      </w:r>
      <w:r w:rsidR="00C175A7" w:rsidRPr="00FB7E68">
        <w:rPr>
          <w:rFonts w:cs="Tahoma"/>
        </w:rPr>
        <w:t>el sueldo de la primera y segunda quincena de agosto de dos mil veinticinco, conforme a lo siguiente:</w:t>
      </w:r>
    </w:p>
    <w:p w14:paraId="2878174E" w14:textId="77777777" w:rsidR="00C175A7" w:rsidRPr="00FB7E68" w:rsidRDefault="00C175A7" w:rsidP="00740736">
      <w:pPr>
        <w:spacing w:after="0" w:line="360" w:lineRule="auto"/>
        <w:rPr>
          <w:rFonts w:cs="Tahoma"/>
        </w:rPr>
      </w:pPr>
    </w:p>
    <w:p w14:paraId="2222D84A" w14:textId="40A16D8A" w:rsidR="00C175A7" w:rsidRPr="00FB7E68" w:rsidRDefault="00C175A7" w:rsidP="00C175A7">
      <w:pPr>
        <w:pStyle w:val="Prrafodelista"/>
        <w:numPr>
          <w:ilvl w:val="0"/>
          <w:numId w:val="19"/>
        </w:numPr>
        <w:spacing w:line="360" w:lineRule="auto"/>
        <w:rPr>
          <w:rFonts w:cs="Tahoma"/>
        </w:rPr>
      </w:pPr>
      <w:r w:rsidRPr="00FB7E68">
        <w:rPr>
          <w:rFonts w:cs="Tahoma"/>
        </w:rPr>
        <w:t>De todo el personal de Presidencia, Unidad de Planeación, Tesorería, Administración y Desarrollo Económico, y</w:t>
      </w:r>
    </w:p>
    <w:p w14:paraId="0BF41211" w14:textId="199CEE0F" w:rsidR="00C175A7" w:rsidRPr="00FB7E68" w:rsidRDefault="00C175A7" w:rsidP="00C175A7">
      <w:pPr>
        <w:pStyle w:val="Prrafodelista"/>
        <w:numPr>
          <w:ilvl w:val="0"/>
          <w:numId w:val="19"/>
        </w:numPr>
        <w:spacing w:line="360" w:lineRule="auto"/>
        <w:rPr>
          <w:rFonts w:cs="Tahoma"/>
        </w:rPr>
      </w:pPr>
      <w:r w:rsidRPr="00FB7E68">
        <w:rPr>
          <w:rFonts w:cs="Tahoma"/>
        </w:rPr>
        <w:t>De todos los Titulares de Área.</w:t>
      </w:r>
    </w:p>
    <w:p w14:paraId="1AADC23A" w14:textId="77777777" w:rsidR="00E645AB" w:rsidRPr="00FB7E68" w:rsidRDefault="00E645AB" w:rsidP="001162C4">
      <w:pPr>
        <w:spacing w:after="0" w:line="360" w:lineRule="auto"/>
        <w:rPr>
          <w:rFonts w:cs="Tahoma"/>
        </w:rPr>
      </w:pPr>
    </w:p>
    <w:p w14:paraId="0781F441" w14:textId="3FA5F3BA" w:rsidR="008F2D7A" w:rsidRPr="00FB7E68" w:rsidRDefault="007C7BAF" w:rsidP="001162C4">
      <w:pPr>
        <w:spacing w:after="0" w:line="360" w:lineRule="auto"/>
        <w:rPr>
          <w:color w:val="000000"/>
        </w:rPr>
      </w:pPr>
      <w:r w:rsidRPr="00FB7E68">
        <w:rPr>
          <w:color w:val="000000"/>
        </w:rPr>
        <w:t>En respuesta, el Sujeto Obligado,</w:t>
      </w:r>
      <w:r w:rsidR="00644832" w:rsidRPr="00FB7E68">
        <w:rPr>
          <w:color w:val="000000"/>
        </w:rPr>
        <w:t xml:space="preserve"> </w:t>
      </w:r>
      <w:r w:rsidR="00C672CD" w:rsidRPr="00FB7E68">
        <w:rPr>
          <w:color w:val="000000"/>
        </w:rPr>
        <w:t>a través de</w:t>
      </w:r>
      <w:r w:rsidR="00E645AB" w:rsidRPr="00FB7E68">
        <w:rPr>
          <w:color w:val="000000"/>
        </w:rPr>
        <w:t xml:space="preserve"> </w:t>
      </w:r>
      <w:r w:rsidR="00D47418" w:rsidRPr="00FB7E68">
        <w:rPr>
          <w:color w:val="000000"/>
        </w:rPr>
        <w:t xml:space="preserve">la </w:t>
      </w:r>
      <w:r w:rsidR="00C175A7" w:rsidRPr="00FB7E68">
        <w:rPr>
          <w:color w:val="000000"/>
        </w:rPr>
        <w:t>Subdirectora de Recursos Humanos adjuntó un link para consultar la información solicitada</w:t>
      </w:r>
      <w:r w:rsidR="00EC6180" w:rsidRPr="00FB7E68">
        <w:rPr>
          <w:color w:val="000000"/>
        </w:rPr>
        <w:t xml:space="preserve">; </w:t>
      </w:r>
      <w:r w:rsidRPr="00FB7E68">
        <w:rPr>
          <w:rFonts w:cs="Tahoma"/>
          <w:lang w:val="es-ES"/>
        </w:rPr>
        <w:t>ante dicha circunstancia, el Particular se inconformó</w:t>
      </w:r>
      <w:r w:rsidR="00644832" w:rsidRPr="00FB7E68">
        <w:rPr>
          <w:rFonts w:cs="Tahoma"/>
          <w:lang w:val="es-ES"/>
        </w:rPr>
        <w:t xml:space="preserve"> </w:t>
      </w:r>
      <w:r w:rsidR="00EC4902" w:rsidRPr="00FB7E68">
        <w:rPr>
          <w:rFonts w:cs="Tahoma"/>
          <w:lang w:val="es-ES"/>
        </w:rPr>
        <w:t>de</w:t>
      </w:r>
      <w:r w:rsidR="00C175A7" w:rsidRPr="00FB7E68">
        <w:rPr>
          <w:rFonts w:cs="Tahoma"/>
          <w:lang w:val="es-ES"/>
        </w:rPr>
        <w:t xml:space="preserve"> la entrega de información que no corresponde con lo solicitado</w:t>
      </w:r>
      <w:r w:rsidR="00FB628E" w:rsidRPr="00FB7E68">
        <w:rPr>
          <w:rFonts w:cs="Tahoma"/>
          <w:lang w:val="es-ES"/>
        </w:rPr>
        <w:t>, al mencionar que</w:t>
      </w:r>
      <w:r w:rsidR="00C175A7" w:rsidRPr="00FB7E68">
        <w:rPr>
          <w:rFonts w:cs="Tahoma"/>
          <w:lang w:val="es-ES"/>
        </w:rPr>
        <w:t xml:space="preserve"> no le entregan la información solicitada</w:t>
      </w:r>
      <w:r w:rsidR="001A7F04" w:rsidRPr="00FB7E68">
        <w:rPr>
          <w:rFonts w:cs="Tahoma"/>
          <w:lang w:val="es-ES"/>
        </w:rPr>
        <w:t xml:space="preserve">, </w:t>
      </w:r>
      <w:r w:rsidRPr="00FB7E68">
        <w:rPr>
          <w:rFonts w:cs="Tahoma"/>
          <w:lang w:val="es-ES"/>
        </w:rPr>
        <w:t xml:space="preserve">lo cual </w:t>
      </w:r>
      <w:r w:rsidRPr="00FB7E68">
        <w:rPr>
          <w:rFonts w:eastAsia="Calibri" w:cs="Tahoma"/>
        </w:rPr>
        <w:t>actualiza la causal de proce</w:t>
      </w:r>
      <w:r w:rsidR="00413093" w:rsidRPr="00FB7E68">
        <w:rPr>
          <w:rFonts w:eastAsia="Calibri" w:cs="Tahoma"/>
        </w:rPr>
        <w:t xml:space="preserve">dencia prevista en la fracción </w:t>
      </w:r>
      <w:r w:rsidR="00C175A7" w:rsidRPr="00FB7E68">
        <w:rPr>
          <w:rFonts w:eastAsia="Calibri" w:cs="Tahoma"/>
        </w:rPr>
        <w:t>VI</w:t>
      </w:r>
      <w:r w:rsidRPr="00FB7E68">
        <w:rPr>
          <w:rFonts w:eastAsia="Calibri" w:cs="Tahoma"/>
        </w:rPr>
        <w:t>, del artículo 179 de la Ley de Transparencia y Acceso a la Información Pública del Estado de México y Municipios</w:t>
      </w:r>
      <w:r w:rsidRPr="00FB7E68">
        <w:rPr>
          <w:color w:val="0D0D0D"/>
        </w:rPr>
        <w:t xml:space="preserve">. </w:t>
      </w:r>
      <w:r w:rsidRPr="00FB7E68">
        <w:rPr>
          <w:rFonts w:eastAsia="Calibri" w:cs="Tahoma"/>
        </w:rPr>
        <w:t>Así, las cosas, una vez admitido y notificado el Recurso de Revisión</w:t>
      </w:r>
      <w:r w:rsidR="00522A47" w:rsidRPr="00FB7E68">
        <w:rPr>
          <w:rFonts w:eastAsia="Calibri" w:cs="Tahoma"/>
        </w:rPr>
        <w:t xml:space="preserve"> a las partes,</w:t>
      </w:r>
      <w:r w:rsidR="00D93A2A" w:rsidRPr="00FB7E68">
        <w:rPr>
          <w:rFonts w:eastAsia="Calibri" w:cs="Tahoma"/>
        </w:rPr>
        <w:t xml:space="preserve"> </w:t>
      </w:r>
      <w:r w:rsidR="00C175A7" w:rsidRPr="00FB7E68">
        <w:rPr>
          <w:rFonts w:eastAsia="Calibri" w:cs="Tahoma"/>
        </w:rPr>
        <w:t>el Sujeto Obligado mencionó que la información solicitada se encuentra reservada toda vez que está en proceso de auditoría por el Órgano Interno de Control</w:t>
      </w:r>
      <w:r w:rsidR="00ED0CC0" w:rsidRPr="00FB7E68">
        <w:rPr>
          <w:rFonts w:eastAsia="Calibri" w:cs="Tahoma"/>
        </w:rPr>
        <w:t>.</w:t>
      </w:r>
    </w:p>
    <w:p w14:paraId="5B0BE6AE" w14:textId="77777777" w:rsidR="008F2D7A" w:rsidRPr="00FB7E68" w:rsidRDefault="008F2D7A" w:rsidP="001162C4">
      <w:pPr>
        <w:tabs>
          <w:tab w:val="left" w:pos="4962"/>
        </w:tabs>
        <w:spacing w:after="0" w:line="360" w:lineRule="auto"/>
        <w:rPr>
          <w:rFonts w:eastAsia="Calibri" w:cs="Tahoma"/>
        </w:rPr>
      </w:pPr>
    </w:p>
    <w:p w14:paraId="22C5958E" w14:textId="0CF3AE30" w:rsidR="007C7BAF" w:rsidRPr="00FB7E68" w:rsidRDefault="007C7BAF" w:rsidP="001162C4">
      <w:pPr>
        <w:tabs>
          <w:tab w:val="left" w:pos="4962"/>
        </w:tabs>
        <w:spacing w:after="0" w:line="360" w:lineRule="auto"/>
        <w:rPr>
          <w:rFonts w:eastAsia="Calibri" w:cs="Tahoma"/>
          <w:bCs/>
        </w:rPr>
      </w:pPr>
      <w:r w:rsidRPr="00FB7E68">
        <w:rPr>
          <w:rFonts w:eastAsia="Calibri" w:cs="Tahoma"/>
          <w:iCs/>
          <w:lang w:val="es-ES" w:eastAsia="es-ES_tradnl"/>
        </w:rPr>
        <w:lastRenderedPageBreak/>
        <w:t>Lo anterior, se desprende de las documentales que obran en el expediente de referencia, materia de la presente resolución, consistente en: la solic</w:t>
      </w:r>
      <w:r w:rsidR="00BB3F28" w:rsidRPr="00FB7E68">
        <w:rPr>
          <w:rFonts w:eastAsia="Calibri" w:cs="Tahoma"/>
          <w:iCs/>
          <w:lang w:val="es-ES" w:eastAsia="es-ES_tradnl"/>
        </w:rPr>
        <w:t>i</w:t>
      </w:r>
      <w:r w:rsidR="0076190F" w:rsidRPr="00FB7E68">
        <w:rPr>
          <w:rFonts w:eastAsia="Calibri" w:cs="Tahoma"/>
          <w:iCs/>
          <w:lang w:val="es-ES" w:eastAsia="es-ES_tradnl"/>
        </w:rPr>
        <w:t xml:space="preserve">tud de acceso a </w:t>
      </w:r>
      <w:r w:rsidR="00B7669B" w:rsidRPr="00FB7E68">
        <w:rPr>
          <w:rFonts w:eastAsia="Calibri" w:cs="Tahoma"/>
          <w:iCs/>
          <w:lang w:val="es-ES" w:eastAsia="es-ES_tradnl"/>
        </w:rPr>
        <w:t xml:space="preserve">la información, </w:t>
      </w:r>
      <w:r w:rsidR="006E6B82" w:rsidRPr="00FB7E68">
        <w:rPr>
          <w:rFonts w:eastAsia="Calibri" w:cs="Tahoma"/>
          <w:iCs/>
          <w:lang w:eastAsia="es-ES_tradnl"/>
        </w:rPr>
        <w:t xml:space="preserve">el escrito </w:t>
      </w:r>
      <w:proofErr w:type="spellStart"/>
      <w:r w:rsidR="006E6B82" w:rsidRPr="00FB7E68">
        <w:rPr>
          <w:rFonts w:eastAsia="Calibri" w:cs="Tahoma"/>
          <w:iCs/>
          <w:lang w:eastAsia="es-ES_tradnl"/>
        </w:rPr>
        <w:t>recursal</w:t>
      </w:r>
      <w:proofErr w:type="spellEnd"/>
      <w:r w:rsidR="00B7669B" w:rsidRPr="00FB7E68">
        <w:rPr>
          <w:rFonts w:eastAsia="Calibri" w:cs="Tahoma"/>
          <w:iCs/>
          <w:lang w:eastAsia="es-ES_tradnl"/>
        </w:rPr>
        <w:t xml:space="preserve"> y el Informe Justificado</w:t>
      </w:r>
      <w:r w:rsidRPr="00FB7E68">
        <w:rPr>
          <w:rFonts w:eastAsia="Calibri" w:cs="Tahoma"/>
          <w:iCs/>
          <w:lang w:eastAsia="es-ES_tradnl"/>
        </w:rPr>
        <w:t xml:space="preserve">; </w:t>
      </w:r>
      <w:r w:rsidRPr="00FB7E68">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FB7E68" w:rsidRDefault="00C672CD" w:rsidP="001162C4">
      <w:pPr>
        <w:pStyle w:val="Ttulo2"/>
        <w:spacing w:before="0" w:after="0" w:line="360" w:lineRule="auto"/>
        <w:rPr>
          <w:sz w:val="22"/>
          <w:szCs w:val="22"/>
        </w:rPr>
      </w:pPr>
    </w:p>
    <w:p w14:paraId="36DCBD9D" w14:textId="0AA8912A" w:rsidR="005C690F" w:rsidRPr="00FB7E68" w:rsidRDefault="007D6307" w:rsidP="001162C4">
      <w:pPr>
        <w:pStyle w:val="Ttulo2"/>
        <w:spacing w:before="0" w:after="0" w:line="360" w:lineRule="auto"/>
        <w:rPr>
          <w:sz w:val="22"/>
          <w:szCs w:val="22"/>
        </w:rPr>
      </w:pPr>
      <w:bookmarkStart w:id="11" w:name="_Toc215130119"/>
      <w:r w:rsidRPr="00FB7E68">
        <w:rPr>
          <w:sz w:val="22"/>
          <w:szCs w:val="22"/>
        </w:rPr>
        <w:t xml:space="preserve">CUARTO. Marco normativo aplicable en materia de transparencia y </w:t>
      </w:r>
      <w:r w:rsidR="00CD6238" w:rsidRPr="00FB7E68">
        <w:rPr>
          <w:sz w:val="22"/>
          <w:szCs w:val="22"/>
        </w:rPr>
        <w:t>acceso a la información pública</w:t>
      </w:r>
      <w:bookmarkEnd w:id="11"/>
    </w:p>
    <w:p w14:paraId="4D62F8F1" w14:textId="77777777" w:rsidR="005C690F" w:rsidRPr="00FB7E68" w:rsidRDefault="005C690F" w:rsidP="001162C4">
      <w:pPr>
        <w:spacing w:after="0" w:line="360" w:lineRule="auto"/>
        <w:rPr>
          <w:color w:val="000000"/>
        </w:rPr>
      </w:pPr>
    </w:p>
    <w:p w14:paraId="68F50546" w14:textId="77777777" w:rsidR="005C690F" w:rsidRPr="00FB7E68" w:rsidRDefault="007D6307" w:rsidP="001162C4">
      <w:pPr>
        <w:spacing w:after="0" w:line="360" w:lineRule="auto"/>
        <w:rPr>
          <w:color w:val="000000"/>
        </w:rPr>
      </w:pPr>
      <w:r w:rsidRPr="00FB7E68">
        <w:rPr>
          <w:color w:val="000000"/>
        </w:rPr>
        <w:t xml:space="preserve">El artículo 6°, Apartado A), fracción I de la Constitución Política de los Estados Unidos Mexicanos, establece que toda la información en posesión de cualquier </w:t>
      </w:r>
      <w:proofErr w:type="gramStart"/>
      <w:r w:rsidRPr="00FB7E68">
        <w:rPr>
          <w:color w:val="000000"/>
        </w:rPr>
        <w:t>autoridad,</w:t>
      </w:r>
      <w:proofErr w:type="gramEnd"/>
      <w:r w:rsidRPr="00FB7E68">
        <w:rPr>
          <w:color w:val="000000"/>
        </w:rPr>
        <w:t xml:space="preserve"> es pública y sólo podrá ser reservada temporalmente por razones de interés público.</w:t>
      </w:r>
    </w:p>
    <w:p w14:paraId="792A5D2D" w14:textId="77777777" w:rsidR="005C690F" w:rsidRPr="00FB7E68" w:rsidRDefault="005C690F" w:rsidP="001162C4">
      <w:pPr>
        <w:spacing w:after="0" w:line="360" w:lineRule="auto"/>
        <w:rPr>
          <w:color w:val="000000"/>
        </w:rPr>
      </w:pPr>
    </w:p>
    <w:p w14:paraId="69458899" w14:textId="77777777" w:rsidR="005C690F" w:rsidRPr="00FB7E68" w:rsidRDefault="007D6307" w:rsidP="001162C4">
      <w:pPr>
        <w:spacing w:after="0" w:line="360" w:lineRule="auto"/>
        <w:rPr>
          <w:color w:val="000000"/>
        </w:rPr>
      </w:pPr>
      <w:r w:rsidRPr="00FB7E68">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FB7E68" w:rsidRDefault="005C690F" w:rsidP="001162C4">
      <w:pPr>
        <w:spacing w:after="0" w:line="360" w:lineRule="auto"/>
        <w:rPr>
          <w:color w:val="000000"/>
        </w:rPr>
      </w:pPr>
    </w:p>
    <w:p w14:paraId="3D8EBDEC" w14:textId="77777777" w:rsidR="005C690F" w:rsidRPr="00FB7E68" w:rsidRDefault="007D6307" w:rsidP="001162C4">
      <w:pPr>
        <w:spacing w:after="0" w:line="360" w:lineRule="auto"/>
        <w:rPr>
          <w:color w:val="000000"/>
        </w:rPr>
      </w:pPr>
      <w:r w:rsidRPr="00FB7E68">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FB7E68" w:rsidRDefault="005C690F" w:rsidP="001162C4">
      <w:pPr>
        <w:spacing w:after="0" w:line="360" w:lineRule="auto"/>
        <w:rPr>
          <w:color w:val="000000"/>
        </w:rPr>
      </w:pPr>
    </w:p>
    <w:p w14:paraId="5BD9CB2E" w14:textId="77777777" w:rsidR="005C690F" w:rsidRPr="00FB7E68" w:rsidRDefault="007D6307" w:rsidP="001162C4">
      <w:pPr>
        <w:spacing w:after="0" w:line="360" w:lineRule="auto"/>
        <w:rPr>
          <w:color w:val="000000"/>
        </w:rPr>
      </w:pPr>
      <w:r w:rsidRPr="00FB7E68">
        <w:rPr>
          <w:color w:val="000000"/>
        </w:rPr>
        <w:t>El artículo 12, que, quienes generen, recopilen, administren, manejen, procesen, archiven o conserven información pública serán responsables de la misma.</w:t>
      </w:r>
    </w:p>
    <w:p w14:paraId="6BD1FFBB" w14:textId="77777777" w:rsidR="007C02D1" w:rsidRPr="00FB7E68" w:rsidRDefault="007C02D1" w:rsidP="001162C4">
      <w:pPr>
        <w:spacing w:after="0" w:line="360" w:lineRule="auto"/>
        <w:rPr>
          <w:color w:val="000000"/>
        </w:rPr>
      </w:pPr>
    </w:p>
    <w:p w14:paraId="3D899A16" w14:textId="77777777" w:rsidR="005C690F" w:rsidRPr="00FB7E68" w:rsidRDefault="007D6307" w:rsidP="001162C4">
      <w:pPr>
        <w:widowControl w:val="0"/>
        <w:spacing w:after="0" w:line="360" w:lineRule="auto"/>
        <w:rPr>
          <w:color w:val="000000"/>
        </w:rPr>
      </w:pPr>
      <w:r w:rsidRPr="00FB7E68">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FB7E68" w:rsidRDefault="00B153FA" w:rsidP="001162C4">
      <w:pPr>
        <w:widowControl w:val="0"/>
        <w:spacing w:after="0" w:line="360" w:lineRule="auto"/>
        <w:rPr>
          <w:color w:val="000000"/>
        </w:rPr>
      </w:pPr>
    </w:p>
    <w:p w14:paraId="70E5B643" w14:textId="378E2A57" w:rsidR="00B04A35" w:rsidRPr="00FB7E68" w:rsidRDefault="007D6307" w:rsidP="001162C4">
      <w:pPr>
        <w:spacing w:after="0" w:line="360" w:lineRule="auto"/>
        <w:rPr>
          <w:color w:val="000000"/>
        </w:rPr>
      </w:pPr>
      <w:r w:rsidRPr="00FB7E68">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FB7E68" w:rsidRDefault="005C690F" w:rsidP="001162C4">
      <w:pPr>
        <w:spacing w:after="0" w:line="360" w:lineRule="auto"/>
      </w:pPr>
    </w:p>
    <w:p w14:paraId="3AF871E5" w14:textId="6FEB966D" w:rsidR="005C690F" w:rsidRPr="00FB7E68" w:rsidRDefault="00CD6238" w:rsidP="001162C4">
      <w:pPr>
        <w:pStyle w:val="Ttulo2"/>
        <w:spacing w:before="0" w:after="0" w:line="360" w:lineRule="auto"/>
        <w:rPr>
          <w:sz w:val="22"/>
          <w:szCs w:val="22"/>
        </w:rPr>
      </w:pPr>
      <w:bookmarkStart w:id="12" w:name="_Toc215130120"/>
      <w:r w:rsidRPr="00FB7E68">
        <w:rPr>
          <w:sz w:val="22"/>
          <w:szCs w:val="22"/>
        </w:rPr>
        <w:t>Q</w:t>
      </w:r>
      <w:r w:rsidR="0044017B" w:rsidRPr="00FB7E68">
        <w:rPr>
          <w:sz w:val="22"/>
          <w:szCs w:val="22"/>
        </w:rPr>
        <w:t>UINTO</w:t>
      </w:r>
      <w:r w:rsidRPr="00FB7E68">
        <w:rPr>
          <w:sz w:val="22"/>
          <w:szCs w:val="22"/>
        </w:rPr>
        <w:t>. Estudio de Fondo</w:t>
      </w:r>
      <w:bookmarkEnd w:id="12"/>
    </w:p>
    <w:p w14:paraId="2596B212" w14:textId="77777777" w:rsidR="00A56228" w:rsidRPr="00FB7E68" w:rsidRDefault="00A56228" w:rsidP="001162C4">
      <w:pPr>
        <w:spacing w:after="0" w:line="360" w:lineRule="auto"/>
        <w:rPr>
          <w:b/>
          <w:color w:val="000000"/>
        </w:rPr>
      </w:pPr>
    </w:p>
    <w:p w14:paraId="63BCC1E3" w14:textId="100FCE1F" w:rsidR="00A6674B" w:rsidRPr="00FB7E68" w:rsidRDefault="0064067B" w:rsidP="001162C4">
      <w:pPr>
        <w:spacing w:after="0" w:line="360" w:lineRule="auto"/>
        <w:rPr>
          <w:rFonts w:eastAsia="Times New Roman" w:cs="Tahoma"/>
          <w:bCs/>
          <w:iCs/>
          <w:lang w:eastAsia="es-ES"/>
        </w:rPr>
      </w:pPr>
      <w:r w:rsidRPr="00FB7E68">
        <w:rPr>
          <w:color w:val="000000"/>
        </w:rPr>
        <w:t>Expuestas las posturas de las partes, se procede al análisis de los agravios hechos valer por la persona Recurrente</w:t>
      </w:r>
      <w:r w:rsidR="00731FB9" w:rsidRPr="00FB7E68">
        <w:t xml:space="preserve">, </w:t>
      </w:r>
      <w:r w:rsidR="007F4407" w:rsidRPr="00FB7E68">
        <w:rPr>
          <w:rFonts w:eastAsia="Times New Roman" w:cs="Tahoma"/>
          <w:bCs/>
          <w:iCs/>
          <w:lang w:eastAsia="es-ES"/>
        </w:rPr>
        <w:t>por lo que, en principio es necesario contextualizar la solicitud de información</w:t>
      </w:r>
      <w:r w:rsidR="00A6674B" w:rsidRPr="00FB7E68">
        <w:rPr>
          <w:rFonts w:eastAsia="Times New Roman" w:cs="Tahoma"/>
          <w:bCs/>
          <w:iCs/>
          <w:lang w:eastAsia="es-ES"/>
        </w:rPr>
        <w:t>.</w:t>
      </w:r>
    </w:p>
    <w:p w14:paraId="5002B3BA" w14:textId="77777777" w:rsidR="00C41F34" w:rsidRPr="00FB7E68" w:rsidRDefault="00C41F34" w:rsidP="001162C4">
      <w:pPr>
        <w:spacing w:after="0" w:line="360" w:lineRule="auto"/>
        <w:rPr>
          <w:rFonts w:eastAsia="Times New Roman" w:cs="Tahoma"/>
          <w:bCs/>
          <w:iCs/>
          <w:lang w:eastAsia="es-ES"/>
        </w:rPr>
      </w:pPr>
    </w:p>
    <w:p w14:paraId="411D26CC" w14:textId="77777777" w:rsidR="00973A33" w:rsidRPr="00FB7E68" w:rsidRDefault="00973A33" w:rsidP="00973A33">
      <w:pPr>
        <w:tabs>
          <w:tab w:val="left" w:pos="4962"/>
        </w:tabs>
        <w:spacing w:after="0" w:line="360" w:lineRule="auto"/>
        <w:rPr>
          <w:rFonts w:eastAsia="Calibri" w:cs="Tahoma"/>
        </w:rPr>
      </w:pPr>
      <w:r w:rsidRPr="00FB7E68">
        <w:rPr>
          <w:rFonts w:eastAsia="Calibri" w:cs="Tahoma"/>
        </w:rPr>
        <w:t>Al respecto, es necesario traer a colación la Guía Técnica 9 “La Administración del Personal Municipal”, define a los servidores públicos, como todas aquellas personas que prestan su trabajo al servicio del municipio, conformado por las autoridades, funcionarios (</w:t>
      </w:r>
      <w:proofErr w:type="gramStart"/>
      <w:r w:rsidRPr="00FB7E68">
        <w:rPr>
          <w:rFonts w:eastAsia="Calibri" w:cs="Tahoma"/>
        </w:rPr>
        <w:t>Secretario Directores</w:t>
      </w:r>
      <w:proofErr w:type="gramEnd"/>
      <w:r w:rsidRPr="00FB7E68">
        <w:rPr>
          <w:rFonts w:eastAsia="Calibri" w:cs="Tahoma"/>
        </w:rPr>
        <w:t xml:space="preserve">, Tesoreros, Contralores y </w:t>
      </w:r>
      <w:proofErr w:type="gramStart"/>
      <w:r w:rsidRPr="00FB7E68">
        <w:rPr>
          <w:rFonts w:eastAsia="Calibri" w:cs="Tahoma"/>
        </w:rPr>
        <w:t>Jefes</w:t>
      </w:r>
      <w:proofErr w:type="gramEnd"/>
      <w:r w:rsidRPr="00FB7E68">
        <w:rPr>
          <w:rFonts w:eastAsia="Calibri" w:cs="Tahoma"/>
        </w:rPr>
        <w:t xml:space="preserve"> de Departamento) y empleados (puestos administrativos y técnicos).</w:t>
      </w:r>
    </w:p>
    <w:p w14:paraId="16663D9F" w14:textId="77777777" w:rsidR="00973A33" w:rsidRPr="00FB7E68" w:rsidRDefault="00973A33" w:rsidP="00973A33">
      <w:pPr>
        <w:tabs>
          <w:tab w:val="left" w:pos="4962"/>
        </w:tabs>
        <w:spacing w:after="0" w:line="360" w:lineRule="auto"/>
        <w:rPr>
          <w:rFonts w:eastAsia="Calibri" w:cs="Tahoma"/>
        </w:rPr>
      </w:pPr>
    </w:p>
    <w:p w14:paraId="6B56CA9C" w14:textId="77777777" w:rsidR="00973A33" w:rsidRPr="00FB7E68" w:rsidRDefault="00973A33" w:rsidP="00973A33">
      <w:pPr>
        <w:tabs>
          <w:tab w:val="left" w:pos="4962"/>
        </w:tabs>
        <w:spacing w:after="0" w:line="360" w:lineRule="auto"/>
        <w:rPr>
          <w:rFonts w:eastAsia="Calibri" w:cs="Tahoma"/>
        </w:rPr>
      </w:pPr>
      <w:r w:rsidRPr="00FB7E68">
        <w:rPr>
          <w:rFonts w:eastAsia="Calibri" w:cs="Tahoma"/>
        </w:rPr>
        <w:t xml:space="preserve">En ese orden de ideas,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w:t>
      </w:r>
      <w:r w:rsidRPr="00FB7E68">
        <w:rPr>
          <w:rFonts w:eastAsia="Calibri" w:cs="Tahoma"/>
        </w:rPr>
        <w:lastRenderedPageBreak/>
        <w:t>del Estado Libre y Soberano de México, precisa que son servidores públicos a todas las personas que desempeñen un empleo, cargo o comisión en los Municipios.</w:t>
      </w:r>
    </w:p>
    <w:p w14:paraId="7BA7B84E" w14:textId="77777777" w:rsidR="00973A33" w:rsidRPr="00FB7E68" w:rsidRDefault="00973A33" w:rsidP="00973A33">
      <w:pPr>
        <w:tabs>
          <w:tab w:val="left" w:pos="4962"/>
        </w:tabs>
        <w:spacing w:after="0" w:line="360" w:lineRule="auto"/>
        <w:rPr>
          <w:rFonts w:eastAsia="Calibri" w:cs="Tahoma"/>
        </w:rPr>
      </w:pPr>
    </w:p>
    <w:p w14:paraId="6C568F6E" w14:textId="77777777" w:rsidR="00973A33" w:rsidRPr="00FB7E68" w:rsidRDefault="00973A33" w:rsidP="00973A33">
      <w:pPr>
        <w:tabs>
          <w:tab w:val="left" w:pos="4962"/>
        </w:tabs>
        <w:spacing w:after="0" w:line="360" w:lineRule="auto"/>
        <w:rPr>
          <w:rFonts w:eastAsia="Calibri" w:cs="Tahoma"/>
        </w:rPr>
      </w:pPr>
      <w:r w:rsidRPr="00FB7E68">
        <w:rPr>
          <w:rFonts w:eastAsia="Calibri" w:cs="Tahoma"/>
        </w:rPr>
        <w:t>Además,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4FC95BFB" w14:textId="77777777" w:rsidR="00973A33" w:rsidRPr="00FB7E68" w:rsidRDefault="00973A33" w:rsidP="00973A33">
      <w:pPr>
        <w:tabs>
          <w:tab w:val="left" w:pos="4962"/>
        </w:tabs>
        <w:spacing w:after="0" w:line="360" w:lineRule="auto"/>
        <w:rPr>
          <w:rFonts w:eastAsia="Calibri" w:cs="Tahoma"/>
        </w:rPr>
      </w:pPr>
    </w:p>
    <w:p w14:paraId="7ADA911C" w14:textId="77777777" w:rsidR="00973A33" w:rsidRPr="00FB7E68" w:rsidRDefault="00973A33" w:rsidP="00973A33">
      <w:pPr>
        <w:tabs>
          <w:tab w:val="left" w:pos="4962"/>
        </w:tabs>
        <w:spacing w:after="0" w:line="360" w:lineRule="auto"/>
        <w:rPr>
          <w:rFonts w:eastAsia="Calibri" w:cs="Tahoma"/>
        </w:rPr>
      </w:pPr>
      <w:r w:rsidRPr="00FB7E68">
        <w:rPr>
          <w:rFonts w:eastAsia="Calibri" w:cs="Tahoma"/>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DFDD2B6" w14:textId="77777777" w:rsidR="00973A33" w:rsidRPr="00FB7E68" w:rsidRDefault="00973A33" w:rsidP="00973A33">
      <w:pPr>
        <w:tabs>
          <w:tab w:val="left" w:pos="4962"/>
        </w:tabs>
        <w:spacing w:after="0" w:line="360" w:lineRule="auto"/>
        <w:rPr>
          <w:rFonts w:eastAsia="Calibri" w:cs="Tahoma"/>
        </w:rPr>
      </w:pPr>
    </w:p>
    <w:p w14:paraId="7D896D8D" w14:textId="77777777" w:rsidR="00973A33" w:rsidRPr="00FB7E68" w:rsidRDefault="00973A33" w:rsidP="00973A33">
      <w:pPr>
        <w:tabs>
          <w:tab w:val="left" w:pos="4962"/>
        </w:tabs>
        <w:spacing w:after="0" w:line="360" w:lineRule="auto"/>
        <w:rPr>
          <w:rFonts w:eastAsia="Calibri" w:cs="Tahoma"/>
        </w:rPr>
      </w:pPr>
      <w:r w:rsidRPr="00FB7E68">
        <w:rPr>
          <w:rFonts w:eastAsia="Calibri" w:cs="Tahoma"/>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1C3CA778" w14:textId="77777777" w:rsidR="00973A33" w:rsidRPr="00FB7E68" w:rsidRDefault="00973A33" w:rsidP="00973A33">
      <w:pPr>
        <w:tabs>
          <w:tab w:val="left" w:pos="4962"/>
        </w:tabs>
        <w:spacing w:after="0" w:line="360" w:lineRule="auto"/>
        <w:rPr>
          <w:rFonts w:eastAsia="Calibri" w:cs="Tahoma"/>
        </w:rPr>
      </w:pPr>
    </w:p>
    <w:p w14:paraId="5DF17A23" w14:textId="77777777" w:rsidR="00973A33" w:rsidRPr="00FB7E68" w:rsidRDefault="00973A33" w:rsidP="00973A33">
      <w:pPr>
        <w:tabs>
          <w:tab w:val="left" w:pos="4962"/>
        </w:tabs>
        <w:spacing w:after="0" w:line="360" w:lineRule="auto"/>
        <w:rPr>
          <w:rFonts w:eastAsia="Calibri" w:cs="Tahoma"/>
        </w:rPr>
      </w:pPr>
      <w:r w:rsidRPr="00FB7E68">
        <w:rPr>
          <w:rFonts w:eastAsia="Calibri" w:cs="Tahoma"/>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13E77EDD" w14:textId="77777777" w:rsidR="00973A33" w:rsidRPr="00FB7E68" w:rsidRDefault="00973A33" w:rsidP="00973A33">
      <w:pPr>
        <w:tabs>
          <w:tab w:val="left" w:pos="4962"/>
        </w:tabs>
        <w:spacing w:after="0" w:line="360" w:lineRule="auto"/>
        <w:rPr>
          <w:rFonts w:eastAsia="Calibri" w:cs="Tahoma"/>
        </w:rPr>
      </w:pPr>
    </w:p>
    <w:p w14:paraId="32FA9836" w14:textId="77777777" w:rsidR="00973A33" w:rsidRPr="00FB7E68" w:rsidRDefault="00973A33" w:rsidP="00973A33">
      <w:pPr>
        <w:tabs>
          <w:tab w:val="left" w:pos="4962"/>
        </w:tabs>
        <w:spacing w:after="0" w:line="360" w:lineRule="auto"/>
        <w:rPr>
          <w:rFonts w:eastAsia="Calibri" w:cs="Tahoma"/>
        </w:rPr>
      </w:pPr>
      <w:r w:rsidRPr="00FB7E68">
        <w:rPr>
          <w:rFonts w:eastAsia="Calibri" w:cs="Tahoma"/>
        </w:rPr>
        <w:t xml:space="preserve">Además, el Anexo IV.2 Clasificación por objeto del gasto, del Manual para la Planeación, Programación y Presupuesto de Egresos Municipal para el ejercicio fiscal dos mil veinticinco, </w:t>
      </w:r>
      <w:r w:rsidRPr="00FB7E68">
        <w:rPr>
          <w:rFonts w:eastAsia="Calibri" w:cs="Tahoma"/>
        </w:rPr>
        <w:lastRenderedPageBreak/>
        <w:t>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aguinaldo, obligaciones laborales, entre otras.</w:t>
      </w:r>
    </w:p>
    <w:p w14:paraId="52AE24BC" w14:textId="77777777" w:rsidR="00973A33" w:rsidRPr="00FB7E68" w:rsidRDefault="00973A33" w:rsidP="00973A33">
      <w:pPr>
        <w:tabs>
          <w:tab w:val="left" w:pos="4962"/>
        </w:tabs>
        <w:spacing w:after="0" w:line="360" w:lineRule="auto"/>
        <w:rPr>
          <w:rFonts w:eastAsia="Calibri" w:cs="Tahoma"/>
        </w:rPr>
      </w:pPr>
    </w:p>
    <w:p w14:paraId="7DC42752" w14:textId="77777777" w:rsidR="00973A33" w:rsidRPr="00FB7E68" w:rsidRDefault="00973A33" w:rsidP="00973A33">
      <w:pPr>
        <w:tabs>
          <w:tab w:val="left" w:pos="4962"/>
        </w:tabs>
        <w:spacing w:after="0" w:line="360" w:lineRule="auto"/>
        <w:rPr>
          <w:rFonts w:eastAsia="Calibri" w:cs="Tahoma"/>
        </w:rPr>
      </w:pPr>
      <w:r w:rsidRPr="00FB7E68">
        <w:rPr>
          <w:rFonts w:eastAsia="Calibri" w:cs="Tahoma"/>
        </w:rPr>
        <w:t xml:space="preserve">Ahora bien, de conformidad con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69256BA0" w14:textId="77777777" w:rsidR="00973A33" w:rsidRPr="00FB7E68" w:rsidRDefault="00973A33" w:rsidP="00973A33">
      <w:pPr>
        <w:tabs>
          <w:tab w:val="left" w:pos="4962"/>
        </w:tabs>
        <w:spacing w:after="0" w:line="360" w:lineRule="auto"/>
        <w:rPr>
          <w:rFonts w:eastAsia="Calibri" w:cs="Tahoma"/>
        </w:rPr>
      </w:pPr>
    </w:p>
    <w:p w14:paraId="5B9EB642" w14:textId="77777777" w:rsidR="00973A33" w:rsidRPr="00FB7E68" w:rsidRDefault="00973A33" w:rsidP="00973A33">
      <w:pPr>
        <w:tabs>
          <w:tab w:val="left" w:pos="4962"/>
        </w:tabs>
        <w:spacing w:after="0" w:line="360" w:lineRule="auto"/>
        <w:rPr>
          <w:rFonts w:eastAsia="Calibri" w:cs="Tahoma"/>
        </w:rPr>
      </w:pPr>
      <w:r w:rsidRPr="00FB7E68">
        <w:rPr>
          <w:rFonts w:eastAsia="Calibri" w:cs="Tahoma"/>
        </w:rPr>
        <w:t>Asimismo, el Glosario localizado en la página de Transparencia Presupuestaria de la Secretaría de Hacienda y Crédito Público (</w:t>
      </w:r>
      <w:hyperlink r:id="rId11" w:history="1">
        <w:r w:rsidRPr="00FB7E68">
          <w:rPr>
            <w:rFonts w:eastAsia="Calibri" w:cs="Tahoma"/>
            <w:color w:val="0000FF" w:themeColor="hyperlink"/>
            <w:u w:val="single"/>
          </w:rPr>
          <w:t>http://www.transparenciapresupuestaria.gob.mx/es/PTP/Glosario</w:t>
        </w:r>
      </w:hyperlink>
      <w:r w:rsidRPr="00FB7E68">
        <w:rPr>
          <w:rFonts w:eastAsia="Calibri" w:cs="Tahoma"/>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72C2F9B6" w14:textId="77777777" w:rsidR="00973A33" w:rsidRPr="00FB7E68" w:rsidRDefault="00973A33" w:rsidP="00973A33">
      <w:pPr>
        <w:tabs>
          <w:tab w:val="left" w:pos="4962"/>
        </w:tabs>
        <w:spacing w:after="0" w:line="360" w:lineRule="auto"/>
        <w:rPr>
          <w:rFonts w:eastAsia="Calibri" w:cs="Tahoma"/>
        </w:rPr>
      </w:pPr>
    </w:p>
    <w:p w14:paraId="3CF29EFF" w14:textId="77777777" w:rsidR="00973A33" w:rsidRPr="00FB7E68" w:rsidRDefault="00973A33" w:rsidP="00973A33">
      <w:pPr>
        <w:tabs>
          <w:tab w:val="left" w:pos="4962"/>
        </w:tabs>
        <w:spacing w:after="0" w:line="360" w:lineRule="auto"/>
        <w:rPr>
          <w:rFonts w:eastAsia="Calibri" w:cs="Tahoma"/>
        </w:rPr>
      </w:pPr>
      <w:r w:rsidRPr="00FB7E68">
        <w:rPr>
          <w:rFonts w:eastAsia="Calibri" w:cs="Tahoma"/>
        </w:rPr>
        <w:t>De la misma manera, el Glosario de términos más usuales en la Administración Pública Federal, emitido por la Secretaría de Hacienda y Crédito Público (</w:t>
      </w:r>
      <w:hyperlink r:id="rId12" w:history="1">
        <w:r w:rsidRPr="00FB7E68">
          <w:rPr>
            <w:rFonts w:eastAsia="Calibri" w:cs="Tahoma"/>
            <w:color w:val="0000FF" w:themeColor="hyperlink"/>
            <w:u w:val="single"/>
          </w:rPr>
          <w:t>http://www.apartados.hacienda.gob.mx/contabilidad/documentos/informe_cuenta/1998/cuenta_pública/Glosario/n.htm</w:t>
        </w:r>
      </w:hyperlink>
      <w:r w:rsidRPr="00FB7E68">
        <w:rPr>
          <w:rFonts w:eastAsia="Calibri" w:cs="Tahoma"/>
        </w:rPr>
        <w:t xml:space="preserve">), establece que la nómina es un listado general de los </w:t>
      </w:r>
      <w:r w:rsidRPr="00FB7E68">
        <w:rPr>
          <w:rFonts w:eastAsia="Calibri" w:cs="Tahoma"/>
        </w:rPr>
        <w:lastRenderedPageBreak/>
        <w:t>trabajadores de una institución, en el cual se asientan las percepciones brutas, deducciones y alcance neto de las mismas. Conforme a lo anterior, se puede advertir que la nómina se puede referir a lo siguiente:</w:t>
      </w:r>
    </w:p>
    <w:p w14:paraId="42CA7B6C" w14:textId="77777777" w:rsidR="00973A33" w:rsidRPr="00FB7E68" w:rsidRDefault="00973A33" w:rsidP="00973A33">
      <w:pPr>
        <w:tabs>
          <w:tab w:val="left" w:pos="4962"/>
        </w:tabs>
        <w:spacing w:after="0" w:line="360" w:lineRule="auto"/>
        <w:rPr>
          <w:rFonts w:eastAsia="Calibri" w:cs="Tahoma"/>
        </w:rPr>
      </w:pPr>
    </w:p>
    <w:p w14:paraId="6CEDAF74" w14:textId="77777777" w:rsidR="00973A33" w:rsidRPr="00FB7E68" w:rsidRDefault="00973A33" w:rsidP="00973A33">
      <w:pPr>
        <w:numPr>
          <w:ilvl w:val="0"/>
          <w:numId w:val="20"/>
        </w:numPr>
        <w:tabs>
          <w:tab w:val="left" w:pos="4962"/>
        </w:tabs>
        <w:spacing w:after="0" w:line="360" w:lineRule="auto"/>
        <w:contextualSpacing/>
        <w:rPr>
          <w:rFonts w:eastAsia="Calibri" w:cs="Tahoma"/>
          <w:szCs w:val="24"/>
          <w:lang w:eastAsia="es-ES"/>
        </w:rPr>
      </w:pPr>
      <w:r w:rsidRPr="00FB7E68">
        <w:rPr>
          <w:rFonts w:eastAsia="Calibri" w:cs="Tahoma"/>
          <w:szCs w:val="24"/>
          <w:lang w:eastAsia="es-ES"/>
        </w:rPr>
        <w:t xml:space="preserve">Relación de trabajadores con las percepciones monetarias de cada uno. </w:t>
      </w:r>
    </w:p>
    <w:p w14:paraId="7570F172" w14:textId="77777777" w:rsidR="00973A33" w:rsidRPr="00FB7E68" w:rsidRDefault="00973A33" w:rsidP="00973A33">
      <w:pPr>
        <w:numPr>
          <w:ilvl w:val="0"/>
          <w:numId w:val="20"/>
        </w:numPr>
        <w:tabs>
          <w:tab w:val="left" w:pos="4962"/>
        </w:tabs>
        <w:spacing w:after="0" w:line="360" w:lineRule="auto"/>
        <w:contextualSpacing/>
        <w:rPr>
          <w:rFonts w:eastAsia="Calibri" w:cs="Tahoma"/>
          <w:szCs w:val="24"/>
          <w:lang w:eastAsia="es-ES"/>
        </w:rPr>
      </w:pPr>
      <w:r w:rsidRPr="00FB7E68">
        <w:rPr>
          <w:rFonts w:eastAsia="Calibri" w:cs="Tahoma"/>
          <w:szCs w:val="24"/>
          <w:lang w:eastAsia="es-ES"/>
        </w:rPr>
        <w:t xml:space="preserve">Recibo individual que contiene las prestaciones y deducciones de un trabajador. </w:t>
      </w:r>
    </w:p>
    <w:p w14:paraId="08EB8972" w14:textId="77777777" w:rsidR="00973A33" w:rsidRPr="00FB7E68" w:rsidRDefault="00973A33" w:rsidP="00973A33">
      <w:pPr>
        <w:numPr>
          <w:ilvl w:val="0"/>
          <w:numId w:val="20"/>
        </w:numPr>
        <w:tabs>
          <w:tab w:val="left" w:pos="4962"/>
        </w:tabs>
        <w:spacing w:after="0" w:line="360" w:lineRule="auto"/>
        <w:contextualSpacing/>
        <w:rPr>
          <w:rFonts w:eastAsia="Calibri" w:cs="Tahoma"/>
          <w:szCs w:val="24"/>
          <w:lang w:eastAsia="es-ES"/>
        </w:rPr>
      </w:pPr>
      <w:r w:rsidRPr="00FB7E68">
        <w:rPr>
          <w:rFonts w:eastAsia="Calibri" w:cs="Tahoma"/>
          <w:szCs w:val="24"/>
          <w:lang w:eastAsia="es-ES"/>
        </w:rPr>
        <w:t>Listado general de los servidores públicos de una institución o dependencia, en el cual se asientan las percepciones brutas, deducciones y alcance neto de las mismas.</w:t>
      </w:r>
    </w:p>
    <w:p w14:paraId="4F048499" w14:textId="77777777" w:rsidR="00973A33" w:rsidRPr="00FB7E68" w:rsidRDefault="00973A33" w:rsidP="00973A33">
      <w:pPr>
        <w:tabs>
          <w:tab w:val="left" w:pos="4962"/>
        </w:tabs>
        <w:spacing w:after="0" w:line="360" w:lineRule="auto"/>
        <w:rPr>
          <w:rFonts w:eastAsia="Calibri" w:cs="Tahoma"/>
        </w:rPr>
      </w:pPr>
    </w:p>
    <w:p w14:paraId="1225F8BD" w14:textId="77777777" w:rsidR="00973A33" w:rsidRPr="00FB7E68" w:rsidRDefault="00973A33" w:rsidP="001162C4">
      <w:pPr>
        <w:spacing w:after="0" w:line="360" w:lineRule="auto"/>
        <w:rPr>
          <w:rFonts w:eastAsia="Times New Roman" w:cs="Tahoma"/>
          <w:bCs/>
          <w:iCs/>
          <w:lang w:eastAsia="es-ES"/>
        </w:rPr>
      </w:pPr>
      <w:r w:rsidRPr="00FB7E68">
        <w:rPr>
          <w:rFonts w:eastAsia="Times New Roman" w:cs="Tahoma"/>
          <w:bCs/>
          <w:iCs/>
          <w:lang w:eastAsia="es-ES"/>
        </w:rPr>
        <w:t>Ahora bien, de conformidad con el artículo 39, del Bando Municipal de Tecámac, dos mil veinticinco, para el cumplimiento de sus funciones la Presidencia Municipal se auxiliará de las dependencias siguientes:</w:t>
      </w:r>
    </w:p>
    <w:p w14:paraId="5E1E6965" w14:textId="77777777" w:rsidR="00973A33" w:rsidRPr="00FB7E68" w:rsidRDefault="00973A33" w:rsidP="001162C4">
      <w:pPr>
        <w:spacing w:after="0" w:line="360" w:lineRule="auto"/>
        <w:rPr>
          <w:rFonts w:eastAsia="Times New Roman" w:cs="Tahoma"/>
          <w:bCs/>
          <w:iCs/>
          <w:lang w:eastAsia="es-ES"/>
        </w:rPr>
      </w:pPr>
    </w:p>
    <w:p w14:paraId="684D1D48" w14:textId="77777777" w:rsidR="00973A33" w:rsidRPr="00FB7E68" w:rsidRDefault="00973A33" w:rsidP="00973A33">
      <w:pPr>
        <w:pStyle w:val="Prrafodelista"/>
        <w:numPr>
          <w:ilvl w:val="0"/>
          <w:numId w:val="21"/>
        </w:numPr>
        <w:spacing w:line="360" w:lineRule="auto"/>
        <w:rPr>
          <w:rFonts w:cs="Tahoma"/>
          <w:bCs/>
          <w:iCs/>
        </w:rPr>
      </w:pPr>
      <w:r w:rsidRPr="00FB7E68">
        <w:rPr>
          <w:rFonts w:cs="Tahoma"/>
          <w:bCs/>
          <w:iCs/>
        </w:rPr>
        <w:t xml:space="preserve">Presidencia Municipal; </w:t>
      </w:r>
    </w:p>
    <w:p w14:paraId="65C9313D" w14:textId="77777777" w:rsidR="00973A33" w:rsidRPr="00FB7E68" w:rsidRDefault="00973A33" w:rsidP="00973A33">
      <w:pPr>
        <w:pStyle w:val="Prrafodelista"/>
        <w:numPr>
          <w:ilvl w:val="0"/>
          <w:numId w:val="21"/>
        </w:numPr>
        <w:spacing w:line="360" w:lineRule="auto"/>
        <w:rPr>
          <w:rFonts w:cs="Tahoma"/>
          <w:bCs/>
          <w:iCs/>
        </w:rPr>
      </w:pPr>
      <w:r w:rsidRPr="00FB7E68">
        <w:rPr>
          <w:rFonts w:cs="Tahoma"/>
          <w:bCs/>
          <w:iCs/>
        </w:rPr>
        <w:t xml:space="preserve">Secretaría del Ayuntamiento; </w:t>
      </w:r>
    </w:p>
    <w:p w14:paraId="1ED66F87" w14:textId="77777777" w:rsidR="00973A33" w:rsidRPr="00FB7E68" w:rsidRDefault="00973A33" w:rsidP="00973A33">
      <w:pPr>
        <w:pStyle w:val="Prrafodelista"/>
        <w:numPr>
          <w:ilvl w:val="0"/>
          <w:numId w:val="21"/>
        </w:numPr>
        <w:spacing w:line="360" w:lineRule="auto"/>
        <w:rPr>
          <w:rFonts w:cs="Tahoma"/>
          <w:bCs/>
          <w:iCs/>
        </w:rPr>
      </w:pPr>
      <w:r w:rsidRPr="00FB7E68">
        <w:rPr>
          <w:rFonts w:cs="Tahoma"/>
          <w:bCs/>
          <w:iCs/>
        </w:rPr>
        <w:t xml:space="preserve">Tesorería Municipal; </w:t>
      </w:r>
    </w:p>
    <w:p w14:paraId="58DFF103" w14:textId="77777777" w:rsidR="00973A33" w:rsidRPr="00FB7E68" w:rsidRDefault="00973A33" w:rsidP="00973A33">
      <w:pPr>
        <w:pStyle w:val="Prrafodelista"/>
        <w:numPr>
          <w:ilvl w:val="0"/>
          <w:numId w:val="21"/>
        </w:numPr>
        <w:spacing w:line="360" w:lineRule="auto"/>
        <w:rPr>
          <w:rFonts w:cs="Tahoma"/>
          <w:bCs/>
          <w:iCs/>
        </w:rPr>
      </w:pPr>
      <w:r w:rsidRPr="00FB7E68">
        <w:rPr>
          <w:rFonts w:cs="Tahoma"/>
          <w:bCs/>
          <w:iCs/>
        </w:rPr>
        <w:t xml:space="preserve">Órgano Interno de Control de la Administración Pública Municipal Centralizada; </w:t>
      </w:r>
    </w:p>
    <w:p w14:paraId="0263CAEE" w14:textId="77777777" w:rsidR="00EE0F64" w:rsidRPr="00FB7E68" w:rsidRDefault="00973A33" w:rsidP="00973A33">
      <w:pPr>
        <w:pStyle w:val="Prrafodelista"/>
        <w:numPr>
          <w:ilvl w:val="0"/>
          <w:numId w:val="21"/>
        </w:numPr>
        <w:spacing w:line="360" w:lineRule="auto"/>
        <w:rPr>
          <w:rFonts w:cs="Tahoma"/>
          <w:bCs/>
          <w:iCs/>
        </w:rPr>
      </w:pPr>
      <w:r w:rsidRPr="00FB7E68">
        <w:rPr>
          <w:rFonts w:cs="Tahoma"/>
          <w:bCs/>
          <w:iCs/>
        </w:rPr>
        <w:t>Órgano Interno de Control de la Administración Pública</w:t>
      </w:r>
      <w:r w:rsidR="00EE0F64" w:rsidRPr="00FB7E68">
        <w:rPr>
          <w:rFonts w:cs="Tahoma"/>
          <w:bCs/>
          <w:iCs/>
        </w:rPr>
        <w:t xml:space="preserve"> Municipal Descentralizada;</w:t>
      </w:r>
    </w:p>
    <w:p w14:paraId="282158B7" w14:textId="77777777" w:rsidR="00EE0F64" w:rsidRPr="00FB7E68" w:rsidRDefault="00973A33" w:rsidP="00973A33">
      <w:pPr>
        <w:pStyle w:val="Prrafodelista"/>
        <w:numPr>
          <w:ilvl w:val="0"/>
          <w:numId w:val="21"/>
        </w:numPr>
        <w:spacing w:line="360" w:lineRule="auto"/>
        <w:rPr>
          <w:rFonts w:cs="Tahoma"/>
          <w:bCs/>
          <w:iCs/>
        </w:rPr>
      </w:pPr>
      <w:r w:rsidRPr="00FB7E68">
        <w:rPr>
          <w:rFonts w:cs="Tahoma"/>
          <w:bCs/>
          <w:iCs/>
        </w:rPr>
        <w:t xml:space="preserve">Dirección </w:t>
      </w:r>
      <w:r w:rsidR="00EE0F64" w:rsidRPr="00FB7E68">
        <w:rPr>
          <w:rFonts w:cs="Tahoma"/>
          <w:bCs/>
          <w:iCs/>
        </w:rPr>
        <w:t xml:space="preserve">General de Obras Públicas; </w:t>
      </w:r>
    </w:p>
    <w:p w14:paraId="2114F21B" w14:textId="77777777" w:rsidR="00EE0F64" w:rsidRPr="00FB7E68" w:rsidRDefault="00973A33" w:rsidP="00973A33">
      <w:pPr>
        <w:pStyle w:val="Prrafodelista"/>
        <w:numPr>
          <w:ilvl w:val="0"/>
          <w:numId w:val="21"/>
        </w:numPr>
        <w:spacing w:line="360" w:lineRule="auto"/>
        <w:rPr>
          <w:rFonts w:cs="Tahoma"/>
          <w:bCs/>
          <w:iCs/>
        </w:rPr>
      </w:pPr>
      <w:r w:rsidRPr="00FB7E68">
        <w:rPr>
          <w:rFonts w:cs="Tahoma"/>
          <w:bCs/>
          <w:iCs/>
        </w:rPr>
        <w:t>Dirección General de Desarrollo</w:t>
      </w:r>
      <w:r w:rsidR="00EE0F64" w:rsidRPr="00FB7E68">
        <w:rPr>
          <w:rFonts w:cs="Tahoma"/>
          <w:bCs/>
          <w:iCs/>
        </w:rPr>
        <w:t xml:space="preserve"> Económico; </w:t>
      </w:r>
    </w:p>
    <w:p w14:paraId="700FB675" w14:textId="77777777" w:rsidR="00EE0F64" w:rsidRPr="00FB7E68" w:rsidRDefault="00EE0F64" w:rsidP="00973A33">
      <w:pPr>
        <w:pStyle w:val="Prrafodelista"/>
        <w:numPr>
          <w:ilvl w:val="0"/>
          <w:numId w:val="21"/>
        </w:numPr>
        <w:spacing w:line="360" w:lineRule="auto"/>
        <w:rPr>
          <w:rFonts w:cs="Tahoma"/>
          <w:bCs/>
          <w:iCs/>
        </w:rPr>
      </w:pPr>
      <w:r w:rsidRPr="00FB7E68">
        <w:rPr>
          <w:rFonts w:cs="Tahoma"/>
          <w:bCs/>
          <w:iCs/>
        </w:rPr>
        <w:t xml:space="preserve">Guardia Civil Tecámac; </w:t>
      </w:r>
    </w:p>
    <w:p w14:paraId="674F7CFC" w14:textId="77777777" w:rsidR="00EE0F64" w:rsidRPr="00FB7E68" w:rsidRDefault="00973A33" w:rsidP="00973A33">
      <w:pPr>
        <w:pStyle w:val="Prrafodelista"/>
        <w:numPr>
          <w:ilvl w:val="0"/>
          <w:numId w:val="21"/>
        </w:numPr>
        <w:spacing w:line="360" w:lineRule="auto"/>
        <w:rPr>
          <w:rFonts w:cs="Tahoma"/>
          <w:bCs/>
          <w:iCs/>
        </w:rPr>
      </w:pPr>
      <w:r w:rsidRPr="00FB7E68">
        <w:rPr>
          <w:rFonts w:cs="Tahoma"/>
          <w:bCs/>
          <w:iCs/>
        </w:rPr>
        <w:t>Dirección General de Ecología y Admini</w:t>
      </w:r>
      <w:r w:rsidR="00EE0F64" w:rsidRPr="00FB7E68">
        <w:rPr>
          <w:rFonts w:cs="Tahoma"/>
          <w:bCs/>
          <w:iCs/>
        </w:rPr>
        <w:t>stración del Medio Ambiente;</w:t>
      </w:r>
    </w:p>
    <w:p w14:paraId="006FBE2B" w14:textId="77777777" w:rsidR="00EE0F64" w:rsidRPr="00FB7E68" w:rsidRDefault="00973A33" w:rsidP="00973A33">
      <w:pPr>
        <w:pStyle w:val="Prrafodelista"/>
        <w:numPr>
          <w:ilvl w:val="0"/>
          <w:numId w:val="21"/>
        </w:numPr>
        <w:spacing w:line="360" w:lineRule="auto"/>
        <w:rPr>
          <w:rFonts w:cs="Tahoma"/>
          <w:bCs/>
          <w:iCs/>
        </w:rPr>
      </w:pPr>
      <w:r w:rsidRPr="00FB7E68">
        <w:rPr>
          <w:rFonts w:cs="Tahoma"/>
          <w:bCs/>
          <w:iCs/>
        </w:rPr>
        <w:t>Dirección General de Planeación, Administración y</w:t>
      </w:r>
      <w:r w:rsidR="00EE0F64" w:rsidRPr="00FB7E68">
        <w:rPr>
          <w:rFonts w:cs="Tahoma"/>
          <w:bCs/>
          <w:iCs/>
        </w:rPr>
        <w:t xml:space="preserve"> Regulación del Territorio; </w:t>
      </w:r>
    </w:p>
    <w:p w14:paraId="77664D9F" w14:textId="59DF20AE" w:rsidR="00FB628E" w:rsidRPr="00FB7E68" w:rsidRDefault="00973A33" w:rsidP="00973A33">
      <w:pPr>
        <w:pStyle w:val="Prrafodelista"/>
        <w:numPr>
          <w:ilvl w:val="0"/>
          <w:numId w:val="21"/>
        </w:numPr>
        <w:spacing w:line="360" w:lineRule="auto"/>
        <w:rPr>
          <w:rFonts w:cs="Tahoma"/>
          <w:bCs/>
          <w:iCs/>
        </w:rPr>
      </w:pPr>
      <w:r w:rsidRPr="00FB7E68">
        <w:rPr>
          <w:rFonts w:cs="Tahoma"/>
          <w:bCs/>
          <w:iCs/>
        </w:rPr>
        <w:t>Dirección General Jurídica y Consultiva.</w:t>
      </w:r>
    </w:p>
    <w:p w14:paraId="2ABCCF5D" w14:textId="77777777" w:rsidR="00FB628E" w:rsidRPr="00FB7E68" w:rsidRDefault="00FB628E" w:rsidP="001162C4">
      <w:pPr>
        <w:spacing w:after="0" w:line="360" w:lineRule="auto"/>
        <w:rPr>
          <w:rFonts w:eastAsia="Times New Roman" w:cs="Tahoma"/>
          <w:bCs/>
          <w:iCs/>
          <w:lang w:eastAsia="es-ES"/>
        </w:rPr>
      </w:pPr>
    </w:p>
    <w:p w14:paraId="286BED57" w14:textId="19A78EFA" w:rsidR="00FB628E" w:rsidRPr="00FB7E68" w:rsidRDefault="00EE0F64" w:rsidP="001162C4">
      <w:pPr>
        <w:spacing w:after="0" w:line="360" w:lineRule="auto"/>
        <w:rPr>
          <w:rFonts w:eastAsia="Times New Roman" w:cs="Tahoma"/>
          <w:bCs/>
          <w:iCs/>
          <w:lang w:eastAsia="es-ES"/>
        </w:rPr>
      </w:pPr>
      <w:r w:rsidRPr="00FB7E68">
        <w:rPr>
          <w:rFonts w:eastAsia="Times New Roman" w:cs="Tahoma"/>
          <w:bCs/>
          <w:iCs/>
          <w:lang w:eastAsia="es-ES"/>
        </w:rPr>
        <w:lastRenderedPageBreak/>
        <w:t xml:space="preserve">En ese sentido, el artículo 42, del Bando mencionado, en relación con los diversos 2.176, 2.183 y 2.194, del Código Reglamentario Municipal, vigente, establecen que, la Tesorería Municipal es la encargada de auxiliar a la Presidencia Municipal en la adecuada recaudación y administración de la hacienda pública y a través de la </w:t>
      </w:r>
      <w:proofErr w:type="spellStart"/>
      <w:r w:rsidRPr="00FB7E68">
        <w:rPr>
          <w:rFonts w:eastAsia="Times New Roman" w:cs="Tahoma"/>
          <w:bCs/>
          <w:iCs/>
          <w:lang w:eastAsia="es-ES"/>
        </w:rPr>
        <w:t>Subtesorería</w:t>
      </w:r>
      <w:proofErr w:type="spellEnd"/>
      <w:r w:rsidRPr="00FB7E68">
        <w:rPr>
          <w:rFonts w:eastAsia="Times New Roman" w:cs="Tahoma"/>
          <w:bCs/>
          <w:iCs/>
          <w:lang w:eastAsia="es-ES"/>
        </w:rPr>
        <w:t xml:space="preserve"> de Egresos y la Subdirección de Recursos Humanos se encargará de elaborar las nóminas quincenales y pagar oportunamente las remuneraciones del personal.</w:t>
      </w:r>
    </w:p>
    <w:p w14:paraId="72FCF3DB" w14:textId="77777777" w:rsidR="009E6A6D" w:rsidRPr="00FB7E68" w:rsidRDefault="009E6A6D" w:rsidP="00EC4902">
      <w:pPr>
        <w:spacing w:after="0" w:line="360" w:lineRule="auto"/>
        <w:rPr>
          <w:rFonts w:eastAsia="Times New Roman" w:cs="Tahoma"/>
          <w:bCs/>
          <w:iCs/>
          <w:lang w:eastAsia="es-ES"/>
        </w:rPr>
      </w:pPr>
    </w:p>
    <w:p w14:paraId="4C24C384" w14:textId="7BC0C454" w:rsidR="00EE0F64" w:rsidRPr="00FB7E68" w:rsidRDefault="00EC4902" w:rsidP="001162C4">
      <w:pPr>
        <w:spacing w:after="0" w:line="360" w:lineRule="auto"/>
        <w:rPr>
          <w:rFonts w:eastAsia="Times New Roman" w:cs="Tahoma"/>
          <w:bCs/>
          <w:iCs/>
          <w:lang w:eastAsia="es-ES"/>
        </w:rPr>
      </w:pPr>
      <w:r w:rsidRPr="00FB7E68">
        <w:rPr>
          <w:rFonts w:eastAsia="Times New Roman" w:cs="Tahoma"/>
          <w:bCs/>
          <w:iCs/>
          <w:lang w:eastAsia="es-ES"/>
        </w:rPr>
        <w:t xml:space="preserve">Conforme a lo anterior, se logra vislumbrar que </w:t>
      </w:r>
      <w:r w:rsidR="00EE0F64" w:rsidRPr="00FB7E68">
        <w:rPr>
          <w:rFonts w:eastAsia="Times New Roman" w:cs="Tahoma"/>
          <w:bCs/>
          <w:iCs/>
          <w:lang w:eastAsia="es-ES"/>
        </w:rPr>
        <w:t>la pretensión de la persona Recurrente es obtener, el documento donde conste el sueldo bruto y neto de la primera y segunda quincena de agosto de dos mil veinticinco, conforme a lo siguiente:</w:t>
      </w:r>
    </w:p>
    <w:p w14:paraId="2D38D7AF" w14:textId="77777777" w:rsidR="00EE0F64" w:rsidRPr="00FB7E68" w:rsidRDefault="00EE0F64" w:rsidP="001162C4">
      <w:pPr>
        <w:spacing w:after="0" w:line="360" w:lineRule="auto"/>
        <w:rPr>
          <w:rFonts w:eastAsia="Times New Roman" w:cs="Tahoma"/>
          <w:bCs/>
          <w:iCs/>
          <w:lang w:eastAsia="es-ES"/>
        </w:rPr>
      </w:pPr>
    </w:p>
    <w:p w14:paraId="6855E03E" w14:textId="2C24EAD1" w:rsidR="00BD3C86" w:rsidRPr="00FB7E68" w:rsidRDefault="00BD3C86" w:rsidP="00BD3C86">
      <w:pPr>
        <w:pStyle w:val="Prrafodelista"/>
        <w:numPr>
          <w:ilvl w:val="0"/>
          <w:numId w:val="22"/>
        </w:numPr>
        <w:spacing w:line="360" w:lineRule="auto"/>
        <w:rPr>
          <w:rFonts w:cs="Tahoma"/>
        </w:rPr>
      </w:pPr>
      <w:r w:rsidRPr="00FB7E68">
        <w:rPr>
          <w:rFonts w:cs="Tahoma"/>
        </w:rPr>
        <w:t>De todo el personal de Presidencia, Unidad de Planeación</w:t>
      </w:r>
      <w:r w:rsidR="002754BD" w:rsidRPr="00FB7E68">
        <w:rPr>
          <w:rFonts w:cs="Tahoma"/>
        </w:rPr>
        <w:t xml:space="preserve"> o similar</w:t>
      </w:r>
      <w:r w:rsidRPr="00FB7E68">
        <w:rPr>
          <w:rFonts w:cs="Tahoma"/>
        </w:rPr>
        <w:t>, Tesorería</w:t>
      </w:r>
      <w:r w:rsidR="002754BD" w:rsidRPr="00FB7E68">
        <w:rPr>
          <w:rFonts w:cs="Tahoma"/>
        </w:rPr>
        <w:t xml:space="preserve"> Municipal</w:t>
      </w:r>
      <w:r w:rsidRPr="00FB7E68">
        <w:rPr>
          <w:rFonts w:cs="Tahoma"/>
        </w:rPr>
        <w:t xml:space="preserve">, </w:t>
      </w:r>
      <w:r w:rsidR="002754BD" w:rsidRPr="00FB7E68">
        <w:rPr>
          <w:rFonts w:cs="Tahoma"/>
        </w:rPr>
        <w:t xml:space="preserve">Dirección de </w:t>
      </w:r>
      <w:r w:rsidRPr="00FB7E68">
        <w:rPr>
          <w:rFonts w:cs="Tahoma"/>
        </w:rPr>
        <w:t xml:space="preserve">Administración y </w:t>
      </w:r>
      <w:r w:rsidR="002754BD" w:rsidRPr="00FB7E68">
        <w:rPr>
          <w:rFonts w:cs="Tahoma"/>
        </w:rPr>
        <w:t xml:space="preserve">Dirección General de </w:t>
      </w:r>
      <w:r w:rsidRPr="00FB7E68">
        <w:rPr>
          <w:rFonts w:cs="Tahoma"/>
        </w:rPr>
        <w:t>Desarrollo Económico, y</w:t>
      </w:r>
    </w:p>
    <w:p w14:paraId="41889E23" w14:textId="77777777" w:rsidR="00BD3C86" w:rsidRPr="00FB7E68" w:rsidRDefault="00BD3C86" w:rsidP="00BD3C86">
      <w:pPr>
        <w:pStyle w:val="Prrafodelista"/>
        <w:numPr>
          <w:ilvl w:val="0"/>
          <w:numId w:val="22"/>
        </w:numPr>
        <w:spacing w:line="360" w:lineRule="auto"/>
        <w:rPr>
          <w:rFonts w:cs="Tahoma"/>
        </w:rPr>
      </w:pPr>
      <w:r w:rsidRPr="00FB7E68">
        <w:rPr>
          <w:rFonts w:cs="Tahoma"/>
        </w:rPr>
        <w:t>De todos los Titulares de Área.</w:t>
      </w:r>
    </w:p>
    <w:p w14:paraId="030749B8" w14:textId="77777777" w:rsidR="00C968FF" w:rsidRPr="00FB7E68" w:rsidRDefault="00C968FF" w:rsidP="001162C4">
      <w:pPr>
        <w:spacing w:after="0" w:line="360" w:lineRule="auto"/>
        <w:rPr>
          <w:rFonts w:eastAsia="Times New Roman" w:cs="Tahoma"/>
          <w:bCs/>
          <w:iCs/>
          <w:lang w:eastAsia="es-ES"/>
        </w:rPr>
      </w:pPr>
    </w:p>
    <w:p w14:paraId="70511778" w14:textId="7ECBB54B" w:rsidR="00B0601E" w:rsidRPr="00FB7E68" w:rsidRDefault="00B0601E" w:rsidP="001162C4">
      <w:pPr>
        <w:spacing w:after="0" w:line="360" w:lineRule="auto"/>
        <w:rPr>
          <w:rFonts w:eastAsia="Times New Roman" w:cs="Tahoma"/>
          <w:bCs/>
          <w:iCs/>
          <w:lang w:eastAsia="es-ES"/>
        </w:rPr>
      </w:pPr>
      <w:r w:rsidRPr="00FB7E68">
        <w:rPr>
          <w:rFonts w:eastAsia="Times New Roman" w:cs="Tahoma"/>
          <w:bCs/>
          <w:iCs/>
          <w:lang w:eastAsia="es-ES"/>
        </w:rPr>
        <w:t>Establecida dicha circunstancia, de las constancias que obran en el expediente electrónico, se advierte que el Sujeto Obligado</w:t>
      </w:r>
      <w:r w:rsidR="0007157F" w:rsidRPr="00FB7E68">
        <w:rPr>
          <w:rFonts w:eastAsia="Times New Roman" w:cs="Tahoma"/>
          <w:bCs/>
          <w:iCs/>
          <w:lang w:eastAsia="es-ES"/>
        </w:rPr>
        <w:t xml:space="preserve"> turno la solicitud de información a la</w:t>
      </w:r>
      <w:r w:rsidR="002754BD" w:rsidRPr="00FB7E68">
        <w:rPr>
          <w:rFonts w:eastAsia="Times New Roman" w:cs="Tahoma"/>
          <w:bCs/>
          <w:iCs/>
          <w:lang w:eastAsia="es-ES"/>
        </w:rPr>
        <w:t xml:space="preserve"> Subdirectora de Recursos Humanos</w:t>
      </w:r>
      <w:r w:rsidRPr="00FB7E68">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FB7E68" w:rsidRDefault="00B0601E" w:rsidP="001162C4">
      <w:pPr>
        <w:spacing w:after="0" w:line="360" w:lineRule="auto"/>
        <w:rPr>
          <w:rFonts w:eastAsia="Times New Roman" w:cs="Tahoma"/>
          <w:bCs/>
          <w:iCs/>
          <w:lang w:eastAsia="es-ES"/>
        </w:rPr>
      </w:pPr>
    </w:p>
    <w:p w14:paraId="6D7C2ACF" w14:textId="40CF5334" w:rsidR="0007157F" w:rsidRPr="00FB7E68" w:rsidRDefault="00B0601E" w:rsidP="001162C4">
      <w:pPr>
        <w:spacing w:after="0" w:line="360" w:lineRule="auto"/>
        <w:rPr>
          <w:rFonts w:eastAsia="Times New Roman" w:cs="Tahoma"/>
          <w:bCs/>
          <w:iCs/>
          <w:lang w:eastAsia="es-ES"/>
        </w:rPr>
      </w:pPr>
      <w:r w:rsidRPr="00FB7E68">
        <w:rPr>
          <w:rFonts w:eastAsia="Times New Roman" w:cs="Tahoma"/>
          <w:bCs/>
          <w:iCs/>
          <w:lang w:eastAsia="es-ES"/>
        </w:rPr>
        <w:t>Así y de lo plasmado en párrafos anteriores, se logra colegir que el Sujeto Obligado cumplió con el procedimiento de búsqueda establecido en el artículo 162 de la Ley de Transparencia y Acceso a la Información Pública del Estado de</w:t>
      </w:r>
      <w:r w:rsidR="008A519E" w:rsidRPr="00FB7E68">
        <w:rPr>
          <w:rFonts w:eastAsia="Times New Roman" w:cs="Tahoma"/>
          <w:bCs/>
          <w:iCs/>
          <w:lang w:eastAsia="es-ES"/>
        </w:rPr>
        <w:t xml:space="preserve"> Méxic</w:t>
      </w:r>
      <w:r w:rsidR="0007157F" w:rsidRPr="00FB7E68">
        <w:rPr>
          <w:rFonts w:eastAsia="Times New Roman" w:cs="Tahoma"/>
          <w:bCs/>
          <w:iCs/>
          <w:lang w:eastAsia="es-ES"/>
        </w:rPr>
        <w:t xml:space="preserve">o y Municipios, toda vez que </w:t>
      </w:r>
      <w:r w:rsidR="008A519E" w:rsidRPr="00FB7E68">
        <w:rPr>
          <w:rFonts w:eastAsia="Times New Roman" w:cs="Tahoma"/>
          <w:bCs/>
          <w:iCs/>
          <w:lang w:eastAsia="es-ES"/>
        </w:rPr>
        <w:t>turno</w:t>
      </w:r>
      <w:r w:rsidR="0007157F" w:rsidRPr="00FB7E68">
        <w:rPr>
          <w:rFonts w:eastAsia="Times New Roman" w:cs="Tahoma"/>
          <w:bCs/>
          <w:iCs/>
          <w:lang w:eastAsia="es-ES"/>
        </w:rPr>
        <w:t xml:space="preserve"> la solicitud de información al área competente </w:t>
      </w:r>
      <w:r w:rsidR="00750CF0" w:rsidRPr="00FB7E68">
        <w:rPr>
          <w:rFonts w:eastAsia="Times New Roman" w:cs="Tahoma"/>
          <w:bCs/>
          <w:iCs/>
          <w:lang w:eastAsia="es-ES"/>
        </w:rPr>
        <w:t>de pagar las remuneraciones al personal</w:t>
      </w:r>
      <w:r w:rsidR="0007157F" w:rsidRPr="00FB7E68">
        <w:rPr>
          <w:rFonts w:eastAsia="Times New Roman" w:cs="Tahoma"/>
          <w:bCs/>
          <w:iCs/>
          <w:lang w:eastAsia="es-ES"/>
        </w:rPr>
        <w:t>.</w:t>
      </w:r>
    </w:p>
    <w:p w14:paraId="4AA53937" w14:textId="77777777" w:rsidR="0007157F" w:rsidRPr="00FB7E68" w:rsidRDefault="0007157F" w:rsidP="001162C4">
      <w:pPr>
        <w:spacing w:after="0" w:line="360" w:lineRule="auto"/>
        <w:rPr>
          <w:rFonts w:eastAsia="Times New Roman" w:cs="Tahoma"/>
          <w:bCs/>
          <w:iCs/>
          <w:lang w:eastAsia="es-ES"/>
        </w:rPr>
      </w:pPr>
    </w:p>
    <w:p w14:paraId="509E516F" w14:textId="20855422" w:rsidR="00DC1DC5" w:rsidRPr="00FB7E68" w:rsidRDefault="0007157F" w:rsidP="0007157F">
      <w:pPr>
        <w:spacing w:after="0" w:line="360" w:lineRule="auto"/>
        <w:contextualSpacing/>
        <w:rPr>
          <w:rFonts w:eastAsia="Times New Roman" w:cs="Tahoma"/>
          <w:bCs/>
          <w:iCs/>
          <w:lang w:eastAsia="es-ES"/>
        </w:rPr>
      </w:pPr>
      <w:r w:rsidRPr="00FB7E68">
        <w:rPr>
          <w:rFonts w:eastAsia="Times New Roman" w:cs="Tahoma"/>
          <w:bCs/>
          <w:iCs/>
          <w:lang w:eastAsia="es-ES"/>
        </w:rPr>
        <w:t xml:space="preserve">Ahora bien, en respuesta, la </w:t>
      </w:r>
      <w:proofErr w:type="gramStart"/>
      <w:r w:rsidR="00DC1DC5" w:rsidRPr="00FB7E68">
        <w:rPr>
          <w:rFonts w:eastAsia="Times New Roman" w:cs="Tahoma"/>
          <w:bCs/>
          <w:iCs/>
          <w:lang w:eastAsia="es-ES"/>
        </w:rPr>
        <w:t>Subdirectora</w:t>
      </w:r>
      <w:proofErr w:type="gramEnd"/>
      <w:r w:rsidR="00DC1DC5" w:rsidRPr="00FB7E68">
        <w:rPr>
          <w:rFonts w:eastAsia="Times New Roman" w:cs="Tahoma"/>
          <w:bCs/>
          <w:iCs/>
          <w:lang w:eastAsia="es-ES"/>
        </w:rPr>
        <w:t xml:space="preserve"> de Recursos Humanos adjuntó una liga electrónica para consultar la información solicitada, como se muestra a continuación:</w:t>
      </w:r>
    </w:p>
    <w:p w14:paraId="35F96F26" w14:textId="77777777" w:rsidR="00DC1DC5" w:rsidRPr="00FB7E68" w:rsidRDefault="00DC1DC5" w:rsidP="0007157F">
      <w:pPr>
        <w:spacing w:after="0" w:line="360" w:lineRule="auto"/>
        <w:contextualSpacing/>
        <w:rPr>
          <w:rFonts w:eastAsia="Times New Roman" w:cs="Tahoma"/>
          <w:bCs/>
          <w:iCs/>
          <w:lang w:eastAsia="es-ES"/>
        </w:rPr>
      </w:pPr>
    </w:p>
    <w:p w14:paraId="3D29D3A1" w14:textId="48C05F7F" w:rsidR="00DC1DC5" w:rsidRPr="00FB7E68" w:rsidRDefault="00DC1DC5" w:rsidP="00DC1DC5">
      <w:pPr>
        <w:spacing w:after="0" w:line="360" w:lineRule="auto"/>
        <w:contextualSpacing/>
        <w:jc w:val="center"/>
        <w:rPr>
          <w:rFonts w:eastAsia="Times New Roman" w:cs="Tahoma"/>
          <w:bCs/>
          <w:iCs/>
          <w:lang w:eastAsia="es-ES"/>
        </w:rPr>
      </w:pPr>
      <w:r w:rsidRPr="00FB7E68">
        <w:rPr>
          <w:rFonts w:eastAsia="Times New Roman" w:cs="Tahoma"/>
          <w:bCs/>
          <w:iCs/>
          <w:noProof/>
        </w:rPr>
        <w:drawing>
          <wp:inline distT="0" distB="0" distL="0" distR="0" wp14:anchorId="171C6F05" wp14:editId="6F94103E">
            <wp:extent cx="5671185" cy="1052195"/>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A0FC4F.tmp"/>
                    <pic:cNvPicPr/>
                  </pic:nvPicPr>
                  <pic:blipFill>
                    <a:blip r:embed="rId13">
                      <a:extLst>
                        <a:ext uri="{28A0092B-C50C-407E-A947-70E740481C1C}">
                          <a14:useLocalDpi xmlns:a14="http://schemas.microsoft.com/office/drawing/2010/main" val="0"/>
                        </a:ext>
                      </a:extLst>
                    </a:blip>
                    <a:stretch>
                      <a:fillRect/>
                    </a:stretch>
                  </pic:blipFill>
                  <pic:spPr>
                    <a:xfrm>
                      <a:off x="0" y="0"/>
                      <a:ext cx="5671185" cy="1052195"/>
                    </a:xfrm>
                    <a:prstGeom prst="rect">
                      <a:avLst/>
                    </a:prstGeom>
                  </pic:spPr>
                </pic:pic>
              </a:graphicData>
            </a:graphic>
          </wp:inline>
        </w:drawing>
      </w:r>
    </w:p>
    <w:p w14:paraId="47EC607B" w14:textId="77777777" w:rsidR="00DC1DC5" w:rsidRPr="00FB7E68" w:rsidRDefault="00DC1DC5" w:rsidP="0007157F">
      <w:pPr>
        <w:spacing w:after="0" w:line="360" w:lineRule="auto"/>
        <w:contextualSpacing/>
        <w:rPr>
          <w:rFonts w:eastAsia="Times New Roman" w:cs="Tahoma"/>
          <w:bCs/>
          <w:iCs/>
          <w:lang w:eastAsia="es-ES"/>
        </w:rPr>
      </w:pPr>
    </w:p>
    <w:p w14:paraId="51FDBC2E" w14:textId="14EB49D7" w:rsidR="00A10DA3" w:rsidRPr="00FB7E68" w:rsidRDefault="00A10DA3" w:rsidP="00A10DA3">
      <w:pPr>
        <w:widowControl w:val="0"/>
        <w:autoSpaceDE w:val="0"/>
        <w:autoSpaceDN w:val="0"/>
        <w:adjustRightInd w:val="0"/>
        <w:spacing w:after="0" w:line="360" w:lineRule="auto"/>
        <w:contextualSpacing/>
        <w:rPr>
          <w:rFonts w:eastAsia="Times New Roman" w:cs="Times New Roman"/>
          <w:color w:val="222222"/>
          <w:sz w:val="20"/>
          <w:szCs w:val="20"/>
        </w:rPr>
      </w:pPr>
      <w:r w:rsidRPr="00FB7E68">
        <w:rPr>
          <w:rFonts w:cs="Tahoma"/>
        </w:rPr>
        <w:t>En ese sentido, si bien adjuntó una liga electrónica</w:t>
      </w:r>
      <w:r w:rsidRPr="00FB7E68">
        <w:rPr>
          <w:rFonts w:eastAsia="Times New Roman" w:cs="Times New Roman"/>
          <w:color w:val="222222"/>
        </w:rPr>
        <w:t>, se logra vislumbrar que en encuentra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0E290023" w14:textId="77777777" w:rsidR="00A10DA3" w:rsidRPr="00FB7E68" w:rsidRDefault="00A10DA3" w:rsidP="00A10DA3">
      <w:pPr>
        <w:widowControl w:val="0"/>
        <w:autoSpaceDE w:val="0"/>
        <w:autoSpaceDN w:val="0"/>
        <w:adjustRightInd w:val="0"/>
        <w:spacing w:after="0" w:line="360" w:lineRule="auto"/>
        <w:contextualSpacing/>
        <w:rPr>
          <w:rFonts w:eastAsia="Times New Roman" w:cs="Times New Roman"/>
          <w:color w:val="222222"/>
        </w:rPr>
      </w:pPr>
      <w:r w:rsidRPr="00FB7E68">
        <w:rPr>
          <w:rFonts w:eastAsia="Times New Roman" w:cs="Times New Roman"/>
          <w:color w:val="222222"/>
        </w:rPr>
        <w:t> </w:t>
      </w:r>
    </w:p>
    <w:p w14:paraId="55F706DF" w14:textId="77777777" w:rsidR="00A10DA3" w:rsidRPr="00FB7E68" w:rsidRDefault="00A10DA3" w:rsidP="00A10DA3">
      <w:pPr>
        <w:widowControl w:val="0"/>
        <w:autoSpaceDE w:val="0"/>
        <w:autoSpaceDN w:val="0"/>
        <w:adjustRightInd w:val="0"/>
        <w:spacing w:after="0" w:line="360" w:lineRule="auto"/>
        <w:contextualSpacing/>
        <w:rPr>
          <w:color w:val="000000"/>
        </w:rPr>
      </w:pPr>
      <w:r w:rsidRPr="00FB7E68">
        <w:rPr>
          <w:color w:val="000000"/>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0CF6FC8" w14:textId="77777777" w:rsidR="00A10DA3" w:rsidRPr="00FB7E68" w:rsidRDefault="00A10DA3" w:rsidP="00A10DA3">
      <w:pPr>
        <w:widowControl w:val="0"/>
        <w:autoSpaceDE w:val="0"/>
        <w:autoSpaceDN w:val="0"/>
        <w:adjustRightInd w:val="0"/>
        <w:spacing w:after="0" w:line="360" w:lineRule="auto"/>
        <w:contextualSpacing/>
        <w:rPr>
          <w:color w:val="000000"/>
        </w:rPr>
      </w:pPr>
      <w:r w:rsidRPr="00FB7E68">
        <w:rPr>
          <w:color w:val="000000"/>
        </w:rPr>
        <w:lastRenderedPageBreak/>
        <w:t> </w:t>
      </w:r>
    </w:p>
    <w:p w14:paraId="31000C2C" w14:textId="77777777" w:rsidR="00A10DA3" w:rsidRPr="00FB7E68" w:rsidRDefault="00A10DA3" w:rsidP="00A10DA3">
      <w:pPr>
        <w:widowControl w:val="0"/>
        <w:autoSpaceDE w:val="0"/>
        <w:autoSpaceDN w:val="0"/>
        <w:adjustRightInd w:val="0"/>
        <w:spacing w:after="0" w:line="360" w:lineRule="auto"/>
        <w:contextualSpacing/>
        <w:rPr>
          <w:color w:val="000000"/>
        </w:rPr>
      </w:pPr>
      <w:r w:rsidRPr="00FB7E68">
        <w:rPr>
          <w:color w:val="000000"/>
        </w:rPr>
        <w:t>En ese contexto, el artículo 3°, fracciones VIII y XVI de la Ley de Transparencia y Acceso a la Información Pública del Estado de México y Municipios, precisan lo siguiente:</w:t>
      </w:r>
    </w:p>
    <w:p w14:paraId="69DFB685" w14:textId="77777777" w:rsidR="00A10DA3" w:rsidRPr="00FB7E68" w:rsidRDefault="00A10DA3" w:rsidP="00A10DA3">
      <w:pPr>
        <w:widowControl w:val="0"/>
        <w:autoSpaceDE w:val="0"/>
        <w:autoSpaceDN w:val="0"/>
        <w:adjustRightInd w:val="0"/>
        <w:spacing w:after="0" w:line="360" w:lineRule="auto"/>
        <w:contextualSpacing/>
        <w:rPr>
          <w:color w:val="000000"/>
        </w:rPr>
      </w:pPr>
    </w:p>
    <w:p w14:paraId="4669FD0C" w14:textId="77777777" w:rsidR="00A10DA3" w:rsidRPr="00FB7E68" w:rsidRDefault="00A10DA3" w:rsidP="00A10DA3">
      <w:pPr>
        <w:widowControl w:val="0"/>
        <w:numPr>
          <w:ilvl w:val="0"/>
          <w:numId w:val="24"/>
        </w:numPr>
        <w:autoSpaceDE w:val="0"/>
        <w:autoSpaceDN w:val="0"/>
        <w:adjustRightInd w:val="0"/>
        <w:spacing w:after="0" w:line="360" w:lineRule="auto"/>
        <w:contextualSpacing/>
        <w:rPr>
          <w:rFonts w:eastAsia="Times New Roman" w:cs="Times New Roman"/>
          <w:color w:val="000000"/>
          <w:szCs w:val="24"/>
          <w:lang w:eastAsia="es-ES"/>
        </w:rPr>
      </w:pPr>
      <w:r w:rsidRPr="00FB7E68">
        <w:rPr>
          <w:rFonts w:eastAsia="Times New Roman" w:cs="Times New Roman"/>
          <w:b/>
          <w:bCs/>
          <w:color w:val="000000"/>
          <w:szCs w:val="24"/>
          <w:lang w:eastAsia="es-ES"/>
        </w:rPr>
        <w:t>Dato abierto:</w:t>
      </w:r>
      <w:r w:rsidRPr="00FB7E68">
        <w:rPr>
          <w:rFonts w:eastAsia="Times New Roman" w:cs="Times New Roman"/>
          <w:color w:val="000000"/>
          <w:szCs w:val="24"/>
          <w:lang w:eastAsia="es-ES"/>
        </w:rPr>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B1D86BB" w14:textId="77777777" w:rsidR="00A10DA3" w:rsidRPr="00FB7E68" w:rsidRDefault="00A10DA3" w:rsidP="00A10DA3">
      <w:pPr>
        <w:widowControl w:val="0"/>
        <w:autoSpaceDE w:val="0"/>
        <w:autoSpaceDN w:val="0"/>
        <w:adjustRightInd w:val="0"/>
        <w:spacing w:after="0" w:line="360" w:lineRule="auto"/>
        <w:contextualSpacing/>
        <w:rPr>
          <w:color w:val="000000"/>
        </w:rPr>
      </w:pPr>
      <w:r w:rsidRPr="00FB7E68">
        <w:rPr>
          <w:color w:val="000000"/>
        </w:rPr>
        <w:t> </w:t>
      </w:r>
    </w:p>
    <w:p w14:paraId="66C697D0" w14:textId="77777777" w:rsidR="00A10DA3" w:rsidRPr="00FB7E68" w:rsidRDefault="00A10DA3" w:rsidP="00A10DA3">
      <w:pPr>
        <w:widowControl w:val="0"/>
        <w:numPr>
          <w:ilvl w:val="0"/>
          <w:numId w:val="23"/>
        </w:numPr>
        <w:autoSpaceDE w:val="0"/>
        <w:autoSpaceDN w:val="0"/>
        <w:adjustRightInd w:val="0"/>
        <w:spacing w:after="0" w:line="360" w:lineRule="auto"/>
        <w:contextualSpacing/>
        <w:rPr>
          <w:rFonts w:cs="Times New Roman"/>
          <w:color w:val="000000"/>
          <w:szCs w:val="24"/>
          <w:lang w:eastAsia="es-ES"/>
        </w:rPr>
      </w:pPr>
      <w:r w:rsidRPr="00FB7E68">
        <w:rPr>
          <w:rFonts w:cs="Times New Roman"/>
          <w:b/>
          <w:bCs/>
          <w:color w:val="000000"/>
          <w:szCs w:val="24"/>
          <w:lang w:eastAsia="es-ES"/>
        </w:rPr>
        <w:t>Formato accesible:</w:t>
      </w:r>
      <w:r w:rsidRPr="00FB7E68">
        <w:rPr>
          <w:rFonts w:cs="Times New Roman"/>
          <w:color w:val="000000"/>
          <w:szCs w:val="24"/>
          <w:lang w:eastAsia="es-ES"/>
        </w:rPr>
        <w:t>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BBAE558" w14:textId="77777777" w:rsidR="00A10DA3" w:rsidRPr="00FB7E68" w:rsidRDefault="00A10DA3" w:rsidP="00A10DA3">
      <w:pPr>
        <w:widowControl w:val="0"/>
        <w:autoSpaceDE w:val="0"/>
        <w:autoSpaceDN w:val="0"/>
        <w:adjustRightInd w:val="0"/>
        <w:spacing w:after="0" w:line="360" w:lineRule="auto"/>
        <w:contextualSpacing/>
        <w:rPr>
          <w:color w:val="000000"/>
        </w:rPr>
      </w:pPr>
      <w:r w:rsidRPr="00FB7E68">
        <w:rPr>
          <w:color w:val="000000"/>
        </w:rPr>
        <w:t> </w:t>
      </w:r>
    </w:p>
    <w:p w14:paraId="7BFD588D" w14:textId="77777777" w:rsidR="00A10DA3" w:rsidRPr="00FB7E68" w:rsidRDefault="00A10DA3" w:rsidP="00A10DA3">
      <w:pPr>
        <w:autoSpaceDE w:val="0"/>
        <w:autoSpaceDN w:val="0"/>
        <w:adjustRightInd w:val="0"/>
        <w:spacing w:after="0" w:line="360" w:lineRule="auto"/>
        <w:contextualSpacing/>
        <w:rPr>
          <w:color w:val="000000"/>
        </w:rPr>
      </w:pPr>
      <w:r w:rsidRPr="00FB7E68">
        <w:rPr>
          <w:color w:val="000000"/>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413B1587" w14:textId="77777777" w:rsidR="00A10DA3" w:rsidRPr="00FB7E68" w:rsidRDefault="00A10DA3" w:rsidP="00A10DA3">
      <w:pPr>
        <w:widowControl w:val="0"/>
        <w:autoSpaceDE w:val="0"/>
        <w:autoSpaceDN w:val="0"/>
        <w:adjustRightInd w:val="0"/>
        <w:spacing w:after="0" w:line="360" w:lineRule="auto"/>
        <w:contextualSpacing/>
        <w:rPr>
          <w:color w:val="000000"/>
        </w:rPr>
      </w:pPr>
      <w:r w:rsidRPr="00FB7E68">
        <w:rPr>
          <w:color w:val="000000"/>
        </w:rPr>
        <w:t> </w:t>
      </w:r>
    </w:p>
    <w:p w14:paraId="12B5C313" w14:textId="77777777" w:rsidR="00A10DA3" w:rsidRPr="00FB7E68" w:rsidRDefault="00A10DA3" w:rsidP="00A10DA3">
      <w:pPr>
        <w:widowControl w:val="0"/>
        <w:autoSpaceDE w:val="0"/>
        <w:autoSpaceDN w:val="0"/>
        <w:adjustRightInd w:val="0"/>
        <w:spacing w:after="0" w:line="360" w:lineRule="auto"/>
        <w:contextualSpacing/>
        <w:rPr>
          <w:color w:val="000000"/>
        </w:rPr>
      </w:pPr>
      <w:r w:rsidRPr="00FB7E68">
        <w:rPr>
          <w:color w:val="000000"/>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62095A03" w14:textId="77777777" w:rsidR="00A10DA3" w:rsidRPr="00FB7E68" w:rsidRDefault="00A10DA3" w:rsidP="00A10DA3">
      <w:pPr>
        <w:widowControl w:val="0"/>
        <w:autoSpaceDE w:val="0"/>
        <w:autoSpaceDN w:val="0"/>
        <w:adjustRightInd w:val="0"/>
        <w:spacing w:after="0" w:line="360" w:lineRule="auto"/>
        <w:contextualSpacing/>
        <w:rPr>
          <w:color w:val="000000"/>
        </w:rPr>
      </w:pPr>
    </w:p>
    <w:p w14:paraId="291AD581" w14:textId="77777777" w:rsidR="00DF34EC" w:rsidRPr="00FB7E68" w:rsidRDefault="00A10DA3" w:rsidP="00DF34EC">
      <w:pPr>
        <w:spacing w:after="0" w:line="360" w:lineRule="auto"/>
        <w:rPr>
          <w:rFonts w:eastAsia="Calibri" w:cs="Times New Roman"/>
          <w:lang w:val="x-none"/>
        </w:rPr>
      </w:pPr>
      <w:r w:rsidRPr="00FB7E68">
        <w:t>Como se logra observar, el Sujeto Obligado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w:t>
      </w:r>
      <w:r w:rsidR="00D17468" w:rsidRPr="00FB7E68">
        <w:t>mación contenida en las mismas</w:t>
      </w:r>
      <w:r w:rsidRPr="00FB7E68">
        <w:rPr>
          <w:rFonts w:eastAsia="Calibri" w:cs="Tahoma"/>
          <w:bCs/>
        </w:rPr>
        <w:t>, por lo tanto, incumplió con lo establecido en el artículo 161 de la Ley de Transparencia y Acceso a la Información Pública del Estado de México y Municipios</w:t>
      </w:r>
      <w:r w:rsidR="00D17468" w:rsidRPr="00FB7E68">
        <w:rPr>
          <w:rFonts w:eastAsia="Calibri" w:cs="Times New Roman"/>
          <w:color w:val="000000"/>
        </w:rPr>
        <w:t xml:space="preserve">, por lo que, el agravio resulta </w:t>
      </w:r>
      <w:r w:rsidR="00D17468" w:rsidRPr="00FB7E68">
        <w:rPr>
          <w:rFonts w:eastAsia="Calibri" w:cs="Times New Roman"/>
          <w:b/>
          <w:color w:val="000000"/>
        </w:rPr>
        <w:t xml:space="preserve">FUNDADO; </w:t>
      </w:r>
      <w:r w:rsidR="00EF7458" w:rsidRPr="00FB7E68">
        <w:rPr>
          <w:rFonts w:eastAsia="Calibri" w:cs="Times New Roman"/>
          <w:color w:val="000000"/>
        </w:rPr>
        <w:t>no obstante, durante la sustanciación del Medio de Impugnación, el Sujeto Obligado mencionó que la información solicitada se encuentra reservada toda vez que esta e proceso de Auditoría número OIC/CACE/2025/02 por el Órgano Interno de Control</w:t>
      </w:r>
      <w:r w:rsidR="00DF34EC" w:rsidRPr="00FB7E68">
        <w:rPr>
          <w:rFonts w:eastAsia="Calibri" w:cs="Times New Roman"/>
          <w:color w:val="000000"/>
        </w:rPr>
        <w:t xml:space="preserve">; </w:t>
      </w:r>
      <w:r w:rsidR="00DF34EC" w:rsidRPr="00FB7E68">
        <w:rPr>
          <w:rFonts w:eastAsia="Times New Roman" w:cs="Tahoma"/>
          <w:bCs/>
          <w:color w:val="000000"/>
          <w:lang w:eastAsia="es-ES"/>
        </w:rPr>
        <w:t xml:space="preserve">sobre el tema, </w:t>
      </w:r>
      <w:r w:rsidR="00DF34EC" w:rsidRPr="00FB7E68">
        <w:rPr>
          <w:rFonts w:eastAsia="Times New Roman" w:cs="Tahoma"/>
          <w:bCs/>
          <w:iCs/>
          <w:color w:val="000000"/>
          <w:lang w:eastAsia="es-ES"/>
        </w:rPr>
        <w:t>cabe precisar, que conforme al artículo 20 de la Ley de Transparencia y Acceso a la Información Pública del Estado de México y Municipios, ante la negativa de acceso a la información o su inexistencia, el sujeto obligado deberá demostrar que encuentra en alguna de las excepciones establecidas en la normatividad aplicable.</w:t>
      </w:r>
    </w:p>
    <w:p w14:paraId="057D878A" w14:textId="77777777" w:rsidR="00DF34EC" w:rsidRPr="00FB7E68" w:rsidRDefault="00DF34EC" w:rsidP="00DF34EC">
      <w:pPr>
        <w:spacing w:after="0" w:line="360" w:lineRule="auto"/>
        <w:rPr>
          <w:rFonts w:eastAsia="Times New Roman" w:cs="Tahoma"/>
          <w:b/>
          <w:bCs/>
          <w:iCs/>
          <w:color w:val="000000"/>
          <w:lang w:eastAsia="es-ES"/>
        </w:rPr>
      </w:pPr>
    </w:p>
    <w:p w14:paraId="3BC56C29" w14:textId="77777777" w:rsidR="00DF34EC" w:rsidRPr="00FB7E68" w:rsidRDefault="00DF34EC" w:rsidP="00DF34EC">
      <w:pPr>
        <w:spacing w:after="0" w:line="360" w:lineRule="auto"/>
        <w:rPr>
          <w:rFonts w:eastAsia="Times New Roman" w:cs="Tahoma"/>
          <w:bCs/>
          <w:iCs/>
          <w:color w:val="000000"/>
          <w:lang w:eastAsia="es-ES"/>
        </w:rPr>
      </w:pPr>
      <w:r w:rsidRPr="00FB7E68">
        <w:rPr>
          <w:rFonts w:eastAsia="Times New Roman" w:cs="Tahoma"/>
          <w:bCs/>
          <w:iCs/>
          <w:color w:val="000000"/>
          <w:lang w:eastAsia="es-ES"/>
        </w:rPr>
        <w:t xml:space="preserve">En ese sentido, según Trujillo, Humberto (2019), en el “Diccionario de Transparencia y Acceso a la Información Pública” (p. 201), la negativa de acceso a la información ocurre cuanto de manera fundada y motivada, una autoridad la niega o la limita, por alguna de las siguientes razones: </w:t>
      </w:r>
    </w:p>
    <w:p w14:paraId="1FD32F1F" w14:textId="77777777" w:rsidR="00DF34EC" w:rsidRPr="00FB7E68" w:rsidRDefault="00DF34EC" w:rsidP="00DF34EC">
      <w:pPr>
        <w:spacing w:after="0" w:line="360" w:lineRule="auto"/>
        <w:rPr>
          <w:rFonts w:eastAsia="Times New Roman" w:cs="Tahoma"/>
          <w:bCs/>
          <w:iCs/>
          <w:color w:val="000000"/>
          <w:lang w:eastAsia="es-ES"/>
        </w:rPr>
      </w:pPr>
    </w:p>
    <w:p w14:paraId="03C38405" w14:textId="77777777" w:rsidR="00DF34EC" w:rsidRPr="00FB7E68" w:rsidRDefault="00DF34EC" w:rsidP="00DF34EC">
      <w:pPr>
        <w:numPr>
          <w:ilvl w:val="0"/>
          <w:numId w:val="25"/>
        </w:numPr>
        <w:spacing w:after="0" w:line="360" w:lineRule="auto"/>
        <w:rPr>
          <w:rFonts w:eastAsia="Times New Roman" w:cs="Tahoma"/>
          <w:bCs/>
          <w:iCs/>
          <w:color w:val="000000"/>
          <w:lang w:eastAsia="es-ES"/>
        </w:rPr>
      </w:pPr>
      <w:r w:rsidRPr="00FB7E68">
        <w:rPr>
          <w:rFonts w:eastAsia="Times New Roman" w:cs="Tahoma"/>
          <w:bCs/>
          <w:iCs/>
          <w:color w:val="000000"/>
          <w:lang w:eastAsia="es-ES"/>
        </w:rPr>
        <w:t>La inexistencia de la información (p. 171): Sucede cuando la información solicitada no se encuentra en los archivos públicos o clasificados, de los entes sujetos a las Leyes de Transparencia.</w:t>
      </w:r>
    </w:p>
    <w:p w14:paraId="7EAC596D" w14:textId="77777777" w:rsidR="00DF34EC" w:rsidRPr="00FB7E68" w:rsidRDefault="00DF34EC" w:rsidP="00DF34EC">
      <w:pPr>
        <w:spacing w:after="0" w:line="360" w:lineRule="auto"/>
        <w:rPr>
          <w:rFonts w:eastAsia="Times New Roman" w:cs="Tahoma"/>
          <w:bCs/>
          <w:iCs/>
          <w:color w:val="000000"/>
          <w:lang w:eastAsia="es-ES"/>
        </w:rPr>
      </w:pPr>
    </w:p>
    <w:p w14:paraId="34EFB1D8" w14:textId="77777777" w:rsidR="00DF34EC" w:rsidRPr="00FB7E68" w:rsidRDefault="00DF34EC" w:rsidP="00DF34EC">
      <w:pPr>
        <w:numPr>
          <w:ilvl w:val="0"/>
          <w:numId w:val="25"/>
        </w:numPr>
        <w:spacing w:after="0" w:line="360" w:lineRule="auto"/>
        <w:rPr>
          <w:rFonts w:eastAsia="Times New Roman" w:cs="Tahoma"/>
          <w:b/>
          <w:bCs/>
          <w:iCs/>
          <w:color w:val="000000"/>
          <w:lang w:eastAsia="es-ES"/>
        </w:rPr>
      </w:pPr>
      <w:r w:rsidRPr="00FB7E68">
        <w:rPr>
          <w:rFonts w:eastAsia="Times New Roman" w:cs="Tahoma"/>
          <w:bCs/>
          <w:iCs/>
          <w:color w:val="000000"/>
          <w:lang w:eastAsia="es-ES"/>
        </w:rPr>
        <w:t>La incompetencia del Sujeto Obligado (p. 171):</w:t>
      </w:r>
      <w:r w:rsidRPr="00FB7E68">
        <w:rPr>
          <w:rFonts w:eastAsia="Times New Roman" w:cs="Tahoma"/>
          <w:b/>
          <w:bCs/>
          <w:iCs/>
          <w:color w:val="000000"/>
          <w:lang w:eastAsia="es-ES"/>
        </w:rPr>
        <w:t xml:space="preserve"> </w:t>
      </w:r>
      <w:r w:rsidRPr="00FB7E68">
        <w:rPr>
          <w:rFonts w:eastAsia="Times New Roman" w:cs="Tahoma"/>
          <w:bCs/>
          <w:iCs/>
          <w:color w:val="000000"/>
          <w:lang w:eastAsia="es-ES"/>
        </w:rPr>
        <w:t>Ocurre cuando el Sujeto Obligado carece de atribuciones para poseer la información peticionada.</w:t>
      </w:r>
    </w:p>
    <w:p w14:paraId="6A86800F" w14:textId="77777777" w:rsidR="00DF34EC" w:rsidRPr="00FB7E68" w:rsidRDefault="00DF34EC" w:rsidP="00DF34EC">
      <w:pPr>
        <w:spacing w:after="0" w:line="360" w:lineRule="auto"/>
        <w:rPr>
          <w:rFonts w:eastAsia="Times New Roman" w:cs="Tahoma"/>
          <w:bCs/>
          <w:iCs/>
          <w:color w:val="000000"/>
          <w:lang w:eastAsia="es-ES"/>
        </w:rPr>
      </w:pPr>
    </w:p>
    <w:p w14:paraId="44EBC26D" w14:textId="77777777" w:rsidR="00DF34EC" w:rsidRPr="00FB7E68" w:rsidRDefault="00DF34EC" w:rsidP="00DF34EC">
      <w:pPr>
        <w:numPr>
          <w:ilvl w:val="0"/>
          <w:numId w:val="25"/>
        </w:numPr>
        <w:spacing w:after="0" w:line="360" w:lineRule="auto"/>
        <w:rPr>
          <w:rFonts w:eastAsia="Times New Roman" w:cs="Tahoma"/>
          <w:b/>
          <w:bCs/>
          <w:iCs/>
          <w:color w:val="000000"/>
          <w:lang w:eastAsia="es-ES"/>
        </w:rPr>
      </w:pPr>
      <w:r w:rsidRPr="00FB7E68">
        <w:rPr>
          <w:rFonts w:eastAsia="Times New Roman" w:cs="Tahoma"/>
          <w:bCs/>
          <w:iCs/>
          <w:color w:val="000000"/>
          <w:lang w:eastAsia="es-ES"/>
        </w:rPr>
        <w:t>La clasificación de la información (p. 70): Es el proceso o conjunto de acciones que realizan los sujetos obligados para establecer que determinada información se encuentra en alguno de los supuestos de reserva o confidencialidad establecidos en la legislación en materia de transparencia.</w:t>
      </w:r>
    </w:p>
    <w:p w14:paraId="41AEE05B" w14:textId="77777777" w:rsidR="00DF34EC" w:rsidRPr="00FB7E68" w:rsidRDefault="00DF34EC" w:rsidP="00DF34EC">
      <w:pPr>
        <w:pStyle w:val="Prrafodelista"/>
        <w:rPr>
          <w:rFonts w:cs="Tahoma"/>
          <w:b/>
          <w:bCs/>
          <w:iCs/>
          <w:color w:val="000000"/>
        </w:rPr>
      </w:pPr>
    </w:p>
    <w:p w14:paraId="5A45C54C" w14:textId="77777777" w:rsidR="00DF34EC" w:rsidRPr="00FB7E68" w:rsidRDefault="00DF34EC" w:rsidP="00DF34EC">
      <w:pPr>
        <w:spacing w:after="0" w:line="360" w:lineRule="auto"/>
        <w:ind w:left="720"/>
        <w:rPr>
          <w:rFonts w:eastAsia="Times New Roman" w:cs="Tahoma"/>
          <w:b/>
          <w:bCs/>
          <w:iCs/>
          <w:color w:val="000000"/>
          <w:lang w:eastAsia="es-ES"/>
        </w:rPr>
      </w:pPr>
    </w:p>
    <w:p w14:paraId="238E968F" w14:textId="77777777" w:rsidR="00DF34EC" w:rsidRPr="00FB7E68" w:rsidRDefault="00DF34EC" w:rsidP="00DF34EC">
      <w:pPr>
        <w:spacing w:after="0" w:line="360" w:lineRule="auto"/>
        <w:rPr>
          <w:rFonts w:eastAsia="Times New Roman" w:cs="Tahoma"/>
          <w:bCs/>
          <w:iCs/>
          <w:color w:val="000000"/>
          <w:lang w:val="es-ES" w:eastAsia="es-ES"/>
        </w:rPr>
      </w:pPr>
      <w:r w:rsidRPr="00FB7E68">
        <w:rPr>
          <w:rFonts w:eastAsia="Times New Roman" w:cs="Tahoma"/>
          <w:bCs/>
          <w:iCs/>
          <w:color w:val="000000"/>
          <w:lang w:eastAsia="es-ES"/>
        </w:rPr>
        <w:t>En ese orden de ideas y en atención a lo anterior, es de señalar que l</w:t>
      </w:r>
      <w:r w:rsidRPr="00FB7E68">
        <w:rPr>
          <w:rFonts w:eastAsia="Times New Roman" w:cs="Tahoma"/>
          <w:bCs/>
          <w:iCs/>
          <w:color w:val="000000"/>
          <w:lang w:val="es-ES" w:eastAsia="es-ES"/>
        </w:rPr>
        <w:t xml:space="preserve">as excepciones al derecho de acceso a la </w:t>
      </w:r>
      <w:proofErr w:type="gramStart"/>
      <w:r w:rsidRPr="00FB7E68">
        <w:rPr>
          <w:rFonts w:eastAsia="Times New Roman" w:cs="Tahoma"/>
          <w:bCs/>
          <w:iCs/>
          <w:color w:val="000000"/>
          <w:lang w:val="es-ES" w:eastAsia="es-ES"/>
        </w:rPr>
        <w:t>información,</w:t>
      </w:r>
      <w:proofErr w:type="gramEnd"/>
      <w:r w:rsidRPr="00FB7E68">
        <w:rPr>
          <w:rFonts w:eastAsia="Times New Roman" w:cs="Tahoma"/>
          <w:bCs/>
          <w:iCs/>
          <w:color w:val="000000"/>
          <w:lang w:val="es-ES" w:eastAsia="es-ES"/>
        </w:rPr>
        <w:t xml:space="preserve"> consisten en que la documentación sea inexistente, se encuentre clasificada, o bien, el Sujeto Obligado sea incompetente para contar con esta; esto es, la negativa de acceso a la </w:t>
      </w:r>
      <w:proofErr w:type="gramStart"/>
      <w:r w:rsidRPr="00FB7E68">
        <w:rPr>
          <w:rFonts w:eastAsia="Times New Roman" w:cs="Tahoma"/>
          <w:bCs/>
          <w:iCs/>
          <w:color w:val="000000"/>
          <w:lang w:val="es-ES" w:eastAsia="es-ES"/>
        </w:rPr>
        <w:t>información,</w:t>
      </w:r>
      <w:proofErr w:type="gramEnd"/>
      <w:r w:rsidRPr="00FB7E68">
        <w:rPr>
          <w:rFonts w:eastAsia="Times New Roman" w:cs="Tahoma"/>
          <w:bCs/>
          <w:iCs/>
          <w:color w:val="000000"/>
          <w:lang w:val="es-ES" w:eastAsia="es-ES"/>
        </w:rPr>
        <w:t xml:space="preserve"> recae cuando la documentación no se encuentre en los archivos del sujeto obligado, o bien exista, pero no pueda proporcionarse por contener datos confidenciales o reservados.</w:t>
      </w:r>
    </w:p>
    <w:p w14:paraId="30329FF3" w14:textId="77777777" w:rsidR="00DF34EC" w:rsidRPr="00FB7E68" w:rsidRDefault="00DF34EC" w:rsidP="00DF34EC">
      <w:pPr>
        <w:spacing w:after="0" w:line="360" w:lineRule="auto"/>
        <w:rPr>
          <w:rFonts w:eastAsia="Times New Roman" w:cs="Tahoma"/>
          <w:b/>
          <w:bCs/>
          <w:iCs/>
          <w:color w:val="000000"/>
          <w:lang w:eastAsia="es-ES"/>
        </w:rPr>
      </w:pPr>
    </w:p>
    <w:p w14:paraId="212F095E" w14:textId="77777777" w:rsidR="00DF34EC" w:rsidRPr="00FB7E68" w:rsidRDefault="00DF34EC" w:rsidP="00DF34EC">
      <w:pPr>
        <w:spacing w:after="0" w:line="360" w:lineRule="auto"/>
        <w:rPr>
          <w:rFonts w:eastAsia="Times New Roman" w:cs="Tahoma"/>
          <w:bCs/>
          <w:iCs/>
          <w:color w:val="000000"/>
          <w:lang w:val="es-ES" w:eastAsia="es-ES"/>
        </w:rPr>
      </w:pPr>
      <w:r w:rsidRPr="00FB7E68">
        <w:rPr>
          <w:rFonts w:eastAsia="Times New Roman" w:cs="Tahoma"/>
          <w:bCs/>
          <w:iCs/>
          <w:color w:val="000000"/>
          <w:lang w:eastAsia="es-ES"/>
        </w:rPr>
        <w:t xml:space="preserve">Así, en los artículos 122, 128 y 130 de la Ley Transparencia y Acceso a la Información Pública del Estado de México y Municipios, se prevé que la clasificación es el proceso mediante el cual los sujetos obligados determinan que la información en su </w:t>
      </w:r>
      <w:proofErr w:type="gramStart"/>
      <w:r w:rsidRPr="00FB7E68">
        <w:rPr>
          <w:rFonts w:eastAsia="Times New Roman" w:cs="Tahoma"/>
          <w:bCs/>
          <w:iCs/>
          <w:color w:val="000000"/>
          <w:lang w:eastAsia="es-ES"/>
        </w:rPr>
        <w:t>poder,</w:t>
      </w:r>
      <w:proofErr w:type="gramEnd"/>
      <w:r w:rsidRPr="00FB7E68">
        <w:rPr>
          <w:rFonts w:eastAsia="Times New Roman" w:cs="Tahoma"/>
          <w:bCs/>
          <w:iCs/>
          <w:color w:val="000000"/>
          <w:lang w:eastAsia="es-ES"/>
        </w:rPr>
        <w:t xml:space="preserve"> actualiza alguno de los supuestos de reserva o confidencialidad. </w:t>
      </w:r>
      <w:r w:rsidRPr="00FB7E68">
        <w:rPr>
          <w:rFonts w:eastAsia="Times New Roman" w:cs="Tahoma"/>
          <w:bCs/>
          <w:iCs/>
          <w:color w:val="000000"/>
          <w:lang w:val="es-ES" w:eastAsia="es-ES"/>
        </w:rPr>
        <w:t>Además, que dichos entes deberán aplicar de manera restrictiva y limitada, las excepciones al derecho de acceso a la información, por lo que, tendrán que acreditar la procedencia.</w:t>
      </w:r>
    </w:p>
    <w:p w14:paraId="248717B1" w14:textId="77777777" w:rsidR="00DF34EC" w:rsidRPr="00FB7E68" w:rsidRDefault="00DF34EC" w:rsidP="00DF34EC">
      <w:pPr>
        <w:spacing w:after="0" w:line="360" w:lineRule="auto"/>
        <w:rPr>
          <w:rFonts w:eastAsia="Times New Roman" w:cs="Tahoma"/>
          <w:bCs/>
          <w:iCs/>
          <w:color w:val="000000"/>
          <w:lang w:eastAsia="es-ES"/>
        </w:rPr>
      </w:pPr>
    </w:p>
    <w:p w14:paraId="6DA4B225" w14:textId="77777777" w:rsidR="00DF34EC" w:rsidRPr="00FB7E68" w:rsidRDefault="00DF34EC" w:rsidP="00DF34EC">
      <w:pPr>
        <w:spacing w:after="0" w:line="360" w:lineRule="auto"/>
        <w:rPr>
          <w:rFonts w:eastAsia="Times New Roman" w:cs="Tahoma"/>
          <w:bCs/>
          <w:iCs/>
          <w:color w:val="000000"/>
          <w:lang w:val="es-ES" w:eastAsia="es-ES"/>
        </w:rPr>
      </w:pPr>
      <w:r w:rsidRPr="00FB7E68">
        <w:rPr>
          <w:rFonts w:eastAsia="Times New Roman" w:cs="Tahoma"/>
          <w:bCs/>
          <w:iCs/>
          <w:color w:val="000000"/>
          <w:lang w:val="es-ES" w:eastAsia="es-ES"/>
        </w:rPr>
        <w:t xml:space="preserve">Por lo cual, en los casos en que se niegue el acceso a la información, por actualizarse alguno de los supuestos de clasificación, </w:t>
      </w:r>
      <w:r w:rsidRPr="00FB7E68">
        <w:rPr>
          <w:rFonts w:eastAsia="Times New Roman" w:cs="Tahoma"/>
          <w:b/>
          <w:bCs/>
          <w:iCs/>
          <w:color w:val="000000"/>
          <w:lang w:val="es-ES" w:eastAsia="es-ES"/>
        </w:rPr>
        <w:t xml:space="preserve">el Comité de Transparencia deberá confirmar, modificar o revocar la decisión; </w:t>
      </w:r>
      <w:r w:rsidRPr="00FB7E68">
        <w:rPr>
          <w:rFonts w:eastAsia="Times New Roman" w:cs="Tahoma"/>
          <w:bCs/>
          <w:iCs/>
          <w:color w:val="000000"/>
          <w:lang w:val="es-ES" w:eastAsia="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62533544" w14:textId="77777777" w:rsidR="00DF34EC" w:rsidRPr="00FB7E68" w:rsidRDefault="00DF34EC" w:rsidP="00DF34EC">
      <w:pPr>
        <w:spacing w:after="0" w:line="360" w:lineRule="auto"/>
        <w:rPr>
          <w:rFonts w:eastAsia="Times New Roman" w:cs="Tahoma"/>
          <w:bCs/>
          <w:iCs/>
          <w:color w:val="000000"/>
          <w:lang w:val="es-ES" w:eastAsia="es-ES"/>
        </w:rPr>
      </w:pPr>
    </w:p>
    <w:p w14:paraId="2D2F6D69" w14:textId="77777777" w:rsidR="00DF34EC" w:rsidRPr="00FB7E68" w:rsidRDefault="00DF34EC" w:rsidP="00DF34EC">
      <w:pPr>
        <w:spacing w:after="0" w:line="360" w:lineRule="auto"/>
        <w:rPr>
          <w:rFonts w:eastAsia="Times New Roman" w:cs="Tahoma"/>
          <w:bCs/>
          <w:iCs/>
          <w:color w:val="000000"/>
          <w:lang w:eastAsia="es-ES"/>
        </w:rPr>
      </w:pPr>
      <w:r w:rsidRPr="00FB7E68">
        <w:rPr>
          <w:rFonts w:eastAsia="Times New Roman" w:cs="Tahoma"/>
          <w:bCs/>
          <w:iCs/>
          <w:color w:val="000000"/>
          <w:lang w:val="es-ES" w:eastAsia="es-ES"/>
        </w:rPr>
        <w:t xml:space="preserve">Por su parte, </w:t>
      </w:r>
      <w:r w:rsidRPr="00FB7E68">
        <w:rPr>
          <w:rFonts w:eastAsia="Times New Roman" w:cs="Tahoma"/>
          <w:bCs/>
          <w:iCs/>
          <w:color w:val="000000"/>
          <w:lang w:eastAsia="es-ES"/>
        </w:rPr>
        <w:t xml:space="preserve">según Bonifaz, Leticia (2016), en la “Ley General de Transparencia y Acceso a la Información Pública Comentada” (p. 342), la clasificación de la </w:t>
      </w:r>
      <w:proofErr w:type="gramStart"/>
      <w:r w:rsidRPr="00FB7E68">
        <w:rPr>
          <w:rFonts w:eastAsia="Times New Roman" w:cs="Tahoma"/>
          <w:bCs/>
          <w:iCs/>
          <w:color w:val="000000"/>
          <w:lang w:eastAsia="es-ES"/>
        </w:rPr>
        <w:t>información,</w:t>
      </w:r>
      <w:proofErr w:type="gramEnd"/>
      <w:r w:rsidRPr="00FB7E68">
        <w:rPr>
          <w:rFonts w:eastAsia="Times New Roman" w:cs="Tahoma"/>
          <w:bCs/>
          <w:iCs/>
          <w:color w:val="000000"/>
          <w:lang w:eastAsia="es-E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de manera adecuada la negativa de información.</w:t>
      </w:r>
    </w:p>
    <w:p w14:paraId="0F852AB7" w14:textId="77777777" w:rsidR="00DF34EC" w:rsidRPr="00FB7E68" w:rsidRDefault="00DF34EC" w:rsidP="00DF34EC">
      <w:pPr>
        <w:spacing w:after="0" w:line="360" w:lineRule="auto"/>
        <w:rPr>
          <w:rFonts w:eastAsia="Times New Roman" w:cs="Tahoma"/>
          <w:bCs/>
          <w:iCs/>
          <w:color w:val="000000"/>
          <w:lang w:eastAsia="es-ES"/>
        </w:rPr>
      </w:pPr>
    </w:p>
    <w:p w14:paraId="02C47298" w14:textId="41C4FA2A" w:rsidR="00DF34EC" w:rsidRPr="00FB7E68" w:rsidRDefault="00DF34EC" w:rsidP="00DF34EC">
      <w:pPr>
        <w:spacing w:after="0" w:line="360" w:lineRule="auto"/>
        <w:rPr>
          <w:rFonts w:eastAsia="Times New Roman" w:cs="Tahoma"/>
          <w:iCs/>
          <w:color w:val="000000"/>
          <w:lang w:eastAsia="es-ES"/>
        </w:rPr>
      </w:pPr>
      <w:r w:rsidRPr="00FB7E68">
        <w:rPr>
          <w:rFonts w:eastAsia="Times New Roman" w:cs="Tahoma"/>
          <w:iCs/>
          <w:color w:val="000000"/>
          <w:lang w:eastAsia="es-ES"/>
        </w:rPr>
        <w:t xml:space="preserve">Conforme a lo anterior, en el presente caso el Ayuntamiento de </w:t>
      </w:r>
      <w:r w:rsidR="000C743D" w:rsidRPr="00FB7E68">
        <w:rPr>
          <w:rFonts w:eastAsia="Times New Roman" w:cs="Tahoma"/>
          <w:iCs/>
          <w:color w:val="000000"/>
          <w:lang w:eastAsia="es-ES"/>
        </w:rPr>
        <w:t>Tecámac</w:t>
      </w:r>
      <w:r w:rsidRPr="00FB7E68">
        <w:rPr>
          <w:rFonts w:eastAsia="Times New Roman" w:cs="Tahoma"/>
          <w:iCs/>
          <w:color w:val="000000"/>
          <w:lang w:eastAsia="es-ES"/>
        </w:rPr>
        <w:t xml:space="preserve">, señaló que la información no podía ser proporcionada al ser reservada, por lo que </w:t>
      </w:r>
      <w:r w:rsidRPr="00FB7E68">
        <w:rPr>
          <w:rFonts w:eastAsia="Calibri" w:cs="Tahoma"/>
          <w:bCs/>
          <w:color w:val="000000"/>
        </w:rPr>
        <w:t>se negó el acceso a la información peticionada por la persona Recurrente, al considerar que estaba clasificada; tan es así, que consideró que actualizaba la causal de reserva establecida en el artíc</w:t>
      </w:r>
      <w:r w:rsidR="000C743D" w:rsidRPr="00FB7E68">
        <w:rPr>
          <w:rFonts w:eastAsia="Calibri" w:cs="Tahoma"/>
          <w:bCs/>
          <w:color w:val="000000"/>
        </w:rPr>
        <w:t>ulo 140, fracciones V numeral 1</w:t>
      </w:r>
      <w:r w:rsidRPr="00FB7E68">
        <w:rPr>
          <w:rFonts w:eastAsia="Calibri" w:cs="Tahoma"/>
          <w:bCs/>
          <w:color w:val="000000"/>
        </w:rPr>
        <w:t xml:space="preserve">, de la Ley </w:t>
      </w:r>
      <w:r w:rsidRPr="00FB7E68">
        <w:rPr>
          <w:rFonts w:eastAsia="Times New Roman" w:cs="Tahoma"/>
          <w:bCs/>
          <w:iCs/>
          <w:color w:val="000000"/>
          <w:lang w:val="es-ES" w:eastAsia="es-ES"/>
        </w:rPr>
        <w:t xml:space="preserve">de Transparencia y Acceso a la Información Pública del Estado de México y Municipios. </w:t>
      </w:r>
      <w:r w:rsidRPr="00FB7E68">
        <w:rPr>
          <w:rFonts w:eastAsia="Times New Roman" w:cs="Tahoma"/>
          <w:iCs/>
          <w:color w:val="000000"/>
          <w:lang w:eastAsia="es-ES"/>
        </w:rPr>
        <w:t xml:space="preserve"> </w:t>
      </w:r>
    </w:p>
    <w:p w14:paraId="456CE8F7" w14:textId="77777777" w:rsidR="00DF34EC" w:rsidRPr="00FB7E68" w:rsidRDefault="00DF34EC" w:rsidP="00DF34EC">
      <w:pPr>
        <w:spacing w:after="0" w:line="360" w:lineRule="auto"/>
        <w:rPr>
          <w:rFonts w:eastAsia="Times New Roman" w:cs="Tahoma"/>
          <w:iCs/>
          <w:color w:val="000000"/>
          <w:lang w:eastAsia="es-ES"/>
        </w:rPr>
      </w:pPr>
    </w:p>
    <w:p w14:paraId="7E322AF7" w14:textId="77777777" w:rsidR="00DF34EC" w:rsidRPr="00FB7E68" w:rsidRDefault="00DF34EC" w:rsidP="00DF34EC">
      <w:pPr>
        <w:spacing w:after="0" w:line="360" w:lineRule="auto"/>
        <w:rPr>
          <w:rFonts w:eastAsia="Times New Roman" w:cs="Tahoma"/>
          <w:bCs/>
          <w:iCs/>
          <w:color w:val="000000"/>
          <w:lang w:eastAsia="es-ES"/>
        </w:rPr>
      </w:pPr>
      <w:r w:rsidRPr="00FB7E68">
        <w:rPr>
          <w:rFonts w:eastAsia="Times New Roman" w:cs="Tahoma"/>
          <w:bCs/>
          <w:iCs/>
          <w:color w:val="000000"/>
          <w:lang w:eastAsia="es-ES"/>
        </w:rPr>
        <w:t>En ese sentido,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análisis caso por caso.</w:t>
      </w:r>
    </w:p>
    <w:p w14:paraId="65A73167" w14:textId="77777777" w:rsidR="00DF34EC" w:rsidRPr="00FB7E68" w:rsidRDefault="00DF34EC" w:rsidP="00DF34EC">
      <w:pPr>
        <w:spacing w:after="0" w:line="360" w:lineRule="auto"/>
        <w:rPr>
          <w:rFonts w:eastAsia="Times New Roman" w:cs="Tahoma"/>
          <w:b/>
          <w:bCs/>
          <w:iCs/>
          <w:color w:val="000000"/>
          <w:lang w:eastAsia="es-ES"/>
        </w:rPr>
      </w:pPr>
    </w:p>
    <w:p w14:paraId="5A1F1701" w14:textId="77777777" w:rsidR="00DF34EC" w:rsidRPr="00FB7E68" w:rsidRDefault="00DF34EC" w:rsidP="00DF34EC">
      <w:pPr>
        <w:spacing w:after="0" w:line="360" w:lineRule="auto"/>
        <w:rPr>
          <w:rFonts w:eastAsia="Times New Roman" w:cs="Tahoma"/>
          <w:bCs/>
          <w:iCs/>
          <w:color w:val="000000"/>
          <w:lang w:eastAsia="es-ES"/>
        </w:rPr>
      </w:pPr>
      <w:r w:rsidRPr="00FB7E68">
        <w:rPr>
          <w:rFonts w:eastAsia="Times New Roman" w:cs="Tahoma"/>
          <w:bCs/>
          <w:iCs/>
          <w:color w:val="000000"/>
          <w:lang w:eastAsia="es-ES"/>
        </w:rPr>
        <w:t>Además, el artículo 131 de la Ley referida, así como el Quinto de los Lineamientos Generales, establecen que los sujetos obligados deberán fundar y motivar debidamente la clasificación de la información.</w:t>
      </w:r>
    </w:p>
    <w:p w14:paraId="75C2725A" w14:textId="77777777" w:rsidR="00DF34EC" w:rsidRPr="00FB7E68" w:rsidRDefault="00DF34EC" w:rsidP="00DF34EC">
      <w:pPr>
        <w:spacing w:after="0" w:line="360" w:lineRule="auto"/>
        <w:rPr>
          <w:rFonts w:eastAsia="Times New Roman" w:cs="Tahoma"/>
          <w:b/>
          <w:bCs/>
          <w:iCs/>
          <w:color w:val="000000"/>
          <w:lang w:eastAsia="es-ES"/>
        </w:rPr>
      </w:pPr>
    </w:p>
    <w:p w14:paraId="3FA9E39A" w14:textId="77777777" w:rsidR="00DF34EC" w:rsidRPr="00FB7E68" w:rsidRDefault="00DF34EC" w:rsidP="00DF34EC">
      <w:pPr>
        <w:spacing w:after="0" w:line="360" w:lineRule="auto"/>
        <w:rPr>
          <w:rFonts w:eastAsia="Times New Roman" w:cs="Tahoma"/>
          <w:bCs/>
          <w:iCs/>
          <w:color w:val="000000"/>
          <w:lang w:eastAsia="es-ES"/>
        </w:rPr>
      </w:pPr>
      <w:r w:rsidRPr="00FB7E68">
        <w:rPr>
          <w:rFonts w:eastAsia="Times New Roman" w:cs="Tahoma"/>
          <w:bCs/>
          <w:iCs/>
          <w:color w:val="000000"/>
          <w:lang w:eastAsia="es-ES"/>
        </w:rPr>
        <w:lastRenderedPageBreak/>
        <w:t>Al respecto, el Octavo de los Lineamientos Generales, precisa lo siguiente:</w:t>
      </w:r>
    </w:p>
    <w:p w14:paraId="738D5CFD" w14:textId="77777777" w:rsidR="00DF34EC" w:rsidRPr="00FB7E68" w:rsidRDefault="00DF34EC" w:rsidP="00DF34EC">
      <w:pPr>
        <w:spacing w:after="0" w:line="360" w:lineRule="auto"/>
        <w:rPr>
          <w:rFonts w:eastAsia="Times New Roman" w:cs="Tahoma"/>
          <w:bCs/>
          <w:iCs/>
          <w:color w:val="000000"/>
          <w:lang w:eastAsia="es-ES"/>
        </w:rPr>
      </w:pPr>
    </w:p>
    <w:p w14:paraId="11355225" w14:textId="77777777" w:rsidR="00DF34EC" w:rsidRPr="00FB7E68" w:rsidRDefault="00DF34EC" w:rsidP="00DF34EC">
      <w:pPr>
        <w:numPr>
          <w:ilvl w:val="0"/>
          <w:numId w:val="26"/>
        </w:numPr>
        <w:spacing w:after="0" w:line="360" w:lineRule="auto"/>
        <w:rPr>
          <w:rFonts w:eastAsia="Times New Roman" w:cs="Tahoma"/>
          <w:bCs/>
          <w:iCs/>
          <w:color w:val="000000"/>
          <w:lang w:eastAsia="es-ES"/>
        </w:rPr>
      </w:pPr>
      <w:r w:rsidRPr="00FB7E68">
        <w:rPr>
          <w:rFonts w:eastAsia="Times New Roman" w:cs="Tahoma"/>
          <w:b/>
          <w:bCs/>
          <w:iCs/>
          <w:color w:val="000000"/>
          <w:lang w:eastAsia="es-ES"/>
        </w:rPr>
        <w:t>Para fundar la clasificación</w:t>
      </w:r>
      <w:r w:rsidRPr="00FB7E68">
        <w:rPr>
          <w:rFonts w:eastAsia="Times New Roman" w:cs="Tahoma"/>
          <w:bCs/>
          <w:iCs/>
          <w:color w:val="000000"/>
          <w:lang w:eastAsia="es-ES"/>
        </w:rPr>
        <w:t xml:space="preserve"> de la información se deberán señalar el artículo, fracción, inciso, párrafo o numeral de la Ley aplicable;</w:t>
      </w:r>
    </w:p>
    <w:p w14:paraId="459D0F36" w14:textId="77777777" w:rsidR="00DF34EC" w:rsidRPr="00FB7E68" w:rsidRDefault="00DF34EC" w:rsidP="00DF34EC">
      <w:pPr>
        <w:spacing w:after="0" w:line="360" w:lineRule="auto"/>
        <w:rPr>
          <w:rFonts w:eastAsia="Times New Roman" w:cs="Tahoma"/>
          <w:bCs/>
          <w:iCs/>
          <w:color w:val="000000"/>
          <w:lang w:eastAsia="es-ES"/>
        </w:rPr>
      </w:pPr>
    </w:p>
    <w:p w14:paraId="355D662E" w14:textId="77777777" w:rsidR="00DF34EC" w:rsidRPr="00FB7E68" w:rsidRDefault="00DF34EC" w:rsidP="00DF34EC">
      <w:pPr>
        <w:numPr>
          <w:ilvl w:val="0"/>
          <w:numId w:val="26"/>
        </w:numPr>
        <w:spacing w:after="0" w:line="360" w:lineRule="auto"/>
        <w:rPr>
          <w:rFonts w:eastAsia="Times New Roman" w:cs="Tahoma"/>
          <w:bCs/>
          <w:iCs/>
          <w:color w:val="000000"/>
          <w:lang w:eastAsia="es-ES"/>
        </w:rPr>
      </w:pPr>
      <w:r w:rsidRPr="00FB7E68">
        <w:rPr>
          <w:rFonts w:eastAsia="Times New Roman" w:cs="Tahoma"/>
          <w:b/>
          <w:bCs/>
          <w:iCs/>
          <w:color w:val="000000"/>
          <w:lang w:eastAsia="es-ES"/>
        </w:rPr>
        <w:t>Para motivar la clasificación</w:t>
      </w:r>
      <w:r w:rsidRPr="00FB7E68">
        <w:rPr>
          <w:rFonts w:eastAsia="Times New Roman" w:cs="Tahoma"/>
          <w:bCs/>
          <w:iCs/>
          <w:color w:val="000000"/>
          <w:lang w:eastAsia="es-ES"/>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B25CB33" w14:textId="77777777" w:rsidR="00DF34EC" w:rsidRPr="00FB7E68" w:rsidRDefault="00DF34EC" w:rsidP="00DF34EC">
      <w:pPr>
        <w:spacing w:after="0" w:line="360" w:lineRule="auto"/>
        <w:rPr>
          <w:rFonts w:eastAsia="Times New Roman" w:cs="Tahoma"/>
          <w:bCs/>
          <w:iCs/>
          <w:color w:val="000000"/>
          <w:lang w:eastAsia="es-ES"/>
        </w:rPr>
      </w:pPr>
    </w:p>
    <w:p w14:paraId="53F15139" w14:textId="77777777" w:rsidR="00DF34EC" w:rsidRPr="00FB7E68" w:rsidRDefault="00DF34EC" w:rsidP="00DF34EC">
      <w:pPr>
        <w:spacing w:after="0" w:line="360" w:lineRule="auto"/>
        <w:rPr>
          <w:rFonts w:eastAsia="Times New Roman" w:cs="Tahoma"/>
          <w:bCs/>
          <w:iCs/>
          <w:color w:val="000000"/>
          <w:lang w:eastAsia="es-ES"/>
        </w:rPr>
      </w:pPr>
      <w:r w:rsidRPr="00FB7E68">
        <w:rPr>
          <w:rFonts w:eastAsia="Times New Roman" w:cs="Tahoma"/>
          <w:bCs/>
          <w:iCs/>
          <w:color w:val="000000"/>
          <w:lang w:eastAsia="es-ES"/>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6BC5CE8C" w14:textId="77777777" w:rsidR="00DF34EC" w:rsidRPr="00FB7E68" w:rsidRDefault="00DF34EC" w:rsidP="00DF34EC">
      <w:pPr>
        <w:spacing w:after="0" w:line="360" w:lineRule="auto"/>
        <w:rPr>
          <w:rFonts w:eastAsia="Times New Roman" w:cs="Tahoma"/>
          <w:bCs/>
          <w:iCs/>
          <w:color w:val="000000"/>
          <w:sz w:val="20"/>
          <w:szCs w:val="20"/>
          <w:lang w:eastAsia="es-ES"/>
        </w:rPr>
      </w:pPr>
    </w:p>
    <w:p w14:paraId="1E91BEB5" w14:textId="77777777" w:rsidR="00DF34EC" w:rsidRPr="00FB7E68" w:rsidRDefault="00DF34EC" w:rsidP="00DF34EC">
      <w:pPr>
        <w:spacing w:after="0" w:line="360" w:lineRule="auto"/>
        <w:ind w:left="567" w:right="567"/>
        <w:rPr>
          <w:rFonts w:eastAsia="Times New Roman" w:cs="Tahoma"/>
          <w:bCs/>
          <w:i/>
          <w:iCs/>
          <w:color w:val="000000"/>
          <w:sz w:val="20"/>
          <w:szCs w:val="20"/>
          <w:lang w:eastAsia="es-ES"/>
        </w:rPr>
      </w:pPr>
      <w:r w:rsidRPr="00FB7E68">
        <w:rPr>
          <w:rFonts w:eastAsia="Times New Roman" w:cs="Tahoma"/>
          <w:b/>
          <w:bCs/>
          <w:i/>
          <w:iCs/>
          <w:color w:val="000000"/>
          <w:sz w:val="20"/>
          <w:szCs w:val="20"/>
          <w:lang w:eastAsia="es-ES"/>
        </w:rPr>
        <w:t xml:space="preserve">“FUNDAMENTACION Y MOTIVACION, CONCEPTO DE. </w:t>
      </w:r>
      <w:r w:rsidRPr="00FB7E68">
        <w:rPr>
          <w:rFonts w:eastAsia="Times New Roman" w:cs="Tahoma"/>
          <w:bCs/>
          <w:i/>
          <w:iCs/>
          <w:color w:val="000000"/>
          <w:sz w:val="20"/>
          <w:szCs w:val="20"/>
          <w:lang w:eastAsia="es-ES"/>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584DE451" w14:textId="77777777" w:rsidR="00DF34EC" w:rsidRPr="00FB7E68" w:rsidRDefault="00DF34EC" w:rsidP="00DF34EC">
      <w:pPr>
        <w:spacing w:after="0" w:line="360" w:lineRule="auto"/>
        <w:rPr>
          <w:rFonts w:eastAsia="Times New Roman" w:cs="Tahoma"/>
          <w:bCs/>
          <w:iCs/>
          <w:color w:val="000000"/>
          <w:lang w:eastAsia="es-ES"/>
        </w:rPr>
      </w:pPr>
    </w:p>
    <w:p w14:paraId="3F3CEAF7" w14:textId="77777777" w:rsidR="00DF34EC" w:rsidRPr="00FB7E68" w:rsidRDefault="00DF34EC" w:rsidP="00DF34EC">
      <w:pPr>
        <w:spacing w:after="0" w:line="360" w:lineRule="auto"/>
        <w:rPr>
          <w:rFonts w:eastAsia="Times New Roman" w:cs="Tahoma"/>
          <w:bCs/>
          <w:iCs/>
          <w:color w:val="000000"/>
          <w:lang w:eastAsia="es-ES"/>
        </w:rPr>
      </w:pPr>
      <w:r w:rsidRPr="00FB7E68">
        <w:rPr>
          <w:rFonts w:eastAsia="Times New Roman" w:cs="Tahoma"/>
          <w:bCs/>
          <w:iCs/>
          <w:color w:val="000000"/>
          <w:lang w:eastAsia="es-ES"/>
        </w:rPr>
        <w:t>Conforme a lo anterior, se advierte lo siguiente:</w:t>
      </w:r>
    </w:p>
    <w:p w14:paraId="1F0EE305" w14:textId="77777777" w:rsidR="00DF34EC" w:rsidRPr="00FB7E68" w:rsidRDefault="00DF34EC" w:rsidP="00DF34EC">
      <w:pPr>
        <w:spacing w:after="0" w:line="360" w:lineRule="auto"/>
        <w:rPr>
          <w:rFonts w:eastAsia="Times New Roman" w:cs="Tahoma"/>
          <w:bCs/>
          <w:iCs/>
          <w:color w:val="000000"/>
          <w:lang w:eastAsia="es-ES"/>
        </w:rPr>
      </w:pPr>
    </w:p>
    <w:p w14:paraId="1927EFC4" w14:textId="77777777" w:rsidR="00DF34EC" w:rsidRPr="00FB7E68" w:rsidRDefault="00DF34EC" w:rsidP="00DF34EC">
      <w:pPr>
        <w:numPr>
          <w:ilvl w:val="0"/>
          <w:numId w:val="27"/>
        </w:numPr>
        <w:spacing w:after="0" w:line="360" w:lineRule="auto"/>
        <w:rPr>
          <w:rFonts w:eastAsia="Times New Roman" w:cs="Tahoma"/>
          <w:b/>
          <w:bCs/>
          <w:iCs/>
          <w:color w:val="000000"/>
          <w:lang w:eastAsia="es-ES"/>
        </w:rPr>
      </w:pPr>
      <w:r w:rsidRPr="00FB7E68">
        <w:rPr>
          <w:rFonts w:eastAsia="Times New Roman" w:cs="Tahoma"/>
          <w:b/>
          <w:bCs/>
          <w:iCs/>
          <w:color w:val="000000"/>
          <w:lang w:eastAsia="es-ES"/>
        </w:rPr>
        <w:t xml:space="preserve">Fundamentación: </w:t>
      </w:r>
      <w:r w:rsidRPr="00FB7E68">
        <w:rPr>
          <w:rFonts w:eastAsia="Times New Roman" w:cs="Tahoma"/>
          <w:bCs/>
          <w:iCs/>
          <w:color w:val="000000"/>
          <w:lang w:eastAsia="es-ES"/>
        </w:rPr>
        <w:t>Obligación de la autoridad que emite un acto, para citar los preceptos legales, sustantivos y adjetivos, en que se apoye para la determinación tomada.</w:t>
      </w:r>
    </w:p>
    <w:p w14:paraId="2C25E77B" w14:textId="77777777" w:rsidR="00DF34EC" w:rsidRPr="00FB7E68" w:rsidRDefault="00DF34EC" w:rsidP="00DF34EC">
      <w:pPr>
        <w:spacing w:after="0" w:line="360" w:lineRule="auto"/>
        <w:rPr>
          <w:rFonts w:eastAsia="Times New Roman" w:cs="Tahoma"/>
          <w:b/>
          <w:bCs/>
          <w:iCs/>
          <w:color w:val="000000"/>
          <w:lang w:eastAsia="es-ES"/>
        </w:rPr>
      </w:pPr>
    </w:p>
    <w:p w14:paraId="452E12C7" w14:textId="77777777" w:rsidR="00DF34EC" w:rsidRPr="00FB7E68" w:rsidRDefault="00DF34EC" w:rsidP="00DF34EC">
      <w:pPr>
        <w:numPr>
          <w:ilvl w:val="0"/>
          <w:numId w:val="27"/>
        </w:numPr>
        <w:spacing w:after="0" w:line="360" w:lineRule="auto"/>
        <w:rPr>
          <w:rFonts w:eastAsia="Times New Roman" w:cs="Tahoma"/>
          <w:b/>
          <w:bCs/>
          <w:iCs/>
          <w:color w:val="000000"/>
          <w:lang w:eastAsia="es-ES"/>
        </w:rPr>
      </w:pPr>
      <w:r w:rsidRPr="00FB7E68">
        <w:rPr>
          <w:rFonts w:eastAsia="Times New Roman" w:cs="Tahoma"/>
          <w:b/>
          <w:bCs/>
          <w:iCs/>
          <w:color w:val="000000"/>
          <w:lang w:eastAsia="es-ES"/>
        </w:rPr>
        <w:t xml:space="preserve">Motivación: </w:t>
      </w:r>
      <w:r w:rsidRPr="00FB7E68">
        <w:rPr>
          <w:rFonts w:eastAsia="Times New Roman" w:cs="Tahoma"/>
          <w:bCs/>
          <w:iCs/>
          <w:color w:val="000000"/>
          <w:lang w:eastAsia="es-ES"/>
        </w:rPr>
        <w:t>Razonamientos lógico-jurídicos sobre porque se consideró en el caso en concreto, que se ajusta a la hipótesis normativa.</w:t>
      </w:r>
    </w:p>
    <w:p w14:paraId="139345DF" w14:textId="77777777" w:rsidR="00DF34EC" w:rsidRPr="00FB7E68" w:rsidRDefault="00DF34EC" w:rsidP="00DF34EC">
      <w:pPr>
        <w:spacing w:after="0" w:line="360" w:lineRule="auto"/>
        <w:rPr>
          <w:rFonts w:eastAsia="Times New Roman" w:cs="Tahoma"/>
          <w:bCs/>
          <w:iCs/>
          <w:color w:val="000000"/>
          <w:lang w:eastAsia="es-ES"/>
        </w:rPr>
      </w:pPr>
    </w:p>
    <w:p w14:paraId="13EC2CDE" w14:textId="77777777" w:rsidR="00DF34EC" w:rsidRPr="00FB7E68" w:rsidRDefault="00DF34EC" w:rsidP="00DF34EC">
      <w:pPr>
        <w:spacing w:after="0" w:line="360" w:lineRule="auto"/>
        <w:rPr>
          <w:rFonts w:eastAsia="Times New Roman" w:cs="Tahoma"/>
          <w:bCs/>
          <w:iCs/>
          <w:color w:val="000000"/>
          <w:lang w:val="es-ES" w:eastAsia="es-ES"/>
        </w:rPr>
      </w:pPr>
      <w:r w:rsidRPr="00FB7E68">
        <w:rPr>
          <w:rFonts w:eastAsia="Times New Roman" w:cs="Tahoma"/>
          <w:bCs/>
          <w:iCs/>
          <w:color w:val="000000"/>
          <w:lang w:val="es-ES" w:eastAsia="es-ES"/>
        </w:rPr>
        <w:t>En ese orden de ideas, el Trigésimo tercero de los Lineamientos Generales establece la forma en que se debe fundamentar y motivar la reserva de la información, es decir, a través de los siguientes pasos:</w:t>
      </w:r>
    </w:p>
    <w:p w14:paraId="6682049B" w14:textId="77777777" w:rsidR="00DF34EC" w:rsidRPr="00FB7E68" w:rsidRDefault="00DF34EC" w:rsidP="00DF34EC">
      <w:pPr>
        <w:spacing w:after="0" w:line="360" w:lineRule="auto"/>
        <w:rPr>
          <w:rFonts w:eastAsia="Times New Roman" w:cs="Tahoma"/>
          <w:bCs/>
          <w:iCs/>
          <w:color w:val="000000"/>
          <w:lang w:eastAsia="es-ES"/>
        </w:rPr>
      </w:pPr>
    </w:p>
    <w:p w14:paraId="24F7A4D9" w14:textId="2A08F2EB" w:rsidR="00DF34EC" w:rsidRPr="00FB7E68" w:rsidRDefault="00DF34EC" w:rsidP="00DF34EC">
      <w:pPr>
        <w:numPr>
          <w:ilvl w:val="0"/>
          <w:numId w:val="28"/>
        </w:numPr>
        <w:spacing w:after="0" w:line="360" w:lineRule="auto"/>
        <w:rPr>
          <w:rFonts w:eastAsia="Times New Roman" w:cs="Tahoma"/>
          <w:bCs/>
          <w:iCs/>
          <w:color w:val="000000"/>
          <w:lang w:eastAsia="es-ES"/>
        </w:rPr>
      </w:pPr>
      <w:r w:rsidRPr="00FB7E68">
        <w:rPr>
          <w:rFonts w:eastAsia="Times New Roman" w:cs="Tahoma"/>
          <w:bCs/>
          <w:iCs/>
          <w:color w:val="000000"/>
          <w:lang w:eastAsia="es-ES"/>
        </w:rPr>
        <w:t>Se deberá citar la fracción y, en su c</w:t>
      </w:r>
      <w:r w:rsidR="008B731F" w:rsidRPr="00FB7E68">
        <w:rPr>
          <w:rFonts w:eastAsia="Times New Roman" w:cs="Tahoma"/>
          <w:bCs/>
          <w:iCs/>
          <w:color w:val="000000"/>
          <w:lang w:eastAsia="es-ES"/>
        </w:rPr>
        <w:t>aso, la causal aplicable de la</w:t>
      </w:r>
      <w:r w:rsidRPr="00FB7E68">
        <w:rPr>
          <w:rFonts w:eastAsia="Times New Roman" w:cs="Tahoma"/>
          <w:bCs/>
          <w:iCs/>
          <w:color w:val="000000"/>
          <w:lang w:eastAsia="es-ES"/>
        </w:rPr>
        <w:t xml:space="preserve"> Ley General de Transparencia y Acceso a la Información Pública o, en el presente caso, de la Ley de Transparencia y Acceso a la Información Pública del Estado de México y Municipios, vinculándola con el Lineamiento específico; </w:t>
      </w:r>
    </w:p>
    <w:p w14:paraId="4B7BD9F2" w14:textId="77777777" w:rsidR="00DF34EC" w:rsidRPr="00FB7E68" w:rsidRDefault="00DF34EC" w:rsidP="00DF34EC">
      <w:pPr>
        <w:spacing w:after="0" w:line="360" w:lineRule="auto"/>
        <w:rPr>
          <w:rFonts w:eastAsia="Times New Roman" w:cs="Tahoma"/>
          <w:bCs/>
          <w:iCs/>
          <w:color w:val="000000"/>
          <w:lang w:eastAsia="es-ES"/>
        </w:rPr>
      </w:pPr>
    </w:p>
    <w:p w14:paraId="6964ECD5" w14:textId="77777777" w:rsidR="00DF34EC" w:rsidRPr="00FB7E68" w:rsidRDefault="00DF34EC" w:rsidP="00DF34EC">
      <w:pPr>
        <w:numPr>
          <w:ilvl w:val="0"/>
          <w:numId w:val="28"/>
        </w:numPr>
        <w:spacing w:after="0" w:line="360" w:lineRule="auto"/>
        <w:rPr>
          <w:rFonts w:eastAsia="Times New Roman" w:cs="Tahoma"/>
          <w:bCs/>
          <w:iCs/>
          <w:color w:val="000000"/>
          <w:lang w:val="es-ES" w:eastAsia="es-ES"/>
        </w:rPr>
      </w:pPr>
      <w:r w:rsidRPr="00FB7E68">
        <w:rPr>
          <w:rFonts w:eastAsia="Times New Roman" w:cs="Tahoma"/>
          <w:bCs/>
          <w:iCs/>
          <w:color w:val="000000"/>
          <w:lang w:val="es-ES" w:eastAsia="es-ES"/>
        </w:rPr>
        <w:t>Se deberá demostrar que la publicidad de la información generaría un riesgo de perjuicio, que rebasa el interés público;</w:t>
      </w:r>
    </w:p>
    <w:p w14:paraId="5FDE9200" w14:textId="77777777" w:rsidR="00DF34EC" w:rsidRPr="00FB7E68" w:rsidRDefault="00DF34EC" w:rsidP="00DF34EC">
      <w:pPr>
        <w:spacing w:after="0" w:line="360" w:lineRule="auto"/>
        <w:rPr>
          <w:rFonts w:eastAsia="Times New Roman" w:cs="Tahoma"/>
          <w:bCs/>
          <w:iCs/>
          <w:color w:val="000000"/>
          <w:lang w:val="es-ES" w:eastAsia="es-ES"/>
        </w:rPr>
      </w:pPr>
    </w:p>
    <w:p w14:paraId="7893F60B" w14:textId="77777777" w:rsidR="00DF34EC" w:rsidRPr="00FB7E68" w:rsidRDefault="00DF34EC" w:rsidP="00DF34EC">
      <w:pPr>
        <w:numPr>
          <w:ilvl w:val="0"/>
          <w:numId w:val="28"/>
        </w:numPr>
        <w:spacing w:after="0" w:line="360" w:lineRule="auto"/>
        <w:rPr>
          <w:rFonts w:eastAsia="Times New Roman" w:cs="Tahoma"/>
          <w:bCs/>
          <w:iCs/>
          <w:color w:val="000000"/>
          <w:lang w:val="es-ES" w:eastAsia="es-ES"/>
        </w:rPr>
      </w:pPr>
      <w:r w:rsidRPr="00FB7E68">
        <w:rPr>
          <w:rFonts w:eastAsia="Times New Roman" w:cs="Tahoma"/>
          <w:bCs/>
          <w:iCs/>
          <w:color w:val="000000"/>
          <w:lang w:val="es-ES" w:eastAsia="es-ES"/>
        </w:rPr>
        <w:t>Se acreditará el vínculo entre la difusión de la información y la afectación del interés jurídico tutelado;</w:t>
      </w:r>
    </w:p>
    <w:p w14:paraId="5F530159" w14:textId="77777777" w:rsidR="00DF34EC" w:rsidRPr="00FB7E68" w:rsidRDefault="00DF34EC" w:rsidP="00DF34EC">
      <w:pPr>
        <w:spacing w:after="0" w:line="360" w:lineRule="auto"/>
        <w:rPr>
          <w:rFonts w:eastAsia="Times New Roman" w:cs="Tahoma"/>
          <w:bCs/>
          <w:iCs/>
          <w:color w:val="000000"/>
          <w:lang w:val="es-ES" w:eastAsia="es-ES"/>
        </w:rPr>
      </w:pPr>
    </w:p>
    <w:p w14:paraId="0E67AF31" w14:textId="77777777" w:rsidR="00DF34EC" w:rsidRPr="00FB7E68" w:rsidRDefault="00DF34EC" w:rsidP="00DF34EC">
      <w:pPr>
        <w:numPr>
          <w:ilvl w:val="0"/>
          <w:numId w:val="28"/>
        </w:numPr>
        <w:spacing w:after="0" w:line="360" w:lineRule="auto"/>
        <w:rPr>
          <w:rFonts w:eastAsia="Times New Roman" w:cs="Tahoma"/>
          <w:bCs/>
          <w:iCs/>
          <w:color w:val="000000"/>
          <w:lang w:val="es-ES" w:eastAsia="es-ES"/>
        </w:rPr>
      </w:pPr>
      <w:r w:rsidRPr="00FB7E68">
        <w:rPr>
          <w:rFonts w:eastAsia="Times New Roman" w:cs="Tahoma"/>
          <w:bCs/>
          <w:iCs/>
          <w:color w:val="000000"/>
          <w:lang w:val="es-ES" w:eastAsia="es-ES"/>
        </w:rPr>
        <w:t>Se precisará las razones objetivas por las que la apertura de la información generaría una afectación, por medio del riesgo real, demostrable e identificable;</w:t>
      </w:r>
    </w:p>
    <w:p w14:paraId="3AB8A7F1" w14:textId="77777777" w:rsidR="00DF34EC" w:rsidRPr="00FB7E68" w:rsidRDefault="00DF34EC" w:rsidP="00DF34EC">
      <w:pPr>
        <w:spacing w:after="0" w:line="360" w:lineRule="auto"/>
        <w:rPr>
          <w:rFonts w:eastAsia="Times New Roman" w:cs="Tahoma"/>
          <w:bCs/>
          <w:iCs/>
          <w:color w:val="000000"/>
          <w:lang w:val="es-ES" w:eastAsia="es-ES"/>
        </w:rPr>
      </w:pPr>
    </w:p>
    <w:p w14:paraId="590FAAC8" w14:textId="77777777" w:rsidR="00DF34EC" w:rsidRPr="00FB7E68" w:rsidRDefault="00DF34EC" w:rsidP="00DF34EC">
      <w:pPr>
        <w:numPr>
          <w:ilvl w:val="0"/>
          <w:numId w:val="28"/>
        </w:numPr>
        <w:spacing w:after="0" w:line="360" w:lineRule="auto"/>
        <w:rPr>
          <w:rFonts w:eastAsia="Times New Roman" w:cs="Tahoma"/>
          <w:bCs/>
          <w:iCs/>
          <w:color w:val="000000"/>
          <w:lang w:val="es-ES" w:eastAsia="es-ES"/>
        </w:rPr>
      </w:pPr>
      <w:r w:rsidRPr="00FB7E68">
        <w:rPr>
          <w:rFonts w:eastAsia="Times New Roman" w:cs="Tahoma"/>
          <w:bCs/>
          <w:iCs/>
          <w:color w:val="000000"/>
          <w:lang w:val="es-ES" w:eastAsia="es-ES"/>
        </w:rPr>
        <w:lastRenderedPageBreak/>
        <w:t>Se deberán señalar las circunstancias de modo, tiempo y lugar del daño, y</w:t>
      </w:r>
    </w:p>
    <w:p w14:paraId="49179984" w14:textId="77777777" w:rsidR="00DF34EC" w:rsidRPr="00FB7E68" w:rsidRDefault="00DF34EC" w:rsidP="00DF34EC">
      <w:pPr>
        <w:spacing w:after="0" w:line="360" w:lineRule="auto"/>
        <w:rPr>
          <w:rFonts w:eastAsia="Times New Roman" w:cs="Tahoma"/>
          <w:bCs/>
          <w:iCs/>
          <w:color w:val="000000"/>
          <w:lang w:val="es-ES" w:eastAsia="es-ES"/>
        </w:rPr>
      </w:pPr>
    </w:p>
    <w:p w14:paraId="29693525" w14:textId="77777777" w:rsidR="00DF34EC" w:rsidRPr="00FB7E68" w:rsidRDefault="00DF34EC" w:rsidP="00DF34EC">
      <w:pPr>
        <w:numPr>
          <w:ilvl w:val="0"/>
          <w:numId w:val="28"/>
        </w:numPr>
        <w:spacing w:after="0" w:line="360" w:lineRule="auto"/>
        <w:rPr>
          <w:rFonts w:eastAsia="Times New Roman" w:cs="Tahoma"/>
          <w:bCs/>
          <w:iCs/>
          <w:color w:val="000000"/>
          <w:lang w:val="es-ES" w:eastAsia="es-ES"/>
        </w:rPr>
      </w:pPr>
      <w:r w:rsidRPr="00FB7E68">
        <w:rPr>
          <w:rFonts w:eastAsia="Times New Roman" w:cs="Tahoma"/>
          <w:bCs/>
          <w:iCs/>
          <w:color w:val="000000"/>
          <w:lang w:val="es-ES" w:eastAsia="es-ES"/>
        </w:rPr>
        <w:t>Se elegirá la opción de excepción al acceso a la información que menos restrinja, la cual será adecuada y proporcional para la protección del interés público.</w:t>
      </w:r>
    </w:p>
    <w:p w14:paraId="44289E43" w14:textId="77777777" w:rsidR="00DF34EC" w:rsidRPr="00FB7E68" w:rsidRDefault="00DF34EC" w:rsidP="00DF34EC">
      <w:pPr>
        <w:spacing w:after="0" w:line="360" w:lineRule="auto"/>
        <w:rPr>
          <w:rFonts w:eastAsia="Times New Roman" w:cs="Tahoma"/>
          <w:bCs/>
          <w:iCs/>
          <w:color w:val="000000"/>
          <w:lang w:val="es-ES" w:eastAsia="es-ES"/>
        </w:rPr>
      </w:pPr>
    </w:p>
    <w:p w14:paraId="654C57AA" w14:textId="77777777" w:rsidR="00DF34EC" w:rsidRPr="00FB7E68" w:rsidRDefault="00DF34EC" w:rsidP="00DF34EC">
      <w:pPr>
        <w:spacing w:after="0" w:line="360" w:lineRule="auto"/>
        <w:rPr>
          <w:rFonts w:eastAsia="Times New Roman" w:cs="Tahoma"/>
          <w:bCs/>
          <w:iCs/>
          <w:color w:val="000000"/>
          <w:lang w:eastAsia="es-ES"/>
        </w:rPr>
      </w:pPr>
      <w:r w:rsidRPr="00FB7E68">
        <w:rPr>
          <w:rFonts w:eastAsia="Times New Roman" w:cs="Tahoma"/>
          <w:bCs/>
          <w:iCs/>
          <w:color w:val="000000"/>
          <w:lang w:val="es-ES" w:eastAsia="es-ES"/>
        </w:rPr>
        <w:t xml:space="preserve">Conforme lo anterior, de las formalidades previstas por la Ley de la Materia y de los Lineamientos Generales, así como del análisis de las constancias se logra advertir que el Sujeto Obligado </w:t>
      </w:r>
      <w:r w:rsidRPr="00FB7E68">
        <w:rPr>
          <w:rFonts w:eastAsia="Times New Roman" w:cs="Tahoma"/>
          <w:bCs/>
          <w:iCs/>
          <w:color w:val="000000"/>
          <w:lang w:eastAsia="es-ES"/>
        </w:rPr>
        <w:t>no fundamentó, ni motivó la clasificación de la información, por las siguientes consideraciones:</w:t>
      </w:r>
    </w:p>
    <w:p w14:paraId="3CCC011B" w14:textId="77777777" w:rsidR="00DF34EC" w:rsidRPr="00FB7E68" w:rsidRDefault="00DF34EC" w:rsidP="00DF34EC">
      <w:pPr>
        <w:spacing w:after="0" w:line="360" w:lineRule="auto"/>
        <w:rPr>
          <w:rFonts w:eastAsia="Times New Roman" w:cs="Tahoma"/>
          <w:bCs/>
          <w:color w:val="auto"/>
          <w:lang w:eastAsia="es-ES"/>
        </w:rPr>
      </w:pPr>
    </w:p>
    <w:p w14:paraId="7953354F" w14:textId="345BE69B" w:rsidR="00DF34EC" w:rsidRPr="00FB7E68" w:rsidRDefault="00DF34EC" w:rsidP="00DF34EC">
      <w:pPr>
        <w:numPr>
          <w:ilvl w:val="0"/>
          <w:numId w:val="29"/>
        </w:numPr>
        <w:spacing w:after="0" w:line="360" w:lineRule="auto"/>
        <w:contextualSpacing/>
        <w:rPr>
          <w:rFonts w:eastAsia="Times New Roman" w:cs="Tahoma"/>
          <w:bCs/>
          <w:iCs/>
          <w:color w:val="000000"/>
          <w:szCs w:val="24"/>
          <w:lang w:val="es-ES" w:eastAsia="es-ES"/>
        </w:rPr>
      </w:pPr>
      <w:r w:rsidRPr="00FB7E68">
        <w:rPr>
          <w:rFonts w:eastAsia="Calibri" w:cs="Tahoma"/>
          <w:bCs/>
          <w:color w:val="000000"/>
        </w:rPr>
        <w:t>Si bien señaló los fundamentos aplicables de la Ley de Transparencia y Acceso a la Información Pública del Estado de México y Municipios, omitió acreditar los requisitos establecidos en el Vigésimo Cuarto de los Lineamientos Generales, tal como se analizará en párrafos posteriores.</w:t>
      </w:r>
    </w:p>
    <w:p w14:paraId="08310300" w14:textId="77777777" w:rsidR="00DF34EC" w:rsidRPr="00FB7E68" w:rsidRDefault="00DF34EC" w:rsidP="00DF34EC">
      <w:pPr>
        <w:spacing w:after="0" w:line="360" w:lineRule="auto"/>
        <w:ind w:left="720"/>
        <w:contextualSpacing/>
        <w:rPr>
          <w:rFonts w:eastAsia="Times New Roman" w:cs="Tahoma"/>
          <w:bCs/>
          <w:iCs/>
          <w:color w:val="000000"/>
          <w:szCs w:val="24"/>
          <w:lang w:val="es-ES" w:eastAsia="es-ES"/>
        </w:rPr>
      </w:pPr>
    </w:p>
    <w:p w14:paraId="5B4CCEAC" w14:textId="77777777" w:rsidR="00DF34EC" w:rsidRPr="00FB7E68" w:rsidRDefault="00DF34EC" w:rsidP="00DF34EC">
      <w:pPr>
        <w:numPr>
          <w:ilvl w:val="0"/>
          <w:numId w:val="29"/>
        </w:numPr>
        <w:spacing w:after="0" w:line="360" w:lineRule="auto"/>
        <w:contextualSpacing/>
        <w:rPr>
          <w:rFonts w:eastAsia="Times New Roman" w:cs="Tahoma"/>
          <w:bCs/>
          <w:iCs/>
          <w:color w:val="000000"/>
          <w:szCs w:val="24"/>
          <w:lang w:val="es-ES" w:eastAsia="es-ES"/>
        </w:rPr>
      </w:pPr>
      <w:r w:rsidRPr="00FB7E68">
        <w:rPr>
          <w:rFonts w:eastAsia="Times New Roman" w:cs="Tahoma"/>
          <w:bCs/>
          <w:iCs/>
          <w:color w:val="000000"/>
          <w:szCs w:val="24"/>
          <w:lang w:val="es-ES" w:eastAsia="es-ES"/>
        </w:rPr>
        <w:t xml:space="preserve">El Ente Recurrido no señalo las razones objetivas, concretas y específicas por las cuales la apertura de la información generaría una afectación que rebase el interés público, toda vez que el Sujeto Obligado aludió que la información podría afectar a una auditoría, cuando la pretensión de la persona </w:t>
      </w:r>
      <w:proofErr w:type="gramStart"/>
      <w:r w:rsidRPr="00FB7E68">
        <w:rPr>
          <w:rFonts w:eastAsia="Times New Roman" w:cs="Tahoma"/>
          <w:bCs/>
          <w:iCs/>
          <w:color w:val="000000"/>
          <w:szCs w:val="24"/>
          <w:lang w:val="es-ES" w:eastAsia="es-ES"/>
        </w:rPr>
        <w:t>Recurrente,</w:t>
      </w:r>
      <w:proofErr w:type="gramEnd"/>
      <w:r w:rsidRPr="00FB7E68">
        <w:rPr>
          <w:rFonts w:eastAsia="Times New Roman" w:cs="Tahoma"/>
          <w:bCs/>
          <w:iCs/>
          <w:color w:val="000000"/>
          <w:szCs w:val="24"/>
          <w:lang w:val="es-ES" w:eastAsia="es-ES"/>
        </w:rPr>
        <w:t xml:space="preserve"> únicamente es obtener documentos específicos y no todos aquellos que forman parte del procedimiento de fiscalización.</w:t>
      </w:r>
    </w:p>
    <w:p w14:paraId="2CA174C0" w14:textId="77777777" w:rsidR="00DF34EC" w:rsidRPr="00FB7E68" w:rsidRDefault="00DF34EC" w:rsidP="00DF34EC">
      <w:pPr>
        <w:spacing w:after="0" w:line="360" w:lineRule="auto"/>
        <w:rPr>
          <w:rFonts w:eastAsia="Times New Roman" w:cs="Tahoma"/>
          <w:bCs/>
          <w:iCs/>
          <w:color w:val="000000"/>
          <w:lang w:val="es-ES" w:eastAsia="es-ES"/>
        </w:rPr>
      </w:pPr>
    </w:p>
    <w:p w14:paraId="4908C28A" w14:textId="77777777" w:rsidR="00DF34EC" w:rsidRPr="00FB7E68" w:rsidRDefault="00DF34EC" w:rsidP="00DF34EC">
      <w:pPr>
        <w:numPr>
          <w:ilvl w:val="0"/>
          <w:numId w:val="29"/>
        </w:numPr>
        <w:spacing w:after="0" w:line="360" w:lineRule="auto"/>
        <w:contextualSpacing/>
        <w:rPr>
          <w:rFonts w:eastAsia="Times New Roman" w:cs="Tahoma"/>
          <w:bCs/>
          <w:iCs/>
          <w:color w:val="000000"/>
          <w:szCs w:val="24"/>
          <w:lang w:val="es-ES" w:eastAsia="es-ES"/>
        </w:rPr>
      </w:pPr>
      <w:r w:rsidRPr="00FB7E68">
        <w:rPr>
          <w:rFonts w:eastAsia="Times New Roman" w:cs="Tahoma"/>
          <w:bCs/>
          <w:iCs/>
          <w:color w:val="000000"/>
          <w:szCs w:val="24"/>
          <w:lang w:val="es-ES" w:eastAsia="es-ES"/>
        </w:rPr>
        <w:t>No acreditó el vínculo entre la información peticionada y la afectación que podría ocasionar la entrega de la información, pues como se refirió la auditoría no solamente fue a los documentos solicitados, sino a un ejercicio fiscal completo.</w:t>
      </w:r>
    </w:p>
    <w:p w14:paraId="701C0B56" w14:textId="77777777" w:rsidR="00DF34EC" w:rsidRPr="00FB7E68" w:rsidRDefault="00DF34EC" w:rsidP="00DF34EC">
      <w:pPr>
        <w:spacing w:after="0" w:line="360" w:lineRule="auto"/>
        <w:rPr>
          <w:rFonts w:eastAsia="Times New Roman" w:cs="Tahoma"/>
          <w:bCs/>
          <w:iCs/>
          <w:color w:val="000000"/>
          <w:lang w:val="es-ES" w:eastAsia="es-ES"/>
        </w:rPr>
      </w:pPr>
    </w:p>
    <w:p w14:paraId="7EEBCEF6" w14:textId="77777777" w:rsidR="00DF34EC" w:rsidRPr="00FB7E68" w:rsidRDefault="00DF34EC" w:rsidP="00DF34EC">
      <w:pPr>
        <w:numPr>
          <w:ilvl w:val="0"/>
          <w:numId w:val="29"/>
        </w:numPr>
        <w:spacing w:after="0" w:line="360" w:lineRule="auto"/>
        <w:contextualSpacing/>
        <w:rPr>
          <w:rFonts w:eastAsia="Times New Roman" w:cs="Tahoma"/>
          <w:bCs/>
          <w:iCs/>
          <w:color w:val="000000"/>
          <w:szCs w:val="24"/>
          <w:lang w:val="es-ES" w:eastAsia="es-ES"/>
        </w:rPr>
      </w:pPr>
      <w:r w:rsidRPr="00FB7E68">
        <w:rPr>
          <w:rFonts w:eastAsia="Times New Roman" w:cs="Tahoma"/>
          <w:bCs/>
          <w:iCs/>
          <w:color w:val="000000"/>
          <w:szCs w:val="24"/>
          <w:lang w:val="es-ES" w:eastAsia="es-ES"/>
        </w:rPr>
        <w:lastRenderedPageBreak/>
        <w:t>Omitió señalar, las circunstancias de tiempo, modo y lugar del daño que produciría entregar la información peticionada, pues únicamente señaló que la información</w:t>
      </w:r>
      <w:r w:rsidRPr="00FB7E68">
        <w:rPr>
          <w:rFonts w:eastAsia="Times New Roman" w:cs="Tahoma"/>
          <w:bCs/>
          <w:iCs/>
          <w:color w:val="000000"/>
          <w:szCs w:val="24"/>
          <w:lang w:val="x-none" w:eastAsia="es-ES"/>
        </w:rPr>
        <w:t xml:space="preserve"> formaba parte de una auditoría</w:t>
      </w:r>
      <w:r w:rsidRPr="00FB7E68">
        <w:rPr>
          <w:rFonts w:eastAsia="Times New Roman" w:cs="Tahoma"/>
          <w:bCs/>
          <w:iCs/>
          <w:color w:val="000000"/>
          <w:szCs w:val="24"/>
          <w:lang w:val="es-ES" w:eastAsia="es-ES"/>
        </w:rPr>
        <w:t>.</w:t>
      </w:r>
    </w:p>
    <w:p w14:paraId="376FA2C9" w14:textId="77777777" w:rsidR="00DF34EC" w:rsidRPr="00FB7E68" w:rsidRDefault="00DF34EC" w:rsidP="00DF34EC">
      <w:pPr>
        <w:spacing w:after="0" w:line="360" w:lineRule="auto"/>
        <w:rPr>
          <w:rFonts w:eastAsia="Times New Roman" w:cs="Tahoma"/>
          <w:bCs/>
          <w:iCs/>
          <w:color w:val="000000"/>
          <w:lang w:val="es-ES" w:eastAsia="es-ES"/>
        </w:rPr>
      </w:pPr>
    </w:p>
    <w:p w14:paraId="50C4D6C1" w14:textId="77777777" w:rsidR="00DF34EC" w:rsidRPr="00FB7E68" w:rsidRDefault="00DF34EC" w:rsidP="00DF34EC">
      <w:pPr>
        <w:numPr>
          <w:ilvl w:val="0"/>
          <w:numId w:val="29"/>
        </w:numPr>
        <w:spacing w:after="0" w:line="360" w:lineRule="auto"/>
        <w:contextualSpacing/>
        <w:rPr>
          <w:rFonts w:eastAsia="Times New Roman" w:cs="Tahoma"/>
          <w:bCs/>
          <w:iCs/>
          <w:color w:val="000000"/>
          <w:szCs w:val="24"/>
          <w:lang w:val="es-ES" w:eastAsia="es-ES"/>
        </w:rPr>
      </w:pPr>
      <w:r w:rsidRPr="00FB7E68">
        <w:rPr>
          <w:rFonts w:eastAsia="Times New Roman" w:cs="Tahoma"/>
          <w:bCs/>
          <w:iCs/>
          <w:color w:val="000000"/>
          <w:szCs w:val="24"/>
          <w:lang w:val="es-ES" w:eastAsia="es-ES"/>
        </w:rPr>
        <w:t>No se establecieron las razones, por las cuales la reserva era el medio menos restrictivo, para la protección del interés jurídico.</w:t>
      </w:r>
    </w:p>
    <w:p w14:paraId="2A6F8CDF" w14:textId="77777777" w:rsidR="00DF34EC" w:rsidRPr="00FB7E68" w:rsidRDefault="00DF34EC" w:rsidP="00DF34EC">
      <w:pPr>
        <w:spacing w:after="0" w:line="360" w:lineRule="auto"/>
        <w:rPr>
          <w:rFonts w:eastAsia="Times New Roman" w:cs="Tahoma"/>
          <w:iCs/>
          <w:color w:val="000000"/>
          <w:lang w:val="es-ES" w:eastAsia="es-ES"/>
        </w:rPr>
      </w:pPr>
    </w:p>
    <w:p w14:paraId="147C09ED" w14:textId="576692FC" w:rsidR="00DF34EC" w:rsidRPr="00FB7E68" w:rsidRDefault="00DF34EC" w:rsidP="00DF34EC">
      <w:pPr>
        <w:spacing w:after="0" w:line="360" w:lineRule="auto"/>
        <w:rPr>
          <w:rFonts w:eastAsia="Calibri" w:cs="Tahoma"/>
          <w:bCs/>
          <w:color w:val="0D0D0D"/>
          <w:lang w:val="es-ES_tradnl" w:eastAsia="en-US"/>
        </w:rPr>
      </w:pPr>
      <w:r w:rsidRPr="00FB7E68">
        <w:rPr>
          <w:rFonts w:eastAsia="Calibri" w:cs="Tahoma"/>
          <w:bCs/>
          <w:color w:val="0D0D0D"/>
          <w:lang w:val="es-ES_tradnl"/>
        </w:rPr>
        <w:t>Así, se advierte que la Tesorería Municipal</w:t>
      </w:r>
      <w:r w:rsidR="008B731F" w:rsidRPr="00FB7E68">
        <w:rPr>
          <w:rFonts w:eastAsia="Calibri" w:cs="Tahoma"/>
          <w:bCs/>
          <w:color w:val="0D0D0D"/>
          <w:lang w:val="es-ES_tradnl"/>
        </w:rPr>
        <w:t>, no fundamento y motivo</w:t>
      </w:r>
      <w:r w:rsidRPr="00FB7E68">
        <w:rPr>
          <w:rFonts w:eastAsia="Calibri" w:cs="Tahoma"/>
          <w:bCs/>
          <w:color w:val="0D0D0D"/>
          <w:lang w:val="es-ES_tradnl"/>
        </w:rPr>
        <w:t xml:space="preserve"> la reserva, pues no</w:t>
      </w:r>
      <w:r w:rsidR="008B731F" w:rsidRPr="00FB7E68">
        <w:rPr>
          <w:rFonts w:eastAsia="Calibri" w:cs="Tahoma"/>
          <w:bCs/>
          <w:color w:val="0D0D0D"/>
          <w:lang w:val="es-ES_tradnl"/>
        </w:rPr>
        <w:t xml:space="preserve"> entrego el Acuerdo de Clasificación emitido por el Comité de Transparencia donde realizara</w:t>
      </w:r>
      <w:r w:rsidRPr="00FB7E68">
        <w:rPr>
          <w:rFonts w:eastAsia="Calibri" w:cs="Tahoma"/>
          <w:bCs/>
          <w:color w:val="0D0D0D"/>
          <w:lang w:val="es-ES_tradnl"/>
        </w:rPr>
        <w:t xml:space="preserve"> de manera correcta,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w:t>
      </w:r>
      <w:r w:rsidRPr="00FB7E68">
        <w:rPr>
          <w:rFonts w:eastAsia="Calibri" w:cs="Tahoma"/>
          <w:bCs/>
          <w:iCs/>
          <w:color w:val="000000"/>
        </w:rPr>
        <w:t xml:space="preserve"> por lo que no se puede validar la respuesta.</w:t>
      </w:r>
    </w:p>
    <w:p w14:paraId="75958470" w14:textId="77777777" w:rsidR="00DF34EC" w:rsidRPr="00FB7E68" w:rsidRDefault="00DF34EC" w:rsidP="00DF34EC">
      <w:pPr>
        <w:spacing w:after="0" w:line="360" w:lineRule="auto"/>
        <w:rPr>
          <w:rFonts w:eastAsia="Times New Roman" w:cs="Tahoma"/>
          <w:color w:val="auto"/>
          <w:lang w:val="es-ES_tradnl" w:eastAsia="es-ES"/>
        </w:rPr>
      </w:pPr>
    </w:p>
    <w:p w14:paraId="0406B780" w14:textId="77777777" w:rsidR="00DF34EC" w:rsidRPr="00FB7E68" w:rsidRDefault="00DF34EC" w:rsidP="00DF34EC">
      <w:pPr>
        <w:spacing w:after="0" w:line="360" w:lineRule="auto"/>
        <w:rPr>
          <w:rFonts w:eastAsia="Times New Roman" w:cs="Tahoma"/>
          <w:bCs/>
          <w:iCs/>
          <w:lang w:val="es-ES" w:eastAsia="es-ES"/>
        </w:rPr>
      </w:pPr>
      <w:r w:rsidRPr="00FB7E68">
        <w:rPr>
          <w:rFonts w:eastAsia="Times New Roman" w:cs="Tahoma"/>
          <w:bCs/>
          <w:iCs/>
          <w:lang w:val="es-ES" w:eastAsia="es-ES"/>
        </w:rPr>
        <w:t>Ahora bien, sin menospreciar lo anterior, este Instituto procederá al análisis de la causal de reserva aludida por el Sujeto Obligado; para lo cual, es de señalar que se debe realizar una evaluación, caso por caso, a través de una prueba de daño, tomando como referencia, el principio de máxima publicidad y el interés público de dar a conocer la información requerida.</w:t>
      </w:r>
    </w:p>
    <w:p w14:paraId="10BA51E4" w14:textId="77777777" w:rsidR="00DF34EC" w:rsidRPr="00FB7E68" w:rsidRDefault="00DF34EC" w:rsidP="00DF34EC">
      <w:pPr>
        <w:spacing w:after="0" w:line="360" w:lineRule="auto"/>
        <w:rPr>
          <w:rFonts w:eastAsia="Times New Roman" w:cs="Tahoma"/>
          <w:bCs/>
          <w:iCs/>
          <w:lang w:val="es-ES" w:eastAsia="es-ES"/>
        </w:rPr>
      </w:pPr>
    </w:p>
    <w:p w14:paraId="56E447A2" w14:textId="1521A3F1" w:rsidR="00DF34EC" w:rsidRPr="00FB7E68" w:rsidRDefault="00DF34EC" w:rsidP="00DF34EC">
      <w:pPr>
        <w:spacing w:after="0" w:line="360" w:lineRule="auto"/>
        <w:rPr>
          <w:rFonts w:eastAsia="Times New Roman" w:cs="Tahoma"/>
          <w:lang w:val="es-ES" w:eastAsia="es-ES"/>
        </w:rPr>
      </w:pPr>
      <w:r w:rsidRPr="00FB7E68">
        <w:rPr>
          <w:rFonts w:eastAsia="Times New Roman" w:cs="Tahoma"/>
          <w:lang w:val="es-ES" w:eastAsia="es-ES"/>
        </w:rPr>
        <w:t>En ese contexto, respecto a los conceptos señalados, los artículos 3°, fracción XXII y 9°, fracción VII, de la Ley de Transparencia y Acceso a la Información Pública del Estado de México, establecen lo siguiente:</w:t>
      </w:r>
    </w:p>
    <w:p w14:paraId="0E9CE759" w14:textId="77777777" w:rsidR="00DF34EC" w:rsidRPr="00FB7E68" w:rsidRDefault="00DF34EC" w:rsidP="00DF34EC">
      <w:pPr>
        <w:spacing w:after="0" w:line="360" w:lineRule="auto"/>
        <w:rPr>
          <w:rFonts w:eastAsia="Times New Roman" w:cs="Tahoma"/>
          <w:lang w:val="es-ES" w:eastAsia="es-ES"/>
        </w:rPr>
      </w:pPr>
    </w:p>
    <w:p w14:paraId="3463FE79" w14:textId="77777777" w:rsidR="00DF34EC" w:rsidRPr="00FB7E68" w:rsidRDefault="00DF34EC" w:rsidP="00DF34EC">
      <w:pPr>
        <w:numPr>
          <w:ilvl w:val="0"/>
          <w:numId w:val="30"/>
        </w:numPr>
        <w:spacing w:after="0" w:line="360" w:lineRule="auto"/>
        <w:contextualSpacing/>
        <w:rPr>
          <w:rFonts w:eastAsia="Times New Roman" w:cs="Tahoma"/>
          <w:b/>
          <w:lang w:val="es-ES" w:eastAsia="es-ES"/>
        </w:rPr>
      </w:pPr>
      <w:r w:rsidRPr="00FB7E68">
        <w:rPr>
          <w:rFonts w:eastAsia="Times New Roman" w:cs="Tahoma"/>
          <w:b/>
          <w:lang w:val="es-ES" w:eastAsia="es-ES"/>
        </w:rPr>
        <w:t xml:space="preserve">Principio de Máxima Publicidad: </w:t>
      </w:r>
      <w:r w:rsidRPr="00FB7E68">
        <w:rPr>
          <w:rFonts w:eastAsia="Times New Roman" w:cs="Tahoma"/>
          <w:lang w:val="es-ES" w:eastAsia="es-ES"/>
        </w:rPr>
        <w:t>Precisa que toda la información en posesión de los entes sujetos a las Leyes de Transparencia es pública, completa, oportuna y accesible, sujeta a un claro régimen de excepciones.</w:t>
      </w:r>
    </w:p>
    <w:p w14:paraId="7B264A2F" w14:textId="77777777" w:rsidR="00DF34EC" w:rsidRPr="00FB7E68" w:rsidRDefault="00DF34EC" w:rsidP="00DF34EC">
      <w:pPr>
        <w:spacing w:after="0" w:line="360" w:lineRule="auto"/>
        <w:ind w:left="720"/>
        <w:contextualSpacing/>
        <w:rPr>
          <w:rFonts w:eastAsia="Times New Roman" w:cs="Tahoma"/>
          <w:b/>
          <w:lang w:val="es-ES" w:eastAsia="es-ES"/>
        </w:rPr>
      </w:pPr>
    </w:p>
    <w:p w14:paraId="06F8F24D" w14:textId="77777777" w:rsidR="00DF34EC" w:rsidRPr="00FB7E68" w:rsidRDefault="00DF34EC" w:rsidP="00DF34EC">
      <w:pPr>
        <w:numPr>
          <w:ilvl w:val="0"/>
          <w:numId w:val="30"/>
        </w:numPr>
        <w:spacing w:after="0" w:line="360" w:lineRule="auto"/>
        <w:contextualSpacing/>
        <w:rPr>
          <w:rFonts w:eastAsia="Times New Roman" w:cs="Tahoma"/>
          <w:b/>
          <w:lang w:val="es-ES" w:eastAsia="es-ES"/>
        </w:rPr>
      </w:pPr>
      <w:r w:rsidRPr="00FB7E68">
        <w:rPr>
          <w:rFonts w:eastAsia="Times New Roman" w:cs="Tahoma"/>
          <w:b/>
          <w:lang w:val="es-ES" w:eastAsia="es-ES"/>
        </w:rPr>
        <w:t xml:space="preserve">Información de Interés Público: </w:t>
      </w:r>
      <w:r w:rsidRPr="00FB7E68">
        <w:rPr>
          <w:rFonts w:eastAsia="Times New Roman" w:cs="Tahoma"/>
          <w:lang w:val="es-ES" w:eastAsia="es-ES"/>
        </w:rPr>
        <w:t>Es aquella que resulta relevante o beneficiosa para la sociedad y no simplemente de interés individual, cuya divulgación resulta útil para que el público comprenda las actividades que llevan a cabo los sujetos obligados.</w:t>
      </w:r>
    </w:p>
    <w:p w14:paraId="177425F4" w14:textId="77777777" w:rsidR="00DF34EC" w:rsidRPr="00FB7E68" w:rsidRDefault="00DF34EC" w:rsidP="00DF34EC">
      <w:pPr>
        <w:spacing w:after="0" w:line="360" w:lineRule="auto"/>
        <w:rPr>
          <w:rFonts w:eastAsia="Times New Roman" w:cs="Tahoma"/>
          <w:bCs/>
          <w:iCs/>
          <w:lang w:eastAsia="es-ES"/>
        </w:rPr>
      </w:pPr>
    </w:p>
    <w:p w14:paraId="5DE0BB09" w14:textId="77777777" w:rsidR="00DF34EC" w:rsidRPr="00FB7E68" w:rsidRDefault="00DF34EC" w:rsidP="00DF34EC">
      <w:pPr>
        <w:spacing w:after="0" w:line="360" w:lineRule="auto"/>
        <w:rPr>
          <w:rFonts w:eastAsia="Times New Roman" w:cs="Tahoma"/>
          <w:bCs/>
          <w:iCs/>
          <w:lang w:val="es-ES" w:eastAsia="es-ES"/>
        </w:rPr>
      </w:pPr>
      <w:r w:rsidRPr="00FB7E68">
        <w:rPr>
          <w:rFonts w:eastAsia="Times New Roman" w:cs="Tahoma"/>
          <w:bCs/>
          <w:iCs/>
          <w:lang w:val="es-ES" w:eastAsia="es-ES"/>
        </w:rPr>
        <w:t>Así, el análisis de la reserva de la información será realizado tomando en consideración, el interés público que existe para entregar la información solicitada, con el fin dar cumplimiento cabal, al principio máxima publicidad; cabe señalar, si bien el Sujeto Obligado aludió a la causal de reserva, establecida en el artículo 140, fracciones V, numeral 1, de la Ley de la materia, por lo tanto, se procede a su análisis.</w:t>
      </w:r>
    </w:p>
    <w:p w14:paraId="1174275B" w14:textId="77777777" w:rsidR="00DF34EC" w:rsidRPr="00FB7E68" w:rsidRDefault="00DF34EC" w:rsidP="00DF34EC">
      <w:pPr>
        <w:spacing w:after="0" w:line="360" w:lineRule="auto"/>
        <w:rPr>
          <w:rFonts w:eastAsia="Times New Roman" w:cs="Tahoma"/>
          <w:bCs/>
          <w:lang w:val="es-ES" w:eastAsia="es-ES"/>
        </w:rPr>
      </w:pPr>
    </w:p>
    <w:p w14:paraId="301694CB" w14:textId="0A5A99F7" w:rsidR="00DF34EC" w:rsidRPr="00FB7E68" w:rsidRDefault="00DF34EC" w:rsidP="00DF34EC">
      <w:pPr>
        <w:tabs>
          <w:tab w:val="left" w:pos="4962"/>
        </w:tabs>
        <w:spacing w:after="0" w:line="360" w:lineRule="auto"/>
        <w:rPr>
          <w:rFonts w:eastAsia="Calibri" w:cs="Tahoma"/>
          <w:iCs/>
          <w:lang w:val="es-ES" w:eastAsia="es-ES_tradnl"/>
        </w:rPr>
      </w:pPr>
      <w:r w:rsidRPr="00FB7E68">
        <w:rPr>
          <w:rFonts w:eastAsia="Calibri" w:cs="Tahoma"/>
          <w:iCs/>
          <w:lang w:val="es-ES" w:eastAsia="es-ES_tradnl"/>
        </w:rPr>
        <w:t>Ahora bien, el artículo 140, fracción V, numeral 1, de la Ley de Transparencia y Acceso a la Información Pública del Estado de</w:t>
      </w:r>
      <w:r w:rsidR="008B731F" w:rsidRPr="00FB7E68">
        <w:rPr>
          <w:rFonts w:eastAsia="Calibri" w:cs="Tahoma"/>
          <w:iCs/>
          <w:lang w:val="es-ES" w:eastAsia="es-ES_tradnl"/>
        </w:rPr>
        <w:t xml:space="preserve"> México y Municipios</w:t>
      </w:r>
      <w:r w:rsidRPr="00FB7E68">
        <w:rPr>
          <w:rFonts w:eastAsia="Calibri" w:cs="Tahoma"/>
          <w:iCs/>
          <w:lang w:val="es-ES" w:eastAsia="es-ES_tradnl"/>
        </w:rPr>
        <w:t>, prevé lo siguiente:</w:t>
      </w:r>
    </w:p>
    <w:p w14:paraId="6D56F534" w14:textId="77777777" w:rsidR="00DF34EC" w:rsidRPr="00FB7E68" w:rsidRDefault="00DF34EC" w:rsidP="00DF34EC">
      <w:pPr>
        <w:spacing w:after="0" w:line="360" w:lineRule="auto"/>
        <w:ind w:right="-93"/>
        <w:rPr>
          <w:rFonts w:eastAsia="Calibri" w:cs="Tahoma"/>
          <w:bCs/>
          <w:lang w:eastAsia="en-US"/>
        </w:rPr>
      </w:pPr>
    </w:p>
    <w:p w14:paraId="3C09B457" w14:textId="77777777" w:rsidR="00DF34EC" w:rsidRPr="00FB7E68" w:rsidRDefault="00DF34EC" w:rsidP="00DF34EC">
      <w:pPr>
        <w:tabs>
          <w:tab w:val="left" w:pos="4962"/>
        </w:tabs>
        <w:spacing w:after="0" w:line="360" w:lineRule="auto"/>
        <w:ind w:left="567" w:right="567"/>
        <w:rPr>
          <w:rFonts w:eastAsia="Calibri" w:cs="Tahoma"/>
          <w:i/>
          <w:iCs/>
          <w:sz w:val="20"/>
          <w:szCs w:val="20"/>
          <w:lang w:val="es-ES" w:eastAsia="es-ES_tradnl"/>
        </w:rPr>
      </w:pPr>
      <w:r w:rsidRPr="00FB7E68">
        <w:rPr>
          <w:rFonts w:eastAsia="Calibri" w:cs="Tahoma"/>
          <w:i/>
          <w:iCs/>
          <w:sz w:val="20"/>
          <w:szCs w:val="20"/>
          <w:lang w:val="es-ES" w:eastAsia="es-ES_tradnl"/>
        </w:rPr>
        <w:t>“</w:t>
      </w:r>
      <w:r w:rsidRPr="00FB7E68">
        <w:rPr>
          <w:rFonts w:eastAsia="Calibri" w:cs="Tahoma"/>
          <w:b/>
          <w:i/>
          <w:iCs/>
          <w:sz w:val="20"/>
          <w:szCs w:val="20"/>
          <w:lang w:val="es-ES" w:eastAsia="es-ES_tradnl"/>
        </w:rPr>
        <w:t>Artículo 140.</w:t>
      </w:r>
      <w:r w:rsidRPr="00FB7E68">
        <w:rPr>
          <w:rFonts w:eastAsia="Calibri" w:cs="Tahoma"/>
          <w:i/>
          <w:iCs/>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5B584F89" w14:textId="77777777" w:rsidR="00DF34EC" w:rsidRPr="00FB7E68" w:rsidRDefault="00DF34EC" w:rsidP="00DF34EC">
      <w:pPr>
        <w:tabs>
          <w:tab w:val="left" w:pos="4962"/>
        </w:tabs>
        <w:spacing w:after="0" w:line="360" w:lineRule="auto"/>
        <w:ind w:left="567" w:right="567"/>
        <w:rPr>
          <w:rFonts w:eastAsia="Calibri" w:cs="Tahoma"/>
          <w:i/>
          <w:iCs/>
          <w:sz w:val="20"/>
          <w:szCs w:val="20"/>
          <w:lang w:val="es-ES" w:eastAsia="es-ES_tradnl"/>
        </w:rPr>
      </w:pPr>
      <w:r w:rsidRPr="00FB7E68">
        <w:rPr>
          <w:rFonts w:eastAsia="Calibri" w:cs="Tahoma"/>
          <w:i/>
          <w:iCs/>
          <w:sz w:val="20"/>
          <w:szCs w:val="20"/>
          <w:lang w:val="es-ES" w:eastAsia="es-ES_tradnl"/>
        </w:rPr>
        <w:t>…</w:t>
      </w:r>
    </w:p>
    <w:p w14:paraId="65F0241E" w14:textId="77777777" w:rsidR="00DF34EC" w:rsidRPr="00FB7E68" w:rsidRDefault="00DF34EC" w:rsidP="00DF34EC">
      <w:pPr>
        <w:tabs>
          <w:tab w:val="left" w:pos="4962"/>
        </w:tabs>
        <w:spacing w:after="0" w:line="360" w:lineRule="auto"/>
        <w:ind w:left="567" w:right="567"/>
        <w:rPr>
          <w:rFonts w:eastAsia="Calibri" w:cs="Tahoma"/>
          <w:i/>
          <w:iCs/>
          <w:sz w:val="20"/>
          <w:szCs w:val="20"/>
          <w:lang w:eastAsia="es-ES_tradnl"/>
        </w:rPr>
      </w:pPr>
      <w:r w:rsidRPr="00FB7E68">
        <w:rPr>
          <w:rFonts w:eastAsia="Calibri" w:cs="Tahoma"/>
          <w:i/>
          <w:iCs/>
          <w:sz w:val="20"/>
          <w:szCs w:val="20"/>
          <w:lang w:eastAsia="es-ES_tradnl"/>
        </w:rPr>
        <w:t>V. Aquella cuya divulgación obstruya o pueda causar un serio perjuicio a:</w:t>
      </w:r>
    </w:p>
    <w:p w14:paraId="48A67B93" w14:textId="77777777" w:rsidR="00DF34EC" w:rsidRPr="00FB7E68" w:rsidRDefault="00DF34EC" w:rsidP="00DF34EC">
      <w:pPr>
        <w:tabs>
          <w:tab w:val="left" w:pos="4962"/>
        </w:tabs>
        <w:spacing w:after="0" w:line="360" w:lineRule="auto"/>
        <w:ind w:left="567" w:right="567"/>
        <w:rPr>
          <w:rFonts w:eastAsia="Calibri" w:cs="Tahoma"/>
          <w:i/>
          <w:iCs/>
          <w:sz w:val="20"/>
          <w:szCs w:val="20"/>
          <w:lang w:eastAsia="es-ES_tradnl"/>
        </w:rPr>
      </w:pPr>
    </w:p>
    <w:p w14:paraId="35DF86BA" w14:textId="77777777" w:rsidR="00DF34EC" w:rsidRPr="00FB7E68" w:rsidRDefault="00DF34EC" w:rsidP="00DF34EC">
      <w:pPr>
        <w:tabs>
          <w:tab w:val="left" w:pos="4962"/>
        </w:tabs>
        <w:spacing w:after="0" w:line="360" w:lineRule="auto"/>
        <w:ind w:left="567" w:right="567"/>
        <w:rPr>
          <w:rFonts w:eastAsia="Calibri" w:cs="Tahoma"/>
          <w:i/>
          <w:iCs/>
          <w:sz w:val="20"/>
          <w:szCs w:val="20"/>
          <w:lang w:eastAsia="es-ES_tradnl"/>
        </w:rPr>
      </w:pPr>
      <w:r w:rsidRPr="00FB7E68">
        <w:rPr>
          <w:rFonts w:eastAsia="Calibri" w:cs="Tahoma"/>
          <w:i/>
          <w:iCs/>
          <w:sz w:val="20"/>
          <w:szCs w:val="20"/>
          <w:lang w:eastAsia="es-ES_tradnl"/>
        </w:rPr>
        <w:t>1. Las actividades de fiscalización, verificación, inspección, comprobación y auditoría sobre el cumplimiento de las Leyes; o</w:t>
      </w:r>
    </w:p>
    <w:p w14:paraId="5B405C9E" w14:textId="77777777" w:rsidR="00DF34EC" w:rsidRPr="00FB7E68" w:rsidRDefault="00DF34EC" w:rsidP="00DF34EC">
      <w:pPr>
        <w:tabs>
          <w:tab w:val="left" w:pos="4962"/>
        </w:tabs>
        <w:spacing w:after="0" w:line="360" w:lineRule="auto"/>
        <w:ind w:left="567" w:right="567"/>
        <w:rPr>
          <w:rFonts w:eastAsia="Calibri" w:cs="Tahoma"/>
          <w:i/>
          <w:iCs/>
          <w:sz w:val="20"/>
          <w:szCs w:val="20"/>
          <w:lang w:val="es-ES" w:eastAsia="es-ES_tradnl"/>
        </w:rPr>
      </w:pPr>
      <w:r w:rsidRPr="00FB7E68">
        <w:rPr>
          <w:rFonts w:eastAsia="Calibri" w:cs="Tahoma"/>
          <w:i/>
          <w:iCs/>
          <w:sz w:val="20"/>
          <w:szCs w:val="20"/>
          <w:lang w:val="es-ES" w:eastAsia="es-ES_tradnl"/>
        </w:rPr>
        <w:t>…”</w:t>
      </w:r>
    </w:p>
    <w:p w14:paraId="4F2E0B70" w14:textId="77777777" w:rsidR="00DF34EC" w:rsidRPr="00FB7E68" w:rsidRDefault="00DF34EC" w:rsidP="00DF34EC">
      <w:pPr>
        <w:spacing w:after="0" w:line="360" w:lineRule="auto"/>
        <w:ind w:right="-93"/>
        <w:rPr>
          <w:rFonts w:eastAsia="Calibri" w:cs="Tahoma"/>
          <w:bCs/>
          <w:lang w:eastAsia="en-US"/>
        </w:rPr>
      </w:pPr>
    </w:p>
    <w:p w14:paraId="3479B310" w14:textId="77777777" w:rsidR="00DF34EC" w:rsidRPr="00FB7E68" w:rsidRDefault="00DF34EC" w:rsidP="00DF34EC">
      <w:pPr>
        <w:spacing w:after="0" w:line="360" w:lineRule="auto"/>
        <w:ind w:right="-93"/>
        <w:rPr>
          <w:rFonts w:eastAsia="Calibri" w:cs="Tahoma"/>
          <w:bCs/>
        </w:rPr>
      </w:pPr>
      <w:r w:rsidRPr="00FB7E68">
        <w:rPr>
          <w:rFonts w:eastAsia="Calibri" w:cs="Tahoma"/>
          <w:bCs/>
        </w:rPr>
        <w:lastRenderedPageBreak/>
        <w:t>De dicho precepto normativo se desprende que podrá clasificarse como información reservada aquella cuya publicación obstruya o cause perjuicio en las actividades de fiscalización, verificación, inspección, comprobación y auditoría sobre el cumplimiento de leyes.</w:t>
      </w:r>
    </w:p>
    <w:p w14:paraId="3BD72B74" w14:textId="77777777" w:rsidR="00DF34EC" w:rsidRPr="00FB7E68" w:rsidRDefault="00DF34EC" w:rsidP="00DF34EC">
      <w:pPr>
        <w:spacing w:after="0" w:line="360" w:lineRule="auto"/>
        <w:ind w:right="-93"/>
        <w:rPr>
          <w:rFonts w:eastAsia="Calibri" w:cs="Tahoma"/>
          <w:bCs/>
        </w:rPr>
      </w:pPr>
    </w:p>
    <w:p w14:paraId="48AAD549" w14:textId="77777777" w:rsidR="00DF34EC" w:rsidRPr="00FB7E68" w:rsidRDefault="00DF34EC" w:rsidP="00DF34EC">
      <w:pPr>
        <w:tabs>
          <w:tab w:val="left" w:pos="4962"/>
        </w:tabs>
        <w:spacing w:after="0" w:line="360" w:lineRule="auto"/>
        <w:rPr>
          <w:rFonts w:eastAsia="Calibri" w:cs="Tahoma"/>
          <w:bCs/>
          <w:iCs/>
          <w:lang w:eastAsia="es-ES_tradnl"/>
        </w:rPr>
      </w:pPr>
      <w:r w:rsidRPr="00FB7E68">
        <w:rPr>
          <w:rFonts w:eastAsia="Calibri" w:cs="Tahoma"/>
          <w:iCs/>
          <w:lang w:eastAsia="es-ES_tradnl"/>
        </w:rPr>
        <w:t xml:space="preserve">Por su parte, los </w:t>
      </w:r>
      <w:r w:rsidRPr="00FB7E68">
        <w:rPr>
          <w:rFonts w:eastAsia="Calibri" w:cs="Tahoma"/>
          <w:bCs/>
          <w:iCs/>
          <w:lang w:eastAsia="es-ES_tradnl"/>
        </w:rPr>
        <w:t>Lineamientos generales en materia de clasificación y desclasificación de la información, así como para la elaboración de versiones públicas -en adelante Lineamientos Generales- disponen:</w:t>
      </w:r>
    </w:p>
    <w:p w14:paraId="5CC52AAF" w14:textId="77777777" w:rsidR="00DF34EC" w:rsidRPr="00FB7E68" w:rsidRDefault="00DF34EC" w:rsidP="00DF34EC">
      <w:pPr>
        <w:spacing w:after="0" w:line="360" w:lineRule="auto"/>
        <w:ind w:right="-93"/>
        <w:rPr>
          <w:rFonts w:eastAsia="Calibri" w:cs="Tahoma"/>
          <w:bCs/>
          <w:lang w:eastAsia="en-US"/>
        </w:rPr>
      </w:pPr>
    </w:p>
    <w:p w14:paraId="13035B43" w14:textId="6B2A46FC" w:rsidR="00DF34EC" w:rsidRPr="00FB7E68" w:rsidRDefault="00DF34EC" w:rsidP="00DF34EC">
      <w:pPr>
        <w:spacing w:after="0" w:line="360" w:lineRule="auto"/>
        <w:ind w:left="567" w:right="567"/>
        <w:rPr>
          <w:rFonts w:eastAsia="Calibri" w:cs="Tahoma"/>
          <w:bCs/>
          <w:i/>
          <w:sz w:val="20"/>
          <w:szCs w:val="20"/>
          <w:lang w:val="es-ES"/>
        </w:rPr>
      </w:pPr>
      <w:r w:rsidRPr="00FB7E68">
        <w:rPr>
          <w:rFonts w:eastAsia="Calibri" w:cs="Tahoma"/>
          <w:b/>
          <w:bCs/>
          <w:i/>
          <w:sz w:val="20"/>
          <w:szCs w:val="20"/>
          <w:lang w:val="es-ES"/>
        </w:rPr>
        <w:t>“Vigésimo cuarto. </w:t>
      </w:r>
      <w:r w:rsidRPr="00FB7E68">
        <w:rPr>
          <w:rFonts w:eastAsia="Calibri" w:cs="Tahoma"/>
          <w:bCs/>
          <w:i/>
          <w:sz w:val="20"/>
          <w:szCs w:val="20"/>
          <w:lang w:val="es-ES"/>
        </w:rPr>
        <w:t>De</w:t>
      </w:r>
      <w:r w:rsidR="008B731F" w:rsidRPr="00FB7E68">
        <w:rPr>
          <w:rFonts w:eastAsia="Calibri" w:cs="Tahoma"/>
          <w:bCs/>
          <w:i/>
          <w:sz w:val="20"/>
          <w:szCs w:val="20"/>
          <w:lang w:val="es-ES"/>
        </w:rPr>
        <w:t xml:space="preserve"> conformidad con el artículo 112</w:t>
      </w:r>
      <w:r w:rsidRPr="00FB7E68">
        <w:rPr>
          <w:rFonts w:eastAsia="Calibri" w:cs="Tahoma"/>
          <w:bCs/>
          <w:i/>
          <w:sz w:val="20"/>
          <w:szCs w:val="20"/>
          <w:lang w:val="es-ES"/>
        </w:rPr>
        <w:t xml:space="preserve">, fracción VI de la Ley General, podrá considerarse como </w:t>
      </w:r>
      <w:r w:rsidRPr="00FB7E68">
        <w:rPr>
          <w:rFonts w:eastAsia="Calibri" w:cs="Tahoma"/>
          <w:b/>
          <w:bCs/>
          <w:i/>
          <w:sz w:val="20"/>
          <w:szCs w:val="20"/>
          <w:lang w:val="es-ES"/>
        </w:rPr>
        <w:t>reservada, aquella información que obstruya las actividades de verificación, inspección y auditoría relativas al cumplimiento de las leyes</w:t>
      </w:r>
      <w:r w:rsidRPr="00FB7E68">
        <w:rPr>
          <w:rFonts w:eastAsia="Calibri" w:cs="Tahoma"/>
          <w:bCs/>
          <w:i/>
          <w:sz w:val="20"/>
          <w:szCs w:val="20"/>
          <w:lang w:val="es-ES"/>
        </w:rPr>
        <w:t>, cuando se actualicen los siguientes elementos:</w:t>
      </w:r>
    </w:p>
    <w:p w14:paraId="02D0CB19" w14:textId="77777777" w:rsidR="00DF34EC" w:rsidRPr="00FB7E68" w:rsidRDefault="00DF34EC" w:rsidP="00DF34EC">
      <w:pPr>
        <w:spacing w:after="0" w:line="360" w:lineRule="auto"/>
        <w:ind w:left="567" w:right="567"/>
        <w:rPr>
          <w:rFonts w:eastAsia="Calibri" w:cs="Tahoma"/>
          <w:bCs/>
          <w:i/>
          <w:sz w:val="20"/>
          <w:szCs w:val="20"/>
          <w:lang w:val="es-ES"/>
        </w:rPr>
      </w:pPr>
    </w:p>
    <w:p w14:paraId="1F0C2293" w14:textId="77777777" w:rsidR="00DF34EC" w:rsidRPr="00FB7E68" w:rsidRDefault="00DF34EC" w:rsidP="00DF34EC">
      <w:pPr>
        <w:spacing w:after="0" w:line="360" w:lineRule="auto"/>
        <w:ind w:left="567" w:right="567"/>
        <w:rPr>
          <w:rFonts w:eastAsia="Calibri" w:cs="Tahoma"/>
          <w:bCs/>
          <w:i/>
          <w:sz w:val="20"/>
          <w:szCs w:val="20"/>
          <w:lang w:val="es-ES"/>
        </w:rPr>
      </w:pPr>
      <w:r w:rsidRPr="00FB7E68">
        <w:rPr>
          <w:rFonts w:eastAsia="Calibri" w:cs="Tahoma"/>
          <w:b/>
          <w:bCs/>
          <w:i/>
          <w:sz w:val="20"/>
          <w:szCs w:val="20"/>
          <w:lang w:val="es-ES"/>
        </w:rPr>
        <w:t>I.</w:t>
      </w:r>
      <w:r w:rsidRPr="00FB7E68">
        <w:rPr>
          <w:rFonts w:eastAsia="Calibri" w:cs="Tahoma"/>
          <w:bCs/>
          <w:i/>
          <w:sz w:val="20"/>
          <w:szCs w:val="20"/>
          <w:lang w:val="es-ES"/>
        </w:rPr>
        <w:t> La existencia de un procedimiento de verificación del cumplimiento de las leyes;</w:t>
      </w:r>
    </w:p>
    <w:p w14:paraId="2F97267D" w14:textId="77777777" w:rsidR="00DF34EC" w:rsidRPr="00FB7E68" w:rsidRDefault="00DF34EC" w:rsidP="00DF34EC">
      <w:pPr>
        <w:spacing w:after="0" w:line="360" w:lineRule="auto"/>
        <w:ind w:left="567" w:right="567"/>
        <w:rPr>
          <w:rFonts w:eastAsia="Calibri" w:cs="Tahoma"/>
          <w:bCs/>
          <w:i/>
          <w:sz w:val="20"/>
          <w:szCs w:val="20"/>
          <w:lang w:val="es-ES"/>
        </w:rPr>
      </w:pPr>
    </w:p>
    <w:p w14:paraId="54AC6605" w14:textId="77777777" w:rsidR="00DF34EC" w:rsidRPr="00FB7E68" w:rsidRDefault="00DF34EC" w:rsidP="00DF34EC">
      <w:pPr>
        <w:spacing w:after="0" w:line="360" w:lineRule="auto"/>
        <w:ind w:left="567" w:right="567"/>
        <w:rPr>
          <w:rFonts w:eastAsia="Calibri" w:cs="Tahoma"/>
          <w:bCs/>
          <w:i/>
          <w:sz w:val="20"/>
          <w:szCs w:val="20"/>
          <w:lang w:val="es-ES"/>
        </w:rPr>
      </w:pPr>
      <w:r w:rsidRPr="00FB7E68">
        <w:rPr>
          <w:rFonts w:eastAsia="Calibri" w:cs="Tahoma"/>
          <w:b/>
          <w:bCs/>
          <w:i/>
          <w:sz w:val="20"/>
          <w:szCs w:val="20"/>
          <w:lang w:val="es-ES"/>
        </w:rPr>
        <w:t>II</w:t>
      </w:r>
      <w:r w:rsidRPr="00FB7E68">
        <w:rPr>
          <w:rFonts w:eastAsia="Calibri" w:cs="Tahoma"/>
          <w:bCs/>
          <w:i/>
          <w:sz w:val="20"/>
          <w:szCs w:val="20"/>
          <w:lang w:val="es-ES"/>
        </w:rPr>
        <w:t>. Que el procedimiento se encuentre en trámite;</w:t>
      </w:r>
    </w:p>
    <w:p w14:paraId="74D2BB22" w14:textId="77777777" w:rsidR="00DF34EC" w:rsidRPr="00FB7E68" w:rsidRDefault="00DF34EC" w:rsidP="00DF34EC">
      <w:pPr>
        <w:spacing w:after="0" w:line="360" w:lineRule="auto"/>
        <w:ind w:left="567" w:right="567"/>
        <w:rPr>
          <w:rFonts w:eastAsia="Calibri" w:cs="Tahoma"/>
          <w:bCs/>
          <w:i/>
          <w:sz w:val="20"/>
          <w:szCs w:val="20"/>
          <w:lang w:val="es-ES"/>
        </w:rPr>
      </w:pPr>
    </w:p>
    <w:p w14:paraId="53620814" w14:textId="77777777" w:rsidR="00DF34EC" w:rsidRPr="00FB7E68" w:rsidRDefault="00DF34EC" w:rsidP="00DF34EC">
      <w:pPr>
        <w:spacing w:after="0" w:line="360" w:lineRule="auto"/>
        <w:ind w:left="567" w:right="567"/>
        <w:rPr>
          <w:rFonts w:eastAsia="Calibri" w:cs="Tahoma"/>
          <w:bCs/>
          <w:i/>
          <w:sz w:val="20"/>
          <w:szCs w:val="20"/>
          <w:lang w:val="es-ES"/>
        </w:rPr>
      </w:pPr>
      <w:r w:rsidRPr="00FB7E68">
        <w:rPr>
          <w:rFonts w:eastAsia="Calibri" w:cs="Tahoma"/>
          <w:b/>
          <w:bCs/>
          <w:i/>
          <w:sz w:val="20"/>
          <w:szCs w:val="20"/>
          <w:lang w:val="es-ES"/>
        </w:rPr>
        <w:t>III.</w:t>
      </w:r>
      <w:r w:rsidRPr="00FB7E68">
        <w:rPr>
          <w:rFonts w:eastAsia="Calibri" w:cs="Tahoma"/>
          <w:bCs/>
          <w:i/>
          <w:sz w:val="20"/>
          <w:szCs w:val="20"/>
          <w:lang w:val="es-ES"/>
        </w:rPr>
        <w:t> La vinculación directa con las actividades que realiza la autoridad en el procedimiento de verificación del cumplimiento de las leyes, y</w:t>
      </w:r>
    </w:p>
    <w:p w14:paraId="72DCC380" w14:textId="77777777" w:rsidR="00DF34EC" w:rsidRPr="00FB7E68" w:rsidRDefault="00DF34EC" w:rsidP="00DF34EC">
      <w:pPr>
        <w:spacing w:after="0" w:line="360" w:lineRule="auto"/>
        <w:ind w:left="567" w:right="567"/>
        <w:rPr>
          <w:rFonts w:eastAsia="Calibri" w:cs="Tahoma"/>
          <w:bCs/>
          <w:i/>
          <w:sz w:val="20"/>
          <w:szCs w:val="20"/>
          <w:lang w:val="es-ES"/>
        </w:rPr>
      </w:pPr>
    </w:p>
    <w:p w14:paraId="1A44F658" w14:textId="77777777" w:rsidR="00DF34EC" w:rsidRPr="00FB7E68" w:rsidRDefault="00DF34EC" w:rsidP="00DF34EC">
      <w:pPr>
        <w:spacing w:after="0" w:line="360" w:lineRule="auto"/>
        <w:ind w:left="567" w:right="567"/>
        <w:rPr>
          <w:rFonts w:eastAsia="Calibri" w:cs="Tahoma"/>
          <w:bCs/>
          <w:i/>
          <w:sz w:val="20"/>
          <w:szCs w:val="20"/>
          <w:lang w:val="es-ES"/>
        </w:rPr>
      </w:pPr>
      <w:r w:rsidRPr="00FB7E68">
        <w:rPr>
          <w:rFonts w:eastAsia="Calibri" w:cs="Tahoma"/>
          <w:b/>
          <w:bCs/>
          <w:i/>
          <w:sz w:val="20"/>
          <w:szCs w:val="20"/>
          <w:lang w:val="es-ES"/>
        </w:rPr>
        <w:t>IV.</w:t>
      </w:r>
      <w:r w:rsidRPr="00FB7E68">
        <w:rPr>
          <w:rFonts w:eastAsia="Calibri" w:cs="Tahoma"/>
          <w:bCs/>
          <w:i/>
          <w:sz w:val="20"/>
          <w:szCs w:val="20"/>
          <w:lang w:val="es-ES"/>
        </w:rPr>
        <w:t> Que la difusión de la información impida u obstaculice las actividades de inspección, supervisión o vigilancia que realicen las autoridades en el procedimiento de verificación del cumplimiento de las leyes.”</w:t>
      </w:r>
    </w:p>
    <w:p w14:paraId="62AB56B9" w14:textId="77777777" w:rsidR="00DF34EC" w:rsidRPr="00FB7E68" w:rsidRDefault="00DF34EC" w:rsidP="00DF34EC">
      <w:pPr>
        <w:spacing w:after="0" w:line="360" w:lineRule="auto"/>
        <w:ind w:right="-93"/>
        <w:rPr>
          <w:rFonts w:eastAsia="Calibri" w:cs="Tahoma"/>
          <w:b/>
          <w:bCs/>
          <w:lang w:val="es-ES"/>
        </w:rPr>
      </w:pPr>
    </w:p>
    <w:p w14:paraId="622ADF5B" w14:textId="77777777" w:rsidR="00DF34EC" w:rsidRPr="00FB7E68" w:rsidRDefault="00DF34EC" w:rsidP="00DF34EC">
      <w:pPr>
        <w:spacing w:after="0" w:line="360" w:lineRule="auto"/>
        <w:ind w:right="-93"/>
        <w:rPr>
          <w:rFonts w:eastAsia="Calibri" w:cs="Tahoma"/>
          <w:bCs/>
          <w:lang w:val="es-ES"/>
        </w:rPr>
      </w:pPr>
      <w:r w:rsidRPr="00FB7E68">
        <w:rPr>
          <w:rFonts w:eastAsia="Calibri" w:cs="Tahoma"/>
          <w:bCs/>
          <w:lang w:val="es-ES"/>
        </w:rPr>
        <w:t xml:space="preserve">Del lineamiento en cita, se colige que se trata de información reservada aquella que </w:t>
      </w:r>
      <w:r w:rsidRPr="00FB7E68">
        <w:rPr>
          <w:rFonts w:eastAsia="Calibri" w:cs="Tahoma"/>
          <w:b/>
          <w:bCs/>
          <w:lang w:val="es-ES"/>
        </w:rPr>
        <w:t xml:space="preserve">obstruya las actividades de </w:t>
      </w:r>
      <w:r w:rsidRPr="00FB7E68">
        <w:rPr>
          <w:rFonts w:eastAsia="Calibri" w:cs="Tahoma"/>
          <w:bCs/>
          <w:lang w:val="es-ES"/>
        </w:rPr>
        <w:t xml:space="preserve">verificación, inspección y </w:t>
      </w:r>
      <w:r w:rsidRPr="00FB7E68">
        <w:rPr>
          <w:rFonts w:eastAsia="Calibri" w:cs="Tahoma"/>
          <w:b/>
          <w:bCs/>
          <w:lang w:val="es-ES"/>
        </w:rPr>
        <w:t xml:space="preserve">auditoría relativas al cumplimiento de las leyes, </w:t>
      </w:r>
      <w:r w:rsidRPr="00FB7E68">
        <w:rPr>
          <w:rFonts w:eastAsia="Calibri" w:cs="Tahoma"/>
          <w:bCs/>
          <w:lang w:val="es-ES"/>
        </w:rPr>
        <w:t xml:space="preserve">cuando se actualicen los siguientes elementos: </w:t>
      </w:r>
    </w:p>
    <w:p w14:paraId="21C79255" w14:textId="77777777" w:rsidR="00DF34EC" w:rsidRPr="00FB7E68" w:rsidRDefault="00DF34EC" w:rsidP="00DF34EC">
      <w:pPr>
        <w:spacing w:after="0" w:line="360" w:lineRule="auto"/>
        <w:ind w:right="-93"/>
        <w:rPr>
          <w:rFonts w:eastAsia="Calibri" w:cs="Tahoma"/>
          <w:bCs/>
          <w:lang w:val="es-ES"/>
        </w:rPr>
      </w:pPr>
    </w:p>
    <w:p w14:paraId="00458C6B" w14:textId="77777777" w:rsidR="00DF34EC" w:rsidRPr="00FB7E68" w:rsidRDefault="00DF34EC" w:rsidP="00DF34EC">
      <w:pPr>
        <w:numPr>
          <w:ilvl w:val="0"/>
          <w:numId w:val="31"/>
        </w:numPr>
        <w:spacing w:after="0" w:line="360" w:lineRule="auto"/>
        <w:ind w:right="-93"/>
        <w:jc w:val="left"/>
        <w:rPr>
          <w:rFonts w:eastAsia="Calibri" w:cs="Tahoma"/>
          <w:bCs/>
          <w:lang w:val="es-ES"/>
        </w:rPr>
      </w:pPr>
      <w:r w:rsidRPr="00FB7E68">
        <w:rPr>
          <w:rFonts w:eastAsia="Calibri" w:cs="Tahoma"/>
          <w:bCs/>
          <w:lang w:val="es-ES"/>
        </w:rPr>
        <w:t xml:space="preserve">La existencia de un procedimiento de verificación del cumplimiento de las leyes. </w:t>
      </w:r>
    </w:p>
    <w:p w14:paraId="07288791" w14:textId="77777777" w:rsidR="00DF34EC" w:rsidRPr="00FB7E68" w:rsidRDefault="00DF34EC" w:rsidP="00DF34EC">
      <w:pPr>
        <w:spacing w:after="0" w:line="360" w:lineRule="auto"/>
        <w:ind w:left="786" w:right="-93"/>
        <w:jc w:val="left"/>
        <w:rPr>
          <w:rFonts w:eastAsia="Calibri" w:cs="Tahoma"/>
          <w:bCs/>
          <w:lang w:val="es-ES"/>
        </w:rPr>
      </w:pPr>
    </w:p>
    <w:p w14:paraId="38E57CFA" w14:textId="77777777" w:rsidR="00DF34EC" w:rsidRPr="00FB7E68" w:rsidRDefault="00DF34EC" w:rsidP="00DF34EC">
      <w:pPr>
        <w:numPr>
          <w:ilvl w:val="0"/>
          <w:numId w:val="31"/>
        </w:numPr>
        <w:spacing w:after="0" w:line="360" w:lineRule="auto"/>
        <w:ind w:right="-93"/>
        <w:jc w:val="left"/>
        <w:rPr>
          <w:rFonts w:eastAsia="Calibri" w:cs="Tahoma"/>
          <w:bCs/>
          <w:lang w:val="es-ES"/>
        </w:rPr>
      </w:pPr>
      <w:r w:rsidRPr="00FB7E68">
        <w:rPr>
          <w:rFonts w:eastAsia="Calibri" w:cs="Tahoma"/>
          <w:bCs/>
          <w:lang w:val="es-ES"/>
        </w:rPr>
        <w:t xml:space="preserve">Que ese procedimiento se encuentre en trámite. </w:t>
      </w:r>
    </w:p>
    <w:p w14:paraId="56F8469F" w14:textId="77777777" w:rsidR="00DF34EC" w:rsidRPr="00FB7E68" w:rsidRDefault="00DF34EC" w:rsidP="00DF34EC">
      <w:pPr>
        <w:spacing w:after="0" w:line="360" w:lineRule="auto"/>
        <w:ind w:right="-93"/>
        <w:jc w:val="left"/>
        <w:rPr>
          <w:rFonts w:eastAsia="Calibri" w:cs="Tahoma"/>
          <w:bCs/>
          <w:lang w:val="es-ES"/>
        </w:rPr>
      </w:pPr>
    </w:p>
    <w:p w14:paraId="0DBA1B14" w14:textId="77777777" w:rsidR="00DF34EC" w:rsidRPr="00FB7E68" w:rsidRDefault="00DF34EC" w:rsidP="00DF34EC">
      <w:pPr>
        <w:numPr>
          <w:ilvl w:val="0"/>
          <w:numId w:val="31"/>
        </w:numPr>
        <w:spacing w:after="0" w:line="360" w:lineRule="auto"/>
        <w:ind w:right="-93"/>
        <w:rPr>
          <w:rFonts w:eastAsia="Calibri" w:cs="Tahoma"/>
          <w:bCs/>
          <w:lang w:val="es-ES"/>
        </w:rPr>
      </w:pPr>
      <w:r w:rsidRPr="00FB7E68">
        <w:rPr>
          <w:rFonts w:eastAsia="Calibri" w:cs="Tahoma"/>
          <w:bCs/>
          <w:lang w:val="es-ES"/>
        </w:rPr>
        <w:t xml:space="preserve">La vinculación directa con las actividades que realiza la autoridad en el procedimiento de verificación del cumplimiento de las leyes. </w:t>
      </w:r>
    </w:p>
    <w:p w14:paraId="37AD9586" w14:textId="77777777" w:rsidR="00DF34EC" w:rsidRPr="00FB7E68" w:rsidRDefault="00DF34EC" w:rsidP="00DF34EC">
      <w:pPr>
        <w:spacing w:after="0" w:line="360" w:lineRule="auto"/>
        <w:ind w:right="-93"/>
        <w:jc w:val="left"/>
        <w:rPr>
          <w:rFonts w:eastAsia="Calibri" w:cs="Tahoma"/>
          <w:bCs/>
          <w:lang w:val="es-ES"/>
        </w:rPr>
      </w:pPr>
    </w:p>
    <w:p w14:paraId="194E058E" w14:textId="77777777" w:rsidR="00DF34EC" w:rsidRPr="00FB7E68" w:rsidRDefault="00DF34EC" w:rsidP="00DF34EC">
      <w:pPr>
        <w:numPr>
          <w:ilvl w:val="0"/>
          <w:numId w:val="31"/>
        </w:numPr>
        <w:spacing w:after="0" w:line="360" w:lineRule="auto"/>
        <w:ind w:right="-93"/>
        <w:rPr>
          <w:rFonts w:eastAsia="Calibri" w:cs="Tahoma"/>
          <w:bCs/>
          <w:lang w:val="es-ES"/>
        </w:rPr>
      </w:pPr>
      <w:r w:rsidRPr="00FB7E68">
        <w:rPr>
          <w:rFonts w:eastAsia="Calibri" w:cs="Tahoma"/>
          <w:bCs/>
          <w:lang w:val="es-ES"/>
        </w:rPr>
        <w:t xml:space="preserve">Que la difusión de la información impida u obstaculice las actividades de inspección, supervisión o vigilancia que realicen las autoridades en el proceso de verificación del cumplimiento de las leyes. </w:t>
      </w:r>
    </w:p>
    <w:p w14:paraId="6137E430" w14:textId="77777777" w:rsidR="00DF34EC" w:rsidRPr="00FB7E68" w:rsidRDefault="00DF34EC" w:rsidP="00DF34EC">
      <w:pPr>
        <w:spacing w:after="0" w:line="360" w:lineRule="auto"/>
        <w:ind w:right="-93"/>
        <w:rPr>
          <w:rFonts w:eastAsia="Calibri" w:cs="Tahoma"/>
          <w:bCs/>
          <w:lang w:val="es-ES"/>
        </w:rPr>
      </w:pPr>
    </w:p>
    <w:p w14:paraId="3839E9D8" w14:textId="77777777" w:rsidR="00DF34EC" w:rsidRPr="00FB7E68" w:rsidRDefault="00DF34EC" w:rsidP="00DF34EC">
      <w:pPr>
        <w:spacing w:after="0" w:line="360" w:lineRule="auto"/>
        <w:ind w:right="-93"/>
        <w:rPr>
          <w:rFonts w:eastAsia="Calibri" w:cs="Tahoma"/>
          <w:bCs/>
          <w:lang w:val="es-ES"/>
        </w:rPr>
      </w:pPr>
      <w:r w:rsidRPr="00FB7E68">
        <w:rPr>
          <w:rFonts w:eastAsia="Calibri" w:cs="Tahoma"/>
          <w:bCs/>
          <w:lang w:val="es-ES"/>
        </w:rPr>
        <w:t xml:space="preserve">En ese contexto, de la interpretación de la causal de reserva en análisis, este Instituto estima que consiste en proteger la oportunidad de la autoridad verificadora de realizar las acciones materiales de fiscalización, sin que el sujeto verificado pueda alterar o modificar el escenario, objeto o circunstancias materia de fiscalización. </w:t>
      </w:r>
    </w:p>
    <w:p w14:paraId="20CCC63B" w14:textId="77777777" w:rsidR="00DF34EC" w:rsidRPr="00FB7E68" w:rsidRDefault="00DF34EC" w:rsidP="00DF34EC">
      <w:pPr>
        <w:spacing w:after="0" w:line="360" w:lineRule="auto"/>
        <w:ind w:right="-93"/>
        <w:rPr>
          <w:rFonts w:eastAsia="Calibri" w:cs="Tahoma"/>
          <w:bCs/>
          <w:lang w:val="es-ES"/>
        </w:rPr>
      </w:pPr>
    </w:p>
    <w:p w14:paraId="6ADD9933" w14:textId="77777777" w:rsidR="00DF34EC" w:rsidRPr="00FB7E68" w:rsidRDefault="00DF34EC" w:rsidP="00DF34EC">
      <w:pPr>
        <w:spacing w:after="0" w:line="360" w:lineRule="auto"/>
        <w:ind w:right="-93"/>
        <w:rPr>
          <w:rFonts w:eastAsia="Calibri" w:cs="Tahoma"/>
          <w:bCs/>
          <w:color w:val="auto"/>
          <w:lang w:val="es-ES" w:eastAsia="en-US"/>
        </w:rPr>
      </w:pPr>
      <w:r w:rsidRPr="00FB7E68">
        <w:rPr>
          <w:rFonts w:eastAsia="Calibri" w:cs="Tahoma"/>
          <w:bCs/>
          <w:lang w:val="es-ES"/>
        </w:rPr>
        <w:t>Es decir, con dicha causal de reserva se procura permitir que las autoridades realicen las labores de verificación, inspección o auditoría del cumplimiento de las leyes, en su circunstancia natural, sin que el sujeto verificado, o bien, personas ajenas, puedan influir en el resultado, modificando los hechos, actos u omisiones a fiscalizar.</w:t>
      </w:r>
    </w:p>
    <w:p w14:paraId="524B3C93" w14:textId="77777777" w:rsidR="00DF34EC" w:rsidRPr="00FB7E68" w:rsidRDefault="00DF34EC" w:rsidP="00DF34EC">
      <w:pPr>
        <w:spacing w:after="0" w:line="360" w:lineRule="auto"/>
        <w:ind w:right="-93"/>
        <w:rPr>
          <w:rFonts w:eastAsia="Calibri" w:cs="Tahoma"/>
          <w:bCs/>
          <w:lang w:val="es-ES"/>
        </w:rPr>
      </w:pPr>
    </w:p>
    <w:p w14:paraId="2B5FC7C4" w14:textId="77777777" w:rsidR="00DF34EC" w:rsidRPr="00FB7E68" w:rsidRDefault="00DF34EC" w:rsidP="00DF34EC">
      <w:pPr>
        <w:spacing w:after="0" w:line="360" w:lineRule="auto"/>
        <w:ind w:right="-93"/>
        <w:rPr>
          <w:rFonts w:eastAsia="Calibri" w:cs="Tahoma"/>
          <w:bCs/>
          <w:lang w:val="es-ES"/>
        </w:rPr>
      </w:pPr>
      <w:r w:rsidRPr="00FB7E68">
        <w:rPr>
          <w:rFonts w:eastAsia="Calibri" w:cs="Tahoma"/>
          <w:bCs/>
          <w:lang w:val="es-ES"/>
        </w:rPr>
        <w:t>Así las cosas, a continuación, se analizarán cada uno de los requisitos señalados anteriormente, con la finalidad de verificar si se configura la hipótesis de reserva en estudio:</w:t>
      </w:r>
    </w:p>
    <w:p w14:paraId="147F876B" w14:textId="77777777" w:rsidR="00DF34EC" w:rsidRPr="00FB7E68" w:rsidRDefault="00DF34EC" w:rsidP="00DF34EC">
      <w:pPr>
        <w:spacing w:after="0" w:line="360" w:lineRule="auto"/>
        <w:ind w:right="-93"/>
        <w:rPr>
          <w:rFonts w:eastAsia="Calibri" w:cs="Tahoma"/>
          <w:bCs/>
          <w:lang w:val="es-ES"/>
        </w:rPr>
      </w:pPr>
    </w:p>
    <w:p w14:paraId="7B7AC5D8" w14:textId="77777777" w:rsidR="00DF34EC" w:rsidRPr="00FB7E68" w:rsidRDefault="00DF34EC" w:rsidP="00DF34EC">
      <w:pPr>
        <w:numPr>
          <w:ilvl w:val="0"/>
          <w:numId w:val="32"/>
        </w:numPr>
        <w:spacing w:after="0" w:line="360" w:lineRule="auto"/>
        <w:contextualSpacing/>
        <w:jc w:val="left"/>
        <w:rPr>
          <w:rFonts w:eastAsia="Times New Roman" w:cs="Tahoma"/>
          <w:b/>
          <w:iCs/>
          <w:lang w:eastAsia="es-ES"/>
        </w:rPr>
      </w:pPr>
      <w:r w:rsidRPr="00FB7E68">
        <w:rPr>
          <w:rFonts w:eastAsia="Times New Roman" w:cs="Tahoma"/>
          <w:b/>
          <w:iCs/>
          <w:lang w:eastAsia="es-ES"/>
        </w:rPr>
        <w:t>La existencia de un procedimiento de verificación del cumplimiento de las leyes</w:t>
      </w:r>
    </w:p>
    <w:p w14:paraId="3004F597" w14:textId="77777777" w:rsidR="00DF34EC" w:rsidRPr="00FB7E68" w:rsidRDefault="00DF34EC" w:rsidP="00DF34EC">
      <w:pPr>
        <w:spacing w:after="0" w:line="360" w:lineRule="auto"/>
        <w:rPr>
          <w:rFonts w:eastAsia="Times New Roman" w:cs="Tahoma"/>
          <w:b/>
          <w:lang w:eastAsia="es-ES"/>
        </w:rPr>
      </w:pPr>
    </w:p>
    <w:p w14:paraId="494E8117" w14:textId="45E7FF69" w:rsidR="00DF34EC" w:rsidRPr="00FB7E68" w:rsidRDefault="00DF34EC" w:rsidP="00530F1F">
      <w:pPr>
        <w:spacing w:after="0" w:line="360" w:lineRule="auto"/>
        <w:rPr>
          <w:rFonts w:eastAsia="Times New Roman" w:cs="Tahoma"/>
          <w:bCs/>
          <w:iCs/>
          <w:lang w:eastAsia="es-ES"/>
        </w:rPr>
      </w:pPr>
      <w:r w:rsidRPr="00FB7E68">
        <w:rPr>
          <w:rFonts w:eastAsia="Times New Roman" w:cs="Tahoma"/>
          <w:bCs/>
          <w:iCs/>
          <w:lang w:eastAsia="es-ES"/>
        </w:rPr>
        <w:t xml:space="preserve">En ese contexto, el Ayuntamiento de </w:t>
      </w:r>
      <w:r w:rsidR="00530F1F" w:rsidRPr="00FB7E68">
        <w:rPr>
          <w:rFonts w:eastAsia="Times New Roman" w:cs="Tahoma"/>
          <w:bCs/>
          <w:iCs/>
          <w:lang w:eastAsia="es-ES"/>
        </w:rPr>
        <w:t>Tecámac</w:t>
      </w:r>
      <w:r w:rsidRPr="00FB7E68">
        <w:rPr>
          <w:rFonts w:eastAsia="Times New Roman" w:cs="Tahoma"/>
          <w:bCs/>
          <w:iCs/>
          <w:lang w:eastAsia="es-ES"/>
        </w:rPr>
        <w:t xml:space="preserve"> señaló que l</w:t>
      </w:r>
      <w:r w:rsidR="00530F1F" w:rsidRPr="00FB7E68">
        <w:rPr>
          <w:rFonts w:eastAsia="Times New Roman" w:cs="Tahoma"/>
          <w:bCs/>
          <w:iCs/>
          <w:lang w:eastAsia="es-ES"/>
        </w:rPr>
        <w:t>a información formaba parte del Programa Anual de Auditorias del Órgano Interno de Control 2025, de la Auditoría denominada "Auditoría de Gestión Y Liquidación de Nómina'' con número OIC/CACE/2025/02, misma que tendrá por objetivo, verificar el cumplimiento de las disposiciones legales, normativas, políticas y procedimientos aplicables en la ejecución de las actividades desarrolladas en la gestión, liquidación y control de la nómina, como se muestra en el extracto siguiente:</w:t>
      </w:r>
    </w:p>
    <w:p w14:paraId="703E2E1E" w14:textId="77777777" w:rsidR="00530F1F" w:rsidRPr="00FB7E68" w:rsidRDefault="00530F1F" w:rsidP="00530F1F">
      <w:pPr>
        <w:spacing w:after="0" w:line="360" w:lineRule="auto"/>
        <w:rPr>
          <w:rFonts w:eastAsia="Times New Roman" w:cs="Tahoma"/>
          <w:bCs/>
          <w:iCs/>
          <w:lang w:eastAsia="es-ES"/>
        </w:rPr>
      </w:pPr>
    </w:p>
    <w:p w14:paraId="7F9A020E" w14:textId="6E8F8289" w:rsidR="00DF34EC" w:rsidRPr="00FB7E68" w:rsidRDefault="00530F1F" w:rsidP="00530F1F">
      <w:pPr>
        <w:spacing w:after="0" w:line="360" w:lineRule="auto"/>
        <w:jc w:val="center"/>
        <w:rPr>
          <w:rFonts w:eastAsia="Times New Roman" w:cs="Tahoma"/>
          <w:bCs/>
          <w:iCs/>
          <w:lang w:eastAsia="es-ES"/>
        </w:rPr>
      </w:pPr>
      <w:r w:rsidRPr="00FB7E68">
        <w:rPr>
          <w:rFonts w:eastAsia="Times New Roman" w:cs="Tahoma"/>
          <w:bCs/>
          <w:iCs/>
          <w:noProof/>
        </w:rPr>
        <w:drawing>
          <wp:inline distT="0" distB="0" distL="0" distR="0" wp14:anchorId="36BAA5D2" wp14:editId="463F3710">
            <wp:extent cx="5391150" cy="23717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A015DA.tmp"/>
                    <pic:cNvPicPr/>
                  </pic:nvPicPr>
                  <pic:blipFill>
                    <a:blip r:embed="rId14">
                      <a:extLst>
                        <a:ext uri="{28A0092B-C50C-407E-A947-70E740481C1C}">
                          <a14:useLocalDpi xmlns:a14="http://schemas.microsoft.com/office/drawing/2010/main" val="0"/>
                        </a:ext>
                      </a:extLst>
                    </a:blip>
                    <a:stretch>
                      <a:fillRect/>
                    </a:stretch>
                  </pic:blipFill>
                  <pic:spPr>
                    <a:xfrm>
                      <a:off x="0" y="0"/>
                      <a:ext cx="5411961" cy="2380875"/>
                    </a:xfrm>
                    <a:prstGeom prst="rect">
                      <a:avLst/>
                    </a:prstGeom>
                  </pic:spPr>
                </pic:pic>
              </a:graphicData>
            </a:graphic>
          </wp:inline>
        </w:drawing>
      </w:r>
    </w:p>
    <w:p w14:paraId="128FB670" w14:textId="77777777" w:rsidR="00530F1F" w:rsidRPr="00FB7E68" w:rsidRDefault="00530F1F" w:rsidP="00530F1F">
      <w:pPr>
        <w:spacing w:after="0" w:line="360" w:lineRule="auto"/>
        <w:jc w:val="center"/>
        <w:rPr>
          <w:rFonts w:eastAsia="Times New Roman" w:cs="Tahoma"/>
          <w:bCs/>
          <w:iCs/>
          <w:lang w:eastAsia="es-ES"/>
        </w:rPr>
      </w:pPr>
    </w:p>
    <w:p w14:paraId="524DC7C0" w14:textId="77777777" w:rsidR="00DF34EC" w:rsidRPr="00FB7E68" w:rsidRDefault="00DF34EC" w:rsidP="00DF34EC">
      <w:pPr>
        <w:spacing w:after="0" w:line="360" w:lineRule="auto"/>
        <w:rPr>
          <w:rFonts w:eastAsia="Times New Roman" w:cs="Tahoma"/>
          <w:bCs/>
          <w:iCs/>
          <w:lang w:eastAsia="es-ES"/>
        </w:rPr>
      </w:pPr>
      <w:r w:rsidRPr="00FB7E68">
        <w:rPr>
          <w:rFonts w:eastAsia="Times New Roman" w:cs="Tahoma"/>
          <w:bCs/>
          <w:iCs/>
          <w:lang w:eastAsia="es-ES"/>
        </w:rPr>
        <w:t>Así, toda vez que se existe el procedimiento de auditoría, referido por el Sujeto Obligado, se advierte que se acredita dicho requisito.</w:t>
      </w:r>
    </w:p>
    <w:p w14:paraId="0CF4E38D" w14:textId="77777777" w:rsidR="00DF34EC" w:rsidRPr="00FB7E68" w:rsidRDefault="00DF34EC" w:rsidP="00DF34EC">
      <w:pPr>
        <w:spacing w:after="0" w:line="360" w:lineRule="auto"/>
        <w:rPr>
          <w:rFonts w:eastAsia="Times New Roman" w:cs="Tahoma"/>
          <w:bCs/>
          <w:iCs/>
          <w:lang w:eastAsia="es-ES"/>
        </w:rPr>
      </w:pPr>
    </w:p>
    <w:p w14:paraId="29CA40B0" w14:textId="77777777" w:rsidR="00DF34EC" w:rsidRPr="00FB7E68" w:rsidRDefault="00DF34EC" w:rsidP="00DF34EC">
      <w:pPr>
        <w:numPr>
          <w:ilvl w:val="0"/>
          <w:numId w:val="32"/>
        </w:numPr>
        <w:spacing w:after="0" w:line="360" w:lineRule="auto"/>
        <w:contextualSpacing/>
        <w:jc w:val="left"/>
        <w:rPr>
          <w:rFonts w:eastAsia="Times New Roman" w:cs="Tahoma"/>
          <w:b/>
          <w:lang w:eastAsia="es-ES"/>
        </w:rPr>
      </w:pPr>
      <w:r w:rsidRPr="00FB7E68">
        <w:rPr>
          <w:rFonts w:eastAsia="Times New Roman" w:cs="Tahoma"/>
          <w:b/>
          <w:lang w:eastAsia="es-ES"/>
        </w:rPr>
        <w:t>Que el procedimiento de fiscalización se encuentre en trámite</w:t>
      </w:r>
    </w:p>
    <w:p w14:paraId="4F2056B6" w14:textId="77777777" w:rsidR="00DF34EC" w:rsidRPr="00FB7E68" w:rsidRDefault="00DF34EC" w:rsidP="00DF34EC">
      <w:pPr>
        <w:spacing w:after="0" w:line="360" w:lineRule="auto"/>
        <w:rPr>
          <w:rFonts w:eastAsia="Times New Roman" w:cs="Tahoma"/>
          <w:lang w:eastAsia="es-ES"/>
        </w:rPr>
      </w:pPr>
    </w:p>
    <w:p w14:paraId="26AB557E" w14:textId="6B864EB1" w:rsidR="00DF34EC" w:rsidRPr="00FB7E68" w:rsidRDefault="00DF34EC" w:rsidP="00DF34EC">
      <w:pPr>
        <w:spacing w:after="0" w:line="360" w:lineRule="auto"/>
        <w:rPr>
          <w:rFonts w:eastAsia="Times New Roman" w:cs="Tahoma"/>
          <w:lang w:eastAsia="es-ES"/>
        </w:rPr>
      </w:pPr>
      <w:r w:rsidRPr="00FB7E68">
        <w:rPr>
          <w:rFonts w:eastAsia="Times New Roman" w:cs="Tahoma"/>
          <w:lang w:eastAsia="es-ES"/>
        </w:rPr>
        <w:t>Ahora bien, el Sujeto Obligado refirió que la auditoría se encontraba en trámite y no había concluido,</w:t>
      </w:r>
      <w:r w:rsidR="001F38E7" w:rsidRPr="00FB7E68">
        <w:rPr>
          <w:rFonts w:eastAsia="Times New Roman" w:cs="Tahoma"/>
          <w:lang w:eastAsia="es-ES"/>
        </w:rPr>
        <w:t xml:space="preserve"> pues adjuntó un oficio donde se notifica que el periodo auditado se amplía al </w:t>
      </w:r>
      <w:r w:rsidR="001F38E7" w:rsidRPr="00FB7E68">
        <w:rPr>
          <w:rFonts w:eastAsia="Times New Roman" w:cs="Tahoma"/>
          <w:lang w:eastAsia="es-ES"/>
        </w:rPr>
        <w:lastRenderedPageBreak/>
        <w:t>treinta de septiembre de dos mil veinticinco,</w:t>
      </w:r>
      <w:r w:rsidRPr="00FB7E68">
        <w:rPr>
          <w:rFonts w:eastAsia="Times New Roman" w:cs="Tahoma"/>
          <w:lang w:eastAsia="es-ES"/>
        </w:rPr>
        <w:t xml:space="preserve"> por lo que, se logra vislumbrar que acreditó el segundo de los requisitos establecidos en los Lineamientos Generales.</w:t>
      </w:r>
    </w:p>
    <w:p w14:paraId="15FB804B" w14:textId="77777777" w:rsidR="00DF34EC" w:rsidRPr="00FB7E68" w:rsidRDefault="00DF34EC" w:rsidP="00DF34EC">
      <w:pPr>
        <w:spacing w:after="0" w:line="360" w:lineRule="auto"/>
        <w:rPr>
          <w:rFonts w:eastAsia="Calibri" w:cs="Tahoma"/>
          <w:color w:val="000000"/>
          <w:lang w:val="es-ES"/>
        </w:rPr>
      </w:pPr>
    </w:p>
    <w:p w14:paraId="6C757597" w14:textId="77777777" w:rsidR="00DF34EC" w:rsidRPr="00FB7E68" w:rsidRDefault="00DF34EC" w:rsidP="00DF34EC">
      <w:pPr>
        <w:numPr>
          <w:ilvl w:val="0"/>
          <w:numId w:val="32"/>
        </w:numPr>
        <w:spacing w:after="0" w:line="360" w:lineRule="auto"/>
        <w:contextualSpacing/>
        <w:rPr>
          <w:rFonts w:eastAsia="Times New Roman" w:cs="Tahoma"/>
          <w:b/>
          <w:iCs/>
          <w:color w:val="auto"/>
          <w:lang w:eastAsia="es-ES"/>
        </w:rPr>
      </w:pPr>
      <w:r w:rsidRPr="00FB7E68">
        <w:rPr>
          <w:rFonts w:eastAsia="Times New Roman" w:cs="Tahoma"/>
          <w:b/>
          <w:iCs/>
          <w:lang w:eastAsia="es-ES"/>
        </w:rPr>
        <w:t>La vinculación directa con las actividades que realiza la autoridad en el procedimiento de verificación del cumplimiento de las leyes</w:t>
      </w:r>
    </w:p>
    <w:p w14:paraId="712D1278" w14:textId="77777777" w:rsidR="00DF34EC" w:rsidRPr="00FB7E68" w:rsidRDefault="00DF34EC" w:rsidP="00DF34EC">
      <w:pPr>
        <w:spacing w:after="0" w:line="360" w:lineRule="auto"/>
        <w:rPr>
          <w:rFonts w:eastAsia="Times New Roman" w:cs="Tahoma"/>
          <w:b/>
          <w:iCs/>
          <w:lang w:eastAsia="es-ES"/>
        </w:rPr>
      </w:pPr>
    </w:p>
    <w:p w14:paraId="692A8618" w14:textId="2659B902" w:rsidR="00DF34EC" w:rsidRPr="00FB7E68" w:rsidRDefault="00DF34EC" w:rsidP="00DF34EC">
      <w:pPr>
        <w:spacing w:after="0" w:line="360" w:lineRule="auto"/>
        <w:rPr>
          <w:rFonts w:eastAsia="Times New Roman" w:cs="Tahoma"/>
          <w:bCs/>
          <w:iCs/>
          <w:lang w:eastAsia="es-ES"/>
        </w:rPr>
      </w:pPr>
      <w:r w:rsidRPr="00FB7E68">
        <w:rPr>
          <w:rFonts w:eastAsia="Times New Roman" w:cs="Tahoma"/>
          <w:bCs/>
          <w:iCs/>
          <w:lang w:eastAsia="es-ES"/>
        </w:rPr>
        <w:t>En el presente caso, caber señalar, que el Sujeto Obligado refirió que la información solicitada se encontraba dentro de una Auditor</w:t>
      </w:r>
      <w:proofErr w:type="spellStart"/>
      <w:r w:rsidR="008C6441" w:rsidRPr="00FB7E68">
        <w:rPr>
          <w:rFonts w:eastAsia="Times New Roman" w:cs="Tahoma"/>
          <w:bCs/>
          <w:iCs/>
          <w:lang w:val="x-none" w:eastAsia="es-ES"/>
        </w:rPr>
        <w:t>í</w:t>
      </w:r>
      <w:r w:rsidR="008C6441" w:rsidRPr="00FB7E68">
        <w:rPr>
          <w:rFonts w:eastAsia="Times New Roman" w:cs="Tahoma"/>
          <w:bCs/>
          <w:iCs/>
          <w:lang w:eastAsia="es-ES"/>
        </w:rPr>
        <w:t>a</w:t>
      </w:r>
      <w:proofErr w:type="spellEnd"/>
      <w:r w:rsidR="008C6441" w:rsidRPr="00FB7E68">
        <w:rPr>
          <w:rFonts w:eastAsia="Times New Roman" w:cs="Tahoma"/>
          <w:bCs/>
          <w:iCs/>
          <w:lang w:eastAsia="es-ES"/>
        </w:rPr>
        <w:t xml:space="preserve"> Interna</w:t>
      </w:r>
      <w:r w:rsidRPr="00FB7E68">
        <w:rPr>
          <w:rFonts w:eastAsia="Times New Roman" w:cs="Tahoma"/>
          <w:bCs/>
          <w:iCs/>
          <w:lang w:val="x-none" w:eastAsia="es-ES"/>
        </w:rPr>
        <w:t>, sin embargo, omitió señalar porque la información solicitada tenía una vinculación directa con las actividades que realizaba la autoridad en el procedimiento</w:t>
      </w:r>
      <w:r w:rsidRPr="00FB7E68">
        <w:rPr>
          <w:rFonts w:eastAsia="Times New Roman" w:cs="Tahoma"/>
          <w:bCs/>
          <w:iCs/>
          <w:lang w:eastAsia="es-ES"/>
        </w:rPr>
        <w:t>.</w:t>
      </w:r>
    </w:p>
    <w:p w14:paraId="1F673457" w14:textId="77777777" w:rsidR="00DF34EC" w:rsidRPr="00FB7E68" w:rsidRDefault="00DF34EC" w:rsidP="00DF34EC">
      <w:pPr>
        <w:spacing w:after="0" w:line="360" w:lineRule="auto"/>
        <w:rPr>
          <w:rFonts w:eastAsia="Times New Roman" w:cs="Tahoma"/>
          <w:bCs/>
          <w:iCs/>
          <w:lang w:eastAsia="es-ES"/>
        </w:rPr>
      </w:pPr>
    </w:p>
    <w:p w14:paraId="554FBD7A" w14:textId="53087752" w:rsidR="00DF34EC" w:rsidRPr="00FB7E68" w:rsidRDefault="00DF34EC" w:rsidP="00DF34EC">
      <w:pPr>
        <w:spacing w:after="0" w:line="360" w:lineRule="auto"/>
        <w:rPr>
          <w:rFonts w:eastAsia="Times New Roman" w:cs="Tahoma"/>
          <w:bCs/>
          <w:iCs/>
          <w:lang w:eastAsia="es-ES"/>
        </w:rPr>
      </w:pPr>
      <w:r w:rsidRPr="00FB7E68">
        <w:rPr>
          <w:rFonts w:eastAsia="Times New Roman" w:cs="Tahoma"/>
          <w:bCs/>
          <w:iCs/>
          <w:lang w:eastAsia="es-ES"/>
        </w:rPr>
        <w:t xml:space="preserve">Conforme a lo anterior, se logra observar que el Ayuntamiento de </w:t>
      </w:r>
      <w:r w:rsidR="003457C2" w:rsidRPr="00FB7E68">
        <w:rPr>
          <w:rFonts w:eastAsia="Times New Roman" w:cs="Tahoma"/>
          <w:bCs/>
          <w:iCs/>
          <w:lang w:eastAsia="es-ES"/>
        </w:rPr>
        <w:t>Tecámac</w:t>
      </w:r>
      <w:r w:rsidRPr="00FB7E68">
        <w:rPr>
          <w:rFonts w:eastAsia="Times New Roman" w:cs="Tahoma"/>
          <w:bCs/>
          <w:iCs/>
          <w:lang w:eastAsia="es-ES"/>
        </w:rPr>
        <w:t xml:space="preserve"> no proporcionó todos elementos necesarios para determinar si la información solicitada, se encontraba vinculada de manera directa con las actividades realizadas por el Ente Auditor, al no saber que está inspeccionando dicho ente y, por lo tanto, no se acredita el tercero de los requisitos establecidos en los Lineamientos Generales; situación que se robustece, con el hecho de que la información no impide u obstaculiza las actividades realizadas por el Órgano Auditor, tal como se analizará a continuación.</w:t>
      </w:r>
    </w:p>
    <w:p w14:paraId="6F24E349" w14:textId="77777777" w:rsidR="00DF34EC" w:rsidRPr="00FB7E68" w:rsidRDefault="00DF34EC" w:rsidP="00DF34EC">
      <w:pPr>
        <w:spacing w:after="0" w:line="360" w:lineRule="auto"/>
        <w:rPr>
          <w:rFonts w:eastAsia="Times New Roman" w:cs="Tahoma"/>
          <w:bCs/>
          <w:iCs/>
          <w:lang w:eastAsia="es-ES"/>
        </w:rPr>
      </w:pPr>
    </w:p>
    <w:p w14:paraId="75304BEC" w14:textId="77777777" w:rsidR="00DF34EC" w:rsidRPr="00FB7E68" w:rsidRDefault="00DF34EC" w:rsidP="00DF34EC">
      <w:pPr>
        <w:numPr>
          <w:ilvl w:val="0"/>
          <w:numId w:val="32"/>
        </w:numPr>
        <w:spacing w:after="0" w:line="360" w:lineRule="auto"/>
        <w:contextualSpacing/>
        <w:rPr>
          <w:rFonts w:eastAsia="Times New Roman" w:cs="Tahoma"/>
          <w:b/>
          <w:iCs/>
          <w:lang w:eastAsia="es-ES"/>
        </w:rPr>
      </w:pPr>
      <w:r w:rsidRPr="00FB7E68">
        <w:rPr>
          <w:rFonts w:eastAsia="Times New Roman" w:cs="Tahoma"/>
          <w:b/>
          <w:iCs/>
          <w:lang w:eastAsia="es-ES"/>
        </w:rPr>
        <w:t>Que la difusión de la información impida u obstaculice las actividades de inspección, supervisión o vigilancia que realicen las autoridades en el proceso de verificación del cumplimiento de las leyes</w:t>
      </w:r>
    </w:p>
    <w:p w14:paraId="58DD85DC" w14:textId="77777777" w:rsidR="00DF34EC" w:rsidRPr="00FB7E68" w:rsidRDefault="00DF34EC" w:rsidP="00DF34EC">
      <w:pPr>
        <w:spacing w:after="0" w:line="360" w:lineRule="auto"/>
        <w:rPr>
          <w:rFonts w:eastAsia="Times New Roman" w:cs="Tahoma"/>
          <w:bCs/>
          <w:iCs/>
          <w:lang w:eastAsia="es-ES"/>
        </w:rPr>
      </w:pPr>
    </w:p>
    <w:p w14:paraId="45651CC4" w14:textId="0F0ED10B" w:rsidR="00DF34EC" w:rsidRPr="00FB7E68" w:rsidRDefault="00DF34EC" w:rsidP="00DF34EC">
      <w:pPr>
        <w:spacing w:after="0" w:line="360" w:lineRule="auto"/>
        <w:rPr>
          <w:rFonts w:eastAsia="Times New Roman" w:cs="Tahoma"/>
          <w:bCs/>
          <w:iCs/>
          <w:lang w:eastAsia="es-ES"/>
        </w:rPr>
      </w:pPr>
      <w:r w:rsidRPr="00FB7E68">
        <w:rPr>
          <w:rFonts w:eastAsia="Times New Roman" w:cs="Tahoma"/>
          <w:bCs/>
          <w:iCs/>
          <w:lang w:eastAsia="es-ES"/>
        </w:rPr>
        <w:t xml:space="preserve">En principio, resulta indispensable precisar que los sujetos obligados deben distinguir claramente la información que documenta el proceso de auditoría; esto es, aquellas expresiones documentales, que reflejen las actividades de inspección y fiscalización </w:t>
      </w:r>
      <w:r w:rsidRPr="00FB7E68">
        <w:rPr>
          <w:rFonts w:eastAsia="Times New Roman" w:cs="Tahoma"/>
          <w:bCs/>
          <w:iCs/>
          <w:lang w:eastAsia="es-ES"/>
        </w:rPr>
        <w:lastRenderedPageBreak/>
        <w:t xml:space="preserve">realizadas por el Órgano Auditor, así como, que contengan el estudio, el análisis realizadas y las inconsistencias encontradas, por las autoridades auditoras; </w:t>
      </w:r>
      <w:r w:rsidRPr="00FB7E68">
        <w:rPr>
          <w:rFonts w:eastAsia="Times New Roman" w:cs="Tahoma"/>
          <w:iCs/>
          <w:lang w:eastAsia="es-ES"/>
        </w:rPr>
        <w:t>de aquellas otras, que corresponden a la generada por los Entes Fiscalizables, en el presente caso, el Ayuntamiento de</w:t>
      </w:r>
      <w:r w:rsidR="003457C2" w:rsidRPr="00FB7E68">
        <w:rPr>
          <w:rFonts w:eastAsia="Times New Roman" w:cs="Tahoma"/>
          <w:iCs/>
          <w:lang w:eastAsia="es-ES"/>
        </w:rPr>
        <w:t xml:space="preserve"> Tecámac, durante la temporalidad solicitada</w:t>
      </w:r>
      <w:r w:rsidRPr="00FB7E68">
        <w:rPr>
          <w:rFonts w:eastAsia="Times New Roman" w:cs="Tahoma"/>
          <w:iCs/>
          <w:lang w:eastAsia="es-ES"/>
        </w:rPr>
        <w:t xml:space="preserve">; esto es, la información generada </w:t>
      </w:r>
      <w:r w:rsidR="003457C2" w:rsidRPr="00FB7E68">
        <w:rPr>
          <w:rFonts w:eastAsia="Times New Roman" w:cs="Tahoma"/>
          <w:iCs/>
          <w:lang w:eastAsia="es-ES"/>
        </w:rPr>
        <w:t>d</w:t>
      </w:r>
      <w:r w:rsidRPr="00FB7E68">
        <w:rPr>
          <w:rFonts w:eastAsia="Times New Roman" w:cs="Tahoma"/>
          <w:iCs/>
          <w:lang w:eastAsia="es-ES"/>
        </w:rPr>
        <w:t xml:space="preserve">el Sujeto Obligado, durante un determinado tiempo, y que analizará la autoridad, </w:t>
      </w:r>
      <w:r w:rsidRPr="00FB7E68">
        <w:rPr>
          <w:rFonts w:eastAsia="Times New Roman" w:cs="Tahoma"/>
          <w:bCs/>
          <w:iCs/>
          <w:lang w:eastAsia="es-ES"/>
        </w:rPr>
        <w:t>lo cual corresponde a un insumo informativo o de apoyo, en el proceso de fiscalización.</w:t>
      </w:r>
    </w:p>
    <w:p w14:paraId="530D6EDB" w14:textId="77777777" w:rsidR="00DF34EC" w:rsidRPr="00FB7E68" w:rsidRDefault="00DF34EC" w:rsidP="00DF34EC">
      <w:pPr>
        <w:spacing w:after="0" w:line="360" w:lineRule="auto"/>
        <w:rPr>
          <w:rFonts w:eastAsia="Times New Roman" w:cs="Tahoma"/>
          <w:bCs/>
          <w:iCs/>
          <w:lang w:eastAsia="es-ES"/>
        </w:rPr>
      </w:pPr>
    </w:p>
    <w:p w14:paraId="4562B7BA" w14:textId="7CDDDA2C" w:rsidR="00DF34EC" w:rsidRPr="00FB7E68" w:rsidRDefault="00DF34EC" w:rsidP="00DF34EC">
      <w:pPr>
        <w:spacing w:after="0" w:line="360" w:lineRule="auto"/>
        <w:rPr>
          <w:rFonts w:eastAsia="Times New Roman" w:cs="Tahoma"/>
          <w:lang w:eastAsia="es-ES"/>
        </w:rPr>
      </w:pPr>
      <w:r w:rsidRPr="00FB7E68">
        <w:rPr>
          <w:rFonts w:eastAsia="Times New Roman" w:cs="Tahoma"/>
          <w:bCs/>
          <w:iCs/>
          <w:lang w:eastAsia="es-ES"/>
        </w:rPr>
        <w:t xml:space="preserve">Lo anterior, toma relevancia, pues conforme al Criterio </w:t>
      </w:r>
      <w:r w:rsidR="003457C2" w:rsidRPr="00FB7E68">
        <w:rPr>
          <w:rFonts w:eastAsia="Times New Roman" w:cs="Tahoma"/>
          <w:bCs/>
          <w:iCs/>
          <w:lang w:eastAsia="es-ES"/>
        </w:rPr>
        <w:t xml:space="preserve">orientador </w:t>
      </w:r>
      <w:r w:rsidRPr="00FB7E68">
        <w:rPr>
          <w:rFonts w:eastAsia="Times New Roman" w:cs="Tahoma"/>
          <w:lang w:val="es-ES_tradnl" w:eastAsia="es-ES"/>
        </w:rPr>
        <w:t>con clave de control SO/016/2013, de la Primera Época, emitido por el entonces Instituto Federal de Acceso a la Información y Protección de Datos</w:t>
      </w:r>
      <w:r w:rsidRPr="00FB7E68">
        <w:rPr>
          <w:rFonts w:eastAsia="Times New Roman" w:cs="Tahoma"/>
          <w:bCs/>
          <w:iCs/>
          <w:lang w:eastAsia="es-ES"/>
        </w:rPr>
        <w:t>,</w:t>
      </w:r>
      <w:r w:rsidRPr="00FB7E68">
        <w:rPr>
          <w:rFonts w:eastAsia="Times New Roman" w:cs="Tahoma"/>
          <w:lang w:eastAsia="es-ES"/>
        </w:rPr>
        <w:t xml:space="preserve"> mismo que se trae por analogía y, del cual, se puede vislumbrar que la difusión de los insumos informativos o de apoyo no afectan a la decisión final que pueda adoptar la autoridad auditora, pues inclusive, en el presente caso, información relacionada con la misma, se debe publicar y hacer del conocimiento a la ciudadanía.</w:t>
      </w:r>
    </w:p>
    <w:p w14:paraId="772F312F" w14:textId="77777777" w:rsidR="00DF34EC" w:rsidRPr="00FB7E68" w:rsidRDefault="00DF34EC" w:rsidP="00DF34EC">
      <w:pPr>
        <w:spacing w:after="0" w:line="360" w:lineRule="auto"/>
        <w:contextualSpacing/>
        <w:rPr>
          <w:rFonts w:eastAsia="Times New Roman" w:cs="Tahoma"/>
          <w:color w:val="000000"/>
          <w:lang w:val="x-none" w:eastAsia="es-ES"/>
        </w:rPr>
      </w:pPr>
    </w:p>
    <w:p w14:paraId="687ED760" w14:textId="0A44D3D7" w:rsidR="00DF34EC" w:rsidRPr="00FB7E68" w:rsidRDefault="003457C2" w:rsidP="00DF34EC">
      <w:pPr>
        <w:spacing w:after="0" w:line="360" w:lineRule="auto"/>
        <w:rPr>
          <w:rFonts w:eastAsia="Times New Roman" w:cs="Arial"/>
          <w:lang w:eastAsia="es-ES"/>
        </w:rPr>
      </w:pPr>
      <w:r w:rsidRPr="00FB7E68">
        <w:rPr>
          <w:rFonts w:eastAsia="Times New Roman" w:cs="Arial"/>
          <w:lang w:val="es-ES" w:eastAsia="es-ES"/>
        </w:rPr>
        <w:t>Además</w:t>
      </w:r>
      <w:r w:rsidR="00DF34EC" w:rsidRPr="00FB7E68">
        <w:rPr>
          <w:rFonts w:eastAsia="Times New Roman" w:cs="Arial"/>
          <w:lang w:val="x-none" w:eastAsia="es-ES"/>
        </w:rPr>
        <w:t xml:space="preserve">, </w:t>
      </w:r>
      <w:r w:rsidR="00DF34EC" w:rsidRPr="00FB7E68">
        <w:rPr>
          <w:rFonts w:eastAsia="Times New Roman" w:cs="Arial"/>
          <w:lang w:eastAsia="es-ES"/>
        </w:rPr>
        <w:t>es de señalar que</w:t>
      </w:r>
      <w:r w:rsidR="00DF34EC" w:rsidRPr="00FB7E68">
        <w:rPr>
          <w:rFonts w:eastAsia="Times New Roman" w:cs="Arial"/>
          <w:lang w:val="x-none" w:eastAsia="es-ES"/>
        </w:rPr>
        <w:t xml:space="preserve"> los documentos donde conste </w:t>
      </w:r>
      <w:r w:rsidRPr="00FB7E68">
        <w:rPr>
          <w:rFonts w:eastAsia="Times New Roman" w:cs="Arial"/>
          <w:lang w:eastAsia="es-ES"/>
        </w:rPr>
        <w:t xml:space="preserve">el sueldo del </w:t>
      </w:r>
      <w:proofErr w:type="gramStart"/>
      <w:r w:rsidRPr="00FB7E68">
        <w:rPr>
          <w:rFonts w:eastAsia="Times New Roman" w:cs="Arial"/>
          <w:lang w:eastAsia="es-ES"/>
        </w:rPr>
        <w:t>personal</w:t>
      </w:r>
      <w:r w:rsidR="00DF34EC" w:rsidRPr="00FB7E68">
        <w:rPr>
          <w:rFonts w:eastAsia="Calibri" w:cs="Tahoma"/>
          <w:bCs/>
          <w:color w:val="000000"/>
        </w:rPr>
        <w:t>,</w:t>
      </w:r>
      <w:proofErr w:type="gramEnd"/>
      <w:r w:rsidR="00DF34EC" w:rsidRPr="00FB7E68">
        <w:rPr>
          <w:rFonts w:eastAsia="Calibri" w:cs="Tahoma"/>
          <w:bCs/>
          <w:color w:val="000000"/>
        </w:rPr>
        <w:t xml:space="preserve"> </w:t>
      </w:r>
      <w:r w:rsidRPr="00FB7E68">
        <w:rPr>
          <w:rFonts w:eastAsia="Calibri" w:cs="Tahoma"/>
          <w:bCs/>
        </w:rPr>
        <w:t>rinden</w:t>
      </w:r>
      <w:r w:rsidR="00DF34EC" w:rsidRPr="00FB7E68">
        <w:rPr>
          <w:rFonts w:eastAsia="Calibri" w:cs="Tahoma"/>
          <w:bCs/>
        </w:rPr>
        <w:t xml:space="preserve"> cuentas de la forma en que utiliza el Ayuntamiento los recursos públicos</w:t>
      </w:r>
      <w:r w:rsidR="00DF34EC" w:rsidRPr="00FB7E68">
        <w:rPr>
          <w:rFonts w:eastAsia="Times New Roman" w:cs="Tahoma"/>
          <w:bCs/>
          <w:iCs/>
          <w:lang w:val="es-ES_tradnl" w:eastAsia="es-ES"/>
        </w:rPr>
        <w:t>; sobre</w:t>
      </w:r>
      <w:r w:rsidR="00DF34EC" w:rsidRPr="00FB7E68">
        <w:rPr>
          <w:rFonts w:eastAsia="Times New Roman" w:cs="Tahoma"/>
          <w:lang w:val="es-ES" w:eastAsia="es-ES"/>
        </w:rPr>
        <w:t xml:space="preserve"> el tema, </w:t>
      </w:r>
      <w:r w:rsidR="00DF34EC" w:rsidRPr="00FB7E68">
        <w:rPr>
          <w:rFonts w:eastAsia="Times New Roman" w:cs="Arial"/>
          <w:bCs/>
          <w:lang w:eastAsia="es-ES"/>
        </w:rPr>
        <w:t xml:space="preserve">según Arizmendi, Guillermo (2016), en la “Ley General de Transparencia y Acceso a la Información Pública Comentada” (p. 240 y 241), los recursos públicos, deber ser administrado con responsabilidad y transparencia. </w:t>
      </w:r>
      <w:r w:rsidR="00DF34EC" w:rsidRPr="00FB7E68">
        <w:rPr>
          <w:rFonts w:eastAsia="Times New Roman" w:cs="Tahoma"/>
          <w:lang w:val="es-ES" w:eastAsia="es-ES"/>
        </w:rPr>
        <w:t>En ese orden de ideas, según Trujillo, Humberto (2019), en el “Diccionario de Transparencia y Acceso a la Información Pública” (p. 276), 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65196F17" w14:textId="77777777" w:rsidR="00DF34EC" w:rsidRPr="00FB7E68" w:rsidRDefault="00DF34EC" w:rsidP="00DF34EC">
      <w:pPr>
        <w:spacing w:after="0" w:line="360" w:lineRule="auto"/>
        <w:rPr>
          <w:rFonts w:eastAsia="Times New Roman" w:cs="Tahoma"/>
          <w:lang w:val="es-ES" w:eastAsia="es-ES"/>
        </w:rPr>
      </w:pPr>
    </w:p>
    <w:p w14:paraId="1BC7B0CE" w14:textId="77777777" w:rsidR="00DF34EC" w:rsidRPr="00FB7E68" w:rsidRDefault="00DF34EC" w:rsidP="00DF34EC">
      <w:pPr>
        <w:spacing w:after="0" w:line="360" w:lineRule="auto"/>
        <w:rPr>
          <w:rFonts w:eastAsia="Times New Roman" w:cs="Tahoma"/>
          <w:lang w:eastAsia="es-ES"/>
        </w:rPr>
      </w:pPr>
      <w:r w:rsidRPr="00FB7E68">
        <w:rPr>
          <w:rFonts w:eastAsia="Times New Roman" w:cs="Tahoma"/>
          <w:lang w:val="es-ES" w:eastAsia="es-ES"/>
        </w:rPr>
        <w:lastRenderedPageBreak/>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transparencia y honradez; sobre lo referido,  </w:t>
      </w:r>
      <w:r w:rsidRPr="00FB7E68">
        <w:rPr>
          <w:rFonts w:eastAsia="Times New Roman" w:cs="Tahoma"/>
          <w:lang w:eastAsia="es-ES"/>
        </w:rPr>
        <w:t>la Tesis número 1a.CXLV/2009, Novena Época, publicada en el Semanario Judicial de la Federación, Tomo XXX, de septiembre de dos mil nueve, (p. 2712), establece lo siguiente:</w:t>
      </w:r>
    </w:p>
    <w:p w14:paraId="56D69471" w14:textId="77777777" w:rsidR="00DF34EC" w:rsidRPr="00FB7E68" w:rsidRDefault="00DF34EC" w:rsidP="00DF34EC">
      <w:pPr>
        <w:spacing w:after="0" w:line="360" w:lineRule="auto"/>
        <w:rPr>
          <w:rFonts w:eastAsia="Times New Roman" w:cs="Tahoma"/>
          <w:lang w:val="es-ES" w:eastAsia="es-ES"/>
        </w:rPr>
      </w:pPr>
    </w:p>
    <w:p w14:paraId="0109A971" w14:textId="77777777" w:rsidR="00DF34EC" w:rsidRPr="00FB7E68" w:rsidRDefault="00DF34EC" w:rsidP="00DF34EC">
      <w:pPr>
        <w:spacing w:after="0" w:line="360" w:lineRule="auto"/>
        <w:ind w:left="567" w:right="567"/>
        <w:rPr>
          <w:rFonts w:eastAsia="Times New Roman" w:cs="Tahoma"/>
          <w:bCs/>
          <w:i/>
          <w:iCs/>
          <w:sz w:val="20"/>
          <w:szCs w:val="20"/>
          <w:lang w:val="es-ES" w:eastAsia="es-ES"/>
        </w:rPr>
      </w:pPr>
      <w:r w:rsidRPr="00FB7E68">
        <w:rPr>
          <w:rFonts w:eastAsia="Times New Roman" w:cs="Tahoma"/>
          <w:b/>
          <w:bCs/>
          <w:i/>
          <w:iCs/>
          <w:sz w:val="20"/>
          <w:szCs w:val="20"/>
          <w:lang w:val="es-ES" w:eastAsia="es-ES"/>
        </w:rPr>
        <w:t>“</w:t>
      </w:r>
      <w:r w:rsidRPr="00FB7E68">
        <w:rPr>
          <w:rFonts w:eastAsia="Times New Roman" w:cs="Tahoma"/>
          <w:b/>
          <w:bCs/>
          <w:i/>
          <w:iCs/>
          <w:sz w:val="20"/>
          <w:szCs w:val="20"/>
          <w:lang w:eastAsia="es-ES"/>
        </w:rPr>
        <w:t xml:space="preserve">GASTO PÚBLICO. EL ARTÍCULO 134 DE LA CONSTITUCIÓN POLÍTICA DE LOS ESTADOS UNIDOS MEXICANOS ELEVA A RANGO CONSTITUCIONAL LOS PRINCIPIOS DE LEGALIDAD, EFICIENCIA, EFICACIA, ECONOMÍA, TRANSPARENCIA Y HONRADEZ EN ESTA MATERIA. </w:t>
      </w:r>
      <w:r w:rsidRPr="00FB7E68">
        <w:rPr>
          <w:rFonts w:eastAsia="Times New Roman" w:cs="Tahoma"/>
          <w:bCs/>
          <w:i/>
          <w:iCs/>
          <w:sz w:val="20"/>
          <w:szCs w:val="20"/>
          <w:lang w:eastAsia="es-E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FB7E68">
        <w:rPr>
          <w:rFonts w:eastAsia="Times New Roman" w:cs="Tahoma"/>
          <w:bCs/>
          <w:i/>
          <w:iCs/>
          <w:sz w:val="20"/>
          <w:szCs w:val="20"/>
          <w:lang w:val="es-ES" w:eastAsia="es-ES"/>
        </w:rPr>
        <w:t>”</w:t>
      </w:r>
    </w:p>
    <w:p w14:paraId="6AB60739" w14:textId="77777777" w:rsidR="00DF34EC" w:rsidRPr="00FB7E68" w:rsidRDefault="00DF34EC" w:rsidP="00DF34EC">
      <w:pPr>
        <w:spacing w:after="0" w:line="360" w:lineRule="auto"/>
        <w:rPr>
          <w:rFonts w:eastAsia="Times New Roman" w:cs="Tahoma"/>
          <w:bCs/>
          <w:iCs/>
          <w:lang w:val="es-ES" w:eastAsia="es-ES"/>
        </w:rPr>
      </w:pPr>
    </w:p>
    <w:p w14:paraId="6440183B" w14:textId="77777777" w:rsidR="00DF34EC" w:rsidRPr="00FB7E68" w:rsidRDefault="00DF34EC" w:rsidP="00DF34EC">
      <w:pPr>
        <w:spacing w:after="0" w:line="360" w:lineRule="auto"/>
        <w:rPr>
          <w:rFonts w:eastAsia="Times New Roman" w:cs="Tahoma"/>
          <w:bCs/>
          <w:iCs/>
          <w:lang w:val="es-ES" w:eastAsia="es-ES"/>
        </w:rPr>
      </w:pPr>
      <w:r w:rsidRPr="00FB7E68">
        <w:rPr>
          <w:rFonts w:eastAsia="Times New Roman" w:cs="Tahoma"/>
          <w:bCs/>
          <w:iCs/>
          <w:lang w:val="es-ES" w:eastAsia="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09EE84C6" w14:textId="77777777" w:rsidR="00DF34EC" w:rsidRPr="00FB7E68" w:rsidRDefault="00DF34EC" w:rsidP="00DF34EC">
      <w:pPr>
        <w:spacing w:after="0" w:line="360" w:lineRule="auto"/>
        <w:rPr>
          <w:rFonts w:eastAsia="Times New Roman" w:cs="Tahoma"/>
          <w:bCs/>
          <w:iCs/>
          <w:lang w:val="es-ES" w:eastAsia="es-ES"/>
        </w:rPr>
      </w:pPr>
    </w:p>
    <w:p w14:paraId="1E6864A4" w14:textId="77777777" w:rsidR="00DF34EC" w:rsidRPr="00FB7E68" w:rsidRDefault="00DF34EC" w:rsidP="00DF34EC">
      <w:pPr>
        <w:spacing w:after="0" w:line="360" w:lineRule="auto"/>
        <w:rPr>
          <w:rFonts w:eastAsia="Times New Roman" w:cs="Tahoma"/>
          <w:lang w:val="es-ES" w:eastAsia="es-ES"/>
        </w:rPr>
      </w:pPr>
      <w:r w:rsidRPr="00FB7E68">
        <w:rPr>
          <w:rFonts w:eastAsia="Times New Roman" w:cs="Tahoma"/>
          <w:bCs/>
          <w:iCs/>
          <w:lang w:val="es-ES" w:eastAsia="es-ES"/>
        </w:rPr>
        <w:lastRenderedPageBreak/>
        <w:t xml:space="preserve">Al respecto, </w:t>
      </w:r>
      <w:r w:rsidRPr="00FB7E68">
        <w:rPr>
          <w:rFonts w:eastAsia="Times New Roman" w:cs="Tahoma"/>
          <w:lang w:val="es-ES" w:eastAsia="es-ES"/>
        </w:rPr>
        <w:t xml:space="preserve">según Merino, Mauricio (2019), en el “Diccionario de Transparencia y Acceso a la Información Pública” (p. 276), la rendición de </w:t>
      </w:r>
      <w:proofErr w:type="gramStart"/>
      <w:r w:rsidRPr="00FB7E68">
        <w:rPr>
          <w:rFonts w:eastAsia="Times New Roman" w:cs="Tahoma"/>
          <w:lang w:val="es-ES" w:eastAsia="es-ES"/>
        </w:rPr>
        <w:t>cuentas</w:t>
      </w:r>
      <w:r w:rsidRPr="00FB7E68">
        <w:rPr>
          <w:rFonts w:eastAsia="Times New Roman" w:cs="Tahoma"/>
          <w:b/>
          <w:lang w:val="es-ES" w:eastAsia="es-ES"/>
        </w:rPr>
        <w:t>,</w:t>
      </w:r>
      <w:proofErr w:type="gramEnd"/>
      <w:r w:rsidRPr="00FB7E68">
        <w:rPr>
          <w:rFonts w:eastAsia="Times New Roman" w:cs="Tahoma"/>
          <w:b/>
          <w:lang w:val="es-ES" w:eastAsia="es-ES"/>
        </w:rPr>
        <w:t xml:space="preserve"> </w:t>
      </w:r>
      <w:r w:rsidRPr="00FB7E68">
        <w:rPr>
          <w:rFonts w:eastAsia="Times New Roman" w:cs="Tahoma"/>
          <w:lang w:val="es-ES" w:eastAsia="es-ES"/>
        </w:rPr>
        <w:t>es un ejercicio de transparencia e información pública; es un medio a través del cual los gobiernos informan al público de sus actividades, de los recursos que han ejercido y de los resultados obtenidos.</w:t>
      </w:r>
    </w:p>
    <w:p w14:paraId="25E9B0B6" w14:textId="77777777" w:rsidR="00DF34EC" w:rsidRPr="00FB7E68" w:rsidRDefault="00DF34EC" w:rsidP="00DF34EC">
      <w:pPr>
        <w:spacing w:after="0" w:line="360" w:lineRule="auto"/>
        <w:rPr>
          <w:rFonts w:eastAsia="Times New Roman" w:cs="Tahoma"/>
          <w:lang w:val="es-ES" w:eastAsia="es-ES"/>
        </w:rPr>
      </w:pPr>
    </w:p>
    <w:p w14:paraId="112CF463" w14:textId="77777777" w:rsidR="00DF34EC" w:rsidRPr="00FB7E68" w:rsidRDefault="00DF34EC" w:rsidP="00DF34EC">
      <w:pPr>
        <w:spacing w:after="0" w:line="360" w:lineRule="auto"/>
        <w:rPr>
          <w:rFonts w:eastAsia="Times New Roman" w:cs="Tahoma"/>
          <w:bCs/>
          <w:iCs/>
          <w:lang w:val="es-ES" w:eastAsia="es-ES"/>
        </w:rPr>
      </w:pPr>
      <w:r w:rsidRPr="00FB7E68">
        <w:rPr>
          <w:rFonts w:eastAsia="Times New Roman" w:cs="Tahoma"/>
          <w:bCs/>
          <w:iCs/>
          <w:lang w:val="es-ES" w:eastAsia="es-ES"/>
        </w:rPr>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04A82B46" w14:textId="77777777" w:rsidR="00DF34EC" w:rsidRPr="00FB7E68" w:rsidRDefault="00DF34EC" w:rsidP="00DF34EC">
      <w:pPr>
        <w:spacing w:after="0" w:line="360" w:lineRule="auto"/>
        <w:rPr>
          <w:rFonts w:eastAsia="Times New Roman" w:cs="Tahoma"/>
          <w:bCs/>
          <w:iCs/>
          <w:lang w:val="es-ES" w:eastAsia="es-ES"/>
        </w:rPr>
      </w:pPr>
    </w:p>
    <w:p w14:paraId="2DE48FA8" w14:textId="77777777" w:rsidR="007B69ED" w:rsidRPr="00FB7E68" w:rsidRDefault="00DF34EC" w:rsidP="00DF34EC">
      <w:pPr>
        <w:spacing w:after="0" w:line="360" w:lineRule="auto"/>
        <w:rPr>
          <w:rFonts w:eastAsia="Times New Roman" w:cs="Tahoma"/>
          <w:bCs/>
          <w:iCs/>
          <w:lang w:val="es-ES" w:eastAsia="es-ES"/>
        </w:rPr>
      </w:pPr>
      <w:r w:rsidRPr="00FB7E68">
        <w:rPr>
          <w:rFonts w:eastAsia="Times New Roman" w:cs="Tahoma"/>
          <w:bCs/>
          <w:iCs/>
          <w:lang w:val="es-ES" w:eastAsia="es-ES"/>
        </w:rPr>
        <w:t>Toma relevancia lo anterior, pues conforme al artículo 2°, fracción VII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w:t>
      </w:r>
    </w:p>
    <w:p w14:paraId="10D05561" w14:textId="77777777" w:rsidR="007B69ED" w:rsidRPr="00FB7E68" w:rsidRDefault="007B69ED" w:rsidP="00DF34EC">
      <w:pPr>
        <w:spacing w:after="0" w:line="360" w:lineRule="auto"/>
        <w:rPr>
          <w:rFonts w:eastAsia="Times New Roman" w:cs="Tahoma"/>
          <w:bCs/>
          <w:iCs/>
          <w:lang w:val="es-ES" w:eastAsia="es-ES"/>
        </w:rPr>
      </w:pPr>
    </w:p>
    <w:p w14:paraId="0737A167" w14:textId="7B7B3DE4" w:rsidR="007B69ED" w:rsidRPr="00FB7E68" w:rsidRDefault="00DF34EC" w:rsidP="00DF34EC">
      <w:pPr>
        <w:spacing w:after="0" w:line="360" w:lineRule="auto"/>
        <w:rPr>
          <w:rFonts w:eastAsia="Calibri" w:cs="Times New Roman"/>
          <w:bCs/>
          <w:color w:val="000000"/>
        </w:rPr>
      </w:pPr>
      <w:r w:rsidRPr="00FB7E68">
        <w:rPr>
          <w:rFonts w:eastAsia="Times New Roman" w:cs="Tahoma"/>
          <w:bCs/>
          <w:iCs/>
          <w:lang w:eastAsia="es-ES"/>
        </w:rPr>
        <w:t xml:space="preserve">Conforme a lo anterior, se logra vislumbrar que, en el presente caso, la información solicitada, rinde cuentas de </w:t>
      </w:r>
      <w:r w:rsidR="007B69ED" w:rsidRPr="00FB7E68">
        <w:rPr>
          <w:rFonts w:eastAsia="Times New Roman" w:cs="Tahoma"/>
          <w:bCs/>
          <w:iCs/>
          <w:lang w:eastAsia="es-ES"/>
        </w:rPr>
        <w:t xml:space="preserve">la administración de la hacienda pública y del presupuesto del Ayuntamiento, por lo que, </w:t>
      </w:r>
      <w:r w:rsidRPr="00FB7E68">
        <w:rPr>
          <w:rFonts w:eastAsia="Calibri" w:cs="Times New Roman"/>
          <w:bCs/>
          <w:color w:val="000000"/>
        </w:rPr>
        <w:t xml:space="preserve">la información solicitada, corresponde a documentos definitivos, que son aquellos generados por el actuar continuo del Sujeto Obligado y que dan cuenta, de la forma en que se ejercieron los recursos públicos; tan es así, que </w:t>
      </w:r>
      <w:r w:rsidR="007B69ED" w:rsidRPr="00FB7E68">
        <w:rPr>
          <w:rFonts w:eastAsia="Calibri" w:cs="Times New Roman"/>
          <w:bCs/>
          <w:color w:val="000000"/>
        </w:rPr>
        <w:t xml:space="preserve">de conformidad con el artículo 92, fracción VIII, de la Ley de Transparencia y Acceso a la Información Pública del </w:t>
      </w:r>
      <w:r w:rsidR="007B69ED" w:rsidRPr="00FB7E68">
        <w:rPr>
          <w:rFonts w:eastAsia="Calibri" w:cs="Times New Roman"/>
          <w:bCs/>
          <w:color w:val="000000"/>
        </w:rPr>
        <w:lastRenderedPageBreak/>
        <w:t xml:space="preserve">Estado de México y Municipios, establece que </w:t>
      </w:r>
      <w:r w:rsidR="007B69ED" w:rsidRPr="00FB7E68">
        <w:rPr>
          <w:rFonts w:eastAsia="Calibri" w:cs="Times New Roman"/>
          <w:b/>
          <w:bCs/>
          <w:color w:val="000000"/>
        </w:rPr>
        <w:t>los Sujetos Obligados deberán poner a disposición del público de manera permanente y actualizada, las remuneraciones brutas y netas de todos los servidores públicos</w:t>
      </w:r>
      <w:r w:rsidR="007B69ED" w:rsidRPr="00FB7E68">
        <w:rPr>
          <w:rFonts w:eastAsia="Calibri" w:cs="Times New Roman"/>
          <w:bCs/>
          <w:color w:val="000000"/>
        </w:rPr>
        <w:t>, que incluya todas las percepciones, entre las cuales, se encuentran los sueldos, prestaciones, gratificaciones, primas, comisiones, dietas, bonos, estímulos, ingresos, entre otros.</w:t>
      </w:r>
    </w:p>
    <w:p w14:paraId="7B8683CC" w14:textId="77777777" w:rsidR="00DF34EC" w:rsidRPr="00FB7E68" w:rsidRDefault="00DF34EC" w:rsidP="00DF34EC">
      <w:pPr>
        <w:spacing w:after="0" w:line="360" w:lineRule="auto"/>
        <w:rPr>
          <w:rFonts w:eastAsia="Calibri" w:cs="Times New Roman"/>
          <w:bCs/>
          <w:color w:val="000000"/>
        </w:rPr>
      </w:pPr>
    </w:p>
    <w:p w14:paraId="727B2FE7" w14:textId="67A5D4AD" w:rsidR="00DF34EC" w:rsidRPr="00FB7E68" w:rsidRDefault="00DF34EC" w:rsidP="00DF34EC">
      <w:pPr>
        <w:spacing w:after="0" w:line="360" w:lineRule="auto"/>
        <w:rPr>
          <w:rFonts w:eastAsia="Calibri" w:cs="Times New Roman"/>
          <w:bCs/>
          <w:color w:val="000000"/>
        </w:rPr>
      </w:pPr>
      <w:r w:rsidRPr="00FB7E68">
        <w:rPr>
          <w:rFonts w:eastAsia="Calibri" w:cs="Times New Roman"/>
          <w:bCs/>
          <w:color w:val="000000"/>
        </w:rPr>
        <w:t>Así, se logra advertir que existe un interés público de dar a conocer los documentos mediante los cuales el Sujeto Obligado erogó</w:t>
      </w:r>
      <w:r w:rsidRPr="00FB7E68">
        <w:rPr>
          <w:rFonts w:eastAsia="Calibri" w:cs="Times New Roman"/>
          <w:bCs/>
          <w:color w:val="000000"/>
          <w:lang w:val="x-none"/>
        </w:rPr>
        <w:t xml:space="preserve"> recursos públicos</w:t>
      </w:r>
      <w:r w:rsidRPr="00FB7E68">
        <w:rPr>
          <w:rFonts w:eastAsia="Calibri" w:cs="Times New Roman"/>
          <w:bCs/>
          <w:color w:val="000000"/>
        </w:rPr>
        <w:t xml:space="preserve">, y, por lo tanto, al ser generados conforme al cumplimiento de atribuciones administrativas, se considera que no se acredita el cuarto requisito establecido en los Lineamientos Generales, pues como se señaló se trata únicamente de insumos informativos y de apoyo, al ser documentos definitivos que de ninguna manera modificarán el resultado de la auditoría, y, por lo tanto, no se actualiza la causal de clasificación establecida en el artículo 140, fracción V, inciso 1, de la Ley de Transparencia y Acceso a la Información Pública del Estado de México y Municipios. </w:t>
      </w:r>
    </w:p>
    <w:p w14:paraId="4C90F473" w14:textId="77777777" w:rsidR="00512209" w:rsidRPr="00FB7E68" w:rsidRDefault="00512209" w:rsidP="0007157F">
      <w:pPr>
        <w:spacing w:after="0" w:line="360" w:lineRule="auto"/>
        <w:rPr>
          <w:b/>
          <w:bCs/>
          <w:color w:val="000000"/>
        </w:rPr>
      </w:pPr>
    </w:p>
    <w:p w14:paraId="3DDA4CB9" w14:textId="09BA81DB" w:rsidR="00512209" w:rsidRPr="00FB7E68" w:rsidRDefault="00512209" w:rsidP="00512209">
      <w:pPr>
        <w:spacing w:after="0" w:line="360" w:lineRule="auto"/>
        <w:rPr>
          <w:color w:val="000000"/>
        </w:rPr>
      </w:pPr>
      <w:r w:rsidRPr="00FB7E68">
        <w:rPr>
          <w:rFonts w:eastAsia="Calibri" w:cs="Times New Roman"/>
        </w:rPr>
        <w:t xml:space="preserve">Por tal circunstancia, </w:t>
      </w:r>
      <w:r w:rsidRPr="00FB7E68">
        <w:t>p</w:t>
      </w:r>
      <w:r w:rsidRPr="00FB7E68">
        <w:rPr>
          <w:color w:val="000000"/>
        </w:rPr>
        <w:t>ara atender el requerimiento de la información, el Sujeto Obligado deberá realizar una búsqueda exhaustiva y razonable, en los archivos de la Tesorería Municipal</w:t>
      </w:r>
      <w:r w:rsidR="005C4872" w:rsidRPr="00FB7E68">
        <w:rPr>
          <w:color w:val="000000"/>
        </w:rPr>
        <w:t xml:space="preserve"> y Subdirección de Recursos Humanos</w:t>
      </w:r>
      <w:r w:rsidRPr="00FB7E68">
        <w:rPr>
          <w:color w:val="000000"/>
        </w:rPr>
        <w:t xml:space="preserve">, que a efecto de que proporcione, </w:t>
      </w:r>
      <w:r w:rsidR="005C4872" w:rsidRPr="00FB7E68">
        <w:rPr>
          <w:color w:val="000000"/>
        </w:rPr>
        <w:t>lo siguiente:</w:t>
      </w:r>
    </w:p>
    <w:p w14:paraId="53146D59" w14:textId="77777777" w:rsidR="005C4872" w:rsidRPr="00FB7E68" w:rsidRDefault="005C4872" w:rsidP="00512209">
      <w:pPr>
        <w:spacing w:after="0" w:line="360" w:lineRule="auto"/>
        <w:rPr>
          <w:color w:val="000000"/>
        </w:rPr>
      </w:pPr>
    </w:p>
    <w:p w14:paraId="2D348271" w14:textId="23BACE99" w:rsidR="005C4872" w:rsidRPr="00FB7E68" w:rsidRDefault="005C4872" w:rsidP="005C4872">
      <w:pPr>
        <w:pStyle w:val="Prrafodelista"/>
        <w:numPr>
          <w:ilvl w:val="0"/>
          <w:numId w:val="33"/>
        </w:numPr>
        <w:spacing w:line="360" w:lineRule="auto"/>
        <w:rPr>
          <w:rFonts w:cs="Tahoma"/>
          <w:bCs/>
          <w:iCs/>
        </w:rPr>
      </w:pPr>
      <w:r w:rsidRPr="00FB7E68">
        <w:rPr>
          <w:rFonts w:cs="Tahoma"/>
          <w:bCs/>
          <w:iCs/>
        </w:rPr>
        <w:t>El documento donde conste el sueldo bruto y neto de la primera y segunda quincena de agosto de dos mil veinticinco, conforme a lo siguiente:</w:t>
      </w:r>
    </w:p>
    <w:p w14:paraId="527CE7EA" w14:textId="77777777" w:rsidR="005C4872" w:rsidRPr="00FB7E68" w:rsidRDefault="005C4872" w:rsidP="005C4872">
      <w:pPr>
        <w:spacing w:after="0" w:line="360" w:lineRule="auto"/>
        <w:rPr>
          <w:rFonts w:eastAsia="Times New Roman" w:cs="Tahoma"/>
          <w:bCs/>
          <w:iCs/>
          <w:lang w:eastAsia="es-ES"/>
        </w:rPr>
      </w:pPr>
    </w:p>
    <w:p w14:paraId="1CD9E50F" w14:textId="77777777" w:rsidR="005C4872" w:rsidRPr="00FB7E68" w:rsidRDefault="005C4872" w:rsidP="005C4872">
      <w:pPr>
        <w:pStyle w:val="Prrafodelista"/>
        <w:numPr>
          <w:ilvl w:val="0"/>
          <w:numId w:val="34"/>
        </w:numPr>
        <w:spacing w:line="360" w:lineRule="auto"/>
        <w:rPr>
          <w:rFonts w:cs="Tahoma"/>
        </w:rPr>
      </w:pPr>
      <w:r w:rsidRPr="00FB7E68">
        <w:rPr>
          <w:rFonts w:cs="Tahoma"/>
        </w:rPr>
        <w:t>De todo el personal de Presidencia, Unidad de Planeación o similar, Tesorería Municipal, Dirección de Administración y Dirección General de Desarrollo Económico, y</w:t>
      </w:r>
    </w:p>
    <w:p w14:paraId="6E353D40" w14:textId="77777777" w:rsidR="005C4872" w:rsidRPr="00FB7E68" w:rsidRDefault="005C4872" w:rsidP="005C4872">
      <w:pPr>
        <w:pStyle w:val="Prrafodelista"/>
        <w:numPr>
          <w:ilvl w:val="0"/>
          <w:numId w:val="34"/>
        </w:numPr>
        <w:spacing w:line="360" w:lineRule="auto"/>
        <w:rPr>
          <w:rFonts w:cs="Tahoma"/>
        </w:rPr>
      </w:pPr>
      <w:r w:rsidRPr="00FB7E68">
        <w:rPr>
          <w:rFonts w:cs="Tahoma"/>
        </w:rPr>
        <w:lastRenderedPageBreak/>
        <w:t>De todos los Titulares de Área.</w:t>
      </w:r>
    </w:p>
    <w:p w14:paraId="3DB0D808" w14:textId="77777777" w:rsidR="00C968FF" w:rsidRPr="00FB7E68" w:rsidRDefault="00C968FF" w:rsidP="00512209">
      <w:pPr>
        <w:spacing w:after="0" w:line="360" w:lineRule="auto"/>
        <w:rPr>
          <w:rFonts w:eastAsia="Times New Roman" w:cs="Tahoma"/>
          <w:szCs w:val="24"/>
          <w:lang w:eastAsia="es-ES"/>
        </w:rPr>
      </w:pPr>
    </w:p>
    <w:p w14:paraId="6E534331" w14:textId="77777777" w:rsidR="00512209" w:rsidRPr="00FB7E68" w:rsidRDefault="00512209" w:rsidP="00512209">
      <w:pPr>
        <w:spacing w:after="0" w:line="360" w:lineRule="auto"/>
        <w:ind w:right="-93"/>
      </w:pPr>
      <w:r w:rsidRPr="00FB7E68">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B459BAD" w14:textId="77777777" w:rsidR="00512209" w:rsidRPr="00FB7E68" w:rsidRDefault="00512209" w:rsidP="00512209">
      <w:pPr>
        <w:widowControl w:val="0"/>
        <w:autoSpaceDE w:val="0"/>
        <w:autoSpaceDN w:val="0"/>
        <w:adjustRightInd w:val="0"/>
        <w:spacing w:after="0" w:line="360" w:lineRule="auto"/>
        <w:contextualSpacing/>
      </w:pPr>
    </w:p>
    <w:p w14:paraId="0871EC7B" w14:textId="77777777" w:rsidR="00512209" w:rsidRPr="00FB7E68" w:rsidRDefault="00512209" w:rsidP="00512209">
      <w:pPr>
        <w:widowControl w:val="0"/>
        <w:autoSpaceDE w:val="0"/>
        <w:autoSpaceDN w:val="0"/>
        <w:adjustRightInd w:val="0"/>
        <w:spacing w:after="0" w:line="360" w:lineRule="auto"/>
        <w:contextualSpacing/>
      </w:pPr>
      <w:r w:rsidRPr="00FB7E68">
        <w:t xml:space="preserve">De esta manera, el derecho de acceso a la información pública se satisface en aquellos casos en que se entregue el soporte documental en el que conste la información solicitada, sin necesidad de elaborar documentos </w:t>
      </w:r>
      <w:r w:rsidRPr="00FB7E68">
        <w:rPr>
          <w:i/>
        </w:rPr>
        <w:t>ad hoc</w:t>
      </w:r>
      <w:r w:rsidRPr="00FB7E68">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589D9BE" w14:textId="77777777" w:rsidR="00512209" w:rsidRPr="00FB7E68" w:rsidRDefault="00512209" w:rsidP="00512209">
      <w:pPr>
        <w:widowControl w:val="0"/>
        <w:autoSpaceDE w:val="0"/>
        <w:autoSpaceDN w:val="0"/>
        <w:adjustRightInd w:val="0"/>
        <w:spacing w:after="0" w:line="360" w:lineRule="auto"/>
        <w:contextualSpacing/>
      </w:pPr>
    </w:p>
    <w:p w14:paraId="4DE8EE1F" w14:textId="06B78B49" w:rsidR="004D4D32" w:rsidRPr="00FB7E68" w:rsidRDefault="00512209" w:rsidP="004D4D32">
      <w:pPr>
        <w:spacing w:after="0" w:line="360" w:lineRule="auto"/>
      </w:pPr>
      <w:r w:rsidRPr="00FB7E68">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B520EF" w:rsidRPr="00FB7E68">
        <w:t>la información solicitada.</w:t>
      </w:r>
    </w:p>
    <w:p w14:paraId="4A671223" w14:textId="77777777" w:rsidR="00B520EF" w:rsidRPr="00FB7E68" w:rsidRDefault="00B520EF" w:rsidP="004D4D32">
      <w:pPr>
        <w:spacing w:after="0" w:line="360" w:lineRule="auto"/>
      </w:pPr>
    </w:p>
    <w:p w14:paraId="424AFC17" w14:textId="46829195" w:rsidR="00B520EF" w:rsidRPr="00FB7E68" w:rsidRDefault="00B520EF" w:rsidP="00B520EF">
      <w:pPr>
        <w:widowControl w:val="0"/>
        <w:autoSpaceDE w:val="0"/>
        <w:autoSpaceDN w:val="0"/>
        <w:adjustRightInd w:val="0"/>
        <w:spacing w:after="0" w:line="360" w:lineRule="auto"/>
        <w:contextualSpacing/>
        <w:rPr>
          <w:rFonts w:eastAsia="Times New Roman" w:cs="Times New Roman"/>
          <w:bCs/>
          <w:color w:val="auto"/>
          <w:lang w:eastAsia="es-ES"/>
        </w:rPr>
      </w:pPr>
      <w:r w:rsidRPr="00FB7E68">
        <w:rPr>
          <w:rFonts w:eastAsia="Times New Roman" w:cs="Times New Roman"/>
          <w:bCs/>
          <w:color w:val="auto"/>
          <w:lang w:eastAsia="es-ES"/>
        </w:rPr>
        <w:t>Ahora bien, se considera que los documentos solicitados pudieran contener los datos siguientes:</w:t>
      </w:r>
    </w:p>
    <w:p w14:paraId="51B5E1EF" w14:textId="77777777" w:rsidR="00B520EF" w:rsidRPr="00FB7E68" w:rsidRDefault="00B520EF" w:rsidP="00B520EF">
      <w:pPr>
        <w:spacing w:after="0" w:line="360" w:lineRule="auto"/>
        <w:ind w:right="-28"/>
        <w:contextualSpacing/>
        <w:rPr>
          <w:rFonts w:eastAsia="Times New Roman" w:cs="Times New Roman"/>
          <w:bCs/>
          <w:color w:val="auto"/>
          <w:lang w:eastAsia="es-ES"/>
        </w:rPr>
      </w:pPr>
    </w:p>
    <w:p w14:paraId="49A97706" w14:textId="77777777" w:rsidR="00B520EF" w:rsidRPr="00FB7E68" w:rsidRDefault="00B520EF" w:rsidP="00B520EF">
      <w:pPr>
        <w:numPr>
          <w:ilvl w:val="0"/>
          <w:numId w:val="35"/>
        </w:numPr>
        <w:spacing w:after="0" w:line="360" w:lineRule="auto"/>
        <w:rPr>
          <w:color w:val="000000"/>
        </w:rPr>
      </w:pPr>
      <w:bookmarkStart w:id="13" w:name="_Hlk179971039"/>
      <w:r w:rsidRPr="00FB7E68">
        <w:rPr>
          <w:color w:val="000000"/>
        </w:rPr>
        <w:t>Clave Única de Registro de Población (CURP);</w:t>
      </w:r>
    </w:p>
    <w:p w14:paraId="0547FBEC" w14:textId="77777777" w:rsidR="00B520EF" w:rsidRPr="00FB7E68" w:rsidRDefault="00B520EF" w:rsidP="00B520EF">
      <w:pPr>
        <w:numPr>
          <w:ilvl w:val="0"/>
          <w:numId w:val="35"/>
        </w:numPr>
        <w:spacing w:after="0" w:line="360" w:lineRule="auto"/>
        <w:rPr>
          <w:color w:val="000000"/>
        </w:rPr>
      </w:pPr>
      <w:r w:rsidRPr="00FB7E68">
        <w:rPr>
          <w:color w:val="000000"/>
        </w:rPr>
        <w:t>Registro Federal de Contribuyentes del servidor público (RFC);</w:t>
      </w:r>
    </w:p>
    <w:p w14:paraId="35983EF0" w14:textId="77777777" w:rsidR="00B520EF" w:rsidRPr="00FB7E68" w:rsidRDefault="00B520EF" w:rsidP="00B520EF">
      <w:pPr>
        <w:numPr>
          <w:ilvl w:val="0"/>
          <w:numId w:val="35"/>
        </w:numPr>
        <w:spacing w:after="0" w:line="360" w:lineRule="auto"/>
        <w:rPr>
          <w:color w:val="000000"/>
        </w:rPr>
      </w:pPr>
      <w:r w:rsidRPr="00FB7E68">
        <w:rPr>
          <w:color w:val="000000"/>
        </w:rPr>
        <w:lastRenderedPageBreak/>
        <w:t>Número de seguridad social del Instituto de Seguridad Social del Estado de México y Municipios;</w:t>
      </w:r>
    </w:p>
    <w:p w14:paraId="6F2F9F68" w14:textId="3B7C95C0" w:rsidR="00B520EF" w:rsidRPr="00FB7E68" w:rsidRDefault="00B520EF" w:rsidP="004D4D32">
      <w:pPr>
        <w:numPr>
          <w:ilvl w:val="0"/>
          <w:numId w:val="35"/>
        </w:numPr>
        <w:spacing w:after="0" w:line="360" w:lineRule="auto"/>
        <w:rPr>
          <w:color w:val="000000"/>
        </w:rPr>
      </w:pPr>
      <w:r w:rsidRPr="00FB7E68">
        <w:rPr>
          <w:color w:val="000000"/>
        </w:rPr>
        <w:t>Deducciones Personales (monto y concepto);</w:t>
      </w:r>
      <w:bookmarkEnd w:id="13"/>
    </w:p>
    <w:p w14:paraId="3589B8A6" w14:textId="77777777" w:rsidR="00B520EF" w:rsidRPr="00FB7E68" w:rsidRDefault="00B520EF" w:rsidP="00B520EF">
      <w:pPr>
        <w:spacing w:after="0" w:line="360" w:lineRule="auto"/>
        <w:rPr>
          <w:color w:val="000000"/>
        </w:rPr>
      </w:pPr>
    </w:p>
    <w:p w14:paraId="43FE0558" w14:textId="77777777" w:rsidR="00B520EF" w:rsidRPr="00FB7E68" w:rsidRDefault="00B520EF" w:rsidP="00B520EF">
      <w:pPr>
        <w:spacing w:after="0" w:line="360" w:lineRule="auto"/>
        <w:ind w:right="-28"/>
        <w:rPr>
          <w:color w:val="000000"/>
        </w:rPr>
      </w:pPr>
      <w:r w:rsidRPr="00FB7E68">
        <w:rPr>
          <w:color w:val="000000"/>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031FE800" w14:textId="77777777" w:rsidR="00B520EF" w:rsidRPr="00FB7E68" w:rsidRDefault="00B520EF" w:rsidP="00B520EF">
      <w:pPr>
        <w:spacing w:after="0" w:line="360" w:lineRule="auto"/>
        <w:rPr>
          <w:color w:val="000000"/>
        </w:rPr>
      </w:pPr>
    </w:p>
    <w:p w14:paraId="7A13F21B" w14:textId="77777777" w:rsidR="00B520EF" w:rsidRPr="00FB7E68" w:rsidRDefault="00B520EF" w:rsidP="00B520EF">
      <w:pPr>
        <w:spacing w:after="0" w:line="360" w:lineRule="auto"/>
        <w:rPr>
          <w:color w:val="000000"/>
        </w:rPr>
      </w:pPr>
      <w:r w:rsidRPr="00FB7E68">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FB7E68">
        <w:rPr>
          <w:color w:val="000000"/>
        </w:rPr>
        <w:t>ii</w:t>
      </w:r>
      <w:proofErr w:type="spellEnd"/>
      <w:r w:rsidRPr="00FB7E68">
        <w:rPr>
          <w:color w:val="000000"/>
        </w:rPr>
        <w:t xml:space="preserve">) por ley tenga el carácter de pública, </w:t>
      </w:r>
      <w:proofErr w:type="spellStart"/>
      <w:r w:rsidRPr="00FB7E68">
        <w:rPr>
          <w:color w:val="000000"/>
        </w:rPr>
        <w:t>iii</w:t>
      </w:r>
      <w:proofErr w:type="spellEnd"/>
      <w:r w:rsidRPr="00FB7E68">
        <w:rPr>
          <w:color w:val="000000"/>
        </w:rPr>
        <w:t xml:space="preserve">) exista una orden judicial, </w:t>
      </w:r>
      <w:proofErr w:type="spellStart"/>
      <w:r w:rsidRPr="00FB7E68">
        <w:rPr>
          <w:color w:val="000000"/>
        </w:rPr>
        <w:t>iv</w:t>
      </w:r>
      <w:proofErr w:type="spellEnd"/>
      <w:r w:rsidRPr="00FB7E68">
        <w:rPr>
          <w:color w:val="000000"/>
        </w:rPr>
        <w:t>) por razones de seguridad nacional y salubridad general o v) para proteger los derechos de terceros o cuando se transmita entre sujetos obligados en términos de los tratados y los acuerdos interinstitucionales.</w:t>
      </w:r>
    </w:p>
    <w:p w14:paraId="6A3BF928" w14:textId="77777777" w:rsidR="00B520EF" w:rsidRPr="00FB7E68" w:rsidRDefault="00B520EF" w:rsidP="00B520EF">
      <w:pPr>
        <w:spacing w:after="0" w:line="360" w:lineRule="auto"/>
        <w:rPr>
          <w:color w:val="000000"/>
        </w:rPr>
      </w:pPr>
    </w:p>
    <w:p w14:paraId="19D27456" w14:textId="77777777" w:rsidR="00B520EF" w:rsidRPr="00FB7E68" w:rsidRDefault="00B520EF" w:rsidP="00B520EF">
      <w:pPr>
        <w:spacing w:after="0" w:line="360" w:lineRule="auto"/>
        <w:rPr>
          <w:color w:val="000000"/>
        </w:rPr>
      </w:pPr>
      <w:r w:rsidRPr="00FB7E68">
        <w:rPr>
          <w:color w:val="000000"/>
        </w:rPr>
        <w:t>En términos de lo expuesto, la documentación y aquellos datos que se consideren confidenciales, serán una limitante del derecho de acceso a la información, siempre y cuando:</w:t>
      </w:r>
    </w:p>
    <w:p w14:paraId="39C5C3EF" w14:textId="77777777" w:rsidR="00B520EF" w:rsidRPr="00FB7E68" w:rsidRDefault="00B520EF" w:rsidP="00B520EF">
      <w:pPr>
        <w:spacing w:after="0" w:line="360" w:lineRule="auto"/>
        <w:rPr>
          <w:color w:val="000000"/>
        </w:rPr>
      </w:pPr>
    </w:p>
    <w:p w14:paraId="72FA869B" w14:textId="77777777" w:rsidR="00B520EF" w:rsidRPr="00FB7E68" w:rsidRDefault="00B520EF" w:rsidP="00B520EF">
      <w:pPr>
        <w:numPr>
          <w:ilvl w:val="0"/>
          <w:numId w:val="1"/>
        </w:numPr>
        <w:spacing w:after="0" w:line="360" w:lineRule="auto"/>
        <w:rPr>
          <w:color w:val="000000"/>
        </w:rPr>
      </w:pPr>
      <w:r w:rsidRPr="00FB7E68">
        <w:rPr>
          <w:color w:val="000000"/>
        </w:rPr>
        <w:t xml:space="preserve">Se trate de datos personales o información privada; esto es, información concerniente a una persona física o jurídico colectiva y que esta sea identificada o identificable. </w:t>
      </w:r>
    </w:p>
    <w:p w14:paraId="100ADFE6" w14:textId="77777777" w:rsidR="00B520EF" w:rsidRPr="00FB7E68" w:rsidRDefault="00B520EF" w:rsidP="00B520EF">
      <w:pPr>
        <w:numPr>
          <w:ilvl w:val="0"/>
          <w:numId w:val="1"/>
        </w:numPr>
        <w:spacing w:after="0" w:line="360" w:lineRule="auto"/>
        <w:rPr>
          <w:color w:val="000000"/>
        </w:rPr>
      </w:pPr>
      <w:r w:rsidRPr="00FB7E68">
        <w:rPr>
          <w:color w:val="000000"/>
        </w:rPr>
        <w:t xml:space="preserve">Para la difusión de los datos, se requiera el consentimiento del titular. </w:t>
      </w:r>
    </w:p>
    <w:p w14:paraId="0C3C2A23" w14:textId="77777777" w:rsidR="00B520EF" w:rsidRPr="00FB7E68" w:rsidRDefault="00B520EF" w:rsidP="00B520EF">
      <w:pPr>
        <w:spacing w:after="0" w:line="360" w:lineRule="auto"/>
        <w:rPr>
          <w:color w:val="000000"/>
        </w:rPr>
      </w:pPr>
    </w:p>
    <w:p w14:paraId="7B29414D" w14:textId="77777777" w:rsidR="00B520EF" w:rsidRPr="00FB7E68" w:rsidRDefault="00B520EF" w:rsidP="00B520EF">
      <w:pPr>
        <w:spacing w:after="0" w:line="360" w:lineRule="auto"/>
        <w:rPr>
          <w:color w:val="000000"/>
        </w:rPr>
      </w:pPr>
      <w:r w:rsidRPr="00FB7E68">
        <w:rPr>
          <w:color w:val="000000"/>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8BB16D6" w14:textId="77777777" w:rsidR="00B520EF" w:rsidRPr="00FB7E68" w:rsidRDefault="00B520EF" w:rsidP="00B520EF">
      <w:pPr>
        <w:spacing w:after="0" w:line="360" w:lineRule="auto"/>
        <w:rPr>
          <w:color w:val="000000"/>
        </w:rPr>
      </w:pPr>
    </w:p>
    <w:p w14:paraId="3C68174A" w14:textId="77777777" w:rsidR="00B520EF" w:rsidRPr="00FB7E68" w:rsidRDefault="00B520EF" w:rsidP="00B520EF">
      <w:pPr>
        <w:spacing w:after="0" w:line="360" w:lineRule="auto"/>
        <w:rPr>
          <w:color w:val="000000"/>
        </w:rPr>
      </w:pPr>
      <w:r w:rsidRPr="00FB7E68">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00523BFE" w14:textId="77777777" w:rsidR="00B520EF" w:rsidRPr="00FB7E68" w:rsidRDefault="00B520EF" w:rsidP="00B520EF">
      <w:pPr>
        <w:widowControl w:val="0"/>
        <w:autoSpaceDE w:val="0"/>
        <w:autoSpaceDN w:val="0"/>
        <w:adjustRightInd w:val="0"/>
        <w:spacing w:after="0" w:line="360" w:lineRule="auto"/>
        <w:contextualSpacing/>
        <w:rPr>
          <w:rFonts w:eastAsia="Times New Roman" w:cs="Times New Roman"/>
          <w:bCs/>
          <w:iCs/>
          <w:szCs w:val="20"/>
          <w:lang w:val="es-ES" w:eastAsia="es-ES"/>
        </w:rPr>
      </w:pPr>
    </w:p>
    <w:p w14:paraId="6DD42509" w14:textId="77777777" w:rsidR="00B520EF" w:rsidRPr="00FB7E68" w:rsidRDefault="00B520EF" w:rsidP="00B520EF">
      <w:pPr>
        <w:numPr>
          <w:ilvl w:val="0"/>
          <w:numId w:val="13"/>
        </w:numPr>
        <w:spacing w:after="0" w:line="360" w:lineRule="auto"/>
        <w:rPr>
          <w:b/>
          <w:color w:val="000000"/>
        </w:rPr>
      </w:pPr>
      <w:r w:rsidRPr="00FB7E68">
        <w:rPr>
          <w:b/>
          <w:color w:val="000000"/>
        </w:rPr>
        <w:t>Clave Única de Registro de Población (CURP)</w:t>
      </w:r>
    </w:p>
    <w:p w14:paraId="7E9DB916" w14:textId="77777777" w:rsidR="00B520EF" w:rsidRPr="00FB7E68" w:rsidRDefault="00B520EF" w:rsidP="00B520EF">
      <w:pPr>
        <w:spacing w:after="0" w:line="360" w:lineRule="auto"/>
        <w:rPr>
          <w:color w:val="000000"/>
        </w:rPr>
      </w:pPr>
    </w:p>
    <w:p w14:paraId="03D28219" w14:textId="77777777" w:rsidR="00B520EF" w:rsidRPr="00FB7E68" w:rsidRDefault="00B520EF" w:rsidP="00B520EF">
      <w:pPr>
        <w:spacing w:after="0" w:line="360" w:lineRule="auto"/>
        <w:rPr>
          <w:color w:val="000000"/>
        </w:rPr>
      </w:pPr>
      <w:r w:rsidRPr="00FB7E68">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DD5AB5C" w14:textId="77777777" w:rsidR="00B520EF" w:rsidRPr="00FB7E68" w:rsidRDefault="00B520EF" w:rsidP="00B520EF">
      <w:pPr>
        <w:spacing w:after="0" w:line="360" w:lineRule="auto"/>
        <w:rPr>
          <w:color w:val="000000"/>
        </w:rPr>
      </w:pPr>
    </w:p>
    <w:p w14:paraId="491BBDB1" w14:textId="77777777" w:rsidR="00B520EF" w:rsidRPr="00FB7E68" w:rsidRDefault="00B520EF" w:rsidP="00B520EF">
      <w:pPr>
        <w:spacing w:after="0" w:line="360" w:lineRule="auto"/>
        <w:rPr>
          <w:color w:val="000000"/>
        </w:rPr>
      </w:pPr>
      <w:r w:rsidRPr="00FB7E68">
        <w:rPr>
          <w:color w:val="000000"/>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w:t>
      </w:r>
      <w:r w:rsidRPr="00FB7E68">
        <w:rPr>
          <w:color w:val="000000"/>
        </w:rPr>
        <w:lastRenderedPageBreak/>
        <w:t>de Población a todas las personas residentes en el país, así como a los mexicanos que residan en el extranjero.</w:t>
      </w:r>
    </w:p>
    <w:p w14:paraId="4848FDE6" w14:textId="77777777" w:rsidR="00B520EF" w:rsidRPr="00FB7E68" w:rsidRDefault="00B520EF" w:rsidP="00B520EF">
      <w:pPr>
        <w:spacing w:after="0" w:line="360" w:lineRule="auto"/>
        <w:rPr>
          <w:color w:val="000000"/>
        </w:rPr>
      </w:pPr>
    </w:p>
    <w:p w14:paraId="33414F26" w14:textId="3B72D3EE" w:rsidR="00B520EF" w:rsidRPr="00FB7E68" w:rsidRDefault="00B520EF" w:rsidP="00B520EF">
      <w:pPr>
        <w:spacing w:after="0" w:line="360" w:lineRule="auto"/>
        <w:rPr>
          <w:color w:val="000000"/>
        </w:rPr>
      </w:pPr>
      <w:r w:rsidRPr="00FB7E68">
        <w:rPr>
          <w:color w:val="000000"/>
        </w:rPr>
        <w:t>En ese orden de ideas, la Secretaría de Gobernación en las direcciones</w:t>
      </w:r>
      <w:r w:rsidR="002C080E" w:rsidRPr="00FB7E68">
        <w:rPr>
          <w:color w:val="000000"/>
        </w:rPr>
        <w:t xml:space="preserve">, </w:t>
      </w:r>
      <w:r w:rsidRPr="00FB7E68">
        <w:rPr>
          <w:color w:val="000000"/>
        </w:rPr>
        <w:t xml:space="preserve">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FB7E68">
        <w:rPr>
          <w:b/>
          <w:color w:val="000000"/>
        </w:rPr>
        <w:t>se generan a partir de los datos contenidos en el documento probatorio de la identidad</w:t>
      </w:r>
      <w:r w:rsidRPr="00FB7E68">
        <w:rPr>
          <w:color w:val="000000"/>
        </w:rPr>
        <w:t xml:space="preserve"> </w:t>
      </w:r>
      <w:r w:rsidRPr="00FB7E68">
        <w:rPr>
          <w:b/>
          <w:color w:val="000000"/>
        </w:rPr>
        <w:t xml:space="preserve">del interesado </w:t>
      </w:r>
      <w:r w:rsidRPr="00FB7E68">
        <w:rPr>
          <w:color w:val="000000"/>
        </w:rPr>
        <w:t>(acta de nacimiento, carta de naturalización o documento migratorio) de la siguiente forma:</w:t>
      </w:r>
    </w:p>
    <w:p w14:paraId="6B86428A" w14:textId="77777777" w:rsidR="00B520EF" w:rsidRPr="00FB7E68" w:rsidRDefault="00B520EF" w:rsidP="00B520EF">
      <w:pPr>
        <w:spacing w:after="0" w:line="360" w:lineRule="auto"/>
        <w:rPr>
          <w:color w:val="000000"/>
        </w:rPr>
      </w:pPr>
    </w:p>
    <w:p w14:paraId="18B38AE4" w14:textId="77777777" w:rsidR="00B520EF" w:rsidRPr="00FB7E68" w:rsidRDefault="00B520EF" w:rsidP="00B520EF">
      <w:pPr>
        <w:numPr>
          <w:ilvl w:val="0"/>
          <w:numId w:val="14"/>
        </w:numPr>
        <w:spacing w:after="0" w:line="360" w:lineRule="auto"/>
        <w:rPr>
          <w:color w:val="000000"/>
        </w:rPr>
      </w:pPr>
      <w:r w:rsidRPr="00FB7E68">
        <w:rPr>
          <w:color w:val="000000"/>
        </w:rPr>
        <w:t>El primero y segundo apellidos, así como al nombre de pila;</w:t>
      </w:r>
    </w:p>
    <w:p w14:paraId="3AE40FE4" w14:textId="77777777" w:rsidR="00B520EF" w:rsidRPr="00FB7E68" w:rsidRDefault="00B520EF" w:rsidP="00B520EF">
      <w:pPr>
        <w:numPr>
          <w:ilvl w:val="0"/>
          <w:numId w:val="14"/>
        </w:numPr>
        <w:spacing w:after="0" w:line="360" w:lineRule="auto"/>
        <w:rPr>
          <w:color w:val="000000"/>
        </w:rPr>
      </w:pPr>
      <w:r w:rsidRPr="00FB7E68">
        <w:rPr>
          <w:color w:val="000000"/>
        </w:rPr>
        <w:t>La fecha de nacimiento;</w:t>
      </w:r>
    </w:p>
    <w:p w14:paraId="5A42671B" w14:textId="77777777" w:rsidR="00B520EF" w:rsidRPr="00FB7E68" w:rsidRDefault="00B520EF" w:rsidP="00B520EF">
      <w:pPr>
        <w:numPr>
          <w:ilvl w:val="0"/>
          <w:numId w:val="14"/>
        </w:numPr>
        <w:spacing w:after="0" w:line="360" w:lineRule="auto"/>
        <w:rPr>
          <w:color w:val="000000"/>
        </w:rPr>
      </w:pPr>
      <w:r w:rsidRPr="00FB7E68">
        <w:rPr>
          <w:color w:val="000000"/>
        </w:rPr>
        <w:t>El sexo, y</w:t>
      </w:r>
    </w:p>
    <w:p w14:paraId="407A6960" w14:textId="77777777" w:rsidR="00B520EF" w:rsidRPr="00FB7E68" w:rsidRDefault="00B520EF" w:rsidP="00B520EF">
      <w:pPr>
        <w:numPr>
          <w:ilvl w:val="0"/>
          <w:numId w:val="14"/>
        </w:numPr>
        <w:spacing w:after="0" w:line="360" w:lineRule="auto"/>
        <w:rPr>
          <w:color w:val="000000"/>
        </w:rPr>
      </w:pPr>
      <w:r w:rsidRPr="00FB7E68">
        <w:rPr>
          <w:color w:val="000000"/>
        </w:rPr>
        <w:t>La entidad federativa de nacimiento.</w:t>
      </w:r>
    </w:p>
    <w:p w14:paraId="3329574D" w14:textId="77777777" w:rsidR="00B520EF" w:rsidRPr="00FB7E68" w:rsidRDefault="00B520EF" w:rsidP="00B520EF">
      <w:pPr>
        <w:spacing w:after="0" w:line="360" w:lineRule="auto"/>
        <w:rPr>
          <w:color w:val="000000"/>
        </w:rPr>
      </w:pPr>
    </w:p>
    <w:p w14:paraId="5406ED21" w14:textId="77777777" w:rsidR="00B520EF" w:rsidRPr="00FB7E68" w:rsidRDefault="00B520EF" w:rsidP="00B520EF">
      <w:pPr>
        <w:spacing w:after="0" w:line="360" w:lineRule="auto"/>
        <w:rPr>
          <w:color w:val="000000"/>
        </w:rPr>
      </w:pPr>
      <w:r w:rsidRPr="00FB7E68">
        <w:rPr>
          <w:color w:val="000000"/>
        </w:rPr>
        <w:t>Los dos últimos elementos de la Clave Única de Registro de Población evitan la duplicidad de la Clave y garantizan su correcta integración.</w:t>
      </w:r>
    </w:p>
    <w:p w14:paraId="28C3E1C2" w14:textId="77777777" w:rsidR="00B520EF" w:rsidRPr="00FB7E68" w:rsidRDefault="00B520EF" w:rsidP="00B520EF">
      <w:pPr>
        <w:spacing w:after="0" w:line="360" w:lineRule="auto"/>
        <w:rPr>
          <w:color w:val="000000"/>
        </w:rPr>
      </w:pPr>
    </w:p>
    <w:p w14:paraId="7DB88FFD" w14:textId="77777777" w:rsidR="00B520EF" w:rsidRPr="00FB7E68" w:rsidRDefault="00B520EF" w:rsidP="00B520EF">
      <w:pPr>
        <w:spacing w:after="0" w:line="360" w:lineRule="auto"/>
        <w:rPr>
          <w:color w:val="000000"/>
        </w:rPr>
      </w:pPr>
      <w:r w:rsidRPr="00FB7E68">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C78C5D0" w14:textId="77777777" w:rsidR="00B520EF" w:rsidRPr="00FB7E68" w:rsidRDefault="00B520EF" w:rsidP="00B520EF">
      <w:pPr>
        <w:spacing w:after="0" w:line="360" w:lineRule="auto"/>
        <w:rPr>
          <w:color w:val="000000"/>
        </w:rPr>
      </w:pPr>
    </w:p>
    <w:p w14:paraId="30497B6E" w14:textId="77777777" w:rsidR="00B520EF" w:rsidRPr="00FB7E68" w:rsidRDefault="00B520EF" w:rsidP="00B520EF">
      <w:pPr>
        <w:spacing w:after="0" w:line="360" w:lineRule="auto"/>
        <w:rPr>
          <w:color w:val="000000"/>
        </w:rPr>
      </w:pPr>
      <w:r w:rsidRPr="00FB7E68">
        <w:rPr>
          <w:color w:val="000000"/>
        </w:rPr>
        <w:lastRenderedPageBreak/>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0E10EDA7" w14:textId="77777777" w:rsidR="00B520EF" w:rsidRPr="00FB7E68" w:rsidRDefault="00B520EF" w:rsidP="00B520EF">
      <w:pPr>
        <w:spacing w:after="0" w:line="360" w:lineRule="auto"/>
        <w:ind w:left="567" w:right="567"/>
        <w:rPr>
          <w:color w:val="000000"/>
          <w:sz w:val="20"/>
          <w:szCs w:val="20"/>
        </w:rPr>
      </w:pPr>
    </w:p>
    <w:p w14:paraId="3A79C61B" w14:textId="77777777" w:rsidR="00B520EF" w:rsidRPr="00FB7E68" w:rsidRDefault="00B520EF" w:rsidP="00B520EF">
      <w:pPr>
        <w:spacing w:after="0" w:line="360" w:lineRule="auto"/>
        <w:ind w:left="567" w:right="567"/>
        <w:rPr>
          <w:i/>
          <w:color w:val="000000"/>
          <w:sz w:val="20"/>
          <w:szCs w:val="20"/>
        </w:rPr>
      </w:pPr>
      <w:r w:rsidRPr="00FB7E68">
        <w:rPr>
          <w:b/>
          <w:i/>
          <w:color w:val="000000"/>
          <w:sz w:val="20"/>
          <w:szCs w:val="20"/>
        </w:rPr>
        <w:t xml:space="preserve">“Clave Única de Registro de Población (CURP). </w:t>
      </w:r>
      <w:r w:rsidRPr="00FB7E68">
        <w:rPr>
          <w:i/>
          <w:color w:val="000000"/>
          <w:sz w:val="20"/>
          <w:szCs w:val="20"/>
        </w:rPr>
        <w:t xml:space="preserve">La Clave Única de Registro de Población se integra por datos personales que sólo conciernen al particular titular de </w:t>
      </w:r>
      <w:proofErr w:type="gramStart"/>
      <w:r w:rsidRPr="00FB7E68">
        <w:rPr>
          <w:i/>
          <w:color w:val="000000"/>
          <w:sz w:val="20"/>
          <w:szCs w:val="20"/>
        </w:rPr>
        <w:t>la misma</w:t>
      </w:r>
      <w:proofErr w:type="gramEnd"/>
      <w:r w:rsidRPr="00FB7E68">
        <w:rPr>
          <w:i/>
          <w:color w:val="000000"/>
          <w:sz w:val="20"/>
          <w:szCs w:val="20"/>
        </w:rPr>
        <w:t xml:space="preserve">,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CB1DA9D" w14:textId="77777777" w:rsidR="00B520EF" w:rsidRPr="00FB7E68" w:rsidRDefault="00B520EF" w:rsidP="00B520EF">
      <w:pPr>
        <w:spacing w:after="0" w:line="360" w:lineRule="auto"/>
        <w:rPr>
          <w:color w:val="000000"/>
        </w:rPr>
      </w:pPr>
    </w:p>
    <w:p w14:paraId="7E1CACF2" w14:textId="77777777" w:rsidR="00B520EF" w:rsidRPr="00FB7E68" w:rsidRDefault="00B520EF" w:rsidP="00B520EF">
      <w:pPr>
        <w:spacing w:after="0" w:line="360" w:lineRule="auto"/>
        <w:rPr>
          <w:color w:val="000000"/>
        </w:rPr>
      </w:pPr>
      <w:r w:rsidRPr="00FB7E68">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110A5B2" w14:textId="77777777" w:rsidR="002C080E" w:rsidRPr="00FB7E68" w:rsidRDefault="002C080E" w:rsidP="00B520EF">
      <w:pPr>
        <w:spacing w:after="0" w:line="360" w:lineRule="auto"/>
        <w:rPr>
          <w:color w:val="000000"/>
        </w:rPr>
      </w:pPr>
    </w:p>
    <w:p w14:paraId="2D23C01E" w14:textId="77777777" w:rsidR="00B520EF" w:rsidRPr="00FB7E68" w:rsidRDefault="00B520EF" w:rsidP="00B520EF">
      <w:pPr>
        <w:numPr>
          <w:ilvl w:val="0"/>
          <w:numId w:val="13"/>
        </w:numPr>
        <w:spacing w:after="0" w:line="360" w:lineRule="auto"/>
        <w:rPr>
          <w:b/>
          <w:color w:val="000000"/>
        </w:rPr>
      </w:pPr>
      <w:r w:rsidRPr="00FB7E68">
        <w:rPr>
          <w:b/>
          <w:color w:val="000000"/>
        </w:rPr>
        <w:t>Registro Federal de Contribuyentes (RFC)</w:t>
      </w:r>
    </w:p>
    <w:p w14:paraId="4F8E10A5" w14:textId="77777777" w:rsidR="00B520EF" w:rsidRPr="00FB7E68" w:rsidRDefault="00B520EF" w:rsidP="00B520EF">
      <w:pPr>
        <w:spacing w:after="0" w:line="360" w:lineRule="auto"/>
        <w:rPr>
          <w:color w:val="000000"/>
        </w:rPr>
      </w:pPr>
    </w:p>
    <w:p w14:paraId="18216A4D" w14:textId="77777777" w:rsidR="00B520EF" w:rsidRPr="00FB7E68" w:rsidRDefault="00B520EF" w:rsidP="00B520EF">
      <w:pPr>
        <w:spacing w:after="0" w:line="360" w:lineRule="auto"/>
        <w:rPr>
          <w:color w:val="000000"/>
        </w:rPr>
      </w:pPr>
      <w:r w:rsidRPr="00FB7E68">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4F7D613" w14:textId="77777777" w:rsidR="00B520EF" w:rsidRPr="00FB7E68" w:rsidRDefault="00B520EF" w:rsidP="00B520EF">
      <w:pPr>
        <w:spacing w:after="0" w:line="360" w:lineRule="auto"/>
        <w:rPr>
          <w:color w:val="000000"/>
        </w:rPr>
      </w:pPr>
    </w:p>
    <w:p w14:paraId="42DC8965" w14:textId="77777777" w:rsidR="00B520EF" w:rsidRPr="00FB7E68" w:rsidRDefault="00B520EF" w:rsidP="00B520EF">
      <w:pPr>
        <w:spacing w:after="0" w:line="360" w:lineRule="auto"/>
        <w:rPr>
          <w:color w:val="000000"/>
        </w:rPr>
      </w:pPr>
      <w:proofErr w:type="gramStart"/>
      <w:r w:rsidRPr="00FB7E68">
        <w:rPr>
          <w:color w:val="000000"/>
        </w:rPr>
        <w:t>De acuerdo a</w:t>
      </w:r>
      <w:proofErr w:type="gramEnd"/>
      <w:r w:rsidRPr="00FB7E68">
        <w:rPr>
          <w:color w:val="000000"/>
        </w:rPr>
        <w:t xml:space="preserve"> lo establecido en el artículo en comento, esta clave se compone de trece caracteres alfanuméricos, con datos obtenidos de los apellidos, nombre(s), fecha de </w:t>
      </w:r>
      <w:r w:rsidRPr="00FB7E68">
        <w:rPr>
          <w:color w:val="000000"/>
        </w:rPr>
        <w:lastRenderedPageBreak/>
        <w:t xml:space="preserve">nacimiento del titular, más una </w:t>
      </w:r>
      <w:proofErr w:type="spellStart"/>
      <w:r w:rsidRPr="00FB7E68">
        <w:rPr>
          <w:color w:val="000000"/>
        </w:rPr>
        <w:t>homoclave</w:t>
      </w:r>
      <w:proofErr w:type="spellEnd"/>
      <w:r w:rsidRPr="00FB7E68">
        <w:rPr>
          <w:color w:val="000000"/>
        </w:rPr>
        <w:t xml:space="preserve"> que establece el sistema automático del Servicio de Administración Tributaria.</w:t>
      </w:r>
    </w:p>
    <w:p w14:paraId="218FB026" w14:textId="77777777" w:rsidR="00B520EF" w:rsidRPr="00FB7E68" w:rsidRDefault="00B520EF" w:rsidP="00B520EF">
      <w:pPr>
        <w:spacing w:after="0" w:line="360" w:lineRule="auto"/>
        <w:rPr>
          <w:color w:val="000000"/>
        </w:rPr>
      </w:pPr>
    </w:p>
    <w:p w14:paraId="20656E15" w14:textId="77777777" w:rsidR="00B520EF" w:rsidRPr="00FB7E68" w:rsidRDefault="00B520EF" w:rsidP="00B520EF">
      <w:pPr>
        <w:spacing w:after="0" w:line="360" w:lineRule="auto"/>
        <w:rPr>
          <w:color w:val="000000"/>
        </w:rPr>
      </w:pPr>
      <w:r w:rsidRPr="00FB7E68">
        <w:rPr>
          <w:color w:val="000000"/>
        </w:rPr>
        <w:t xml:space="preserve">Ahora bien, la clave del Registro Federal de </w:t>
      </w:r>
      <w:proofErr w:type="gramStart"/>
      <w:r w:rsidRPr="00FB7E68">
        <w:rPr>
          <w:color w:val="000000"/>
        </w:rPr>
        <w:t>Contribuyentes,</w:t>
      </w:r>
      <w:proofErr w:type="gramEnd"/>
      <w:r w:rsidRPr="00FB7E68">
        <w:rPr>
          <w:color w:val="000000"/>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E3CF205" w14:textId="77777777" w:rsidR="00B520EF" w:rsidRPr="00FB7E68" w:rsidRDefault="00B520EF" w:rsidP="00B520EF">
      <w:pPr>
        <w:spacing w:after="0" w:line="360" w:lineRule="auto"/>
        <w:rPr>
          <w:color w:val="000000"/>
        </w:rPr>
      </w:pPr>
    </w:p>
    <w:p w14:paraId="331D9437" w14:textId="77777777" w:rsidR="00B520EF" w:rsidRPr="00FB7E68" w:rsidRDefault="00B520EF" w:rsidP="00B520EF">
      <w:pPr>
        <w:spacing w:after="0" w:line="360" w:lineRule="auto"/>
        <w:rPr>
          <w:color w:val="000000"/>
        </w:rPr>
      </w:pPr>
      <w:r w:rsidRPr="00FB7E68">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0CBD920" w14:textId="77777777" w:rsidR="00B520EF" w:rsidRPr="00FB7E68" w:rsidRDefault="00B520EF" w:rsidP="00B520EF">
      <w:pPr>
        <w:spacing w:after="0" w:line="360" w:lineRule="auto"/>
        <w:rPr>
          <w:color w:val="000000"/>
        </w:rPr>
      </w:pPr>
    </w:p>
    <w:p w14:paraId="77555D9D" w14:textId="77777777" w:rsidR="00B520EF" w:rsidRPr="00FB7E68" w:rsidRDefault="00B520EF" w:rsidP="00B520EF">
      <w:pPr>
        <w:spacing w:after="0" w:line="360" w:lineRule="auto"/>
        <w:rPr>
          <w:color w:val="000000"/>
        </w:rPr>
      </w:pPr>
      <w:r w:rsidRPr="00FB7E68">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20F54AB2" w14:textId="77777777" w:rsidR="00B520EF" w:rsidRPr="00FB7E68" w:rsidRDefault="00B520EF" w:rsidP="00B520EF">
      <w:pPr>
        <w:spacing w:after="0" w:line="360" w:lineRule="auto"/>
        <w:rPr>
          <w:color w:val="000000"/>
        </w:rPr>
      </w:pPr>
    </w:p>
    <w:p w14:paraId="7D3F4F79" w14:textId="77777777" w:rsidR="00B520EF" w:rsidRPr="00FB7E68" w:rsidRDefault="00B520EF" w:rsidP="00B520EF">
      <w:pPr>
        <w:spacing w:after="0" w:line="360" w:lineRule="auto"/>
        <w:ind w:left="567" w:right="567"/>
        <w:rPr>
          <w:i/>
          <w:color w:val="000000"/>
          <w:sz w:val="20"/>
          <w:szCs w:val="20"/>
        </w:rPr>
      </w:pPr>
      <w:r w:rsidRPr="00FB7E68">
        <w:rPr>
          <w:b/>
          <w:i/>
          <w:color w:val="000000"/>
          <w:sz w:val="20"/>
          <w:szCs w:val="20"/>
        </w:rPr>
        <w:t>“Registro Federal de Contribuyentes (RFC) de personas físicas.</w:t>
      </w:r>
      <w:r w:rsidRPr="00FB7E68">
        <w:rPr>
          <w:i/>
          <w:color w:val="000000"/>
          <w:sz w:val="20"/>
          <w:szCs w:val="20"/>
        </w:rPr>
        <w:t xml:space="preserve"> El RFC es una clave de carácter fiscal, única e irrepetible, que permite identificar al titular, su edad y fecha de nacimiento, por lo que es un dato personal de carácter confidencial.”</w:t>
      </w:r>
    </w:p>
    <w:p w14:paraId="00D8D9BC" w14:textId="77777777" w:rsidR="00B520EF" w:rsidRPr="00FB7E68" w:rsidRDefault="00B520EF" w:rsidP="00B520EF">
      <w:pPr>
        <w:spacing w:after="0" w:line="360" w:lineRule="auto"/>
        <w:ind w:left="567" w:right="567"/>
        <w:rPr>
          <w:i/>
          <w:color w:val="000000"/>
          <w:sz w:val="20"/>
          <w:szCs w:val="20"/>
        </w:rPr>
      </w:pPr>
    </w:p>
    <w:p w14:paraId="1A25AFAE" w14:textId="77777777" w:rsidR="00B520EF" w:rsidRPr="00FB7E68" w:rsidRDefault="00B520EF" w:rsidP="00B520EF">
      <w:pPr>
        <w:spacing w:after="0" w:line="360" w:lineRule="auto"/>
        <w:rPr>
          <w:color w:val="000000"/>
        </w:rPr>
      </w:pPr>
      <w:r w:rsidRPr="00FB7E68">
        <w:rPr>
          <w:color w:val="000000"/>
        </w:rPr>
        <w:t xml:space="preserve">De tal suerte, el Registro Federal de Contribuyentes de los servidores públicos no guarda relación con la transparencia de los recursos públicos, así como tampoco con el desempeño </w:t>
      </w:r>
      <w:r w:rsidRPr="00FB7E68">
        <w:rPr>
          <w:color w:val="000000"/>
        </w:rPr>
        <w:lastRenderedPageBreak/>
        <w:t>laboral que pueda tener una persona, por lo que constituye un dato personal confidencial al actualizar el supuesto normativo del artículo 143, fracción I, de la Ley de Transparencia y Acceso a la Información Pública del Estado de México y Municipios.</w:t>
      </w:r>
    </w:p>
    <w:p w14:paraId="32D16A66" w14:textId="77777777" w:rsidR="00B520EF" w:rsidRPr="00FB7E68" w:rsidRDefault="00B520EF" w:rsidP="00B520EF">
      <w:pPr>
        <w:tabs>
          <w:tab w:val="center" w:pos="4522"/>
        </w:tabs>
        <w:spacing w:after="0" w:line="360" w:lineRule="auto"/>
        <w:rPr>
          <w:color w:val="000000"/>
        </w:rPr>
      </w:pPr>
    </w:p>
    <w:p w14:paraId="26EB9546" w14:textId="77777777" w:rsidR="00B520EF" w:rsidRPr="00FB7E68" w:rsidRDefault="00B520EF" w:rsidP="00B520EF">
      <w:pPr>
        <w:numPr>
          <w:ilvl w:val="0"/>
          <w:numId w:val="13"/>
        </w:numPr>
        <w:spacing w:after="0" w:line="360" w:lineRule="auto"/>
        <w:rPr>
          <w:b/>
          <w:color w:val="000000"/>
        </w:rPr>
      </w:pPr>
      <w:r w:rsidRPr="00FB7E68">
        <w:rPr>
          <w:b/>
          <w:color w:val="000000"/>
        </w:rPr>
        <w:t>Número de seguridad social del Instituto de Seguridad Social del Estado de México y Municipios</w:t>
      </w:r>
    </w:p>
    <w:p w14:paraId="36CA61D4" w14:textId="77777777" w:rsidR="00B520EF" w:rsidRPr="00FB7E68" w:rsidRDefault="00B520EF" w:rsidP="00B520EF">
      <w:pPr>
        <w:spacing w:after="0" w:line="360" w:lineRule="auto"/>
        <w:rPr>
          <w:b/>
          <w:color w:val="000000"/>
        </w:rPr>
      </w:pPr>
    </w:p>
    <w:p w14:paraId="0D17D77A" w14:textId="77777777" w:rsidR="00B520EF" w:rsidRPr="00FB7E68" w:rsidRDefault="00B520EF" w:rsidP="00B520EF">
      <w:pPr>
        <w:spacing w:after="0" w:line="360" w:lineRule="auto"/>
        <w:rPr>
          <w:color w:val="000000"/>
        </w:rPr>
      </w:pPr>
      <w:r w:rsidRPr="00FB7E68">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6B209D5" w14:textId="77777777" w:rsidR="00B520EF" w:rsidRPr="00FB7E68" w:rsidRDefault="00B520EF" w:rsidP="00B520EF">
      <w:pPr>
        <w:spacing w:after="0" w:line="360" w:lineRule="auto"/>
        <w:rPr>
          <w:color w:val="000000"/>
        </w:rPr>
      </w:pPr>
    </w:p>
    <w:p w14:paraId="57301827" w14:textId="77777777" w:rsidR="00B520EF" w:rsidRPr="00FB7E68" w:rsidRDefault="00B520EF" w:rsidP="00B520EF">
      <w:pPr>
        <w:spacing w:after="0" w:line="360" w:lineRule="auto"/>
        <w:rPr>
          <w:color w:val="000000"/>
        </w:rPr>
      </w:pPr>
      <w:r w:rsidRPr="00FB7E68">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B1B7FF5" w14:textId="77777777" w:rsidR="00B520EF" w:rsidRPr="00FB7E68" w:rsidRDefault="00B520EF" w:rsidP="00B520EF">
      <w:pPr>
        <w:spacing w:after="0" w:line="360" w:lineRule="auto"/>
        <w:rPr>
          <w:color w:val="000000"/>
        </w:rPr>
      </w:pPr>
    </w:p>
    <w:p w14:paraId="1908DA82" w14:textId="77777777" w:rsidR="00B520EF" w:rsidRPr="00FB7E68" w:rsidRDefault="00B520EF" w:rsidP="00B520EF">
      <w:pPr>
        <w:spacing w:after="0" w:line="360" w:lineRule="auto"/>
        <w:rPr>
          <w:color w:val="000000"/>
        </w:rPr>
      </w:pPr>
      <w:r w:rsidRPr="00FB7E68">
        <w:rPr>
          <w:color w:val="000000"/>
        </w:rPr>
        <w:t xml:space="preserve">Como se advierte, el número del Instituto de Seguridad y Servicios Sociales del Estado de México y Municipios, es un dato personal que permite identificar que una persona que </w:t>
      </w:r>
      <w:r w:rsidRPr="00FB7E68">
        <w:rPr>
          <w:color w:val="000000"/>
        </w:rPr>
        <w:lastRenderedPageBreak/>
        <w:t>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3B3747D" w14:textId="77777777" w:rsidR="00B520EF" w:rsidRPr="00FB7E68" w:rsidRDefault="00B520EF" w:rsidP="00B520EF">
      <w:pPr>
        <w:spacing w:after="0" w:line="360" w:lineRule="auto"/>
        <w:rPr>
          <w:color w:val="000000"/>
        </w:rPr>
      </w:pPr>
    </w:p>
    <w:p w14:paraId="168888EC" w14:textId="77777777" w:rsidR="00B520EF" w:rsidRPr="00FB7E68" w:rsidRDefault="00B520EF" w:rsidP="00B520EF">
      <w:pPr>
        <w:spacing w:after="0" w:line="360" w:lineRule="auto"/>
        <w:rPr>
          <w:color w:val="000000"/>
        </w:rPr>
      </w:pPr>
      <w:r w:rsidRPr="00FB7E68">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1EE0FCF4" w14:textId="77777777" w:rsidR="002C080E" w:rsidRPr="00FB7E68" w:rsidRDefault="002C080E" w:rsidP="00B520EF">
      <w:pPr>
        <w:spacing w:after="0" w:line="360" w:lineRule="auto"/>
        <w:rPr>
          <w:color w:val="000000"/>
        </w:rPr>
      </w:pPr>
    </w:p>
    <w:p w14:paraId="0EF99157" w14:textId="77777777" w:rsidR="00B520EF" w:rsidRPr="00FB7E68" w:rsidRDefault="00B520EF" w:rsidP="00B520EF">
      <w:pPr>
        <w:numPr>
          <w:ilvl w:val="0"/>
          <w:numId w:val="15"/>
        </w:numPr>
        <w:spacing w:after="0" w:line="360" w:lineRule="auto"/>
        <w:jc w:val="left"/>
        <w:rPr>
          <w:b/>
          <w:color w:val="000000"/>
        </w:rPr>
      </w:pPr>
      <w:r w:rsidRPr="00FB7E68">
        <w:rPr>
          <w:b/>
          <w:color w:val="000000"/>
        </w:rPr>
        <w:t>Deducciones personales</w:t>
      </w:r>
    </w:p>
    <w:p w14:paraId="174974A6" w14:textId="77777777" w:rsidR="00B520EF" w:rsidRPr="00FB7E68" w:rsidRDefault="00B520EF" w:rsidP="00B520EF">
      <w:pPr>
        <w:spacing w:after="0" w:line="360" w:lineRule="auto"/>
        <w:ind w:left="720"/>
        <w:rPr>
          <w:b/>
          <w:color w:val="000000"/>
        </w:rPr>
      </w:pPr>
    </w:p>
    <w:p w14:paraId="780CC710" w14:textId="77777777" w:rsidR="00B520EF" w:rsidRPr="00FB7E68" w:rsidRDefault="00B520EF" w:rsidP="00B520EF">
      <w:pPr>
        <w:spacing w:after="0" w:line="360" w:lineRule="auto"/>
        <w:rPr>
          <w:color w:val="000000"/>
        </w:rPr>
      </w:pPr>
      <w:r w:rsidRPr="00FB7E68">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1D3DAAF3" w14:textId="77777777" w:rsidR="00B520EF" w:rsidRPr="00FB7E68" w:rsidRDefault="00B520EF" w:rsidP="00B520EF">
      <w:pPr>
        <w:spacing w:after="0" w:line="360" w:lineRule="auto"/>
        <w:rPr>
          <w:color w:val="000000"/>
        </w:rPr>
      </w:pPr>
    </w:p>
    <w:p w14:paraId="61D3E2C0" w14:textId="77777777" w:rsidR="00B520EF" w:rsidRPr="00FB7E68" w:rsidRDefault="00B520EF" w:rsidP="00B520EF">
      <w:pPr>
        <w:spacing w:after="0" w:line="360" w:lineRule="auto"/>
        <w:rPr>
          <w:color w:val="000000"/>
        </w:rPr>
      </w:pPr>
      <w:r w:rsidRPr="00FB7E68">
        <w:rPr>
          <w:color w:val="000000"/>
        </w:rPr>
        <w:t xml:space="preserve">Asimismo, hay otras que se generan con motivo de una sentencia judicial, como es la pensión alimenticia que periódicamente se retira de la cuenta de un empleado, a efecto de que sea entregado a un tercero.  </w:t>
      </w:r>
    </w:p>
    <w:p w14:paraId="18AEBB9D" w14:textId="77777777" w:rsidR="00B520EF" w:rsidRPr="00FB7E68" w:rsidRDefault="00B520EF" w:rsidP="00B520EF">
      <w:pPr>
        <w:spacing w:after="0" w:line="360" w:lineRule="auto"/>
        <w:rPr>
          <w:color w:val="000000"/>
        </w:rPr>
      </w:pPr>
    </w:p>
    <w:p w14:paraId="0260440A" w14:textId="77777777" w:rsidR="00B520EF" w:rsidRPr="00FB7E68" w:rsidRDefault="00B520EF" w:rsidP="00B520EF">
      <w:pPr>
        <w:spacing w:after="0" w:line="360" w:lineRule="auto"/>
        <w:rPr>
          <w:color w:val="000000"/>
        </w:rPr>
      </w:pPr>
      <w:r w:rsidRPr="00FB7E68">
        <w:rPr>
          <w:color w:val="000000"/>
        </w:rPr>
        <w:t xml:space="preserve">En consecuencia, este tipo de deducciones son fruto de decisiones que impactan en el patrimonio de un servidor público con la finalidad de obtener un beneficio conforme a la </w:t>
      </w:r>
      <w:r w:rsidRPr="00FB7E68">
        <w:rPr>
          <w:color w:val="000000"/>
        </w:rPr>
        <w:lastRenderedPageBreak/>
        <w:t xml:space="preserve">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421EEA7B" w14:textId="77777777" w:rsidR="00B520EF" w:rsidRPr="00FB7E68" w:rsidRDefault="00B520EF" w:rsidP="00B520EF">
      <w:pPr>
        <w:spacing w:after="0" w:line="360" w:lineRule="auto"/>
        <w:rPr>
          <w:color w:val="000000"/>
        </w:rPr>
      </w:pPr>
    </w:p>
    <w:p w14:paraId="0A10FDBC" w14:textId="37164907" w:rsidR="00B520EF" w:rsidRPr="00FB7E68" w:rsidRDefault="00B520EF" w:rsidP="00B520EF">
      <w:pPr>
        <w:spacing w:after="0" w:line="360" w:lineRule="auto"/>
        <w:rPr>
          <w:color w:val="000000"/>
        </w:rPr>
      </w:pPr>
      <w:r w:rsidRPr="00FB7E68">
        <w:rPr>
          <w:color w:val="000000"/>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w:t>
      </w:r>
    </w:p>
    <w:p w14:paraId="6CFC61F0" w14:textId="77777777" w:rsidR="00B520EF" w:rsidRPr="00FB7E68" w:rsidRDefault="00B520EF" w:rsidP="00B520EF">
      <w:pPr>
        <w:spacing w:after="0" w:line="360" w:lineRule="auto"/>
        <w:rPr>
          <w:color w:val="000000"/>
        </w:rPr>
      </w:pPr>
    </w:p>
    <w:p w14:paraId="33B26737" w14:textId="77777777" w:rsidR="00B520EF" w:rsidRPr="00FB7E68" w:rsidRDefault="00B520EF" w:rsidP="00B520EF">
      <w:pPr>
        <w:spacing w:after="0" w:line="360" w:lineRule="auto"/>
        <w:rPr>
          <w:rFonts w:cs="Tahoma"/>
          <w:bCs/>
          <w:iCs/>
        </w:rPr>
      </w:pPr>
      <w:r w:rsidRPr="00FB7E68">
        <w:rPr>
          <w:rFonts w:cs="Tahoma"/>
          <w:bCs/>
          <w:iCs/>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10549369" w14:textId="77777777" w:rsidR="00DA2C1D" w:rsidRPr="00FB7E68" w:rsidRDefault="00DA2C1D" w:rsidP="001162C4">
      <w:pPr>
        <w:spacing w:after="0" w:line="360" w:lineRule="auto"/>
        <w:rPr>
          <w:rFonts w:cs="Tahoma"/>
          <w:bCs/>
          <w:iCs/>
        </w:rPr>
      </w:pPr>
    </w:p>
    <w:p w14:paraId="0CCF70E8" w14:textId="77777777" w:rsidR="00D1318A" w:rsidRPr="00FB7E68" w:rsidRDefault="00D1318A" w:rsidP="001162C4">
      <w:pPr>
        <w:pStyle w:val="Ttulo2"/>
        <w:spacing w:before="0" w:after="0" w:line="360" w:lineRule="auto"/>
        <w:rPr>
          <w:sz w:val="22"/>
          <w:szCs w:val="22"/>
        </w:rPr>
      </w:pPr>
      <w:bookmarkStart w:id="14" w:name="_Toc215130121"/>
      <w:r w:rsidRPr="00FB7E68">
        <w:rPr>
          <w:sz w:val="22"/>
          <w:szCs w:val="22"/>
        </w:rPr>
        <w:t>SEXTO. Decisión</w:t>
      </w:r>
      <w:bookmarkEnd w:id="14"/>
    </w:p>
    <w:p w14:paraId="0D2B29DC" w14:textId="77777777" w:rsidR="00D1318A" w:rsidRPr="00FB7E68" w:rsidRDefault="00D1318A" w:rsidP="001162C4">
      <w:pPr>
        <w:spacing w:after="0" w:line="360" w:lineRule="auto"/>
        <w:contextualSpacing/>
        <w:rPr>
          <w:rFonts w:eastAsia="Calibri" w:cs="Tahoma"/>
          <w:b/>
        </w:rPr>
      </w:pPr>
    </w:p>
    <w:p w14:paraId="4BF18B87" w14:textId="27ADAC91" w:rsidR="00D1318A" w:rsidRPr="00FB7E68" w:rsidRDefault="00D1318A" w:rsidP="001162C4">
      <w:pPr>
        <w:spacing w:after="0" w:line="360" w:lineRule="auto"/>
      </w:pPr>
      <w:r w:rsidRPr="00FB7E68">
        <w:t xml:space="preserve">De acuerdo con lo expuesto y, con fundamento en el artículo 186, fracción III, de la Ley de Transparencia y Acceso a la Información Pública del Estado de México y Municipios, este Instituto considera procedente </w:t>
      </w:r>
      <w:r w:rsidR="00BF460D" w:rsidRPr="00FB7E68">
        <w:rPr>
          <w:b/>
        </w:rPr>
        <w:t>REVOCAR</w:t>
      </w:r>
      <w:r w:rsidRPr="00FB7E68">
        <w:rPr>
          <w:b/>
        </w:rPr>
        <w:t xml:space="preserve"> </w:t>
      </w:r>
      <w:r w:rsidRPr="00FB7E68">
        <w:t>la resp</w:t>
      </w:r>
      <w:r w:rsidR="00655068" w:rsidRPr="00FB7E68">
        <w:t>uesta del</w:t>
      </w:r>
      <w:r w:rsidR="00F66940" w:rsidRPr="00FB7E68">
        <w:t xml:space="preserve"> Ayu</w:t>
      </w:r>
      <w:r w:rsidR="0060286E" w:rsidRPr="00FB7E68">
        <w:t xml:space="preserve">ntamiento de </w:t>
      </w:r>
      <w:r w:rsidR="001028BD" w:rsidRPr="00FB7E68">
        <w:t>Tecámac</w:t>
      </w:r>
      <w:r w:rsidRPr="00FB7E68">
        <w:rPr>
          <w:b/>
        </w:rPr>
        <w:t xml:space="preserve">, </w:t>
      </w:r>
      <w:r w:rsidRPr="00FB7E68">
        <w:t xml:space="preserve">a efecto de que </w:t>
      </w:r>
      <w:r w:rsidR="004076BD" w:rsidRPr="00FB7E68">
        <w:t>entregue</w:t>
      </w:r>
      <w:r w:rsidR="00287797" w:rsidRPr="00FB7E68">
        <w:t xml:space="preserve"> la información solicitada</w:t>
      </w:r>
      <w:r w:rsidR="001C6B7A" w:rsidRPr="00FB7E68">
        <w:t>.</w:t>
      </w:r>
    </w:p>
    <w:p w14:paraId="2D21EE22" w14:textId="77777777" w:rsidR="002C080E" w:rsidRPr="00FB7E68" w:rsidRDefault="002C080E" w:rsidP="001162C4">
      <w:pPr>
        <w:spacing w:after="0" w:line="360" w:lineRule="auto"/>
      </w:pPr>
    </w:p>
    <w:p w14:paraId="0C829323" w14:textId="77777777" w:rsidR="00D1318A" w:rsidRPr="00FB7E68" w:rsidRDefault="00D1318A" w:rsidP="001162C4">
      <w:pPr>
        <w:spacing w:after="0" w:line="360" w:lineRule="auto"/>
        <w:contextualSpacing/>
        <w:rPr>
          <w:rFonts w:eastAsia="Calibri" w:cs="Tahoma"/>
          <w:b/>
          <w:bCs/>
        </w:rPr>
      </w:pPr>
      <w:r w:rsidRPr="00FB7E68">
        <w:rPr>
          <w:rFonts w:eastAsia="Calibri" w:cs="Tahoma"/>
          <w:b/>
          <w:bCs/>
        </w:rPr>
        <w:t>Términos de la Resolución para conocimiento del Particular</w:t>
      </w:r>
    </w:p>
    <w:p w14:paraId="3B668E85" w14:textId="4DF914D3" w:rsidR="00D1318A" w:rsidRPr="00FB7E68" w:rsidRDefault="00D1318A" w:rsidP="001162C4">
      <w:pPr>
        <w:spacing w:after="0" w:line="360" w:lineRule="auto"/>
      </w:pPr>
      <w:r w:rsidRPr="00FB7E68">
        <w:lastRenderedPageBreak/>
        <w:t xml:space="preserve">Se le hace del conocimiento a la persona Recurrente que, en el presente asunto, se le da la razón, pues </w:t>
      </w:r>
      <w:r w:rsidR="00715343" w:rsidRPr="00FB7E68">
        <w:t xml:space="preserve">si bien </w:t>
      </w:r>
      <w:r w:rsidR="004076BD" w:rsidRPr="00FB7E68">
        <w:t>el Sujeto Obligado</w:t>
      </w:r>
      <w:r w:rsidR="00BF460D" w:rsidRPr="00FB7E68">
        <w:t xml:space="preserve"> dio respuesta</w:t>
      </w:r>
      <w:r w:rsidR="00D44453" w:rsidRPr="00FB7E68">
        <w:t xml:space="preserve">, </w:t>
      </w:r>
      <w:r w:rsidR="001028BD" w:rsidRPr="00FB7E68">
        <w:t>no era la información solicitada</w:t>
      </w:r>
      <w:r w:rsidR="00AE7A85" w:rsidRPr="00FB7E68">
        <w:t xml:space="preserve">, por lo que, </w:t>
      </w:r>
      <w:r w:rsidRPr="00FB7E68">
        <w:t>deberá entre</w:t>
      </w:r>
      <w:r w:rsidR="00655068" w:rsidRPr="00FB7E68">
        <w:t>ga</w:t>
      </w:r>
      <w:r w:rsidR="00AE7A85" w:rsidRPr="00FB7E68">
        <w:t>r</w:t>
      </w:r>
      <w:r w:rsidR="00287797" w:rsidRPr="00FB7E68">
        <w:t xml:space="preserve"> la información</w:t>
      </w:r>
      <w:r w:rsidR="00D44453" w:rsidRPr="00FB7E68">
        <w:t>;</w:t>
      </w:r>
      <w:r w:rsidRPr="00FB7E68">
        <w:rPr>
          <w:color w:val="000000"/>
        </w:rPr>
        <w:t xml:space="preserve"> la labor del Instituto es apoyar a la población a acceder a la información pública y garantizar la protección de sus datos personales.</w:t>
      </w:r>
    </w:p>
    <w:p w14:paraId="51AD938A" w14:textId="77777777" w:rsidR="00E50794" w:rsidRPr="00FB7E68" w:rsidRDefault="00E50794" w:rsidP="001162C4">
      <w:pPr>
        <w:spacing w:after="0" w:line="360" w:lineRule="auto"/>
      </w:pPr>
    </w:p>
    <w:p w14:paraId="1C805ED0" w14:textId="77777777" w:rsidR="00D1318A" w:rsidRPr="00FB7E68" w:rsidRDefault="00D1318A" w:rsidP="001162C4">
      <w:pPr>
        <w:spacing w:after="0" w:line="360" w:lineRule="auto"/>
        <w:contextualSpacing/>
        <w:rPr>
          <w:rFonts w:eastAsia="Calibri"/>
        </w:rPr>
      </w:pPr>
      <w:r w:rsidRPr="00FB7E68">
        <w:rPr>
          <w:rFonts w:eastAsia="Calibri"/>
        </w:rPr>
        <w:t>Por lo expuesto y fundado, este Pleno:</w:t>
      </w:r>
    </w:p>
    <w:p w14:paraId="7E4B6E8F" w14:textId="77777777" w:rsidR="00057905" w:rsidRPr="00FB7E68" w:rsidRDefault="00057905" w:rsidP="001162C4">
      <w:pPr>
        <w:spacing w:after="0" w:line="360" w:lineRule="auto"/>
        <w:contextualSpacing/>
        <w:rPr>
          <w:rFonts w:eastAsia="Calibri"/>
        </w:rPr>
      </w:pPr>
    </w:p>
    <w:p w14:paraId="4969F2B6" w14:textId="77777777" w:rsidR="00D1318A" w:rsidRPr="00FB7E68" w:rsidRDefault="00D1318A" w:rsidP="001162C4">
      <w:pPr>
        <w:pStyle w:val="Ttulo1"/>
        <w:spacing w:before="0" w:after="0" w:line="360" w:lineRule="auto"/>
        <w:jc w:val="center"/>
        <w:rPr>
          <w:sz w:val="22"/>
          <w:szCs w:val="22"/>
        </w:rPr>
      </w:pPr>
      <w:bookmarkStart w:id="15" w:name="_Toc215130122"/>
      <w:r w:rsidRPr="00FB7E68">
        <w:rPr>
          <w:sz w:val="22"/>
          <w:szCs w:val="22"/>
        </w:rPr>
        <w:t>R E S U E L V E</w:t>
      </w:r>
      <w:bookmarkEnd w:id="15"/>
    </w:p>
    <w:p w14:paraId="00911B7E" w14:textId="77777777" w:rsidR="00D1318A" w:rsidRPr="00FB7E68" w:rsidRDefault="00D1318A" w:rsidP="001162C4">
      <w:pPr>
        <w:spacing w:after="0" w:line="360" w:lineRule="auto"/>
        <w:contextualSpacing/>
        <w:rPr>
          <w:rFonts w:eastAsia="Calibri"/>
          <w:b/>
          <w:bCs/>
        </w:rPr>
      </w:pPr>
    </w:p>
    <w:p w14:paraId="59D86F6A" w14:textId="06E87EAD" w:rsidR="00D1318A" w:rsidRPr="00FB7E68" w:rsidRDefault="00D1318A" w:rsidP="001162C4">
      <w:pPr>
        <w:spacing w:after="0" w:line="360" w:lineRule="auto"/>
        <w:contextualSpacing/>
        <w:rPr>
          <w:bCs/>
        </w:rPr>
      </w:pPr>
      <w:r w:rsidRPr="00FB7E68">
        <w:rPr>
          <w:rFonts w:cs="Tahoma"/>
          <w:b/>
          <w:bCs/>
        </w:rPr>
        <w:t xml:space="preserve">PRIMERO. </w:t>
      </w:r>
      <w:r w:rsidRPr="00FB7E68">
        <w:rPr>
          <w:rFonts w:cs="Tahoma"/>
          <w:bCs/>
        </w:rPr>
        <w:t xml:space="preserve">Se </w:t>
      </w:r>
      <w:r w:rsidR="00BF460D" w:rsidRPr="00FB7E68">
        <w:rPr>
          <w:rFonts w:cs="Tahoma"/>
          <w:b/>
          <w:bCs/>
        </w:rPr>
        <w:t>REVOCA</w:t>
      </w:r>
      <w:r w:rsidRPr="00FB7E68">
        <w:rPr>
          <w:rFonts w:cs="Tahoma"/>
          <w:b/>
          <w:bCs/>
        </w:rPr>
        <w:t xml:space="preserve"> </w:t>
      </w:r>
      <w:r w:rsidRPr="00FB7E68">
        <w:rPr>
          <w:rFonts w:cs="Tahoma"/>
          <w:bCs/>
        </w:rPr>
        <w:t>la respuesta entrega</w:t>
      </w:r>
      <w:r w:rsidR="00655068" w:rsidRPr="00FB7E68">
        <w:rPr>
          <w:rFonts w:cs="Tahoma"/>
          <w:bCs/>
        </w:rPr>
        <w:t>da por el</w:t>
      </w:r>
      <w:r w:rsidR="004076BD" w:rsidRPr="00FB7E68">
        <w:rPr>
          <w:rFonts w:cs="Tahoma"/>
          <w:bCs/>
        </w:rPr>
        <w:t xml:space="preserve"> Ayuntamiento de </w:t>
      </w:r>
      <w:r w:rsidR="0015197F" w:rsidRPr="00FB7E68">
        <w:rPr>
          <w:rFonts w:cs="Tahoma"/>
          <w:bCs/>
        </w:rPr>
        <w:t>Tecámac</w:t>
      </w:r>
      <w:r w:rsidRPr="00FB7E68">
        <w:rPr>
          <w:rFonts w:cs="Tahoma"/>
          <w:bCs/>
        </w:rPr>
        <w:t>, a la solicitud de información</w:t>
      </w:r>
      <w:r w:rsidR="00655068" w:rsidRPr="00FB7E68">
        <w:t xml:space="preserve"> </w:t>
      </w:r>
      <w:r w:rsidR="004068E7" w:rsidRPr="00FB7E68">
        <w:t>0</w:t>
      </w:r>
      <w:r w:rsidR="0060286E" w:rsidRPr="00FB7E68">
        <w:t>0</w:t>
      </w:r>
      <w:r w:rsidR="0015197F" w:rsidRPr="00FB7E68">
        <w:t>244</w:t>
      </w:r>
      <w:r w:rsidR="004068E7" w:rsidRPr="00FB7E68">
        <w:t>/</w:t>
      </w:r>
      <w:r w:rsidR="0015197F" w:rsidRPr="00FB7E68">
        <w:t>TECAMAC</w:t>
      </w:r>
      <w:r w:rsidR="000D392E" w:rsidRPr="00FB7E68">
        <w:t>/IP/2025</w:t>
      </w:r>
      <w:r w:rsidRPr="00FB7E68">
        <w:rPr>
          <w:bCs/>
        </w:rPr>
        <w:t xml:space="preserve">, por resultar </w:t>
      </w:r>
      <w:r w:rsidRPr="00FB7E68">
        <w:rPr>
          <w:b/>
          <w:bCs/>
        </w:rPr>
        <w:t>FUNDADAS</w:t>
      </w:r>
      <w:r w:rsidRPr="00FB7E68">
        <w:rPr>
          <w:rFonts w:cs="Tahoma"/>
          <w:b/>
          <w:bCs/>
        </w:rPr>
        <w:t xml:space="preserve"> </w:t>
      </w:r>
      <w:r w:rsidRPr="00FB7E68">
        <w:rPr>
          <w:rFonts w:eastAsia="Calibri" w:cs="Tahoma"/>
          <w:bCs/>
        </w:rPr>
        <w:t>las razones o motivos de inconformidad hechos valer por el Recurrente</w:t>
      </w:r>
      <w:r w:rsidRPr="00FB7E68">
        <w:rPr>
          <w:rFonts w:cs="Tahoma"/>
          <w:bCs/>
        </w:rPr>
        <w:t xml:space="preserve">, </w:t>
      </w:r>
      <w:r w:rsidRPr="00FB7E68">
        <w:rPr>
          <w:rFonts w:eastAsia="Calibri" w:cs="Tahoma"/>
          <w:bCs/>
        </w:rPr>
        <w:t>en términos de los considerandos QUINTO y SEXTO de la presente Resolución.</w:t>
      </w:r>
    </w:p>
    <w:p w14:paraId="5F3709A7" w14:textId="77777777" w:rsidR="00D1318A" w:rsidRPr="00FB7E68" w:rsidRDefault="00D1318A" w:rsidP="001162C4">
      <w:pPr>
        <w:spacing w:after="0" w:line="360" w:lineRule="auto"/>
        <w:contextualSpacing/>
        <w:rPr>
          <w:rFonts w:eastAsia="Times New Roman" w:cs="Tahoma"/>
          <w:bCs/>
          <w:lang w:eastAsia="es-ES"/>
        </w:rPr>
      </w:pPr>
    </w:p>
    <w:p w14:paraId="0784DCB9" w14:textId="54C8B6A3" w:rsidR="0015197F" w:rsidRPr="00FB7E68" w:rsidRDefault="00D1318A" w:rsidP="002C080E">
      <w:pPr>
        <w:spacing w:after="0" w:line="360" w:lineRule="auto"/>
      </w:pPr>
      <w:r w:rsidRPr="00FB7E68">
        <w:rPr>
          <w:rFonts w:cs="Tahoma"/>
          <w:b/>
          <w:bCs/>
        </w:rPr>
        <w:t xml:space="preserve">SEGUNDO. </w:t>
      </w:r>
      <w:r w:rsidRPr="00FB7E68">
        <w:t xml:space="preserve">Se </w:t>
      </w:r>
      <w:r w:rsidRPr="00FB7E68">
        <w:rPr>
          <w:b/>
        </w:rPr>
        <w:t>ORDENA</w:t>
      </w:r>
      <w:r w:rsidRPr="00FB7E68">
        <w:t xml:space="preserve"> al Ente Recurrido</w:t>
      </w:r>
      <w:r w:rsidRPr="00FB7E68">
        <w:rPr>
          <w:b/>
        </w:rPr>
        <w:t xml:space="preserve">, </w:t>
      </w:r>
      <w:r w:rsidR="004068E7" w:rsidRPr="00FB7E68">
        <w:t>a efecto de que</w:t>
      </w:r>
      <w:r w:rsidR="00287797" w:rsidRPr="00FB7E68">
        <w:t xml:space="preserve"> previa búsqueda exhaustiva</w:t>
      </w:r>
      <w:r w:rsidR="004068E7" w:rsidRPr="00FB7E68">
        <w:t xml:space="preserve"> </w:t>
      </w:r>
      <w:r w:rsidRPr="00FB7E68">
        <w:t>entregue</w:t>
      </w:r>
      <w:r w:rsidR="001C6B7A" w:rsidRPr="00FB7E68">
        <w:t xml:space="preserve">, </w:t>
      </w:r>
      <w:r w:rsidRPr="00FB7E68">
        <w:t>a través del Sistema de Acceso a la I</w:t>
      </w:r>
      <w:r w:rsidR="00715343" w:rsidRPr="00FB7E68">
        <w:t>nformación Mexiquense (SAIMEX)</w:t>
      </w:r>
      <w:r w:rsidR="004068E7" w:rsidRPr="00FB7E68">
        <w:t xml:space="preserve">, </w:t>
      </w:r>
      <w:r w:rsidR="00282C2E" w:rsidRPr="00FB7E68">
        <w:t xml:space="preserve">en </w:t>
      </w:r>
      <w:r w:rsidR="00B17B55" w:rsidRPr="00FB7E68">
        <w:t>versión</w:t>
      </w:r>
      <w:r w:rsidR="0015197F" w:rsidRPr="00FB7E68">
        <w:t xml:space="preserve"> pública</w:t>
      </w:r>
      <w:r w:rsidR="00B17B55" w:rsidRPr="00FB7E68">
        <w:t xml:space="preserve">, </w:t>
      </w:r>
      <w:r w:rsidR="002C080E" w:rsidRPr="00FB7E68">
        <w:t xml:space="preserve">proporcione los </w:t>
      </w:r>
      <w:r w:rsidR="0015197F" w:rsidRPr="00FB7E68">
        <w:t>documen</w:t>
      </w:r>
      <w:r w:rsidR="002C4664" w:rsidRPr="00FB7E68">
        <w:t>tos donde consten el sueldo bruto y neto</w:t>
      </w:r>
      <w:r w:rsidR="002C080E" w:rsidRPr="00FB7E68">
        <w:t xml:space="preserve"> </w:t>
      </w:r>
      <w:r w:rsidR="0015197F" w:rsidRPr="00FB7E68">
        <w:t>de la primera y segunda quincena de agosto de dos mil veinticinco, conforme a lo siguiente:</w:t>
      </w:r>
    </w:p>
    <w:p w14:paraId="0F146B58" w14:textId="77777777" w:rsidR="0015197F" w:rsidRPr="00FB7E68" w:rsidRDefault="0015197F" w:rsidP="0015197F">
      <w:pPr>
        <w:spacing w:after="0" w:line="360" w:lineRule="auto"/>
      </w:pPr>
    </w:p>
    <w:p w14:paraId="1D66C30C" w14:textId="56537E6A" w:rsidR="0015197F" w:rsidRPr="00FB7E68" w:rsidRDefault="0015197F" w:rsidP="002C080E">
      <w:pPr>
        <w:pStyle w:val="Prrafodelista"/>
        <w:numPr>
          <w:ilvl w:val="0"/>
          <w:numId w:val="37"/>
        </w:numPr>
        <w:spacing w:line="360" w:lineRule="auto"/>
        <w:ind w:left="851"/>
      </w:pPr>
      <w:r w:rsidRPr="00FB7E68">
        <w:t>De todo</w:t>
      </w:r>
      <w:r w:rsidR="002C080E" w:rsidRPr="00FB7E68">
        <w:t>s</w:t>
      </w:r>
      <w:r w:rsidRPr="00FB7E68">
        <w:t xml:space="preserve"> </w:t>
      </w:r>
      <w:r w:rsidR="002C080E" w:rsidRPr="00FB7E68">
        <w:t>los servidores públicos adscritos a la</w:t>
      </w:r>
      <w:r w:rsidRPr="00FB7E68">
        <w:t xml:space="preserve"> de Presidencia, Unidad de Planeación o similar, Tesorería Municipal, Dirección de Administración y Dirección General de Desarrollo Económico, y</w:t>
      </w:r>
    </w:p>
    <w:p w14:paraId="288CAE17" w14:textId="77777777" w:rsidR="002C080E" w:rsidRPr="00FB7E68" w:rsidRDefault="002C080E" w:rsidP="002C080E">
      <w:pPr>
        <w:pStyle w:val="Prrafodelista"/>
        <w:spacing w:line="360" w:lineRule="auto"/>
        <w:ind w:left="851"/>
      </w:pPr>
    </w:p>
    <w:p w14:paraId="535600C2" w14:textId="35DFEAD2" w:rsidR="0015197F" w:rsidRPr="00FB7E68" w:rsidRDefault="0015197F" w:rsidP="002C080E">
      <w:pPr>
        <w:pStyle w:val="Prrafodelista"/>
        <w:numPr>
          <w:ilvl w:val="0"/>
          <w:numId w:val="37"/>
        </w:numPr>
        <w:spacing w:line="360" w:lineRule="auto"/>
        <w:ind w:left="851"/>
      </w:pPr>
      <w:r w:rsidRPr="00FB7E68">
        <w:t xml:space="preserve">De los </w:t>
      </w:r>
      <w:r w:rsidR="002C080E" w:rsidRPr="00FB7E68">
        <w:t>t</w:t>
      </w:r>
      <w:r w:rsidRPr="00FB7E68">
        <w:t>itulares de</w:t>
      </w:r>
      <w:r w:rsidR="002C080E" w:rsidRPr="00FB7E68">
        <w:t xml:space="preserve"> todas las áreas con las que contaba el Ayuntamiento</w:t>
      </w:r>
      <w:r w:rsidRPr="00FB7E68">
        <w:t>.</w:t>
      </w:r>
    </w:p>
    <w:p w14:paraId="2968EB44" w14:textId="77777777" w:rsidR="002C080E" w:rsidRPr="00FB7E68" w:rsidRDefault="002C080E" w:rsidP="001162C4">
      <w:pPr>
        <w:spacing w:after="0" w:line="360" w:lineRule="auto"/>
        <w:ind w:right="-28"/>
        <w:contextualSpacing/>
        <w:rPr>
          <w:color w:val="000000"/>
        </w:rPr>
      </w:pPr>
    </w:p>
    <w:p w14:paraId="520394F5" w14:textId="09B96BCA" w:rsidR="00AC7443" w:rsidRPr="00FB7E68" w:rsidRDefault="0015197F" w:rsidP="001162C4">
      <w:pPr>
        <w:spacing w:after="0" w:line="360" w:lineRule="auto"/>
        <w:ind w:right="-28"/>
        <w:contextualSpacing/>
        <w:rPr>
          <w:rFonts w:cs="Tahoma"/>
          <w:bCs/>
          <w:iCs/>
          <w:lang w:eastAsia="es-ES"/>
        </w:rPr>
      </w:pPr>
      <w:r w:rsidRPr="00FB7E68">
        <w:rPr>
          <w:color w:val="000000"/>
        </w:rPr>
        <w:lastRenderedPageBreak/>
        <w:t xml:space="preserve">Además, </w:t>
      </w:r>
      <w:r w:rsidRPr="00FB7E68">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B5B5340" w14:textId="77777777" w:rsidR="0015197F" w:rsidRPr="00FB7E68" w:rsidRDefault="0015197F" w:rsidP="001162C4">
      <w:pPr>
        <w:spacing w:after="0" w:line="360" w:lineRule="auto"/>
        <w:ind w:right="-28"/>
        <w:contextualSpacing/>
      </w:pPr>
    </w:p>
    <w:p w14:paraId="2AE4964B" w14:textId="77777777" w:rsidR="002C080E" w:rsidRPr="00FB7E68" w:rsidRDefault="00D1318A" w:rsidP="001162C4">
      <w:pPr>
        <w:spacing w:after="0" w:line="360" w:lineRule="auto"/>
        <w:ind w:right="-28"/>
        <w:contextualSpacing/>
        <w:rPr>
          <w:rFonts w:cs="Tahoma"/>
          <w:bCs/>
          <w:iCs/>
        </w:rPr>
      </w:pPr>
      <w:r w:rsidRPr="00FB7E68">
        <w:rPr>
          <w:rFonts w:eastAsia="Calibri" w:cs="Tahoma"/>
          <w:b/>
          <w:bCs/>
        </w:rPr>
        <w:t xml:space="preserve">TERCERO. </w:t>
      </w:r>
      <w:r w:rsidRPr="00FB7E68">
        <w:rPr>
          <w:rFonts w:cs="Tahoma"/>
          <w:b/>
          <w:bCs/>
          <w:iCs/>
        </w:rPr>
        <w:t xml:space="preserve">NOTIFÍQUESE POR SAIMEX </w:t>
      </w:r>
      <w:r w:rsidRPr="00FB7E68">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FB7E68">
        <w:rPr>
          <w:rFonts w:cs="Tahoma"/>
          <w:bCs/>
          <w:iCs/>
        </w:rPr>
        <w:t xml:space="preserve">Ley </w:t>
      </w:r>
      <w:r w:rsidR="00C968FF" w:rsidRPr="00FB7E68">
        <w:rPr>
          <w:rFonts w:cs="Tahoma"/>
          <w:bCs/>
          <w:iCs/>
        </w:rPr>
        <w:t xml:space="preserve">referida. </w:t>
      </w:r>
    </w:p>
    <w:p w14:paraId="5BFFF1E0" w14:textId="77777777" w:rsidR="002C080E" w:rsidRPr="00FB7E68" w:rsidRDefault="002C080E" w:rsidP="001162C4">
      <w:pPr>
        <w:spacing w:after="0" w:line="360" w:lineRule="auto"/>
        <w:ind w:right="-28"/>
        <w:contextualSpacing/>
        <w:rPr>
          <w:rFonts w:cs="Tahoma"/>
          <w:bCs/>
          <w:iCs/>
        </w:rPr>
      </w:pPr>
    </w:p>
    <w:p w14:paraId="3EAE0142" w14:textId="1E66776A" w:rsidR="00D1318A" w:rsidRPr="00FB7E68" w:rsidRDefault="00D1318A" w:rsidP="001162C4">
      <w:pPr>
        <w:spacing w:after="0" w:line="360" w:lineRule="auto"/>
        <w:ind w:right="-28"/>
        <w:contextualSpacing/>
        <w:rPr>
          <w:rFonts w:cs="Tahoma"/>
          <w:bCs/>
          <w:iCs/>
        </w:rPr>
      </w:pPr>
      <w:r w:rsidRPr="00FB7E68">
        <w:rPr>
          <w:rFonts w:eastAsia="Calibri" w:cs="Tahoma"/>
          <w:iCs/>
          <w:color w:val="000000"/>
        </w:rPr>
        <w:t xml:space="preserve">De conformidad con el artículo 198 de la </w:t>
      </w:r>
      <w:r w:rsidR="00C968FF" w:rsidRPr="00FB7E68">
        <w:rPr>
          <w:rFonts w:cs="Tahoma"/>
          <w:bCs/>
          <w:iCs/>
        </w:rPr>
        <w:t>Ley de la materia</w:t>
      </w:r>
      <w:r w:rsidRPr="00FB7E68">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FB7E68" w:rsidRDefault="00D1318A" w:rsidP="001162C4">
      <w:pPr>
        <w:spacing w:after="0" w:line="360" w:lineRule="auto"/>
        <w:contextualSpacing/>
        <w:rPr>
          <w:rFonts w:eastAsia="Calibri" w:cs="Tahoma"/>
          <w:color w:val="000000"/>
          <w:lang w:val="es-ES"/>
        </w:rPr>
      </w:pPr>
    </w:p>
    <w:p w14:paraId="3F59EFC7" w14:textId="77777777" w:rsidR="00D1318A" w:rsidRPr="00FB7E68" w:rsidRDefault="00D1318A" w:rsidP="001162C4">
      <w:pPr>
        <w:spacing w:after="0" w:line="360" w:lineRule="auto"/>
        <w:contextualSpacing/>
        <w:rPr>
          <w:rFonts w:cs="Tahoma"/>
        </w:rPr>
      </w:pPr>
      <w:r w:rsidRPr="00FB7E68">
        <w:rPr>
          <w:rFonts w:eastAsia="Calibri" w:cs="Tahoma"/>
          <w:b/>
        </w:rPr>
        <w:t>CUARTO</w:t>
      </w:r>
      <w:r w:rsidRPr="00FB7E68">
        <w:rPr>
          <w:rFonts w:eastAsia="Calibri" w:cs="Tahoma"/>
          <w:b/>
          <w:bCs/>
        </w:rPr>
        <w:t xml:space="preserve">. </w:t>
      </w:r>
      <w:r w:rsidRPr="00FB7E68">
        <w:rPr>
          <w:rFonts w:cs="Tahoma"/>
          <w:b/>
        </w:rPr>
        <w:t>NOTIFÍQUESE POR SAIMEX</w:t>
      </w:r>
      <w:r w:rsidRPr="00FB7E68">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FB7E68" w:rsidRDefault="00D1318A" w:rsidP="001162C4">
      <w:pPr>
        <w:spacing w:after="0" w:line="360" w:lineRule="auto"/>
        <w:contextualSpacing/>
        <w:rPr>
          <w:rFonts w:cs="Arial"/>
          <w:b/>
          <w:bCs/>
        </w:rPr>
      </w:pPr>
    </w:p>
    <w:p w14:paraId="440D22CF" w14:textId="3FC83EBD" w:rsidR="00D1318A" w:rsidRDefault="00D1318A" w:rsidP="001162C4">
      <w:pPr>
        <w:spacing w:after="0" w:line="360" w:lineRule="auto"/>
        <w:contextualSpacing/>
        <w:rPr>
          <w:rFonts w:cs="Tahoma"/>
          <w:b/>
          <w:bCs/>
        </w:rPr>
      </w:pPr>
      <w:r w:rsidRPr="00FB7E68">
        <w:rPr>
          <w:rFonts w:eastAsia="Calibri" w:cs="Tahoma"/>
          <w:bCs/>
        </w:rPr>
        <w:t>ASÍ LO RESUELVE, POR </w:t>
      </w:r>
      <w:r w:rsidRPr="00FB7E68">
        <w:rPr>
          <w:rFonts w:eastAsia="Calibri" w:cs="Tahoma"/>
          <w:b/>
          <w:bCs/>
        </w:rPr>
        <w:t>UNANIMIDAD</w:t>
      </w:r>
      <w:r w:rsidRPr="00FB7E68">
        <w:rPr>
          <w:rFonts w:eastAsia="Calibri" w:cs="Tahoma"/>
          <w:bCs/>
        </w:rPr>
        <w:t xml:space="preserve"> DE VOTOS EL PLENO DEL INSTITUTO DE TRANSPARENCIA, ACCESO A LA INFORMACIÓN PÚBLICA Y PROTECCIÓN DE </w:t>
      </w:r>
      <w:r w:rsidRPr="00FB7E68">
        <w:rPr>
          <w:rFonts w:eastAsia="Calibri" w:cs="Tahoma"/>
          <w:bCs/>
        </w:rPr>
        <w:lastRenderedPageBreak/>
        <w:t>DATOS PERSONALES DEL ESTADO DE MÉXICO Y MUNICIPIOS, CONFORMADO POR LOS COMISIONADOS JOSÉ MARTÍNEZ VILCHIS, MARÍA DEL ROSARIO MEJÍA AYALA, SHARON CRISTINA MORALES MARTÍNEZ, LUIS GUSTAVO PARRA NORIEGA Y GUADALUPE RAMÍREZ PEÑA</w:t>
      </w:r>
      <w:r w:rsidR="00CF7AA5" w:rsidRPr="00FB7E68">
        <w:rPr>
          <w:rFonts w:eastAsia="Calibri" w:cs="Tahoma"/>
          <w:bCs/>
        </w:rPr>
        <w:t xml:space="preserve">, EN LA </w:t>
      </w:r>
      <w:r w:rsidR="00AD1055" w:rsidRPr="00FB7E68">
        <w:rPr>
          <w:rFonts w:eastAsia="Calibri" w:cs="Tahoma"/>
          <w:bCs/>
        </w:rPr>
        <w:t>CUADRAGÉSIMA TERCERA</w:t>
      </w:r>
      <w:r w:rsidR="00715343" w:rsidRPr="00FB7E68">
        <w:rPr>
          <w:rFonts w:eastAsia="Calibri" w:cs="Tahoma"/>
          <w:bCs/>
        </w:rPr>
        <w:t xml:space="preserve"> </w:t>
      </w:r>
      <w:r w:rsidRPr="00FB7E68">
        <w:rPr>
          <w:rFonts w:eastAsia="Calibri" w:cs="Tahoma"/>
          <w:bCs/>
        </w:rPr>
        <w:t>SESIÓN ORDINA</w:t>
      </w:r>
      <w:r w:rsidR="00715343" w:rsidRPr="00FB7E68">
        <w:rPr>
          <w:rFonts w:eastAsia="Calibri" w:cs="Tahoma"/>
          <w:bCs/>
        </w:rPr>
        <w:t>RIA, C</w:t>
      </w:r>
      <w:r w:rsidR="0052714E" w:rsidRPr="00FB7E68">
        <w:rPr>
          <w:rFonts w:eastAsia="Calibri" w:cs="Tahoma"/>
          <w:bCs/>
        </w:rPr>
        <w:t xml:space="preserve">ELEBRADA EL </w:t>
      </w:r>
      <w:r w:rsidR="00AD1055" w:rsidRPr="00FB7E68">
        <w:rPr>
          <w:rFonts w:eastAsia="Calibri" w:cs="Tahoma"/>
          <w:bCs/>
        </w:rPr>
        <w:t>TRES DE DICIEMBRE</w:t>
      </w:r>
      <w:r w:rsidR="00655068" w:rsidRPr="00FB7E68">
        <w:rPr>
          <w:rFonts w:eastAsia="Calibri" w:cs="Tahoma"/>
          <w:bCs/>
        </w:rPr>
        <w:t xml:space="preserve"> </w:t>
      </w:r>
      <w:r w:rsidRPr="00FB7E68">
        <w:rPr>
          <w:rFonts w:eastAsia="Calibri" w:cs="Tahoma"/>
          <w:bCs/>
        </w:rPr>
        <w:t>DE DOS MIL VEINTICINCO, ANTE EL SECRETARIO TÉCNICO DEL PLENO, ALEXIS TAPIA RAMÍREZ.</w:t>
      </w:r>
    </w:p>
    <w:p w14:paraId="2BA380C7" w14:textId="77777777" w:rsidR="00D1318A" w:rsidRPr="00D1318A" w:rsidRDefault="00D1318A" w:rsidP="001162C4">
      <w:pPr>
        <w:spacing w:after="0" w:line="360" w:lineRule="auto"/>
        <w:ind w:right="-28"/>
        <w:rPr>
          <w:color w:val="auto"/>
        </w:rPr>
      </w:pPr>
    </w:p>
    <w:p w14:paraId="1FFCF4F3" w14:textId="77777777" w:rsidR="00B02499" w:rsidRDefault="00B02499" w:rsidP="001162C4">
      <w:pPr>
        <w:spacing w:after="0" w:line="360" w:lineRule="auto"/>
        <w:rPr>
          <w:rFonts w:eastAsia="Calibri" w:cs="Times New Roman"/>
          <w:b/>
          <w:bCs/>
        </w:rPr>
      </w:pPr>
    </w:p>
    <w:p w14:paraId="654C889D" w14:textId="77777777" w:rsidR="00B02499" w:rsidRPr="00681B34" w:rsidRDefault="00B02499" w:rsidP="001162C4">
      <w:pPr>
        <w:spacing w:after="0" w:line="360" w:lineRule="auto"/>
        <w:rPr>
          <w:rFonts w:eastAsia="Calibri" w:cs="Times New Roman"/>
          <w:b/>
          <w:bCs/>
        </w:rPr>
      </w:pPr>
    </w:p>
    <w:p w14:paraId="097C707A" w14:textId="77777777" w:rsidR="004A10B0" w:rsidRDefault="004A10B0" w:rsidP="001162C4">
      <w:pPr>
        <w:spacing w:after="0" w:line="360" w:lineRule="auto"/>
        <w:contextualSpacing/>
        <w:rPr>
          <w:rFonts w:eastAsia="Calibri" w:cs="Times New Roman"/>
          <w:color w:val="000000"/>
        </w:rPr>
      </w:pPr>
    </w:p>
    <w:p w14:paraId="3677DBED" w14:textId="77777777" w:rsidR="004A10B0" w:rsidRDefault="004A10B0" w:rsidP="001162C4">
      <w:pPr>
        <w:spacing w:after="0" w:line="360" w:lineRule="auto"/>
        <w:contextualSpacing/>
        <w:rPr>
          <w:color w:val="000000"/>
        </w:rPr>
      </w:pPr>
    </w:p>
    <w:p w14:paraId="74E8DB3F" w14:textId="77777777" w:rsidR="00C556AB" w:rsidRDefault="00C556AB" w:rsidP="001162C4">
      <w:pPr>
        <w:spacing w:after="0" w:line="360" w:lineRule="auto"/>
      </w:pPr>
    </w:p>
    <w:p w14:paraId="1A555613" w14:textId="77777777" w:rsidR="00023BBD" w:rsidRPr="00E64957" w:rsidRDefault="00023BBD" w:rsidP="001162C4">
      <w:pPr>
        <w:spacing w:after="0" w:line="360" w:lineRule="auto"/>
      </w:pPr>
    </w:p>
    <w:p w14:paraId="2DB71CAF" w14:textId="49BEE08C" w:rsidR="001D4F21" w:rsidRDefault="001D4F21" w:rsidP="001162C4">
      <w:pPr>
        <w:spacing w:after="0" w:line="360" w:lineRule="auto"/>
        <w:rPr>
          <w:color w:val="000000"/>
        </w:rPr>
      </w:pPr>
    </w:p>
    <w:p w14:paraId="38B4EF2E" w14:textId="77777777" w:rsidR="001D4F21" w:rsidRDefault="001D4F21" w:rsidP="001162C4">
      <w:pPr>
        <w:spacing w:after="0" w:line="360" w:lineRule="auto"/>
        <w:rPr>
          <w:color w:val="000000"/>
        </w:rPr>
      </w:pPr>
    </w:p>
    <w:p w14:paraId="4201A0A0" w14:textId="77777777" w:rsidR="00E864E9" w:rsidRDefault="00E864E9" w:rsidP="001162C4">
      <w:pPr>
        <w:tabs>
          <w:tab w:val="right" w:pos="8931"/>
        </w:tabs>
        <w:spacing w:after="0" w:line="360" w:lineRule="auto"/>
      </w:pPr>
    </w:p>
    <w:p w14:paraId="543728D1" w14:textId="77777777" w:rsidR="00E864E9" w:rsidRDefault="00E864E9" w:rsidP="001162C4">
      <w:pPr>
        <w:tabs>
          <w:tab w:val="right" w:pos="8931"/>
        </w:tabs>
        <w:spacing w:after="0" w:line="360" w:lineRule="auto"/>
      </w:pPr>
    </w:p>
    <w:p w14:paraId="0E4439D0" w14:textId="5248D3C9" w:rsidR="007B58B9" w:rsidRDefault="007B58B9" w:rsidP="001162C4">
      <w:pPr>
        <w:spacing w:after="0" w:line="360" w:lineRule="auto"/>
      </w:pPr>
    </w:p>
    <w:p w14:paraId="26916C77" w14:textId="77777777" w:rsidR="00A37EDE" w:rsidRDefault="00A37EDE" w:rsidP="001162C4">
      <w:pPr>
        <w:spacing w:after="0" w:line="360" w:lineRule="auto"/>
      </w:pPr>
    </w:p>
    <w:p w14:paraId="55D9635B" w14:textId="77777777" w:rsidR="008C1B03" w:rsidRDefault="008C1B03" w:rsidP="001162C4">
      <w:pPr>
        <w:spacing w:after="0" w:line="360" w:lineRule="auto"/>
      </w:pPr>
    </w:p>
    <w:p w14:paraId="0FC57566" w14:textId="77777777" w:rsidR="008C1B03" w:rsidRDefault="008C1B03" w:rsidP="001162C4">
      <w:pPr>
        <w:spacing w:after="0" w:line="360" w:lineRule="auto"/>
      </w:pPr>
    </w:p>
    <w:p w14:paraId="25358DA4" w14:textId="77777777" w:rsidR="008C1B03" w:rsidRDefault="008C1B03" w:rsidP="001162C4">
      <w:pPr>
        <w:spacing w:after="0" w:line="360" w:lineRule="auto"/>
      </w:pPr>
    </w:p>
    <w:p w14:paraId="1287A047" w14:textId="77777777" w:rsidR="008C1B03" w:rsidRDefault="008C1B03" w:rsidP="001162C4">
      <w:pPr>
        <w:spacing w:after="0" w:line="360" w:lineRule="auto"/>
      </w:pPr>
    </w:p>
    <w:p w14:paraId="781C7325" w14:textId="77777777" w:rsidR="008C1B03" w:rsidRDefault="008C1B03" w:rsidP="001162C4">
      <w:pPr>
        <w:spacing w:after="0" w:line="360" w:lineRule="auto"/>
      </w:pPr>
    </w:p>
    <w:p w14:paraId="767A4AD9" w14:textId="77777777" w:rsidR="008C1B03" w:rsidRDefault="008C1B03" w:rsidP="001162C4">
      <w:pPr>
        <w:spacing w:after="0" w:line="360" w:lineRule="auto"/>
      </w:pPr>
    </w:p>
    <w:p w14:paraId="4C966323" w14:textId="77777777" w:rsidR="008C1B03" w:rsidRPr="007B58B9" w:rsidRDefault="008C1B03" w:rsidP="001162C4">
      <w:pPr>
        <w:spacing w:after="0" w:line="360" w:lineRule="auto"/>
      </w:pPr>
    </w:p>
    <w:sectPr w:rsidR="008C1B03" w:rsidRPr="007B58B9"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EEFA" w14:textId="77777777" w:rsidR="005A7F41" w:rsidRDefault="005A7F41">
      <w:pPr>
        <w:spacing w:after="0" w:line="240" w:lineRule="auto"/>
      </w:pPr>
      <w:r>
        <w:separator/>
      </w:r>
    </w:p>
  </w:endnote>
  <w:endnote w:type="continuationSeparator" w:id="0">
    <w:p w14:paraId="470E9AD3" w14:textId="77777777" w:rsidR="005A7F41" w:rsidRDefault="005A7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43A63AD0" w:rsidR="00BD3C86" w:rsidRDefault="00BD3C8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7F090C">
      <w:rPr>
        <w:b/>
        <w:color w:val="000000"/>
        <w:sz w:val="24"/>
        <w:szCs w:val="24"/>
      </w:rPr>
      <w:fldChar w:fldCharType="separate"/>
    </w:r>
    <w:r w:rsidR="007F090C">
      <w:rPr>
        <w:b/>
        <w:noProof/>
        <w:color w:val="000000"/>
        <w:sz w:val="24"/>
        <w:szCs w:val="24"/>
      </w:rPr>
      <w:t>47</w:t>
    </w:r>
    <w:r>
      <w:rPr>
        <w:b/>
        <w:color w:val="000000"/>
        <w:sz w:val="24"/>
        <w:szCs w:val="24"/>
      </w:rPr>
      <w:fldChar w:fldCharType="end"/>
    </w:r>
  </w:p>
  <w:p w14:paraId="7EB9860B" w14:textId="77777777" w:rsidR="00BD3C86" w:rsidRDefault="00BD3C8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BD3C86" w:rsidRDefault="00BD3C8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C1B03">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C1B03">
      <w:rPr>
        <w:b/>
        <w:noProof/>
        <w:color w:val="000000"/>
        <w:sz w:val="24"/>
        <w:szCs w:val="24"/>
      </w:rPr>
      <w:t>47</w:t>
    </w:r>
    <w:r>
      <w:rPr>
        <w:b/>
        <w:color w:val="000000"/>
        <w:sz w:val="24"/>
        <w:szCs w:val="24"/>
      </w:rPr>
      <w:fldChar w:fldCharType="end"/>
    </w:r>
  </w:p>
  <w:p w14:paraId="0D7FA8D9" w14:textId="77777777" w:rsidR="00BD3C86" w:rsidRDefault="00BD3C8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BD3C86" w:rsidRDefault="00BD3C8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C561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C5615">
      <w:rPr>
        <w:b/>
        <w:noProof/>
        <w:color w:val="000000"/>
        <w:sz w:val="24"/>
        <w:szCs w:val="24"/>
      </w:rPr>
      <w:t>1</w:t>
    </w:r>
    <w:r>
      <w:rPr>
        <w:b/>
        <w:color w:val="000000"/>
        <w:sz w:val="24"/>
        <w:szCs w:val="24"/>
      </w:rPr>
      <w:fldChar w:fldCharType="end"/>
    </w:r>
  </w:p>
  <w:p w14:paraId="6796AF5F" w14:textId="77777777" w:rsidR="00BD3C86" w:rsidRDefault="00BD3C8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73EA" w14:textId="77777777" w:rsidR="005A7F41" w:rsidRDefault="005A7F41">
      <w:pPr>
        <w:spacing w:after="0" w:line="240" w:lineRule="auto"/>
      </w:pPr>
      <w:r>
        <w:separator/>
      </w:r>
    </w:p>
  </w:footnote>
  <w:footnote w:type="continuationSeparator" w:id="0">
    <w:p w14:paraId="606CD52A" w14:textId="77777777" w:rsidR="005A7F41" w:rsidRDefault="005A7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BD3C86" w:rsidRDefault="00BD3C86">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BD3C86" w14:paraId="10C29E94" w14:textId="77777777">
      <w:trPr>
        <w:trHeight w:val="132"/>
      </w:trPr>
      <w:tc>
        <w:tcPr>
          <w:tcW w:w="2691" w:type="dxa"/>
        </w:tcPr>
        <w:p w14:paraId="7D85A4B8" w14:textId="77777777" w:rsidR="00BD3C86" w:rsidRDefault="00BD3C86">
          <w:pPr>
            <w:tabs>
              <w:tab w:val="right" w:pos="8838"/>
            </w:tabs>
            <w:ind w:right="-105"/>
            <w:rPr>
              <w:b/>
            </w:rPr>
          </w:pPr>
          <w:r>
            <w:rPr>
              <w:b/>
            </w:rPr>
            <w:t>Recurso de Revisión:</w:t>
          </w:r>
        </w:p>
      </w:tc>
      <w:tc>
        <w:tcPr>
          <w:tcW w:w="3405" w:type="dxa"/>
        </w:tcPr>
        <w:p w14:paraId="0B0D1A9D" w14:textId="77777777" w:rsidR="00BD3C86" w:rsidRDefault="00BD3C86">
          <w:pPr>
            <w:tabs>
              <w:tab w:val="right" w:pos="8838"/>
            </w:tabs>
            <w:ind w:left="-28" w:right="-32"/>
          </w:pPr>
          <w:r>
            <w:t>03846/INFOEM/IP/RR/2020</w:t>
          </w:r>
        </w:p>
      </w:tc>
    </w:tr>
    <w:tr w:rsidR="00BD3C86" w14:paraId="2F47AC72" w14:textId="77777777">
      <w:trPr>
        <w:trHeight w:val="261"/>
      </w:trPr>
      <w:tc>
        <w:tcPr>
          <w:tcW w:w="2691" w:type="dxa"/>
        </w:tcPr>
        <w:p w14:paraId="154A4752" w14:textId="77777777" w:rsidR="00BD3C86" w:rsidRDefault="00BD3C86">
          <w:pPr>
            <w:tabs>
              <w:tab w:val="right" w:pos="8838"/>
            </w:tabs>
            <w:ind w:right="-105"/>
            <w:rPr>
              <w:b/>
            </w:rPr>
          </w:pPr>
          <w:r>
            <w:rPr>
              <w:b/>
            </w:rPr>
            <w:t>Sujeto Obligado:</w:t>
          </w:r>
        </w:p>
      </w:tc>
      <w:tc>
        <w:tcPr>
          <w:tcW w:w="3405" w:type="dxa"/>
        </w:tcPr>
        <w:p w14:paraId="5D9EC711" w14:textId="77777777" w:rsidR="00BD3C86" w:rsidRDefault="00BD3C86">
          <w:pPr>
            <w:tabs>
              <w:tab w:val="right" w:pos="8838"/>
            </w:tabs>
            <w:ind w:right="-32"/>
          </w:pPr>
          <w:r>
            <w:t>Ayuntamiento de Temascalcingo</w:t>
          </w:r>
        </w:p>
      </w:tc>
    </w:tr>
    <w:tr w:rsidR="00BD3C86" w14:paraId="11FBB450" w14:textId="77777777">
      <w:trPr>
        <w:trHeight w:val="261"/>
      </w:trPr>
      <w:tc>
        <w:tcPr>
          <w:tcW w:w="2691" w:type="dxa"/>
        </w:tcPr>
        <w:p w14:paraId="6BAF6003" w14:textId="77777777" w:rsidR="00BD3C86" w:rsidRDefault="00BD3C86">
          <w:pPr>
            <w:tabs>
              <w:tab w:val="right" w:pos="8838"/>
            </w:tabs>
            <w:ind w:right="-105"/>
            <w:rPr>
              <w:b/>
            </w:rPr>
          </w:pPr>
          <w:r>
            <w:rPr>
              <w:b/>
            </w:rPr>
            <w:t>Comisionado Ponente:</w:t>
          </w:r>
        </w:p>
      </w:tc>
      <w:tc>
        <w:tcPr>
          <w:tcW w:w="3405" w:type="dxa"/>
        </w:tcPr>
        <w:p w14:paraId="420341AF" w14:textId="77777777" w:rsidR="00BD3C86" w:rsidRDefault="00BD3C86">
          <w:pPr>
            <w:tabs>
              <w:tab w:val="right" w:pos="8838"/>
            </w:tabs>
            <w:ind w:right="-32"/>
            <w:rPr>
              <w:b/>
            </w:rPr>
          </w:pPr>
          <w:r>
            <w:t>Luis Gustavo Parra Noriega</w:t>
          </w:r>
        </w:p>
      </w:tc>
    </w:tr>
  </w:tbl>
  <w:p w14:paraId="00411D75" w14:textId="77777777" w:rsidR="00BD3C86"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BD3C86"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BD3C86" w14:paraId="40D5D5A3" w14:textId="77777777" w:rsidTr="00AE7B9D">
      <w:trPr>
        <w:trHeight w:val="138"/>
      </w:trPr>
      <w:tc>
        <w:tcPr>
          <w:tcW w:w="2693" w:type="dxa"/>
          <w:vAlign w:val="center"/>
        </w:tcPr>
        <w:p w14:paraId="43377EBE" w14:textId="77777777" w:rsidR="00BD3C86" w:rsidRDefault="00BD3C86" w:rsidP="008C266D">
          <w:pPr>
            <w:tabs>
              <w:tab w:val="right" w:pos="8838"/>
            </w:tabs>
            <w:ind w:left="-108" w:right="-105"/>
            <w:jc w:val="left"/>
            <w:rPr>
              <w:b/>
            </w:rPr>
          </w:pPr>
        </w:p>
        <w:p w14:paraId="1DB5C8D0" w14:textId="7E98B3D2" w:rsidR="00BD3C86" w:rsidRDefault="00BD3C86" w:rsidP="008C266D">
          <w:pPr>
            <w:tabs>
              <w:tab w:val="right" w:pos="8838"/>
            </w:tabs>
            <w:ind w:left="-108" w:right="-105"/>
            <w:jc w:val="left"/>
            <w:rPr>
              <w:b/>
            </w:rPr>
          </w:pPr>
          <w:r>
            <w:rPr>
              <w:b/>
            </w:rPr>
            <w:t>Recurso de Revisión:</w:t>
          </w:r>
        </w:p>
      </w:tc>
      <w:tc>
        <w:tcPr>
          <w:tcW w:w="3969" w:type="dxa"/>
        </w:tcPr>
        <w:p w14:paraId="5BCC69C4" w14:textId="77777777" w:rsidR="00BD3C86" w:rsidRPr="00EF0C39" w:rsidRDefault="00BD3C86" w:rsidP="008C266D">
          <w:pPr>
            <w:tabs>
              <w:tab w:val="right" w:pos="8838"/>
            </w:tabs>
            <w:ind w:right="57"/>
          </w:pPr>
        </w:p>
        <w:p w14:paraId="61E59D71" w14:textId="7DA27C42" w:rsidR="00BD3C86" w:rsidRPr="00EF0C39" w:rsidRDefault="00BD3C86" w:rsidP="008C266D">
          <w:pPr>
            <w:tabs>
              <w:tab w:val="right" w:pos="8838"/>
            </w:tabs>
            <w:ind w:right="57"/>
          </w:pPr>
          <w:r>
            <w:t>11146/INFOEM/IP/RR/2025</w:t>
          </w:r>
        </w:p>
      </w:tc>
    </w:tr>
    <w:tr w:rsidR="00BD3C86" w14:paraId="7A281F30" w14:textId="77777777" w:rsidTr="00AE7B9D">
      <w:trPr>
        <w:trHeight w:val="273"/>
      </w:trPr>
      <w:tc>
        <w:tcPr>
          <w:tcW w:w="2693" w:type="dxa"/>
        </w:tcPr>
        <w:p w14:paraId="6671A308" w14:textId="77777777" w:rsidR="00BD3C86" w:rsidRDefault="00BD3C86" w:rsidP="008C266D">
          <w:pPr>
            <w:tabs>
              <w:tab w:val="right" w:pos="8838"/>
            </w:tabs>
            <w:ind w:left="-108" w:right="-105"/>
            <w:rPr>
              <w:b/>
            </w:rPr>
          </w:pPr>
          <w:r>
            <w:rPr>
              <w:b/>
            </w:rPr>
            <w:t>Sujeto Obligado:</w:t>
          </w:r>
        </w:p>
      </w:tc>
      <w:tc>
        <w:tcPr>
          <w:tcW w:w="3969" w:type="dxa"/>
        </w:tcPr>
        <w:p w14:paraId="30885B6D" w14:textId="25FA7469" w:rsidR="00BD3C86" w:rsidRPr="00EF0C39" w:rsidRDefault="00BD3C86" w:rsidP="007B4717">
          <w:pPr>
            <w:tabs>
              <w:tab w:val="right" w:pos="8838"/>
            </w:tabs>
            <w:ind w:right="180"/>
          </w:pPr>
          <w:r>
            <w:t>Ayuntamiento de Tecámac</w:t>
          </w:r>
        </w:p>
      </w:tc>
    </w:tr>
    <w:tr w:rsidR="00BD3C86" w14:paraId="00C22F2F" w14:textId="77777777" w:rsidTr="00AE7B9D">
      <w:trPr>
        <w:trHeight w:val="273"/>
      </w:trPr>
      <w:tc>
        <w:tcPr>
          <w:tcW w:w="2693" w:type="dxa"/>
        </w:tcPr>
        <w:p w14:paraId="70417649" w14:textId="77777777" w:rsidR="00BD3C86" w:rsidRDefault="00BD3C86" w:rsidP="008C266D">
          <w:pPr>
            <w:tabs>
              <w:tab w:val="right" w:pos="8838"/>
            </w:tabs>
            <w:ind w:left="-108" w:right="-105"/>
            <w:rPr>
              <w:b/>
            </w:rPr>
          </w:pPr>
          <w:r>
            <w:rPr>
              <w:b/>
            </w:rPr>
            <w:t>Comisionado Ponente:</w:t>
          </w:r>
        </w:p>
      </w:tc>
      <w:tc>
        <w:tcPr>
          <w:tcW w:w="3969" w:type="dxa"/>
        </w:tcPr>
        <w:p w14:paraId="5E6EB38B" w14:textId="77777777" w:rsidR="00BD3C86" w:rsidRPr="00EF0C39" w:rsidRDefault="00BD3C86" w:rsidP="008C266D">
          <w:pPr>
            <w:tabs>
              <w:tab w:val="right" w:pos="8838"/>
            </w:tabs>
            <w:ind w:right="-170"/>
          </w:pPr>
          <w:r w:rsidRPr="00EF0C39">
            <w:t>Luis Gustavo Parra Noriega</w:t>
          </w:r>
        </w:p>
        <w:p w14:paraId="1A63C67B" w14:textId="77777777" w:rsidR="00BD3C86" w:rsidRPr="00EF0C39" w:rsidRDefault="00BD3C86" w:rsidP="008C266D">
          <w:pPr>
            <w:tabs>
              <w:tab w:val="right" w:pos="8838"/>
            </w:tabs>
            <w:ind w:right="-170"/>
            <w:rPr>
              <w:b/>
            </w:rPr>
          </w:pPr>
        </w:p>
      </w:tc>
    </w:tr>
  </w:tbl>
  <w:p w14:paraId="3498D107" w14:textId="7E17876C" w:rsidR="00BD3C86" w:rsidRDefault="00BD3C86"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EC88BA7" w:rsidR="00BD3C86" w:rsidRDefault="00000000">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84.6pt;margin-top:-125.7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BD3C86" w14:paraId="6B3232BD" w14:textId="77777777" w:rsidTr="00D71C46">
      <w:trPr>
        <w:trHeight w:val="132"/>
      </w:trPr>
      <w:tc>
        <w:tcPr>
          <w:tcW w:w="2551" w:type="dxa"/>
        </w:tcPr>
        <w:p w14:paraId="38F16E2F" w14:textId="77777777" w:rsidR="00BD3C86" w:rsidRDefault="00BD3C86">
          <w:pPr>
            <w:tabs>
              <w:tab w:val="right" w:pos="8838"/>
            </w:tabs>
            <w:ind w:right="-105"/>
            <w:rPr>
              <w:b/>
            </w:rPr>
          </w:pPr>
          <w:r>
            <w:rPr>
              <w:b/>
            </w:rPr>
            <w:t>Recurso de Revisión:</w:t>
          </w:r>
        </w:p>
      </w:tc>
      <w:tc>
        <w:tcPr>
          <w:tcW w:w="4253" w:type="dxa"/>
        </w:tcPr>
        <w:p w14:paraId="211CDC0A" w14:textId="4171F42D" w:rsidR="00BD3C86" w:rsidRPr="00026C6B" w:rsidRDefault="00BD3C86" w:rsidP="00026C6B">
          <w:r>
            <w:t>11146/INFOEM/IP/RR/2025</w:t>
          </w:r>
        </w:p>
      </w:tc>
    </w:tr>
    <w:tr w:rsidR="00BD3C86" w14:paraId="6AA3CC58" w14:textId="77777777" w:rsidTr="00D71C46">
      <w:trPr>
        <w:trHeight w:val="132"/>
      </w:trPr>
      <w:tc>
        <w:tcPr>
          <w:tcW w:w="2551" w:type="dxa"/>
        </w:tcPr>
        <w:p w14:paraId="7FD164F5" w14:textId="77777777" w:rsidR="00BD3C86" w:rsidRDefault="00BD3C86">
          <w:pPr>
            <w:tabs>
              <w:tab w:val="left" w:pos="1875"/>
            </w:tabs>
            <w:ind w:right="-105"/>
            <w:rPr>
              <w:b/>
            </w:rPr>
          </w:pPr>
          <w:r>
            <w:rPr>
              <w:b/>
            </w:rPr>
            <w:t>Recurrente:</w:t>
          </w:r>
          <w:r>
            <w:rPr>
              <w:b/>
            </w:rPr>
            <w:tab/>
          </w:r>
        </w:p>
      </w:tc>
      <w:tc>
        <w:tcPr>
          <w:tcW w:w="4253" w:type="dxa"/>
        </w:tcPr>
        <w:p w14:paraId="1F1B0537" w14:textId="45B738BD" w:rsidR="00BD3C86" w:rsidRPr="00EF0C39" w:rsidRDefault="00BD3C86" w:rsidP="006D7FDA">
          <w:pPr>
            <w:tabs>
              <w:tab w:val="right" w:pos="8838"/>
            </w:tabs>
            <w:ind w:right="-250"/>
          </w:pPr>
          <w:r>
            <w:t xml:space="preserve"> </w:t>
          </w:r>
        </w:p>
      </w:tc>
    </w:tr>
    <w:tr w:rsidR="00BD3C86" w14:paraId="5113CAA6" w14:textId="77777777" w:rsidTr="00D71C46">
      <w:trPr>
        <w:trHeight w:val="261"/>
      </w:trPr>
      <w:tc>
        <w:tcPr>
          <w:tcW w:w="2551" w:type="dxa"/>
        </w:tcPr>
        <w:p w14:paraId="28E3431B" w14:textId="30EC7C18" w:rsidR="00BD3C86" w:rsidRDefault="00BD3C86">
          <w:pPr>
            <w:tabs>
              <w:tab w:val="right" w:pos="8838"/>
            </w:tabs>
            <w:ind w:right="-105"/>
            <w:rPr>
              <w:b/>
            </w:rPr>
          </w:pPr>
          <w:r>
            <w:rPr>
              <w:b/>
            </w:rPr>
            <w:t>Sujeto Obligado:</w:t>
          </w:r>
        </w:p>
      </w:tc>
      <w:tc>
        <w:tcPr>
          <w:tcW w:w="4253" w:type="dxa"/>
        </w:tcPr>
        <w:p w14:paraId="3192354E" w14:textId="467AFA4F" w:rsidR="00BD3C86" w:rsidRPr="00026C6B" w:rsidRDefault="00BD3C86" w:rsidP="00026C6B">
          <w:r>
            <w:t>Ayuntamiento de Tecámac</w:t>
          </w:r>
        </w:p>
      </w:tc>
    </w:tr>
    <w:tr w:rsidR="00BD3C86" w14:paraId="5D4C2A35" w14:textId="77777777" w:rsidTr="00D71C46">
      <w:trPr>
        <w:trHeight w:val="261"/>
      </w:trPr>
      <w:tc>
        <w:tcPr>
          <w:tcW w:w="2551" w:type="dxa"/>
        </w:tcPr>
        <w:p w14:paraId="7F522FEC" w14:textId="77777777" w:rsidR="00BD3C86" w:rsidRDefault="00BD3C86">
          <w:pPr>
            <w:tabs>
              <w:tab w:val="right" w:pos="8838"/>
            </w:tabs>
            <w:ind w:right="-105"/>
            <w:rPr>
              <w:b/>
            </w:rPr>
          </w:pPr>
          <w:r>
            <w:rPr>
              <w:b/>
            </w:rPr>
            <w:t>Comisionado Ponente:</w:t>
          </w:r>
        </w:p>
      </w:tc>
      <w:tc>
        <w:tcPr>
          <w:tcW w:w="4253" w:type="dxa"/>
        </w:tcPr>
        <w:p w14:paraId="0F0566F9" w14:textId="77777777" w:rsidR="00BD3C86" w:rsidRPr="00EF0C39" w:rsidRDefault="00BD3C86" w:rsidP="00C46A25">
          <w:pPr>
            <w:tabs>
              <w:tab w:val="right" w:pos="8838"/>
            </w:tabs>
            <w:ind w:right="-32"/>
            <w:rPr>
              <w:b/>
            </w:rPr>
          </w:pPr>
          <w:r w:rsidRPr="00EF0C39">
            <w:t>Luis Gustavo Parra Noriega</w:t>
          </w:r>
        </w:p>
      </w:tc>
    </w:tr>
  </w:tbl>
  <w:p w14:paraId="4DFC2598" w14:textId="74A87CCC" w:rsidR="00BD3C86" w:rsidRDefault="00BD3C86">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1E"/>
    <w:multiLevelType w:val="hybridMultilevel"/>
    <w:tmpl w:val="5066BB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E721A"/>
    <w:multiLevelType w:val="hybridMultilevel"/>
    <w:tmpl w:val="401E2F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2D025B9"/>
    <w:multiLevelType w:val="hybridMultilevel"/>
    <w:tmpl w:val="84B6D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BE3751"/>
    <w:multiLevelType w:val="hybridMultilevel"/>
    <w:tmpl w:val="AD7606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ADD387B"/>
    <w:multiLevelType w:val="hybridMultilevel"/>
    <w:tmpl w:val="2E5E4D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CB54C7"/>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F206E3"/>
    <w:multiLevelType w:val="hybridMultilevel"/>
    <w:tmpl w:val="A5F075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20131B"/>
    <w:multiLevelType w:val="hybridMultilevel"/>
    <w:tmpl w:val="5BE86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CF2CB0"/>
    <w:multiLevelType w:val="hybridMultilevel"/>
    <w:tmpl w:val="196E12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01247C"/>
    <w:multiLevelType w:val="hybridMultilevel"/>
    <w:tmpl w:val="BB621E9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2082807"/>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F5250A"/>
    <w:multiLevelType w:val="hybridMultilevel"/>
    <w:tmpl w:val="44A0197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BAA234B"/>
    <w:multiLevelType w:val="hybridMultilevel"/>
    <w:tmpl w:val="6736EE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130334"/>
    <w:multiLevelType w:val="hybridMultilevel"/>
    <w:tmpl w:val="23C6E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514178"/>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DA0D26"/>
    <w:multiLevelType w:val="hybridMultilevel"/>
    <w:tmpl w:val="9CD8A6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58547C"/>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4FBD5093"/>
    <w:multiLevelType w:val="hybridMultilevel"/>
    <w:tmpl w:val="BA282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9165CEC"/>
    <w:multiLevelType w:val="hybridMultilevel"/>
    <w:tmpl w:val="1ACEB3A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2128886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4370517">
    <w:abstractNumId w:val="10"/>
  </w:num>
  <w:num w:numId="3" w16cid:durableId="1211189480">
    <w:abstractNumId w:val="16"/>
  </w:num>
  <w:num w:numId="4" w16cid:durableId="2117627071">
    <w:abstractNumId w:val="25"/>
  </w:num>
  <w:num w:numId="5" w16cid:durableId="2836540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5756844">
    <w:abstractNumId w:val="35"/>
  </w:num>
  <w:num w:numId="7" w16cid:durableId="2001276380">
    <w:abstractNumId w:val="9"/>
  </w:num>
  <w:num w:numId="8" w16cid:durableId="715544381">
    <w:abstractNumId w:val="23"/>
  </w:num>
  <w:num w:numId="9" w16cid:durableId="2137746786">
    <w:abstractNumId w:val="34"/>
  </w:num>
  <w:num w:numId="10" w16cid:durableId="1951627084">
    <w:abstractNumId w:val="2"/>
  </w:num>
  <w:num w:numId="11" w16cid:durableId="1459645818">
    <w:abstractNumId w:val="13"/>
  </w:num>
  <w:num w:numId="12" w16cid:durableId="661273043">
    <w:abstractNumId w:val="4"/>
  </w:num>
  <w:num w:numId="13" w16cid:durableId="96483219">
    <w:abstractNumId w:val="3"/>
  </w:num>
  <w:num w:numId="14" w16cid:durableId="981693281">
    <w:abstractNumId w:val="18"/>
  </w:num>
  <w:num w:numId="15" w16cid:durableId="896280007">
    <w:abstractNumId w:val="31"/>
  </w:num>
  <w:num w:numId="16" w16cid:durableId="1409494232">
    <w:abstractNumId w:val="0"/>
  </w:num>
  <w:num w:numId="17" w16cid:durableId="740325786">
    <w:abstractNumId w:val="22"/>
  </w:num>
  <w:num w:numId="18" w16cid:durableId="1196650867">
    <w:abstractNumId w:val="5"/>
  </w:num>
  <w:num w:numId="19" w16cid:durableId="1550460399">
    <w:abstractNumId w:val="14"/>
  </w:num>
  <w:num w:numId="20" w16cid:durableId="427046889">
    <w:abstractNumId w:val="7"/>
  </w:num>
  <w:num w:numId="21" w16cid:durableId="919414261">
    <w:abstractNumId w:val="29"/>
  </w:num>
  <w:num w:numId="22" w16cid:durableId="1827282460">
    <w:abstractNumId w:val="11"/>
  </w:num>
  <w:num w:numId="23" w16cid:durableId="88620118">
    <w:abstractNumId w:val="12"/>
  </w:num>
  <w:num w:numId="24" w16cid:durableId="951594414">
    <w:abstractNumId w:val="1"/>
  </w:num>
  <w:num w:numId="25" w16cid:durableId="616715477">
    <w:abstractNumId w:val="6"/>
  </w:num>
  <w:num w:numId="26" w16cid:durableId="1798834591">
    <w:abstractNumId w:val="36"/>
  </w:num>
  <w:num w:numId="27" w16cid:durableId="1946301723">
    <w:abstractNumId w:val="8"/>
  </w:num>
  <w:num w:numId="28" w16cid:durableId="270088003">
    <w:abstractNumId w:val="26"/>
  </w:num>
  <w:num w:numId="29" w16cid:durableId="1447890872">
    <w:abstractNumId w:val="20"/>
  </w:num>
  <w:num w:numId="30" w16cid:durableId="289367115">
    <w:abstractNumId w:val="27"/>
  </w:num>
  <w:num w:numId="31" w16cid:durableId="17924772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1045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8918716">
    <w:abstractNumId w:val="24"/>
  </w:num>
  <w:num w:numId="34" w16cid:durableId="1999115735">
    <w:abstractNumId w:val="32"/>
  </w:num>
  <w:num w:numId="35" w16cid:durableId="1730304068">
    <w:abstractNumId w:val="33"/>
  </w:num>
  <w:num w:numId="36" w16cid:durableId="1368600413">
    <w:abstractNumId w:val="21"/>
  </w:num>
  <w:num w:numId="37" w16cid:durableId="25579616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740E"/>
    <w:rsid w:val="0003782D"/>
    <w:rsid w:val="000410E6"/>
    <w:rsid w:val="0004134C"/>
    <w:rsid w:val="000426D2"/>
    <w:rsid w:val="00050E2E"/>
    <w:rsid w:val="0005769F"/>
    <w:rsid w:val="00057905"/>
    <w:rsid w:val="000602BA"/>
    <w:rsid w:val="00061123"/>
    <w:rsid w:val="00064936"/>
    <w:rsid w:val="00067A48"/>
    <w:rsid w:val="000709AA"/>
    <w:rsid w:val="0007157F"/>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8DB"/>
    <w:rsid w:val="000C4A35"/>
    <w:rsid w:val="000C567D"/>
    <w:rsid w:val="000C743D"/>
    <w:rsid w:val="000C7D5D"/>
    <w:rsid w:val="000D04D2"/>
    <w:rsid w:val="000D0539"/>
    <w:rsid w:val="000D1EFD"/>
    <w:rsid w:val="000D257F"/>
    <w:rsid w:val="000D392E"/>
    <w:rsid w:val="000D3AD3"/>
    <w:rsid w:val="000D46ED"/>
    <w:rsid w:val="000D6774"/>
    <w:rsid w:val="000D7457"/>
    <w:rsid w:val="000D7CC0"/>
    <w:rsid w:val="000E1C4F"/>
    <w:rsid w:val="000E3169"/>
    <w:rsid w:val="000F3B49"/>
    <w:rsid w:val="000F40B6"/>
    <w:rsid w:val="000F4583"/>
    <w:rsid w:val="000F4AC1"/>
    <w:rsid w:val="000F562C"/>
    <w:rsid w:val="000F6219"/>
    <w:rsid w:val="000F6E36"/>
    <w:rsid w:val="00102110"/>
    <w:rsid w:val="001028BD"/>
    <w:rsid w:val="001055EA"/>
    <w:rsid w:val="00105B6E"/>
    <w:rsid w:val="001061B1"/>
    <w:rsid w:val="001065C6"/>
    <w:rsid w:val="0011010D"/>
    <w:rsid w:val="001135C1"/>
    <w:rsid w:val="001150A1"/>
    <w:rsid w:val="00115992"/>
    <w:rsid w:val="001162C4"/>
    <w:rsid w:val="00116C35"/>
    <w:rsid w:val="001174B4"/>
    <w:rsid w:val="001202AB"/>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36BC8"/>
    <w:rsid w:val="001418BD"/>
    <w:rsid w:val="00141BAD"/>
    <w:rsid w:val="001425CB"/>
    <w:rsid w:val="001434E7"/>
    <w:rsid w:val="001479C0"/>
    <w:rsid w:val="00147F25"/>
    <w:rsid w:val="001502AB"/>
    <w:rsid w:val="001507E8"/>
    <w:rsid w:val="00150ADA"/>
    <w:rsid w:val="0015197F"/>
    <w:rsid w:val="00153139"/>
    <w:rsid w:val="001548D6"/>
    <w:rsid w:val="001558BD"/>
    <w:rsid w:val="00155BD1"/>
    <w:rsid w:val="00156343"/>
    <w:rsid w:val="001566D4"/>
    <w:rsid w:val="001578F5"/>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2F42"/>
    <w:rsid w:val="001F3444"/>
    <w:rsid w:val="001F38E7"/>
    <w:rsid w:val="001F5043"/>
    <w:rsid w:val="001F5610"/>
    <w:rsid w:val="001F6FD5"/>
    <w:rsid w:val="00200E63"/>
    <w:rsid w:val="002019AA"/>
    <w:rsid w:val="00201E87"/>
    <w:rsid w:val="002025F4"/>
    <w:rsid w:val="00203520"/>
    <w:rsid w:val="00203EED"/>
    <w:rsid w:val="00203F8C"/>
    <w:rsid w:val="00204DE3"/>
    <w:rsid w:val="0020570E"/>
    <w:rsid w:val="0020727C"/>
    <w:rsid w:val="002075C1"/>
    <w:rsid w:val="00211CD8"/>
    <w:rsid w:val="00215D49"/>
    <w:rsid w:val="002207FA"/>
    <w:rsid w:val="002217AE"/>
    <w:rsid w:val="00223487"/>
    <w:rsid w:val="002238B8"/>
    <w:rsid w:val="00227456"/>
    <w:rsid w:val="00230985"/>
    <w:rsid w:val="00230B8F"/>
    <w:rsid w:val="002321D2"/>
    <w:rsid w:val="002374A0"/>
    <w:rsid w:val="002374EE"/>
    <w:rsid w:val="00242CCC"/>
    <w:rsid w:val="00243764"/>
    <w:rsid w:val="002475DE"/>
    <w:rsid w:val="002478A1"/>
    <w:rsid w:val="00251665"/>
    <w:rsid w:val="00252910"/>
    <w:rsid w:val="002529AD"/>
    <w:rsid w:val="00252A2A"/>
    <w:rsid w:val="00253448"/>
    <w:rsid w:val="00253A9C"/>
    <w:rsid w:val="0025520C"/>
    <w:rsid w:val="00257C2B"/>
    <w:rsid w:val="0026163E"/>
    <w:rsid w:val="00261B92"/>
    <w:rsid w:val="00261CB4"/>
    <w:rsid w:val="00261DF6"/>
    <w:rsid w:val="0026345D"/>
    <w:rsid w:val="002645F8"/>
    <w:rsid w:val="00266E26"/>
    <w:rsid w:val="00267457"/>
    <w:rsid w:val="00271E85"/>
    <w:rsid w:val="00273A4E"/>
    <w:rsid w:val="00274745"/>
    <w:rsid w:val="00274EC1"/>
    <w:rsid w:val="002754BD"/>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3A3E"/>
    <w:rsid w:val="00294C03"/>
    <w:rsid w:val="00295482"/>
    <w:rsid w:val="0029784D"/>
    <w:rsid w:val="002A02CD"/>
    <w:rsid w:val="002A376A"/>
    <w:rsid w:val="002A3A8E"/>
    <w:rsid w:val="002A5DEB"/>
    <w:rsid w:val="002A6335"/>
    <w:rsid w:val="002A6695"/>
    <w:rsid w:val="002B2FEA"/>
    <w:rsid w:val="002B5A2D"/>
    <w:rsid w:val="002B772B"/>
    <w:rsid w:val="002C061B"/>
    <w:rsid w:val="002C080E"/>
    <w:rsid w:val="002C0C3A"/>
    <w:rsid w:val="002C3C0A"/>
    <w:rsid w:val="002C4664"/>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6B7E"/>
    <w:rsid w:val="002F72B7"/>
    <w:rsid w:val="0030116D"/>
    <w:rsid w:val="00302BCB"/>
    <w:rsid w:val="003037BC"/>
    <w:rsid w:val="00303A1B"/>
    <w:rsid w:val="00303BA0"/>
    <w:rsid w:val="00304DE6"/>
    <w:rsid w:val="00306FC8"/>
    <w:rsid w:val="00310366"/>
    <w:rsid w:val="00310A3F"/>
    <w:rsid w:val="00311CAF"/>
    <w:rsid w:val="0031200F"/>
    <w:rsid w:val="00312EFE"/>
    <w:rsid w:val="003131F2"/>
    <w:rsid w:val="00313684"/>
    <w:rsid w:val="00314919"/>
    <w:rsid w:val="003155C2"/>
    <w:rsid w:val="00316458"/>
    <w:rsid w:val="00320109"/>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05F5"/>
    <w:rsid w:val="00341669"/>
    <w:rsid w:val="00342465"/>
    <w:rsid w:val="003457C2"/>
    <w:rsid w:val="00345E3B"/>
    <w:rsid w:val="00353296"/>
    <w:rsid w:val="0035368D"/>
    <w:rsid w:val="00354255"/>
    <w:rsid w:val="00354FD0"/>
    <w:rsid w:val="00355D05"/>
    <w:rsid w:val="00356E1B"/>
    <w:rsid w:val="003602C9"/>
    <w:rsid w:val="0036042F"/>
    <w:rsid w:val="003657F4"/>
    <w:rsid w:val="003663BF"/>
    <w:rsid w:val="00366BB8"/>
    <w:rsid w:val="00366D05"/>
    <w:rsid w:val="0036736E"/>
    <w:rsid w:val="00376326"/>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47B0"/>
    <w:rsid w:val="003B5A66"/>
    <w:rsid w:val="003B6E04"/>
    <w:rsid w:val="003B6F0C"/>
    <w:rsid w:val="003C13CD"/>
    <w:rsid w:val="003C28F2"/>
    <w:rsid w:val="003C331A"/>
    <w:rsid w:val="003C5615"/>
    <w:rsid w:val="003C5F59"/>
    <w:rsid w:val="003C5FE0"/>
    <w:rsid w:val="003C7338"/>
    <w:rsid w:val="003D0D51"/>
    <w:rsid w:val="003D1DC8"/>
    <w:rsid w:val="003D25DC"/>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241"/>
    <w:rsid w:val="004475C6"/>
    <w:rsid w:val="004479B9"/>
    <w:rsid w:val="0045046D"/>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F95"/>
    <w:rsid w:val="00484E27"/>
    <w:rsid w:val="0048755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D8F"/>
    <w:rsid w:val="004D243B"/>
    <w:rsid w:val="004D4585"/>
    <w:rsid w:val="004D4D32"/>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209"/>
    <w:rsid w:val="0051229A"/>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0F1F"/>
    <w:rsid w:val="0053198B"/>
    <w:rsid w:val="00531A8A"/>
    <w:rsid w:val="00535765"/>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0AEA"/>
    <w:rsid w:val="00572946"/>
    <w:rsid w:val="005732F8"/>
    <w:rsid w:val="00580345"/>
    <w:rsid w:val="005816DE"/>
    <w:rsid w:val="00582FC0"/>
    <w:rsid w:val="00585C29"/>
    <w:rsid w:val="005867A9"/>
    <w:rsid w:val="0058767A"/>
    <w:rsid w:val="00590FB7"/>
    <w:rsid w:val="005914EE"/>
    <w:rsid w:val="00595FCC"/>
    <w:rsid w:val="005A0A77"/>
    <w:rsid w:val="005A381E"/>
    <w:rsid w:val="005A39F4"/>
    <w:rsid w:val="005A79D9"/>
    <w:rsid w:val="005A7C36"/>
    <w:rsid w:val="005A7F41"/>
    <w:rsid w:val="005B0203"/>
    <w:rsid w:val="005B142C"/>
    <w:rsid w:val="005B21C9"/>
    <w:rsid w:val="005B6BFA"/>
    <w:rsid w:val="005C03D2"/>
    <w:rsid w:val="005C20B7"/>
    <w:rsid w:val="005C3BAC"/>
    <w:rsid w:val="005C43CB"/>
    <w:rsid w:val="005C4598"/>
    <w:rsid w:val="005C4872"/>
    <w:rsid w:val="005C4CCD"/>
    <w:rsid w:val="005C6174"/>
    <w:rsid w:val="005C690F"/>
    <w:rsid w:val="005C6E2D"/>
    <w:rsid w:val="005C742E"/>
    <w:rsid w:val="005C757F"/>
    <w:rsid w:val="005D1E83"/>
    <w:rsid w:val="005D2071"/>
    <w:rsid w:val="005D22D8"/>
    <w:rsid w:val="005D31EC"/>
    <w:rsid w:val="005D38F1"/>
    <w:rsid w:val="005D3E27"/>
    <w:rsid w:val="005D4959"/>
    <w:rsid w:val="005D53B0"/>
    <w:rsid w:val="005D70AC"/>
    <w:rsid w:val="005D7325"/>
    <w:rsid w:val="005D73EF"/>
    <w:rsid w:val="005E0BD4"/>
    <w:rsid w:val="005E16CC"/>
    <w:rsid w:val="005E380A"/>
    <w:rsid w:val="005F199D"/>
    <w:rsid w:val="005F2EFC"/>
    <w:rsid w:val="005F36FE"/>
    <w:rsid w:val="005F38B6"/>
    <w:rsid w:val="005F4B93"/>
    <w:rsid w:val="005F5498"/>
    <w:rsid w:val="005F773E"/>
    <w:rsid w:val="005F785A"/>
    <w:rsid w:val="00600A20"/>
    <w:rsid w:val="00601E94"/>
    <w:rsid w:val="0060286E"/>
    <w:rsid w:val="00602E5C"/>
    <w:rsid w:val="006033D0"/>
    <w:rsid w:val="006037C1"/>
    <w:rsid w:val="00604A86"/>
    <w:rsid w:val="006059DA"/>
    <w:rsid w:val="00606B1A"/>
    <w:rsid w:val="00611A0B"/>
    <w:rsid w:val="0061303E"/>
    <w:rsid w:val="006206A1"/>
    <w:rsid w:val="006207EF"/>
    <w:rsid w:val="00621F2D"/>
    <w:rsid w:val="00622401"/>
    <w:rsid w:val="00622CFB"/>
    <w:rsid w:val="006241B8"/>
    <w:rsid w:val="006242F2"/>
    <w:rsid w:val="0062436D"/>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060"/>
    <w:rsid w:val="00690202"/>
    <w:rsid w:val="0069037C"/>
    <w:rsid w:val="00692763"/>
    <w:rsid w:val="00692CEE"/>
    <w:rsid w:val="00694971"/>
    <w:rsid w:val="0069657C"/>
    <w:rsid w:val="006A0CDD"/>
    <w:rsid w:val="006A40F4"/>
    <w:rsid w:val="006B0607"/>
    <w:rsid w:val="006B083B"/>
    <w:rsid w:val="006B218E"/>
    <w:rsid w:val="006B3839"/>
    <w:rsid w:val="006B40EF"/>
    <w:rsid w:val="006B4C0B"/>
    <w:rsid w:val="006B634B"/>
    <w:rsid w:val="006C0BD7"/>
    <w:rsid w:val="006C177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6B82"/>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0A55"/>
    <w:rsid w:val="00721FC8"/>
    <w:rsid w:val="007248C4"/>
    <w:rsid w:val="007279D2"/>
    <w:rsid w:val="0073003B"/>
    <w:rsid w:val="00730D6D"/>
    <w:rsid w:val="00731FB9"/>
    <w:rsid w:val="007331D2"/>
    <w:rsid w:val="0073611B"/>
    <w:rsid w:val="00736B03"/>
    <w:rsid w:val="00736E1C"/>
    <w:rsid w:val="00740736"/>
    <w:rsid w:val="00741DC7"/>
    <w:rsid w:val="007428C7"/>
    <w:rsid w:val="00743915"/>
    <w:rsid w:val="0074523A"/>
    <w:rsid w:val="00747CDF"/>
    <w:rsid w:val="00750CF0"/>
    <w:rsid w:val="00751A94"/>
    <w:rsid w:val="00754B31"/>
    <w:rsid w:val="0076162A"/>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776"/>
    <w:rsid w:val="00784CEA"/>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9ED"/>
    <w:rsid w:val="007B6F45"/>
    <w:rsid w:val="007C02D1"/>
    <w:rsid w:val="007C4D4E"/>
    <w:rsid w:val="007C636E"/>
    <w:rsid w:val="007C76F2"/>
    <w:rsid w:val="007C7BAF"/>
    <w:rsid w:val="007C7F1F"/>
    <w:rsid w:val="007D04B8"/>
    <w:rsid w:val="007D086D"/>
    <w:rsid w:val="007D354B"/>
    <w:rsid w:val="007D6307"/>
    <w:rsid w:val="007D658D"/>
    <w:rsid w:val="007E0603"/>
    <w:rsid w:val="007E172B"/>
    <w:rsid w:val="007E1EF5"/>
    <w:rsid w:val="007E25E4"/>
    <w:rsid w:val="007E56C0"/>
    <w:rsid w:val="007E5FB2"/>
    <w:rsid w:val="007E6087"/>
    <w:rsid w:val="007E6354"/>
    <w:rsid w:val="007E64DE"/>
    <w:rsid w:val="007E6532"/>
    <w:rsid w:val="007E65E1"/>
    <w:rsid w:val="007E79A0"/>
    <w:rsid w:val="007E7B3F"/>
    <w:rsid w:val="007E7D61"/>
    <w:rsid w:val="007F090C"/>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49E4"/>
    <w:rsid w:val="008473B9"/>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2A4"/>
    <w:rsid w:val="00877B42"/>
    <w:rsid w:val="00877D7C"/>
    <w:rsid w:val="00881288"/>
    <w:rsid w:val="0088400C"/>
    <w:rsid w:val="00884148"/>
    <w:rsid w:val="00884812"/>
    <w:rsid w:val="00884B61"/>
    <w:rsid w:val="008870EB"/>
    <w:rsid w:val="008932E1"/>
    <w:rsid w:val="00894181"/>
    <w:rsid w:val="008956AA"/>
    <w:rsid w:val="00897A05"/>
    <w:rsid w:val="008A0C5A"/>
    <w:rsid w:val="008A1159"/>
    <w:rsid w:val="008A1573"/>
    <w:rsid w:val="008A233A"/>
    <w:rsid w:val="008A460F"/>
    <w:rsid w:val="008A519E"/>
    <w:rsid w:val="008A60AE"/>
    <w:rsid w:val="008A64DD"/>
    <w:rsid w:val="008A756A"/>
    <w:rsid w:val="008A78EA"/>
    <w:rsid w:val="008B21BC"/>
    <w:rsid w:val="008B270A"/>
    <w:rsid w:val="008B4F0B"/>
    <w:rsid w:val="008B5C71"/>
    <w:rsid w:val="008B731F"/>
    <w:rsid w:val="008B7D4E"/>
    <w:rsid w:val="008C1B03"/>
    <w:rsid w:val="008C1F18"/>
    <w:rsid w:val="008C266D"/>
    <w:rsid w:val="008C37E8"/>
    <w:rsid w:val="008C40B1"/>
    <w:rsid w:val="008C584E"/>
    <w:rsid w:val="008C6441"/>
    <w:rsid w:val="008D28E1"/>
    <w:rsid w:val="008D3B3F"/>
    <w:rsid w:val="008D43A8"/>
    <w:rsid w:val="008D46FC"/>
    <w:rsid w:val="008D58F4"/>
    <w:rsid w:val="008D7C22"/>
    <w:rsid w:val="008E0704"/>
    <w:rsid w:val="008E0D53"/>
    <w:rsid w:val="008E0DC4"/>
    <w:rsid w:val="008E5041"/>
    <w:rsid w:val="008E5E71"/>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C81"/>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1E7F"/>
    <w:rsid w:val="00962521"/>
    <w:rsid w:val="00962C51"/>
    <w:rsid w:val="00963E6F"/>
    <w:rsid w:val="009643D0"/>
    <w:rsid w:val="009644D7"/>
    <w:rsid w:val="00965741"/>
    <w:rsid w:val="0096639A"/>
    <w:rsid w:val="00966606"/>
    <w:rsid w:val="00966BF0"/>
    <w:rsid w:val="00972243"/>
    <w:rsid w:val="009739BA"/>
    <w:rsid w:val="00973A33"/>
    <w:rsid w:val="009750E8"/>
    <w:rsid w:val="0097583D"/>
    <w:rsid w:val="00976AE9"/>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A8E"/>
    <w:rsid w:val="009A659C"/>
    <w:rsid w:val="009A7110"/>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E6A6D"/>
    <w:rsid w:val="009F2202"/>
    <w:rsid w:val="009F3790"/>
    <w:rsid w:val="009F39DF"/>
    <w:rsid w:val="009F6813"/>
    <w:rsid w:val="00A02DDB"/>
    <w:rsid w:val="00A03F8F"/>
    <w:rsid w:val="00A042BC"/>
    <w:rsid w:val="00A045F2"/>
    <w:rsid w:val="00A04F3B"/>
    <w:rsid w:val="00A065C8"/>
    <w:rsid w:val="00A071E9"/>
    <w:rsid w:val="00A10DA3"/>
    <w:rsid w:val="00A1369B"/>
    <w:rsid w:val="00A1415D"/>
    <w:rsid w:val="00A15402"/>
    <w:rsid w:val="00A16D8E"/>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01A"/>
    <w:rsid w:val="00A538A9"/>
    <w:rsid w:val="00A54AEE"/>
    <w:rsid w:val="00A55E82"/>
    <w:rsid w:val="00A56228"/>
    <w:rsid w:val="00A576F9"/>
    <w:rsid w:val="00A60433"/>
    <w:rsid w:val="00A60BDF"/>
    <w:rsid w:val="00A620E2"/>
    <w:rsid w:val="00A63444"/>
    <w:rsid w:val="00A63E30"/>
    <w:rsid w:val="00A6488A"/>
    <w:rsid w:val="00A660B5"/>
    <w:rsid w:val="00A6674B"/>
    <w:rsid w:val="00A71C66"/>
    <w:rsid w:val="00A73E9A"/>
    <w:rsid w:val="00A746A3"/>
    <w:rsid w:val="00A7487F"/>
    <w:rsid w:val="00A753B3"/>
    <w:rsid w:val="00A75C5D"/>
    <w:rsid w:val="00A7749F"/>
    <w:rsid w:val="00A805B7"/>
    <w:rsid w:val="00A83160"/>
    <w:rsid w:val="00A8342D"/>
    <w:rsid w:val="00A84E9B"/>
    <w:rsid w:val="00A85D07"/>
    <w:rsid w:val="00A87D25"/>
    <w:rsid w:val="00A87E91"/>
    <w:rsid w:val="00A915DD"/>
    <w:rsid w:val="00A9286C"/>
    <w:rsid w:val="00A94490"/>
    <w:rsid w:val="00A95E07"/>
    <w:rsid w:val="00A96A4E"/>
    <w:rsid w:val="00AA1ECD"/>
    <w:rsid w:val="00AA21E0"/>
    <w:rsid w:val="00AA345B"/>
    <w:rsid w:val="00AA3CD8"/>
    <w:rsid w:val="00AA556D"/>
    <w:rsid w:val="00AA6BA1"/>
    <w:rsid w:val="00AB0BA1"/>
    <w:rsid w:val="00AB1C9F"/>
    <w:rsid w:val="00AB328F"/>
    <w:rsid w:val="00AB3C8D"/>
    <w:rsid w:val="00AB4AC2"/>
    <w:rsid w:val="00AB4F34"/>
    <w:rsid w:val="00AB51A8"/>
    <w:rsid w:val="00AC0AE0"/>
    <w:rsid w:val="00AC45E1"/>
    <w:rsid w:val="00AC4EC9"/>
    <w:rsid w:val="00AC5582"/>
    <w:rsid w:val="00AC5D01"/>
    <w:rsid w:val="00AC6629"/>
    <w:rsid w:val="00AC70CA"/>
    <w:rsid w:val="00AC7111"/>
    <w:rsid w:val="00AC7443"/>
    <w:rsid w:val="00AD1055"/>
    <w:rsid w:val="00AD3E0D"/>
    <w:rsid w:val="00AD468B"/>
    <w:rsid w:val="00AD4F7B"/>
    <w:rsid w:val="00AD7046"/>
    <w:rsid w:val="00AD7954"/>
    <w:rsid w:val="00AE0F80"/>
    <w:rsid w:val="00AE23FB"/>
    <w:rsid w:val="00AE256C"/>
    <w:rsid w:val="00AE39F4"/>
    <w:rsid w:val="00AE4EB7"/>
    <w:rsid w:val="00AE5058"/>
    <w:rsid w:val="00AE6691"/>
    <w:rsid w:val="00AE73C9"/>
    <w:rsid w:val="00AE7A85"/>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9C3"/>
    <w:rsid w:val="00B17B55"/>
    <w:rsid w:val="00B20814"/>
    <w:rsid w:val="00B22A17"/>
    <w:rsid w:val="00B22B9F"/>
    <w:rsid w:val="00B22F78"/>
    <w:rsid w:val="00B247CD"/>
    <w:rsid w:val="00B2667E"/>
    <w:rsid w:val="00B27131"/>
    <w:rsid w:val="00B27951"/>
    <w:rsid w:val="00B31892"/>
    <w:rsid w:val="00B32602"/>
    <w:rsid w:val="00B32689"/>
    <w:rsid w:val="00B331EC"/>
    <w:rsid w:val="00B35DA2"/>
    <w:rsid w:val="00B35F83"/>
    <w:rsid w:val="00B36A30"/>
    <w:rsid w:val="00B37A6D"/>
    <w:rsid w:val="00B404DC"/>
    <w:rsid w:val="00B418F0"/>
    <w:rsid w:val="00B42F31"/>
    <w:rsid w:val="00B43C12"/>
    <w:rsid w:val="00B43D92"/>
    <w:rsid w:val="00B51050"/>
    <w:rsid w:val="00B5179E"/>
    <w:rsid w:val="00B520EF"/>
    <w:rsid w:val="00B52CAD"/>
    <w:rsid w:val="00B53EAF"/>
    <w:rsid w:val="00B5524F"/>
    <w:rsid w:val="00B554D6"/>
    <w:rsid w:val="00B62EF5"/>
    <w:rsid w:val="00B6454E"/>
    <w:rsid w:val="00B65BCA"/>
    <w:rsid w:val="00B6639B"/>
    <w:rsid w:val="00B66F84"/>
    <w:rsid w:val="00B675A3"/>
    <w:rsid w:val="00B67947"/>
    <w:rsid w:val="00B7570D"/>
    <w:rsid w:val="00B75C77"/>
    <w:rsid w:val="00B7669B"/>
    <w:rsid w:val="00B80E36"/>
    <w:rsid w:val="00B83D05"/>
    <w:rsid w:val="00B84F6E"/>
    <w:rsid w:val="00B859EC"/>
    <w:rsid w:val="00B87AFC"/>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D73"/>
    <w:rsid w:val="00BD2771"/>
    <w:rsid w:val="00BD2C1B"/>
    <w:rsid w:val="00BD35AA"/>
    <w:rsid w:val="00BD3C78"/>
    <w:rsid w:val="00BD3C86"/>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0AA3"/>
    <w:rsid w:val="00C11279"/>
    <w:rsid w:val="00C11A18"/>
    <w:rsid w:val="00C12B98"/>
    <w:rsid w:val="00C13A67"/>
    <w:rsid w:val="00C13CD5"/>
    <w:rsid w:val="00C14481"/>
    <w:rsid w:val="00C157A7"/>
    <w:rsid w:val="00C16735"/>
    <w:rsid w:val="00C175A7"/>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34"/>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68FF"/>
    <w:rsid w:val="00C97FC1"/>
    <w:rsid w:val="00CA45CB"/>
    <w:rsid w:val="00CA4C3A"/>
    <w:rsid w:val="00CA4E57"/>
    <w:rsid w:val="00CA7AA6"/>
    <w:rsid w:val="00CA7ADA"/>
    <w:rsid w:val="00CA7C07"/>
    <w:rsid w:val="00CA7EAE"/>
    <w:rsid w:val="00CA7F1D"/>
    <w:rsid w:val="00CB1204"/>
    <w:rsid w:val="00CB19C6"/>
    <w:rsid w:val="00CB5C38"/>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305D"/>
    <w:rsid w:val="00D1318A"/>
    <w:rsid w:val="00D13CEA"/>
    <w:rsid w:val="00D13F20"/>
    <w:rsid w:val="00D144B1"/>
    <w:rsid w:val="00D15014"/>
    <w:rsid w:val="00D15AA1"/>
    <w:rsid w:val="00D164BC"/>
    <w:rsid w:val="00D17468"/>
    <w:rsid w:val="00D203E4"/>
    <w:rsid w:val="00D21713"/>
    <w:rsid w:val="00D23481"/>
    <w:rsid w:val="00D25C63"/>
    <w:rsid w:val="00D279F0"/>
    <w:rsid w:val="00D3496C"/>
    <w:rsid w:val="00D36A13"/>
    <w:rsid w:val="00D36A9F"/>
    <w:rsid w:val="00D42E23"/>
    <w:rsid w:val="00D43A3A"/>
    <w:rsid w:val="00D44453"/>
    <w:rsid w:val="00D466A8"/>
    <w:rsid w:val="00D46E14"/>
    <w:rsid w:val="00D47418"/>
    <w:rsid w:val="00D474D0"/>
    <w:rsid w:val="00D51004"/>
    <w:rsid w:val="00D5128D"/>
    <w:rsid w:val="00D52E5B"/>
    <w:rsid w:val="00D52EC1"/>
    <w:rsid w:val="00D55A56"/>
    <w:rsid w:val="00D579E6"/>
    <w:rsid w:val="00D606A4"/>
    <w:rsid w:val="00D61CB8"/>
    <w:rsid w:val="00D61FF9"/>
    <w:rsid w:val="00D62480"/>
    <w:rsid w:val="00D629E3"/>
    <w:rsid w:val="00D64273"/>
    <w:rsid w:val="00D64B8A"/>
    <w:rsid w:val="00D64C4F"/>
    <w:rsid w:val="00D65180"/>
    <w:rsid w:val="00D66DDB"/>
    <w:rsid w:val="00D70766"/>
    <w:rsid w:val="00D708AE"/>
    <w:rsid w:val="00D71C46"/>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13D"/>
    <w:rsid w:val="00DA4E7C"/>
    <w:rsid w:val="00DB271D"/>
    <w:rsid w:val="00DB277C"/>
    <w:rsid w:val="00DB3FB8"/>
    <w:rsid w:val="00DB5A7F"/>
    <w:rsid w:val="00DB7DC5"/>
    <w:rsid w:val="00DC0C32"/>
    <w:rsid w:val="00DC175C"/>
    <w:rsid w:val="00DC1DC5"/>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277D"/>
    <w:rsid w:val="00DF34EC"/>
    <w:rsid w:val="00DF37DE"/>
    <w:rsid w:val="00DF43D9"/>
    <w:rsid w:val="00DF57E1"/>
    <w:rsid w:val="00DF59CE"/>
    <w:rsid w:val="00DF60BC"/>
    <w:rsid w:val="00DF7F84"/>
    <w:rsid w:val="00E00BC4"/>
    <w:rsid w:val="00E022A1"/>
    <w:rsid w:val="00E0245B"/>
    <w:rsid w:val="00E02A52"/>
    <w:rsid w:val="00E0447A"/>
    <w:rsid w:val="00E052B8"/>
    <w:rsid w:val="00E10780"/>
    <w:rsid w:val="00E11168"/>
    <w:rsid w:val="00E12243"/>
    <w:rsid w:val="00E12804"/>
    <w:rsid w:val="00E134FA"/>
    <w:rsid w:val="00E14594"/>
    <w:rsid w:val="00E14735"/>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2AFB"/>
    <w:rsid w:val="00E638C3"/>
    <w:rsid w:val="00E645AB"/>
    <w:rsid w:val="00E64BEF"/>
    <w:rsid w:val="00E64E18"/>
    <w:rsid w:val="00E66BEB"/>
    <w:rsid w:val="00E6707F"/>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4041"/>
    <w:rsid w:val="00EA5AC2"/>
    <w:rsid w:val="00EB020F"/>
    <w:rsid w:val="00EB1470"/>
    <w:rsid w:val="00EB2119"/>
    <w:rsid w:val="00EB33A4"/>
    <w:rsid w:val="00EB386A"/>
    <w:rsid w:val="00EB3E63"/>
    <w:rsid w:val="00EB6216"/>
    <w:rsid w:val="00EB67C3"/>
    <w:rsid w:val="00EB6CF0"/>
    <w:rsid w:val="00EB6DC9"/>
    <w:rsid w:val="00EB726D"/>
    <w:rsid w:val="00EC1274"/>
    <w:rsid w:val="00EC1B9A"/>
    <w:rsid w:val="00EC285A"/>
    <w:rsid w:val="00EC3047"/>
    <w:rsid w:val="00EC4067"/>
    <w:rsid w:val="00EC4902"/>
    <w:rsid w:val="00EC4F2E"/>
    <w:rsid w:val="00EC5C68"/>
    <w:rsid w:val="00EC6180"/>
    <w:rsid w:val="00EC6576"/>
    <w:rsid w:val="00EC7CBF"/>
    <w:rsid w:val="00ED0CC0"/>
    <w:rsid w:val="00ED3627"/>
    <w:rsid w:val="00ED37B8"/>
    <w:rsid w:val="00ED3C94"/>
    <w:rsid w:val="00ED3D8B"/>
    <w:rsid w:val="00ED4E9B"/>
    <w:rsid w:val="00ED5B5F"/>
    <w:rsid w:val="00ED67BB"/>
    <w:rsid w:val="00ED6859"/>
    <w:rsid w:val="00EE0F64"/>
    <w:rsid w:val="00EE1006"/>
    <w:rsid w:val="00EE1B70"/>
    <w:rsid w:val="00EE3EC4"/>
    <w:rsid w:val="00EE53C1"/>
    <w:rsid w:val="00EF0C39"/>
    <w:rsid w:val="00EF36E1"/>
    <w:rsid w:val="00EF6C8B"/>
    <w:rsid w:val="00EF7458"/>
    <w:rsid w:val="00F01CE1"/>
    <w:rsid w:val="00F028A5"/>
    <w:rsid w:val="00F02ACE"/>
    <w:rsid w:val="00F03463"/>
    <w:rsid w:val="00F03E2D"/>
    <w:rsid w:val="00F05082"/>
    <w:rsid w:val="00F056AD"/>
    <w:rsid w:val="00F06AF6"/>
    <w:rsid w:val="00F104DF"/>
    <w:rsid w:val="00F10AC0"/>
    <w:rsid w:val="00F1255F"/>
    <w:rsid w:val="00F1561E"/>
    <w:rsid w:val="00F16F36"/>
    <w:rsid w:val="00F17142"/>
    <w:rsid w:val="00F20567"/>
    <w:rsid w:val="00F21BA6"/>
    <w:rsid w:val="00F25709"/>
    <w:rsid w:val="00F26C65"/>
    <w:rsid w:val="00F316B5"/>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2A4"/>
    <w:rsid w:val="00F71565"/>
    <w:rsid w:val="00F7237E"/>
    <w:rsid w:val="00F73D29"/>
    <w:rsid w:val="00F74C18"/>
    <w:rsid w:val="00F7642B"/>
    <w:rsid w:val="00F80790"/>
    <w:rsid w:val="00F8257C"/>
    <w:rsid w:val="00F84FFC"/>
    <w:rsid w:val="00F8788F"/>
    <w:rsid w:val="00F87926"/>
    <w:rsid w:val="00F908B7"/>
    <w:rsid w:val="00F91851"/>
    <w:rsid w:val="00F933B4"/>
    <w:rsid w:val="00F936DE"/>
    <w:rsid w:val="00F93F64"/>
    <w:rsid w:val="00F94A84"/>
    <w:rsid w:val="00F955F5"/>
    <w:rsid w:val="00FA03D1"/>
    <w:rsid w:val="00FA2ED3"/>
    <w:rsid w:val="00FA36A3"/>
    <w:rsid w:val="00FA3A0C"/>
    <w:rsid w:val="00FA3EA6"/>
    <w:rsid w:val="00FA6B8E"/>
    <w:rsid w:val="00FA7206"/>
    <w:rsid w:val="00FB0D59"/>
    <w:rsid w:val="00FB1BAA"/>
    <w:rsid w:val="00FB1BCD"/>
    <w:rsid w:val="00FB1D33"/>
    <w:rsid w:val="00FB628E"/>
    <w:rsid w:val="00FB7C3A"/>
    <w:rsid w:val="00FB7E68"/>
    <w:rsid w:val="00FC01D5"/>
    <w:rsid w:val="00FC2034"/>
    <w:rsid w:val="00FC387F"/>
    <w:rsid w:val="00FC48F9"/>
    <w:rsid w:val="00FC6F1F"/>
    <w:rsid w:val="00FC7236"/>
    <w:rsid w:val="00FC74A2"/>
    <w:rsid w:val="00FD06A0"/>
    <w:rsid w:val="00FD34DC"/>
    <w:rsid w:val="00FD3D7D"/>
    <w:rsid w:val="00FD5141"/>
    <w:rsid w:val="00FD5CCF"/>
    <w:rsid w:val="00FD667D"/>
    <w:rsid w:val="00FE58DC"/>
    <w:rsid w:val="00FE609B"/>
    <w:rsid w:val="00FE62B8"/>
    <w:rsid w:val="00FE7308"/>
    <w:rsid w:val="00FE77B0"/>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1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446000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tmp"/><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artados.hacienda.gob.mx/contabilidad/documentos/informe_cuenta/1998/cuenta_p&#250;blica/Glosario/n.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nsparenciapresupuestaria.gob.mx/es/PTP/Glosari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pomex.org.mx/ipomex/"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image" Target="media/image2.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70E5330B-3C3E-41C9-989A-53E3125FD2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11592</Words>
  <Characters>62719</Characters>
  <Application>Microsoft Office Word</Application>
  <DocSecurity>0</DocSecurity>
  <Lines>1229</Lines>
  <Paragraphs>323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2025-12-05T05:40:00Z</cp:lastPrinted>
  <dcterms:created xsi:type="dcterms:W3CDTF">2025-12-05T05:40:00Z</dcterms:created>
  <dcterms:modified xsi:type="dcterms:W3CDTF">2025-12-05T05:40:00Z</dcterms:modified>
</cp:coreProperties>
</file>