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0D63" w14:textId="77777777" w:rsidR="00026BE2" w:rsidRPr="00B0209B" w:rsidRDefault="00026BE2" w:rsidP="00026BE2">
      <w:pPr>
        <w:spacing w:before="120" w:after="0" w:line="360" w:lineRule="auto"/>
        <w:ind w:right="49"/>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Resolución del Pleno del Instituto de Transparencia, Acceso a la Información Pública y Protección de Datos Personales del Estado de México y Municipios, con domicilio en Metepec, Estado de México, a </w:t>
      </w:r>
      <w:r w:rsidR="00531E65" w:rsidRPr="00B0209B">
        <w:rPr>
          <w:rFonts w:ascii="Palatino Linotype" w:eastAsia="Palatino Linotype" w:hAnsi="Palatino Linotype" w:cs="Palatino Linotype"/>
          <w:sz w:val="24"/>
          <w:szCs w:val="24"/>
        </w:rPr>
        <w:t>doce</w:t>
      </w:r>
      <w:r w:rsidRPr="00B0209B">
        <w:rPr>
          <w:rFonts w:ascii="Palatino Linotype" w:eastAsia="Palatino Linotype" w:hAnsi="Palatino Linotype" w:cs="Palatino Linotype"/>
          <w:sz w:val="24"/>
          <w:szCs w:val="24"/>
        </w:rPr>
        <w:t xml:space="preserve"> de marzo de dos mil veinticinco.</w:t>
      </w:r>
    </w:p>
    <w:p w14:paraId="1FBC680F" w14:textId="77777777" w:rsidR="00026BE2" w:rsidRPr="00B0209B" w:rsidRDefault="00026BE2" w:rsidP="00026BE2">
      <w:pPr>
        <w:tabs>
          <w:tab w:val="left" w:pos="6720"/>
          <w:tab w:val="right" w:pos="8838"/>
        </w:tabs>
        <w:spacing w:after="0" w:line="360" w:lineRule="auto"/>
        <w:jc w:val="both"/>
        <w:rPr>
          <w:rFonts w:ascii="Palatino Linotype" w:eastAsia="Palatino Linotype" w:hAnsi="Palatino Linotype" w:cs="Palatino Linotype"/>
          <w:sz w:val="24"/>
          <w:szCs w:val="24"/>
        </w:rPr>
      </w:pPr>
    </w:p>
    <w:p w14:paraId="19F0B9CE" w14:textId="5B49C804" w:rsidR="009A0DC5" w:rsidRPr="00B0209B" w:rsidRDefault="00026BE2"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Visto </w:t>
      </w:r>
      <w:r w:rsidRPr="00B0209B">
        <w:rPr>
          <w:rFonts w:ascii="Palatino Linotype" w:eastAsia="Palatino Linotype" w:hAnsi="Palatino Linotype" w:cs="Palatino Linotype"/>
          <w:sz w:val="24"/>
          <w:szCs w:val="24"/>
        </w:rPr>
        <w:t>el expediente relativo al recurso de revisión</w:t>
      </w:r>
      <w:r w:rsidRPr="00B0209B">
        <w:rPr>
          <w:rFonts w:ascii="Palatino Linotype" w:eastAsia="Palatino Linotype" w:hAnsi="Palatino Linotype" w:cs="Palatino Linotype"/>
          <w:b/>
          <w:sz w:val="24"/>
          <w:szCs w:val="24"/>
        </w:rPr>
        <w:t xml:space="preserve"> 00884/INFOEM/IP/RR/2025</w:t>
      </w:r>
      <w:r w:rsidRPr="00B0209B">
        <w:rPr>
          <w:rFonts w:ascii="Palatino Linotype" w:eastAsia="Palatino Linotype" w:hAnsi="Palatino Linotype" w:cs="Palatino Linotype"/>
          <w:sz w:val="24"/>
          <w:szCs w:val="24"/>
        </w:rPr>
        <w:t>, interpuesto por</w:t>
      </w:r>
      <w:r w:rsidRPr="00B0209B">
        <w:rPr>
          <w:rFonts w:ascii="Palatino Linotype" w:eastAsia="Palatino Linotype" w:hAnsi="Palatino Linotype" w:cs="Palatino Linotype"/>
          <w:b/>
          <w:sz w:val="24"/>
          <w:szCs w:val="24"/>
        </w:rPr>
        <w:t xml:space="preserve"> un particular de manera anónima</w:t>
      </w:r>
      <w:r w:rsidRPr="00B0209B">
        <w:rPr>
          <w:rFonts w:ascii="Palatino Linotype" w:eastAsia="Palatino Linotype" w:hAnsi="Palatino Linotype" w:cs="Palatino Linotype"/>
          <w:sz w:val="24"/>
          <w:szCs w:val="24"/>
        </w:rPr>
        <w:t xml:space="preserve">, en lo sucesivo se le denominara </w:t>
      </w:r>
      <w:r w:rsidRPr="00B0209B">
        <w:rPr>
          <w:rFonts w:ascii="Palatino Linotype" w:eastAsia="Palatino Linotype" w:hAnsi="Palatino Linotype" w:cs="Palatino Linotype"/>
          <w:b/>
          <w:sz w:val="24"/>
          <w:szCs w:val="24"/>
        </w:rPr>
        <w:t>LA PARTE RECURRENTE</w:t>
      </w:r>
      <w:r w:rsidRPr="00B0209B">
        <w:rPr>
          <w:rFonts w:ascii="Palatino Linotype" w:eastAsia="Palatino Linotype" w:hAnsi="Palatino Linotype" w:cs="Palatino Linotype"/>
          <w:sz w:val="24"/>
          <w:szCs w:val="24"/>
        </w:rPr>
        <w:t xml:space="preserve">, en contra de la respuesta a la solicitud de información con número de folio </w:t>
      </w:r>
      <w:r w:rsidRPr="00B0209B">
        <w:rPr>
          <w:rFonts w:ascii="Palatino Linotype" w:eastAsia="Palatino Linotype" w:hAnsi="Palatino Linotype" w:cs="Palatino Linotype"/>
          <w:b/>
          <w:sz w:val="24"/>
          <w:szCs w:val="24"/>
        </w:rPr>
        <w:t>00049/TOLUCA/IP/2025</w:t>
      </w:r>
      <w:r w:rsidRPr="00B0209B">
        <w:rPr>
          <w:rFonts w:ascii="Palatino Linotype" w:eastAsia="Palatino Linotype" w:hAnsi="Palatino Linotype" w:cs="Palatino Linotype"/>
          <w:sz w:val="24"/>
          <w:szCs w:val="24"/>
        </w:rPr>
        <w:t xml:space="preserve">, por parte del </w:t>
      </w:r>
      <w:r w:rsidRPr="00B0209B">
        <w:rPr>
          <w:rFonts w:ascii="Palatino Linotype" w:eastAsia="Palatino Linotype" w:hAnsi="Palatino Linotype" w:cs="Palatino Linotype"/>
          <w:b/>
          <w:sz w:val="24"/>
          <w:szCs w:val="24"/>
        </w:rPr>
        <w:t>Ayuntamiento de Toluca</w:t>
      </w:r>
      <w:r w:rsidRPr="00B0209B">
        <w:rPr>
          <w:rFonts w:ascii="Palatino Linotype" w:eastAsia="Palatino Linotype" w:hAnsi="Palatino Linotype" w:cs="Palatino Linotype"/>
          <w:sz w:val="24"/>
          <w:szCs w:val="24"/>
        </w:rPr>
        <w:t>, en lo sucesivo</w:t>
      </w:r>
      <w:r w:rsidRPr="00B0209B">
        <w:rPr>
          <w:rFonts w:ascii="Palatino Linotype" w:eastAsia="Palatino Linotype" w:hAnsi="Palatino Linotype" w:cs="Palatino Linotype"/>
          <w:b/>
          <w:sz w:val="24"/>
          <w:szCs w:val="24"/>
        </w:rPr>
        <w:t xml:space="preserve"> EL SUJETO OBLIGADO; </w:t>
      </w:r>
      <w:r w:rsidRPr="00B0209B">
        <w:rPr>
          <w:rFonts w:ascii="Palatino Linotype" w:eastAsia="Palatino Linotype" w:hAnsi="Palatino Linotype" w:cs="Palatino Linotype"/>
          <w:sz w:val="24"/>
          <w:szCs w:val="24"/>
        </w:rPr>
        <w:t xml:space="preserve">se procede a dictar la presente resolución, con base en lo siguiente.  </w:t>
      </w:r>
    </w:p>
    <w:p w14:paraId="4314C9B6" w14:textId="77777777" w:rsidR="00026BE2" w:rsidRPr="00B0209B" w:rsidRDefault="00026BE2" w:rsidP="00026BE2">
      <w:pPr>
        <w:spacing w:after="0" w:line="360" w:lineRule="auto"/>
        <w:jc w:val="both"/>
        <w:rPr>
          <w:rFonts w:ascii="Palatino Linotype" w:eastAsia="Palatino Linotype" w:hAnsi="Palatino Linotype" w:cs="Palatino Linotype"/>
          <w:sz w:val="24"/>
          <w:szCs w:val="24"/>
        </w:rPr>
      </w:pPr>
    </w:p>
    <w:p w14:paraId="0F8B1599" w14:textId="77777777" w:rsidR="00026BE2" w:rsidRPr="00B0209B" w:rsidRDefault="00026BE2" w:rsidP="00026BE2">
      <w:pPr>
        <w:spacing w:after="0" w:line="360" w:lineRule="auto"/>
        <w:ind w:right="49"/>
        <w:jc w:val="center"/>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A N T E C E D E N T E S</w:t>
      </w:r>
    </w:p>
    <w:p w14:paraId="65C85730" w14:textId="77777777" w:rsidR="00026BE2" w:rsidRPr="00B0209B" w:rsidRDefault="00026BE2" w:rsidP="00026BE2">
      <w:pPr>
        <w:spacing w:after="0" w:line="360" w:lineRule="auto"/>
        <w:jc w:val="both"/>
        <w:rPr>
          <w:rFonts w:ascii="Palatino Linotype" w:eastAsia="Palatino Linotype" w:hAnsi="Palatino Linotype" w:cs="Palatino Linotype"/>
          <w:sz w:val="24"/>
          <w:szCs w:val="24"/>
        </w:rPr>
      </w:pPr>
    </w:p>
    <w:p w14:paraId="360F9C93" w14:textId="46FBF349" w:rsidR="00236966" w:rsidRPr="00B0209B" w:rsidRDefault="00026BE2" w:rsidP="00026BE2">
      <w:pPr>
        <w:spacing w:after="0" w:line="360" w:lineRule="auto"/>
        <w:ind w:right="49"/>
        <w:jc w:val="both"/>
        <w:rPr>
          <w:rFonts w:ascii="Palatino Linotype" w:eastAsia="Palatino Linotype" w:hAnsi="Palatino Linotype" w:cs="Palatino Linotype"/>
          <w:b/>
          <w:sz w:val="24"/>
          <w:szCs w:val="24"/>
        </w:rPr>
      </w:pPr>
      <w:r w:rsidRPr="00B0209B">
        <w:rPr>
          <w:rFonts w:ascii="Palatino Linotype" w:eastAsia="Palatino Linotype" w:hAnsi="Palatino Linotype" w:cs="Palatino Linotype"/>
          <w:b/>
          <w:sz w:val="24"/>
          <w:szCs w:val="24"/>
        </w:rPr>
        <w:t>1.</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 xml:space="preserve">SOLICITUD DE INFORMACIÓN. </w:t>
      </w:r>
      <w:r w:rsidR="00236966" w:rsidRPr="00B0209B">
        <w:rPr>
          <w:rFonts w:ascii="Palatino Linotype" w:eastAsia="Palatino Linotype" w:hAnsi="Palatino Linotype" w:cs="Palatino Linotype"/>
          <w:sz w:val="24"/>
          <w:szCs w:val="24"/>
        </w:rPr>
        <w:t xml:space="preserve">Con fecha </w:t>
      </w:r>
      <w:r w:rsidR="00F85984" w:rsidRPr="00B0209B">
        <w:rPr>
          <w:rFonts w:ascii="Palatino Linotype" w:eastAsia="Palatino Linotype" w:hAnsi="Palatino Linotype" w:cs="Palatino Linotype"/>
          <w:sz w:val="24"/>
          <w:szCs w:val="24"/>
        </w:rPr>
        <w:t>trece</w:t>
      </w:r>
      <w:r w:rsidR="00236966" w:rsidRPr="00B0209B">
        <w:rPr>
          <w:rFonts w:ascii="Palatino Linotype" w:eastAsia="Palatino Linotype" w:hAnsi="Palatino Linotype" w:cs="Palatino Linotype"/>
          <w:sz w:val="24"/>
          <w:szCs w:val="24"/>
        </w:rPr>
        <w:t xml:space="preserve"> de enero de dos mil </w:t>
      </w:r>
      <w:proofErr w:type="gramStart"/>
      <w:r w:rsidR="00236966" w:rsidRPr="00B0209B">
        <w:rPr>
          <w:rFonts w:ascii="Palatino Linotype" w:eastAsia="Palatino Linotype" w:hAnsi="Palatino Linotype" w:cs="Palatino Linotype"/>
          <w:sz w:val="24"/>
          <w:szCs w:val="24"/>
        </w:rPr>
        <w:t xml:space="preserve">veinticinco,  </w:t>
      </w:r>
      <w:r w:rsidR="00236966" w:rsidRPr="00B0209B">
        <w:rPr>
          <w:rFonts w:ascii="Palatino Linotype" w:eastAsia="Palatino Linotype" w:hAnsi="Palatino Linotype" w:cs="Palatino Linotype"/>
          <w:b/>
          <w:sz w:val="24"/>
          <w:szCs w:val="24"/>
        </w:rPr>
        <w:t>LA</w:t>
      </w:r>
      <w:proofErr w:type="gramEnd"/>
      <w:r w:rsidR="00236966" w:rsidRPr="00B0209B">
        <w:rPr>
          <w:rFonts w:ascii="Palatino Linotype" w:eastAsia="Palatino Linotype" w:hAnsi="Palatino Linotype" w:cs="Palatino Linotype"/>
          <w:b/>
          <w:sz w:val="24"/>
          <w:szCs w:val="24"/>
        </w:rPr>
        <w:t xml:space="preserve"> PARTE RECURRENTE</w:t>
      </w:r>
      <w:r w:rsidR="00236966" w:rsidRPr="00B0209B">
        <w:rPr>
          <w:rFonts w:ascii="Palatino Linotype" w:eastAsia="Palatino Linotype" w:hAnsi="Palatino Linotype" w:cs="Palatino Linotype"/>
          <w:sz w:val="24"/>
          <w:szCs w:val="24"/>
        </w:rPr>
        <w:t xml:space="preserve"> formuló una solicitud; sin embargo, al corresponder a día inhábil se tuvo por presentada el día trece de enero de dos mil veinticinco, través del Sistema de Acceso a la Información Mexiquense, en lo subsecuente el SAIMEX, ante </w:t>
      </w:r>
      <w:r w:rsidR="00236966" w:rsidRPr="00B0209B">
        <w:rPr>
          <w:rFonts w:ascii="Palatino Linotype" w:eastAsia="Palatino Linotype" w:hAnsi="Palatino Linotype" w:cs="Palatino Linotype"/>
          <w:b/>
          <w:sz w:val="24"/>
          <w:szCs w:val="24"/>
        </w:rPr>
        <w:t>EL SUJETO OBLIGADO</w:t>
      </w:r>
      <w:r w:rsidR="00236966" w:rsidRPr="00B0209B">
        <w:rPr>
          <w:rFonts w:ascii="Palatino Linotype" w:eastAsia="Palatino Linotype" w:hAnsi="Palatino Linotype" w:cs="Palatino Linotype"/>
          <w:sz w:val="24"/>
          <w:szCs w:val="24"/>
        </w:rPr>
        <w:t xml:space="preserve">, la solicitud de acceso a la información pública, a la que se le asignó el número </w:t>
      </w:r>
      <w:r w:rsidR="00236966" w:rsidRPr="00B0209B">
        <w:rPr>
          <w:rFonts w:ascii="Palatino Linotype" w:eastAsia="Palatino Linotype" w:hAnsi="Palatino Linotype" w:cs="Palatino Linotype"/>
          <w:b/>
          <w:sz w:val="24"/>
          <w:szCs w:val="24"/>
        </w:rPr>
        <w:t>00049/TOLUCA/IP/2025</w:t>
      </w:r>
      <w:r w:rsidR="00236966" w:rsidRPr="00B0209B">
        <w:rPr>
          <w:rFonts w:ascii="Palatino Linotype" w:eastAsia="Palatino Linotype" w:hAnsi="Palatino Linotype" w:cs="Palatino Linotype"/>
          <w:sz w:val="24"/>
          <w:szCs w:val="24"/>
        </w:rPr>
        <w:t>, mediante la cual requirió la información siguiente:</w:t>
      </w:r>
    </w:p>
    <w:p w14:paraId="5AA54675" w14:textId="77777777" w:rsidR="000F07C2" w:rsidRPr="00B0209B" w:rsidRDefault="000F07C2" w:rsidP="00026BE2">
      <w:pPr>
        <w:spacing w:after="0" w:line="276" w:lineRule="auto"/>
        <w:ind w:left="709" w:right="758"/>
        <w:jc w:val="both"/>
        <w:rPr>
          <w:rFonts w:ascii="Palatino Linotype" w:eastAsia="Palatino Linotype" w:hAnsi="Palatino Linotype" w:cs="Palatino Linotype"/>
          <w:i/>
        </w:rPr>
      </w:pPr>
    </w:p>
    <w:p w14:paraId="0F1F9714" w14:textId="7226EED5" w:rsidR="00026BE2" w:rsidRPr="00B0209B" w:rsidRDefault="00026BE2" w:rsidP="00026BE2">
      <w:pPr>
        <w:spacing w:after="0" w:line="276" w:lineRule="auto"/>
        <w:ind w:left="709" w:right="758"/>
        <w:jc w:val="both"/>
        <w:rPr>
          <w:rFonts w:ascii="Palatino Linotype" w:eastAsia="Palatino Linotype" w:hAnsi="Palatino Linotype" w:cs="Palatino Linotype"/>
          <w:i/>
        </w:rPr>
      </w:pPr>
      <w:bookmarkStart w:id="0" w:name="_Hlk192083665"/>
      <w:r w:rsidRPr="00B0209B">
        <w:rPr>
          <w:rFonts w:ascii="Palatino Linotype" w:eastAsia="Palatino Linotype" w:hAnsi="Palatino Linotype" w:cs="Palatino Linotype"/>
          <w:i/>
        </w:rPr>
        <w:t xml:space="preserve">“De solicita todas las claves </w:t>
      </w:r>
      <w:proofErr w:type="spellStart"/>
      <w:r w:rsidRPr="00B0209B">
        <w:rPr>
          <w:rFonts w:ascii="Palatino Linotype" w:eastAsia="Palatino Linotype" w:hAnsi="Palatino Linotype" w:cs="Palatino Linotype"/>
          <w:i/>
        </w:rPr>
        <w:t>catastarles</w:t>
      </w:r>
      <w:proofErr w:type="spellEnd"/>
      <w:r w:rsidRPr="00B0209B">
        <w:rPr>
          <w:rFonts w:ascii="Palatino Linotype" w:eastAsia="Palatino Linotype" w:hAnsi="Palatino Linotype" w:cs="Palatino Linotype"/>
          <w:i/>
        </w:rPr>
        <w:t xml:space="preserve"> con domicilio y mapas de ubicación de los inmuebles del ayuntamiento y sus escrituras qué acredite la propiedad” (Sic).</w:t>
      </w:r>
    </w:p>
    <w:bookmarkEnd w:id="0"/>
    <w:p w14:paraId="49F38400" w14:textId="77777777" w:rsidR="00026BE2" w:rsidRPr="00B0209B" w:rsidRDefault="00026BE2" w:rsidP="00026BE2">
      <w:pPr>
        <w:spacing w:after="0" w:line="276" w:lineRule="auto"/>
        <w:ind w:left="709" w:right="758"/>
        <w:jc w:val="both"/>
        <w:rPr>
          <w:rFonts w:ascii="Palatino Linotype" w:eastAsia="Palatino Linotype" w:hAnsi="Palatino Linotype" w:cs="Palatino Linotype"/>
          <w:i/>
        </w:rPr>
      </w:pPr>
    </w:p>
    <w:p w14:paraId="1E1BD483" w14:textId="77777777" w:rsidR="00026BE2" w:rsidRPr="00B0209B" w:rsidRDefault="00026BE2" w:rsidP="00026BE2">
      <w:pPr>
        <w:spacing w:after="0" w:line="360" w:lineRule="auto"/>
        <w:ind w:right="49"/>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Modalidad de entrega: A través del </w:t>
      </w:r>
      <w:r w:rsidRPr="00B0209B">
        <w:rPr>
          <w:rFonts w:ascii="Palatino Linotype" w:eastAsia="Palatino Linotype" w:hAnsi="Palatino Linotype" w:cs="Palatino Linotype"/>
          <w:b/>
          <w:sz w:val="24"/>
          <w:szCs w:val="24"/>
        </w:rPr>
        <w:t>SAIMEX</w:t>
      </w:r>
      <w:r w:rsidRPr="00B0209B">
        <w:rPr>
          <w:rFonts w:ascii="Palatino Linotype" w:eastAsia="Palatino Linotype" w:hAnsi="Palatino Linotype" w:cs="Palatino Linotype"/>
          <w:sz w:val="24"/>
          <w:szCs w:val="24"/>
        </w:rPr>
        <w:t xml:space="preserve">. </w:t>
      </w:r>
    </w:p>
    <w:p w14:paraId="1D84B5F4" w14:textId="77777777" w:rsidR="00026BE2" w:rsidRPr="00B0209B" w:rsidRDefault="00026BE2"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lastRenderedPageBreak/>
        <w:t xml:space="preserve">2. RESPUESTA.  </w:t>
      </w:r>
      <w:r w:rsidRPr="00B0209B">
        <w:rPr>
          <w:rFonts w:ascii="Palatino Linotype" w:eastAsia="Palatino Linotype" w:hAnsi="Palatino Linotype" w:cs="Palatino Linotype"/>
          <w:sz w:val="24"/>
          <w:szCs w:val="24"/>
        </w:rPr>
        <w:t>Con fecha cinco de febrero del dos mil veintic</w:t>
      </w:r>
      <w:r w:rsidR="00E23A0A" w:rsidRPr="00B0209B">
        <w:rPr>
          <w:rFonts w:ascii="Palatino Linotype" w:eastAsia="Palatino Linotype" w:hAnsi="Palatino Linotype" w:cs="Palatino Linotype"/>
          <w:sz w:val="24"/>
          <w:szCs w:val="24"/>
        </w:rPr>
        <w:t>inc</w:t>
      </w:r>
      <w:r w:rsidRPr="00B0209B">
        <w:rPr>
          <w:rFonts w:ascii="Palatino Linotype" w:eastAsia="Palatino Linotype" w:hAnsi="Palatino Linotype" w:cs="Palatino Linotype"/>
          <w:sz w:val="24"/>
          <w:szCs w:val="24"/>
        </w:rPr>
        <w:t xml:space="preserve">o, </w:t>
      </w:r>
      <w:r w:rsidRPr="00B0209B">
        <w:rPr>
          <w:rFonts w:ascii="Palatino Linotype" w:eastAsia="Palatino Linotype" w:hAnsi="Palatino Linotype" w:cs="Palatino Linotype"/>
          <w:b/>
          <w:sz w:val="24"/>
          <w:szCs w:val="24"/>
        </w:rPr>
        <w:t>EL SUJETO OBLIGADO</w:t>
      </w:r>
      <w:r w:rsidRPr="00B0209B">
        <w:rPr>
          <w:rFonts w:ascii="Palatino Linotype" w:eastAsia="Palatino Linotype" w:hAnsi="Palatino Linotype" w:cs="Palatino Linotype"/>
          <w:sz w:val="24"/>
          <w:szCs w:val="24"/>
        </w:rPr>
        <w:t xml:space="preserve"> otorgó, a través del SAIMEX, respuesta a la solicitud de acceso a la información en los siguientes términos: </w:t>
      </w:r>
    </w:p>
    <w:p w14:paraId="07451AD9" w14:textId="77777777" w:rsidR="00026BE2" w:rsidRPr="00B0209B" w:rsidRDefault="00026BE2" w:rsidP="00026BE2">
      <w:pPr>
        <w:spacing w:after="0" w:line="360" w:lineRule="auto"/>
        <w:jc w:val="both"/>
        <w:rPr>
          <w:rFonts w:ascii="Palatino Linotype" w:eastAsia="Palatino Linotype" w:hAnsi="Palatino Linotype" w:cs="Palatino Linotype"/>
          <w:sz w:val="24"/>
          <w:szCs w:val="24"/>
        </w:rPr>
      </w:pPr>
    </w:p>
    <w:p w14:paraId="0123BC12" w14:textId="77777777" w:rsidR="00E23A0A" w:rsidRPr="00B0209B" w:rsidRDefault="00026BE2" w:rsidP="00E23A0A">
      <w:pPr>
        <w:spacing w:after="0" w:line="276" w:lineRule="auto"/>
        <w:ind w:left="851" w:right="902"/>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r w:rsidR="00E23A0A" w:rsidRPr="00B0209B">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F2ABB8" w14:textId="77777777" w:rsidR="00E23A0A" w:rsidRPr="00B0209B" w:rsidRDefault="00E23A0A" w:rsidP="00E23A0A">
      <w:pPr>
        <w:spacing w:after="0" w:line="276" w:lineRule="auto"/>
        <w:ind w:left="851" w:right="902"/>
        <w:jc w:val="both"/>
        <w:rPr>
          <w:rFonts w:ascii="Palatino Linotype" w:eastAsia="Palatino Linotype" w:hAnsi="Palatino Linotype" w:cs="Palatino Linotype"/>
          <w:i/>
        </w:rPr>
      </w:pPr>
      <w:r w:rsidRPr="00B0209B">
        <w:rPr>
          <w:rFonts w:ascii="Palatino Linotype" w:eastAsia="Palatino Linotype" w:hAnsi="Palatino Linotype" w:cs="Palatino Linotype"/>
          <w:i/>
        </w:rPr>
        <w:t>En atención a la solicitud con folio 0049/TOLUCA/IP/2025, me permito adjuntar al presente la respuesta correspondiente. Sin más por el momento, reciba un saludo.</w:t>
      </w:r>
    </w:p>
    <w:p w14:paraId="42B29FFD" w14:textId="77777777" w:rsidR="00E23A0A" w:rsidRPr="00B0209B" w:rsidRDefault="00E23A0A" w:rsidP="00E23A0A">
      <w:pPr>
        <w:spacing w:after="0" w:line="276" w:lineRule="auto"/>
        <w:ind w:left="851" w:right="902"/>
        <w:jc w:val="both"/>
        <w:rPr>
          <w:rFonts w:ascii="Palatino Linotype" w:eastAsia="Palatino Linotype" w:hAnsi="Palatino Linotype" w:cs="Palatino Linotype"/>
          <w:i/>
        </w:rPr>
      </w:pPr>
      <w:r w:rsidRPr="00B0209B">
        <w:rPr>
          <w:rFonts w:ascii="Palatino Linotype" w:eastAsia="Palatino Linotype" w:hAnsi="Palatino Linotype" w:cs="Palatino Linotype"/>
          <w:i/>
        </w:rPr>
        <w:t>ATENTAMENTE</w:t>
      </w:r>
    </w:p>
    <w:p w14:paraId="59B092A9" w14:textId="77777777" w:rsidR="00026BE2" w:rsidRPr="00B0209B" w:rsidRDefault="00E23A0A" w:rsidP="00E23A0A">
      <w:pPr>
        <w:spacing w:after="0" w:line="276" w:lineRule="auto"/>
        <w:ind w:left="851" w:right="902"/>
        <w:jc w:val="both"/>
        <w:rPr>
          <w:rFonts w:ascii="Palatino Linotype" w:eastAsia="Palatino Linotype" w:hAnsi="Palatino Linotype" w:cs="Palatino Linotype"/>
          <w:i/>
        </w:rPr>
      </w:pPr>
      <w:r w:rsidRPr="00B0209B">
        <w:rPr>
          <w:rFonts w:ascii="Palatino Linotype" w:eastAsia="Palatino Linotype" w:hAnsi="Palatino Linotype" w:cs="Palatino Linotype"/>
          <w:i/>
        </w:rPr>
        <w:t>Dr. Nahum Miguel Mendoza Morales</w:t>
      </w:r>
      <w:r w:rsidR="00026BE2" w:rsidRPr="00B0209B">
        <w:rPr>
          <w:rFonts w:ascii="Palatino Linotype" w:eastAsia="Palatino Linotype" w:hAnsi="Palatino Linotype" w:cs="Palatino Linotype"/>
          <w:i/>
        </w:rPr>
        <w:t>”</w:t>
      </w:r>
    </w:p>
    <w:p w14:paraId="65F750DB" w14:textId="77777777" w:rsidR="00026BE2" w:rsidRPr="00B0209B" w:rsidRDefault="00026BE2" w:rsidP="00026BE2">
      <w:pPr>
        <w:spacing w:after="0" w:line="276" w:lineRule="auto"/>
        <w:ind w:left="851" w:right="902"/>
        <w:jc w:val="both"/>
        <w:rPr>
          <w:rFonts w:ascii="Palatino Linotype" w:eastAsia="Palatino Linotype" w:hAnsi="Palatino Linotype" w:cs="Palatino Linotype"/>
          <w:sz w:val="24"/>
          <w:szCs w:val="24"/>
        </w:rPr>
      </w:pPr>
    </w:p>
    <w:p w14:paraId="5BE5DE3D" w14:textId="77777777" w:rsidR="00026BE2" w:rsidRPr="00B0209B" w:rsidRDefault="00026BE2" w:rsidP="00026BE2">
      <w:pPr>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EL SUJETO OBLIGADO</w:t>
      </w:r>
      <w:r w:rsidRPr="00B0209B">
        <w:rPr>
          <w:rFonts w:ascii="Palatino Linotype" w:eastAsia="Palatino Linotype" w:hAnsi="Palatino Linotype" w:cs="Palatino Linotype"/>
          <w:sz w:val="24"/>
          <w:szCs w:val="24"/>
        </w:rPr>
        <w:t xml:space="preserve"> adjuntó para tal efecto los archivos electrónicos siguientes:</w:t>
      </w:r>
    </w:p>
    <w:p w14:paraId="1C8BAD98" w14:textId="77777777" w:rsidR="00E23A0A" w:rsidRPr="00B0209B" w:rsidRDefault="00E23A0A" w:rsidP="00026BE2">
      <w:pPr>
        <w:spacing w:after="0" w:line="360" w:lineRule="auto"/>
        <w:jc w:val="both"/>
        <w:rPr>
          <w:rFonts w:ascii="Palatino Linotype" w:eastAsia="Palatino Linotype" w:hAnsi="Palatino Linotype" w:cs="Palatino Linotype"/>
          <w:sz w:val="24"/>
          <w:szCs w:val="24"/>
        </w:rPr>
      </w:pPr>
    </w:p>
    <w:p w14:paraId="358F551E"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w:t>
      </w:r>
      <w:r w:rsidRPr="00B0209B">
        <w:rPr>
          <w:rFonts w:ascii="Palatino Linotype" w:eastAsia="Palatino Linotype" w:hAnsi="Palatino Linotype" w:cs="Palatino Linotype"/>
          <w:b/>
          <w:i/>
          <w:sz w:val="24"/>
          <w:szCs w:val="24"/>
          <w:u w:val="single"/>
        </w:rPr>
        <w:t>RESPUESTA 0049. 2025.pdf</w:t>
      </w:r>
      <w:r w:rsidRPr="00B0209B">
        <w:rPr>
          <w:rFonts w:ascii="Palatino Linotype" w:eastAsia="Palatino Linotype" w:hAnsi="Palatino Linotype" w:cs="Palatino Linotype"/>
          <w:sz w:val="24"/>
          <w:szCs w:val="24"/>
        </w:rPr>
        <w:t>”: Oficio de fecha cuatro de febrero de dos mil veinticinco, signado por el Titular de la Unidad de Transparencia, mediante el cual señala, que la Tesorería Municipal adjunta una guía por medio de la cual el ciudadano podrá acceder al IPOMEX a fin de visualizar lo solicitado, través del Artículo 92 fracción XXXVIII D, bajo el concepto “Inventario de Bienes e Inmuebles”</w:t>
      </w:r>
    </w:p>
    <w:p w14:paraId="56C142E1"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p>
    <w:p w14:paraId="4F2F898E"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w:t>
      </w:r>
      <w:proofErr w:type="spellStart"/>
      <w:r w:rsidRPr="00B0209B">
        <w:rPr>
          <w:rFonts w:ascii="Palatino Linotype" w:eastAsia="Palatino Linotype" w:hAnsi="Palatino Linotype" w:cs="Palatino Linotype"/>
          <w:b/>
          <w:i/>
          <w:sz w:val="24"/>
          <w:szCs w:val="24"/>
          <w:u w:val="single"/>
        </w:rPr>
        <w:t>guia</w:t>
      </w:r>
      <w:proofErr w:type="spellEnd"/>
      <w:r w:rsidRPr="00B0209B">
        <w:rPr>
          <w:rFonts w:ascii="Palatino Linotype" w:eastAsia="Palatino Linotype" w:hAnsi="Palatino Linotype" w:cs="Palatino Linotype"/>
          <w:b/>
          <w:i/>
          <w:sz w:val="24"/>
          <w:szCs w:val="24"/>
          <w:u w:val="single"/>
        </w:rPr>
        <w:t xml:space="preserve"> 00049.pdf</w:t>
      </w:r>
      <w:r w:rsidRPr="00B0209B">
        <w:rPr>
          <w:rFonts w:ascii="Palatino Linotype" w:eastAsia="Palatino Linotype" w:hAnsi="Palatino Linotype" w:cs="Palatino Linotype"/>
          <w:sz w:val="24"/>
          <w:szCs w:val="24"/>
        </w:rPr>
        <w:t xml:space="preserve">”: Guía en donde se advierte el procedimiento referido en el oficio anterior.  </w:t>
      </w:r>
    </w:p>
    <w:p w14:paraId="316991EE" w14:textId="77777777" w:rsidR="00E65F35" w:rsidRPr="00B0209B" w:rsidRDefault="00E65F35" w:rsidP="00E23A0A">
      <w:pPr>
        <w:spacing w:after="0" w:line="360" w:lineRule="auto"/>
        <w:jc w:val="both"/>
        <w:rPr>
          <w:rFonts w:ascii="Palatino Linotype" w:eastAsia="Palatino Linotype" w:hAnsi="Palatino Linotype" w:cs="Palatino Linotype"/>
          <w:sz w:val="24"/>
          <w:szCs w:val="24"/>
        </w:rPr>
      </w:pPr>
    </w:p>
    <w:p w14:paraId="02343D08" w14:textId="77777777" w:rsidR="00E23A0A" w:rsidRPr="00B0209B" w:rsidRDefault="00E23A0A" w:rsidP="00E23A0A">
      <w:pPr>
        <w:spacing w:after="0" w:line="360" w:lineRule="auto"/>
        <w:ind w:right="-234"/>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lastRenderedPageBreak/>
        <w:t xml:space="preserve">3. DEL RECURSO DE REVISIÓN. </w:t>
      </w:r>
      <w:r w:rsidRPr="00B0209B">
        <w:rPr>
          <w:rFonts w:ascii="Palatino Linotype" w:eastAsia="Palatino Linotype" w:hAnsi="Palatino Linotype" w:cs="Palatino Linotype"/>
          <w:sz w:val="24"/>
          <w:szCs w:val="24"/>
        </w:rPr>
        <w:t>Inconforme con la respuesta del</w:t>
      </w:r>
      <w:r w:rsidRPr="00B0209B">
        <w:rPr>
          <w:rFonts w:ascii="Palatino Linotype" w:eastAsia="Palatino Linotype" w:hAnsi="Palatino Linotype" w:cs="Palatino Linotype"/>
          <w:b/>
          <w:sz w:val="24"/>
          <w:szCs w:val="24"/>
        </w:rPr>
        <w:t xml:space="preserve"> SUJETO OBLIGADO, </w:t>
      </w:r>
      <w:r w:rsidRPr="00B0209B">
        <w:rPr>
          <w:rFonts w:ascii="Palatino Linotype" w:eastAsia="Palatino Linotype" w:hAnsi="Palatino Linotype" w:cs="Palatino Linotype"/>
          <w:sz w:val="24"/>
          <w:szCs w:val="24"/>
        </w:rPr>
        <w:t>en fecha siete de febrero de dos mil veinticinco,</w:t>
      </w:r>
      <w:r w:rsidRPr="00B0209B">
        <w:rPr>
          <w:rFonts w:ascii="Palatino Linotype" w:eastAsia="Palatino Linotype" w:hAnsi="Palatino Linotype" w:cs="Palatino Linotype"/>
          <w:b/>
          <w:sz w:val="24"/>
          <w:szCs w:val="24"/>
        </w:rPr>
        <w:t xml:space="preserve"> LA PARTE RECURRENTE </w:t>
      </w:r>
      <w:r w:rsidRPr="00B0209B">
        <w:rPr>
          <w:rFonts w:ascii="Palatino Linotype" w:eastAsia="Palatino Linotype" w:hAnsi="Palatino Linotype" w:cs="Palatino Linotype"/>
          <w:sz w:val="24"/>
          <w:szCs w:val="24"/>
        </w:rPr>
        <w:t>interpuso el recurso de revisión, el cual fue registrado</w:t>
      </w:r>
      <w:r w:rsidRPr="00B0209B">
        <w:rPr>
          <w:rFonts w:ascii="Palatino Linotype" w:eastAsia="Palatino Linotype" w:hAnsi="Palatino Linotype" w:cs="Palatino Linotype"/>
          <w:b/>
          <w:sz w:val="24"/>
          <w:szCs w:val="24"/>
        </w:rPr>
        <w:t xml:space="preserve"> </w:t>
      </w:r>
      <w:r w:rsidRPr="00B0209B">
        <w:rPr>
          <w:rFonts w:ascii="Palatino Linotype" w:eastAsia="Palatino Linotype" w:hAnsi="Palatino Linotype" w:cs="Palatino Linotype"/>
          <w:sz w:val="24"/>
          <w:szCs w:val="24"/>
        </w:rPr>
        <w:t>en el sistema electrónico con el expediente número</w:t>
      </w:r>
      <w:r w:rsidRPr="00B0209B">
        <w:rPr>
          <w:rFonts w:ascii="Palatino Linotype" w:eastAsia="Palatino Linotype" w:hAnsi="Palatino Linotype" w:cs="Palatino Linotype"/>
          <w:b/>
          <w:sz w:val="24"/>
          <w:szCs w:val="24"/>
        </w:rPr>
        <w:t xml:space="preserve"> 00884/INFOEM/IP/RR/2025</w:t>
      </w:r>
      <w:r w:rsidRPr="00B0209B">
        <w:rPr>
          <w:rFonts w:ascii="Palatino Linotype" w:eastAsia="Palatino Linotype" w:hAnsi="Palatino Linotype" w:cs="Palatino Linotype"/>
          <w:sz w:val="24"/>
          <w:szCs w:val="24"/>
        </w:rPr>
        <w:t>, en el cual manifiesta, lo siguiente:</w:t>
      </w:r>
    </w:p>
    <w:p w14:paraId="2916202B" w14:textId="77777777" w:rsidR="00E23A0A" w:rsidRPr="00B0209B" w:rsidRDefault="00E23A0A" w:rsidP="00E23A0A">
      <w:pPr>
        <w:spacing w:after="0" w:line="360" w:lineRule="auto"/>
        <w:ind w:right="-234"/>
        <w:jc w:val="both"/>
        <w:rPr>
          <w:rFonts w:ascii="Palatino Linotype" w:eastAsia="Palatino Linotype" w:hAnsi="Palatino Linotype" w:cs="Palatino Linotype"/>
          <w:sz w:val="24"/>
          <w:szCs w:val="24"/>
        </w:rPr>
      </w:pPr>
    </w:p>
    <w:p w14:paraId="50DCD74E" w14:textId="77777777" w:rsidR="00E23A0A" w:rsidRPr="00B0209B" w:rsidRDefault="00E23A0A" w:rsidP="00E23A0A">
      <w:pPr>
        <w:numPr>
          <w:ilvl w:val="0"/>
          <w:numId w:val="1"/>
        </w:numPr>
        <w:pBdr>
          <w:top w:val="nil"/>
          <w:left w:val="nil"/>
          <w:bottom w:val="nil"/>
          <w:right w:val="nil"/>
          <w:between w:val="nil"/>
        </w:pBdr>
        <w:spacing w:after="0" w:line="276" w:lineRule="auto"/>
        <w:jc w:val="both"/>
        <w:rPr>
          <w:rFonts w:ascii="Palatino Linotype" w:eastAsia="Palatino Linotype" w:hAnsi="Palatino Linotype" w:cs="Palatino Linotype"/>
          <w:b/>
          <w:i/>
          <w:sz w:val="24"/>
          <w:szCs w:val="24"/>
        </w:rPr>
      </w:pPr>
      <w:r w:rsidRPr="00B0209B">
        <w:rPr>
          <w:rFonts w:ascii="Palatino Linotype" w:eastAsia="Palatino Linotype" w:hAnsi="Palatino Linotype" w:cs="Palatino Linotype"/>
          <w:b/>
          <w:i/>
          <w:sz w:val="24"/>
          <w:szCs w:val="24"/>
        </w:rPr>
        <w:t>Acto Impugnado:</w:t>
      </w:r>
    </w:p>
    <w:p w14:paraId="433CB955" w14:textId="77777777" w:rsidR="00E23A0A" w:rsidRPr="00B0209B" w:rsidRDefault="00E23A0A" w:rsidP="00E23A0A">
      <w:pPr>
        <w:pBdr>
          <w:top w:val="nil"/>
          <w:left w:val="nil"/>
          <w:bottom w:val="nil"/>
          <w:right w:val="nil"/>
          <w:between w:val="nil"/>
        </w:pBdr>
        <w:spacing w:after="0" w:line="276" w:lineRule="auto"/>
        <w:ind w:left="720"/>
        <w:jc w:val="both"/>
        <w:rPr>
          <w:rFonts w:ascii="Palatino Linotype" w:eastAsia="Palatino Linotype" w:hAnsi="Palatino Linotype" w:cs="Palatino Linotype"/>
          <w:b/>
          <w:i/>
          <w:sz w:val="24"/>
          <w:szCs w:val="24"/>
        </w:rPr>
      </w:pPr>
    </w:p>
    <w:p w14:paraId="0B9EBE3C" w14:textId="77777777" w:rsidR="00E23A0A" w:rsidRPr="00B0209B" w:rsidRDefault="00E23A0A" w:rsidP="00E23A0A">
      <w:pPr>
        <w:tabs>
          <w:tab w:val="left" w:pos="8222"/>
        </w:tabs>
        <w:spacing w:after="0" w:line="276" w:lineRule="auto"/>
        <w:ind w:left="851" w:right="616"/>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“Información incompleta no entrega las </w:t>
      </w:r>
      <w:proofErr w:type="gramStart"/>
      <w:r w:rsidRPr="00B0209B">
        <w:rPr>
          <w:rFonts w:ascii="Palatino Linotype" w:eastAsia="Palatino Linotype" w:hAnsi="Palatino Linotype" w:cs="Palatino Linotype"/>
          <w:i/>
        </w:rPr>
        <w:t>claves catastral</w:t>
      </w:r>
      <w:proofErr w:type="gramEnd"/>
      <w:r w:rsidRPr="00B0209B">
        <w:rPr>
          <w:rFonts w:ascii="Palatino Linotype" w:eastAsia="Palatino Linotype" w:hAnsi="Palatino Linotype" w:cs="Palatino Linotype"/>
          <w:i/>
        </w:rPr>
        <w:t xml:space="preserve"> es y me manda a </w:t>
      </w:r>
      <w:proofErr w:type="spellStart"/>
      <w:r w:rsidRPr="00B0209B">
        <w:rPr>
          <w:rFonts w:ascii="Palatino Linotype" w:eastAsia="Palatino Linotype" w:hAnsi="Palatino Linotype" w:cs="Palatino Linotype"/>
          <w:i/>
        </w:rPr>
        <w:t>ipomex</w:t>
      </w:r>
      <w:proofErr w:type="spellEnd"/>
      <w:r w:rsidRPr="00B0209B">
        <w:rPr>
          <w:rFonts w:ascii="Palatino Linotype" w:eastAsia="Palatino Linotype" w:hAnsi="Palatino Linotype" w:cs="Palatino Linotype"/>
          <w:i/>
        </w:rPr>
        <w:t xml:space="preserve"> después de tiempo retrasa la información con </w:t>
      </w:r>
      <w:proofErr w:type="spellStart"/>
      <w:r w:rsidRPr="00B0209B">
        <w:rPr>
          <w:rFonts w:ascii="Palatino Linotype" w:eastAsia="Palatino Linotype" w:hAnsi="Palatino Linotype" w:cs="Palatino Linotype"/>
          <w:i/>
        </w:rPr>
        <w:t>alevosicia</w:t>
      </w:r>
      <w:proofErr w:type="spellEnd"/>
      <w:r w:rsidRPr="00B0209B">
        <w:rPr>
          <w:rFonts w:ascii="Palatino Linotype" w:eastAsia="Palatino Linotype" w:hAnsi="Palatino Linotype" w:cs="Palatino Linotype"/>
          <w:i/>
        </w:rPr>
        <w:t xml:space="preserve"> dañando mi interés” [sic]</w:t>
      </w:r>
    </w:p>
    <w:p w14:paraId="63F4BACB" w14:textId="77777777" w:rsidR="00E23A0A" w:rsidRPr="00B0209B" w:rsidRDefault="00E23A0A" w:rsidP="00E23A0A">
      <w:pPr>
        <w:tabs>
          <w:tab w:val="left" w:pos="8222"/>
        </w:tabs>
        <w:spacing w:after="0" w:line="276" w:lineRule="auto"/>
        <w:ind w:left="851" w:right="616"/>
        <w:jc w:val="both"/>
        <w:rPr>
          <w:rFonts w:ascii="Palatino Linotype" w:eastAsia="Palatino Linotype" w:hAnsi="Palatino Linotype" w:cs="Palatino Linotype"/>
          <w:i/>
        </w:rPr>
      </w:pPr>
    </w:p>
    <w:p w14:paraId="3EAEE406" w14:textId="77777777" w:rsidR="00E23A0A" w:rsidRPr="00B0209B" w:rsidRDefault="00E23A0A" w:rsidP="00E23A0A">
      <w:pPr>
        <w:numPr>
          <w:ilvl w:val="0"/>
          <w:numId w:val="1"/>
        </w:numPr>
        <w:pBdr>
          <w:top w:val="nil"/>
          <w:left w:val="nil"/>
          <w:bottom w:val="nil"/>
          <w:right w:val="nil"/>
          <w:between w:val="nil"/>
        </w:pBdr>
        <w:spacing w:after="0" w:line="276" w:lineRule="auto"/>
        <w:rPr>
          <w:rFonts w:ascii="Palatino Linotype" w:eastAsia="Palatino Linotype" w:hAnsi="Palatino Linotype" w:cs="Palatino Linotype"/>
          <w:i/>
          <w:sz w:val="24"/>
          <w:szCs w:val="24"/>
        </w:rPr>
      </w:pPr>
      <w:r w:rsidRPr="00B0209B">
        <w:rPr>
          <w:rFonts w:ascii="Palatino Linotype" w:eastAsia="Palatino Linotype" w:hAnsi="Palatino Linotype" w:cs="Palatino Linotype"/>
          <w:b/>
          <w:i/>
          <w:sz w:val="24"/>
          <w:szCs w:val="24"/>
        </w:rPr>
        <w:t>Razones o Motivos de Inconformidad</w:t>
      </w:r>
      <w:r w:rsidRPr="00B0209B">
        <w:rPr>
          <w:rFonts w:ascii="Palatino Linotype" w:eastAsia="Palatino Linotype" w:hAnsi="Palatino Linotype" w:cs="Palatino Linotype"/>
          <w:i/>
          <w:sz w:val="24"/>
          <w:szCs w:val="24"/>
        </w:rPr>
        <w:t>:</w:t>
      </w:r>
    </w:p>
    <w:p w14:paraId="566E91B2" w14:textId="77777777" w:rsidR="00E23A0A" w:rsidRPr="00B0209B" w:rsidRDefault="00E23A0A" w:rsidP="00E23A0A">
      <w:pPr>
        <w:pBdr>
          <w:top w:val="nil"/>
          <w:left w:val="nil"/>
          <w:bottom w:val="nil"/>
          <w:right w:val="nil"/>
          <w:between w:val="nil"/>
        </w:pBdr>
        <w:spacing w:after="0" w:line="276" w:lineRule="auto"/>
        <w:ind w:left="720"/>
        <w:rPr>
          <w:rFonts w:ascii="Palatino Linotype" w:eastAsia="Palatino Linotype" w:hAnsi="Palatino Linotype" w:cs="Palatino Linotype"/>
          <w:i/>
          <w:sz w:val="24"/>
          <w:szCs w:val="24"/>
        </w:rPr>
      </w:pPr>
    </w:p>
    <w:p w14:paraId="6AD8397F" w14:textId="77777777" w:rsidR="00E23A0A" w:rsidRPr="00B0209B" w:rsidRDefault="00E23A0A" w:rsidP="00E23A0A">
      <w:pPr>
        <w:spacing w:after="0" w:line="276" w:lineRule="auto"/>
        <w:ind w:left="851" w:right="616"/>
        <w:jc w:val="both"/>
        <w:rPr>
          <w:rFonts w:ascii="Palatino Linotype" w:eastAsia="Palatino Linotype" w:hAnsi="Palatino Linotype" w:cs="Palatino Linotype"/>
          <w:i/>
        </w:rPr>
      </w:pPr>
      <w:r w:rsidRPr="00B0209B">
        <w:rPr>
          <w:rFonts w:ascii="Palatino Linotype" w:eastAsia="Palatino Linotype" w:hAnsi="Palatino Linotype" w:cs="Palatino Linotype"/>
          <w:i/>
          <w:sz w:val="24"/>
          <w:szCs w:val="24"/>
        </w:rPr>
        <w:t>“</w:t>
      </w:r>
      <w:r w:rsidRPr="00B0209B">
        <w:rPr>
          <w:rFonts w:ascii="Palatino Linotype" w:eastAsia="Palatino Linotype" w:hAnsi="Palatino Linotype" w:cs="Palatino Linotype"/>
          <w:i/>
        </w:rPr>
        <w:t xml:space="preserve">No entrego la información de la </w:t>
      </w:r>
      <w:proofErr w:type="gramStart"/>
      <w:r w:rsidRPr="00B0209B">
        <w:rPr>
          <w:rFonts w:ascii="Palatino Linotype" w:eastAsia="Palatino Linotype" w:hAnsi="Palatino Linotype" w:cs="Palatino Linotype"/>
          <w:i/>
        </w:rPr>
        <w:t>claves catastral</w:t>
      </w:r>
      <w:proofErr w:type="gramEnd"/>
      <w:r w:rsidRPr="00B0209B">
        <w:rPr>
          <w:rFonts w:ascii="Palatino Linotype" w:eastAsia="Palatino Linotype" w:hAnsi="Palatino Linotype" w:cs="Palatino Linotype"/>
          <w:i/>
        </w:rPr>
        <w:t xml:space="preserve"> y de los inmuebles” [sic]</w:t>
      </w:r>
    </w:p>
    <w:p w14:paraId="0422A331" w14:textId="77777777" w:rsidR="00E23A0A" w:rsidRPr="00B0209B" w:rsidRDefault="00E23A0A" w:rsidP="00E23A0A">
      <w:pPr>
        <w:spacing w:after="0" w:line="276" w:lineRule="auto"/>
        <w:ind w:left="851" w:right="616"/>
        <w:jc w:val="both"/>
        <w:rPr>
          <w:rFonts w:ascii="Palatino Linotype" w:eastAsia="Palatino Linotype" w:hAnsi="Palatino Linotype" w:cs="Palatino Linotype"/>
          <w:i/>
        </w:rPr>
      </w:pPr>
    </w:p>
    <w:p w14:paraId="3FDB5190"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4. TURNO. </w:t>
      </w:r>
      <w:r w:rsidRPr="00B0209B">
        <w:rPr>
          <w:rFonts w:ascii="Palatino Linotype" w:eastAsia="Palatino Linotype" w:hAnsi="Palatino Linotype" w:cs="Palatino Linotype"/>
          <w:sz w:val="24"/>
          <w:szCs w:val="24"/>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B0209B">
        <w:rPr>
          <w:rFonts w:ascii="Palatino Linotype" w:eastAsia="Palatino Linotype" w:hAnsi="Palatino Linotype" w:cs="Palatino Linotype"/>
          <w:b/>
          <w:sz w:val="24"/>
          <w:szCs w:val="24"/>
        </w:rPr>
        <w:t xml:space="preserve">Guadalupe Ramírez Peña, </w:t>
      </w:r>
      <w:r w:rsidRPr="00B0209B">
        <w:rPr>
          <w:rFonts w:ascii="Palatino Linotype" w:eastAsia="Palatino Linotype" w:hAnsi="Palatino Linotype" w:cs="Palatino Linotype"/>
          <w:sz w:val="24"/>
          <w:szCs w:val="24"/>
        </w:rPr>
        <w:t xml:space="preserve">a efecto de que analizara sobre su admisión o su </w:t>
      </w:r>
      <w:proofErr w:type="spellStart"/>
      <w:r w:rsidRPr="00B0209B">
        <w:rPr>
          <w:rFonts w:ascii="Palatino Linotype" w:eastAsia="Palatino Linotype" w:hAnsi="Palatino Linotype" w:cs="Palatino Linotype"/>
          <w:sz w:val="24"/>
          <w:szCs w:val="24"/>
        </w:rPr>
        <w:t>desechamiento</w:t>
      </w:r>
      <w:proofErr w:type="spellEnd"/>
      <w:r w:rsidRPr="00B0209B">
        <w:rPr>
          <w:rFonts w:ascii="Palatino Linotype" w:eastAsia="Palatino Linotype" w:hAnsi="Palatino Linotype" w:cs="Palatino Linotype"/>
          <w:sz w:val="24"/>
          <w:szCs w:val="24"/>
        </w:rPr>
        <w:t>.</w:t>
      </w:r>
    </w:p>
    <w:p w14:paraId="5BD4D515"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p>
    <w:p w14:paraId="0EFF6352" w14:textId="77777777" w:rsidR="00E23A0A" w:rsidRPr="00B0209B" w:rsidRDefault="00E23A0A" w:rsidP="00E23A0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5. ADMISIÓN DEL RECURSO DE REVISIÓN.</w:t>
      </w:r>
      <w:r w:rsidRPr="00B0209B">
        <w:rPr>
          <w:rFonts w:ascii="Palatino Linotype" w:eastAsia="Palatino Linotype" w:hAnsi="Palatino Linotype" w:cs="Palatino Linotype"/>
          <w:sz w:val="24"/>
          <w:szCs w:val="24"/>
        </w:rPr>
        <w:t xml:space="preserve"> Con fecha</w:t>
      </w:r>
      <w:r w:rsidRPr="00B0209B">
        <w:rPr>
          <w:rFonts w:ascii="Palatino Linotype" w:eastAsia="Palatino Linotype" w:hAnsi="Palatino Linotype" w:cs="Palatino Linotype"/>
          <w:b/>
          <w:sz w:val="24"/>
          <w:szCs w:val="24"/>
        </w:rPr>
        <w:t xml:space="preserve"> doce de febrero de dos mil veinticinco</w:t>
      </w:r>
      <w:r w:rsidRPr="00B0209B">
        <w:rPr>
          <w:rFonts w:ascii="Palatino Linotype" w:eastAsia="Palatino Linotype" w:hAnsi="Palatino Linotype" w:cs="Palatino Linotype"/>
          <w:sz w:val="24"/>
          <w:szCs w:val="24"/>
        </w:rPr>
        <w:t>,</w:t>
      </w:r>
      <w:r w:rsidRPr="00B0209B">
        <w:rPr>
          <w:rFonts w:ascii="Palatino Linotype" w:eastAsia="Palatino Linotype" w:hAnsi="Palatino Linotype" w:cs="Palatino Linotype"/>
          <w:b/>
          <w:sz w:val="24"/>
          <w:szCs w:val="24"/>
        </w:rPr>
        <w:t xml:space="preserve"> </w:t>
      </w:r>
      <w:r w:rsidRPr="00B0209B">
        <w:rPr>
          <w:rFonts w:ascii="Palatino Linotype" w:eastAsia="Palatino Linotype" w:hAnsi="Palatino Linotype" w:cs="Palatino Linotype"/>
          <w:sz w:val="24"/>
          <w:szCs w:val="24"/>
        </w:rPr>
        <w:t xml:space="preserve">este Instituto de Transparencia, Acceso a la Información Pública y Protección de Datos Personales del Estado de México y Municipios, admitió a trámite el recurso de revisión que ahora se resuelve, dando un plazo máximo de </w:t>
      </w:r>
      <w:r w:rsidRPr="00B0209B">
        <w:rPr>
          <w:rFonts w:ascii="Palatino Linotype" w:eastAsia="Palatino Linotype" w:hAnsi="Palatino Linotype" w:cs="Palatino Linotype"/>
          <w:sz w:val="24"/>
          <w:szCs w:val="24"/>
        </w:rPr>
        <w:lastRenderedPageBreak/>
        <w:t xml:space="preserve">siete días hábiles para que las partes manifestaran lo que a su derecho resultara conveniente, ofrecieran pruebas, formularan alegatos y </w:t>
      </w:r>
      <w:r w:rsidRPr="00B0209B">
        <w:rPr>
          <w:rFonts w:ascii="Palatino Linotype" w:eastAsia="Palatino Linotype" w:hAnsi="Palatino Linotype" w:cs="Palatino Linotype"/>
          <w:b/>
          <w:sz w:val="24"/>
          <w:szCs w:val="24"/>
        </w:rPr>
        <w:t xml:space="preserve">EL SUJETO OBLIGADO </w:t>
      </w:r>
      <w:r w:rsidRPr="00B0209B">
        <w:rPr>
          <w:rFonts w:ascii="Palatino Linotype" w:eastAsia="Palatino Linotype" w:hAnsi="Palatino Linotype" w:cs="Palatino Linotype"/>
          <w:sz w:val="24"/>
          <w:szCs w:val="24"/>
        </w:rPr>
        <w:t>presentará su informe justificado.</w:t>
      </w:r>
    </w:p>
    <w:p w14:paraId="7691E859" w14:textId="77777777" w:rsidR="00E23A0A" w:rsidRPr="00B0209B" w:rsidRDefault="00E23A0A" w:rsidP="00026BE2">
      <w:pPr>
        <w:spacing w:after="0" w:line="360" w:lineRule="auto"/>
        <w:jc w:val="both"/>
        <w:rPr>
          <w:rFonts w:ascii="Palatino Linotype" w:eastAsia="Palatino Linotype" w:hAnsi="Palatino Linotype" w:cs="Palatino Linotype"/>
          <w:sz w:val="24"/>
          <w:szCs w:val="24"/>
        </w:rPr>
      </w:pPr>
    </w:p>
    <w:p w14:paraId="568B9AF0" w14:textId="77777777" w:rsidR="00E23A0A" w:rsidRPr="00B0209B" w:rsidRDefault="00E23A0A" w:rsidP="00E23A0A">
      <w:pPr>
        <w:spacing w:after="0" w:line="360" w:lineRule="auto"/>
        <w:ind w:right="49"/>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6. MANIFESTACIONES E INFORME JUSTIFICADO.</w:t>
      </w:r>
      <w:r w:rsidRPr="00B0209B">
        <w:rPr>
          <w:rFonts w:ascii="Palatino Linotype" w:eastAsia="Palatino Linotype" w:hAnsi="Palatino Linotype" w:cs="Palatino Linotype"/>
          <w:sz w:val="24"/>
          <w:szCs w:val="24"/>
        </w:rPr>
        <w:t xml:space="preserve"> Con fecha </w:t>
      </w:r>
      <w:r w:rsidR="00777A68" w:rsidRPr="00B0209B">
        <w:rPr>
          <w:rFonts w:ascii="Palatino Linotype" w:eastAsia="Palatino Linotype" w:hAnsi="Palatino Linotype" w:cs="Palatino Linotype"/>
          <w:sz w:val="24"/>
          <w:szCs w:val="24"/>
        </w:rPr>
        <w:t>veintiuno</w:t>
      </w:r>
      <w:r w:rsidRPr="00B0209B">
        <w:rPr>
          <w:rFonts w:ascii="Palatino Linotype" w:eastAsia="Palatino Linotype" w:hAnsi="Palatino Linotype" w:cs="Palatino Linotype"/>
          <w:sz w:val="24"/>
          <w:szCs w:val="24"/>
        </w:rPr>
        <w:t xml:space="preserve"> de </w:t>
      </w:r>
      <w:r w:rsidR="00777A68" w:rsidRPr="00B0209B">
        <w:rPr>
          <w:rFonts w:ascii="Palatino Linotype" w:eastAsia="Palatino Linotype" w:hAnsi="Palatino Linotype" w:cs="Palatino Linotype"/>
          <w:sz w:val="24"/>
          <w:szCs w:val="24"/>
        </w:rPr>
        <w:t>febrero</w:t>
      </w:r>
      <w:r w:rsidRPr="00B0209B">
        <w:rPr>
          <w:rFonts w:ascii="Palatino Linotype" w:eastAsia="Palatino Linotype" w:hAnsi="Palatino Linotype" w:cs="Palatino Linotype"/>
          <w:sz w:val="24"/>
          <w:szCs w:val="24"/>
        </w:rPr>
        <w:t xml:space="preserve"> dos mil veintic</w:t>
      </w:r>
      <w:r w:rsidR="00777A68" w:rsidRPr="00B0209B">
        <w:rPr>
          <w:rFonts w:ascii="Palatino Linotype" w:eastAsia="Palatino Linotype" w:hAnsi="Palatino Linotype" w:cs="Palatino Linotype"/>
          <w:sz w:val="24"/>
          <w:szCs w:val="24"/>
        </w:rPr>
        <w:t>inc</w:t>
      </w:r>
      <w:r w:rsidRPr="00B0209B">
        <w:rPr>
          <w:rFonts w:ascii="Palatino Linotype" w:eastAsia="Palatino Linotype" w:hAnsi="Palatino Linotype" w:cs="Palatino Linotype"/>
          <w:sz w:val="24"/>
          <w:szCs w:val="24"/>
        </w:rPr>
        <w:t xml:space="preserve">o se recibió, a través del Sistema de Acceso a la Información Mexiquense (SAIMEX) se recibió el informe justificado del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trike/>
          <w:sz w:val="24"/>
          <w:szCs w:val="24"/>
        </w:rPr>
        <w:t>,</w:t>
      </w:r>
      <w:r w:rsidRPr="00B0209B">
        <w:rPr>
          <w:rFonts w:ascii="Palatino Linotype" w:eastAsia="Palatino Linotype" w:hAnsi="Palatino Linotype" w:cs="Palatino Linotype"/>
          <w:b/>
          <w:sz w:val="24"/>
          <w:szCs w:val="24"/>
        </w:rPr>
        <w:t xml:space="preserve"> </w:t>
      </w:r>
      <w:r w:rsidR="00777A68" w:rsidRPr="00B0209B">
        <w:rPr>
          <w:rFonts w:ascii="Palatino Linotype" w:eastAsia="Palatino Linotype" w:hAnsi="Palatino Linotype" w:cs="Palatino Linotype"/>
          <w:sz w:val="24"/>
          <w:szCs w:val="24"/>
        </w:rPr>
        <w:t>a través de</w:t>
      </w:r>
      <w:r w:rsidRPr="00B0209B">
        <w:rPr>
          <w:rFonts w:ascii="Palatino Linotype" w:eastAsia="Palatino Linotype" w:hAnsi="Palatino Linotype" w:cs="Palatino Linotype"/>
          <w:sz w:val="24"/>
          <w:szCs w:val="24"/>
        </w:rPr>
        <w:t>l</w:t>
      </w:r>
      <w:r w:rsidR="00777A68" w:rsidRPr="00B0209B">
        <w:rPr>
          <w:rFonts w:ascii="Palatino Linotype" w:eastAsia="Palatino Linotype" w:hAnsi="Palatino Linotype" w:cs="Palatino Linotype"/>
          <w:sz w:val="24"/>
          <w:szCs w:val="24"/>
        </w:rPr>
        <w:t xml:space="preserve"> siguiente archivo electrónico</w:t>
      </w:r>
      <w:r w:rsidRPr="00B0209B">
        <w:rPr>
          <w:rFonts w:ascii="Palatino Linotype" w:eastAsia="Palatino Linotype" w:hAnsi="Palatino Linotype" w:cs="Palatino Linotype"/>
          <w:sz w:val="24"/>
          <w:szCs w:val="24"/>
        </w:rPr>
        <w:t xml:space="preserve">: </w:t>
      </w:r>
    </w:p>
    <w:p w14:paraId="44C3C5B9" w14:textId="77777777" w:rsidR="00E23A0A" w:rsidRPr="00B0209B" w:rsidRDefault="00E23A0A" w:rsidP="00E23A0A">
      <w:pPr>
        <w:spacing w:after="0" w:line="360" w:lineRule="auto"/>
        <w:ind w:right="49"/>
        <w:jc w:val="both"/>
        <w:rPr>
          <w:rFonts w:ascii="Palatino Linotype" w:eastAsia="Palatino Linotype" w:hAnsi="Palatino Linotype" w:cs="Palatino Linotype"/>
          <w:sz w:val="24"/>
          <w:szCs w:val="24"/>
        </w:rPr>
      </w:pPr>
    </w:p>
    <w:p w14:paraId="25853090" w14:textId="77777777" w:rsidR="00026BE2" w:rsidRPr="00B0209B" w:rsidRDefault="00E23A0A"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w:t>
      </w:r>
      <w:r w:rsidR="00777A68" w:rsidRPr="00B0209B">
        <w:rPr>
          <w:rFonts w:ascii="Palatino Linotype" w:eastAsia="Palatino Linotype" w:hAnsi="Palatino Linotype" w:cs="Palatino Linotype"/>
          <w:b/>
          <w:i/>
          <w:sz w:val="24"/>
          <w:szCs w:val="24"/>
          <w:u w:val="single"/>
        </w:rPr>
        <w:t>Informe Justificado 884.pdf</w:t>
      </w:r>
      <w:r w:rsidRPr="00B0209B">
        <w:rPr>
          <w:rFonts w:ascii="Palatino Linotype" w:eastAsia="Palatino Linotype" w:hAnsi="Palatino Linotype" w:cs="Palatino Linotype"/>
          <w:sz w:val="24"/>
          <w:szCs w:val="24"/>
        </w:rPr>
        <w:t>”: Oficio de fecha dieciocho de diciembre de dos mil veinticuatro, signado por la Servidora Pública Habilitada de la Unidad de Información, Planeación, Programación y Evaluación, mediante el cual ratifica en términos generales su respuesta inicial.</w:t>
      </w:r>
    </w:p>
    <w:p w14:paraId="01A4BC70"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27DDCA0A" w14:textId="1658850E" w:rsidR="00795D34" w:rsidRPr="00B0209B" w:rsidRDefault="00795D34" w:rsidP="00795D34">
      <w:pPr>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Documento que se puso a la vista de </w:t>
      </w:r>
      <w:r w:rsidRPr="00B0209B">
        <w:rPr>
          <w:rFonts w:ascii="Palatino Linotype" w:eastAsia="Palatino Linotype" w:hAnsi="Palatino Linotype" w:cs="Palatino Linotype"/>
          <w:b/>
          <w:sz w:val="24"/>
          <w:szCs w:val="24"/>
        </w:rPr>
        <w:t xml:space="preserve">LA PARTE RECURRENTE </w:t>
      </w:r>
      <w:r w:rsidRPr="00B0209B">
        <w:rPr>
          <w:rFonts w:ascii="Palatino Linotype" w:eastAsia="Palatino Linotype" w:hAnsi="Palatino Linotype" w:cs="Palatino Linotype"/>
          <w:sz w:val="24"/>
          <w:szCs w:val="24"/>
        </w:rPr>
        <w:t xml:space="preserve">en fecha cuatro de marzo de dos mil veinticinco, mismo que resultó omiso de emitir sus manifestaciones </w:t>
      </w:r>
      <w:r w:rsidR="00B03E6A" w:rsidRPr="00B0209B">
        <w:rPr>
          <w:rFonts w:ascii="Palatino Linotype" w:eastAsia="Palatino Linotype" w:hAnsi="Palatino Linotype" w:cs="Palatino Linotype"/>
          <w:sz w:val="24"/>
          <w:szCs w:val="24"/>
        </w:rPr>
        <w:t xml:space="preserve">que </w:t>
      </w:r>
      <w:r w:rsidRPr="00B0209B">
        <w:rPr>
          <w:rFonts w:ascii="Palatino Linotype" w:eastAsia="Palatino Linotype" w:hAnsi="Palatino Linotype" w:cs="Palatino Linotype"/>
          <w:sz w:val="24"/>
          <w:szCs w:val="24"/>
        </w:rPr>
        <w:t xml:space="preserve">conforme a derecho le corresponde. </w:t>
      </w:r>
    </w:p>
    <w:p w14:paraId="029CA1B4" w14:textId="77777777" w:rsidR="00795D34" w:rsidRPr="00B0209B" w:rsidRDefault="00795D34" w:rsidP="00795D34">
      <w:pPr>
        <w:spacing w:after="0" w:line="360" w:lineRule="auto"/>
        <w:ind w:right="51"/>
        <w:jc w:val="both"/>
        <w:rPr>
          <w:rFonts w:ascii="Palatino Linotype" w:eastAsia="Palatino Linotype" w:hAnsi="Palatino Linotype" w:cs="Palatino Linotype"/>
          <w:sz w:val="24"/>
          <w:szCs w:val="24"/>
        </w:rPr>
      </w:pPr>
    </w:p>
    <w:p w14:paraId="4DF41A9E" w14:textId="5CF519AA"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7. CIERRE DE INSTRUCCIÓN. </w:t>
      </w:r>
      <w:r w:rsidRPr="00B0209B">
        <w:rPr>
          <w:rFonts w:ascii="Palatino Linotype" w:eastAsia="Palatino Linotype" w:hAnsi="Palatino Linotype" w:cs="Palatino Linotype"/>
          <w:sz w:val="24"/>
          <w:szCs w:val="24"/>
        </w:rPr>
        <w:t>El diez de marzo de dos mil veinticinco al no existir diligencias pendientes por desahogar, se emitió el acuerdo por medio del cual se declaró cerrada la instrucción y se determinó pasar el expediente a resolución, en términos del artículo 185 fracción VI y VIII de la Ley de Transparencia y Acceso a la Información Pública del Estado de México y Municipios, iniciando el término legal para dictar resolución definitiva del asunto.</w:t>
      </w:r>
    </w:p>
    <w:p w14:paraId="28AE05A4"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En razón de que fue debidamente sustanciado el expediente electrónico y no existe diligencia pendiente de desahogo, se emite la Resolución que conforme a Derecho proceda, de acuerdo con los siguientes:</w:t>
      </w:r>
    </w:p>
    <w:p w14:paraId="371B3C65"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2AE8C409" w14:textId="77777777" w:rsidR="00795D34" w:rsidRPr="00B0209B" w:rsidRDefault="00795D34" w:rsidP="00795D34">
      <w:pPr>
        <w:widowControl w:val="0"/>
        <w:spacing w:after="0" w:line="360" w:lineRule="auto"/>
        <w:jc w:val="center"/>
        <w:rPr>
          <w:rFonts w:ascii="Palatino Linotype" w:eastAsia="Palatino Linotype" w:hAnsi="Palatino Linotype" w:cs="Palatino Linotype"/>
          <w:b/>
          <w:sz w:val="24"/>
          <w:szCs w:val="24"/>
        </w:rPr>
      </w:pPr>
      <w:r w:rsidRPr="00B0209B">
        <w:rPr>
          <w:rFonts w:ascii="Palatino Linotype" w:eastAsia="Palatino Linotype" w:hAnsi="Palatino Linotype" w:cs="Palatino Linotype"/>
          <w:b/>
          <w:sz w:val="24"/>
          <w:szCs w:val="24"/>
        </w:rPr>
        <w:t>C O N S I D E R A N D O S</w:t>
      </w:r>
    </w:p>
    <w:p w14:paraId="3EB562D7" w14:textId="77777777" w:rsidR="00795D34" w:rsidRPr="00B0209B" w:rsidRDefault="00795D34" w:rsidP="00795D34">
      <w:pPr>
        <w:widowControl w:val="0"/>
        <w:spacing w:after="0" w:line="360" w:lineRule="auto"/>
        <w:jc w:val="center"/>
        <w:rPr>
          <w:rFonts w:ascii="Palatino Linotype" w:eastAsia="Palatino Linotype" w:hAnsi="Palatino Linotype" w:cs="Palatino Linotype"/>
          <w:b/>
          <w:sz w:val="24"/>
          <w:szCs w:val="24"/>
        </w:rPr>
      </w:pPr>
    </w:p>
    <w:p w14:paraId="4F9D9637"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PRIMERO. COMPETENCIA.</w:t>
      </w:r>
      <w:r w:rsidRPr="00B0209B">
        <w:rPr>
          <w:rFonts w:ascii="Palatino Linotype" w:eastAsia="Palatino Linotype" w:hAnsi="Palatino Linotype" w:cs="Palatino Linotype"/>
          <w:sz w:val="24"/>
          <w:szCs w:val="24"/>
        </w:rPr>
        <w:t xml:space="preserve"> 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6B989A17"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585C4397" w14:textId="413E909F" w:rsidR="00795D34" w:rsidRPr="00B0209B" w:rsidRDefault="00795D34" w:rsidP="00795D34">
      <w:pPr>
        <w:spacing w:after="0" w:line="360" w:lineRule="auto"/>
        <w:ind w:right="49"/>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SEGUNDO. OPORTUNIDAD Y PROCEDIBILIDAD DEL RECURSO DE REVISIÓN.  </w:t>
      </w:r>
      <w:r w:rsidRPr="00B0209B">
        <w:rPr>
          <w:rFonts w:ascii="Palatino Linotype" w:eastAsia="Palatino Linotype" w:hAnsi="Palatino Linotype" w:cs="Palatino Linotype"/>
          <w:sz w:val="24"/>
          <w:szCs w:val="24"/>
        </w:rPr>
        <w:t>Previo al estudio del fondo del asunto, se procede a analizar los requisitos de oportunidad y procedibilidad que debe reunir el recurso de revisión interpuesto, previsto en el artículo 178 y 180 de la Ley de Transparencia y Acceso a la Información Pública del Estado de México y Municipios.</w:t>
      </w:r>
    </w:p>
    <w:p w14:paraId="6699CC99"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El recurso de revisión fue interpuesto dentro del plazo de quince días hábiles previsto en el artículo 178 de la Ley de Transparencia y Acceso a la Información Pública del Estado de México y Municipios, contados a partir de la fecha en que</w:t>
      </w:r>
      <w:r w:rsidRPr="00B0209B">
        <w:rPr>
          <w:rFonts w:ascii="Palatino Linotype" w:eastAsia="Palatino Linotype" w:hAnsi="Palatino Linotype" w:cs="Palatino Linotype"/>
          <w:b/>
          <w:sz w:val="24"/>
          <w:szCs w:val="24"/>
        </w:rPr>
        <w:t xml:space="preserve"> EL SUJETO OBLIGADO </w:t>
      </w:r>
      <w:r w:rsidRPr="00B0209B">
        <w:rPr>
          <w:rFonts w:ascii="Palatino Linotype" w:eastAsia="Palatino Linotype" w:hAnsi="Palatino Linotype" w:cs="Palatino Linotype"/>
          <w:sz w:val="24"/>
          <w:szCs w:val="24"/>
        </w:rPr>
        <w:t xml:space="preserve">emitió la respuesta, toda vez que esta fue pronunciada el día </w:t>
      </w:r>
      <w:r w:rsidR="00AD6199" w:rsidRPr="00B0209B">
        <w:rPr>
          <w:rFonts w:ascii="Palatino Linotype" w:eastAsia="Palatino Linotype" w:hAnsi="Palatino Linotype" w:cs="Palatino Linotype"/>
          <w:sz w:val="24"/>
          <w:szCs w:val="24"/>
        </w:rPr>
        <w:t>cinco</w:t>
      </w:r>
      <w:r w:rsidRPr="00B0209B">
        <w:rPr>
          <w:rFonts w:ascii="Palatino Linotype" w:eastAsia="Palatino Linotype" w:hAnsi="Palatino Linotype" w:cs="Palatino Linotype"/>
          <w:sz w:val="24"/>
          <w:szCs w:val="24"/>
        </w:rPr>
        <w:t xml:space="preserve"> de </w:t>
      </w:r>
      <w:r w:rsidR="00AD6199" w:rsidRPr="00B0209B">
        <w:rPr>
          <w:rFonts w:ascii="Palatino Linotype" w:eastAsia="Palatino Linotype" w:hAnsi="Palatino Linotype" w:cs="Palatino Linotype"/>
          <w:sz w:val="24"/>
          <w:szCs w:val="24"/>
        </w:rPr>
        <w:t>febre</w:t>
      </w:r>
      <w:r w:rsidRPr="00B0209B">
        <w:rPr>
          <w:rFonts w:ascii="Palatino Linotype" w:eastAsia="Palatino Linotype" w:hAnsi="Palatino Linotype" w:cs="Palatino Linotype"/>
          <w:sz w:val="24"/>
          <w:szCs w:val="24"/>
        </w:rPr>
        <w:t xml:space="preserve">ro del año dos mil veinticinco, mientras que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xml:space="preserve"> interpuso el recurso de revisión en fecha </w:t>
      </w:r>
      <w:r w:rsidR="00AD6199" w:rsidRPr="00B0209B">
        <w:rPr>
          <w:rFonts w:ascii="Palatino Linotype" w:eastAsia="Palatino Linotype" w:hAnsi="Palatino Linotype" w:cs="Palatino Linotype"/>
          <w:sz w:val="24"/>
          <w:szCs w:val="24"/>
        </w:rPr>
        <w:t>siete</w:t>
      </w:r>
      <w:r w:rsidRPr="00B0209B">
        <w:rPr>
          <w:rFonts w:ascii="Palatino Linotype" w:eastAsia="Palatino Linotype" w:hAnsi="Palatino Linotype" w:cs="Palatino Linotype"/>
          <w:sz w:val="24"/>
          <w:szCs w:val="24"/>
        </w:rPr>
        <w:t xml:space="preserve"> de febrero de dos mil veinticinco, es decir, al </w:t>
      </w:r>
      <w:r w:rsidR="00AD6199" w:rsidRPr="00B0209B">
        <w:rPr>
          <w:rFonts w:ascii="Palatino Linotype" w:eastAsia="Palatino Linotype" w:hAnsi="Palatino Linotype" w:cs="Palatino Linotype"/>
          <w:sz w:val="24"/>
          <w:szCs w:val="24"/>
        </w:rPr>
        <w:t>segundo</w:t>
      </w:r>
      <w:r w:rsidRPr="00B0209B">
        <w:rPr>
          <w:rFonts w:ascii="Palatino Linotype" w:eastAsia="Palatino Linotype" w:hAnsi="Palatino Linotype" w:cs="Palatino Linotype"/>
          <w:sz w:val="24"/>
          <w:szCs w:val="24"/>
        </w:rPr>
        <w:t xml:space="preserve"> día hábil de haber recibido la respuesta. </w:t>
      </w:r>
    </w:p>
    <w:p w14:paraId="354AF422"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17847B12"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Además, por cuanto hace a la procedibilidad del recurso de revisión, es de suma importancia señalar que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no proporcionó un nombre completo como se advierte en el detalle de seguimiento del SAIMEX, lo anterior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5072164A"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43CDE9ED" w14:textId="77777777" w:rsidR="00795D34" w:rsidRPr="00B0209B" w:rsidRDefault="00795D34" w:rsidP="00795D34">
      <w:pPr>
        <w:spacing w:after="0" w:line="276" w:lineRule="auto"/>
        <w:ind w:left="851" w:right="902"/>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"Las solicitudes anónimas, con nombre incompleto o seudónimo serán procedentes para su trámite por parte del sujeto obligado ante quien se presente. No podrá requerirse información adicional con motivo del nombre proporcionado por el solicitante."</w:t>
      </w:r>
    </w:p>
    <w:p w14:paraId="4D940928" w14:textId="77777777" w:rsidR="00795D34" w:rsidRPr="00B0209B" w:rsidRDefault="00795D34" w:rsidP="00795D34">
      <w:pPr>
        <w:spacing w:after="0" w:line="360" w:lineRule="auto"/>
        <w:ind w:left="851" w:right="902"/>
        <w:jc w:val="both"/>
        <w:rPr>
          <w:rFonts w:ascii="Palatino Linotype" w:eastAsia="Palatino Linotype" w:hAnsi="Palatino Linotype" w:cs="Palatino Linotype"/>
          <w:sz w:val="24"/>
          <w:szCs w:val="24"/>
        </w:rPr>
      </w:pPr>
    </w:p>
    <w:p w14:paraId="43301820" w14:textId="77777777" w:rsidR="00795D34" w:rsidRPr="00B0209B" w:rsidRDefault="00795D34" w:rsidP="00795D34">
      <w:pPr>
        <w:spacing w:after="0" w:line="360" w:lineRule="auto"/>
        <w:jc w:val="both"/>
        <w:rPr>
          <w:rFonts w:ascii="Palatino Linotype" w:eastAsia="Palatino Linotype" w:hAnsi="Palatino Linotype" w:cs="Palatino Linotype"/>
          <w:b/>
          <w:sz w:val="24"/>
          <w:szCs w:val="24"/>
        </w:rPr>
      </w:pPr>
      <w:r w:rsidRPr="00B0209B">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180 de la Ley de Transparencia y Acceso a la </w:t>
      </w:r>
      <w:r w:rsidRPr="00B0209B">
        <w:rPr>
          <w:rFonts w:ascii="Palatino Linotype" w:eastAsia="Palatino Linotype" w:hAnsi="Palatino Linotype" w:cs="Palatino Linotype"/>
          <w:sz w:val="24"/>
          <w:szCs w:val="24"/>
        </w:rPr>
        <w:lastRenderedPageBreak/>
        <w:t xml:space="preserve">Información Pública del Estado de México y Municipios en vigor, en atención a que fue presentado mediante el formato visible </w:t>
      </w:r>
      <w:r w:rsidRPr="00B0209B">
        <w:rPr>
          <w:rFonts w:ascii="Palatino Linotype" w:eastAsia="Palatino Linotype" w:hAnsi="Palatino Linotype" w:cs="Palatino Linotype"/>
          <w:b/>
          <w:sz w:val="24"/>
          <w:szCs w:val="24"/>
        </w:rPr>
        <w:t xml:space="preserve">EL SAIMEX.  </w:t>
      </w:r>
    </w:p>
    <w:p w14:paraId="271A603D" w14:textId="77777777" w:rsidR="00795D34" w:rsidRPr="00B0209B" w:rsidRDefault="00795D34" w:rsidP="00026BE2">
      <w:pPr>
        <w:spacing w:after="0" w:line="360" w:lineRule="auto"/>
        <w:jc w:val="both"/>
        <w:rPr>
          <w:rFonts w:ascii="Palatino Linotype" w:eastAsia="Palatino Linotype" w:hAnsi="Palatino Linotype" w:cs="Palatino Linotype"/>
          <w:sz w:val="24"/>
          <w:szCs w:val="24"/>
        </w:rPr>
      </w:pPr>
    </w:p>
    <w:p w14:paraId="39EACB1E" w14:textId="77777777" w:rsidR="00795D34" w:rsidRPr="00B0209B" w:rsidRDefault="00795D34" w:rsidP="00795D3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Finalmente, resulta procedente la interposición del recurso, según lo aducido por </w:t>
      </w:r>
      <w:r w:rsidRPr="00B0209B">
        <w:rPr>
          <w:rFonts w:ascii="Palatino Linotype" w:eastAsia="Palatino Linotype" w:hAnsi="Palatino Linotype" w:cs="Palatino Linotype"/>
          <w:b/>
          <w:sz w:val="24"/>
          <w:szCs w:val="24"/>
        </w:rPr>
        <w:t>LA PARTE RECURRENTE</w:t>
      </w:r>
      <w:r w:rsidRPr="00B0209B">
        <w:rPr>
          <w:rFonts w:ascii="Palatino Linotype" w:eastAsia="Palatino Linotype" w:hAnsi="Palatino Linotype" w:cs="Palatino Linotype"/>
          <w:sz w:val="24"/>
          <w:szCs w:val="24"/>
        </w:rPr>
        <w:t xml:space="preserve"> en sus razones o motivos de inconformidad, de acuerdo al artículo 179, fracción I de la Ley de Transparencia y Acceso a la Información Pública del Estado de México y Municipios; que a la letra dice:</w:t>
      </w:r>
    </w:p>
    <w:p w14:paraId="7F7F1842" w14:textId="77777777" w:rsidR="00795D34" w:rsidRPr="00B0209B" w:rsidRDefault="00795D34" w:rsidP="00795D34">
      <w:pPr>
        <w:pBdr>
          <w:top w:val="nil"/>
          <w:left w:val="nil"/>
          <w:bottom w:val="nil"/>
          <w:right w:val="nil"/>
          <w:between w:val="nil"/>
        </w:pBdr>
        <w:spacing w:after="0" w:line="360" w:lineRule="auto"/>
        <w:ind w:right="-147"/>
        <w:jc w:val="both"/>
        <w:rPr>
          <w:rFonts w:ascii="Palatino Linotype" w:eastAsia="Palatino Linotype" w:hAnsi="Palatino Linotype" w:cs="Palatino Linotype"/>
          <w:sz w:val="24"/>
          <w:szCs w:val="24"/>
        </w:rPr>
      </w:pPr>
    </w:p>
    <w:p w14:paraId="49D29E6D" w14:textId="77777777" w:rsidR="00795D34" w:rsidRPr="00B0209B" w:rsidRDefault="00795D34" w:rsidP="00795D3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“Artículo 179</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rPr>
        <w:t>El recurso de revisión</w:t>
      </w:r>
      <w:r w:rsidRPr="00B0209B">
        <w:rPr>
          <w:rFonts w:ascii="Palatino Linotype" w:eastAsia="Palatino Linotype" w:hAnsi="Palatino Linotype" w:cs="Palatino Linotype"/>
          <w:i/>
        </w:rPr>
        <w:t xml:space="preserve"> es un medio de protección que la Ley otorga a los particulares, para hacer valer su derecho de acceso a la información pública</w:t>
      </w:r>
      <w:r w:rsidRPr="00B0209B">
        <w:rPr>
          <w:rFonts w:ascii="Palatino Linotype" w:eastAsia="Palatino Linotype" w:hAnsi="Palatino Linotype" w:cs="Palatino Linotype"/>
          <w:b/>
          <w:i/>
        </w:rPr>
        <w:t>, y procederá en contra de las siguientes causas</w:t>
      </w:r>
      <w:r w:rsidRPr="00B0209B">
        <w:rPr>
          <w:rFonts w:ascii="Palatino Linotype" w:eastAsia="Palatino Linotype" w:hAnsi="Palatino Linotype" w:cs="Palatino Linotype"/>
          <w:i/>
        </w:rPr>
        <w:t>:</w:t>
      </w:r>
    </w:p>
    <w:p w14:paraId="30149E94" w14:textId="77777777" w:rsidR="00795D34" w:rsidRPr="00B0209B" w:rsidRDefault="00795D34" w:rsidP="00795D3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22146B95" w14:textId="77777777" w:rsidR="00795D34" w:rsidRPr="00B0209B" w:rsidRDefault="00795D34" w:rsidP="00795D34">
      <w:pPr>
        <w:pBdr>
          <w:top w:val="nil"/>
          <w:left w:val="nil"/>
          <w:bottom w:val="nil"/>
          <w:right w:val="nil"/>
          <w:between w:val="nil"/>
        </w:pBdr>
        <w:spacing w:after="0" w:line="276" w:lineRule="auto"/>
        <w:ind w:left="992" w:right="1043"/>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i/>
        </w:rPr>
        <w:t>V. La entrega de información incompleta;”</w:t>
      </w:r>
    </w:p>
    <w:p w14:paraId="0470087A"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p>
    <w:p w14:paraId="5901DF86" w14:textId="77777777" w:rsidR="00795D34" w:rsidRPr="00B0209B" w:rsidRDefault="00795D34" w:rsidP="00795D34">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TERCERO. MATERIA DE LA REVISIÓN. </w:t>
      </w:r>
      <w:r w:rsidRPr="00B0209B">
        <w:rPr>
          <w:rFonts w:ascii="Palatino Linotype" w:eastAsia="Palatino Linotype" w:hAnsi="Palatino Linotype" w:cs="Palatino Linotype"/>
          <w:sz w:val="24"/>
          <w:szCs w:val="24"/>
        </w:rPr>
        <w:t xml:space="preserve">De la revisión a las constancias y documentos que obran en el expediente electrónico se advierte, que el tema sobre el que este Organismo Garante de Transparencia y Acceso a la Información se pronunciará será: verificar si la respuesta otorgada por </w:t>
      </w:r>
      <w:r w:rsidRPr="00B0209B">
        <w:rPr>
          <w:rFonts w:ascii="Palatino Linotype" w:eastAsia="Palatino Linotype" w:hAnsi="Palatino Linotype" w:cs="Palatino Linotype"/>
          <w:b/>
          <w:sz w:val="24"/>
          <w:szCs w:val="24"/>
        </w:rPr>
        <w:t>EL</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satisface el derecho de acceso a la información pública de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o en su defecto, en caso de ser procedente, ordenar la entrega de información.</w:t>
      </w:r>
    </w:p>
    <w:p w14:paraId="37E90227" w14:textId="77777777" w:rsidR="00795D34" w:rsidRPr="00B0209B" w:rsidRDefault="00795D34" w:rsidP="00026BE2">
      <w:pPr>
        <w:spacing w:after="0" w:line="360" w:lineRule="auto"/>
        <w:jc w:val="both"/>
        <w:rPr>
          <w:rFonts w:ascii="Palatino Linotype" w:eastAsia="Palatino Linotype" w:hAnsi="Palatino Linotype" w:cs="Palatino Linotype"/>
          <w:sz w:val="24"/>
          <w:szCs w:val="24"/>
        </w:rPr>
      </w:pPr>
    </w:p>
    <w:p w14:paraId="01047048"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CUARTO. ESTUDIO Y RESOLUCIÓN DEL ASUNTO.  </w:t>
      </w:r>
      <w:r w:rsidRPr="00B0209B">
        <w:rPr>
          <w:rFonts w:ascii="Palatino Linotype" w:eastAsia="Palatino Linotype" w:hAnsi="Palatino Linotype" w:cs="Palatino Linotype"/>
          <w:sz w:val="24"/>
          <w:szCs w:val="24"/>
        </w:rPr>
        <w:t xml:space="preserve">En primer término, se estima pertinente mencionar que el derecho de acceso a la información está consagrado en instrumentos internacionales de los cuales el Estado Mexicano se ha </w:t>
      </w:r>
      <w:r w:rsidRPr="00B0209B">
        <w:rPr>
          <w:rFonts w:ascii="Palatino Linotype" w:eastAsia="Palatino Linotype" w:hAnsi="Palatino Linotype" w:cs="Palatino Linotype"/>
          <w:sz w:val="24"/>
          <w:szCs w:val="24"/>
        </w:rPr>
        <w:lastRenderedPageBreak/>
        <w:t>adherido, sin oponer reserva alguna sobre lo que nos interesa, adoptando dichas disposiciones al Derecho Interno, específicamente a nivel Constitucional, tal y como lo prevén los arábigos 1 párrafos primero, segundo y tercero y 6 apartado A fracciones I, II, III, IV, V, VI y VII que a la letra señalan:</w:t>
      </w:r>
    </w:p>
    <w:p w14:paraId="22543307"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13366837" w14:textId="77777777" w:rsidR="00885C8A" w:rsidRPr="00B0209B" w:rsidRDefault="00885C8A" w:rsidP="00885C8A">
      <w:pPr>
        <w:tabs>
          <w:tab w:val="left" w:pos="709"/>
        </w:tabs>
        <w:spacing w:after="0" w:line="276" w:lineRule="auto"/>
        <w:ind w:left="851" w:right="85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u w:val="single"/>
        </w:rPr>
        <w:t>“Artículo 1o. En los Estados Unidos Mexicanos todas las personas gozarán de los derechos humanos reconocidos en esta Constitución y en los tratados internacionales de los que el Estado Mexicano sea parte</w:t>
      </w:r>
      <w:r w:rsidRPr="00B0209B">
        <w:rPr>
          <w:rFonts w:ascii="Palatino Linotype" w:eastAsia="Palatino Linotype" w:hAnsi="Palatino Linotype" w:cs="Palatino Linotype"/>
          <w:i/>
        </w:rPr>
        <w:t>, así como de las garantías para su protección, cuyo ejercicio no podrá restringirse ni suspenderse, salvo en los casos y bajo las condiciones que esta Constitución establece.</w:t>
      </w:r>
    </w:p>
    <w:p w14:paraId="2948CEB3" w14:textId="77777777" w:rsidR="00885C8A" w:rsidRPr="00B0209B" w:rsidRDefault="00885C8A" w:rsidP="00885C8A">
      <w:pPr>
        <w:tabs>
          <w:tab w:val="left" w:pos="709"/>
        </w:tabs>
        <w:spacing w:after="0" w:line="276" w:lineRule="auto"/>
        <w:ind w:left="851" w:right="850"/>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Las normas relativas a los derechos humanos se interpretarán de conformidad con esta Constitución y con los tratados internacionales de la materia favoreciendo en todo tiempo a las personas la protección más amplia.</w:t>
      </w:r>
    </w:p>
    <w:p w14:paraId="692E7A82" w14:textId="77777777" w:rsidR="00885C8A" w:rsidRPr="00B0209B" w:rsidRDefault="00885C8A" w:rsidP="00885C8A">
      <w:pPr>
        <w:tabs>
          <w:tab w:val="left" w:pos="709"/>
        </w:tabs>
        <w:spacing w:after="0" w:line="276" w:lineRule="auto"/>
        <w:ind w:left="851" w:right="85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u w:val="single"/>
        </w:rPr>
        <w:t>Todas las autoridades, en el ámbito de sus competencias, tienen la obligación de promover, respetar, proteger y garantizar los derechos humanos de conformidad con los principios de universalidad, interdependencia, indivisibilidad y progresividad.</w:t>
      </w:r>
      <w:r w:rsidRPr="00B0209B">
        <w:rPr>
          <w:rFonts w:ascii="Palatino Linotype" w:eastAsia="Palatino Linotype" w:hAnsi="Palatino Linotype" w:cs="Palatino Linotype"/>
          <w:i/>
        </w:rPr>
        <w:t xml:space="preserve"> En consecuencia, el Estado deberá prevenir, investigar, sancionar y reparar las violaciones a los derechos humanos, en los términos que establezca la ley</w:t>
      </w:r>
    </w:p>
    <w:p w14:paraId="371ECEBE" w14:textId="77777777" w:rsidR="00885C8A" w:rsidRPr="00B0209B" w:rsidRDefault="00885C8A" w:rsidP="00885C8A">
      <w:pPr>
        <w:tabs>
          <w:tab w:val="left" w:pos="709"/>
        </w:tabs>
        <w:spacing w:after="0" w:line="276" w:lineRule="auto"/>
        <w:ind w:left="851" w:right="85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33EE1468"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“Artículo 6o.</w:t>
      </w:r>
    </w:p>
    <w:p w14:paraId="4F91BB43"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w:t>
      </w:r>
    </w:p>
    <w:p w14:paraId="24C9DF3F"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 xml:space="preserve">A. Para el ejercicio del derecho de acceso a la información, la Federación </w:t>
      </w:r>
      <w:r w:rsidRPr="00B0209B">
        <w:rPr>
          <w:rFonts w:ascii="Palatino Linotype" w:eastAsia="Palatino Linotype" w:hAnsi="Palatino Linotype" w:cs="Palatino Linotype"/>
          <w:i/>
        </w:rPr>
        <w:t>y las entidades federativas, en el ámbito de sus respectivas competencias, se regirán por los siguientes principios y bases:</w:t>
      </w:r>
    </w:p>
    <w:p w14:paraId="6F86288F"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 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w:t>
      </w:r>
      <w:r w:rsidRPr="00B0209B">
        <w:rPr>
          <w:rFonts w:ascii="Palatino Linotype" w:eastAsia="Palatino Linotype" w:hAnsi="Palatino Linotype" w:cs="Palatino Linotype"/>
          <w:i/>
        </w:rPr>
        <w:lastRenderedPageBreak/>
        <w:t>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08CEEA64"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La información que se refiere a la vida privada y los datos personales será protegida en los términos y con las excepciones que fijen las leyes. Para tal efecto, los sujetos obligados contarán con las facultades suficientes para su atención.</w:t>
      </w:r>
    </w:p>
    <w:p w14:paraId="0502BC4C"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Por lo que hace a la información relacionada con los datos personales en posesión de particulares, la ley a la que se refiere el artículo 90 de esta Constitución determinará la competencia para conocer de los procedimientos relativos a su protección, verificación e imposición de sanciones.</w:t>
      </w:r>
    </w:p>
    <w:p w14:paraId="54FE6B67"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III. Toda persona, sin necesidad de acreditar interés alguno o justificar su utilización, tendrá acceso gratuito a la información pública, a sus datos personales o a la rectificación de éstos.</w:t>
      </w:r>
    </w:p>
    <w:p w14:paraId="3F6B264F"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IV. Se establecerán mecanismos de acceso a la información pública y procedimientos de revisión expeditos que se sustanciarán ante las instancias competentes en los términos que fija esta Constitución y las leyes.</w:t>
      </w:r>
    </w:p>
    <w:p w14:paraId="0CA98104"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V.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14:paraId="5DC72189"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VI. Las leyes determinarán la manera en que los sujetos obligados deberán hacer pública la información relativa a los recursos públicos que entreguen a personas físicas o morales. </w:t>
      </w:r>
    </w:p>
    <w:p w14:paraId="3B5E6F9E"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VII. La inobservancia a las disposiciones en materia de acceso a la información pública será sancionada en los términos que dispongan las leyes. </w:t>
      </w:r>
    </w:p>
    <w:p w14:paraId="30ECDAFD"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p>
    <w:p w14:paraId="0999E68B"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VIII. Los sujetos obligados deberán promover, respetar, proteger y garantizar los derechos de acceso a la información pública y a la protección de datos personales. Las leyes en la materia determinarán las bases, principios generales y procedimientos del ejercicio de estos derechos, así como la competencia de las </w:t>
      </w:r>
      <w:r w:rsidRPr="00B0209B">
        <w:rPr>
          <w:rFonts w:ascii="Palatino Linotype" w:eastAsia="Palatino Linotype" w:hAnsi="Palatino Linotype" w:cs="Palatino Linotype"/>
          <w:i/>
        </w:rPr>
        <w:lastRenderedPageBreak/>
        <w:t>autoridades de control interno y vigilancia u homólogos en el ámbito federal y local para conocer de los procedimientos de revisión contra los actos que emitan</w:t>
      </w:r>
    </w:p>
    <w:p w14:paraId="702E12AC"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los sujetos obligados.</w:t>
      </w:r>
    </w:p>
    <w:p w14:paraId="328F48D2"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p>
    <w:p w14:paraId="3DE96F57"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Los sujetos obligados se regirán por la ley general en materia de transparencia y acceso a la información pública y protección de datos personales, en los términos que ésta se emita por el Congreso de la Unión para establecer las bases, principios generales y procedimientos del ejercicio de este derecho.</w:t>
      </w:r>
    </w:p>
    <w:p w14:paraId="3F612849"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i/>
        </w:rPr>
      </w:pPr>
    </w:p>
    <w:p w14:paraId="0D533D88" w14:textId="77777777" w:rsidR="00885C8A" w:rsidRPr="00B0209B" w:rsidRDefault="00885C8A" w:rsidP="00885C8A">
      <w:pPr>
        <w:spacing w:after="0" w:line="276" w:lineRule="auto"/>
        <w:ind w:left="851" w:right="901"/>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i/>
        </w:rPr>
        <w:t>El ejercicio de este derecho se regirá por los principios de certeza, legalidad, independencia, imparcialidad, eficacia, objetividad, profesionalismo, transparencia y máxima publicidad.</w:t>
      </w:r>
      <w:r w:rsidRPr="00B0209B">
        <w:rPr>
          <w:rFonts w:ascii="Palatino Linotype" w:eastAsia="Palatino Linotype" w:hAnsi="Palatino Linotype" w:cs="Palatino Linotype"/>
          <w:sz w:val="24"/>
          <w:szCs w:val="24"/>
        </w:rPr>
        <w:t xml:space="preserve"> </w:t>
      </w:r>
    </w:p>
    <w:p w14:paraId="4D6C490C" w14:textId="77777777" w:rsidR="00885C8A" w:rsidRPr="00B0209B" w:rsidRDefault="00885C8A" w:rsidP="00885C8A">
      <w:pPr>
        <w:spacing w:after="0" w:line="276" w:lineRule="auto"/>
        <w:ind w:left="851" w:right="851"/>
        <w:jc w:val="both"/>
        <w:rPr>
          <w:rFonts w:ascii="Palatino Linotype" w:eastAsia="Palatino Linotype" w:hAnsi="Palatino Linotype" w:cs="Palatino Linotype"/>
          <w:sz w:val="24"/>
          <w:szCs w:val="24"/>
        </w:rPr>
      </w:pPr>
    </w:p>
    <w:p w14:paraId="4E3B2581" w14:textId="77777777" w:rsidR="00885C8A" w:rsidRPr="00B0209B" w:rsidRDefault="00885C8A" w:rsidP="00885C8A">
      <w:pPr>
        <w:tabs>
          <w:tab w:val="left" w:pos="709"/>
        </w:tabs>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Así, de la interpretación sistémica de los numerales inmersos en los instrumentos legales Internacionales y Nacional, el derecho de acceso a la información es un derecho del cual goza toda persona sin discriminación alguna, el cual se ejerce ante los Poderes del Estado, entidades, dependencias o cualquiera persona física o moral que reciba y ejerza recursos públicos, siendo pública toda la información que posean con las excepciones enmarcadas, para lo cual queda demostrado que el presente sujeto obligado debe cumplir con dichos dispositivos legales.</w:t>
      </w:r>
    </w:p>
    <w:p w14:paraId="4E1A9F07" w14:textId="77777777" w:rsidR="00885C8A" w:rsidRPr="00B0209B" w:rsidRDefault="00885C8A" w:rsidP="00885C8A">
      <w:pPr>
        <w:tabs>
          <w:tab w:val="left" w:pos="709"/>
        </w:tabs>
        <w:spacing w:after="0" w:line="360" w:lineRule="auto"/>
        <w:jc w:val="both"/>
        <w:rPr>
          <w:rFonts w:ascii="Palatino Linotype" w:eastAsia="Palatino Linotype" w:hAnsi="Palatino Linotype" w:cs="Palatino Linotype"/>
          <w:sz w:val="24"/>
          <w:szCs w:val="24"/>
        </w:rPr>
      </w:pPr>
    </w:p>
    <w:p w14:paraId="6E53AF39" w14:textId="77777777" w:rsidR="00885C8A" w:rsidRPr="00B0209B" w:rsidRDefault="00885C8A" w:rsidP="00885C8A">
      <w:pPr>
        <w:tabs>
          <w:tab w:val="left" w:pos="709"/>
        </w:tabs>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En primer lugar, es conveniente analizar si la respuesta del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w:t>
      </w:r>
      <w:r w:rsidRPr="00B0209B">
        <w:rPr>
          <w:rFonts w:ascii="Palatino Linotype" w:eastAsia="Palatino Linotype" w:hAnsi="Palatino Linotype" w:cs="Palatino Linotype"/>
          <w:sz w:val="24"/>
          <w:szCs w:val="24"/>
        </w:rPr>
        <w:lastRenderedPageBreak/>
        <w:t>establece dicha determinación, que a continuación se transcribe para un mejor entendimiento:</w:t>
      </w:r>
    </w:p>
    <w:p w14:paraId="1B761C30" w14:textId="77777777" w:rsidR="00885C8A" w:rsidRPr="00B0209B" w:rsidRDefault="00885C8A" w:rsidP="00885C8A">
      <w:pPr>
        <w:tabs>
          <w:tab w:val="left" w:pos="709"/>
        </w:tabs>
        <w:spacing w:after="0" w:line="360" w:lineRule="auto"/>
        <w:jc w:val="both"/>
        <w:rPr>
          <w:rFonts w:ascii="Palatino Linotype" w:eastAsia="Palatino Linotype" w:hAnsi="Palatino Linotype" w:cs="Palatino Linotype"/>
          <w:sz w:val="24"/>
          <w:szCs w:val="24"/>
        </w:rPr>
      </w:pPr>
    </w:p>
    <w:p w14:paraId="1D24284B" w14:textId="77777777" w:rsidR="00885C8A" w:rsidRPr="00B0209B" w:rsidRDefault="00885C8A" w:rsidP="00885C8A">
      <w:pPr>
        <w:spacing w:after="0" w:line="276" w:lineRule="auto"/>
        <w:ind w:left="709" w:right="76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r w:rsidRPr="00B0209B">
        <w:rPr>
          <w:rFonts w:ascii="Palatino Linotype" w:eastAsia="Palatino Linotype" w:hAnsi="Palatino Linotype" w:cs="Palatino Linotype"/>
          <w:b/>
          <w:i/>
        </w:rPr>
        <w:t>Artículo 4.</w:t>
      </w:r>
      <w:r w:rsidRPr="00B0209B">
        <w:rPr>
          <w:rFonts w:ascii="Palatino Linotype" w:eastAsia="Palatino Linotype" w:hAnsi="Palatino Linotype" w:cs="Palatino Linotype"/>
          <w:i/>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0F2A8A55" w14:textId="77777777" w:rsidR="00885C8A" w:rsidRPr="00B0209B" w:rsidRDefault="00885C8A" w:rsidP="00885C8A">
      <w:pPr>
        <w:spacing w:after="0" w:line="276" w:lineRule="auto"/>
        <w:ind w:left="709" w:right="76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Toda la información generada, obtenida, adquirida, transformada, administrada o en posesión de los sujetos obligados es pública y accesible de manera permanente a cualquier persona</w:t>
      </w:r>
      <w:r w:rsidRPr="00B0209B">
        <w:rPr>
          <w:rFonts w:ascii="Palatino Linotype" w:eastAsia="Palatino Linotype" w:hAnsi="Palatino Linotype" w:cs="Palatino Linotype"/>
          <w:i/>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6E09A47C" w14:textId="77777777" w:rsidR="00885C8A" w:rsidRPr="00B0209B" w:rsidRDefault="00885C8A" w:rsidP="00885C8A">
      <w:pPr>
        <w:spacing w:after="0" w:line="276" w:lineRule="auto"/>
        <w:ind w:left="709" w:right="76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Los sujetos obligados deben poner en práctica, políticas y programas de acceso a la información que se apeguen a criterios de publicidad, veracidad, oportunidad, precisión y suficiencia en beneficio de los solicitantes</w:t>
      </w:r>
      <w:r w:rsidRPr="00B0209B">
        <w:rPr>
          <w:rFonts w:ascii="Palatino Linotype" w:eastAsia="Palatino Linotype" w:hAnsi="Palatino Linotype" w:cs="Palatino Linotype"/>
          <w:i/>
        </w:rPr>
        <w:t>.”</w:t>
      </w:r>
    </w:p>
    <w:p w14:paraId="02F81F70" w14:textId="77777777" w:rsidR="00885C8A" w:rsidRPr="00B0209B" w:rsidRDefault="00885C8A" w:rsidP="00885C8A">
      <w:pPr>
        <w:spacing w:after="0" w:line="276" w:lineRule="auto"/>
        <w:ind w:left="709" w:right="760"/>
        <w:jc w:val="both"/>
        <w:rPr>
          <w:rFonts w:ascii="Palatino Linotype" w:eastAsia="Palatino Linotype" w:hAnsi="Palatino Linotype" w:cs="Palatino Linotype"/>
          <w:sz w:val="24"/>
        </w:rPr>
      </w:pPr>
    </w:p>
    <w:p w14:paraId="03DABEDE"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De lo anterior, se desprende que los Sujetos Obligados tienen el deber de atender las solicitudes de acceso a la información pública que se les hagan de su conocimiento y proporcionar la información pública que obre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79D90072"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14F31649" w14:textId="77777777" w:rsidR="00885C8A" w:rsidRPr="00B0209B" w:rsidRDefault="00885C8A" w:rsidP="00885C8A">
      <w:pPr>
        <w:spacing w:after="0" w:line="276" w:lineRule="auto"/>
        <w:ind w:left="567" w:right="76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lastRenderedPageBreak/>
        <w:t>“</w:t>
      </w:r>
      <w:r w:rsidRPr="00B0209B">
        <w:rPr>
          <w:rFonts w:ascii="Palatino Linotype" w:eastAsia="Palatino Linotype" w:hAnsi="Palatino Linotype" w:cs="Palatino Linotype"/>
          <w:b/>
          <w:i/>
        </w:rPr>
        <w:t>Artículo 12.-</w:t>
      </w:r>
      <w:r w:rsidRPr="00B0209B">
        <w:rPr>
          <w:rFonts w:ascii="Palatino Linotype" w:eastAsia="Palatino Linotype" w:hAnsi="Palatino Linotype" w:cs="Palatino Linotype"/>
          <w:i/>
        </w:rPr>
        <w:t xml:space="preserve"> Quienes generen, recopilen, administren, manejen, procesen, archiven o conserven información pública serán responsables de la misma en los términos de las disposiciones jurídicas aplicables. </w:t>
      </w:r>
    </w:p>
    <w:p w14:paraId="4CAAA30B" w14:textId="77777777" w:rsidR="00885C8A" w:rsidRPr="00B0209B" w:rsidRDefault="00885C8A" w:rsidP="00885C8A">
      <w:pPr>
        <w:spacing w:after="0" w:line="276" w:lineRule="auto"/>
        <w:ind w:left="567" w:right="760"/>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Los sujetos obligados sólo proporcionarán la información pública que se les requiera y que obre en sus archivos y en el estado en que ésta se encuentre</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rPr>
        <w:t xml:space="preserve">La obligación de proporcionar información no comprende el procesamiento de la misma, ni el presentarla conforme al interés del solicitante; no estarán obligados a generarla, resumirla, efectuar cálculos o practicar investigaciones.” </w:t>
      </w:r>
    </w:p>
    <w:p w14:paraId="493DC37F"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6181CB8E" w14:textId="77777777" w:rsidR="00885C8A" w:rsidRPr="00B0209B" w:rsidRDefault="00885C8A" w:rsidP="00885C8A">
      <w:pPr>
        <w:spacing w:after="0" w:line="360" w:lineRule="auto"/>
        <w:jc w:val="both"/>
        <w:rPr>
          <w:rFonts w:ascii="Palatino Linotype" w:eastAsia="Palatino Linotype" w:hAnsi="Palatino Linotype" w:cs="Palatino Linotype"/>
          <w:strike/>
          <w:sz w:val="24"/>
          <w:szCs w:val="24"/>
        </w:rPr>
      </w:pPr>
      <w:r w:rsidRPr="00B0209B">
        <w:rPr>
          <w:rFonts w:ascii="Palatino Linotype" w:eastAsia="Palatino Linotype" w:hAnsi="Palatino Linotype" w:cs="Palatino Linotype"/>
          <w:sz w:val="24"/>
          <w:szCs w:val="24"/>
        </w:rPr>
        <w:t>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Pr="00B0209B">
        <w:rPr>
          <w:rFonts w:ascii="Palatino Linotype" w:eastAsia="Palatino Linotype" w:hAnsi="Palatino Linotype" w:cs="Palatino Linotype"/>
          <w:strike/>
          <w:sz w:val="24"/>
          <w:szCs w:val="24"/>
        </w:rPr>
        <w:t xml:space="preserve"> </w:t>
      </w:r>
    </w:p>
    <w:p w14:paraId="4B6B006B" w14:textId="77777777" w:rsidR="00885C8A" w:rsidRPr="00B0209B" w:rsidRDefault="00885C8A" w:rsidP="00885C8A">
      <w:pPr>
        <w:spacing w:after="0" w:line="360" w:lineRule="auto"/>
        <w:jc w:val="both"/>
        <w:rPr>
          <w:rFonts w:ascii="Palatino Linotype" w:eastAsia="Palatino Linotype" w:hAnsi="Palatino Linotype" w:cs="Palatino Linotype"/>
          <w:strike/>
          <w:sz w:val="24"/>
          <w:szCs w:val="24"/>
        </w:rPr>
      </w:pPr>
    </w:p>
    <w:p w14:paraId="62FBF00C" w14:textId="77777777" w:rsidR="00885C8A" w:rsidRPr="00B0209B" w:rsidRDefault="00885C8A" w:rsidP="00885C8A">
      <w:pPr>
        <w:spacing w:after="0" w:line="360" w:lineRule="auto"/>
        <w:ind w:right="49"/>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Ley de Transparencia y Acceso a la Información Pública del Estado de México y Municipios.</w:t>
      </w:r>
    </w:p>
    <w:p w14:paraId="7634DAC4" w14:textId="77777777" w:rsidR="00885C8A" w:rsidRPr="00B0209B" w:rsidRDefault="00885C8A" w:rsidP="00885C8A">
      <w:pPr>
        <w:spacing w:after="0" w:line="360" w:lineRule="auto"/>
        <w:ind w:right="49"/>
        <w:jc w:val="both"/>
        <w:rPr>
          <w:rFonts w:ascii="Palatino Linotype" w:eastAsia="Palatino Linotype" w:hAnsi="Palatino Linotype" w:cs="Palatino Linotype"/>
          <w:sz w:val="24"/>
          <w:szCs w:val="24"/>
        </w:rPr>
      </w:pPr>
    </w:p>
    <w:p w14:paraId="64B98C4F"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Por otra parte, conviene mencionar que la Ley de Transparencia vigente en el Estado de México refiere: </w:t>
      </w:r>
    </w:p>
    <w:p w14:paraId="3D489D53" w14:textId="77777777" w:rsidR="00885C8A" w:rsidRPr="00B0209B" w:rsidRDefault="00885C8A" w:rsidP="00885C8A">
      <w:pPr>
        <w:spacing w:after="0" w:line="276" w:lineRule="auto"/>
        <w:ind w:left="851" w:right="85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lastRenderedPageBreak/>
        <w:t>“Artículo 18.</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u w:val="single"/>
        </w:rPr>
        <w:t>Los sujetos obligados deberán documentar todo acto que derive del ejercicio de sus facultades, competencias o funciones, considerando desde su origen la eventual publicidad</w:t>
      </w:r>
      <w:r w:rsidRPr="00B0209B">
        <w:rPr>
          <w:rFonts w:ascii="Palatino Linotype" w:eastAsia="Palatino Linotype" w:hAnsi="Palatino Linotype" w:cs="Palatino Linotype"/>
          <w:i/>
        </w:rPr>
        <w:t xml:space="preserve"> y reutilización de la información que generen.</w:t>
      </w:r>
    </w:p>
    <w:p w14:paraId="25C83ED6" w14:textId="77777777" w:rsidR="00885C8A" w:rsidRPr="00B0209B" w:rsidRDefault="00885C8A" w:rsidP="00885C8A">
      <w:pPr>
        <w:spacing w:after="0" w:line="276" w:lineRule="auto"/>
        <w:ind w:left="851" w:right="85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 xml:space="preserve">Artículo 19. </w:t>
      </w:r>
      <w:r w:rsidRPr="00B0209B">
        <w:rPr>
          <w:rFonts w:ascii="Palatino Linotype" w:eastAsia="Palatino Linotype" w:hAnsi="Palatino Linotype" w:cs="Palatino Linotype"/>
          <w:b/>
          <w:i/>
          <w:u w:val="single"/>
        </w:rPr>
        <w:t>Se presume que la información debe existir si se refiere a las facultades, competencias y funciones que los ordenamientos jurídicos aplicables otorgan a los sujetos obligados</w:t>
      </w:r>
      <w:r w:rsidRPr="00B0209B">
        <w:rPr>
          <w:rFonts w:ascii="Palatino Linotype" w:eastAsia="Palatino Linotype" w:hAnsi="Palatino Linotype" w:cs="Palatino Linotype"/>
          <w:i/>
        </w:rPr>
        <w:t>.</w:t>
      </w:r>
    </w:p>
    <w:p w14:paraId="0E1F6EBD" w14:textId="77777777" w:rsidR="00885C8A" w:rsidRPr="00B0209B" w:rsidRDefault="00885C8A" w:rsidP="00885C8A">
      <w:pPr>
        <w:spacing w:after="0" w:line="276" w:lineRule="auto"/>
        <w:ind w:left="851" w:right="85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En los casos en que ciertas facultades, competencias o funciones no se hayan ejercido, se debe motivar la respuesta en función de las causas que motiven tal circunstancia. </w:t>
      </w:r>
    </w:p>
    <w:p w14:paraId="66E7F7B7" w14:textId="77777777" w:rsidR="00885C8A" w:rsidRPr="00B0209B" w:rsidRDefault="00885C8A" w:rsidP="00885C8A">
      <w:pPr>
        <w:spacing w:after="0" w:line="276" w:lineRule="auto"/>
        <w:ind w:left="851" w:right="851"/>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w:t>
      </w:r>
    </w:p>
    <w:p w14:paraId="6C170404" w14:textId="77777777" w:rsidR="00885C8A" w:rsidRPr="00B0209B" w:rsidRDefault="00885C8A" w:rsidP="00885C8A">
      <w:pPr>
        <w:spacing w:after="0" w:line="276" w:lineRule="auto"/>
        <w:ind w:left="851" w:right="851"/>
        <w:contextualSpacing/>
        <w:jc w:val="both"/>
        <w:rPr>
          <w:rFonts w:ascii="Palatino Linotype" w:eastAsia="Palatino Linotype" w:hAnsi="Palatino Linotype" w:cs="Palatino Linotype"/>
          <w:sz w:val="24"/>
        </w:rPr>
      </w:pPr>
    </w:p>
    <w:p w14:paraId="4A01F3CE"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De los dispositivos legales en comento, se aprecia que todo acto de autoridad en el ejercicio de sus funciones y atribuciones debe estar documentado, por lo que para dar atención a una solicitud de información el Sujeto Obligado debe entregar el soporte documental en donde conste la información requerida, debiendo contemplar que no se trate de información reservada o confidencial, por lo que debe cuidar dicha información a través del acuerdo clasificatorio del comité de transparencia y la versión pública que emita cada Sujeto Obligado; como así se establece en la Ley de Transparencia y Acceso a la Información Pública del Estado de México y Municipios.</w:t>
      </w:r>
    </w:p>
    <w:p w14:paraId="47F30478"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50FF593E"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En conclusión, el derecho de acceso a la información pública, consiste en que la información solicitada conste en un documento en cualquiera de sus formas, a saber: expedientes, reportes, estudios, actas, resoluciones, oficios, correspondencia, </w:t>
      </w:r>
      <w:r w:rsidRPr="00B0209B">
        <w:rPr>
          <w:rFonts w:ascii="Palatino Linotype" w:eastAsia="Palatino Linotype" w:hAnsi="Palatino Linotype" w:cs="Palatino Linotype"/>
          <w:sz w:val="24"/>
          <w:szCs w:val="24"/>
        </w:rPr>
        <w:lastRenderedPageBreak/>
        <w:t xml:space="preserve">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6F0F7DB5"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40566EF5"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r w:rsidRPr="00B0209B">
        <w:rPr>
          <w:rFonts w:ascii="Palatino Linotype" w:eastAsia="Palatino Linotype" w:hAnsi="Palatino Linotype" w:cs="Palatino Linotype"/>
          <w:b/>
          <w:i/>
        </w:rPr>
        <w:t xml:space="preserve">Artículo 3. </w:t>
      </w:r>
      <w:r w:rsidRPr="00B0209B">
        <w:rPr>
          <w:rFonts w:ascii="Palatino Linotype" w:eastAsia="Palatino Linotype" w:hAnsi="Palatino Linotype" w:cs="Palatino Linotype"/>
          <w:i/>
        </w:rPr>
        <w:t>Para los efectos de la presente Ley se entenderá por:</w:t>
      </w:r>
    </w:p>
    <w:p w14:paraId="4EEB7D8D"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3B3C6E2D"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XI. Documento:</w:t>
      </w:r>
      <w:r w:rsidRPr="00B0209B">
        <w:rPr>
          <w:rFonts w:ascii="Palatino Linotype" w:eastAsia="Palatino Linotype" w:hAnsi="Palatino Linotype" w:cs="Palatino Linotype"/>
          <w:i/>
        </w:rPr>
        <w:t xml:space="preserve"> Los expedientes, reportes, estudios, actas</w:t>
      </w:r>
      <w:r w:rsidRPr="00B0209B">
        <w:rPr>
          <w:rFonts w:ascii="Palatino Linotype" w:eastAsia="Palatino Linotype" w:hAnsi="Palatino Linotype" w:cs="Palatino Linotype"/>
          <w:b/>
          <w:i/>
        </w:rPr>
        <w:t>,</w:t>
      </w:r>
      <w:r w:rsidRPr="00B0209B">
        <w:rPr>
          <w:rFonts w:ascii="Palatino Linotype" w:eastAsia="Palatino Linotype" w:hAnsi="Palatino Linotype" w:cs="Palatino Linotype"/>
          <w:i/>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185B9A07" w14:textId="77777777" w:rsidR="00885C8A" w:rsidRPr="00B0209B" w:rsidRDefault="00885C8A" w:rsidP="00885C8A">
      <w:pPr>
        <w:spacing w:after="0" w:line="360" w:lineRule="auto"/>
        <w:ind w:left="851" w:right="899"/>
        <w:jc w:val="both"/>
        <w:rPr>
          <w:rFonts w:ascii="Palatino Linotype" w:eastAsia="Palatino Linotype" w:hAnsi="Palatino Linotype" w:cs="Palatino Linotype"/>
          <w:sz w:val="24"/>
          <w:szCs w:val="24"/>
        </w:rPr>
      </w:pPr>
    </w:p>
    <w:p w14:paraId="0D30C4AE"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Siendo aplicable, el Criterio 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refieren lo siguiente:</w:t>
      </w:r>
    </w:p>
    <w:p w14:paraId="22F5FB4A"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51B60293"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rPr>
        <w:t>“</w:t>
      </w:r>
      <w:r w:rsidRPr="00B0209B">
        <w:rPr>
          <w:rFonts w:ascii="Palatino Linotype" w:eastAsia="Palatino Linotype" w:hAnsi="Palatino Linotype" w:cs="Palatino Linotype"/>
          <w:b/>
          <w:i/>
        </w:rPr>
        <w:t>CRITERIO 0002-11</w:t>
      </w:r>
    </w:p>
    <w:p w14:paraId="4E8DA030"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INFORMACIÓN PÚBLICA, CONCEPTO DE, EN MATERIA DE TRANSPARENCIA. INTERPRETACIÓN SISTEMÁTICA DE LOS ARTÍCULOS 2°, FRACCIÓN V, XV, Y XVI, 3°, 4°, 11 Y 41.</w:t>
      </w:r>
      <w:r w:rsidRPr="00B0209B">
        <w:rPr>
          <w:rFonts w:ascii="Palatino Linotype" w:eastAsia="Palatino Linotype" w:hAnsi="Palatino Linotype" w:cs="Palatino Linotype"/>
          <w:i/>
        </w:rPr>
        <w:t xml:space="preserve"> De conformidad con los artículos antes referidos, el derecho de acceso a la información pública, se </w:t>
      </w:r>
      <w:r w:rsidRPr="00B0209B">
        <w:rPr>
          <w:rFonts w:ascii="Palatino Linotype" w:eastAsia="Palatino Linotype" w:hAnsi="Palatino Linotype" w:cs="Palatino Linotype"/>
          <w:i/>
        </w:rPr>
        <w:lastRenderedPageBreak/>
        <w:t>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A4722A9"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En </w:t>
      </w:r>
      <w:proofErr w:type="gramStart"/>
      <w:r w:rsidRPr="00B0209B">
        <w:rPr>
          <w:rFonts w:ascii="Palatino Linotype" w:eastAsia="Palatino Linotype" w:hAnsi="Palatino Linotype" w:cs="Palatino Linotype"/>
          <w:i/>
        </w:rPr>
        <w:t>consecuencia</w:t>
      </w:r>
      <w:proofErr w:type="gramEnd"/>
      <w:r w:rsidRPr="00B0209B">
        <w:rPr>
          <w:rFonts w:ascii="Palatino Linotype" w:eastAsia="Palatino Linotype" w:hAnsi="Palatino Linotype" w:cs="Palatino Linotype"/>
          <w:i/>
        </w:rPr>
        <w:t xml:space="preserve"> el acceso a la información se refiere a que se cumplan cualquiera de los siguientes tres supuestos:</w:t>
      </w:r>
    </w:p>
    <w:p w14:paraId="06098357"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1) Que se trate de información registrada en cualquier soporte documental, </w:t>
      </w:r>
      <w:proofErr w:type="gramStart"/>
      <w:r w:rsidRPr="00B0209B">
        <w:rPr>
          <w:rFonts w:ascii="Palatino Linotype" w:eastAsia="Palatino Linotype" w:hAnsi="Palatino Linotype" w:cs="Palatino Linotype"/>
          <w:i/>
        </w:rPr>
        <w:t>que</w:t>
      </w:r>
      <w:proofErr w:type="gramEnd"/>
      <w:r w:rsidRPr="00B0209B">
        <w:rPr>
          <w:rFonts w:ascii="Palatino Linotype" w:eastAsia="Palatino Linotype" w:hAnsi="Palatino Linotype" w:cs="Palatino Linotype"/>
          <w:i/>
        </w:rPr>
        <w:t xml:space="preserve"> en ejercicio de las atribuciones conferidas, sea generada por los Sujetos Obligados;</w:t>
      </w:r>
    </w:p>
    <w:p w14:paraId="36006132"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2) Que se trate de información registrada en cualquier soporte documental, </w:t>
      </w:r>
      <w:proofErr w:type="gramStart"/>
      <w:r w:rsidRPr="00B0209B">
        <w:rPr>
          <w:rFonts w:ascii="Palatino Linotype" w:eastAsia="Palatino Linotype" w:hAnsi="Palatino Linotype" w:cs="Palatino Linotype"/>
          <w:i/>
        </w:rPr>
        <w:t>que</w:t>
      </w:r>
      <w:proofErr w:type="gramEnd"/>
      <w:r w:rsidRPr="00B0209B">
        <w:rPr>
          <w:rFonts w:ascii="Palatino Linotype" w:eastAsia="Palatino Linotype" w:hAnsi="Palatino Linotype" w:cs="Palatino Linotype"/>
          <w:i/>
        </w:rPr>
        <w:t xml:space="preserve"> en ejercicio de las atribuciones conferidas, sea administrada por los Sujetos Obligados, y</w:t>
      </w:r>
    </w:p>
    <w:p w14:paraId="479D84AB" w14:textId="77777777" w:rsidR="00885C8A" w:rsidRPr="00B0209B" w:rsidRDefault="00885C8A" w:rsidP="00885C8A">
      <w:pPr>
        <w:spacing w:after="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3) Que se trate de información registrada en cualquier soporte documental, </w:t>
      </w:r>
      <w:proofErr w:type="gramStart"/>
      <w:r w:rsidRPr="00B0209B">
        <w:rPr>
          <w:rFonts w:ascii="Palatino Linotype" w:eastAsia="Palatino Linotype" w:hAnsi="Palatino Linotype" w:cs="Palatino Linotype"/>
          <w:i/>
        </w:rPr>
        <w:t>que</w:t>
      </w:r>
      <w:proofErr w:type="gramEnd"/>
      <w:r w:rsidRPr="00B0209B">
        <w:rPr>
          <w:rFonts w:ascii="Palatino Linotype" w:eastAsia="Palatino Linotype" w:hAnsi="Palatino Linotype" w:cs="Palatino Linotype"/>
          <w:i/>
        </w:rPr>
        <w:t xml:space="preserve"> en ejercicio de las atribuciones conferidas, se encuentre en posesión de los Sujetos Obligados.” </w:t>
      </w:r>
    </w:p>
    <w:p w14:paraId="00F7753B" w14:textId="77777777" w:rsidR="00885C8A" w:rsidRPr="00B0209B" w:rsidRDefault="00885C8A" w:rsidP="00885C8A">
      <w:pPr>
        <w:spacing w:after="0" w:line="276" w:lineRule="auto"/>
        <w:ind w:left="851" w:right="899"/>
        <w:jc w:val="both"/>
        <w:rPr>
          <w:rFonts w:ascii="Palatino Linotype" w:eastAsia="Palatino Linotype" w:hAnsi="Palatino Linotype" w:cs="Palatino Linotype"/>
          <w:sz w:val="24"/>
          <w:szCs w:val="24"/>
        </w:rPr>
      </w:pPr>
    </w:p>
    <w:p w14:paraId="30591B7F"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De ahí que </w:t>
      </w:r>
      <w:r w:rsidRPr="00B0209B">
        <w:rPr>
          <w:rFonts w:ascii="Palatino Linotype" w:eastAsia="Palatino Linotype" w:hAnsi="Palatino Linotype" w:cs="Palatino Linotype"/>
          <w:b/>
          <w:sz w:val="24"/>
          <w:szCs w:val="24"/>
        </w:rPr>
        <w:t>EL SUJETO OBLIGADO</w:t>
      </w:r>
      <w:r w:rsidRPr="00B0209B">
        <w:rPr>
          <w:rFonts w:ascii="Palatino Linotype" w:eastAsia="Palatino Linotype" w:hAnsi="Palatino Linotype" w:cs="Palatino Linotype"/>
          <w:sz w:val="24"/>
          <w:szCs w:val="24"/>
        </w:rPr>
        <w:t xml:space="preserve"> cuenta con el deber de satisfacer las solicitudes de acceso a la información que le sean formuladas y entregar la información pública que obre en sus archivos pudiendo ser de manera electrónica; más aún si la misma se trata de información relativa a obligaciones de transparencia, la cual se relaciona con aquella que se genere de acuerdo con sus facultades, atribuciones y obligaciones señaladas por la Ley en la materia</w:t>
      </w:r>
      <w:r w:rsidRPr="00B0209B">
        <w:rPr>
          <w:rFonts w:ascii="Palatino Linotype" w:eastAsia="Palatino Linotype" w:hAnsi="Palatino Linotype" w:cs="Palatino Linotype"/>
          <w:sz w:val="24"/>
          <w:szCs w:val="24"/>
          <w:vertAlign w:val="superscript"/>
        </w:rPr>
        <w:footnoteReference w:id="1"/>
      </w:r>
      <w:r w:rsidRPr="00B0209B">
        <w:rPr>
          <w:rFonts w:ascii="Palatino Linotype" w:eastAsia="Palatino Linotype" w:hAnsi="Palatino Linotype" w:cs="Palatino Linotype"/>
          <w:sz w:val="24"/>
          <w:szCs w:val="24"/>
        </w:rPr>
        <w:t xml:space="preserve">, así como de interés público, es decir, aquella que resulta relevante o beneficiosa para la sociedad y no simplemente de interés individual, y cuya divulgación resulta útil para que el público comprenda las </w:t>
      </w:r>
      <w:r w:rsidRPr="00B0209B">
        <w:rPr>
          <w:rFonts w:ascii="Palatino Linotype" w:eastAsia="Palatino Linotype" w:hAnsi="Palatino Linotype" w:cs="Palatino Linotype"/>
          <w:sz w:val="24"/>
          <w:szCs w:val="24"/>
        </w:rPr>
        <w:lastRenderedPageBreak/>
        <w:t>actividades que llevan a cabo los Sujetos Obligados</w:t>
      </w:r>
      <w:r w:rsidRPr="00B0209B">
        <w:rPr>
          <w:rFonts w:ascii="Palatino Linotype" w:eastAsia="Palatino Linotype" w:hAnsi="Palatino Linotype" w:cs="Palatino Linotype"/>
          <w:sz w:val="24"/>
          <w:szCs w:val="24"/>
          <w:vertAlign w:val="superscript"/>
        </w:rPr>
        <w:footnoteReference w:id="2"/>
      </w:r>
      <w:r w:rsidRPr="00B0209B">
        <w:rPr>
          <w:rFonts w:ascii="Palatino Linotype" w:eastAsia="Palatino Linotype" w:hAnsi="Palatino Linotype" w:cs="Palatino Linotype"/>
          <w:sz w:val="24"/>
          <w:szCs w:val="24"/>
        </w:rPr>
        <w:t>, como pudiera tratarse de aquella relacionada con las obligaciones de transparencia señaladas en los artículos 92 de la Ley de la Materia.</w:t>
      </w:r>
    </w:p>
    <w:p w14:paraId="6580A06A"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p>
    <w:p w14:paraId="12970094" w14:textId="77777777" w:rsidR="00885C8A" w:rsidRPr="00B0209B" w:rsidRDefault="00885C8A" w:rsidP="00885C8A">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Aclarado lo anterior, de esta manera, se procede al análisis de la respuesta e informe justificado proporcionado por </w:t>
      </w:r>
      <w:r w:rsidRPr="00B0209B">
        <w:rPr>
          <w:rFonts w:ascii="Palatino Linotype" w:eastAsia="Palatino Linotype" w:hAnsi="Palatino Linotype" w:cs="Palatino Linotype"/>
          <w:b/>
          <w:sz w:val="24"/>
          <w:szCs w:val="24"/>
        </w:rPr>
        <w:t>EL</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a efecto de determinar si es suficiente para tener por colmado el derecho de acceso a la información de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o en su defecto ordenar la entrega del o los documentos que lo satisfagan.</w:t>
      </w:r>
    </w:p>
    <w:p w14:paraId="45FDE583" w14:textId="77777777" w:rsidR="00885C8A" w:rsidRPr="00B0209B" w:rsidRDefault="00885C8A" w:rsidP="00026BE2">
      <w:pPr>
        <w:spacing w:after="0" w:line="360" w:lineRule="auto"/>
        <w:jc w:val="both"/>
        <w:rPr>
          <w:rFonts w:ascii="Palatino Linotype" w:eastAsia="Palatino Linotype" w:hAnsi="Palatino Linotype" w:cs="Palatino Linotype"/>
          <w:sz w:val="24"/>
          <w:szCs w:val="24"/>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4961"/>
        <w:gridCol w:w="1276"/>
      </w:tblGrid>
      <w:tr w:rsidR="00B0209B" w:rsidRPr="00B0209B" w14:paraId="7AC91858" w14:textId="77777777" w:rsidTr="002836ED">
        <w:tc>
          <w:tcPr>
            <w:tcW w:w="2547" w:type="dxa"/>
            <w:shd w:val="clear" w:color="auto" w:fill="AEAAAA"/>
          </w:tcPr>
          <w:p w14:paraId="385AB1D3" w14:textId="77777777" w:rsidR="00885C8A" w:rsidRPr="00B0209B" w:rsidRDefault="00885C8A" w:rsidP="002836ED">
            <w:pPr>
              <w:spacing w:line="360" w:lineRule="auto"/>
              <w:jc w:val="center"/>
              <w:rPr>
                <w:rFonts w:ascii="Palatino Linotype" w:eastAsia="Palatino Linotype" w:hAnsi="Palatino Linotype" w:cs="Palatino Linotype"/>
                <w:b/>
                <w:sz w:val="20"/>
                <w:szCs w:val="20"/>
              </w:rPr>
            </w:pPr>
            <w:r w:rsidRPr="00B0209B">
              <w:rPr>
                <w:rFonts w:ascii="Palatino Linotype" w:eastAsia="Palatino Linotype" w:hAnsi="Palatino Linotype" w:cs="Palatino Linotype"/>
                <w:b/>
                <w:sz w:val="20"/>
                <w:szCs w:val="20"/>
              </w:rPr>
              <w:t>Solicitud</w:t>
            </w:r>
          </w:p>
        </w:tc>
        <w:tc>
          <w:tcPr>
            <w:tcW w:w="4961" w:type="dxa"/>
            <w:shd w:val="clear" w:color="auto" w:fill="AEAAAA"/>
          </w:tcPr>
          <w:p w14:paraId="0A64C053" w14:textId="77777777" w:rsidR="00885C8A" w:rsidRPr="00B0209B" w:rsidRDefault="00885C8A" w:rsidP="002836ED">
            <w:pPr>
              <w:spacing w:line="360" w:lineRule="auto"/>
              <w:jc w:val="center"/>
              <w:rPr>
                <w:rFonts w:ascii="Palatino Linotype" w:eastAsia="Palatino Linotype" w:hAnsi="Palatino Linotype" w:cs="Palatino Linotype"/>
                <w:b/>
                <w:sz w:val="20"/>
                <w:szCs w:val="20"/>
              </w:rPr>
            </w:pPr>
            <w:r w:rsidRPr="00B0209B">
              <w:rPr>
                <w:rFonts w:ascii="Palatino Linotype" w:eastAsia="Palatino Linotype" w:hAnsi="Palatino Linotype" w:cs="Palatino Linotype"/>
                <w:b/>
                <w:sz w:val="20"/>
                <w:szCs w:val="20"/>
              </w:rPr>
              <w:t>Respuesta</w:t>
            </w:r>
          </w:p>
        </w:tc>
        <w:tc>
          <w:tcPr>
            <w:tcW w:w="1276" w:type="dxa"/>
            <w:shd w:val="clear" w:color="auto" w:fill="AEAAAA"/>
          </w:tcPr>
          <w:p w14:paraId="5632ED5E" w14:textId="77777777" w:rsidR="00885C8A" w:rsidRPr="00B0209B" w:rsidRDefault="00885C8A" w:rsidP="002836ED">
            <w:pPr>
              <w:spacing w:line="360" w:lineRule="auto"/>
              <w:jc w:val="center"/>
              <w:rPr>
                <w:rFonts w:ascii="Palatino Linotype" w:eastAsia="Palatino Linotype" w:hAnsi="Palatino Linotype" w:cs="Palatino Linotype"/>
                <w:b/>
                <w:sz w:val="20"/>
                <w:szCs w:val="20"/>
              </w:rPr>
            </w:pPr>
            <w:r w:rsidRPr="00B0209B">
              <w:rPr>
                <w:rFonts w:ascii="Palatino Linotype" w:eastAsia="Palatino Linotype" w:hAnsi="Palatino Linotype" w:cs="Palatino Linotype"/>
                <w:b/>
                <w:sz w:val="20"/>
                <w:szCs w:val="20"/>
              </w:rPr>
              <w:t>Informe Justificado</w:t>
            </w:r>
          </w:p>
        </w:tc>
      </w:tr>
      <w:tr w:rsidR="00885C8A" w:rsidRPr="00B0209B" w14:paraId="5DA7B94E" w14:textId="77777777" w:rsidTr="002836ED">
        <w:tc>
          <w:tcPr>
            <w:tcW w:w="2547" w:type="dxa"/>
            <w:shd w:val="clear" w:color="auto" w:fill="auto"/>
          </w:tcPr>
          <w:p w14:paraId="0FB7E913" w14:textId="77777777" w:rsidR="00885C8A" w:rsidRPr="00B0209B" w:rsidRDefault="00885C8A" w:rsidP="00885C8A">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xml:space="preserve">De los inmuebles del ayuntamiento: </w:t>
            </w:r>
          </w:p>
          <w:p w14:paraId="3AAF9C14" w14:textId="77777777" w:rsidR="00E65F35" w:rsidRPr="00B0209B" w:rsidRDefault="00885C8A" w:rsidP="00885C8A">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xml:space="preserve">- Claves catastrales. </w:t>
            </w:r>
          </w:p>
          <w:p w14:paraId="1D75302F" w14:textId="7E03803B" w:rsidR="00885C8A" w:rsidRPr="00B0209B" w:rsidRDefault="00E65F35" w:rsidP="00885C8A">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xml:space="preserve">- </w:t>
            </w:r>
            <w:r w:rsidR="00885C8A" w:rsidRPr="00B0209B">
              <w:rPr>
                <w:rFonts w:ascii="Palatino Linotype" w:eastAsia="Palatino Linotype" w:hAnsi="Palatino Linotype" w:cs="Palatino Linotype"/>
                <w:sz w:val="20"/>
                <w:szCs w:val="18"/>
              </w:rPr>
              <w:t>Domicilio.</w:t>
            </w:r>
          </w:p>
          <w:p w14:paraId="33C629FB" w14:textId="77777777" w:rsidR="00885C8A" w:rsidRPr="00B0209B" w:rsidRDefault="00885C8A" w:rsidP="00885C8A">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Mapas de ubicación.</w:t>
            </w:r>
          </w:p>
          <w:p w14:paraId="544550C8" w14:textId="77777777" w:rsidR="00885C8A" w:rsidRPr="00B0209B" w:rsidRDefault="00885C8A" w:rsidP="00885C8A">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xml:space="preserve">- Escrituras qué acredite la propiedad. </w:t>
            </w:r>
          </w:p>
        </w:tc>
        <w:tc>
          <w:tcPr>
            <w:tcW w:w="4961" w:type="dxa"/>
            <w:shd w:val="clear" w:color="auto" w:fill="auto"/>
          </w:tcPr>
          <w:p w14:paraId="0238F741" w14:textId="77777777" w:rsidR="00885C8A" w:rsidRPr="00B0209B" w:rsidRDefault="00885C8A" w:rsidP="002836ED">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La Tesorería Municipal adjunta una guía por medio de la cual el ciudadano podrá acceder al IPOMEX a fin de visualizar lo solicitado, través del Artículo 92 fracción XXXVIII D, bajo el concepto “Inventario de Bienes e Inmuebles”</w:t>
            </w:r>
          </w:p>
        </w:tc>
        <w:tc>
          <w:tcPr>
            <w:tcW w:w="1276" w:type="dxa"/>
          </w:tcPr>
          <w:p w14:paraId="5E722FFC" w14:textId="77777777" w:rsidR="00885C8A" w:rsidRPr="00B0209B" w:rsidRDefault="00885C8A" w:rsidP="002836ED">
            <w:pPr>
              <w:spacing w:line="240" w:lineRule="auto"/>
              <w:jc w:val="both"/>
              <w:rPr>
                <w:rFonts w:ascii="Palatino Linotype" w:eastAsia="Palatino Linotype" w:hAnsi="Palatino Linotype" w:cs="Palatino Linotype"/>
                <w:sz w:val="20"/>
                <w:szCs w:val="18"/>
              </w:rPr>
            </w:pPr>
            <w:r w:rsidRPr="00B0209B">
              <w:rPr>
                <w:rFonts w:ascii="Palatino Linotype" w:eastAsia="Palatino Linotype" w:hAnsi="Palatino Linotype" w:cs="Palatino Linotype"/>
                <w:sz w:val="20"/>
                <w:szCs w:val="18"/>
              </w:rPr>
              <w:t xml:space="preserve">Ratifica. </w:t>
            </w:r>
          </w:p>
        </w:tc>
      </w:tr>
    </w:tbl>
    <w:p w14:paraId="067CBF41" w14:textId="77777777" w:rsidR="00885C8A" w:rsidRPr="00B0209B" w:rsidRDefault="00885C8A" w:rsidP="00026BE2">
      <w:pPr>
        <w:spacing w:after="0" w:line="360" w:lineRule="auto"/>
        <w:jc w:val="both"/>
        <w:rPr>
          <w:rFonts w:ascii="Palatino Linotype" w:eastAsia="Palatino Linotype" w:hAnsi="Palatino Linotype" w:cs="Palatino Linotype"/>
          <w:sz w:val="24"/>
          <w:szCs w:val="24"/>
        </w:rPr>
      </w:pPr>
    </w:p>
    <w:p w14:paraId="7AC1D2E3"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Es de precisar que </w:t>
      </w:r>
      <w:r w:rsidRPr="00B0209B">
        <w:rPr>
          <w:rFonts w:ascii="Palatino Linotype" w:eastAsia="Palatino Linotype" w:hAnsi="Palatino Linotype" w:cs="Palatino Linotype"/>
          <w:b/>
          <w:sz w:val="24"/>
          <w:szCs w:val="24"/>
        </w:rPr>
        <w:t xml:space="preserve">EL SUJETO OBLIGADO </w:t>
      </w:r>
      <w:r w:rsidRPr="00B0209B">
        <w:rPr>
          <w:rFonts w:ascii="Palatino Linotype" w:eastAsia="Palatino Linotype" w:hAnsi="Palatino Linotype" w:cs="Palatino Linotype"/>
          <w:sz w:val="24"/>
          <w:szCs w:val="24"/>
        </w:rPr>
        <w:t xml:space="preserve">en respuesta proporcionó una liga electrónica siendo la siguiente: </w:t>
      </w:r>
      <w:hyperlink r:id="rId7" w:history="1">
        <w:r w:rsidRPr="00B0209B">
          <w:rPr>
            <w:rStyle w:val="Hipervnculo"/>
            <w:rFonts w:ascii="Palatino Linotype" w:eastAsia="Palatino Linotype" w:hAnsi="Palatino Linotype" w:cs="Palatino Linotype"/>
            <w:color w:val="auto"/>
            <w:sz w:val="24"/>
            <w:szCs w:val="24"/>
          </w:rPr>
          <w:t>https://www2.toluca.gob.mx/</w:t>
        </w:r>
      </w:hyperlink>
      <w:r w:rsidRPr="00B0209B">
        <w:rPr>
          <w:rFonts w:ascii="Palatino Linotype" w:eastAsia="Palatino Linotype" w:hAnsi="Palatino Linotype" w:cs="Palatino Linotype"/>
          <w:sz w:val="24"/>
          <w:szCs w:val="24"/>
        </w:rPr>
        <w:t xml:space="preserve"> </w:t>
      </w:r>
    </w:p>
    <w:p w14:paraId="78C44A18"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p>
    <w:p w14:paraId="1D5B6FD6"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 xml:space="preserve">Para tal efecto, </w:t>
      </w:r>
      <w:r w:rsidR="00AD6199" w:rsidRPr="00B0209B">
        <w:rPr>
          <w:rFonts w:ascii="Palatino Linotype" w:eastAsia="Palatino Linotype" w:hAnsi="Palatino Linotype" w:cs="Palatino Linotype"/>
          <w:sz w:val="24"/>
          <w:szCs w:val="24"/>
        </w:rPr>
        <w:t>se resumen</w:t>
      </w:r>
      <w:r w:rsidRPr="00B0209B">
        <w:rPr>
          <w:rFonts w:ascii="Palatino Linotype" w:eastAsia="Palatino Linotype" w:hAnsi="Palatino Linotype" w:cs="Palatino Linotype"/>
          <w:sz w:val="24"/>
          <w:szCs w:val="24"/>
        </w:rPr>
        <w:t xml:space="preserve"> los pasos referidos por </w:t>
      </w:r>
      <w:r w:rsidRPr="00B0209B">
        <w:rPr>
          <w:rFonts w:ascii="Palatino Linotype" w:eastAsia="Palatino Linotype" w:hAnsi="Palatino Linotype" w:cs="Palatino Linotype"/>
          <w:b/>
          <w:sz w:val="24"/>
          <w:szCs w:val="24"/>
        </w:rPr>
        <w:t>EL</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en donde se obtuvo lo siguiente:</w:t>
      </w:r>
    </w:p>
    <w:p w14:paraId="57DE149F"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p>
    <w:p w14:paraId="7DC9F438"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Paso 2:</w:t>
      </w:r>
    </w:p>
    <w:p w14:paraId="47AB0E17"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r w:rsidRPr="00B0209B">
        <w:rPr>
          <w:noProof/>
        </w:rPr>
        <w:t xml:space="preserve"> </w:t>
      </w:r>
      <w:r w:rsidRPr="00B0209B">
        <w:rPr>
          <w:rFonts w:ascii="Palatino Linotype" w:eastAsia="Palatino Linotype" w:hAnsi="Palatino Linotype" w:cs="Palatino Linotype"/>
          <w:noProof/>
          <w:sz w:val="24"/>
          <w:szCs w:val="24"/>
        </w:rPr>
        <w:drawing>
          <wp:inline distT="0" distB="0" distL="0" distR="0" wp14:anchorId="7DBAADB1" wp14:editId="7DA662DF">
            <wp:extent cx="5612130" cy="2907030"/>
            <wp:effectExtent l="0" t="0" r="762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907030"/>
                    </a:xfrm>
                    <a:prstGeom prst="rect">
                      <a:avLst/>
                    </a:prstGeom>
                  </pic:spPr>
                </pic:pic>
              </a:graphicData>
            </a:graphic>
          </wp:inline>
        </w:drawing>
      </w:r>
    </w:p>
    <w:p w14:paraId="08486B0A"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p>
    <w:p w14:paraId="12675E83" w14:textId="77777777" w:rsidR="00152514" w:rsidRPr="00B0209B" w:rsidRDefault="00152514"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Paso 3: </w:t>
      </w:r>
    </w:p>
    <w:p w14:paraId="22A181E3" w14:textId="77777777" w:rsidR="00317610" w:rsidRPr="00B0209B" w:rsidRDefault="00317610" w:rsidP="00236966">
      <w:pPr>
        <w:spacing w:after="0" w:line="360" w:lineRule="auto"/>
        <w:jc w:val="center"/>
        <w:rPr>
          <w:rFonts w:ascii="Palatino Linotype" w:eastAsia="Palatino Linotype" w:hAnsi="Palatino Linotype" w:cs="Palatino Linotype"/>
          <w:sz w:val="24"/>
          <w:szCs w:val="24"/>
        </w:rPr>
      </w:pPr>
      <w:r w:rsidRPr="00B0209B">
        <w:rPr>
          <w:rFonts w:ascii="Palatino Linotype" w:eastAsia="Palatino Linotype" w:hAnsi="Palatino Linotype" w:cs="Palatino Linotype"/>
          <w:noProof/>
          <w:sz w:val="24"/>
          <w:szCs w:val="24"/>
        </w:rPr>
        <w:drawing>
          <wp:inline distT="0" distB="0" distL="0" distR="0" wp14:anchorId="732C03B6" wp14:editId="52447669">
            <wp:extent cx="4888523" cy="2286067"/>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43238" cy="2311654"/>
                    </a:xfrm>
                    <a:prstGeom prst="rect">
                      <a:avLst/>
                    </a:prstGeom>
                  </pic:spPr>
                </pic:pic>
              </a:graphicData>
            </a:graphic>
          </wp:inline>
        </w:drawing>
      </w:r>
    </w:p>
    <w:p w14:paraId="2900A115" w14:textId="77777777" w:rsidR="00317610" w:rsidRPr="00B0209B" w:rsidRDefault="00317610" w:rsidP="00026BE2">
      <w:pPr>
        <w:spacing w:after="0" w:line="360" w:lineRule="auto"/>
        <w:jc w:val="both"/>
        <w:rPr>
          <w:rFonts w:ascii="Palatino Linotype" w:eastAsia="Palatino Linotype" w:hAnsi="Palatino Linotype" w:cs="Palatino Linotype"/>
          <w:sz w:val="24"/>
          <w:szCs w:val="24"/>
        </w:rPr>
      </w:pPr>
    </w:p>
    <w:p w14:paraId="18305E46" w14:textId="77777777" w:rsidR="00317610" w:rsidRPr="00B0209B" w:rsidRDefault="0031761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Paso 4: </w:t>
      </w:r>
    </w:p>
    <w:p w14:paraId="129D6D63" w14:textId="77777777" w:rsidR="00317610" w:rsidRPr="00B0209B" w:rsidRDefault="0031761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noProof/>
          <w:sz w:val="24"/>
          <w:szCs w:val="24"/>
        </w:rPr>
        <w:drawing>
          <wp:inline distT="0" distB="0" distL="0" distR="0" wp14:anchorId="1CC9DA31" wp14:editId="06C45376">
            <wp:extent cx="5612130" cy="330200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2130" cy="3302000"/>
                    </a:xfrm>
                    <a:prstGeom prst="rect">
                      <a:avLst/>
                    </a:prstGeom>
                  </pic:spPr>
                </pic:pic>
              </a:graphicData>
            </a:graphic>
          </wp:inline>
        </w:drawing>
      </w:r>
    </w:p>
    <w:p w14:paraId="3C7A2D28" w14:textId="77777777" w:rsidR="00317610" w:rsidRPr="00B0209B" w:rsidRDefault="0031761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Finalmente,</w:t>
      </w:r>
      <w:r w:rsidRPr="00B0209B">
        <w:rPr>
          <w:rFonts w:ascii="Palatino Linotype" w:eastAsia="Palatino Linotype" w:hAnsi="Palatino Linotype" w:cs="Palatino Linotype"/>
          <w:b/>
          <w:sz w:val="24"/>
          <w:szCs w:val="24"/>
        </w:rPr>
        <w:t xml:space="preserve"> EL SUJETO OBLIGADO </w:t>
      </w:r>
      <w:r w:rsidRPr="00B0209B">
        <w:rPr>
          <w:rFonts w:ascii="Palatino Linotype" w:eastAsia="Palatino Linotype" w:hAnsi="Palatino Linotype" w:cs="Palatino Linotype"/>
          <w:sz w:val="24"/>
          <w:szCs w:val="24"/>
        </w:rPr>
        <w:t xml:space="preserve">señala que se puede ingresar el inmueble de interés, para conocer sus detalles, </w:t>
      </w:r>
      <w:r w:rsidR="00E067A0" w:rsidRPr="00B0209B">
        <w:rPr>
          <w:rFonts w:ascii="Palatino Linotype" w:eastAsia="Palatino Linotype" w:hAnsi="Palatino Linotype" w:cs="Palatino Linotype"/>
          <w:sz w:val="24"/>
          <w:szCs w:val="24"/>
        </w:rPr>
        <w:t xml:space="preserve">para tal efecto, se toma un bien inmueble a manera de verificar que información se encuentra publicada: </w:t>
      </w:r>
    </w:p>
    <w:p w14:paraId="3623283B" w14:textId="77777777" w:rsidR="00E067A0" w:rsidRPr="00B0209B" w:rsidRDefault="00E067A0" w:rsidP="00026BE2">
      <w:pPr>
        <w:spacing w:after="0" w:line="360" w:lineRule="auto"/>
        <w:jc w:val="both"/>
        <w:rPr>
          <w:rFonts w:ascii="Palatino Linotype" w:eastAsia="Palatino Linotype" w:hAnsi="Palatino Linotype" w:cs="Palatino Linotype"/>
          <w:sz w:val="24"/>
          <w:szCs w:val="24"/>
        </w:rPr>
      </w:pPr>
    </w:p>
    <w:p w14:paraId="7DCB2AF5" w14:textId="77777777" w:rsidR="00E067A0" w:rsidRPr="00B0209B" w:rsidRDefault="00E067A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noProof/>
          <w:sz w:val="24"/>
          <w:szCs w:val="24"/>
        </w:rPr>
        <w:lastRenderedPageBreak/>
        <w:drawing>
          <wp:inline distT="0" distB="0" distL="0" distR="0" wp14:anchorId="34C2782F" wp14:editId="23898442">
            <wp:extent cx="5584054" cy="2494072"/>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14"/>
                    <a:stretch/>
                  </pic:blipFill>
                  <pic:spPr bwMode="auto">
                    <a:xfrm>
                      <a:off x="0" y="0"/>
                      <a:ext cx="5592154" cy="2497690"/>
                    </a:xfrm>
                    <a:prstGeom prst="rect">
                      <a:avLst/>
                    </a:prstGeom>
                    <a:ln>
                      <a:noFill/>
                    </a:ln>
                    <a:extLst>
                      <a:ext uri="{53640926-AAD7-44D8-BBD7-CCE9431645EC}">
                        <a14:shadowObscured xmlns:a14="http://schemas.microsoft.com/office/drawing/2010/main"/>
                      </a:ext>
                    </a:extLst>
                  </pic:spPr>
                </pic:pic>
              </a:graphicData>
            </a:graphic>
          </wp:inline>
        </w:drawing>
      </w:r>
    </w:p>
    <w:p w14:paraId="763BFCCD" w14:textId="77777777" w:rsidR="00E067A0" w:rsidRPr="00B0209B" w:rsidRDefault="00E067A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noProof/>
          <w:sz w:val="24"/>
          <w:szCs w:val="24"/>
        </w:rPr>
        <w:drawing>
          <wp:inline distT="0" distB="0" distL="0" distR="0" wp14:anchorId="6DA3A201" wp14:editId="398AEBE3">
            <wp:extent cx="5583555" cy="259367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740"/>
                    <a:stretch/>
                  </pic:blipFill>
                  <pic:spPr bwMode="auto">
                    <a:xfrm>
                      <a:off x="0" y="0"/>
                      <a:ext cx="5588847" cy="2596137"/>
                    </a:xfrm>
                    <a:prstGeom prst="rect">
                      <a:avLst/>
                    </a:prstGeom>
                    <a:ln>
                      <a:noFill/>
                    </a:ln>
                    <a:extLst>
                      <a:ext uri="{53640926-AAD7-44D8-BBD7-CCE9431645EC}">
                        <a14:shadowObscured xmlns:a14="http://schemas.microsoft.com/office/drawing/2010/main"/>
                      </a:ext>
                    </a:extLst>
                  </pic:spPr>
                </pic:pic>
              </a:graphicData>
            </a:graphic>
          </wp:inline>
        </w:drawing>
      </w:r>
    </w:p>
    <w:p w14:paraId="765E31CA" w14:textId="77777777" w:rsidR="00E067A0" w:rsidRPr="00B0209B" w:rsidRDefault="00E067A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noProof/>
          <w:sz w:val="24"/>
          <w:szCs w:val="24"/>
        </w:rPr>
        <w:drawing>
          <wp:inline distT="0" distB="0" distL="0" distR="0" wp14:anchorId="2188301E" wp14:editId="00AAC1C6">
            <wp:extent cx="5612130" cy="2095500"/>
            <wp:effectExtent l="0" t="0" r="762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2130" cy="2095500"/>
                    </a:xfrm>
                    <a:prstGeom prst="rect">
                      <a:avLst/>
                    </a:prstGeom>
                  </pic:spPr>
                </pic:pic>
              </a:graphicData>
            </a:graphic>
          </wp:inline>
        </w:drawing>
      </w:r>
    </w:p>
    <w:p w14:paraId="6F51D534" w14:textId="77777777" w:rsidR="00E067A0" w:rsidRPr="00B0209B" w:rsidRDefault="00E067A0" w:rsidP="00026BE2">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S</w:t>
      </w:r>
      <w:r w:rsidR="002836ED" w:rsidRPr="00B0209B">
        <w:rPr>
          <w:rFonts w:ascii="Palatino Linotype" w:eastAsia="Palatino Linotype" w:hAnsi="Palatino Linotype" w:cs="Palatino Linotype"/>
          <w:sz w:val="24"/>
          <w:szCs w:val="24"/>
        </w:rPr>
        <w:t xml:space="preserve">i bien, de la información proporcionada señala la documentación con la que acredita la propiedad o posesión del inmueble, no se localizó el soporte documental, aunado a ello, tampoco se advierten las claves catastrales y mapa de ubicación, siendo que </w:t>
      </w:r>
      <w:r w:rsidR="002836ED" w:rsidRPr="00B0209B">
        <w:rPr>
          <w:rFonts w:ascii="Palatino Linotype" w:eastAsia="Palatino Linotype" w:hAnsi="Palatino Linotype" w:cs="Palatino Linotype"/>
          <w:sz w:val="24"/>
          <w:szCs w:val="24"/>
          <w:u w:val="single"/>
        </w:rPr>
        <w:t>solo se advierte el domicilio en donde se encuentran los bienes inmuebles</w:t>
      </w:r>
      <w:r w:rsidR="002836ED" w:rsidRPr="00B0209B">
        <w:rPr>
          <w:rFonts w:ascii="Palatino Linotype" w:eastAsia="Palatino Linotype" w:hAnsi="Palatino Linotype" w:cs="Palatino Linotype"/>
          <w:sz w:val="24"/>
          <w:szCs w:val="24"/>
        </w:rPr>
        <w:t>, por lo que se da por colmado este punto de la solicitud.</w:t>
      </w:r>
    </w:p>
    <w:p w14:paraId="316D11A5" w14:textId="77777777" w:rsidR="002836ED" w:rsidRPr="00B0209B" w:rsidRDefault="002836ED" w:rsidP="00026BE2">
      <w:pPr>
        <w:spacing w:after="0" w:line="360" w:lineRule="auto"/>
        <w:jc w:val="both"/>
        <w:rPr>
          <w:rFonts w:ascii="Palatino Linotype" w:eastAsia="Palatino Linotype" w:hAnsi="Palatino Linotype" w:cs="Palatino Linotype"/>
          <w:sz w:val="24"/>
          <w:szCs w:val="24"/>
        </w:rPr>
      </w:pPr>
    </w:p>
    <w:p w14:paraId="404AB431" w14:textId="77777777" w:rsidR="002836ED" w:rsidRPr="00B0209B" w:rsidRDefault="002836ED" w:rsidP="002836ED">
      <w:pPr>
        <w:spacing w:before="240" w:after="240" w:line="360" w:lineRule="auto"/>
        <w:contextualSpacing/>
        <w:jc w:val="both"/>
        <w:rPr>
          <w:rFonts w:ascii="Palatino Linotype" w:eastAsia="Palatino Linotype" w:hAnsi="Palatino Linotype" w:cs="Palatino Linotype"/>
          <w:sz w:val="24"/>
        </w:rPr>
      </w:pPr>
      <w:r w:rsidRPr="00B0209B">
        <w:rPr>
          <w:rFonts w:ascii="Palatino Linotype" w:eastAsia="Palatino Linotype" w:hAnsi="Palatino Linotype" w:cs="Palatino Linotype"/>
          <w:sz w:val="24"/>
        </w:rPr>
        <w:t>Cabe reiterar que la respuesta fue proporcionada por la Tesorería Municipal, quien cuenta con las siguientes funciones y atribuciones:</w:t>
      </w:r>
    </w:p>
    <w:p w14:paraId="0CEFA00F" w14:textId="77777777" w:rsidR="002836ED" w:rsidRPr="00B0209B" w:rsidRDefault="002836ED" w:rsidP="002836ED">
      <w:pPr>
        <w:spacing w:before="240" w:after="240" w:line="360" w:lineRule="auto"/>
        <w:contextualSpacing/>
        <w:jc w:val="both"/>
        <w:rPr>
          <w:rFonts w:ascii="Palatino Linotype" w:eastAsia="Palatino Linotype" w:hAnsi="Palatino Linotype" w:cs="Palatino Linotype"/>
          <w:sz w:val="24"/>
        </w:rPr>
      </w:pPr>
    </w:p>
    <w:p w14:paraId="5FDC1446" w14:textId="77777777" w:rsidR="002836ED" w:rsidRPr="00B0209B" w:rsidRDefault="002836ED" w:rsidP="002836ED">
      <w:pPr>
        <w:spacing w:before="240" w:after="240" w:line="276" w:lineRule="auto"/>
        <w:ind w:left="851" w:right="902"/>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w:t>
      </w:r>
      <w:r w:rsidR="00841358" w:rsidRPr="00B0209B">
        <w:rPr>
          <w:rFonts w:ascii="Palatino Linotype" w:eastAsia="Palatino Linotype" w:hAnsi="Palatino Linotype" w:cs="Palatino Linotype"/>
          <w:b/>
          <w:i/>
        </w:rPr>
        <w:t>CÓDIGO REGLAMENTARIO MUNICIPAL DE TOLUCA</w:t>
      </w:r>
    </w:p>
    <w:p w14:paraId="19029D72" w14:textId="77777777" w:rsidR="002836ED" w:rsidRPr="00B0209B" w:rsidRDefault="002836ED" w:rsidP="002836ED">
      <w:pPr>
        <w:spacing w:before="240" w:after="240" w:line="276" w:lineRule="auto"/>
        <w:ind w:left="851" w:right="902"/>
        <w:contextualSpacing/>
        <w:jc w:val="both"/>
        <w:rPr>
          <w:rFonts w:ascii="Palatino Linotype" w:eastAsia="Palatino Linotype" w:hAnsi="Palatino Linotype" w:cs="Palatino Linotype"/>
          <w:b/>
          <w:i/>
        </w:rPr>
      </w:pPr>
    </w:p>
    <w:p w14:paraId="145ED3FE"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Artículo 3.19. La o el titular de la Tesorería Municipal tendrá las siguientes atribuciones:</w:t>
      </w:r>
      <w:r w:rsidR="002836ED" w:rsidRPr="00B0209B">
        <w:rPr>
          <w:rFonts w:ascii="Palatino Linotype" w:eastAsia="Palatino Linotype" w:hAnsi="Palatino Linotype" w:cs="Palatino Linotype"/>
          <w:i/>
        </w:rPr>
        <w:cr/>
      </w:r>
      <w:r w:rsidRPr="00B0209B">
        <w:rPr>
          <w:rFonts w:ascii="Palatino Linotype" w:eastAsia="Palatino Linotype" w:hAnsi="Palatino Linotype" w:cs="Palatino Linotype"/>
          <w:i/>
        </w:rPr>
        <w:t>(…)</w:t>
      </w:r>
    </w:p>
    <w:p w14:paraId="14F765E2" w14:textId="77777777" w:rsidR="002836ED"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Administrar, instrumentar, planear, implementar y supervisar la operación y desarrollo de la actividad catastral para la inscripción o actualización de la información de los predios en el Padrón Catastral Municipal y en el Sistema Integral de Información Catastral conforme a las disposiciones aplicables en la materia;</w:t>
      </w:r>
    </w:p>
    <w:p w14:paraId="720C41D3"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5B463ABB"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VII. Supervisar el registro y control de las operaciones financieras presupuestales y contables, revisar y autorizar la integración de los informes mensuales y la cuenta pública anual del Municipio para que se entregue de manera oportuna y con apego a los lineamientos establecidos en los ordenamientos jurídicos aplicables;</w:t>
      </w:r>
    </w:p>
    <w:p w14:paraId="3047F42C"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536F0676" w14:textId="77777777" w:rsidR="002836ED"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IX. Administrar, instrumentar, planear, implementar y supervisar la operación y desarrollo de la actividad catastral para la inscripción o actualización de la información de los predios en el Padrón Catastral Municipal y en el Sistema </w:t>
      </w:r>
      <w:r w:rsidRPr="00B0209B">
        <w:rPr>
          <w:rFonts w:ascii="Palatino Linotype" w:eastAsia="Palatino Linotype" w:hAnsi="Palatino Linotype" w:cs="Palatino Linotype"/>
          <w:i/>
        </w:rPr>
        <w:lastRenderedPageBreak/>
        <w:t>Integral de Información Catastral conforme a las disposiciones aplicables en la materia;</w:t>
      </w:r>
      <w:r w:rsidR="002836ED" w:rsidRPr="00B0209B">
        <w:rPr>
          <w:rFonts w:ascii="Palatino Linotype" w:eastAsia="Palatino Linotype" w:hAnsi="Palatino Linotype" w:cs="Palatino Linotype"/>
          <w:i/>
        </w:rPr>
        <w:t>”</w:t>
      </w:r>
    </w:p>
    <w:p w14:paraId="6557CBD6" w14:textId="77777777" w:rsidR="002836ED" w:rsidRPr="00B0209B" w:rsidRDefault="002836ED" w:rsidP="002836ED">
      <w:pPr>
        <w:spacing w:before="240" w:after="240" w:line="276" w:lineRule="auto"/>
        <w:ind w:right="900"/>
        <w:contextualSpacing/>
        <w:jc w:val="both"/>
        <w:rPr>
          <w:rFonts w:ascii="Palatino Linotype" w:eastAsia="Palatino Linotype" w:hAnsi="Palatino Linotype" w:cs="Palatino Linotype"/>
          <w:i/>
          <w:sz w:val="24"/>
        </w:rPr>
      </w:pPr>
    </w:p>
    <w:p w14:paraId="7433AAF4" w14:textId="77777777" w:rsidR="002836ED" w:rsidRPr="00B0209B" w:rsidRDefault="002836ED" w:rsidP="002836ED">
      <w:pPr>
        <w:spacing w:line="360" w:lineRule="auto"/>
        <w:ind w:right="49"/>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De acuerdo a lo anterior, </w:t>
      </w:r>
      <w:r w:rsidR="00125C94" w:rsidRPr="00B0209B">
        <w:rPr>
          <w:rFonts w:ascii="Palatino Linotype" w:eastAsia="Palatino Linotype" w:hAnsi="Palatino Linotype" w:cs="Palatino Linotype"/>
          <w:sz w:val="24"/>
          <w:szCs w:val="24"/>
        </w:rPr>
        <w:t xml:space="preserve">la Tesorería Municipal, administra, instrumenta, planea, implementa y supervisa la operación desarrollo de la actividad catastral para la inscripción o actualización de la información de los predios en el Padrón Catastral Municipal, supervisa el registro y control de las operaciones financieras presupuestales y contables, revisar y autorizar la integración de los informes mensuales y la cuenta pública anual del Municipio. </w:t>
      </w:r>
    </w:p>
    <w:p w14:paraId="7D324727" w14:textId="77777777" w:rsidR="002836ED" w:rsidRPr="00B0209B" w:rsidRDefault="002836ED" w:rsidP="002836ED">
      <w:pPr>
        <w:spacing w:line="360" w:lineRule="auto"/>
        <w:ind w:right="49"/>
        <w:contextualSpacing/>
        <w:jc w:val="both"/>
        <w:rPr>
          <w:rFonts w:ascii="Palatino Linotype" w:eastAsia="Palatino Linotype" w:hAnsi="Palatino Linotype" w:cs="Palatino Linotype"/>
          <w:sz w:val="24"/>
          <w:szCs w:val="24"/>
        </w:rPr>
      </w:pPr>
    </w:p>
    <w:p w14:paraId="0CE08E65" w14:textId="77777777" w:rsidR="002836ED" w:rsidRPr="00B0209B" w:rsidRDefault="002836ED" w:rsidP="002836ED">
      <w:pPr>
        <w:spacing w:line="360" w:lineRule="auto"/>
        <w:ind w:right="49"/>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No obstante, también resulta oportuno citar lo siguiente: </w:t>
      </w:r>
    </w:p>
    <w:p w14:paraId="1DC36979" w14:textId="77777777" w:rsidR="002836ED" w:rsidRPr="00B0209B" w:rsidRDefault="002836ED" w:rsidP="002836ED">
      <w:pPr>
        <w:spacing w:before="240" w:after="240" w:line="360" w:lineRule="auto"/>
        <w:contextualSpacing/>
        <w:jc w:val="both"/>
        <w:rPr>
          <w:rFonts w:ascii="Palatino Linotype" w:eastAsia="Palatino Linotype" w:hAnsi="Palatino Linotype" w:cs="Palatino Linotype"/>
          <w:sz w:val="24"/>
        </w:rPr>
      </w:pPr>
    </w:p>
    <w:p w14:paraId="6CB203F2" w14:textId="77777777" w:rsidR="002836ED" w:rsidRPr="00B0209B" w:rsidRDefault="002836ED" w:rsidP="002836ED">
      <w:pPr>
        <w:spacing w:before="240" w:after="240" w:line="276" w:lineRule="auto"/>
        <w:ind w:left="851" w:right="902"/>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w:t>
      </w:r>
      <w:r w:rsidR="00125C94" w:rsidRPr="00B0209B">
        <w:rPr>
          <w:rFonts w:ascii="Palatino Linotype" w:eastAsia="Palatino Linotype" w:hAnsi="Palatino Linotype" w:cs="Palatino Linotype"/>
          <w:b/>
          <w:i/>
        </w:rPr>
        <w:t>CÓDIGO REGLAMENTARIO MUNICIPAL DE TOLUCA</w:t>
      </w:r>
    </w:p>
    <w:p w14:paraId="044E5593" w14:textId="77777777" w:rsidR="002836ED" w:rsidRPr="00B0209B" w:rsidRDefault="002836ED" w:rsidP="002836ED">
      <w:pPr>
        <w:spacing w:before="240" w:after="240" w:line="276" w:lineRule="auto"/>
        <w:ind w:left="851" w:right="902"/>
        <w:contextualSpacing/>
        <w:jc w:val="both"/>
        <w:rPr>
          <w:rFonts w:ascii="Palatino Linotype" w:eastAsia="Palatino Linotype" w:hAnsi="Palatino Linotype" w:cs="Palatino Linotype"/>
          <w:b/>
          <w:i/>
        </w:rPr>
      </w:pPr>
    </w:p>
    <w:p w14:paraId="4C35A937"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 xml:space="preserve">Artículo 3.11. </w:t>
      </w:r>
      <w:r w:rsidRPr="00B0209B">
        <w:rPr>
          <w:rFonts w:ascii="Palatino Linotype" w:eastAsia="Palatino Linotype" w:hAnsi="Palatino Linotype" w:cs="Palatino Linotype"/>
          <w:i/>
        </w:rPr>
        <w:t>A la o el titular de la Secretaría del Ayuntamiento le corresponde, además de las atribuciones que le confiere la Ley Orgánica Municipal, el despacho de los siguientes asuntos:</w:t>
      </w:r>
    </w:p>
    <w:p w14:paraId="41A98164" w14:textId="77777777" w:rsidR="00841358" w:rsidRPr="00B0209B" w:rsidRDefault="00841358"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p>
    <w:p w14:paraId="1ED5AE13" w14:textId="77777777" w:rsidR="00125C94"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XXI. Mantener actualizado el inventario general de bienes muebles e inmuebles propiedad del municipio, en coordinación con la o el segundo síndico, en términos de la normatividad aplicable;</w:t>
      </w:r>
    </w:p>
    <w:p w14:paraId="0683D317" w14:textId="77777777" w:rsidR="002836ED" w:rsidRPr="00B0209B" w:rsidRDefault="00125C94" w:rsidP="00125C94">
      <w:pPr>
        <w:spacing w:before="240" w:after="240"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XXII. Verificar la integración y actualización permanente de los libros de patrimonio inmobiliario, registrando las modificaciones por enajenación, cancelación, permutas, o cualquier circunstancia que se derive de los movimientos efectuados con los predios o inmuebles propiedad del municipio;</w:t>
      </w:r>
      <w:r w:rsidR="002836ED" w:rsidRPr="00B0209B">
        <w:rPr>
          <w:rFonts w:ascii="Palatino Linotype" w:eastAsia="Palatino Linotype" w:hAnsi="Palatino Linotype" w:cs="Palatino Linotype"/>
          <w:i/>
        </w:rPr>
        <w:t>”</w:t>
      </w:r>
    </w:p>
    <w:p w14:paraId="0A45D813" w14:textId="77777777" w:rsidR="002836ED" w:rsidRPr="00B0209B" w:rsidRDefault="002836ED" w:rsidP="002836ED">
      <w:pPr>
        <w:spacing w:line="360" w:lineRule="auto"/>
        <w:ind w:right="49"/>
        <w:contextualSpacing/>
        <w:jc w:val="both"/>
        <w:rPr>
          <w:rFonts w:ascii="Palatino Linotype" w:eastAsia="Palatino Linotype" w:hAnsi="Palatino Linotype" w:cs="Palatino Linotype"/>
          <w:sz w:val="24"/>
          <w:szCs w:val="24"/>
        </w:rPr>
      </w:pPr>
    </w:p>
    <w:p w14:paraId="347F05A7" w14:textId="77777777" w:rsidR="002836ED" w:rsidRPr="00B0209B" w:rsidRDefault="002836ED" w:rsidP="002836ED">
      <w:pPr>
        <w:spacing w:line="360" w:lineRule="auto"/>
        <w:ind w:right="49"/>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Al respecto, la </w:t>
      </w:r>
      <w:r w:rsidR="00841358" w:rsidRPr="00B0209B">
        <w:rPr>
          <w:rFonts w:ascii="Palatino Linotype" w:eastAsia="Palatino Linotype" w:hAnsi="Palatino Linotype" w:cs="Palatino Linotype"/>
          <w:sz w:val="24"/>
          <w:szCs w:val="24"/>
        </w:rPr>
        <w:t>Secretaría del Ayuntamiento</w:t>
      </w:r>
      <w:r w:rsidRPr="00B0209B">
        <w:rPr>
          <w:rFonts w:ascii="Palatino Linotype" w:eastAsia="Palatino Linotype" w:hAnsi="Palatino Linotype" w:cs="Palatino Linotype"/>
          <w:sz w:val="24"/>
          <w:szCs w:val="24"/>
        </w:rPr>
        <w:t xml:space="preserve">, </w:t>
      </w:r>
      <w:r w:rsidR="00841358" w:rsidRPr="00B0209B">
        <w:rPr>
          <w:rFonts w:ascii="Palatino Linotype" w:eastAsia="Palatino Linotype" w:hAnsi="Palatino Linotype" w:cs="Palatino Linotype"/>
          <w:sz w:val="24"/>
          <w:szCs w:val="24"/>
        </w:rPr>
        <w:t>mantiene actualizado</w:t>
      </w:r>
      <w:r w:rsidRPr="00B0209B">
        <w:rPr>
          <w:rFonts w:ascii="Palatino Linotype" w:eastAsia="Palatino Linotype" w:hAnsi="Palatino Linotype" w:cs="Palatino Linotype"/>
          <w:sz w:val="24"/>
          <w:szCs w:val="24"/>
        </w:rPr>
        <w:t xml:space="preserve"> </w:t>
      </w:r>
      <w:r w:rsidR="00841358" w:rsidRPr="00B0209B">
        <w:rPr>
          <w:rFonts w:ascii="Palatino Linotype" w:eastAsia="Palatino Linotype" w:hAnsi="Palatino Linotype" w:cs="Palatino Linotype"/>
          <w:sz w:val="24"/>
          <w:szCs w:val="24"/>
        </w:rPr>
        <w:t xml:space="preserve">el inventario general de bienes muebles e inmuebles propiedad del municipio, en coordinación con la o el segundo síndico, verifica la integración y actualiza los libros de </w:t>
      </w:r>
      <w:r w:rsidR="00841358" w:rsidRPr="00B0209B">
        <w:rPr>
          <w:rFonts w:ascii="Palatino Linotype" w:eastAsia="Palatino Linotype" w:hAnsi="Palatino Linotype" w:cs="Palatino Linotype"/>
          <w:sz w:val="24"/>
          <w:szCs w:val="24"/>
        </w:rPr>
        <w:lastRenderedPageBreak/>
        <w:t>patrimonio inmobiliario, registrando las modificaciones por enajenación, cancelación, permutas, o cualquier circunstancia que se derive de los movimientos efectuados con los predios o inmuebles propiedad del municipio</w:t>
      </w:r>
    </w:p>
    <w:p w14:paraId="0808ACB7" w14:textId="77777777" w:rsidR="002836ED" w:rsidRPr="00B0209B" w:rsidRDefault="002836ED" w:rsidP="00026BE2">
      <w:pPr>
        <w:spacing w:after="0" w:line="360" w:lineRule="auto"/>
        <w:jc w:val="both"/>
        <w:rPr>
          <w:rFonts w:ascii="Palatino Linotype" w:eastAsia="Palatino Linotype" w:hAnsi="Palatino Linotype" w:cs="Palatino Linotype"/>
          <w:sz w:val="24"/>
          <w:szCs w:val="24"/>
        </w:rPr>
      </w:pPr>
    </w:p>
    <w:p w14:paraId="4FD6A22D" w14:textId="77777777" w:rsidR="00841358" w:rsidRPr="00B0209B" w:rsidRDefault="00841358" w:rsidP="00841358">
      <w:pPr>
        <w:spacing w:line="360" w:lineRule="auto"/>
        <w:ind w:right="49"/>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Por ende, se determina que la respuesta no fue proporcionada por todas las Unidad Administrativas Competentes, siguiendo el procedimiento establecido por el artículo 162 de la Ley de Transparencia y Acceso a la Información Pública del Estado de México y Municipios, ya que no turnó la solicitud al área en la que podría obrar la información de conformidad con la fracción XXXIX del artículo tercero de la legislación local vigente en materia de transparencia: </w:t>
      </w:r>
    </w:p>
    <w:p w14:paraId="78186CF0" w14:textId="77777777" w:rsidR="00841358" w:rsidRPr="00B0209B" w:rsidRDefault="00841358" w:rsidP="00841358">
      <w:pPr>
        <w:spacing w:line="360" w:lineRule="auto"/>
        <w:ind w:right="49"/>
        <w:contextualSpacing/>
        <w:jc w:val="both"/>
        <w:rPr>
          <w:rFonts w:ascii="Palatino Linotype" w:eastAsia="Palatino Linotype" w:hAnsi="Palatino Linotype" w:cs="Palatino Linotype"/>
          <w:sz w:val="24"/>
          <w:szCs w:val="24"/>
        </w:rPr>
      </w:pPr>
    </w:p>
    <w:p w14:paraId="277F8392" w14:textId="77777777" w:rsidR="00236966" w:rsidRPr="00B0209B" w:rsidRDefault="00841358" w:rsidP="00841358">
      <w:pPr>
        <w:pBdr>
          <w:top w:val="nil"/>
          <w:left w:val="nil"/>
          <w:bottom w:val="nil"/>
          <w:right w:val="nil"/>
          <w:between w:val="nil"/>
        </w:pBdr>
        <w:spacing w:line="276" w:lineRule="auto"/>
        <w:ind w:left="862" w:right="862"/>
        <w:contextualSpacing/>
        <w:jc w:val="both"/>
        <w:rPr>
          <w:rFonts w:ascii="Palatino Linotype" w:eastAsia="Palatino Linotype" w:hAnsi="Palatino Linotype" w:cs="Palatino Linotype"/>
          <w:i/>
          <w:szCs w:val="24"/>
        </w:rPr>
      </w:pPr>
      <w:r w:rsidRPr="00B0209B">
        <w:rPr>
          <w:rFonts w:ascii="Palatino Linotype" w:eastAsia="Palatino Linotype" w:hAnsi="Palatino Linotype" w:cs="Palatino Linotype"/>
          <w:i/>
          <w:szCs w:val="24"/>
        </w:rPr>
        <w:t>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5C183629" w14:textId="61E74151" w:rsidR="00841358" w:rsidRPr="00B0209B" w:rsidRDefault="00841358" w:rsidP="00841358">
      <w:pPr>
        <w:pBdr>
          <w:top w:val="nil"/>
          <w:left w:val="nil"/>
          <w:bottom w:val="nil"/>
          <w:right w:val="nil"/>
          <w:between w:val="nil"/>
        </w:pBdr>
        <w:spacing w:line="276" w:lineRule="auto"/>
        <w:ind w:left="862" w:right="862"/>
        <w:contextualSpacing/>
        <w:jc w:val="both"/>
        <w:rPr>
          <w:szCs w:val="24"/>
        </w:rPr>
      </w:pPr>
      <w:r w:rsidRPr="00B0209B">
        <w:rPr>
          <w:rFonts w:ascii="Palatino Linotype" w:eastAsia="Palatino Linotype" w:hAnsi="Palatino Linotype" w:cs="Palatino Linotype"/>
          <w:i/>
          <w:szCs w:val="24"/>
        </w:rPr>
        <w:t> </w:t>
      </w:r>
    </w:p>
    <w:p w14:paraId="27E2B037" w14:textId="77777777" w:rsidR="00841358" w:rsidRPr="00B0209B" w:rsidRDefault="00841358" w:rsidP="00F91FEB">
      <w:pPr>
        <w:spacing w:before="240" w:after="240" w:line="360" w:lineRule="auto"/>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Por consiguiente, se tiene que el procedimiento de búsqueda de la información no se ejecutó conforme a derecho.</w:t>
      </w:r>
    </w:p>
    <w:p w14:paraId="7F2F3AB9" w14:textId="77777777" w:rsidR="00F91FEB" w:rsidRPr="00B0209B" w:rsidRDefault="00F91FEB" w:rsidP="00F91FEB">
      <w:pPr>
        <w:spacing w:before="240" w:after="240" w:line="360" w:lineRule="auto"/>
        <w:contextualSpacing/>
        <w:jc w:val="both"/>
        <w:rPr>
          <w:rFonts w:ascii="Palatino Linotype" w:eastAsia="Palatino Linotype" w:hAnsi="Palatino Linotype" w:cs="Palatino Linotype"/>
          <w:sz w:val="24"/>
          <w:szCs w:val="24"/>
        </w:rPr>
      </w:pPr>
    </w:p>
    <w:p w14:paraId="01CBE959" w14:textId="77777777" w:rsidR="00F91FEB" w:rsidRPr="00B0209B" w:rsidRDefault="00F91FEB" w:rsidP="00F91FEB">
      <w:pPr>
        <w:tabs>
          <w:tab w:val="left" w:pos="8222"/>
        </w:tabs>
        <w:spacing w:line="360" w:lineRule="auto"/>
        <w:ind w:right="-28"/>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En tal sentido, la Ley del Notariado del Estado de México, concibe a la escritura de la siguiente manera: </w:t>
      </w:r>
    </w:p>
    <w:p w14:paraId="06C3A73E" w14:textId="77777777" w:rsidR="00F91FEB" w:rsidRPr="00B0209B" w:rsidRDefault="00F91FEB" w:rsidP="00F91FEB">
      <w:pPr>
        <w:tabs>
          <w:tab w:val="left" w:pos="8222"/>
        </w:tabs>
        <w:ind w:right="-28"/>
        <w:jc w:val="both"/>
        <w:rPr>
          <w:rFonts w:ascii="Palatino Linotype" w:eastAsia="Palatino Linotype" w:hAnsi="Palatino Linotype" w:cs="Palatino Linotype"/>
        </w:rPr>
      </w:pPr>
    </w:p>
    <w:p w14:paraId="1AF3B9F0" w14:textId="77777777" w:rsidR="00F91FEB" w:rsidRPr="00B0209B" w:rsidRDefault="00F91FEB" w:rsidP="00F91FEB">
      <w:pPr>
        <w:tabs>
          <w:tab w:val="left" w:pos="8222"/>
        </w:tabs>
        <w:spacing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“Artículo 78. </w:t>
      </w:r>
      <w:r w:rsidRPr="00B0209B">
        <w:rPr>
          <w:rFonts w:ascii="Palatino Linotype" w:eastAsia="Palatino Linotype" w:hAnsi="Palatino Linotype" w:cs="Palatino Linotype"/>
          <w:b/>
          <w:i/>
        </w:rPr>
        <w:t xml:space="preserve">Escritura </w:t>
      </w:r>
      <w:r w:rsidRPr="00B0209B">
        <w:rPr>
          <w:rFonts w:ascii="Palatino Linotype" w:eastAsia="Palatino Linotype" w:hAnsi="Palatino Linotype" w:cs="Palatino Linotype"/>
          <w:b/>
          <w:i/>
          <w:u w:val="single"/>
        </w:rPr>
        <w:t>es el instrumento original que el notario asienta en el protocolo físico o electrónico para hacer constar uno o más actos jurídicos</w:t>
      </w:r>
      <w:r w:rsidRPr="00B0209B">
        <w:rPr>
          <w:rFonts w:ascii="Palatino Linotype" w:eastAsia="Palatino Linotype" w:hAnsi="Palatino Linotype" w:cs="Palatino Linotype"/>
          <w:i/>
        </w:rPr>
        <w:t>, autorizados con firma autógrafa o electrónica y sello.</w:t>
      </w:r>
    </w:p>
    <w:p w14:paraId="1330F071" w14:textId="77777777" w:rsidR="00F91FEB" w:rsidRPr="00B0209B" w:rsidRDefault="00F91FEB" w:rsidP="00F91FEB">
      <w:pPr>
        <w:tabs>
          <w:tab w:val="left" w:pos="8222"/>
        </w:tabs>
        <w:spacing w:line="276" w:lineRule="auto"/>
        <w:ind w:left="851"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u w:val="single"/>
        </w:rPr>
        <w:lastRenderedPageBreak/>
        <w:t>Se entenderá también como escritura el acta que contenga un extracto con los elementos personales y materiales del documento en que se consigne un contrato o actos jurídicos,</w:t>
      </w:r>
      <w:r w:rsidRPr="00B0209B">
        <w:rPr>
          <w:rFonts w:ascii="Palatino Linotype" w:eastAsia="Palatino Linotype" w:hAnsi="Palatino Linotype" w:cs="Palatino Linotype"/>
          <w:i/>
        </w:rPr>
        <w:t xml:space="preserve"> siempre que esté firmada en cada una de sus hojas por quienes en el intervengan y por el notario, quien además pondrá el sello, señalará el número de hojas de que se compone, así como la relación completa de sus anexos que se agregarán al apéndice y reúna los demás requisitos que señala este capítulo.”</w:t>
      </w:r>
    </w:p>
    <w:p w14:paraId="5784D57C" w14:textId="77777777" w:rsidR="00F91FEB" w:rsidRPr="00B0209B" w:rsidRDefault="00F91FEB" w:rsidP="00F91FEB">
      <w:pPr>
        <w:tabs>
          <w:tab w:val="left" w:pos="8222"/>
        </w:tabs>
        <w:spacing w:line="360" w:lineRule="auto"/>
        <w:ind w:right="-28"/>
        <w:contextualSpacing/>
        <w:jc w:val="both"/>
        <w:rPr>
          <w:rFonts w:ascii="Palatino Linotype" w:eastAsia="Palatino Linotype" w:hAnsi="Palatino Linotype" w:cs="Palatino Linotype"/>
          <w:sz w:val="24"/>
        </w:rPr>
      </w:pPr>
    </w:p>
    <w:p w14:paraId="1DFEE19C" w14:textId="77777777" w:rsidR="00F91FEB" w:rsidRPr="00B0209B" w:rsidRDefault="00F91FEB" w:rsidP="00F91FEB">
      <w:pPr>
        <w:tabs>
          <w:tab w:val="left" w:pos="8222"/>
        </w:tabs>
        <w:spacing w:line="360" w:lineRule="auto"/>
        <w:ind w:right="4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rPr>
        <w:t xml:space="preserve">Posteriormente en el artículo 79 enlista los elementos que deberán contener las escrituras, a saber: </w:t>
      </w:r>
    </w:p>
    <w:p w14:paraId="5621DA83" w14:textId="77777777" w:rsidR="00F91FEB" w:rsidRPr="00B0209B" w:rsidRDefault="00F91FEB" w:rsidP="00F91FEB">
      <w:pPr>
        <w:tabs>
          <w:tab w:val="left" w:pos="8222"/>
        </w:tabs>
        <w:spacing w:line="360" w:lineRule="auto"/>
        <w:ind w:right="-28"/>
        <w:contextualSpacing/>
        <w:jc w:val="both"/>
        <w:rPr>
          <w:rFonts w:ascii="Palatino Linotype" w:eastAsia="Palatino Linotype" w:hAnsi="Palatino Linotype" w:cs="Palatino Linotype"/>
          <w:sz w:val="24"/>
        </w:rPr>
      </w:pPr>
    </w:p>
    <w:p w14:paraId="6BC8C04F"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Artículo 79.- La redacción de las escrituras se sujetará a las formalidades siguientes:</w:t>
      </w:r>
    </w:p>
    <w:p w14:paraId="0F86860C"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br/>
        <w:t>I. Se hará en idioma español, con letra clara, sin abreviaturas ni guarismos, salvo en el caso de transcripción literal o del uso de modismos; tratándose de números, las cifras se mencionarán también con letra;</w:t>
      </w:r>
    </w:p>
    <w:p w14:paraId="36D12AD7"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Cuando se presenten documentos redactados en idioma distinto al español, se traducirán por perito autorizado, a excepción de cuando el notario conozca el idioma, en cuyo caso él realizará la traducción; se agregará al apéndice el original o copia cotejada del documento con su respectiva traducción;</w:t>
      </w:r>
    </w:p>
    <w:p w14:paraId="11654197"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III. Los espacios en blanco o huecos se cubrirán con líneas horizontales de tinta o con guiones continuos, al igual que los espacios en blanco existentes entre el final del texto y las firmas;</w:t>
      </w:r>
    </w:p>
    <w:p w14:paraId="7491FC45"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IV. Las palabras, letras o signos que se hayan de testar se cruzarán con una línea horizontal que las </w:t>
      </w:r>
      <w:proofErr w:type="gramStart"/>
      <w:r w:rsidRPr="00B0209B">
        <w:rPr>
          <w:rFonts w:ascii="Palatino Linotype" w:eastAsia="Palatino Linotype" w:hAnsi="Palatino Linotype" w:cs="Palatino Linotype"/>
          <w:i/>
        </w:rPr>
        <w:t>deje legibles</w:t>
      </w:r>
      <w:proofErr w:type="gramEnd"/>
      <w:r w:rsidRPr="00B0209B">
        <w:rPr>
          <w:rFonts w:ascii="Palatino Linotype" w:eastAsia="Palatino Linotype" w:hAnsi="Palatino Linotype" w:cs="Palatino Linotype"/>
          <w:i/>
        </w:rPr>
        <w:t>, pudiendo entrerrenglonarse lo que se deba agregar. Al final del texto de la escritura se salvarán, con la mención del número de palabras, letras o signos testados o entrerrenglonados, y se hará constar que lo primero no vale y lo segundo sí;</w:t>
      </w:r>
    </w:p>
    <w:p w14:paraId="1F87C8AC"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V. Llevará al inicio su número, el o los actos que se consignen y los nombres de los otorgantes;</w:t>
      </w:r>
    </w:p>
    <w:p w14:paraId="372A2DA6"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VI. Expresará en el proemio el lugar y fecha y, en su caso, la hora en que se asiente la escritura, así como el nombre y apellidos del notario, el número de la notaría a su </w:t>
      </w:r>
      <w:r w:rsidRPr="00B0209B">
        <w:rPr>
          <w:rFonts w:ascii="Palatino Linotype" w:eastAsia="Palatino Linotype" w:hAnsi="Palatino Linotype" w:cs="Palatino Linotype"/>
          <w:i/>
        </w:rPr>
        <w:lastRenderedPageBreak/>
        <w:t>cargo, los nombres y apellidos de los comparecientes y el acto o actos que se consignen;</w:t>
      </w:r>
    </w:p>
    <w:p w14:paraId="682617DD"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b/>
          <w:i/>
          <w:u w:val="single"/>
        </w:rPr>
      </w:pPr>
      <w:r w:rsidRPr="00B0209B">
        <w:rPr>
          <w:rFonts w:ascii="Palatino Linotype" w:eastAsia="Palatino Linotype" w:hAnsi="Palatino Linotype" w:cs="Palatino Linotype"/>
          <w:b/>
          <w:i/>
          <w:u w:val="single"/>
        </w:rPr>
        <w:t>VII. Resumirá los antecedentes del acto y certificará haber tenido a la vista los documentos que se hayan presentado para la formación de la escritura, con las siguientes modalidades:</w:t>
      </w:r>
    </w:p>
    <w:p w14:paraId="186E5BF8"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b/>
          <w:i/>
          <w:u w:val="single"/>
        </w:rPr>
      </w:pPr>
      <w:r w:rsidRPr="00B0209B">
        <w:rPr>
          <w:rFonts w:ascii="Palatino Linotype" w:eastAsia="Palatino Linotype" w:hAnsi="Palatino Linotype" w:cs="Palatino Linotype"/>
          <w:b/>
          <w:i/>
          <w:u w:val="single"/>
        </w:rPr>
        <w:t>a). Si se trata de inmuebles, relacionará cuando menos el último título de propiedad y, en su caso, citará los datos de su inscripción registral, y determinará su naturaleza, ubicación, superficie con medidas y linderos, en cuanto sea posible.</w:t>
      </w:r>
    </w:p>
    <w:p w14:paraId="5CCAF509"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b/>
          <w:i/>
          <w:u w:val="single"/>
        </w:rPr>
      </w:pPr>
      <w:r w:rsidRPr="00B0209B">
        <w:rPr>
          <w:rFonts w:ascii="Palatino Linotype" w:eastAsia="Palatino Linotype" w:hAnsi="Palatino Linotype" w:cs="Palatino Linotype"/>
          <w:b/>
          <w:i/>
          <w:u w:val="single"/>
        </w:rPr>
        <w:t>b). No deberá modificarse en una escritura la descripción de un inmueble, si con ésta se incrementa el área de su antecedente de propiedad. La adición podrá ser hecha si se funda en resolución judicial o administrativa de la que así se desprenda.</w:t>
      </w:r>
    </w:p>
    <w:p w14:paraId="71274018"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c). Cualquier error aritmético o de transcripción que conste en instrumento o en asiento registral podrá aclararse por la parte interesada en la escritura.</w:t>
      </w:r>
    </w:p>
    <w:p w14:paraId="09D2D328"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d). Al citar un instrumento otorgado ante otro fedatario, expresará el nombre de éste y el número de la notaría que corresponde, así como su número y fecha y, en su caso, los datos de inscripción registral.</w:t>
      </w:r>
    </w:p>
    <w:p w14:paraId="77FB5183" w14:textId="77777777" w:rsidR="00F91FEB" w:rsidRPr="00B0209B" w:rsidRDefault="00F91FEB" w:rsidP="00F91FEB">
      <w:pPr>
        <w:tabs>
          <w:tab w:val="left" w:pos="8222"/>
        </w:tabs>
        <w:spacing w:line="276" w:lineRule="auto"/>
        <w:ind w:left="567" w:right="902"/>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e). En las protocolizaciones de actas de asamblea de personas morales, se relacionarán los antecedentes necesarios para acreditar su constitución, así como la validez y eficacia de los acuerdos tomados de conformidad con su régimen legal y estatutos.” (Énfasis añadido)</w:t>
      </w:r>
    </w:p>
    <w:p w14:paraId="7F730054" w14:textId="77777777" w:rsidR="00F91FEB" w:rsidRPr="00B0209B" w:rsidRDefault="00F91FEB" w:rsidP="00F91FEB">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 w:val="18"/>
          <w:szCs w:val="18"/>
        </w:rPr>
      </w:pPr>
    </w:p>
    <w:p w14:paraId="60034AF9" w14:textId="74D0374A" w:rsidR="00782928" w:rsidRPr="00B0209B" w:rsidRDefault="00F91FEB" w:rsidP="00782928">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 w:val="24"/>
        </w:rPr>
      </w:pPr>
      <w:r w:rsidRPr="00B0209B">
        <w:rPr>
          <w:rFonts w:ascii="Palatino Linotype" w:eastAsia="Palatino Linotype" w:hAnsi="Palatino Linotype" w:cs="Palatino Linotype"/>
          <w:sz w:val="24"/>
        </w:rPr>
        <w:t xml:space="preserve">Luego entonces, los preceptos normativos señalados con anterioridad permiten </w:t>
      </w:r>
      <w:proofErr w:type="gramStart"/>
      <w:r w:rsidRPr="00B0209B">
        <w:rPr>
          <w:rFonts w:ascii="Palatino Linotype" w:eastAsia="Palatino Linotype" w:hAnsi="Palatino Linotype" w:cs="Palatino Linotype"/>
          <w:sz w:val="24"/>
        </w:rPr>
        <w:t>asumir  la</w:t>
      </w:r>
      <w:proofErr w:type="gramEnd"/>
      <w:r w:rsidRPr="00B0209B">
        <w:rPr>
          <w:rFonts w:ascii="Palatino Linotype" w:eastAsia="Palatino Linotype" w:hAnsi="Palatino Linotype" w:cs="Palatino Linotype"/>
          <w:sz w:val="24"/>
        </w:rPr>
        <w:t xml:space="preserve"> existencia de las escrituras</w:t>
      </w:r>
      <w:r w:rsidR="00782928" w:rsidRPr="00B0209B">
        <w:rPr>
          <w:rFonts w:ascii="Palatino Linotype" w:eastAsia="Palatino Linotype" w:hAnsi="Palatino Linotype" w:cs="Palatino Linotype"/>
          <w:sz w:val="24"/>
        </w:rPr>
        <w:t xml:space="preserve"> que acreditan la propiedad de </w:t>
      </w:r>
      <w:r w:rsidRPr="00B0209B">
        <w:rPr>
          <w:rFonts w:ascii="Palatino Linotype" w:eastAsia="Palatino Linotype" w:hAnsi="Palatino Linotype" w:cs="Palatino Linotype"/>
          <w:sz w:val="24"/>
        </w:rPr>
        <w:t>inmueble</w:t>
      </w:r>
      <w:r w:rsidR="00782928" w:rsidRPr="00B0209B">
        <w:rPr>
          <w:rFonts w:ascii="Palatino Linotype" w:eastAsia="Palatino Linotype" w:hAnsi="Palatino Linotype" w:cs="Palatino Linotype"/>
          <w:sz w:val="24"/>
        </w:rPr>
        <w:t xml:space="preserve">s. </w:t>
      </w:r>
    </w:p>
    <w:p w14:paraId="77B5AF65" w14:textId="77777777" w:rsidR="00782928" w:rsidRPr="00B0209B" w:rsidRDefault="00782928" w:rsidP="00782928">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 w:val="24"/>
        </w:rPr>
      </w:pPr>
    </w:p>
    <w:p w14:paraId="103FF40F" w14:textId="74CC87BC" w:rsidR="00410B48" w:rsidRPr="00B0209B" w:rsidRDefault="00D543B2" w:rsidP="00782928">
      <w:pPr>
        <w:pStyle w:val="Prrafodelista"/>
        <w:widowControl w:val="0"/>
        <w:autoSpaceDE w:val="0"/>
        <w:autoSpaceDN w:val="0"/>
        <w:adjustRightInd w:val="0"/>
        <w:spacing w:line="360" w:lineRule="auto"/>
        <w:ind w:left="0"/>
        <w:jc w:val="both"/>
        <w:rPr>
          <w:rFonts w:ascii="Palatino Linotype" w:eastAsia="Palatino Linotype" w:hAnsi="Palatino Linotype" w:cs="Palatino Linotype"/>
          <w:sz w:val="24"/>
        </w:rPr>
      </w:pPr>
      <w:r w:rsidRPr="00B0209B">
        <w:rPr>
          <w:rFonts w:ascii="Palatino Linotype" w:hAnsi="Palatino Linotype"/>
          <w:sz w:val="24"/>
        </w:rPr>
        <w:t xml:space="preserve">Aunado </w:t>
      </w:r>
      <w:r w:rsidR="00782928" w:rsidRPr="00B0209B">
        <w:rPr>
          <w:rFonts w:ascii="Palatino Linotype" w:hAnsi="Palatino Linotype"/>
          <w:sz w:val="24"/>
        </w:rPr>
        <w:t>a ello</w:t>
      </w:r>
      <w:r w:rsidRPr="00B0209B">
        <w:rPr>
          <w:rFonts w:ascii="Palatino Linotype" w:hAnsi="Palatino Linotype"/>
          <w:sz w:val="24"/>
        </w:rPr>
        <w:t xml:space="preserve">, es oportuno citar la siguiente normatividad, con sustento en los numerales NOVENO, fracción XXVI, QUINCUAGÉSIMO SEXTO, fracciones I y V, QUINCUAGÉSIMO OCTAVO, fracciones I, II y III, de Lineamientos para el Registro y Control del Inventario y la Conciliación y Desincorporación de Bienes Muebles e </w:t>
      </w:r>
      <w:r w:rsidRPr="00B0209B">
        <w:rPr>
          <w:rFonts w:ascii="Palatino Linotype" w:hAnsi="Palatino Linotype"/>
          <w:sz w:val="24"/>
        </w:rPr>
        <w:lastRenderedPageBreak/>
        <w:t>Inmuebles para las Entidades Fiscalizables Mu</w:t>
      </w:r>
      <w:r w:rsidR="00C71C14" w:rsidRPr="00B0209B">
        <w:rPr>
          <w:rFonts w:ascii="Palatino Linotype" w:hAnsi="Palatino Linotype"/>
          <w:sz w:val="24"/>
        </w:rPr>
        <w:t>nicipales del Estado de México</w:t>
      </w:r>
      <w:r w:rsidRPr="00B0209B">
        <w:rPr>
          <w:rFonts w:ascii="Palatino Linotype" w:hAnsi="Palatino Linotype"/>
          <w:sz w:val="24"/>
        </w:rPr>
        <w:t xml:space="preserve">, y los artículos 7.600 y 7.620 del Código Civil del Estado de México, a saber: </w:t>
      </w:r>
    </w:p>
    <w:p w14:paraId="00829FFF" w14:textId="77777777" w:rsidR="00410B48" w:rsidRPr="00B0209B" w:rsidRDefault="00410B48" w:rsidP="00026BE2">
      <w:pPr>
        <w:spacing w:after="0" w:line="360" w:lineRule="auto"/>
        <w:jc w:val="both"/>
      </w:pPr>
    </w:p>
    <w:p w14:paraId="2E40A41F" w14:textId="77777777" w:rsidR="00C71C14"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w:t>
      </w:r>
      <w:r w:rsidR="00C71C14" w:rsidRPr="00B0209B">
        <w:rPr>
          <w:rFonts w:ascii="Palatino Linotype" w:hAnsi="Palatino Linotype"/>
          <w:i/>
        </w:rPr>
        <w:t>NOVENO: Para efectos de los presentes Lineamientos, se entenderá por:</w:t>
      </w:r>
      <w:r w:rsidRPr="00B0209B">
        <w:rPr>
          <w:rFonts w:ascii="Palatino Linotype" w:hAnsi="Palatino Linotype"/>
          <w:i/>
        </w:rPr>
        <w:t xml:space="preserve"> </w:t>
      </w:r>
    </w:p>
    <w:p w14:paraId="00E512BB" w14:textId="77777777" w:rsidR="00C71C14" w:rsidRPr="00B0209B" w:rsidRDefault="00C71C14"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w:t>
      </w:r>
    </w:p>
    <w:p w14:paraId="6F0C4A43"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XXVI. EXPEDIENTE INDIVIDUAL POR BIEN: Al conjunto de documentos que refieren a un mismo objeto o lugar describiendo en cada documento las mismas características del bien, en el caso de los bienes muebles: resguardo, oficio de petición del bien por el área que lo solicita, vale de entrada y salida del almacén, póliza contable, factura, cuadro comparativo de adquisición, contrato de adquisición, seguro del bien. En el caso de los bienes inmuebles: póliza contable, formato individual de inventario de bienes inmuebles, los documentos relativos a la adquisición, escritura pública a favor de la entidad fiscalizable (en caso de estar en proceso de regularización presentar documentación que acredite los tramites), clave catastral, y plano del inmueble; </w:t>
      </w:r>
    </w:p>
    <w:p w14:paraId="4589E8FC"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 </w:t>
      </w:r>
    </w:p>
    <w:p w14:paraId="56BBE3E3"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QUINCUAGÉSIMO SEXTO: Para adquirir bienes inmuebles por compra, se deberán satisfacer los siguientes requisitos: </w:t>
      </w:r>
    </w:p>
    <w:p w14:paraId="01225B3A"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I. Observar lo establecido en el Código Civil del Estado de México, en la Ley de Bienes del Estado de México y sus Municipios, así como en el Reglamento del Registro Público de la Propiedad del Estado de México, en el Código Administrativo del Estado de México, entre otros; </w:t>
      </w:r>
    </w:p>
    <w:p w14:paraId="1E1278CB"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 </w:t>
      </w:r>
    </w:p>
    <w:p w14:paraId="45B0CA7B"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V. Constar en escritura pública; </w:t>
      </w:r>
    </w:p>
    <w:p w14:paraId="2A54A1A5" w14:textId="77777777" w:rsidR="00410B48" w:rsidRPr="00B0209B" w:rsidRDefault="00D543B2"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El secretario o en su caso el director general, elaborará la actualización administrativa del inventario de bienes inmuebles, por la adquisición de los</w:t>
      </w:r>
      <w:r w:rsidR="00410B48" w:rsidRPr="00B0209B">
        <w:rPr>
          <w:rFonts w:ascii="Palatino Linotype" w:hAnsi="Palatino Linotype"/>
          <w:i/>
        </w:rPr>
        <w:t xml:space="preserve"> bienes al valor de su adquisición, independientemente de su valor catastral y para ello contará con 30 días hábiles a partir de su adquisición, así mismo se deberá integrar un expediente individual por bien;</w:t>
      </w:r>
    </w:p>
    <w:p w14:paraId="0BCA07B8" w14:textId="77777777" w:rsidR="00410B48" w:rsidRPr="00B0209B" w:rsidRDefault="00410B48" w:rsidP="00E65F35">
      <w:pPr>
        <w:spacing w:after="0" w:line="276" w:lineRule="auto"/>
        <w:ind w:left="851" w:right="902"/>
        <w:contextualSpacing/>
        <w:jc w:val="both"/>
        <w:rPr>
          <w:rFonts w:ascii="Palatino Linotype" w:hAnsi="Palatino Linotype"/>
          <w:i/>
        </w:rPr>
      </w:pPr>
    </w:p>
    <w:p w14:paraId="6096C9FA"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El síndico realizará las gestiones necesarias para regularizar la propiedad de los bienes inmuebles adquiridos, tendrán para ello un plazo de ciento veinte días </w:t>
      </w:r>
      <w:r w:rsidRPr="00B0209B">
        <w:rPr>
          <w:rFonts w:ascii="Palatino Linotype" w:hAnsi="Palatino Linotype"/>
          <w:i/>
        </w:rPr>
        <w:lastRenderedPageBreak/>
        <w:t>hábiles contados a partir de la fecha de la adquisición, rindiendo un informe trimestral al Cabildo para su conocimiento y opinión;</w:t>
      </w:r>
    </w:p>
    <w:p w14:paraId="13CF5523" w14:textId="77777777" w:rsidR="00410B48" w:rsidRPr="00B0209B" w:rsidRDefault="00410B48" w:rsidP="00E65F35">
      <w:pPr>
        <w:spacing w:after="0" w:line="276" w:lineRule="auto"/>
        <w:ind w:left="851" w:right="902"/>
        <w:contextualSpacing/>
        <w:jc w:val="both"/>
        <w:rPr>
          <w:rFonts w:ascii="Palatino Linotype" w:hAnsi="Palatino Linotype"/>
          <w:i/>
        </w:rPr>
      </w:pPr>
    </w:p>
    <w:p w14:paraId="1401E6FA" w14:textId="77777777" w:rsidR="00D543B2"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Lo propio hará en el ámbito de su respectiva competencia, el servidor público titular del organismo descentralizado y fideicomisos públicos.</w:t>
      </w:r>
    </w:p>
    <w:p w14:paraId="2806AE55" w14:textId="77777777" w:rsidR="00410B48" w:rsidRPr="00B0209B" w:rsidRDefault="00410B48" w:rsidP="00E65F35">
      <w:pPr>
        <w:spacing w:after="0" w:line="276" w:lineRule="auto"/>
        <w:ind w:left="851" w:right="902"/>
        <w:contextualSpacing/>
        <w:jc w:val="both"/>
        <w:rPr>
          <w:rFonts w:ascii="Palatino Linotype" w:hAnsi="Palatino Linotype"/>
          <w:i/>
        </w:rPr>
      </w:pPr>
    </w:p>
    <w:p w14:paraId="235ABE7C"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QUINCUAGÉSIMO OCTAVO: Para adquirir bienes inmuebles por donación, se deberán satisfacer los siguientes requisitos:</w:t>
      </w:r>
    </w:p>
    <w:p w14:paraId="6B4A5916"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I. Observar lo establecido en el Código Financiero del Estado de México y Municipios, en el Código Civil del Estado de México, así como en la Ley de Bienes del Estado de México y sus Municipios;</w:t>
      </w:r>
    </w:p>
    <w:p w14:paraId="1E488A1E"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 xml:space="preserve">II. Contar con el convenio de donación, donde se precisen las características del donativo, su valor individual por el bien objeto y la legal </w:t>
      </w:r>
      <w:proofErr w:type="gramStart"/>
      <w:r w:rsidRPr="00B0209B">
        <w:rPr>
          <w:rFonts w:ascii="Palatino Linotype" w:hAnsi="Palatino Linotype"/>
          <w:i/>
        </w:rPr>
        <w:t>procedencia</w:t>
      </w:r>
      <w:proofErr w:type="gramEnd"/>
      <w:r w:rsidRPr="00B0209B">
        <w:rPr>
          <w:rFonts w:ascii="Palatino Linotype" w:hAnsi="Palatino Linotype"/>
          <w:i/>
        </w:rPr>
        <w:t xml:space="preserve"> así como especificar si se encuentra libre de gravamen;</w:t>
      </w:r>
    </w:p>
    <w:p w14:paraId="5FE774BE"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III. Constar en escritura pública;</w:t>
      </w:r>
    </w:p>
    <w:p w14:paraId="4D7680AD" w14:textId="77777777" w:rsidR="00410B48" w:rsidRPr="00B0209B" w:rsidRDefault="00410B48" w:rsidP="00E65F35">
      <w:pPr>
        <w:spacing w:after="0" w:line="276" w:lineRule="auto"/>
        <w:ind w:left="851" w:right="902"/>
        <w:contextualSpacing/>
        <w:jc w:val="both"/>
        <w:rPr>
          <w:rFonts w:ascii="Palatino Linotype" w:hAnsi="Palatino Linotype"/>
          <w:i/>
        </w:rPr>
      </w:pPr>
    </w:p>
    <w:p w14:paraId="56335D04"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El secretario o en su caso el director general, elaborará la actualización administrativa del inventario, por la adquisición de los bienes inmuebles y para ello contará con 30 días hábiles a partir de su adquisición, así mismo se deberá integrar un expediente individual por bien.</w:t>
      </w:r>
    </w:p>
    <w:p w14:paraId="0B843913" w14:textId="77777777" w:rsidR="00410B48" w:rsidRPr="00B0209B" w:rsidRDefault="00410B48" w:rsidP="00E65F35">
      <w:pPr>
        <w:spacing w:after="0" w:line="276" w:lineRule="auto"/>
        <w:ind w:left="851" w:right="902"/>
        <w:contextualSpacing/>
        <w:jc w:val="both"/>
        <w:rPr>
          <w:rFonts w:ascii="Palatino Linotype" w:hAnsi="Palatino Linotype"/>
          <w:i/>
        </w:rPr>
      </w:pPr>
    </w:p>
    <w:p w14:paraId="6A8E407A"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El síndico realizará las gestiones necesarias para regularizar la propiedad de los bienes inmuebles adquiridos, tendrá para ello un plazo de ciento veinte días hábiles contados a partir de la fecha de la adquisición, rindiendo un informe trimestral al Cabildo para su conocí miento y opinión.</w:t>
      </w:r>
    </w:p>
    <w:p w14:paraId="6E4C7976" w14:textId="77777777" w:rsidR="00410B48" w:rsidRPr="00B0209B" w:rsidRDefault="00410B48" w:rsidP="00E65F35">
      <w:pPr>
        <w:spacing w:after="0" w:line="276" w:lineRule="auto"/>
        <w:ind w:left="851" w:right="902"/>
        <w:contextualSpacing/>
        <w:jc w:val="both"/>
        <w:rPr>
          <w:rFonts w:ascii="Palatino Linotype" w:hAnsi="Palatino Linotype"/>
          <w:i/>
        </w:rPr>
      </w:pPr>
    </w:p>
    <w:p w14:paraId="06DC885A"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El tesorero expedirá el recibo oficial de ingreso correspondiente por el valor del bien; si no se conoce se establecerá a precio del avalúo por perito calificado en la materia, o en su defecto a valor catastral.</w:t>
      </w:r>
    </w:p>
    <w:p w14:paraId="55678823" w14:textId="77777777" w:rsidR="00410B48" w:rsidRPr="00B0209B" w:rsidRDefault="00410B48" w:rsidP="00E65F35">
      <w:pPr>
        <w:spacing w:after="0" w:line="276" w:lineRule="auto"/>
        <w:ind w:left="851" w:right="902"/>
        <w:contextualSpacing/>
        <w:jc w:val="both"/>
        <w:rPr>
          <w:rFonts w:ascii="Palatino Linotype" w:hAnsi="Palatino Linotype"/>
          <w:i/>
        </w:rPr>
      </w:pPr>
    </w:p>
    <w:p w14:paraId="7FDE7D54"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“Formalidad de la compra de inmuebles</w:t>
      </w:r>
    </w:p>
    <w:p w14:paraId="157AFED2"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Artículo 7.600.- Si se trata de bienes inmuebles, la venta debe otorgarse en escritura pública.</w:t>
      </w:r>
      <w:r w:rsidRPr="00B0209B">
        <w:rPr>
          <w:rFonts w:ascii="Palatino Linotype" w:hAnsi="Palatino Linotype"/>
          <w:i/>
        </w:rPr>
        <w:cr/>
      </w:r>
    </w:p>
    <w:p w14:paraId="2A8E8925"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lastRenderedPageBreak/>
        <w:t>Formalidad de la donación de inmuebles</w:t>
      </w:r>
    </w:p>
    <w:p w14:paraId="39301587" w14:textId="77777777" w:rsidR="00410B48" w:rsidRPr="00B0209B" w:rsidRDefault="00410B48" w:rsidP="00E65F35">
      <w:pPr>
        <w:spacing w:after="0" w:line="276" w:lineRule="auto"/>
        <w:ind w:left="851" w:right="902"/>
        <w:contextualSpacing/>
        <w:jc w:val="both"/>
        <w:rPr>
          <w:rFonts w:ascii="Palatino Linotype" w:hAnsi="Palatino Linotype"/>
          <w:i/>
        </w:rPr>
      </w:pPr>
      <w:r w:rsidRPr="00B0209B">
        <w:rPr>
          <w:rFonts w:ascii="Palatino Linotype" w:hAnsi="Palatino Linotype"/>
          <w:i/>
        </w:rPr>
        <w:t>Artículo 7.620.- La donación de inmuebles se hará en la misma forma que para su venta exige la ley.”</w:t>
      </w:r>
    </w:p>
    <w:p w14:paraId="04B6A1A8" w14:textId="77777777" w:rsidR="00410B48" w:rsidRPr="00B0209B" w:rsidRDefault="00410B48" w:rsidP="00410B48">
      <w:pPr>
        <w:spacing w:after="0" w:line="276" w:lineRule="auto"/>
        <w:ind w:right="902"/>
        <w:contextualSpacing/>
        <w:jc w:val="both"/>
        <w:rPr>
          <w:rFonts w:ascii="Palatino Linotype" w:hAnsi="Palatino Linotype"/>
          <w:i/>
          <w:sz w:val="24"/>
        </w:rPr>
      </w:pPr>
    </w:p>
    <w:p w14:paraId="478C77E3" w14:textId="421E6668" w:rsidR="00FD7FD5" w:rsidRPr="00B0209B" w:rsidRDefault="00410B48" w:rsidP="00FD7FD5">
      <w:pPr>
        <w:spacing w:after="0" w:line="360" w:lineRule="auto"/>
        <w:ind w:right="49"/>
        <w:contextualSpacing/>
        <w:jc w:val="both"/>
        <w:rPr>
          <w:rFonts w:ascii="Palatino Linotype" w:hAnsi="Palatino Linotype"/>
          <w:sz w:val="24"/>
        </w:rPr>
      </w:pPr>
      <w:r w:rsidRPr="00B0209B">
        <w:rPr>
          <w:rFonts w:ascii="Palatino Linotype" w:hAnsi="Palatino Linotype"/>
          <w:sz w:val="24"/>
        </w:rPr>
        <w:t xml:space="preserve">De conformidad a la normatividad antes señalada, los bienes inmuebles deben contar con </w:t>
      </w:r>
      <w:r w:rsidR="00951FAC" w:rsidRPr="00B0209B">
        <w:rPr>
          <w:rFonts w:ascii="Palatino Linotype" w:hAnsi="Palatino Linotype"/>
          <w:sz w:val="24"/>
        </w:rPr>
        <w:t>un</w:t>
      </w:r>
      <w:r w:rsidRPr="00B0209B">
        <w:rPr>
          <w:rFonts w:ascii="Palatino Linotype" w:hAnsi="Palatino Linotype"/>
          <w:sz w:val="24"/>
        </w:rPr>
        <w:t xml:space="preserve"> </w:t>
      </w:r>
      <w:r w:rsidR="00951FAC" w:rsidRPr="00B0209B">
        <w:rPr>
          <w:rFonts w:ascii="Palatino Linotype" w:hAnsi="Palatino Linotype"/>
          <w:sz w:val="24"/>
        </w:rPr>
        <w:t xml:space="preserve">expediente individual que es el </w:t>
      </w:r>
      <w:r w:rsidRPr="00B0209B">
        <w:rPr>
          <w:rFonts w:ascii="Palatino Linotype" w:hAnsi="Palatino Linotype"/>
          <w:sz w:val="24"/>
        </w:rPr>
        <w:t>conjunto de documentos que refieren a un mismo objeto o lugar describiendo en cada documento las mismas características del bien</w:t>
      </w:r>
      <w:r w:rsidR="00951FAC" w:rsidRPr="00B0209B">
        <w:rPr>
          <w:rFonts w:ascii="Palatino Linotype" w:hAnsi="Palatino Linotype"/>
          <w:sz w:val="24"/>
        </w:rPr>
        <w:t>, en donde se advierte que debe obrar la escritura pública, además de que para la formalidad de la compra y donación de bienes inmuebles, deberán otorgarse en escritura pública,</w:t>
      </w:r>
      <w:r w:rsidR="00236966" w:rsidRPr="00B0209B">
        <w:rPr>
          <w:rFonts w:ascii="Palatino Linotype" w:hAnsi="Palatino Linotype"/>
          <w:sz w:val="24"/>
        </w:rPr>
        <w:t xml:space="preserve"> no obstante, el síndico realizará las gestiones necesarias para regularizar la propiedad de los bienes inmuebles adquiridos, tendrán para ello un plazo de ciento veinte días hábiles contados a partir de la fecha de la adquisición, </w:t>
      </w:r>
      <w:r w:rsidR="00951FAC" w:rsidRPr="00B0209B">
        <w:rPr>
          <w:rFonts w:ascii="Palatino Linotype" w:hAnsi="Palatino Linotype"/>
          <w:sz w:val="24"/>
        </w:rPr>
        <w:t>motivo por el que se ordena la escritura pública de los bienes inmuebles con los que cuenta al trece de enero de dos mil veinticinco, de ser procedente en versión pública, en té</w:t>
      </w:r>
      <w:r w:rsidR="00FD7FD5" w:rsidRPr="00B0209B">
        <w:rPr>
          <w:rFonts w:ascii="Palatino Linotype" w:hAnsi="Palatino Linotype"/>
          <w:sz w:val="24"/>
        </w:rPr>
        <w:t xml:space="preserve">rminos del considerando quinto, </w:t>
      </w:r>
      <w:r w:rsidR="00FD7FD5" w:rsidRPr="00B0209B">
        <w:rPr>
          <w:rFonts w:ascii="Palatino Linotype" w:eastAsia="Palatino Linotype" w:hAnsi="Palatino Linotype" w:cs="Palatino Linotype"/>
          <w:sz w:val="24"/>
          <w:szCs w:val="24"/>
        </w:rPr>
        <w:t>sin embargo, en caso de que alguno de los inmuebles no cuente con escritura pública, por no haberse generado porque se encuentra en regularización, bastará con que así se haga del conocimiento de la persona solicitante para tener por colmado su derecho de acceso a la información, en términos de lo dispuesto por el artículo 19, párrafo segundo de la Ley de Transparencia y Acceso a la Información Pública del Estado de México y Municipios, a saber:</w:t>
      </w:r>
    </w:p>
    <w:p w14:paraId="72E00D16" w14:textId="77777777" w:rsidR="00FD7FD5" w:rsidRPr="00B0209B" w:rsidRDefault="00FD7FD5" w:rsidP="00FD7FD5">
      <w:pPr>
        <w:spacing w:after="0" w:line="360" w:lineRule="auto"/>
        <w:contextualSpacing/>
        <w:jc w:val="both"/>
        <w:rPr>
          <w:rFonts w:ascii="Palatino Linotype" w:eastAsia="Palatino Linotype" w:hAnsi="Palatino Linotype" w:cs="Palatino Linotype"/>
          <w:sz w:val="24"/>
          <w:szCs w:val="24"/>
        </w:rPr>
      </w:pPr>
    </w:p>
    <w:p w14:paraId="18630C17" w14:textId="77777777" w:rsidR="00FD7FD5" w:rsidRPr="00B0209B" w:rsidRDefault="00FD7FD5" w:rsidP="00FD7FD5">
      <w:pPr>
        <w:spacing w:line="276" w:lineRule="auto"/>
        <w:ind w:left="1134" w:right="902"/>
        <w:contextualSpacing/>
        <w:jc w:val="both"/>
        <w:rPr>
          <w:rFonts w:ascii="Palatino Linotype" w:eastAsia="Palatino Linotype" w:hAnsi="Palatino Linotype" w:cs="Palatino Linotype"/>
          <w:i/>
          <w:sz w:val="20"/>
        </w:rPr>
      </w:pP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i/>
          <w:szCs w:val="24"/>
        </w:rPr>
        <w:t>“Artículo 19…</w:t>
      </w:r>
    </w:p>
    <w:p w14:paraId="2AD39504" w14:textId="77777777" w:rsidR="00FD7FD5" w:rsidRPr="00B0209B" w:rsidRDefault="00FD7FD5" w:rsidP="00FD7FD5">
      <w:pPr>
        <w:spacing w:line="276" w:lineRule="auto"/>
        <w:ind w:left="1134" w:right="902"/>
        <w:contextualSpacing/>
        <w:jc w:val="both"/>
        <w:rPr>
          <w:rFonts w:ascii="Palatino Linotype" w:eastAsia="Palatino Linotype" w:hAnsi="Palatino Linotype" w:cs="Palatino Linotype"/>
          <w:i/>
          <w:szCs w:val="24"/>
        </w:rPr>
      </w:pPr>
      <w:r w:rsidRPr="00B0209B">
        <w:rPr>
          <w:rFonts w:ascii="Palatino Linotype" w:eastAsia="Palatino Linotype" w:hAnsi="Palatino Linotype" w:cs="Palatino Linotype"/>
          <w:i/>
          <w:szCs w:val="24"/>
        </w:rPr>
        <w:t>En los casos en que ciertas facultades, competencias o funciones no se hayan ejercido, se debe motivar la respuesta en función de las causas que motiven tal circunstancia.”</w:t>
      </w:r>
    </w:p>
    <w:p w14:paraId="6A14A21F" w14:textId="77777777" w:rsidR="00FD7FD5" w:rsidRPr="00B0209B" w:rsidRDefault="00FD7FD5" w:rsidP="00FD7FD5">
      <w:pPr>
        <w:spacing w:after="0" w:line="360" w:lineRule="auto"/>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En al supuesto, es improcedente,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estatuido en el artículo 49, fracción XIII de la Ley de Transparencia y Acceso a la Información Pública del Estado de México y Municipios.</w:t>
      </w:r>
    </w:p>
    <w:p w14:paraId="3CEB86D7" w14:textId="77777777" w:rsidR="00951FAC" w:rsidRPr="00B0209B" w:rsidRDefault="00951FAC" w:rsidP="00951FAC">
      <w:pPr>
        <w:spacing w:after="0" w:line="360" w:lineRule="auto"/>
        <w:ind w:right="49"/>
        <w:contextualSpacing/>
        <w:jc w:val="both"/>
        <w:rPr>
          <w:rFonts w:ascii="Palatino Linotype" w:hAnsi="Palatino Linotype"/>
          <w:sz w:val="24"/>
        </w:rPr>
      </w:pPr>
    </w:p>
    <w:p w14:paraId="32A0C258" w14:textId="17DC56CA" w:rsidR="00951FAC" w:rsidRPr="00B0209B" w:rsidRDefault="00951FAC" w:rsidP="00951FAC">
      <w:pPr>
        <w:spacing w:after="0" w:line="360" w:lineRule="auto"/>
        <w:ind w:right="49"/>
        <w:contextualSpacing/>
        <w:jc w:val="both"/>
        <w:rPr>
          <w:rFonts w:ascii="Palatino Linotype" w:hAnsi="Palatino Linotype"/>
          <w:sz w:val="24"/>
        </w:rPr>
      </w:pPr>
      <w:r w:rsidRPr="00B0209B">
        <w:rPr>
          <w:rFonts w:ascii="Palatino Linotype" w:hAnsi="Palatino Linotype"/>
          <w:sz w:val="24"/>
        </w:rPr>
        <w:t xml:space="preserve">En relación a la Clave catastral, es un código alfanumérico único e irrepetible que se integra de dieciséis caracteres, y que se asigna para efectos de localización geográfica, identificación, inscripción, control y registro de los inmuebles, es decir, hace referencia a un predio determinado, haciéndolo identificable mediante su localización geográfica e inscripción al padrón catastral de cada entidad federativa, por lo que pudiera revelar información inherente al patrimonio del propietario de dicho predio o inmueble, razón por la cual </w:t>
      </w:r>
      <w:r w:rsidR="009D4350" w:rsidRPr="00B0209B">
        <w:rPr>
          <w:rFonts w:ascii="Palatino Linotype" w:hAnsi="Palatino Linotype"/>
          <w:sz w:val="24"/>
        </w:rPr>
        <w:t xml:space="preserve">en los casos en que se trata de inmuebles de particulares </w:t>
      </w:r>
      <w:r w:rsidRPr="00B0209B">
        <w:rPr>
          <w:rFonts w:ascii="Palatino Linotype" w:hAnsi="Palatino Linotype"/>
          <w:sz w:val="24"/>
        </w:rPr>
        <w:t>es procedente clasificar dicho dato como confidencial cuando se trata de inmuebles bajo el régimen de propiedad privada de particulares.</w:t>
      </w:r>
    </w:p>
    <w:p w14:paraId="5C4C7472" w14:textId="77777777" w:rsidR="00951FAC" w:rsidRPr="00B0209B" w:rsidRDefault="00951FAC" w:rsidP="00951FAC">
      <w:pPr>
        <w:spacing w:after="0" w:line="360" w:lineRule="auto"/>
        <w:ind w:right="49"/>
        <w:contextualSpacing/>
        <w:jc w:val="both"/>
        <w:rPr>
          <w:rFonts w:ascii="Palatino Linotype" w:hAnsi="Palatino Linotype"/>
          <w:sz w:val="24"/>
        </w:rPr>
      </w:pPr>
    </w:p>
    <w:p w14:paraId="7C1C2861" w14:textId="47B40536" w:rsidR="00951FAC" w:rsidRPr="00B0209B" w:rsidRDefault="00951FAC" w:rsidP="00951FAC">
      <w:pPr>
        <w:spacing w:after="0" w:line="360" w:lineRule="auto"/>
        <w:ind w:right="49"/>
        <w:contextualSpacing/>
        <w:jc w:val="both"/>
        <w:rPr>
          <w:rFonts w:ascii="Palatino Linotype" w:hAnsi="Palatino Linotype"/>
          <w:sz w:val="24"/>
        </w:rPr>
      </w:pPr>
      <w:r w:rsidRPr="00B0209B">
        <w:rPr>
          <w:rFonts w:ascii="Palatino Linotype" w:hAnsi="Palatino Linotype"/>
          <w:sz w:val="24"/>
        </w:rPr>
        <w:t>Sin embargo, en el caso de inmuebles de dominio público no es procedente su clasificación, dado que su publicidad abona a la transparencia y a la rendición de cuentas, por ello es que en presente asunto no debe ser clasificado, dado que dichos datos se relacionan con un inmueble que e</w:t>
      </w:r>
      <w:r w:rsidR="00004661" w:rsidRPr="00B0209B">
        <w:rPr>
          <w:rFonts w:ascii="Palatino Linotype" w:hAnsi="Palatino Linotype"/>
          <w:sz w:val="24"/>
        </w:rPr>
        <w:t xml:space="preserve">s propiedad del </w:t>
      </w:r>
      <w:r w:rsidR="00E65F35" w:rsidRPr="00B0209B">
        <w:rPr>
          <w:rFonts w:ascii="Palatino Linotype" w:hAnsi="Palatino Linotype"/>
          <w:b/>
          <w:sz w:val="24"/>
        </w:rPr>
        <w:t>SUJETO OBLIGADO</w:t>
      </w:r>
      <w:r w:rsidR="00004661" w:rsidRPr="00B0209B">
        <w:rPr>
          <w:rFonts w:ascii="Palatino Linotype" w:hAnsi="Palatino Linotype"/>
          <w:sz w:val="24"/>
        </w:rPr>
        <w:t xml:space="preserve">, motivo por el que se ordena el documento en el que conste la clave catastral de los inmuebles con los que cuenta al trece de enero de dos mil veinticinco, de ser procedente en versión pública, en términos del considerando quinto. </w:t>
      </w:r>
    </w:p>
    <w:p w14:paraId="1E264D14" w14:textId="77777777" w:rsidR="006754B3" w:rsidRPr="00B0209B" w:rsidRDefault="00004661" w:rsidP="006754B3">
      <w:pPr>
        <w:spacing w:after="0" w:line="360" w:lineRule="auto"/>
        <w:ind w:right="49"/>
        <w:contextualSpacing/>
        <w:jc w:val="both"/>
        <w:rPr>
          <w:rFonts w:ascii="Palatino Linotype" w:hAnsi="Palatino Linotype"/>
          <w:sz w:val="24"/>
          <w:szCs w:val="24"/>
        </w:rPr>
      </w:pPr>
      <w:r w:rsidRPr="00B0209B">
        <w:rPr>
          <w:rFonts w:ascii="Palatino Linotype" w:hAnsi="Palatino Linotype"/>
          <w:sz w:val="24"/>
        </w:rPr>
        <w:lastRenderedPageBreak/>
        <w:t>Finalmente, en relación a los mapas de ubicación de los inmuebles, no se logra advertir fuente obligacional para contar con la información requerida</w:t>
      </w:r>
      <w:r w:rsidR="006754B3" w:rsidRPr="00B0209B">
        <w:rPr>
          <w:rFonts w:ascii="Palatino Linotype" w:hAnsi="Palatino Linotype"/>
          <w:sz w:val="24"/>
        </w:rPr>
        <w:t>, e</w:t>
      </w:r>
      <w:r w:rsidR="006754B3" w:rsidRPr="00B0209B">
        <w:rPr>
          <w:rFonts w:ascii="Palatino Linotype" w:hAnsi="Palatino Linotype"/>
          <w:sz w:val="24"/>
          <w:szCs w:val="24"/>
        </w:rPr>
        <w:t xml:space="preserve">n este sentido conviene señalar que los sujetos obligados deben atender las solicitudes de información en términos de lo establecido en los artículos 12, segundo párrafo, y 24, último párrafo, de la Ley de Transparencia y Acceso a la Información Pública del Estado de México y Municipios, citados con anterioridad, </w:t>
      </w:r>
      <w:r w:rsidR="006754B3" w:rsidRPr="00B0209B">
        <w:rPr>
          <w:rFonts w:ascii="Palatino Linotype" w:hAnsi="Palatino Linotype"/>
          <w:sz w:val="24"/>
          <w:szCs w:val="24"/>
          <w:lang w:val="es-ES_tradnl"/>
        </w:rPr>
        <w:t>lo anterior, tiene sustento y se robustece con el Criterio número 03/17 emitido por el Instituto Nacional de Transparencia, Acceso a la Información y Protección de Datos Personales (INAI), que se inserta a continuación:</w:t>
      </w:r>
    </w:p>
    <w:p w14:paraId="3E67BD0D" w14:textId="77777777" w:rsidR="006754B3" w:rsidRPr="00B0209B" w:rsidRDefault="006754B3" w:rsidP="006754B3">
      <w:pPr>
        <w:spacing w:line="360" w:lineRule="auto"/>
        <w:ind w:left="567" w:right="616"/>
        <w:contextualSpacing/>
        <w:jc w:val="both"/>
        <w:rPr>
          <w:rFonts w:ascii="Palatino Linotype" w:hAnsi="Palatino Linotype"/>
          <w:sz w:val="24"/>
          <w:szCs w:val="24"/>
          <w:lang w:val="es-ES_tradnl"/>
        </w:rPr>
      </w:pPr>
    </w:p>
    <w:p w14:paraId="2CCC6BD3" w14:textId="77777777" w:rsidR="006754B3" w:rsidRPr="00B0209B" w:rsidRDefault="006754B3" w:rsidP="006754B3">
      <w:pPr>
        <w:spacing w:line="276" w:lineRule="auto"/>
        <w:ind w:left="567" w:right="618"/>
        <w:contextualSpacing/>
        <w:jc w:val="both"/>
        <w:rPr>
          <w:rFonts w:ascii="Palatino Linotype" w:hAnsi="Palatino Linotype"/>
          <w:i/>
          <w:szCs w:val="24"/>
          <w:lang w:val="es-ES_tradnl"/>
        </w:rPr>
      </w:pPr>
      <w:r w:rsidRPr="00B0209B">
        <w:rPr>
          <w:rFonts w:ascii="Palatino Linotype" w:hAnsi="Palatino Linotype"/>
          <w:b/>
          <w:i/>
          <w:szCs w:val="24"/>
          <w:lang w:val="es-ES_tradnl"/>
        </w:rPr>
        <w:t xml:space="preserve">No existe obligación de elaborar documentos ad hoc para atender las solicitudes de acceso a la información. </w:t>
      </w:r>
      <w:r w:rsidRPr="00B0209B">
        <w:rPr>
          <w:rFonts w:ascii="Palatino Linotype" w:hAnsi="Palatino Linotype"/>
          <w:i/>
          <w:szCs w:val="24"/>
          <w:lang w:val="es-ES_tradnl"/>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w:t>
      </w:r>
    </w:p>
    <w:p w14:paraId="395137CC" w14:textId="77777777" w:rsidR="006754B3" w:rsidRPr="00B0209B" w:rsidRDefault="006754B3" w:rsidP="006754B3">
      <w:pPr>
        <w:spacing w:line="276" w:lineRule="auto"/>
        <w:ind w:left="567" w:right="618"/>
        <w:contextualSpacing/>
        <w:jc w:val="both"/>
        <w:rPr>
          <w:rFonts w:ascii="Palatino Linotype" w:hAnsi="Palatino Linotype"/>
          <w:b/>
          <w:i/>
          <w:szCs w:val="24"/>
          <w:lang w:val="es-ES_tradnl"/>
        </w:rPr>
      </w:pPr>
    </w:p>
    <w:p w14:paraId="7BD66526" w14:textId="77777777" w:rsidR="006754B3" w:rsidRPr="00B0209B" w:rsidRDefault="006754B3" w:rsidP="006754B3">
      <w:pPr>
        <w:spacing w:line="276" w:lineRule="auto"/>
        <w:ind w:left="567" w:right="618"/>
        <w:contextualSpacing/>
        <w:jc w:val="both"/>
        <w:rPr>
          <w:rFonts w:ascii="Palatino Linotype" w:hAnsi="Palatino Linotype"/>
          <w:b/>
          <w:i/>
          <w:szCs w:val="24"/>
          <w:lang w:val="es-ES_tradnl"/>
        </w:rPr>
      </w:pPr>
      <w:r w:rsidRPr="00B0209B">
        <w:rPr>
          <w:rFonts w:ascii="Palatino Linotype" w:hAnsi="Palatino Linotype"/>
          <w:b/>
          <w:i/>
          <w:szCs w:val="24"/>
          <w:lang w:val="es-ES_tradnl"/>
        </w:rPr>
        <w:t>Resoluciones:</w:t>
      </w:r>
    </w:p>
    <w:p w14:paraId="6AF34D0D" w14:textId="77777777" w:rsidR="006754B3" w:rsidRPr="00B0209B" w:rsidRDefault="006754B3" w:rsidP="006754B3">
      <w:pPr>
        <w:numPr>
          <w:ilvl w:val="0"/>
          <w:numId w:val="2"/>
        </w:numPr>
        <w:spacing w:after="0" w:line="276" w:lineRule="auto"/>
        <w:ind w:right="618"/>
        <w:contextualSpacing/>
        <w:jc w:val="both"/>
        <w:rPr>
          <w:rFonts w:ascii="Palatino Linotype" w:hAnsi="Palatino Linotype"/>
          <w:i/>
          <w:szCs w:val="24"/>
        </w:rPr>
      </w:pPr>
      <w:r w:rsidRPr="00B0209B">
        <w:rPr>
          <w:rFonts w:ascii="Palatino Linotype" w:hAnsi="Palatino Linotype"/>
          <w:b/>
          <w:i/>
          <w:szCs w:val="24"/>
        </w:rPr>
        <w:t>RRA 0050/16.</w:t>
      </w:r>
      <w:r w:rsidRPr="00B0209B">
        <w:rPr>
          <w:rFonts w:ascii="Palatino Linotype" w:hAnsi="Palatino Linotype"/>
          <w:i/>
          <w:szCs w:val="24"/>
        </w:rPr>
        <w:t xml:space="preserve"> Instituto Nacional para la Evaluación de la Educación. 13 julio de 2016. Por unanimidad. Comisionado Ponente: Francisco Javier Acuña Llamas.</w:t>
      </w:r>
    </w:p>
    <w:p w14:paraId="12DFDB72" w14:textId="77777777" w:rsidR="006754B3" w:rsidRPr="00B0209B" w:rsidRDefault="006754B3" w:rsidP="006754B3">
      <w:pPr>
        <w:numPr>
          <w:ilvl w:val="0"/>
          <w:numId w:val="2"/>
        </w:numPr>
        <w:spacing w:after="0" w:line="276" w:lineRule="auto"/>
        <w:ind w:right="618"/>
        <w:contextualSpacing/>
        <w:jc w:val="both"/>
        <w:rPr>
          <w:rFonts w:ascii="Palatino Linotype" w:hAnsi="Palatino Linotype"/>
          <w:i/>
          <w:szCs w:val="24"/>
        </w:rPr>
      </w:pPr>
      <w:r w:rsidRPr="00B0209B">
        <w:rPr>
          <w:rFonts w:ascii="Palatino Linotype" w:hAnsi="Palatino Linotype"/>
          <w:b/>
          <w:i/>
          <w:szCs w:val="24"/>
        </w:rPr>
        <w:t xml:space="preserve">RRA 0310/16. </w:t>
      </w:r>
      <w:r w:rsidRPr="00B0209B">
        <w:rPr>
          <w:rFonts w:ascii="Palatino Linotype" w:hAnsi="Palatino Linotype"/>
          <w:i/>
          <w:szCs w:val="24"/>
        </w:rPr>
        <w:t>Instituto Nacional de Transparencia, Acceso a la Información y Protección de Datos Personales. 10 de agosto de 2016. Por unanimidad. Comisionada Ponente. Areli Cano Guadiana.</w:t>
      </w:r>
    </w:p>
    <w:p w14:paraId="30F2514C" w14:textId="77777777" w:rsidR="006754B3" w:rsidRPr="00B0209B" w:rsidRDefault="006754B3" w:rsidP="006754B3">
      <w:pPr>
        <w:numPr>
          <w:ilvl w:val="0"/>
          <w:numId w:val="2"/>
        </w:numPr>
        <w:spacing w:after="0" w:line="276" w:lineRule="auto"/>
        <w:ind w:right="618"/>
        <w:contextualSpacing/>
        <w:jc w:val="both"/>
        <w:rPr>
          <w:rFonts w:ascii="Palatino Linotype" w:hAnsi="Palatino Linotype"/>
          <w:i/>
          <w:szCs w:val="24"/>
        </w:rPr>
      </w:pPr>
      <w:r w:rsidRPr="00B0209B">
        <w:rPr>
          <w:rFonts w:ascii="Palatino Linotype" w:hAnsi="Palatino Linotype"/>
          <w:b/>
          <w:i/>
          <w:szCs w:val="24"/>
        </w:rPr>
        <w:t xml:space="preserve">RRA 1889/16. </w:t>
      </w:r>
      <w:r w:rsidRPr="00B0209B">
        <w:rPr>
          <w:rFonts w:ascii="Palatino Linotype" w:hAnsi="Palatino Linotype"/>
          <w:i/>
          <w:szCs w:val="24"/>
        </w:rPr>
        <w:t>Secretaría de Hacienda y Crédito Público. 05 de octubre de 2016. Por unanimidad. Comisionada Ponente. Ximena Puente de la Mora.</w:t>
      </w:r>
    </w:p>
    <w:p w14:paraId="4DE67C83" w14:textId="77777777" w:rsidR="006754B3" w:rsidRPr="00B0209B" w:rsidRDefault="006754B3" w:rsidP="006754B3">
      <w:pPr>
        <w:spacing w:line="360" w:lineRule="auto"/>
        <w:ind w:right="49"/>
        <w:contextualSpacing/>
        <w:jc w:val="both"/>
        <w:rPr>
          <w:rFonts w:ascii="Palatino Linotype" w:hAnsi="Palatino Linotype"/>
          <w:sz w:val="24"/>
          <w:szCs w:val="24"/>
        </w:rPr>
      </w:pPr>
      <w:r w:rsidRPr="00B0209B">
        <w:rPr>
          <w:rFonts w:ascii="Palatino Linotype" w:hAnsi="Palatino Linotype"/>
          <w:sz w:val="24"/>
          <w:szCs w:val="24"/>
        </w:rPr>
        <w:lastRenderedPageBreak/>
        <w:t xml:space="preserve">Así, y de conformidad con lo antes señalado, </w:t>
      </w:r>
      <w:r w:rsidRPr="00B0209B">
        <w:rPr>
          <w:rFonts w:ascii="Palatino Linotype" w:hAnsi="Palatino Linotype"/>
          <w:b/>
          <w:bCs/>
          <w:sz w:val="24"/>
          <w:szCs w:val="24"/>
        </w:rPr>
        <w:t>EL SUJETO OBLIGADO</w:t>
      </w:r>
      <w:r w:rsidRPr="00B0209B">
        <w:rPr>
          <w:rFonts w:ascii="Palatino Linotype" w:hAnsi="Palatino Linotype"/>
          <w:sz w:val="24"/>
          <w:szCs w:val="24"/>
        </w:rPr>
        <w:t xml:space="preserve"> sólo proporcionará la información que obra en sus archivos, lo que a </w:t>
      </w:r>
      <w:r w:rsidRPr="00B0209B">
        <w:rPr>
          <w:rFonts w:ascii="Palatino Linotype" w:hAnsi="Palatino Linotype"/>
          <w:i/>
          <w:iCs/>
          <w:sz w:val="24"/>
          <w:szCs w:val="24"/>
        </w:rPr>
        <w:t>contrario sensu</w:t>
      </w:r>
      <w:r w:rsidRPr="00B0209B">
        <w:rPr>
          <w:rFonts w:ascii="Palatino Linotype" w:hAnsi="Palatino Linotype"/>
          <w:sz w:val="24"/>
          <w:szCs w:val="24"/>
        </w:rPr>
        <w:t xml:space="preserve"> significa que no se está obligado a proporcionar lo que no obre en sus archivos, situación que se actualiza en el presente asunto, </w:t>
      </w:r>
      <w:r w:rsidRPr="00B0209B">
        <w:rPr>
          <w:rFonts w:ascii="Palatino Linotype" w:eastAsia="Palatino Linotype" w:hAnsi="Palatino Linotype" w:cs="Palatino Linotype"/>
          <w:sz w:val="24"/>
          <w:szCs w:val="24"/>
        </w:rPr>
        <w:t xml:space="preserve">motivo por el cual no es procedente atender este punto de la solicitud. </w:t>
      </w:r>
    </w:p>
    <w:p w14:paraId="1E438136" w14:textId="77777777" w:rsidR="006754B3" w:rsidRPr="00B0209B" w:rsidRDefault="006754B3" w:rsidP="00951FAC">
      <w:pPr>
        <w:spacing w:after="0" w:line="360" w:lineRule="auto"/>
        <w:ind w:right="49"/>
        <w:contextualSpacing/>
        <w:jc w:val="both"/>
        <w:rPr>
          <w:rFonts w:ascii="Palatino Linotype" w:hAnsi="Palatino Linotype"/>
          <w:sz w:val="24"/>
        </w:rPr>
      </w:pPr>
    </w:p>
    <w:p w14:paraId="1EC0C35F" w14:textId="77777777" w:rsidR="006754B3" w:rsidRPr="00B0209B" w:rsidRDefault="006754B3" w:rsidP="006754B3">
      <w:pPr>
        <w:spacing w:line="360" w:lineRule="auto"/>
        <w:ind w:right="-91"/>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b/>
          <w:sz w:val="24"/>
          <w:szCs w:val="24"/>
        </w:rPr>
        <w:t xml:space="preserve">QUINTO. VERSIÓN PÚBLICA. </w:t>
      </w:r>
      <w:r w:rsidRPr="00B0209B">
        <w:rPr>
          <w:rFonts w:ascii="Palatino Linotype" w:eastAsia="Palatino Linotype" w:hAnsi="Palatino Linotype" w:cs="Palatino Linotype"/>
          <w:sz w:val="24"/>
          <w:szCs w:val="24"/>
        </w:rPr>
        <w:t>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w:t>
      </w:r>
      <w:r w:rsidRPr="00B0209B">
        <w:rPr>
          <w:rFonts w:ascii="Palatino Linotype" w:eastAsia="Palatino Linotype" w:hAnsi="Palatino Linotype" w:cs="Palatino Linotype"/>
          <w:b/>
          <w:sz w:val="24"/>
          <w:szCs w:val="24"/>
        </w:rPr>
        <w:t xml:space="preserve"> 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xml:space="preserve"> sin menoscabar el derecho a la protección de los datos personales de terceros.</w:t>
      </w:r>
    </w:p>
    <w:p w14:paraId="6413C350" w14:textId="77777777" w:rsidR="006754B3" w:rsidRPr="00B0209B" w:rsidRDefault="006754B3" w:rsidP="006754B3">
      <w:pPr>
        <w:spacing w:line="360" w:lineRule="auto"/>
        <w:ind w:right="-91"/>
        <w:contextualSpacing/>
        <w:jc w:val="both"/>
        <w:rPr>
          <w:rFonts w:ascii="Palatino Linotype" w:eastAsia="Palatino Linotype" w:hAnsi="Palatino Linotype" w:cs="Palatino Linotype"/>
          <w:sz w:val="24"/>
          <w:szCs w:val="28"/>
        </w:rPr>
      </w:pPr>
    </w:p>
    <w:p w14:paraId="6538CFEB" w14:textId="77777777" w:rsidR="006754B3" w:rsidRPr="00B0209B" w:rsidRDefault="006754B3" w:rsidP="006754B3">
      <w:pPr>
        <w:pBdr>
          <w:top w:val="nil"/>
          <w:left w:val="nil"/>
          <w:bottom w:val="nil"/>
          <w:right w:val="nil"/>
          <w:between w:val="nil"/>
        </w:pBdr>
        <w:spacing w:before="240" w:after="0" w:line="360" w:lineRule="auto"/>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Lo anterior, de conformidad a lo que señalan los artículos 3, fracciones IX, XX, XXXII, XLV; 6, 137 y 143 fracción I, de la Ley de Transparencia y Acceso a la Información Pública del Estado de México y Municipios vigente, que se leen como sigue:</w:t>
      </w:r>
    </w:p>
    <w:p w14:paraId="4F8D4DE0" w14:textId="77777777" w:rsidR="006754B3" w:rsidRPr="00B0209B" w:rsidRDefault="006754B3" w:rsidP="006754B3">
      <w:pPr>
        <w:pBdr>
          <w:top w:val="nil"/>
          <w:left w:val="nil"/>
          <w:bottom w:val="nil"/>
          <w:right w:val="nil"/>
          <w:between w:val="nil"/>
        </w:pBdr>
        <w:spacing w:after="240" w:line="360" w:lineRule="auto"/>
        <w:contextualSpacing/>
        <w:jc w:val="both"/>
        <w:rPr>
          <w:rFonts w:ascii="Palatino Linotype" w:eastAsia="Palatino Linotype" w:hAnsi="Palatino Linotype" w:cs="Palatino Linotype"/>
          <w:sz w:val="24"/>
          <w:szCs w:val="24"/>
        </w:rPr>
      </w:pPr>
    </w:p>
    <w:p w14:paraId="7AF16C9A"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 xml:space="preserve"> “Artículo 3. Para los efectos de la presente Ley se entenderá por:</w:t>
      </w:r>
    </w:p>
    <w:p w14:paraId="1AE0552C"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IX. Datos personales:</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rPr>
        <w:t>La información concerniente a una persona, identificada o identificable</w:t>
      </w:r>
      <w:r w:rsidRPr="00B0209B">
        <w:rPr>
          <w:rFonts w:ascii="Palatino Linotype" w:eastAsia="Palatino Linotype" w:hAnsi="Palatino Linotype" w:cs="Palatino Linotype"/>
          <w:i/>
        </w:rPr>
        <w:t xml:space="preserve"> según lo dispuesto por la Ley de Protección de Datos Personales del Estado de México;</w:t>
      </w:r>
    </w:p>
    <w:p w14:paraId="2B302AF7"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lastRenderedPageBreak/>
        <w:t>XX. Información clasificada:</w:t>
      </w:r>
      <w:r w:rsidRPr="00B0209B">
        <w:rPr>
          <w:rFonts w:ascii="Palatino Linotype" w:eastAsia="Palatino Linotype" w:hAnsi="Palatino Linotype" w:cs="Palatino Linotype"/>
          <w:i/>
        </w:rPr>
        <w:t xml:space="preserve"> Aquella considerada por la presente Ley como reservada o confidencial;</w:t>
      </w:r>
    </w:p>
    <w:p w14:paraId="71ECFF1F"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XXXII. Protección de Datos Personales:</w:t>
      </w:r>
      <w:r w:rsidRPr="00B0209B">
        <w:rPr>
          <w:rFonts w:ascii="Palatino Linotype" w:eastAsia="Palatino Linotype" w:hAnsi="Palatino Linotype" w:cs="Palatino Linotype"/>
          <w:i/>
        </w:rPr>
        <w:t xml:space="preserve"> Derecho humano que tutela la privacidad de datos personales en poder de los sujetos obligados y sujetos particulares;</w:t>
      </w:r>
    </w:p>
    <w:p w14:paraId="2C044DB6"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XLV. Versión pública</w:t>
      </w:r>
      <w:r w:rsidRPr="00B0209B">
        <w:rPr>
          <w:rFonts w:ascii="Palatino Linotype" w:eastAsia="Palatino Linotype" w:hAnsi="Palatino Linotype" w:cs="Palatino Linotype"/>
          <w:i/>
        </w:rPr>
        <w:t>: Documento en el que se elimine, suprime o borra la información clasificada como reservada o confidencial para permitir su acceso.”</w:t>
      </w:r>
    </w:p>
    <w:p w14:paraId="3C2605ED"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“Artículo 6.</w:t>
      </w:r>
      <w:r w:rsidRPr="00B0209B">
        <w:rPr>
          <w:rFonts w:ascii="Palatino Linotype" w:eastAsia="Palatino Linotype" w:hAnsi="Palatino Linotype" w:cs="Palatino Linotype"/>
          <w:i/>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19BE2187"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b/>
          <w:i/>
        </w:rPr>
      </w:pPr>
      <w:r w:rsidRPr="00B0209B">
        <w:rPr>
          <w:rFonts w:ascii="Palatino Linotype" w:eastAsia="Palatino Linotype" w:hAnsi="Palatino Linotype" w:cs="Palatino Linotype"/>
          <w:b/>
          <w:i/>
        </w:rPr>
        <w:t>“Artículo 137.</w:t>
      </w:r>
      <w:r w:rsidRPr="00B0209B">
        <w:rPr>
          <w:rFonts w:ascii="Palatino Linotype" w:eastAsia="Palatino Linotype" w:hAnsi="Palatino Linotype" w:cs="Palatino Linotype"/>
          <w:i/>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2E18F603"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b/>
          <w:i/>
        </w:rPr>
      </w:pPr>
    </w:p>
    <w:p w14:paraId="0EA28CE3"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“Artículo 143</w:t>
      </w:r>
      <w:r w:rsidRPr="00B0209B">
        <w:rPr>
          <w:rFonts w:ascii="Palatino Linotype" w:eastAsia="Palatino Linotype" w:hAnsi="Palatino Linotype" w:cs="Palatino Linotype"/>
          <w:i/>
        </w:rPr>
        <w:t>. Para los efectos de esta Ley se considera información confidencial, la clasificada como tal, de manera permanente, por su naturaleza, cuando:</w:t>
      </w:r>
    </w:p>
    <w:p w14:paraId="0D0391FF"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I.</w:t>
      </w:r>
      <w:r w:rsidRPr="00B0209B">
        <w:rPr>
          <w:rFonts w:ascii="Palatino Linotype" w:eastAsia="Palatino Linotype" w:hAnsi="Palatino Linotype" w:cs="Palatino Linotype"/>
          <w:i/>
        </w:rPr>
        <w:t xml:space="preserve"> Se refiera a la información privada y los datos personales concernientes a una persona física o jurídica colectiva identificada o identificable;</w:t>
      </w:r>
    </w:p>
    <w:p w14:paraId="5D049995"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Los secretos bancario, fiduciario, industrial, comercial, fiscal, bursátil y postal, cuya titularidad corresponda a particulares, sujetos de derecho internacional o a sujetos obligados cuando no involucren el ejercicio de recursos públicos; y</w:t>
      </w:r>
    </w:p>
    <w:p w14:paraId="1484E0F1"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III. La que presenten los particulares a los sujetos obligados, de conformidad con lo dispuesto por las leyes o los tratados internacionales.” </w:t>
      </w:r>
    </w:p>
    <w:p w14:paraId="48B64209" w14:textId="77777777" w:rsidR="006754B3" w:rsidRPr="00B0209B" w:rsidRDefault="006754B3" w:rsidP="006754B3">
      <w:pPr>
        <w:spacing w:after="0" w:line="360" w:lineRule="auto"/>
        <w:ind w:left="992" w:right="1043"/>
        <w:jc w:val="both"/>
        <w:rPr>
          <w:rFonts w:ascii="Palatino Linotype" w:eastAsia="Palatino Linotype" w:hAnsi="Palatino Linotype" w:cs="Palatino Linotype"/>
          <w:i/>
          <w:sz w:val="24"/>
          <w:szCs w:val="24"/>
        </w:rPr>
      </w:pPr>
    </w:p>
    <w:p w14:paraId="13102DDC" w14:textId="77777777" w:rsidR="006754B3" w:rsidRPr="00B0209B" w:rsidRDefault="006754B3" w:rsidP="006754B3">
      <w:pPr>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 xml:space="preserve">De los preceptos anteriores se desprende que cuando un documento que vaya a ser entregado vía acceso a la información pública, contenga tanto información de 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para satisfacer el derecho de acceso a la información pública de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6EBC1B8C" w14:textId="77777777" w:rsidR="006754B3" w:rsidRPr="00B0209B" w:rsidRDefault="006754B3" w:rsidP="006754B3">
      <w:pPr>
        <w:tabs>
          <w:tab w:val="left" w:pos="3265"/>
        </w:tabs>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ab/>
      </w:r>
    </w:p>
    <w:p w14:paraId="4179C6C4" w14:textId="77777777" w:rsidR="006754B3" w:rsidRPr="00B0209B" w:rsidRDefault="006754B3" w:rsidP="006754B3">
      <w:pPr>
        <w:spacing w:after="0" w:line="360" w:lineRule="auto"/>
        <w:ind w:right="50"/>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77CB1F3F" w14:textId="77777777" w:rsidR="006754B3" w:rsidRPr="00B0209B" w:rsidRDefault="006754B3" w:rsidP="006754B3">
      <w:pPr>
        <w:spacing w:after="0" w:line="360" w:lineRule="auto"/>
        <w:ind w:right="50"/>
        <w:jc w:val="both"/>
        <w:rPr>
          <w:rFonts w:ascii="Palatino Linotype" w:eastAsia="Palatino Linotype" w:hAnsi="Palatino Linotype" w:cs="Palatino Linotype"/>
          <w:sz w:val="24"/>
          <w:szCs w:val="24"/>
        </w:rPr>
      </w:pPr>
    </w:p>
    <w:p w14:paraId="628FFE9D" w14:textId="595B6D79" w:rsidR="00E65F35" w:rsidRPr="00B0209B" w:rsidRDefault="00E65F35" w:rsidP="006754B3">
      <w:pPr>
        <w:spacing w:after="0" w:line="360" w:lineRule="auto"/>
        <w:ind w:right="50"/>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Cabe mencionar, que en la información que se ordena puede localizarse el nombre de los colindantes de los inmuebles, siendo necesario referir que el nombre de una persona física se integra con el sustantivo propio y el primer apellido de los padres en el orden que de común acuerdo determinen; asimismo es la manifestación principal del derecho subjetivo a la personalidad y atributo de esta en términos del </w:t>
      </w:r>
      <w:r w:rsidRPr="00B0209B">
        <w:rPr>
          <w:rFonts w:ascii="Palatino Linotype" w:eastAsia="Palatino Linotype" w:hAnsi="Palatino Linotype" w:cs="Palatino Linotype"/>
          <w:sz w:val="24"/>
          <w:szCs w:val="24"/>
        </w:rPr>
        <w:lastRenderedPageBreak/>
        <w:t xml:space="preserve">artículo 2.3 del Código Civil del Estado de México, de tal suerte, el nombre </w:t>
      </w:r>
      <w:r w:rsidRPr="00B0209B">
        <w:rPr>
          <w:rFonts w:ascii="Palatino Linotype" w:eastAsia="Palatino Linotype" w:hAnsi="Palatino Linotype" w:cs="Palatino Linotype"/>
          <w:i/>
          <w:sz w:val="24"/>
          <w:szCs w:val="24"/>
        </w:rPr>
        <w:t>per se</w:t>
      </w:r>
      <w:r w:rsidRPr="00B0209B">
        <w:rPr>
          <w:rFonts w:ascii="Palatino Linotype" w:eastAsia="Palatino Linotype" w:hAnsi="Palatino Linotype" w:cs="Palatino Linotype"/>
          <w:sz w:val="24"/>
          <w:szCs w:val="24"/>
        </w:rPr>
        <w:t xml:space="preserve"> es un elemento que hace a una persona física identificada o identificable, por lo que actualiza el supuesto previsto en el artículo 143, fracción I, de la Ley de Transparencia y Acceso a la Información Pública del Estado de México y Municipios</w:t>
      </w:r>
    </w:p>
    <w:p w14:paraId="3D478C11" w14:textId="77777777" w:rsidR="00E65F35" w:rsidRPr="00B0209B" w:rsidRDefault="00E65F35" w:rsidP="006754B3">
      <w:pPr>
        <w:spacing w:after="0" w:line="360" w:lineRule="auto"/>
        <w:ind w:right="50"/>
        <w:jc w:val="both"/>
        <w:rPr>
          <w:rFonts w:ascii="Palatino Linotype" w:eastAsia="Palatino Linotype" w:hAnsi="Palatino Linotype" w:cs="Palatino Linotype"/>
          <w:sz w:val="24"/>
          <w:szCs w:val="24"/>
        </w:rPr>
      </w:pPr>
    </w:p>
    <w:p w14:paraId="467AB01E" w14:textId="77777777" w:rsidR="006754B3" w:rsidRPr="00B0209B" w:rsidRDefault="006754B3" w:rsidP="006754B3">
      <w:pPr>
        <w:spacing w:after="0" w:line="360" w:lineRule="auto"/>
        <w:ind w:right="51"/>
        <w:contextualSpacing/>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En ese contexto, la clasificación de la información no opera con la simple supresión de datos que se haga en los documentos de que se trate o con la simple decisión que tome el Servidor Público Habilitado o el </w:t>
      </w:r>
      <w:proofErr w:type="gramStart"/>
      <w:r w:rsidRPr="00B0209B">
        <w:rPr>
          <w:rFonts w:ascii="Palatino Linotype" w:eastAsia="Palatino Linotype" w:hAnsi="Palatino Linotype" w:cs="Palatino Linotype"/>
          <w:sz w:val="24"/>
          <w:szCs w:val="24"/>
        </w:rPr>
        <w:t>Responsable</w:t>
      </w:r>
      <w:proofErr w:type="gramEnd"/>
      <w:r w:rsidRPr="00B0209B">
        <w:rPr>
          <w:rFonts w:ascii="Palatino Linotype" w:eastAsia="Palatino Linotype" w:hAnsi="Palatino Linotype" w:cs="Palatino Linotype"/>
          <w:sz w:val="24"/>
          <w:szCs w:val="24"/>
        </w:rPr>
        <w:t xml:space="preserve"> de la Unidad de Transparencia del Sujeto Obligado, sino que ello deberá realizarse en términos de lo que disponen los artículos 49 fracción VIII, 53, fracción X y 59, fracción V, de la Ley en consulta, cuyo sentido literal es el siguiente:</w:t>
      </w:r>
    </w:p>
    <w:p w14:paraId="6BC34F07" w14:textId="77777777" w:rsidR="006754B3" w:rsidRPr="00B0209B" w:rsidRDefault="006754B3" w:rsidP="006754B3">
      <w:pPr>
        <w:spacing w:line="360" w:lineRule="auto"/>
        <w:ind w:right="51"/>
        <w:contextualSpacing/>
        <w:jc w:val="both"/>
        <w:rPr>
          <w:rFonts w:ascii="Palatino Linotype" w:eastAsia="Palatino Linotype" w:hAnsi="Palatino Linotype" w:cs="Palatino Linotype"/>
          <w:sz w:val="24"/>
          <w:szCs w:val="24"/>
        </w:rPr>
      </w:pPr>
    </w:p>
    <w:p w14:paraId="3EBBC178"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“Artículo 49.</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rPr>
        <w:t>Los Comités de Transparencia</w:t>
      </w:r>
      <w:r w:rsidRPr="00B0209B">
        <w:rPr>
          <w:rFonts w:ascii="Palatino Linotype" w:eastAsia="Palatino Linotype" w:hAnsi="Palatino Linotype" w:cs="Palatino Linotype"/>
          <w:i/>
        </w:rPr>
        <w:t xml:space="preserve"> tendrán las siguientes atribuciones:</w:t>
      </w:r>
    </w:p>
    <w:p w14:paraId="43F9F13C"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VIII. Aprobar, modificar o revocar la clasificación de la información</w:t>
      </w:r>
      <w:r w:rsidRPr="00B0209B">
        <w:rPr>
          <w:rFonts w:ascii="Palatino Linotype" w:eastAsia="Palatino Linotype" w:hAnsi="Palatino Linotype" w:cs="Palatino Linotype"/>
          <w:i/>
        </w:rPr>
        <w:t>…”</w:t>
      </w:r>
    </w:p>
    <w:p w14:paraId="66A86010"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r w:rsidRPr="00B0209B">
        <w:rPr>
          <w:rFonts w:ascii="Palatino Linotype" w:eastAsia="Palatino Linotype" w:hAnsi="Palatino Linotype" w:cs="Palatino Linotype"/>
          <w:b/>
          <w:i/>
        </w:rPr>
        <w:t>Artículo 53.</w:t>
      </w:r>
      <w:r w:rsidRPr="00B0209B">
        <w:rPr>
          <w:rFonts w:ascii="Palatino Linotype" w:eastAsia="Palatino Linotype" w:hAnsi="Palatino Linotype" w:cs="Palatino Linotype"/>
          <w:i/>
        </w:rPr>
        <w:t xml:space="preserve"> Las </w:t>
      </w:r>
      <w:r w:rsidRPr="00B0209B">
        <w:rPr>
          <w:rFonts w:ascii="Palatino Linotype" w:eastAsia="Palatino Linotype" w:hAnsi="Palatino Linotype" w:cs="Palatino Linotype"/>
          <w:b/>
          <w:i/>
        </w:rPr>
        <w:t>Unidades de Transparencia</w:t>
      </w:r>
      <w:r w:rsidRPr="00B0209B">
        <w:rPr>
          <w:rFonts w:ascii="Palatino Linotype" w:eastAsia="Palatino Linotype" w:hAnsi="Palatino Linotype" w:cs="Palatino Linotype"/>
          <w:i/>
        </w:rPr>
        <w:t xml:space="preserve"> tendrán las siguientes </w:t>
      </w:r>
      <w:r w:rsidRPr="00B0209B">
        <w:rPr>
          <w:rFonts w:ascii="Palatino Linotype" w:eastAsia="Palatino Linotype" w:hAnsi="Palatino Linotype" w:cs="Palatino Linotype"/>
          <w:b/>
          <w:i/>
        </w:rPr>
        <w:t>funciones</w:t>
      </w:r>
      <w:r w:rsidRPr="00B0209B">
        <w:rPr>
          <w:rFonts w:ascii="Palatino Linotype" w:eastAsia="Palatino Linotype" w:hAnsi="Palatino Linotype" w:cs="Palatino Linotype"/>
          <w:i/>
        </w:rPr>
        <w:t>:</w:t>
      </w:r>
    </w:p>
    <w:p w14:paraId="647A3AC6"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X. Presentar ante el Comité, el proyecto de clasificación de información</w:t>
      </w:r>
      <w:r w:rsidRPr="00B0209B">
        <w:rPr>
          <w:rFonts w:ascii="Palatino Linotype" w:eastAsia="Palatino Linotype" w:hAnsi="Palatino Linotype" w:cs="Palatino Linotype"/>
          <w:i/>
        </w:rPr>
        <w:t xml:space="preserve">…” </w:t>
      </w:r>
    </w:p>
    <w:p w14:paraId="402DAC86"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“Artículo 59.</w:t>
      </w:r>
      <w:r w:rsidRPr="00B0209B">
        <w:rPr>
          <w:rFonts w:ascii="Palatino Linotype" w:eastAsia="Palatino Linotype" w:hAnsi="Palatino Linotype" w:cs="Palatino Linotype"/>
          <w:i/>
        </w:rPr>
        <w:t xml:space="preserve"> Los </w:t>
      </w:r>
      <w:r w:rsidRPr="00B0209B">
        <w:rPr>
          <w:rFonts w:ascii="Palatino Linotype" w:eastAsia="Palatino Linotype" w:hAnsi="Palatino Linotype" w:cs="Palatino Linotype"/>
          <w:b/>
          <w:i/>
        </w:rPr>
        <w:t>servidores públicos habilitados</w:t>
      </w:r>
      <w:r w:rsidRPr="00B0209B">
        <w:rPr>
          <w:rFonts w:ascii="Palatino Linotype" w:eastAsia="Palatino Linotype" w:hAnsi="Palatino Linotype" w:cs="Palatino Linotype"/>
          <w:i/>
        </w:rPr>
        <w:t xml:space="preserve"> tendrán las </w:t>
      </w:r>
      <w:r w:rsidRPr="00B0209B">
        <w:rPr>
          <w:rFonts w:ascii="Palatino Linotype" w:eastAsia="Palatino Linotype" w:hAnsi="Palatino Linotype" w:cs="Palatino Linotype"/>
          <w:b/>
          <w:i/>
        </w:rPr>
        <w:t>funciones</w:t>
      </w:r>
      <w:r w:rsidRPr="00B0209B">
        <w:rPr>
          <w:rFonts w:ascii="Palatino Linotype" w:eastAsia="Palatino Linotype" w:hAnsi="Palatino Linotype" w:cs="Palatino Linotype"/>
          <w:i/>
        </w:rPr>
        <w:t xml:space="preserve"> siguientes:</w:t>
      </w:r>
    </w:p>
    <w:p w14:paraId="33406E6B"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V. Integrar y presentar al responsable de la Unidad de Transparencia la propuesta de clasificación de información</w:t>
      </w:r>
      <w:r w:rsidRPr="00B0209B">
        <w:rPr>
          <w:rFonts w:ascii="Palatino Linotype" w:eastAsia="Palatino Linotype" w:hAnsi="Palatino Linotype" w:cs="Palatino Linotype"/>
          <w:i/>
        </w:rPr>
        <w:t>, la cual tendrá los fundamentos y argumentos en que se basa dicha propuesta…”</w:t>
      </w:r>
    </w:p>
    <w:p w14:paraId="49D8BB43" w14:textId="77777777" w:rsidR="006754B3" w:rsidRPr="00B0209B" w:rsidRDefault="006754B3" w:rsidP="006754B3">
      <w:pPr>
        <w:spacing w:after="0" w:line="276" w:lineRule="auto"/>
        <w:ind w:left="992" w:right="1043"/>
        <w:contextualSpacing/>
        <w:jc w:val="both"/>
        <w:rPr>
          <w:rFonts w:ascii="Palatino Linotype" w:eastAsia="Palatino Linotype" w:hAnsi="Palatino Linotype" w:cs="Palatino Linotype"/>
          <w:i/>
          <w:sz w:val="24"/>
        </w:rPr>
      </w:pPr>
    </w:p>
    <w:p w14:paraId="1A94E29E"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Denotándose de dichos elementos normativos que el determinar la clasificación de la información es un trabajo en conjunto tanto de los Servidores Públicos </w:t>
      </w:r>
      <w:r w:rsidRPr="00B0209B">
        <w:rPr>
          <w:rFonts w:ascii="Palatino Linotype" w:eastAsia="Palatino Linotype" w:hAnsi="Palatino Linotype" w:cs="Palatino Linotype"/>
          <w:sz w:val="24"/>
          <w:szCs w:val="24"/>
        </w:rPr>
        <w:lastRenderedPageBreak/>
        <w:t>Habilitados, de las Unidades de Transparencia y del Comité de Transparencia del Sujeto Obligado, teniendo el deber los primeros de ellos de presentar ante la Unidad de Transparencia la propuesta de la clasificación de la información, para que luego ésta presente ante al Comité de Transparencia de así resultar procedente el proyecto de clasificación de la información y finalmente sea éste último quien apruebe, modifique o revoque la clasificación de la información solicitada.</w:t>
      </w:r>
    </w:p>
    <w:p w14:paraId="5CC682BD"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p>
    <w:p w14:paraId="46928778"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Para lo cual, a su vez en el caso de información de carácter confidencial, se debe atender a lo que señala el artículo 149 de la Ley de Transparencia Local vigente, que se lee como sigue:</w:t>
      </w:r>
    </w:p>
    <w:p w14:paraId="7E63D544" w14:textId="77777777" w:rsidR="006754B3" w:rsidRPr="00B0209B" w:rsidRDefault="006754B3" w:rsidP="006754B3">
      <w:pPr>
        <w:spacing w:line="360" w:lineRule="auto"/>
        <w:jc w:val="both"/>
        <w:rPr>
          <w:rFonts w:ascii="Palatino Linotype" w:eastAsia="Palatino Linotype" w:hAnsi="Palatino Linotype" w:cs="Palatino Linotype"/>
          <w:sz w:val="24"/>
          <w:szCs w:val="24"/>
        </w:rPr>
      </w:pPr>
    </w:p>
    <w:p w14:paraId="56F98744" w14:textId="77777777" w:rsidR="006754B3" w:rsidRPr="00B0209B" w:rsidRDefault="006754B3" w:rsidP="006754B3">
      <w:pPr>
        <w:spacing w:after="0" w:line="276" w:lineRule="auto"/>
        <w:ind w:left="992" w:right="1043"/>
        <w:jc w:val="both"/>
        <w:rPr>
          <w:rFonts w:ascii="Palatino Linotype" w:eastAsia="Palatino Linotype" w:hAnsi="Palatino Linotype" w:cs="Palatino Linotype"/>
          <w:i/>
        </w:rPr>
      </w:pPr>
      <w:r w:rsidRPr="00B0209B">
        <w:rPr>
          <w:rFonts w:ascii="Palatino Linotype" w:eastAsia="Palatino Linotype" w:hAnsi="Palatino Linotype" w:cs="Palatino Linotype"/>
          <w:i/>
        </w:rPr>
        <w:t>“</w:t>
      </w:r>
      <w:r w:rsidRPr="00B0209B">
        <w:rPr>
          <w:rFonts w:ascii="Palatino Linotype" w:eastAsia="Palatino Linotype" w:hAnsi="Palatino Linotype" w:cs="Palatino Linotype"/>
          <w:b/>
          <w:i/>
        </w:rPr>
        <w:t>Artículo 149.</w:t>
      </w:r>
      <w:r w:rsidRPr="00B0209B">
        <w:rPr>
          <w:rFonts w:ascii="Palatino Linotype" w:eastAsia="Palatino Linotype" w:hAnsi="Palatino Linotype" w:cs="Palatino Linotype"/>
          <w:i/>
        </w:rPr>
        <w:t xml:space="preserve"> El </w:t>
      </w:r>
      <w:r w:rsidRPr="00B0209B">
        <w:rPr>
          <w:rFonts w:ascii="Palatino Linotype" w:eastAsia="Palatino Linotype" w:hAnsi="Palatino Linotype" w:cs="Palatino Linotype"/>
          <w:b/>
          <w:i/>
        </w:rPr>
        <w:t>acuerdo que clasifique la información como confidencial</w:t>
      </w:r>
      <w:r w:rsidRPr="00B0209B">
        <w:rPr>
          <w:rFonts w:ascii="Palatino Linotype" w:eastAsia="Palatino Linotype" w:hAnsi="Palatino Linotype" w:cs="Palatino Linotype"/>
          <w:i/>
        </w:rPr>
        <w:t xml:space="preserve"> deberá contener un razonamiento lógico en el que demuestre que la información se encuentra en alguna o algunas de las hipótesis previstas en la presente Ley.”</w:t>
      </w:r>
    </w:p>
    <w:p w14:paraId="3DC71565" w14:textId="77777777" w:rsidR="006754B3" w:rsidRPr="00B0209B" w:rsidRDefault="006754B3" w:rsidP="006754B3">
      <w:pPr>
        <w:spacing w:line="360" w:lineRule="auto"/>
        <w:ind w:right="51"/>
        <w:jc w:val="both"/>
        <w:rPr>
          <w:rFonts w:ascii="Palatino Linotype" w:eastAsia="Palatino Linotype" w:hAnsi="Palatino Linotype" w:cs="Palatino Linotype"/>
          <w:sz w:val="24"/>
          <w:szCs w:val="24"/>
        </w:rPr>
      </w:pPr>
    </w:p>
    <w:p w14:paraId="198C876E" w14:textId="77777777" w:rsidR="006754B3" w:rsidRPr="00B0209B" w:rsidRDefault="006754B3" w:rsidP="006754B3">
      <w:pPr>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Es decir, </w:t>
      </w:r>
      <w:r w:rsidRPr="00B0209B">
        <w:rPr>
          <w:rFonts w:ascii="Palatino Linotype" w:eastAsia="Palatino Linotype" w:hAnsi="Palatino Linotype" w:cs="Palatino Linotype"/>
          <w:b/>
          <w:sz w:val="24"/>
          <w:szCs w:val="24"/>
        </w:rPr>
        <w:t>EL</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w:t>
      </w:r>
      <w:r w:rsidRPr="00B0209B">
        <w:rPr>
          <w:rFonts w:ascii="Palatino Linotype" w:eastAsia="Palatino Linotype" w:hAnsi="Palatino Linotype" w:cs="Palatino Linotype"/>
          <w:sz w:val="24"/>
          <w:szCs w:val="24"/>
        </w:rPr>
        <w:lastRenderedPageBreak/>
        <w:t>versión pública de la documentación entregada se estaría violentando el derecho de acceso a la información de la parte solicitante.</w:t>
      </w:r>
    </w:p>
    <w:p w14:paraId="3F34423B" w14:textId="77777777" w:rsidR="006754B3" w:rsidRPr="00B0209B" w:rsidRDefault="006754B3" w:rsidP="006754B3">
      <w:pPr>
        <w:spacing w:after="0" w:line="360" w:lineRule="auto"/>
        <w:ind w:right="51"/>
        <w:jc w:val="both"/>
        <w:rPr>
          <w:rFonts w:ascii="Palatino Linotype" w:eastAsia="Palatino Linotype" w:hAnsi="Palatino Linotype" w:cs="Palatino Linotype"/>
          <w:sz w:val="24"/>
          <w:szCs w:val="24"/>
        </w:rPr>
      </w:pPr>
    </w:p>
    <w:p w14:paraId="52DD9EE9"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Al respecto, se destaca que la versión pública que elabore </w:t>
      </w:r>
      <w:r w:rsidRPr="00B0209B">
        <w:rPr>
          <w:rFonts w:ascii="Palatino Linotype" w:eastAsia="Palatino Linotype" w:hAnsi="Palatino Linotype" w:cs="Palatino Linotype"/>
          <w:b/>
          <w:sz w:val="24"/>
          <w:szCs w:val="24"/>
        </w:rPr>
        <w:t>EL</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SUJETO OBLIGADO</w:t>
      </w:r>
      <w:r w:rsidRPr="00B0209B">
        <w:rPr>
          <w:rFonts w:ascii="Palatino Linotype" w:eastAsia="Palatino Linotype" w:hAnsi="Palatino Linotype" w:cs="Palatino Linotype"/>
          <w:sz w:val="24"/>
          <w:szCs w:val="24"/>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B0209B">
        <w:rPr>
          <w:rFonts w:ascii="Palatino Linotype" w:eastAsia="Palatino Linotype" w:hAnsi="Palatino Linotype" w:cs="Palatino Linotype"/>
          <w:b/>
          <w:sz w:val="24"/>
          <w:szCs w:val="24"/>
        </w:rPr>
        <w:t>LINEAMIENTOS GENERALES EN MATERIA DE CLASIFICACIÓN Y DESCLASIFICACIÓN DE LA INFORMACIÓN, ASÍ COMO PARA LA ELABORACIÓN DE VERSIONES PÚBLICAS</w:t>
      </w:r>
      <w:r w:rsidRPr="00B0209B">
        <w:rPr>
          <w:rFonts w:ascii="Palatino Linotype" w:eastAsia="Palatino Linotype" w:hAnsi="Palatino Linotype" w:cs="Palatino Linotype"/>
          <w:sz w:val="24"/>
          <w:szCs w:val="24"/>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B262371" w14:textId="77777777" w:rsidR="006754B3" w:rsidRPr="00B0209B" w:rsidRDefault="006754B3" w:rsidP="006754B3">
      <w:pPr>
        <w:spacing w:after="0" w:line="360" w:lineRule="auto"/>
        <w:ind w:left="709" w:right="709"/>
        <w:jc w:val="both"/>
        <w:rPr>
          <w:rFonts w:ascii="Palatino Linotype" w:eastAsia="Palatino Linotype" w:hAnsi="Palatino Linotype" w:cs="Palatino Linotype"/>
          <w:b/>
          <w:i/>
          <w:sz w:val="24"/>
          <w:szCs w:val="24"/>
        </w:rPr>
      </w:pPr>
    </w:p>
    <w:p w14:paraId="212A74E1"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“Lineamientos Generales en materia de Clasificación y Desclasificación de la Información, así como para la elaboración de Versiones Públicas</w:t>
      </w:r>
    </w:p>
    <w:p w14:paraId="74D29282"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w:t>
      </w:r>
      <w:proofErr w:type="gramStart"/>
      <w:r w:rsidRPr="00B0209B">
        <w:rPr>
          <w:rFonts w:ascii="Palatino Linotype" w:eastAsia="Palatino Linotype" w:hAnsi="Palatino Linotype" w:cs="Palatino Linotype"/>
          <w:b/>
          <w:i/>
        </w:rPr>
        <w:t>Segundo.-</w:t>
      </w:r>
      <w:proofErr w:type="gramEnd"/>
      <w:r w:rsidRPr="00B0209B">
        <w:rPr>
          <w:rFonts w:ascii="Palatino Linotype" w:eastAsia="Palatino Linotype" w:hAnsi="Palatino Linotype" w:cs="Palatino Linotype"/>
          <w:i/>
        </w:rPr>
        <w:t xml:space="preserve"> Para efectos de los presentes Lineamientos Generales, se entenderá por:</w:t>
      </w:r>
    </w:p>
    <w:p w14:paraId="4D4B7CF6"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XVIII.</w:t>
      </w:r>
      <w:r w:rsidRPr="00B0209B">
        <w:rPr>
          <w:rFonts w:ascii="Palatino Linotype" w:eastAsia="Palatino Linotype" w:hAnsi="Palatino Linotype" w:cs="Palatino Linotype"/>
          <w:i/>
        </w:rPr>
        <w:t xml:space="preserve"> </w:t>
      </w:r>
      <w:r w:rsidRPr="00B0209B">
        <w:rPr>
          <w:rFonts w:ascii="Palatino Linotype" w:eastAsia="Palatino Linotype" w:hAnsi="Palatino Linotype" w:cs="Palatino Linotype"/>
          <w:b/>
          <w:i/>
        </w:rPr>
        <w:t>Versión pública:</w:t>
      </w:r>
      <w:r w:rsidRPr="00B0209B">
        <w:rPr>
          <w:rFonts w:ascii="Palatino Linotype" w:eastAsia="Palatino Linotype" w:hAnsi="Palatino Linotype" w:cs="Palatino Linotype"/>
          <w:i/>
        </w:rPr>
        <w:t xml:space="preserve"> El documento a partir del que se otorga acceso a la información, en el que se testan partes o secciones clasificadas, indicando el contenido de éstas de manera genérica, </w:t>
      </w:r>
      <w:r w:rsidRPr="00B0209B">
        <w:rPr>
          <w:rFonts w:ascii="Palatino Linotype" w:eastAsia="Palatino Linotype" w:hAnsi="Palatino Linotype" w:cs="Palatino Linotype"/>
          <w:b/>
          <w:i/>
          <w:u w:val="single"/>
        </w:rPr>
        <w:t>fundando y motivando la</w:t>
      </w:r>
      <w:r w:rsidRPr="00B0209B">
        <w:rPr>
          <w:rFonts w:ascii="Palatino Linotype" w:eastAsia="Palatino Linotype" w:hAnsi="Palatino Linotype" w:cs="Palatino Linotype"/>
          <w:i/>
        </w:rPr>
        <w:t xml:space="preserve"> reserva o </w:t>
      </w:r>
      <w:r w:rsidRPr="00B0209B">
        <w:rPr>
          <w:rFonts w:ascii="Palatino Linotype" w:eastAsia="Palatino Linotype" w:hAnsi="Palatino Linotype" w:cs="Palatino Linotype"/>
          <w:b/>
          <w:i/>
          <w:u w:val="single"/>
        </w:rPr>
        <w:t>confidencialidad</w:t>
      </w:r>
      <w:r w:rsidRPr="00B0209B">
        <w:rPr>
          <w:rFonts w:ascii="Palatino Linotype" w:eastAsia="Palatino Linotype" w:hAnsi="Palatino Linotype" w:cs="Palatino Linotype"/>
          <w:i/>
        </w:rPr>
        <w:t>, a través de la resolución que para tal efecto emita el Comité de Transparencia.</w:t>
      </w:r>
    </w:p>
    <w:p w14:paraId="6405CD65"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Cuarto.</w:t>
      </w:r>
      <w:r w:rsidRPr="00B0209B">
        <w:rPr>
          <w:rFonts w:ascii="Palatino Linotype" w:eastAsia="Palatino Linotype" w:hAnsi="Palatino Linotype" w:cs="Palatino Linotype"/>
          <w:i/>
        </w:rPr>
        <w:t xml:space="preserve"> Para clasificar la información como reservada o confidencial, de manera total o parcial, el titular del área del sujeto obligado deberá atender lo dispuesto por el </w:t>
      </w:r>
      <w:r w:rsidRPr="00B0209B">
        <w:rPr>
          <w:rFonts w:ascii="Palatino Linotype" w:eastAsia="Palatino Linotype" w:hAnsi="Palatino Linotype" w:cs="Palatino Linotype"/>
          <w:i/>
        </w:rPr>
        <w:lastRenderedPageBreak/>
        <w:t>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DA58856"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Los sujetos obligados deberán aplicar, de manera estricta, las excepciones al derecho de acceso a la información y sólo podrán invocarlas cuando acrediten su procedencia.</w:t>
      </w:r>
    </w:p>
    <w:p w14:paraId="626C339E"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Quinto.</w:t>
      </w:r>
      <w:r w:rsidRPr="00B0209B">
        <w:rPr>
          <w:rFonts w:ascii="Palatino Linotype" w:eastAsia="Palatino Linotype" w:hAnsi="Palatino Linotype" w:cs="Palatino Linotype"/>
          <w:i/>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C050F36"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w:t>
      </w:r>
    </w:p>
    <w:p w14:paraId="19256A27"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Séptimo.</w:t>
      </w:r>
      <w:r w:rsidRPr="00B0209B">
        <w:rPr>
          <w:rFonts w:ascii="Palatino Linotype" w:eastAsia="Palatino Linotype" w:hAnsi="Palatino Linotype" w:cs="Palatino Linotype"/>
          <w:i/>
        </w:rPr>
        <w:t xml:space="preserve"> La clasificación de la información se llevará a cabo en el momento en que:</w:t>
      </w:r>
    </w:p>
    <w:p w14:paraId="4B66246C"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I.</w:t>
      </w:r>
      <w:r w:rsidRPr="00B0209B">
        <w:rPr>
          <w:rFonts w:ascii="Palatino Linotype" w:eastAsia="Palatino Linotype" w:hAnsi="Palatino Linotype" w:cs="Palatino Linotype"/>
          <w:i/>
        </w:rPr>
        <w:t xml:space="preserve"> Se reciba una solicitud de acceso a la información;</w:t>
      </w:r>
    </w:p>
    <w:p w14:paraId="28901D4D"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II.</w:t>
      </w:r>
      <w:r w:rsidRPr="00B0209B">
        <w:rPr>
          <w:rFonts w:ascii="Palatino Linotype" w:eastAsia="Palatino Linotype" w:hAnsi="Palatino Linotype" w:cs="Palatino Linotype"/>
          <w:i/>
        </w:rPr>
        <w:t xml:space="preserve"> </w:t>
      </w:r>
      <w:proofErr w:type="gramStart"/>
      <w:r w:rsidRPr="00B0209B">
        <w:rPr>
          <w:rFonts w:ascii="Palatino Linotype" w:eastAsia="Palatino Linotype" w:hAnsi="Palatino Linotype" w:cs="Palatino Linotype"/>
          <w:i/>
        </w:rPr>
        <w:t>Se  determine</w:t>
      </w:r>
      <w:proofErr w:type="gramEnd"/>
      <w:r w:rsidRPr="00B0209B">
        <w:rPr>
          <w:rFonts w:ascii="Palatino Linotype" w:eastAsia="Palatino Linotype" w:hAnsi="Palatino Linotype" w:cs="Palatino Linotype"/>
          <w:i/>
        </w:rPr>
        <w:t xml:space="preserve"> mediante resolución del Comité de Transparencia, el órgano garante </w:t>
      </w:r>
    </w:p>
    <w:p w14:paraId="3BC0D33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competente, o en cumplimiento a una sentencia del Poder Judicial; o</w:t>
      </w:r>
    </w:p>
    <w:p w14:paraId="6F72A576"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III.</w:t>
      </w:r>
      <w:r w:rsidRPr="00B0209B">
        <w:rPr>
          <w:rFonts w:ascii="Palatino Linotype" w:eastAsia="Palatino Linotype" w:hAnsi="Palatino Linotype" w:cs="Palatino Linotype"/>
          <w:i/>
        </w:rPr>
        <w:t xml:space="preserve"> Se generen versiones públicas para dar cumplimiento a las obligaciones de transparencia previstas en la Ley General, la Ley Federal y las correspondientes de las entidades federativas.</w:t>
      </w:r>
    </w:p>
    <w:p w14:paraId="1C429595"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Los titulares de las áreas deberán revisar la clasificación al momento de la recepción de una solicitud de acceso a la información, para verificar si encuadra en una causal de reserva o de confidencialidad.</w:t>
      </w:r>
    </w:p>
    <w:p w14:paraId="41713664"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Octavo.</w:t>
      </w:r>
      <w:r w:rsidRPr="00B0209B">
        <w:rPr>
          <w:rFonts w:ascii="Palatino Linotype" w:eastAsia="Palatino Linotype" w:hAnsi="Palatino Linotype" w:cs="Palatino Linotype"/>
          <w:i/>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F407C3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Para motivar la clasificación se deberán señalar las razones o circunstancias especiales que lo llevaron a concluir que el caso particular se ajusta al supuesto previsto por la norma legal invocada como fundamento.</w:t>
      </w:r>
    </w:p>
    <w:p w14:paraId="57E8F974"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w:t>
      </w:r>
      <w:r w:rsidRPr="00B0209B">
        <w:rPr>
          <w:rFonts w:ascii="Palatino Linotype" w:eastAsia="Palatino Linotype" w:hAnsi="Palatino Linotype" w:cs="Palatino Linotype"/>
          <w:i/>
        </w:rPr>
        <w:lastRenderedPageBreak/>
        <w:t xml:space="preserve">lineamientos, así como las circunstancias que justifican el establecimiento de determinado plazo de reserva. </w:t>
      </w:r>
    </w:p>
    <w:p w14:paraId="1FB6C3F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Noveno.</w:t>
      </w:r>
      <w:r w:rsidRPr="00B0209B">
        <w:rPr>
          <w:rFonts w:ascii="Palatino Linotype" w:eastAsia="Palatino Linotype" w:hAnsi="Palatino Linotype" w:cs="Palatino Linotype"/>
          <w:i/>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1879E23"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b/>
          <w:i/>
        </w:rPr>
        <w:t>Décimo.</w:t>
      </w:r>
      <w:r w:rsidRPr="00B0209B">
        <w:rPr>
          <w:rFonts w:ascii="Palatino Linotype" w:eastAsia="Palatino Linotype" w:hAnsi="Palatino Linotype" w:cs="Palatino Linotype"/>
          <w:i/>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0ACA774A"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En ausencia de los titulares de las áreas, la información será clasificada o desclasificada por la persona que lo supla, en términos de la normativa que rija la actuación del sujeto obligado.</w:t>
      </w:r>
    </w:p>
    <w:p w14:paraId="144F0BCE"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Décimo primero.</w:t>
      </w:r>
      <w:r w:rsidRPr="00B0209B">
        <w:rPr>
          <w:rFonts w:ascii="Palatino Linotype" w:eastAsia="Palatino Linotype" w:hAnsi="Palatino Linotype" w:cs="Palatino Linotype"/>
          <w:i/>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3784A0F9" w14:textId="77777777" w:rsidR="006754B3" w:rsidRPr="00B0209B" w:rsidRDefault="006754B3" w:rsidP="006754B3">
      <w:pPr>
        <w:pBdr>
          <w:top w:val="nil"/>
          <w:left w:val="nil"/>
          <w:bottom w:val="nil"/>
          <w:right w:val="nil"/>
          <w:between w:val="nil"/>
        </w:pBdr>
        <w:spacing w:after="0" w:line="276" w:lineRule="auto"/>
        <w:ind w:right="709"/>
        <w:contextualSpacing/>
        <w:jc w:val="both"/>
        <w:rPr>
          <w:rFonts w:ascii="Palatino Linotype" w:eastAsia="Palatino Linotype" w:hAnsi="Palatino Linotype" w:cs="Palatino Linotype"/>
        </w:rPr>
      </w:pPr>
    </w:p>
    <w:p w14:paraId="762040B4"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w:t>
      </w:r>
    </w:p>
    <w:p w14:paraId="4E5F27D6" w14:textId="77777777" w:rsidR="006754B3" w:rsidRPr="00B0209B" w:rsidRDefault="006754B3" w:rsidP="006754B3">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rPr>
      </w:pPr>
      <w:r w:rsidRPr="00B0209B">
        <w:rPr>
          <w:rFonts w:ascii="Palatino Linotype" w:eastAsia="Palatino Linotype" w:hAnsi="Palatino Linotype" w:cs="Palatino Linotype"/>
          <w:b/>
          <w:i/>
        </w:rPr>
        <w:t>CAPÍTULO VIII</w:t>
      </w:r>
    </w:p>
    <w:p w14:paraId="33880CB1" w14:textId="77777777" w:rsidR="006754B3" w:rsidRPr="00B0209B" w:rsidRDefault="006754B3" w:rsidP="006754B3">
      <w:pPr>
        <w:pBdr>
          <w:top w:val="nil"/>
          <w:left w:val="nil"/>
          <w:bottom w:val="nil"/>
          <w:right w:val="nil"/>
          <w:between w:val="nil"/>
        </w:pBdr>
        <w:spacing w:after="0" w:line="276" w:lineRule="auto"/>
        <w:ind w:left="709" w:right="709"/>
        <w:contextualSpacing/>
        <w:jc w:val="center"/>
        <w:rPr>
          <w:rFonts w:ascii="Palatino Linotype" w:eastAsia="Palatino Linotype" w:hAnsi="Palatino Linotype" w:cs="Palatino Linotype"/>
          <w:b/>
          <w:i/>
        </w:rPr>
      </w:pPr>
      <w:r w:rsidRPr="00B0209B">
        <w:rPr>
          <w:rFonts w:ascii="Palatino Linotype" w:eastAsia="Palatino Linotype" w:hAnsi="Palatino Linotype" w:cs="Palatino Linotype"/>
          <w:b/>
          <w:i/>
        </w:rPr>
        <w:t>DE LOS ELEMENTOS PARA LA CLASIFICACIÓN</w:t>
      </w:r>
    </w:p>
    <w:p w14:paraId="055BB4E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Quincuagésimo</w:t>
      </w:r>
      <w:r w:rsidRPr="00B0209B">
        <w:rPr>
          <w:rFonts w:ascii="Palatino Linotype" w:eastAsia="Palatino Linotype" w:hAnsi="Palatino Linotype" w:cs="Palatino Linotype"/>
          <w:i/>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2A36AF4C"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Quincuagésimo primero</w:t>
      </w:r>
      <w:r w:rsidRPr="00B0209B">
        <w:rPr>
          <w:rFonts w:ascii="Palatino Linotype" w:eastAsia="Palatino Linotype" w:hAnsi="Palatino Linotype" w:cs="Palatino Linotype"/>
          <w:i/>
        </w:rPr>
        <w:t>. Toda acta del Comité de Transparencia deberá contener:</w:t>
      </w:r>
    </w:p>
    <w:p w14:paraId="0EEFB9C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I. El número de sesión y fecha; </w:t>
      </w:r>
    </w:p>
    <w:p w14:paraId="1DB5A4A3"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El nombre del área que solicitó la clasificación de información;</w:t>
      </w:r>
    </w:p>
    <w:p w14:paraId="5C79C94B"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III. La fundamentación legal y motivación correspondiente;</w:t>
      </w:r>
    </w:p>
    <w:p w14:paraId="472C3868"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IV. La resolución o resoluciones aprobadas; y</w:t>
      </w:r>
    </w:p>
    <w:p w14:paraId="067CD8C8"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V. La rúbrica o firma digital de cada integrante del Comité de Transparencia. </w:t>
      </w:r>
    </w:p>
    <w:p w14:paraId="7E9532D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lastRenderedPageBreak/>
        <w:t>Las resoluciones del Comité en las que se haya determinado confirmar o modificar la clasificación de información pública como reservada, deberán incluir, cuando menos:</w:t>
      </w:r>
    </w:p>
    <w:p w14:paraId="3CCB64AD"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 Los motivos y razonamientos que sustenten la confirmación o modificación de la prueba de daño;</w:t>
      </w:r>
    </w:p>
    <w:p w14:paraId="61E2184A"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Descripción de las partes o secciones reservadas, en caso de clasificación parcial;</w:t>
      </w:r>
    </w:p>
    <w:p w14:paraId="39CAA7C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III. El periodo por el que mantendrá su clasificación y fecha de expiración; y</w:t>
      </w:r>
    </w:p>
    <w:p w14:paraId="2E923490"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IV. El nombre del titular y área encargada de realizar la versión pública del documento, en su caso.</w:t>
      </w:r>
    </w:p>
    <w:p w14:paraId="39F73A8D"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En los casos en que se clasifique la información como reservada siempre se entregará o anexará la prueba de daño con la respuesta al solicitante. </w:t>
      </w:r>
    </w:p>
    <w:p w14:paraId="5C8DFC93"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En los casos de resoluciones del Comité de Transparencia en las que se confirme la clasificación de información confidencial solo se deberán de identificar los tipos de datos protegidos, de conformidad con el lineamiento trigésimo octavo.</w:t>
      </w:r>
    </w:p>
    <w:p w14:paraId="4E1F8CEF"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b/>
          <w:i/>
        </w:rPr>
        <w:t>Quincuagésimo segundo</w:t>
      </w:r>
      <w:r w:rsidRPr="00B0209B">
        <w:rPr>
          <w:rFonts w:ascii="Palatino Linotype" w:eastAsia="Palatino Linotype" w:hAnsi="Palatino Linotype" w:cs="Palatino Linotype"/>
          <w:i/>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B6E9E7E"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En el caso específico de la clasificación y elaboración de versiones públicas de documentos que contengan información confidencial, las áreas de los sujetos obligados deberán:</w:t>
      </w:r>
    </w:p>
    <w:p w14:paraId="4DC3104E"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p>
    <w:p w14:paraId="4F555395"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 Fijar la fecha en que se elaboró la versión pública y la fecha en la cual el Comité de Transparencia confirmó dicha versión;</w:t>
      </w:r>
    </w:p>
    <w:p w14:paraId="17744D67"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 Señalar dentro del documento el tipo de información confidencial que fue testada en cada caso específico, de conformidad con el lineamiento trigésimo octavo; y</w:t>
      </w:r>
    </w:p>
    <w:p w14:paraId="63CA2CD3"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III. Señalar las personas o instancias autorizadas a acceder a la información clasificada.</w:t>
      </w:r>
    </w:p>
    <w:p w14:paraId="5E2694A2"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En los documentos de difusión electrónica, señalar en la primera hoja y en el nombre del archivo, que la versión pública corresponde a un documento que contiene información confidencial.</w:t>
      </w:r>
    </w:p>
    <w:p w14:paraId="0920FFF8"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 xml:space="preserve">Quincuagésimo cuarto. Cuando el Comité de Transparencia confirme la clasificación de documentos reservados y/o confidenciales, sea total o parcialmente; se deberá anexar al expediente la resolución que determinó la clasificación o, en su defecto, </w:t>
      </w:r>
      <w:r w:rsidRPr="00B0209B">
        <w:rPr>
          <w:rFonts w:ascii="Palatino Linotype" w:eastAsia="Palatino Linotype" w:hAnsi="Palatino Linotype" w:cs="Palatino Linotype"/>
          <w:i/>
        </w:rPr>
        <w:lastRenderedPageBreak/>
        <w:t>identificar en la carátula del expediente del cual formen parte, la fecha y sesión del Comité de Transparencia en la que se confirmó dicha clasificación.</w:t>
      </w:r>
    </w:p>
    <w:p w14:paraId="52087CE6"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rPr>
      </w:pPr>
      <w:r w:rsidRPr="00B0209B">
        <w:rPr>
          <w:rFonts w:ascii="Palatino Linotype" w:eastAsia="Palatino Linotype" w:hAnsi="Palatino Linotype" w:cs="Palatino Linotype"/>
          <w:i/>
        </w:rPr>
        <w:t xml:space="preserve">Quincuagésimo quinto. Cada área del sujeto obligado podrá designar formalmente a una o más personas como responsables del </w:t>
      </w:r>
      <w:proofErr w:type="spellStart"/>
      <w:r w:rsidRPr="00B0209B">
        <w:rPr>
          <w:rFonts w:ascii="Palatino Linotype" w:eastAsia="Palatino Linotype" w:hAnsi="Palatino Linotype" w:cs="Palatino Linotype"/>
          <w:i/>
        </w:rPr>
        <w:t>testado</w:t>
      </w:r>
      <w:proofErr w:type="spellEnd"/>
      <w:r w:rsidRPr="00B0209B">
        <w:rPr>
          <w:rFonts w:ascii="Palatino Linotype" w:eastAsia="Palatino Linotype" w:hAnsi="Palatino Linotype" w:cs="Palatino Linotype"/>
          <w:i/>
        </w:rPr>
        <w:t xml:space="preserve">,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 </w:t>
      </w:r>
    </w:p>
    <w:p w14:paraId="2AAC590D" w14:textId="77777777" w:rsidR="006754B3" w:rsidRPr="00B0209B" w:rsidRDefault="006754B3" w:rsidP="006754B3">
      <w:pPr>
        <w:pBdr>
          <w:top w:val="nil"/>
          <w:left w:val="nil"/>
          <w:bottom w:val="nil"/>
          <w:right w:val="nil"/>
          <w:between w:val="nil"/>
        </w:pBdr>
        <w:spacing w:after="0" w:line="276" w:lineRule="auto"/>
        <w:ind w:left="709" w:right="709"/>
        <w:contextualSpacing/>
        <w:jc w:val="both"/>
        <w:rPr>
          <w:rFonts w:ascii="Palatino Linotype" w:eastAsia="Palatino Linotype" w:hAnsi="Palatino Linotype" w:cs="Palatino Linotype"/>
          <w:sz w:val="24"/>
        </w:rPr>
      </w:pPr>
      <w:r w:rsidRPr="00B0209B">
        <w:rPr>
          <w:rFonts w:ascii="Palatino Linotype" w:eastAsia="Palatino Linotype" w:hAnsi="Palatino Linotype" w:cs="Palatino Linotype"/>
        </w:rPr>
        <w:t xml:space="preserve"> </w:t>
      </w:r>
    </w:p>
    <w:p w14:paraId="30E104DE"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Efectivamente, cuando se clasifica información como confidencial es importante someterlo al Comité de Transparencia, quien debe confirmar, modificar o revocar la clasificación.</w:t>
      </w:r>
    </w:p>
    <w:p w14:paraId="43847484" w14:textId="77777777" w:rsidR="00CA535A" w:rsidRPr="00B0209B" w:rsidRDefault="00CA535A" w:rsidP="006754B3">
      <w:pPr>
        <w:spacing w:after="0" w:line="360" w:lineRule="auto"/>
        <w:jc w:val="both"/>
        <w:rPr>
          <w:rFonts w:ascii="Palatino Linotype" w:eastAsia="Palatino Linotype" w:hAnsi="Palatino Linotype" w:cs="Palatino Linotype"/>
          <w:sz w:val="24"/>
          <w:szCs w:val="24"/>
        </w:rPr>
      </w:pPr>
    </w:p>
    <w:p w14:paraId="4B76CAD0" w14:textId="77777777" w:rsidR="006754B3" w:rsidRPr="00B0209B" w:rsidRDefault="006754B3" w:rsidP="006754B3">
      <w:pPr>
        <w:shd w:val="clear" w:color="auto" w:fill="FFFFFF"/>
        <w:spacing w:after="0" w:line="360" w:lineRule="auto"/>
        <w:ind w:right="51"/>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w:t>
      </w:r>
      <w:r w:rsidRPr="00B0209B">
        <w:rPr>
          <w:rFonts w:ascii="Palatino Linotype" w:eastAsia="Palatino Linotype" w:hAnsi="Palatino Linotype" w:cs="Palatino Linotype"/>
          <w:b/>
          <w:sz w:val="24"/>
          <w:szCs w:val="24"/>
        </w:rPr>
        <w:t>LA PARTE</w:t>
      </w:r>
      <w:r w:rsidRPr="00B0209B">
        <w:rPr>
          <w:rFonts w:ascii="Palatino Linotype" w:eastAsia="Palatino Linotype" w:hAnsi="Palatino Linotype" w:cs="Palatino Linotype"/>
          <w:sz w:val="24"/>
          <w:szCs w:val="24"/>
        </w:rPr>
        <w:t xml:space="preserve"> </w:t>
      </w:r>
      <w:r w:rsidRPr="00B0209B">
        <w:rPr>
          <w:rFonts w:ascii="Palatino Linotype" w:eastAsia="Palatino Linotype" w:hAnsi="Palatino Linotype" w:cs="Palatino Linotype"/>
          <w:b/>
          <w:sz w:val="24"/>
          <w:szCs w:val="24"/>
        </w:rPr>
        <w:t>RECURRENTE</w:t>
      </w:r>
      <w:r w:rsidRPr="00B0209B">
        <w:rPr>
          <w:rFonts w:ascii="Palatino Linotype" w:eastAsia="Palatino Linotype" w:hAnsi="Palatino Linotype" w:cs="Palatino Linotype"/>
          <w:sz w:val="24"/>
          <w:szCs w:val="24"/>
        </w:rPr>
        <w:t>.</w:t>
      </w:r>
    </w:p>
    <w:p w14:paraId="2383A761" w14:textId="77777777" w:rsidR="00E65F35" w:rsidRPr="00B0209B" w:rsidRDefault="00E65F35" w:rsidP="006754B3">
      <w:pPr>
        <w:shd w:val="clear" w:color="auto" w:fill="FFFFFF"/>
        <w:spacing w:after="0" w:line="360" w:lineRule="auto"/>
        <w:ind w:right="51"/>
        <w:jc w:val="both"/>
        <w:rPr>
          <w:rFonts w:ascii="Palatino Linotype" w:eastAsia="Palatino Linotype" w:hAnsi="Palatino Linotype" w:cs="Palatino Linotype"/>
          <w:sz w:val="24"/>
          <w:szCs w:val="24"/>
        </w:rPr>
      </w:pPr>
    </w:p>
    <w:p w14:paraId="2BFF6EF0" w14:textId="77777777" w:rsidR="006754B3" w:rsidRPr="00B0209B" w:rsidRDefault="006754B3" w:rsidP="006754B3">
      <w:pPr>
        <w:spacing w:after="0"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lastRenderedPageBreak/>
        <w:t>Así, con fundamento en lo prescrito en los artículos 5 párrafos trigésimo, trigésimo primero y trigésimo segundo fracciones IV y V de la Constitución Política del Estado Libre y Soberano de México; 2, fracción II; 29, 36 fracciones I y II; 176, 178, 181, 185 de la Ley de Transparencia y Acceso a la Información Pública del Estado de México y Municipios, este Pleno:</w:t>
      </w:r>
    </w:p>
    <w:p w14:paraId="014FAE28" w14:textId="77777777" w:rsidR="006754B3" w:rsidRPr="00B0209B" w:rsidRDefault="006754B3" w:rsidP="00951FAC">
      <w:pPr>
        <w:spacing w:after="0" w:line="360" w:lineRule="auto"/>
        <w:ind w:right="49"/>
        <w:contextualSpacing/>
        <w:jc w:val="both"/>
        <w:rPr>
          <w:rFonts w:ascii="Palatino Linotype" w:hAnsi="Palatino Linotype"/>
          <w:sz w:val="24"/>
        </w:rPr>
      </w:pPr>
    </w:p>
    <w:p w14:paraId="68D8D426" w14:textId="77777777" w:rsidR="006754B3" w:rsidRPr="00B0209B" w:rsidRDefault="006754B3" w:rsidP="006754B3">
      <w:pPr>
        <w:spacing w:line="360" w:lineRule="auto"/>
        <w:ind w:right="-93"/>
        <w:contextualSpacing/>
        <w:jc w:val="center"/>
        <w:rPr>
          <w:rFonts w:ascii="Palatino Linotype" w:eastAsia="Palatino Linotype" w:hAnsi="Palatino Linotype" w:cs="Palatino Linotype"/>
          <w:b/>
          <w:sz w:val="24"/>
        </w:rPr>
      </w:pPr>
      <w:r w:rsidRPr="00B0209B">
        <w:rPr>
          <w:rFonts w:ascii="Palatino Linotype" w:eastAsia="Palatino Linotype" w:hAnsi="Palatino Linotype" w:cs="Palatino Linotype"/>
          <w:b/>
          <w:sz w:val="24"/>
        </w:rPr>
        <w:t>R E S U E L V E:</w:t>
      </w:r>
    </w:p>
    <w:p w14:paraId="614FA8AB" w14:textId="77777777" w:rsidR="006754B3" w:rsidRPr="00B0209B" w:rsidRDefault="006754B3" w:rsidP="006754B3">
      <w:pPr>
        <w:spacing w:line="360" w:lineRule="auto"/>
        <w:ind w:right="-93"/>
        <w:contextualSpacing/>
        <w:jc w:val="center"/>
        <w:rPr>
          <w:rFonts w:ascii="Palatino Linotype" w:eastAsia="Palatino Linotype" w:hAnsi="Palatino Linotype" w:cs="Palatino Linotype"/>
          <w:b/>
          <w:sz w:val="24"/>
        </w:rPr>
      </w:pPr>
    </w:p>
    <w:p w14:paraId="48069EE2" w14:textId="77777777" w:rsidR="006754B3" w:rsidRPr="00B0209B" w:rsidRDefault="006754B3" w:rsidP="006754B3">
      <w:pPr>
        <w:spacing w:line="360" w:lineRule="auto"/>
        <w:contextualSpacing/>
        <w:jc w:val="both"/>
        <w:rPr>
          <w:rFonts w:ascii="Palatino Linotype" w:eastAsia="Palatino Linotype" w:hAnsi="Palatino Linotype" w:cs="Palatino Linotype"/>
          <w:b/>
          <w:sz w:val="24"/>
        </w:rPr>
      </w:pPr>
      <w:r w:rsidRPr="00B0209B">
        <w:rPr>
          <w:rFonts w:ascii="Palatino Linotype" w:eastAsia="Palatino Linotype" w:hAnsi="Palatino Linotype" w:cs="Palatino Linotype"/>
          <w:b/>
          <w:sz w:val="24"/>
        </w:rPr>
        <w:t xml:space="preserve">PRIMERO. </w:t>
      </w:r>
      <w:r w:rsidRPr="00B0209B">
        <w:rPr>
          <w:rFonts w:ascii="Palatino Linotype" w:eastAsia="Palatino Linotype" w:hAnsi="Palatino Linotype" w:cs="Palatino Linotype"/>
          <w:sz w:val="24"/>
        </w:rPr>
        <w:t xml:space="preserve">Resultan fundados los motivos de inconformidad hechos valer por </w:t>
      </w:r>
      <w:r w:rsidRPr="00B0209B">
        <w:rPr>
          <w:rFonts w:ascii="Palatino Linotype" w:eastAsia="Palatino Linotype" w:hAnsi="Palatino Linotype" w:cs="Palatino Linotype"/>
          <w:b/>
          <w:sz w:val="24"/>
        </w:rPr>
        <w:t>LA PARTE RECURRENTE</w:t>
      </w:r>
      <w:r w:rsidRPr="00B0209B">
        <w:rPr>
          <w:rFonts w:ascii="Palatino Linotype" w:eastAsia="Palatino Linotype" w:hAnsi="Palatino Linotype" w:cs="Palatino Linotype"/>
          <w:sz w:val="24"/>
        </w:rPr>
        <w:t xml:space="preserve"> en el Recurso de Revisión </w:t>
      </w:r>
      <w:r w:rsidRPr="00B0209B">
        <w:rPr>
          <w:rFonts w:ascii="Palatino Linotype" w:eastAsia="Palatino Linotype" w:hAnsi="Palatino Linotype" w:cs="Palatino Linotype"/>
          <w:b/>
          <w:sz w:val="24"/>
        </w:rPr>
        <w:t xml:space="preserve">00884/INFOEM/IP/RR/2025, </w:t>
      </w:r>
      <w:r w:rsidRPr="00B0209B">
        <w:rPr>
          <w:rFonts w:ascii="Palatino Linotype" w:eastAsia="Palatino Linotype" w:hAnsi="Palatino Linotype" w:cs="Palatino Linotype"/>
          <w:sz w:val="24"/>
        </w:rPr>
        <w:t xml:space="preserve">por lo que, en términos del considerando </w:t>
      </w:r>
      <w:r w:rsidRPr="00B0209B">
        <w:rPr>
          <w:rFonts w:ascii="Palatino Linotype" w:eastAsia="Palatino Linotype" w:hAnsi="Palatino Linotype" w:cs="Palatino Linotype"/>
          <w:b/>
          <w:sz w:val="24"/>
        </w:rPr>
        <w:t xml:space="preserve">Cuarto </w:t>
      </w:r>
      <w:r w:rsidRPr="00B0209B">
        <w:rPr>
          <w:rFonts w:ascii="Palatino Linotype" w:eastAsia="Palatino Linotype" w:hAnsi="Palatino Linotype" w:cs="Palatino Linotype"/>
          <w:sz w:val="24"/>
        </w:rPr>
        <w:t xml:space="preserve">de esta resolución, se </w:t>
      </w:r>
      <w:r w:rsidRPr="00B0209B">
        <w:rPr>
          <w:rFonts w:ascii="Palatino Linotype" w:eastAsia="Palatino Linotype" w:hAnsi="Palatino Linotype" w:cs="Palatino Linotype"/>
          <w:b/>
          <w:sz w:val="24"/>
        </w:rPr>
        <w:t xml:space="preserve">MODIFICA </w:t>
      </w:r>
      <w:r w:rsidRPr="00B0209B">
        <w:rPr>
          <w:rFonts w:ascii="Palatino Linotype" w:eastAsia="Palatino Linotype" w:hAnsi="Palatino Linotype" w:cs="Palatino Linotype"/>
          <w:sz w:val="24"/>
        </w:rPr>
        <w:t xml:space="preserve">la respuesta emitida por </w:t>
      </w:r>
      <w:r w:rsidRPr="00B0209B">
        <w:rPr>
          <w:rFonts w:ascii="Palatino Linotype" w:eastAsia="Palatino Linotype" w:hAnsi="Palatino Linotype" w:cs="Palatino Linotype"/>
          <w:b/>
          <w:sz w:val="24"/>
        </w:rPr>
        <w:t>EL</w:t>
      </w:r>
      <w:r w:rsidRPr="00B0209B">
        <w:rPr>
          <w:rFonts w:ascii="Palatino Linotype" w:eastAsia="Palatino Linotype" w:hAnsi="Palatino Linotype" w:cs="Palatino Linotype"/>
          <w:sz w:val="24"/>
        </w:rPr>
        <w:t xml:space="preserve"> </w:t>
      </w:r>
      <w:r w:rsidRPr="00B0209B">
        <w:rPr>
          <w:rFonts w:ascii="Palatino Linotype" w:eastAsia="Palatino Linotype" w:hAnsi="Palatino Linotype" w:cs="Palatino Linotype"/>
          <w:b/>
          <w:sz w:val="24"/>
        </w:rPr>
        <w:t>SUJETO OBLIGADO</w:t>
      </w:r>
      <w:r w:rsidRPr="00B0209B">
        <w:rPr>
          <w:rFonts w:ascii="Palatino Linotype" w:eastAsia="Palatino Linotype" w:hAnsi="Palatino Linotype" w:cs="Palatino Linotype"/>
          <w:sz w:val="24"/>
        </w:rPr>
        <w:t>.</w:t>
      </w:r>
    </w:p>
    <w:p w14:paraId="410A1A1F"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p>
    <w:p w14:paraId="3B98DED2"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bookmarkStart w:id="1" w:name="_heading=h.kelgs2428oa6" w:colFirst="0" w:colLast="0"/>
      <w:bookmarkEnd w:id="1"/>
      <w:r w:rsidRPr="00B0209B">
        <w:rPr>
          <w:rFonts w:ascii="Palatino Linotype" w:eastAsia="Palatino Linotype" w:hAnsi="Palatino Linotype" w:cs="Palatino Linotype"/>
          <w:b/>
          <w:sz w:val="24"/>
        </w:rPr>
        <w:t xml:space="preserve">SEGUNDO. </w:t>
      </w:r>
      <w:r w:rsidRPr="00B0209B">
        <w:rPr>
          <w:rFonts w:ascii="Palatino Linotype" w:eastAsia="Palatino Linotype" w:hAnsi="Palatino Linotype" w:cs="Palatino Linotype"/>
          <w:sz w:val="24"/>
        </w:rPr>
        <w:t>Se</w:t>
      </w:r>
      <w:r w:rsidRPr="00B0209B">
        <w:rPr>
          <w:rFonts w:ascii="Palatino Linotype" w:eastAsia="Palatino Linotype" w:hAnsi="Palatino Linotype" w:cs="Palatino Linotype"/>
          <w:b/>
          <w:sz w:val="24"/>
        </w:rPr>
        <w:t xml:space="preserve"> ORDENA </w:t>
      </w:r>
      <w:r w:rsidRPr="00B0209B">
        <w:rPr>
          <w:rFonts w:ascii="Palatino Linotype" w:eastAsia="Palatino Linotype" w:hAnsi="Palatino Linotype" w:cs="Palatino Linotype"/>
          <w:sz w:val="24"/>
        </w:rPr>
        <w:t xml:space="preserve">al </w:t>
      </w:r>
      <w:r w:rsidRPr="00B0209B">
        <w:rPr>
          <w:rFonts w:ascii="Palatino Linotype" w:eastAsia="Palatino Linotype" w:hAnsi="Palatino Linotype" w:cs="Palatino Linotype"/>
          <w:b/>
          <w:sz w:val="24"/>
        </w:rPr>
        <w:t>SUJETO OBLIGADO</w:t>
      </w:r>
      <w:r w:rsidRPr="00B0209B">
        <w:rPr>
          <w:rFonts w:ascii="Palatino Linotype" w:eastAsia="Palatino Linotype" w:hAnsi="Palatino Linotype" w:cs="Palatino Linotype"/>
          <w:sz w:val="24"/>
        </w:rPr>
        <w:t xml:space="preserve"> en términos de los Considerandos </w:t>
      </w:r>
      <w:r w:rsidRPr="00B0209B">
        <w:rPr>
          <w:rFonts w:ascii="Palatino Linotype" w:eastAsia="Palatino Linotype" w:hAnsi="Palatino Linotype" w:cs="Palatino Linotype"/>
          <w:b/>
          <w:sz w:val="24"/>
        </w:rPr>
        <w:t xml:space="preserve">Cuarto y Quinto </w:t>
      </w:r>
      <w:r w:rsidRPr="00B0209B">
        <w:rPr>
          <w:rFonts w:ascii="Palatino Linotype" w:eastAsia="Palatino Linotype" w:hAnsi="Palatino Linotype" w:cs="Palatino Linotype"/>
          <w:sz w:val="24"/>
        </w:rPr>
        <w:t xml:space="preserve">de esta resolución, previa búsqueda exhaustiva y razonable, haga entrega, vía </w:t>
      </w:r>
      <w:r w:rsidRPr="00B0209B">
        <w:rPr>
          <w:rFonts w:ascii="Palatino Linotype" w:eastAsia="Palatino Linotype" w:hAnsi="Palatino Linotype" w:cs="Palatino Linotype"/>
          <w:b/>
          <w:sz w:val="24"/>
        </w:rPr>
        <w:t>SAIMEX</w:t>
      </w:r>
      <w:r w:rsidRPr="00B0209B">
        <w:rPr>
          <w:rFonts w:ascii="Palatino Linotype" w:eastAsia="Palatino Linotype" w:hAnsi="Palatino Linotype" w:cs="Palatino Linotype"/>
          <w:sz w:val="24"/>
        </w:rPr>
        <w:t>, de</w:t>
      </w:r>
      <w:r w:rsidR="00CA535A" w:rsidRPr="00B0209B">
        <w:rPr>
          <w:rFonts w:ascii="Palatino Linotype" w:eastAsia="Palatino Linotype" w:hAnsi="Palatino Linotype" w:cs="Palatino Linotype"/>
          <w:sz w:val="24"/>
        </w:rPr>
        <w:t xml:space="preserve"> ser el caso en versión pública</w:t>
      </w:r>
      <w:r w:rsidRPr="00B0209B">
        <w:rPr>
          <w:rFonts w:ascii="Palatino Linotype" w:eastAsia="Palatino Linotype" w:hAnsi="Palatino Linotype" w:cs="Palatino Linotype"/>
          <w:sz w:val="24"/>
        </w:rPr>
        <w:t xml:space="preserve">, </w:t>
      </w:r>
      <w:r w:rsidR="00CA535A" w:rsidRPr="00B0209B">
        <w:rPr>
          <w:rFonts w:ascii="Palatino Linotype" w:eastAsia="Palatino Linotype" w:hAnsi="Palatino Linotype" w:cs="Palatino Linotype"/>
          <w:sz w:val="24"/>
        </w:rPr>
        <w:t xml:space="preserve">de </w:t>
      </w:r>
      <w:r w:rsidRPr="00B0209B">
        <w:rPr>
          <w:rFonts w:ascii="Palatino Linotype" w:eastAsia="Palatino Linotype" w:hAnsi="Palatino Linotype" w:cs="Palatino Linotype"/>
          <w:sz w:val="24"/>
        </w:rPr>
        <w:t>lo siguiente:</w:t>
      </w:r>
    </w:p>
    <w:p w14:paraId="54331EF7" w14:textId="7257B393" w:rsidR="006754B3" w:rsidRPr="00B0209B" w:rsidRDefault="00CA535A" w:rsidP="00FD7FD5">
      <w:pPr>
        <w:pStyle w:val="Prrafodelista"/>
        <w:numPr>
          <w:ilvl w:val="0"/>
          <w:numId w:val="3"/>
        </w:numPr>
        <w:spacing w:line="360" w:lineRule="auto"/>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szCs w:val="24"/>
        </w:rPr>
        <w:t>Escritura pública y clave catastral de los inmuebles con los que cuenta al trece de enero de dos mil veinticinco</w:t>
      </w:r>
      <w:r w:rsidR="006754B3" w:rsidRPr="00B0209B">
        <w:rPr>
          <w:rFonts w:ascii="Palatino Linotype" w:eastAsia="Palatino Linotype" w:hAnsi="Palatino Linotype" w:cs="Palatino Linotype"/>
          <w:sz w:val="24"/>
          <w:szCs w:val="24"/>
        </w:rPr>
        <w:t>.</w:t>
      </w:r>
    </w:p>
    <w:p w14:paraId="4837CFB5" w14:textId="77777777" w:rsidR="006754B3" w:rsidRPr="00B0209B" w:rsidRDefault="006754B3" w:rsidP="006754B3">
      <w:pPr>
        <w:pBdr>
          <w:top w:val="nil"/>
          <w:left w:val="nil"/>
          <w:bottom w:val="nil"/>
          <w:right w:val="nil"/>
          <w:between w:val="nil"/>
        </w:pBdr>
        <w:spacing w:line="276" w:lineRule="auto"/>
        <w:contextualSpacing/>
        <w:jc w:val="both"/>
        <w:rPr>
          <w:rFonts w:ascii="Palatino Linotype" w:eastAsia="Palatino Linotype" w:hAnsi="Palatino Linotype" w:cs="Palatino Linotype"/>
          <w:i/>
        </w:rPr>
      </w:pPr>
      <w:r w:rsidRPr="00B0209B">
        <w:rPr>
          <w:rFonts w:ascii="Palatino Linotype" w:eastAsia="Palatino Linotype" w:hAnsi="Palatino Linotype" w:cs="Palatino Linotype"/>
          <w:i/>
        </w:rPr>
        <w:t>Para la entrega en versión pública, deberá emitir el Acuerdo del Comité de Transparencia en términos de la Ley de Transparencia y Acceso a la Información Pública del Estado de México y Municipios, en el que funde y motive las razones sobre los datos que se supriman o eliminen, y se ponga a disposición de LA PARTE RECURRENTE.</w:t>
      </w:r>
      <w:bookmarkStart w:id="2" w:name="_heading=h.gjdgxs" w:colFirst="0" w:colLast="0"/>
      <w:bookmarkEnd w:id="2"/>
    </w:p>
    <w:p w14:paraId="3C37B484" w14:textId="77777777" w:rsidR="00FD7FD5" w:rsidRPr="00B0209B" w:rsidRDefault="00FD7FD5" w:rsidP="006754B3">
      <w:pPr>
        <w:pBdr>
          <w:top w:val="nil"/>
          <w:left w:val="nil"/>
          <w:bottom w:val="nil"/>
          <w:right w:val="nil"/>
          <w:between w:val="nil"/>
        </w:pBdr>
        <w:spacing w:line="276" w:lineRule="auto"/>
        <w:contextualSpacing/>
        <w:jc w:val="both"/>
        <w:rPr>
          <w:rFonts w:ascii="Palatino Linotype" w:eastAsia="Palatino Linotype" w:hAnsi="Palatino Linotype" w:cs="Palatino Linotype"/>
          <w:i/>
        </w:rPr>
      </w:pPr>
    </w:p>
    <w:p w14:paraId="7A90B1F9" w14:textId="40076E1F" w:rsidR="00FD7FD5" w:rsidRPr="00B0209B" w:rsidRDefault="00FD7FD5" w:rsidP="00FD7FD5">
      <w:pPr>
        <w:pBdr>
          <w:top w:val="nil"/>
          <w:left w:val="nil"/>
          <w:bottom w:val="nil"/>
          <w:right w:val="nil"/>
          <w:between w:val="nil"/>
        </w:pBdr>
        <w:spacing w:line="276" w:lineRule="auto"/>
        <w:contextualSpacing/>
        <w:jc w:val="both"/>
        <w:rPr>
          <w:rFonts w:ascii="Palatino Linotype" w:hAnsi="Palatino Linotype"/>
          <w:i/>
          <w:iCs/>
        </w:rPr>
      </w:pPr>
      <w:r w:rsidRPr="00B0209B">
        <w:rPr>
          <w:rFonts w:ascii="Palatino Linotype" w:hAnsi="Palatino Linotype"/>
          <w:i/>
          <w:iCs/>
        </w:rPr>
        <w:lastRenderedPageBreak/>
        <w:t>En el supuesto que alguno de los inmuebles no cuente con escritura pública</w:t>
      </w:r>
      <w:r w:rsidRPr="00B0209B">
        <w:t xml:space="preserve"> </w:t>
      </w:r>
      <w:r w:rsidRPr="00B0209B">
        <w:rPr>
          <w:rFonts w:ascii="Palatino Linotype" w:hAnsi="Palatino Linotype"/>
          <w:i/>
          <w:iCs/>
        </w:rPr>
        <w:t xml:space="preserve">por estar en regularización, bastará con que así lo haga del conocimiento de </w:t>
      </w:r>
      <w:r w:rsidRPr="00B0209B">
        <w:rPr>
          <w:rFonts w:ascii="Palatino Linotype" w:hAnsi="Palatino Linotype"/>
          <w:b/>
          <w:i/>
          <w:iCs/>
        </w:rPr>
        <w:t>LA PARTE RECURRENTE</w:t>
      </w:r>
      <w:r w:rsidRPr="00B0209B">
        <w:rPr>
          <w:rFonts w:ascii="Palatino Linotype" w:hAnsi="Palatino Linotype"/>
          <w:i/>
          <w:iCs/>
        </w:rPr>
        <w:t>, de manera fundada y motivada, en términos del artículo 19, párrafo segundo de la Ley de Transparencia y Acceso a la Información Pública del Estado de México y Municipios, para tener por colmado el requerimiento de información.</w:t>
      </w:r>
    </w:p>
    <w:p w14:paraId="202834C3" w14:textId="77777777" w:rsidR="006754B3" w:rsidRPr="00B0209B" w:rsidRDefault="006754B3" w:rsidP="006754B3">
      <w:pPr>
        <w:pBdr>
          <w:top w:val="nil"/>
          <w:left w:val="nil"/>
          <w:bottom w:val="nil"/>
          <w:right w:val="nil"/>
          <w:between w:val="nil"/>
        </w:pBdr>
        <w:spacing w:line="276" w:lineRule="auto"/>
        <w:contextualSpacing/>
        <w:jc w:val="both"/>
        <w:rPr>
          <w:rFonts w:ascii="Palatino Linotype" w:eastAsia="Palatino Linotype" w:hAnsi="Palatino Linotype" w:cs="Palatino Linotype"/>
          <w:sz w:val="24"/>
        </w:rPr>
      </w:pPr>
    </w:p>
    <w:p w14:paraId="417CE6CB"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r w:rsidRPr="00B0209B">
        <w:rPr>
          <w:rFonts w:ascii="Palatino Linotype" w:eastAsia="Palatino Linotype" w:hAnsi="Palatino Linotype" w:cs="Palatino Linotype"/>
          <w:b/>
          <w:sz w:val="24"/>
        </w:rPr>
        <w:t xml:space="preserve">TERCERO.  Notifíquese vía SAIMEX, </w:t>
      </w:r>
      <w:r w:rsidRPr="00B0209B">
        <w:rPr>
          <w:rFonts w:ascii="Palatino Linotype" w:eastAsia="Palatino Linotype" w:hAnsi="Palatino Linotype" w:cs="Palatino Linotype"/>
          <w:sz w:val="24"/>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6FAEDE4C"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p>
    <w:p w14:paraId="229300AC"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r w:rsidRPr="00B0209B">
        <w:rPr>
          <w:rFonts w:ascii="Palatino Linotype" w:eastAsia="Palatino Linotype" w:hAnsi="Palatino Linotype" w:cs="Palatino Linotype"/>
          <w:b/>
          <w:sz w:val="24"/>
        </w:rPr>
        <w:t xml:space="preserve">CUARTO. </w:t>
      </w:r>
      <w:r w:rsidRPr="00B0209B">
        <w:rPr>
          <w:rFonts w:ascii="Palatino Linotype" w:eastAsia="Palatino Linotype" w:hAnsi="Palatino Linotype" w:cs="Palatino Linotype"/>
          <w:sz w:val="24"/>
        </w:rPr>
        <w:t xml:space="preserve">De conformidad con el artículo 198 de la Ley de Transparencia y Acceso a la Información Pública del Estado de México y Municipios, de considerarlo procedente, </w:t>
      </w:r>
      <w:r w:rsidRPr="00B0209B">
        <w:rPr>
          <w:rFonts w:ascii="Palatino Linotype" w:eastAsia="Palatino Linotype" w:hAnsi="Palatino Linotype" w:cs="Palatino Linotype"/>
          <w:b/>
          <w:sz w:val="24"/>
        </w:rPr>
        <w:t>EL SUJETO OBLIGADO</w:t>
      </w:r>
      <w:r w:rsidRPr="00B0209B">
        <w:rPr>
          <w:rFonts w:ascii="Palatino Linotype" w:eastAsia="Palatino Linotype" w:hAnsi="Palatino Linotype" w:cs="Palatino Linotype"/>
          <w:sz w:val="24"/>
        </w:rPr>
        <w:t xml:space="preserve"> de manera fundada y motivada, podrá solicitar una ampliación de plazo para el cumplimiento de la presente resolución.</w:t>
      </w:r>
      <w:bookmarkStart w:id="3" w:name="_heading=h.30j0zll" w:colFirst="0" w:colLast="0"/>
      <w:bookmarkEnd w:id="3"/>
    </w:p>
    <w:p w14:paraId="7C8D9215" w14:textId="77777777" w:rsidR="006754B3" w:rsidRPr="00B0209B" w:rsidRDefault="006754B3" w:rsidP="006754B3">
      <w:pPr>
        <w:spacing w:line="360" w:lineRule="auto"/>
        <w:contextualSpacing/>
        <w:jc w:val="both"/>
        <w:rPr>
          <w:rFonts w:ascii="Palatino Linotype" w:eastAsia="Palatino Linotype" w:hAnsi="Palatino Linotype" w:cs="Palatino Linotype"/>
          <w:sz w:val="24"/>
        </w:rPr>
      </w:pPr>
    </w:p>
    <w:p w14:paraId="5E2A3A65" w14:textId="77777777" w:rsidR="006754B3" w:rsidRPr="00B0209B" w:rsidRDefault="006754B3" w:rsidP="006754B3">
      <w:pPr>
        <w:spacing w:after="0" w:line="360" w:lineRule="auto"/>
        <w:contextualSpacing/>
        <w:jc w:val="both"/>
        <w:rPr>
          <w:rFonts w:ascii="Palatino Linotype" w:eastAsia="Palatino Linotype" w:hAnsi="Palatino Linotype" w:cs="Palatino Linotype"/>
          <w:sz w:val="24"/>
        </w:rPr>
      </w:pPr>
      <w:r w:rsidRPr="00B0209B">
        <w:rPr>
          <w:rFonts w:ascii="Palatino Linotype" w:eastAsia="Palatino Linotype" w:hAnsi="Palatino Linotype" w:cs="Palatino Linotype"/>
          <w:b/>
          <w:sz w:val="24"/>
        </w:rPr>
        <w:t xml:space="preserve">QUINTO. Notifíquese vía SAIMEX, </w:t>
      </w:r>
      <w:r w:rsidRPr="00B0209B">
        <w:rPr>
          <w:rFonts w:ascii="Palatino Linotype" w:eastAsia="Palatino Linotype" w:hAnsi="Palatino Linotype" w:cs="Palatino Linotype"/>
          <w:sz w:val="24"/>
        </w:rPr>
        <w:t xml:space="preserve">a </w:t>
      </w:r>
      <w:r w:rsidRPr="00B0209B">
        <w:rPr>
          <w:rFonts w:ascii="Palatino Linotype" w:eastAsia="Palatino Linotype" w:hAnsi="Palatino Linotype" w:cs="Palatino Linotype"/>
          <w:b/>
          <w:sz w:val="24"/>
        </w:rPr>
        <w:t>LA PARTE RECURRENTE</w:t>
      </w:r>
      <w:r w:rsidRPr="00B0209B">
        <w:rPr>
          <w:rFonts w:ascii="Palatino Linotype" w:eastAsia="Palatino Linotype" w:hAnsi="Palatino Linotype" w:cs="Palatino Linotype"/>
          <w:sz w:val="24"/>
        </w:rPr>
        <w:t xml:space="preserve"> la presente resolución, así como que podrá impugnarla vía Juicio de Amparo en los términos de las leyes aplicables, de conformidad con lo establecido en el artículo 196 de la Ley </w:t>
      </w:r>
      <w:r w:rsidRPr="00B0209B">
        <w:rPr>
          <w:rFonts w:ascii="Palatino Linotype" w:eastAsia="Palatino Linotype" w:hAnsi="Palatino Linotype" w:cs="Palatino Linotype"/>
          <w:sz w:val="24"/>
        </w:rPr>
        <w:lastRenderedPageBreak/>
        <w:t>de Transparencia y Acceso a la Información Pública del Estado de México y Municipios.</w:t>
      </w:r>
    </w:p>
    <w:p w14:paraId="150F1DD2" w14:textId="77777777" w:rsidR="006754B3" w:rsidRPr="00B0209B" w:rsidRDefault="006754B3" w:rsidP="006754B3">
      <w:pPr>
        <w:spacing w:after="0" w:line="360" w:lineRule="auto"/>
        <w:contextualSpacing/>
        <w:jc w:val="both"/>
        <w:rPr>
          <w:rFonts w:ascii="Palatino Linotype" w:eastAsia="Palatino Linotype" w:hAnsi="Palatino Linotype" w:cs="Palatino Linotype"/>
          <w:sz w:val="24"/>
        </w:rPr>
      </w:pPr>
    </w:p>
    <w:p w14:paraId="7FF7AEB1" w14:textId="77777777" w:rsidR="006754B3" w:rsidRPr="00B0209B" w:rsidRDefault="006754B3" w:rsidP="006754B3">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B0209B">
        <w:rPr>
          <w:rFonts w:ascii="Palatino Linotype" w:eastAsia="Palatino Linotype" w:hAnsi="Palatino Linotype" w:cs="Palatino Linotype"/>
          <w:sz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531E65" w:rsidRPr="00B0209B">
        <w:rPr>
          <w:rFonts w:ascii="Palatino Linotype" w:eastAsia="Palatino Linotype" w:hAnsi="Palatino Linotype" w:cs="Palatino Linotype"/>
          <w:sz w:val="24"/>
        </w:rPr>
        <w:t>NOVENA</w:t>
      </w:r>
      <w:r w:rsidRPr="00B0209B">
        <w:rPr>
          <w:rFonts w:ascii="Palatino Linotype" w:eastAsia="Palatino Linotype" w:hAnsi="Palatino Linotype" w:cs="Palatino Linotype"/>
          <w:sz w:val="24"/>
        </w:rPr>
        <w:t xml:space="preserve"> SESIÓN ORDINARIA CELEBRADA EL </w:t>
      </w:r>
      <w:r w:rsidR="00531E65" w:rsidRPr="00B0209B">
        <w:rPr>
          <w:rFonts w:ascii="Palatino Linotype" w:eastAsia="Palatino Linotype" w:hAnsi="Palatino Linotype" w:cs="Palatino Linotype"/>
          <w:sz w:val="24"/>
        </w:rPr>
        <w:t>DOCE</w:t>
      </w:r>
      <w:r w:rsidRPr="00B0209B">
        <w:rPr>
          <w:rFonts w:ascii="Palatino Linotype" w:eastAsia="Palatino Linotype" w:hAnsi="Palatino Linotype" w:cs="Palatino Linotype"/>
          <w:sz w:val="24"/>
        </w:rPr>
        <w:t xml:space="preserve"> DE MARZO DE DOS MIL VEINTICINCO, ANTE EL SECRETARIO TÉCNICO DEL PLENO ALEXIS TAPIA RAMÍREZ.</w:t>
      </w:r>
    </w:p>
    <w:p w14:paraId="5BF5BF59" w14:textId="77777777" w:rsidR="006754B3" w:rsidRPr="00B0209B" w:rsidRDefault="006754B3" w:rsidP="00951FAC">
      <w:pPr>
        <w:spacing w:after="0" w:line="360" w:lineRule="auto"/>
        <w:ind w:right="49"/>
        <w:contextualSpacing/>
        <w:jc w:val="both"/>
        <w:rPr>
          <w:rFonts w:ascii="Palatino Linotype" w:hAnsi="Palatino Linotype"/>
          <w:sz w:val="24"/>
        </w:rPr>
      </w:pPr>
    </w:p>
    <w:p w14:paraId="42F11FE8" w14:textId="77777777" w:rsidR="00F85984" w:rsidRPr="00B0209B" w:rsidRDefault="00F85984" w:rsidP="00951FAC">
      <w:pPr>
        <w:spacing w:after="0" w:line="360" w:lineRule="auto"/>
        <w:ind w:right="49"/>
        <w:contextualSpacing/>
        <w:jc w:val="both"/>
        <w:rPr>
          <w:rFonts w:ascii="Palatino Linotype" w:hAnsi="Palatino Linotype"/>
          <w:sz w:val="24"/>
        </w:rPr>
      </w:pPr>
    </w:p>
    <w:p w14:paraId="3761F19B" w14:textId="77777777" w:rsidR="00F85984" w:rsidRPr="00B0209B" w:rsidRDefault="00F85984" w:rsidP="00951FAC">
      <w:pPr>
        <w:spacing w:after="0" w:line="360" w:lineRule="auto"/>
        <w:ind w:right="49"/>
        <w:contextualSpacing/>
        <w:jc w:val="both"/>
        <w:rPr>
          <w:rFonts w:ascii="Palatino Linotype" w:hAnsi="Palatino Linotype"/>
          <w:sz w:val="24"/>
        </w:rPr>
      </w:pPr>
    </w:p>
    <w:p w14:paraId="437E977B" w14:textId="77777777" w:rsidR="00F85984" w:rsidRPr="00B0209B" w:rsidRDefault="00F85984" w:rsidP="00951FAC">
      <w:pPr>
        <w:spacing w:after="0" w:line="360" w:lineRule="auto"/>
        <w:ind w:right="49"/>
        <w:contextualSpacing/>
        <w:jc w:val="both"/>
        <w:rPr>
          <w:rFonts w:ascii="Palatino Linotype" w:hAnsi="Palatino Linotype"/>
          <w:sz w:val="24"/>
        </w:rPr>
      </w:pPr>
    </w:p>
    <w:p w14:paraId="6A863128" w14:textId="77777777" w:rsidR="00F85984" w:rsidRPr="00B0209B" w:rsidRDefault="00F85984" w:rsidP="00951FAC">
      <w:pPr>
        <w:spacing w:after="0" w:line="360" w:lineRule="auto"/>
        <w:ind w:right="49"/>
        <w:contextualSpacing/>
        <w:jc w:val="both"/>
        <w:rPr>
          <w:rFonts w:ascii="Palatino Linotype" w:hAnsi="Palatino Linotype"/>
          <w:sz w:val="24"/>
        </w:rPr>
      </w:pPr>
    </w:p>
    <w:p w14:paraId="3918C5D1" w14:textId="77777777" w:rsidR="00F85984" w:rsidRPr="00B0209B" w:rsidRDefault="00F85984" w:rsidP="00951FAC">
      <w:pPr>
        <w:spacing w:after="0" w:line="360" w:lineRule="auto"/>
        <w:ind w:right="49"/>
        <w:contextualSpacing/>
        <w:jc w:val="both"/>
        <w:rPr>
          <w:rFonts w:ascii="Palatino Linotype" w:hAnsi="Palatino Linotype"/>
          <w:sz w:val="24"/>
        </w:rPr>
      </w:pPr>
    </w:p>
    <w:p w14:paraId="0669A730" w14:textId="77777777" w:rsidR="00F85984" w:rsidRPr="00B0209B" w:rsidRDefault="00F85984" w:rsidP="00951FAC">
      <w:pPr>
        <w:spacing w:after="0" w:line="360" w:lineRule="auto"/>
        <w:ind w:right="49"/>
        <w:contextualSpacing/>
        <w:jc w:val="both"/>
        <w:rPr>
          <w:rFonts w:ascii="Palatino Linotype" w:hAnsi="Palatino Linotype"/>
          <w:sz w:val="24"/>
        </w:rPr>
      </w:pPr>
    </w:p>
    <w:p w14:paraId="1E3FA220" w14:textId="77777777" w:rsidR="00F85984" w:rsidRPr="00B0209B" w:rsidRDefault="00F85984" w:rsidP="00951FAC">
      <w:pPr>
        <w:spacing w:after="0" w:line="360" w:lineRule="auto"/>
        <w:ind w:right="49"/>
        <w:contextualSpacing/>
        <w:jc w:val="both"/>
        <w:rPr>
          <w:rFonts w:ascii="Palatino Linotype" w:hAnsi="Palatino Linotype"/>
          <w:sz w:val="24"/>
        </w:rPr>
      </w:pPr>
    </w:p>
    <w:p w14:paraId="0A3B5642" w14:textId="77777777" w:rsidR="00F85984" w:rsidRPr="00B0209B" w:rsidRDefault="00F85984" w:rsidP="00951FAC">
      <w:pPr>
        <w:spacing w:after="0" w:line="360" w:lineRule="auto"/>
        <w:ind w:right="49"/>
        <w:contextualSpacing/>
        <w:jc w:val="both"/>
        <w:rPr>
          <w:rFonts w:ascii="Palatino Linotype" w:hAnsi="Palatino Linotype"/>
          <w:sz w:val="24"/>
        </w:rPr>
      </w:pPr>
    </w:p>
    <w:p w14:paraId="2168D109" w14:textId="77777777" w:rsidR="00F85984" w:rsidRPr="00B0209B" w:rsidRDefault="00F85984" w:rsidP="00951FAC">
      <w:pPr>
        <w:spacing w:after="0" w:line="360" w:lineRule="auto"/>
        <w:ind w:right="49"/>
        <w:contextualSpacing/>
        <w:jc w:val="both"/>
        <w:rPr>
          <w:rFonts w:ascii="Palatino Linotype" w:hAnsi="Palatino Linotype"/>
          <w:sz w:val="24"/>
        </w:rPr>
      </w:pPr>
    </w:p>
    <w:p w14:paraId="4D27FC71" w14:textId="77777777" w:rsidR="00F85984" w:rsidRPr="00B0209B" w:rsidRDefault="00F85984" w:rsidP="00951FAC">
      <w:pPr>
        <w:spacing w:after="0" w:line="360" w:lineRule="auto"/>
        <w:ind w:right="49"/>
        <w:contextualSpacing/>
        <w:jc w:val="both"/>
        <w:rPr>
          <w:rFonts w:ascii="Palatino Linotype" w:hAnsi="Palatino Linotype"/>
          <w:sz w:val="24"/>
        </w:rPr>
      </w:pPr>
    </w:p>
    <w:p w14:paraId="120C6168" w14:textId="77777777" w:rsidR="00F85984" w:rsidRPr="00B0209B" w:rsidRDefault="00F85984" w:rsidP="00951FAC">
      <w:pPr>
        <w:spacing w:after="0" w:line="360" w:lineRule="auto"/>
        <w:ind w:right="49"/>
        <w:contextualSpacing/>
        <w:jc w:val="both"/>
        <w:rPr>
          <w:rFonts w:ascii="Palatino Linotype" w:hAnsi="Palatino Linotype"/>
          <w:sz w:val="24"/>
        </w:rPr>
      </w:pPr>
    </w:p>
    <w:p w14:paraId="00018AE8" w14:textId="77777777" w:rsidR="00F85984" w:rsidRPr="00B0209B" w:rsidRDefault="00F85984" w:rsidP="00951FAC">
      <w:pPr>
        <w:spacing w:after="0" w:line="360" w:lineRule="auto"/>
        <w:ind w:right="49"/>
        <w:contextualSpacing/>
        <w:jc w:val="both"/>
        <w:rPr>
          <w:rFonts w:ascii="Palatino Linotype" w:hAnsi="Palatino Linotype"/>
          <w:sz w:val="24"/>
        </w:rPr>
      </w:pPr>
    </w:p>
    <w:sectPr w:rsidR="00F85984" w:rsidRPr="00B0209B">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6158E" w14:textId="77777777" w:rsidR="0076551F" w:rsidRDefault="0076551F" w:rsidP="00026BE2">
      <w:pPr>
        <w:spacing w:after="0" w:line="240" w:lineRule="auto"/>
      </w:pPr>
      <w:r>
        <w:separator/>
      </w:r>
    </w:p>
  </w:endnote>
  <w:endnote w:type="continuationSeparator" w:id="0">
    <w:p w14:paraId="47A1D617" w14:textId="77777777" w:rsidR="0076551F" w:rsidRDefault="0076551F" w:rsidP="0002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B808" w14:textId="77777777" w:rsidR="00951FAC" w:rsidRDefault="00951FAC" w:rsidP="00026BE2">
    <w:pPr>
      <w:pBdr>
        <w:top w:val="nil"/>
        <w:left w:val="nil"/>
        <w:bottom w:val="nil"/>
        <w:right w:val="nil"/>
        <w:between w:val="nil"/>
      </w:pBdr>
      <w:tabs>
        <w:tab w:val="center" w:pos="4419"/>
        <w:tab w:val="right" w:pos="8838"/>
      </w:tabs>
      <w:spacing w:after="0" w:line="240" w:lineRule="auto"/>
      <w:jc w:val="right"/>
      <w:rPr>
        <w:color w:val="00000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B2B3B">
      <w:rPr>
        <w:rFonts w:ascii="Arial" w:eastAsia="Arial" w:hAnsi="Arial" w:cs="Arial"/>
        <w:b/>
        <w:noProof/>
        <w:color w:val="000000"/>
        <w:sz w:val="20"/>
        <w:szCs w:val="20"/>
      </w:rPr>
      <w:t>42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CB2B3B">
      <w:rPr>
        <w:rFonts w:ascii="Arial" w:eastAsia="Arial" w:hAnsi="Arial" w:cs="Arial"/>
        <w:b/>
        <w:noProof/>
        <w:color w:val="000000"/>
        <w:sz w:val="20"/>
        <w:szCs w:val="20"/>
      </w:rPr>
      <w:t>43</w:t>
    </w:r>
    <w:r>
      <w:rPr>
        <w:rFonts w:ascii="Arial" w:eastAsia="Arial" w:hAnsi="Arial" w:cs="Arial"/>
        <w:b/>
        <w:color w:val="000000"/>
        <w:sz w:val="20"/>
        <w:szCs w:val="20"/>
      </w:rPr>
      <w:fldChar w:fldCharType="end"/>
    </w:r>
  </w:p>
  <w:p w14:paraId="6F4AF3CE" w14:textId="77777777" w:rsidR="00951FAC" w:rsidRDefault="00951F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82B9" w14:textId="77777777" w:rsidR="0076551F" w:rsidRDefault="0076551F" w:rsidP="00026BE2">
      <w:pPr>
        <w:spacing w:after="0" w:line="240" w:lineRule="auto"/>
      </w:pPr>
      <w:r>
        <w:separator/>
      </w:r>
    </w:p>
  </w:footnote>
  <w:footnote w:type="continuationSeparator" w:id="0">
    <w:p w14:paraId="6580B178" w14:textId="77777777" w:rsidR="0076551F" w:rsidRDefault="0076551F" w:rsidP="00026BE2">
      <w:pPr>
        <w:spacing w:after="0" w:line="240" w:lineRule="auto"/>
      </w:pPr>
      <w:r>
        <w:continuationSeparator/>
      </w:r>
    </w:p>
  </w:footnote>
  <w:footnote w:id="1">
    <w:p w14:paraId="3A1C95F8" w14:textId="77777777" w:rsidR="00951FAC" w:rsidRDefault="00951FAC" w:rsidP="00885C8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rFonts w:ascii="Palatino Linotype" w:eastAsia="Palatino Linotype" w:hAnsi="Palatino Linotype" w:cs="Palatino Linotype"/>
          <w:color w:val="000000"/>
          <w:sz w:val="16"/>
          <w:szCs w:val="16"/>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r>
        <w:rPr>
          <w:color w:val="000000"/>
          <w:sz w:val="20"/>
          <w:szCs w:val="20"/>
        </w:rPr>
        <w:t xml:space="preserve"> (…)</w:t>
      </w:r>
    </w:p>
  </w:footnote>
  <w:footnote w:id="2">
    <w:p w14:paraId="75B21917" w14:textId="77777777" w:rsidR="00951FAC" w:rsidRDefault="00951FAC" w:rsidP="00885C8A">
      <w:pPr>
        <w:pBdr>
          <w:top w:val="nil"/>
          <w:left w:val="nil"/>
          <w:bottom w:val="nil"/>
          <w:right w:val="nil"/>
          <w:between w:val="nil"/>
        </w:pBdr>
        <w:jc w:val="both"/>
        <w:rPr>
          <w:rFonts w:ascii="Palatino Linotype" w:eastAsia="Palatino Linotype" w:hAnsi="Palatino Linotype" w:cs="Palatino Linotype"/>
          <w:color w:val="000000"/>
          <w:sz w:val="16"/>
          <w:szCs w:val="16"/>
        </w:rPr>
      </w:pPr>
      <w:r>
        <w:rPr>
          <w:vertAlign w:val="superscript"/>
        </w:rPr>
        <w:footnoteRef/>
      </w:r>
      <w:r>
        <w:rPr>
          <w:rFonts w:ascii="Palatino Linotype" w:eastAsia="Palatino Linotype" w:hAnsi="Palatino Linotype" w:cs="Palatino Linotype"/>
          <w:color w:val="000000"/>
          <w:sz w:val="19"/>
          <w:szCs w:val="19"/>
        </w:rPr>
        <w:t xml:space="preserve"> </w:t>
      </w:r>
      <w:r>
        <w:rPr>
          <w:rFonts w:ascii="Palatino Linotype" w:eastAsia="Palatino Linotype" w:hAnsi="Palatino Linotype" w:cs="Palatino Linotype"/>
          <w:color w:val="000000"/>
          <w:sz w:val="16"/>
          <w:szCs w:val="16"/>
        </w:rPr>
        <w:t>“Artículo 3. Para los efectos de la presente Ley se entenderá por: (…) XXII. Información de interés público: Se refiere a la información que resulta relevante o beneficiosa para la sociedad y no simplemente de interés individual, cuya divulgación resulta útil para que el público comprenda las actividades que llevan a cabo los sujetos obligados…”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3" w:type="dxa"/>
      <w:tblInd w:w="-1281" w:type="dxa"/>
      <w:tblLayout w:type="fixed"/>
      <w:tblLook w:val="0400" w:firstRow="0" w:lastRow="0" w:firstColumn="0" w:lastColumn="0" w:noHBand="0" w:noVBand="1"/>
    </w:tblPr>
    <w:tblGrid>
      <w:gridCol w:w="5716"/>
      <w:gridCol w:w="4557"/>
    </w:tblGrid>
    <w:tr w:rsidR="00951FAC" w14:paraId="3EABE397" w14:textId="77777777" w:rsidTr="002836ED">
      <w:trPr>
        <w:trHeight w:val="246"/>
      </w:trPr>
      <w:tc>
        <w:tcPr>
          <w:tcW w:w="5716" w:type="dxa"/>
        </w:tcPr>
        <w:p w14:paraId="15DCA1EA" w14:textId="77777777" w:rsidR="00951FAC" w:rsidRDefault="00951FAC" w:rsidP="00026BE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 xml:space="preserve">Recurso de Revisión </w:t>
          </w:r>
          <w:proofErr w:type="spellStart"/>
          <w:r>
            <w:rPr>
              <w:rFonts w:ascii="Palatino Linotype" w:eastAsia="Palatino Linotype" w:hAnsi="Palatino Linotype" w:cs="Palatino Linotype"/>
              <w:b/>
              <w:sz w:val="24"/>
              <w:szCs w:val="24"/>
            </w:rPr>
            <w:t>N°</w:t>
          </w:r>
          <w:proofErr w:type="spellEnd"/>
          <w:r>
            <w:rPr>
              <w:rFonts w:ascii="Palatino Linotype" w:eastAsia="Palatino Linotype" w:hAnsi="Palatino Linotype" w:cs="Palatino Linotype"/>
              <w:b/>
              <w:sz w:val="24"/>
              <w:szCs w:val="24"/>
            </w:rPr>
            <w:t>:</w:t>
          </w:r>
        </w:p>
      </w:tc>
      <w:tc>
        <w:tcPr>
          <w:tcW w:w="4557" w:type="dxa"/>
        </w:tcPr>
        <w:p w14:paraId="4C3C418F" w14:textId="77777777" w:rsidR="00951FAC" w:rsidRDefault="00951FAC" w:rsidP="00026BE2">
          <w:pPr>
            <w:spacing w:after="120"/>
            <w:ind w:left="-486" w:right="214" w:firstLine="1408"/>
            <w:jc w:val="right"/>
            <w:rPr>
              <w:rFonts w:ascii="Palatino Linotype" w:eastAsia="Palatino Linotype" w:hAnsi="Palatino Linotype" w:cs="Palatino Linotype"/>
              <w:sz w:val="24"/>
              <w:szCs w:val="24"/>
            </w:rPr>
          </w:pPr>
          <w:r w:rsidRPr="00026BE2">
            <w:rPr>
              <w:rFonts w:ascii="Palatino Linotype" w:eastAsia="Palatino Linotype" w:hAnsi="Palatino Linotype" w:cs="Palatino Linotype"/>
              <w:sz w:val="24"/>
              <w:szCs w:val="24"/>
            </w:rPr>
            <w:t>00884/INFOEM/IP/RR/2025</w:t>
          </w:r>
          <w:r>
            <w:rPr>
              <w:rFonts w:ascii="Palatino Linotype" w:eastAsia="Palatino Linotype" w:hAnsi="Palatino Linotype" w:cs="Palatino Linotype"/>
              <w:sz w:val="24"/>
              <w:szCs w:val="24"/>
            </w:rPr>
            <w:t>.</w:t>
          </w:r>
        </w:p>
      </w:tc>
    </w:tr>
    <w:tr w:rsidR="00951FAC" w14:paraId="2FFF804D" w14:textId="77777777" w:rsidTr="002836ED">
      <w:trPr>
        <w:trHeight w:val="212"/>
      </w:trPr>
      <w:tc>
        <w:tcPr>
          <w:tcW w:w="5716" w:type="dxa"/>
        </w:tcPr>
        <w:p w14:paraId="6346ED1F" w14:textId="77777777" w:rsidR="00951FAC" w:rsidRDefault="00951FAC" w:rsidP="00026BE2">
          <w:pPr>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Recurrente:</w:t>
          </w:r>
        </w:p>
      </w:tc>
      <w:tc>
        <w:tcPr>
          <w:tcW w:w="4557" w:type="dxa"/>
        </w:tcPr>
        <w:p w14:paraId="3303B33A" w14:textId="77777777" w:rsidR="00951FAC" w:rsidRDefault="00951FAC" w:rsidP="00026BE2">
          <w:pPr>
            <w:spacing w:after="120"/>
            <w:ind w:left="-486" w:right="214" w:firstLine="567"/>
            <w:jc w:val="right"/>
            <w:rPr>
              <w:rFonts w:ascii="Palatino Linotype" w:eastAsia="Palatino Linotype" w:hAnsi="Palatino Linotype" w:cs="Palatino Linotype"/>
              <w:sz w:val="24"/>
              <w:szCs w:val="24"/>
            </w:rPr>
          </w:pPr>
        </w:p>
      </w:tc>
    </w:tr>
    <w:tr w:rsidR="00951FAC" w14:paraId="18267DA7" w14:textId="77777777" w:rsidTr="002836ED">
      <w:trPr>
        <w:trHeight w:val="264"/>
      </w:trPr>
      <w:tc>
        <w:tcPr>
          <w:tcW w:w="5716" w:type="dxa"/>
        </w:tcPr>
        <w:p w14:paraId="77E9E7B4" w14:textId="77777777" w:rsidR="00951FAC" w:rsidRDefault="00951FAC" w:rsidP="00026BE2">
          <w:pPr>
            <w:spacing w:after="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Sujeto Obligado:</w:t>
          </w:r>
        </w:p>
      </w:tc>
      <w:tc>
        <w:tcPr>
          <w:tcW w:w="4557" w:type="dxa"/>
        </w:tcPr>
        <w:p w14:paraId="636AED82" w14:textId="77777777" w:rsidR="00951FAC" w:rsidRDefault="00951FAC" w:rsidP="00026BE2">
          <w:pPr>
            <w:spacing w:after="0"/>
            <w:ind w:left="-495" w:right="214" w:firstLine="567"/>
            <w:jc w:val="right"/>
            <w:rPr>
              <w:rFonts w:ascii="Palatino Linotype" w:eastAsia="Palatino Linotype" w:hAnsi="Palatino Linotype" w:cs="Palatino Linotype"/>
              <w:sz w:val="24"/>
              <w:szCs w:val="24"/>
            </w:rPr>
          </w:pPr>
          <w:r w:rsidRPr="00026BE2">
            <w:rPr>
              <w:rFonts w:ascii="Palatino Linotype" w:eastAsia="Palatino Linotype" w:hAnsi="Palatino Linotype" w:cs="Palatino Linotype"/>
              <w:sz w:val="24"/>
              <w:szCs w:val="24"/>
            </w:rPr>
            <w:t>Ayuntamiento de Toluca</w:t>
          </w:r>
          <w:r>
            <w:rPr>
              <w:rFonts w:ascii="Palatino Linotype" w:eastAsia="Palatino Linotype" w:hAnsi="Palatino Linotype" w:cs="Palatino Linotype"/>
              <w:sz w:val="24"/>
              <w:szCs w:val="24"/>
            </w:rPr>
            <w:t>.</w:t>
          </w:r>
        </w:p>
      </w:tc>
    </w:tr>
    <w:tr w:rsidR="00951FAC" w14:paraId="06EED41D" w14:textId="77777777" w:rsidTr="002836ED">
      <w:trPr>
        <w:trHeight w:val="373"/>
      </w:trPr>
      <w:tc>
        <w:tcPr>
          <w:tcW w:w="5716" w:type="dxa"/>
        </w:tcPr>
        <w:p w14:paraId="17AF38F3" w14:textId="77777777" w:rsidR="00951FAC" w:rsidRDefault="00951FAC" w:rsidP="00026BE2">
          <w:pPr>
            <w:tabs>
              <w:tab w:val="left" w:pos="4892"/>
            </w:tabs>
            <w:spacing w:after="120"/>
            <w:ind w:right="204"/>
            <w:jc w:val="right"/>
            <w:rPr>
              <w:rFonts w:ascii="Palatino Linotype" w:eastAsia="Palatino Linotype" w:hAnsi="Palatino Linotype" w:cs="Palatino Linotype"/>
              <w:b/>
              <w:sz w:val="24"/>
              <w:szCs w:val="24"/>
            </w:rPr>
          </w:pPr>
          <w:r>
            <w:rPr>
              <w:rFonts w:ascii="Palatino Linotype" w:eastAsia="Palatino Linotype" w:hAnsi="Palatino Linotype" w:cs="Palatino Linotype"/>
              <w:b/>
              <w:sz w:val="24"/>
              <w:szCs w:val="24"/>
            </w:rPr>
            <w:t>Comisionada Ponente:</w:t>
          </w:r>
        </w:p>
      </w:tc>
      <w:tc>
        <w:tcPr>
          <w:tcW w:w="4557" w:type="dxa"/>
        </w:tcPr>
        <w:p w14:paraId="38288E7B" w14:textId="77777777" w:rsidR="00951FAC" w:rsidRDefault="00951FAC" w:rsidP="00026BE2">
          <w:pPr>
            <w:spacing w:after="120"/>
            <w:ind w:left="-486" w:right="214" w:firstLine="567"/>
            <w:jc w:val="right"/>
            <w:rPr>
              <w:rFonts w:ascii="Palatino Linotype" w:eastAsia="Palatino Linotype" w:hAnsi="Palatino Linotype" w:cs="Palatino Linotype"/>
              <w:sz w:val="24"/>
              <w:szCs w:val="24"/>
            </w:rPr>
          </w:pPr>
          <w:r>
            <w:rPr>
              <w:rFonts w:ascii="Palatino Linotype" w:eastAsia="Palatino Linotype" w:hAnsi="Palatino Linotype" w:cs="Palatino Linotype"/>
              <w:sz w:val="24"/>
              <w:szCs w:val="24"/>
            </w:rPr>
            <w:t>Guadalupe Ramírez Peña.</w:t>
          </w:r>
        </w:p>
      </w:tc>
    </w:tr>
  </w:tbl>
  <w:p w14:paraId="134BFE55" w14:textId="77777777" w:rsidR="00951FAC" w:rsidRDefault="00951FAC">
    <w:pPr>
      <w:pStyle w:val="Encabezado"/>
    </w:pPr>
    <w:r>
      <w:rPr>
        <w:noProof/>
      </w:rPr>
      <w:drawing>
        <wp:anchor distT="0" distB="0" distL="0" distR="0" simplePos="0" relativeHeight="251659264" behindDoc="1" locked="0" layoutInCell="1" hidden="0" allowOverlap="1" wp14:anchorId="19B3C3F6" wp14:editId="20716AD8">
          <wp:simplePos x="0" y="0"/>
          <wp:positionH relativeFrom="page">
            <wp:align>right</wp:align>
          </wp:positionH>
          <wp:positionV relativeFrom="paragraph">
            <wp:posOffset>-1412315</wp:posOffset>
          </wp:positionV>
          <wp:extent cx="7353300" cy="8658225"/>
          <wp:effectExtent l="0" t="0" r="0" b="952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353300" cy="86582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075"/>
    <w:multiLevelType w:val="multilevel"/>
    <w:tmpl w:val="B510B72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89119D4"/>
    <w:multiLevelType w:val="hybridMultilevel"/>
    <w:tmpl w:val="6C902AF2"/>
    <w:lvl w:ilvl="0" w:tplc="9DC6621E">
      <w:numFmt w:val="bullet"/>
      <w:lvlText w:val="-"/>
      <w:lvlJc w:val="left"/>
      <w:pPr>
        <w:ind w:left="720" w:hanging="360"/>
      </w:pPr>
      <w:rPr>
        <w:rFonts w:ascii="Palatino Linotype" w:eastAsia="Palatino Linotype" w:hAnsi="Palatino Linotype" w:cs="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E2"/>
    <w:rsid w:val="00004661"/>
    <w:rsid w:val="000158E5"/>
    <w:rsid w:val="00026BE2"/>
    <w:rsid w:val="000F07C2"/>
    <w:rsid w:val="00125C94"/>
    <w:rsid w:val="001477A5"/>
    <w:rsid w:val="00152514"/>
    <w:rsid w:val="00236966"/>
    <w:rsid w:val="002836ED"/>
    <w:rsid w:val="00317610"/>
    <w:rsid w:val="00410B48"/>
    <w:rsid w:val="00531E65"/>
    <w:rsid w:val="006754B3"/>
    <w:rsid w:val="007529E5"/>
    <w:rsid w:val="0076551F"/>
    <w:rsid w:val="00777A68"/>
    <w:rsid w:val="00782928"/>
    <w:rsid w:val="00795D34"/>
    <w:rsid w:val="00841358"/>
    <w:rsid w:val="00885C8A"/>
    <w:rsid w:val="00951FAC"/>
    <w:rsid w:val="009A0DC5"/>
    <w:rsid w:val="009D4350"/>
    <w:rsid w:val="00A72768"/>
    <w:rsid w:val="00AD6199"/>
    <w:rsid w:val="00B0209B"/>
    <w:rsid w:val="00B03E6A"/>
    <w:rsid w:val="00C71C14"/>
    <w:rsid w:val="00CA535A"/>
    <w:rsid w:val="00CB2B3B"/>
    <w:rsid w:val="00D543B2"/>
    <w:rsid w:val="00DF7284"/>
    <w:rsid w:val="00E067A0"/>
    <w:rsid w:val="00E23A0A"/>
    <w:rsid w:val="00E65F35"/>
    <w:rsid w:val="00EB4D2C"/>
    <w:rsid w:val="00F85984"/>
    <w:rsid w:val="00F91FEB"/>
    <w:rsid w:val="00FD7F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62C3B"/>
  <w15:chartTrackingRefBased/>
  <w15:docId w15:val="{60849F05-BB72-4A83-BB4C-AF7382A99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E2"/>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B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BE2"/>
  </w:style>
  <w:style w:type="paragraph" w:styleId="Piedepgina">
    <w:name w:val="footer"/>
    <w:basedOn w:val="Normal"/>
    <w:link w:val="PiedepginaCar"/>
    <w:uiPriority w:val="99"/>
    <w:unhideWhenUsed/>
    <w:rsid w:val="00026B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BE2"/>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85C8A"/>
    <w:pPr>
      <w:ind w:left="720"/>
      <w:contextualSpacing/>
    </w:pPr>
  </w:style>
  <w:style w:type="character" w:styleId="Hipervnculo">
    <w:name w:val="Hyperlink"/>
    <w:basedOn w:val="Fuentedeprrafopredeter"/>
    <w:uiPriority w:val="99"/>
    <w:unhideWhenUsed/>
    <w:rsid w:val="00152514"/>
    <w:rPr>
      <w:color w:val="0563C1" w:themeColor="hyperlink"/>
      <w:u w:val="singl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754B3"/>
    <w:rPr>
      <w:rFonts w:ascii="Calibri" w:eastAsia="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www2.toluca.gob.mx/"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43</Pages>
  <Words>10168</Words>
  <Characters>55928</Characters>
  <Application>Microsoft Office Word</Application>
  <DocSecurity>0</DocSecurity>
  <Lines>466</Lines>
  <Paragraphs>131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INFOEM505</dc:creator>
  <cp:keywords/>
  <dc:description/>
  <cp:lastModifiedBy>Maricela Villagómez Martínez</cp:lastModifiedBy>
  <cp:revision>2</cp:revision>
  <cp:lastPrinted>2025-03-14T16:49:00Z</cp:lastPrinted>
  <dcterms:created xsi:type="dcterms:W3CDTF">2025-04-01T18:19:00Z</dcterms:created>
  <dcterms:modified xsi:type="dcterms:W3CDTF">2025-04-01T18:19:00Z</dcterms:modified>
</cp:coreProperties>
</file>