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751D" w:rsidRPr="00EC0030" w:rsidRDefault="00F95FAE">
      <w:pPr>
        <w:tabs>
          <w:tab w:val="left" w:pos="3465"/>
        </w:tabs>
        <w:spacing w:line="360" w:lineRule="auto"/>
        <w:ind w:right="-787"/>
        <w:jc w:val="both"/>
        <w:rPr>
          <w:rFonts w:ascii="Palatino Linotype" w:eastAsia="Palatino Linotype" w:hAnsi="Palatino Linotype" w:cs="Palatino Linotype"/>
        </w:rPr>
      </w:pPr>
      <w:r w:rsidRPr="00EC0030">
        <w:rPr>
          <w:rFonts w:ascii="Palatino Linotype" w:eastAsia="Palatino Linotype" w:hAnsi="Palatino Linotype" w:cs="Palatino Linotype"/>
        </w:rPr>
        <w:t>Resolución del Pleno del Instituto de Transparencia, Acceso a la Información Pública y Protección de Datos Personales del Estado de México y Municipios, con domicilio en Metepec, Estado de México; de fecha diecinueve (19) de febrero de dos mil veinticinco.</w:t>
      </w:r>
    </w:p>
    <w:p w:rsidR="0012751D" w:rsidRPr="00EC0030" w:rsidRDefault="0012751D">
      <w:pPr>
        <w:tabs>
          <w:tab w:val="left" w:pos="3465"/>
        </w:tabs>
        <w:spacing w:line="360" w:lineRule="auto"/>
        <w:ind w:right="-787"/>
        <w:jc w:val="both"/>
        <w:rPr>
          <w:rFonts w:ascii="Palatino Linotype" w:eastAsia="Palatino Linotype" w:hAnsi="Palatino Linotype" w:cs="Palatino Linotype"/>
        </w:rPr>
      </w:pPr>
    </w:p>
    <w:p w:rsidR="0012751D" w:rsidRPr="00EC0030" w:rsidRDefault="00F95FAE">
      <w:pPr>
        <w:spacing w:line="360" w:lineRule="auto"/>
        <w:ind w:right="-787"/>
        <w:jc w:val="both"/>
        <w:rPr>
          <w:rFonts w:ascii="Palatino Linotype" w:eastAsia="Palatino Linotype" w:hAnsi="Palatino Linotype" w:cs="Palatino Linotype"/>
        </w:rPr>
      </w:pPr>
      <w:r w:rsidRPr="00EC0030">
        <w:rPr>
          <w:rFonts w:ascii="Palatino Linotype" w:eastAsia="Palatino Linotype" w:hAnsi="Palatino Linotype" w:cs="Palatino Linotype"/>
          <w:b/>
        </w:rPr>
        <w:t xml:space="preserve">VISTAS </w:t>
      </w:r>
      <w:r w:rsidRPr="00EC0030">
        <w:rPr>
          <w:rFonts w:ascii="Palatino Linotype" w:eastAsia="Palatino Linotype" w:hAnsi="Palatino Linotype" w:cs="Palatino Linotype"/>
        </w:rPr>
        <w:t xml:space="preserve">las constancias para resolver </w:t>
      </w:r>
      <w:r w:rsidRPr="00EC0030">
        <w:rPr>
          <w:rFonts w:ascii="Palatino Linotype" w:eastAsia="Palatino Linotype" w:hAnsi="Palatino Linotype" w:cs="Palatino Linotype"/>
          <w:color w:val="000000"/>
        </w:rPr>
        <w:t xml:space="preserve">los Recursos de Revisión </w:t>
      </w:r>
      <w:r w:rsidRPr="00EC0030">
        <w:rPr>
          <w:rFonts w:ascii="Palatino Linotype" w:eastAsia="Palatino Linotype" w:hAnsi="Palatino Linotype" w:cs="Palatino Linotype"/>
          <w:b/>
          <w:color w:val="000000"/>
        </w:rPr>
        <w:t>00283/INFOEM/IP/RR/2025 y 00303/INFOEM/IP/RR/2025</w:t>
      </w:r>
      <w:r w:rsidRPr="00EC0030">
        <w:rPr>
          <w:rFonts w:ascii="Palatino Linotype" w:eastAsia="Palatino Linotype" w:hAnsi="Palatino Linotype" w:cs="Palatino Linotype"/>
          <w:color w:val="000000"/>
        </w:rPr>
        <w:t xml:space="preserve">, promovidos </w:t>
      </w:r>
      <w:r w:rsidRPr="00EC0030">
        <w:rPr>
          <w:rFonts w:ascii="Palatino Linotype" w:eastAsia="Palatino Linotype" w:hAnsi="Palatino Linotype" w:cs="Palatino Linotype"/>
        </w:rPr>
        <w:t xml:space="preserve">de </w:t>
      </w:r>
      <w:r w:rsidRPr="00EC0030">
        <w:rPr>
          <w:rFonts w:ascii="Palatino Linotype" w:eastAsia="Palatino Linotype" w:hAnsi="Palatino Linotype" w:cs="Palatino Linotype"/>
          <w:b/>
        </w:rPr>
        <w:t xml:space="preserve">manera anónima,  por un usuario que no registró nombre alguno, </w:t>
      </w:r>
      <w:r w:rsidRPr="00EC0030">
        <w:rPr>
          <w:rFonts w:ascii="Palatino Linotype" w:eastAsia="Palatino Linotype" w:hAnsi="Palatino Linotype" w:cs="Palatino Linotype"/>
        </w:rPr>
        <w:t xml:space="preserve">a quien en lo sucesivo se denominará </w:t>
      </w:r>
      <w:r w:rsidRPr="00EC0030">
        <w:rPr>
          <w:rFonts w:ascii="Palatino Linotype" w:eastAsia="Palatino Linotype" w:hAnsi="Palatino Linotype" w:cs="Palatino Linotype"/>
          <w:b/>
        </w:rPr>
        <w:t>RECURRENTE</w:t>
      </w:r>
      <w:r w:rsidRPr="00EC0030">
        <w:rPr>
          <w:rFonts w:ascii="Palatino Linotype" w:eastAsia="Palatino Linotype" w:hAnsi="Palatino Linotype" w:cs="Palatino Linotype"/>
        </w:rPr>
        <w:t xml:space="preserve">, en contra de la respuesta otorgada a las solicitudes de información </w:t>
      </w:r>
      <w:r w:rsidRPr="00EC0030">
        <w:rPr>
          <w:rFonts w:ascii="Palatino Linotype" w:eastAsia="Palatino Linotype" w:hAnsi="Palatino Linotype" w:cs="Palatino Linotype"/>
          <w:b/>
        </w:rPr>
        <w:t>00544/IXTASAL/IP/2024 y 00537/IXTASAL/IP/2024</w:t>
      </w:r>
      <w:r w:rsidRPr="00EC0030">
        <w:rPr>
          <w:rFonts w:ascii="Palatino Linotype" w:eastAsia="Palatino Linotype" w:hAnsi="Palatino Linotype" w:cs="Palatino Linotype"/>
        </w:rPr>
        <w:t xml:space="preserve">,  por parte del </w:t>
      </w:r>
      <w:r w:rsidRPr="00EC0030">
        <w:rPr>
          <w:rFonts w:ascii="Palatino Linotype" w:eastAsia="Palatino Linotype" w:hAnsi="Palatino Linotype" w:cs="Palatino Linotype"/>
          <w:b/>
        </w:rPr>
        <w:t xml:space="preserve">Ayuntamiento de Ixtapan de la Sal, </w:t>
      </w:r>
      <w:r w:rsidRPr="00EC0030">
        <w:rPr>
          <w:rFonts w:ascii="Palatino Linotype" w:eastAsia="Palatino Linotype" w:hAnsi="Palatino Linotype" w:cs="Palatino Linotype"/>
        </w:rPr>
        <w:t xml:space="preserve">en adelante el </w:t>
      </w:r>
      <w:r w:rsidRPr="00EC0030">
        <w:rPr>
          <w:rFonts w:ascii="Palatino Linotype" w:eastAsia="Palatino Linotype" w:hAnsi="Palatino Linotype" w:cs="Palatino Linotype"/>
          <w:b/>
        </w:rPr>
        <w:t>SUJETO OBLIGADO</w:t>
      </w:r>
      <w:r w:rsidRPr="00EC0030">
        <w:rPr>
          <w:rFonts w:ascii="Palatino Linotype" w:eastAsia="Palatino Linotype" w:hAnsi="Palatino Linotype" w:cs="Palatino Linotype"/>
        </w:rPr>
        <w:t>, se emite la presente resolución con base en los siguientes:</w:t>
      </w:r>
    </w:p>
    <w:p w:rsidR="0012751D" w:rsidRPr="00EC0030" w:rsidRDefault="0012751D">
      <w:pPr>
        <w:ind w:right="-787"/>
        <w:jc w:val="both"/>
        <w:rPr>
          <w:rFonts w:ascii="Palatino Linotype" w:eastAsia="Palatino Linotype" w:hAnsi="Palatino Linotype" w:cs="Palatino Linotype"/>
        </w:rPr>
      </w:pPr>
    </w:p>
    <w:p w:rsidR="0012751D" w:rsidRPr="00EC0030" w:rsidRDefault="00F95FAE">
      <w:pPr>
        <w:pStyle w:val="Ttulo1"/>
        <w:spacing w:before="0" w:line="360" w:lineRule="auto"/>
        <w:ind w:right="-787"/>
        <w:jc w:val="center"/>
        <w:rPr>
          <w:rFonts w:ascii="Palatino Linotype" w:eastAsia="Palatino Linotype" w:hAnsi="Palatino Linotype" w:cs="Palatino Linotype"/>
          <w:b/>
          <w:color w:val="000000"/>
          <w:sz w:val="24"/>
          <w:szCs w:val="24"/>
        </w:rPr>
      </w:pPr>
      <w:bookmarkStart w:id="0" w:name="_heading=h.gjdgxs" w:colFirst="0" w:colLast="0"/>
      <w:bookmarkEnd w:id="0"/>
      <w:r w:rsidRPr="00EC0030">
        <w:rPr>
          <w:rFonts w:ascii="Palatino Linotype" w:eastAsia="Palatino Linotype" w:hAnsi="Palatino Linotype" w:cs="Palatino Linotype"/>
          <w:b/>
          <w:color w:val="000000"/>
          <w:sz w:val="24"/>
          <w:szCs w:val="24"/>
        </w:rPr>
        <w:t>A N T E C E D E N T E S</w:t>
      </w:r>
    </w:p>
    <w:p w:rsidR="0012751D" w:rsidRPr="00EC0030" w:rsidRDefault="0012751D">
      <w:pPr>
        <w:pBdr>
          <w:top w:val="nil"/>
          <w:left w:val="nil"/>
          <w:bottom w:val="nil"/>
          <w:right w:val="nil"/>
          <w:between w:val="nil"/>
        </w:pBdr>
        <w:spacing w:line="360" w:lineRule="auto"/>
        <w:ind w:right="-787"/>
        <w:jc w:val="both"/>
        <w:rPr>
          <w:rFonts w:ascii="Palatino Linotype" w:eastAsia="Palatino Linotype" w:hAnsi="Palatino Linotype" w:cs="Palatino Linotype"/>
          <w:b/>
          <w:color w:val="000000"/>
          <w:u w:val="single"/>
        </w:rPr>
      </w:pPr>
    </w:p>
    <w:p w:rsidR="0012751D" w:rsidRPr="00EC0030" w:rsidRDefault="00F95FAE">
      <w:pPr>
        <w:numPr>
          <w:ilvl w:val="0"/>
          <w:numId w:val="2"/>
        </w:numPr>
        <w:pBdr>
          <w:top w:val="nil"/>
          <w:left w:val="nil"/>
          <w:bottom w:val="nil"/>
          <w:right w:val="nil"/>
          <w:between w:val="nil"/>
        </w:pBdr>
        <w:tabs>
          <w:tab w:val="left" w:pos="0"/>
        </w:tabs>
        <w:spacing w:line="360" w:lineRule="auto"/>
        <w:ind w:left="0" w:right="-787" w:firstLine="0"/>
        <w:jc w:val="both"/>
        <w:rPr>
          <w:color w:val="000000"/>
        </w:rPr>
      </w:pPr>
      <w:r w:rsidRPr="00EC0030">
        <w:rPr>
          <w:rFonts w:ascii="Palatino Linotype" w:eastAsia="Palatino Linotype" w:hAnsi="Palatino Linotype" w:cs="Palatino Linotype"/>
          <w:color w:val="000000"/>
        </w:rPr>
        <w:t xml:space="preserve">El </w:t>
      </w:r>
      <w:r w:rsidRPr="00EC0030">
        <w:rPr>
          <w:rFonts w:ascii="Palatino Linotype" w:eastAsia="Palatino Linotype" w:hAnsi="Palatino Linotype" w:cs="Palatino Linotype"/>
          <w:b/>
          <w:color w:val="000000"/>
        </w:rPr>
        <w:t>diecisiete de diciembre de dos mil veinticuatro</w:t>
      </w:r>
      <w:r w:rsidRPr="00EC0030">
        <w:rPr>
          <w:rFonts w:ascii="Palatino Linotype" w:eastAsia="Palatino Linotype" w:hAnsi="Palatino Linotype" w:cs="Palatino Linotype"/>
          <w:color w:val="000000"/>
        </w:rPr>
        <w:t>,</w:t>
      </w:r>
      <w:r w:rsidRPr="00EC0030">
        <w:rPr>
          <w:rFonts w:ascii="Palatino Linotype" w:eastAsia="Palatino Linotype" w:hAnsi="Palatino Linotype" w:cs="Palatino Linotype"/>
          <w:b/>
          <w:color w:val="000000"/>
        </w:rPr>
        <w:t xml:space="preserve"> </w:t>
      </w:r>
      <w:r w:rsidRPr="00EC0030">
        <w:rPr>
          <w:rFonts w:ascii="Palatino Linotype" w:eastAsia="Palatino Linotype" w:hAnsi="Palatino Linotype" w:cs="Palatino Linotype"/>
          <w:color w:val="000000"/>
        </w:rPr>
        <w:t xml:space="preserve">se presentó ante el Sujeto Obligado vía Sistema de Acceso a la Información Mexiquense, en adelante SAIMEX, las solicitudes de información </w:t>
      </w:r>
      <w:r w:rsidRPr="00EC0030">
        <w:rPr>
          <w:rFonts w:ascii="Palatino Linotype" w:eastAsia="Palatino Linotype" w:hAnsi="Palatino Linotype" w:cs="Palatino Linotype"/>
        </w:rPr>
        <w:t>en las que se requirió la</w:t>
      </w:r>
      <w:r w:rsidRPr="00EC0030">
        <w:rPr>
          <w:rFonts w:ascii="Palatino Linotype" w:eastAsia="Palatino Linotype" w:hAnsi="Palatino Linotype" w:cs="Palatino Linotype"/>
          <w:color w:val="000000"/>
        </w:rPr>
        <w:t xml:space="preserve"> información pública siguiente:</w:t>
      </w:r>
    </w:p>
    <w:p w:rsidR="0012751D" w:rsidRPr="00EC0030" w:rsidRDefault="00F95FAE">
      <w:pPr>
        <w:pBdr>
          <w:top w:val="nil"/>
          <w:left w:val="nil"/>
          <w:bottom w:val="nil"/>
          <w:right w:val="nil"/>
          <w:between w:val="nil"/>
        </w:pBdr>
        <w:tabs>
          <w:tab w:val="left" w:pos="0"/>
        </w:tabs>
        <w:ind w:right="-787"/>
        <w:jc w:val="both"/>
        <w:rPr>
          <w:color w:val="000000"/>
        </w:rPr>
      </w:pPr>
      <w:r w:rsidRPr="00EC0030">
        <w:rPr>
          <w:color w:val="000000"/>
        </w:rPr>
        <w:t xml:space="preserve"> </w:t>
      </w:r>
    </w:p>
    <w:tbl>
      <w:tblPr>
        <w:tblStyle w:val="a3"/>
        <w:tblW w:w="9645" w:type="dxa"/>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400" w:firstRow="0" w:lastRow="0" w:firstColumn="0" w:lastColumn="0" w:noHBand="0" w:noVBand="1"/>
      </w:tblPr>
      <w:tblGrid>
        <w:gridCol w:w="3090"/>
        <w:gridCol w:w="6555"/>
      </w:tblGrid>
      <w:tr w:rsidR="0012751D" w:rsidRPr="00EC0030">
        <w:tc>
          <w:tcPr>
            <w:tcW w:w="3090" w:type="dxa"/>
            <w:shd w:val="clear" w:color="auto" w:fill="D9D9D9"/>
            <w:vAlign w:val="center"/>
          </w:tcPr>
          <w:p w:rsidR="0012751D" w:rsidRPr="00EC0030" w:rsidRDefault="00F95FAE">
            <w:pPr>
              <w:ind w:right="-96"/>
              <w:jc w:val="center"/>
              <w:rPr>
                <w:rFonts w:ascii="Palatino Linotype" w:eastAsia="Palatino Linotype" w:hAnsi="Palatino Linotype" w:cs="Palatino Linotype"/>
                <w:b/>
              </w:rPr>
            </w:pPr>
            <w:r w:rsidRPr="00EC0030">
              <w:rPr>
                <w:rFonts w:ascii="Palatino Linotype" w:eastAsia="Palatino Linotype" w:hAnsi="Palatino Linotype" w:cs="Palatino Linotype"/>
                <w:b/>
              </w:rPr>
              <w:t>Número de solicitud</w:t>
            </w:r>
          </w:p>
        </w:tc>
        <w:tc>
          <w:tcPr>
            <w:tcW w:w="6555" w:type="dxa"/>
            <w:shd w:val="clear" w:color="auto" w:fill="D9D9D9"/>
            <w:vAlign w:val="center"/>
          </w:tcPr>
          <w:p w:rsidR="0012751D" w:rsidRPr="00EC0030" w:rsidRDefault="00F95FAE">
            <w:pPr>
              <w:ind w:right="-96"/>
              <w:jc w:val="center"/>
              <w:rPr>
                <w:rFonts w:ascii="Palatino Linotype" w:eastAsia="Palatino Linotype" w:hAnsi="Palatino Linotype" w:cs="Palatino Linotype"/>
                <w:b/>
              </w:rPr>
            </w:pPr>
            <w:r w:rsidRPr="00EC0030">
              <w:rPr>
                <w:rFonts w:ascii="Palatino Linotype" w:eastAsia="Palatino Linotype" w:hAnsi="Palatino Linotype" w:cs="Palatino Linotype"/>
                <w:b/>
              </w:rPr>
              <w:t>Información requerida</w:t>
            </w:r>
          </w:p>
        </w:tc>
      </w:tr>
      <w:tr w:rsidR="0012751D" w:rsidRPr="00EC0030">
        <w:tc>
          <w:tcPr>
            <w:tcW w:w="3090" w:type="dxa"/>
            <w:vAlign w:val="center"/>
          </w:tcPr>
          <w:p w:rsidR="0012751D" w:rsidRPr="00EC0030" w:rsidRDefault="00F95FAE">
            <w:pPr>
              <w:ind w:right="-96"/>
              <w:jc w:val="center"/>
              <w:rPr>
                <w:rFonts w:ascii="Palatino Linotype" w:eastAsia="Palatino Linotype" w:hAnsi="Palatino Linotype" w:cs="Palatino Linotype"/>
                <w:b/>
              </w:rPr>
            </w:pPr>
            <w:r w:rsidRPr="00EC0030">
              <w:rPr>
                <w:rFonts w:ascii="Palatino Linotype" w:eastAsia="Palatino Linotype" w:hAnsi="Palatino Linotype" w:cs="Palatino Linotype"/>
                <w:b/>
              </w:rPr>
              <w:t>00544/IXTASAL/IP/2024</w:t>
            </w:r>
          </w:p>
        </w:tc>
        <w:tc>
          <w:tcPr>
            <w:tcW w:w="6555" w:type="dxa"/>
          </w:tcPr>
          <w:p w:rsidR="0012751D" w:rsidRPr="00EC0030" w:rsidRDefault="00F95FAE">
            <w:pPr>
              <w:ind w:right="-96"/>
              <w:jc w:val="both"/>
              <w:rPr>
                <w:rFonts w:ascii="Palatino Linotype" w:eastAsia="Palatino Linotype" w:hAnsi="Palatino Linotype" w:cs="Palatino Linotype"/>
                <w:i/>
              </w:rPr>
            </w:pPr>
            <w:r w:rsidRPr="00EC0030">
              <w:rPr>
                <w:rFonts w:ascii="Palatino Linotype" w:eastAsia="Palatino Linotype" w:hAnsi="Palatino Linotype" w:cs="Palatino Linotype"/>
                <w:i/>
              </w:rPr>
              <w:t>“Oficios enviados y recibidos por la presidencia municipal durante noviembre a diciembre 2024” (Sic)</w:t>
            </w:r>
          </w:p>
        </w:tc>
      </w:tr>
      <w:tr w:rsidR="0012751D" w:rsidRPr="00EC0030">
        <w:tc>
          <w:tcPr>
            <w:tcW w:w="3090" w:type="dxa"/>
            <w:vAlign w:val="center"/>
          </w:tcPr>
          <w:p w:rsidR="0012751D" w:rsidRPr="00EC0030" w:rsidRDefault="00F95FAE">
            <w:pPr>
              <w:ind w:right="-96"/>
              <w:jc w:val="center"/>
              <w:rPr>
                <w:rFonts w:ascii="Palatino Linotype" w:eastAsia="Palatino Linotype" w:hAnsi="Palatino Linotype" w:cs="Palatino Linotype"/>
                <w:b/>
              </w:rPr>
            </w:pPr>
            <w:r w:rsidRPr="00EC0030">
              <w:rPr>
                <w:rFonts w:ascii="Palatino Linotype" w:eastAsia="Palatino Linotype" w:hAnsi="Palatino Linotype" w:cs="Palatino Linotype"/>
                <w:b/>
              </w:rPr>
              <w:t>00537/IXTASAL/IP/2024</w:t>
            </w:r>
          </w:p>
        </w:tc>
        <w:tc>
          <w:tcPr>
            <w:tcW w:w="6555" w:type="dxa"/>
          </w:tcPr>
          <w:p w:rsidR="0012751D" w:rsidRPr="00EC0030" w:rsidRDefault="00F95FAE">
            <w:pPr>
              <w:ind w:right="-96"/>
              <w:jc w:val="both"/>
              <w:rPr>
                <w:rFonts w:ascii="Palatino Linotype" w:eastAsia="Palatino Linotype" w:hAnsi="Palatino Linotype" w:cs="Palatino Linotype"/>
                <w:i/>
              </w:rPr>
            </w:pPr>
            <w:r w:rsidRPr="00EC0030">
              <w:rPr>
                <w:rFonts w:ascii="Palatino Linotype" w:eastAsia="Palatino Linotype" w:hAnsi="Palatino Linotype" w:cs="Palatino Linotype"/>
                <w:i/>
              </w:rPr>
              <w:t>“Oficios enviados y recibidos por la presidencia municipal durante julio a agosto 2023” (Sic)</w:t>
            </w:r>
          </w:p>
        </w:tc>
      </w:tr>
    </w:tbl>
    <w:p w:rsidR="0012751D" w:rsidRPr="00EC0030" w:rsidRDefault="0012751D">
      <w:pPr>
        <w:pBdr>
          <w:top w:val="nil"/>
          <w:left w:val="nil"/>
          <w:bottom w:val="nil"/>
          <w:right w:val="nil"/>
          <w:between w:val="nil"/>
        </w:pBdr>
        <w:ind w:right="-787"/>
        <w:jc w:val="both"/>
        <w:rPr>
          <w:rFonts w:ascii="Palatino Linotype" w:eastAsia="Palatino Linotype" w:hAnsi="Palatino Linotype" w:cs="Palatino Linotype"/>
          <w:color w:val="000000"/>
        </w:rPr>
      </w:pPr>
    </w:p>
    <w:p w:rsidR="0012751D" w:rsidRPr="00EC0030" w:rsidRDefault="0012751D">
      <w:pPr>
        <w:pBdr>
          <w:top w:val="nil"/>
          <w:left w:val="nil"/>
          <w:bottom w:val="nil"/>
          <w:right w:val="nil"/>
          <w:between w:val="nil"/>
        </w:pBdr>
        <w:spacing w:line="360" w:lineRule="auto"/>
        <w:ind w:left="851" w:right="-787"/>
        <w:jc w:val="both"/>
        <w:rPr>
          <w:rFonts w:ascii="Palatino Linotype" w:eastAsia="Palatino Linotype" w:hAnsi="Palatino Linotype" w:cs="Palatino Linotype"/>
          <w:color w:val="000000"/>
        </w:rPr>
      </w:pPr>
    </w:p>
    <w:p w:rsidR="0012751D" w:rsidRPr="00EC0030" w:rsidRDefault="00F95FAE">
      <w:pPr>
        <w:numPr>
          <w:ilvl w:val="0"/>
          <w:numId w:val="1"/>
        </w:numPr>
        <w:pBdr>
          <w:top w:val="nil"/>
          <w:left w:val="nil"/>
          <w:bottom w:val="nil"/>
          <w:right w:val="nil"/>
          <w:between w:val="nil"/>
        </w:pBdr>
        <w:tabs>
          <w:tab w:val="left" w:pos="0"/>
        </w:tabs>
        <w:spacing w:line="360" w:lineRule="auto"/>
        <w:ind w:left="709" w:right="-787"/>
        <w:jc w:val="both"/>
        <w:rPr>
          <w:rFonts w:ascii="Palatino Linotype" w:eastAsia="Palatino Linotype" w:hAnsi="Palatino Linotype" w:cs="Palatino Linotype"/>
          <w:color w:val="000000"/>
        </w:rPr>
      </w:pPr>
      <w:r w:rsidRPr="00EC0030">
        <w:rPr>
          <w:rFonts w:ascii="Palatino Linotype" w:eastAsia="Palatino Linotype" w:hAnsi="Palatino Linotype" w:cs="Palatino Linotype"/>
          <w:color w:val="000000"/>
        </w:rPr>
        <w:t xml:space="preserve">Se eligió como modalidad de entrega de la información: A través del </w:t>
      </w:r>
      <w:r w:rsidRPr="00EC0030">
        <w:rPr>
          <w:rFonts w:ascii="Palatino Linotype" w:eastAsia="Palatino Linotype" w:hAnsi="Palatino Linotype" w:cs="Palatino Linotype"/>
          <w:b/>
          <w:color w:val="000000"/>
        </w:rPr>
        <w:t>SAIMEX.</w:t>
      </w:r>
    </w:p>
    <w:p w:rsidR="0012751D" w:rsidRPr="00EC0030" w:rsidRDefault="0012751D">
      <w:pPr>
        <w:pBdr>
          <w:top w:val="nil"/>
          <w:left w:val="nil"/>
          <w:bottom w:val="nil"/>
          <w:right w:val="nil"/>
          <w:between w:val="nil"/>
        </w:pBdr>
        <w:tabs>
          <w:tab w:val="left" w:pos="0"/>
        </w:tabs>
        <w:spacing w:line="360" w:lineRule="auto"/>
        <w:ind w:right="-787"/>
        <w:jc w:val="both"/>
        <w:rPr>
          <w:rFonts w:ascii="Palatino Linotype" w:eastAsia="Palatino Linotype" w:hAnsi="Palatino Linotype" w:cs="Palatino Linotype"/>
          <w:b/>
          <w:color w:val="000000"/>
          <w:u w:val="single"/>
        </w:rPr>
      </w:pPr>
    </w:p>
    <w:p w:rsidR="0012751D" w:rsidRPr="00EC0030" w:rsidRDefault="00F95FAE">
      <w:pPr>
        <w:numPr>
          <w:ilvl w:val="0"/>
          <w:numId w:val="2"/>
        </w:numPr>
        <w:pBdr>
          <w:top w:val="nil"/>
          <w:left w:val="nil"/>
          <w:bottom w:val="nil"/>
          <w:right w:val="nil"/>
          <w:between w:val="nil"/>
        </w:pBdr>
        <w:tabs>
          <w:tab w:val="left" w:pos="0"/>
        </w:tabs>
        <w:spacing w:line="360" w:lineRule="auto"/>
        <w:ind w:left="0" w:right="-787" w:firstLine="0"/>
        <w:jc w:val="both"/>
        <w:rPr>
          <w:color w:val="000000"/>
        </w:rPr>
      </w:pPr>
      <w:r w:rsidRPr="00EC0030">
        <w:rPr>
          <w:rFonts w:ascii="Palatino Linotype" w:eastAsia="Palatino Linotype" w:hAnsi="Palatino Linotype" w:cs="Palatino Linotype"/>
          <w:color w:val="000000"/>
        </w:rPr>
        <w:lastRenderedPageBreak/>
        <w:t>El</w:t>
      </w:r>
      <w:r w:rsidRPr="00EC0030">
        <w:rPr>
          <w:rFonts w:ascii="Palatino Linotype" w:eastAsia="Palatino Linotype" w:hAnsi="Palatino Linotype" w:cs="Palatino Linotype"/>
          <w:b/>
          <w:color w:val="000000"/>
        </w:rPr>
        <w:t xml:space="preserve"> veinte de diciembre de dos mil veinticuatro</w:t>
      </w:r>
      <w:r w:rsidRPr="00EC0030">
        <w:rPr>
          <w:rFonts w:ascii="Palatino Linotype" w:eastAsia="Palatino Linotype" w:hAnsi="Palatino Linotype" w:cs="Palatino Linotype"/>
          <w:color w:val="000000"/>
        </w:rPr>
        <w:t>, el Sujeto Obligado</w:t>
      </w:r>
      <w:r w:rsidRPr="00EC0030">
        <w:rPr>
          <w:rFonts w:ascii="Palatino Linotype" w:eastAsia="Palatino Linotype" w:hAnsi="Palatino Linotype" w:cs="Palatino Linotype"/>
          <w:b/>
          <w:color w:val="000000"/>
        </w:rPr>
        <w:t>,</w:t>
      </w:r>
      <w:r w:rsidRPr="00EC0030">
        <w:rPr>
          <w:rFonts w:ascii="Palatino Linotype" w:eastAsia="Palatino Linotype" w:hAnsi="Palatino Linotype" w:cs="Palatino Linotype"/>
          <w:color w:val="000000"/>
        </w:rPr>
        <w:t xml:space="preserve"> dio respuesta a través de los siguientes archivos electrónicos</w:t>
      </w:r>
      <w:r w:rsidRPr="00EC0030">
        <w:rPr>
          <w:rFonts w:ascii="Palatino Linotype" w:eastAsia="Palatino Linotype" w:hAnsi="Palatino Linotype" w:cs="Palatino Linotype"/>
          <w:b/>
          <w:i/>
          <w:color w:val="000000"/>
        </w:rPr>
        <w:t>:</w:t>
      </w:r>
    </w:p>
    <w:p w:rsidR="0012751D" w:rsidRPr="00EC0030" w:rsidRDefault="0012751D">
      <w:pPr>
        <w:pBdr>
          <w:top w:val="nil"/>
          <w:left w:val="nil"/>
          <w:bottom w:val="nil"/>
          <w:right w:val="nil"/>
          <w:between w:val="nil"/>
        </w:pBdr>
        <w:tabs>
          <w:tab w:val="left" w:pos="0"/>
        </w:tabs>
        <w:ind w:right="-787"/>
        <w:jc w:val="both"/>
        <w:rPr>
          <w:rFonts w:ascii="Palatino Linotype" w:eastAsia="Palatino Linotype" w:hAnsi="Palatino Linotype" w:cs="Palatino Linotype"/>
          <w:i/>
          <w:color w:val="000000"/>
        </w:rPr>
      </w:pPr>
    </w:p>
    <w:tbl>
      <w:tblPr>
        <w:tblStyle w:val="a4"/>
        <w:tblW w:w="9675" w:type="dxa"/>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400" w:firstRow="0" w:lastRow="0" w:firstColumn="0" w:lastColumn="0" w:noHBand="0" w:noVBand="1"/>
      </w:tblPr>
      <w:tblGrid>
        <w:gridCol w:w="2235"/>
        <w:gridCol w:w="7440"/>
      </w:tblGrid>
      <w:tr w:rsidR="0012751D" w:rsidRPr="00EC0030">
        <w:tc>
          <w:tcPr>
            <w:tcW w:w="2235" w:type="dxa"/>
            <w:shd w:val="clear" w:color="auto" w:fill="D9D9D9"/>
            <w:vAlign w:val="center"/>
          </w:tcPr>
          <w:p w:rsidR="0012751D" w:rsidRPr="00EC0030" w:rsidRDefault="00F95FAE">
            <w:pPr>
              <w:ind w:right="-100"/>
              <w:jc w:val="center"/>
              <w:rPr>
                <w:rFonts w:ascii="Palatino Linotype" w:eastAsia="Palatino Linotype" w:hAnsi="Palatino Linotype" w:cs="Palatino Linotype"/>
                <w:b/>
                <w:sz w:val="22"/>
                <w:szCs w:val="22"/>
              </w:rPr>
            </w:pPr>
            <w:r w:rsidRPr="00EC0030">
              <w:rPr>
                <w:rFonts w:ascii="Palatino Linotype" w:eastAsia="Palatino Linotype" w:hAnsi="Palatino Linotype" w:cs="Palatino Linotype"/>
                <w:b/>
                <w:sz w:val="22"/>
                <w:szCs w:val="22"/>
              </w:rPr>
              <w:t>Número de solicitud</w:t>
            </w:r>
          </w:p>
        </w:tc>
        <w:tc>
          <w:tcPr>
            <w:tcW w:w="7440" w:type="dxa"/>
            <w:shd w:val="clear" w:color="auto" w:fill="D9D9D9"/>
            <w:vAlign w:val="center"/>
          </w:tcPr>
          <w:p w:rsidR="0012751D" w:rsidRPr="00EC0030" w:rsidRDefault="00F95FAE">
            <w:pPr>
              <w:ind w:right="-100"/>
              <w:jc w:val="center"/>
              <w:rPr>
                <w:rFonts w:ascii="Palatino Linotype" w:eastAsia="Palatino Linotype" w:hAnsi="Palatino Linotype" w:cs="Palatino Linotype"/>
                <w:b/>
                <w:sz w:val="22"/>
                <w:szCs w:val="22"/>
              </w:rPr>
            </w:pPr>
            <w:r w:rsidRPr="00EC0030">
              <w:rPr>
                <w:rFonts w:ascii="Palatino Linotype" w:eastAsia="Palatino Linotype" w:hAnsi="Palatino Linotype" w:cs="Palatino Linotype"/>
                <w:b/>
                <w:sz w:val="22"/>
                <w:szCs w:val="22"/>
              </w:rPr>
              <w:t>Respuesta</w:t>
            </w:r>
          </w:p>
        </w:tc>
      </w:tr>
      <w:tr w:rsidR="0012751D" w:rsidRPr="00EC0030">
        <w:tc>
          <w:tcPr>
            <w:tcW w:w="2235" w:type="dxa"/>
            <w:vAlign w:val="center"/>
          </w:tcPr>
          <w:p w:rsidR="0012751D" w:rsidRPr="00EC0030" w:rsidRDefault="00F95FAE">
            <w:pPr>
              <w:ind w:right="-100"/>
              <w:jc w:val="center"/>
              <w:rPr>
                <w:rFonts w:ascii="Palatino Linotype" w:eastAsia="Palatino Linotype" w:hAnsi="Palatino Linotype" w:cs="Palatino Linotype"/>
                <w:b/>
                <w:sz w:val="22"/>
                <w:szCs w:val="22"/>
              </w:rPr>
            </w:pPr>
            <w:r w:rsidRPr="00EC0030">
              <w:rPr>
                <w:rFonts w:ascii="Palatino Linotype" w:eastAsia="Palatino Linotype" w:hAnsi="Palatino Linotype" w:cs="Palatino Linotype"/>
                <w:b/>
                <w:sz w:val="22"/>
                <w:szCs w:val="22"/>
              </w:rPr>
              <w:t>00544/IXTASAL/</w:t>
            </w:r>
          </w:p>
          <w:p w:rsidR="0012751D" w:rsidRPr="00EC0030" w:rsidRDefault="00F95FAE">
            <w:pPr>
              <w:ind w:right="-100"/>
              <w:jc w:val="center"/>
              <w:rPr>
                <w:rFonts w:ascii="Palatino Linotype" w:eastAsia="Palatino Linotype" w:hAnsi="Palatino Linotype" w:cs="Palatino Linotype"/>
                <w:b/>
                <w:sz w:val="22"/>
                <w:szCs w:val="22"/>
              </w:rPr>
            </w:pPr>
            <w:r w:rsidRPr="00EC0030">
              <w:rPr>
                <w:rFonts w:ascii="Palatino Linotype" w:eastAsia="Palatino Linotype" w:hAnsi="Palatino Linotype" w:cs="Palatino Linotype"/>
                <w:b/>
                <w:sz w:val="22"/>
                <w:szCs w:val="22"/>
              </w:rPr>
              <w:t>IP/2024</w:t>
            </w:r>
          </w:p>
        </w:tc>
        <w:tc>
          <w:tcPr>
            <w:tcW w:w="7440" w:type="dxa"/>
          </w:tcPr>
          <w:p w:rsidR="0012751D" w:rsidRPr="00EC0030" w:rsidRDefault="00F95FAE">
            <w:pPr>
              <w:ind w:right="-100"/>
              <w:jc w:val="both"/>
              <w:rPr>
                <w:rFonts w:ascii="Palatino Linotype" w:eastAsia="Palatino Linotype" w:hAnsi="Palatino Linotype" w:cs="Palatino Linotype"/>
                <w:b/>
                <w:i/>
                <w:sz w:val="22"/>
                <w:szCs w:val="22"/>
              </w:rPr>
            </w:pPr>
            <w:r w:rsidRPr="00EC0030">
              <w:rPr>
                <w:rFonts w:ascii="Palatino Linotype" w:eastAsia="Palatino Linotype" w:hAnsi="Palatino Linotype" w:cs="Palatino Linotype"/>
                <w:b/>
                <w:i/>
                <w:sz w:val="22"/>
                <w:szCs w:val="22"/>
              </w:rPr>
              <w:t>1. Contestacion Presidencia 544.pdf</w:t>
            </w:r>
          </w:p>
          <w:p w:rsidR="0012751D" w:rsidRPr="00EC0030" w:rsidRDefault="00F95FAE">
            <w:pPr>
              <w:ind w:right="-100"/>
              <w:jc w:val="both"/>
              <w:rPr>
                <w:rFonts w:ascii="Palatino Linotype" w:eastAsia="Palatino Linotype" w:hAnsi="Palatino Linotype" w:cs="Palatino Linotype"/>
                <w:sz w:val="22"/>
                <w:szCs w:val="22"/>
              </w:rPr>
            </w:pPr>
            <w:r w:rsidRPr="00EC0030">
              <w:rPr>
                <w:rFonts w:ascii="Palatino Linotype" w:eastAsia="Palatino Linotype" w:hAnsi="Palatino Linotype" w:cs="Palatino Linotype"/>
                <w:sz w:val="22"/>
                <w:szCs w:val="22"/>
              </w:rPr>
              <w:t>Oficio PM/IXT/550/2024 de fecha 19 de diciembre de 2024 firmado por el Presidente Municipal de Ixtapan de la Sal, en el que adjunta la información solicitada, manifestando que los mismos tienen datos personales por lo que se requiere la protección de los mismos.</w:t>
            </w:r>
          </w:p>
          <w:p w:rsidR="0012751D" w:rsidRPr="00EC0030" w:rsidRDefault="0012751D">
            <w:pPr>
              <w:ind w:right="-100"/>
              <w:jc w:val="both"/>
              <w:rPr>
                <w:rFonts w:ascii="Palatino Linotype" w:eastAsia="Palatino Linotype" w:hAnsi="Palatino Linotype" w:cs="Palatino Linotype"/>
                <w:sz w:val="22"/>
                <w:szCs w:val="22"/>
              </w:rPr>
            </w:pPr>
          </w:p>
          <w:p w:rsidR="0012751D" w:rsidRPr="00EC0030" w:rsidRDefault="00F95FAE">
            <w:pPr>
              <w:ind w:right="-100"/>
              <w:jc w:val="both"/>
              <w:rPr>
                <w:rFonts w:ascii="Palatino Linotype" w:eastAsia="Palatino Linotype" w:hAnsi="Palatino Linotype" w:cs="Palatino Linotype"/>
                <w:b/>
                <w:i/>
                <w:sz w:val="22"/>
                <w:szCs w:val="22"/>
              </w:rPr>
            </w:pPr>
            <w:r w:rsidRPr="00EC0030">
              <w:rPr>
                <w:rFonts w:ascii="Palatino Linotype" w:eastAsia="Palatino Linotype" w:hAnsi="Palatino Linotype" w:cs="Palatino Linotype"/>
                <w:b/>
                <w:i/>
                <w:sz w:val="22"/>
                <w:szCs w:val="22"/>
              </w:rPr>
              <w:t>1.1 OFICIOS PRESIDENCIA 2024_redacted.pdf</w:t>
            </w:r>
          </w:p>
          <w:p w:rsidR="0012751D" w:rsidRPr="00EC0030" w:rsidRDefault="00F95FAE">
            <w:pPr>
              <w:ind w:right="-100"/>
              <w:jc w:val="both"/>
              <w:rPr>
                <w:rFonts w:ascii="Palatino Linotype" w:eastAsia="Palatino Linotype" w:hAnsi="Palatino Linotype" w:cs="Palatino Linotype"/>
                <w:sz w:val="22"/>
                <w:szCs w:val="22"/>
              </w:rPr>
            </w:pPr>
            <w:r w:rsidRPr="00EC0030">
              <w:rPr>
                <w:rFonts w:ascii="Palatino Linotype" w:eastAsia="Palatino Linotype" w:hAnsi="Palatino Linotype" w:cs="Palatino Linotype"/>
                <w:sz w:val="22"/>
                <w:szCs w:val="22"/>
              </w:rPr>
              <w:t>Documento que contiene 63 oficios.</w:t>
            </w:r>
          </w:p>
          <w:p w:rsidR="0012751D" w:rsidRPr="00EC0030" w:rsidRDefault="0012751D">
            <w:pPr>
              <w:ind w:right="-100"/>
              <w:jc w:val="both"/>
              <w:rPr>
                <w:rFonts w:ascii="Palatino Linotype" w:eastAsia="Palatino Linotype" w:hAnsi="Palatino Linotype" w:cs="Palatino Linotype"/>
                <w:b/>
                <w:i/>
                <w:sz w:val="22"/>
                <w:szCs w:val="22"/>
              </w:rPr>
            </w:pPr>
          </w:p>
          <w:p w:rsidR="0012751D" w:rsidRPr="00EC0030" w:rsidRDefault="00F95FAE">
            <w:pPr>
              <w:ind w:right="-100"/>
              <w:jc w:val="both"/>
              <w:rPr>
                <w:rFonts w:ascii="Palatino Linotype" w:eastAsia="Palatino Linotype" w:hAnsi="Palatino Linotype" w:cs="Palatino Linotype"/>
                <w:b/>
                <w:i/>
                <w:sz w:val="22"/>
                <w:szCs w:val="22"/>
              </w:rPr>
            </w:pPr>
            <w:r w:rsidRPr="00EC0030">
              <w:rPr>
                <w:rFonts w:ascii="Palatino Linotype" w:eastAsia="Palatino Linotype" w:hAnsi="Palatino Linotype" w:cs="Palatino Linotype"/>
                <w:b/>
                <w:i/>
                <w:sz w:val="22"/>
                <w:szCs w:val="22"/>
              </w:rPr>
              <w:t>Acta 44ta Sesion Ext Comite de Transp VP SOL Admon, Turismo, Contraloria, DIF, Obras Pub, Contraloria y Juridico.pdf</w:t>
            </w:r>
          </w:p>
          <w:p w:rsidR="0012751D" w:rsidRPr="00EC0030" w:rsidRDefault="00F95FAE">
            <w:pPr>
              <w:ind w:right="-100"/>
              <w:jc w:val="both"/>
              <w:rPr>
                <w:rFonts w:ascii="Palatino Linotype" w:eastAsia="Palatino Linotype" w:hAnsi="Palatino Linotype" w:cs="Palatino Linotype"/>
                <w:sz w:val="22"/>
                <w:szCs w:val="22"/>
              </w:rPr>
            </w:pPr>
            <w:r w:rsidRPr="00EC0030">
              <w:rPr>
                <w:rFonts w:ascii="Palatino Linotype" w:eastAsia="Palatino Linotype" w:hAnsi="Palatino Linotype" w:cs="Palatino Linotype"/>
                <w:sz w:val="22"/>
                <w:szCs w:val="22"/>
              </w:rPr>
              <w:t>Acta número IXTASAL/044/SE/2024 del Comité de transparencia en cuyo punto 12 del orden de día se analizará y en su caso aprobará la clasificación de información como confidencial al contener datos personales de la solicitud que nos ocupa.</w:t>
            </w:r>
          </w:p>
          <w:p w:rsidR="0012751D" w:rsidRPr="00EC0030" w:rsidRDefault="0012751D">
            <w:pPr>
              <w:ind w:right="-100"/>
              <w:jc w:val="both"/>
              <w:rPr>
                <w:rFonts w:ascii="Palatino Linotype" w:eastAsia="Palatino Linotype" w:hAnsi="Palatino Linotype" w:cs="Palatino Linotype"/>
                <w:sz w:val="22"/>
                <w:szCs w:val="22"/>
              </w:rPr>
            </w:pPr>
          </w:p>
          <w:p w:rsidR="0012751D" w:rsidRPr="00EC0030" w:rsidRDefault="00F95FAE">
            <w:pPr>
              <w:ind w:right="-100"/>
              <w:jc w:val="both"/>
              <w:rPr>
                <w:rFonts w:ascii="Palatino Linotype" w:eastAsia="Palatino Linotype" w:hAnsi="Palatino Linotype" w:cs="Palatino Linotype"/>
                <w:sz w:val="22"/>
                <w:szCs w:val="22"/>
              </w:rPr>
            </w:pPr>
            <w:r w:rsidRPr="00EC0030">
              <w:rPr>
                <w:rFonts w:ascii="Palatino Linotype" w:eastAsia="Palatino Linotype" w:hAnsi="Palatino Linotype" w:cs="Palatino Linotype"/>
                <w:sz w:val="22"/>
                <w:szCs w:val="22"/>
              </w:rPr>
              <w:t>Señalando datos confidenciales consistentes en nombre de ciudadanos, domicilio particular, teléfono particular, correo electrónico y credencial de elector.</w:t>
            </w:r>
          </w:p>
          <w:p w:rsidR="0012751D" w:rsidRPr="00EC0030" w:rsidRDefault="0012751D">
            <w:pPr>
              <w:ind w:right="-100"/>
              <w:jc w:val="both"/>
              <w:rPr>
                <w:rFonts w:ascii="Palatino Linotype" w:eastAsia="Palatino Linotype" w:hAnsi="Palatino Linotype" w:cs="Palatino Linotype"/>
                <w:sz w:val="22"/>
                <w:szCs w:val="22"/>
              </w:rPr>
            </w:pPr>
          </w:p>
          <w:p w:rsidR="0012751D" w:rsidRPr="00EC0030" w:rsidRDefault="00F95FAE">
            <w:pPr>
              <w:ind w:right="-100"/>
              <w:jc w:val="both"/>
              <w:rPr>
                <w:rFonts w:ascii="Palatino Linotype" w:eastAsia="Palatino Linotype" w:hAnsi="Palatino Linotype" w:cs="Palatino Linotype"/>
                <w:sz w:val="22"/>
                <w:szCs w:val="22"/>
              </w:rPr>
            </w:pPr>
            <w:r w:rsidRPr="00EC0030">
              <w:rPr>
                <w:rFonts w:ascii="Palatino Linotype" w:eastAsia="Palatino Linotype" w:hAnsi="Palatino Linotype" w:cs="Palatino Linotype"/>
                <w:sz w:val="22"/>
                <w:szCs w:val="22"/>
              </w:rPr>
              <w:t xml:space="preserve">Por lo anterior, en acuerdo 11/SE/044/CT/2024 se aprueba la clasificación de información como confidencial de los datos personales señalados en los oficios enviados y recibidos por la presidencia municipal requeridos en la solicitud de información de referencia. </w:t>
            </w:r>
          </w:p>
        </w:tc>
      </w:tr>
      <w:tr w:rsidR="0012751D" w:rsidRPr="00EC0030">
        <w:tc>
          <w:tcPr>
            <w:tcW w:w="2235" w:type="dxa"/>
            <w:vAlign w:val="center"/>
          </w:tcPr>
          <w:p w:rsidR="0012751D" w:rsidRPr="00EC0030" w:rsidRDefault="00F95FAE">
            <w:pPr>
              <w:ind w:right="-100"/>
              <w:jc w:val="center"/>
              <w:rPr>
                <w:rFonts w:ascii="Palatino Linotype" w:eastAsia="Palatino Linotype" w:hAnsi="Palatino Linotype" w:cs="Palatino Linotype"/>
                <w:b/>
                <w:sz w:val="22"/>
                <w:szCs w:val="22"/>
              </w:rPr>
            </w:pPr>
            <w:r w:rsidRPr="00EC0030">
              <w:rPr>
                <w:rFonts w:ascii="Palatino Linotype" w:eastAsia="Palatino Linotype" w:hAnsi="Palatino Linotype" w:cs="Palatino Linotype"/>
                <w:b/>
                <w:sz w:val="22"/>
                <w:szCs w:val="22"/>
              </w:rPr>
              <w:t>00537/IXTASAL/</w:t>
            </w:r>
          </w:p>
          <w:p w:rsidR="0012751D" w:rsidRPr="00EC0030" w:rsidRDefault="00F95FAE">
            <w:pPr>
              <w:ind w:right="-100"/>
              <w:jc w:val="center"/>
              <w:rPr>
                <w:rFonts w:ascii="Palatino Linotype" w:eastAsia="Palatino Linotype" w:hAnsi="Palatino Linotype" w:cs="Palatino Linotype"/>
                <w:b/>
                <w:sz w:val="22"/>
                <w:szCs w:val="22"/>
              </w:rPr>
            </w:pPr>
            <w:r w:rsidRPr="00EC0030">
              <w:rPr>
                <w:rFonts w:ascii="Palatino Linotype" w:eastAsia="Palatino Linotype" w:hAnsi="Palatino Linotype" w:cs="Palatino Linotype"/>
                <w:b/>
                <w:sz w:val="22"/>
                <w:szCs w:val="22"/>
              </w:rPr>
              <w:t>IP/2024</w:t>
            </w:r>
          </w:p>
        </w:tc>
        <w:tc>
          <w:tcPr>
            <w:tcW w:w="7440" w:type="dxa"/>
          </w:tcPr>
          <w:p w:rsidR="0012751D" w:rsidRPr="00EC0030" w:rsidRDefault="00F95FAE">
            <w:pPr>
              <w:ind w:right="-100"/>
              <w:jc w:val="both"/>
              <w:rPr>
                <w:rFonts w:ascii="Palatino Linotype" w:eastAsia="Palatino Linotype" w:hAnsi="Palatino Linotype" w:cs="Palatino Linotype"/>
                <w:b/>
                <w:i/>
                <w:sz w:val="22"/>
                <w:szCs w:val="22"/>
              </w:rPr>
            </w:pPr>
            <w:r w:rsidRPr="00EC0030">
              <w:rPr>
                <w:rFonts w:ascii="Palatino Linotype" w:eastAsia="Palatino Linotype" w:hAnsi="Palatino Linotype" w:cs="Palatino Linotype"/>
                <w:b/>
                <w:i/>
                <w:sz w:val="22"/>
                <w:szCs w:val="22"/>
              </w:rPr>
              <w:t>1. Contestacion Presidencia 537.pdf</w:t>
            </w:r>
          </w:p>
          <w:p w:rsidR="0012751D" w:rsidRPr="00EC0030" w:rsidRDefault="00F95FAE">
            <w:pPr>
              <w:ind w:right="-100"/>
              <w:jc w:val="both"/>
              <w:rPr>
                <w:rFonts w:ascii="Palatino Linotype" w:eastAsia="Palatino Linotype" w:hAnsi="Palatino Linotype" w:cs="Palatino Linotype"/>
                <w:sz w:val="22"/>
                <w:szCs w:val="22"/>
              </w:rPr>
            </w:pPr>
            <w:r w:rsidRPr="00EC0030">
              <w:rPr>
                <w:rFonts w:ascii="Palatino Linotype" w:eastAsia="Palatino Linotype" w:hAnsi="Palatino Linotype" w:cs="Palatino Linotype"/>
                <w:sz w:val="22"/>
                <w:szCs w:val="22"/>
              </w:rPr>
              <w:t>Oficio PM/IXT/551/2024 de fecha 19 de diciembre de 2024 firmado por el Presidente Municipal de Ixtapan de la Sal, en el que adjunta la información solicitada, manifestando que los mismos tienen datos personales por lo que se requiere la protección de los mismos.</w:t>
            </w:r>
          </w:p>
          <w:p w:rsidR="0012751D" w:rsidRPr="00EC0030" w:rsidRDefault="0012751D">
            <w:pPr>
              <w:ind w:right="-100"/>
              <w:jc w:val="both"/>
              <w:rPr>
                <w:rFonts w:ascii="Palatino Linotype" w:eastAsia="Palatino Linotype" w:hAnsi="Palatino Linotype" w:cs="Palatino Linotype"/>
                <w:b/>
                <w:i/>
                <w:sz w:val="22"/>
                <w:szCs w:val="22"/>
              </w:rPr>
            </w:pPr>
          </w:p>
          <w:p w:rsidR="0012751D" w:rsidRPr="00EC0030" w:rsidRDefault="00F95FAE">
            <w:pPr>
              <w:ind w:right="-100"/>
              <w:jc w:val="both"/>
              <w:rPr>
                <w:rFonts w:ascii="Palatino Linotype" w:eastAsia="Palatino Linotype" w:hAnsi="Palatino Linotype" w:cs="Palatino Linotype"/>
                <w:b/>
                <w:i/>
                <w:sz w:val="22"/>
                <w:szCs w:val="22"/>
              </w:rPr>
            </w:pPr>
            <w:r w:rsidRPr="00EC0030">
              <w:rPr>
                <w:rFonts w:ascii="Palatino Linotype" w:eastAsia="Palatino Linotype" w:hAnsi="Palatino Linotype" w:cs="Palatino Linotype"/>
                <w:b/>
                <w:i/>
                <w:sz w:val="22"/>
                <w:szCs w:val="22"/>
              </w:rPr>
              <w:t>1.1 OFICIOS PRESIDENCIA 2023_Censurado.pdf</w:t>
            </w:r>
          </w:p>
          <w:p w:rsidR="0012751D" w:rsidRPr="00EC0030" w:rsidRDefault="00F95FAE">
            <w:pPr>
              <w:ind w:right="-100"/>
              <w:jc w:val="both"/>
              <w:rPr>
                <w:rFonts w:ascii="Palatino Linotype" w:eastAsia="Palatino Linotype" w:hAnsi="Palatino Linotype" w:cs="Palatino Linotype"/>
                <w:sz w:val="22"/>
                <w:szCs w:val="22"/>
              </w:rPr>
            </w:pPr>
            <w:r w:rsidRPr="00EC0030">
              <w:rPr>
                <w:rFonts w:ascii="Palatino Linotype" w:eastAsia="Palatino Linotype" w:hAnsi="Palatino Linotype" w:cs="Palatino Linotype"/>
                <w:sz w:val="22"/>
                <w:szCs w:val="22"/>
              </w:rPr>
              <w:t>Documento que contiene 79 oficios.</w:t>
            </w:r>
          </w:p>
          <w:p w:rsidR="0012751D" w:rsidRPr="00EC0030" w:rsidRDefault="0012751D">
            <w:pPr>
              <w:ind w:right="-100"/>
              <w:jc w:val="both"/>
              <w:rPr>
                <w:rFonts w:ascii="Palatino Linotype" w:eastAsia="Palatino Linotype" w:hAnsi="Palatino Linotype" w:cs="Palatino Linotype"/>
                <w:b/>
                <w:i/>
                <w:sz w:val="22"/>
                <w:szCs w:val="22"/>
              </w:rPr>
            </w:pPr>
          </w:p>
          <w:p w:rsidR="0012751D" w:rsidRPr="00EC0030" w:rsidRDefault="00F95FAE">
            <w:pPr>
              <w:ind w:right="-100"/>
              <w:jc w:val="both"/>
              <w:rPr>
                <w:rFonts w:ascii="Palatino Linotype" w:eastAsia="Palatino Linotype" w:hAnsi="Palatino Linotype" w:cs="Palatino Linotype"/>
                <w:b/>
                <w:i/>
                <w:sz w:val="22"/>
                <w:szCs w:val="22"/>
              </w:rPr>
            </w:pPr>
            <w:r w:rsidRPr="00EC0030">
              <w:rPr>
                <w:rFonts w:ascii="Palatino Linotype" w:eastAsia="Palatino Linotype" w:hAnsi="Palatino Linotype" w:cs="Palatino Linotype"/>
                <w:b/>
                <w:i/>
                <w:sz w:val="22"/>
                <w:szCs w:val="22"/>
              </w:rPr>
              <w:lastRenderedPageBreak/>
              <w:t>Acta 44ta Sesion Ext Comite de Transp VP SOL Admon, Turismo, Contraloria, DIF, Obras Pub, Contraloria y Juridico.pdf</w:t>
            </w:r>
          </w:p>
          <w:p w:rsidR="0012751D" w:rsidRPr="00EC0030" w:rsidRDefault="00F95FAE">
            <w:pPr>
              <w:ind w:right="-100"/>
              <w:jc w:val="both"/>
              <w:rPr>
                <w:rFonts w:ascii="Palatino Linotype" w:eastAsia="Palatino Linotype" w:hAnsi="Palatino Linotype" w:cs="Palatino Linotype"/>
                <w:sz w:val="22"/>
                <w:szCs w:val="22"/>
              </w:rPr>
            </w:pPr>
            <w:r w:rsidRPr="00EC0030">
              <w:rPr>
                <w:rFonts w:ascii="Palatino Linotype" w:eastAsia="Palatino Linotype" w:hAnsi="Palatino Linotype" w:cs="Palatino Linotype"/>
                <w:sz w:val="22"/>
                <w:szCs w:val="22"/>
              </w:rPr>
              <w:t>Acta número IXTASAL/044/SE/2024 del Comité de transparencia en cuyo punto 12 del orden de día se analizará y en su caso aprobará la clasificación de información como confidencial al contener datos personales de la solicitud que nos ocupa.</w:t>
            </w:r>
          </w:p>
          <w:p w:rsidR="0012751D" w:rsidRPr="00EC0030" w:rsidRDefault="0012751D">
            <w:pPr>
              <w:ind w:right="-100"/>
              <w:jc w:val="both"/>
              <w:rPr>
                <w:rFonts w:ascii="Palatino Linotype" w:eastAsia="Palatino Linotype" w:hAnsi="Palatino Linotype" w:cs="Palatino Linotype"/>
                <w:sz w:val="22"/>
                <w:szCs w:val="22"/>
              </w:rPr>
            </w:pPr>
          </w:p>
          <w:p w:rsidR="0012751D" w:rsidRPr="00EC0030" w:rsidRDefault="00F95FAE">
            <w:pPr>
              <w:ind w:right="-100"/>
              <w:jc w:val="both"/>
              <w:rPr>
                <w:rFonts w:ascii="Palatino Linotype" w:eastAsia="Palatino Linotype" w:hAnsi="Palatino Linotype" w:cs="Palatino Linotype"/>
                <w:sz w:val="22"/>
                <w:szCs w:val="22"/>
              </w:rPr>
            </w:pPr>
            <w:r w:rsidRPr="00EC0030">
              <w:rPr>
                <w:rFonts w:ascii="Palatino Linotype" w:eastAsia="Palatino Linotype" w:hAnsi="Palatino Linotype" w:cs="Palatino Linotype"/>
                <w:sz w:val="22"/>
                <w:szCs w:val="22"/>
              </w:rPr>
              <w:t>Señalando datos confidenciales consistentes en nombre de ciudadanos, domicilio particular, teléfono particular, correo electrónico y credencial de elector.</w:t>
            </w:r>
          </w:p>
          <w:p w:rsidR="0012751D" w:rsidRPr="00EC0030" w:rsidRDefault="0012751D">
            <w:pPr>
              <w:ind w:right="-100"/>
              <w:jc w:val="both"/>
              <w:rPr>
                <w:rFonts w:ascii="Palatino Linotype" w:eastAsia="Palatino Linotype" w:hAnsi="Palatino Linotype" w:cs="Palatino Linotype"/>
                <w:sz w:val="22"/>
                <w:szCs w:val="22"/>
              </w:rPr>
            </w:pPr>
          </w:p>
          <w:p w:rsidR="0012751D" w:rsidRPr="00EC0030" w:rsidRDefault="00F95FAE">
            <w:pPr>
              <w:ind w:right="-100"/>
              <w:jc w:val="both"/>
              <w:rPr>
                <w:rFonts w:ascii="Palatino Linotype" w:eastAsia="Palatino Linotype" w:hAnsi="Palatino Linotype" w:cs="Palatino Linotype"/>
                <w:sz w:val="22"/>
                <w:szCs w:val="22"/>
              </w:rPr>
            </w:pPr>
            <w:r w:rsidRPr="00EC0030">
              <w:rPr>
                <w:rFonts w:ascii="Palatino Linotype" w:eastAsia="Palatino Linotype" w:hAnsi="Palatino Linotype" w:cs="Palatino Linotype"/>
                <w:sz w:val="22"/>
                <w:szCs w:val="22"/>
              </w:rPr>
              <w:t>Por lo anterior, en acuerdo 11/SE/044/CT/2024 se aprueba la clasificación de información como confidencial de los datos personales señalados en los oficios enviados y recibidos por la presidencia municipal requeridos en la solicitud de información de referencia.</w:t>
            </w:r>
          </w:p>
        </w:tc>
      </w:tr>
    </w:tbl>
    <w:p w:rsidR="0012751D" w:rsidRPr="00EC0030" w:rsidRDefault="0012751D">
      <w:pPr>
        <w:pBdr>
          <w:top w:val="nil"/>
          <w:left w:val="nil"/>
          <w:bottom w:val="nil"/>
          <w:right w:val="nil"/>
          <w:between w:val="nil"/>
        </w:pBdr>
        <w:tabs>
          <w:tab w:val="left" w:pos="0"/>
        </w:tabs>
        <w:spacing w:line="360" w:lineRule="auto"/>
        <w:ind w:right="-787"/>
        <w:jc w:val="both"/>
        <w:rPr>
          <w:rFonts w:ascii="Palatino Linotype" w:eastAsia="Palatino Linotype" w:hAnsi="Palatino Linotype" w:cs="Palatino Linotype"/>
          <w:i/>
          <w:color w:val="000000"/>
          <w:u w:val="single"/>
        </w:rPr>
      </w:pPr>
    </w:p>
    <w:p w:rsidR="0012751D" w:rsidRPr="00EC0030" w:rsidRDefault="00F95FAE">
      <w:pPr>
        <w:numPr>
          <w:ilvl w:val="0"/>
          <w:numId w:val="2"/>
        </w:numPr>
        <w:pBdr>
          <w:top w:val="nil"/>
          <w:left w:val="nil"/>
          <w:bottom w:val="nil"/>
          <w:right w:val="nil"/>
          <w:between w:val="nil"/>
        </w:pBdr>
        <w:tabs>
          <w:tab w:val="left" w:pos="0"/>
        </w:tabs>
        <w:spacing w:line="360" w:lineRule="auto"/>
        <w:ind w:left="0" w:right="-787" w:firstLine="0"/>
        <w:jc w:val="both"/>
        <w:rPr>
          <w:color w:val="000000"/>
        </w:rPr>
      </w:pPr>
      <w:r w:rsidRPr="00EC0030">
        <w:rPr>
          <w:rFonts w:ascii="Palatino Linotype" w:eastAsia="Palatino Linotype" w:hAnsi="Palatino Linotype" w:cs="Palatino Linotype"/>
          <w:color w:val="000000"/>
        </w:rPr>
        <w:t>El</w:t>
      </w:r>
      <w:r w:rsidRPr="00EC0030">
        <w:rPr>
          <w:rFonts w:ascii="Palatino Linotype" w:eastAsia="Palatino Linotype" w:hAnsi="Palatino Linotype" w:cs="Palatino Linotype"/>
          <w:b/>
          <w:color w:val="000000"/>
        </w:rPr>
        <w:t xml:space="preserve"> veintisiete y veintiocho de enero de dos mil veinticinco</w:t>
      </w:r>
      <w:r w:rsidRPr="00EC0030">
        <w:rPr>
          <w:rFonts w:ascii="Palatino Linotype" w:eastAsia="Palatino Linotype" w:hAnsi="Palatino Linotype" w:cs="Palatino Linotype"/>
          <w:color w:val="000000"/>
        </w:rPr>
        <w:t>, el particular interpuso Recursos de Revisión</w:t>
      </w:r>
      <w:r w:rsidRPr="00EC0030">
        <w:rPr>
          <w:rFonts w:ascii="Palatino Linotype" w:eastAsia="Palatino Linotype" w:hAnsi="Palatino Linotype" w:cs="Palatino Linotype"/>
          <w:b/>
          <w:color w:val="000000"/>
        </w:rPr>
        <w:t xml:space="preserve"> </w:t>
      </w:r>
      <w:r w:rsidRPr="00EC0030">
        <w:rPr>
          <w:rFonts w:ascii="Palatino Linotype" w:eastAsia="Palatino Linotype" w:hAnsi="Palatino Linotype" w:cs="Palatino Linotype"/>
          <w:color w:val="000000"/>
        </w:rPr>
        <w:t>en contra de las respuestas emitidas por el Sujeto Obligado, realizando las siguientes manifestaciones como acto impugnado y razones o motivos de inconformidad:</w:t>
      </w:r>
    </w:p>
    <w:p w:rsidR="0012751D" w:rsidRPr="00EC0030" w:rsidRDefault="0012751D">
      <w:pPr>
        <w:pBdr>
          <w:top w:val="nil"/>
          <w:left w:val="nil"/>
          <w:bottom w:val="nil"/>
          <w:right w:val="nil"/>
          <w:between w:val="nil"/>
        </w:pBdr>
        <w:tabs>
          <w:tab w:val="left" w:pos="0"/>
        </w:tabs>
        <w:spacing w:line="360" w:lineRule="auto"/>
        <w:ind w:right="-787"/>
        <w:jc w:val="both"/>
        <w:rPr>
          <w:rFonts w:ascii="Palatino Linotype" w:eastAsia="Palatino Linotype" w:hAnsi="Palatino Linotype" w:cs="Palatino Linotype"/>
          <w:color w:val="000000"/>
        </w:rPr>
      </w:pPr>
    </w:p>
    <w:tbl>
      <w:tblPr>
        <w:tblStyle w:val="a5"/>
        <w:tblW w:w="9735" w:type="dxa"/>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400" w:firstRow="0" w:lastRow="0" w:firstColumn="0" w:lastColumn="0" w:noHBand="0" w:noVBand="1"/>
      </w:tblPr>
      <w:tblGrid>
        <w:gridCol w:w="2280"/>
        <w:gridCol w:w="3660"/>
        <w:gridCol w:w="3795"/>
      </w:tblGrid>
      <w:tr w:rsidR="0012751D" w:rsidRPr="00EC0030">
        <w:tc>
          <w:tcPr>
            <w:tcW w:w="2280" w:type="dxa"/>
            <w:shd w:val="clear" w:color="auto" w:fill="D9D9D9"/>
            <w:vAlign w:val="center"/>
          </w:tcPr>
          <w:p w:rsidR="0012751D" w:rsidRPr="00EC0030" w:rsidRDefault="00F95FAE">
            <w:pPr>
              <w:ind w:right="85"/>
              <w:jc w:val="center"/>
              <w:rPr>
                <w:rFonts w:ascii="Palatino Linotype" w:eastAsia="Palatino Linotype" w:hAnsi="Palatino Linotype" w:cs="Palatino Linotype"/>
                <w:b/>
                <w:sz w:val="22"/>
                <w:szCs w:val="22"/>
              </w:rPr>
            </w:pPr>
            <w:r w:rsidRPr="00EC0030">
              <w:rPr>
                <w:rFonts w:ascii="Palatino Linotype" w:eastAsia="Palatino Linotype" w:hAnsi="Palatino Linotype" w:cs="Palatino Linotype"/>
                <w:b/>
                <w:sz w:val="22"/>
                <w:szCs w:val="22"/>
              </w:rPr>
              <w:t>Número de recurso</w:t>
            </w:r>
          </w:p>
        </w:tc>
        <w:tc>
          <w:tcPr>
            <w:tcW w:w="3660" w:type="dxa"/>
            <w:shd w:val="clear" w:color="auto" w:fill="D9D9D9"/>
            <w:vAlign w:val="center"/>
          </w:tcPr>
          <w:p w:rsidR="0012751D" w:rsidRPr="00EC0030" w:rsidRDefault="00F95FAE">
            <w:pPr>
              <w:ind w:right="85"/>
              <w:jc w:val="center"/>
              <w:rPr>
                <w:rFonts w:ascii="Palatino Linotype" w:eastAsia="Palatino Linotype" w:hAnsi="Palatino Linotype" w:cs="Palatino Linotype"/>
                <w:b/>
                <w:sz w:val="22"/>
                <w:szCs w:val="22"/>
              </w:rPr>
            </w:pPr>
            <w:r w:rsidRPr="00EC0030">
              <w:rPr>
                <w:rFonts w:ascii="Palatino Linotype" w:eastAsia="Palatino Linotype" w:hAnsi="Palatino Linotype" w:cs="Palatino Linotype"/>
                <w:b/>
                <w:sz w:val="22"/>
                <w:szCs w:val="22"/>
              </w:rPr>
              <w:t>Acto impugnado</w:t>
            </w:r>
          </w:p>
        </w:tc>
        <w:tc>
          <w:tcPr>
            <w:tcW w:w="3795" w:type="dxa"/>
            <w:shd w:val="clear" w:color="auto" w:fill="D9D9D9"/>
          </w:tcPr>
          <w:p w:rsidR="0012751D" w:rsidRPr="00EC0030" w:rsidRDefault="00F95FAE">
            <w:pPr>
              <w:ind w:right="85"/>
              <w:jc w:val="center"/>
              <w:rPr>
                <w:rFonts w:ascii="Palatino Linotype" w:eastAsia="Palatino Linotype" w:hAnsi="Palatino Linotype" w:cs="Palatino Linotype"/>
                <w:b/>
                <w:sz w:val="22"/>
                <w:szCs w:val="22"/>
              </w:rPr>
            </w:pPr>
            <w:r w:rsidRPr="00EC0030">
              <w:rPr>
                <w:rFonts w:ascii="Palatino Linotype" w:eastAsia="Palatino Linotype" w:hAnsi="Palatino Linotype" w:cs="Palatino Linotype"/>
                <w:b/>
                <w:sz w:val="22"/>
                <w:szCs w:val="22"/>
              </w:rPr>
              <w:t>Razones o motivos de inconformidad</w:t>
            </w:r>
          </w:p>
        </w:tc>
      </w:tr>
      <w:tr w:rsidR="0012751D" w:rsidRPr="00EC0030">
        <w:tc>
          <w:tcPr>
            <w:tcW w:w="2280" w:type="dxa"/>
            <w:vAlign w:val="center"/>
          </w:tcPr>
          <w:p w:rsidR="0012751D" w:rsidRPr="00EC0030" w:rsidRDefault="00F95FAE">
            <w:pPr>
              <w:ind w:right="85"/>
              <w:jc w:val="center"/>
              <w:rPr>
                <w:rFonts w:ascii="Palatino Linotype" w:eastAsia="Palatino Linotype" w:hAnsi="Palatino Linotype" w:cs="Palatino Linotype"/>
                <w:b/>
                <w:color w:val="000000"/>
                <w:sz w:val="22"/>
                <w:szCs w:val="22"/>
              </w:rPr>
            </w:pPr>
            <w:r w:rsidRPr="00EC0030">
              <w:rPr>
                <w:rFonts w:ascii="Palatino Linotype" w:eastAsia="Palatino Linotype" w:hAnsi="Palatino Linotype" w:cs="Palatino Linotype"/>
                <w:b/>
                <w:color w:val="000000"/>
                <w:sz w:val="22"/>
                <w:szCs w:val="22"/>
              </w:rPr>
              <w:t>00283/INFOEM/</w:t>
            </w:r>
          </w:p>
          <w:p w:rsidR="0012751D" w:rsidRPr="00EC0030" w:rsidRDefault="00F95FAE">
            <w:pPr>
              <w:ind w:right="85"/>
              <w:jc w:val="center"/>
              <w:rPr>
                <w:rFonts w:ascii="Palatino Linotype" w:eastAsia="Palatino Linotype" w:hAnsi="Palatino Linotype" w:cs="Palatino Linotype"/>
                <w:b/>
                <w:sz w:val="22"/>
                <w:szCs w:val="22"/>
              </w:rPr>
            </w:pPr>
            <w:r w:rsidRPr="00EC0030">
              <w:rPr>
                <w:rFonts w:ascii="Palatino Linotype" w:eastAsia="Palatino Linotype" w:hAnsi="Palatino Linotype" w:cs="Palatino Linotype"/>
                <w:b/>
                <w:color w:val="000000"/>
                <w:sz w:val="22"/>
                <w:szCs w:val="22"/>
              </w:rPr>
              <w:t>IP/RR/2025</w:t>
            </w:r>
          </w:p>
        </w:tc>
        <w:tc>
          <w:tcPr>
            <w:tcW w:w="3660" w:type="dxa"/>
          </w:tcPr>
          <w:p w:rsidR="0012751D" w:rsidRPr="00EC0030" w:rsidRDefault="00F95FAE">
            <w:pPr>
              <w:ind w:right="85"/>
              <w:jc w:val="both"/>
              <w:rPr>
                <w:rFonts w:ascii="Palatino Linotype" w:eastAsia="Palatino Linotype" w:hAnsi="Palatino Linotype" w:cs="Palatino Linotype"/>
                <w:i/>
                <w:sz w:val="22"/>
                <w:szCs w:val="22"/>
              </w:rPr>
            </w:pPr>
            <w:r w:rsidRPr="00EC0030">
              <w:rPr>
                <w:rFonts w:ascii="Palatino Linotype" w:eastAsia="Palatino Linotype" w:hAnsi="Palatino Linotype" w:cs="Palatino Linotype"/>
                <w:i/>
                <w:sz w:val="22"/>
                <w:szCs w:val="22"/>
              </w:rPr>
              <w:t>“la respuesta proporcionada” (Sic)</w:t>
            </w:r>
          </w:p>
        </w:tc>
        <w:tc>
          <w:tcPr>
            <w:tcW w:w="3795" w:type="dxa"/>
          </w:tcPr>
          <w:p w:rsidR="0012751D" w:rsidRPr="00EC0030" w:rsidRDefault="00F95FAE">
            <w:pPr>
              <w:ind w:right="85"/>
              <w:jc w:val="both"/>
              <w:rPr>
                <w:rFonts w:ascii="Palatino Linotype" w:eastAsia="Palatino Linotype" w:hAnsi="Palatino Linotype" w:cs="Palatino Linotype"/>
                <w:i/>
                <w:sz w:val="22"/>
                <w:szCs w:val="22"/>
              </w:rPr>
            </w:pPr>
            <w:r w:rsidRPr="00EC0030">
              <w:rPr>
                <w:rFonts w:ascii="Palatino Linotype" w:eastAsia="Palatino Linotype" w:hAnsi="Palatino Linotype" w:cs="Palatino Linotype"/>
                <w:i/>
                <w:sz w:val="22"/>
                <w:szCs w:val="22"/>
              </w:rPr>
              <w:t>“la respuesta proporcionada”(Sic)</w:t>
            </w:r>
          </w:p>
        </w:tc>
      </w:tr>
      <w:tr w:rsidR="0012751D" w:rsidRPr="00EC0030">
        <w:tc>
          <w:tcPr>
            <w:tcW w:w="2280" w:type="dxa"/>
            <w:vAlign w:val="center"/>
          </w:tcPr>
          <w:p w:rsidR="0012751D" w:rsidRPr="00EC0030" w:rsidRDefault="00F95FAE">
            <w:pPr>
              <w:ind w:right="85"/>
              <w:jc w:val="center"/>
              <w:rPr>
                <w:rFonts w:ascii="Palatino Linotype" w:eastAsia="Palatino Linotype" w:hAnsi="Palatino Linotype" w:cs="Palatino Linotype"/>
                <w:b/>
                <w:color w:val="000000"/>
                <w:sz w:val="22"/>
                <w:szCs w:val="22"/>
              </w:rPr>
            </w:pPr>
            <w:r w:rsidRPr="00EC0030">
              <w:rPr>
                <w:rFonts w:ascii="Palatino Linotype" w:eastAsia="Palatino Linotype" w:hAnsi="Palatino Linotype" w:cs="Palatino Linotype"/>
                <w:b/>
                <w:color w:val="000000"/>
                <w:sz w:val="22"/>
                <w:szCs w:val="22"/>
              </w:rPr>
              <w:t>00303/INFOEM/</w:t>
            </w:r>
          </w:p>
          <w:p w:rsidR="0012751D" w:rsidRPr="00EC0030" w:rsidRDefault="00F95FAE">
            <w:pPr>
              <w:ind w:right="85"/>
              <w:jc w:val="center"/>
              <w:rPr>
                <w:rFonts w:ascii="Palatino Linotype" w:eastAsia="Palatino Linotype" w:hAnsi="Palatino Linotype" w:cs="Palatino Linotype"/>
                <w:b/>
                <w:sz w:val="22"/>
                <w:szCs w:val="22"/>
              </w:rPr>
            </w:pPr>
            <w:r w:rsidRPr="00EC0030">
              <w:rPr>
                <w:rFonts w:ascii="Palatino Linotype" w:eastAsia="Palatino Linotype" w:hAnsi="Palatino Linotype" w:cs="Palatino Linotype"/>
                <w:b/>
                <w:color w:val="000000"/>
                <w:sz w:val="22"/>
                <w:szCs w:val="22"/>
              </w:rPr>
              <w:t>IP/RR/2025</w:t>
            </w:r>
          </w:p>
        </w:tc>
        <w:tc>
          <w:tcPr>
            <w:tcW w:w="3660" w:type="dxa"/>
          </w:tcPr>
          <w:p w:rsidR="0012751D" w:rsidRPr="00EC0030" w:rsidRDefault="00F95FAE">
            <w:pPr>
              <w:ind w:right="85"/>
              <w:jc w:val="both"/>
              <w:rPr>
                <w:rFonts w:ascii="Palatino Linotype" w:eastAsia="Palatino Linotype" w:hAnsi="Palatino Linotype" w:cs="Palatino Linotype"/>
                <w:i/>
                <w:sz w:val="22"/>
                <w:szCs w:val="22"/>
              </w:rPr>
            </w:pPr>
            <w:r w:rsidRPr="00EC0030">
              <w:rPr>
                <w:rFonts w:ascii="Palatino Linotype" w:eastAsia="Palatino Linotype" w:hAnsi="Palatino Linotype" w:cs="Palatino Linotype"/>
                <w:i/>
                <w:sz w:val="22"/>
                <w:szCs w:val="22"/>
              </w:rPr>
              <w:t>“información incompleta”(Sic)</w:t>
            </w:r>
          </w:p>
        </w:tc>
        <w:tc>
          <w:tcPr>
            <w:tcW w:w="3795" w:type="dxa"/>
          </w:tcPr>
          <w:p w:rsidR="0012751D" w:rsidRPr="00EC0030" w:rsidRDefault="00F95FAE">
            <w:pPr>
              <w:ind w:right="85"/>
              <w:jc w:val="both"/>
              <w:rPr>
                <w:rFonts w:ascii="Palatino Linotype" w:eastAsia="Palatino Linotype" w:hAnsi="Palatino Linotype" w:cs="Palatino Linotype"/>
                <w:i/>
                <w:sz w:val="22"/>
                <w:szCs w:val="22"/>
              </w:rPr>
            </w:pPr>
            <w:r w:rsidRPr="00EC0030">
              <w:rPr>
                <w:rFonts w:ascii="Palatino Linotype" w:eastAsia="Palatino Linotype" w:hAnsi="Palatino Linotype" w:cs="Palatino Linotype"/>
                <w:i/>
                <w:sz w:val="22"/>
                <w:szCs w:val="22"/>
              </w:rPr>
              <w:t>“información incompleta”(Sic)</w:t>
            </w:r>
          </w:p>
        </w:tc>
      </w:tr>
    </w:tbl>
    <w:p w:rsidR="0012751D" w:rsidRPr="00EC0030" w:rsidRDefault="0012751D">
      <w:pPr>
        <w:pBdr>
          <w:top w:val="nil"/>
          <w:left w:val="nil"/>
          <w:bottom w:val="nil"/>
          <w:right w:val="nil"/>
          <w:between w:val="nil"/>
        </w:pBdr>
        <w:tabs>
          <w:tab w:val="left" w:pos="0"/>
        </w:tabs>
        <w:spacing w:line="360" w:lineRule="auto"/>
        <w:ind w:right="-787"/>
        <w:jc w:val="both"/>
        <w:rPr>
          <w:rFonts w:ascii="Palatino Linotype" w:eastAsia="Palatino Linotype" w:hAnsi="Palatino Linotype" w:cs="Palatino Linotype"/>
          <w:color w:val="000000"/>
        </w:rPr>
      </w:pPr>
    </w:p>
    <w:p w:rsidR="0012751D" w:rsidRPr="00EC0030" w:rsidRDefault="0012751D">
      <w:pPr>
        <w:ind w:right="-787"/>
        <w:jc w:val="both"/>
        <w:rPr>
          <w:color w:val="000000"/>
        </w:rPr>
      </w:pPr>
    </w:p>
    <w:p w:rsidR="0012751D" w:rsidRPr="00EC0030" w:rsidRDefault="00F95FAE">
      <w:pPr>
        <w:numPr>
          <w:ilvl w:val="0"/>
          <w:numId w:val="2"/>
        </w:numPr>
        <w:pBdr>
          <w:top w:val="nil"/>
          <w:left w:val="nil"/>
          <w:bottom w:val="nil"/>
          <w:right w:val="nil"/>
          <w:between w:val="nil"/>
        </w:pBdr>
        <w:tabs>
          <w:tab w:val="left" w:pos="0"/>
        </w:tabs>
        <w:spacing w:line="360" w:lineRule="auto"/>
        <w:ind w:left="0" w:right="-787" w:firstLine="0"/>
        <w:jc w:val="both"/>
        <w:rPr>
          <w:color w:val="000000"/>
        </w:rPr>
      </w:pPr>
      <w:r w:rsidRPr="00EC0030">
        <w:rPr>
          <w:rFonts w:ascii="Palatino Linotype" w:eastAsia="Palatino Linotype" w:hAnsi="Palatino Linotype" w:cs="Palatino Linotype"/>
          <w:color w:val="000000"/>
        </w:rPr>
        <w:t xml:space="preserve">La Comisionada Ponente con fundamento en lo dispuesto por el artículo 185, fracción II, de la ley de la materia, a través de los </w:t>
      </w:r>
      <w:r w:rsidRPr="00EC0030">
        <w:rPr>
          <w:rFonts w:ascii="Palatino Linotype" w:eastAsia="Palatino Linotype" w:hAnsi="Palatino Linotype" w:cs="Palatino Linotype"/>
          <w:b/>
          <w:color w:val="000000"/>
        </w:rPr>
        <w:t xml:space="preserve">acuerdos de admisión </w:t>
      </w:r>
      <w:r w:rsidRPr="00EC0030">
        <w:rPr>
          <w:rFonts w:ascii="Palatino Linotype" w:eastAsia="Palatino Linotype" w:hAnsi="Palatino Linotype" w:cs="Palatino Linotype"/>
          <w:color w:val="000000"/>
        </w:rPr>
        <w:t xml:space="preserve">de fechas </w:t>
      </w:r>
      <w:r w:rsidRPr="00EC0030">
        <w:rPr>
          <w:rFonts w:ascii="Palatino Linotype" w:eastAsia="Palatino Linotype" w:hAnsi="Palatino Linotype" w:cs="Palatino Linotype"/>
          <w:b/>
          <w:color w:val="000000"/>
        </w:rPr>
        <w:t xml:space="preserve">treinta de enero y cuatro de febrero de dos mil veinticinco, </w:t>
      </w:r>
      <w:r w:rsidRPr="00EC0030">
        <w:rPr>
          <w:rFonts w:ascii="Palatino Linotype" w:eastAsia="Palatino Linotype" w:hAnsi="Palatino Linotype" w:cs="Palatino Linotype"/>
          <w:color w:val="000000"/>
        </w:rPr>
        <w:t xml:space="preserve">pusieron a disposición de las partes el expediente electrónico vía SAIMEX a efecto de que en un plazo máximo de siete días </w:t>
      </w:r>
      <w:r w:rsidRPr="00EC0030">
        <w:rPr>
          <w:rFonts w:ascii="Palatino Linotype" w:eastAsia="Palatino Linotype" w:hAnsi="Palatino Linotype" w:cs="Palatino Linotype"/>
        </w:rPr>
        <w:lastRenderedPageBreak/>
        <w:t>manifestara</w:t>
      </w:r>
      <w:r w:rsidRPr="00EC0030">
        <w:rPr>
          <w:rFonts w:ascii="Palatino Linotype" w:eastAsia="Palatino Linotype" w:hAnsi="Palatino Linotype" w:cs="Palatino Linotype"/>
          <w:color w:val="000000"/>
        </w:rPr>
        <w:t xml:space="preserve"> lo que a su derecho conviniera, </w:t>
      </w:r>
      <w:r w:rsidRPr="00EC0030">
        <w:rPr>
          <w:rFonts w:ascii="Palatino Linotype" w:eastAsia="Palatino Linotype" w:hAnsi="Palatino Linotype" w:cs="Palatino Linotype"/>
        </w:rPr>
        <w:t>ofreciera</w:t>
      </w:r>
      <w:r w:rsidRPr="00EC0030">
        <w:rPr>
          <w:rFonts w:ascii="Palatino Linotype" w:eastAsia="Palatino Linotype" w:hAnsi="Palatino Linotype" w:cs="Palatino Linotype"/>
          <w:color w:val="000000"/>
        </w:rPr>
        <w:t xml:space="preserve"> pruebas y alegatos según corresponda al caso concreto, de esta forma para que el </w:t>
      </w:r>
      <w:r w:rsidRPr="00EC0030">
        <w:rPr>
          <w:rFonts w:ascii="Palatino Linotype" w:eastAsia="Palatino Linotype" w:hAnsi="Palatino Linotype" w:cs="Palatino Linotype"/>
          <w:b/>
          <w:color w:val="000000"/>
        </w:rPr>
        <w:t xml:space="preserve">SUJETO OBLIGADO </w:t>
      </w:r>
      <w:r w:rsidRPr="00EC0030">
        <w:rPr>
          <w:rFonts w:ascii="Palatino Linotype" w:eastAsia="Palatino Linotype" w:hAnsi="Palatino Linotype" w:cs="Palatino Linotype"/>
        </w:rPr>
        <w:t>presentará</w:t>
      </w:r>
      <w:r w:rsidRPr="00EC0030">
        <w:rPr>
          <w:rFonts w:ascii="Palatino Linotype" w:eastAsia="Palatino Linotype" w:hAnsi="Palatino Linotype" w:cs="Palatino Linotype"/>
          <w:color w:val="000000"/>
        </w:rPr>
        <w:t xml:space="preserve"> el Informe Justificado procedente.</w:t>
      </w:r>
    </w:p>
    <w:p w:rsidR="0012751D" w:rsidRPr="00EC0030" w:rsidRDefault="0012751D">
      <w:pPr>
        <w:pBdr>
          <w:top w:val="nil"/>
          <w:left w:val="nil"/>
          <w:bottom w:val="nil"/>
          <w:right w:val="nil"/>
          <w:between w:val="nil"/>
        </w:pBdr>
        <w:tabs>
          <w:tab w:val="left" w:pos="0"/>
        </w:tabs>
        <w:spacing w:line="360" w:lineRule="auto"/>
        <w:ind w:right="-787"/>
        <w:jc w:val="both"/>
        <w:rPr>
          <w:color w:val="000000"/>
        </w:rPr>
      </w:pPr>
    </w:p>
    <w:p w:rsidR="0012751D" w:rsidRPr="00EC0030" w:rsidRDefault="00F95FAE">
      <w:pPr>
        <w:numPr>
          <w:ilvl w:val="0"/>
          <w:numId w:val="2"/>
        </w:numPr>
        <w:pBdr>
          <w:top w:val="nil"/>
          <w:left w:val="nil"/>
          <w:bottom w:val="nil"/>
          <w:right w:val="nil"/>
          <w:between w:val="nil"/>
        </w:pBdr>
        <w:spacing w:line="360" w:lineRule="auto"/>
        <w:ind w:left="0" w:right="-787" w:firstLine="0"/>
        <w:jc w:val="both"/>
        <w:rPr>
          <w:color w:val="000000"/>
        </w:rPr>
      </w:pPr>
      <w:r w:rsidRPr="00EC0030">
        <w:rPr>
          <w:rFonts w:ascii="Palatino Linotype" w:eastAsia="Palatino Linotype" w:hAnsi="Palatino Linotype" w:cs="Palatino Linotype"/>
          <w:color w:val="000000"/>
        </w:rPr>
        <w:t>El Recurrente</w:t>
      </w:r>
      <w:r w:rsidRPr="00EC0030">
        <w:rPr>
          <w:rFonts w:ascii="Palatino Linotype" w:eastAsia="Palatino Linotype" w:hAnsi="Palatino Linotype" w:cs="Palatino Linotype"/>
          <w:b/>
          <w:color w:val="000000"/>
        </w:rPr>
        <w:t xml:space="preserve"> </w:t>
      </w:r>
      <w:r w:rsidRPr="00EC0030">
        <w:rPr>
          <w:rFonts w:ascii="Palatino Linotype" w:eastAsia="Palatino Linotype" w:hAnsi="Palatino Linotype" w:cs="Palatino Linotype"/>
          <w:color w:val="000000"/>
        </w:rPr>
        <w:t>dejó de realizar manifestaciones que a su derecho conviniera y asistiera. Por su parte, el Sujeto Obligado, fue omiso en rendir los informes justificados, tal como se muestra en las siguientes capturas de pantalla:</w:t>
      </w:r>
    </w:p>
    <w:p w:rsidR="0012751D" w:rsidRPr="00EC0030" w:rsidRDefault="00F95FAE">
      <w:pPr>
        <w:pBdr>
          <w:top w:val="nil"/>
          <w:left w:val="nil"/>
          <w:bottom w:val="nil"/>
          <w:right w:val="nil"/>
          <w:between w:val="nil"/>
        </w:pBdr>
        <w:ind w:right="-787"/>
        <w:jc w:val="center"/>
        <w:rPr>
          <w:rFonts w:ascii="Palatino Linotype" w:eastAsia="Palatino Linotype" w:hAnsi="Palatino Linotype" w:cs="Palatino Linotype"/>
          <w:b/>
          <w:color w:val="000000"/>
        </w:rPr>
      </w:pPr>
      <w:r w:rsidRPr="00EC0030">
        <w:rPr>
          <w:rFonts w:ascii="Palatino Linotype" w:eastAsia="Palatino Linotype" w:hAnsi="Palatino Linotype" w:cs="Palatino Linotype"/>
          <w:b/>
          <w:noProof/>
          <w:color w:val="000000"/>
          <w:lang w:val="es-MX" w:eastAsia="es-MX"/>
        </w:rPr>
        <w:drawing>
          <wp:inline distT="0" distB="0" distL="0" distR="0">
            <wp:extent cx="4351992" cy="1153243"/>
            <wp:effectExtent l="0" t="0" r="0" b="0"/>
            <wp:docPr id="3"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4351992" cy="1153243"/>
                    </a:xfrm>
                    <a:prstGeom prst="rect">
                      <a:avLst/>
                    </a:prstGeom>
                    <a:ln/>
                  </pic:spPr>
                </pic:pic>
              </a:graphicData>
            </a:graphic>
          </wp:inline>
        </w:drawing>
      </w:r>
    </w:p>
    <w:p w:rsidR="0012751D" w:rsidRPr="00EC0030" w:rsidRDefault="00F95FAE">
      <w:pPr>
        <w:pBdr>
          <w:top w:val="nil"/>
          <w:left w:val="nil"/>
          <w:bottom w:val="nil"/>
          <w:right w:val="nil"/>
          <w:between w:val="nil"/>
        </w:pBdr>
        <w:spacing w:line="360" w:lineRule="auto"/>
        <w:ind w:right="-787"/>
        <w:jc w:val="center"/>
        <w:rPr>
          <w:rFonts w:ascii="Palatino Linotype" w:eastAsia="Palatino Linotype" w:hAnsi="Palatino Linotype" w:cs="Palatino Linotype"/>
          <w:color w:val="000000"/>
        </w:rPr>
      </w:pPr>
      <w:r w:rsidRPr="00EC0030">
        <w:rPr>
          <w:rFonts w:ascii="Palatino Linotype" w:eastAsia="Palatino Linotype" w:hAnsi="Palatino Linotype" w:cs="Palatino Linotype"/>
          <w:noProof/>
          <w:color w:val="000000"/>
          <w:lang w:val="es-MX" w:eastAsia="es-MX"/>
        </w:rPr>
        <w:drawing>
          <wp:inline distT="0" distB="0" distL="0" distR="0">
            <wp:extent cx="4373224" cy="1154912"/>
            <wp:effectExtent l="0" t="0" r="0" b="0"/>
            <wp:docPr id="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9"/>
                    <a:srcRect/>
                    <a:stretch>
                      <a:fillRect/>
                    </a:stretch>
                  </pic:blipFill>
                  <pic:spPr>
                    <a:xfrm>
                      <a:off x="0" y="0"/>
                      <a:ext cx="4373224" cy="1154912"/>
                    </a:xfrm>
                    <a:prstGeom prst="rect">
                      <a:avLst/>
                    </a:prstGeom>
                    <a:ln/>
                  </pic:spPr>
                </pic:pic>
              </a:graphicData>
            </a:graphic>
          </wp:inline>
        </w:drawing>
      </w:r>
    </w:p>
    <w:p w:rsidR="0012751D" w:rsidRPr="00EC0030" w:rsidRDefault="0012751D">
      <w:pPr>
        <w:pBdr>
          <w:top w:val="nil"/>
          <w:left w:val="nil"/>
          <w:bottom w:val="nil"/>
          <w:right w:val="nil"/>
          <w:between w:val="nil"/>
        </w:pBdr>
        <w:spacing w:line="360" w:lineRule="auto"/>
        <w:ind w:right="-787"/>
        <w:jc w:val="center"/>
        <w:rPr>
          <w:rFonts w:ascii="Palatino Linotype" w:eastAsia="Palatino Linotype" w:hAnsi="Palatino Linotype" w:cs="Palatino Linotype"/>
        </w:rPr>
      </w:pPr>
    </w:p>
    <w:p w:rsidR="0012751D" w:rsidRPr="00EC0030" w:rsidRDefault="00F95FAE">
      <w:pPr>
        <w:numPr>
          <w:ilvl w:val="0"/>
          <w:numId w:val="2"/>
        </w:numPr>
        <w:pBdr>
          <w:top w:val="nil"/>
          <w:left w:val="nil"/>
          <w:bottom w:val="nil"/>
          <w:right w:val="nil"/>
          <w:between w:val="nil"/>
        </w:pBdr>
        <w:tabs>
          <w:tab w:val="left" w:pos="0"/>
        </w:tabs>
        <w:spacing w:line="360" w:lineRule="auto"/>
        <w:ind w:left="0" w:right="-787" w:firstLine="0"/>
        <w:jc w:val="both"/>
        <w:rPr>
          <w:rFonts w:ascii="Palatino Linotype" w:eastAsia="Palatino Linotype" w:hAnsi="Palatino Linotype" w:cs="Palatino Linotype"/>
          <w:color w:val="000000"/>
        </w:rPr>
      </w:pPr>
      <w:bookmarkStart w:id="1" w:name="_heading=h.3znysh7" w:colFirst="0" w:colLast="0"/>
      <w:bookmarkEnd w:id="1"/>
      <w:r w:rsidRPr="00EC0030">
        <w:rPr>
          <w:rFonts w:ascii="Palatino Linotype" w:eastAsia="Palatino Linotype" w:hAnsi="Palatino Linotype" w:cs="Palatino Linotype"/>
          <w:color w:val="000000"/>
        </w:rPr>
        <w:t xml:space="preserve">Posteriormente, la Comisionada Ponente a través </w:t>
      </w:r>
      <w:r w:rsidRPr="00EC0030">
        <w:rPr>
          <w:rFonts w:ascii="Palatino Linotype" w:eastAsia="Palatino Linotype" w:hAnsi="Palatino Linotype" w:cs="Palatino Linotype"/>
        </w:rPr>
        <w:t>del acuerdo</w:t>
      </w:r>
      <w:r w:rsidRPr="00EC0030">
        <w:rPr>
          <w:rFonts w:ascii="Palatino Linotype" w:eastAsia="Palatino Linotype" w:hAnsi="Palatino Linotype" w:cs="Palatino Linotype"/>
          <w:color w:val="000000"/>
        </w:rPr>
        <w:t xml:space="preserve"> de fecha</w:t>
      </w:r>
      <w:r w:rsidRPr="00EC0030">
        <w:rPr>
          <w:rFonts w:ascii="Palatino Linotype" w:eastAsia="Palatino Linotype" w:hAnsi="Palatino Linotype" w:cs="Palatino Linotype"/>
          <w:b/>
          <w:color w:val="000000"/>
        </w:rPr>
        <w:t xml:space="preserve"> doce de febrero de dos mil veinticinco</w:t>
      </w:r>
      <w:r w:rsidRPr="00EC0030">
        <w:rPr>
          <w:rFonts w:ascii="Palatino Linotype" w:eastAsia="Palatino Linotype" w:hAnsi="Palatino Linotype" w:cs="Palatino Linotype"/>
          <w:color w:val="000000"/>
        </w:rPr>
        <w:t xml:space="preserve">, </w:t>
      </w:r>
      <w:r w:rsidRPr="00EC0030">
        <w:rPr>
          <w:rFonts w:ascii="Palatino Linotype" w:eastAsia="Palatino Linotype" w:hAnsi="Palatino Linotype" w:cs="Palatino Linotype"/>
        </w:rPr>
        <w:t xml:space="preserve">con fundamento en el artículo 14, fracciones I, II, V y XVI del Reglamento Interior del Instituto de Transparencia, Acceso a la Información Pública y Protección de Datos Personales del Estado de México y Municipios, previo análisis de las características de los medios de impugnación identificados con los números </w:t>
      </w:r>
      <w:r w:rsidRPr="00EC0030">
        <w:rPr>
          <w:rFonts w:ascii="Palatino Linotype" w:eastAsia="Palatino Linotype" w:hAnsi="Palatino Linotype" w:cs="Palatino Linotype"/>
          <w:b/>
          <w:color w:val="000000"/>
        </w:rPr>
        <w:t>00283/INFOEM/IP/RR/2025 y 00303/INFOEM/IP/RR/2025</w:t>
      </w:r>
      <w:r w:rsidRPr="00EC0030">
        <w:rPr>
          <w:rFonts w:ascii="Palatino Linotype" w:eastAsia="Palatino Linotype" w:hAnsi="Palatino Linotype" w:cs="Palatino Linotype"/>
          <w:b/>
        </w:rPr>
        <w:t xml:space="preserve">, </w:t>
      </w:r>
      <w:r w:rsidRPr="00EC0030">
        <w:rPr>
          <w:rFonts w:ascii="Palatino Linotype" w:eastAsia="Palatino Linotype" w:hAnsi="Palatino Linotype" w:cs="Palatino Linotype"/>
        </w:rPr>
        <w:t xml:space="preserve">y toda vez que se advirtió conexidad entre estos, al haber sido promovidos por la misma persona, en los que se señaló como dependencia o entidad recurrida al </w:t>
      </w:r>
      <w:r w:rsidRPr="00EC0030">
        <w:rPr>
          <w:rFonts w:ascii="Palatino Linotype" w:eastAsia="Palatino Linotype" w:hAnsi="Palatino Linotype" w:cs="Palatino Linotype"/>
          <w:b/>
        </w:rPr>
        <w:t>Ayuntamiento de Ixtapan de la Sal</w:t>
      </w:r>
      <w:r w:rsidRPr="00EC0030">
        <w:rPr>
          <w:rFonts w:ascii="Palatino Linotype" w:eastAsia="Palatino Linotype" w:hAnsi="Palatino Linotype" w:cs="Palatino Linotype"/>
        </w:rPr>
        <w:t xml:space="preserve">; con el propósito de privilegiar la resolución expedita y evitar el dictado de resoluciones </w:t>
      </w:r>
      <w:r w:rsidRPr="00EC0030">
        <w:rPr>
          <w:rFonts w:ascii="Palatino Linotype" w:eastAsia="Palatino Linotype" w:hAnsi="Palatino Linotype" w:cs="Palatino Linotype"/>
        </w:rPr>
        <w:lastRenderedPageBreak/>
        <w:t xml:space="preserve">contradictorias, con fundamento en el artículo 18 del Código de Procedimientos Administrativos del Estado de México, de aplicación supletoria a la Ley de Transparencia y Acceso a la Información Pública del Estado de México y Municipios, de conformidad con su artículo 195 de dicho ordenamiento, se </w:t>
      </w:r>
      <w:r w:rsidRPr="00EC0030">
        <w:rPr>
          <w:rFonts w:ascii="Palatino Linotype" w:eastAsia="Palatino Linotype" w:hAnsi="Palatino Linotype" w:cs="Palatino Linotype"/>
          <w:b/>
        </w:rPr>
        <w:t>decreta</w:t>
      </w:r>
      <w:r w:rsidRPr="00EC0030">
        <w:rPr>
          <w:rFonts w:ascii="Palatino Linotype" w:eastAsia="Palatino Linotype" w:hAnsi="Palatino Linotype" w:cs="Palatino Linotype"/>
        </w:rPr>
        <w:t xml:space="preserve"> la </w:t>
      </w:r>
      <w:r w:rsidRPr="00EC0030">
        <w:rPr>
          <w:rFonts w:ascii="Palatino Linotype" w:eastAsia="Palatino Linotype" w:hAnsi="Palatino Linotype" w:cs="Palatino Linotype"/>
          <w:b/>
        </w:rPr>
        <w:t>acumulación</w:t>
      </w:r>
      <w:r w:rsidRPr="00EC0030">
        <w:rPr>
          <w:rFonts w:ascii="Palatino Linotype" w:eastAsia="Palatino Linotype" w:hAnsi="Palatino Linotype" w:cs="Palatino Linotype"/>
        </w:rPr>
        <w:t xml:space="preserve"> del Recurso de Revisión </w:t>
      </w:r>
      <w:r w:rsidRPr="00EC0030">
        <w:rPr>
          <w:rFonts w:ascii="Palatino Linotype" w:eastAsia="Palatino Linotype" w:hAnsi="Palatino Linotype" w:cs="Palatino Linotype"/>
          <w:b/>
          <w:color w:val="000000"/>
        </w:rPr>
        <w:t xml:space="preserve">00303/INFOEM/IP/RR/2025 </w:t>
      </w:r>
      <w:r w:rsidRPr="00EC0030">
        <w:rPr>
          <w:rFonts w:ascii="Palatino Linotype" w:eastAsia="Palatino Linotype" w:hAnsi="Palatino Linotype" w:cs="Palatino Linotype"/>
        </w:rPr>
        <w:t xml:space="preserve">al diverso </w:t>
      </w:r>
      <w:r w:rsidRPr="00EC0030">
        <w:rPr>
          <w:rFonts w:ascii="Palatino Linotype" w:eastAsia="Palatino Linotype" w:hAnsi="Palatino Linotype" w:cs="Palatino Linotype"/>
          <w:b/>
          <w:color w:val="000000"/>
        </w:rPr>
        <w:t>00283/INFOEM/IP/RR/2025</w:t>
      </w:r>
      <w:r w:rsidRPr="00EC0030">
        <w:rPr>
          <w:rFonts w:ascii="Palatino Linotype" w:eastAsia="Palatino Linotype" w:hAnsi="Palatino Linotype" w:cs="Palatino Linotype"/>
        </w:rPr>
        <w:t>, por ser este último el más antiguo, sustanciado bajo el índice de esta Ponencia.</w:t>
      </w:r>
    </w:p>
    <w:p w:rsidR="0012751D" w:rsidRPr="00EC0030" w:rsidRDefault="0012751D">
      <w:pPr>
        <w:pBdr>
          <w:top w:val="nil"/>
          <w:left w:val="nil"/>
          <w:bottom w:val="nil"/>
          <w:right w:val="nil"/>
          <w:between w:val="nil"/>
        </w:pBdr>
        <w:spacing w:line="360" w:lineRule="auto"/>
        <w:ind w:right="-787"/>
        <w:jc w:val="both"/>
        <w:rPr>
          <w:rFonts w:ascii="Palatino Linotype" w:eastAsia="Palatino Linotype" w:hAnsi="Palatino Linotype" w:cs="Palatino Linotype"/>
          <w:b/>
          <w:color w:val="000000"/>
        </w:rPr>
      </w:pPr>
    </w:p>
    <w:p w:rsidR="0012751D" w:rsidRPr="00EC0030" w:rsidRDefault="00F95FAE">
      <w:pPr>
        <w:numPr>
          <w:ilvl w:val="0"/>
          <w:numId w:val="2"/>
        </w:numPr>
        <w:pBdr>
          <w:top w:val="nil"/>
          <w:left w:val="nil"/>
          <w:bottom w:val="nil"/>
          <w:right w:val="nil"/>
          <w:between w:val="nil"/>
        </w:pBdr>
        <w:spacing w:line="360" w:lineRule="auto"/>
        <w:ind w:left="0" w:right="-787" w:firstLine="0"/>
        <w:jc w:val="both"/>
        <w:rPr>
          <w:rFonts w:ascii="Palatino Linotype" w:eastAsia="Palatino Linotype" w:hAnsi="Palatino Linotype" w:cs="Palatino Linotype"/>
          <w:b/>
          <w:color w:val="000000"/>
        </w:rPr>
      </w:pPr>
      <w:r w:rsidRPr="00EC0030">
        <w:rPr>
          <w:rFonts w:ascii="Palatino Linotype" w:eastAsia="Palatino Linotype" w:hAnsi="Palatino Linotype" w:cs="Palatino Linotype"/>
          <w:color w:val="000000"/>
        </w:rPr>
        <w:t xml:space="preserve">Seguidamente, en fechas </w:t>
      </w:r>
      <w:r w:rsidRPr="00EC0030">
        <w:rPr>
          <w:rFonts w:ascii="Palatino Linotype" w:eastAsia="Palatino Linotype" w:hAnsi="Palatino Linotype" w:cs="Palatino Linotype"/>
          <w:b/>
          <w:color w:val="000000"/>
        </w:rPr>
        <w:t>doce y catorce de febrero de dos mil veinticinco</w:t>
      </w:r>
      <w:r w:rsidRPr="00EC0030">
        <w:rPr>
          <w:rFonts w:ascii="Palatino Linotype" w:eastAsia="Palatino Linotype" w:hAnsi="Palatino Linotype" w:cs="Palatino Linotype"/>
          <w:color w:val="000000"/>
        </w:rPr>
        <w:t xml:space="preserve">, la Comisionada Ponente dictó el </w:t>
      </w:r>
      <w:r w:rsidRPr="00EC0030">
        <w:rPr>
          <w:rFonts w:ascii="Palatino Linotype" w:eastAsia="Palatino Linotype" w:hAnsi="Palatino Linotype" w:cs="Palatino Linotype"/>
          <w:b/>
          <w:color w:val="000000"/>
        </w:rPr>
        <w:t>cierre del periodo de instrucción</w:t>
      </w:r>
      <w:r w:rsidRPr="00EC0030">
        <w:rPr>
          <w:rFonts w:ascii="Palatino Linotype" w:eastAsia="Palatino Linotype" w:hAnsi="Palatino Linotype" w:cs="Palatino Linotype"/>
          <w:color w:val="000000"/>
        </w:rPr>
        <w:t xml:space="preserve"> y, ordenó la resolución que conforme a Derecho proceda, de acuerdo a las siguientes:</w:t>
      </w:r>
    </w:p>
    <w:p w:rsidR="0012751D" w:rsidRPr="00EC0030" w:rsidRDefault="0012751D">
      <w:pPr>
        <w:pBdr>
          <w:top w:val="nil"/>
          <w:left w:val="nil"/>
          <w:bottom w:val="nil"/>
          <w:right w:val="nil"/>
          <w:between w:val="nil"/>
        </w:pBdr>
        <w:spacing w:line="360" w:lineRule="auto"/>
        <w:ind w:right="-787"/>
        <w:rPr>
          <w:rFonts w:ascii="Palatino Linotype" w:eastAsia="Palatino Linotype" w:hAnsi="Palatino Linotype" w:cs="Palatino Linotype"/>
          <w:b/>
          <w:color w:val="000000"/>
        </w:rPr>
      </w:pPr>
    </w:p>
    <w:p w:rsidR="0012751D" w:rsidRPr="00EC0030" w:rsidRDefault="00F95FAE">
      <w:pPr>
        <w:pBdr>
          <w:top w:val="nil"/>
          <w:left w:val="nil"/>
          <w:bottom w:val="nil"/>
          <w:right w:val="nil"/>
          <w:between w:val="nil"/>
        </w:pBdr>
        <w:spacing w:line="360" w:lineRule="auto"/>
        <w:ind w:right="-787"/>
        <w:jc w:val="center"/>
        <w:rPr>
          <w:rFonts w:ascii="Palatino Linotype" w:eastAsia="Palatino Linotype" w:hAnsi="Palatino Linotype" w:cs="Palatino Linotype"/>
          <w:b/>
          <w:color w:val="000000"/>
        </w:rPr>
      </w:pPr>
      <w:r w:rsidRPr="00EC0030">
        <w:rPr>
          <w:rFonts w:ascii="Palatino Linotype" w:eastAsia="Palatino Linotype" w:hAnsi="Palatino Linotype" w:cs="Palatino Linotype"/>
          <w:b/>
          <w:color w:val="000000"/>
        </w:rPr>
        <w:t>C O N S I D E R A C I O N E S</w:t>
      </w:r>
    </w:p>
    <w:p w:rsidR="0012751D" w:rsidRPr="00EC0030" w:rsidRDefault="0012751D">
      <w:pPr>
        <w:pBdr>
          <w:top w:val="nil"/>
          <w:left w:val="nil"/>
          <w:bottom w:val="nil"/>
          <w:right w:val="nil"/>
          <w:between w:val="nil"/>
        </w:pBdr>
        <w:ind w:right="-787"/>
        <w:jc w:val="center"/>
        <w:rPr>
          <w:rFonts w:ascii="Palatino Linotype" w:eastAsia="Palatino Linotype" w:hAnsi="Palatino Linotype" w:cs="Palatino Linotype"/>
          <w:b/>
          <w:color w:val="000000"/>
        </w:rPr>
      </w:pPr>
    </w:p>
    <w:p w:rsidR="0012751D" w:rsidRPr="00EC0030" w:rsidRDefault="00F95FAE">
      <w:pPr>
        <w:pStyle w:val="Ttulo2"/>
        <w:spacing w:before="0" w:line="360" w:lineRule="auto"/>
        <w:ind w:right="-787"/>
        <w:rPr>
          <w:rFonts w:ascii="Palatino Linotype" w:eastAsia="Palatino Linotype" w:hAnsi="Palatino Linotype" w:cs="Palatino Linotype"/>
          <w:b/>
          <w:color w:val="000000"/>
          <w:sz w:val="24"/>
          <w:szCs w:val="24"/>
        </w:rPr>
      </w:pPr>
      <w:bookmarkStart w:id="2" w:name="_heading=h.2et92p0" w:colFirst="0" w:colLast="0"/>
      <w:bookmarkEnd w:id="2"/>
      <w:r w:rsidRPr="00EC0030">
        <w:rPr>
          <w:rFonts w:ascii="Palatino Linotype" w:eastAsia="Palatino Linotype" w:hAnsi="Palatino Linotype" w:cs="Palatino Linotype"/>
          <w:b/>
          <w:color w:val="000000"/>
          <w:sz w:val="24"/>
          <w:szCs w:val="24"/>
        </w:rPr>
        <w:t>PRIMERA. Competencia</w:t>
      </w:r>
    </w:p>
    <w:p w:rsidR="0012751D" w:rsidRPr="00EC0030" w:rsidRDefault="00F95FAE">
      <w:pPr>
        <w:numPr>
          <w:ilvl w:val="0"/>
          <w:numId w:val="2"/>
        </w:numPr>
        <w:pBdr>
          <w:top w:val="nil"/>
          <w:left w:val="nil"/>
          <w:bottom w:val="nil"/>
          <w:right w:val="nil"/>
          <w:between w:val="nil"/>
        </w:pBdr>
        <w:spacing w:line="360" w:lineRule="auto"/>
        <w:ind w:left="0" w:right="-787" w:firstLine="0"/>
        <w:jc w:val="both"/>
        <w:rPr>
          <w:color w:val="000000"/>
        </w:rPr>
      </w:pPr>
      <w:r w:rsidRPr="00EC0030">
        <w:rPr>
          <w:rFonts w:ascii="Palatino Linotype" w:eastAsia="Palatino Linotype" w:hAnsi="Palatino Linotype" w:cs="Palatino Linotype"/>
          <w:color w:val="000000"/>
        </w:rPr>
        <w:t xml:space="preserve">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6°, apartado A, de la Constitución Política de los Estados Unidos Mexicanos; 5°, párrafos trigésimo segundo, trigésimo tercero y trigésimo cuarto, fracciones I, II, III, IV y V de la Constitución Política del Estado Libre y Soberano de México; 1°, 8°, 9°, 10, 37 y 42, fracciones I, II y III, de la Ley General de Transparencia y Acceso a la Información Pública; 1°, 2°, fracciones II y IV; 13, 29, 36, fracciones I y II; 176, 178, 179, 181 párrafo tercero, 185, 188 y 189 de la Ley Transparencia y Acceso a la Información Pública del Estado de México y Municipios; 7°, 9°, fracciones I y XXIII, y 11 del Reglamento Interior del Instituto de </w:t>
      </w:r>
      <w:r w:rsidRPr="00EC0030">
        <w:rPr>
          <w:rFonts w:ascii="Palatino Linotype" w:eastAsia="Palatino Linotype" w:hAnsi="Palatino Linotype" w:cs="Palatino Linotype"/>
          <w:color w:val="000000"/>
        </w:rPr>
        <w:lastRenderedPageBreak/>
        <w:t>Transparencia, Acceso a la Información Pública y Protección de Datos Personales del Estado de México y Municipios.</w:t>
      </w:r>
    </w:p>
    <w:p w:rsidR="0012751D" w:rsidRPr="00EC0030" w:rsidRDefault="0012751D">
      <w:pPr>
        <w:pBdr>
          <w:top w:val="nil"/>
          <w:left w:val="nil"/>
          <w:bottom w:val="nil"/>
          <w:right w:val="nil"/>
          <w:between w:val="nil"/>
        </w:pBdr>
        <w:spacing w:line="360" w:lineRule="auto"/>
        <w:ind w:right="-787"/>
        <w:jc w:val="both"/>
        <w:rPr>
          <w:rFonts w:ascii="Palatino Linotype" w:eastAsia="Palatino Linotype" w:hAnsi="Palatino Linotype" w:cs="Palatino Linotype"/>
          <w:b/>
          <w:color w:val="000000"/>
        </w:rPr>
      </w:pPr>
    </w:p>
    <w:p w:rsidR="0012751D" w:rsidRPr="00EC0030" w:rsidRDefault="00F95FAE">
      <w:pPr>
        <w:pStyle w:val="Ttulo2"/>
        <w:spacing w:before="0" w:line="360" w:lineRule="auto"/>
        <w:ind w:right="-787"/>
        <w:rPr>
          <w:rFonts w:ascii="Palatino Linotype" w:eastAsia="Palatino Linotype" w:hAnsi="Palatino Linotype" w:cs="Palatino Linotype"/>
          <w:b/>
          <w:color w:val="000000"/>
          <w:sz w:val="24"/>
          <w:szCs w:val="24"/>
        </w:rPr>
      </w:pPr>
      <w:bookmarkStart w:id="3" w:name="_heading=h.tyjcwt" w:colFirst="0" w:colLast="0"/>
      <w:bookmarkEnd w:id="3"/>
      <w:r w:rsidRPr="00EC0030">
        <w:rPr>
          <w:rFonts w:ascii="Palatino Linotype" w:eastAsia="Palatino Linotype" w:hAnsi="Palatino Linotype" w:cs="Palatino Linotype"/>
          <w:b/>
          <w:color w:val="000000"/>
          <w:sz w:val="24"/>
          <w:szCs w:val="24"/>
        </w:rPr>
        <w:t>SEGUNDA. Procedencia.</w:t>
      </w:r>
    </w:p>
    <w:p w:rsidR="0012751D" w:rsidRPr="00EC0030" w:rsidRDefault="00F95FAE">
      <w:pPr>
        <w:numPr>
          <w:ilvl w:val="0"/>
          <w:numId w:val="2"/>
        </w:numPr>
        <w:spacing w:line="360" w:lineRule="auto"/>
        <w:ind w:left="0" w:right="-787" w:firstLine="0"/>
        <w:jc w:val="both"/>
      </w:pPr>
      <w:r w:rsidRPr="00EC0030">
        <w:rPr>
          <w:rFonts w:ascii="Palatino Linotype" w:eastAsia="Palatino Linotype" w:hAnsi="Palatino Linotype" w:cs="Palatino Linotype"/>
        </w:rPr>
        <w:t xml:space="preserve">Este Órgano Garante considera que el medio de impugnación reúne los requisitos de procedencia </w:t>
      </w:r>
      <w:r w:rsidRPr="00EC0030">
        <w:rPr>
          <w:rFonts w:ascii="Palatino Linotype" w:eastAsia="Palatino Linotype" w:hAnsi="Palatino Linotype" w:cs="Palatino Linotype"/>
          <w:color w:val="000000"/>
        </w:rPr>
        <w:t>toda vez que: el recurso fue presentado dentro del plazo establecido en el artículo 178, de la Ley de Transparencia y Acceso a la Información Pública del Estado de México y Municipios; asimismo no se tiene conocimiento de que se encuentre en trámite algún medio de defensa presentado por el Recurrente ante otra instancia.</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pPr>
      <w:r w:rsidRPr="00EC0030">
        <w:rPr>
          <w:rFonts w:ascii="Palatino Linotype" w:eastAsia="Palatino Linotype" w:hAnsi="Palatino Linotype" w:cs="Palatino Linotype"/>
        </w:rPr>
        <w:t>Por otro lado, el escrito contiene las formalidades previstas por el artículo 180, último párrafo, de la citada Ley de la materia, por lo que es procedente que este Instituto conozca y resuelva el presente recurso.</w:t>
      </w:r>
    </w:p>
    <w:p w:rsidR="0012751D" w:rsidRPr="00EC0030" w:rsidRDefault="0012751D">
      <w:pPr>
        <w:pBdr>
          <w:top w:val="nil"/>
          <w:left w:val="nil"/>
          <w:bottom w:val="nil"/>
          <w:right w:val="nil"/>
          <w:between w:val="nil"/>
        </w:pBdr>
        <w:spacing w:line="360" w:lineRule="auto"/>
        <w:ind w:right="-787"/>
        <w:rPr>
          <w:rFonts w:ascii="Palatino Linotype" w:eastAsia="Palatino Linotype" w:hAnsi="Palatino Linotype" w:cs="Palatino Linotype"/>
          <w:color w:val="000000"/>
        </w:rPr>
      </w:pPr>
    </w:p>
    <w:p w:rsidR="0012751D" w:rsidRPr="00EC0030" w:rsidRDefault="00F95FAE">
      <w:pPr>
        <w:pStyle w:val="Ttulo1"/>
        <w:spacing w:before="0" w:line="360" w:lineRule="auto"/>
        <w:ind w:right="-787"/>
        <w:rPr>
          <w:rFonts w:ascii="Palatino Linotype" w:eastAsia="Palatino Linotype" w:hAnsi="Palatino Linotype" w:cs="Palatino Linotype"/>
          <w:b/>
          <w:color w:val="000000"/>
          <w:sz w:val="24"/>
          <w:szCs w:val="24"/>
        </w:rPr>
      </w:pPr>
      <w:bookmarkStart w:id="4" w:name="_heading=h.3dy6vkm" w:colFirst="0" w:colLast="0"/>
      <w:bookmarkEnd w:id="4"/>
      <w:r w:rsidRPr="00EC0030">
        <w:rPr>
          <w:rFonts w:ascii="Palatino Linotype" w:eastAsia="Palatino Linotype" w:hAnsi="Palatino Linotype" w:cs="Palatino Linotype"/>
          <w:b/>
          <w:color w:val="000000"/>
          <w:sz w:val="24"/>
          <w:szCs w:val="24"/>
        </w:rPr>
        <w:t>TERCERA. Descripción de hechos y planteamiento de la controversia.</w:t>
      </w:r>
    </w:p>
    <w:p w:rsidR="0012751D" w:rsidRPr="00EC0030" w:rsidRDefault="00F95FAE">
      <w:pPr>
        <w:numPr>
          <w:ilvl w:val="0"/>
          <w:numId w:val="2"/>
        </w:numPr>
        <w:pBdr>
          <w:top w:val="nil"/>
          <w:left w:val="nil"/>
          <w:bottom w:val="nil"/>
          <w:right w:val="nil"/>
          <w:between w:val="nil"/>
        </w:pBdr>
        <w:spacing w:line="360" w:lineRule="auto"/>
        <w:ind w:left="0" w:right="-787" w:firstLine="0"/>
        <w:jc w:val="both"/>
        <w:rPr>
          <w:color w:val="000000"/>
        </w:rPr>
      </w:pPr>
      <w:r w:rsidRPr="00EC0030">
        <w:rPr>
          <w:rFonts w:ascii="Palatino Linotype" w:eastAsia="Palatino Linotype" w:hAnsi="Palatino Linotype" w:cs="Palatino Linotype"/>
          <w:color w:val="000000"/>
        </w:rPr>
        <w:t>Se solicitó tener acceso, a la información que a continuación se simplifica:</w:t>
      </w:r>
    </w:p>
    <w:p w:rsidR="0012751D" w:rsidRPr="00EC0030" w:rsidRDefault="00F95FAE">
      <w:pPr>
        <w:numPr>
          <w:ilvl w:val="0"/>
          <w:numId w:val="4"/>
        </w:numPr>
        <w:pBdr>
          <w:top w:val="nil"/>
          <w:left w:val="nil"/>
          <w:bottom w:val="nil"/>
          <w:right w:val="nil"/>
          <w:between w:val="nil"/>
        </w:pBdr>
        <w:spacing w:line="360" w:lineRule="auto"/>
        <w:ind w:left="1276" w:right="-220"/>
        <w:jc w:val="both"/>
        <w:rPr>
          <w:rFonts w:ascii="Palatino Linotype" w:eastAsia="Palatino Linotype" w:hAnsi="Palatino Linotype" w:cs="Palatino Linotype"/>
          <w:i/>
          <w:color w:val="000000"/>
          <w:sz w:val="22"/>
          <w:szCs w:val="22"/>
        </w:rPr>
      </w:pPr>
      <w:r w:rsidRPr="00EC0030">
        <w:rPr>
          <w:rFonts w:ascii="Palatino Linotype" w:eastAsia="Palatino Linotype" w:hAnsi="Palatino Linotype" w:cs="Palatino Linotype"/>
          <w:i/>
          <w:color w:val="000000"/>
          <w:sz w:val="22"/>
          <w:szCs w:val="22"/>
        </w:rPr>
        <w:t>Oficios enviados y recibidos por la Presidencia Municipal, durante noviembre a diciembre 2024.</w:t>
      </w:r>
    </w:p>
    <w:p w:rsidR="0012751D" w:rsidRPr="00EC0030" w:rsidRDefault="00F95FAE">
      <w:pPr>
        <w:numPr>
          <w:ilvl w:val="0"/>
          <w:numId w:val="4"/>
        </w:numPr>
        <w:pBdr>
          <w:top w:val="nil"/>
          <w:left w:val="nil"/>
          <w:bottom w:val="nil"/>
          <w:right w:val="nil"/>
          <w:between w:val="nil"/>
        </w:pBdr>
        <w:spacing w:line="360" w:lineRule="auto"/>
        <w:ind w:left="1276" w:right="-220"/>
        <w:jc w:val="both"/>
        <w:rPr>
          <w:rFonts w:eastAsia="Calibri"/>
          <w:color w:val="000000"/>
          <w:sz w:val="22"/>
          <w:szCs w:val="22"/>
        </w:rPr>
      </w:pPr>
      <w:r w:rsidRPr="00EC0030">
        <w:rPr>
          <w:rFonts w:ascii="Palatino Linotype" w:eastAsia="Palatino Linotype" w:hAnsi="Palatino Linotype" w:cs="Palatino Linotype"/>
          <w:i/>
          <w:color w:val="000000"/>
          <w:sz w:val="22"/>
          <w:szCs w:val="22"/>
        </w:rPr>
        <w:t>Oficios enviados y recibidos por la Presidencia Municipal, durante julio a agosto 2023.</w:t>
      </w:r>
    </w:p>
    <w:p w:rsidR="0012751D" w:rsidRPr="00EC0030" w:rsidRDefault="0012751D">
      <w:pPr>
        <w:pBdr>
          <w:top w:val="nil"/>
          <w:left w:val="nil"/>
          <w:bottom w:val="nil"/>
          <w:right w:val="nil"/>
          <w:between w:val="nil"/>
        </w:pBdr>
        <w:spacing w:line="360" w:lineRule="auto"/>
        <w:ind w:left="1276" w:right="-787"/>
        <w:jc w:val="both"/>
        <w:rPr>
          <w:rFonts w:eastAsia="Calibri"/>
          <w:color w:val="000000"/>
        </w:rPr>
      </w:pPr>
    </w:p>
    <w:p w:rsidR="0012751D" w:rsidRPr="00EC0030" w:rsidRDefault="00F95FAE">
      <w:pPr>
        <w:numPr>
          <w:ilvl w:val="0"/>
          <w:numId w:val="2"/>
        </w:numPr>
        <w:spacing w:line="360" w:lineRule="auto"/>
        <w:ind w:left="0" w:right="-787" w:firstLine="0"/>
        <w:jc w:val="both"/>
        <w:rPr>
          <w:color w:val="000000"/>
        </w:rPr>
      </w:pPr>
      <w:r w:rsidRPr="00EC0030">
        <w:rPr>
          <w:rFonts w:ascii="Palatino Linotype" w:eastAsia="Palatino Linotype" w:hAnsi="Palatino Linotype" w:cs="Palatino Linotype"/>
        </w:rPr>
        <w:t>En respuesta, el Sujeto Obligado</w:t>
      </w:r>
      <w:r w:rsidRPr="00EC0030">
        <w:rPr>
          <w:rFonts w:ascii="Palatino Linotype" w:eastAsia="Palatino Linotype" w:hAnsi="Palatino Linotype" w:cs="Palatino Linotype"/>
          <w:b/>
        </w:rPr>
        <w:t xml:space="preserve"> </w:t>
      </w:r>
      <w:r w:rsidRPr="00EC0030">
        <w:rPr>
          <w:rFonts w:ascii="Palatino Linotype" w:eastAsia="Palatino Linotype" w:hAnsi="Palatino Linotype" w:cs="Palatino Linotype"/>
        </w:rPr>
        <w:t>remitió los archivos ya descritos en el anterior párrafo 2, inconforme con las respuestas, se interpusieron recursos de revisión argumentando la respuesta proporcionada y la información incompleta.</w:t>
      </w:r>
    </w:p>
    <w:p w:rsidR="00961849" w:rsidRPr="00EC0030" w:rsidRDefault="00961849" w:rsidP="00961849">
      <w:pPr>
        <w:spacing w:line="360" w:lineRule="auto"/>
        <w:ind w:right="-787"/>
        <w:jc w:val="both"/>
        <w:rPr>
          <w:color w:val="000000"/>
        </w:rPr>
      </w:pPr>
    </w:p>
    <w:p w:rsidR="0012751D" w:rsidRPr="00EC0030" w:rsidRDefault="00F95FAE">
      <w:pPr>
        <w:numPr>
          <w:ilvl w:val="0"/>
          <w:numId w:val="2"/>
        </w:numPr>
        <w:spacing w:line="360" w:lineRule="auto"/>
        <w:ind w:left="0" w:right="-787" w:firstLine="0"/>
        <w:jc w:val="both"/>
      </w:pPr>
      <w:r w:rsidRPr="00EC0030">
        <w:rPr>
          <w:rFonts w:ascii="Palatino Linotype" w:eastAsia="Palatino Linotype" w:hAnsi="Palatino Linotype" w:cs="Palatino Linotype"/>
        </w:rPr>
        <w:lastRenderedPageBreak/>
        <w:t>En dichas condiciones, la controversia a resolver en el presente proveído, corresponde a determinar si se actualiza la causal de procedencia prevista en el artículo 179, fracción V,</w:t>
      </w:r>
      <w:r w:rsidRPr="00EC0030">
        <w:rPr>
          <w:rFonts w:ascii="Palatino Linotype" w:eastAsia="Palatino Linotype" w:hAnsi="Palatino Linotype" w:cs="Palatino Linotype"/>
          <w:b/>
        </w:rPr>
        <w:t xml:space="preserve"> </w:t>
      </w:r>
      <w:r w:rsidRPr="00EC0030">
        <w:rPr>
          <w:rFonts w:ascii="Palatino Linotype" w:eastAsia="Palatino Linotype" w:hAnsi="Palatino Linotype" w:cs="Palatino Linotype"/>
        </w:rPr>
        <w:t>de la Ley de Transparencia y Acceso a la Información Pública del Estado de</w:t>
      </w:r>
      <w:r w:rsidRPr="00EC0030">
        <w:rPr>
          <w:rFonts w:ascii="Palatino Linotype" w:eastAsia="Palatino Linotype" w:hAnsi="Palatino Linotype" w:cs="Palatino Linotype"/>
          <w:b/>
        </w:rPr>
        <w:t xml:space="preserve"> </w:t>
      </w:r>
      <w:r w:rsidRPr="00EC0030">
        <w:rPr>
          <w:rFonts w:ascii="Palatino Linotype" w:eastAsia="Palatino Linotype" w:hAnsi="Palatino Linotype" w:cs="Palatino Linotype"/>
        </w:rPr>
        <w:t>México</w:t>
      </w:r>
      <w:r w:rsidRPr="00EC0030">
        <w:rPr>
          <w:rFonts w:ascii="Palatino Linotype" w:eastAsia="Palatino Linotype" w:hAnsi="Palatino Linotype" w:cs="Palatino Linotype"/>
          <w:b/>
        </w:rPr>
        <w:t xml:space="preserve"> </w:t>
      </w:r>
      <w:r w:rsidRPr="00EC0030">
        <w:rPr>
          <w:rFonts w:ascii="Palatino Linotype" w:eastAsia="Palatino Linotype" w:hAnsi="Palatino Linotype" w:cs="Palatino Linotype"/>
        </w:rPr>
        <w:t>y</w:t>
      </w:r>
      <w:r w:rsidRPr="00EC0030">
        <w:rPr>
          <w:rFonts w:ascii="Palatino Linotype" w:eastAsia="Palatino Linotype" w:hAnsi="Palatino Linotype" w:cs="Palatino Linotype"/>
          <w:b/>
        </w:rPr>
        <w:t xml:space="preserve"> </w:t>
      </w:r>
      <w:r w:rsidRPr="00EC0030">
        <w:rPr>
          <w:rFonts w:ascii="Palatino Linotype" w:eastAsia="Palatino Linotype" w:hAnsi="Palatino Linotype" w:cs="Palatino Linotype"/>
        </w:rPr>
        <w:t xml:space="preserve">Municipios; </w:t>
      </w:r>
      <w:r w:rsidRPr="00EC0030">
        <w:rPr>
          <w:rFonts w:ascii="Palatino Linotype" w:eastAsia="Palatino Linotype" w:hAnsi="Palatino Linotype" w:cs="Palatino Linotype"/>
          <w:color w:val="000000"/>
        </w:rPr>
        <w:t xml:space="preserve">fracción que determina la hipótesis relativa a la entrega de información incompleta; </w:t>
      </w:r>
      <w:r w:rsidRPr="00EC0030">
        <w:rPr>
          <w:rFonts w:ascii="Palatino Linotype" w:eastAsia="Palatino Linotype" w:hAnsi="Palatino Linotype" w:cs="Palatino Linotype"/>
        </w:rPr>
        <w:t>contexto del cual se dolió el Recurrente al momento de impugnar la respuesta.</w:t>
      </w:r>
      <w:r w:rsidRPr="00EC0030">
        <w:rPr>
          <w:rFonts w:ascii="Palatino Linotype" w:eastAsia="Palatino Linotype" w:hAnsi="Palatino Linotype" w:cs="Palatino Linotype"/>
          <w:color w:val="000000"/>
        </w:rPr>
        <w:t xml:space="preserve"> De modo tal que el presente recurso de revisión se </w:t>
      </w:r>
      <w:r w:rsidRPr="00EC0030">
        <w:rPr>
          <w:rFonts w:ascii="Palatino Linotype" w:eastAsia="Palatino Linotype" w:hAnsi="Palatino Linotype" w:cs="Palatino Linotype"/>
        </w:rPr>
        <w:t>abocará</w:t>
      </w:r>
      <w:r w:rsidRPr="00EC0030">
        <w:rPr>
          <w:rFonts w:ascii="Palatino Linotype" w:eastAsia="Palatino Linotype" w:hAnsi="Palatino Linotype" w:cs="Palatino Linotype"/>
          <w:color w:val="000000"/>
        </w:rPr>
        <w:t xml:space="preserve"> en determinar si el Sujeto Obligado con su respuesta ciertamente actualiza la causal de procedencia</w:t>
      </w:r>
      <w:r w:rsidRPr="00EC0030">
        <w:rPr>
          <w:rFonts w:ascii="Palatino Linotype" w:eastAsia="Palatino Linotype" w:hAnsi="Palatino Linotype" w:cs="Palatino Linotype"/>
          <w:b/>
          <w:color w:val="000000"/>
        </w:rPr>
        <w:t xml:space="preserve"> </w:t>
      </w:r>
      <w:r w:rsidRPr="00EC0030">
        <w:rPr>
          <w:rFonts w:ascii="Palatino Linotype" w:eastAsia="Palatino Linotype" w:hAnsi="Palatino Linotype" w:cs="Palatino Linotype"/>
          <w:color w:val="000000"/>
        </w:rPr>
        <w:t>señalada.</w:t>
      </w:r>
    </w:p>
    <w:p w:rsidR="0012751D" w:rsidRPr="00EC0030" w:rsidRDefault="0012751D">
      <w:pPr>
        <w:ind w:right="-787"/>
        <w:rPr>
          <w:rFonts w:ascii="Palatino Linotype" w:eastAsia="Palatino Linotype" w:hAnsi="Palatino Linotype" w:cs="Palatino Linotype"/>
        </w:rPr>
      </w:pPr>
    </w:p>
    <w:p w:rsidR="0012751D" w:rsidRPr="00EC0030" w:rsidRDefault="00F95FAE">
      <w:pPr>
        <w:pStyle w:val="Ttulo2"/>
        <w:spacing w:before="0" w:line="360" w:lineRule="auto"/>
        <w:ind w:right="-787"/>
        <w:rPr>
          <w:rFonts w:ascii="Palatino Linotype" w:eastAsia="Palatino Linotype" w:hAnsi="Palatino Linotype" w:cs="Palatino Linotype"/>
          <w:b/>
          <w:color w:val="000000"/>
          <w:sz w:val="24"/>
          <w:szCs w:val="24"/>
        </w:rPr>
      </w:pPr>
      <w:bookmarkStart w:id="5" w:name="_heading=h.1t3h5sf" w:colFirst="0" w:colLast="0"/>
      <w:bookmarkEnd w:id="5"/>
      <w:r w:rsidRPr="00EC0030">
        <w:rPr>
          <w:rFonts w:ascii="Palatino Linotype" w:eastAsia="Palatino Linotype" w:hAnsi="Palatino Linotype" w:cs="Palatino Linotype"/>
          <w:b/>
          <w:color w:val="000000"/>
          <w:sz w:val="24"/>
          <w:szCs w:val="24"/>
        </w:rPr>
        <w:t>CUARTA. Estudio de la controversia.</w:t>
      </w:r>
    </w:p>
    <w:p w:rsidR="0012751D" w:rsidRPr="00EC0030" w:rsidRDefault="00F95FAE">
      <w:pPr>
        <w:numPr>
          <w:ilvl w:val="0"/>
          <w:numId w:val="2"/>
        </w:numPr>
        <w:spacing w:line="360" w:lineRule="auto"/>
        <w:ind w:left="0" w:right="-787" w:firstLine="0"/>
        <w:jc w:val="both"/>
      </w:pPr>
      <w:r w:rsidRPr="00EC0030">
        <w:rPr>
          <w:rFonts w:ascii="Palatino Linotype" w:eastAsia="Palatino Linotype" w:hAnsi="Palatino Linotype" w:cs="Palatino Linotype"/>
        </w:rPr>
        <w:t>Determinado lo anterior; revisaremos la atención otorgada por el Sujeto Obligado a la solicitud que dio origen a este recurso, considerando imprescindible establecer lo que la regulación determina, por ello, en primer lugar, vamos a revisar lo que mandata nuestra Ley de Transparencia local, en su artículo 12, el cual establece que quienes generen, recopilen, administren, manejen, procesen, archiven o conserven información pública serán responsables de la misma, del mismo modo, el artículo 18, establece que los Sujetos Obligados deberán documentar todo acto que derive del ejercicio de sus facultades, competencias o funciones desde su origen la eventual publicidad y reutilización de la información que generen.</w:t>
      </w:r>
    </w:p>
    <w:p w:rsidR="0012751D" w:rsidRPr="00EC0030" w:rsidRDefault="0012751D">
      <w:pPr>
        <w:ind w:right="-787"/>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pPr>
      <w:r w:rsidRPr="00EC0030">
        <w:rPr>
          <w:rFonts w:ascii="Palatino Linotype" w:eastAsia="Palatino Linotype" w:hAnsi="Palatino Linotype" w:cs="Palatino Linotype"/>
        </w:rPr>
        <w:t>Asimismo, es relevante mencionar que el artículo 19, del ordenamiento local de la materia señala que se presume que la información debe existir si se refiere a las facultades, competencias y funciones que los ordenamientos jurídicos aplicables otorgan a los sujetos obligados y en caso de que dichas facultades no se hayan ejercido, se deberá motivar la respuesta en función de las causas que motivaron tal circunstancia.</w:t>
      </w:r>
    </w:p>
    <w:p w:rsidR="0012751D" w:rsidRPr="00EC0030" w:rsidRDefault="00F95FAE">
      <w:pPr>
        <w:numPr>
          <w:ilvl w:val="0"/>
          <w:numId w:val="2"/>
        </w:numPr>
        <w:spacing w:line="360" w:lineRule="auto"/>
        <w:ind w:left="0" w:right="-787" w:firstLine="0"/>
        <w:jc w:val="both"/>
      </w:pPr>
      <w:r w:rsidRPr="00EC0030">
        <w:rPr>
          <w:rFonts w:ascii="Palatino Linotype" w:eastAsia="Palatino Linotype" w:hAnsi="Palatino Linotype" w:cs="Palatino Linotype"/>
        </w:rPr>
        <w:lastRenderedPageBreak/>
        <w:t>Los artículos antes citados, refieren que el derecho de acceso a la información pública es un derecho humano que abarca el solicitar, investigar, difundir y buscar información que se encuentre en los archivos de los sujetos obligados, ya sea porque estos las generaron o la poseen en atención a sus funciones, por lo que se le considera un bien común de dominio público, toda vez que al tratarse de acciones ejercidas por un servidor público, este lo hace en representación del Estado, por lo que le pertenece a todos y debe ser accesible a cualquier persona, ya sea que los particulares la puedan consultar por encontrarse publicada en cualquier medio de difusión o porque la requieren a través de una solicitud de acceso a la información, siempre y cuando no encuadre en una de las excepciones contempladas por la ley.</w:t>
      </w:r>
    </w:p>
    <w:p w:rsidR="0012751D" w:rsidRPr="00EC0030" w:rsidRDefault="0012751D">
      <w:pPr>
        <w:ind w:right="-787"/>
        <w:jc w:val="both"/>
      </w:pPr>
    </w:p>
    <w:p w:rsidR="0012751D" w:rsidRPr="00EC0030" w:rsidRDefault="00F95FAE">
      <w:pPr>
        <w:numPr>
          <w:ilvl w:val="0"/>
          <w:numId w:val="7"/>
        </w:numPr>
        <w:pBdr>
          <w:top w:val="nil"/>
          <w:left w:val="nil"/>
          <w:bottom w:val="nil"/>
          <w:right w:val="nil"/>
          <w:between w:val="nil"/>
        </w:pBdr>
        <w:spacing w:line="360" w:lineRule="auto"/>
        <w:ind w:right="-787"/>
        <w:rPr>
          <w:rFonts w:ascii="Palatino Linotype" w:eastAsia="Palatino Linotype" w:hAnsi="Palatino Linotype" w:cs="Palatino Linotype"/>
          <w:b/>
          <w:color w:val="000000"/>
        </w:rPr>
      </w:pPr>
      <w:r w:rsidRPr="00EC0030">
        <w:rPr>
          <w:rFonts w:ascii="Palatino Linotype" w:eastAsia="Palatino Linotype" w:hAnsi="Palatino Linotype" w:cs="Palatino Linotype"/>
          <w:b/>
          <w:color w:val="000000"/>
        </w:rPr>
        <w:t>De la respuesta inicial.</w:t>
      </w:r>
    </w:p>
    <w:p w:rsidR="0012751D" w:rsidRPr="00EC0030" w:rsidRDefault="00F95FAE">
      <w:pPr>
        <w:numPr>
          <w:ilvl w:val="0"/>
          <w:numId w:val="2"/>
        </w:numPr>
        <w:spacing w:line="360" w:lineRule="auto"/>
        <w:ind w:left="0" w:right="-787" w:firstLine="0"/>
        <w:jc w:val="both"/>
      </w:pPr>
      <w:r w:rsidRPr="00EC0030">
        <w:rPr>
          <w:rFonts w:ascii="Palatino Linotype" w:eastAsia="Palatino Linotype" w:hAnsi="Palatino Linotype" w:cs="Palatino Linotype"/>
        </w:rPr>
        <w:t>El requerimiento de acceso a la información pública del Particular versa en obtener los oficios enviados por la Presidencia Municipal (del primero de noviembre al treinta y uno de diciembre de dos mil veinticuatro y del primero de julio al treinta y uno de agosto de dos mil veintitrés).</w:t>
      </w:r>
    </w:p>
    <w:p w:rsidR="0012751D" w:rsidRPr="00EC0030" w:rsidRDefault="0012751D">
      <w:pPr>
        <w:spacing w:line="360" w:lineRule="auto"/>
        <w:ind w:right="-787"/>
        <w:jc w:val="both"/>
      </w:pPr>
    </w:p>
    <w:p w:rsidR="0012751D" w:rsidRPr="00EC0030" w:rsidRDefault="00F95FAE">
      <w:pPr>
        <w:numPr>
          <w:ilvl w:val="0"/>
          <w:numId w:val="2"/>
        </w:numPr>
        <w:spacing w:line="360" w:lineRule="auto"/>
        <w:ind w:left="0" w:right="-787" w:firstLine="0"/>
        <w:jc w:val="both"/>
      </w:pPr>
      <w:r w:rsidRPr="00EC0030">
        <w:rPr>
          <w:rFonts w:ascii="Palatino Linotype" w:eastAsia="Palatino Linotype" w:hAnsi="Palatino Linotype" w:cs="Palatino Linotype"/>
        </w:rPr>
        <w:t>La respuesta fue emitida a través el Servidor Público Habilitado de la Presidencia Municipal de Ixtapan de la Sal, en el que se remitió la información solicitada y el respectivo acuerdo emitido por el Comité de Transparencia, mediante el cual se aprobó la clasificación de datos personales contenidos en los oficios.</w:t>
      </w:r>
    </w:p>
    <w:p w:rsidR="0012751D" w:rsidRPr="00EC0030" w:rsidRDefault="0012751D">
      <w:pPr>
        <w:spacing w:line="360" w:lineRule="auto"/>
        <w:ind w:right="-787"/>
        <w:jc w:val="both"/>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De lo anterior, es importante precisar que “La función ejecutiva del Gobierno Municipal, estará a cargo del Presidente Municipal, quien será auxiliado en sus funciones previa aprobación del cabildo conforme a sus recursos presupuestales por organismos </w:t>
      </w:r>
      <w:r w:rsidRPr="00EC0030">
        <w:rPr>
          <w:rFonts w:ascii="Palatino Linotype" w:eastAsia="Palatino Linotype" w:hAnsi="Palatino Linotype" w:cs="Palatino Linotype"/>
        </w:rPr>
        <w:lastRenderedPageBreak/>
        <w:t>públicos descentralizados, dependencias administrativas, coordinaciones, departamentales, oficialías y unidades administrativas necesarias, las cuales estarán subordinadas a éste”, conforme  a lo establecido en el artículo 43 del Bando Municipal 2024.</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Precisado esto, se logra vislumbrar que el Sujeto Obligado es competente para pronunciarse sobre lo peticionado, pues cuenta con el área específica de la cual se requiere la información, misma que puede administrar, generar y poseer la información solicitada, en este sentido, se advierte que la respuesta proporcionada por el Sujeto Obligado y remitida por el Titular de la Unidad Administrativa competente, a saber, la Presidencia Municipal.</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Podemos advertir que </w:t>
      </w:r>
      <w:r w:rsidRPr="00EC0030">
        <w:rPr>
          <w:rFonts w:ascii="Palatino Linotype" w:eastAsia="Palatino Linotype" w:hAnsi="Palatino Linotype" w:cs="Palatino Linotype"/>
          <w:b/>
        </w:rPr>
        <w:t xml:space="preserve">EL SUJETO OBLIGADO </w:t>
      </w:r>
      <w:r w:rsidRPr="00EC0030">
        <w:rPr>
          <w:rFonts w:ascii="Palatino Linotype" w:eastAsia="Palatino Linotype" w:hAnsi="Palatino Linotype" w:cs="Palatino Linotype"/>
        </w:rPr>
        <w:t>siguió el procedimiento inmerso en la normatividad aplicable, ya que turbó los requerimientos de información a la unidad administrativa competente, vigilando lo establecido por el artículo 162 de la Ley de Transparencia y Acceso a la Información Pública del Estado de México y Municipios, al turnar la solicitud de información a las áreas en las que pudiera obrar la información de conformidad con la fracción XXXIX del artículo tercero de la legislación local vigente en materia de transparencia:</w:t>
      </w:r>
    </w:p>
    <w:p w:rsidR="0012751D" w:rsidRPr="00EC0030" w:rsidRDefault="00F95FAE">
      <w:pPr>
        <w:ind w:left="1134" w:right="-79"/>
        <w:jc w:val="both"/>
        <w:rPr>
          <w:rFonts w:ascii="Palatino Linotype" w:eastAsia="Palatino Linotype" w:hAnsi="Palatino Linotype" w:cs="Palatino Linotype"/>
          <w:i/>
          <w:sz w:val="22"/>
          <w:szCs w:val="22"/>
        </w:rPr>
      </w:pPr>
      <w:r w:rsidRPr="00EC0030">
        <w:rPr>
          <w:rFonts w:ascii="Palatino Linotype" w:eastAsia="Palatino Linotype" w:hAnsi="Palatino Linotype" w:cs="Palatino Linotype"/>
          <w:b/>
          <w:i/>
          <w:sz w:val="22"/>
          <w:szCs w:val="22"/>
        </w:rPr>
        <w:t>XXXIX.</w:t>
      </w:r>
      <w:r w:rsidRPr="00EC0030">
        <w:rPr>
          <w:rFonts w:ascii="Palatino Linotype" w:eastAsia="Palatino Linotype" w:hAnsi="Palatino Linotype" w:cs="Palatino Linotype"/>
          <w:i/>
          <w:sz w:val="22"/>
          <w:szCs w:val="22"/>
        </w:rPr>
        <w:t xml:space="preserve"> </w:t>
      </w:r>
      <w:r w:rsidRPr="00EC0030">
        <w:rPr>
          <w:rFonts w:ascii="Palatino Linotype" w:eastAsia="Palatino Linotype" w:hAnsi="Palatino Linotype" w:cs="Palatino Linotype"/>
          <w:b/>
          <w:i/>
          <w:sz w:val="22"/>
          <w:szCs w:val="22"/>
        </w:rPr>
        <w:t>Servidor público habilitado</w:t>
      </w:r>
      <w:r w:rsidRPr="00EC0030">
        <w:rPr>
          <w:rFonts w:ascii="Palatino Linotype" w:eastAsia="Palatino Linotype" w:hAnsi="Palatino Linotype" w:cs="Palatino Linotype"/>
          <w:i/>
          <w:sz w:val="22"/>
          <w:szCs w:val="22"/>
        </w:rPr>
        <w:t>: Persona encargada dentro de las diversas unidades administrativas o áreas del sujeto obligado, de apoyar, gestionar y entregar la información o datos personales que se ubiquen en la misma, a sus respectivas unidades de transparencia; respecto de las solicitudes presentadas y aportar en primera instancia el fundamento y motivación de la clasificación de la información.</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lastRenderedPageBreak/>
        <w:t>Así las cosas, se advierte que efectivamente la Unidad de Transparencia cumplió con lo establecido en el artículo 162 de la Ley de Transparencia y Acceso a la Información Pública del Estado de México y Municipios, el cual menciona lo siguiente:</w:t>
      </w:r>
    </w:p>
    <w:p w:rsidR="0012751D" w:rsidRPr="00EC0030" w:rsidRDefault="00F95FAE">
      <w:pPr>
        <w:ind w:left="1134" w:right="-220"/>
        <w:jc w:val="both"/>
        <w:rPr>
          <w:rFonts w:ascii="Palatino Linotype" w:eastAsia="Palatino Linotype" w:hAnsi="Palatino Linotype" w:cs="Palatino Linotype"/>
          <w:i/>
          <w:sz w:val="22"/>
          <w:szCs w:val="22"/>
        </w:rPr>
      </w:pPr>
      <w:r w:rsidRPr="00EC0030">
        <w:rPr>
          <w:rFonts w:ascii="Palatino Linotype" w:eastAsia="Palatino Linotype" w:hAnsi="Palatino Linotype" w:cs="Palatino Linotype"/>
          <w:i/>
          <w:sz w:val="22"/>
          <w:szCs w:val="22"/>
        </w:rPr>
        <w:t>“</w:t>
      </w:r>
      <w:r w:rsidRPr="00EC0030">
        <w:rPr>
          <w:rFonts w:ascii="Palatino Linotype" w:eastAsia="Palatino Linotype" w:hAnsi="Palatino Linotype" w:cs="Palatino Linotype"/>
          <w:b/>
          <w:i/>
          <w:sz w:val="22"/>
          <w:szCs w:val="22"/>
        </w:rPr>
        <w:t>Artículo 162.</w:t>
      </w:r>
      <w:r w:rsidRPr="00EC0030">
        <w:rPr>
          <w:rFonts w:ascii="Palatino Linotype" w:eastAsia="Palatino Linotype" w:hAnsi="Palatino Linotype" w:cs="Palatino Linotype"/>
          <w:i/>
          <w:sz w:val="22"/>
          <w:szCs w:val="22"/>
        </w:rPr>
        <w:t xml:space="preserve"> Las unidades de transparencia deberán garantizar que las solicitudes se turnen a </w:t>
      </w:r>
      <w:r w:rsidRPr="00EC0030">
        <w:rPr>
          <w:rFonts w:ascii="Palatino Linotype" w:eastAsia="Palatino Linotype" w:hAnsi="Palatino Linotype" w:cs="Palatino Linotype"/>
          <w:b/>
          <w:i/>
          <w:sz w:val="22"/>
          <w:szCs w:val="22"/>
        </w:rPr>
        <w:t>todas las Áreas competentes</w:t>
      </w:r>
      <w:r w:rsidRPr="00EC0030">
        <w:rPr>
          <w:rFonts w:ascii="Palatino Linotype" w:eastAsia="Palatino Linotype" w:hAnsi="Palatino Linotype" w:cs="Palatino Linotype"/>
          <w:i/>
          <w:sz w:val="22"/>
          <w:szCs w:val="22"/>
        </w:rPr>
        <w:t xml:space="preserve"> que cuenten con la información o deban tenerla de acuerdo a sus facultades, competencias y funciones, con el objeto de que realicen una búsqueda exhaustiva y razonable de la información solicitada.”</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pPr>
      <w:r w:rsidRPr="00EC0030">
        <w:rPr>
          <w:rFonts w:ascii="Palatino Linotype" w:eastAsia="Palatino Linotype" w:hAnsi="Palatino Linotype" w:cs="Palatino Linotype"/>
        </w:rPr>
        <w:t>En respuesta el sujeto obligado adjuntó dos archivos que contienen un cierto número de oficios,  asignados por diversos servidores públicos, de los cuales se desprenden que en algunos se encuentran en versión pública. Respuesta de la cual se dolió el recurrente al impugnar la respuesta proporcionada y la información incompleta.</w:t>
      </w:r>
      <w:r w:rsidRPr="00EC0030">
        <w:rPr>
          <w:rFonts w:ascii="Palatino Linotype" w:eastAsia="Palatino Linotype" w:hAnsi="Palatino Linotype" w:cs="Palatino Linotype"/>
          <w:b/>
        </w:rPr>
        <w:t xml:space="preserve"> </w:t>
      </w:r>
      <w:r w:rsidRPr="00EC0030">
        <w:rPr>
          <w:rFonts w:ascii="Palatino Linotype" w:eastAsia="Palatino Linotype" w:hAnsi="Palatino Linotype" w:cs="Palatino Linotype"/>
        </w:rPr>
        <w:t>Es de señalar que durante la etapa de manifestaciones no hubo pronunciamiento al respecto por ninguna de las partes.</w:t>
      </w:r>
    </w:p>
    <w:p w:rsidR="0012751D" w:rsidRPr="00EC0030" w:rsidRDefault="0012751D">
      <w:pPr>
        <w:spacing w:line="360" w:lineRule="auto"/>
        <w:ind w:right="-787"/>
        <w:jc w:val="both"/>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Se realizará el análisis de las respuestas proporcionadas por el Sujeto Obligado, en lo que respecta al Recurso de Revisión </w:t>
      </w:r>
      <w:r w:rsidRPr="00EC0030">
        <w:rPr>
          <w:rFonts w:ascii="Palatino Linotype" w:eastAsia="Palatino Linotype" w:hAnsi="Palatino Linotype" w:cs="Palatino Linotype"/>
          <w:b/>
        </w:rPr>
        <w:t>00283/INFOEM/IP/RR/2025</w:t>
      </w:r>
      <w:r w:rsidRPr="00EC0030">
        <w:rPr>
          <w:rFonts w:ascii="Palatino Linotype" w:eastAsia="Palatino Linotype" w:hAnsi="Palatino Linotype" w:cs="Palatino Linotype"/>
        </w:rPr>
        <w:t xml:space="preserve">, la información proporcionada consta de 63 oficios y memorándums, de los cuales únicamente contiene un oficio signado por titular de la Presidencia Municipal, de agosto 2024, diversos signados por el Secretario Particular y el Secretario del Ayuntamiento, de los meses de enero, febrero, marzo, abril, mayo, junio, julio y agosto de 2024, de los oficios recibidos dirigidos al Titular de la Presidencia Municipal, de los meses de enero, febrero, marzo, abril, mayo, junio, julio y agosto 2024, los cuales no corresponden a los oficios enviados y recibidos durante la temporalidad solicitada, como lo es del primero de noviembre al diecisiete de diciembre de 2024, razón por la cual, este Instituto advierte que el Sujeto Obligado deberá proporcionar la información que es de interés del particular que corresponda a la temporalidad solicitada. </w:t>
      </w:r>
      <w:r w:rsidRPr="00EC0030">
        <w:rPr>
          <w:rFonts w:ascii="Palatino Linotype" w:eastAsia="Palatino Linotype" w:hAnsi="Palatino Linotype" w:cs="Palatino Linotype"/>
        </w:rPr>
        <w:lastRenderedPageBreak/>
        <w:t>Adicionalmente se advierte que se testaron datos que no debieron ser suprimidos como nombres y firmas de servidores públicos y números telefónicos oficiales.</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En lo que respecta al Recurso de Revisión </w:t>
      </w:r>
      <w:r w:rsidRPr="00EC0030">
        <w:rPr>
          <w:rFonts w:ascii="Palatino Linotype" w:eastAsia="Palatino Linotype" w:hAnsi="Palatino Linotype" w:cs="Palatino Linotype"/>
          <w:b/>
          <w:color w:val="000000"/>
        </w:rPr>
        <w:t>00303/INFOEM/IP/RR/2025</w:t>
      </w:r>
      <w:r w:rsidRPr="00EC0030">
        <w:rPr>
          <w:rFonts w:ascii="Palatino Linotype" w:eastAsia="Palatino Linotype" w:hAnsi="Palatino Linotype" w:cs="Palatino Linotype"/>
        </w:rPr>
        <w:t xml:space="preserve">, la información proporcionada consta de 77 oficios y memorándums, de los cuales 38 son documentos signados por el Secretario Particular del Presidente Municipal, de los meses de enero, febrero, marzo, junio, </w:t>
      </w:r>
      <w:r w:rsidRPr="00EC0030">
        <w:rPr>
          <w:rFonts w:ascii="Palatino Linotype" w:eastAsia="Palatino Linotype" w:hAnsi="Palatino Linotype" w:cs="Palatino Linotype"/>
          <w:b/>
        </w:rPr>
        <w:t>julio</w:t>
      </w:r>
      <w:r w:rsidRPr="00EC0030">
        <w:rPr>
          <w:rFonts w:ascii="Palatino Linotype" w:eastAsia="Palatino Linotype" w:hAnsi="Palatino Linotype" w:cs="Palatino Linotype"/>
        </w:rPr>
        <w:t xml:space="preserve">, septiembre, octubre, noviembre y diciembre 2023, únicamente los del mes de julio corresponden a los oficios enviados durante la temporalidad solicitada, lo cierto es, que no pueden ser validados en su totalidad, ya que este Instituto realizó una revisión minuciosa a cada uno de los oficios remitidos, en el que se infiere que estos se encuentran incompletos (oficios enviados), ya que los números consecutivos no se encuentran en su totalidad, de los oficios recibidos, constan de los meses diciembre 2022, enero, febrero, marzo, junio, </w:t>
      </w:r>
      <w:r w:rsidRPr="00EC0030">
        <w:rPr>
          <w:rFonts w:ascii="Palatino Linotype" w:eastAsia="Palatino Linotype" w:hAnsi="Palatino Linotype" w:cs="Palatino Linotype"/>
          <w:b/>
        </w:rPr>
        <w:t>julio, agosto</w:t>
      </w:r>
      <w:r w:rsidRPr="00EC0030">
        <w:rPr>
          <w:rFonts w:ascii="Palatino Linotype" w:eastAsia="Palatino Linotype" w:hAnsi="Palatino Linotype" w:cs="Palatino Linotype"/>
        </w:rPr>
        <w:t>, septiembre, octubre y noviembre 2023, razón por la cual, este Instituto advierte que el Sujeto Obligado proporcionó la información que es de interés del particular que corresponde a la temporalidad solicitada. Adicionalmente se advierte que se testaron datos que no debieron ser suprimidos como nombres, firmas y correo electrónico de servidores públicos, números telefónicos oficiales, así como de dejaron a la vista datos personales susceptibles de ser clasificados, como nombres, firmas, domicilios y números telefónicos particulares.</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De lo expuesto, cabe mencionar que el artículo 6°, Apartado A), fracción II, de la Constitución Política de los Estados Unidos Mexicanos, prevé que la información que se refiere a la vida privada y los datos personales, será protegida en los términos y con las excepciones que fijen las leyes. Igualmente, el segundo párrafo del artículo 16 de dicho </w:t>
      </w:r>
      <w:r w:rsidRPr="00EC0030">
        <w:rPr>
          <w:rFonts w:ascii="Palatino Linotype" w:eastAsia="Palatino Linotype" w:hAnsi="Palatino Linotype" w:cs="Palatino Linotype"/>
        </w:rPr>
        <w:lastRenderedPageBreak/>
        <w:t xml:space="preserve">ordenamiento, dispone que toda persona tiene derecho a la protección de sus datos personales, al acceso, rectificación y cancelación de los mismos; así como, a manifestar su oposición, en los términos que fije la ley, la cual establecerá los supuestos de excepción a los principios que rijan el tratamiento de datos, por razones de seguridad nacional, disposiciones de orden público, seguridad y salud públicas o para proteger los derechos de terceros. </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Acorde con lo anterior, la Ley General de Transparencia y Acceso a la Información Pública, en su artículo 116, dispone que se considera información confidencial la que contenga datos personales concernientes a una persona física identificada o identificable. De la misma manera, el artículo 5°, fracciones I y II de la Constitución Política del Estado Libre y Soberano de México, prevé que toda la información en posesión de los Sujetos Obligados será pública; no obstante, aquella referente a la intimidad de la vida privada y la imagen de las personas, será protegida a través de un marco jurídico rígido, de tratamiento y manejo de datos personales. </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Por su parte, el artículo 24, fracción VI, de la Ley de Transparencia y Acceso a la Información Pública del Estado de México y Municipios, precisa que los Sujetos Obligados serán los responsables de proteger y resguardar la información clasificada como reservada o confidencial.</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En concordancia con lo previó, el artículo 143, fracción I, de la Ley previamente citada, establece que la información privada y los datos personales, concernientes a una persona física o jurídica colectiva identificada o identificable son confidenciales. </w:t>
      </w: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lastRenderedPageBreak/>
        <w:t xml:space="preserve">Asimismo, el artículo 145 de la Ley de Transparencia y Acceso a la Información Pública del Estado de México y Municipios, prevé que para que los Sujetos Obligados puedan permitir el acceso a la información confidencial, requieren obtener el consentimiento de los particulares titulares de la información, excepto cuando i) la información se encuentre en registros públicos o fuentes de acceso público, ii) por ley tenga el carácter de pública, iii) exista una orden judicial, iv) por razones de seguridad nacional y salubridad general o v) para proteger los derechos de terceros o cuando se transmitan entre sujetos obligados en términos de los tratados y los acuerdos interinstitucionales. </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En términos de lo expuesto, la documentación y aquellos datos que se consideren confidenciales, serán una limitante del derecho de acceso a la información, siempre y cuando: </w:t>
      </w:r>
    </w:p>
    <w:p w:rsidR="0012751D" w:rsidRPr="00EC0030" w:rsidRDefault="00F95FAE">
      <w:pPr>
        <w:spacing w:line="360" w:lineRule="auto"/>
        <w:ind w:left="993" w:right="-79"/>
        <w:jc w:val="both"/>
        <w:rPr>
          <w:rFonts w:ascii="Palatino Linotype" w:eastAsia="Palatino Linotype" w:hAnsi="Palatino Linotype" w:cs="Palatino Linotype"/>
          <w:sz w:val="22"/>
          <w:szCs w:val="22"/>
        </w:rPr>
      </w:pPr>
      <w:r w:rsidRPr="00EC0030">
        <w:rPr>
          <w:rFonts w:ascii="Palatino Linotype" w:eastAsia="Palatino Linotype" w:hAnsi="Palatino Linotype" w:cs="Palatino Linotype"/>
          <w:sz w:val="22"/>
          <w:szCs w:val="22"/>
        </w:rPr>
        <w:t xml:space="preserve">A. Se trate de datos personales o información privada; esto es, información concerniente a una persona física o jurídica colectiva y que esta sea identificada o identificable. </w:t>
      </w:r>
    </w:p>
    <w:p w:rsidR="0012751D" w:rsidRPr="00EC0030" w:rsidRDefault="00F95FAE">
      <w:pPr>
        <w:spacing w:line="360" w:lineRule="auto"/>
        <w:ind w:left="993" w:right="-79"/>
        <w:jc w:val="both"/>
        <w:rPr>
          <w:rFonts w:ascii="Palatino Linotype" w:eastAsia="Palatino Linotype" w:hAnsi="Palatino Linotype" w:cs="Palatino Linotype"/>
          <w:sz w:val="22"/>
          <w:szCs w:val="22"/>
        </w:rPr>
      </w:pPr>
      <w:r w:rsidRPr="00EC0030">
        <w:rPr>
          <w:rFonts w:ascii="Palatino Linotype" w:eastAsia="Palatino Linotype" w:hAnsi="Palatino Linotype" w:cs="Palatino Linotype"/>
          <w:sz w:val="22"/>
          <w:szCs w:val="22"/>
        </w:rPr>
        <w:t>B. Para la difusión de los datos, se requiere el consentimiento del titular.</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En ese orden de ideas, de conformidad con el artículo 3°, fracción IX, de la Ley de Transparencia y Acceso a la Información Pública del Estado de México y Municipios, con relación el diverso 4°, fracciones XI y XII, de la Ley de Protección de Datos Personales en Posesión de Sujetos Obligados del Estado de México y Municipios, se advierte que son datos personales, la información concerniente a una persona física o jurídico colectiva identificada o identificable (cuando su identidad pueda determinarse directa o indirectamente a través de cualquier documento informativo físico o electrónico), establecida en cualquier formato o modalidad.</w:t>
      </w: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lastRenderedPageBreak/>
        <w:t xml:space="preserve"> Además, en el artículo 5° de dicho ordenamiento jurídico, establece que es la Ley aplicable para todo tratamiento de datos personales.</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 En ese orden de ideas, los artículos 6°, 7°, 8° y 14 de la Ley de Protección de Datos Personales en Posesión de Sujetos Obligados del Estado de México y Municipios disponen que los responsables del tratamiento de datos personales, deben observar los principios de licitud, consentimiento, información, calidad, lealtad, finalidad, proporcionalidad y responsabilidad; además, que dicho tratamiento deberá obedecer exclusivamente a sus atribuciones legales y con el consentimiento de su titular, además de que debe estar justificado en ley (principio de finalidad). </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En este sentido, un dato personal es cualquier información que pueda hacer a una persona física o jurídica colectiva identificada e identificable. Asimismo, la doctrina desarrollada a nivel internacional, respecto del tema de datos personales, establece que también las preferencias, gustos, cualidades, opiniones y creencias, constituyen datos personales. En este sentido, cualquier información que por sí sola o relacionada con otra permita hacer identificable a una persona, es un dato personal, susceptible de ser clasificado. </w:t>
      </w:r>
    </w:p>
    <w:p w:rsidR="00961849" w:rsidRPr="00EC0030" w:rsidRDefault="00961849" w:rsidP="00961849">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Por lo cual, la confidencialidad de los datos personales, tiene por objetivo establecer el límite del derecho de acceso a la información a partir del derecho a la intimidad y la vida privada de los individuos. Sobre el particular, el legislador realizó un análisis en donde se ponderaban dos derechos: el derecho a la intimidad y la protección de los datos personales versus el interés público de conocer el ejercicio de atribuciones y de recursos públicos de las </w:t>
      </w:r>
      <w:r w:rsidRPr="00EC0030">
        <w:rPr>
          <w:rFonts w:ascii="Palatino Linotype" w:eastAsia="Palatino Linotype" w:hAnsi="Palatino Linotype" w:cs="Palatino Linotype"/>
        </w:rPr>
        <w:lastRenderedPageBreak/>
        <w:t xml:space="preserve">instituciones y es a partir de ahí, en donde las instituciones públicas deben determinar la publicidad de su información. De tal suerte, las instituciones públicas tienen la doble responsabilidad, por un lado, de proteger los datos personales y por otro, darles publicidad cuando la relevancia de esos datos sea de interés público. </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En este orden de ideas, toda la información que transparente la gestión pública, favorezca la rendición de cuentas y contribuya a la democratización del Estado Mexicano es, sin excepción, de naturaleza pública; tal es el caso de los salarios de todos los servidores públicos, la entrega de recursos públicos bajo cualquier esquema, el cumplimiento de requisitos legales, cumplimiento de atribuciones, entre otros; información que necesariamente está vinculada con datos personales, que pierden la protección en beneficio del interés público (no por eso dejan de ser datos personales, sólo que no están protegidos en la confidencialidad). </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Dada la complejidad de la información cuando involucra datos personales, pudiera pensarse que se trata de dos derechos en colisión; por un lado, la garantía individual de conocer sobre el ejercicio de atribuciones de servidores públicos así como de recursos públicos y, por el otro, el derecho de las personas a la autodeterminación informativa y el derecho a la vida privada; tratándose de los datos personales que obran en los archivos de las instituciones públicas, la regla es clara, ya que los datos personales que permiten verificar el desempeño de los servidores públicos y el cumplimiento de obligaciones legales, transparentan la gestión pública y favorecen la rendición de cuentas, constituyen información de naturaleza pública, en razón de que el beneficio de su publicidad es mayor que el beneficio de su clasificación, </w:t>
      </w:r>
      <w:r w:rsidR="00961849" w:rsidRPr="00EC0030">
        <w:rPr>
          <w:rFonts w:ascii="Palatino Linotype" w:eastAsia="Palatino Linotype" w:hAnsi="Palatino Linotype" w:cs="Palatino Linotype"/>
        </w:rPr>
        <w:t>aun</w:t>
      </w:r>
      <w:r w:rsidRPr="00EC0030">
        <w:rPr>
          <w:rFonts w:ascii="Palatino Linotype" w:eastAsia="Palatino Linotype" w:hAnsi="Palatino Linotype" w:cs="Palatino Linotype"/>
        </w:rPr>
        <w:t xml:space="preserve"> tratándose de información personal.</w:t>
      </w: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lastRenderedPageBreak/>
        <w:t>Ahora bien, cuando las personas tienen una relación comercial, laboral, de servicios, trámites o del tipo que sea, necesariamente por un tema de interés público, debe cederse un poco de privacidad, de tal forma que la gente en general pueda verificar el debido desempeño de los servidores públicos, la aplicación de la ley y el ejercicio de recursos públicos; sin embargo, esto obliga a un ejercicio de ponderación en donde únicamente se privilegie la publicidad de los datos esenciales para la transparencia y rendición de cuentas, sin afectar la vida privada de las personas. Bajo ese contexto, se analizará si los datos mencionados de manera enunciativa, son confidenciales o públicos.</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spacing w:line="360" w:lineRule="auto"/>
        <w:ind w:right="-787"/>
        <w:jc w:val="both"/>
        <w:rPr>
          <w:rFonts w:ascii="Palatino Linotype" w:eastAsia="Palatino Linotype" w:hAnsi="Palatino Linotype" w:cs="Palatino Linotype"/>
        </w:rPr>
      </w:pPr>
      <w:r w:rsidRPr="00EC0030">
        <w:rPr>
          <w:rFonts w:ascii="Palatino Linotype" w:eastAsia="Palatino Linotype" w:hAnsi="Palatino Linotype" w:cs="Palatino Linotype"/>
          <w:b/>
        </w:rPr>
        <w:t>Nombre de particulares</w:t>
      </w:r>
      <w:r w:rsidRPr="00EC0030">
        <w:rPr>
          <w:rFonts w:ascii="Palatino Linotype" w:eastAsia="Palatino Linotype" w:hAnsi="Palatino Linotype" w:cs="Palatino Linotype"/>
        </w:rPr>
        <w:t xml:space="preserve"> </w:t>
      </w: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El nombre se integra con el sustantivo propio y el primer apellido de los padres, en el orden que, de común acuerdo determinen; asimismo es la manifestación principal del derecho subjetivo a la personalidad y atributo de ésta en términos del artículo 2.3 del Código Civil del Estado de México, de tal suerte, el nombre per se es un elemento que hace a una persona física identificada o identificable, por lo que, se considera un dato personal. Por lo que el nombre de personas físicas que no tienen nada que ver con el servicio público y que no realizan actos de autoridad o reciben recursos públicos, es un dato confidencial, en términos del artículo 143, fracción I de la Ley de Transparencia y Acceso a la Información. </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spacing w:line="360" w:lineRule="auto"/>
        <w:ind w:right="-787"/>
        <w:jc w:val="both"/>
        <w:rPr>
          <w:rFonts w:ascii="Palatino Linotype" w:eastAsia="Palatino Linotype" w:hAnsi="Palatino Linotype" w:cs="Palatino Linotype"/>
        </w:rPr>
      </w:pPr>
      <w:r w:rsidRPr="00EC0030">
        <w:rPr>
          <w:rFonts w:ascii="Palatino Linotype" w:eastAsia="Palatino Linotype" w:hAnsi="Palatino Linotype" w:cs="Palatino Linotype"/>
          <w:b/>
        </w:rPr>
        <w:t>Domicilio</w:t>
      </w:r>
      <w:r w:rsidRPr="00EC0030">
        <w:rPr>
          <w:rFonts w:ascii="Palatino Linotype" w:eastAsia="Palatino Linotype" w:hAnsi="Palatino Linotype" w:cs="Palatino Linotype"/>
        </w:rPr>
        <w:t xml:space="preserve"> </w:t>
      </w:r>
      <w:r w:rsidRPr="00EC0030">
        <w:rPr>
          <w:rFonts w:ascii="Palatino Linotype" w:eastAsia="Palatino Linotype" w:hAnsi="Palatino Linotype" w:cs="Palatino Linotype"/>
          <w:b/>
        </w:rPr>
        <w:t>particular</w:t>
      </w: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De acuerdo a lo señalado en los artículos 2.3 y 2.5 del Código Civil del Estado de México, el domicilio es un atributo de la personalidad y un derecho de las personas; además que tiene como propósito que una persona pueda establecerse temporal o permanentemente en un lugar determinado, para habitar, establecer su centro de trabajo o negocios. </w:t>
      </w: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lastRenderedPageBreak/>
        <w:t xml:space="preserve">De la misma manera, lo establece el artículo 29 del Código Civil Federal, al precisar que el domicilio de personas físicas, es el lugar donde residen habitualmente, el lugar del centro principal de sus negocios, donde residan o el lugar donde se encuentren. </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En ese contexto, la dirección o domicilio es el lugar en donde reside habitualmente una persona física, por lo que, permite hacerlo identificable y ubicable, propiciando que pueda ser molestado en su casa o negocio, de este modo, los datos que permiten a cualquier individuo con esfuerzos mínimos identificar el lugar de residencia o de trabajo constituye un dato personal y, por ende, confidencial, ya que incide directamente en la privacidad de personas físicas identificadas y su difusión podría afectar la esfera privada de las mismas. Por lo tanto, se actualiza la clasificación, de conformidad con la fracción I, del artículo 143 de la Ley de Transparencia y Acceso a la Información Pública del Estado de México y Municipios.</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spacing w:line="360" w:lineRule="auto"/>
        <w:ind w:right="-787"/>
        <w:jc w:val="both"/>
        <w:rPr>
          <w:rFonts w:ascii="Palatino Linotype" w:eastAsia="Palatino Linotype" w:hAnsi="Palatino Linotype" w:cs="Palatino Linotype"/>
          <w:b/>
        </w:rPr>
      </w:pPr>
      <w:r w:rsidRPr="00EC0030">
        <w:rPr>
          <w:rFonts w:ascii="Palatino Linotype" w:eastAsia="Palatino Linotype" w:hAnsi="Palatino Linotype" w:cs="Palatino Linotype"/>
          <w:b/>
        </w:rPr>
        <w:t>Firma de particulares y firma de servidores públicos</w:t>
      </w: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La firma, por regla general, es un dato personal confidencial, también lo es, que da cuenta de las obligaciones del servidor público para ingresar al servicio público. Sobre esta situación, cabe señalar que la firma de servidores públicos, vinculada al ejercicio de la función pública es información de naturaleza pública, pues documenta y rinde cuentas sobre el debido ejercicio de sus atribuciones, lo cual acontece en el presente caso, pues, los documentos donde se testa la firma de servidores públicos, dan cuenta de la legalidad del documento que expide en ejercicio de sus funciones. </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lastRenderedPageBreak/>
        <w:t>Situación que se robustece, con el Criterio de Interpretación, de la Segunda Época, con número de registro SO/002/2019, emitido por el Instituto Nacional de Transparencia, Acceso a la Información y Protección de Datos Personales, que establece lo siguiente:</w:t>
      </w:r>
    </w:p>
    <w:p w:rsidR="0012751D" w:rsidRPr="00EC0030" w:rsidRDefault="00F95FAE">
      <w:pPr>
        <w:spacing w:line="360" w:lineRule="auto"/>
        <w:ind w:left="1134" w:right="-79"/>
        <w:jc w:val="both"/>
        <w:rPr>
          <w:rFonts w:ascii="Palatino Linotype" w:eastAsia="Palatino Linotype" w:hAnsi="Palatino Linotype" w:cs="Palatino Linotype"/>
          <w:i/>
          <w:sz w:val="22"/>
          <w:szCs w:val="22"/>
        </w:rPr>
      </w:pPr>
      <w:r w:rsidRPr="00EC0030">
        <w:rPr>
          <w:rFonts w:ascii="Palatino Linotype" w:eastAsia="Palatino Linotype" w:hAnsi="Palatino Linotype" w:cs="Palatino Linotype"/>
          <w:sz w:val="22"/>
          <w:szCs w:val="22"/>
        </w:rPr>
        <w:t xml:space="preserve"> </w:t>
      </w:r>
      <w:r w:rsidRPr="00EC0030">
        <w:rPr>
          <w:rFonts w:ascii="Palatino Linotype" w:eastAsia="Palatino Linotype" w:hAnsi="Palatino Linotype" w:cs="Palatino Linotype"/>
          <w:i/>
          <w:sz w:val="22"/>
          <w:szCs w:val="22"/>
        </w:rPr>
        <w:t>“</w:t>
      </w:r>
      <w:r w:rsidRPr="00EC0030">
        <w:rPr>
          <w:rFonts w:ascii="Palatino Linotype" w:eastAsia="Palatino Linotype" w:hAnsi="Palatino Linotype" w:cs="Palatino Linotype"/>
          <w:b/>
          <w:i/>
          <w:sz w:val="22"/>
          <w:szCs w:val="22"/>
        </w:rPr>
        <w:t>Firma y rúbrica de servidores públicos</w:t>
      </w:r>
      <w:r w:rsidRPr="00EC0030">
        <w:rPr>
          <w:rFonts w:ascii="Palatino Linotype" w:eastAsia="Palatino Linotype" w:hAnsi="Palatino Linotype" w:cs="Palatino Linotype"/>
          <w:i/>
          <w:sz w:val="22"/>
          <w:szCs w:val="22"/>
        </w:rPr>
        <w:t xml:space="preserve">. Si bien la firma y la rúbrica son datos personales confidenciales, cuando un servidor público emite un acto como autoridad, en ejercicio de las funciones que tiene conferidas, la firma o rúbrica mediante la cual se valida dicho acto es pública.” </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Conforme a lo expuesto, no procede la clasificación, en términos del artículo 143, fracción I de la Ley de Transparencia y Acceso a la Información Pública del Estado de México y Municipios, en los documentos expedidos por autoridades o servidores públicos que dan certeza y legalidad de los documentos que expiden en ejercicio de sus facultades y atribuciones. </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Ahora bien, para el caso de las firmas que son estampadas por particulares, corresponden a información personal que no tiene relevancia para el interés público. Por lo tanto, se actualiza la clasificación, de conformidad con la fracción I, del artículo 143 de la Ley de Transparencia y Acceso a la Información Pública del Estado de México y Municipios.</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spacing w:line="360" w:lineRule="auto"/>
        <w:ind w:right="-787"/>
        <w:jc w:val="both"/>
        <w:rPr>
          <w:rFonts w:ascii="Palatino Linotype" w:eastAsia="Palatino Linotype" w:hAnsi="Palatino Linotype" w:cs="Palatino Linotype"/>
          <w:b/>
        </w:rPr>
      </w:pPr>
      <w:r w:rsidRPr="00EC0030">
        <w:rPr>
          <w:rFonts w:ascii="Palatino Linotype" w:eastAsia="Palatino Linotype" w:hAnsi="Palatino Linotype" w:cs="Palatino Linotype"/>
          <w:b/>
        </w:rPr>
        <w:t>Números telefónicos y correo electrónico particulares</w:t>
      </w: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Al igual que el correo electrónico, el número asignado a un teléfono particular o celular permite localizar a una persona física identificada o identificable, ya sea a través de un dispositivo móvil o bien, en un lugar como el domicilio; por lo que, la titularidad del mismo, al igual que el correo electrónico, corresponde a la persona física en su calidad de particular. En tales consideraciones, dicho dato personal es susceptible de ser clasificado </w:t>
      </w:r>
      <w:r w:rsidRPr="00EC0030">
        <w:rPr>
          <w:rFonts w:ascii="Palatino Linotype" w:eastAsia="Palatino Linotype" w:hAnsi="Palatino Linotype" w:cs="Palatino Linotype"/>
        </w:rPr>
        <w:lastRenderedPageBreak/>
        <w:t>como confidencial, con fundamento en el artículo 143, fracción I de la Ley de Transparencia y Acceso a la Información Pública.</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pBdr>
          <w:top w:val="nil"/>
          <w:left w:val="nil"/>
          <w:bottom w:val="nil"/>
          <w:right w:val="nil"/>
          <w:between w:val="nil"/>
        </w:pBdr>
        <w:tabs>
          <w:tab w:val="left" w:pos="426"/>
        </w:tabs>
        <w:spacing w:line="360" w:lineRule="auto"/>
        <w:ind w:right="-787"/>
        <w:jc w:val="both"/>
        <w:rPr>
          <w:rFonts w:ascii="Palatino Linotype" w:eastAsia="Palatino Linotype" w:hAnsi="Palatino Linotype" w:cs="Palatino Linotype"/>
          <w:b/>
          <w:color w:val="000000"/>
        </w:rPr>
      </w:pPr>
      <w:r w:rsidRPr="00EC0030">
        <w:rPr>
          <w:rFonts w:ascii="Palatino Linotype" w:eastAsia="Palatino Linotype" w:hAnsi="Palatino Linotype" w:cs="Palatino Linotype"/>
          <w:b/>
          <w:color w:val="000000"/>
        </w:rPr>
        <w:t>Nombre de servidor público</w:t>
      </w: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color w:val="000000"/>
        </w:rPr>
      </w:pPr>
      <w:r w:rsidRPr="00EC0030">
        <w:rPr>
          <w:rFonts w:ascii="Palatino Linotype" w:eastAsia="Palatino Linotype" w:hAnsi="Palatino Linotype" w:cs="Palatino Linotype"/>
          <w:color w:val="000000"/>
        </w:rPr>
        <w:t>Un dato personal es cualquier información que pueda hacer a una persona física identificada e identificable, como su nombre o imagen. En este sentido, cualquier información que por sí sola o relacionada con otra permita hacer identificable a una persona, es un dato personal, susceptible de ser clasificado.</w:t>
      </w:r>
    </w:p>
    <w:p w:rsidR="0012751D" w:rsidRPr="00EC0030" w:rsidRDefault="0012751D">
      <w:pPr>
        <w:spacing w:line="360" w:lineRule="auto"/>
        <w:ind w:right="-787"/>
        <w:jc w:val="both"/>
        <w:rPr>
          <w:rFonts w:ascii="Palatino Linotype" w:eastAsia="Palatino Linotype" w:hAnsi="Palatino Linotype" w:cs="Palatino Linotype"/>
          <w:color w:val="000000"/>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color w:val="000000"/>
        </w:rPr>
      </w:pPr>
      <w:r w:rsidRPr="00EC0030">
        <w:rPr>
          <w:rFonts w:ascii="Palatino Linotype" w:eastAsia="Palatino Linotype" w:hAnsi="Palatino Linotype" w:cs="Palatino Linotype"/>
          <w:color w:val="000000"/>
        </w:rPr>
        <w:t>En este contexto, la confidencialidad de los datos personales, tiene por objetivo establecer el límite del derecho de acceso a la información a partir del derecho a la intimidad y la vida privada de los individuos. Sobre el particular, el legislador realizó un análisis en donde se ponderaban dos derechos: el derecho a la intimidad y la protección de los datos personales versus el interés público de conocer el ejercicio de atribuciones y de recursos públicos de las instituciones y es a partir de ahí, en donde las instituciones públicas deben determinar la publicidad de su información.</w:t>
      </w:r>
    </w:p>
    <w:p w:rsidR="0012751D" w:rsidRPr="00EC0030" w:rsidRDefault="0012751D">
      <w:pPr>
        <w:spacing w:line="360" w:lineRule="auto"/>
        <w:ind w:right="-787"/>
        <w:jc w:val="both"/>
        <w:rPr>
          <w:rFonts w:ascii="Palatino Linotype" w:eastAsia="Palatino Linotype" w:hAnsi="Palatino Linotype" w:cs="Palatino Linotype"/>
          <w:color w:val="000000"/>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color w:val="000000"/>
        </w:rPr>
      </w:pPr>
      <w:r w:rsidRPr="00EC0030">
        <w:rPr>
          <w:rFonts w:ascii="Palatino Linotype" w:eastAsia="Palatino Linotype" w:hAnsi="Palatino Linotype" w:cs="Palatino Linotype"/>
          <w:color w:val="000000"/>
        </w:rPr>
        <w:t>De tal suerte, las instituciones públicas tienen la doble responsabilidad, por un lado, de proteger los datos personales y por otro, darles publicidad cuando la relevancia de esos datos sea de interés público.</w:t>
      </w:r>
    </w:p>
    <w:p w:rsidR="0012751D" w:rsidRPr="00EC0030" w:rsidRDefault="0012751D">
      <w:pPr>
        <w:spacing w:line="360" w:lineRule="auto"/>
        <w:ind w:right="-787"/>
        <w:jc w:val="both"/>
        <w:rPr>
          <w:rFonts w:ascii="Palatino Linotype" w:eastAsia="Palatino Linotype" w:hAnsi="Palatino Linotype" w:cs="Palatino Linotype"/>
          <w:color w:val="000000"/>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color w:val="000000"/>
        </w:rPr>
        <w:t xml:space="preserve">En este orden de ideas, toda la información que transparente la gestión pública, favorezca la rendición de cuentas y contribuya a la democratización del Estado Mexicano es, sin excepción, de naturaleza pública; tal es el caso del nombre de los servidores públicos; </w:t>
      </w:r>
      <w:r w:rsidRPr="00EC0030">
        <w:rPr>
          <w:rFonts w:ascii="Palatino Linotype" w:eastAsia="Palatino Linotype" w:hAnsi="Palatino Linotype" w:cs="Palatino Linotype"/>
          <w:color w:val="000000"/>
        </w:rPr>
        <w:lastRenderedPageBreak/>
        <w:t>información que necesariamente está vinculada con datos personales, que pierden la protección en beneficio del interés público.</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spacing w:line="360" w:lineRule="auto"/>
        <w:ind w:right="-787"/>
        <w:jc w:val="both"/>
        <w:rPr>
          <w:rFonts w:ascii="Palatino Linotype" w:eastAsia="Palatino Linotype" w:hAnsi="Palatino Linotype" w:cs="Palatino Linotype"/>
          <w:b/>
        </w:rPr>
      </w:pPr>
      <w:r w:rsidRPr="00EC0030">
        <w:rPr>
          <w:rFonts w:ascii="Palatino Linotype" w:eastAsia="Palatino Linotype" w:hAnsi="Palatino Linotype" w:cs="Palatino Linotype"/>
          <w:b/>
        </w:rPr>
        <w:t>Dirección de oficina, teléfono de oficina y correo electrónico oficial.</w:t>
      </w: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color w:val="000000"/>
        </w:rPr>
      </w:pPr>
      <w:r w:rsidRPr="00EC0030">
        <w:rPr>
          <w:rFonts w:ascii="Palatino Linotype" w:eastAsia="Palatino Linotype" w:hAnsi="Palatino Linotype" w:cs="Palatino Linotype"/>
          <w:color w:val="000000"/>
        </w:rPr>
        <w:t>Dicha información tiene el carácter de pública, debido a que obedece a funciones relativas al servicio público, de tal suerte que las instituciones públicas tienen la responsabilidad de darles publicidad por ser datos de interés público que  transparenta la gestión pública y favorece la rendición de cuentas.</w:t>
      </w:r>
    </w:p>
    <w:p w:rsidR="0012751D" w:rsidRPr="00EC0030" w:rsidRDefault="0012751D">
      <w:pPr>
        <w:spacing w:line="360" w:lineRule="auto"/>
        <w:ind w:right="-787"/>
        <w:jc w:val="both"/>
        <w:rPr>
          <w:rFonts w:ascii="Palatino Linotype" w:eastAsia="Palatino Linotype" w:hAnsi="Palatino Linotype" w:cs="Palatino Linotype"/>
          <w:color w:val="000000"/>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color w:val="000000"/>
        </w:rPr>
      </w:pPr>
      <w:r w:rsidRPr="00EC0030">
        <w:rPr>
          <w:rFonts w:ascii="Palatino Linotype" w:eastAsia="Palatino Linotype" w:hAnsi="Palatino Linotype" w:cs="Palatino Linotype"/>
        </w:rPr>
        <w:t>Conforme a lo expuesto, la dirección de oficina, teléfono de oficina y correo electrónico oficial, no procede la clasificación, en términos del artículo 143, fracción I de la Ley de Transparencia y Acceso a la Información Pública del Estado de México y Municipios.</w:t>
      </w:r>
    </w:p>
    <w:p w:rsidR="0012751D" w:rsidRPr="00EC0030" w:rsidRDefault="0012751D">
      <w:pPr>
        <w:spacing w:line="360" w:lineRule="auto"/>
        <w:ind w:right="-787"/>
        <w:jc w:val="both"/>
        <w:rPr>
          <w:rFonts w:ascii="Palatino Linotype" w:eastAsia="Palatino Linotype" w:hAnsi="Palatino Linotype" w:cs="Palatino Linotype"/>
          <w:color w:val="000000"/>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color w:val="000000"/>
        </w:rPr>
      </w:pPr>
      <w:r w:rsidRPr="00EC0030">
        <w:rPr>
          <w:rFonts w:ascii="Palatino Linotype" w:eastAsia="Palatino Linotype" w:hAnsi="Palatino Linotype" w:cs="Palatino Linotype"/>
        </w:rPr>
        <w:t xml:space="preserve">Ahora bien, de los datos personales susceptibles de ser clasificados como confidenciales como lo son el nombre, firma, domicilio y número telefónico, mismos que de dejaron a la vista del solicitante en la respuesta entregada por el Sujeto Obligado, </w:t>
      </w:r>
      <w:r w:rsidRPr="00EC0030">
        <w:rPr>
          <w:rFonts w:ascii="Palatino Linotype" w:eastAsia="Palatino Linotype" w:hAnsi="Palatino Linotype" w:cs="Palatino Linotype"/>
          <w:color w:val="000000"/>
        </w:rPr>
        <w:t xml:space="preserve">lo dable es dar vista a </w:t>
      </w:r>
      <w:r w:rsidRPr="00EC0030">
        <w:rPr>
          <w:rFonts w:ascii="Palatino Linotype" w:eastAsia="Palatino Linotype" w:hAnsi="Palatino Linotype" w:cs="Palatino Linotype"/>
        </w:rPr>
        <w:t>la Dirección de Protección de Datos Personales de este Instituto para hacer de su conocimiento la información que contiene datos personales y se encuentra en los siguientes documentos:</w:t>
      </w:r>
    </w:p>
    <w:p w:rsidR="0012751D" w:rsidRPr="00EC0030" w:rsidRDefault="0012751D">
      <w:pPr>
        <w:spacing w:line="360" w:lineRule="auto"/>
        <w:ind w:right="-787"/>
        <w:jc w:val="both"/>
        <w:rPr>
          <w:rFonts w:ascii="Palatino Linotype" w:eastAsia="Palatino Linotype" w:hAnsi="Palatino Linotype" w:cs="Palatino Linotype"/>
        </w:rPr>
      </w:pPr>
    </w:p>
    <w:tbl>
      <w:tblPr>
        <w:tblStyle w:val="a6"/>
        <w:tblW w:w="9600" w:type="dxa"/>
        <w:tblInd w:w="0" w:type="dxa"/>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400" w:firstRow="0" w:lastRow="0" w:firstColumn="0" w:lastColumn="0" w:noHBand="0" w:noVBand="1"/>
      </w:tblPr>
      <w:tblGrid>
        <w:gridCol w:w="3010"/>
        <w:gridCol w:w="2375"/>
        <w:gridCol w:w="4215"/>
      </w:tblGrid>
      <w:tr w:rsidR="0012751D" w:rsidRPr="00EC0030">
        <w:tc>
          <w:tcPr>
            <w:tcW w:w="3009" w:type="dxa"/>
            <w:shd w:val="clear" w:color="auto" w:fill="D9D9D9"/>
          </w:tcPr>
          <w:p w:rsidR="0012751D" w:rsidRPr="00EC0030" w:rsidRDefault="00F95FAE">
            <w:pPr>
              <w:pBdr>
                <w:top w:val="nil"/>
                <w:left w:val="nil"/>
                <w:bottom w:val="nil"/>
                <w:right w:val="nil"/>
                <w:between w:val="nil"/>
              </w:pBdr>
              <w:ind w:left="-566" w:right="-4"/>
              <w:jc w:val="center"/>
              <w:rPr>
                <w:rFonts w:ascii="Palatino Linotype" w:eastAsia="Palatino Linotype" w:hAnsi="Palatino Linotype" w:cs="Palatino Linotype"/>
                <w:b/>
                <w:color w:val="000000"/>
                <w:sz w:val="22"/>
              </w:rPr>
            </w:pPr>
            <w:r w:rsidRPr="00EC0030">
              <w:rPr>
                <w:rFonts w:ascii="Palatino Linotype" w:eastAsia="Palatino Linotype" w:hAnsi="Palatino Linotype" w:cs="Palatino Linotype"/>
                <w:b/>
                <w:color w:val="000000"/>
                <w:sz w:val="22"/>
              </w:rPr>
              <w:t>Nombre del archivo.</w:t>
            </w:r>
          </w:p>
        </w:tc>
        <w:tc>
          <w:tcPr>
            <w:tcW w:w="2375" w:type="dxa"/>
            <w:shd w:val="clear" w:color="auto" w:fill="D9D9D9"/>
          </w:tcPr>
          <w:p w:rsidR="0012751D" w:rsidRPr="00EC0030" w:rsidRDefault="00F95FAE">
            <w:pPr>
              <w:pBdr>
                <w:top w:val="nil"/>
                <w:left w:val="nil"/>
                <w:bottom w:val="nil"/>
                <w:right w:val="nil"/>
                <w:between w:val="nil"/>
              </w:pBdr>
              <w:ind w:left="-566" w:right="-4"/>
              <w:jc w:val="center"/>
              <w:rPr>
                <w:rFonts w:ascii="Palatino Linotype" w:eastAsia="Palatino Linotype" w:hAnsi="Palatino Linotype" w:cs="Palatino Linotype"/>
                <w:b/>
                <w:color w:val="000000"/>
                <w:sz w:val="22"/>
              </w:rPr>
            </w:pPr>
            <w:r w:rsidRPr="00EC0030">
              <w:rPr>
                <w:rFonts w:ascii="Palatino Linotype" w:eastAsia="Palatino Linotype" w:hAnsi="Palatino Linotype" w:cs="Palatino Linotype"/>
                <w:b/>
                <w:color w:val="000000"/>
                <w:sz w:val="22"/>
              </w:rPr>
              <w:t>No. De página</w:t>
            </w:r>
          </w:p>
        </w:tc>
        <w:tc>
          <w:tcPr>
            <w:tcW w:w="4215" w:type="dxa"/>
            <w:shd w:val="clear" w:color="auto" w:fill="D9D9D9"/>
          </w:tcPr>
          <w:p w:rsidR="0012751D" w:rsidRPr="00EC0030" w:rsidRDefault="00F95FAE">
            <w:pPr>
              <w:pBdr>
                <w:top w:val="nil"/>
                <w:left w:val="nil"/>
                <w:bottom w:val="nil"/>
                <w:right w:val="nil"/>
                <w:between w:val="nil"/>
              </w:pBdr>
              <w:ind w:left="-566" w:right="-4"/>
              <w:jc w:val="center"/>
              <w:rPr>
                <w:rFonts w:ascii="Palatino Linotype" w:eastAsia="Palatino Linotype" w:hAnsi="Palatino Linotype" w:cs="Palatino Linotype"/>
                <w:b/>
                <w:color w:val="000000"/>
                <w:sz w:val="22"/>
              </w:rPr>
            </w:pPr>
            <w:r w:rsidRPr="00EC0030">
              <w:rPr>
                <w:rFonts w:ascii="Palatino Linotype" w:eastAsia="Palatino Linotype" w:hAnsi="Palatino Linotype" w:cs="Palatino Linotype"/>
                <w:b/>
                <w:color w:val="000000"/>
                <w:sz w:val="22"/>
              </w:rPr>
              <w:t>Dato personal</w:t>
            </w:r>
          </w:p>
        </w:tc>
      </w:tr>
      <w:tr w:rsidR="0012751D" w:rsidRPr="00EC0030">
        <w:tc>
          <w:tcPr>
            <w:tcW w:w="3009" w:type="dxa"/>
            <w:vMerge w:val="restart"/>
            <w:vAlign w:val="center"/>
          </w:tcPr>
          <w:p w:rsidR="0012751D" w:rsidRPr="00EC0030" w:rsidRDefault="00F95FAE">
            <w:pPr>
              <w:pBdr>
                <w:top w:val="nil"/>
                <w:left w:val="nil"/>
                <w:bottom w:val="nil"/>
                <w:right w:val="nil"/>
                <w:between w:val="nil"/>
              </w:pBdr>
              <w:ind w:left="38" w:right="-4"/>
              <w:jc w:val="center"/>
              <w:rPr>
                <w:rFonts w:ascii="Palatino Linotype" w:eastAsia="Palatino Linotype" w:hAnsi="Palatino Linotype" w:cs="Palatino Linotype"/>
                <w:b/>
                <w:i/>
                <w:color w:val="000000"/>
                <w:sz w:val="22"/>
              </w:rPr>
            </w:pPr>
            <w:r w:rsidRPr="00EC0030">
              <w:rPr>
                <w:rFonts w:ascii="Palatino Linotype" w:eastAsia="Palatino Linotype" w:hAnsi="Palatino Linotype" w:cs="Palatino Linotype"/>
                <w:b/>
                <w:i/>
                <w:color w:val="000000"/>
                <w:sz w:val="22"/>
              </w:rPr>
              <w:t>1.1 OFICIOS PRESIDENCIA 2023_Censurado.pdf</w:t>
            </w:r>
          </w:p>
        </w:tc>
        <w:tc>
          <w:tcPr>
            <w:tcW w:w="2375" w:type="dxa"/>
            <w:vAlign w:val="center"/>
          </w:tcPr>
          <w:p w:rsidR="0012751D" w:rsidRPr="00EC0030" w:rsidRDefault="00F95FAE">
            <w:pPr>
              <w:pBdr>
                <w:top w:val="nil"/>
                <w:left w:val="nil"/>
                <w:bottom w:val="nil"/>
                <w:right w:val="nil"/>
                <w:between w:val="nil"/>
              </w:pBdr>
              <w:ind w:left="141" w:right="-4"/>
              <w:jc w:val="center"/>
              <w:rPr>
                <w:rFonts w:ascii="Palatino Linotype" w:eastAsia="Palatino Linotype" w:hAnsi="Palatino Linotype" w:cs="Palatino Linotype"/>
                <w:color w:val="000000"/>
                <w:sz w:val="22"/>
              </w:rPr>
            </w:pPr>
            <w:r w:rsidRPr="00EC0030">
              <w:rPr>
                <w:rFonts w:ascii="Palatino Linotype" w:eastAsia="Palatino Linotype" w:hAnsi="Palatino Linotype" w:cs="Palatino Linotype"/>
                <w:color w:val="000000"/>
                <w:sz w:val="22"/>
              </w:rPr>
              <w:t>15</w:t>
            </w:r>
          </w:p>
        </w:tc>
        <w:tc>
          <w:tcPr>
            <w:tcW w:w="4215" w:type="dxa"/>
          </w:tcPr>
          <w:p w:rsidR="0012751D" w:rsidRPr="00EC0030" w:rsidRDefault="00F95FAE">
            <w:pPr>
              <w:pBdr>
                <w:top w:val="nil"/>
                <w:left w:val="nil"/>
                <w:bottom w:val="nil"/>
                <w:right w:val="nil"/>
                <w:between w:val="nil"/>
              </w:pBdr>
              <w:ind w:left="141" w:right="36"/>
              <w:jc w:val="both"/>
              <w:rPr>
                <w:rFonts w:ascii="Palatino Linotype" w:eastAsia="Palatino Linotype" w:hAnsi="Palatino Linotype" w:cs="Palatino Linotype"/>
                <w:color w:val="000000"/>
                <w:sz w:val="22"/>
              </w:rPr>
            </w:pPr>
            <w:r w:rsidRPr="00EC0030">
              <w:rPr>
                <w:rFonts w:ascii="Palatino Linotype" w:eastAsia="Palatino Linotype" w:hAnsi="Palatino Linotype" w:cs="Palatino Linotype"/>
                <w:color w:val="000000"/>
                <w:sz w:val="22"/>
              </w:rPr>
              <w:t>Número de celular</w:t>
            </w:r>
          </w:p>
        </w:tc>
      </w:tr>
      <w:tr w:rsidR="0012751D" w:rsidRPr="00EC0030">
        <w:tc>
          <w:tcPr>
            <w:tcW w:w="3009" w:type="dxa"/>
            <w:vMerge/>
            <w:vAlign w:val="center"/>
          </w:tcPr>
          <w:p w:rsidR="0012751D" w:rsidRPr="00EC0030" w:rsidRDefault="0012751D">
            <w:pPr>
              <w:widowControl w:val="0"/>
              <w:pBdr>
                <w:top w:val="nil"/>
                <w:left w:val="nil"/>
                <w:bottom w:val="nil"/>
                <w:right w:val="nil"/>
                <w:between w:val="nil"/>
              </w:pBdr>
              <w:spacing w:line="276" w:lineRule="auto"/>
              <w:ind w:right="-787"/>
              <w:rPr>
                <w:rFonts w:ascii="Palatino Linotype" w:eastAsia="Palatino Linotype" w:hAnsi="Palatino Linotype" w:cs="Palatino Linotype"/>
                <w:color w:val="000000"/>
                <w:sz w:val="22"/>
              </w:rPr>
            </w:pPr>
          </w:p>
        </w:tc>
        <w:tc>
          <w:tcPr>
            <w:tcW w:w="2375" w:type="dxa"/>
            <w:vAlign w:val="center"/>
          </w:tcPr>
          <w:p w:rsidR="0012751D" w:rsidRPr="00EC0030" w:rsidRDefault="00F95FAE">
            <w:pPr>
              <w:pBdr>
                <w:top w:val="nil"/>
                <w:left w:val="nil"/>
                <w:bottom w:val="nil"/>
                <w:right w:val="nil"/>
                <w:between w:val="nil"/>
              </w:pBdr>
              <w:ind w:left="141" w:right="-4"/>
              <w:jc w:val="center"/>
              <w:rPr>
                <w:rFonts w:ascii="Palatino Linotype" w:eastAsia="Palatino Linotype" w:hAnsi="Palatino Linotype" w:cs="Palatino Linotype"/>
                <w:color w:val="000000"/>
                <w:sz w:val="22"/>
              </w:rPr>
            </w:pPr>
            <w:r w:rsidRPr="00EC0030">
              <w:rPr>
                <w:rFonts w:ascii="Palatino Linotype" w:eastAsia="Palatino Linotype" w:hAnsi="Palatino Linotype" w:cs="Palatino Linotype"/>
                <w:color w:val="000000"/>
                <w:sz w:val="22"/>
              </w:rPr>
              <w:t>38</w:t>
            </w:r>
          </w:p>
        </w:tc>
        <w:tc>
          <w:tcPr>
            <w:tcW w:w="4215" w:type="dxa"/>
          </w:tcPr>
          <w:p w:rsidR="0012751D" w:rsidRPr="00EC0030" w:rsidRDefault="00F95FAE">
            <w:pPr>
              <w:pBdr>
                <w:top w:val="nil"/>
                <w:left w:val="nil"/>
                <w:bottom w:val="nil"/>
                <w:right w:val="nil"/>
                <w:between w:val="nil"/>
              </w:pBdr>
              <w:ind w:left="141" w:right="36"/>
              <w:jc w:val="both"/>
              <w:rPr>
                <w:rFonts w:ascii="Palatino Linotype" w:eastAsia="Palatino Linotype" w:hAnsi="Palatino Linotype" w:cs="Palatino Linotype"/>
                <w:color w:val="000000"/>
                <w:sz w:val="22"/>
              </w:rPr>
            </w:pPr>
            <w:r w:rsidRPr="00EC0030">
              <w:rPr>
                <w:rFonts w:ascii="Palatino Linotype" w:eastAsia="Palatino Linotype" w:hAnsi="Palatino Linotype" w:cs="Palatino Linotype"/>
                <w:color w:val="000000"/>
                <w:sz w:val="22"/>
              </w:rPr>
              <w:t>Nombre de particular</w:t>
            </w:r>
          </w:p>
        </w:tc>
      </w:tr>
      <w:tr w:rsidR="0012751D" w:rsidRPr="00EC0030">
        <w:tc>
          <w:tcPr>
            <w:tcW w:w="3009" w:type="dxa"/>
            <w:vMerge/>
            <w:vAlign w:val="center"/>
          </w:tcPr>
          <w:p w:rsidR="0012751D" w:rsidRPr="00EC0030" w:rsidRDefault="0012751D">
            <w:pPr>
              <w:widowControl w:val="0"/>
              <w:pBdr>
                <w:top w:val="nil"/>
                <w:left w:val="nil"/>
                <w:bottom w:val="nil"/>
                <w:right w:val="nil"/>
                <w:between w:val="nil"/>
              </w:pBdr>
              <w:spacing w:line="276" w:lineRule="auto"/>
              <w:ind w:right="-787"/>
              <w:rPr>
                <w:rFonts w:ascii="Palatino Linotype" w:eastAsia="Palatino Linotype" w:hAnsi="Palatino Linotype" w:cs="Palatino Linotype"/>
                <w:color w:val="000000"/>
                <w:sz w:val="22"/>
              </w:rPr>
            </w:pPr>
          </w:p>
        </w:tc>
        <w:tc>
          <w:tcPr>
            <w:tcW w:w="2375" w:type="dxa"/>
            <w:vAlign w:val="center"/>
          </w:tcPr>
          <w:p w:rsidR="0012751D" w:rsidRPr="00EC0030" w:rsidRDefault="00F95FAE">
            <w:pPr>
              <w:pBdr>
                <w:top w:val="nil"/>
                <w:left w:val="nil"/>
                <w:bottom w:val="nil"/>
                <w:right w:val="nil"/>
                <w:between w:val="nil"/>
              </w:pBdr>
              <w:ind w:left="141" w:right="-4"/>
              <w:jc w:val="center"/>
              <w:rPr>
                <w:rFonts w:ascii="Palatino Linotype" w:eastAsia="Palatino Linotype" w:hAnsi="Palatino Linotype" w:cs="Palatino Linotype"/>
                <w:color w:val="000000"/>
                <w:sz w:val="22"/>
              </w:rPr>
            </w:pPr>
            <w:r w:rsidRPr="00EC0030">
              <w:rPr>
                <w:rFonts w:ascii="Palatino Linotype" w:eastAsia="Palatino Linotype" w:hAnsi="Palatino Linotype" w:cs="Palatino Linotype"/>
                <w:color w:val="000000"/>
                <w:sz w:val="22"/>
              </w:rPr>
              <w:t>47</w:t>
            </w:r>
          </w:p>
        </w:tc>
        <w:tc>
          <w:tcPr>
            <w:tcW w:w="4215" w:type="dxa"/>
          </w:tcPr>
          <w:p w:rsidR="0012751D" w:rsidRPr="00EC0030" w:rsidRDefault="00F95FAE">
            <w:pPr>
              <w:pBdr>
                <w:top w:val="nil"/>
                <w:left w:val="nil"/>
                <w:bottom w:val="nil"/>
                <w:right w:val="nil"/>
                <w:between w:val="nil"/>
              </w:pBdr>
              <w:ind w:left="141" w:right="36"/>
              <w:jc w:val="both"/>
              <w:rPr>
                <w:rFonts w:ascii="Palatino Linotype" w:eastAsia="Palatino Linotype" w:hAnsi="Palatino Linotype" w:cs="Palatino Linotype"/>
                <w:color w:val="000000"/>
                <w:sz w:val="22"/>
              </w:rPr>
            </w:pPr>
            <w:r w:rsidRPr="00EC0030">
              <w:rPr>
                <w:rFonts w:ascii="Palatino Linotype" w:eastAsia="Palatino Linotype" w:hAnsi="Palatino Linotype" w:cs="Palatino Linotype"/>
                <w:color w:val="000000"/>
                <w:sz w:val="22"/>
              </w:rPr>
              <w:t>Nombre de particulares</w:t>
            </w:r>
          </w:p>
        </w:tc>
      </w:tr>
      <w:tr w:rsidR="0012751D" w:rsidRPr="00EC0030">
        <w:tc>
          <w:tcPr>
            <w:tcW w:w="3009" w:type="dxa"/>
            <w:vMerge/>
            <w:vAlign w:val="center"/>
          </w:tcPr>
          <w:p w:rsidR="0012751D" w:rsidRPr="00EC0030" w:rsidRDefault="0012751D">
            <w:pPr>
              <w:widowControl w:val="0"/>
              <w:pBdr>
                <w:top w:val="nil"/>
                <w:left w:val="nil"/>
                <w:bottom w:val="nil"/>
                <w:right w:val="nil"/>
                <w:between w:val="nil"/>
              </w:pBdr>
              <w:spacing w:line="276" w:lineRule="auto"/>
              <w:ind w:right="-787"/>
              <w:rPr>
                <w:rFonts w:ascii="Palatino Linotype" w:eastAsia="Palatino Linotype" w:hAnsi="Palatino Linotype" w:cs="Palatino Linotype"/>
                <w:color w:val="000000"/>
                <w:sz w:val="22"/>
              </w:rPr>
            </w:pPr>
          </w:p>
        </w:tc>
        <w:tc>
          <w:tcPr>
            <w:tcW w:w="2375" w:type="dxa"/>
            <w:vAlign w:val="center"/>
          </w:tcPr>
          <w:p w:rsidR="0012751D" w:rsidRPr="00EC0030" w:rsidRDefault="00F95FAE">
            <w:pPr>
              <w:pBdr>
                <w:top w:val="nil"/>
                <w:left w:val="nil"/>
                <w:bottom w:val="nil"/>
                <w:right w:val="nil"/>
                <w:between w:val="nil"/>
              </w:pBdr>
              <w:ind w:left="141" w:right="-4"/>
              <w:jc w:val="center"/>
              <w:rPr>
                <w:rFonts w:ascii="Palatino Linotype" w:eastAsia="Palatino Linotype" w:hAnsi="Palatino Linotype" w:cs="Palatino Linotype"/>
                <w:color w:val="000000"/>
                <w:sz w:val="22"/>
              </w:rPr>
            </w:pPr>
            <w:r w:rsidRPr="00EC0030">
              <w:rPr>
                <w:rFonts w:ascii="Palatino Linotype" w:eastAsia="Palatino Linotype" w:hAnsi="Palatino Linotype" w:cs="Palatino Linotype"/>
                <w:color w:val="000000"/>
                <w:sz w:val="22"/>
              </w:rPr>
              <w:t>62</w:t>
            </w:r>
          </w:p>
        </w:tc>
        <w:tc>
          <w:tcPr>
            <w:tcW w:w="4215" w:type="dxa"/>
          </w:tcPr>
          <w:p w:rsidR="0012751D" w:rsidRPr="00EC0030" w:rsidRDefault="00F95FAE">
            <w:pPr>
              <w:pBdr>
                <w:top w:val="nil"/>
                <w:left w:val="nil"/>
                <w:bottom w:val="nil"/>
                <w:right w:val="nil"/>
                <w:between w:val="nil"/>
              </w:pBdr>
              <w:ind w:left="141" w:right="36"/>
              <w:jc w:val="both"/>
              <w:rPr>
                <w:rFonts w:ascii="Palatino Linotype" w:eastAsia="Palatino Linotype" w:hAnsi="Palatino Linotype" w:cs="Palatino Linotype"/>
                <w:color w:val="000000"/>
                <w:sz w:val="22"/>
              </w:rPr>
            </w:pPr>
            <w:r w:rsidRPr="00EC0030">
              <w:rPr>
                <w:rFonts w:ascii="Palatino Linotype" w:eastAsia="Palatino Linotype" w:hAnsi="Palatino Linotype" w:cs="Palatino Linotype"/>
                <w:color w:val="000000"/>
                <w:sz w:val="22"/>
              </w:rPr>
              <w:t>Nombre de particular</w:t>
            </w:r>
          </w:p>
        </w:tc>
      </w:tr>
      <w:tr w:rsidR="0012751D" w:rsidRPr="00EC0030">
        <w:tc>
          <w:tcPr>
            <w:tcW w:w="3009" w:type="dxa"/>
            <w:vMerge/>
            <w:vAlign w:val="center"/>
          </w:tcPr>
          <w:p w:rsidR="0012751D" w:rsidRPr="00EC0030" w:rsidRDefault="0012751D">
            <w:pPr>
              <w:widowControl w:val="0"/>
              <w:pBdr>
                <w:top w:val="nil"/>
                <w:left w:val="nil"/>
                <w:bottom w:val="nil"/>
                <w:right w:val="nil"/>
                <w:between w:val="nil"/>
              </w:pBdr>
              <w:spacing w:line="276" w:lineRule="auto"/>
              <w:ind w:right="-787"/>
              <w:rPr>
                <w:rFonts w:ascii="Palatino Linotype" w:eastAsia="Palatino Linotype" w:hAnsi="Palatino Linotype" w:cs="Palatino Linotype"/>
                <w:color w:val="000000"/>
                <w:sz w:val="22"/>
              </w:rPr>
            </w:pPr>
          </w:p>
        </w:tc>
        <w:tc>
          <w:tcPr>
            <w:tcW w:w="2375" w:type="dxa"/>
            <w:vAlign w:val="center"/>
          </w:tcPr>
          <w:p w:rsidR="0012751D" w:rsidRPr="00EC0030" w:rsidRDefault="00F95FAE">
            <w:pPr>
              <w:pBdr>
                <w:top w:val="nil"/>
                <w:left w:val="nil"/>
                <w:bottom w:val="nil"/>
                <w:right w:val="nil"/>
                <w:between w:val="nil"/>
              </w:pBdr>
              <w:ind w:left="141" w:right="-4"/>
              <w:jc w:val="center"/>
              <w:rPr>
                <w:rFonts w:ascii="Palatino Linotype" w:eastAsia="Palatino Linotype" w:hAnsi="Palatino Linotype" w:cs="Palatino Linotype"/>
                <w:color w:val="000000"/>
                <w:sz w:val="22"/>
              </w:rPr>
            </w:pPr>
            <w:r w:rsidRPr="00EC0030">
              <w:rPr>
                <w:rFonts w:ascii="Palatino Linotype" w:eastAsia="Palatino Linotype" w:hAnsi="Palatino Linotype" w:cs="Palatino Linotype"/>
                <w:color w:val="000000"/>
                <w:sz w:val="22"/>
              </w:rPr>
              <w:t>66</w:t>
            </w:r>
          </w:p>
        </w:tc>
        <w:tc>
          <w:tcPr>
            <w:tcW w:w="4215" w:type="dxa"/>
          </w:tcPr>
          <w:p w:rsidR="0012751D" w:rsidRPr="00EC0030" w:rsidRDefault="00F95FAE">
            <w:pPr>
              <w:pBdr>
                <w:top w:val="nil"/>
                <w:left w:val="nil"/>
                <w:bottom w:val="nil"/>
                <w:right w:val="nil"/>
                <w:between w:val="nil"/>
              </w:pBdr>
              <w:ind w:left="141" w:right="36"/>
              <w:jc w:val="both"/>
              <w:rPr>
                <w:rFonts w:ascii="Palatino Linotype" w:eastAsia="Palatino Linotype" w:hAnsi="Palatino Linotype" w:cs="Palatino Linotype"/>
                <w:color w:val="000000"/>
                <w:sz w:val="22"/>
              </w:rPr>
            </w:pPr>
            <w:r w:rsidRPr="00EC0030">
              <w:rPr>
                <w:rFonts w:ascii="Palatino Linotype" w:eastAsia="Palatino Linotype" w:hAnsi="Palatino Linotype" w:cs="Palatino Linotype"/>
                <w:color w:val="000000"/>
                <w:sz w:val="22"/>
              </w:rPr>
              <w:t>Nombre de particular</w:t>
            </w:r>
          </w:p>
        </w:tc>
      </w:tr>
      <w:tr w:rsidR="0012751D" w:rsidRPr="00EC0030">
        <w:tc>
          <w:tcPr>
            <w:tcW w:w="3009" w:type="dxa"/>
            <w:vMerge/>
            <w:vAlign w:val="center"/>
          </w:tcPr>
          <w:p w:rsidR="0012751D" w:rsidRPr="00EC0030" w:rsidRDefault="0012751D">
            <w:pPr>
              <w:widowControl w:val="0"/>
              <w:pBdr>
                <w:top w:val="nil"/>
                <w:left w:val="nil"/>
                <w:bottom w:val="nil"/>
                <w:right w:val="nil"/>
                <w:between w:val="nil"/>
              </w:pBdr>
              <w:spacing w:line="276" w:lineRule="auto"/>
              <w:ind w:right="-787"/>
              <w:rPr>
                <w:rFonts w:ascii="Palatino Linotype" w:eastAsia="Palatino Linotype" w:hAnsi="Palatino Linotype" w:cs="Palatino Linotype"/>
                <w:color w:val="000000"/>
                <w:sz w:val="22"/>
              </w:rPr>
            </w:pPr>
          </w:p>
        </w:tc>
        <w:tc>
          <w:tcPr>
            <w:tcW w:w="2375" w:type="dxa"/>
            <w:vAlign w:val="center"/>
          </w:tcPr>
          <w:p w:rsidR="0012751D" w:rsidRPr="00EC0030" w:rsidRDefault="00F95FAE">
            <w:pPr>
              <w:pBdr>
                <w:top w:val="nil"/>
                <w:left w:val="nil"/>
                <w:bottom w:val="nil"/>
                <w:right w:val="nil"/>
                <w:between w:val="nil"/>
              </w:pBdr>
              <w:ind w:left="141" w:right="-4"/>
              <w:jc w:val="center"/>
              <w:rPr>
                <w:rFonts w:ascii="Palatino Linotype" w:eastAsia="Palatino Linotype" w:hAnsi="Palatino Linotype" w:cs="Palatino Linotype"/>
                <w:color w:val="000000"/>
                <w:sz w:val="22"/>
              </w:rPr>
            </w:pPr>
            <w:r w:rsidRPr="00EC0030">
              <w:rPr>
                <w:rFonts w:ascii="Palatino Linotype" w:eastAsia="Palatino Linotype" w:hAnsi="Palatino Linotype" w:cs="Palatino Linotype"/>
                <w:color w:val="000000"/>
                <w:sz w:val="22"/>
              </w:rPr>
              <w:t>67</w:t>
            </w:r>
          </w:p>
        </w:tc>
        <w:tc>
          <w:tcPr>
            <w:tcW w:w="4215" w:type="dxa"/>
          </w:tcPr>
          <w:p w:rsidR="0012751D" w:rsidRPr="00EC0030" w:rsidRDefault="00F95FAE">
            <w:pPr>
              <w:pBdr>
                <w:top w:val="nil"/>
                <w:left w:val="nil"/>
                <w:bottom w:val="nil"/>
                <w:right w:val="nil"/>
                <w:between w:val="nil"/>
              </w:pBdr>
              <w:ind w:left="141" w:right="36"/>
              <w:jc w:val="both"/>
              <w:rPr>
                <w:rFonts w:ascii="Palatino Linotype" w:eastAsia="Palatino Linotype" w:hAnsi="Palatino Linotype" w:cs="Palatino Linotype"/>
                <w:color w:val="000000"/>
                <w:sz w:val="22"/>
              </w:rPr>
            </w:pPr>
            <w:r w:rsidRPr="00EC0030">
              <w:rPr>
                <w:rFonts w:ascii="Palatino Linotype" w:eastAsia="Palatino Linotype" w:hAnsi="Palatino Linotype" w:cs="Palatino Linotype"/>
                <w:color w:val="000000"/>
                <w:sz w:val="22"/>
              </w:rPr>
              <w:t>Nombre, domicilio y firma de particular</w:t>
            </w:r>
          </w:p>
        </w:tc>
      </w:tr>
      <w:tr w:rsidR="0012751D" w:rsidRPr="00EC0030">
        <w:tc>
          <w:tcPr>
            <w:tcW w:w="3009" w:type="dxa"/>
            <w:vMerge/>
            <w:vAlign w:val="center"/>
          </w:tcPr>
          <w:p w:rsidR="0012751D" w:rsidRPr="00EC0030" w:rsidRDefault="0012751D">
            <w:pPr>
              <w:widowControl w:val="0"/>
              <w:pBdr>
                <w:top w:val="nil"/>
                <w:left w:val="nil"/>
                <w:bottom w:val="nil"/>
                <w:right w:val="nil"/>
                <w:between w:val="nil"/>
              </w:pBdr>
              <w:spacing w:line="276" w:lineRule="auto"/>
              <w:ind w:right="-787"/>
              <w:rPr>
                <w:rFonts w:ascii="Palatino Linotype" w:eastAsia="Palatino Linotype" w:hAnsi="Palatino Linotype" w:cs="Palatino Linotype"/>
                <w:color w:val="000000"/>
                <w:sz w:val="22"/>
              </w:rPr>
            </w:pPr>
          </w:p>
        </w:tc>
        <w:tc>
          <w:tcPr>
            <w:tcW w:w="2375" w:type="dxa"/>
            <w:vAlign w:val="center"/>
          </w:tcPr>
          <w:p w:rsidR="0012751D" w:rsidRPr="00EC0030" w:rsidRDefault="00F95FAE">
            <w:pPr>
              <w:pBdr>
                <w:top w:val="nil"/>
                <w:left w:val="nil"/>
                <w:bottom w:val="nil"/>
                <w:right w:val="nil"/>
                <w:between w:val="nil"/>
              </w:pBdr>
              <w:ind w:left="141" w:right="-4"/>
              <w:jc w:val="center"/>
              <w:rPr>
                <w:rFonts w:ascii="Palatino Linotype" w:eastAsia="Palatino Linotype" w:hAnsi="Palatino Linotype" w:cs="Palatino Linotype"/>
                <w:color w:val="000000"/>
                <w:sz w:val="22"/>
              </w:rPr>
            </w:pPr>
            <w:r w:rsidRPr="00EC0030">
              <w:rPr>
                <w:rFonts w:ascii="Palatino Linotype" w:eastAsia="Palatino Linotype" w:hAnsi="Palatino Linotype" w:cs="Palatino Linotype"/>
                <w:color w:val="000000"/>
                <w:sz w:val="22"/>
              </w:rPr>
              <w:t>68</w:t>
            </w:r>
          </w:p>
        </w:tc>
        <w:tc>
          <w:tcPr>
            <w:tcW w:w="4215" w:type="dxa"/>
          </w:tcPr>
          <w:p w:rsidR="0012751D" w:rsidRPr="00EC0030" w:rsidRDefault="00F95FAE">
            <w:pPr>
              <w:pBdr>
                <w:top w:val="nil"/>
                <w:left w:val="nil"/>
                <w:bottom w:val="nil"/>
                <w:right w:val="nil"/>
                <w:between w:val="nil"/>
              </w:pBdr>
              <w:ind w:left="141" w:right="36"/>
              <w:jc w:val="both"/>
              <w:rPr>
                <w:rFonts w:ascii="Palatino Linotype" w:eastAsia="Palatino Linotype" w:hAnsi="Palatino Linotype" w:cs="Palatino Linotype"/>
                <w:color w:val="000000"/>
                <w:sz w:val="22"/>
              </w:rPr>
            </w:pPr>
            <w:r w:rsidRPr="00EC0030">
              <w:rPr>
                <w:rFonts w:ascii="Palatino Linotype" w:eastAsia="Palatino Linotype" w:hAnsi="Palatino Linotype" w:cs="Palatino Linotype"/>
                <w:color w:val="000000"/>
                <w:sz w:val="22"/>
              </w:rPr>
              <w:t>Nombre de particular</w:t>
            </w:r>
          </w:p>
        </w:tc>
      </w:tr>
      <w:tr w:rsidR="0012751D" w:rsidRPr="00EC0030">
        <w:tc>
          <w:tcPr>
            <w:tcW w:w="3009" w:type="dxa"/>
            <w:vMerge/>
            <w:vAlign w:val="center"/>
          </w:tcPr>
          <w:p w:rsidR="0012751D" w:rsidRPr="00EC0030" w:rsidRDefault="0012751D">
            <w:pPr>
              <w:widowControl w:val="0"/>
              <w:pBdr>
                <w:top w:val="nil"/>
                <w:left w:val="nil"/>
                <w:bottom w:val="nil"/>
                <w:right w:val="nil"/>
                <w:between w:val="nil"/>
              </w:pBdr>
              <w:spacing w:line="276" w:lineRule="auto"/>
              <w:ind w:right="-787"/>
              <w:rPr>
                <w:rFonts w:ascii="Palatino Linotype" w:eastAsia="Palatino Linotype" w:hAnsi="Palatino Linotype" w:cs="Palatino Linotype"/>
                <w:color w:val="000000"/>
                <w:sz w:val="22"/>
              </w:rPr>
            </w:pPr>
          </w:p>
        </w:tc>
        <w:tc>
          <w:tcPr>
            <w:tcW w:w="2375" w:type="dxa"/>
            <w:vAlign w:val="center"/>
          </w:tcPr>
          <w:p w:rsidR="0012751D" w:rsidRPr="00EC0030" w:rsidRDefault="00F95FAE">
            <w:pPr>
              <w:pBdr>
                <w:top w:val="nil"/>
                <w:left w:val="nil"/>
                <w:bottom w:val="nil"/>
                <w:right w:val="nil"/>
                <w:between w:val="nil"/>
              </w:pBdr>
              <w:ind w:left="141" w:right="-4"/>
              <w:jc w:val="center"/>
              <w:rPr>
                <w:rFonts w:ascii="Palatino Linotype" w:eastAsia="Palatino Linotype" w:hAnsi="Palatino Linotype" w:cs="Palatino Linotype"/>
                <w:color w:val="000000"/>
                <w:sz w:val="22"/>
              </w:rPr>
            </w:pPr>
            <w:r w:rsidRPr="00EC0030">
              <w:rPr>
                <w:rFonts w:ascii="Palatino Linotype" w:eastAsia="Palatino Linotype" w:hAnsi="Palatino Linotype" w:cs="Palatino Linotype"/>
                <w:color w:val="000000"/>
                <w:sz w:val="22"/>
              </w:rPr>
              <w:t>69</w:t>
            </w:r>
          </w:p>
        </w:tc>
        <w:tc>
          <w:tcPr>
            <w:tcW w:w="4215" w:type="dxa"/>
          </w:tcPr>
          <w:p w:rsidR="0012751D" w:rsidRPr="00EC0030" w:rsidRDefault="00F95FAE">
            <w:pPr>
              <w:pBdr>
                <w:top w:val="nil"/>
                <w:left w:val="nil"/>
                <w:bottom w:val="nil"/>
                <w:right w:val="nil"/>
                <w:between w:val="nil"/>
              </w:pBdr>
              <w:ind w:left="141" w:right="36"/>
              <w:jc w:val="both"/>
              <w:rPr>
                <w:rFonts w:ascii="Palatino Linotype" w:eastAsia="Palatino Linotype" w:hAnsi="Palatino Linotype" w:cs="Palatino Linotype"/>
                <w:color w:val="000000"/>
                <w:sz w:val="22"/>
              </w:rPr>
            </w:pPr>
            <w:r w:rsidRPr="00EC0030">
              <w:rPr>
                <w:rFonts w:ascii="Palatino Linotype" w:eastAsia="Palatino Linotype" w:hAnsi="Palatino Linotype" w:cs="Palatino Linotype"/>
                <w:color w:val="000000"/>
                <w:sz w:val="22"/>
              </w:rPr>
              <w:t>Nombre y firma de particular</w:t>
            </w:r>
          </w:p>
        </w:tc>
      </w:tr>
    </w:tbl>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12751D">
      <w:pPr>
        <w:spacing w:line="360" w:lineRule="auto"/>
        <w:ind w:right="-787"/>
        <w:jc w:val="both"/>
        <w:rPr>
          <w:rFonts w:ascii="Palatino Linotype" w:eastAsia="Palatino Linotype" w:hAnsi="Palatino Linotype" w:cs="Palatino Linotype"/>
          <w:color w:val="000000"/>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Así entonces, la restricción de clasificar la información como confidencial, únicamente abarca a la protección de la esfera jurídica de los Particulares, cuando los datos relacionados con su persona son requeridos y pueden ocasionar un daño real, o bien a los Sujetos Obligados, siempre y cuando no se utilicen recursos públicos, lo que nos lleva a comprender, que el uso de los recursos públicos que ejercen los Ayuntamientos, no pueden ser clasificados como información confidencial.</w:t>
      </w:r>
    </w:p>
    <w:p w:rsidR="0012751D" w:rsidRPr="00EC0030" w:rsidRDefault="0012751D">
      <w:pPr>
        <w:spacing w:line="360" w:lineRule="auto"/>
        <w:ind w:left="360"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Así, en conclusión a todo lo antes expuesto, se colige que </w:t>
      </w:r>
      <w:r w:rsidRPr="00EC0030">
        <w:rPr>
          <w:rFonts w:ascii="Palatino Linotype" w:eastAsia="Palatino Linotype" w:hAnsi="Palatino Linotype" w:cs="Palatino Linotype"/>
          <w:b/>
        </w:rPr>
        <w:t>la información proporcionada por Sujeto Obligado da cuenta parcialmente a lo solicitado</w:t>
      </w:r>
      <w:r w:rsidRPr="00EC0030">
        <w:rPr>
          <w:rFonts w:ascii="Palatino Linotype" w:eastAsia="Palatino Linotype" w:hAnsi="Palatino Linotype" w:cs="Palatino Linotype"/>
        </w:rPr>
        <w:t>, ya que además de advertirse incompleta, la versión pública con la que se pretendió satisfacer el derecho de acceso a la información fue incorrecta.</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Por lo tanto, como ya se mencionó, la entrega de documentos en su versión pública debe acompañarse necesariamente del Acuerdo del Comité de Transparencia que la sustente el cual debe estar debidamente fundado y motivado, en el que se expongan los fundamentos y razonamientos que llevaron al Sujeto Obligado a testar, suprimir o eliminar datos de dicho soporte documental, ya que no hacerlo, se reitera que lo entregado no tendría un sustento jurídico ni resultaría ser una versión pública, sino más bien una documentación ilegible, incompleta o tachada; ya que el no justificar las causas o motivos por las que no se aprecian determinados datos -ya sea porque se testan o suprimen- deja a la solicitante en </w:t>
      </w:r>
      <w:r w:rsidRPr="00EC0030">
        <w:rPr>
          <w:rFonts w:ascii="Palatino Linotype" w:eastAsia="Palatino Linotype" w:hAnsi="Palatino Linotype" w:cs="Palatino Linotype"/>
        </w:rPr>
        <w:lastRenderedPageBreak/>
        <w:t>estado de incertidumbre, al no conocer o comprender porque no aparecen en la documentación respectiva.</w:t>
      </w:r>
    </w:p>
    <w:p w:rsidR="0012751D" w:rsidRPr="00EC0030" w:rsidRDefault="0012751D">
      <w:pPr>
        <w:pBdr>
          <w:top w:val="nil"/>
          <w:left w:val="nil"/>
          <w:bottom w:val="nil"/>
          <w:right w:val="nil"/>
          <w:between w:val="nil"/>
        </w:pBdr>
        <w:spacing w:line="360" w:lineRule="auto"/>
        <w:ind w:right="-787"/>
        <w:jc w:val="both"/>
        <w:rPr>
          <w:rFonts w:ascii="Palatino Linotype" w:eastAsia="Palatino Linotype" w:hAnsi="Palatino Linotype" w:cs="Palatino Linotype"/>
          <w:b/>
        </w:rPr>
      </w:pPr>
    </w:p>
    <w:p w:rsidR="0012751D" w:rsidRPr="00EC0030" w:rsidRDefault="00F95FAE">
      <w:pPr>
        <w:keepNext/>
        <w:keepLines/>
        <w:spacing w:after="160" w:line="360" w:lineRule="auto"/>
        <w:ind w:right="-787"/>
        <w:rPr>
          <w:rFonts w:ascii="Palatino Linotype" w:eastAsia="Palatino Linotype" w:hAnsi="Palatino Linotype" w:cs="Palatino Linotype"/>
          <w:b/>
          <w:color w:val="000000"/>
        </w:rPr>
      </w:pPr>
      <w:r w:rsidRPr="00EC0030">
        <w:rPr>
          <w:rFonts w:ascii="Palatino Linotype" w:eastAsia="Palatino Linotype" w:hAnsi="Palatino Linotype" w:cs="Palatino Linotype"/>
          <w:b/>
          <w:color w:val="000000"/>
        </w:rPr>
        <w:t>QUINTA. De la versión pública.</w:t>
      </w:r>
    </w:p>
    <w:p w:rsidR="0012751D" w:rsidRPr="00EC0030" w:rsidRDefault="00F95FAE">
      <w:pPr>
        <w:keepNext/>
        <w:keepLines/>
        <w:numPr>
          <w:ilvl w:val="0"/>
          <w:numId w:val="5"/>
        </w:numPr>
        <w:tabs>
          <w:tab w:val="left" w:pos="284"/>
        </w:tabs>
        <w:spacing w:after="160" w:line="360" w:lineRule="auto"/>
        <w:ind w:right="-787"/>
        <w:rPr>
          <w:rFonts w:ascii="Palatino Linotype" w:eastAsia="Palatino Linotype" w:hAnsi="Palatino Linotype" w:cs="Palatino Linotype"/>
          <w:b/>
          <w:color w:val="000000"/>
        </w:rPr>
      </w:pPr>
      <w:r w:rsidRPr="00EC0030">
        <w:rPr>
          <w:rFonts w:ascii="Palatino Linotype" w:eastAsia="Palatino Linotype" w:hAnsi="Palatino Linotype" w:cs="Palatino Linotype"/>
          <w:b/>
          <w:color w:val="000000"/>
        </w:rPr>
        <w:t xml:space="preserve">Nociones generales. </w:t>
      </w: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Debe destacarse, que si debido a la información solicitada por el </w:t>
      </w:r>
      <w:r w:rsidRPr="00EC0030">
        <w:rPr>
          <w:rFonts w:ascii="Palatino Linotype" w:eastAsia="Palatino Linotype" w:hAnsi="Palatino Linotype" w:cs="Palatino Linotype"/>
          <w:b/>
        </w:rPr>
        <w:t>RECURRENTE</w:t>
      </w:r>
      <w:r w:rsidRPr="00EC0030">
        <w:rPr>
          <w:rFonts w:ascii="Palatino Linotype" w:eastAsia="Palatino Linotype" w:hAnsi="Palatino Linotype" w:cs="Palatino Linotype"/>
        </w:rPr>
        <w:t xml:space="preserve">, obran datos personales susceptibles de protegerse, así como información susceptible de clasificarse como confidencial,  el </w:t>
      </w:r>
      <w:r w:rsidRPr="00EC0030">
        <w:rPr>
          <w:rFonts w:ascii="Palatino Linotype" w:eastAsia="Palatino Linotype" w:hAnsi="Palatino Linotype" w:cs="Palatino Linotype"/>
          <w:b/>
        </w:rPr>
        <w:t xml:space="preserve">SUJETO OBLIGADO </w:t>
      </w:r>
      <w:r w:rsidRPr="00EC0030">
        <w:rPr>
          <w:rFonts w:ascii="Palatino Linotype" w:eastAsia="Palatino Linotype" w:hAnsi="Palatino Linotype" w:cs="Palatino Linotype"/>
        </w:rPr>
        <w:t xml:space="preserve">deberá de hacer la adecuada versión pública, protegiendo los datos que no son susceptibles de ser proporcionados. </w:t>
      </w:r>
    </w:p>
    <w:p w:rsidR="0012751D" w:rsidRPr="00EC0030" w:rsidRDefault="0012751D">
      <w:pPr>
        <w:tabs>
          <w:tab w:val="left" w:pos="0"/>
          <w:tab w:val="left" w:pos="284"/>
        </w:tabs>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color w:val="000000"/>
        </w:rPr>
      </w:pPr>
      <w:r w:rsidRPr="00EC0030">
        <w:rPr>
          <w:rFonts w:ascii="Palatino Linotype" w:eastAsia="Palatino Linotype" w:hAnsi="Palatino Linotype" w:cs="Palatino Linotype"/>
          <w:color w:val="000000"/>
        </w:rPr>
        <w:t>No pasa desapercibido para este Órgano Garante que los sujetos obligados</w:t>
      </w:r>
      <w:r w:rsidRPr="00EC0030">
        <w:rPr>
          <w:rFonts w:ascii="Palatino Linotype" w:eastAsia="Palatino Linotype" w:hAnsi="Palatino Linotype" w:cs="Palatino Linotype"/>
          <w:b/>
          <w:color w:val="000000"/>
        </w:rPr>
        <w:t xml:space="preserve"> </w:t>
      </w:r>
      <w:r w:rsidRPr="00EC0030">
        <w:rPr>
          <w:rFonts w:ascii="Palatino Linotype" w:eastAsia="Palatino Linotype" w:hAnsi="Palatino Linotype" w:cs="Palatino Linotype"/>
          <w:color w:val="000000"/>
        </w:rPr>
        <w:t>serán responsables de los datos personales en su posesión y que, en caso de localizarse datos concernientes a terceros, éstos no podrán difundir, distribuir o comercializar los datos personales.  Cabe destacar que, para la realización de la clasificación de la información, se deben seguir una serie de pasos y procedimientos, por lo que es menester reiterar los mismos:</w:t>
      </w:r>
    </w:p>
    <w:p w:rsidR="0012751D" w:rsidRPr="00EC0030" w:rsidRDefault="0012751D">
      <w:pPr>
        <w:tabs>
          <w:tab w:val="left" w:pos="284"/>
        </w:tabs>
        <w:spacing w:after="160" w:line="360" w:lineRule="auto"/>
        <w:ind w:right="-787"/>
        <w:jc w:val="both"/>
        <w:rPr>
          <w:rFonts w:ascii="Palatino Linotype" w:eastAsia="Palatino Linotype" w:hAnsi="Palatino Linotype" w:cs="Palatino Linotype"/>
          <w:color w:val="000000"/>
        </w:rPr>
      </w:pPr>
    </w:p>
    <w:tbl>
      <w:tblPr>
        <w:tblStyle w:val="a7"/>
        <w:tblW w:w="9825" w:type="dxa"/>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2865"/>
        <w:gridCol w:w="6960"/>
      </w:tblGrid>
      <w:tr w:rsidR="0012751D" w:rsidRPr="00EC0030">
        <w:tc>
          <w:tcPr>
            <w:tcW w:w="2865" w:type="dxa"/>
          </w:tcPr>
          <w:p w:rsidR="0012751D" w:rsidRPr="00EC0030" w:rsidRDefault="00F95FAE">
            <w:pPr>
              <w:tabs>
                <w:tab w:val="left" w:pos="284"/>
              </w:tabs>
              <w:spacing w:line="360" w:lineRule="auto"/>
              <w:ind w:right="-67"/>
              <w:rPr>
                <w:rFonts w:ascii="Palatino Linotype" w:eastAsia="Palatino Linotype" w:hAnsi="Palatino Linotype" w:cs="Palatino Linotype"/>
                <w:b/>
                <w:sz w:val="22"/>
                <w:szCs w:val="22"/>
              </w:rPr>
            </w:pPr>
            <w:r w:rsidRPr="00EC0030">
              <w:rPr>
                <w:rFonts w:ascii="Palatino Linotype" w:eastAsia="Palatino Linotype" w:hAnsi="Palatino Linotype" w:cs="Palatino Linotype"/>
                <w:b/>
                <w:sz w:val="22"/>
                <w:szCs w:val="22"/>
              </w:rPr>
              <w:t>a) Requisitos previos.</w:t>
            </w:r>
          </w:p>
        </w:tc>
        <w:tc>
          <w:tcPr>
            <w:tcW w:w="6960" w:type="dxa"/>
          </w:tcPr>
          <w:p w:rsidR="0012751D" w:rsidRPr="00EC0030" w:rsidRDefault="00F95FAE">
            <w:pPr>
              <w:tabs>
                <w:tab w:val="left" w:pos="284"/>
              </w:tabs>
              <w:spacing w:line="360" w:lineRule="auto"/>
              <w:ind w:right="-67"/>
              <w:jc w:val="both"/>
              <w:rPr>
                <w:rFonts w:ascii="Palatino Linotype" w:eastAsia="Palatino Linotype" w:hAnsi="Palatino Linotype" w:cs="Palatino Linotype"/>
                <w:b/>
                <w:color w:val="000000"/>
                <w:sz w:val="22"/>
                <w:szCs w:val="22"/>
              </w:rPr>
            </w:pPr>
            <w:r w:rsidRPr="00EC0030">
              <w:rPr>
                <w:rFonts w:ascii="Palatino Linotype" w:eastAsia="Palatino Linotype" w:hAnsi="Palatino Linotype" w:cs="Palatino Linotype"/>
                <w:b/>
                <w:color w:val="000000"/>
                <w:sz w:val="22"/>
                <w:szCs w:val="22"/>
              </w:rPr>
              <w:t xml:space="preserve">Los artículos 100 y 122 de la Ley Estatal y de la Ley General, respectivamente, señalan que si los Sujetos Obligados determinan que la información actualiza alguno de los supuestos de clasificación, es deber de los titulares de las áreas proponer su clasificación y no del Comité de Transparencia. </w:t>
            </w:r>
          </w:p>
          <w:p w:rsidR="0012751D" w:rsidRPr="00EC0030" w:rsidRDefault="00F95FAE">
            <w:pPr>
              <w:tabs>
                <w:tab w:val="left" w:pos="284"/>
              </w:tabs>
              <w:spacing w:line="360" w:lineRule="auto"/>
              <w:ind w:right="-67"/>
              <w:jc w:val="both"/>
              <w:rPr>
                <w:rFonts w:ascii="Palatino Linotype" w:eastAsia="Palatino Linotype" w:hAnsi="Palatino Linotype" w:cs="Palatino Linotype"/>
                <w:b/>
                <w:color w:val="000000"/>
                <w:sz w:val="22"/>
                <w:szCs w:val="22"/>
              </w:rPr>
            </w:pPr>
            <w:r w:rsidRPr="00EC0030">
              <w:rPr>
                <w:rFonts w:ascii="Palatino Linotype" w:eastAsia="Palatino Linotype" w:hAnsi="Palatino Linotype" w:cs="Palatino Linotype"/>
                <w:b/>
                <w:color w:val="000000"/>
                <w:sz w:val="22"/>
                <w:szCs w:val="22"/>
              </w:rPr>
              <w:lastRenderedPageBreak/>
              <w:t>Al hacerlo tienen que precisar de qué información se trata, señalando el supuesto de clasificación (confidencialidad o reserva).</w:t>
            </w:r>
          </w:p>
          <w:p w:rsidR="0012751D" w:rsidRPr="00EC0030" w:rsidRDefault="00F95FAE">
            <w:pPr>
              <w:tabs>
                <w:tab w:val="left" w:pos="284"/>
              </w:tabs>
              <w:spacing w:line="360" w:lineRule="auto"/>
              <w:ind w:right="-67"/>
              <w:jc w:val="both"/>
              <w:rPr>
                <w:rFonts w:ascii="Palatino Linotype" w:eastAsia="Palatino Linotype" w:hAnsi="Palatino Linotype" w:cs="Palatino Linotype"/>
                <w:b/>
                <w:color w:val="000000"/>
                <w:sz w:val="22"/>
                <w:szCs w:val="22"/>
              </w:rPr>
            </w:pPr>
            <w:r w:rsidRPr="00EC0030">
              <w:rPr>
                <w:rFonts w:ascii="Palatino Linotype" w:eastAsia="Palatino Linotype" w:hAnsi="Palatino Linotype" w:cs="Palatino Linotype"/>
                <w:b/>
                <w:color w:val="000000"/>
                <w:sz w:val="22"/>
                <w:szCs w:val="22"/>
              </w:rPr>
              <w:t>Además, se debe señalar el procedimiento, de los tres que establecen los artículos 132 y 106 de la Ley Estatal y General, respectivamente.</w:t>
            </w:r>
          </w:p>
          <w:p w:rsidR="0012751D" w:rsidRPr="00EC0030" w:rsidRDefault="00F95FAE">
            <w:pPr>
              <w:tabs>
                <w:tab w:val="left" w:pos="284"/>
              </w:tabs>
              <w:spacing w:line="360" w:lineRule="auto"/>
              <w:ind w:right="-67"/>
              <w:jc w:val="both"/>
              <w:rPr>
                <w:rFonts w:ascii="Palatino Linotype" w:eastAsia="Palatino Linotype" w:hAnsi="Palatino Linotype" w:cs="Palatino Linotype"/>
                <w:b/>
                <w:sz w:val="22"/>
                <w:szCs w:val="22"/>
              </w:rPr>
            </w:pPr>
            <w:r w:rsidRPr="00EC0030">
              <w:rPr>
                <w:rFonts w:ascii="Palatino Linotype" w:eastAsia="Palatino Linotype" w:hAnsi="Palatino Linotype" w:cs="Palatino Linotype"/>
                <w:b/>
                <w:color w:val="000000"/>
                <w:sz w:val="22"/>
                <w:szCs w:val="22"/>
              </w:rPr>
              <w:t xml:space="preserve">El último de estos requisitos previos consiste en que no se pueden emitir acuerdos de carácter general ni particular, esto es, </w:t>
            </w:r>
            <w:r w:rsidRPr="00EC0030">
              <w:rPr>
                <w:rFonts w:ascii="Palatino Linotype" w:eastAsia="Palatino Linotype" w:hAnsi="Palatino Linotype" w:cs="Palatino Linotype"/>
                <w:b/>
                <w:color w:val="000000"/>
                <w:sz w:val="22"/>
                <w:szCs w:val="22"/>
                <w:u w:val="single"/>
              </w:rPr>
              <w:t>no se puede hacer un acuerdo para clasificar de manera general todos los documentos de un expediente o área, sin</w:t>
            </w:r>
            <w:r w:rsidRPr="00EC0030">
              <w:rPr>
                <w:rFonts w:ascii="Palatino Linotype" w:eastAsia="Palatino Linotype" w:hAnsi="Palatino Linotype" w:cs="Palatino Linotype"/>
                <w:b/>
                <w:color w:val="000000"/>
                <w:sz w:val="22"/>
                <w:szCs w:val="22"/>
              </w:rPr>
              <w:t xml:space="preserve"> individualizar su análisis y tampoco se puede hacer un acuerdo por cada dato que se vaya a clasificar dentro de un documento con diez datos, por ejemplo, susceptibles de ser clasificados.</w:t>
            </w:r>
          </w:p>
        </w:tc>
      </w:tr>
      <w:tr w:rsidR="0012751D" w:rsidRPr="00EC0030">
        <w:tc>
          <w:tcPr>
            <w:tcW w:w="2865" w:type="dxa"/>
          </w:tcPr>
          <w:p w:rsidR="0012751D" w:rsidRPr="00EC0030" w:rsidRDefault="00F95FAE">
            <w:pPr>
              <w:tabs>
                <w:tab w:val="left" w:pos="284"/>
              </w:tabs>
              <w:spacing w:line="360" w:lineRule="auto"/>
              <w:ind w:right="-67"/>
              <w:rPr>
                <w:rFonts w:ascii="Palatino Linotype" w:eastAsia="Palatino Linotype" w:hAnsi="Palatino Linotype" w:cs="Palatino Linotype"/>
                <w:b/>
                <w:sz w:val="22"/>
                <w:szCs w:val="22"/>
              </w:rPr>
            </w:pPr>
            <w:r w:rsidRPr="00EC0030">
              <w:rPr>
                <w:rFonts w:ascii="Palatino Linotype" w:eastAsia="Palatino Linotype" w:hAnsi="Palatino Linotype" w:cs="Palatino Linotype"/>
                <w:b/>
                <w:sz w:val="22"/>
                <w:szCs w:val="22"/>
              </w:rPr>
              <w:lastRenderedPageBreak/>
              <w:t>b) Supuestos de clasificación.</w:t>
            </w:r>
          </w:p>
        </w:tc>
        <w:tc>
          <w:tcPr>
            <w:tcW w:w="6960" w:type="dxa"/>
          </w:tcPr>
          <w:p w:rsidR="0012751D" w:rsidRPr="00EC0030" w:rsidRDefault="00F95FAE">
            <w:pPr>
              <w:tabs>
                <w:tab w:val="left" w:pos="284"/>
              </w:tabs>
              <w:spacing w:line="360" w:lineRule="auto"/>
              <w:ind w:right="-67"/>
              <w:jc w:val="both"/>
              <w:rPr>
                <w:rFonts w:ascii="Palatino Linotype" w:eastAsia="Palatino Linotype" w:hAnsi="Palatino Linotype" w:cs="Palatino Linotype"/>
                <w:color w:val="000000"/>
                <w:sz w:val="22"/>
                <w:szCs w:val="22"/>
              </w:rPr>
            </w:pPr>
            <w:r w:rsidRPr="00EC0030">
              <w:rPr>
                <w:rFonts w:ascii="Palatino Linotype" w:eastAsia="Palatino Linotype" w:hAnsi="Palatino Linotype" w:cs="Palatino Linotype"/>
                <w:color w:val="000000"/>
                <w:sz w:val="22"/>
                <w:szCs w:val="22"/>
              </w:rPr>
              <w:t>Las disposiciones constitucionales y legales en la materia establecen los dos supuestos generales para clasificar la información: por reserva y por confidencialidad.</w:t>
            </w:r>
          </w:p>
          <w:p w:rsidR="0012751D" w:rsidRPr="00EC0030" w:rsidRDefault="00F95FAE">
            <w:pPr>
              <w:tabs>
                <w:tab w:val="left" w:pos="284"/>
              </w:tabs>
              <w:spacing w:line="360" w:lineRule="auto"/>
              <w:ind w:right="-67"/>
              <w:jc w:val="both"/>
              <w:rPr>
                <w:rFonts w:ascii="Palatino Linotype" w:eastAsia="Palatino Linotype" w:hAnsi="Palatino Linotype" w:cs="Palatino Linotype"/>
                <w:color w:val="000000"/>
                <w:sz w:val="22"/>
                <w:szCs w:val="22"/>
              </w:rPr>
            </w:pPr>
            <w:r w:rsidRPr="00EC0030">
              <w:rPr>
                <w:rFonts w:ascii="Palatino Linotype" w:eastAsia="Palatino Linotype" w:hAnsi="Palatino Linotype" w:cs="Palatino Linotype"/>
                <w:color w:val="000000"/>
                <w:sz w:val="22"/>
                <w:szCs w:val="22"/>
              </w:rPr>
              <w:t>Los artículos 116 y 143 de la Ley Estatal y de la Ley General, respectivamente, señalan los supuestos para que la información pueda ser clasificada como confidencial. Mientras que los artículos 105 y 130 de la Ley Estatal y de la Ley General, respectivamente, señalan que la aplicación de estos supuestos debe realizarse de manera restrictiva y limitada, por lo que debe acreditarse que se cumple con esta condición y no se pueden ampliar las excepciones o supuestos de clasificación aduciendo analogía o mayoría de razón.</w:t>
            </w:r>
          </w:p>
          <w:p w:rsidR="0012751D" w:rsidRPr="00EC0030" w:rsidRDefault="00F95FAE">
            <w:pPr>
              <w:tabs>
                <w:tab w:val="left" w:pos="284"/>
              </w:tabs>
              <w:spacing w:line="360" w:lineRule="auto"/>
              <w:ind w:right="-67"/>
              <w:jc w:val="both"/>
              <w:rPr>
                <w:rFonts w:ascii="Palatino Linotype" w:eastAsia="Palatino Linotype" w:hAnsi="Palatino Linotype" w:cs="Palatino Linotype"/>
                <w:sz w:val="22"/>
                <w:szCs w:val="22"/>
              </w:rPr>
            </w:pPr>
            <w:r w:rsidRPr="00EC0030">
              <w:rPr>
                <w:rFonts w:ascii="Palatino Linotype" w:eastAsia="Palatino Linotype" w:hAnsi="Palatino Linotype" w:cs="Palatino Linotype"/>
                <w:color w:val="000000"/>
                <w:sz w:val="22"/>
                <w:szCs w:val="22"/>
              </w:rPr>
              <w:t xml:space="preserve">El </w:t>
            </w:r>
            <w:r w:rsidRPr="00EC0030">
              <w:rPr>
                <w:rFonts w:ascii="Palatino Linotype" w:eastAsia="Palatino Linotype" w:hAnsi="Palatino Linotype" w:cs="Palatino Linotype"/>
                <w:b/>
                <w:color w:val="000000"/>
                <w:sz w:val="22"/>
                <w:szCs w:val="22"/>
              </w:rPr>
              <w:t>Sujeto Obligado</w:t>
            </w:r>
            <w:r w:rsidRPr="00EC0030">
              <w:rPr>
                <w:rFonts w:ascii="Palatino Linotype" w:eastAsia="Palatino Linotype" w:hAnsi="Palatino Linotype" w:cs="Palatino Linotype"/>
                <w:color w:val="000000"/>
                <w:sz w:val="22"/>
                <w:szCs w:val="22"/>
              </w:rPr>
              <w:t xml:space="preserve"> debe identificar claramente el tipo de información y hacer un juicio de subsunción o encaje para acreditar que el supuesto de hecho corresponde estrictamente con la hipótesis jurídica. Esto </w:t>
            </w:r>
            <w:r w:rsidRPr="00EC0030">
              <w:rPr>
                <w:rFonts w:ascii="Palatino Linotype" w:eastAsia="Palatino Linotype" w:hAnsi="Palatino Linotype" w:cs="Palatino Linotype"/>
                <w:color w:val="000000"/>
                <w:sz w:val="22"/>
                <w:szCs w:val="22"/>
              </w:rPr>
              <w:lastRenderedPageBreak/>
              <w:t>también lo debe de realizar el servidor público habilitado y el titular del área que administra la información.</w:t>
            </w:r>
          </w:p>
        </w:tc>
      </w:tr>
      <w:tr w:rsidR="0012751D" w:rsidRPr="00EC0030">
        <w:tc>
          <w:tcPr>
            <w:tcW w:w="2865" w:type="dxa"/>
          </w:tcPr>
          <w:p w:rsidR="0012751D" w:rsidRPr="00EC0030" w:rsidRDefault="00F95FAE">
            <w:pPr>
              <w:tabs>
                <w:tab w:val="left" w:pos="284"/>
              </w:tabs>
              <w:spacing w:line="360" w:lineRule="auto"/>
              <w:ind w:right="-67"/>
              <w:rPr>
                <w:rFonts w:ascii="Palatino Linotype" w:eastAsia="Palatino Linotype" w:hAnsi="Palatino Linotype" w:cs="Palatino Linotype"/>
                <w:b/>
                <w:sz w:val="22"/>
                <w:szCs w:val="22"/>
              </w:rPr>
            </w:pPr>
            <w:r w:rsidRPr="00EC0030">
              <w:rPr>
                <w:rFonts w:ascii="Palatino Linotype" w:eastAsia="Palatino Linotype" w:hAnsi="Palatino Linotype" w:cs="Palatino Linotype"/>
                <w:b/>
                <w:sz w:val="22"/>
                <w:szCs w:val="22"/>
              </w:rPr>
              <w:lastRenderedPageBreak/>
              <w:t>c) Formalidades para emitir el acuerdo de clasificación.</w:t>
            </w:r>
          </w:p>
        </w:tc>
        <w:tc>
          <w:tcPr>
            <w:tcW w:w="6960" w:type="dxa"/>
          </w:tcPr>
          <w:p w:rsidR="0012751D" w:rsidRPr="00EC0030" w:rsidRDefault="00F95FAE">
            <w:pPr>
              <w:tabs>
                <w:tab w:val="left" w:pos="284"/>
              </w:tabs>
              <w:spacing w:line="360" w:lineRule="auto"/>
              <w:ind w:right="-67"/>
              <w:jc w:val="both"/>
              <w:rPr>
                <w:rFonts w:ascii="Palatino Linotype" w:eastAsia="Palatino Linotype" w:hAnsi="Palatino Linotype" w:cs="Palatino Linotype"/>
                <w:color w:val="000000"/>
                <w:sz w:val="22"/>
                <w:szCs w:val="22"/>
              </w:rPr>
            </w:pPr>
            <w:r w:rsidRPr="00EC0030">
              <w:rPr>
                <w:rFonts w:ascii="Palatino Linotype" w:eastAsia="Palatino Linotype" w:hAnsi="Palatino Linotype" w:cs="Palatino Linotype"/>
                <w:color w:val="000000"/>
                <w:sz w:val="22"/>
                <w:szCs w:val="22"/>
              </w:rPr>
              <w:t xml:space="preserve">El Comité de Transparencia, según lo dispuesto en los artículos cuenta con las facultades para aprobar, modificar o revocar la clasificación de la información que haya propuesto. </w:t>
            </w:r>
          </w:p>
          <w:p w:rsidR="0012751D" w:rsidRPr="00EC0030" w:rsidRDefault="00F95FAE">
            <w:pPr>
              <w:tabs>
                <w:tab w:val="left" w:pos="284"/>
              </w:tabs>
              <w:spacing w:line="360" w:lineRule="auto"/>
              <w:ind w:right="-67"/>
              <w:jc w:val="both"/>
              <w:rPr>
                <w:rFonts w:ascii="Palatino Linotype" w:eastAsia="Palatino Linotype" w:hAnsi="Palatino Linotype" w:cs="Palatino Linotype"/>
                <w:color w:val="000000"/>
                <w:sz w:val="22"/>
                <w:szCs w:val="22"/>
              </w:rPr>
            </w:pPr>
            <w:r w:rsidRPr="00EC0030">
              <w:rPr>
                <w:rFonts w:ascii="Palatino Linotype" w:eastAsia="Palatino Linotype" w:hAnsi="Palatino Linotype" w:cs="Palatino Linotype"/>
                <w:color w:val="000000"/>
                <w:sz w:val="22"/>
                <w:szCs w:val="22"/>
              </w:rPr>
              <w:t xml:space="preserve">Es necesario que </w:t>
            </w:r>
            <w:r w:rsidRPr="00EC0030">
              <w:rPr>
                <w:rFonts w:ascii="Palatino Linotype" w:eastAsia="Palatino Linotype" w:hAnsi="Palatino Linotype" w:cs="Palatino Linotype"/>
                <w:b/>
                <w:color w:val="000000"/>
                <w:sz w:val="22"/>
                <w:szCs w:val="22"/>
                <w:u w:val="single"/>
              </w:rPr>
              <w:t>el acto reúna con los requisitos elementales</w:t>
            </w:r>
            <w:r w:rsidRPr="00EC0030">
              <w:rPr>
                <w:rFonts w:ascii="Palatino Linotype" w:eastAsia="Palatino Linotype" w:hAnsi="Palatino Linotype" w:cs="Palatino Linotype"/>
                <w:color w:val="000000"/>
                <w:sz w:val="22"/>
                <w:szCs w:val="22"/>
              </w:rPr>
              <w:t>, entre ellos, que la autoridad que va a emitir el acto de autoridad sea la legalmente facultada para ello.</w:t>
            </w:r>
          </w:p>
          <w:p w:rsidR="0012751D" w:rsidRPr="00EC0030" w:rsidRDefault="00F95FAE">
            <w:pPr>
              <w:tabs>
                <w:tab w:val="left" w:pos="284"/>
              </w:tabs>
              <w:spacing w:line="360" w:lineRule="auto"/>
              <w:ind w:right="-67"/>
              <w:jc w:val="both"/>
              <w:rPr>
                <w:rFonts w:ascii="Palatino Linotype" w:eastAsia="Palatino Linotype" w:hAnsi="Palatino Linotype" w:cs="Palatino Linotype"/>
                <w:sz w:val="22"/>
                <w:szCs w:val="22"/>
              </w:rPr>
            </w:pPr>
            <w:r w:rsidRPr="00EC0030">
              <w:rPr>
                <w:rFonts w:ascii="Palatino Linotype" w:eastAsia="Palatino Linotype" w:hAnsi="Palatino Linotype" w:cs="Palatino Linotype"/>
                <w:color w:val="000000"/>
                <w:sz w:val="22"/>
                <w:szCs w:val="22"/>
              </w:rPr>
              <w:t xml:space="preserve">La decisión de aprobar, modificar o revocar la clasificación deberá de asentarse en un documento que registre la determinación a la que se llegue después de un análisis minucioso a partir de lo propuesto por el Titular del I. </w:t>
            </w:r>
            <w:r w:rsidRPr="00EC0030">
              <w:rPr>
                <w:rFonts w:ascii="Palatino Linotype" w:eastAsia="Palatino Linotype" w:hAnsi="Palatino Linotype" w:cs="Palatino Linotype"/>
                <w:sz w:val="22"/>
                <w:szCs w:val="22"/>
              </w:rPr>
              <w:t>El área</w:t>
            </w:r>
            <w:r w:rsidRPr="00EC0030">
              <w:rPr>
                <w:rFonts w:ascii="Palatino Linotype" w:eastAsia="Palatino Linotype" w:hAnsi="Palatino Linotype" w:cs="Palatino Linotype"/>
                <w:color w:val="000000"/>
                <w:sz w:val="22"/>
                <w:szCs w:val="22"/>
              </w:rPr>
              <w:t xml:space="preserve"> que administra la información, cuyo análisis debe integrarse en la agenda de los asuntos a tratar en las sesiones, se insiste, a partir de las decisiones adoptadas previamente por los titulares de áreas y que son sujetas a control, en primera instancia, por el Comité de Transparencia.</w:t>
            </w:r>
          </w:p>
        </w:tc>
      </w:tr>
      <w:tr w:rsidR="0012751D" w:rsidRPr="00EC0030">
        <w:tc>
          <w:tcPr>
            <w:tcW w:w="2865" w:type="dxa"/>
          </w:tcPr>
          <w:p w:rsidR="0012751D" w:rsidRPr="00EC0030" w:rsidRDefault="0012751D">
            <w:pPr>
              <w:tabs>
                <w:tab w:val="left" w:pos="284"/>
              </w:tabs>
              <w:spacing w:line="360" w:lineRule="auto"/>
              <w:ind w:right="-67"/>
              <w:rPr>
                <w:rFonts w:ascii="Palatino Linotype" w:eastAsia="Palatino Linotype" w:hAnsi="Palatino Linotype" w:cs="Palatino Linotype"/>
                <w:b/>
                <w:sz w:val="22"/>
                <w:szCs w:val="22"/>
              </w:rPr>
            </w:pPr>
          </w:p>
          <w:p w:rsidR="0012751D" w:rsidRPr="00EC0030" w:rsidRDefault="00F95FAE">
            <w:pPr>
              <w:tabs>
                <w:tab w:val="left" w:pos="284"/>
              </w:tabs>
              <w:spacing w:line="360" w:lineRule="auto"/>
              <w:ind w:right="-67"/>
              <w:jc w:val="both"/>
              <w:rPr>
                <w:rFonts w:ascii="Palatino Linotype" w:eastAsia="Palatino Linotype" w:hAnsi="Palatino Linotype" w:cs="Palatino Linotype"/>
                <w:b/>
                <w:sz w:val="22"/>
                <w:szCs w:val="22"/>
              </w:rPr>
            </w:pPr>
            <w:r w:rsidRPr="00EC0030">
              <w:rPr>
                <w:rFonts w:ascii="Palatino Linotype" w:eastAsia="Palatino Linotype" w:hAnsi="Palatino Linotype" w:cs="Palatino Linotype"/>
                <w:b/>
                <w:color w:val="000000"/>
                <w:sz w:val="22"/>
                <w:szCs w:val="22"/>
              </w:rPr>
              <w:t xml:space="preserve">d) Requisitos de fondo del acuerdo de clasificación. </w:t>
            </w:r>
          </w:p>
        </w:tc>
        <w:tc>
          <w:tcPr>
            <w:tcW w:w="6960" w:type="dxa"/>
          </w:tcPr>
          <w:p w:rsidR="0012751D" w:rsidRPr="00EC0030" w:rsidRDefault="00F95FAE">
            <w:pPr>
              <w:tabs>
                <w:tab w:val="left" w:pos="284"/>
              </w:tabs>
              <w:spacing w:line="360" w:lineRule="auto"/>
              <w:ind w:right="-67"/>
              <w:jc w:val="both"/>
              <w:rPr>
                <w:rFonts w:ascii="Palatino Linotype" w:eastAsia="Palatino Linotype" w:hAnsi="Palatino Linotype" w:cs="Palatino Linotype"/>
                <w:color w:val="000000"/>
                <w:sz w:val="22"/>
                <w:szCs w:val="22"/>
              </w:rPr>
            </w:pPr>
            <w:r w:rsidRPr="00EC0030">
              <w:rPr>
                <w:rFonts w:ascii="Palatino Linotype" w:eastAsia="Palatino Linotype" w:hAnsi="Palatino Linotype" w:cs="Palatino Linotype"/>
                <w:color w:val="000000"/>
                <w:sz w:val="22"/>
                <w:szCs w:val="22"/>
              </w:rPr>
              <w:t xml:space="preserve">Como se ha señalado antes, al hacer el juicio de subsunción o encaje entre el supuesto de hecho y la hipótesis jurídica, se debe acreditar la estricta correspondencia entre un elemento y otro. Ahora, en esta parte del procedimiento, que se desahoga en sede del Comité de Transparencia, la ley señala que la carga de la prueba, para justificar las restricciones, corresponde a los </w:t>
            </w:r>
            <w:r w:rsidRPr="00EC0030">
              <w:rPr>
                <w:rFonts w:ascii="Palatino Linotype" w:eastAsia="Palatino Linotype" w:hAnsi="Palatino Linotype" w:cs="Palatino Linotype"/>
                <w:b/>
                <w:color w:val="000000"/>
                <w:sz w:val="22"/>
                <w:szCs w:val="22"/>
              </w:rPr>
              <w:t>Sujetos Obligados</w:t>
            </w:r>
            <w:r w:rsidRPr="00EC0030">
              <w:rPr>
                <w:rFonts w:ascii="Palatino Linotype" w:eastAsia="Palatino Linotype" w:hAnsi="Palatino Linotype" w:cs="Palatino Linotype"/>
                <w:color w:val="000000"/>
                <w:sz w:val="22"/>
                <w:szCs w:val="22"/>
              </w:rPr>
              <w:t xml:space="preserve">, por lo que deberán fundar y motivar debidamente la clasificación. </w:t>
            </w:r>
          </w:p>
          <w:p w:rsidR="0012751D" w:rsidRPr="00EC0030" w:rsidRDefault="00F95FAE">
            <w:pPr>
              <w:tabs>
                <w:tab w:val="left" w:pos="284"/>
              </w:tabs>
              <w:spacing w:line="360" w:lineRule="auto"/>
              <w:ind w:right="-67"/>
              <w:jc w:val="both"/>
              <w:rPr>
                <w:rFonts w:ascii="Palatino Linotype" w:eastAsia="Palatino Linotype" w:hAnsi="Palatino Linotype" w:cs="Palatino Linotype"/>
                <w:color w:val="000000"/>
                <w:sz w:val="22"/>
                <w:szCs w:val="22"/>
              </w:rPr>
            </w:pPr>
            <w:r w:rsidRPr="00EC0030">
              <w:rPr>
                <w:rFonts w:ascii="Palatino Linotype" w:eastAsia="Palatino Linotype" w:hAnsi="Palatino Linotype" w:cs="Palatino Linotype"/>
                <w:color w:val="000000"/>
                <w:sz w:val="22"/>
                <w:szCs w:val="22"/>
              </w:rPr>
              <w:t xml:space="preserve">De lo anterior, se desprende que para una correcta </w:t>
            </w:r>
            <w:r w:rsidRPr="00EC0030">
              <w:rPr>
                <w:rFonts w:ascii="Palatino Linotype" w:eastAsia="Palatino Linotype" w:hAnsi="Palatino Linotype" w:cs="Palatino Linotype"/>
                <w:b/>
                <w:color w:val="000000"/>
                <w:sz w:val="22"/>
                <w:szCs w:val="22"/>
              </w:rPr>
              <w:t>clasificación total o parcial</w:t>
            </w:r>
            <w:r w:rsidRPr="00EC0030">
              <w:rPr>
                <w:rFonts w:ascii="Palatino Linotype" w:eastAsia="Palatino Linotype" w:hAnsi="Palatino Linotype" w:cs="Palatino Linotype"/>
                <w:color w:val="000000"/>
                <w:sz w:val="22"/>
                <w:szCs w:val="22"/>
              </w:rPr>
              <w:t xml:space="preserve">, esto es determinar los datos que se suprimen en las versiones públicas, es necesario fundar y motivar, de manera correcta, la </w:t>
            </w:r>
            <w:r w:rsidRPr="00EC0030">
              <w:rPr>
                <w:rFonts w:ascii="Palatino Linotype" w:eastAsia="Palatino Linotype" w:hAnsi="Palatino Linotype" w:cs="Palatino Linotype"/>
                <w:color w:val="000000"/>
                <w:sz w:val="22"/>
                <w:szCs w:val="22"/>
              </w:rPr>
              <w:lastRenderedPageBreak/>
              <w:t>clasificación; considerando que todo acto que la autoridad pronuncie en el ejercicio de sus atribuciones, debe expresar los fundamentos legales que le dieron origen y las razones por las que se deben aplicar al caso concreto.</w:t>
            </w:r>
          </w:p>
          <w:p w:rsidR="0012751D" w:rsidRPr="00EC0030" w:rsidRDefault="00F95FAE">
            <w:pPr>
              <w:tabs>
                <w:tab w:val="left" w:pos="284"/>
              </w:tabs>
              <w:spacing w:line="360" w:lineRule="auto"/>
              <w:ind w:right="-67"/>
              <w:jc w:val="both"/>
              <w:rPr>
                <w:rFonts w:ascii="Palatino Linotype" w:eastAsia="Palatino Linotype" w:hAnsi="Palatino Linotype" w:cs="Palatino Linotype"/>
                <w:color w:val="000000"/>
                <w:sz w:val="22"/>
                <w:szCs w:val="22"/>
              </w:rPr>
            </w:pPr>
            <w:r w:rsidRPr="00EC0030">
              <w:rPr>
                <w:rFonts w:ascii="Palatino Linotype" w:eastAsia="Palatino Linotype" w:hAnsi="Palatino Linotype" w:cs="Palatino Linotype"/>
                <w:color w:val="000000"/>
                <w:sz w:val="22"/>
                <w:szCs w:val="22"/>
              </w:rPr>
              <w:t>Así, en un acto de autoridad se cumple con la debida fundamentación cuando se cita el precepto legal aplicable al caso concreto y la debida motivación cuando se expresan las razones, motivos o circunstancias que tomó en cuenta la autoridad para adecuar el hecho a los fundamentos de derecho. De este modo, la persona que se sienta afectada pueda impugnar la decisión, permitiéndole una real y auténtica defensa.</w:t>
            </w:r>
          </w:p>
          <w:p w:rsidR="0012751D" w:rsidRPr="00EC0030" w:rsidRDefault="00F95FAE">
            <w:pPr>
              <w:tabs>
                <w:tab w:val="left" w:pos="284"/>
              </w:tabs>
              <w:spacing w:line="360" w:lineRule="auto"/>
              <w:ind w:right="-67"/>
              <w:jc w:val="both"/>
              <w:rPr>
                <w:rFonts w:ascii="Palatino Linotype" w:eastAsia="Palatino Linotype" w:hAnsi="Palatino Linotype" w:cs="Palatino Linotype"/>
                <w:color w:val="000000"/>
                <w:sz w:val="22"/>
                <w:szCs w:val="22"/>
              </w:rPr>
            </w:pPr>
            <w:r w:rsidRPr="00EC0030">
              <w:rPr>
                <w:rFonts w:ascii="Palatino Linotype" w:eastAsia="Palatino Linotype" w:hAnsi="Palatino Linotype" w:cs="Palatino Linotype"/>
                <w:color w:val="000000"/>
                <w:sz w:val="22"/>
                <w:szCs w:val="22"/>
              </w:rPr>
              <w:t>En ese mismo sentido, el numeral trigésimo tercero fracción V de los Lineamientos Generales, precisa que para motivar la clasificación se deben acreditar las circunstancias de tiempo, modo y lugar.</w:t>
            </w:r>
          </w:p>
          <w:p w:rsidR="0012751D" w:rsidRPr="00EC0030" w:rsidRDefault="00F95FAE">
            <w:pPr>
              <w:tabs>
                <w:tab w:val="left" w:pos="284"/>
              </w:tabs>
              <w:spacing w:line="360" w:lineRule="auto"/>
              <w:ind w:right="-67"/>
              <w:jc w:val="both"/>
              <w:rPr>
                <w:rFonts w:ascii="Palatino Linotype" w:eastAsia="Palatino Linotype" w:hAnsi="Palatino Linotype" w:cs="Palatino Linotype"/>
                <w:color w:val="000000"/>
                <w:sz w:val="22"/>
                <w:szCs w:val="22"/>
              </w:rPr>
            </w:pPr>
            <w:r w:rsidRPr="00EC0030">
              <w:rPr>
                <w:rFonts w:ascii="Palatino Linotype" w:eastAsia="Palatino Linotype" w:hAnsi="Palatino Linotype" w:cs="Palatino Linotype"/>
                <w:color w:val="000000"/>
                <w:sz w:val="22"/>
                <w:szCs w:val="22"/>
              </w:rPr>
              <w:t xml:space="preserve">Ahora bien, </w:t>
            </w:r>
            <w:r w:rsidRPr="00EC0030">
              <w:rPr>
                <w:rFonts w:ascii="Palatino Linotype" w:eastAsia="Palatino Linotype" w:hAnsi="Palatino Linotype" w:cs="Palatino Linotype"/>
                <w:b/>
                <w:color w:val="000000"/>
                <w:sz w:val="22"/>
                <w:szCs w:val="22"/>
                <w:u w:val="single"/>
              </w:rPr>
              <w:t>para cada caso además de fundar y motivar</w:t>
            </w:r>
            <w:r w:rsidRPr="00EC0030">
              <w:rPr>
                <w:rFonts w:ascii="Palatino Linotype" w:eastAsia="Palatino Linotype" w:hAnsi="Palatino Linotype" w:cs="Palatino Linotype"/>
                <w:color w:val="000000"/>
                <w:sz w:val="22"/>
                <w:szCs w:val="22"/>
              </w:rPr>
              <w:t xml:space="preserve">, se debe identificar con claridad </w:t>
            </w:r>
            <w:r w:rsidRPr="00EC0030">
              <w:rPr>
                <w:rFonts w:ascii="Palatino Linotype" w:eastAsia="Palatino Linotype" w:hAnsi="Palatino Linotype" w:cs="Palatino Linotype"/>
                <w:sz w:val="22"/>
                <w:szCs w:val="22"/>
              </w:rPr>
              <w:t>qué</w:t>
            </w:r>
            <w:r w:rsidRPr="00EC0030">
              <w:rPr>
                <w:rFonts w:ascii="Palatino Linotype" w:eastAsia="Palatino Linotype" w:hAnsi="Palatino Linotype" w:cs="Palatino Linotype"/>
                <w:color w:val="000000"/>
                <w:sz w:val="22"/>
                <w:szCs w:val="22"/>
              </w:rPr>
              <w:t xml:space="preserve"> datos contenidos en las documentales que son susceptibles de suprimirse, por ejemplo; Clave Única de Registro de Población (CURP), Registro Federal de Contribuyentes (R.F.C.), claves de seguros, préstamos o descuentos personales, secretos bancario, fiduciario, industrial, comercial, fiscal, bursátil y postal, cuya titularidad corresponda a particulares, entre otros.</w:t>
            </w:r>
          </w:p>
        </w:tc>
      </w:tr>
      <w:tr w:rsidR="0012751D" w:rsidRPr="00EC0030">
        <w:tc>
          <w:tcPr>
            <w:tcW w:w="2865" w:type="dxa"/>
          </w:tcPr>
          <w:p w:rsidR="0012751D" w:rsidRPr="00EC0030" w:rsidRDefault="00F95FAE">
            <w:pPr>
              <w:tabs>
                <w:tab w:val="left" w:pos="284"/>
              </w:tabs>
              <w:spacing w:line="360" w:lineRule="auto"/>
              <w:ind w:right="-67"/>
              <w:jc w:val="both"/>
              <w:rPr>
                <w:rFonts w:ascii="Palatino Linotype" w:eastAsia="Palatino Linotype" w:hAnsi="Palatino Linotype" w:cs="Palatino Linotype"/>
                <w:b/>
                <w:sz w:val="22"/>
                <w:szCs w:val="22"/>
              </w:rPr>
            </w:pPr>
            <w:r w:rsidRPr="00EC0030">
              <w:rPr>
                <w:rFonts w:ascii="Palatino Linotype" w:eastAsia="Palatino Linotype" w:hAnsi="Palatino Linotype" w:cs="Palatino Linotype"/>
                <w:b/>
                <w:sz w:val="22"/>
                <w:szCs w:val="22"/>
              </w:rPr>
              <w:lastRenderedPageBreak/>
              <w:t xml:space="preserve">e) Condiciones especiales de la clasificación de la información como confidencial. </w:t>
            </w:r>
          </w:p>
        </w:tc>
        <w:tc>
          <w:tcPr>
            <w:tcW w:w="6960" w:type="dxa"/>
          </w:tcPr>
          <w:p w:rsidR="0012751D" w:rsidRPr="00EC0030" w:rsidRDefault="00F95FAE">
            <w:pPr>
              <w:tabs>
                <w:tab w:val="left" w:pos="284"/>
              </w:tabs>
              <w:spacing w:line="360" w:lineRule="auto"/>
              <w:ind w:right="-67"/>
              <w:jc w:val="both"/>
              <w:rPr>
                <w:rFonts w:ascii="Palatino Linotype" w:eastAsia="Palatino Linotype" w:hAnsi="Palatino Linotype" w:cs="Palatino Linotype"/>
                <w:color w:val="000000"/>
                <w:sz w:val="22"/>
                <w:szCs w:val="22"/>
              </w:rPr>
            </w:pPr>
            <w:r w:rsidRPr="00EC0030">
              <w:rPr>
                <w:rFonts w:ascii="Palatino Linotype" w:eastAsia="Palatino Linotype" w:hAnsi="Palatino Linotype" w:cs="Palatino Linotype"/>
                <w:color w:val="000000"/>
                <w:sz w:val="22"/>
                <w:szCs w:val="22"/>
              </w:rPr>
              <w:t xml:space="preserve">Los artículos 148 y 120 de la Ley Estatal y de la Ley General, respectivamente, establecen que aun tratándose de datos personales, se podrán proporcionar, incluso sin solicitar el consentimiento de su titular. </w:t>
            </w:r>
          </w:p>
          <w:p w:rsidR="0012751D" w:rsidRPr="00EC0030" w:rsidRDefault="00F95FAE">
            <w:pPr>
              <w:tabs>
                <w:tab w:val="left" w:pos="284"/>
              </w:tabs>
              <w:spacing w:line="360" w:lineRule="auto"/>
              <w:ind w:right="-67"/>
              <w:jc w:val="both"/>
              <w:rPr>
                <w:rFonts w:ascii="Palatino Linotype" w:eastAsia="Palatino Linotype" w:hAnsi="Palatino Linotype" w:cs="Palatino Linotype"/>
                <w:color w:val="000000"/>
                <w:sz w:val="22"/>
                <w:szCs w:val="22"/>
              </w:rPr>
            </w:pPr>
            <w:r w:rsidRPr="00EC0030">
              <w:rPr>
                <w:rFonts w:ascii="Palatino Linotype" w:eastAsia="Palatino Linotype" w:hAnsi="Palatino Linotype" w:cs="Palatino Linotype"/>
                <w:color w:val="000000"/>
                <w:sz w:val="22"/>
                <w:szCs w:val="22"/>
              </w:rPr>
              <w:lastRenderedPageBreak/>
              <w:t xml:space="preserve">En el caso de lo señalado en la fracción IV, será el Instituto quien deba aplicar la prueba de interés público, considerando también que como recientemente ha discutido la Suprema Corte de Justicia de la Nación, los servidores públicos nos encontramos sujetos a un régimen menor de protección. </w:t>
            </w:r>
          </w:p>
          <w:p w:rsidR="0012751D" w:rsidRPr="00EC0030" w:rsidRDefault="00F95FAE">
            <w:pPr>
              <w:tabs>
                <w:tab w:val="left" w:pos="284"/>
              </w:tabs>
              <w:spacing w:line="360" w:lineRule="auto"/>
              <w:ind w:right="-67"/>
              <w:rPr>
                <w:rFonts w:ascii="Palatino Linotype" w:eastAsia="Palatino Linotype" w:hAnsi="Palatino Linotype" w:cs="Palatino Linotype"/>
                <w:sz w:val="22"/>
                <w:szCs w:val="22"/>
              </w:rPr>
            </w:pPr>
            <w:r w:rsidRPr="00EC0030">
              <w:rPr>
                <w:rFonts w:ascii="Palatino Linotype" w:eastAsia="Palatino Linotype" w:hAnsi="Palatino Linotype" w:cs="Palatino Linotype"/>
                <w:color w:val="000000"/>
                <w:sz w:val="22"/>
                <w:szCs w:val="22"/>
              </w:rPr>
              <w:t>Pero si la información que se pretende clasificar como confidencial no se encuentra en los supuestos de los artículos señalados y es posible, se deberá consultar al titular de los datos si permite o no el acceso. De no ser posible, la realización de la consulta, procede, fundando y motivando, la clasificación.</w:t>
            </w:r>
          </w:p>
        </w:tc>
      </w:tr>
    </w:tbl>
    <w:p w:rsidR="0012751D" w:rsidRPr="00EC0030" w:rsidRDefault="0012751D">
      <w:pPr>
        <w:tabs>
          <w:tab w:val="left" w:pos="284"/>
        </w:tabs>
        <w:spacing w:line="360" w:lineRule="auto"/>
        <w:ind w:right="-787"/>
        <w:rPr>
          <w:rFonts w:ascii="Palatino Linotype" w:eastAsia="Palatino Linotype" w:hAnsi="Palatino Linotype" w:cs="Palatino Linotype"/>
          <w:color w:val="000000"/>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De lo anterior, se debe de mencionar que el </w:t>
      </w:r>
      <w:r w:rsidRPr="00EC0030">
        <w:rPr>
          <w:rFonts w:ascii="Palatino Linotype" w:eastAsia="Palatino Linotype" w:hAnsi="Palatino Linotype" w:cs="Palatino Linotype"/>
          <w:b/>
        </w:rPr>
        <w:t xml:space="preserve">SUJETO OBLIGADO </w:t>
      </w:r>
      <w:r w:rsidRPr="00EC0030">
        <w:rPr>
          <w:rFonts w:ascii="Palatino Linotype" w:eastAsia="Palatino Linotype" w:hAnsi="Palatino Linotype" w:cs="Palatino Linotype"/>
        </w:rPr>
        <w:t>deberá de realizar un análisis respecto al contenido de los documentos a entregar, ya que estos solo deberán de ser clasificados como confidenciales si tiene relación con datos personales.</w:t>
      </w:r>
    </w:p>
    <w:p w:rsidR="0012751D" w:rsidRPr="00EC0030" w:rsidRDefault="0012751D">
      <w:pPr>
        <w:tabs>
          <w:tab w:val="left" w:pos="284"/>
        </w:tabs>
        <w:spacing w:line="360" w:lineRule="auto"/>
        <w:ind w:right="-787"/>
        <w:jc w:val="both"/>
        <w:rPr>
          <w:rFonts w:ascii="Palatino Linotype" w:eastAsia="Palatino Linotype" w:hAnsi="Palatino Linotype" w:cs="Palatino Linotype"/>
          <w:color w:val="000000"/>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color w:val="000000"/>
        </w:rPr>
      </w:pPr>
      <w:r w:rsidRPr="00EC0030">
        <w:rPr>
          <w:rFonts w:ascii="Palatino Linotype" w:eastAsia="Palatino Linotype" w:hAnsi="Palatino Linotype" w:cs="Palatino Linotype"/>
        </w:rPr>
        <w:t xml:space="preserve">Derivado de lo establecido en párrafos anteriores, si el </w:t>
      </w:r>
      <w:r w:rsidRPr="00EC0030">
        <w:rPr>
          <w:rFonts w:ascii="Palatino Linotype" w:eastAsia="Palatino Linotype" w:hAnsi="Palatino Linotype" w:cs="Palatino Linotype"/>
          <w:b/>
        </w:rPr>
        <w:t>SUJETO OBLIGADO</w:t>
      </w:r>
      <w:r w:rsidRPr="00EC0030">
        <w:rPr>
          <w:rFonts w:ascii="Palatino Linotype" w:eastAsia="Palatino Linotype" w:hAnsi="Palatino Linotype" w:cs="Palatino Linotype"/>
        </w:rPr>
        <w:t xml:space="preserve"> incumple con estas formalidades y entrega la información sin proteger los datos personales incumple con lo que estipula las disposiciones legales establecidas, asimismo que si entrega un documento testado sin el debido acuerdo de clasificación.</w:t>
      </w:r>
    </w:p>
    <w:p w:rsidR="0012751D" w:rsidRPr="00EC0030" w:rsidRDefault="0012751D">
      <w:pPr>
        <w:spacing w:line="360" w:lineRule="auto"/>
        <w:ind w:right="-787"/>
        <w:jc w:val="both"/>
        <w:rPr>
          <w:rFonts w:ascii="Palatino Linotype" w:eastAsia="Palatino Linotype" w:hAnsi="Palatino Linotype" w:cs="Palatino Linotype"/>
          <w:color w:val="000000"/>
        </w:rPr>
      </w:pPr>
    </w:p>
    <w:p w:rsidR="0012751D" w:rsidRPr="00EC0030" w:rsidRDefault="00F95FAE">
      <w:pPr>
        <w:numPr>
          <w:ilvl w:val="0"/>
          <w:numId w:val="3"/>
        </w:numPr>
        <w:pBdr>
          <w:top w:val="nil"/>
          <w:left w:val="nil"/>
          <w:bottom w:val="nil"/>
          <w:right w:val="nil"/>
          <w:between w:val="nil"/>
        </w:pBdr>
        <w:spacing w:line="360" w:lineRule="auto"/>
        <w:ind w:right="-787"/>
        <w:jc w:val="both"/>
        <w:rPr>
          <w:rFonts w:ascii="Palatino Linotype" w:eastAsia="Palatino Linotype" w:hAnsi="Palatino Linotype" w:cs="Palatino Linotype"/>
          <w:b/>
          <w:color w:val="000000"/>
        </w:rPr>
      </w:pPr>
      <w:r w:rsidRPr="00EC0030">
        <w:rPr>
          <w:rFonts w:ascii="Palatino Linotype" w:eastAsia="Palatino Linotype" w:hAnsi="Palatino Linotype" w:cs="Palatino Linotype"/>
          <w:b/>
          <w:color w:val="000000"/>
          <w:u w:val="single"/>
        </w:rPr>
        <w:t xml:space="preserve">Conclusión </w:t>
      </w: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b/>
          <w:color w:val="000000"/>
        </w:rPr>
      </w:pPr>
      <w:r w:rsidRPr="00EC0030">
        <w:rPr>
          <w:rFonts w:ascii="Palatino Linotype" w:eastAsia="Palatino Linotype" w:hAnsi="Palatino Linotype" w:cs="Palatino Linotype"/>
          <w:color w:val="000000"/>
        </w:rPr>
        <w:t>Es</w:t>
      </w:r>
      <w:r w:rsidRPr="00EC0030">
        <w:rPr>
          <w:rFonts w:ascii="Palatino Linotype" w:eastAsia="Palatino Linotype" w:hAnsi="Palatino Linotype" w:cs="Palatino Linotype"/>
        </w:rPr>
        <w:t xml:space="preserve"> así como, en mérito de lo expuesto en líneas anteriores, resultan </w:t>
      </w:r>
      <w:r w:rsidRPr="00EC0030">
        <w:rPr>
          <w:rFonts w:ascii="Palatino Linotype" w:eastAsia="Palatino Linotype" w:hAnsi="Palatino Linotype" w:cs="Palatino Linotype"/>
          <w:b/>
        </w:rPr>
        <w:t xml:space="preserve">FUNDADAS </w:t>
      </w:r>
      <w:r w:rsidRPr="00EC0030">
        <w:rPr>
          <w:rFonts w:ascii="Palatino Linotype" w:eastAsia="Palatino Linotype" w:hAnsi="Palatino Linotype" w:cs="Palatino Linotype"/>
        </w:rPr>
        <w:t xml:space="preserve">las razones o motivos de inconformidad hechos valer por la parte Recurrente dentro del Recurso de Revisión </w:t>
      </w:r>
      <w:r w:rsidRPr="00EC0030">
        <w:rPr>
          <w:rFonts w:ascii="Palatino Linotype" w:eastAsia="Palatino Linotype" w:hAnsi="Palatino Linotype" w:cs="Palatino Linotype"/>
          <w:b/>
          <w:color w:val="000000"/>
        </w:rPr>
        <w:t xml:space="preserve">00283/INFOEM/IP/RR/2025, </w:t>
      </w:r>
      <w:r w:rsidRPr="00EC0030">
        <w:rPr>
          <w:rFonts w:ascii="Palatino Linotype" w:eastAsia="Palatino Linotype" w:hAnsi="Palatino Linotype" w:cs="Palatino Linotype"/>
          <w:color w:val="000000"/>
        </w:rPr>
        <w:t xml:space="preserve">por lo que se </w:t>
      </w:r>
      <w:r w:rsidRPr="00EC0030">
        <w:rPr>
          <w:rFonts w:ascii="Palatino Linotype" w:eastAsia="Palatino Linotype" w:hAnsi="Palatino Linotype" w:cs="Palatino Linotype"/>
          <w:b/>
          <w:color w:val="000000"/>
        </w:rPr>
        <w:t>REVOCA</w:t>
      </w:r>
      <w:r w:rsidRPr="00EC0030">
        <w:rPr>
          <w:rFonts w:ascii="Palatino Linotype" w:eastAsia="Palatino Linotype" w:hAnsi="Palatino Linotype" w:cs="Palatino Linotype"/>
          <w:color w:val="000000"/>
        </w:rPr>
        <w:t xml:space="preserve"> la respuesta otorgada por el </w:t>
      </w:r>
      <w:r w:rsidRPr="00EC0030">
        <w:rPr>
          <w:rFonts w:ascii="Palatino Linotype" w:eastAsia="Palatino Linotype" w:hAnsi="Palatino Linotype" w:cs="Palatino Linotype"/>
          <w:b/>
          <w:color w:val="000000"/>
        </w:rPr>
        <w:t xml:space="preserve">SUJETO OBLIGADO </w:t>
      </w:r>
      <w:r w:rsidRPr="00EC0030">
        <w:rPr>
          <w:rFonts w:ascii="Palatino Linotype" w:eastAsia="Palatino Linotype" w:hAnsi="Palatino Linotype" w:cs="Palatino Linotype"/>
          <w:color w:val="000000"/>
        </w:rPr>
        <w:t xml:space="preserve">a la solicitud de información </w:t>
      </w:r>
      <w:r w:rsidRPr="00EC0030">
        <w:rPr>
          <w:rFonts w:ascii="Palatino Linotype" w:eastAsia="Palatino Linotype" w:hAnsi="Palatino Linotype" w:cs="Palatino Linotype"/>
          <w:b/>
          <w:color w:val="000000"/>
        </w:rPr>
        <w:lastRenderedPageBreak/>
        <w:t>00544/IXTASAL/IP/2024,</w:t>
      </w:r>
      <w:r w:rsidRPr="00EC0030">
        <w:rPr>
          <w:rFonts w:ascii="Palatino Linotype" w:eastAsia="Palatino Linotype" w:hAnsi="Palatino Linotype" w:cs="Palatino Linotype"/>
          <w:color w:val="000000"/>
        </w:rPr>
        <w:t xml:space="preserve"> y se </w:t>
      </w:r>
      <w:r w:rsidRPr="00EC0030">
        <w:rPr>
          <w:rFonts w:ascii="Palatino Linotype" w:eastAsia="Palatino Linotype" w:hAnsi="Palatino Linotype" w:cs="Palatino Linotype"/>
          <w:b/>
          <w:color w:val="000000"/>
        </w:rPr>
        <w:t>ORDENA</w:t>
      </w:r>
      <w:r w:rsidRPr="00EC0030">
        <w:rPr>
          <w:rFonts w:ascii="Palatino Linotype" w:eastAsia="Palatino Linotype" w:hAnsi="Palatino Linotype" w:cs="Palatino Linotype"/>
          <w:color w:val="000000"/>
        </w:rPr>
        <w:t xml:space="preserve"> la entrega de la información </w:t>
      </w:r>
      <w:r w:rsidRPr="00EC0030">
        <w:rPr>
          <w:rFonts w:ascii="Palatino Linotype" w:eastAsia="Palatino Linotype" w:hAnsi="Palatino Linotype" w:cs="Palatino Linotype"/>
        </w:rPr>
        <w:t>solicitada de ser el caso en versión pública; y</w:t>
      </w:r>
      <w:r w:rsidRPr="00EC0030">
        <w:rPr>
          <w:rFonts w:ascii="Palatino Linotype" w:eastAsia="Palatino Linotype" w:hAnsi="Palatino Linotype" w:cs="Palatino Linotype"/>
          <w:b/>
        </w:rPr>
        <w:t xml:space="preserve"> PARCIALMENTE FUNDADAS</w:t>
      </w:r>
      <w:r w:rsidRPr="00EC0030">
        <w:rPr>
          <w:rFonts w:ascii="Palatino Linotype" w:eastAsia="Palatino Linotype" w:hAnsi="Palatino Linotype" w:cs="Palatino Linotype"/>
        </w:rPr>
        <w:t xml:space="preserve"> las razones o motivos de inconformidad hechos valer por la parte Recurrente dentro del Recurso de Revisión </w:t>
      </w:r>
      <w:r w:rsidRPr="00EC0030">
        <w:rPr>
          <w:rFonts w:ascii="Palatino Linotype" w:eastAsia="Palatino Linotype" w:hAnsi="Palatino Linotype" w:cs="Palatino Linotype"/>
          <w:b/>
          <w:color w:val="000000"/>
        </w:rPr>
        <w:t xml:space="preserve">00303/INFOEM/IP/RR/2025, </w:t>
      </w:r>
      <w:r w:rsidRPr="00EC0030">
        <w:rPr>
          <w:rFonts w:ascii="Palatino Linotype" w:eastAsia="Palatino Linotype" w:hAnsi="Palatino Linotype" w:cs="Palatino Linotype"/>
          <w:color w:val="000000"/>
        </w:rPr>
        <w:t xml:space="preserve">por lo que se </w:t>
      </w:r>
      <w:r w:rsidRPr="00EC0030">
        <w:rPr>
          <w:rFonts w:ascii="Palatino Linotype" w:eastAsia="Palatino Linotype" w:hAnsi="Palatino Linotype" w:cs="Palatino Linotype"/>
          <w:b/>
          <w:color w:val="000000"/>
        </w:rPr>
        <w:t>MODIFICA</w:t>
      </w:r>
      <w:r w:rsidRPr="00EC0030">
        <w:rPr>
          <w:rFonts w:ascii="Palatino Linotype" w:eastAsia="Palatino Linotype" w:hAnsi="Palatino Linotype" w:cs="Palatino Linotype"/>
          <w:color w:val="000000"/>
        </w:rPr>
        <w:t xml:space="preserve"> la respuesta otorgada por el </w:t>
      </w:r>
      <w:r w:rsidRPr="00EC0030">
        <w:rPr>
          <w:rFonts w:ascii="Palatino Linotype" w:eastAsia="Palatino Linotype" w:hAnsi="Palatino Linotype" w:cs="Palatino Linotype"/>
          <w:b/>
          <w:color w:val="000000"/>
        </w:rPr>
        <w:t xml:space="preserve">SUJETO OBLIGADO </w:t>
      </w:r>
      <w:r w:rsidRPr="00EC0030">
        <w:rPr>
          <w:rFonts w:ascii="Palatino Linotype" w:eastAsia="Palatino Linotype" w:hAnsi="Palatino Linotype" w:cs="Palatino Linotype"/>
          <w:color w:val="000000"/>
        </w:rPr>
        <w:t xml:space="preserve">a la solicitud de información </w:t>
      </w:r>
      <w:r w:rsidRPr="00EC0030">
        <w:rPr>
          <w:rFonts w:ascii="Palatino Linotype" w:eastAsia="Palatino Linotype" w:hAnsi="Palatino Linotype" w:cs="Palatino Linotype"/>
          <w:b/>
        </w:rPr>
        <w:t>00537/IXTASAL/IP/2024</w:t>
      </w:r>
      <w:r w:rsidRPr="00EC0030">
        <w:rPr>
          <w:rFonts w:ascii="Palatino Linotype" w:eastAsia="Palatino Linotype" w:hAnsi="Palatino Linotype" w:cs="Palatino Linotype"/>
          <w:b/>
          <w:color w:val="000000"/>
        </w:rPr>
        <w:t>,</w:t>
      </w:r>
      <w:r w:rsidRPr="00EC0030">
        <w:rPr>
          <w:rFonts w:ascii="Palatino Linotype" w:eastAsia="Palatino Linotype" w:hAnsi="Palatino Linotype" w:cs="Palatino Linotype"/>
          <w:color w:val="000000"/>
        </w:rPr>
        <w:t xml:space="preserve"> y se </w:t>
      </w:r>
      <w:r w:rsidRPr="00EC0030">
        <w:rPr>
          <w:rFonts w:ascii="Palatino Linotype" w:eastAsia="Palatino Linotype" w:hAnsi="Palatino Linotype" w:cs="Palatino Linotype"/>
          <w:b/>
          <w:color w:val="000000"/>
        </w:rPr>
        <w:t>ORDENA</w:t>
      </w:r>
      <w:r w:rsidRPr="00EC0030">
        <w:rPr>
          <w:rFonts w:ascii="Palatino Linotype" w:eastAsia="Palatino Linotype" w:hAnsi="Palatino Linotype" w:cs="Palatino Linotype"/>
          <w:color w:val="000000"/>
        </w:rPr>
        <w:t xml:space="preserve"> la entrega de la información de </w:t>
      </w:r>
      <w:r w:rsidRPr="00EC0030">
        <w:rPr>
          <w:rFonts w:ascii="Palatino Linotype" w:eastAsia="Palatino Linotype" w:hAnsi="Palatino Linotype" w:cs="Palatino Linotype"/>
          <w:i/>
          <w:color w:val="000000"/>
        </w:rPr>
        <w:t xml:space="preserve">Oficios enviados por la presidencia municipal durante julio a agosto de 2023, </w:t>
      </w:r>
      <w:r w:rsidRPr="00EC0030">
        <w:rPr>
          <w:rFonts w:ascii="Palatino Linotype" w:eastAsia="Palatino Linotype" w:hAnsi="Palatino Linotype" w:cs="Palatino Linotype"/>
          <w:color w:val="000000"/>
        </w:rPr>
        <w:t>previa búsqueda exhaustiva y razonable, de ser el caso en versión pública</w:t>
      </w:r>
      <w:r w:rsidRPr="00EC0030">
        <w:rPr>
          <w:rFonts w:ascii="Palatino Linotype" w:eastAsia="Palatino Linotype" w:hAnsi="Palatino Linotype" w:cs="Palatino Linotype"/>
        </w:rPr>
        <w:t>, con fundamento en la fracción III, del numeral 186, de la Ley de Transparencia y Acceso a la Información Pública del Estado de México y Municipios</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2"/>
        </w:numPr>
        <w:spacing w:line="360" w:lineRule="auto"/>
        <w:ind w:left="0" w:right="-787" w:firstLine="0"/>
        <w:jc w:val="both"/>
        <w:rPr>
          <w:rFonts w:ascii="Palatino Linotype" w:eastAsia="Palatino Linotype" w:hAnsi="Palatino Linotype" w:cs="Palatino Linotype"/>
          <w:b/>
          <w:color w:val="000000"/>
        </w:rPr>
      </w:pPr>
      <w:r w:rsidRPr="00EC0030">
        <w:rPr>
          <w:rFonts w:ascii="Palatino Linotype" w:eastAsia="Palatino Linotype" w:hAnsi="Palatino Linotype" w:cs="Palatino Linotype"/>
          <w:color w:val="000000"/>
        </w:rPr>
        <w:t xml:space="preserve">Así, con fundamento en lo prescrito en los artículos 5 párrafos trigésimo segundo, trigésimo tercero y trigésimo cuarto de la Constitución Política del Estado Libre y Soberano de México; 2, fracción II; 29, 36 fracciones I y II; 176, 178, 181, 185 y 186 de la Ley de Transparencia y Acceso a la Información Pública del Estado de México y Municipios, este </w:t>
      </w:r>
      <w:r w:rsidRPr="00EC0030">
        <w:rPr>
          <w:rFonts w:ascii="Palatino Linotype" w:eastAsia="Palatino Linotype" w:hAnsi="Palatino Linotype" w:cs="Palatino Linotype"/>
          <w:b/>
          <w:color w:val="000000"/>
        </w:rPr>
        <w:t>ÓRGANO GARANTE</w:t>
      </w:r>
      <w:r w:rsidRPr="00EC0030">
        <w:rPr>
          <w:rFonts w:ascii="Palatino Linotype" w:eastAsia="Palatino Linotype" w:hAnsi="Palatino Linotype" w:cs="Palatino Linotype"/>
          <w:color w:val="000000"/>
        </w:rPr>
        <w:t xml:space="preserve"> emite los siguientes</w:t>
      </w:r>
      <w:r w:rsidRPr="00EC0030">
        <w:rPr>
          <w:rFonts w:ascii="Palatino Linotype" w:eastAsia="Palatino Linotype" w:hAnsi="Palatino Linotype" w:cs="Palatino Linotype"/>
          <w:color w:val="222222"/>
        </w:rPr>
        <w:t xml:space="preserve">: </w:t>
      </w:r>
    </w:p>
    <w:p w:rsidR="0012751D" w:rsidRPr="00EC0030" w:rsidRDefault="0012751D">
      <w:pPr>
        <w:keepNext/>
        <w:keepLines/>
        <w:spacing w:line="360" w:lineRule="auto"/>
        <w:ind w:right="-787"/>
        <w:jc w:val="center"/>
        <w:rPr>
          <w:rFonts w:ascii="Palatino Linotype" w:eastAsia="Palatino Linotype" w:hAnsi="Palatino Linotype" w:cs="Palatino Linotype"/>
          <w:b/>
        </w:rPr>
      </w:pPr>
    </w:p>
    <w:p w:rsidR="0012751D" w:rsidRPr="00EC0030" w:rsidRDefault="0012751D">
      <w:pPr>
        <w:keepNext/>
        <w:keepLines/>
        <w:spacing w:line="360" w:lineRule="auto"/>
        <w:ind w:right="-787"/>
        <w:jc w:val="center"/>
        <w:rPr>
          <w:rFonts w:ascii="Palatino Linotype" w:eastAsia="Palatino Linotype" w:hAnsi="Palatino Linotype" w:cs="Palatino Linotype"/>
          <w:b/>
        </w:rPr>
      </w:pPr>
    </w:p>
    <w:p w:rsidR="0012751D" w:rsidRPr="00EC0030" w:rsidRDefault="00F95FAE">
      <w:pPr>
        <w:keepNext/>
        <w:keepLines/>
        <w:spacing w:line="360" w:lineRule="auto"/>
        <w:ind w:right="-787"/>
        <w:jc w:val="center"/>
        <w:rPr>
          <w:rFonts w:ascii="Palatino Linotype" w:eastAsia="Palatino Linotype" w:hAnsi="Palatino Linotype" w:cs="Palatino Linotype"/>
          <w:b/>
          <w:color w:val="000000"/>
        </w:rPr>
      </w:pPr>
      <w:r w:rsidRPr="00EC0030">
        <w:rPr>
          <w:rFonts w:ascii="Palatino Linotype" w:eastAsia="Palatino Linotype" w:hAnsi="Palatino Linotype" w:cs="Palatino Linotype"/>
          <w:b/>
          <w:color w:val="000000"/>
        </w:rPr>
        <w:t>R E S O L U T I V O S</w:t>
      </w:r>
    </w:p>
    <w:p w:rsidR="0012751D" w:rsidRPr="00EC0030" w:rsidRDefault="0012751D">
      <w:pPr>
        <w:keepNext/>
        <w:keepLines/>
        <w:spacing w:line="360" w:lineRule="auto"/>
        <w:ind w:right="-787"/>
        <w:jc w:val="center"/>
        <w:rPr>
          <w:rFonts w:ascii="Palatino Linotype" w:eastAsia="Palatino Linotype" w:hAnsi="Palatino Linotype" w:cs="Palatino Linotype"/>
          <w:b/>
        </w:rPr>
      </w:pPr>
    </w:p>
    <w:p w:rsidR="0012751D" w:rsidRPr="00EC0030" w:rsidRDefault="00F95FAE">
      <w:pPr>
        <w:spacing w:line="360" w:lineRule="auto"/>
        <w:ind w:right="-787"/>
        <w:jc w:val="both"/>
        <w:rPr>
          <w:rFonts w:ascii="Palatino Linotype" w:eastAsia="Palatino Linotype" w:hAnsi="Palatino Linotype" w:cs="Palatino Linotype"/>
          <w:b/>
        </w:rPr>
      </w:pPr>
      <w:r w:rsidRPr="00EC0030">
        <w:rPr>
          <w:rFonts w:ascii="Palatino Linotype" w:eastAsia="Palatino Linotype" w:hAnsi="Palatino Linotype" w:cs="Palatino Linotype"/>
          <w:b/>
        </w:rPr>
        <w:t>PRIMERO</w:t>
      </w:r>
      <w:r w:rsidRPr="00EC0030">
        <w:rPr>
          <w:rFonts w:ascii="Palatino Linotype" w:eastAsia="Palatino Linotype" w:hAnsi="Palatino Linotype" w:cs="Palatino Linotype"/>
        </w:rPr>
        <w:t xml:space="preserve">. Resultan </w:t>
      </w:r>
      <w:r w:rsidRPr="00EC0030">
        <w:rPr>
          <w:rFonts w:ascii="Palatino Linotype" w:eastAsia="Palatino Linotype" w:hAnsi="Palatino Linotype" w:cs="Palatino Linotype"/>
          <w:b/>
        </w:rPr>
        <w:t xml:space="preserve">FUNDADAS </w:t>
      </w:r>
      <w:r w:rsidRPr="00EC0030">
        <w:rPr>
          <w:rFonts w:ascii="Palatino Linotype" w:eastAsia="Palatino Linotype" w:hAnsi="Palatino Linotype" w:cs="Palatino Linotype"/>
        </w:rPr>
        <w:t xml:space="preserve">las razones o motivos de inconformidad hechos valer por la parte Recurrente dentro del Recurso de Revisión </w:t>
      </w:r>
      <w:r w:rsidRPr="00EC0030">
        <w:rPr>
          <w:rFonts w:ascii="Palatino Linotype" w:eastAsia="Palatino Linotype" w:hAnsi="Palatino Linotype" w:cs="Palatino Linotype"/>
          <w:b/>
          <w:color w:val="000000"/>
        </w:rPr>
        <w:t>00283/INFOEM/IP/RR/2025</w:t>
      </w:r>
      <w:r w:rsidRPr="00EC0030">
        <w:rPr>
          <w:rFonts w:ascii="Palatino Linotype" w:eastAsia="Palatino Linotype" w:hAnsi="Palatino Linotype" w:cs="Palatino Linotype"/>
        </w:rPr>
        <w:t>; y</w:t>
      </w:r>
      <w:r w:rsidRPr="00EC0030">
        <w:rPr>
          <w:rFonts w:ascii="Palatino Linotype" w:eastAsia="Palatino Linotype" w:hAnsi="Palatino Linotype" w:cs="Palatino Linotype"/>
          <w:b/>
        </w:rPr>
        <w:t xml:space="preserve"> PARCIALMENTE FUNDADAS</w:t>
      </w:r>
      <w:r w:rsidRPr="00EC0030">
        <w:rPr>
          <w:rFonts w:ascii="Palatino Linotype" w:eastAsia="Palatino Linotype" w:hAnsi="Palatino Linotype" w:cs="Palatino Linotype"/>
        </w:rPr>
        <w:t xml:space="preserve"> las relativas al Recurso de Revisión </w:t>
      </w:r>
      <w:r w:rsidRPr="00EC0030">
        <w:rPr>
          <w:rFonts w:ascii="Palatino Linotype" w:eastAsia="Palatino Linotype" w:hAnsi="Palatino Linotype" w:cs="Palatino Linotype"/>
          <w:b/>
          <w:color w:val="000000"/>
        </w:rPr>
        <w:t>00303/INFOEM/IP/RR/2025</w:t>
      </w:r>
      <w:r w:rsidRPr="00EC0030">
        <w:rPr>
          <w:rFonts w:ascii="Palatino Linotype" w:eastAsia="Palatino Linotype" w:hAnsi="Palatino Linotype" w:cs="Palatino Linotype"/>
          <w:b/>
        </w:rPr>
        <w:t xml:space="preserve"> </w:t>
      </w:r>
      <w:r w:rsidRPr="00EC0030">
        <w:rPr>
          <w:rFonts w:ascii="Palatino Linotype" w:eastAsia="Palatino Linotype" w:hAnsi="Palatino Linotype" w:cs="Palatino Linotype"/>
        </w:rPr>
        <w:t xml:space="preserve">en términos del </w:t>
      </w:r>
      <w:r w:rsidRPr="00EC0030">
        <w:rPr>
          <w:rFonts w:ascii="Palatino Linotype" w:eastAsia="Palatino Linotype" w:hAnsi="Palatino Linotype" w:cs="Palatino Linotype"/>
          <w:b/>
        </w:rPr>
        <w:t>Considerando</w:t>
      </w:r>
      <w:r w:rsidRPr="00EC0030">
        <w:rPr>
          <w:rFonts w:ascii="Palatino Linotype" w:eastAsia="Palatino Linotype" w:hAnsi="Palatino Linotype" w:cs="Palatino Linotype"/>
        </w:rPr>
        <w:t xml:space="preserve"> </w:t>
      </w:r>
      <w:r w:rsidRPr="00EC0030">
        <w:rPr>
          <w:rFonts w:ascii="Palatino Linotype" w:eastAsia="Palatino Linotype" w:hAnsi="Palatino Linotype" w:cs="Palatino Linotype"/>
          <w:b/>
        </w:rPr>
        <w:t xml:space="preserve">CUARTO </w:t>
      </w:r>
      <w:r w:rsidRPr="00EC0030">
        <w:rPr>
          <w:rFonts w:ascii="Palatino Linotype" w:eastAsia="Palatino Linotype" w:hAnsi="Palatino Linotype" w:cs="Palatino Linotype"/>
        </w:rPr>
        <w:t>de la presente Resolución</w:t>
      </w:r>
      <w:r w:rsidRPr="00EC0030">
        <w:rPr>
          <w:rFonts w:ascii="Palatino Linotype" w:eastAsia="Palatino Linotype" w:hAnsi="Palatino Linotype" w:cs="Palatino Linotype"/>
          <w:b/>
        </w:rPr>
        <w:t>.</w:t>
      </w:r>
    </w:p>
    <w:p w:rsidR="0012751D" w:rsidRPr="00EC0030" w:rsidRDefault="00F95FAE">
      <w:pPr>
        <w:spacing w:line="360" w:lineRule="auto"/>
        <w:ind w:right="-787"/>
        <w:jc w:val="both"/>
        <w:rPr>
          <w:rFonts w:ascii="Palatino Linotype" w:eastAsia="Palatino Linotype" w:hAnsi="Palatino Linotype" w:cs="Palatino Linotype"/>
        </w:rPr>
      </w:pPr>
      <w:r w:rsidRPr="00EC0030">
        <w:rPr>
          <w:rFonts w:ascii="Palatino Linotype" w:eastAsia="Palatino Linotype" w:hAnsi="Palatino Linotype" w:cs="Palatino Linotype"/>
          <w:b/>
        </w:rPr>
        <w:lastRenderedPageBreak/>
        <w:t xml:space="preserve">SEGUNDO. </w:t>
      </w:r>
      <w:r w:rsidRPr="00EC0030">
        <w:rPr>
          <w:rFonts w:ascii="Palatino Linotype" w:eastAsia="Palatino Linotype" w:hAnsi="Palatino Linotype" w:cs="Palatino Linotype"/>
          <w:color w:val="000000"/>
        </w:rPr>
        <w:t xml:space="preserve">Se </w:t>
      </w:r>
      <w:r w:rsidRPr="00EC0030">
        <w:rPr>
          <w:rFonts w:ascii="Palatino Linotype" w:eastAsia="Palatino Linotype" w:hAnsi="Palatino Linotype" w:cs="Palatino Linotype"/>
          <w:b/>
          <w:color w:val="000000"/>
        </w:rPr>
        <w:t>REVOCA</w:t>
      </w:r>
      <w:r w:rsidRPr="00EC0030">
        <w:rPr>
          <w:rFonts w:ascii="Palatino Linotype" w:eastAsia="Palatino Linotype" w:hAnsi="Palatino Linotype" w:cs="Palatino Linotype"/>
          <w:color w:val="000000"/>
        </w:rPr>
        <w:t xml:space="preserve"> la respuesta otorgada por el </w:t>
      </w:r>
      <w:r w:rsidRPr="00EC0030">
        <w:rPr>
          <w:rFonts w:ascii="Palatino Linotype" w:eastAsia="Palatino Linotype" w:hAnsi="Palatino Linotype" w:cs="Palatino Linotype"/>
          <w:b/>
          <w:color w:val="000000"/>
        </w:rPr>
        <w:t xml:space="preserve">SUJETO OBLIGADO </w:t>
      </w:r>
      <w:r w:rsidRPr="00EC0030">
        <w:rPr>
          <w:rFonts w:ascii="Palatino Linotype" w:eastAsia="Palatino Linotype" w:hAnsi="Palatino Linotype" w:cs="Palatino Linotype"/>
          <w:color w:val="000000"/>
        </w:rPr>
        <w:t xml:space="preserve">a la solicitud de información </w:t>
      </w:r>
      <w:r w:rsidRPr="00EC0030">
        <w:rPr>
          <w:rFonts w:ascii="Palatino Linotype" w:eastAsia="Palatino Linotype" w:hAnsi="Palatino Linotype" w:cs="Palatino Linotype"/>
          <w:b/>
          <w:color w:val="000000"/>
        </w:rPr>
        <w:t xml:space="preserve">00544/IXTASAL/IP/2024: </w:t>
      </w:r>
      <w:r w:rsidRPr="00EC0030">
        <w:rPr>
          <w:rFonts w:ascii="Palatino Linotype" w:eastAsia="Palatino Linotype" w:hAnsi="Palatino Linotype" w:cs="Palatino Linotype"/>
          <w:color w:val="000000"/>
        </w:rPr>
        <w:t xml:space="preserve">y se </w:t>
      </w:r>
      <w:r w:rsidRPr="00EC0030">
        <w:rPr>
          <w:rFonts w:ascii="Palatino Linotype" w:eastAsia="Palatino Linotype" w:hAnsi="Palatino Linotype" w:cs="Palatino Linotype"/>
          <w:b/>
          <w:color w:val="000000"/>
        </w:rPr>
        <w:t>MODIFICA</w:t>
      </w:r>
      <w:r w:rsidRPr="00EC0030">
        <w:rPr>
          <w:rFonts w:ascii="Palatino Linotype" w:eastAsia="Palatino Linotype" w:hAnsi="Palatino Linotype" w:cs="Palatino Linotype"/>
          <w:color w:val="000000"/>
        </w:rPr>
        <w:t xml:space="preserve"> la otorgada a la solicitud de información </w:t>
      </w:r>
      <w:r w:rsidRPr="00EC0030">
        <w:rPr>
          <w:rFonts w:ascii="Palatino Linotype" w:eastAsia="Palatino Linotype" w:hAnsi="Palatino Linotype" w:cs="Palatino Linotype"/>
          <w:b/>
        </w:rPr>
        <w:t>00537/IXTASAL/IP/2024.</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spacing w:line="360" w:lineRule="auto"/>
        <w:ind w:right="-787"/>
        <w:jc w:val="both"/>
        <w:rPr>
          <w:rFonts w:ascii="Palatino Linotype" w:eastAsia="Palatino Linotype" w:hAnsi="Palatino Linotype" w:cs="Palatino Linotype"/>
        </w:rPr>
      </w:pPr>
      <w:r w:rsidRPr="00EC0030">
        <w:rPr>
          <w:rFonts w:ascii="Palatino Linotype" w:eastAsia="Palatino Linotype" w:hAnsi="Palatino Linotype" w:cs="Palatino Linotype"/>
          <w:b/>
        </w:rPr>
        <w:t>TERCERO</w:t>
      </w:r>
      <w:r w:rsidRPr="00EC0030">
        <w:rPr>
          <w:rFonts w:ascii="Palatino Linotype" w:eastAsia="Palatino Linotype" w:hAnsi="Palatino Linotype" w:cs="Palatino Linotype"/>
        </w:rPr>
        <w:t>.</w:t>
      </w:r>
      <w:r w:rsidRPr="00EC0030">
        <w:rPr>
          <w:rFonts w:ascii="Palatino Linotype" w:eastAsia="Palatino Linotype" w:hAnsi="Palatino Linotype" w:cs="Palatino Linotype"/>
          <w:color w:val="000000"/>
        </w:rPr>
        <w:t xml:space="preserve"> Se </w:t>
      </w:r>
      <w:r w:rsidRPr="00EC0030">
        <w:rPr>
          <w:rFonts w:ascii="Palatino Linotype" w:eastAsia="Palatino Linotype" w:hAnsi="Palatino Linotype" w:cs="Palatino Linotype"/>
          <w:b/>
          <w:color w:val="000000"/>
        </w:rPr>
        <w:t>ORDENA</w:t>
      </w:r>
      <w:r w:rsidRPr="00EC0030">
        <w:rPr>
          <w:rFonts w:ascii="Palatino Linotype" w:eastAsia="Palatino Linotype" w:hAnsi="Palatino Linotype" w:cs="Palatino Linotype"/>
          <w:color w:val="000000"/>
        </w:rPr>
        <w:t xml:space="preserve"> entregar vía Sistema de Acceso a la Información Mexiquense </w:t>
      </w:r>
      <w:r w:rsidRPr="00EC0030">
        <w:rPr>
          <w:rFonts w:ascii="Palatino Linotype" w:eastAsia="Palatino Linotype" w:hAnsi="Palatino Linotype" w:cs="Palatino Linotype"/>
          <w:b/>
          <w:color w:val="000000"/>
        </w:rPr>
        <w:t>(SAIMEX)</w:t>
      </w:r>
      <w:r w:rsidRPr="00EC0030">
        <w:rPr>
          <w:rFonts w:ascii="Palatino Linotype" w:eastAsia="Palatino Linotype" w:hAnsi="Palatino Linotype" w:cs="Palatino Linotype"/>
        </w:rPr>
        <w:t>, previa búsqueda exhaustiva y razonable, de ser el caso en versión pública, la siguiente información:</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numPr>
          <w:ilvl w:val="0"/>
          <w:numId w:val="6"/>
        </w:numPr>
        <w:pBdr>
          <w:top w:val="nil"/>
          <w:left w:val="nil"/>
          <w:bottom w:val="nil"/>
          <w:right w:val="nil"/>
          <w:between w:val="nil"/>
        </w:pBdr>
        <w:spacing w:line="360" w:lineRule="auto"/>
        <w:ind w:right="-787"/>
        <w:jc w:val="both"/>
        <w:rPr>
          <w:rFonts w:ascii="Palatino Linotype" w:eastAsia="Palatino Linotype" w:hAnsi="Palatino Linotype" w:cs="Palatino Linotype"/>
          <w:b/>
          <w:color w:val="000000"/>
        </w:rPr>
      </w:pPr>
      <w:bookmarkStart w:id="6" w:name="_heading=h.1ksv4uv" w:colFirst="0" w:colLast="0"/>
      <w:bookmarkEnd w:id="6"/>
      <w:r w:rsidRPr="00EC0030">
        <w:rPr>
          <w:rFonts w:ascii="Palatino Linotype" w:eastAsia="Palatino Linotype" w:hAnsi="Palatino Linotype" w:cs="Palatino Linotype"/>
          <w:b/>
          <w:i/>
          <w:color w:val="000000"/>
        </w:rPr>
        <w:t>Oficios enviados y recibidos por la presidencia municipal del uno de noviembre al diecisiete de diciembre de 2024.</w:t>
      </w:r>
    </w:p>
    <w:p w:rsidR="0012751D" w:rsidRPr="00EC0030" w:rsidRDefault="00F95FAE">
      <w:pPr>
        <w:numPr>
          <w:ilvl w:val="0"/>
          <w:numId w:val="6"/>
        </w:numPr>
        <w:pBdr>
          <w:top w:val="nil"/>
          <w:left w:val="nil"/>
          <w:bottom w:val="nil"/>
          <w:right w:val="nil"/>
          <w:between w:val="nil"/>
        </w:pBdr>
        <w:spacing w:line="360" w:lineRule="auto"/>
        <w:ind w:right="-787"/>
        <w:jc w:val="both"/>
        <w:rPr>
          <w:rFonts w:ascii="Palatino Linotype" w:eastAsia="Palatino Linotype" w:hAnsi="Palatino Linotype" w:cs="Palatino Linotype"/>
          <w:b/>
          <w:i/>
          <w:color w:val="000000"/>
        </w:rPr>
      </w:pPr>
      <w:r w:rsidRPr="00EC0030">
        <w:rPr>
          <w:rFonts w:ascii="Palatino Linotype" w:eastAsia="Palatino Linotype" w:hAnsi="Palatino Linotype" w:cs="Palatino Linotype"/>
          <w:b/>
          <w:i/>
          <w:color w:val="000000"/>
        </w:rPr>
        <w:t>Oficio enviado remitido a la solicitud de información 00537/IXTASAL/IP/2024, de fecha 10 de julio de 2023, en versión pública correcta.</w:t>
      </w:r>
    </w:p>
    <w:p w:rsidR="0012751D" w:rsidRPr="00EC0030" w:rsidRDefault="00F95FAE">
      <w:pPr>
        <w:numPr>
          <w:ilvl w:val="0"/>
          <w:numId w:val="6"/>
        </w:numPr>
        <w:pBdr>
          <w:top w:val="nil"/>
          <w:left w:val="nil"/>
          <w:bottom w:val="nil"/>
          <w:right w:val="nil"/>
          <w:between w:val="nil"/>
        </w:pBdr>
        <w:spacing w:line="360" w:lineRule="auto"/>
        <w:ind w:right="-787"/>
        <w:jc w:val="both"/>
        <w:rPr>
          <w:rFonts w:ascii="Palatino Linotype" w:eastAsia="Palatino Linotype" w:hAnsi="Palatino Linotype" w:cs="Palatino Linotype"/>
          <w:b/>
          <w:color w:val="000000"/>
        </w:rPr>
      </w:pPr>
      <w:r w:rsidRPr="00EC0030">
        <w:rPr>
          <w:rFonts w:ascii="Palatino Linotype" w:eastAsia="Palatino Linotype" w:hAnsi="Palatino Linotype" w:cs="Palatino Linotype"/>
          <w:b/>
          <w:i/>
          <w:color w:val="000000"/>
        </w:rPr>
        <w:t>Oficios enviados faltantes por la presidencia municipal del uno de julio al treinta y uno de agosto 2023.</w:t>
      </w:r>
    </w:p>
    <w:p w:rsidR="0012751D" w:rsidRPr="00EC0030" w:rsidRDefault="0012751D">
      <w:pPr>
        <w:pBdr>
          <w:top w:val="nil"/>
          <w:left w:val="nil"/>
          <w:bottom w:val="nil"/>
          <w:right w:val="nil"/>
          <w:between w:val="nil"/>
        </w:pBdr>
        <w:spacing w:line="360" w:lineRule="auto"/>
        <w:ind w:left="720" w:right="-787"/>
        <w:jc w:val="both"/>
        <w:rPr>
          <w:rFonts w:ascii="Palatino Linotype" w:eastAsia="Palatino Linotype" w:hAnsi="Palatino Linotype" w:cs="Palatino Linotype"/>
          <w:b/>
          <w:color w:val="000000"/>
        </w:rPr>
      </w:pPr>
    </w:p>
    <w:p w:rsidR="0012751D" w:rsidRPr="00EC0030" w:rsidRDefault="00F95FAE">
      <w:pPr>
        <w:tabs>
          <w:tab w:val="left" w:pos="8080"/>
        </w:tabs>
        <w:spacing w:line="360" w:lineRule="auto"/>
        <w:ind w:left="567" w:right="-787"/>
        <w:jc w:val="both"/>
        <w:rPr>
          <w:rFonts w:ascii="Palatino Linotype" w:eastAsia="Palatino Linotype" w:hAnsi="Palatino Linotype" w:cs="Palatino Linotype"/>
          <w:b/>
        </w:rPr>
      </w:pPr>
      <w:r w:rsidRPr="00EC0030">
        <w:rPr>
          <w:rFonts w:ascii="Palatino Linotype" w:eastAsia="Palatino Linotype" w:hAnsi="Palatino Linotype" w:cs="Palatino Linotype"/>
        </w:rPr>
        <w:t xml:space="preserve">Para efectos de lo anterior, se deberá emitir el Acuerdo del Comité de Transparencia en términos de los artículos 49, fracción VIII y 132, fracción II, de la Ley de Transparencia y Acceso a la Información Pública del Estado de México y Municipios, en el que funde y motive las razones sobre los datos que se supriman o eliminen dentro del soporte documental respectivo objeto de las versiones públicas que se formulen y se pongan a disposición del </w:t>
      </w:r>
      <w:r w:rsidRPr="00EC0030">
        <w:rPr>
          <w:rFonts w:ascii="Palatino Linotype" w:eastAsia="Palatino Linotype" w:hAnsi="Palatino Linotype" w:cs="Palatino Linotype"/>
          <w:b/>
        </w:rPr>
        <w:t>RECURRENTE.</w:t>
      </w:r>
    </w:p>
    <w:p w:rsidR="0012751D" w:rsidRPr="00EC0030" w:rsidRDefault="0012751D">
      <w:pPr>
        <w:tabs>
          <w:tab w:val="left" w:pos="8080"/>
        </w:tabs>
        <w:spacing w:line="360" w:lineRule="auto"/>
        <w:ind w:left="567" w:right="-787"/>
        <w:jc w:val="both"/>
        <w:rPr>
          <w:rFonts w:ascii="Palatino Linotype" w:eastAsia="Palatino Linotype" w:hAnsi="Palatino Linotype" w:cs="Palatino Linotype"/>
          <w:b/>
        </w:rPr>
      </w:pPr>
    </w:p>
    <w:p w:rsidR="0012751D" w:rsidRPr="00EC0030" w:rsidRDefault="00F95FAE">
      <w:pPr>
        <w:tabs>
          <w:tab w:val="left" w:pos="8080"/>
        </w:tabs>
        <w:spacing w:line="360" w:lineRule="auto"/>
        <w:ind w:left="567" w:right="-787"/>
        <w:jc w:val="both"/>
        <w:rPr>
          <w:rFonts w:ascii="Palatino Linotype" w:eastAsia="Palatino Linotype" w:hAnsi="Palatino Linotype" w:cs="Palatino Linotype"/>
        </w:rPr>
      </w:pPr>
      <w:r w:rsidRPr="00EC0030">
        <w:rPr>
          <w:rFonts w:ascii="Palatino Linotype" w:eastAsia="Palatino Linotype" w:hAnsi="Palatino Linotype" w:cs="Palatino Linotype"/>
        </w:rPr>
        <w:t xml:space="preserve">Para el caso que el Sujeto Obligado no cuente con la información que se ordena su entrega del presente Resolutivo respecto de los oficios enviados, porque no se </w:t>
      </w:r>
      <w:r w:rsidRPr="00EC0030">
        <w:rPr>
          <w:rFonts w:ascii="Palatino Linotype" w:eastAsia="Palatino Linotype" w:hAnsi="Palatino Linotype" w:cs="Palatino Linotype"/>
        </w:rPr>
        <w:lastRenderedPageBreak/>
        <w:t>generaron o se cancelaron, bastará con que lo haga del conocimiento de la Recurrente al momento de dar cumplimiento a la presente resolución, en términos del artículo 19 párrafo segundo de la Ley de Transparencia y Acceso a la Información Pública del Estado de México y Municipios.</w:t>
      </w:r>
    </w:p>
    <w:p w:rsidR="0012751D" w:rsidRPr="00EC0030" w:rsidRDefault="0012751D">
      <w:pPr>
        <w:pBdr>
          <w:top w:val="nil"/>
          <w:left w:val="nil"/>
          <w:bottom w:val="nil"/>
          <w:right w:val="nil"/>
          <w:between w:val="nil"/>
        </w:pBdr>
        <w:spacing w:line="360" w:lineRule="auto"/>
        <w:ind w:left="720" w:right="-787"/>
        <w:jc w:val="both"/>
        <w:rPr>
          <w:rFonts w:ascii="Palatino Linotype" w:eastAsia="Palatino Linotype" w:hAnsi="Palatino Linotype" w:cs="Palatino Linotype"/>
          <w:b/>
          <w:color w:val="000000"/>
        </w:rPr>
      </w:pPr>
    </w:p>
    <w:p w:rsidR="0012751D" w:rsidRPr="00EC0030" w:rsidRDefault="00F95FAE">
      <w:pPr>
        <w:shd w:val="clear" w:color="auto" w:fill="FFFFFF"/>
        <w:spacing w:line="360" w:lineRule="auto"/>
        <w:ind w:right="-787"/>
        <w:jc w:val="both"/>
        <w:rPr>
          <w:rFonts w:ascii="Palatino Linotype" w:eastAsia="Palatino Linotype" w:hAnsi="Palatino Linotype" w:cs="Palatino Linotype"/>
          <w:color w:val="000000"/>
        </w:rPr>
      </w:pPr>
      <w:r w:rsidRPr="00EC0030">
        <w:rPr>
          <w:rFonts w:ascii="Palatino Linotype" w:eastAsia="Palatino Linotype" w:hAnsi="Palatino Linotype" w:cs="Palatino Linotype"/>
          <w:b/>
        </w:rPr>
        <w:t xml:space="preserve">CUARTO. </w:t>
      </w:r>
      <w:r w:rsidRPr="00EC0030">
        <w:rPr>
          <w:rFonts w:ascii="Palatino Linotype" w:eastAsia="Palatino Linotype" w:hAnsi="Palatino Linotype" w:cs="Palatino Linotype"/>
          <w:b/>
          <w:color w:val="222222"/>
        </w:rPr>
        <w:t>NOTIFÍQUESE</w:t>
      </w:r>
      <w:r w:rsidRPr="00EC0030">
        <w:rPr>
          <w:rFonts w:ascii="Palatino Linotype" w:eastAsia="Palatino Linotype" w:hAnsi="Palatino Linotype" w:cs="Palatino Linotype"/>
          <w:color w:val="222222"/>
        </w:rPr>
        <w:t xml:space="preserve"> la presente resolución al Titular de la Unidad de Transparencia del Sujeto Obligado vía SAIMEX, para que conforme al artículo 186 último párrafo, 189 segundo párrafo y 194 de la Ley de Transparencia y Acceso a la Información Pública del Estado de México y Municipios; </w:t>
      </w:r>
      <w:r w:rsidRPr="00EC0030">
        <w:rPr>
          <w:rFonts w:ascii="Palatino Linotype" w:eastAsia="Palatino Linotype" w:hAnsi="Palatino Linotype" w:cs="Palatino Linotype"/>
          <w:b/>
          <w:color w:val="222222"/>
        </w:rPr>
        <w:t xml:space="preserve">dé cumplimiento a lo ordenado dentro del plazo de diez días hábiles, </w:t>
      </w:r>
      <w:r w:rsidRPr="00EC0030">
        <w:rPr>
          <w:rFonts w:ascii="Palatino Linotype" w:eastAsia="Palatino Linotype" w:hAnsi="Palatino Linotype" w:cs="Palatino Linotype"/>
          <w:color w:val="222222"/>
        </w:rPr>
        <w:t>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spacing w:line="360" w:lineRule="auto"/>
        <w:ind w:right="-787"/>
        <w:jc w:val="both"/>
        <w:rPr>
          <w:rFonts w:ascii="Palatino Linotype" w:eastAsia="Palatino Linotype" w:hAnsi="Palatino Linotype" w:cs="Palatino Linotype"/>
        </w:rPr>
      </w:pPr>
      <w:bookmarkStart w:id="7" w:name="_heading=h.3rdcrjn" w:colFirst="0" w:colLast="0"/>
      <w:bookmarkEnd w:id="7"/>
      <w:r w:rsidRPr="00EC0030">
        <w:rPr>
          <w:rFonts w:ascii="Palatino Linotype" w:eastAsia="Palatino Linotype" w:hAnsi="Palatino Linotype" w:cs="Palatino Linotype"/>
          <w:b/>
        </w:rPr>
        <w:t xml:space="preserve">QUINTO. </w:t>
      </w:r>
      <w:r w:rsidRPr="00EC0030">
        <w:rPr>
          <w:rFonts w:ascii="Palatino Linotype" w:eastAsia="Palatino Linotype" w:hAnsi="Palatino Linotype" w:cs="Palatino Linotype"/>
        </w:rPr>
        <w:t xml:space="preserve">De conformidad con el artículo 198 de la Ley de Transparencia y Acceso a la Información Pública del Estado de México y Municipios, de considerarlo procedente, el </w:t>
      </w:r>
      <w:r w:rsidRPr="00EC0030">
        <w:rPr>
          <w:rFonts w:ascii="Palatino Linotype" w:eastAsia="Palatino Linotype" w:hAnsi="Palatino Linotype" w:cs="Palatino Linotype"/>
          <w:b/>
        </w:rPr>
        <w:t>SUJETO OBLIGADO</w:t>
      </w:r>
      <w:r w:rsidRPr="00EC0030">
        <w:rPr>
          <w:rFonts w:ascii="Palatino Linotype" w:eastAsia="Palatino Linotype" w:hAnsi="Palatino Linotype" w:cs="Palatino Linotype"/>
        </w:rPr>
        <w:t xml:space="preserve"> de manera fundada y motivada, podrá solicitar una ampliación de plazo para el cumplimiento de la presente resolución.</w:t>
      </w:r>
    </w:p>
    <w:p w:rsidR="0012751D" w:rsidRPr="00EC0030" w:rsidRDefault="0012751D">
      <w:pPr>
        <w:spacing w:line="360" w:lineRule="auto"/>
        <w:ind w:right="-787"/>
        <w:jc w:val="both"/>
        <w:rPr>
          <w:rFonts w:ascii="Palatino Linotype" w:eastAsia="Palatino Linotype" w:hAnsi="Palatino Linotype" w:cs="Palatino Linotype"/>
        </w:rPr>
      </w:pPr>
    </w:p>
    <w:p w:rsidR="0012751D" w:rsidRPr="00EC0030" w:rsidRDefault="00F95FAE">
      <w:pPr>
        <w:tabs>
          <w:tab w:val="left" w:pos="8080"/>
        </w:tabs>
        <w:spacing w:line="360" w:lineRule="auto"/>
        <w:ind w:right="-787"/>
        <w:jc w:val="both"/>
        <w:rPr>
          <w:rFonts w:ascii="Palatino Linotype" w:eastAsia="Palatino Linotype" w:hAnsi="Palatino Linotype" w:cs="Palatino Linotype"/>
        </w:rPr>
      </w:pPr>
      <w:r w:rsidRPr="00EC0030">
        <w:rPr>
          <w:rFonts w:ascii="Palatino Linotype" w:eastAsia="Palatino Linotype" w:hAnsi="Palatino Linotype" w:cs="Palatino Linotype"/>
          <w:b/>
        </w:rPr>
        <w:t xml:space="preserve">SEXTO. </w:t>
      </w:r>
      <w:r w:rsidRPr="00EC0030">
        <w:rPr>
          <w:rFonts w:ascii="Palatino Linotype" w:eastAsia="Palatino Linotype" w:hAnsi="Palatino Linotype" w:cs="Palatino Linotype"/>
          <w:b/>
          <w:color w:val="222222"/>
        </w:rPr>
        <w:t xml:space="preserve">Notifíquese </w:t>
      </w:r>
      <w:r w:rsidRPr="00EC0030">
        <w:rPr>
          <w:rFonts w:ascii="Palatino Linotype" w:eastAsia="Palatino Linotype" w:hAnsi="Palatino Linotype" w:cs="Palatino Linotype"/>
          <w:color w:val="222222"/>
        </w:rPr>
        <w:t xml:space="preserve">a </w:t>
      </w:r>
      <w:r w:rsidRPr="00EC0030">
        <w:rPr>
          <w:rFonts w:ascii="Palatino Linotype" w:eastAsia="Palatino Linotype" w:hAnsi="Palatino Linotype" w:cs="Palatino Linotype"/>
          <w:b/>
          <w:color w:val="222222"/>
        </w:rPr>
        <w:t>EL RECURRENTE</w:t>
      </w:r>
      <w:r w:rsidRPr="00EC0030">
        <w:rPr>
          <w:rFonts w:ascii="Palatino Linotype" w:eastAsia="Palatino Linotype" w:hAnsi="Palatino Linotype" w:cs="Palatino Linotype"/>
          <w:color w:val="222222"/>
        </w:rPr>
        <w:t xml:space="preserve"> la presente resolución vía SAIMEX</w:t>
      </w:r>
      <w:r w:rsidRPr="00EC0030">
        <w:rPr>
          <w:rFonts w:ascii="Palatino Linotype" w:eastAsia="Palatino Linotype" w:hAnsi="Palatino Linotype" w:cs="Palatino Linotype"/>
        </w:rPr>
        <w:t>.</w:t>
      </w:r>
    </w:p>
    <w:p w:rsidR="0012751D" w:rsidRPr="00EC0030" w:rsidRDefault="0012751D">
      <w:pPr>
        <w:tabs>
          <w:tab w:val="left" w:pos="8080"/>
        </w:tabs>
        <w:spacing w:line="360" w:lineRule="auto"/>
        <w:ind w:right="-787"/>
        <w:jc w:val="both"/>
        <w:rPr>
          <w:rFonts w:ascii="Palatino Linotype" w:eastAsia="Palatino Linotype" w:hAnsi="Palatino Linotype" w:cs="Palatino Linotype"/>
        </w:rPr>
      </w:pPr>
    </w:p>
    <w:p w:rsidR="0012751D" w:rsidRPr="00EC0030" w:rsidRDefault="00F95FAE">
      <w:pPr>
        <w:shd w:val="clear" w:color="auto" w:fill="FFFFFF"/>
        <w:spacing w:line="360" w:lineRule="auto"/>
        <w:ind w:right="-787"/>
        <w:jc w:val="both"/>
        <w:rPr>
          <w:rFonts w:ascii="Palatino Linotype" w:eastAsia="Palatino Linotype" w:hAnsi="Palatino Linotype" w:cs="Palatino Linotype"/>
          <w:color w:val="000000"/>
        </w:rPr>
      </w:pPr>
      <w:r w:rsidRPr="00EC0030">
        <w:rPr>
          <w:rFonts w:ascii="Palatino Linotype" w:eastAsia="Palatino Linotype" w:hAnsi="Palatino Linotype" w:cs="Palatino Linotype"/>
          <w:b/>
        </w:rPr>
        <w:t xml:space="preserve">SÉPTIMO. </w:t>
      </w:r>
      <w:r w:rsidRPr="00EC0030">
        <w:rPr>
          <w:rFonts w:ascii="Palatino Linotype" w:eastAsia="Palatino Linotype" w:hAnsi="Palatino Linotype" w:cs="Palatino Linotype"/>
          <w:color w:val="000000"/>
        </w:rPr>
        <w:t xml:space="preserve">Se hace del conocimiento de </w:t>
      </w:r>
      <w:r w:rsidRPr="00EC0030">
        <w:rPr>
          <w:rFonts w:ascii="Palatino Linotype" w:eastAsia="Palatino Linotype" w:hAnsi="Palatino Linotype" w:cs="Palatino Linotype"/>
          <w:b/>
          <w:color w:val="000000"/>
        </w:rPr>
        <w:t>EL RECURRENTE</w:t>
      </w:r>
      <w:r w:rsidRPr="00EC0030">
        <w:rPr>
          <w:rFonts w:ascii="Palatino Linotype" w:eastAsia="Palatino Linotype" w:hAnsi="Palatino Linotype" w:cs="Palatino Linotype"/>
          <w:color w:val="000000"/>
        </w:rPr>
        <w:t xml:space="preserve"> que, de conformidad con lo establecido en el artículo 196 de la Ley de Transparencia y Acceso a la Información Pública </w:t>
      </w:r>
      <w:r w:rsidRPr="00EC0030">
        <w:rPr>
          <w:rFonts w:ascii="Palatino Linotype" w:eastAsia="Palatino Linotype" w:hAnsi="Palatino Linotype" w:cs="Palatino Linotype"/>
          <w:color w:val="000000"/>
        </w:rPr>
        <w:lastRenderedPageBreak/>
        <w:t xml:space="preserve">del Estado de México y Municipios, en caso de que considere que la resolución le cause algún perjuicio podrá </w:t>
      </w:r>
      <w:r w:rsidRPr="00EC0030">
        <w:rPr>
          <w:rFonts w:ascii="Palatino Linotype" w:eastAsia="Palatino Linotype" w:hAnsi="Palatino Linotype" w:cs="Palatino Linotype"/>
        </w:rPr>
        <w:t>impugnar vía</w:t>
      </w:r>
      <w:r w:rsidRPr="00EC0030">
        <w:rPr>
          <w:rFonts w:ascii="Palatino Linotype" w:eastAsia="Palatino Linotype" w:hAnsi="Palatino Linotype" w:cs="Palatino Linotype"/>
          <w:color w:val="000000"/>
        </w:rPr>
        <w:t xml:space="preserve"> juicio de amparo en los términos de las leyes aplicables.</w:t>
      </w:r>
    </w:p>
    <w:p w:rsidR="0012751D" w:rsidRPr="00EC0030" w:rsidRDefault="0012751D">
      <w:pPr>
        <w:shd w:val="clear" w:color="auto" w:fill="FFFFFF"/>
        <w:spacing w:line="360" w:lineRule="auto"/>
        <w:ind w:right="-787"/>
        <w:jc w:val="both"/>
        <w:rPr>
          <w:rFonts w:ascii="Palatino Linotype" w:eastAsia="Palatino Linotype" w:hAnsi="Palatino Linotype" w:cs="Palatino Linotype"/>
          <w:color w:val="000000"/>
        </w:rPr>
      </w:pPr>
    </w:p>
    <w:p w:rsidR="0012751D" w:rsidRPr="00EC0030" w:rsidRDefault="00F95FAE">
      <w:pPr>
        <w:shd w:val="clear" w:color="auto" w:fill="FFFFFF"/>
        <w:spacing w:line="360" w:lineRule="auto"/>
        <w:ind w:right="-787"/>
        <w:jc w:val="both"/>
        <w:rPr>
          <w:rFonts w:ascii="Palatino Linotype" w:eastAsia="Palatino Linotype" w:hAnsi="Palatino Linotype" w:cs="Palatino Linotype"/>
        </w:rPr>
      </w:pPr>
      <w:bookmarkStart w:id="8" w:name="_heading=h.4d34og8" w:colFirst="0" w:colLast="0"/>
      <w:bookmarkEnd w:id="8"/>
      <w:r w:rsidRPr="00EC0030">
        <w:rPr>
          <w:rFonts w:ascii="Palatino Linotype" w:eastAsia="Palatino Linotype" w:hAnsi="Palatino Linotype" w:cs="Palatino Linotype"/>
          <w:b/>
        </w:rPr>
        <w:t>OCTAVO.</w:t>
      </w:r>
      <w:r w:rsidRPr="00EC0030">
        <w:rPr>
          <w:rFonts w:ascii="Palatino Linotype" w:eastAsia="Palatino Linotype" w:hAnsi="Palatino Linotype" w:cs="Palatino Linotype"/>
        </w:rPr>
        <w:t xml:space="preserve"> Gírese oficio a la Dirección General de Protección de Datos Personales de este Instituto para hacer de su conocimiento la presente resolución, a fin de que en ejercicio de sus atribuciones y de conformidad con el artículo 82, fracciones XIV, XXII, XXIII y XXV de la Ley de Protección de Datos Personales en Posesión de Sujetos Obligados del Estado de México y Municipios, determine lo conducente, en términos del Considerando </w:t>
      </w:r>
      <w:r w:rsidRPr="00EC0030">
        <w:rPr>
          <w:rFonts w:ascii="Palatino Linotype" w:eastAsia="Palatino Linotype" w:hAnsi="Palatino Linotype" w:cs="Palatino Linotype"/>
          <w:b/>
        </w:rPr>
        <w:t>CUARTO</w:t>
      </w:r>
      <w:r w:rsidRPr="00EC0030">
        <w:rPr>
          <w:rFonts w:ascii="Palatino Linotype" w:eastAsia="Palatino Linotype" w:hAnsi="Palatino Linotype" w:cs="Palatino Linotype"/>
        </w:rPr>
        <w:t xml:space="preserve"> de la presente resolución.</w:t>
      </w:r>
    </w:p>
    <w:p w:rsidR="0012751D" w:rsidRPr="00EC0030" w:rsidRDefault="0012751D">
      <w:pPr>
        <w:shd w:val="clear" w:color="auto" w:fill="FFFFFF"/>
        <w:spacing w:line="360" w:lineRule="auto"/>
        <w:ind w:right="-787"/>
        <w:jc w:val="both"/>
        <w:rPr>
          <w:rFonts w:ascii="Palatino Linotype" w:eastAsia="Palatino Linotype" w:hAnsi="Palatino Linotype" w:cs="Palatino Linotype"/>
          <w:color w:val="000000"/>
        </w:rPr>
      </w:pPr>
    </w:p>
    <w:p w:rsidR="00F908E2" w:rsidRPr="003C7186" w:rsidRDefault="00F908E2" w:rsidP="00F908E2">
      <w:pPr>
        <w:spacing w:line="360" w:lineRule="auto"/>
        <w:ind w:left="-142" w:right="-801" w:firstLine="1"/>
        <w:jc w:val="both"/>
        <w:rPr>
          <w:rFonts w:ascii="Palatino Linotype" w:hAnsi="Palatino Linotype"/>
        </w:rPr>
      </w:pPr>
      <w:bookmarkStart w:id="9" w:name="_heading=h.n9zrc5jzsl81" w:colFirst="0" w:colLast="0"/>
      <w:bookmarkEnd w:id="9"/>
      <w:r w:rsidRPr="00EC0030">
        <w:rPr>
          <w:rFonts w:ascii="Palatino Linotype" w:hAnsi="Palatino Linotype"/>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SEXTA SESIÓN ORDINARIA CELEBRADA EL DIECINUEVE (19) DE FEBRERO DE DOS MIL VEINTICINCO, ANTE EL SECRETARIO TÉCNICO DEL PLENO ALEXIS TAPIA RAMÍREZ.</w:t>
      </w:r>
      <w:r w:rsidRPr="003C7186">
        <w:rPr>
          <w:rFonts w:ascii="Palatino Linotype" w:hAnsi="Palatino Linotype"/>
        </w:rPr>
        <w:t xml:space="preserve"> </w:t>
      </w:r>
    </w:p>
    <w:p w:rsidR="00F908E2" w:rsidRPr="00902BA4" w:rsidRDefault="00F908E2" w:rsidP="00F908E2">
      <w:pPr>
        <w:widowControl w:val="0"/>
        <w:autoSpaceDE w:val="0"/>
        <w:autoSpaceDN w:val="0"/>
        <w:adjustRightInd w:val="0"/>
        <w:spacing w:after="200" w:line="276" w:lineRule="auto"/>
        <w:ind w:left="-142" w:right="-234"/>
      </w:pPr>
    </w:p>
    <w:p w:rsidR="00F908E2" w:rsidRDefault="00F908E2" w:rsidP="00F908E2">
      <w:pPr>
        <w:spacing w:before="240" w:after="240" w:line="360" w:lineRule="auto"/>
        <w:ind w:firstLine="1"/>
        <w:jc w:val="both"/>
        <w:rPr>
          <w:rFonts w:ascii="Palatino Linotype" w:hAnsi="Palatino Linotype"/>
        </w:rPr>
      </w:pPr>
      <w:bookmarkStart w:id="10" w:name="_Hlk96506827"/>
    </w:p>
    <w:p w:rsidR="0012751D" w:rsidRDefault="0012751D">
      <w:pPr>
        <w:spacing w:line="360" w:lineRule="auto"/>
        <w:ind w:right="-787"/>
        <w:jc w:val="both"/>
        <w:rPr>
          <w:rFonts w:ascii="Palatino Linotype" w:eastAsia="Palatino Linotype" w:hAnsi="Palatino Linotype" w:cs="Palatino Linotype"/>
        </w:rPr>
      </w:pPr>
      <w:bookmarkStart w:id="11" w:name="_GoBack"/>
      <w:bookmarkEnd w:id="10"/>
      <w:bookmarkEnd w:id="11"/>
    </w:p>
    <w:p w:rsidR="0012751D" w:rsidRDefault="0012751D">
      <w:pPr>
        <w:spacing w:line="360" w:lineRule="auto"/>
        <w:ind w:right="-787"/>
        <w:jc w:val="both"/>
        <w:rPr>
          <w:rFonts w:ascii="Palatino Linotype" w:eastAsia="Palatino Linotype" w:hAnsi="Palatino Linotype" w:cs="Palatino Linotype"/>
        </w:rPr>
      </w:pPr>
      <w:bookmarkStart w:id="12" w:name="_heading=h.oid7zzlxzvuo" w:colFirst="0" w:colLast="0"/>
      <w:bookmarkEnd w:id="12"/>
    </w:p>
    <w:p w:rsidR="0012751D" w:rsidRDefault="0012751D">
      <w:pPr>
        <w:spacing w:line="360" w:lineRule="auto"/>
        <w:ind w:right="-787"/>
        <w:jc w:val="both"/>
        <w:rPr>
          <w:rFonts w:ascii="Palatino Linotype" w:eastAsia="Palatino Linotype" w:hAnsi="Palatino Linotype" w:cs="Palatino Linotype"/>
        </w:rPr>
      </w:pPr>
      <w:bookmarkStart w:id="13" w:name="_heading=h.zgk58nzevr20" w:colFirst="0" w:colLast="0"/>
      <w:bookmarkEnd w:id="13"/>
    </w:p>
    <w:p w:rsidR="0012751D" w:rsidRDefault="0012751D">
      <w:pPr>
        <w:spacing w:line="360" w:lineRule="auto"/>
        <w:ind w:right="-787"/>
        <w:jc w:val="both"/>
        <w:rPr>
          <w:rFonts w:ascii="Palatino Linotype" w:eastAsia="Palatino Linotype" w:hAnsi="Palatino Linotype" w:cs="Palatino Linotype"/>
        </w:rPr>
      </w:pPr>
      <w:bookmarkStart w:id="14" w:name="_heading=h.537hjrro08ue" w:colFirst="0" w:colLast="0"/>
      <w:bookmarkEnd w:id="14"/>
    </w:p>
    <w:p w:rsidR="0012751D" w:rsidRDefault="0012751D">
      <w:pPr>
        <w:spacing w:line="360" w:lineRule="auto"/>
        <w:ind w:right="-787"/>
        <w:jc w:val="both"/>
        <w:rPr>
          <w:rFonts w:ascii="Palatino Linotype" w:eastAsia="Palatino Linotype" w:hAnsi="Palatino Linotype" w:cs="Palatino Linotype"/>
        </w:rPr>
      </w:pPr>
      <w:bookmarkStart w:id="15" w:name="_heading=h.7yzwx9iicdm" w:colFirst="0" w:colLast="0"/>
      <w:bookmarkEnd w:id="15"/>
    </w:p>
    <w:p w:rsidR="0012751D" w:rsidRDefault="0012751D">
      <w:pPr>
        <w:spacing w:line="360" w:lineRule="auto"/>
        <w:ind w:right="-787"/>
        <w:jc w:val="both"/>
        <w:rPr>
          <w:rFonts w:ascii="Palatino Linotype" w:eastAsia="Palatino Linotype" w:hAnsi="Palatino Linotype" w:cs="Palatino Linotype"/>
        </w:rPr>
      </w:pPr>
      <w:bookmarkStart w:id="16" w:name="_heading=h.26in1rg" w:colFirst="0" w:colLast="0"/>
      <w:bookmarkEnd w:id="16"/>
    </w:p>
    <w:p w:rsidR="0012751D" w:rsidRDefault="0012751D">
      <w:pPr>
        <w:spacing w:line="360" w:lineRule="auto"/>
        <w:ind w:right="-787"/>
        <w:jc w:val="both"/>
        <w:rPr>
          <w:rFonts w:ascii="Palatino Linotype" w:eastAsia="Palatino Linotype" w:hAnsi="Palatino Linotype" w:cs="Palatino Linotype"/>
        </w:rPr>
      </w:pPr>
    </w:p>
    <w:p w:rsidR="0012751D" w:rsidRDefault="0012751D">
      <w:pPr>
        <w:spacing w:line="360" w:lineRule="auto"/>
        <w:ind w:right="-787"/>
        <w:rPr>
          <w:rFonts w:ascii="Palatino Linotype" w:eastAsia="Palatino Linotype" w:hAnsi="Palatino Linotype" w:cs="Palatino Linotype"/>
        </w:rPr>
      </w:pPr>
    </w:p>
    <w:p w:rsidR="0012751D" w:rsidRDefault="0012751D">
      <w:pPr>
        <w:spacing w:line="360" w:lineRule="auto"/>
        <w:ind w:right="-787"/>
        <w:rPr>
          <w:rFonts w:ascii="Palatino Linotype" w:eastAsia="Palatino Linotype" w:hAnsi="Palatino Linotype" w:cs="Palatino Linotype"/>
        </w:rPr>
      </w:pPr>
    </w:p>
    <w:p w:rsidR="0012751D" w:rsidRDefault="0012751D">
      <w:pPr>
        <w:spacing w:line="360" w:lineRule="auto"/>
        <w:ind w:right="-787"/>
        <w:rPr>
          <w:rFonts w:ascii="Palatino Linotype" w:eastAsia="Palatino Linotype" w:hAnsi="Palatino Linotype" w:cs="Palatino Linotype"/>
        </w:rPr>
      </w:pPr>
    </w:p>
    <w:p w:rsidR="0012751D" w:rsidRDefault="0012751D">
      <w:pPr>
        <w:spacing w:line="360" w:lineRule="auto"/>
        <w:ind w:right="-787"/>
        <w:rPr>
          <w:rFonts w:ascii="Palatino Linotype" w:eastAsia="Palatino Linotype" w:hAnsi="Palatino Linotype" w:cs="Palatino Linotype"/>
        </w:rPr>
      </w:pPr>
    </w:p>
    <w:p w:rsidR="0012751D" w:rsidRDefault="0012751D">
      <w:pPr>
        <w:spacing w:line="360" w:lineRule="auto"/>
        <w:ind w:right="-787"/>
        <w:rPr>
          <w:rFonts w:ascii="Palatino Linotype" w:eastAsia="Palatino Linotype" w:hAnsi="Palatino Linotype" w:cs="Palatino Linotype"/>
        </w:rPr>
      </w:pPr>
    </w:p>
    <w:p w:rsidR="0012751D" w:rsidRDefault="0012751D">
      <w:pPr>
        <w:spacing w:line="360" w:lineRule="auto"/>
        <w:ind w:right="-787"/>
        <w:rPr>
          <w:rFonts w:ascii="Palatino Linotype" w:eastAsia="Palatino Linotype" w:hAnsi="Palatino Linotype" w:cs="Palatino Linotype"/>
        </w:rPr>
      </w:pPr>
    </w:p>
    <w:p w:rsidR="0012751D" w:rsidRDefault="0012751D">
      <w:pPr>
        <w:spacing w:line="360" w:lineRule="auto"/>
        <w:ind w:right="-787"/>
        <w:rPr>
          <w:rFonts w:ascii="Palatino Linotype" w:eastAsia="Palatino Linotype" w:hAnsi="Palatino Linotype" w:cs="Palatino Linotype"/>
        </w:rPr>
      </w:pPr>
    </w:p>
    <w:p w:rsidR="0012751D" w:rsidRDefault="00F95FAE">
      <w:pPr>
        <w:tabs>
          <w:tab w:val="left" w:pos="3374"/>
        </w:tabs>
        <w:spacing w:line="360" w:lineRule="auto"/>
        <w:ind w:right="-787"/>
        <w:rPr>
          <w:rFonts w:ascii="Palatino Linotype" w:eastAsia="Palatino Linotype" w:hAnsi="Palatino Linotype" w:cs="Palatino Linotype"/>
        </w:rPr>
      </w:pPr>
      <w:r>
        <w:rPr>
          <w:rFonts w:ascii="Palatino Linotype" w:eastAsia="Palatino Linotype" w:hAnsi="Palatino Linotype" w:cs="Palatino Linotype"/>
        </w:rPr>
        <w:tab/>
      </w:r>
    </w:p>
    <w:sectPr w:rsidR="0012751D">
      <w:headerReference w:type="even" r:id="rId10"/>
      <w:headerReference w:type="default" r:id="rId11"/>
      <w:footerReference w:type="default" r:id="rId12"/>
      <w:headerReference w:type="first" r:id="rId13"/>
      <w:footerReference w:type="first" r:id="rId14"/>
      <w:pgSz w:w="12240" w:h="15840"/>
      <w:pgMar w:top="2268" w:right="1701" w:bottom="1702" w:left="1701" w:header="709" w:footer="709"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511B" w:rsidRDefault="00FB511B">
      <w:r>
        <w:separator/>
      </w:r>
    </w:p>
  </w:endnote>
  <w:endnote w:type="continuationSeparator" w:id="0">
    <w:p w:rsidR="00FB511B" w:rsidRDefault="00FB51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51D" w:rsidRDefault="00F95FAE">
    <w:pPr>
      <w:pBdr>
        <w:top w:val="nil"/>
        <w:left w:val="nil"/>
        <w:bottom w:val="nil"/>
        <w:right w:val="nil"/>
        <w:between w:val="nil"/>
      </w:pBdr>
      <w:tabs>
        <w:tab w:val="center" w:pos="4419"/>
        <w:tab w:val="right" w:pos="8838"/>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color w:val="000000"/>
        <w:sz w:val="20"/>
        <w:szCs w:val="20"/>
      </w:rPr>
      <w:t xml:space="preserve">Página </w:t>
    </w:r>
    <w:r>
      <w:rPr>
        <w:rFonts w:ascii="Palatino Linotype" w:eastAsia="Palatino Linotype" w:hAnsi="Palatino Linotype" w:cs="Palatino Linotype"/>
        <w:color w:val="000000"/>
        <w:sz w:val="20"/>
        <w:szCs w:val="20"/>
      </w:rPr>
      <w:fldChar w:fldCharType="begin"/>
    </w:r>
    <w:r>
      <w:rPr>
        <w:rFonts w:ascii="Palatino Linotype" w:eastAsia="Palatino Linotype" w:hAnsi="Palatino Linotype" w:cs="Palatino Linotype"/>
        <w:color w:val="000000"/>
        <w:sz w:val="20"/>
        <w:szCs w:val="20"/>
      </w:rPr>
      <w:instrText>PAGE</w:instrText>
    </w:r>
    <w:r>
      <w:rPr>
        <w:rFonts w:ascii="Palatino Linotype" w:eastAsia="Palatino Linotype" w:hAnsi="Palatino Linotype" w:cs="Palatino Linotype"/>
        <w:color w:val="000000"/>
        <w:sz w:val="20"/>
        <w:szCs w:val="20"/>
      </w:rPr>
      <w:fldChar w:fldCharType="separate"/>
    </w:r>
    <w:r w:rsidR="00EC0030">
      <w:rPr>
        <w:rFonts w:ascii="Palatino Linotype" w:eastAsia="Palatino Linotype" w:hAnsi="Palatino Linotype" w:cs="Palatino Linotype"/>
        <w:noProof/>
        <w:color w:val="000000"/>
        <w:sz w:val="20"/>
        <w:szCs w:val="20"/>
      </w:rPr>
      <w:t>29</w:t>
    </w:r>
    <w:r>
      <w:rPr>
        <w:rFonts w:ascii="Palatino Linotype" w:eastAsia="Palatino Linotype" w:hAnsi="Palatino Linotype" w:cs="Palatino Linotype"/>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color w:val="000000"/>
        <w:sz w:val="20"/>
        <w:szCs w:val="20"/>
      </w:rPr>
      <w:fldChar w:fldCharType="begin"/>
    </w:r>
    <w:r>
      <w:rPr>
        <w:rFonts w:ascii="Palatino Linotype" w:eastAsia="Palatino Linotype" w:hAnsi="Palatino Linotype" w:cs="Palatino Linotype"/>
        <w:color w:val="000000"/>
        <w:sz w:val="20"/>
        <w:szCs w:val="20"/>
      </w:rPr>
      <w:instrText>NUMPAGES</w:instrText>
    </w:r>
    <w:r>
      <w:rPr>
        <w:rFonts w:ascii="Palatino Linotype" w:eastAsia="Palatino Linotype" w:hAnsi="Palatino Linotype" w:cs="Palatino Linotype"/>
        <w:color w:val="000000"/>
        <w:sz w:val="20"/>
        <w:szCs w:val="20"/>
      </w:rPr>
      <w:fldChar w:fldCharType="separate"/>
    </w:r>
    <w:r w:rsidR="00EC0030">
      <w:rPr>
        <w:rFonts w:ascii="Palatino Linotype" w:eastAsia="Palatino Linotype" w:hAnsi="Palatino Linotype" w:cs="Palatino Linotype"/>
        <w:noProof/>
        <w:color w:val="000000"/>
        <w:sz w:val="20"/>
        <w:szCs w:val="20"/>
      </w:rPr>
      <w:t>31</w:t>
    </w:r>
    <w:r>
      <w:rPr>
        <w:rFonts w:ascii="Palatino Linotype" w:eastAsia="Palatino Linotype" w:hAnsi="Palatino Linotype" w:cs="Palatino Linotype"/>
        <w:color w:val="000000"/>
        <w:sz w:val="20"/>
        <w:szCs w:val="20"/>
      </w:rPr>
      <w:fldChar w:fldCharType="end"/>
    </w:r>
  </w:p>
  <w:p w:rsidR="0012751D" w:rsidRDefault="0012751D">
    <w:pPr>
      <w:pBdr>
        <w:top w:val="nil"/>
        <w:left w:val="nil"/>
        <w:bottom w:val="nil"/>
        <w:right w:val="nil"/>
        <w:between w:val="nil"/>
      </w:pBdr>
      <w:tabs>
        <w:tab w:val="center" w:pos="4419"/>
        <w:tab w:val="right" w:pos="8838"/>
      </w:tabs>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51D" w:rsidRDefault="00F95FAE">
    <w:pPr>
      <w:pBdr>
        <w:top w:val="nil"/>
        <w:left w:val="nil"/>
        <w:bottom w:val="nil"/>
        <w:right w:val="nil"/>
        <w:between w:val="nil"/>
      </w:pBdr>
      <w:tabs>
        <w:tab w:val="center" w:pos="4419"/>
        <w:tab w:val="right" w:pos="8838"/>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color w:val="000000"/>
        <w:sz w:val="20"/>
        <w:szCs w:val="20"/>
      </w:rPr>
      <w:t xml:space="preserve">Página </w:t>
    </w:r>
    <w:r>
      <w:rPr>
        <w:rFonts w:ascii="Palatino Linotype" w:eastAsia="Palatino Linotype" w:hAnsi="Palatino Linotype" w:cs="Palatino Linotype"/>
        <w:color w:val="000000"/>
        <w:sz w:val="20"/>
        <w:szCs w:val="20"/>
      </w:rPr>
      <w:fldChar w:fldCharType="begin"/>
    </w:r>
    <w:r>
      <w:rPr>
        <w:rFonts w:ascii="Palatino Linotype" w:eastAsia="Palatino Linotype" w:hAnsi="Palatino Linotype" w:cs="Palatino Linotype"/>
        <w:color w:val="000000"/>
        <w:sz w:val="20"/>
        <w:szCs w:val="20"/>
      </w:rPr>
      <w:instrText>PAGE</w:instrText>
    </w:r>
    <w:r>
      <w:rPr>
        <w:rFonts w:ascii="Palatino Linotype" w:eastAsia="Palatino Linotype" w:hAnsi="Palatino Linotype" w:cs="Palatino Linotype"/>
        <w:color w:val="000000"/>
        <w:sz w:val="20"/>
        <w:szCs w:val="20"/>
      </w:rPr>
      <w:fldChar w:fldCharType="separate"/>
    </w:r>
    <w:r w:rsidR="00EC0030">
      <w:rPr>
        <w:rFonts w:ascii="Palatino Linotype" w:eastAsia="Palatino Linotype" w:hAnsi="Palatino Linotype" w:cs="Palatino Linotype"/>
        <w:noProof/>
        <w:color w:val="000000"/>
        <w:sz w:val="20"/>
        <w:szCs w:val="20"/>
      </w:rPr>
      <w:t>1</w:t>
    </w:r>
    <w:r>
      <w:rPr>
        <w:rFonts w:ascii="Palatino Linotype" w:eastAsia="Palatino Linotype" w:hAnsi="Palatino Linotype" w:cs="Palatino Linotype"/>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color w:val="000000"/>
        <w:sz w:val="20"/>
        <w:szCs w:val="20"/>
      </w:rPr>
      <w:fldChar w:fldCharType="begin"/>
    </w:r>
    <w:r>
      <w:rPr>
        <w:rFonts w:ascii="Palatino Linotype" w:eastAsia="Palatino Linotype" w:hAnsi="Palatino Linotype" w:cs="Palatino Linotype"/>
        <w:color w:val="000000"/>
        <w:sz w:val="20"/>
        <w:szCs w:val="20"/>
      </w:rPr>
      <w:instrText>NUMPAGES</w:instrText>
    </w:r>
    <w:r>
      <w:rPr>
        <w:rFonts w:ascii="Palatino Linotype" w:eastAsia="Palatino Linotype" w:hAnsi="Palatino Linotype" w:cs="Palatino Linotype"/>
        <w:color w:val="000000"/>
        <w:sz w:val="20"/>
        <w:szCs w:val="20"/>
      </w:rPr>
      <w:fldChar w:fldCharType="separate"/>
    </w:r>
    <w:r w:rsidR="00EC0030">
      <w:rPr>
        <w:rFonts w:ascii="Palatino Linotype" w:eastAsia="Palatino Linotype" w:hAnsi="Palatino Linotype" w:cs="Palatino Linotype"/>
        <w:noProof/>
        <w:color w:val="000000"/>
        <w:sz w:val="20"/>
        <w:szCs w:val="20"/>
      </w:rPr>
      <w:t>31</w:t>
    </w:r>
    <w:r>
      <w:rPr>
        <w:rFonts w:ascii="Palatino Linotype" w:eastAsia="Palatino Linotype" w:hAnsi="Palatino Linotype" w:cs="Palatino Linotype"/>
        <w:color w:val="000000"/>
        <w:sz w:val="20"/>
        <w:szCs w:val="20"/>
      </w:rPr>
      <w:fldChar w:fldCharType="end"/>
    </w:r>
  </w:p>
  <w:p w:rsidR="0012751D" w:rsidRDefault="0012751D">
    <w:pPr>
      <w:pBdr>
        <w:top w:val="nil"/>
        <w:left w:val="nil"/>
        <w:bottom w:val="nil"/>
        <w:right w:val="nil"/>
        <w:between w:val="nil"/>
      </w:pBdr>
      <w:tabs>
        <w:tab w:val="center" w:pos="4419"/>
        <w:tab w:val="right" w:pos="8838"/>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511B" w:rsidRDefault="00FB511B">
      <w:r>
        <w:separator/>
      </w:r>
    </w:p>
  </w:footnote>
  <w:footnote w:type="continuationSeparator" w:id="0">
    <w:p w:rsidR="00FB511B" w:rsidRDefault="00FB51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51D" w:rsidRDefault="00FB511B">
    <w:pPr>
      <w:pBdr>
        <w:top w:val="nil"/>
        <w:left w:val="nil"/>
        <w:bottom w:val="nil"/>
        <w:right w:val="nil"/>
        <w:between w:val="nil"/>
      </w:pBdr>
      <w:tabs>
        <w:tab w:val="center" w:pos="4419"/>
        <w:tab w:val="right" w:pos="8838"/>
      </w:tabs>
      <w:rPr>
        <w:color w:val="000000"/>
      </w:rPr>
    </w:pPr>
    <w:r>
      <w:rPr>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49" type="#_x0000_t75" alt="" style="position:absolute;margin-left:0;margin-top:0;width:609.4pt;height:793.75pt;z-index:-251657728;mso-position-horizontal:center;mso-position-horizontal-relative:margin;mso-position-vertical:center;mso-position-vertical-relative:margin">
          <v:imagedata r:id="rId1" o:title="image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a8"/>
      <w:tblW w:w="7620" w:type="dxa"/>
      <w:tblInd w:w="2552" w:type="dxa"/>
      <w:tblLayout w:type="fixed"/>
      <w:tblLook w:val="0400" w:firstRow="0" w:lastRow="0" w:firstColumn="0" w:lastColumn="0" w:noHBand="0" w:noVBand="1"/>
    </w:tblPr>
    <w:tblGrid>
      <w:gridCol w:w="2985"/>
      <w:gridCol w:w="4635"/>
    </w:tblGrid>
    <w:tr w:rsidR="0012751D">
      <w:trPr>
        <w:trHeight w:val="227"/>
      </w:trPr>
      <w:tc>
        <w:tcPr>
          <w:tcW w:w="2985" w:type="dxa"/>
        </w:tcPr>
        <w:p w:rsidR="0012751D" w:rsidRDefault="00F95FAE">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4635" w:type="dxa"/>
          <w:vAlign w:val="center"/>
        </w:tcPr>
        <w:p w:rsidR="0012751D" w:rsidRDefault="00F95FAE">
          <w:pPr>
            <w:pBdr>
              <w:top w:val="nil"/>
              <w:left w:val="nil"/>
              <w:bottom w:val="nil"/>
              <w:right w:val="nil"/>
              <w:between w:val="nil"/>
            </w:pBdr>
            <w:tabs>
              <w:tab w:val="right" w:pos="8838"/>
            </w:tabs>
            <w:ind w:right="-50"/>
            <w:rPr>
              <w:rFonts w:ascii="Palatino Linotype" w:eastAsia="Palatino Linotype" w:hAnsi="Palatino Linotype" w:cs="Palatino Linotype"/>
              <w:color w:val="000000"/>
              <w:sz w:val="22"/>
              <w:szCs w:val="22"/>
              <w:highlight w:val="green"/>
            </w:rPr>
          </w:pPr>
          <w:r>
            <w:rPr>
              <w:rFonts w:ascii="Palatino Linotype" w:eastAsia="Palatino Linotype" w:hAnsi="Palatino Linotype" w:cs="Palatino Linotype"/>
              <w:color w:val="000000"/>
              <w:sz w:val="22"/>
              <w:szCs w:val="22"/>
            </w:rPr>
            <w:t xml:space="preserve">00283/INFOEM/IP/RR/2025 y </w:t>
          </w:r>
          <w:r>
            <w:rPr>
              <w:rFonts w:ascii="Palatino Linotype" w:eastAsia="Palatino Linotype" w:hAnsi="Palatino Linotype" w:cs="Palatino Linotype"/>
              <w:sz w:val="22"/>
              <w:szCs w:val="22"/>
            </w:rPr>
            <w:t>A</w:t>
          </w:r>
          <w:r>
            <w:rPr>
              <w:rFonts w:ascii="Palatino Linotype" w:eastAsia="Palatino Linotype" w:hAnsi="Palatino Linotype" w:cs="Palatino Linotype"/>
              <w:color w:val="000000"/>
              <w:sz w:val="22"/>
              <w:szCs w:val="22"/>
            </w:rPr>
            <w:t>cumulado</w:t>
          </w:r>
        </w:p>
      </w:tc>
    </w:tr>
    <w:tr w:rsidR="0012751D">
      <w:trPr>
        <w:trHeight w:val="342"/>
      </w:trPr>
      <w:tc>
        <w:tcPr>
          <w:tcW w:w="2985" w:type="dxa"/>
        </w:tcPr>
        <w:p w:rsidR="0012751D" w:rsidRDefault="00F95FAE">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4635" w:type="dxa"/>
          <w:vAlign w:val="center"/>
        </w:tcPr>
        <w:p w:rsidR="0012751D" w:rsidRDefault="00F95FAE">
          <w:pPr>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Ayuntamiento de Ixtapan de la Sal</w:t>
          </w:r>
        </w:p>
      </w:tc>
    </w:tr>
    <w:tr w:rsidR="0012751D">
      <w:trPr>
        <w:trHeight w:val="342"/>
      </w:trPr>
      <w:tc>
        <w:tcPr>
          <w:tcW w:w="2985" w:type="dxa"/>
        </w:tcPr>
        <w:p w:rsidR="0012751D" w:rsidRDefault="00F95FAE">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4635" w:type="dxa"/>
          <w:vAlign w:val="center"/>
        </w:tcPr>
        <w:p w:rsidR="0012751D" w:rsidRDefault="00F95FAE">
          <w:pPr>
            <w:pBdr>
              <w:top w:val="nil"/>
              <w:left w:val="nil"/>
              <w:bottom w:val="nil"/>
              <w:right w:val="nil"/>
              <w:between w:val="nil"/>
            </w:pBdr>
            <w:tabs>
              <w:tab w:val="right" w:pos="8838"/>
            </w:tabs>
            <w:ind w:right="-50"/>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María del Rosario Mejía Ayala</w:t>
          </w:r>
        </w:p>
      </w:tc>
    </w:tr>
  </w:tbl>
  <w:p w:rsidR="0012751D" w:rsidRDefault="00FB511B">
    <w:pPr>
      <w:pBdr>
        <w:top w:val="nil"/>
        <w:left w:val="nil"/>
        <w:bottom w:val="nil"/>
        <w:right w:val="nil"/>
        <w:between w:val="nil"/>
      </w:pBdr>
      <w:tabs>
        <w:tab w:val="center" w:pos="4419"/>
        <w:tab w:val="right" w:pos="8838"/>
        <w:tab w:val="left" w:pos="6005"/>
      </w:tabs>
      <w:rPr>
        <w:color w:val="000000"/>
        <w:sz w:val="14"/>
        <w:szCs w:val="14"/>
      </w:rPr>
    </w:pPr>
    <w:r>
      <w:rPr>
        <w:color w:val="000000"/>
        <w:sz w:val="14"/>
        <w:szCs w:val="1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1" type="#_x0000_t75" alt="" style="position:absolute;margin-left:-68.7pt;margin-top:-127.75pt;width:609.4pt;height:793.75pt;z-index:-251659776;mso-position-horizontal-relative:margin;mso-position-vertical-relative:margin">
          <v:imagedata r:id="rId1" o:title="image1"/>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a9"/>
      <w:tblW w:w="7620" w:type="dxa"/>
      <w:tblInd w:w="2552" w:type="dxa"/>
      <w:tblLayout w:type="fixed"/>
      <w:tblLook w:val="0400" w:firstRow="0" w:lastRow="0" w:firstColumn="0" w:lastColumn="0" w:noHBand="0" w:noVBand="1"/>
    </w:tblPr>
    <w:tblGrid>
      <w:gridCol w:w="2985"/>
      <w:gridCol w:w="4635"/>
    </w:tblGrid>
    <w:tr w:rsidR="0012751D">
      <w:trPr>
        <w:trHeight w:val="227"/>
      </w:trPr>
      <w:tc>
        <w:tcPr>
          <w:tcW w:w="2985" w:type="dxa"/>
        </w:tcPr>
        <w:p w:rsidR="0012751D" w:rsidRDefault="00F95FAE">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4635" w:type="dxa"/>
          <w:vAlign w:val="center"/>
        </w:tcPr>
        <w:p w:rsidR="0012751D" w:rsidRDefault="00F95FAE">
          <w:pPr>
            <w:pBdr>
              <w:top w:val="nil"/>
              <w:left w:val="nil"/>
              <w:bottom w:val="nil"/>
              <w:right w:val="nil"/>
              <w:between w:val="nil"/>
            </w:pBdr>
            <w:tabs>
              <w:tab w:val="right" w:pos="8838"/>
            </w:tabs>
            <w:ind w:right="-50"/>
            <w:rPr>
              <w:rFonts w:ascii="Palatino Linotype" w:eastAsia="Palatino Linotype" w:hAnsi="Palatino Linotype" w:cs="Palatino Linotype"/>
              <w:color w:val="000000"/>
              <w:sz w:val="22"/>
              <w:szCs w:val="22"/>
              <w:highlight w:val="green"/>
            </w:rPr>
          </w:pPr>
          <w:r>
            <w:rPr>
              <w:rFonts w:ascii="Palatino Linotype" w:eastAsia="Palatino Linotype" w:hAnsi="Palatino Linotype" w:cs="Palatino Linotype"/>
              <w:color w:val="000000"/>
              <w:sz w:val="22"/>
              <w:szCs w:val="22"/>
            </w:rPr>
            <w:t xml:space="preserve">00283/INFOEM/IP/RR/2025 y </w:t>
          </w:r>
          <w:r>
            <w:rPr>
              <w:rFonts w:ascii="Palatino Linotype" w:eastAsia="Palatino Linotype" w:hAnsi="Palatino Linotype" w:cs="Palatino Linotype"/>
              <w:sz w:val="22"/>
              <w:szCs w:val="22"/>
            </w:rPr>
            <w:t>A</w:t>
          </w:r>
          <w:r>
            <w:rPr>
              <w:rFonts w:ascii="Palatino Linotype" w:eastAsia="Palatino Linotype" w:hAnsi="Palatino Linotype" w:cs="Palatino Linotype"/>
              <w:color w:val="000000"/>
              <w:sz w:val="22"/>
              <w:szCs w:val="22"/>
            </w:rPr>
            <w:t>cumulado</w:t>
          </w:r>
        </w:p>
      </w:tc>
    </w:tr>
    <w:tr w:rsidR="0012751D">
      <w:trPr>
        <w:trHeight w:val="242"/>
      </w:trPr>
      <w:tc>
        <w:tcPr>
          <w:tcW w:w="2985" w:type="dxa"/>
        </w:tcPr>
        <w:p w:rsidR="0012751D" w:rsidRDefault="00F95FAE">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Recurrente:</w:t>
          </w:r>
        </w:p>
      </w:tc>
      <w:tc>
        <w:tcPr>
          <w:tcW w:w="4635" w:type="dxa"/>
        </w:tcPr>
        <w:p w:rsidR="0012751D" w:rsidRDefault="0012751D">
          <w:pPr>
            <w:pBdr>
              <w:top w:val="nil"/>
              <w:left w:val="nil"/>
              <w:bottom w:val="nil"/>
              <w:right w:val="nil"/>
              <w:between w:val="nil"/>
            </w:pBdr>
            <w:tabs>
              <w:tab w:val="right" w:pos="8838"/>
              <w:tab w:val="left" w:pos="521"/>
            </w:tabs>
            <w:ind w:right="-50"/>
            <w:rPr>
              <w:rFonts w:ascii="Palatino Linotype" w:eastAsia="Palatino Linotype" w:hAnsi="Palatino Linotype" w:cs="Palatino Linotype"/>
              <w:color w:val="000000"/>
              <w:sz w:val="22"/>
              <w:szCs w:val="22"/>
              <w:highlight w:val="green"/>
            </w:rPr>
          </w:pPr>
        </w:p>
      </w:tc>
    </w:tr>
    <w:tr w:rsidR="0012751D">
      <w:trPr>
        <w:trHeight w:val="342"/>
      </w:trPr>
      <w:tc>
        <w:tcPr>
          <w:tcW w:w="2985" w:type="dxa"/>
        </w:tcPr>
        <w:p w:rsidR="0012751D" w:rsidRDefault="00F95FAE">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4635" w:type="dxa"/>
          <w:vAlign w:val="center"/>
        </w:tcPr>
        <w:p w:rsidR="0012751D" w:rsidRDefault="00F95FAE">
          <w:pPr>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Ayuntamiento de Ixtapan de la Sal</w:t>
          </w:r>
        </w:p>
      </w:tc>
    </w:tr>
    <w:tr w:rsidR="0012751D">
      <w:trPr>
        <w:trHeight w:val="342"/>
      </w:trPr>
      <w:tc>
        <w:tcPr>
          <w:tcW w:w="2985" w:type="dxa"/>
        </w:tcPr>
        <w:p w:rsidR="0012751D" w:rsidRDefault="00F95FAE">
          <w:pPr>
            <w:jc w:val="right"/>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4635" w:type="dxa"/>
          <w:vAlign w:val="center"/>
        </w:tcPr>
        <w:p w:rsidR="0012751D" w:rsidRDefault="00F95FAE">
          <w:pPr>
            <w:pBdr>
              <w:top w:val="nil"/>
              <w:left w:val="nil"/>
              <w:bottom w:val="nil"/>
              <w:right w:val="nil"/>
              <w:between w:val="nil"/>
            </w:pBdr>
            <w:tabs>
              <w:tab w:val="right" w:pos="8838"/>
            </w:tabs>
            <w:ind w:right="-50"/>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María del Rosario Mejía Ayala</w:t>
          </w:r>
        </w:p>
      </w:tc>
    </w:tr>
  </w:tbl>
  <w:p w:rsidR="0012751D" w:rsidRDefault="00FB511B">
    <w:pPr>
      <w:pBdr>
        <w:top w:val="nil"/>
        <w:left w:val="nil"/>
        <w:bottom w:val="nil"/>
        <w:right w:val="nil"/>
        <w:between w:val="nil"/>
      </w:pBdr>
      <w:tabs>
        <w:tab w:val="center" w:pos="4419"/>
        <w:tab w:val="right" w:pos="8838"/>
      </w:tabs>
      <w:rPr>
        <w:color w:val="000000"/>
        <w:sz w:val="16"/>
        <w:szCs w:val="16"/>
      </w:rPr>
    </w:pPr>
    <w:r>
      <w:rPr>
        <w:color w:val="000000"/>
        <w:sz w:val="16"/>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0" type="#_x0000_t75" alt="" style="position:absolute;margin-left:-84.55pt;margin-top:-117.9pt;width:609.4pt;height:793.75pt;z-index:-251658752;mso-position-horizontal-relative:margin;mso-position-vertical-relative:margin">
          <v:imagedata r:id="rId1" o:title="image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162EF4"/>
    <w:multiLevelType w:val="multilevel"/>
    <w:tmpl w:val="ECBC8BC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nsid w:val="2AE26E56"/>
    <w:multiLevelType w:val="multilevel"/>
    <w:tmpl w:val="6B04F85C"/>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
    <w:nsid w:val="356E752D"/>
    <w:multiLevelType w:val="multilevel"/>
    <w:tmpl w:val="137CC1A0"/>
    <w:lvl w:ilvl="0">
      <w:start w:val="1"/>
      <w:numFmt w:val="decimal"/>
      <w:lvlText w:val="%1."/>
      <w:lvlJc w:val="left"/>
      <w:pPr>
        <w:ind w:left="1854" w:hanging="360"/>
      </w:pPr>
    </w:lvl>
    <w:lvl w:ilvl="1">
      <w:start w:val="1"/>
      <w:numFmt w:val="lowerLetter"/>
      <w:lvlText w:val="%2."/>
      <w:lvlJc w:val="left"/>
      <w:pPr>
        <w:ind w:left="2574" w:hanging="360"/>
      </w:pPr>
    </w:lvl>
    <w:lvl w:ilvl="2">
      <w:start w:val="1"/>
      <w:numFmt w:val="lowerRoman"/>
      <w:lvlText w:val="%3."/>
      <w:lvlJc w:val="right"/>
      <w:pPr>
        <w:ind w:left="3294" w:hanging="180"/>
      </w:pPr>
    </w:lvl>
    <w:lvl w:ilvl="3">
      <w:start w:val="1"/>
      <w:numFmt w:val="decimal"/>
      <w:lvlText w:val="%4."/>
      <w:lvlJc w:val="left"/>
      <w:pPr>
        <w:ind w:left="4014" w:hanging="360"/>
      </w:pPr>
    </w:lvl>
    <w:lvl w:ilvl="4">
      <w:start w:val="1"/>
      <w:numFmt w:val="lowerLetter"/>
      <w:lvlText w:val="%5."/>
      <w:lvlJc w:val="left"/>
      <w:pPr>
        <w:ind w:left="4734" w:hanging="360"/>
      </w:pPr>
    </w:lvl>
    <w:lvl w:ilvl="5">
      <w:start w:val="1"/>
      <w:numFmt w:val="lowerRoman"/>
      <w:lvlText w:val="%6."/>
      <w:lvlJc w:val="right"/>
      <w:pPr>
        <w:ind w:left="5454" w:hanging="180"/>
      </w:pPr>
    </w:lvl>
    <w:lvl w:ilvl="6">
      <w:start w:val="1"/>
      <w:numFmt w:val="decimal"/>
      <w:lvlText w:val="%7."/>
      <w:lvlJc w:val="left"/>
      <w:pPr>
        <w:ind w:left="6174" w:hanging="360"/>
      </w:pPr>
    </w:lvl>
    <w:lvl w:ilvl="7">
      <w:start w:val="1"/>
      <w:numFmt w:val="lowerLetter"/>
      <w:lvlText w:val="%8."/>
      <w:lvlJc w:val="left"/>
      <w:pPr>
        <w:ind w:left="6894" w:hanging="360"/>
      </w:pPr>
    </w:lvl>
    <w:lvl w:ilvl="8">
      <w:start w:val="1"/>
      <w:numFmt w:val="lowerRoman"/>
      <w:lvlText w:val="%9."/>
      <w:lvlJc w:val="right"/>
      <w:pPr>
        <w:ind w:left="7614" w:hanging="180"/>
      </w:pPr>
    </w:lvl>
  </w:abstractNum>
  <w:abstractNum w:abstractNumId="3">
    <w:nsid w:val="46557F0B"/>
    <w:multiLevelType w:val="multilevel"/>
    <w:tmpl w:val="1B6E9138"/>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477C13DC"/>
    <w:multiLevelType w:val="multilevel"/>
    <w:tmpl w:val="24CA9D4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5966546E"/>
    <w:multiLevelType w:val="multilevel"/>
    <w:tmpl w:val="A49EED76"/>
    <w:lvl w:ilvl="0">
      <w:start w:val="1"/>
      <w:numFmt w:val="decimal"/>
      <w:lvlText w:val="%1."/>
      <w:lvlJc w:val="left"/>
      <w:pPr>
        <w:ind w:left="1070" w:hanging="360"/>
      </w:pPr>
      <w:rPr>
        <w:rFonts w:ascii="Palatino Linotype" w:eastAsia="Palatino Linotype" w:hAnsi="Palatino Linotype" w:cs="Palatino Linotype"/>
        <w:b/>
        <w:i w:val="0"/>
        <w:color w:val="000000"/>
        <w:sz w:val="24"/>
        <w:szCs w:val="24"/>
      </w:r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180"/>
      </w:pPr>
      <w:rPr>
        <w:rFonts w:ascii="Noto Sans Symbols" w:eastAsia="Noto Sans Symbols" w:hAnsi="Noto Sans Symbols" w:cs="Noto Sans Symbols"/>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59CE7D5E"/>
    <w:multiLevelType w:val="multilevel"/>
    <w:tmpl w:val="9B00CCF0"/>
    <w:lvl w:ilvl="0">
      <w:start w:val="1"/>
      <w:numFmt w:val="bullet"/>
      <w:lvlText w:val="●"/>
      <w:lvlJc w:val="left"/>
      <w:pPr>
        <w:ind w:left="1069" w:hanging="360"/>
      </w:pPr>
      <w:rPr>
        <w:rFonts w:ascii="Noto Sans Symbols" w:eastAsia="Noto Sans Symbols" w:hAnsi="Noto Sans Symbols" w:cs="Noto Sans Symbols"/>
      </w:rPr>
    </w:lvl>
    <w:lvl w:ilvl="1">
      <w:start w:val="1"/>
      <w:numFmt w:val="bullet"/>
      <w:lvlText w:val="o"/>
      <w:lvlJc w:val="left"/>
      <w:pPr>
        <w:ind w:left="1789" w:hanging="360"/>
      </w:pPr>
      <w:rPr>
        <w:rFonts w:ascii="Courier New" w:eastAsia="Courier New" w:hAnsi="Courier New" w:cs="Courier New"/>
      </w:rPr>
    </w:lvl>
    <w:lvl w:ilvl="2">
      <w:start w:val="1"/>
      <w:numFmt w:val="bullet"/>
      <w:lvlText w:val="▪"/>
      <w:lvlJc w:val="left"/>
      <w:pPr>
        <w:ind w:left="2509" w:hanging="360"/>
      </w:pPr>
      <w:rPr>
        <w:rFonts w:ascii="Noto Sans Symbols" w:eastAsia="Noto Sans Symbols" w:hAnsi="Noto Sans Symbols" w:cs="Noto Sans Symbols"/>
      </w:rPr>
    </w:lvl>
    <w:lvl w:ilvl="3">
      <w:start w:val="1"/>
      <w:numFmt w:val="bullet"/>
      <w:lvlText w:val="●"/>
      <w:lvlJc w:val="left"/>
      <w:pPr>
        <w:ind w:left="3229" w:hanging="360"/>
      </w:pPr>
      <w:rPr>
        <w:rFonts w:ascii="Noto Sans Symbols" w:eastAsia="Noto Sans Symbols" w:hAnsi="Noto Sans Symbols" w:cs="Noto Sans Symbols"/>
      </w:rPr>
    </w:lvl>
    <w:lvl w:ilvl="4">
      <w:start w:val="1"/>
      <w:numFmt w:val="bullet"/>
      <w:lvlText w:val="o"/>
      <w:lvlJc w:val="left"/>
      <w:pPr>
        <w:ind w:left="3949" w:hanging="360"/>
      </w:pPr>
      <w:rPr>
        <w:rFonts w:ascii="Courier New" w:eastAsia="Courier New" w:hAnsi="Courier New" w:cs="Courier New"/>
      </w:rPr>
    </w:lvl>
    <w:lvl w:ilvl="5">
      <w:start w:val="1"/>
      <w:numFmt w:val="bullet"/>
      <w:lvlText w:val="▪"/>
      <w:lvlJc w:val="left"/>
      <w:pPr>
        <w:ind w:left="4669" w:hanging="360"/>
      </w:pPr>
      <w:rPr>
        <w:rFonts w:ascii="Noto Sans Symbols" w:eastAsia="Noto Sans Symbols" w:hAnsi="Noto Sans Symbols" w:cs="Noto Sans Symbols"/>
      </w:rPr>
    </w:lvl>
    <w:lvl w:ilvl="6">
      <w:start w:val="1"/>
      <w:numFmt w:val="bullet"/>
      <w:lvlText w:val="●"/>
      <w:lvlJc w:val="left"/>
      <w:pPr>
        <w:ind w:left="5389" w:hanging="360"/>
      </w:pPr>
      <w:rPr>
        <w:rFonts w:ascii="Noto Sans Symbols" w:eastAsia="Noto Sans Symbols" w:hAnsi="Noto Sans Symbols" w:cs="Noto Sans Symbols"/>
      </w:rPr>
    </w:lvl>
    <w:lvl w:ilvl="7">
      <w:start w:val="1"/>
      <w:numFmt w:val="bullet"/>
      <w:lvlText w:val="o"/>
      <w:lvlJc w:val="left"/>
      <w:pPr>
        <w:ind w:left="6109" w:hanging="360"/>
      </w:pPr>
      <w:rPr>
        <w:rFonts w:ascii="Courier New" w:eastAsia="Courier New" w:hAnsi="Courier New" w:cs="Courier New"/>
      </w:rPr>
    </w:lvl>
    <w:lvl w:ilvl="8">
      <w:start w:val="1"/>
      <w:numFmt w:val="bullet"/>
      <w:lvlText w:val="▪"/>
      <w:lvlJc w:val="left"/>
      <w:pPr>
        <w:ind w:left="6829" w:hanging="360"/>
      </w:pPr>
      <w:rPr>
        <w:rFonts w:ascii="Noto Sans Symbols" w:eastAsia="Noto Sans Symbols" w:hAnsi="Noto Sans Symbols" w:cs="Noto Sans Symbols"/>
      </w:rPr>
    </w:lvl>
  </w:abstractNum>
  <w:abstractNum w:abstractNumId="7">
    <w:nsid w:val="7B38652F"/>
    <w:multiLevelType w:val="multilevel"/>
    <w:tmpl w:val="09F6A464"/>
    <w:lvl w:ilvl="0">
      <w:start w:val="1"/>
      <w:numFmt w:val="bullet"/>
      <w:lvlText w:val="●"/>
      <w:lvlJc w:val="left"/>
      <w:pPr>
        <w:ind w:left="778" w:hanging="360"/>
      </w:pPr>
      <w:rPr>
        <w:rFonts w:ascii="Noto Sans Symbols" w:eastAsia="Noto Sans Symbols" w:hAnsi="Noto Sans Symbols" w:cs="Noto Sans Symbols"/>
      </w:rPr>
    </w:lvl>
    <w:lvl w:ilvl="1">
      <w:start w:val="1"/>
      <w:numFmt w:val="bullet"/>
      <w:lvlText w:val="o"/>
      <w:lvlJc w:val="left"/>
      <w:pPr>
        <w:ind w:left="1498" w:hanging="360"/>
      </w:pPr>
      <w:rPr>
        <w:rFonts w:ascii="Courier New" w:eastAsia="Courier New" w:hAnsi="Courier New" w:cs="Courier New"/>
      </w:rPr>
    </w:lvl>
    <w:lvl w:ilvl="2">
      <w:start w:val="1"/>
      <w:numFmt w:val="bullet"/>
      <w:lvlText w:val="▪"/>
      <w:lvlJc w:val="left"/>
      <w:pPr>
        <w:ind w:left="2218" w:hanging="360"/>
      </w:pPr>
      <w:rPr>
        <w:rFonts w:ascii="Noto Sans Symbols" w:eastAsia="Noto Sans Symbols" w:hAnsi="Noto Sans Symbols" w:cs="Noto Sans Symbols"/>
      </w:rPr>
    </w:lvl>
    <w:lvl w:ilvl="3">
      <w:start w:val="1"/>
      <w:numFmt w:val="bullet"/>
      <w:lvlText w:val="●"/>
      <w:lvlJc w:val="left"/>
      <w:pPr>
        <w:ind w:left="2938" w:hanging="360"/>
      </w:pPr>
      <w:rPr>
        <w:rFonts w:ascii="Noto Sans Symbols" w:eastAsia="Noto Sans Symbols" w:hAnsi="Noto Sans Symbols" w:cs="Noto Sans Symbols"/>
      </w:rPr>
    </w:lvl>
    <w:lvl w:ilvl="4">
      <w:start w:val="1"/>
      <w:numFmt w:val="bullet"/>
      <w:lvlText w:val="o"/>
      <w:lvlJc w:val="left"/>
      <w:pPr>
        <w:ind w:left="3658" w:hanging="360"/>
      </w:pPr>
      <w:rPr>
        <w:rFonts w:ascii="Courier New" w:eastAsia="Courier New" w:hAnsi="Courier New" w:cs="Courier New"/>
      </w:rPr>
    </w:lvl>
    <w:lvl w:ilvl="5">
      <w:start w:val="1"/>
      <w:numFmt w:val="bullet"/>
      <w:lvlText w:val="▪"/>
      <w:lvlJc w:val="left"/>
      <w:pPr>
        <w:ind w:left="4378" w:hanging="360"/>
      </w:pPr>
      <w:rPr>
        <w:rFonts w:ascii="Noto Sans Symbols" w:eastAsia="Noto Sans Symbols" w:hAnsi="Noto Sans Symbols" w:cs="Noto Sans Symbols"/>
      </w:rPr>
    </w:lvl>
    <w:lvl w:ilvl="6">
      <w:start w:val="1"/>
      <w:numFmt w:val="bullet"/>
      <w:lvlText w:val="●"/>
      <w:lvlJc w:val="left"/>
      <w:pPr>
        <w:ind w:left="5098" w:hanging="360"/>
      </w:pPr>
      <w:rPr>
        <w:rFonts w:ascii="Noto Sans Symbols" w:eastAsia="Noto Sans Symbols" w:hAnsi="Noto Sans Symbols" w:cs="Noto Sans Symbols"/>
      </w:rPr>
    </w:lvl>
    <w:lvl w:ilvl="7">
      <w:start w:val="1"/>
      <w:numFmt w:val="bullet"/>
      <w:lvlText w:val="o"/>
      <w:lvlJc w:val="left"/>
      <w:pPr>
        <w:ind w:left="5818" w:hanging="360"/>
      </w:pPr>
      <w:rPr>
        <w:rFonts w:ascii="Courier New" w:eastAsia="Courier New" w:hAnsi="Courier New" w:cs="Courier New"/>
      </w:rPr>
    </w:lvl>
    <w:lvl w:ilvl="8">
      <w:start w:val="1"/>
      <w:numFmt w:val="bullet"/>
      <w:lvlText w:val="▪"/>
      <w:lvlJc w:val="left"/>
      <w:pPr>
        <w:ind w:left="6538" w:hanging="360"/>
      </w:pPr>
      <w:rPr>
        <w:rFonts w:ascii="Noto Sans Symbols" w:eastAsia="Noto Sans Symbols" w:hAnsi="Noto Sans Symbols" w:cs="Noto Sans Symbols"/>
      </w:rPr>
    </w:lvl>
  </w:abstractNum>
  <w:num w:numId="1">
    <w:abstractNumId w:val="6"/>
  </w:num>
  <w:num w:numId="2">
    <w:abstractNumId w:val="5"/>
  </w:num>
  <w:num w:numId="3">
    <w:abstractNumId w:val="1"/>
  </w:num>
  <w:num w:numId="4">
    <w:abstractNumId w:val="2"/>
  </w:num>
  <w:num w:numId="5">
    <w:abstractNumId w:val="3"/>
  </w:num>
  <w:num w:numId="6">
    <w:abstractNumId w:val="4"/>
  </w:num>
  <w:num w:numId="7">
    <w:abstractNumId w:val="7"/>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751D"/>
    <w:rsid w:val="0012751D"/>
    <w:rsid w:val="0030348C"/>
    <w:rsid w:val="006C2C21"/>
    <w:rsid w:val="00961849"/>
    <w:rsid w:val="00EC0030"/>
    <w:rsid w:val="00F908E2"/>
    <w:rsid w:val="00F95FAE"/>
    <w:rsid w:val="00FB511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docId w15:val="{E13AAFF6-B6FA-49C8-B7CB-CC987F9687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4"/>
        <w:szCs w:val="24"/>
        <w:lang w:val="es-ES_tradnl" w:eastAsia="es-MX"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2616"/>
    <w:rPr>
      <w:rFonts w:eastAsiaTheme="minorEastAsia"/>
      <w:lang w:eastAsia="es-ES"/>
    </w:rPr>
  </w:style>
  <w:style w:type="paragraph" w:styleId="Ttulo1">
    <w:name w:val="heading 1"/>
    <w:basedOn w:val="Normal"/>
    <w:next w:val="Normal"/>
    <w:link w:val="Ttulo1Car"/>
    <w:uiPriority w:val="9"/>
    <w:qFormat/>
    <w:rsid w:val="0094261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942616"/>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character" w:customStyle="1" w:styleId="Ttulo1Car">
    <w:name w:val="Título 1 Car"/>
    <w:basedOn w:val="Fuentedeprrafopredeter"/>
    <w:link w:val="Ttulo1"/>
    <w:uiPriority w:val="9"/>
    <w:rsid w:val="00942616"/>
    <w:rPr>
      <w:rFonts w:asciiTheme="majorHAnsi" w:eastAsiaTheme="majorEastAsia" w:hAnsiTheme="majorHAnsi" w:cstheme="majorBidi"/>
      <w:color w:val="2F5496" w:themeColor="accent1" w:themeShade="BF"/>
      <w:sz w:val="32"/>
      <w:szCs w:val="32"/>
      <w:lang w:val="es-ES_tradnl" w:eastAsia="es-ES"/>
    </w:rPr>
  </w:style>
  <w:style w:type="character" w:customStyle="1" w:styleId="Ttulo2Car">
    <w:name w:val="Título 2 Car"/>
    <w:basedOn w:val="Fuentedeprrafopredeter"/>
    <w:link w:val="Ttulo2"/>
    <w:uiPriority w:val="9"/>
    <w:rsid w:val="00942616"/>
    <w:rPr>
      <w:rFonts w:asciiTheme="majorHAnsi" w:eastAsiaTheme="majorEastAsia" w:hAnsiTheme="majorHAnsi" w:cstheme="majorBidi"/>
      <w:color w:val="2F5496" w:themeColor="accent1" w:themeShade="BF"/>
      <w:sz w:val="26"/>
      <w:szCs w:val="26"/>
      <w:lang w:val="es-ES_tradnl" w:eastAsia="es-ES"/>
    </w:rPr>
  </w:style>
  <w:style w:type="paragraph" w:styleId="Encabezado">
    <w:name w:val="header"/>
    <w:basedOn w:val="Normal"/>
    <w:link w:val="EncabezadoCar"/>
    <w:uiPriority w:val="99"/>
    <w:unhideWhenUsed/>
    <w:rsid w:val="00942616"/>
    <w:pPr>
      <w:tabs>
        <w:tab w:val="center" w:pos="4419"/>
        <w:tab w:val="right" w:pos="8838"/>
      </w:tabs>
    </w:pPr>
  </w:style>
  <w:style w:type="character" w:customStyle="1" w:styleId="EncabezadoCar">
    <w:name w:val="Encabezado Car"/>
    <w:basedOn w:val="Fuentedeprrafopredeter"/>
    <w:link w:val="Encabezado"/>
    <w:uiPriority w:val="99"/>
    <w:rsid w:val="00942616"/>
    <w:rPr>
      <w:rFonts w:eastAsiaTheme="minorEastAsia"/>
      <w:sz w:val="24"/>
      <w:szCs w:val="24"/>
      <w:lang w:val="es-ES_tradnl" w:eastAsia="es-ES"/>
    </w:rPr>
  </w:style>
  <w:style w:type="paragraph" w:styleId="Piedepgina">
    <w:name w:val="footer"/>
    <w:basedOn w:val="Normal"/>
    <w:link w:val="PiedepginaCar"/>
    <w:uiPriority w:val="99"/>
    <w:unhideWhenUsed/>
    <w:rsid w:val="00942616"/>
    <w:pPr>
      <w:tabs>
        <w:tab w:val="center" w:pos="4419"/>
        <w:tab w:val="right" w:pos="8838"/>
      </w:tabs>
    </w:pPr>
  </w:style>
  <w:style w:type="character" w:customStyle="1" w:styleId="PiedepginaCar">
    <w:name w:val="Pie de página Car"/>
    <w:basedOn w:val="Fuentedeprrafopredeter"/>
    <w:link w:val="Piedepgina"/>
    <w:uiPriority w:val="99"/>
    <w:rsid w:val="00942616"/>
    <w:rPr>
      <w:rFonts w:eastAsiaTheme="minorEastAsia"/>
      <w:sz w:val="24"/>
      <w:szCs w:val="24"/>
      <w:lang w:val="es-ES_tradnl" w:eastAsia="es-E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locked/>
    <w:rsid w:val="00942616"/>
    <w:rPr>
      <w:sz w:val="20"/>
      <w:szCs w:val="20"/>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942616"/>
    <w:rPr>
      <w:rFonts w:eastAsiaTheme="minorHAnsi"/>
      <w:sz w:val="20"/>
      <w:szCs w:val="20"/>
      <w:lang w:val="es-MX" w:eastAsia="en-US"/>
    </w:rPr>
  </w:style>
  <w:style w:type="character" w:customStyle="1" w:styleId="TextonotapieCar1">
    <w:name w:val="Texto nota pie Car1"/>
    <w:basedOn w:val="Fuentedeprrafopredeter"/>
    <w:uiPriority w:val="99"/>
    <w:semiHidden/>
    <w:rsid w:val="00942616"/>
    <w:rPr>
      <w:rFonts w:eastAsiaTheme="minorEastAsia"/>
      <w:sz w:val="20"/>
      <w:szCs w:val="20"/>
      <w:lang w:val="es-ES_tradnl" w:eastAsia="es-ES"/>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942616"/>
    <w:rPr>
      <w:vertAlign w:val="superscript"/>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942616"/>
    <w:pPr>
      <w:ind w:left="720"/>
      <w:contextualSpacing/>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942616"/>
    <w:rPr>
      <w:rFonts w:eastAsiaTheme="minorEastAsia"/>
      <w:sz w:val="24"/>
      <w:szCs w:val="24"/>
      <w:lang w:val="es-ES_tradnl" w:eastAsia="es-ES"/>
    </w:rPr>
  </w:style>
  <w:style w:type="table" w:styleId="Tablanormal1">
    <w:name w:val="Plain Table 1"/>
    <w:basedOn w:val="Tablanormal"/>
    <w:uiPriority w:val="41"/>
    <w:rsid w:val="00942616"/>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ipervnculo">
    <w:name w:val="Hyperlink"/>
    <w:aliases w:val="Hipervínculo1,Hipervínculo11,Hipervínculo12,Hipervínculo13,Hipervínculo14,Hipervínculo15"/>
    <w:basedOn w:val="Fuentedeprrafopredeter"/>
    <w:uiPriority w:val="99"/>
    <w:unhideWhenUsed/>
    <w:qFormat/>
    <w:rsid w:val="004D1B9C"/>
    <w:rPr>
      <w:color w:val="0563C1" w:themeColor="hyperlink"/>
      <w:u w:val="single"/>
    </w:rPr>
  </w:style>
  <w:style w:type="table" w:styleId="Tablaconcuadrcula">
    <w:name w:val="Table Grid"/>
    <w:basedOn w:val="Tablanormal"/>
    <w:uiPriority w:val="39"/>
    <w:rsid w:val="002847C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inespaciadoCar">
    <w:name w:val="Sin espaciado Car"/>
    <w:aliases w:val="Francesa Car,INAI Car"/>
    <w:link w:val="Sinespaciado"/>
    <w:uiPriority w:val="1"/>
    <w:locked/>
    <w:rsid w:val="00893F39"/>
    <w:rPr>
      <w:rFonts w:ascii="Times New Roman" w:eastAsia="Times New Roman" w:hAnsi="Times New Roman" w:cs="Times New Roman"/>
    </w:rPr>
  </w:style>
  <w:style w:type="paragraph" w:styleId="Sinespaciado">
    <w:name w:val="No Spacing"/>
    <w:aliases w:val="Francesa,INAI"/>
    <w:link w:val="SinespaciadoCar"/>
    <w:uiPriority w:val="1"/>
    <w:qFormat/>
    <w:rsid w:val="00893F39"/>
    <w:rPr>
      <w:rFonts w:ascii="Times New Roman" w:eastAsia="Times New Roman" w:hAnsi="Times New Roman" w:cs="Times New Roman"/>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CellMar>
        <w:top w:w="0" w:type="dxa"/>
        <w:left w:w="70" w:type="dxa"/>
        <w:bottom w:w="0" w:type="dxa"/>
        <w:right w:w="70" w:type="dxa"/>
      </w:tblCellMar>
    </w:tblPr>
  </w:style>
  <w:style w:type="table" w:customStyle="1" w:styleId="a0">
    <w:basedOn w:val="TableNormal1"/>
    <w:tblPr>
      <w:tblStyleRowBandSize w:val="1"/>
      <w:tblStyleColBandSize w:val="1"/>
      <w:tblCellMar>
        <w:top w:w="0" w:type="dxa"/>
        <w:left w:w="70" w:type="dxa"/>
        <w:bottom w:w="0" w:type="dxa"/>
        <w:right w:w="70" w:type="dxa"/>
      </w:tblCellMar>
    </w:tblPr>
  </w:style>
  <w:style w:type="table" w:customStyle="1" w:styleId="a1">
    <w:basedOn w:val="TableNormal1"/>
    <w:tblPr>
      <w:tblStyleRowBandSize w:val="1"/>
      <w:tblStyleColBandSize w:val="1"/>
      <w:tblCellMar>
        <w:top w:w="0" w:type="dxa"/>
        <w:left w:w="70" w:type="dxa"/>
        <w:bottom w:w="0" w:type="dxa"/>
        <w:right w:w="70" w:type="dxa"/>
      </w:tblCellMar>
    </w:tblPr>
  </w:style>
  <w:style w:type="table" w:customStyle="1" w:styleId="a2">
    <w:basedOn w:val="TableNormal1"/>
    <w:tblPr>
      <w:tblStyleRowBandSize w:val="1"/>
      <w:tblStyleColBandSize w:val="1"/>
      <w:tblCellMar>
        <w:top w:w="0" w:type="dxa"/>
        <w:left w:w="70" w:type="dxa"/>
        <w:bottom w:w="0" w:type="dxa"/>
        <w:right w:w="70" w:type="dxa"/>
      </w:tblCellMar>
    </w:tblPr>
  </w:style>
  <w:style w:type="numbering" w:customStyle="1" w:styleId="Estiloimportado1">
    <w:name w:val="Estilo importado 1"/>
    <w:rsid w:val="00031DFC"/>
  </w:style>
  <w:style w:type="table" w:customStyle="1" w:styleId="a3">
    <w:basedOn w:val="TableNormal0"/>
    <w:tblPr>
      <w:tblStyleRowBandSize w:val="1"/>
      <w:tblStyleColBandSize w:val="1"/>
      <w:tblCellMar>
        <w:top w:w="0" w:type="dxa"/>
        <w:left w:w="108" w:type="dxa"/>
        <w:bottom w:w="0" w:type="dxa"/>
        <w:right w:w="108" w:type="dxa"/>
      </w:tblCellMar>
    </w:tblPr>
  </w:style>
  <w:style w:type="table" w:customStyle="1" w:styleId="a4">
    <w:basedOn w:val="TableNormal0"/>
    <w:tblPr>
      <w:tblStyleRowBandSize w:val="1"/>
      <w:tblStyleColBandSize w:val="1"/>
      <w:tblCellMar>
        <w:top w:w="0" w:type="dxa"/>
        <w:left w:w="108" w:type="dxa"/>
        <w:bottom w:w="0" w:type="dxa"/>
        <w:right w:w="108" w:type="dxa"/>
      </w:tblCellMar>
    </w:tblPr>
  </w:style>
  <w:style w:type="table" w:customStyle="1" w:styleId="a5">
    <w:basedOn w:val="TableNormal0"/>
    <w:tblPr>
      <w:tblStyleRowBandSize w:val="1"/>
      <w:tblStyleColBandSize w:val="1"/>
      <w:tblCellMar>
        <w:top w:w="0" w:type="dxa"/>
        <w:left w:w="108" w:type="dxa"/>
        <w:bottom w:w="0" w:type="dxa"/>
        <w:right w:w="108" w:type="dxa"/>
      </w:tblCellMar>
    </w:tblPr>
  </w:style>
  <w:style w:type="table" w:customStyle="1" w:styleId="a6">
    <w:basedOn w:val="TableNormal0"/>
    <w:tblPr>
      <w:tblStyleRowBandSize w:val="1"/>
      <w:tblStyleColBandSize w:val="1"/>
      <w:tblCellMar>
        <w:top w:w="0" w:type="dxa"/>
        <w:left w:w="108" w:type="dxa"/>
        <w:bottom w:w="0" w:type="dxa"/>
        <w:right w:w="108" w:type="dxa"/>
      </w:tblCellMar>
    </w:tblPr>
  </w:style>
  <w:style w:type="table" w:customStyle="1" w:styleId="a7">
    <w:basedOn w:val="TableNormal0"/>
    <w:tblPr>
      <w:tblStyleRowBandSize w:val="1"/>
      <w:tblStyleColBandSize w:val="1"/>
      <w:tblCellMar>
        <w:top w:w="0" w:type="dxa"/>
        <w:left w:w="115" w:type="dxa"/>
        <w:bottom w:w="0" w:type="dxa"/>
        <w:right w:w="115" w:type="dxa"/>
      </w:tblCellMar>
    </w:tblPr>
  </w:style>
  <w:style w:type="table" w:customStyle="1" w:styleId="a8">
    <w:basedOn w:val="TableNormal0"/>
    <w:tblPr>
      <w:tblStyleRowBandSize w:val="1"/>
      <w:tblStyleColBandSize w:val="1"/>
      <w:tblCellMar>
        <w:top w:w="0" w:type="dxa"/>
        <w:left w:w="70" w:type="dxa"/>
        <w:bottom w:w="0" w:type="dxa"/>
        <w:right w:w="70" w:type="dxa"/>
      </w:tblCellMar>
    </w:tblPr>
  </w:style>
  <w:style w:type="table" w:customStyle="1" w:styleId="a9">
    <w:basedOn w:val="TableNormal0"/>
    <w:tblPr>
      <w:tblStyleRowBandSize w:val="1"/>
      <w:tblStyleColBandSize w:val="1"/>
      <w:tblCellMar>
        <w:top w:w="0" w:type="dxa"/>
        <w:left w:w="70" w:type="dxa"/>
        <w:bottom w:w="0" w:type="dxa"/>
        <w:right w:w="7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kyazI7Hp+GsRQ8sF7g/VCiFmkwg==">CgMxLjAyCGguZ2pkZ3hzMgloLjN6bnlzaDcyCWguMmV0OTJwMDIIaC50eWpjd3QyCWguM2R5NnZrbTIJaC4xdDNoNXNmMgloLjFrc3Y0dXYyCWguM3JkY3JqbjIJaC40ZDM0b2c4Mg5oLjNseGUyc2U3azMwdzIOaC4zbHhlMnNlN2szMHcyDmguNjltM2E2c2pqdzZuMg1oLmEwa3o1aGxmNnhvMg5oLnZna2t0YjdwajIzYTIOaC5uOXpyYzVqenNsODEyDmgub2lkN3p6bHh6dnVvMg5oLnpnazU4bnpldnIyMDIOaC41MzdoanJybzA4dWUyDWguN3l6d3g5aWljZG0yCWguMjZpbjFyZzgAciExQjdrekU0R0QxZ0JIWjBtcHFfTzJTc294dXY5Y1NmRE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31</Pages>
  <Words>7406</Words>
  <Characters>40739</Characters>
  <Application>Microsoft Office Word</Application>
  <DocSecurity>0</DocSecurity>
  <Lines>339</Lines>
  <Paragraphs>96</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48049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Paola Belen Sanchez Estrada</dc:creator>
  <cp:lastModifiedBy>INFOEM416</cp:lastModifiedBy>
  <cp:revision>5</cp:revision>
  <cp:lastPrinted>2025-02-20T16:38:00Z</cp:lastPrinted>
  <dcterms:created xsi:type="dcterms:W3CDTF">2025-02-14T17:53:00Z</dcterms:created>
  <dcterms:modified xsi:type="dcterms:W3CDTF">2025-02-20T16:38:00Z</dcterms:modified>
</cp:coreProperties>
</file>