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67762" w14:textId="77777777" w:rsidR="00725F2F" w:rsidRDefault="00725F2F">
      <w:pPr>
        <w:widowControl w:val="0"/>
        <w:pBdr>
          <w:top w:val="nil"/>
          <w:left w:val="nil"/>
          <w:bottom w:val="nil"/>
          <w:right w:val="nil"/>
          <w:between w:val="nil"/>
        </w:pBdr>
        <w:spacing w:after="0" w:line="276" w:lineRule="auto"/>
        <w:jc w:val="left"/>
      </w:pPr>
    </w:p>
    <w:p w14:paraId="014ED2AE" w14:textId="77777777" w:rsidR="00725F2F" w:rsidRDefault="00CC7AC9">
      <w:pPr>
        <w:keepNext/>
        <w:keepLines/>
        <w:pBdr>
          <w:top w:val="nil"/>
          <w:left w:val="nil"/>
          <w:bottom w:val="nil"/>
          <w:right w:val="nil"/>
          <w:between w:val="nil"/>
        </w:pBdr>
        <w:spacing w:after="0" w:line="360" w:lineRule="auto"/>
        <w:jc w:val="center"/>
        <w:rPr>
          <w:rFonts w:ascii="Calibri" w:eastAsia="Calibri" w:hAnsi="Calibri" w:cs="Calibri"/>
          <w:color w:val="2F5496"/>
          <w:sz w:val="32"/>
          <w:szCs w:val="32"/>
        </w:rPr>
      </w:pPr>
      <w:r>
        <w:rPr>
          <w:color w:val="000000"/>
        </w:rPr>
        <w:t>RESOLUCIÓN DEL RECURSO DE REVISIÓN 08046/INFOEM/IP/RR/2025</w:t>
      </w:r>
    </w:p>
    <w:p w14:paraId="47F51C27" w14:textId="77777777" w:rsidR="00955CAD" w:rsidRDefault="00955CAD">
      <w:pPr>
        <w:widowControl w:val="0"/>
        <w:pBdr>
          <w:top w:val="nil"/>
          <w:left w:val="nil"/>
          <w:bottom w:val="nil"/>
          <w:right w:val="nil"/>
          <w:between w:val="nil"/>
        </w:pBdr>
        <w:spacing w:after="0" w:line="360" w:lineRule="auto"/>
        <w:jc w:val="left"/>
      </w:pPr>
    </w:p>
    <w:sdt>
      <w:sdtPr>
        <w:rPr>
          <w:rFonts w:ascii="Palatino Linotype" w:eastAsia="Palatino Linotype" w:hAnsi="Palatino Linotype" w:cs="Palatino Linotype"/>
          <w:color w:val="auto"/>
          <w:sz w:val="22"/>
          <w:szCs w:val="22"/>
          <w:lang w:val="es-ES"/>
        </w:rPr>
        <w:id w:val="1730808908"/>
        <w:docPartObj>
          <w:docPartGallery w:val="Table of Contents"/>
          <w:docPartUnique/>
        </w:docPartObj>
      </w:sdtPr>
      <w:sdtEndPr>
        <w:rPr>
          <w:b/>
          <w:bCs/>
        </w:rPr>
      </w:sdtEndPr>
      <w:sdtContent>
        <w:p w14:paraId="2145CDD3" w14:textId="77777777" w:rsidR="00955CAD" w:rsidRDefault="00955CAD">
          <w:pPr>
            <w:pStyle w:val="TtuloTDC"/>
          </w:pPr>
        </w:p>
        <w:p w14:paraId="0DF5EBCD" w14:textId="77777777" w:rsidR="005755E4" w:rsidRDefault="00955CAD">
          <w:pPr>
            <w:pStyle w:val="TDC1"/>
            <w:tabs>
              <w:tab w:val="right" w:leader="dot" w:pos="9204"/>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206687216" w:history="1">
            <w:r w:rsidR="005755E4" w:rsidRPr="005B5887">
              <w:rPr>
                <w:rStyle w:val="Hipervnculo"/>
                <w:noProof/>
              </w:rPr>
              <w:t>A N T E C E D E N T E S</w:t>
            </w:r>
            <w:r w:rsidR="005755E4">
              <w:rPr>
                <w:noProof/>
                <w:webHidden/>
              </w:rPr>
              <w:tab/>
            </w:r>
            <w:r w:rsidR="005755E4">
              <w:rPr>
                <w:noProof/>
                <w:webHidden/>
              </w:rPr>
              <w:fldChar w:fldCharType="begin"/>
            </w:r>
            <w:r w:rsidR="005755E4">
              <w:rPr>
                <w:noProof/>
                <w:webHidden/>
              </w:rPr>
              <w:instrText xml:space="preserve"> PAGEREF _Toc206687216 \h </w:instrText>
            </w:r>
            <w:r w:rsidR="005755E4">
              <w:rPr>
                <w:noProof/>
                <w:webHidden/>
              </w:rPr>
            </w:r>
            <w:r w:rsidR="005755E4">
              <w:rPr>
                <w:noProof/>
                <w:webHidden/>
              </w:rPr>
              <w:fldChar w:fldCharType="separate"/>
            </w:r>
            <w:r w:rsidR="002D305E">
              <w:rPr>
                <w:noProof/>
                <w:webHidden/>
              </w:rPr>
              <w:t>2</w:t>
            </w:r>
            <w:r w:rsidR="005755E4">
              <w:rPr>
                <w:noProof/>
                <w:webHidden/>
              </w:rPr>
              <w:fldChar w:fldCharType="end"/>
            </w:r>
          </w:hyperlink>
        </w:p>
        <w:p w14:paraId="2E63CA47" w14:textId="77777777" w:rsidR="005755E4" w:rsidRDefault="001C7EF9">
          <w:pPr>
            <w:pStyle w:val="TDC2"/>
            <w:rPr>
              <w:rFonts w:asciiTheme="minorHAnsi" w:eastAsiaTheme="minorEastAsia" w:hAnsiTheme="minorHAnsi" w:cstheme="minorBidi"/>
              <w:noProof/>
            </w:rPr>
          </w:pPr>
          <w:hyperlink w:anchor="_Toc206687217" w:history="1">
            <w:r w:rsidR="005755E4" w:rsidRPr="005B5887">
              <w:rPr>
                <w:rStyle w:val="Hipervnculo"/>
                <w:noProof/>
              </w:rPr>
              <w:t>I. Presentación de la solicitud</w:t>
            </w:r>
            <w:r w:rsidR="005755E4">
              <w:rPr>
                <w:noProof/>
                <w:webHidden/>
              </w:rPr>
              <w:tab/>
            </w:r>
            <w:r w:rsidR="005755E4">
              <w:rPr>
                <w:noProof/>
                <w:webHidden/>
              </w:rPr>
              <w:fldChar w:fldCharType="begin"/>
            </w:r>
            <w:r w:rsidR="005755E4">
              <w:rPr>
                <w:noProof/>
                <w:webHidden/>
              </w:rPr>
              <w:instrText xml:space="preserve"> PAGEREF _Toc206687217 \h </w:instrText>
            </w:r>
            <w:r w:rsidR="005755E4">
              <w:rPr>
                <w:noProof/>
                <w:webHidden/>
              </w:rPr>
            </w:r>
            <w:r w:rsidR="005755E4">
              <w:rPr>
                <w:noProof/>
                <w:webHidden/>
              </w:rPr>
              <w:fldChar w:fldCharType="separate"/>
            </w:r>
            <w:r w:rsidR="002D305E">
              <w:rPr>
                <w:noProof/>
                <w:webHidden/>
              </w:rPr>
              <w:t>2</w:t>
            </w:r>
            <w:r w:rsidR="005755E4">
              <w:rPr>
                <w:noProof/>
                <w:webHidden/>
              </w:rPr>
              <w:fldChar w:fldCharType="end"/>
            </w:r>
          </w:hyperlink>
        </w:p>
        <w:p w14:paraId="4553BF1D" w14:textId="77777777" w:rsidR="005755E4" w:rsidRDefault="001C7EF9">
          <w:pPr>
            <w:pStyle w:val="TDC2"/>
            <w:rPr>
              <w:rFonts w:asciiTheme="minorHAnsi" w:eastAsiaTheme="minorEastAsia" w:hAnsiTheme="minorHAnsi" w:cstheme="minorBidi"/>
              <w:noProof/>
            </w:rPr>
          </w:pPr>
          <w:hyperlink w:anchor="_Toc206687218" w:history="1">
            <w:r w:rsidR="005755E4" w:rsidRPr="005B5887">
              <w:rPr>
                <w:rStyle w:val="Hipervnculo"/>
                <w:noProof/>
              </w:rPr>
              <w:t>II. Respuesta del Sujeto Obligado</w:t>
            </w:r>
            <w:r w:rsidR="005755E4">
              <w:rPr>
                <w:noProof/>
                <w:webHidden/>
              </w:rPr>
              <w:tab/>
            </w:r>
            <w:r w:rsidR="005755E4">
              <w:rPr>
                <w:noProof/>
                <w:webHidden/>
              </w:rPr>
              <w:fldChar w:fldCharType="begin"/>
            </w:r>
            <w:r w:rsidR="005755E4">
              <w:rPr>
                <w:noProof/>
                <w:webHidden/>
              </w:rPr>
              <w:instrText xml:space="preserve"> PAGEREF _Toc206687218 \h </w:instrText>
            </w:r>
            <w:r w:rsidR="005755E4">
              <w:rPr>
                <w:noProof/>
                <w:webHidden/>
              </w:rPr>
            </w:r>
            <w:r w:rsidR="005755E4">
              <w:rPr>
                <w:noProof/>
                <w:webHidden/>
              </w:rPr>
              <w:fldChar w:fldCharType="separate"/>
            </w:r>
            <w:r w:rsidR="002D305E">
              <w:rPr>
                <w:noProof/>
                <w:webHidden/>
              </w:rPr>
              <w:t>3</w:t>
            </w:r>
            <w:r w:rsidR="005755E4">
              <w:rPr>
                <w:noProof/>
                <w:webHidden/>
              </w:rPr>
              <w:fldChar w:fldCharType="end"/>
            </w:r>
          </w:hyperlink>
        </w:p>
        <w:p w14:paraId="38D793A7" w14:textId="77777777" w:rsidR="005755E4" w:rsidRDefault="001C7EF9">
          <w:pPr>
            <w:pStyle w:val="TDC2"/>
            <w:rPr>
              <w:rFonts w:asciiTheme="minorHAnsi" w:eastAsiaTheme="minorEastAsia" w:hAnsiTheme="minorHAnsi" w:cstheme="minorBidi"/>
              <w:noProof/>
            </w:rPr>
          </w:pPr>
          <w:hyperlink w:anchor="_Toc206687219" w:history="1">
            <w:r w:rsidR="005755E4" w:rsidRPr="005B5887">
              <w:rPr>
                <w:rStyle w:val="Hipervnculo"/>
                <w:noProof/>
              </w:rPr>
              <w:t>III. Interposición del Recurso de Revisión</w:t>
            </w:r>
            <w:r w:rsidR="005755E4">
              <w:rPr>
                <w:noProof/>
                <w:webHidden/>
              </w:rPr>
              <w:tab/>
            </w:r>
            <w:r w:rsidR="005755E4">
              <w:rPr>
                <w:noProof/>
                <w:webHidden/>
              </w:rPr>
              <w:fldChar w:fldCharType="begin"/>
            </w:r>
            <w:r w:rsidR="005755E4">
              <w:rPr>
                <w:noProof/>
                <w:webHidden/>
              </w:rPr>
              <w:instrText xml:space="preserve"> PAGEREF _Toc206687219 \h </w:instrText>
            </w:r>
            <w:r w:rsidR="005755E4">
              <w:rPr>
                <w:noProof/>
                <w:webHidden/>
              </w:rPr>
            </w:r>
            <w:r w:rsidR="005755E4">
              <w:rPr>
                <w:noProof/>
                <w:webHidden/>
              </w:rPr>
              <w:fldChar w:fldCharType="separate"/>
            </w:r>
            <w:r w:rsidR="002D305E">
              <w:rPr>
                <w:noProof/>
                <w:webHidden/>
              </w:rPr>
              <w:t>3</w:t>
            </w:r>
            <w:r w:rsidR="005755E4">
              <w:rPr>
                <w:noProof/>
                <w:webHidden/>
              </w:rPr>
              <w:fldChar w:fldCharType="end"/>
            </w:r>
          </w:hyperlink>
        </w:p>
        <w:p w14:paraId="41483886" w14:textId="77777777" w:rsidR="005755E4" w:rsidRDefault="001C7EF9">
          <w:pPr>
            <w:pStyle w:val="TDC2"/>
            <w:rPr>
              <w:rFonts w:asciiTheme="minorHAnsi" w:eastAsiaTheme="minorEastAsia" w:hAnsiTheme="minorHAnsi" w:cstheme="minorBidi"/>
              <w:noProof/>
            </w:rPr>
          </w:pPr>
          <w:hyperlink w:anchor="_Toc206687220" w:history="1">
            <w:r w:rsidR="005755E4" w:rsidRPr="005B5887">
              <w:rPr>
                <w:rStyle w:val="Hipervnculo"/>
                <w:noProof/>
              </w:rPr>
              <w:t>IV. Trámite del Recurso de Revisión ante este Instituto</w:t>
            </w:r>
            <w:r w:rsidR="005755E4">
              <w:rPr>
                <w:noProof/>
                <w:webHidden/>
              </w:rPr>
              <w:tab/>
            </w:r>
            <w:r w:rsidR="005755E4">
              <w:rPr>
                <w:noProof/>
                <w:webHidden/>
              </w:rPr>
              <w:fldChar w:fldCharType="begin"/>
            </w:r>
            <w:r w:rsidR="005755E4">
              <w:rPr>
                <w:noProof/>
                <w:webHidden/>
              </w:rPr>
              <w:instrText xml:space="preserve"> PAGEREF _Toc206687220 \h </w:instrText>
            </w:r>
            <w:r w:rsidR="005755E4">
              <w:rPr>
                <w:noProof/>
                <w:webHidden/>
              </w:rPr>
            </w:r>
            <w:r w:rsidR="005755E4">
              <w:rPr>
                <w:noProof/>
                <w:webHidden/>
              </w:rPr>
              <w:fldChar w:fldCharType="separate"/>
            </w:r>
            <w:r w:rsidR="002D305E">
              <w:rPr>
                <w:noProof/>
                <w:webHidden/>
              </w:rPr>
              <w:t>4</w:t>
            </w:r>
            <w:r w:rsidR="005755E4">
              <w:rPr>
                <w:noProof/>
                <w:webHidden/>
              </w:rPr>
              <w:fldChar w:fldCharType="end"/>
            </w:r>
          </w:hyperlink>
        </w:p>
        <w:p w14:paraId="0AAD31C4" w14:textId="77777777" w:rsidR="005755E4" w:rsidRDefault="001C7EF9">
          <w:pPr>
            <w:pStyle w:val="TDC1"/>
            <w:tabs>
              <w:tab w:val="right" w:leader="dot" w:pos="9204"/>
            </w:tabs>
            <w:rPr>
              <w:rFonts w:asciiTheme="minorHAnsi" w:eastAsiaTheme="minorEastAsia" w:hAnsiTheme="minorHAnsi" w:cstheme="minorBidi"/>
              <w:noProof/>
            </w:rPr>
          </w:pPr>
          <w:hyperlink w:anchor="_Toc206687221" w:history="1">
            <w:r w:rsidR="005755E4" w:rsidRPr="005B5887">
              <w:rPr>
                <w:rStyle w:val="Hipervnculo"/>
                <w:noProof/>
              </w:rPr>
              <w:t>C O N S I D E R A N D O S</w:t>
            </w:r>
            <w:r w:rsidR="005755E4">
              <w:rPr>
                <w:noProof/>
                <w:webHidden/>
              </w:rPr>
              <w:tab/>
            </w:r>
            <w:r w:rsidR="005755E4">
              <w:rPr>
                <w:noProof/>
                <w:webHidden/>
              </w:rPr>
              <w:fldChar w:fldCharType="begin"/>
            </w:r>
            <w:r w:rsidR="005755E4">
              <w:rPr>
                <w:noProof/>
                <w:webHidden/>
              </w:rPr>
              <w:instrText xml:space="preserve"> PAGEREF _Toc206687221 \h </w:instrText>
            </w:r>
            <w:r w:rsidR="005755E4">
              <w:rPr>
                <w:noProof/>
                <w:webHidden/>
              </w:rPr>
            </w:r>
            <w:r w:rsidR="005755E4">
              <w:rPr>
                <w:noProof/>
                <w:webHidden/>
              </w:rPr>
              <w:fldChar w:fldCharType="separate"/>
            </w:r>
            <w:r w:rsidR="002D305E">
              <w:rPr>
                <w:noProof/>
                <w:webHidden/>
              </w:rPr>
              <w:t>5</w:t>
            </w:r>
            <w:r w:rsidR="005755E4">
              <w:rPr>
                <w:noProof/>
                <w:webHidden/>
              </w:rPr>
              <w:fldChar w:fldCharType="end"/>
            </w:r>
          </w:hyperlink>
        </w:p>
        <w:p w14:paraId="315AF1D0" w14:textId="77777777" w:rsidR="005755E4" w:rsidRDefault="001C7EF9">
          <w:pPr>
            <w:pStyle w:val="TDC2"/>
            <w:rPr>
              <w:rFonts w:asciiTheme="minorHAnsi" w:eastAsiaTheme="minorEastAsia" w:hAnsiTheme="minorHAnsi" w:cstheme="minorBidi"/>
              <w:noProof/>
            </w:rPr>
          </w:pPr>
          <w:hyperlink w:anchor="_Toc206687222" w:history="1">
            <w:r w:rsidR="005755E4" w:rsidRPr="005B5887">
              <w:rPr>
                <w:rStyle w:val="Hipervnculo"/>
                <w:noProof/>
              </w:rPr>
              <w:t>PRIMERO. Competencia</w:t>
            </w:r>
            <w:r w:rsidR="005755E4">
              <w:rPr>
                <w:noProof/>
                <w:webHidden/>
              </w:rPr>
              <w:tab/>
            </w:r>
            <w:r w:rsidR="005755E4">
              <w:rPr>
                <w:noProof/>
                <w:webHidden/>
              </w:rPr>
              <w:fldChar w:fldCharType="begin"/>
            </w:r>
            <w:r w:rsidR="005755E4">
              <w:rPr>
                <w:noProof/>
                <w:webHidden/>
              </w:rPr>
              <w:instrText xml:space="preserve"> PAGEREF _Toc206687222 \h </w:instrText>
            </w:r>
            <w:r w:rsidR="005755E4">
              <w:rPr>
                <w:noProof/>
                <w:webHidden/>
              </w:rPr>
            </w:r>
            <w:r w:rsidR="005755E4">
              <w:rPr>
                <w:noProof/>
                <w:webHidden/>
              </w:rPr>
              <w:fldChar w:fldCharType="separate"/>
            </w:r>
            <w:r w:rsidR="002D305E">
              <w:rPr>
                <w:noProof/>
                <w:webHidden/>
              </w:rPr>
              <w:t>5</w:t>
            </w:r>
            <w:r w:rsidR="005755E4">
              <w:rPr>
                <w:noProof/>
                <w:webHidden/>
              </w:rPr>
              <w:fldChar w:fldCharType="end"/>
            </w:r>
          </w:hyperlink>
        </w:p>
        <w:p w14:paraId="08FB8897" w14:textId="77777777" w:rsidR="005755E4" w:rsidRDefault="001C7EF9">
          <w:pPr>
            <w:pStyle w:val="TDC2"/>
            <w:rPr>
              <w:rFonts w:asciiTheme="minorHAnsi" w:eastAsiaTheme="minorEastAsia" w:hAnsiTheme="minorHAnsi" w:cstheme="minorBidi"/>
              <w:noProof/>
            </w:rPr>
          </w:pPr>
          <w:hyperlink w:anchor="_Toc206687223" w:history="1">
            <w:r w:rsidR="005755E4" w:rsidRPr="005B5887">
              <w:rPr>
                <w:rStyle w:val="Hipervnculo"/>
                <w:noProof/>
              </w:rPr>
              <w:t>SEGUNDO. Causales de improcedencia y sobreseimiento</w:t>
            </w:r>
            <w:r w:rsidR="005755E4">
              <w:rPr>
                <w:noProof/>
                <w:webHidden/>
              </w:rPr>
              <w:tab/>
            </w:r>
            <w:r w:rsidR="005755E4">
              <w:rPr>
                <w:noProof/>
                <w:webHidden/>
              </w:rPr>
              <w:fldChar w:fldCharType="begin"/>
            </w:r>
            <w:r w:rsidR="005755E4">
              <w:rPr>
                <w:noProof/>
                <w:webHidden/>
              </w:rPr>
              <w:instrText xml:space="preserve"> PAGEREF _Toc206687223 \h </w:instrText>
            </w:r>
            <w:r w:rsidR="005755E4">
              <w:rPr>
                <w:noProof/>
                <w:webHidden/>
              </w:rPr>
            </w:r>
            <w:r w:rsidR="005755E4">
              <w:rPr>
                <w:noProof/>
                <w:webHidden/>
              </w:rPr>
              <w:fldChar w:fldCharType="separate"/>
            </w:r>
            <w:r w:rsidR="002D305E">
              <w:rPr>
                <w:noProof/>
                <w:webHidden/>
              </w:rPr>
              <w:t>5</w:t>
            </w:r>
            <w:r w:rsidR="005755E4">
              <w:rPr>
                <w:noProof/>
                <w:webHidden/>
              </w:rPr>
              <w:fldChar w:fldCharType="end"/>
            </w:r>
          </w:hyperlink>
        </w:p>
        <w:p w14:paraId="34B3BC08" w14:textId="77777777" w:rsidR="005755E4" w:rsidRDefault="001C7EF9">
          <w:pPr>
            <w:pStyle w:val="TDC2"/>
            <w:rPr>
              <w:rFonts w:asciiTheme="minorHAnsi" w:eastAsiaTheme="minorEastAsia" w:hAnsiTheme="minorHAnsi" w:cstheme="minorBidi"/>
              <w:noProof/>
            </w:rPr>
          </w:pPr>
          <w:hyperlink w:anchor="_Toc206687224" w:history="1">
            <w:r w:rsidR="005755E4" w:rsidRPr="005B5887">
              <w:rPr>
                <w:rStyle w:val="Hipervnculo"/>
                <w:noProof/>
              </w:rPr>
              <w:t>TERCERO. Determinación de la Controversia.</w:t>
            </w:r>
            <w:r w:rsidR="005755E4">
              <w:rPr>
                <w:noProof/>
                <w:webHidden/>
              </w:rPr>
              <w:tab/>
            </w:r>
            <w:r w:rsidR="005755E4">
              <w:rPr>
                <w:noProof/>
                <w:webHidden/>
              </w:rPr>
              <w:fldChar w:fldCharType="begin"/>
            </w:r>
            <w:r w:rsidR="005755E4">
              <w:rPr>
                <w:noProof/>
                <w:webHidden/>
              </w:rPr>
              <w:instrText xml:space="preserve"> PAGEREF _Toc206687224 \h </w:instrText>
            </w:r>
            <w:r w:rsidR="005755E4">
              <w:rPr>
                <w:noProof/>
                <w:webHidden/>
              </w:rPr>
            </w:r>
            <w:r w:rsidR="005755E4">
              <w:rPr>
                <w:noProof/>
                <w:webHidden/>
              </w:rPr>
              <w:fldChar w:fldCharType="separate"/>
            </w:r>
            <w:r w:rsidR="002D305E">
              <w:rPr>
                <w:noProof/>
                <w:webHidden/>
              </w:rPr>
              <w:t>7</w:t>
            </w:r>
            <w:r w:rsidR="005755E4">
              <w:rPr>
                <w:noProof/>
                <w:webHidden/>
              </w:rPr>
              <w:fldChar w:fldCharType="end"/>
            </w:r>
          </w:hyperlink>
        </w:p>
        <w:p w14:paraId="6E415B11" w14:textId="77777777" w:rsidR="005755E4" w:rsidRDefault="001C7EF9">
          <w:pPr>
            <w:pStyle w:val="TDC2"/>
            <w:rPr>
              <w:rFonts w:asciiTheme="minorHAnsi" w:eastAsiaTheme="minorEastAsia" w:hAnsiTheme="minorHAnsi" w:cstheme="minorBidi"/>
              <w:noProof/>
            </w:rPr>
          </w:pPr>
          <w:hyperlink w:anchor="_Toc206687225" w:history="1">
            <w:r w:rsidR="005755E4" w:rsidRPr="005B5887">
              <w:rPr>
                <w:rStyle w:val="Hipervnculo"/>
                <w:noProof/>
              </w:rPr>
              <w:t>CUARTO. Marco normativo aplicable en materia de transparencia y acceso a la información pública</w:t>
            </w:r>
            <w:r w:rsidR="005755E4">
              <w:rPr>
                <w:noProof/>
                <w:webHidden/>
              </w:rPr>
              <w:tab/>
            </w:r>
            <w:r w:rsidR="005755E4">
              <w:rPr>
                <w:noProof/>
                <w:webHidden/>
              </w:rPr>
              <w:fldChar w:fldCharType="begin"/>
            </w:r>
            <w:r w:rsidR="005755E4">
              <w:rPr>
                <w:noProof/>
                <w:webHidden/>
              </w:rPr>
              <w:instrText xml:space="preserve"> PAGEREF _Toc206687225 \h </w:instrText>
            </w:r>
            <w:r w:rsidR="005755E4">
              <w:rPr>
                <w:noProof/>
                <w:webHidden/>
              </w:rPr>
            </w:r>
            <w:r w:rsidR="005755E4">
              <w:rPr>
                <w:noProof/>
                <w:webHidden/>
              </w:rPr>
              <w:fldChar w:fldCharType="separate"/>
            </w:r>
            <w:r w:rsidR="002D305E">
              <w:rPr>
                <w:noProof/>
                <w:webHidden/>
              </w:rPr>
              <w:t>8</w:t>
            </w:r>
            <w:r w:rsidR="005755E4">
              <w:rPr>
                <w:noProof/>
                <w:webHidden/>
              </w:rPr>
              <w:fldChar w:fldCharType="end"/>
            </w:r>
          </w:hyperlink>
        </w:p>
        <w:p w14:paraId="5C4F850C" w14:textId="77777777" w:rsidR="005755E4" w:rsidRDefault="001C7EF9">
          <w:pPr>
            <w:pStyle w:val="TDC2"/>
            <w:rPr>
              <w:rFonts w:asciiTheme="minorHAnsi" w:eastAsiaTheme="minorEastAsia" w:hAnsiTheme="minorHAnsi" w:cstheme="minorBidi"/>
              <w:noProof/>
            </w:rPr>
          </w:pPr>
          <w:hyperlink w:anchor="_Toc206687226" w:history="1">
            <w:r w:rsidR="005755E4" w:rsidRPr="005B5887">
              <w:rPr>
                <w:rStyle w:val="Hipervnculo"/>
                <w:smallCaps/>
                <w:noProof/>
              </w:rPr>
              <w:t>QUINTO.</w:t>
            </w:r>
            <w:r w:rsidR="005755E4" w:rsidRPr="005B5887">
              <w:rPr>
                <w:rStyle w:val="Hipervnculo"/>
                <w:noProof/>
              </w:rPr>
              <w:t xml:space="preserve"> Estudio de Fondo</w:t>
            </w:r>
            <w:r w:rsidR="005755E4">
              <w:rPr>
                <w:noProof/>
                <w:webHidden/>
              </w:rPr>
              <w:tab/>
            </w:r>
            <w:r w:rsidR="005755E4">
              <w:rPr>
                <w:noProof/>
                <w:webHidden/>
              </w:rPr>
              <w:fldChar w:fldCharType="begin"/>
            </w:r>
            <w:r w:rsidR="005755E4">
              <w:rPr>
                <w:noProof/>
                <w:webHidden/>
              </w:rPr>
              <w:instrText xml:space="preserve"> PAGEREF _Toc206687226 \h </w:instrText>
            </w:r>
            <w:r w:rsidR="005755E4">
              <w:rPr>
                <w:noProof/>
                <w:webHidden/>
              </w:rPr>
            </w:r>
            <w:r w:rsidR="005755E4">
              <w:rPr>
                <w:noProof/>
                <w:webHidden/>
              </w:rPr>
              <w:fldChar w:fldCharType="separate"/>
            </w:r>
            <w:r w:rsidR="002D305E">
              <w:rPr>
                <w:noProof/>
                <w:webHidden/>
              </w:rPr>
              <w:t>9</w:t>
            </w:r>
            <w:r w:rsidR="005755E4">
              <w:rPr>
                <w:noProof/>
                <w:webHidden/>
              </w:rPr>
              <w:fldChar w:fldCharType="end"/>
            </w:r>
          </w:hyperlink>
        </w:p>
        <w:p w14:paraId="71B01085" w14:textId="77777777" w:rsidR="005755E4" w:rsidRDefault="001C7EF9">
          <w:pPr>
            <w:pStyle w:val="TDC1"/>
            <w:tabs>
              <w:tab w:val="right" w:leader="dot" w:pos="9204"/>
            </w:tabs>
            <w:rPr>
              <w:rFonts w:asciiTheme="minorHAnsi" w:eastAsiaTheme="minorEastAsia" w:hAnsiTheme="minorHAnsi" w:cstheme="minorBidi"/>
              <w:noProof/>
            </w:rPr>
          </w:pPr>
          <w:hyperlink w:anchor="_Toc206687227" w:history="1">
            <w:r w:rsidR="005755E4" w:rsidRPr="005B5887">
              <w:rPr>
                <w:rStyle w:val="Hipervnculo"/>
                <w:noProof/>
              </w:rPr>
              <w:t>R E S U E L V E</w:t>
            </w:r>
            <w:r w:rsidR="005755E4">
              <w:rPr>
                <w:noProof/>
                <w:webHidden/>
              </w:rPr>
              <w:tab/>
            </w:r>
            <w:r w:rsidR="005755E4">
              <w:rPr>
                <w:noProof/>
                <w:webHidden/>
              </w:rPr>
              <w:fldChar w:fldCharType="begin"/>
            </w:r>
            <w:r w:rsidR="005755E4">
              <w:rPr>
                <w:noProof/>
                <w:webHidden/>
              </w:rPr>
              <w:instrText xml:space="preserve"> PAGEREF _Toc206687227 \h </w:instrText>
            </w:r>
            <w:r w:rsidR="005755E4">
              <w:rPr>
                <w:noProof/>
                <w:webHidden/>
              </w:rPr>
            </w:r>
            <w:r w:rsidR="005755E4">
              <w:rPr>
                <w:noProof/>
                <w:webHidden/>
              </w:rPr>
              <w:fldChar w:fldCharType="separate"/>
            </w:r>
            <w:r w:rsidR="002D305E">
              <w:rPr>
                <w:noProof/>
                <w:webHidden/>
              </w:rPr>
              <w:t>14</w:t>
            </w:r>
            <w:r w:rsidR="005755E4">
              <w:rPr>
                <w:noProof/>
                <w:webHidden/>
              </w:rPr>
              <w:fldChar w:fldCharType="end"/>
            </w:r>
          </w:hyperlink>
        </w:p>
        <w:p w14:paraId="0A76C57E" w14:textId="77777777" w:rsidR="00955CAD" w:rsidRDefault="00955CAD">
          <w:r>
            <w:rPr>
              <w:b/>
              <w:bCs/>
              <w:lang w:val="es-ES"/>
            </w:rPr>
            <w:fldChar w:fldCharType="end"/>
          </w:r>
        </w:p>
      </w:sdtContent>
    </w:sdt>
    <w:p w14:paraId="098319F7" w14:textId="77777777" w:rsidR="00725F2F" w:rsidRDefault="00CC7AC9">
      <w:pPr>
        <w:widowControl w:val="0"/>
        <w:pBdr>
          <w:top w:val="nil"/>
          <w:left w:val="nil"/>
          <w:bottom w:val="nil"/>
          <w:right w:val="nil"/>
          <w:between w:val="nil"/>
        </w:pBdr>
        <w:spacing w:after="0" w:line="360" w:lineRule="auto"/>
        <w:jc w:val="left"/>
      </w:pPr>
      <w:r>
        <w:br w:type="column"/>
      </w:r>
    </w:p>
    <w:p w14:paraId="0587CC23" w14:textId="77777777" w:rsidR="00725F2F" w:rsidRDefault="00CC7AC9">
      <w:pPr>
        <w:spacing w:after="0" w:line="360" w:lineRule="auto"/>
      </w:pPr>
      <w:r>
        <w:t>Resolución del Pleno del Instituto de Transparencia, Acceso a la Información Pública y Protección de Datos Personales del Estado de México y Municipios, con domicilio en Metepec, Estado de México, de fecha veinte de agosto  de dos mil veinticinco.</w:t>
      </w:r>
    </w:p>
    <w:p w14:paraId="45AEFF0E" w14:textId="77777777" w:rsidR="00725F2F" w:rsidRDefault="00725F2F">
      <w:pPr>
        <w:spacing w:after="0" w:line="360" w:lineRule="auto"/>
        <w:rPr>
          <w:b/>
        </w:rPr>
      </w:pPr>
    </w:p>
    <w:p w14:paraId="657B9998" w14:textId="73EDFCD0" w:rsidR="00725F2F" w:rsidRDefault="00CC7AC9">
      <w:pPr>
        <w:spacing w:after="0" w:line="360" w:lineRule="auto"/>
      </w:pPr>
      <w:r>
        <w:rPr>
          <w:b/>
        </w:rPr>
        <w:t>VISTO</w:t>
      </w:r>
      <w:r>
        <w:t xml:space="preserve"> el expediente conformado con motivo del Recurso de Revisión </w:t>
      </w:r>
      <w:r w:rsidRPr="00903968">
        <w:rPr>
          <w:b/>
        </w:rPr>
        <w:t>08046/INFOEM/IP/RR/2025</w:t>
      </w:r>
      <w:r>
        <w:t xml:space="preserve">, interpuesto por </w:t>
      </w:r>
      <w:r w:rsidR="00857B7B" w:rsidRPr="00857B7B">
        <w:rPr>
          <w:b/>
          <w:highlight w:val="black"/>
        </w:rPr>
        <w:t>XXXXXXXXXXXXX</w:t>
      </w:r>
      <w:r>
        <w:t xml:space="preserve">, la persona Recurrente o Particular, en contra de la respuesta del Sujeto Obligado, </w:t>
      </w:r>
      <w:r w:rsidRPr="00903968">
        <w:rPr>
          <w:b/>
        </w:rPr>
        <w:t>Ayuntamiento de Villa Guerrero</w:t>
      </w:r>
      <w:r>
        <w:t xml:space="preserve">, a la solicitud de acceso a la información </w:t>
      </w:r>
      <w:r>
        <w:rPr>
          <w:color w:val="0D0D0D"/>
        </w:rPr>
        <w:t>00063/VIGUERRE/IP/2025</w:t>
      </w:r>
      <w:r>
        <w:t>,</w:t>
      </w:r>
      <w:bookmarkStart w:id="0" w:name="_GoBack"/>
      <w:bookmarkEnd w:id="0"/>
      <w:r>
        <w:t xml:space="preserve"> se emite la presente Resolución, con base en los Antecedentes y Considerandos que se exponen a continuación:</w:t>
      </w:r>
    </w:p>
    <w:p w14:paraId="51C0506F" w14:textId="77777777" w:rsidR="00725F2F" w:rsidRDefault="00725F2F">
      <w:pPr>
        <w:spacing w:after="0" w:line="360" w:lineRule="auto"/>
      </w:pPr>
    </w:p>
    <w:p w14:paraId="59DA8199" w14:textId="77777777" w:rsidR="00725F2F" w:rsidRDefault="00CC7AC9">
      <w:pPr>
        <w:pStyle w:val="Ttulo1"/>
        <w:spacing w:before="0" w:after="0"/>
      </w:pPr>
      <w:bookmarkStart w:id="1" w:name="_heading=h.qwhei97pby7z" w:colFirst="0" w:colLast="0"/>
      <w:bookmarkStart w:id="2" w:name="_Toc206687216"/>
      <w:bookmarkEnd w:id="1"/>
      <w:r>
        <w:t>A N T E C E D E N T E S</w:t>
      </w:r>
      <w:bookmarkEnd w:id="2"/>
    </w:p>
    <w:p w14:paraId="2EAAAB2A" w14:textId="77777777" w:rsidR="00725F2F" w:rsidRDefault="00725F2F">
      <w:pPr>
        <w:spacing w:after="0" w:line="360" w:lineRule="auto"/>
      </w:pPr>
    </w:p>
    <w:p w14:paraId="64754944" w14:textId="77777777" w:rsidR="00725F2F" w:rsidRDefault="00CC7AC9">
      <w:pPr>
        <w:pStyle w:val="Ttulo2"/>
        <w:spacing w:before="0" w:after="0"/>
      </w:pPr>
      <w:bookmarkStart w:id="3" w:name="_heading=h.td1l9laenj51" w:colFirst="0" w:colLast="0"/>
      <w:bookmarkStart w:id="4" w:name="_Toc206687217"/>
      <w:bookmarkEnd w:id="3"/>
      <w:r>
        <w:t>I. Presentación de la solicitud</w:t>
      </w:r>
      <w:bookmarkEnd w:id="4"/>
    </w:p>
    <w:p w14:paraId="02889BD6" w14:textId="77777777" w:rsidR="00725F2F" w:rsidRDefault="00725F2F">
      <w:pPr>
        <w:tabs>
          <w:tab w:val="left" w:pos="567"/>
        </w:tabs>
        <w:spacing w:after="0" w:line="360" w:lineRule="auto"/>
      </w:pPr>
    </w:p>
    <w:p w14:paraId="4DCF03F5" w14:textId="77777777" w:rsidR="00725F2F" w:rsidRDefault="00CC7AC9">
      <w:pPr>
        <w:spacing w:after="0" w:line="360" w:lineRule="auto"/>
      </w:pPr>
      <w:r>
        <w:t xml:space="preserve">Con fecha veintitrés de junio de dos mil veinticinco, (ya que si bien se tuvo por presentada el veintidós de dicho mes y año, este fue inhábil por lo que se tuvo por presentada el día hábil subsecuente), el Particular presentó una solicitud de acceso a la información pública  a través del Sistema de Acceso a la Información Mexiquense (SAIMEX), ante el Sujeto Obligado, en los siguientes términos: </w:t>
      </w:r>
    </w:p>
    <w:p w14:paraId="19D7B616" w14:textId="77777777" w:rsidR="00725F2F" w:rsidRDefault="00725F2F">
      <w:pPr>
        <w:spacing w:after="0" w:line="360" w:lineRule="auto"/>
      </w:pPr>
    </w:p>
    <w:p w14:paraId="03711993" w14:textId="77777777" w:rsidR="00725F2F" w:rsidRDefault="00CC7AC9">
      <w:pPr>
        <w:tabs>
          <w:tab w:val="left" w:pos="4667"/>
        </w:tabs>
        <w:spacing w:after="0" w:line="360" w:lineRule="auto"/>
        <w:ind w:left="567" w:right="567"/>
        <w:rPr>
          <w:b/>
          <w:i/>
          <w:sz w:val="20"/>
          <w:szCs w:val="20"/>
        </w:rPr>
      </w:pPr>
      <w:r>
        <w:rPr>
          <w:b/>
          <w:i/>
          <w:sz w:val="20"/>
          <w:szCs w:val="20"/>
        </w:rPr>
        <w:t>“DESCRIPCIÓN CLARA Y PRECISA DE LA INFORMACIÓN SOLICITADA.</w:t>
      </w:r>
    </w:p>
    <w:p w14:paraId="24EEDCFE" w14:textId="77777777" w:rsidR="00725F2F" w:rsidRDefault="00CC7AC9">
      <w:pPr>
        <w:tabs>
          <w:tab w:val="left" w:pos="4667"/>
        </w:tabs>
        <w:spacing w:after="0" w:line="360" w:lineRule="auto"/>
        <w:ind w:left="567" w:right="567"/>
        <w:rPr>
          <w:i/>
          <w:sz w:val="20"/>
          <w:szCs w:val="20"/>
        </w:rPr>
      </w:pPr>
      <w:r>
        <w:rPr>
          <w:i/>
          <w:sz w:val="20"/>
          <w:szCs w:val="20"/>
        </w:rPr>
        <w:t xml:space="preserve">agenda del mes de enero de las actividades de la Titular de la </w:t>
      </w:r>
      <w:proofErr w:type="spellStart"/>
      <w:r>
        <w:rPr>
          <w:i/>
          <w:sz w:val="20"/>
          <w:szCs w:val="20"/>
        </w:rPr>
        <w:t>contraloria</w:t>
      </w:r>
      <w:proofErr w:type="spellEnd"/>
      <w:r>
        <w:rPr>
          <w:i/>
          <w:sz w:val="20"/>
          <w:szCs w:val="20"/>
        </w:rPr>
        <w:t xml:space="preserve"> municipal.” </w:t>
      </w:r>
      <w:r>
        <w:rPr>
          <w:i/>
          <w:sz w:val="16"/>
          <w:szCs w:val="16"/>
        </w:rPr>
        <w:t>(</w:t>
      </w:r>
      <w:r>
        <w:rPr>
          <w:i/>
          <w:sz w:val="20"/>
          <w:szCs w:val="20"/>
        </w:rPr>
        <w:t xml:space="preserve">Sic) </w:t>
      </w:r>
    </w:p>
    <w:p w14:paraId="7AA0C5C6" w14:textId="77777777" w:rsidR="00725F2F" w:rsidRDefault="00725F2F">
      <w:pPr>
        <w:tabs>
          <w:tab w:val="left" w:pos="4667"/>
        </w:tabs>
        <w:spacing w:after="0" w:line="360" w:lineRule="auto"/>
        <w:ind w:left="567" w:right="567"/>
        <w:rPr>
          <w:b/>
          <w:i/>
          <w:sz w:val="20"/>
          <w:szCs w:val="20"/>
        </w:rPr>
      </w:pPr>
    </w:p>
    <w:p w14:paraId="04D04467" w14:textId="77777777" w:rsidR="00725F2F" w:rsidRDefault="00CC7AC9">
      <w:pPr>
        <w:tabs>
          <w:tab w:val="left" w:pos="4667"/>
        </w:tabs>
        <w:spacing w:after="0" w:line="360" w:lineRule="auto"/>
        <w:ind w:left="567" w:right="567"/>
        <w:rPr>
          <w:b/>
          <w:i/>
          <w:sz w:val="20"/>
          <w:szCs w:val="20"/>
        </w:rPr>
      </w:pPr>
      <w:r>
        <w:rPr>
          <w:b/>
          <w:i/>
          <w:sz w:val="20"/>
          <w:szCs w:val="20"/>
        </w:rPr>
        <w:t>“MODALIDAD DE ENTREGA</w:t>
      </w:r>
    </w:p>
    <w:p w14:paraId="44DCE67B" w14:textId="77777777" w:rsidR="00725F2F" w:rsidRDefault="00CC7AC9">
      <w:pPr>
        <w:spacing w:after="0" w:line="360" w:lineRule="auto"/>
        <w:ind w:left="567" w:right="567"/>
        <w:rPr>
          <w:i/>
          <w:sz w:val="20"/>
          <w:szCs w:val="20"/>
        </w:rPr>
      </w:pPr>
      <w:r>
        <w:rPr>
          <w:i/>
          <w:sz w:val="20"/>
          <w:szCs w:val="20"/>
        </w:rPr>
        <w:t>A través del SAIMEX”</w:t>
      </w:r>
    </w:p>
    <w:p w14:paraId="6982C5F6" w14:textId="77777777" w:rsidR="00725F2F" w:rsidRDefault="00725F2F">
      <w:pPr>
        <w:spacing w:after="0" w:line="360" w:lineRule="auto"/>
        <w:rPr>
          <w:b/>
        </w:rPr>
      </w:pPr>
    </w:p>
    <w:p w14:paraId="58F160EE" w14:textId="77777777" w:rsidR="00725F2F" w:rsidRDefault="00CC7AC9">
      <w:pPr>
        <w:pStyle w:val="Ttulo2"/>
        <w:spacing w:before="0" w:after="0"/>
      </w:pPr>
      <w:bookmarkStart w:id="5" w:name="_heading=h.t7h39v5bx1q" w:colFirst="0" w:colLast="0"/>
      <w:bookmarkStart w:id="6" w:name="_Toc206687218"/>
      <w:bookmarkEnd w:id="5"/>
      <w:r>
        <w:lastRenderedPageBreak/>
        <w:t>II. Respuesta del Sujeto Obligado</w:t>
      </w:r>
      <w:bookmarkEnd w:id="6"/>
    </w:p>
    <w:p w14:paraId="3F208040" w14:textId="77777777" w:rsidR="00725F2F" w:rsidRDefault="00725F2F">
      <w:pPr>
        <w:spacing w:after="0" w:line="360" w:lineRule="auto"/>
        <w:rPr>
          <w:b/>
        </w:rPr>
      </w:pPr>
    </w:p>
    <w:p w14:paraId="5CE4DF68" w14:textId="77777777" w:rsidR="00725F2F" w:rsidRDefault="00CC7AC9">
      <w:pPr>
        <w:spacing w:after="0" w:line="360" w:lineRule="auto"/>
      </w:pPr>
      <w:r>
        <w:t>Con fecha veintisiete de junio de dos mil veinticinco, el Sujeto Obligado notificó, a través del Sistema de Acceso a la Información Mexiquense (SAIMEX), la respuesta a la solicitud de acceso a la información pública, a través de los documentos siguientes:</w:t>
      </w:r>
    </w:p>
    <w:p w14:paraId="535B6F8C" w14:textId="77777777" w:rsidR="00725F2F" w:rsidRDefault="00725F2F">
      <w:pPr>
        <w:spacing w:after="0" w:line="360" w:lineRule="auto"/>
      </w:pPr>
    </w:p>
    <w:p w14:paraId="75D334BC" w14:textId="77777777" w:rsidR="00725F2F" w:rsidRDefault="00CC7AC9">
      <w:pPr>
        <w:numPr>
          <w:ilvl w:val="0"/>
          <w:numId w:val="1"/>
        </w:numPr>
        <w:pBdr>
          <w:top w:val="nil"/>
          <w:left w:val="nil"/>
          <w:bottom w:val="nil"/>
          <w:right w:val="nil"/>
          <w:between w:val="nil"/>
        </w:pBdr>
        <w:spacing w:after="0" w:line="360" w:lineRule="auto"/>
      </w:pPr>
      <w:r>
        <w:rPr>
          <w:color w:val="000000"/>
        </w:rPr>
        <w:t>Oficio número MVG/UT/220/2025, de fecha veintisiete de junio de dos mil veinticinco, suscrito por el Titular de Transparencia y dirigido a quien corresponda, donde refiere lo siguiente:</w:t>
      </w:r>
    </w:p>
    <w:p w14:paraId="429AF932" w14:textId="77777777" w:rsidR="00725F2F" w:rsidRDefault="00725F2F">
      <w:pPr>
        <w:pBdr>
          <w:top w:val="nil"/>
          <w:left w:val="nil"/>
          <w:bottom w:val="nil"/>
          <w:right w:val="nil"/>
          <w:between w:val="nil"/>
        </w:pBdr>
        <w:spacing w:after="0" w:line="360" w:lineRule="auto"/>
        <w:ind w:left="720"/>
        <w:rPr>
          <w:color w:val="000000"/>
        </w:rPr>
      </w:pPr>
    </w:p>
    <w:p w14:paraId="4E56D864" w14:textId="77777777" w:rsidR="00725F2F" w:rsidRDefault="00CC7AC9">
      <w:pPr>
        <w:spacing w:line="360" w:lineRule="auto"/>
        <w:ind w:left="360"/>
        <w:rPr>
          <w:i/>
        </w:rPr>
      </w:pPr>
      <w:r>
        <w:t>“</w:t>
      </w:r>
      <w:r>
        <w:rPr>
          <w:i/>
        </w:rPr>
        <w:t>Se solicitó a la oficina de contraloría la información relacionada con el folio 00063/VIGUERRE/IP/2025, el departamento mencionado dio contestación mediante oficio el cual remito a usted”</w:t>
      </w:r>
    </w:p>
    <w:p w14:paraId="74B85D60" w14:textId="77777777" w:rsidR="00725F2F" w:rsidRDefault="00CC7AC9">
      <w:pPr>
        <w:numPr>
          <w:ilvl w:val="0"/>
          <w:numId w:val="1"/>
        </w:numPr>
        <w:pBdr>
          <w:top w:val="nil"/>
          <w:left w:val="nil"/>
          <w:bottom w:val="nil"/>
          <w:right w:val="nil"/>
          <w:between w:val="nil"/>
        </w:pBdr>
        <w:spacing w:after="0" w:line="360" w:lineRule="auto"/>
        <w:rPr>
          <w:i/>
          <w:color w:val="000000"/>
        </w:rPr>
      </w:pPr>
      <w:r>
        <w:rPr>
          <w:color w:val="000000"/>
        </w:rPr>
        <w:t>Oficio número VG/CM/440/06/2025, de fecha veinticinco de junio de dos mil veinticinco, suscrito por la Contralora Municipal, y dirigido al Titular de Transparencia, donde refiere lo siguiente:</w:t>
      </w:r>
    </w:p>
    <w:p w14:paraId="5FE31F0A" w14:textId="77777777" w:rsidR="00725F2F" w:rsidRDefault="00725F2F">
      <w:pPr>
        <w:pBdr>
          <w:top w:val="nil"/>
          <w:left w:val="nil"/>
          <w:bottom w:val="nil"/>
          <w:right w:val="nil"/>
          <w:between w:val="nil"/>
        </w:pBdr>
        <w:spacing w:after="0" w:line="360" w:lineRule="auto"/>
        <w:ind w:left="720"/>
        <w:rPr>
          <w:i/>
          <w:color w:val="000000"/>
        </w:rPr>
      </w:pPr>
    </w:p>
    <w:p w14:paraId="272AA384" w14:textId="77777777" w:rsidR="00725F2F" w:rsidRDefault="00CC7AC9">
      <w:pPr>
        <w:spacing w:line="360" w:lineRule="auto"/>
        <w:ind w:left="360"/>
        <w:rPr>
          <w:i/>
        </w:rPr>
      </w:pPr>
      <w:r>
        <w:rPr>
          <w:i/>
        </w:rPr>
        <w:t>“En atención a su solicitud, me permito informarle que esta contraloría municipal, no se implementó una agenda de actividades del titular”</w:t>
      </w:r>
    </w:p>
    <w:p w14:paraId="29CFD379" w14:textId="77777777" w:rsidR="00725F2F" w:rsidRDefault="00725F2F">
      <w:pPr>
        <w:spacing w:after="0" w:line="360" w:lineRule="auto"/>
      </w:pPr>
    </w:p>
    <w:p w14:paraId="24F09E9A" w14:textId="77777777" w:rsidR="00725F2F" w:rsidRDefault="00CC7AC9">
      <w:pPr>
        <w:pStyle w:val="Ttulo2"/>
        <w:spacing w:before="0" w:after="0"/>
      </w:pPr>
      <w:bookmarkStart w:id="7" w:name="_heading=h.4mgmp8c60suu" w:colFirst="0" w:colLast="0"/>
      <w:bookmarkStart w:id="8" w:name="_Toc206687219"/>
      <w:bookmarkEnd w:id="7"/>
      <w:r>
        <w:t>III. Interposición del Recurso de Revisión</w:t>
      </w:r>
      <w:bookmarkEnd w:id="8"/>
    </w:p>
    <w:p w14:paraId="3E014506" w14:textId="77777777" w:rsidR="00725F2F" w:rsidRDefault="00725F2F">
      <w:pPr>
        <w:spacing w:after="0" w:line="360" w:lineRule="auto"/>
        <w:rPr>
          <w:b/>
        </w:rPr>
      </w:pPr>
    </w:p>
    <w:p w14:paraId="51C1D12B" w14:textId="77777777" w:rsidR="00725F2F" w:rsidRDefault="00CC7AC9">
      <w:pPr>
        <w:spacing w:after="0" w:line="360" w:lineRule="auto"/>
      </w:pPr>
      <w:r>
        <w:t>Con fecha dos de julio de dos mil veinticinco, se recibió en este Instituto, a través del Sistema de Acceso a la Información Mexiquense (SAIMEX), Recurso de Revisión interpuesto por la parte Recurrente, en contra de la respuesta por el Sujeto Obligado, a la solicitud de información, en los siguientes términos:</w:t>
      </w:r>
    </w:p>
    <w:p w14:paraId="13823E3C" w14:textId="77777777" w:rsidR="00725F2F" w:rsidRDefault="00725F2F">
      <w:pPr>
        <w:spacing w:after="0" w:line="360" w:lineRule="auto"/>
      </w:pPr>
    </w:p>
    <w:p w14:paraId="069A2E96" w14:textId="77777777" w:rsidR="00725F2F" w:rsidRDefault="00CC7AC9">
      <w:pPr>
        <w:spacing w:after="0" w:line="360" w:lineRule="auto"/>
        <w:ind w:left="567" w:right="567"/>
        <w:rPr>
          <w:i/>
          <w:sz w:val="20"/>
          <w:szCs w:val="20"/>
        </w:rPr>
      </w:pPr>
      <w:r>
        <w:rPr>
          <w:b/>
          <w:i/>
          <w:sz w:val="20"/>
          <w:szCs w:val="20"/>
        </w:rPr>
        <w:lastRenderedPageBreak/>
        <w:t>“ACTO IMPUGNADO”</w:t>
      </w:r>
    </w:p>
    <w:p w14:paraId="63F9D91A" w14:textId="77777777" w:rsidR="00725F2F" w:rsidRDefault="00CC7AC9">
      <w:pPr>
        <w:spacing w:after="0" w:line="360" w:lineRule="auto"/>
        <w:ind w:left="567" w:right="567"/>
        <w:rPr>
          <w:i/>
          <w:sz w:val="20"/>
          <w:szCs w:val="20"/>
        </w:rPr>
      </w:pPr>
      <w:r>
        <w:rPr>
          <w:i/>
          <w:color w:val="000000"/>
          <w:sz w:val="20"/>
          <w:szCs w:val="20"/>
        </w:rPr>
        <w:t xml:space="preserve">no entrego la </w:t>
      </w:r>
      <w:proofErr w:type="gramStart"/>
      <w:r>
        <w:rPr>
          <w:i/>
          <w:color w:val="000000"/>
          <w:sz w:val="20"/>
          <w:szCs w:val="20"/>
        </w:rPr>
        <w:t>agenda,.</w:t>
      </w:r>
      <w:proofErr w:type="gramEnd"/>
      <w:r>
        <w:rPr>
          <w:i/>
          <w:sz w:val="20"/>
          <w:szCs w:val="20"/>
        </w:rPr>
        <w:t>” (Sic.)</w:t>
      </w:r>
    </w:p>
    <w:p w14:paraId="030AA586" w14:textId="77777777" w:rsidR="00725F2F" w:rsidRDefault="00725F2F">
      <w:pPr>
        <w:spacing w:after="0" w:line="360" w:lineRule="auto"/>
        <w:ind w:left="567" w:right="567"/>
        <w:rPr>
          <w:i/>
          <w:sz w:val="20"/>
          <w:szCs w:val="20"/>
        </w:rPr>
      </w:pPr>
    </w:p>
    <w:p w14:paraId="4A7CA872" w14:textId="77777777" w:rsidR="00725F2F" w:rsidRDefault="00CC7AC9">
      <w:pPr>
        <w:spacing w:after="0" w:line="360" w:lineRule="auto"/>
        <w:ind w:left="567" w:right="567"/>
        <w:rPr>
          <w:b/>
          <w:i/>
          <w:sz w:val="20"/>
          <w:szCs w:val="20"/>
        </w:rPr>
      </w:pPr>
      <w:r>
        <w:rPr>
          <w:b/>
          <w:i/>
          <w:sz w:val="20"/>
          <w:szCs w:val="20"/>
        </w:rPr>
        <w:t>“RAZONES O MOTIVOS DE LA INCONFORMIDAD”</w:t>
      </w:r>
    </w:p>
    <w:p w14:paraId="2B57020C" w14:textId="77777777" w:rsidR="00725F2F" w:rsidRDefault="00CC7AC9">
      <w:pPr>
        <w:spacing w:after="0" w:line="360" w:lineRule="auto"/>
        <w:ind w:left="567" w:right="567"/>
        <w:rPr>
          <w:i/>
          <w:sz w:val="20"/>
          <w:szCs w:val="20"/>
        </w:rPr>
      </w:pPr>
      <w:r>
        <w:rPr>
          <w:i/>
          <w:color w:val="000000"/>
          <w:sz w:val="20"/>
          <w:szCs w:val="20"/>
        </w:rPr>
        <w:t xml:space="preserve">justifica que no se </w:t>
      </w:r>
      <w:proofErr w:type="spellStart"/>
      <w:r>
        <w:rPr>
          <w:i/>
          <w:color w:val="000000"/>
          <w:sz w:val="20"/>
          <w:szCs w:val="20"/>
        </w:rPr>
        <w:t>implemento</w:t>
      </w:r>
      <w:proofErr w:type="spellEnd"/>
      <w:r>
        <w:rPr>
          <w:i/>
          <w:color w:val="000000"/>
          <w:sz w:val="20"/>
          <w:szCs w:val="20"/>
        </w:rPr>
        <w:t xml:space="preserve">, es </w:t>
      </w:r>
      <w:proofErr w:type="spellStart"/>
      <w:r>
        <w:rPr>
          <w:i/>
          <w:color w:val="000000"/>
          <w:sz w:val="20"/>
          <w:szCs w:val="20"/>
        </w:rPr>
        <w:t>obligacion</w:t>
      </w:r>
      <w:proofErr w:type="spellEnd"/>
      <w:r>
        <w:rPr>
          <w:i/>
          <w:color w:val="000000"/>
          <w:sz w:val="20"/>
          <w:szCs w:val="20"/>
        </w:rPr>
        <w:t xml:space="preserve"> tenerla y presentarla o se entiende que no se hizo ninguna actividad.</w:t>
      </w:r>
      <w:r>
        <w:rPr>
          <w:i/>
          <w:sz w:val="20"/>
          <w:szCs w:val="20"/>
        </w:rPr>
        <w:t>” (Sic.)</w:t>
      </w:r>
    </w:p>
    <w:p w14:paraId="43F64EAA" w14:textId="77777777" w:rsidR="00725F2F" w:rsidRDefault="00725F2F">
      <w:pPr>
        <w:spacing w:after="0" w:line="360" w:lineRule="auto"/>
      </w:pPr>
    </w:p>
    <w:p w14:paraId="5B34B476" w14:textId="77777777" w:rsidR="00725F2F" w:rsidRDefault="00CC7AC9">
      <w:pPr>
        <w:pStyle w:val="Ttulo2"/>
        <w:spacing w:before="0" w:after="0"/>
      </w:pPr>
      <w:bookmarkStart w:id="9" w:name="_heading=h.12lzde395nfu" w:colFirst="0" w:colLast="0"/>
      <w:bookmarkStart w:id="10" w:name="_Toc206687220"/>
      <w:bookmarkEnd w:id="9"/>
      <w:r>
        <w:t>IV. Trámite del Recurso de Revisión ante este Instituto</w:t>
      </w:r>
      <w:bookmarkEnd w:id="10"/>
    </w:p>
    <w:p w14:paraId="0FFBF181" w14:textId="77777777" w:rsidR="00725F2F" w:rsidRDefault="00725F2F">
      <w:pPr>
        <w:spacing w:after="0" w:line="360" w:lineRule="auto"/>
        <w:rPr>
          <w:b/>
        </w:rPr>
      </w:pPr>
    </w:p>
    <w:p w14:paraId="4F6CA526" w14:textId="77777777" w:rsidR="00725F2F" w:rsidRDefault="00CC7AC9">
      <w:pPr>
        <w:spacing w:after="0" w:line="360" w:lineRule="auto"/>
        <w:rPr>
          <w:b/>
        </w:rPr>
      </w:pPr>
      <w:r>
        <w:rPr>
          <w:b/>
        </w:rPr>
        <w:t>a) Turno del Medio de Impugnación.</w:t>
      </w:r>
      <w:r>
        <w:t xml:space="preserve"> El dos de julio de dos mil veinticinco, el Sistema de Acceso a la Información Mexiquense (SAIMEX), asignó el número de expediente </w:t>
      </w:r>
      <w:r>
        <w:rPr>
          <w:b/>
        </w:rPr>
        <w:t>08046/INFOEM/IP/RR/2025</w:t>
      </w:r>
      <w:r>
        <w:t>, al medio de impugnación que nos ocupa, con base en el sistema aprobado por el Pleno de este Órgano Garante y lo turnó al Comisionado Luis Gustavo Parra Noriega; para los efectos del artículo 185, fracción I de la Ley de Transparencia y Acceso a la Información Pública del Estado de México y Municipios.</w:t>
      </w:r>
    </w:p>
    <w:p w14:paraId="160880FE" w14:textId="77777777" w:rsidR="00725F2F" w:rsidRDefault="00725F2F">
      <w:pPr>
        <w:spacing w:after="0" w:line="360" w:lineRule="auto"/>
      </w:pPr>
    </w:p>
    <w:p w14:paraId="5F49501C" w14:textId="77777777" w:rsidR="00725F2F" w:rsidRDefault="00CC7AC9">
      <w:pPr>
        <w:spacing w:after="0" w:line="360" w:lineRule="auto"/>
      </w:pPr>
      <w:r>
        <w:rPr>
          <w:b/>
        </w:rPr>
        <w:t>b) Admisión del Recurso de Revisión.</w:t>
      </w:r>
      <w:r>
        <w:t xml:space="preserve"> El siete de julio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 </w:t>
      </w:r>
    </w:p>
    <w:p w14:paraId="1A933916" w14:textId="77777777" w:rsidR="00725F2F" w:rsidRDefault="00725F2F">
      <w:pPr>
        <w:spacing w:after="0" w:line="360" w:lineRule="auto"/>
        <w:rPr>
          <w:b/>
        </w:rPr>
      </w:pPr>
    </w:p>
    <w:p w14:paraId="1D01BE96" w14:textId="77777777" w:rsidR="00725F2F" w:rsidRDefault="00CC7AC9">
      <w:pPr>
        <w:spacing w:after="0" w:line="360" w:lineRule="auto"/>
      </w:pPr>
      <w:r>
        <w:rPr>
          <w:b/>
          <w:color w:val="000000"/>
        </w:rPr>
        <w:t xml:space="preserve">c) </w:t>
      </w:r>
      <w:r>
        <w:rPr>
          <w:b/>
        </w:rPr>
        <w:t xml:space="preserve">Informe Justificado o Manifestaciones. </w:t>
      </w:r>
      <w:r>
        <w:t>Los partes fueron omisos en emitir alguna manifestación o alegato.</w:t>
      </w:r>
    </w:p>
    <w:p w14:paraId="66F93FCE" w14:textId="77777777" w:rsidR="00725F2F" w:rsidRDefault="00725F2F">
      <w:pPr>
        <w:spacing w:after="0" w:line="360" w:lineRule="auto"/>
      </w:pPr>
    </w:p>
    <w:p w14:paraId="0311AE56" w14:textId="77777777" w:rsidR="00725F2F" w:rsidRDefault="00CC7AC9">
      <w:pPr>
        <w:spacing w:after="0" w:line="360" w:lineRule="auto"/>
        <w:rPr>
          <w:b/>
        </w:rPr>
      </w:pPr>
      <w:r>
        <w:rPr>
          <w:b/>
        </w:rPr>
        <w:lastRenderedPageBreak/>
        <w:t>d) Cierre de instrucción.</w:t>
      </w:r>
      <w:r>
        <w:t xml:space="preserve"> El trece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5859CD51" w14:textId="77777777" w:rsidR="00725F2F" w:rsidRDefault="00725F2F">
      <w:pPr>
        <w:spacing w:after="0" w:line="360" w:lineRule="auto"/>
      </w:pPr>
    </w:p>
    <w:p w14:paraId="08267F7D" w14:textId="77777777" w:rsidR="00725F2F" w:rsidRDefault="00CC7AC9">
      <w:pPr>
        <w:spacing w:after="0" w:line="360" w:lineRule="auto"/>
      </w:pPr>
      <w:r>
        <w:t xml:space="preserve">En razón de que fue debidamente sustanciado e integrado el expediente electrónico y no existe diligencia pendiente de desahogo, se emite la resolución que conforme a Derecho proceda, de acuerdo a los siguientes: </w:t>
      </w:r>
    </w:p>
    <w:p w14:paraId="47F58779" w14:textId="77777777" w:rsidR="00725F2F" w:rsidRDefault="00725F2F">
      <w:pPr>
        <w:spacing w:after="0" w:line="360" w:lineRule="auto"/>
      </w:pPr>
    </w:p>
    <w:p w14:paraId="315AF51D" w14:textId="77777777" w:rsidR="00725F2F" w:rsidRDefault="00CC7AC9">
      <w:pPr>
        <w:pStyle w:val="Ttulo1"/>
        <w:spacing w:before="0" w:after="0"/>
      </w:pPr>
      <w:bookmarkStart w:id="11" w:name="_heading=h.h57noed40k2k" w:colFirst="0" w:colLast="0"/>
      <w:bookmarkStart w:id="12" w:name="_Toc206687221"/>
      <w:bookmarkEnd w:id="11"/>
      <w:r>
        <w:t>C O N S I D E R A N D O S</w:t>
      </w:r>
      <w:bookmarkEnd w:id="12"/>
    </w:p>
    <w:p w14:paraId="097A304E" w14:textId="77777777" w:rsidR="00725F2F" w:rsidRDefault="00725F2F">
      <w:pPr>
        <w:spacing w:after="0" w:line="360" w:lineRule="auto"/>
        <w:rPr>
          <w:b/>
        </w:rPr>
      </w:pPr>
    </w:p>
    <w:p w14:paraId="2F9BE0DA" w14:textId="77777777" w:rsidR="00725F2F" w:rsidRDefault="00CC7AC9">
      <w:pPr>
        <w:pStyle w:val="Ttulo2"/>
        <w:spacing w:before="0" w:after="0"/>
      </w:pPr>
      <w:bookmarkStart w:id="13" w:name="_heading=h.a2q8r4zdpwj5" w:colFirst="0" w:colLast="0"/>
      <w:bookmarkStart w:id="14" w:name="_Toc206687222"/>
      <w:bookmarkEnd w:id="13"/>
      <w:r>
        <w:t>PRIMERO. Competencia</w:t>
      </w:r>
      <w:bookmarkEnd w:id="14"/>
    </w:p>
    <w:p w14:paraId="0A0DCDBC" w14:textId="77777777" w:rsidR="00725F2F" w:rsidRDefault="00725F2F">
      <w:pPr>
        <w:spacing w:after="0" w:line="360" w:lineRule="auto"/>
        <w:rPr>
          <w:b/>
        </w:rPr>
      </w:pPr>
    </w:p>
    <w:p w14:paraId="4E9A6429" w14:textId="77777777" w:rsidR="00725F2F" w:rsidRDefault="00CC7AC9">
      <w:pPr>
        <w:spacing w:after="0" w:line="360" w:lineRule="auto"/>
      </w:pPr>
      <w: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40161F2" w14:textId="77777777" w:rsidR="00725F2F" w:rsidRDefault="00725F2F">
      <w:pPr>
        <w:spacing w:after="0" w:line="360" w:lineRule="auto"/>
      </w:pPr>
    </w:p>
    <w:p w14:paraId="14174DB8" w14:textId="77777777" w:rsidR="00725F2F" w:rsidRDefault="00CC7AC9">
      <w:pPr>
        <w:pStyle w:val="Ttulo2"/>
        <w:spacing w:before="0" w:after="0"/>
      </w:pPr>
      <w:bookmarkStart w:id="15" w:name="_heading=h.41tl8f9p676y" w:colFirst="0" w:colLast="0"/>
      <w:bookmarkStart w:id="16" w:name="_Toc206687223"/>
      <w:bookmarkEnd w:id="15"/>
      <w:r>
        <w:t>SEGUNDO. Causales de improcedencia y sobreseimiento</w:t>
      </w:r>
      <w:bookmarkEnd w:id="16"/>
    </w:p>
    <w:p w14:paraId="5D0D4649" w14:textId="77777777" w:rsidR="00725F2F" w:rsidRDefault="00725F2F">
      <w:pPr>
        <w:spacing w:after="0" w:line="360" w:lineRule="auto"/>
      </w:pPr>
    </w:p>
    <w:p w14:paraId="614E526F" w14:textId="77777777" w:rsidR="00725F2F" w:rsidRDefault="00CC7AC9">
      <w:pPr>
        <w:spacing w:after="0" w:line="360" w:lineRule="auto"/>
      </w:pPr>
      <w:r>
        <w:lastRenderedPageBreak/>
        <w:t xml:space="preserve">De las constancias que forma parte del Recurso de Revisión que se analiza, se advierte que previo al estudio del fondo de la </w:t>
      </w:r>
      <w:r>
        <w:rPr>
          <w:i/>
        </w:rPr>
        <w:t>litis</w:t>
      </w:r>
      <w:r>
        <w:t>, es necesario estudiar las causales de improcedencia y sobreseimiento que se adviertan, para determinar lo que en Derecho proceda.</w:t>
      </w:r>
    </w:p>
    <w:p w14:paraId="14BD4617" w14:textId="77777777" w:rsidR="00725F2F" w:rsidRDefault="00725F2F">
      <w:pPr>
        <w:spacing w:after="0" w:line="360" w:lineRule="auto"/>
        <w:rPr>
          <w:b/>
        </w:rPr>
      </w:pPr>
    </w:p>
    <w:p w14:paraId="3C36AB0F" w14:textId="77777777" w:rsidR="00725F2F" w:rsidRDefault="00CC7AC9">
      <w:pPr>
        <w:spacing w:after="0" w:line="360" w:lineRule="auto"/>
        <w:rPr>
          <w:b/>
        </w:rPr>
      </w:pPr>
      <w:r>
        <w:rPr>
          <w:b/>
        </w:rPr>
        <w:t>Causales de improcedencia</w:t>
      </w:r>
    </w:p>
    <w:p w14:paraId="184D3BF6" w14:textId="77777777" w:rsidR="00725F2F" w:rsidRDefault="00725F2F">
      <w:pPr>
        <w:spacing w:after="0" w:line="360" w:lineRule="auto"/>
      </w:pPr>
    </w:p>
    <w:p w14:paraId="66021A37" w14:textId="77777777" w:rsidR="00725F2F" w:rsidRDefault="00CC7AC9">
      <w:pPr>
        <w:spacing w:after="0" w:line="360" w:lineRule="auto"/>
      </w:pPr>
      <w: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9B4A59D" w14:textId="77777777" w:rsidR="00725F2F" w:rsidRDefault="00725F2F">
      <w:pPr>
        <w:spacing w:after="0" w:line="360" w:lineRule="auto"/>
      </w:pPr>
    </w:p>
    <w:p w14:paraId="22427EFC" w14:textId="77777777" w:rsidR="00725F2F" w:rsidRDefault="00CC7AC9">
      <w:pPr>
        <w:spacing w:after="0" w:line="360" w:lineRule="auto"/>
      </w:pPr>
      <w:r>
        <w:t xml:space="preserve">En el presente caso, </w:t>
      </w:r>
      <w:r>
        <w:rPr>
          <w:b/>
        </w:rPr>
        <w:t>no se actualiza ninguna de las causales de improcedencia</w:t>
      </w:r>
      <w: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6C0E4244" w14:textId="77777777" w:rsidR="00725F2F" w:rsidRDefault="00725F2F">
      <w:pPr>
        <w:spacing w:after="0" w:line="360" w:lineRule="auto"/>
        <w:rPr>
          <w:b/>
        </w:rPr>
      </w:pPr>
    </w:p>
    <w:p w14:paraId="7A1117CC" w14:textId="77777777" w:rsidR="00725F2F" w:rsidRDefault="00CC7AC9">
      <w:pPr>
        <w:spacing w:after="0" w:line="360" w:lineRule="auto"/>
      </w:pPr>
      <w:r>
        <w:t>Asimismo, se actualiza la causal de procedencia del Recurso de Revisión señalada en el artículo 179, fracciones I, de la Ley en cita, pues la Recurrente se inconformó de la negativa a la  información solicitada.</w:t>
      </w:r>
    </w:p>
    <w:p w14:paraId="7CCAD8EE" w14:textId="77777777" w:rsidR="00725F2F" w:rsidRDefault="00725F2F">
      <w:pPr>
        <w:spacing w:after="0" w:line="360" w:lineRule="auto"/>
        <w:rPr>
          <w:b/>
        </w:rPr>
      </w:pPr>
    </w:p>
    <w:p w14:paraId="0CF10AFD" w14:textId="77777777" w:rsidR="00725F2F" w:rsidRDefault="00725F2F">
      <w:pPr>
        <w:spacing w:after="0" w:line="360" w:lineRule="auto"/>
        <w:rPr>
          <w:b/>
        </w:rPr>
      </w:pPr>
    </w:p>
    <w:p w14:paraId="163F4E60" w14:textId="77777777" w:rsidR="00725F2F" w:rsidRDefault="008D20CF">
      <w:pPr>
        <w:spacing w:after="0" w:line="360" w:lineRule="auto"/>
        <w:ind w:right="-28"/>
        <w:rPr>
          <w:b/>
          <w:color w:val="000000"/>
        </w:rPr>
      </w:pPr>
      <w:r>
        <w:rPr>
          <w:b/>
          <w:color w:val="000000"/>
        </w:rPr>
        <w:lastRenderedPageBreak/>
        <w:t>Causales de sobreseimiento</w:t>
      </w:r>
    </w:p>
    <w:p w14:paraId="15AE70C6" w14:textId="77777777" w:rsidR="00725F2F" w:rsidRDefault="00725F2F">
      <w:pPr>
        <w:spacing w:after="0" w:line="360" w:lineRule="auto"/>
        <w:ind w:right="-28"/>
        <w:rPr>
          <w:b/>
          <w:color w:val="000000"/>
        </w:rPr>
      </w:pPr>
    </w:p>
    <w:p w14:paraId="602922BC" w14:textId="77777777" w:rsidR="00725F2F" w:rsidRDefault="00CC7AC9">
      <w:pPr>
        <w:spacing w:after="0" w:line="360" w:lineRule="auto"/>
        <w:rPr>
          <w:color w:val="000000"/>
        </w:rPr>
      </w:pPr>
      <w:r>
        <w:rPr>
          <w:color w:val="000000"/>
        </w:rPr>
        <w:t>Por ser de previo y especial pronunciamiento, este Instituto analiza si se actualiza alguna causal de sobreseimiento.</w:t>
      </w:r>
    </w:p>
    <w:p w14:paraId="25267917" w14:textId="77777777" w:rsidR="00725F2F" w:rsidRDefault="00725F2F">
      <w:pPr>
        <w:spacing w:after="0" w:line="360" w:lineRule="auto"/>
        <w:rPr>
          <w:color w:val="000000"/>
        </w:rPr>
      </w:pPr>
    </w:p>
    <w:p w14:paraId="50002552" w14:textId="77777777" w:rsidR="00725F2F" w:rsidRDefault="00CC7AC9">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30A49CF2" w14:textId="77777777" w:rsidR="00725F2F" w:rsidRDefault="00725F2F">
      <w:pPr>
        <w:spacing w:after="0" w:line="360" w:lineRule="auto"/>
        <w:rPr>
          <w:color w:val="0D0D0D"/>
        </w:rPr>
      </w:pPr>
    </w:p>
    <w:p w14:paraId="3625C7CE" w14:textId="77777777" w:rsidR="00725F2F" w:rsidRDefault="00CC7AC9">
      <w:pPr>
        <w:spacing w:after="0" w:line="360" w:lineRule="auto"/>
        <w:rPr>
          <w:color w:val="0D0D0D"/>
        </w:rPr>
      </w:pPr>
      <w:r>
        <w:rPr>
          <w:color w:val="0D0D0D"/>
        </w:rPr>
        <w:t>Por tales motivos, se considera procedente entrar al fondo del presente asunto.</w:t>
      </w:r>
    </w:p>
    <w:p w14:paraId="626F0625" w14:textId="77777777" w:rsidR="00725F2F" w:rsidRDefault="00725F2F">
      <w:pPr>
        <w:spacing w:after="0" w:line="360" w:lineRule="auto"/>
        <w:rPr>
          <w:color w:val="000000"/>
        </w:rPr>
      </w:pPr>
    </w:p>
    <w:p w14:paraId="584BB140" w14:textId="77777777" w:rsidR="00725F2F" w:rsidRDefault="00CC7AC9">
      <w:pPr>
        <w:pStyle w:val="Ttulo2"/>
        <w:spacing w:before="0" w:after="0"/>
      </w:pPr>
      <w:bookmarkStart w:id="17" w:name="_heading=h.ly37arjpd7w" w:colFirst="0" w:colLast="0"/>
      <w:bookmarkStart w:id="18" w:name="_Toc206687224"/>
      <w:bookmarkEnd w:id="17"/>
      <w:r>
        <w:t>TERCERO. Determinación de la Controversia</w:t>
      </w:r>
      <w:bookmarkEnd w:id="18"/>
    </w:p>
    <w:p w14:paraId="6ADBCF18" w14:textId="77777777" w:rsidR="00725F2F" w:rsidRDefault="00725F2F">
      <w:pPr>
        <w:spacing w:after="0" w:line="360" w:lineRule="auto"/>
        <w:rPr>
          <w:b/>
        </w:rPr>
      </w:pPr>
    </w:p>
    <w:p w14:paraId="0DA4CCAC" w14:textId="77777777" w:rsidR="00725F2F" w:rsidRDefault="00CC7AC9">
      <w:pPr>
        <w:widowControl w:val="0"/>
        <w:spacing w:after="0" w:line="360" w:lineRule="auto"/>
        <w:rPr>
          <w:color w:val="000000"/>
        </w:rPr>
      </w:pPr>
      <w:r>
        <w:t>Una vez realizado el estudio de las constancias que integran el expediente en que se actúa, se desprende que el Recurrente requirió</w:t>
      </w:r>
      <w:r>
        <w:rPr>
          <w:color w:val="000000"/>
        </w:rPr>
        <w:t xml:space="preserve"> del Titular de la Contraloría Municipal, la agenda de actividades del mes de enero de dos mil veinticinco.</w:t>
      </w:r>
    </w:p>
    <w:p w14:paraId="064CAD31" w14:textId="77777777" w:rsidR="00725F2F" w:rsidRDefault="00725F2F">
      <w:pPr>
        <w:widowControl w:val="0"/>
        <w:spacing w:after="0" w:line="360" w:lineRule="auto"/>
        <w:rPr>
          <w:color w:val="000000"/>
        </w:rPr>
      </w:pPr>
    </w:p>
    <w:p w14:paraId="469CE7F3" w14:textId="77777777" w:rsidR="00725F2F" w:rsidRDefault="00CC7AC9">
      <w:pPr>
        <w:widowControl w:val="0"/>
        <w:spacing w:after="0" w:line="360" w:lineRule="auto"/>
        <w:rPr>
          <w:color w:val="000000"/>
        </w:rPr>
      </w:pPr>
      <w:r>
        <w:rPr>
          <w:color w:val="000000"/>
        </w:rPr>
        <w:t xml:space="preserve">En respuesta, el Sujeto Obligado, por medio de la Contralora Municipal, informó que no se implementó una agenda de actividades del titular; ante dicha respuesta, el Particular se inconformó de la  negativa de entrega a la información. Durante la sustanciación del Recurso de Revisión, las partes fueron omisas en emitir alguna manifestación o alegato, lo cual actualiza el supuesto de procedencia establecido en el artículo 179, fracción I, de la </w:t>
      </w:r>
      <w:r>
        <w:t>Ley de Transparencia y Acceso a la Información Pública del Estado de México y Municipios</w:t>
      </w:r>
      <w:r>
        <w:rPr>
          <w:color w:val="000000"/>
        </w:rPr>
        <w:t xml:space="preserve">. </w:t>
      </w:r>
    </w:p>
    <w:p w14:paraId="0C7B2322" w14:textId="77777777" w:rsidR="00725F2F" w:rsidRDefault="00CC7AC9">
      <w:pPr>
        <w:spacing w:after="0" w:line="360" w:lineRule="auto"/>
      </w:pPr>
      <w:r>
        <w:lastRenderedPageBreak/>
        <w:t>Lo anterior, se desprende de las documentales que obran en los expedientes de referencia, materia de la presente resolución, consistente en: la solicitud de acceso a la información; la respuesta del Sujeto Obligado;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6AFF7843" w14:textId="77777777" w:rsidR="00725F2F" w:rsidRDefault="00725F2F">
      <w:pPr>
        <w:spacing w:after="0" w:line="360" w:lineRule="auto"/>
      </w:pPr>
    </w:p>
    <w:p w14:paraId="65B582EC" w14:textId="77777777" w:rsidR="00725F2F" w:rsidRDefault="00CC7AC9">
      <w:pPr>
        <w:pStyle w:val="Ttulo2"/>
        <w:spacing w:before="0" w:after="0"/>
      </w:pPr>
      <w:bookmarkStart w:id="19" w:name="_heading=h.xltlfxapubj4" w:colFirst="0" w:colLast="0"/>
      <w:bookmarkStart w:id="20" w:name="_Toc206687225"/>
      <w:bookmarkEnd w:id="19"/>
      <w:r>
        <w:t>CUARTO. Marco normativo aplicable en materia de transparencia y acceso a la información pública</w:t>
      </w:r>
      <w:bookmarkEnd w:id="20"/>
    </w:p>
    <w:p w14:paraId="7F6C76D1" w14:textId="77777777" w:rsidR="00725F2F" w:rsidRDefault="00725F2F">
      <w:pPr>
        <w:spacing w:after="0" w:line="360" w:lineRule="auto"/>
        <w:rPr>
          <w:color w:val="000000"/>
        </w:rPr>
      </w:pPr>
    </w:p>
    <w:p w14:paraId="7F171D05" w14:textId="77777777" w:rsidR="00725F2F" w:rsidRDefault="00CC7AC9">
      <w:pPr>
        <w:spacing w:after="0" w:line="360" w:lineRule="auto"/>
      </w:pPr>
      <w: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4C134A4" w14:textId="77777777" w:rsidR="00725F2F" w:rsidRDefault="00725F2F">
      <w:pPr>
        <w:spacing w:after="0" w:line="360" w:lineRule="auto"/>
      </w:pPr>
    </w:p>
    <w:p w14:paraId="730D39BD" w14:textId="77777777" w:rsidR="00725F2F" w:rsidRDefault="00CC7AC9">
      <w:pPr>
        <w:spacing w:after="0" w:line="360" w:lineRule="auto"/>
      </w:pPr>
      <w: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D6CF069" w14:textId="77777777" w:rsidR="00725F2F" w:rsidRDefault="00725F2F">
      <w:pPr>
        <w:spacing w:after="0" w:line="360" w:lineRule="auto"/>
      </w:pPr>
    </w:p>
    <w:p w14:paraId="374FC396" w14:textId="77777777" w:rsidR="00725F2F" w:rsidRDefault="00CC7AC9">
      <w:pPr>
        <w:spacing w:after="0" w:line="360" w:lineRule="auto"/>
      </w:pPr>
      <w:r>
        <w:t>Por su parte, la Ley de Transparencia y Acceso a la Información Pública del Estado de México y Municipios (Reglamentaria del artículo 5° de la Constitución Local), establece lo siguiente:</w:t>
      </w:r>
    </w:p>
    <w:p w14:paraId="0A0F2A5C" w14:textId="77777777" w:rsidR="00725F2F" w:rsidRDefault="00CC7AC9">
      <w:pPr>
        <w:spacing w:after="0" w:line="360" w:lineRule="auto"/>
      </w:pPr>
      <w:r>
        <w:t>El artículo 12, que, quienes generen, recopilen, administren, manejen, procesen, archiven o conserven información pública serán responsables de la misma.</w:t>
      </w:r>
    </w:p>
    <w:p w14:paraId="02D8CF3C" w14:textId="77777777" w:rsidR="00725F2F" w:rsidRDefault="00725F2F">
      <w:pPr>
        <w:spacing w:after="0" w:line="360" w:lineRule="auto"/>
      </w:pPr>
    </w:p>
    <w:p w14:paraId="5292F308" w14:textId="77777777" w:rsidR="00725F2F" w:rsidRDefault="00CC7AC9">
      <w:pPr>
        <w:spacing w:after="0" w:line="360" w:lineRule="auto"/>
      </w:pPr>
      <w: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6A8269A0" w14:textId="77777777" w:rsidR="00725F2F" w:rsidRDefault="00725F2F">
      <w:pPr>
        <w:spacing w:after="0" w:line="360" w:lineRule="auto"/>
      </w:pPr>
    </w:p>
    <w:p w14:paraId="281B094D" w14:textId="77777777" w:rsidR="00725F2F" w:rsidRDefault="00CC7AC9">
      <w:pPr>
        <w:spacing w:after="0" w:line="360" w:lineRule="auto"/>
      </w:pPr>
      <w: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409136" w14:textId="77777777" w:rsidR="00725F2F" w:rsidRDefault="00725F2F">
      <w:pPr>
        <w:spacing w:after="0" w:line="360" w:lineRule="auto"/>
      </w:pPr>
    </w:p>
    <w:p w14:paraId="380F8DF9" w14:textId="77777777" w:rsidR="00725F2F" w:rsidRDefault="00CC7AC9">
      <w:pPr>
        <w:pStyle w:val="Ttulo2"/>
        <w:spacing w:before="0" w:after="0"/>
      </w:pPr>
      <w:bookmarkStart w:id="21" w:name="_heading=h.kjphmv1wkvx7" w:colFirst="0" w:colLast="0"/>
      <w:bookmarkStart w:id="22" w:name="_Toc206687226"/>
      <w:bookmarkEnd w:id="21"/>
      <w:r>
        <w:rPr>
          <w:smallCaps/>
        </w:rPr>
        <w:t>QUINTO.</w:t>
      </w:r>
      <w:r>
        <w:t xml:space="preserve"> Estudio de Fondo</w:t>
      </w:r>
      <w:bookmarkEnd w:id="22"/>
    </w:p>
    <w:p w14:paraId="47C65CA1" w14:textId="77777777" w:rsidR="00725F2F" w:rsidRDefault="00725F2F"/>
    <w:p w14:paraId="1FDC57CB" w14:textId="77777777" w:rsidR="00725F2F" w:rsidRDefault="00CC7AC9">
      <w:pPr>
        <w:widowControl w:val="0"/>
        <w:spacing w:after="0" w:line="360" w:lineRule="auto"/>
        <w:rPr>
          <w:color w:val="000000"/>
        </w:rPr>
      </w:pPr>
      <w:r>
        <w:rPr>
          <w:color w:val="000000"/>
        </w:rPr>
        <w:t>Expuestas las posturas de las partes, se procede a realizar el análisis del agravio hecho valer por el ahora Recurrente, referente a la negativa de información, para lo cual resulta necesario contextualizar la solicitud de información relacionada con la agenda de la Titular de Contraloría Municipal de Villa Guerrero.</w:t>
      </w:r>
    </w:p>
    <w:p w14:paraId="6320CF46" w14:textId="77777777" w:rsidR="00725F2F" w:rsidRDefault="00725F2F">
      <w:pPr>
        <w:widowControl w:val="0"/>
        <w:spacing w:after="0" w:line="360" w:lineRule="auto"/>
        <w:rPr>
          <w:color w:val="000000"/>
        </w:rPr>
      </w:pPr>
    </w:p>
    <w:p w14:paraId="7CBCAA09" w14:textId="77777777" w:rsidR="00725F2F" w:rsidRDefault="00CC7AC9">
      <w:pPr>
        <w:widowControl w:val="0"/>
        <w:spacing w:after="0" w:line="360" w:lineRule="auto"/>
        <w:rPr>
          <w:color w:val="000000"/>
        </w:rPr>
      </w:pPr>
      <w:r>
        <w:rPr>
          <w:color w:val="000000"/>
        </w:rPr>
        <w:t>Sobre el tema,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toda la información generada, obtenida, adquirida, transformada o en posesión de los sujetos obligados es pública y accesible a cualquier persona.</w:t>
      </w:r>
    </w:p>
    <w:p w14:paraId="6CD413E7" w14:textId="77777777" w:rsidR="00725F2F" w:rsidRDefault="00725F2F">
      <w:pPr>
        <w:widowControl w:val="0"/>
        <w:spacing w:after="0" w:line="360" w:lineRule="auto"/>
        <w:rPr>
          <w:color w:val="000000"/>
        </w:rPr>
      </w:pPr>
    </w:p>
    <w:p w14:paraId="1F0C6FD8" w14:textId="77777777" w:rsidR="00725F2F" w:rsidRDefault="00CC7AC9">
      <w:pPr>
        <w:widowControl w:val="0"/>
        <w:spacing w:after="0" w:line="360" w:lineRule="auto"/>
        <w:rPr>
          <w:color w:val="000000"/>
        </w:rPr>
      </w:pPr>
      <w:r>
        <w:rPr>
          <w:color w:val="000000"/>
        </w:rPr>
        <w:t>Ahora bien, el artículo 18 de la Ley de Transparencia y Acceso a la Información Pública del Estado de México y Municipios, contempla que los sujetos obligados deberán documentar todo acto que derive del ejercicio de sus facultades, competencias o funciones.</w:t>
      </w:r>
    </w:p>
    <w:p w14:paraId="3B2B6CBD" w14:textId="77777777" w:rsidR="00725F2F" w:rsidRDefault="00725F2F">
      <w:pPr>
        <w:widowControl w:val="0"/>
        <w:spacing w:after="0" w:line="360" w:lineRule="auto"/>
        <w:rPr>
          <w:color w:val="000000"/>
        </w:rPr>
      </w:pPr>
    </w:p>
    <w:p w14:paraId="0BF75C24" w14:textId="77777777" w:rsidR="00725F2F" w:rsidRDefault="00CC7AC9">
      <w:pPr>
        <w:widowControl w:val="0"/>
        <w:spacing w:after="0" w:line="360" w:lineRule="auto"/>
        <w:rPr>
          <w:color w:val="000000"/>
        </w:rPr>
      </w:pPr>
      <w:r>
        <w:rPr>
          <w:color w:val="000000"/>
        </w:rPr>
        <w:lastRenderedPageBreak/>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2B967D83" w14:textId="77777777" w:rsidR="00725F2F" w:rsidRDefault="00725F2F">
      <w:pPr>
        <w:widowControl w:val="0"/>
        <w:spacing w:after="0" w:line="360" w:lineRule="auto"/>
        <w:rPr>
          <w:color w:val="000000"/>
        </w:rPr>
      </w:pPr>
    </w:p>
    <w:p w14:paraId="4759D96A" w14:textId="77777777" w:rsidR="00725F2F" w:rsidRDefault="00CC7AC9">
      <w:pPr>
        <w:widowControl w:val="0"/>
        <w:spacing w:after="0" w:line="360" w:lineRule="auto"/>
      </w:pPr>
      <w:r>
        <w:t xml:space="preserve">Ahora bien, el artículo 45 TER 2, del </w:t>
      </w:r>
      <w:r>
        <w:rPr>
          <w:color w:val="000000"/>
        </w:rPr>
        <w:t xml:space="preserve">Bando Municipal de Villa Guerrero, dos mil veinticinco, establece que </w:t>
      </w:r>
      <w:r>
        <w:t>el Órgano Interno de Control Municipal tendrá a cargo las siguientes funciones:</w:t>
      </w:r>
    </w:p>
    <w:p w14:paraId="5CF694A4" w14:textId="77777777" w:rsidR="00725F2F" w:rsidRDefault="00725F2F">
      <w:pPr>
        <w:widowControl w:val="0"/>
        <w:spacing w:after="0" w:line="360" w:lineRule="auto"/>
      </w:pPr>
    </w:p>
    <w:p w14:paraId="7AB14F4F" w14:textId="77777777" w:rsidR="00725F2F" w:rsidRDefault="00CC7AC9">
      <w:pPr>
        <w:widowControl w:val="0"/>
        <w:numPr>
          <w:ilvl w:val="0"/>
          <w:numId w:val="2"/>
        </w:numPr>
        <w:pBdr>
          <w:top w:val="nil"/>
          <w:left w:val="nil"/>
          <w:bottom w:val="nil"/>
          <w:right w:val="nil"/>
          <w:between w:val="nil"/>
        </w:pBdr>
        <w:spacing w:after="0" w:line="360" w:lineRule="auto"/>
      </w:pPr>
      <w:r>
        <w:rPr>
          <w:color w:val="000000"/>
        </w:rPr>
        <w:t xml:space="preserve">Planear, programar, organizar y coordinar el sistema de control y evaluación municipal; Fiscalizar el ingreso y ejercicio del gasto público municipal y su congruencia con el presupuesto de egresos; </w:t>
      </w:r>
    </w:p>
    <w:p w14:paraId="7F3C93F0" w14:textId="77777777" w:rsidR="00725F2F" w:rsidRDefault="00CC7AC9">
      <w:pPr>
        <w:widowControl w:val="0"/>
        <w:numPr>
          <w:ilvl w:val="0"/>
          <w:numId w:val="2"/>
        </w:numPr>
        <w:pBdr>
          <w:top w:val="nil"/>
          <w:left w:val="nil"/>
          <w:bottom w:val="nil"/>
          <w:right w:val="nil"/>
          <w:between w:val="nil"/>
        </w:pBdr>
        <w:spacing w:after="0" w:line="360" w:lineRule="auto"/>
      </w:pPr>
      <w:r>
        <w:rPr>
          <w:color w:val="000000"/>
        </w:rPr>
        <w:t>Aplicar las normas y criterios en materia de control y evaluación;</w:t>
      </w:r>
    </w:p>
    <w:p w14:paraId="52046356" w14:textId="77777777" w:rsidR="00725F2F" w:rsidRDefault="00CC7AC9">
      <w:pPr>
        <w:widowControl w:val="0"/>
        <w:numPr>
          <w:ilvl w:val="0"/>
          <w:numId w:val="2"/>
        </w:numPr>
        <w:pBdr>
          <w:top w:val="nil"/>
          <w:left w:val="nil"/>
          <w:bottom w:val="nil"/>
          <w:right w:val="nil"/>
          <w:between w:val="nil"/>
        </w:pBdr>
        <w:spacing w:after="0" w:line="360" w:lineRule="auto"/>
      </w:pPr>
      <w:r>
        <w:rPr>
          <w:color w:val="000000"/>
        </w:rPr>
        <w:t xml:space="preserve">Asesorar a los órganos de control interno de los organismos auxiliares y fideicomisos de administración pública municipal; </w:t>
      </w:r>
    </w:p>
    <w:p w14:paraId="0D63AB8B" w14:textId="77777777" w:rsidR="00725F2F" w:rsidRDefault="00CC7AC9">
      <w:pPr>
        <w:widowControl w:val="0"/>
        <w:numPr>
          <w:ilvl w:val="0"/>
          <w:numId w:val="2"/>
        </w:numPr>
        <w:pBdr>
          <w:top w:val="nil"/>
          <w:left w:val="nil"/>
          <w:bottom w:val="nil"/>
          <w:right w:val="nil"/>
          <w:between w:val="nil"/>
        </w:pBdr>
        <w:spacing w:after="0" w:line="360" w:lineRule="auto"/>
      </w:pPr>
      <w:r>
        <w:rPr>
          <w:color w:val="000000"/>
        </w:rPr>
        <w:t>Establecer las bases generales para la realización de auditorías e inspecciones</w:t>
      </w:r>
    </w:p>
    <w:p w14:paraId="43B8AA0B" w14:textId="77777777" w:rsidR="00725F2F" w:rsidRDefault="00CC7AC9">
      <w:pPr>
        <w:widowControl w:val="0"/>
        <w:numPr>
          <w:ilvl w:val="0"/>
          <w:numId w:val="2"/>
        </w:numPr>
        <w:pBdr>
          <w:top w:val="nil"/>
          <w:left w:val="nil"/>
          <w:bottom w:val="nil"/>
          <w:right w:val="nil"/>
          <w:between w:val="nil"/>
        </w:pBdr>
        <w:spacing w:after="0" w:line="360" w:lineRule="auto"/>
      </w:pPr>
      <w:r>
        <w:rPr>
          <w:color w:val="000000"/>
        </w:rPr>
        <w:t xml:space="preserve">Vigilar que los recursos federales y estatales asignados a los ayuntamientos se apliquen en los términos estipulados en las leyes, los reglamentos y los convenios respectivos; </w:t>
      </w:r>
    </w:p>
    <w:p w14:paraId="1E604AD4" w14:textId="77777777" w:rsidR="00725F2F" w:rsidRDefault="00CC7AC9">
      <w:pPr>
        <w:widowControl w:val="0"/>
        <w:numPr>
          <w:ilvl w:val="0"/>
          <w:numId w:val="2"/>
        </w:numPr>
        <w:pBdr>
          <w:top w:val="nil"/>
          <w:left w:val="nil"/>
          <w:bottom w:val="nil"/>
          <w:right w:val="nil"/>
          <w:between w:val="nil"/>
        </w:pBdr>
        <w:spacing w:after="0" w:line="360" w:lineRule="auto"/>
      </w:pPr>
      <w:r>
        <w:rPr>
          <w:color w:val="000000"/>
        </w:rPr>
        <w:t>Vigilar el cumplimiento de las obligaciones de proveedores y contratistas de la administración pública municipal;</w:t>
      </w:r>
    </w:p>
    <w:p w14:paraId="6F2370E4" w14:textId="77777777" w:rsidR="00725F2F" w:rsidRDefault="00CC7AC9">
      <w:pPr>
        <w:widowControl w:val="0"/>
        <w:numPr>
          <w:ilvl w:val="0"/>
          <w:numId w:val="2"/>
        </w:numPr>
        <w:pBdr>
          <w:top w:val="nil"/>
          <w:left w:val="nil"/>
          <w:bottom w:val="nil"/>
          <w:right w:val="nil"/>
          <w:between w:val="nil"/>
        </w:pBdr>
        <w:spacing w:after="0" w:line="360" w:lineRule="auto"/>
      </w:pPr>
      <w:r>
        <w:rPr>
          <w:color w:val="000000"/>
        </w:rPr>
        <w:t xml:space="preserve">Coordinarse con el Órgano Superior de Fiscalización del Estado de México y la Contraloría del Poder Legislativo y con la Secretaría de la Contraloría del Estado para el cumplimiento de sus funciones; </w:t>
      </w:r>
    </w:p>
    <w:p w14:paraId="3DAEDEC7" w14:textId="77777777" w:rsidR="00725F2F" w:rsidRDefault="00CC7AC9">
      <w:pPr>
        <w:widowControl w:val="0"/>
        <w:numPr>
          <w:ilvl w:val="0"/>
          <w:numId w:val="2"/>
        </w:numPr>
        <w:pBdr>
          <w:top w:val="nil"/>
          <w:left w:val="nil"/>
          <w:bottom w:val="nil"/>
          <w:right w:val="nil"/>
          <w:between w:val="nil"/>
        </w:pBdr>
        <w:spacing w:after="0" w:line="360" w:lineRule="auto"/>
      </w:pPr>
      <w:r>
        <w:rPr>
          <w:color w:val="000000"/>
        </w:rPr>
        <w:t xml:space="preserve">Designar a los auditores externos y proponer al ayuntamiento, en su caso, a los Comisarios de los Organismos Auxiliares; </w:t>
      </w:r>
    </w:p>
    <w:p w14:paraId="78A54D2F" w14:textId="77777777" w:rsidR="00725F2F" w:rsidRDefault="00CC7AC9">
      <w:pPr>
        <w:widowControl w:val="0"/>
        <w:numPr>
          <w:ilvl w:val="0"/>
          <w:numId w:val="2"/>
        </w:numPr>
        <w:pBdr>
          <w:top w:val="nil"/>
          <w:left w:val="nil"/>
          <w:bottom w:val="nil"/>
          <w:right w:val="nil"/>
          <w:between w:val="nil"/>
        </w:pBdr>
        <w:spacing w:after="0" w:line="360" w:lineRule="auto"/>
      </w:pPr>
      <w:r>
        <w:rPr>
          <w:color w:val="000000"/>
        </w:rPr>
        <w:t xml:space="preserve">Establecer y operar un sistema de atención de quejas, denuncias y sugerencias; </w:t>
      </w:r>
    </w:p>
    <w:p w14:paraId="788EFC8E" w14:textId="77777777" w:rsidR="00725F2F" w:rsidRDefault="00CC7AC9">
      <w:pPr>
        <w:widowControl w:val="0"/>
        <w:numPr>
          <w:ilvl w:val="0"/>
          <w:numId w:val="2"/>
        </w:numPr>
        <w:pBdr>
          <w:top w:val="nil"/>
          <w:left w:val="nil"/>
          <w:bottom w:val="nil"/>
          <w:right w:val="nil"/>
          <w:between w:val="nil"/>
        </w:pBdr>
        <w:spacing w:after="0" w:line="360" w:lineRule="auto"/>
      </w:pPr>
      <w:r>
        <w:rPr>
          <w:color w:val="000000"/>
        </w:rPr>
        <w:t xml:space="preserve">Realizar auditorías y evaluaciones e informar del resultado de las mismas al </w:t>
      </w:r>
      <w:r>
        <w:rPr>
          <w:color w:val="000000"/>
        </w:rPr>
        <w:lastRenderedPageBreak/>
        <w:t xml:space="preserve">ayuntamiento; </w:t>
      </w:r>
    </w:p>
    <w:p w14:paraId="207BD6CA" w14:textId="77777777" w:rsidR="00725F2F" w:rsidRDefault="00CC7AC9">
      <w:pPr>
        <w:widowControl w:val="0"/>
        <w:numPr>
          <w:ilvl w:val="0"/>
          <w:numId w:val="2"/>
        </w:numPr>
        <w:pBdr>
          <w:top w:val="nil"/>
          <w:left w:val="nil"/>
          <w:bottom w:val="nil"/>
          <w:right w:val="nil"/>
          <w:between w:val="nil"/>
        </w:pBdr>
        <w:spacing w:after="0" w:line="360" w:lineRule="auto"/>
      </w:pPr>
      <w:r>
        <w:rPr>
          <w:color w:val="000000"/>
        </w:rPr>
        <w:t xml:space="preserve">Participar en la entrega recepción de las unidades administrativas de las dependencias, organismos auxiliares y fideicomisos del municipio; </w:t>
      </w:r>
    </w:p>
    <w:p w14:paraId="49EBB8F5" w14:textId="77777777" w:rsidR="00725F2F" w:rsidRDefault="00CC7AC9">
      <w:pPr>
        <w:widowControl w:val="0"/>
        <w:numPr>
          <w:ilvl w:val="0"/>
          <w:numId w:val="2"/>
        </w:numPr>
        <w:pBdr>
          <w:top w:val="nil"/>
          <w:left w:val="nil"/>
          <w:bottom w:val="nil"/>
          <w:right w:val="nil"/>
          <w:between w:val="nil"/>
        </w:pBdr>
        <w:spacing w:after="0" w:line="360" w:lineRule="auto"/>
      </w:pPr>
      <w:r>
        <w:rPr>
          <w:color w:val="000000"/>
        </w:rPr>
        <w:t xml:space="preserve">Dictaminar los estados financieros de la tesorería municipal y verificar que se remitan los informes correspondientes al Órgano Superior de Fiscalización del Estado de México; </w:t>
      </w:r>
    </w:p>
    <w:p w14:paraId="732363F8" w14:textId="77777777" w:rsidR="00725F2F" w:rsidRDefault="00CC7AC9">
      <w:pPr>
        <w:widowControl w:val="0"/>
        <w:numPr>
          <w:ilvl w:val="0"/>
          <w:numId w:val="2"/>
        </w:numPr>
        <w:pBdr>
          <w:top w:val="nil"/>
          <w:left w:val="nil"/>
          <w:bottom w:val="nil"/>
          <w:right w:val="nil"/>
          <w:between w:val="nil"/>
        </w:pBdr>
        <w:spacing w:after="0" w:line="360" w:lineRule="auto"/>
      </w:pPr>
      <w:r>
        <w:rPr>
          <w:color w:val="000000"/>
        </w:rPr>
        <w:t>Vigilar que los ingresos municipales se enteren a la tesorería municipal conforme a los procedimientos contables y disposiciones legales aplicables;</w:t>
      </w:r>
    </w:p>
    <w:p w14:paraId="2FBF208C" w14:textId="77777777" w:rsidR="00725F2F" w:rsidRDefault="00CC7AC9">
      <w:pPr>
        <w:widowControl w:val="0"/>
        <w:numPr>
          <w:ilvl w:val="0"/>
          <w:numId w:val="2"/>
        </w:numPr>
        <w:pBdr>
          <w:top w:val="nil"/>
          <w:left w:val="nil"/>
          <w:bottom w:val="nil"/>
          <w:right w:val="nil"/>
          <w:between w:val="nil"/>
        </w:pBdr>
        <w:spacing w:after="0" w:line="360" w:lineRule="auto"/>
      </w:pPr>
      <w:r>
        <w:rPr>
          <w:color w:val="000000"/>
        </w:rPr>
        <w:t>Participar en la elaboración y actualización del inventario general de los bienes muebles e inmuebles propiedad del municipio, que expresará las características de identificación y destino de los mismos;</w:t>
      </w:r>
    </w:p>
    <w:p w14:paraId="525073A6" w14:textId="77777777" w:rsidR="00725F2F" w:rsidRDefault="00CC7AC9">
      <w:pPr>
        <w:widowControl w:val="0"/>
        <w:numPr>
          <w:ilvl w:val="0"/>
          <w:numId w:val="2"/>
        </w:numPr>
        <w:pBdr>
          <w:top w:val="nil"/>
          <w:left w:val="nil"/>
          <w:bottom w:val="nil"/>
          <w:right w:val="nil"/>
          <w:between w:val="nil"/>
        </w:pBdr>
        <w:spacing w:after="0" w:line="360" w:lineRule="auto"/>
      </w:pPr>
      <w:r>
        <w:rPr>
          <w:color w:val="000000"/>
        </w:rPr>
        <w:t>Verificar que los servidores públicos municipales cumplan con la obligación de presentar oportunamente la manifestación de bienes, en términos de la Ley de Responsabilidades de los Servidores Públicos del Estado y Municipios;</w:t>
      </w:r>
    </w:p>
    <w:p w14:paraId="73718A82" w14:textId="77777777" w:rsidR="00725F2F" w:rsidRDefault="00725F2F">
      <w:pPr>
        <w:widowControl w:val="0"/>
        <w:pBdr>
          <w:top w:val="nil"/>
          <w:left w:val="nil"/>
          <w:bottom w:val="nil"/>
          <w:right w:val="nil"/>
          <w:between w:val="nil"/>
        </w:pBdr>
        <w:spacing w:after="0" w:line="360" w:lineRule="auto"/>
        <w:ind w:left="720"/>
        <w:rPr>
          <w:color w:val="000000"/>
        </w:rPr>
      </w:pPr>
    </w:p>
    <w:p w14:paraId="65DB89F2" w14:textId="77777777" w:rsidR="00725F2F" w:rsidRDefault="00CC7AC9">
      <w:pPr>
        <w:widowControl w:val="0"/>
        <w:spacing w:after="0" w:line="360" w:lineRule="auto"/>
      </w:pPr>
      <w:r>
        <w:t>Ahora bien de la misma Ley en comento, se menciona en su artículo 45 TER 1, que la contraloría municipal tendrá un titular denominado Contralor, quien será designado por el ayuntamiento a propuesta del presidente municipal.</w:t>
      </w:r>
    </w:p>
    <w:p w14:paraId="3247F855" w14:textId="77777777" w:rsidR="00725F2F" w:rsidRDefault="00725F2F">
      <w:pPr>
        <w:spacing w:after="0" w:line="360" w:lineRule="auto"/>
        <w:ind w:right="-28"/>
        <w:rPr>
          <w:color w:val="000000"/>
        </w:rPr>
      </w:pPr>
    </w:p>
    <w:p w14:paraId="0E0EB28B" w14:textId="77777777" w:rsidR="00725F2F" w:rsidRDefault="00CC7AC9">
      <w:pPr>
        <w:spacing w:after="0" w:line="360" w:lineRule="auto"/>
      </w:pPr>
      <w:r>
        <w:t>Conforme a lo anterior, se logra vislumbrar que la pretensión del ahora Recurrente, es obtener la agenda de actividades del Titular de la Contraloría Municipal correspondiente al mes de enero de dos mil veinticinco.</w:t>
      </w:r>
    </w:p>
    <w:p w14:paraId="64E433EB" w14:textId="77777777" w:rsidR="00725F2F" w:rsidRDefault="00725F2F">
      <w:pPr>
        <w:spacing w:after="0" w:line="360" w:lineRule="auto"/>
      </w:pPr>
    </w:p>
    <w:p w14:paraId="21A8ABC5" w14:textId="77777777" w:rsidR="00725F2F" w:rsidRDefault="00CC7AC9">
      <w:pPr>
        <w:spacing w:after="0" w:line="360" w:lineRule="auto"/>
        <w:rPr>
          <w:color w:val="0D0D0D"/>
        </w:rPr>
      </w:pPr>
      <w:r>
        <w:rPr>
          <w:color w:val="000000"/>
        </w:rPr>
        <w:t>Establecido lo anterior, se procede analizar la respuesta, para lo cual de las constancias que obran en el expediente electrónico, se advierte que el Sujeto Obligado</w:t>
      </w:r>
      <w:r>
        <w:rPr>
          <w:color w:val="0D0D0D"/>
        </w:rPr>
        <w:t>, turnó la solicitud de información al Órgano Interno de Control</w:t>
      </w:r>
      <w:r>
        <w:rPr>
          <w:color w:val="000000"/>
        </w:rPr>
        <w:t xml:space="preserve">; </w:t>
      </w:r>
      <w:r>
        <w:t xml:space="preserve">por lo que, es oportuno hacer referencia al </w:t>
      </w:r>
      <w:r>
        <w:rPr>
          <w:b/>
        </w:rPr>
        <w:t>procedimiento de búsqueda que deben de seguir los Sujetos Obligados para localizar la información</w:t>
      </w:r>
      <w:r>
        <w:t xml:space="preserve">, el cual se encuentra previsto en el artículo 162 de la Ley de Transparencia y Acceso </w:t>
      </w:r>
      <w:r>
        <w:lastRenderedPageBreak/>
        <w:t>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5ED25F89" w14:textId="77777777" w:rsidR="00725F2F" w:rsidRDefault="00725F2F">
      <w:pPr>
        <w:spacing w:after="0" w:line="360" w:lineRule="auto"/>
        <w:ind w:left="720"/>
      </w:pPr>
    </w:p>
    <w:p w14:paraId="47A7E2BC" w14:textId="77777777" w:rsidR="00725F2F" w:rsidRDefault="00CC7AC9">
      <w:pPr>
        <w:widowControl w:val="0"/>
        <w:spacing w:after="0" w:line="360" w:lineRule="auto"/>
        <w:rPr>
          <w:color w:val="000000"/>
        </w:rPr>
      </w:pPr>
      <w:r>
        <w:rPr>
          <w:color w:val="000000"/>
        </w:rPr>
        <w:t xml:space="preserve">Así, de lo plasmado en párrafos anteriores, </w:t>
      </w:r>
      <w:r>
        <w:t xml:space="preserve">se logra colegir que el Sujeto Obligado cumplió con el procedimiento de búsqueda </w:t>
      </w:r>
      <w:r>
        <w:rPr>
          <w:color w:val="000000"/>
        </w:rPr>
        <w:t>establecido en el artículo 162 de la Ley de Transparencia y Acceso a la Información Pública del Estado de México y Municipios, toda vez, que gestionó el requerimiento de información a las áreas competentes para conocer de lo peticionado.</w:t>
      </w:r>
    </w:p>
    <w:p w14:paraId="0EB22995" w14:textId="77777777" w:rsidR="00725F2F" w:rsidRDefault="00725F2F">
      <w:pPr>
        <w:spacing w:after="0" w:line="360" w:lineRule="auto"/>
      </w:pPr>
      <w:bookmarkStart w:id="23" w:name="_heading=h.77vi0bz0s1a0" w:colFirst="0" w:colLast="0"/>
      <w:bookmarkEnd w:id="23"/>
    </w:p>
    <w:p w14:paraId="63F1E017" w14:textId="77777777" w:rsidR="00725F2F" w:rsidRDefault="00CC7AC9">
      <w:pPr>
        <w:spacing w:after="0" w:line="360" w:lineRule="auto"/>
      </w:pPr>
      <w:r>
        <w:t xml:space="preserve">Señalado lo anterior, en relación con el agravio hecho valer por el particular, es menester señalar que del análisis a la normatividad que regula el actuar del Sujeto Obligado, no se advirtió fuente obligacional para que la Contralora Municipal genere mes con mes una agenda de actividades. </w:t>
      </w:r>
    </w:p>
    <w:p w14:paraId="512EBD94" w14:textId="77777777" w:rsidR="00725F2F" w:rsidRDefault="00725F2F">
      <w:pPr>
        <w:spacing w:after="0" w:line="360" w:lineRule="auto"/>
      </w:pPr>
    </w:p>
    <w:p w14:paraId="092BADD6" w14:textId="77777777" w:rsidR="00725F2F" w:rsidRDefault="00CC7AC9">
      <w:pPr>
        <w:spacing w:after="0" w:line="360" w:lineRule="auto"/>
      </w:pPr>
      <w:r>
        <w:t xml:space="preserve">Por lo que, en razón de que el Sujeto Obligado, a través de su unidad administrativa competente, señaló las razones por las cuales no cuenta con la información solicitada, esto es, porque no se implementó una agenda de actividades, aunado a que, no se advierte fuente obligacional para contar con la misma, se considera que, el requerimiento de información se tiene por atendido. </w:t>
      </w:r>
    </w:p>
    <w:p w14:paraId="6BB8A0C3" w14:textId="77777777" w:rsidR="00725F2F" w:rsidRDefault="00725F2F">
      <w:pPr>
        <w:spacing w:after="0" w:line="360" w:lineRule="auto"/>
      </w:pPr>
    </w:p>
    <w:p w14:paraId="24FC579F" w14:textId="77777777" w:rsidR="00725F2F" w:rsidRDefault="00CC7AC9">
      <w:pPr>
        <w:spacing w:after="0" w:line="360" w:lineRule="auto"/>
      </w:pPr>
      <w:r>
        <w:t>Dicha determinación,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FBA2F1F" w14:textId="77777777" w:rsidR="00725F2F" w:rsidRDefault="00725F2F">
      <w:pPr>
        <w:tabs>
          <w:tab w:val="left" w:pos="4962"/>
        </w:tabs>
        <w:spacing w:line="360" w:lineRule="auto"/>
      </w:pPr>
    </w:p>
    <w:p w14:paraId="24AEB997" w14:textId="77777777" w:rsidR="00725F2F" w:rsidRDefault="00CC7AC9">
      <w:pPr>
        <w:tabs>
          <w:tab w:val="left" w:pos="4962"/>
        </w:tabs>
        <w:spacing w:after="0" w:line="360" w:lineRule="auto"/>
      </w:pPr>
      <w:r>
        <w:lastRenderedPageBreak/>
        <w:t xml:space="preserve">De esta manera, el derecho de acceso a la información pública se satisface en aquellos casos en que se entregue el soporte documental en el que conste la información solicitada, sin necesidad de elaborar documentos </w:t>
      </w:r>
      <w:r>
        <w:rPr>
          <w:i/>
        </w:rPr>
        <w:t>ad hoc</w:t>
      </w:r>
      <w: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5E129D1C" w14:textId="77777777" w:rsidR="00725F2F" w:rsidRDefault="00725F2F">
      <w:pPr>
        <w:tabs>
          <w:tab w:val="left" w:pos="4962"/>
        </w:tabs>
        <w:spacing w:after="0" w:line="360" w:lineRule="auto"/>
      </w:pPr>
    </w:p>
    <w:p w14:paraId="0B22316A" w14:textId="77777777" w:rsidR="00725F2F" w:rsidRDefault="00CC7AC9">
      <w:pPr>
        <w:spacing w:line="360" w:lineRule="auto"/>
      </w:pPr>
      <w:r>
        <w:t xml:space="preserve">De tales circunstancias, se concluye que los sujetos obligados únicamente se encuentran constreñidos a proporcionar la información que dé cuenta de lo peticionado, como obre en sus archivos, sin tener que elaborarlos conforme a las necesidades del Recurrente; lo cual aconteció, pues la unidad administrativa competente señaló las razones por las cuales no cuenta con la información solicitada, aunado a que, no se advirtió norma expresa que establezca la obligación de generarla, por lo que, los agravios hechos valer por el particular devienen </w:t>
      </w:r>
      <w:r>
        <w:rPr>
          <w:b/>
        </w:rPr>
        <w:t>INFUNDADOS</w:t>
      </w:r>
      <w:r>
        <w:t>.</w:t>
      </w:r>
    </w:p>
    <w:p w14:paraId="39CE54BF" w14:textId="77777777" w:rsidR="00725F2F" w:rsidRDefault="00CC7AC9">
      <w:pPr>
        <w:spacing w:after="0" w:line="360" w:lineRule="auto"/>
        <w:rPr>
          <w:b/>
        </w:rPr>
      </w:pPr>
      <w:r>
        <w:rPr>
          <w:b/>
        </w:rPr>
        <w:t>SEXTO. Decisión</w:t>
      </w:r>
    </w:p>
    <w:p w14:paraId="3B9607CB" w14:textId="77777777" w:rsidR="00725F2F" w:rsidRDefault="00725F2F">
      <w:pPr>
        <w:spacing w:after="0" w:line="360" w:lineRule="auto"/>
      </w:pPr>
    </w:p>
    <w:p w14:paraId="05B5B983" w14:textId="77777777" w:rsidR="00725F2F" w:rsidRDefault="00CC7AC9">
      <w:pPr>
        <w:spacing w:after="0" w:line="360" w:lineRule="auto"/>
      </w:pPr>
      <w:r>
        <w:t xml:space="preserve">Con fundamento en el artículo 186, fracción II, de la Ley de Transparencia y Acceso a la Información Pública del Estado de México y Municipios, este Instituto considera procedente </w:t>
      </w:r>
      <w:r>
        <w:rPr>
          <w:b/>
        </w:rPr>
        <w:t xml:space="preserve">CONFIRMAR </w:t>
      </w:r>
      <w:r>
        <w:t xml:space="preserve">la respuesta otorgada por el Sujeto Obligado. </w:t>
      </w:r>
    </w:p>
    <w:p w14:paraId="279A8400" w14:textId="77777777" w:rsidR="00725F2F" w:rsidRDefault="00725F2F">
      <w:pPr>
        <w:tabs>
          <w:tab w:val="left" w:pos="4962"/>
        </w:tabs>
        <w:spacing w:after="0" w:line="360" w:lineRule="auto"/>
      </w:pPr>
    </w:p>
    <w:p w14:paraId="6DC6AA52" w14:textId="77777777" w:rsidR="00725F2F" w:rsidRDefault="00CC7AC9">
      <w:pPr>
        <w:spacing w:after="0" w:line="360" w:lineRule="auto"/>
        <w:rPr>
          <w:b/>
        </w:rPr>
      </w:pPr>
      <w:r>
        <w:rPr>
          <w:b/>
        </w:rPr>
        <w:t>Términos de la Resolución para conocimiento</w:t>
      </w:r>
      <w:r w:rsidR="008D20CF">
        <w:rPr>
          <w:b/>
        </w:rPr>
        <w:t xml:space="preserve"> del Particular</w:t>
      </w:r>
    </w:p>
    <w:p w14:paraId="79810013" w14:textId="77777777" w:rsidR="00725F2F" w:rsidRDefault="00725F2F">
      <w:pPr>
        <w:spacing w:after="0" w:line="360" w:lineRule="auto"/>
        <w:rPr>
          <w:b/>
        </w:rPr>
      </w:pPr>
    </w:p>
    <w:p w14:paraId="64ECD582" w14:textId="77777777" w:rsidR="00725F2F" w:rsidRDefault="00CC7AC9">
      <w:pPr>
        <w:widowControl w:val="0"/>
        <w:spacing w:after="0" w:line="360" w:lineRule="auto"/>
        <w:rPr>
          <w:color w:val="000000"/>
        </w:rPr>
      </w:pPr>
      <w:r>
        <w:rPr>
          <w:color w:val="000000"/>
        </w:rPr>
        <w:t xml:space="preserve">Se le hace del conocimiento al Particular, que, en el presente caso, no se le da la razón pues el Sujeto Obligado, no cuenta con la obligación de generar la información de su interés, aunado a que la unidad administrativa competente, en respuesta, explicó las razones por las cuales no cuenta con la información solicitada. </w:t>
      </w:r>
    </w:p>
    <w:p w14:paraId="6CC7B8C3" w14:textId="77777777" w:rsidR="00725F2F" w:rsidRDefault="00725F2F">
      <w:pPr>
        <w:widowControl w:val="0"/>
        <w:spacing w:after="0" w:line="360" w:lineRule="auto"/>
        <w:rPr>
          <w:color w:val="000000"/>
        </w:rPr>
      </w:pPr>
    </w:p>
    <w:p w14:paraId="4507F731" w14:textId="77777777" w:rsidR="00725F2F" w:rsidRDefault="00CC7AC9">
      <w:pPr>
        <w:widowControl w:val="0"/>
        <w:spacing w:after="0" w:line="360" w:lineRule="auto"/>
        <w:rPr>
          <w:color w:val="000000"/>
        </w:rPr>
      </w:pPr>
      <w:bookmarkStart w:id="24" w:name="_heading=h.9zol4vs9i0fq" w:colFirst="0" w:colLast="0"/>
      <w:bookmarkEnd w:id="24"/>
      <w:r>
        <w:t>La labor de este Instituto, es apoyar a la población a acceder a la información pública y garantizar la protección de sus datos personales.</w:t>
      </w:r>
    </w:p>
    <w:p w14:paraId="5DA2F16F" w14:textId="77777777" w:rsidR="00725F2F" w:rsidRDefault="00CC7AC9">
      <w:pPr>
        <w:spacing w:after="0" w:line="360" w:lineRule="auto"/>
      </w:pPr>
      <w:r>
        <w:lastRenderedPageBreak/>
        <w:t>Por lo expuesto y fundado, este Pleno:</w:t>
      </w:r>
    </w:p>
    <w:p w14:paraId="4F1518F9" w14:textId="77777777" w:rsidR="00725F2F" w:rsidRDefault="00725F2F">
      <w:pPr>
        <w:spacing w:line="360" w:lineRule="auto"/>
        <w:ind w:left="720" w:hanging="720"/>
      </w:pPr>
    </w:p>
    <w:p w14:paraId="776BE6A4" w14:textId="77777777" w:rsidR="00725F2F" w:rsidRDefault="00CC7AC9">
      <w:pPr>
        <w:pStyle w:val="Ttulo1"/>
        <w:spacing w:before="0" w:after="0"/>
        <w:rPr>
          <w:b w:val="0"/>
          <w:color w:val="000000"/>
          <w:sz w:val="22"/>
          <w:szCs w:val="22"/>
        </w:rPr>
      </w:pPr>
      <w:bookmarkStart w:id="25" w:name="_heading=h.50az1q6qqc5k" w:colFirst="0" w:colLast="0"/>
      <w:bookmarkStart w:id="26" w:name="_Toc206687227"/>
      <w:bookmarkEnd w:id="25"/>
      <w:r>
        <w:rPr>
          <w:color w:val="000000"/>
          <w:sz w:val="22"/>
          <w:szCs w:val="22"/>
        </w:rPr>
        <w:t>R E S U E L V E</w:t>
      </w:r>
      <w:bookmarkEnd w:id="26"/>
    </w:p>
    <w:p w14:paraId="017C07C9" w14:textId="77777777" w:rsidR="00725F2F" w:rsidRDefault="00725F2F">
      <w:pPr>
        <w:spacing w:after="0" w:line="360" w:lineRule="auto"/>
        <w:ind w:right="-28"/>
        <w:rPr>
          <w:b/>
        </w:rPr>
      </w:pPr>
    </w:p>
    <w:p w14:paraId="0E435435" w14:textId="77777777" w:rsidR="00725F2F" w:rsidRDefault="00CC7AC9">
      <w:pPr>
        <w:spacing w:after="0" w:line="360" w:lineRule="auto"/>
      </w:pPr>
      <w:r>
        <w:rPr>
          <w:b/>
        </w:rPr>
        <w:t>PRIMERO.</w:t>
      </w:r>
      <w:r>
        <w:t xml:space="preserve"> Se </w:t>
      </w:r>
      <w:r>
        <w:rPr>
          <w:b/>
        </w:rPr>
        <w:t xml:space="preserve">CONFIRMA </w:t>
      </w:r>
      <w:r>
        <w:t xml:space="preserve">la respuesta entregada por el Ayuntamiento de Villa Guerrero a la solicitud de acceso a la información </w:t>
      </w:r>
      <w:r>
        <w:rPr>
          <w:color w:val="0D0D0D"/>
        </w:rPr>
        <w:t>con número de folio</w:t>
      </w:r>
      <w:r>
        <w:rPr>
          <w:b/>
          <w:color w:val="FF0000"/>
        </w:rPr>
        <w:t> </w:t>
      </w:r>
      <w:r>
        <w:t>00063/VIGUERRE/IP/2025</w:t>
      </w:r>
      <w:r>
        <w:rPr>
          <w:color w:val="0D0D0D"/>
        </w:rPr>
        <w:t xml:space="preserve">, </w:t>
      </w:r>
      <w:r>
        <w:t xml:space="preserve">por resultar </w:t>
      </w:r>
      <w:r>
        <w:rPr>
          <w:b/>
        </w:rPr>
        <w:t>INFUNDADAS</w:t>
      </w:r>
      <w:r>
        <w:t xml:space="preserve"> las razón o motivo de inconformidad hecho valer por el Recurrente, en términos de los Considerandos QUINTO y SEXTO de esta Resolución.</w:t>
      </w:r>
    </w:p>
    <w:p w14:paraId="480232D9" w14:textId="77777777" w:rsidR="00725F2F" w:rsidRDefault="00725F2F">
      <w:pPr>
        <w:spacing w:after="0" w:line="360" w:lineRule="auto"/>
      </w:pPr>
    </w:p>
    <w:p w14:paraId="176579A7" w14:textId="77777777" w:rsidR="00725F2F" w:rsidRDefault="00CC7AC9">
      <w:pPr>
        <w:spacing w:after="0" w:line="360" w:lineRule="auto"/>
        <w:rPr>
          <w:i/>
        </w:rPr>
      </w:pPr>
      <w:r>
        <w:rPr>
          <w:b/>
        </w:rPr>
        <w:t xml:space="preserve">SEGUNDO. NOTIFÍQUESE POR SAIMEX </w:t>
      </w:r>
      <w:r>
        <w:t>la presente resolución al Titular de la Unidad de Transparencia del Sujeto Obligado.</w:t>
      </w:r>
    </w:p>
    <w:p w14:paraId="2AF8AA20" w14:textId="77777777" w:rsidR="00725F2F" w:rsidRDefault="00725F2F">
      <w:pPr>
        <w:spacing w:after="0" w:line="360" w:lineRule="auto"/>
      </w:pPr>
    </w:p>
    <w:p w14:paraId="20A358C8" w14:textId="77777777" w:rsidR="00725F2F" w:rsidRDefault="00CC7AC9">
      <w:pPr>
        <w:spacing w:after="0" w:line="360" w:lineRule="auto"/>
      </w:pPr>
      <w:r>
        <w:rPr>
          <w:b/>
        </w:rPr>
        <w:t>TERCERO. NOTIFÍQUESE POR SAIMEX</w:t>
      </w:r>
      <w: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591AB40" w14:textId="77777777" w:rsidR="00725F2F" w:rsidRDefault="00725F2F">
      <w:pPr>
        <w:spacing w:after="0" w:line="360" w:lineRule="auto"/>
      </w:pPr>
    </w:p>
    <w:p w14:paraId="306391BD" w14:textId="77777777" w:rsidR="00725F2F" w:rsidRDefault="00725F2F">
      <w:pPr>
        <w:spacing w:after="0" w:line="360" w:lineRule="auto"/>
      </w:pPr>
    </w:p>
    <w:p w14:paraId="76DAD12E" w14:textId="77777777" w:rsidR="00725F2F" w:rsidRDefault="00725F2F">
      <w:pPr>
        <w:spacing w:after="0" w:line="360" w:lineRule="auto"/>
      </w:pPr>
    </w:p>
    <w:p w14:paraId="4397C387" w14:textId="77777777" w:rsidR="00725F2F" w:rsidRDefault="00725F2F">
      <w:pPr>
        <w:spacing w:after="0" w:line="360" w:lineRule="auto"/>
      </w:pPr>
    </w:p>
    <w:p w14:paraId="3034E896" w14:textId="77777777" w:rsidR="00725F2F" w:rsidRDefault="00CC7AC9">
      <w:pPr>
        <w:spacing w:after="0" w:line="360" w:lineRule="auto"/>
      </w:pPr>
      <w:r>
        <w:t xml:space="preserve">ASÍ LO RESUELVE, POR </w:t>
      </w:r>
      <w:r>
        <w:rPr>
          <w:b/>
        </w:rPr>
        <w:t>UNANIMIDAD</w:t>
      </w:r>
      <w:r>
        <w:t xml:space="preserve"> DE VOTOS EL PLENO DEL INSTITUTO DE TRANSPARENCIA, ACCESO A LA INFORMACIÓN PÚBLICA Y PROTECCIÓN DE DATOS PERSONALES DEL ESTADO DE MÉXICO Y MUNICIPIOS, CONFORMADO POR LOS COM</w:t>
      </w:r>
      <w:r w:rsidR="00955CAD">
        <w:t xml:space="preserve">ISIONADOS JOSÉ MARTÍNEZ VILCHIS </w:t>
      </w:r>
      <w:r w:rsidR="005755E4">
        <w:t>(</w:t>
      </w:r>
      <w:r w:rsidR="00955CAD">
        <w:t>AUSENCIA JUSTIFICADA</w:t>
      </w:r>
      <w:r w:rsidR="005755E4">
        <w:t>)</w:t>
      </w:r>
      <w:r w:rsidR="00955CAD">
        <w:t xml:space="preserve">, </w:t>
      </w:r>
      <w:r>
        <w:t xml:space="preserve"> MARÍA DEL ROSARIO MEJÍA AYALA, SHARON CRISTINA MORALES MARTÍNEZ, LUIS GUSTAVO PARRA NORIEGA Y GUADALUPE RAMÍREZ PEÑA, EN LA VIGÉSIMA NOVENA SESIÓN </w:t>
      </w:r>
      <w:r>
        <w:lastRenderedPageBreak/>
        <w:t>ORDINARIA, CELEBRADA EL VEINTE DE AGOSTO DE DOS MIL VEINTICINCO, ANTE EL SECRETARIO TÉCNICO DEL PLENO, ALEXIS TAPIA RAMÍREZ.</w:t>
      </w:r>
    </w:p>
    <w:p w14:paraId="78CB9476" w14:textId="77777777" w:rsidR="00725F2F" w:rsidRDefault="00725F2F">
      <w:pPr>
        <w:spacing w:after="0" w:line="360" w:lineRule="auto"/>
        <w:rPr>
          <w:color w:val="000000"/>
        </w:rPr>
      </w:pPr>
    </w:p>
    <w:p w14:paraId="350B6822" w14:textId="77777777" w:rsidR="00725F2F" w:rsidRDefault="00725F2F">
      <w:pPr>
        <w:spacing w:after="0" w:line="360" w:lineRule="auto"/>
      </w:pPr>
    </w:p>
    <w:p w14:paraId="11A69E2C" w14:textId="77777777" w:rsidR="00725F2F" w:rsidRDefault="00725F2F">
      <w:pPr>
        <w:spacing w:after="0" w:line="360" w:lineRule="auto"/>
      </w:pPr>
    </w:p>
    <w:p w14:paraId="400EABD7" w14:textId="77777777" w:rsidR="00725F2F" w:rsidRDefault="00725F2F">
      <w:pPr>
        <w:spacing w:after="0" w:line="360" w:lineRule="auto"/>
      </w:pPr>
    </w:p>
    <w:p w14:paraId="0DE3373E" w14:textId="77777777" w:rsidR="00725F2F" w:rsidRDefault="00725F2F">
      <w:pPr>
        <w:spacing w:after="0" w:line="360" w:lineRule="auto"/>
      </w:pPr>
    </w:p>
    <w:p w14:paraId="60CAFAB9" w14:textId="77777777" w:rsidR="00725F2F" w:rsidRDefault="00725F2F">
      <w:pPr>
        <w:spacing w:after="0" w:line="360" w:lineRule="auto"/>
      </w:pPr>
    </w:p>
    <w:p w14:paraId="660163B2" w14:textId="77777777" w:rsidR="00725F2F" w:rsidRDefault="00725F2F">
      <w:pPr>
        <w:spacing w:after="0" w:line="360" w:lineRule="auto"/>
      </w:pPr>
    </w:p>
    <w:p w14:paraId="5E5A915C" w14:textId="77777777" w:rsidR="00725F2F" w:rsidRDefault="00725F2F">
      <w:pPr>
        <w:spacing w:after="0" w:line="360" w:lineRule="auto"/>
      </w:pPr>
    </w:p>
    <w:p w14:paraId="53874D43" w14:textId="77777777" w:rsidR="00725F2F" w:rsidRDefault="00725F2F">
      <w:pPr>
        <w:spacing w:after="0" w:line="360" w:lineRule="auto"/>
      </w:pPr>
    </w:p>
    <w:p w14:paraId="08ABF130" w14:textId="77777777" w:rsidR="00725F2F" w:rsidRDefault="00725F2F">
      <w:pPr>
        <w:spacing w:after="0" w:line="360" w:lineRule="auto"/>
      </w:pPr>
    </w:p>
    <w:p w14:paraId="47507CDA" w14:textId="77777777" w:rsidR="00725F2F" w:rsidRDefault="00725F2F">
      <w:pPr>
        <w:spacing w:after="0" w:line="360" w:lineRule="auto"/>
      </w:pPr>
    </w:p>
    <w:p w14:paraId="75D29CCC" w14:textId="77777777" w:rsidR="00725F2F" w:rsidRDefault="00725F2F">
      <w:pPr>
        <w:spacing w:after="0" w:line="360" w:lineRule="auto"/>
      </w:pPr>
    </w:p>
    <w:p w14:paraId="2BD623A4" w14:textId="77777777" w:rsidR="00725F2F" w:rsidRDefault="00725F2F">
      <w:pPr>
        <w:spacing w:after="0" w:line="360" w:lineRule="auto"/>
      </w:pPr>
    </w:p>
    <w:p w14:paraId="512202D9" w14:textId="77777777" w:rsidR="00725F2F" w:rsidRDefault="00725F2F">
      <w:pPr>
        <w:spacing w:after="0" w:line="360" w:lineRule="auto"/>
      </w:pPr>
    </w:p>
    <w:p w14:paraId="20D4287C" w14:textId="77777777" w:rsidR="00725F2F" w:rsidRDefault="00725F2F">
      <w:pPr>
        <w:spacing w:after="0" w:line="360" w:lineRule="auto"/>
      </w:pPr>
    </w:p>
    <w:p w14:paraId="0621D4DF" w14:textId="77777777" w:rsidR="00725F2F" w:rsidRDefault="00725F2F">
      <w:pPr>
        <w:spacing w:after="0" w:line="360" w:lineRule="auto"/>
      </w:pPr>
    </w:p>
    <w:p w14:paraId="5AF02ED9" w14:textId="77777777" w:rsidR="00725F2F" w:rsidRDefault="00725F2F">
      <w:pPr>
        <w:spacing w:after="0" w:line="360" w:lineRule="auto"/>
      </w:pPr>
    </w:p>
    <w:p w14:paraId="4B4231BE" w14:textId="77777777" w:rsidR="00725F2F" w:rsidRDefault="00725F2F">
      <w:pPr>
        <w:spacing w:after="0" w:line="360" w:lineRule="auto"/>
      </w:pPr>
    </w:p>
    <w:p w14:paraId="457B29FA" w14:textId="77777777" w:rsidR="00725F2F" w:rsidRDefault="00725F2F">
      <w:pPr>
        <w:spacing w:after="0" w:line="360" w:lineRule="auto"/>
      </w:pPr>
    </w:p>
    <w:p w14:paraId="21064180" w14:textId="77777777" w:rsidR="00725F2F" w:rsidRDefault="00725F2F">
      <w:pPr>
        <w:spacing w:after="0" w:line="360" w:lineRule="auto"/>
      </w:pPr>
    </w:p>
    <w:p w14:paraId="080B91A3" w14:textId="77777777" w:rsidR="00725F2F" w:rsidRDefault="00725F2F">
      <w:pPr>
        <w:spacing w:after="0" w:line="360" w:lineRule="auto"/>
      </w:pPr>
    </w:p>
    <w:p w14:paraId="3EDECE4A" w14:textId="77777777" w:rsidR="00725F2F" w:rsidRDefault="00725F2F">
      <w:pPr>
        <w:spacing w:after="0" w:line="360" w:lineRule="auto"/>
      </w:pPr>
    </w:p>
    <w:p w14:paraId="049CCFF1" w14:textId="77777777" w:rsidR="00725F2F" w:rsidRDefault="00725F2F">
      <w:pPr>
        <w:spacing w:after="0" w:line="360" w:lineRule="auto"/>
      </w:pPr>
    </w:p>
    <w:p w14:paraId="0EE208FA" w14:textId="77777777" w:rsidR="00725F2F" w:rsidRDefault="00725F2F">
      <w:pPr>
        <w:spacing w:after="0" w:line="360" w:lineRule="auto"/>
      </w:pPr>
    </w:p>
    <w:p w14:paraId="107F09AF" w14:textId="77777777" w:rsidR="00725F2F" w:rsidRDefault="00725F2F">
      <w:pPr>
        <w:spacing w:after="0" w:line="360" w:lineRule="auto"/>
      </w:pPr>
    </w:p>
    <w:p w14:paraId="74A32E27" w14:textId="77777777" w:rsidR="00725F2F" w:rsidRDefault="00725F2F">
      <w:pPr>
        <w:spacing w:after="0" w:line="360" w:lineRule="auto"/>
      </w:pPr>
    </w:p>
    <w:p w14:paraId="332E751F" w14:textId="77777777" w:rsidR="00725F2F" w:rsidRDefault="00725F2F">
      <w:pPr>
        <w:spacing w:after="0" w:line="360" w:lineRule="auto"/>
      </w:pPr>
    </w:p>
    <w:p w14:paraId="184FEFEB" w14:textId="77777777" w:rsidR="00725F2F" w:rsidRDefault="00725F2F">
      <w:pPr>
        <w:spacing w:after="0" w:line="360" w:lineRule="auto"/>
      </w:pPr>
    </w:p>
    <w:p w14:paraId="4DB3D30D" w14:textId="77777777" w:rsidR="00725F2F" w:rsidRDefault="00725F2F">
      <w:pPr>
        <w:spacing w:after="0" w:line="360" w:lineRule="auto"/>
      </w:pPr>
    </w:p>
    <w:sectPr w:rsidR="00725F2F">
      <w:headerReference w:type="even" r:id="rId9"/>
      <w:headerReference w:type="default" r:id="rId10"/>
      <w:footerReference w:type="even" r:id="rId11"/>
      <w:footerReference w:type="default" r:id="rId12"/>
      <w:headerReference w:type="first" r:id="rId13"/>
      <w:footerReference w:type="first" r:id="rId14"/>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B1F18" w14:textId="77777777" w:rsidR="001C7EF9" w:rsidRDefault="001C7EF9">
      <w:pPr>
        <w:spacing w:after="0" w:line="240" w:lineRule="auto"/>
      </w:pPr>
      <w:r>
        <w:separator/>
      </w:r>
    </w:p>
  </w:endnote>
  <w:endnote w:type="continuationSeparator" w:id="0">
    <w:p w14:paraId="3170F953" w14:textId="77777777" w:rsidR="001C7EF9" w:rsidRDefault="001C7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9E85D" w14:textId="77777777" w:rsidR="00725F2F" w:rsidRDefault="00CC7AC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D305E">
      <w:rPr>
        <w:b/>
        <w:noProof/>
        <w:color w:val="000000"/>
        <w:sz w:val="24"/>
        <w:szCs w:val="24"/>
      </w:rPr>
      <w:t>16</w:t>
    </w:r>
    <w:r>
      <w:rPr>
        <w:b/>
        <w:color w:val="000000"/>
        <w:sz w:val="24"/>
        <w:szCs w:val="24"/>
      </w:rPr>
      <w:fldChar w:fldCharType="end"/>
    </w:r>
  </w:p>
  <w:p w14:paraId="4133F993" w14:textId="77777777" w:rsidR="00725F2F" w:rsidRDefault="00725F2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EBC98" w14:textId="77777777" w:rsidR="00725F2F" w:rsidRDefault="00CC7AC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D305E">
      <w:rPr>
        <w:b/>
        <w:noProof/>
        <w:color w:val="000000"/>
        <w:sz w:val="24"/>
        <w:szCs w:val="24"/>
      </w:rPr>
      <w:t>16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D305E">
      <w:rPr>
        <w:b/>
        <w:noProof/>
        <w:color w:val="000000"/>
        <w:sz w:val="24"/>
        <w:szCs w:val="24"/>
      </w:rPr>
      <w:t>16</w:t>
    </w:r>
    <w:r>
      <w:rPr>
        <w:b/>
        <w:color w:val="000000"/>
        <w:sz w:val="24"/>
        <w:szCs w:val="24"/>
      </w:rPr>
      <w:fldChar w:fldCharType="end"/>
    </w:r>
  </w:p>
  <w:p w14:paraId="2E2602A4" w14:textId="77777777" w:rsidR="00725F2F" w:rsidRDefault="00725F2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D8B8B" w14:textId="77777777" w:rsidR="00725F2F" w:rsidRDefault="00CC7AC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D305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D305E">
      <w:rPr>
        <w:b/>
        <w:noProof/>
        <w:color w:val="000000"/>
        <w:sz w:val="24"/>
        <w:szCs w:val="24"/>
      </w:rPr>
      <w:t>16</w:t>
    </w:r>
    <w:r>
      <w:rPr>
        <w:b/>
        <w:color w:val="000000"/>
        <w:sz w:val="24"/>
        <w:szCs w:val="24"/>
      </w:rPr>
      <w:fldChar w:fldCharType="end"/>
    </w:r>
  </w:p>
  <w:p w14:paraId="05FF0DCB" w14:textId="77777777" w:rsidR="00725F2F" w:rsidRDefault="00725F2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FDD71" w14:textId="77777777" w:rsidR="001C7EF9" w:rsidRDefault="001C7EF9">
      <w:pPr>
        <w:spacing w:after="0" w:line="240" w:lineRule="auto"/>
      </w:pPr>
      <w:r>
        <w:separator/>
      </w:r>
    </w:p>
  </w:footnote>
  <w:footnote w:type="continuationSeparator" w:id="0">
    <w:p w14:paraId="2636D7D8" w14:textId="77777777" w:rsidR="001C7EF9" w:rsidRDefault="001C7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8EA2C" w14:textId="77777777" w:rsidR="00725F2F" w:rsidRDefault="00725F2F">
    <w:pPr>
      <w:widowControl w:val="0"/>
      <w:pBdr>
        <w:top w:val="nil"/>
        <w:left w:val="nil"/>
        <w:bottom w:val="nil"/>
        <w:right w:val="nil"/>
        <w:between w:val="nil"/>
      </w:pBdr>
      <w:spacing w:after="0" w:line="276" w:lineRule="auto"/>
      <w:jc w:val="left"/>
      <w:rPr>
        <w:color w:val="000000"/>
      </w:rPr>
    </w:pPr>
  </w:p>
  <w:tbl>
    <w:tblPr>
      <w:tblStyle w:val="a3"/>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725F2F" w14:paraId="5BDBD841" w14:textId="77777777">
      <w:trPr>
        <w:trHeight w:val="141"/>
      </w:trPr>
      <w:tc>
        <w:tcPr>
          <w:tcW w:w="2404" w:type="dxa"/>
        </w:tcPr>
        <w:p w14:paraId="062C8895" w14:textId="77777777" w:rsidR="00725F2F" w:rsidRDefault="00CC7AC9">
          <w:pPr>
            <w:tabs>
              <w:tab w:val="right" w:pos="8838"/>
            </w:tabs>
            <w:ind w:right="-105"/>
            <w:rPr>
              <w:b/>
            </w:rPr>
          </w:pPr>
          <w:r>
            <w:rPr>
              <w:b/>
            </w:rPr>
            <w:t>Recurso de Revisión:</w:t>
          </w:r>
        </w:p>
      </w:tc>
      <w:tc>
        <w:tcPr>
          <w:tcW w:w="3587" w:type="dxa"/>
        </w:tcPr>
        <w:p w14:paraId="7580737F" w14:textId="77777777" w:rsidR="00725F2F" w:rsidRDefault="00CC7AC9">
          <w:pPr>
            <w:tabs>
              <w:tab w:val="right" w:pos="8838"/>
            </w:tabs>
            <w:ind w:left="-28" w:right="683"/>
          </w:pPr>
          <w:r>
            <w:t>04196/INFOEM/IP/RR/2020</w:t>
          </w:r>
        </w:p>
      </w:tc>
    </w:tr>
    <w:tr w:rsidR="00725F2F" w14:paraId="392F5C36" w14:textId="77777777">
      <w:trPr>
        <w:trHeight w:val="276"/>
      </w:trPr>
      <w:tc>
        <w:tcPr>
          <w:tcW w:w="2404" w:type="dxa"/>
        </w:tcPr>
        <w:p w14:paraId="1C041F0A" w14:textId="77777777" w:rsidR="00725F2F" w:rsidRDefault="00CC7AC9">
          <w:pPr>
            <w:tabs>
              <w:tab w:val="right" w:pos="8838"/>
            </w:tabs>
            <w:ind w:right="-105"/>
            <w:rPr>
              <w:b/>
            </w:rPr>
          </w:pPr>
          <w:r>
            <w:rPr>
              <w:b/>
            </w:rPr>
            <w:t>Sujeto Obligado:</w:t>
          </w:r>
        </w:p>
      </w:tc>
      <w:tc>
        <w:tcPr>
          <w:tcW w:w="3587" w:type="dxa"/>
        </w:tcPr>
        <w:p w14:paraId="65278BE9" w14:textId="77777777" w:rsidR="00725F2F" w:rsidRDefault="00CC7AC9">
          <w:pPr>
            <w:tabs>
              <w:tab w:val="right" w:pos="8838"/>
            </w:tabs>
            <w:ind w:right="116"/>
          </w:pPr>
          <w:r>
            <w:t>Ayuntamiento de Chapultepec</w:t>
          </w:r>
        </w:p>
      </w:tc>
    </w:tr>
    <w:tr w:rsidR="00725F2F" w14:paraId="1065CFF0" w14:textId="77777777">
      <w:trPr>
        <w:trHeight w:val="276"/>
      </w:trPr>
      <w:tc>
        <w:tcPr>
          <w:tcW w:w="2404" w:type="dxa"/>
        </w:tcPr>
        <w:p w14:paraId="68F1530A" w14:textId="77777777" w:rsidR="00725F2F" w:rsidRDefault="00CC7AC9">
          <w:pPr>
            <w:tabs>
              <w:tab w:val="right" w:pos="8838"/>
            </w:tabs>
            <w:ind w:right="-105"/>
            <w:rPr>
              <w:b/>
            </w:rPr>
          </w:pPr>
          <w:r>
            <w:rPr>
              <w:b/>
            </w:rPr>
            <w:t>Comisionado Ponente:</w:t>
          </w:r>
        </w:p>
      </w:tc>
      <w:tc>
        <w:tcPr>
          <w:tcW w:w="3587" w:type="dxa"/>
        </w:tcPr>
        <w:p w14:paraId="0D0B9528" w14:textId="77777777" w:rsidR="00725F2F" w:rsidRDefault="00CC7AC9">
          <w:pPr>
            <w:tabs>
              <w:tab w:val="right" w:pos="8838"/>
            </w:tabs>
            <w:ind w:right="-32"/>
          </w:pPr>
          <w:r>
            <w:t>Luis Gustavo Parra Noriega</w:t>
          </w:r>
        </w:p>
      </w:tc>
    </w:tr>
  </w:tbl>
  <w:p w14:paraId="2CE6EAB4" w14:textId="77777777" w:rsidR="00725F2F" w:rsidRDefault="001C7EF9">
    <w:pPr>
      <w:pBdr>
        <w:top w:val="nil"/>
        <w:left w:val="nil"/>
        <w:bottom w:val="nil"/>
        <w:right w:val="nil"/>
        <w:between w:val="nil"/>
      </w:pBdr>
      <w:tabs>
        <w:tab w:val="center" w:pos="4419"/>
        <w:tab w:val="right" w:pos="8838"/>
      </w:tabs>
      <w:spacing w:after="0" w:line="240" w:lineRule="auto"/>
      <w:rPr>
        <w:color w:val="000000"/>
      </w:rPr>
    </w:pPr>
    <w:r>
      <w:rPr>
        <w:color w:val="000000"/>
      </w:rPr>
      <w:pict w14:anchorId="48F66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8240;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11254" w14:textId="77777777" w:rsidR="00725F2F" w:rsidRDefault="00725F2F">
    <w:pPr>
      <w:rPr>
        <w:sz w:val="16"/>
        <w:szCs w:val="16"/>
      </w:rPr>
    </w:pPr>
  </w:p>
  <w:tbl>
    <w:tblPr>
      <w:tblStyle w:val="a4"/>
      <w:tblW w:w="7088"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4684"/>
    </w:tblGrid>
    <w:tr w:rsidR="00725F2F" w14:paraId="02ED7D30" w14:textId="77777777">
      <w:trPr>
        <w:trHeight w:val="141"/>
      </w:trPr>
      <w:tc>
        <w:tcPr>
          <w:tcW w:w="2404" w:type="dxa"/>
        </w:tcPr>
        <w:p w14:paraId="7CD8E333" w14:textId="77777777" w:rsidR="00725F2F" w:rsidRDefault="00CC7AC9">
          <w:pPr>
            <w:tabs>
              <w:tab w:val="right" w:pos="8838"/>
            </w:tabs>
            <w:ind w:left="-395" w:right="-105" w:firstLine="395"/>
            <w:rPr>
              <w:b/>
            </w:rPr>
          </w:pPr>
          <w:r>
            <w:rPr>
              <w:b/>
            </w:rPr>
            <w:t>Recurso de Revisión:</w:t>
          </w:r>
        </w:p>
      </w:tc>
      <w:tc>
        <w:tcPr>
          <w:tcW w:w="4684" w:type="dxa"/>
        </w:tcPr>
        <w:p w14:paraId="27910EB2" w14:textId="77777777" w:rsidR="00725F2F" w:rsidRDefault="00CC7AC9">
          <w:pPr>
            <w:tabs>
              <w:tab w:val="right" w:pos="8838"/>
            </w:tabs>
            <w:ind w:left="-28" w:right="454"/>
          </w:pPr>
          <w:r>
            <w:t>08046/INFOEM/IP/RR/2025</w:t>
          </w:r>
        </w:p>
      </w:tc>
    </w:tr>
    <w:tr w:rsidR="00725F2F" w14:paraId="2ECE345E" w14:textId="77777777">
      <w:trPr>
        <w:trHeight w:val="276"/>
      </w:trPr>
      <w:tc>
        <w:tcPr>
          <w:tcW w:w="2404" w:type="dxa"/>
        </w:tcPr>
        <w:p w14:paraId="6BE84897" w14:textId="77777777" w:rsidR="00725F2F" w:rsidRDefault="00CC7AC9">
          <w:pPr>
            <w:tabs>
              <w:tab w:val="right" w:pos="8838"/>
            </w:tabs>
            <w:ind w:right="-105"/>
            <w:rPr>
              <w:b/>
            </w:rPr>
          </w:pPr>
          <w:r>
            <w:rPr>
              <w:b/>
            </w:rPr>
            <w:t>Sujeto Obligado:</w:t>
          </w:r>
        </w:p>
      </w:tc>
      <w:tc>
        <w:tcPr>
          <w:tcW w:w="4684" w:type="dxa"/>
        </w:tcPr>
        <w:p w14:paraId="4935C4DD" w14:textId="77777777" w:rsidR="00725F2F" w:rsidRDefault="00CC7AC9">
          <w:pPr>
            <w:tabs>
              <w:tab w:val="left" w:pos="3158"/>
              <w:tab w:val="left" w:pos="4292"/>
              <w:tab w:val="right" w:pos="8838"/>
            </w:tabs>
            <w:ind w:right="601"/>
          </w:pPr>
          <w:r>
            <w:t>Ayuntamiento de Villa Guerrero</w:t>
          </w:r>
        </w:p>
      </w:tc>
    </w:tr>
    <w:tr w:rsidR="00725F2F" w14:paraId="1BD78E88" w14:textId="77777777">
      <w:trPr>
        <w:trHeight w:val="276"/>
      </w:trPr>
      <w:tc>
        <w:tcPr>
          <w:tcW w:w="2404" w:type="dxa"/>
        </w:tcPr>
        <w:p w14:paraId="37BBCB12" w14:textId="77777777" w:rsidR="00725F2F" w:rsidRDefault="00CC7AC9">
          <w:pPr>
            <w:tabs>
              <w:tab w:val="right" w:pos="8838"/>
            </w:tabs>
            <w:ind w:right="-105"/>
            <w:rPr>
              <w:b/>
            </w:rPr>
          </w:pPr>
          <w:r>
            <w:rPr>
              <w:b/>
            </w:rPr>
            <w:t>Comisionado Ponente:</w:t>
          </w:r>
        </w:p>
      </w:tc>
      <w:tc>
        <w:tcPr>
          <w:tcW w:w="4684" w:type="dxa"/>
        </w:tcPr>
        <w:p w14:paraId="3A6A51F9" w14:textId="77777777" w:rsidR="00725F2F" w:rsidRDefault="00CC7AC9">
          <w:pPr>
            <w:tabs>
              <w:tab w:val="right" w:pos="8838"/>
            </w:tabs>
            <w:ind w:right="454"/>
          </w:pPr>
          <w:r>
            <w:t>Luis Gustavo Parra Noriega</w:t>
          </w:r>
        </w:p>
      </w:tc>
    </w:tr>
  </w:tbl>
  <w:p w14:paraId="3783BF6A" w14:textId="77777777" w:rsidR="00725F2F" w:rsidRDefault="001C7EF9">
    <w:pPr>
      <w:pBdr>
        <w:top w:val="nil"/>
        <w:left w:val="nil"/>
        <w:bottom w:val="nil"/>
        <w:right w:val="nil"/>
        <w:between w:val="nil"/>
      </w:pBdr>
      <w:tabs>
        <w:tab w:val="center" w:pos="4419"/>
        <w:tab w:val="right" w:pos="8838"/>
      </w:tabs>
      <w:spacing w:after="0" w:line="240" w:lineRule="auto"/>
      <w:rPr>
        <w:color w:val="000000"/>
      </w:rPr>
    </w:pPr>
    <w:r>
      <w:rPr>
        <w:color w:val="000000"/>
      </w:rPr>
      <w:pict w14:anchorId="3023BD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MARCA DE AGUA - HOJA RESOLUCIÓN" style="position:absolute;left:0;text-align:left;margin-left:0;margin-top:0;width:663.5pt;height:12in;z-index:-251659264;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A5975" w14:textId="77777777" w:rsidR="00725F2F" w:rsidRDefault="00725F2F">
    <w:pPr>
      <w:widowControl w:val="0"/>
      <w:pBdr>
        <w:top w:val="nil"/>
        <w:left w:val="nil"/>
        <w:bottom w:val="nil"/>
        <w:right w:val="nil"/>
        <w:between w:val="nil"/>
      </w:pBdr>
      <w:spacing w:after="0" w:line="276" w:lineRule="auto"/>
      <w:jc w:val="left"/>
      <w:rPr>
        <w:color w:val="000000"/>
      </w:rPr>
    </w:pPr>
  </w:p>
  <w:tbl>
    <w:tblPr>
      <w:tblStyle w:val="a5"/>
      <w:tblW w:w="9214" w:type="dxa"/>
      <w:tblInd w:w="0" w:type="dxa"/>
      <w:tblLayout w:type="fixed"/>
      <w:tblLook w:val="0400" w:firstRow="0" w:lastRow="0" w:firstColumn="0" w:lastColumn="0" w:noHBand="0" w:noVBand="1"/>
    </w:tblPr>
    <w:tblGrid>
      <w:gridCol w:w="2127"/>
      <w:gridCol w:w="7087"/>
    </w:tblGrid>
    <w:tr w:rsidR="00725F2F" w14:paraId="629999ED" w14:textId="77777777">
      <w:trPr>
        <w:trHeight w:val="1546"/>
      </w:trPr>
      <w:tc>
        <w:tcPr>
          <w:tcW w:w="2127" w:type="dxa"/>
          <w:shd w:val="clear" w:color="auto" w:fill="auto"/>
        </w:tcPr>
        <w:p w14:paraId="69C6CBB9" w14:textId="77777777" w:rsidR="00725F2F" w:rsidRDefault="00725F2F">
          <w:pPr>
            <w:tabs>
              <w:tab w:val="right" w:pos="4273"/>
            </w:tabs>
            <w:rPr>
              <w:rFonts w:ascii="Garamond" w:eastAsia="Garamond" w:hAnsi="Garamond" w:cs="Garamond"/>
              <w:sz w:val="16"/>
              <w:szCs w:val="16"/>
            </w:rPr>
          </w:pPr>
        </w:p>
      </w:tc>
      <w:tc>
        <w:tcPr>
          <w:tcW w:w="7087" w:type="dxa"/>
          <w:shd w:val="clear" w:color="auto" w:fill="auto"/>
        </w:tcPr>
        <w:p w14:paraId="0A827078" w14:textId="77777777" w:rsidR="00725F2F" w:rsidRDefault="00725F2F">
          <w:pPr>
            <w:rPr>
              <w:sz w:val="10"/>
              <w:szCs w:val="10"/>
            </w:rPr>
          </w:pPr>
        </w:p>
        <w:tbl>
          <w:tblPr>
            <w:tblStyle w:val="a6"/>
            <w:tblW w:w="6379" w:type="dxa"/>
            <w:tblInd w:w="1167" w:type="dxa"/>
            <w:tblBorders>
              <w:top w:val="nil"/>
              <w:left w:val="nil"/>
              <w:bottom w:val="nil"/>
              <w:right w:val="nil"/>
              <w:insideH w:val="nil"/>
              <w:insideV w:val="nil"/>
            </w:tblBorders>
            <w:tblLayout w:type="fixed"/>
            <w:tblLook w:val="0400" w:firstRow="0" w:lastRow="0" w:firstColumn="0" w:lastColumn="0" w:noHBand="0" w:noVBand="1"/>
          </w:tblPr>
          <w:tblGrid>
            <w:gridCol w:w="2404"/>
            <w:gridCol w:w="3975"/>
          </w:tblGrid>
          <w:tr w:rsidR="00725F2F" w14:paraId="45BD6828" w14:textId="77777777">
            <w:trPr>
              <w:trHeight w:val="141"/>
            </w:trPr>
            <w:tc>
              <w:tcPr>
                <w:tcW w:w="2404" w:type="dxa"/>
                <w:vAlign w:val="bottom"/>
              </w:tcPr>
              <w:p w14:paraId="49217386" w14:textId="77777777" w:rsidR="00725F2F" w:rsidRDefault="00CC7AC9">
                <w:pPr>
                  <w:tabs>
                    <w:tab w:val="right" w:pos="8838"/>
                  </w:tabs>
                  <w:ind w:right="-105"/>
                  <w:rPr>
                    <w:b/>
                  </w:rPr>
                </w:pPr>
                <w:r>
                  <w:rPr>
                    <w:b/>
                  </w:rPr>
                  <w:t>Recurso de Revisión:</w:t>
                </w:r>
              </w:p>
            </w:tc>
            <w:tc>
              <w:tcPr>
                <w:tcW w:w="3975" w:type="dxa"/>
              </w:tcPr>
              <w:p w14:paraId="2359C3E8" w14:textId="77777777" w:rsidR="00725F2F" w:rsidRDefault="00CC7AC9">
                <w:pPr>
                  <w:tabs>
                    <w:tab w:val="right" w:pos="8838"/>
                  </w:tabs>
                  <w:ind w:left="-28" w:right="-107"/>
                </w:pPr>
                <w:r>
                  <w:t>08046/INFOEM/IP/RR/2025</w:t>
                </w:r>
              </w:p>
            </w:tc>
          </w:tr>
          <w:tr w:rsidR="00725F2F" w14:paraId="785B8A20" w14:textId="77777777">
            <w:trPr>
              <w:trHeight w:val="141"/>
            </w:trPr>
            <w:tc>
              <w:tcPr>
                <w:tcW w:w="2404" w:type="dxa"/>
              </w:tcPr>
              <w:p w14:paraId="0E51AE4F" w14:textId="77777777" w:rsidR="00725F2F" w:rsidRDefault="00CC7AC9">
                <w:pPr>
                  <w:tabs>
                    <w:tab w:val="right" w:pos="8838"/>
                  </w:tabs>
                  <w:ind w:right="-105"/>
                  <w:rPr>
                    <w:b/>
                  </w:rPr>
                </w:pPr>
                <w:r>
                  <w:rPr>
                    <w:b/>
                  </w:rPr>
                  <w:t>Recurrente:</w:t>
                </w:r>
              </w:p>
            </w:tc>
            <w:tc>
              <w:tcPr>
                <w:tcW w:w="3975" w:type="dxa"/>
              </w:tcPr>
              <w:p w14:paraId="6E98D620" w14:textId="530880A4" w:rsidR="00725F2F" w:rsidRDefault="00857B7B">
                <w:pPr>
                  <w:tabs>
                    <w:tab w:val="right" w:pos="8838"/>
                  </w:tabs>
                  <w:ind w:right="-107"/>
                </w:pPr>
                <w:r w:rsidRPr="00857B7B">
                  <w:rPr>
                    <w:highlight w:val="black"/>
                  </w:rPr>
                  <w:t>XXXXXXXXXXXXX</w:t>
                </w:r>
              </w:p>
            </w:tc>
          </w:tr>
          <w:tr w:rsidR="00725F2F" w14:paraId="38DB1764" w14:textId="77777777">
            <w:trPr>
              <w:trHeight w:val="276"/>
            </w:trPr>
            <w:tc>
              <w:tcPr>
                <w:tcW w:w="2404" w:type="dxa"/>
              </w:tcPr>
              <w:p w14:paraId="6ACEDB3E" w14:textId="77777777" w:rsidR="00725F2F" w:rsidRDefault="00CC7AC9">
                <w:pPr>
                  <w:tabs>
                    <w:tab w:val="right" w:pos="8838"/>
                  </w:tabs>
                  <w:ind w:right="-105"/>
                  <w:rPr>
                    <w:b/>
                  </w:rPr>
                </w:pPr>
                <w:r>
                  <w:rPr>
                    <w:b/>
                  </w:rPr>
                  <w:t>Sujeto Obligado:</w:t>
                </w:r>
              </w:p>
            </w:tc>
            <w:tc>
              <w:tcPr>
                <w:tcW w:w="3975" w:type="dxa"/>
              </w:tcPr>
              <w:p w14:paraId="1CBDCFD6" w14:textId="77777777" w:rsidR="00725F2F" w:rsidRDefault="00CC7AC9">
                <w:pPr>
                  <w:tabs>
                    <w:tab w:val="right" w:pos="8838"/>
                  </w:tabs>
                  <w:ind w:right="33"/>
                </w:pPr>
                <w:r>
                  <w:t>Ayuntamiento de Villa Guerrero</w:t>
                </w:r>
              </w:p>
            </w:tc>
          </w:tr>
          <w:tr w:rsidR="00725F2F" w14:paraId="168A290C" w14:textId="77777777">
            <w:trPr>
              <w:trHeight w:val="276"/>
            </w:trPr>
            <w:tc>
              <w:tcPr>
                <w:tcW w:w="2404" w:type="dxa"/>
              </w:tcPr>
              <w:p w14:paraId="481D1837" w14:textId="77777777" w:rsidR="00725F2F" w:rsidRDefault="00CC7AC9">
                <w:pPr>
                  <w:tabs>
                    <w:tab w:val="right" w:pos="8838"/>
                  </w:tabs>
                  <w:ind w:right="-105"/>
                  <w:rPr>
                    <w:b/>
                  </w:rPr>
                </w:pPr>
                <w:r>
                  <w:rPr>
                    <w:b/>
                  </w:rPr>
                  <w:t>Comisionado Ponente:</w:t>
                </w:r>
              </w:p>
            </w:tc>
            <w:tc>
              <w:tcPr>
                <w:tcW w:w="3975" w:type="dxa"/>
              </w:tcPr>
              <w:p w14:paraId="1F36DB5C" w14:textId="77777777" w:rsidR="00725F2F" w:rsidRDefault="00CC7AC9">
                <w:pPr>
                  <w:tabs>
                    <w:tab w:val="right" w:pos="8838"/>
                  </w:tabs>
                  <w:ind w:right="-107"/>
                </w:pPr>
                <w:r>
                  <w:t>Luis Gustavo Parra Noriega</w:t>
                </w:r>
              </w:p>
            </w:tc>
          </w:tr>
        </w:tbl>
        <w:p w14:paraId="4D5575EB" w14:textId="77777777" w:rsidR="00725F2F" w:rsidRDefault="00725F2F">
          <w:pPr>
            <w:tabs>
              <w:tab w:val="right" w:pos="8838"/>
            </w:tabs>
            <w:ind w:left="-28"/>
            <w:rPr>
              <w:rFonts w:ascii="Arial" w:eastAsia="Arial" w:hAnsi="Arial" w:cs="Arial"/>
              <w:b/>
            </w:rPr>
          </w:pPr>
        </w:p>
      </w:tc>
    </w:tr>
  </w:tbl>
  <w:p w14:paraId="39B305F8" w14:textId="77777777" w:rsidR="00725F2F" w:rsidRDefault="00725F2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A1CA7"/>
    <w:multiLevelType w:val="multilevel"/>
    <w:tmpl w:val="E2EAF0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632B72"/>
    <w:multiLevelType w:val="multilevel"/>
    <w:tmpl w:val="CBA86E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F2F"/>
    <w:rsid w:val="001C7EF9"/>
    <w:rsid w:val="002D25E0"/>
    <w:rsid w:val="002D305E"/>
    <w:rsid w:val="005755E4"/>
    <w:rsid w:val="00725F2F"/>
    <w:rsid w:val="00857B7B"/>
    <w:rsid w:val="008D20CF"/>
    <w:rsid w:val="00903968"/>
    <w:rsid w:val="00955CAD"/>
    <w:rsid w:val="00CC7AC9"/>
    <w:rsid w:val="00EB45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322549E"/>
  <w15:docId w15:val="{22301F39-A698-4EF0-981E-9F426A0F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line="360" w:lineRule="auto"/>
      <w:jc w:val="center"/>
      <w:outlineLvl w:val="0"/>
    </w:pPr>
    <w:rPr>
      <w:b/>
      <w:sz w:val="24"/>
      <w:szCs w:val="24"/>
    </w:rPr>
  </w:style>
  <w:style w:type="paragraph" w:styleId="Ttulo2">
    <w:name w:val="heading 2"/>
    <w:basedOn w:val="Normal"/>
    <w:next w:val="Normal"/>
    <w:pPr>
      <w:keepNext/>
      <w:keepLines/>
      <w:spacing w:before="360" w:after="80" w:line="360" w:lineRule="auto"/>
      <w:jc w:val="left"/>
      <w:outlineLvl w:val="1"/>
    </w:pPr>
    <w:rPr>
      <w:b/>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paragraph" w:styleId="Ttulo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B44943"/>
    <w:pPr>
      <w:tabs>
        <w:tab w:val="right" w:leader="dot" w:pos="9204"/>
      </w:tabs>
      <w:spacing w:after="0" w:line="360" w:lineRule="auto"/>
      <w:ind w:left="22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cODFltwFwhDZOI3h33wMjVDHvA==">CgMxLjAyDmgucXdoZWk5N3BieTd6Mg5oLnRkMWw5bGFlbmo1MTINaC50N2gzOXY1YngxcTIOaC40bWdtcDhjNjBzdXUyDmguMTJsemRlMzk1bmZ1Mg5oLmg1N25vZWQ0MGsyazIOaC5hMnE4cjR6ZHB3ajUyDmguNDF0bDhmOXA2NzZ5Mg1oLmx5MzdhcmpwZDd3Mg5oLnhsdGxmeGFwdWJqNDIOaC5ranBobXYxd2t2eDcyDmguNzd2aTBiejBzMWEwMg5oLjl6b2w0dnM5aTBmcTIOaC41MGF6MXE2cXFjNWs4AHIhMTVsZFJ0cndPVVpIVzdRN1FmSDZEcEZJTzZwR285dH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95F623-FE8A-467C-AF63-94A6A2B5C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3509</Words>
  <Characters>19304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hugoxgar@gmail.com</cp:lastModifiedBy>
  <cp:revision>4</cp:revision>
  <cp:lastPrinted>2025-08-22T16:39:00Z</cp:lastPrinted>
  <dcterms:created xsi:type="dcterms:W3CDTF">2025-08-22T16:39:00Z</dcterms:created>
  <dcterms:modified xsi:type="dcterms:W3CDTF">2025-09-23T16:03:00Z</dcterms:modified>
</cp:coreProperties>
</file>