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CA58D5" w:rsidRDefault="009D3673" w:rsidP="00C66B6A">
      <w:pPr>
        <w:tabs>
          <w:tab w:val="left" w:pos="3465"/>
        </w:tabs>
        <w:spacing w:line="360" w:lineRule="auto"/>
        <w:ind w:right="49"/>
        <w:jc w:val="both"/>
        <w:rPr>
          <w:rFonts w:ascii="Palatino Linotype" w:eastAsia="Palatino Linotype" w:hAnsi="Palatino Linotype" w:cs="Palatino Linotype"/>
          <w:b/>
          <w:color w:val="000000" w:themeColor="text1"/>
        </w:rPr>
      </w:pPr>
      <w:r w:rsidRPr="00CA58D5">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CA58D5">
        <w:rPr>
          <w:rFonts w:ascii="Palatino Linotype" w:eastAsia="Palatino Linotype" w:hAnsi="Palatino Linotype" w:cs="Palatino Linotype"/>
          <w:color w:val="000000" w:themeColor="text1"/>
        </w:rPr>
        <w:t xml:space="preserve">tado de México; </w:t>
      </w:r>
      <w:r w:rsidR="0081462E" w:rsidRPr="00CA58D5">
        <w:rPr>
          <w:rFonts w:ascii="Palatino Linotype" w:eastAsia="Palatino Linotype" w:hAnsi="Palatino Linotype" w:cs="Palatino Linotype"/>
          <w:b/>
          <w:color w:val="000000" w:themeColor="text1"/>
        </w:rPr>
        <w:t xml:space="preserve">de fecha </w:t>
      </w:r>
      <w:r w:rsidR="00B13528" w:rsidRPr="00CA58D5">
        <w:rPr>
          <w:rFonts w:ascii="Palatino Linotype" w:eastAsia="Palatino Linotype" w:hAnsi="Palatino Linotype" w:cs="Palatino Linotype"/>
          <w:b/>
          <w:color w:val="000000" w:themeColor="text1"/>
        </w:rPr>
        <w:t>veintiocho</w:t>
      </w:r>
      <w:r w:rsidR="00654047" w:rsidRPr="00CA58D5">
        <w:rPr>
          <w:rFonts w:ascii="Palatino Linotype" w:eastAsia="Palatino Linotype" w:hAnsi="Palatino Linotype" w:cs="Palatino Linotype"/>
          <w:b/>
          <w:color w:val="000000" w:themeColor="text1"/>
        </w:rPr>
        <w:t xml:space="preserve"> de </w:t>
      </w:r>
      <w:r w:rsidR="00B13528" w:rsidRPr="00CA58D5">
        <w:rPr>
          <w:rFonts w:ascii="Palatino Linotype" w:eastAsia="Palatino Linotype" w:hAnsi="Palatino Linotype" w:cs="Palatino Linotype"/>
          <w:b/>
          <w:color w:val="000000" w:themeColor="text1"/>
        </w:rPr>
        <w:t>mayo</w:t>
      </w:r>
      <w:r w:rsidRPr="00CA58D5">
        <w:rPr>
          <w:rFonts w:ascii="Palatino Linotype" w:eastAsia="Palatino Linotype" w:hAnsi="Palatino Linotype" w:cs="Palatino Linotype"/>
          <w:b/>
          <w:color w:val="000000" w:themeColor="text1"/>
        </w:rPr>
        <w:t xml:space="preserve"> de dos mil veinticinco.</w:t>
      </w:r>
    </w:p>
    <w:p w:rsidR="00B84DF1" w:rsidRPr="00CA58D5" w:rsidRDefault="00B84DF1" w:rsidP="00C66B6A">
      <w:pPr>
        <w:tabs>
          <w:tab w:val="left" w:pos="3465"/>
        </w:tabs>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spacing w:line="360" w:lineRule="auto"/>
        <w:ind w:right="49"/>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b/>
          <w:color w:val="000000" w:themeColor="text1"/>
        </w:rPr>
        <w:t xml:space="preserve">VISTAS </w:t>
      </w:r>
      <w:r w:rsidRPr="00CA58D5">
        <w:rPr>
          <w:rFonts w:ascii="Palatino Linotype" w:eastAsia="Palatino Linotype" w:hAnsi="Palatino Linotype" w:cs="Palatino Linotype"/>
          <w:color w:val="000000" w:themeColor="text1"/>
        </w:rPr>
        <w:t xml:space="preserve">las constancias para resolver el Recurso de Revisión </w:t>
      </w:r>
      <w:r w:rsidR="00B13528" w:rsidRPr="00CA58D5">
        <w:rPr>
          <w:rFonts w:ascii="Palatino Linotype" w:eastAsia="Palatino Linotype" w:hAnsi="Palatino Linotype" w:cs="Palatino Linotype"/>
          <w:b/>
          <w:color w:val="000000" w:themeColor="text1"/>
        </w:rPr>
        <w:t>03858/INFOEM/IP/RR/2025</w:t>
      </w:r>
      <w:r w:rsidRPr="00CA58D5">
        <w:rPr>
          <w:rFonts w:ascii="Palatino Linotype" w:eastAsia="Palatino Linotype" w:hAnsi="Palatino Linotype" w:cs="Palatino Linotype"/>
          <w:b/>
          <w:color w:val="000000" w:themeColor="text1"/>
        </w:rPr>
        <w:t>,</w:t>
      </w:r>
      <w:r w:rsidRPr="00CA58D5">
        <w:rPr>
          <w:rFonts w:ascii="Palatino Linotype" w:eastAsia="Palatino Linotype" w:hAnsi="Palatino Linotype" w:cs="Palatino Linotype"/>
          <w:color w:val="000000" w:themeColor="text1"/>
        </w:rPr>
        <w:t xml:space="preserve"> presentado por </w:t>
      </w:r>
      <w:r w:rsidR="00DA6FB4">
        <w:rPr>
          <w:rFonts w:ascii="Palatino Linotype" w:eastAsia="Palatino Linotype" w:hAnsi="Palatino Linotype" w:cs="Palatino Linotype"/>
          <w:b/>
          <w:color w:val="000000" w:themeColor="text1"/>
        </w:rPr>
        <w:t>XXXX</w:t>
      </w:r>
      <w:r w:rsidRPr="00CA58D5">
        <w:rPr>
          <w:rFonts w:ascii="Palatino Linotype" w:eastAsia="Palatino Linotype" w:hAnsi="Palatino Linotype" w:cs="Palatino Linotype"/>
          <w:b/>
          <w:color w:val="000000" w:themeColor="text1"/>
        </w:rPr>
        <w:t>,</w:t>
      </w:r>
      <w:r w:rsidRPr="00CA58D5">
        <w:rPr>
          <w:rFonts w:ascii="Palatino Linotype" w:eastAsia="Palatino Linotype" w:hAnsi="Palatino Linotype" w:cs="Palatino Linotype"/>
          <w:color w:val="000000" w:themeColor="text1"/>
        </w:rPr>
        <w:t xml:space="preserve"> a quien en lo sucesivo se denominará como </w:t>
      </w:r>
      <w:r w:rsidRPr="00CA58D5">
        <w:rPr>
          <w:rFonts w:ascii="Palatino Linotype" w:eastAsia="Palatino Linotype" w:hAnsi="Palatino Linotype" w:cs="Palatino Linotype"/>
          <w:b/>
          <w:color w:val="000000" w:themeColor="text1"/>
        </w:rPr>
        <w:t>EL RECURRENTE</w:t>
      </w:r>
      <w:r w:rsidRPr="00CA58D5">
        <w:rPr>
          <w:rFonts w:ascii="Palatino Linotype" w:eastAsia="Palatino Linotype" w:hAnsi="Palatino Linotype" w:cs="Palatino Linotype"/>
          <w:color w:val="000000" w:themeColor="text1"/>
        </w:rPr>
        <w:t xml:space="preserve">, en contra de la respuesta otorgada a la solicitud de información con número de folio </w:t>
      </w:r>
      <w:r w:rsidR="00B13528" w:rsidRPr="00CA58D5">
        <w:rPr>
          <w:rFonts w:ascii="Palatino Linotype" w:eastAsia="Palatino Linotype" w:hAnsi="Palatino Linotype" w:cs="Palatino Linotype"/>
          <w:b/>
          <w:color w:val="000000" w:themeColor="text1"/>
        </w:rPr>
        <w:t>00013/OASZINACAN/IP/2025</w:t>
      </w:r>
      <w:r w:rsidRPr="00CA58D5">
        <w:rPr>
          <w:rFonts w:ascii="Palatino Linotype" w:eastAsia="Palatino Linotype" w:hAnsi="Palatino Linotype" w:cs="Palatino Linotype"/>
          <w:color w:val="000000" w:themeColor="text1"/>
        </w:rPr>
        <w:t>, por parte de</w:t>
      </w:r>
      <w:r w:rsidR="00F916D5" w:rsidRPr="00CA58D5">
        <w:rPr>
          <w:rFonts w:ascii="Palatino Linotype" w:eastAsia="Palatino Linotype" w:hAnsi="Palatino Linotype" w:cs="Palatino Linotype"/>
          <w:color w:val="000000" w:themeColor="text1"/>
        </w:rPr>
        <w:t xml:space="preserve"> </w:t>
      </w:r>
      <w:r w:rsidRPr="00CA58D5">
        <w:rPr>
          <w:rFonts w:ascii="Palatino Linotype" w:eastAsia="Palatino Linotype" w:hAnsi="Palatino Linotype" w:cs="Palatino Linotype"/>
          <w:color w:val="000000" w:themeColor="text1"/>
        </w:rPr>
        <w:t>l</w:t>
      </w:r>
      <w:r w:rsidR="00F916D5" w:rsidRPr="00CA58D5">
        <w:rPr>
          <w:rFonts w:ascii="Palatino Linotype" w:eastAsia="Palatino Linotype" w:hAnsi="Palatino Linotype" w:cs="Palatino Linotype"/>
          <w:color w:val="000000" w:themeColor="text1"/>
        </w:rPr>
        <w:t>a</w:t>
      </w:r>
      <w:r w:rsidRPr="00CA58D5">
        <w:rPr>
          <w:rFonts w:ascii="Palatino Linotype" w:eastAsia="Palatino Linotype" w:hAnsi="Palatino Linotype" w:cs="Palatino Linotype"/>
          <w:color w:val="000000" w:themeColor="text1"/>
        </w:rPr>
        <w:t xml:space="preserve"> </w:t>
      </w:r>
      <w:r w:rsidR="00B13528" w:rsidRPr="00CA58D5">
        <w:rPr>
          <w:rFonts w:ascii="Palatino Linotype" w:eastAsia="Palatino Linotype" w:hAnsi="Palatino Linotype" w:cs="Palatino Linotype"/>
          <w:b/>
          <w:color w:val="000000" w:themeColor="text1"/>
        </w:rPr>
        <w:t>Organismo Público Descentralizado para la Prestación de Los Servicios de Agua Potable Alcantarillado y Saneamiento de Zinacantepec</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 xml:space="preserve">en adelante </w:t>
      </w:r>
      <w:r w:rsidRPr="00CA58D5">
        <w:rPr>
          <w:rFonts w:ascii="Palatino Linotype" w:eastAsia="Palatino Linotype" w:hAnsi="Palatino Linotype" w:cs="Palatino Linotype"/>
          <w:b/>
          <w:color w:val="000000" w:themeColor="text1"/>
        </w:rPr>
        <w:t>EL SUJETO OBLIGADO,</w:t>
      </w:r>
      <w:r w:rsidRPr="00CA58D5">
        <w:rPr>
          <w:rFonts w:ascii="Palatino Linotype" w:eastAsia="Palatino Linotype" w:hAnsi="Palatino Linotype" w:cs="Palatino Linotype"/>
          <w:color w:val="000000" w:themeColor="text1"/>
        </w:rPr>
        <w:t xml:space="preserve"> se emite la presente </w:t>
      </w:r>
      <w:r w:rsidR="0081462E" w:rsidRPr="00CA58D5">
        <w:rPr>
          <w:rFonts w:ascii="Palatino Linotype" w:eastAsia="Palatino Linotype" w:hAnsi="Palatino Linotype" w:cs="Palatino Linotype"/>
          <w:color w:val="000000" w:themeColor="text1"/>
        </w:rPr>
        <w:t>R</w:t>
      </w:r>
      <w:r w:rsidRPr="00CA58D5">
        <w:rPr>
          <w:rFonts w:ascii="Palatino Linotype" w:eastAsia="Palatino Linotype" w:hAnsi="Palatino Linotype" w:cs="Palatino Linotype"/>
          <w:color w:val="000000" w:themeColor="text1"/>
        </w:rPr>
        <w:t>esolución con base en los siguientes:</w:t>
      </w:r>
    </w:p>
    <w:p w:rsidR="00B84DF1" w:rsidRPr="00CA58D5"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CA58D5">
        <w:rPr>
          <w:rFonts w:ascii="Palatino Linotype" w:eastAsia="Palatino Linotype" w:hAnsi="Palatino Linotype" w:cs="Palatino Linotype"/>
          <w:b/>
          <w:color w:val="000000" w:themeColor="text1"/>
          <w:sz w:val="24"/>
          <w:szCs w:val="24"/>
        </w:rPr>
        <w:t>A N T E C E D E N T E S</w:t>
      </w:r>
    </w:p>
    <w:p w:rsidR="00B84DF1" w:rsidRPr="00CA58D5" w:rsidRDefault="00B84DF1" w:rsidP="00C66B6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CA58D5" w:rsidRDefault="009D3673" w:rsidP="00C66B6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El día</w:t>
      </w:r>
      <w:r w:rsidRPr="00CA58D5">
        <w:rPr>
          <w:rFonts w:ascii="Palatino Linotype" w:eastAsia="Palatino Linotype" w:hAnsi="Palatino Linotype" w:cs="Palatino Linotype"/>
          <w:b/>
          <w:color w:val="000000" w:themeColor="text1"/>
        </w:rPr>
        <w:t xml:space="preserve"> </w:t>
      </w:r>
      <w:r w:rsidR="00B13528" w:rsidRPr="00CA58D5">
        <w:rPr>
          <w:rFonts w:ascii="Palatino Linotype" w:eastAsia="Palatino Linotype" w:hAnsi="Palatino Linotype" w:cs="Palatino Linotype"/>
          <w:b/>
          <w:color w:val="000000" w:themeColor="text1"/>
        </w:rPr>
        <w:t>siet</w:t>
      </w:r>
      <w:r w:rsidR="00E845E2" w:rsidRPr="00CA58D5">
        <w:rPr>
          <w:rFonts w:ascii="Palatino Linotype" w:eastAsia="Palatino Linotype" w:hAnsi="Palatino Linotype" w:cs="Palatino Linotype"/>
          <w:b/>
          <w:color w:val="000000" w:themeColor="text1"/>
        </w:rPr>
        <w:t>e de marzo</w:t>
      </w:r>
      <w:r w:rsidRPr="00CA58D5">
        <w:rPr>
          <w:rFonts w:ascii="Palatino Linotype" w:eastAsia="Palatino Linotype" w:hAnsi="Palatino Linotype" w:cs="Palatino Linotype"/>
          <w:b/>
          <w:color w:val="000000" w:themeColor="text1"/>
        </w:rPr>
        <w:t xml:space="preserve"> dos mil veintic</w:t>
      </w:r>
      <w:r w:rsidR="00AC01CA" w:rsidRPr="00CA58D5">
        <w:rPr>
          <w:rFonts w:ascii="Palatino Linotype" w:eastAsia="Palatino Linotype" w:hAnsi="Palatino Linotype" w:cs="Palatino Linotype"/>
          <w:b/>
          <w:color w:val="000000" w:themeColor="text1"/>
        </w:rPr>
        <w:t>inco</w:t>
      </w:r>
      <w:r w:rsidRPr="00CA58D5">
        <w:rPr>
          <w:rFonts w:ascii="Palatino Linotype" w:eastAsia="Palatino Linotype" w:hAnsi="Palatino Linotype" w:cs="Palatino Linotype"/>
          <w:color w:val="000000" w:themeColor="text1"/>
        </w:rPr>
        <w:t>,</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CA58D5" w:rsidRDefault="00B84DF1" w:rsidP="00C66B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w:t>
      </w:r>
      <w:r w:rsidR="00B13528" w:rsidRPr="00CA58D5">
        <w:rPr>
          <w:rFonts w:ascii="Palatino Linotype" w:eastAsia="Palatino Linotype" w:hAnsi="Palatino Linotype" w:cs="Palatino Linotype"/>
          <w:i/>
          <w:color w:val="000000" w:themeColor="text1"/>
        </w:rPr>
        <w:t>solicito saber los proveedores del organismo durante los años 2021, 2022, 2023 y 2024</w:t>
      </w:r>
      <w:r w:rsidRPr="00CA58D5">
        <w:rPr>
          <w:rFonts w:ascii="Palatino Linotype" w:eastAsia="Palatino Linotype" w:hAnsi="Palatino Linotype" w:cs="Palatino Linotype"/>
          <w:i/>
          <w:color w:val="000000" w:themeColor="text1"/>
        </w:rPr>
        <w:t>”</w:t>
      </w:r>
    </w:p>
    <w:p w:rsidR="00B84DF1" w:rsidRPr="00CA58D5" w:rsidRDefault="00B84DF1" w:rsidP="00C66B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numPr>
          <w:ilvl w:val="0"/>
          <w:numId w:val="2"/>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 xml:space="preserve">Se eligió como modalidad de entrega de la información: A través del </w:t>
      </w:r>
      <w:r w:rsidRPr="00CA58D5">
        <w:rPr>
          <w:rFonts w:ascii="Palatino Linotype" w:eastAsia="Palatino Linotype" w:hAnsi="Palatino Linotype" w:cs="Palatino Linotype"/>
          <w:b/>
          <w:color w:val="000000" w:themeColor="text1"/>
        </w:rPr>
        <w:t>SAIMEX.</w:t>
      </w:r>
    </w:p>
    <w:p w:rsidR="0081462E" w:rsidRPr="00CA58D5" w:rsidRDefault="009D3673" w:rsidP="00C66B6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color w:val="000000" w:themeColor="text1"/>
        </w:rPr>
        <w:lastRenderedPageBreak/>
        <w:t xml:space="preserve">El </w:t>
      </w:r>
      <w:r w:rsidR="00B13528" w:rsidRPr="00CA58D5">
        <w:rPr>
          <w:rFonts w:ascii="Palatino Linotype" w:eastAsia="Palatino Linotype" w:hAnsi="Palatino Linotype" w:cs="Palatino Linotype"/>
          <w:b/>
          <w:color w:val="000000" w:themeColor="text1"/>
        </w:rPr>
        <w:t>veintiocho</w:t>
      </w:r>
      <w:r w:rsidR="00654047" w:rsidRPr="00CA58D5">
        <w:rPr>
          <w:rFonts w:ascii="Palatino Linotype" w:eastAsia="Palatino Linotype" w:hAnsi="Palatino Linotype" w:cs="Palatino Linotype"/>
          <w:b/>
          <w:color w:val="000000" w:themeColor="text1"/>
        </w:rPr>
        <w:t xml:space="preserve"> de </w:t>
      </w:r>
      <w:r w:rsidR="00B13528" w:rsidRPr="00CA58D5">
        <w:rPr>
          <w:rFonts w:ascii="Palatino Linotype" w:eastAsia="Palatino Linotype" w:hAnsi="Palatino Linotype" w:cs="Palatino Linotype"/>
          <w:b/>
          <w:color w:val="000000" w:themeColor="text1"/>
        </w:rPr>
        <w:t xml:space="preserve">marzo </w:t>
      </w:r>
      <w:r w:rsidR="00654047" w:rsidRPr="00CA58D5">
        <w:rPr>
          <w:rFonts w:ascii="Palatino Linotype" w:eastAsia="Palatino Linotype" w:hAnsi="Palatino Linotype" w:cs="Palatino Linotype"/>
          <w:b/>
          <w:color w:val="000000" w:themeColor="text1"/>
        </w:rPr>
        <w:t>dos mil veinticinco</w:t>
      </w:r>
      <w:r w:rsidRPr="00CA58D5">
        <w:rPr>
          <w:rFonts w:ascii="Palatino Linotype" w:eastAsia="Palatino Linotype" w:hAnsi="Palatino Linotype" w:cs="Palatino Linotype"/>
          <w:color w:val="000000" w:themeColor="text1"/>
        </w:rPr>
        <w:t xml:space="preserve">, el </w:t>
      </w:r>
      <w:r w:rsidR="00654047" w:rsidRPr="00CA58D5">
        <w:rPr>
          <w:rFonts w:ascii="Palatino Linotype" w:eastAsia="Palatino Linotype" w:hAnsi="Palatino Linotype" w:cs="Palatino Linotype"/>
          <w:b/>
          <w:color w:val="000000" w:themeColor="text1"/>
        </w:rPr>
        <w:t>SUJETO OBLIGADO</w:t>
      </w:r>
      <w:r w:rsidRPr="00CA58D5">
        <w:rPr>
          <w:rFonts w:ascii="Palatino Linotype" w:eastAsia="Palatino Linotype" w:hAnsi="Palatino Linotype" w:cs="Palatino Linotype"/>
          <w:b/>
          <w:color w:val="000000" w:themeColor="text1"/>
        </w:rPr>
        <w:t>,</w:t>
      </w:r>
      <w:r w:rsidRPr="00CA58D5">
        <w:rPr>
          <w:rFonts w:ascii="Palatino Linotype" w:eastAsia="Palatino Linotype" w:hAnsi="Palatino Linotype" w:cs="Palatino Linotype"/>
          <w:color w:val="000000" w:themeColor="text1"/>
        </w:rPr>
        <w:t xml:space="preserve"> dio respuesta a través de</w:t>
      </w:r>
      <w:r w:rsidR="0081462E" w:rsidRPr="00CA58D5">
        <w:rPr>
          <w:rFonts w:ascii="Palatino Linotype" w:eastAsia="Palatino Linotype" w:hAnsi="Palatino Linotype" w:cs="Palatino Linotype"/>
          <w:color w:val="000000" w:themeColor="text1"/>
        </w:rPr>
        <w:t xml:space="preserve"> </w:t>
      </w:r>
      <w:r w:rsidR="00B13528" w:rsidRPr="00CA58D5">
        <w:rPr>
          <w:rFonts w:ascii="Palatino Linotype" w:eastAsia="Palatino Linotype" w:hAnsi="Palatino Linotype" w:cs="Palatino Linotype"/>
          <w:color w:val="000000" w:themeColor="text1"/>
        </w:rPr>
        <w:t>dos</w:t>
      </w:r>
      <w:r w:rsidR="00DB20B2" w:rsidRPr="00CA58D5">
        <w:rPr>
          <w:rFonts w:ascii="Palatino Linotype" w:eastAsia="Palatino Linotype" w:hAnsi="Palatino Linotype" w:cs="Palatino Linotype"/>
          <w:color w:val="000000" w:themeColor="text1"/>
        </w:rPr>
        <w:t xml:space="preserve"> </w:t>
      </w:r>
      <w:r w:rsidR="00053809" w:rsidRPr="00CA58D5">
        <w:rPr>
          <w:rFonts w:ascii="Palatino Linotype" w:eastAsia="Palatino Linotype" w:hAnsi="Palatino Linotype" w:cs="Palatino Linotype"/>
          <w:color w:val="000000" w:themeColor="text1"/>
        </w:rPr>
        <w:t>archivo</w:t>
      </w:r>
      <w:r w:rsidR="00B13528" w:rsidRPr="00CA58D5">
        <w:rPr>
          <w:rFonts w:ascii="Palatino Linotype" w:eastAsia="Palatino Linotype" w:hAnsi="Palatino Linotype" w:cs="Palatino Linotype"/>
          <w:color w:val="000000" w:themeColor="text1"/>
        </w:rPr>
        <w:t>s</w:t>
      </w:r>
      <w:r w:rsidR="00053809" w:rsidRPr="00CA58D5">
        <w:rPr>
          <w:rFonts w:ascii="Palatino Linotype" w:eastAsia="Palatino Linotype" w:hAnsi="Palatino Linotype" w:cs="Palatino Linotype"/>
          <w:color w:val="000000" w:themeColor="text1"/>
        </w:rPr>
        <w:t xml:space="preserve"> </w:t>
      </w:r>
      <w:r w:rsidR="00B13528" w:rsidRPr="00CA58D5">
        <w:rPr>
          <w:rFonts w:ascii="Palatino Linotype" w:eastAsia="Palatino Linotype" w:hAnsi="Palatino Linotype" w:cs="Palatino Linotype"/>
          <w:color w:val="000000" w:themeColor="text1"/>
        </w:rPr>
        <w:t>a saber:</w:t>
      </w:r>
    </w:p>
    <w:p w:rsidR="00C66B6A" w:rsidRPr="00CA58D5" w:rsidRDefault="00C66B6A" w:rsidP="00C66B6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rsidR="00B13528" w:rsidRPr="00CA58D5" w:rsidRDefault="00B13528" w:rsidP="00C66B6A">
      <w:pPr>
        <w:pStyle w:val="Prrafodelista"/>
        <w:numPr>
          <w:ilvl w:val="0"/>
          <w:numId w:val="17"/>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b/>
          <w:i/>
          <w:color w:val="000000" w:themeColor="text1"/>
        </w:rPr>
      </w:pPr>
      <w:r w:rsidRPr="00CA58D5">
        <w:rPr>
          <w:rFonts w:ascii="Palatino Linotype" w:eastAsia="Palatino Linotype" w:hAnsi="Palatino Linotype" w:cs="Palatino Linotype"/>
          <w:b/>
          <w:i/>
          <w:color w:val="000000" w:themeColor="text1"/>
        </w:rPr>
        <w:t>RESP 013 FINZ.pdf</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que contienen un oficio signado por el Director de Administración, Finanzas y Comercialización del OPDAPAS Zinacantepec, a través del cual informa que luego de una búsqueda no localizo información al respecto, sumado a que en el acta recepción de la Dirección a su cargo no se hizo referencia a lo solicitado.</w:t>
      </w:r>
    </w:p>
    <w:p w:rsidR="00B13528" w:rsidRPr="00CA58D5" w:rsidRDefault="00B13528" w:rsidP="00C66B6A">
      <w:pPr>
        <w:pStyle w:val="Prrafodelista"/>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b/>
          <w:i/>
          <w:color w:val="000000" w:themeColor="text1"/>
        </w:rPr>
      </w:pPr>
    </w:p>
    <w:p w:rsidR="00B13528" w:rsidRPr="00CA58D5" w:rsidRDefault="00B13528" w:rsidP="00C66B6A">
      <w:pPr>
        <w:pStyle w:val="Prrafodelista"/>
        <w:numPr>
          <w:ilvl w:val="0"/>
          <w:numId w:val="17"/>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b/>
          <w:i/>
          <w:color w:val="000000" w:themeColor="text1"/>
        </w:rPr>
      </w:pPr>
      <w:r w:rsidRPr="00CA58D5">
        <w:rPr>
          <w:rFonts w:ascii="Palatino Linotype" w:eastAsia="Palatino Linotype" w:hAnsi="Palatino Linotype" w:cs="Palatino Linotype"/>
          <w:b/>
          <w:i/>
          <w:color w:val="000000" w:themeColor="text1"/>
        </w:rPr>
        <w:t xml:space="preserve">RESP AN 013.pdf, </w:t>
      </w:r>
      <w:r w:rsidRPr="00CA58D5">
        <w:rPr>
          <w:rFonts w:ascii="Palatino Linotype" w:eastAsia="Palatino Linotype" w:hAnsi="Palatino Linotype" w:cs="Palatino Linotype"/>
          <w:color w:val="000000" w:themeColor="text1"/>
        </w:rPr>
        <w:t xml:space="preserve">que corresponde a un oficio suscrito por la Titular de la Unidad de Información, Planeación, Programación, Evaluación, Transparencia y Mejor Regulatoria, a través del cual informa de la respuesta emitida por el servidor </w:t>
      </w:r>
      <w:r w:rsidR="00DA6FB4" w:rsidRPr="00CA58D5">
        <w:rPr>
          <w:rFonts w:ascii="Palatino Linotype" w:eastAsia="Palatino Linotype" w:hAnsi="Palatino Linotype" w:cs="Palatino Linotype"/>
          <w:color w:val="000000" w:themeColor="text1"/>
        </w:rPr>
        <w:t>público</w:t>
      </w:r>
      <w:r w:rsidRPr="00CA58D5">
        <w:rPr>
          <w:rFonts w:ascii="Palatino Linotype" w:eastAsia="Palatino Linotype" w:hAnsi="Palatino Linotype" w:cs="Palatino Linotype"/>
          <w:color w:val="000000" w:themeColor="text1"/>
        </w:rPr>
        <w:t xml:space="preserve"> habilitado.</w:t>
      </w:r>
    </w:p>
    <w:p w:rsidR="00DB20B2" w:rsidRPr="00CA58D5" w:rsidRDefault="00DB20B2" w:rsidP="00C66B6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B84DF1" w:rsidRPr="00CA58D5" w:rsidRDefault="009D3673" w:rsidP="00C66B6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El</w:t>
      </w:r>
      <w:r w:rsidRPr="00CA58D5">
        <w:rPr>
          <w:rFonts w:ascii="Palatino Linotype" w:eastAsia="Palatino Linotype" w:hAnsi="Palatino Linotype" w:cs="Palatino Linotype"/>
          <w:b/>
          <w:color w:val="000000" w:themeColor="text1"/>
        </w:rPr>
        <w:t xml:space="preserve"> </w:t>
      </w:r>
      <w:r w:rsidR="00B13528" w:rsidRPr="00CA58D5">
        <w:rPr>
          <w:rFonts w:ascii="Palatino Linotype" w:eastAsia="Palatino Linotype" w:hAnsi="Palatino Linotype" w:cs="Palatino Linotype"/>
          <w:b/>
          <w:color w:val="000000" w:themeColor="text1"/>
        </w:rPr>
        <w:t>d</w:t>
      </w:r>
      <w:r w:rsidR="00C273BD" w:rsidRPr="00CA58D5">
        <w:rPr>
          <w:rFonts w:ascii="Palatino Linotype" w:eastAsia="Palatino Linotype" w:hAnsi="Palatino Linotype" w:cs="Palatino Linotype"/>
          <w:b/>
          <w:color w:val="000000" w:themeColor="text1"/>
        </w:rPr>
        <w:t>o</w:t>
      </w:r>
      <w:r w:rsidR="00B13528" w:rsidRPr="00CA58D5">
        <w:rPr>
          <w:rFonts w:ascii="Palatino Linotype" w:eastAsia="Palatino Linotype" w:hAnsi="Palatino Linotype" w:cs="Palatino Linotype"/>
          <w:b/>
          <w:color w:val="000000" w:themeColor="text1"/>
        </w:rPr>
        <w:t>s</w:t>
      </w:r>
      <w:r w:rsidR="00C273BD" w:rsidRPr="00CA58D5">
        <w:rPr>
          <w:rFonts w:ascii="Palatino Linotype" w:eastAsia="Palatino Linotype" w:hAnsi="Palatino Linotype" w:cs="Palatino Linotype"/>
          <w:b/>
          <w:color w:val="000000" w:themeColor="text1"/>
        </w:rPr>
        <w:t xml:space="preserve"> de abril</w:t>
      </w:r>
      <w:r w:rsidR="00DB20B2" w:rsidRPr="00CA58D5">
        <w:rPr>
          <w:rFonts w:ascii="Palatino Linotype" w:eastAsia="Palatino Linotype" w:hAnsi="Palatino Linotype" w:cs="Palatino Linotype"/>
          <w:b/>
          <w:color w:val="000000" w:themeColor="text1"/>
        </w:rPr>
        <w:t xml:space="preserve"> dos mil veinticinco</w:t>
      </w:r>
      <w:r w:rsidRPr="00CA58D5">
        <w:rPr>
          <w:rFonts w:ascii="Palatino Linotype" w:eastAsia="Palatino Linotype" w:hAnsi="Palatino Linotype" w:cs="Palatino Linotype"/>
          <w:color w:val="000000" w:themeColor="text1"/>
        </w:rPr>
        <w:t>, el particular interpuso el recurso de revisión en contra de la respuesta, realizando las siguientes manifestaciones:</w:t>
      </w:r>
    </w:p>
    <w:p w:rsidR="00AD30C0" w:rsidRPr="00CA58D5" w:rsidRDefault="00AD30C0" w:rsidP="00C66B6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themeColor="text1"/>
        </w:rPr>
      </w:pPr>
      <w:bookmarkStart w:id="1" w:name="_heading=h.30j0zll" w:colFirst="0" w:colLast="0"/>
      <w:bookmarkEnd w:id="1"/>
      <w:r w:rsidRPr="00CA58D5">
        <w:rPr>
          <w:rFonts w:ascii="Palatino Linotype" w:eastAsia="Palatino Linotype" w:hAnsi="Palatino Linotype" w:cs="Palatino Linotype"/>
          <w:b/>
          <w:color w:val="000000" w:themeColor="text1"/>
        </w:rPr>
        <w:t xml:space="preserve">ACTO IMPUGNADO: </w:t>
      </w:r>
      <w:r w:rsidRPr="00CA58D5">
        <w:rPr>
          <w:rFonts w:ascii="Palatino Linotype" w:eastAsia="Palatino Linotype" w:hAnsi="Palatino Linotype" w:cs="Palatino Linotype"/>
          <w:i/>
          <w:color w:val="000000" w:themeColor="text1"/>
        </w:rPr>
        <w:t>“</w:t>
      </w:r>
      <w:r w:rsidR="00B13528" w:rsidRPr="00CA58D5">
        <w:rPr>
          <w:rFonts w:ascii="Palatino Linotype" w:eastAsia="Palatino Linotype" w:hAnsi="Palatino Linotype" w:cs="Palatino Linotype"/>
          <w:i/>
          <w:color w:val="000000" w:themeColor="text1"/>
        </w:rPr>
        <w:t>Sin información</w:t>
      </w:r>
      <w:r w:rsidRPr="00CA58D5">
        <w:rPr>
          <w:rFonts w:ascii="Palatino Linotype" w:eastAsia="Palatino Linotype" w:hAnsi="Palatino Linotype" w:cs="Palatino Linotype"/>
          <w:i/>
          <w:color w:val="000000" w:themeColor="text1"/>
        </w:rPr>
        <w:t>”</w:t>
      </w:r>
    </w:p>
    <w:p w:rsidR="00AD30C0" w:rsidRPr="00CA58D5" w:rsidRDefault="00AD30C0" w:rsidP="00C66B6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84DF1" w:rsidRPr="00CA58D5" w:rsidRDefault="009D3673" w:rsidP="00C66B6A">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color w:val="000000" w:themeColor="text1"/>
        </w:rPr>
        <w:t xml:space="preserve">RAZONES O MOTIVOS DE LA INCONFORMIDAD: </w:t>
      </w:r>
      <w:r w:rsidRPr="00CA58D5">
        <w:rPr>
          <w:rFonts w:ascii="Palatino Linotype" w:eastAsia="Palatino Linotype" w:hAnsi="Palatino Linotype" w:cs="Palatino Linotype"/>
          <w:i/>
          <w:color w:val="000000" w:themeColor="text1"/>
        </w:rPr>
        <w:t>“</w:t>
      </w:r>
      <w:r w:rsidR="00B13528" w:rsidRPr="00CA58D5">
        <w:rPr>
          <w:rFonts w:ascii="Palatino Linotype" w:eastAsia="Palatino Linotype" w:hAnsi="Palatino Linotype" w:cs="Palatino Linotype"/>
          <w:i/>
          <w:color w:val="000000" w:themeColor="text1"/>
        </w:rPr>
        <w:t>El artículo 92 de la ley de transparencia local, establece en sus fracciones el catálogo de proveedores, por eso la pregunta y se niega la información</w:t>
      </w:r>
      <w:r w:rsidRPr="00CA58D5">
        <w:rPr>
          <w:rFonts w:ascii="Palatino Linotype" w:eastAsia="Palatino Linotype" w:hAnsi="Palatino Linotype" w:cs="Palatino Linotype"/>
          <w:i/>
          <w:color w:val="000000" w:themeColor="text1"/>
        </w:rPr>
        <w:t>”</w:t>
      </w:r>
    </w:p>
    <w:p w:rsidR="00610340" w:rsidRPr="00CA58D5" w:rsidRDefault="00610340" w:rsidP="00C66B6A">
      <w:pPr>
        <w:pStyle w:val="Prrafodelista"/>
        <w:ind w:left="0" w:right="49"/>
        <w:rPr>
          <w:rFonts w:ascii="Palatino Linotype" w:eastAsia="Palatino Linotype" w:hAnsi="Palatino Linotype" w:cs="Palatino Linotype"/>
          <w:i/>
          <w:color w:val="000000" w:themeColor="text1"/>
        </w:rPr>
      </w:pPr>
    </w:p>
    <w:p w:rsidR="00B84DF1" w:rsidRPr="00CA58D5" w:rsidRDefault="009D3673"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lastRenderedPageBreak/>
        <w:t>Con fundamento en lo dispuesto por el artículo 185 fracción II de la ley de la materia, se acordó a las partes a efecto de que en un plazo máximo de siete días, el Recurrente manifiesta lo que a su derecho conviniera, ofreciera pruebas y alegatos, y el Sujeto Obligado presentará el Informe Justificado.</w:t>
      </w:r>
    </w:p>
    <w:p w:rsidR="00C273BD" w:rsidRPr="00CA58D5" w:rsidRDefault="00C273BD" w:rsidP="00C66B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El Recurrente</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 xml:space="preserve">dejó de realizar manifestaciones que a su derecho conviniera y asistiera. Por su parte el Sujeto Obligado, </w:t>
      </w:r>
      <w:r w:rsidR="00C273BD" w:rsidRPr="00CA58D5">
        <w:rPr>
          <w:rFonts w:ascii="Palatino Linotype" w:eastAsia="Palatino Linotype" w:hAnsi="Palatino Linotype" w:cs="Palatino Linotype"/>
          <w:color w:val="000000" w:themeColor="text1"/>
        </w:rPr>
        <w:t>fue omiso en rendir el informe</w:t>
      </w:r>
      <w:r w:rsidRPr="00CA58D5">
        <w:rPr>
          <w:rFonts w:ascii="Palatino Linotype" w:eastAsia="Palatino Linotype" w:hAnsi="Palatino Linotype" w:cs="Palatino Linotype"/>
          <w:color w:val="000000" w:themeColor="text1"/>
        </w:rPr>
        <w:t xml:space="preserve"> justificado </w:t>
      </w:r>
      <w:r w:rsidR="00C273BD" w:rsidRPr="00CA58D5">
        <w:rPr>
          <w:rFonts w:ascii="Palatino Linotype" w:eastAsia="Palatino Linotype" w:hAnsi="Palatino Linotype" w:cs="Palatino Linotype"/>
          <w:color w:val="000000" w:themeColor="text1"/>
        </w:rPr>
        <w:t>correspondiente.</w:t>
      </w:r>
    </w:p>
    <w:p w:rsidR="00DB20B2" w:rsidRPr="00CA58D5" w:rsidRDefault="00DB20B2" w:rsidP="00C66B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2" w:name="_heading=h.1fob9te" w:colFirst="0" w:colLast="0"/>
      <w:bookmarkEnd w:id="2"/>
    </w:p>
    <w:p w:rsidR="00B84DF1" w:rsidRPr="00CA58D5" w:rsidRDefault="00B60BC1"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A58D5">
        <w:rPr>
          <w:rFonts w:ascii="Palatino Linotype" w:eastAsia="Palatino Linotype" w:hAnsi="Palatino Linotype" w:cs="Palatino Linotype"/>
          <w:color w:val="000000" w:themeColor="text1"/>
        </w:rPr>
        <w:t>Al no existir pendientes o diligencias por desahogar,</w:t>
      </w:r>
      <w:r w:rsidR="009D3673" w:rsidRPr="00CA58D5">
        <w:rPr>
          <w:rFonts w:ascii="Palatino Linotype" w:eastAsia="Palatino Linotype" w:hAnsi="Palatino Linotype" w:cs="Palatino Linotype"/>
          <w:color w:val="000000" w:themeColor="text1"/>
        </w:rPr>
        <w:t xml:space="preserve"> mediante acuerdo de </w:t>
      </w:r>
      <w:r w:rsidR="004656BC" w:rsidRPr="00CA58D5">
        <w:rPr>
          <w:rFonts w:ascii="Palatino Linotype" w:eastAsia="Palatino Linotype" w:hAnsi="Palatino Linotype" w:cs="Palatino Linotype"/>
          <w:b/>
          <w:color w:val="000000" w:themeColor="text1"/>
        </w:rPr>
        <w:t xml:space="preserve">día </w:t>
      </w:r>
      <w:r w:rsidR="00610340" w:rsidRPr="00CA58D5">
        <w:rPr>
          <w:rFonts w:ascii="Palatino Linotype" w:eastAsia="Palatino Linotype" w:hAnsi="Palatino Linotype" w:cs="Palatino Linotype"/>
          <w:b/>
          <w:color w:val="000000" w:themeColor="text1"/>
        </w:rPr>
        <w:t>veintidós</w:t>
      </w:r>
      <w:r w:rsidRPr="00CA58D5">
        <w:rPr>
          <w:rFonts w:ascii="Palatino Linotype" w:eastAsia="Palatino Linotype" w:hAnsi="Palatino Linotype" w:cs="Palatino Linotype"/>
          <w:b/>
          <w:color w:val="000000" w:themeColor="text1"/>
        </w:rPr>
        <w:t xml:space="preserve"> de mayo del año en curso</w:t>
      </w:r>
      <w:r w:rsidR="009D3673" w:rsidRPr="00CA58D5">
        <w:rPr>
          <w:rFonts w:ascii="Palatino Linotype" w:eastAsia="Palatino Linotype" w:hAnsi="Palatino Linotype" w:cs="Palatino Linotype"/>
          <w:color w:val="000000" w:themeColor="text1"/>
        </w:rPr>
        <w:t>, la Comisionada Ponente dictó el cierre del periodo de instrucción y, ordenó la resolución que conforme a Derecho proceda, de acuerdo a las siguientes:</w:t>
      </w:r>
      <w:r w:rsidR="00CB4A28" w:rsidRPr="00CA58D5">
        <w:rPr>
          <w:rFonts w:ascii="Palatino Linotype" w:eastAsia="Palatino Linotype" w:hAnsi="Palatino Linotype" w:cs="Palatino Linotype"/>
          <w:color w:val="000000" w:themeColor="text1"/>
        </w:rPr>
        <w:t xml:space="preserve"> </w:t>
      </w:r>
    </w:p>
    <w:p w:rsidR="00B84DF1" w:rsidRPr="00CA58D5" w:rsidRDefault="00B84DF1" w:rsidP="00C66B6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CA58D5" w:rsidRDefault="009D3673" w:rsidP="00C66B6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CA58D5">
        <w:rPr>
          <w:rFonts w:ascii="Palatino Linotype" w:eastAsia="Palatino Linotype" w:hAnsi="Palatino Linotype" w:cs="Palatino Linotype"/>
          <w:b/>
          <w:color w:val="000000" w:themeColor="text1"/>
        </w:rPr>
        <w:t>C O N S I D E R A C I O N E S</w:t>
      </w:r>
    </w:p>
    <w:p w:rsidR="00B84DF1" w:rsidRPr="00CA58D5" w:rsidRDefault="00B84DF1" w:rsidP="00C66B6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CA58D5" w:rsidRDefault="009D3673" w:rsidP="00C66B6A">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CA58D5">
        <w:rPr>
          <w:rFonts w:ascii="Palatino Linotype" w:eastAsia="Palatino Linotype" w:hAnsi="Palatino Linotype" w:cs="Palatino Linotype"/>
          <w:b/>
          <w:color w:val="000000" w:themeColor="text1"/>
          <w:sz w:val="24"/>
          <w:szCs w:val="24"/>
        </w:rPr>
        <w:t>PRIMERA. Competencia</w:t>
      </w:r>
    </w:p>
    <w:p w:rsidR="00B84DF1" w:rsidRPr="00CA58D5" w:rsidRDefault="00B13528"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w:t>
      </w:r>
      <w:r w:rsidRPr="00CA58D5">
        <w:rPr>
          <w:rFonts w:ascii="Palatino Linotype" w:eastAsia="Palatino Linotype" w:hAnsi="Palatino Linotype" w:cs="Palatino Linotype"/>
          <w:color w:val="000000" w:themeColor="text1"/>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CA58D5" w:rsidRDefault="006535A3" w:rsidP="00C66B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CA58D5">
        <w:rPr>
          <w:rFonts w:ascii="Palatino Linotype" w:eastAsia="Palatino Linotype" w:hAnsi="Palatino Linotype" w:cs="Palatino Linotype"/>
          <w:b/>
          <w:color w:val="000000" w:themeColor="text1"/>
          <w:sz w:val="24"/>
          <w:szCs w:val="24"/>
        </w:rPr>
        <w:t>SEGUNDA. Procedencia.</w:t>
      </w:r>
    </w:p>
    <w:p w:rsidR="00B84DF1" w:rsidRPr="00CA58D5" w:rsidRDefault="009D3673"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84DF1" w:rsidRPr="00CA58D5"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B84DF1" w:rsidRPr="00CA58D5" w:rsidRDefault="00B84DF1" w:rsidP="00C66B6A">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B84DF1" w:rsidRPr="00CA58D5" w:rsidRDefault="009D3673" w:rsidP="00C66B6A">
      <w:pPr>
        <w:pStyle w:val="Ttulo1"/>
        <w:spacing w:before="0" w:line="360" w:lineRule="auto"/>
        <w:ind w:right="49"/>
        <w:rPr>
          <w:rFonts w:ascii="Palatino Linotype" w:eastAsia="Palatino Linotype" w:hAnsi="Palatino Linotype" w:cs="Palatino Linotype"/>
          <w:b/>
          <w:color w:val="000000" w:themeColor="text1"/>
          <w:sz w:val="24"/>
          <w:szCs w:val="24"/>
        </w:rPr>
      </w:pPr>
      <w:bookmarkStart w:id="5" w:name="_heading=h.tyjcwt" w:colFirst="0" w:colLast="0"/>
      <w:bookmarkEnd w:id="5"/>
      <w:r w:rsidRPr="00CA58D5">
        <w:rPr>
          <w:rFonts w:ascii="Palatino Linotype" w:eastAsia="Palatino Linotype" w:hAnsi="Palatino Linotype" w:cs="Palatino Linotype"/>
          <w:b/>
          <w:color w:val="000000" w:themeColor="text1"/>
          <w:sz w:val="24"/>
          <w:szCs w:val="24"/>
        </w:rPr>
        <w:t xml:space="preserve">TERCERA. </w:t>
      </w:r>
      <w:r w:rsidR="00B44995" w:rsidRPr="00CA58D5">
        <w:rPr>
          <w:rFonts w:ascii="Palatino Linotype" w:eastAsia="Palatino Linotype" w:hAnsi="Palatino Linotype" w:cs="Palatino Linotype"/>
          <w:b/>
          <w:color w:val="000000" w:themeColor="text1"/>
          <w:sz w:val="24"/>
          <w:szCs w:val="24"/>
        </w:rPr>
        <w:t>De</w:t>
      </w:r>
      <w:r w:rsidR="001268E9" w:rsidRPr="00CA58D5">
        <w:rPr>
          <w:rFonts w:ascii="Palatino Linotype" w:eastAsia="Palatino Linotype" w:hAnsi="Palatino Linotype" w:cs="Palatino Linotype"/>
          <w:b/>
          <w:color w:val="000000" w:themeColor="text1"/>
          <w:sz w:val="24"/>
          <w:szCs w:val="24"/>
        </w:rPr>
        <w:t xml:space="preserve">l planteamiento de la </w:t>
      </w:r>
      <w:r w:rsidR="001268E9" w:rsidRPr="00CA58D5">
        <w:rPr>
          <w:rFonts w:ascii="Palatino Linotype" w:eastAsia="Palatino Linotype" w:hAnsi="Palatino Linotype" w:cs="Palatino Linotype"/>
          <w:b/>
          <w:i/>
          <w:color w:val="000000" w:themeColor="text1"/>
          <w:sz w:val="24"/>
          <w:szCs w:val="24"/>
        </w:rPr>
        <w:t>Litis</w:t>
      </w:r>
    </w:p>
    <w:p w:rsidR="00B84DF1" w:rsidRPr="00CA58D5" w:rsidRDefault="009D3673" w:rsidP="00C66B6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Se solicitó tener acceso, a la información que a continuación se simplifica:</w:t>
      </w:r>
    </w:p>
    <w:p w:rsidR="00DA6FB4" w:rsidRDefault="00DA6FB4" w:rsidP="00DA6FB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B84DF1" w:rsidRPr="00CA58D5" w:rsidRDefault="00C0687B" w:rsidP="00C66B6A">
      <w:pPr>
        <w:numPr>
          <w:ilvl w:val="0"/>
          <w:numId w:val="3"/>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themeColor="text1"/>
        </w:rPr>
      </w:pPr>
      <w:r w:rsidRPr="00CA58D5">
        <w:rPr>
          <w:rFonts w:ascii="Palatino Linotype" w:eastAsia="Palatino Linotype" w:hAnsi="Palatino Linotype" w:cs="Palatino Linotype"/>
          <w:b/>
          <w:color w:val="000000" w:themeColor="text1"/>
        </w:rPr>
        <w:t>Proveedores de los años 2021, 2022, 2023 y 2024</w:t>
      </w:r>
      <w:r w:rsidR="00B60BC1" w:rsidRPr="00CA58D5">
        <w:rPr>
          <w:rFonts w:ascii="Palatino Linotype" w:eastAsia="Palatino Linotype" w:hAnsi="Palatino Linotype" w:cs="Palatino Linotype"/>
          <w:b/>
          <w:color w:val="000000" w:themeColor="text1"/>
        </w:rPr>
        <w:t>.</w:t>
      </w:r>
    </w:p>
    <w:p w:rsidR="00B84DF1" w:rsidRPr="00CA58D5" w:rsidRDefault="00B84DF1" w:rsidP="00C66B6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B84DF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lastRenderedPageBreak/>
        <w:t xml:space="preserve">En respuesta, el </w:t>
      </w:r>
      <w:r w:rsidR="00454DEC" w:rsidRPr="00CA58D5">
        <w:rPr>
          <w:rFonts w:ascii="Palatino Linotype" w:eastAsia="Palatino Linotype" w:hAnsi="Palatino Linotype" w:cs="Palatino Linotype"/>
          <w:b/>
          <w:color w:val="000000" w:themeColor="text1"/>
        </w:rPr>
        <w:t xml:space="preserve">SUJETO OBLIGADO </w:t>
      </w:r>
      <w:r w:rsidR="00454DEC" w:rsidRPr="00CA58D5">
        <w:rPr>
          <w:rFonts w:ascii="Palatino Linotype" w:eastAsia="Palatino Linotype" w:hAnsi="Palatino Linotype" w:cs="Palatino Linotype"/>
          <w:color w:val="000000" w:themeColor="text1"/>
        </w:rPr>
        <w:t>contestó con el escrito plasmado</w:t>
      </w:r>
      <w:r w:rsidRPr="00CA58D5">
        <w:rPr>
          <w:rFonts w:ascii="Palatino Linotype" w:eastAsia="Palatino Linotype" w:hAnsi="Palatino Linotype" w:cs="Palatino Linotype"/>
          <w:color w:val="000000" w:themeColor="text1"/>
        </w:rPr>
        <w:t xml:space="preserve"> en el </w:t>
      </w:r>
      <w:r w:rsidR="003D2130" w:rsidRPr="00CA58D5">
        <w:rPr>
          <w:rFonts w:ascii="Palatino Linotype" w:eastAsia="Palatino Linotype" w:hAnsi="Palatino Linotype" w:cs="Palatino Linotype"/>
          <w:color w:val="000000" w:themeColor="text1"/>
        </w:rPr>
        <w:t xml:space="preserve">anterior </w:t>
      </w:r>
      <w:r w:rsidRPr="00CA58D5">
        <w:rPr>
          <w:rFonts w:ascii="Palatino Linotype" w:eastAsia="Palatino Linotype" w:hAnsi="Palatino Linotype" w:cs="Palatino Linotype"/>
          <w:color w:val="000000" w:themeColor="text1"/>
        </w:rPr>
        <w:t>párrafo 2. Inconforme con la respuesta, se interpuso recurso de revisión</w:t>
      </w:r>
      <w:r w:rsidR="00961CA6" w:rsidRPr="00CA58D5">
        <w:rPr>
          <w:rFonts w:ascii="Palatino Linotype" w:eastAsia="Palatino Linotype" w:hAnsi="Palatino Linotype" w:cs="Palatino Linotype"/>
          <w:color w:val="000000" w:themeColor="text1"/>
        </w:rPr>
        <w:t xml:space="preserve"> argumentando de manera general, </w:t>
      </w:r>
      <w:r w:rsidR="00B11C54" w:rsidRPr="00CA58D5">
        <w:rPr>
          <w:rFonts w:ascii="Palatino Linotype" w:eastAsia="Palatino Linotype" w:hAnsi="Palatino Linotype" w:cs="Palatino Linotype"/>
          <w:color w:val="000000" w:themeColor="text1"/>
        </w:rPr>
        <w:t xml:space="preserve">la </w:t>
      </w:r>
      <w:r w:rsidR="00B60BC1" w:rsidRPr="00CA58D5">
        <w:rPr>
          <w:rFonts w:ascii="Palatino Linotype" w:eastAsia="Palatino Linotype" w:hAnsi="Palatino Linotype" w:cs="Palatino Linotype"/>
          <w:color w:val="000000" w:themeColor="text1"/>
        </w:rPr>
        <w:t>negativa de la información solicitada</w:t>
      </w:r>
      <w:r w:rsidRPr="00CA58D5">
        <w:rPr>
          <w:rFonts w:ascii="Palatino Linotype" w:eastAsia="Palatino Linotype" w:hAnsi="Palatino Linotype" w:cs="Palatino Linotype"/>
          <w:color w:val="000000" w:themeColor="text1"/>
        </w:rPr>
        <w:t>.</w:t>
      </w:r>
    </w:p>
    <w:p w:rsidR="00B84DF1" w:rsidRPr="00CA58D5" w:rsidRDefault="00B84DF1" w:rsidP="00C66B6A">
      <w:pPr>
        <w:spacing w:line="360" w:lineRule="auto"/>
        <w:ind w:right="49"/>
        <w:jc w:val="both"/>
        <w:rPr>
          <w:rFonts w:ascii="Palatino Linotype" w:eastAsia="Palatino Linotype" w:hAnsi="Palatino Linotype" w:cs="Palatino Linotype"/>
          <w:i/>
          <w:color w:val="000000" w:themeColor="text1"/>
        </w:rPr>
      </w:pPr>
    </w:p>
    <w:p w:rsidR="00B84DF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fracción </w:t>
      </w:r>
      <w:r w:rsidR="00B60BC1" w:rsidRPr="00CA58D5">
        <w:rPr>
          <w:rFonts w:ascii="Palatino Linotype" w:eastAsia="Palatino Linotype" w:hAnsi="Palatino Linotype" w:cs="Palatino Linotype"/>
          <w:color w:val="000000" w:themeColor="text1"/>
        </w:rPr>
        <w:t>I</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de la Ley de Transparencia y Acceso a la Información Pública del Estado de</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México</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y</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 xml:space="preserve">Municipios; fracción que determina </w:t>
      </w:r>
      <w:r w:rsidR="00961CA6" w:rsidRPr="00CA58D5">
        <w:rPr>
          <w:rFonts w:ascii="Palatino Linotype" w:eastAsia="Palatino Linotype" w:hAnsi="Palatino Linotype" w:cs="Palatino Linotype"/>
          <w:color w:val="000000" w:themeColor="text1"/>
        </w:rPr>
        <w:t xml:space="preserve">la </w:t>
      </w:r>
      <w:r w:rsidR="00B60BC1" w:rsidRPr="00CA58D5">
        <w:rPr>
          <w:rFonts w:ascii="Palatino Linotype" w:eastAsia="Palatino Linotype" w:hAnsi="Palatino Linotype" w:cs="Palatino Linotype"/>
          <w:color w:val="000000" w:themeColor="text1"/>
        </w:rPr>
        <w:t>negativa de la información solicitada</w:t>
      </w:r>
      <w:r w:rsidRPr="00CA58D5">
        <w:rPr>
          <w:rFonts w:ascii="Palatino Linotype" w:eastAsia="Palatino Linotype" w:hAnsi="Palatino Linotype" w:cs="Palatino Linotype"/>
          <w:color w:val="000000" w:themeColor="text1"/>
        </w:rPr>
        <w:t>.</w:t>
      </w:r>
      <w:r w:rsidR="003D2130" w:rsidRPr="00CA58D5">
        <w:rPr>
          <w:rFonts w:ascii="Palatino Linotype" w:eastAsia="Palatino Linotype" w:hAnsi="Palatino Linotype" w:cs="Palatino Linotype"/>
          <w:color w:val="000000" w:themeColor="text1"/>
        </w:rPr>
        <w:t xml:space="preserve"> De modo tal que el presente R</w:t>
      </w:r>
      <w:r w:rsidRPr="00CA58D5">
        <w:rPr>
          <w:rFonts w:ascii="Palatino Linotype" w:eastAsia="Palatino Linotype" w:hAnsi="Palatino Linotype" w:cs="Palatino Linotype"/>
          <w:color w:val="000000" w:themeColor="text1"/>
        </w:rPr>
        <w:t xml:space="preserve">ecurso de </w:t>
      </w:r>
      <w:r w:rsidR="003D2130" w:rsidRPr="00CA58D5">
        <w:rPr>
          <w:rFonts w:ascii="Palatino Linotype" w:eastAsia="Palatino Linotype" w:hAnsi="Palatino Linotype" w:cs="Palatino Linotype"/>
          <w:color w:val="000000" w:themeColor="text1"/>
        </w:rPr>
        <w:t>R</w:t>
      </w:r>
      <w:r w:rsidRPr="00CA58D5">
        <w:rPr>
          <w:rFonts w:ascii="Palatino Linotype" w:eastAsia="Palatino Linotype" w:hAnsi="Palatino Linotype" w:cs="Palatino Linotype"/>
          <w:color w:val="000000" w:themeColor="text1"/>
        </w:rPr>
        <w:t>evisión se abocará en determinar si el Sujeto Obligado con su respuesta ciertamente actualiza la causal de procedencia</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señalada.</w:t>
      </w:r>
    </w:p>
    <w:p w:rsidR="001268E9" w:rsidRPr="00CA58D5" w:rsidRDefault="001268E9" w:rsidP="00C66B6A">
      <w:pPr>
        <w:pStyle w:val="Ttulo1"/>
        <w:spacing w:before="0" w:line="360" w:lineRule="auto"/>
        <w:ind w:right="49"/>
        <w:rPr>
          <w:rFonts w:ascii="Palatino Linotype" w:eastAsia="Palatino Linotype" w:hAnsi="Palatino Linotype" w:cs="Palatino Linotype"/>
          <w:b/>
          <w:color w:val="000000" w:themeColor="text1"/>
          <w:sz w:val="24"/>
          <w:szCs w:val="24"/>
        </w:rPr>
      </w:pPr>
      <w:r w:rsidRPr="00CA58D5">
        <w:rPr>
          <w:rFonts w:ascii="Palatino Linotype" w:eastAsia="Palatino Linotype" w:hAnsi="Palatino Linotype" w:cs="Palatino Linotype"/>
          <w:b/>
          <w:color w:val="000000" w:themeColor="text1"/>
          <w:sz w:val="24"/>
          <w:szCs w:val="24"/>
        </w:rPr>
        <w:t xml:space="preserve">CUATO. </w:t>
      </w:r>
      <w:r w:rsidR="00EC2856" w:rsidRPr="00CA58D5">
        <w:rPr>
          <w:rFonts w:ascii="Palatino Linotype" w:eastAsia="Palatino Linotype" w:hAnsi="Palatino Linotype" w:cs="Palatino Linotype"/>
          <w:b/>
          <w:color w:val="000000" w:themeColor="text1"/>
          <w:sz w:val="24"/>
          <w:szCs w:val="24"/>
        </w:rPr>
        <w:t>Estudio y resolución</w:t>
      </w:r>
    </w:p>
    <w:p w:rsidR="001268E9" w:rsidRPr="00CA58D5" w:rsidRDefault="001268E9" w:rsidP="00C66B6A">
      <w:pPr>
        <w:spacing w:line="360" w:lineRule="auto"/>
        <w:ind w:right="49"/>
        <w:rPr>
          <w:rFonts w:ascii="Palatino Linotype" w:eastAsia="Palatino Linotype" w:hAnsi="Palatino Linotype" w:cs="Palatino Linotype"/>
          <w:color w:val="000000" w:themeColor="text1"/>
        </w:rPr>
      </w:pPr>
    </w:p>
    <w:p w:rsidR="00B84DF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6" w:name="_heading=h.3dy6vkm" w:colFirst="0" w:colLast="0"/>
      <w:bookmarkEnd w:id="6"/>
      <w:r w:rsidRPr="00CA58D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CA58D5" w:rsidRDefault="00655B77" w:rsidP="00C66B6A">
      <w:pPr>
        <w:spacing w:line="360" w:lineRule="auto"/>
        <w:ind w:right="49"/>
        <w:jc w:val="both"/>
        <w:rPr>
          <w:rFonts w:ascii="Palatino Linotype" w:eastAsia="Palatino Linotype" w:hAnsi="Palatino Linotype" w:cs="Palatino Linotype"/>
          <w:color w:val="000000" w:themeColor="text1"/>
        </w:rPr>
      </w:pPr>
    </w:p>
    <w:p w:rsidR="00B84DF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CA58D5" w:rsidRDefault="003D2130" w:rsidP="00C66B6A">
      <w:pPr>
        <w:pStyle w:val="Prrafodelista"/>
        <w:spacing w:line="360" w:lineRule="auto"/>
        <w:ind w:left="0" w:right="49"/>
        <w:rPr>
          <w:rFonts w:ascii="Palatino Linotype" w:eastAsia="Palatino Linotype" w:hAnsi="Palatino Linotype" w:cs="Palatino Linotype"/>
          <w:color w:val="000000" w:themeColor="text1"/>
        </w:rPr>
      </w:pPr>
    </w:p>
    <w:p w:rsidR="00B84DF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35EA5" w:rsidRPr="00CA58D5" w:rsidRDefault="00435EA5" w:rsidP="00C66B6A">
      <w:pPr>
        <w:pStyle w:val="Prrafodelista"/>
        <w:spacing w:line="360" w:lineRule="auto"/>
        <w:ind w:left="0" w:right="49"/>
        <w:rPr>
          <w:rFonts w:ascii="Palatino Linotype" w:eastAsia="Palatino Linotype" w:hAnsi="Palatino Linotype" w:cs="Palatino Linotype"/>
          <w:color w:val="000000" w:themeColor="text1"/>
        </w:rPr>
      </w:pPr>
    </w:p>
    <w:p w:rsidR="00B60BC1" w:rsidRPr="00CA58D5" w:rsidRDefault="009D3673"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 xml:space="preserve">Acotado lo anterior, es dable traer a contexto </w:t>
      </w:r>
      <w:r w:rsidR="00B60BC1" w:rsidRPr="00CA58D5">
        <w:rPr>
          <w:rFonts w:ascii="Palatino Linotype" w:eastAsia="Palatino Linotype" w:hAnsi="Palatino Linotype" w:cs="Palatino Linotype"/>
          <w:color w:val="000000" w:themeColor="text1"/>
        </w:rPr>
        <w:t xml:space="preserve">la respuesta, que versa en </w:t>
      </w:r>
      <w:r w:rsidR="00C0687B" w:rsidRPr="00CA58D5">
        <w:rPr>
          <w:rFonts w:ascii="Palatino Linotype" w:eastAsia="Palatino Linotype" w:hAnsi="Palatino Linotype" w:cs="Palatino Linotype"/>
          <w:color w:val="000000" w:themeColor="text1"/>
        </w:rPr>
        <w:t xml:space="preserve">la ausencia de soporte documental de lo solicitado, contexto que generó la inconformidad del ahora </w:t>
      </w:r>
      <w:r w:rsidR="00C0687B" w:rsidRPr="00CA58D5">
        <w:rPr>
          <w:rFonts w:ascii="Palatino Linotype" w:eastAsia="Palatino Linotype" w:hAnsi="Palatino Linotype" w:cs="Palatino Linotype"/>
          <w:b/>
          <w:color w:val="000000" w:themeColor="text1"/>
        </w:rPr>
        <w:t xml:space="preserve">RECURRENTE, </w:t>
      </w:r>
      <w:r w:rsidR="00C0687B" w:rsidRPr="00CA58D5">
        <w:rPr>
          <w:rFonts w:ascii="Palatino Linotype" w:eastAsia="Palatino Linotype" w:hAnsi="Palatino Linotype" w:cs="Palatino Linotype"/>
          <w:color w:val="000000" w:themeColor="text1"/>
        </w:rPr>
        <w:t xml:space="preserve">aduciendo además de la negativa de la entrega de la información, que lo solicitado corresponde a información pública de oficio, que es aquella que los sujetos obligados están compelidos a publicar y mantener actualizada sin necesidad de que un </w:t>
      </w:r>
      <w:r w:rsidR="00C0687B" w:rsidRPr="00CA58D5">
        <w:rPr>
          <w:rFonts w:ascii="Palatino Linotype" w:eastAsia="Palatino Linotype" w:hAnsi="Palatino Linotype" w:cs="Palatino Linotype"/>
          <w:color w:val="000000" w:themeColor="text1"/>
        </w:rPr>
        <w:lastRenderedPageBreak/>
        <w:t>ciudadano lo solicite, como parte de sus deberes de transparencia y acceso a la información.</w:t>
      </w:r>
      <w:r w:rsidR="005A2995" w:rsidRPr="00CA58D5">
        <w:rPr>
          <w:rFonts w:ascii="Palatino Linotype" w:eastAsia="Palatino Linotype" w:hAnsi="Palatino Linotype" w:cs="Palatino Linotype"/>
          <w:color w:val="000000" w:themeColor="text1"/>
        </w:rPr>
        <w:t xml:space="preserve"> </w:t>
      </w:r>
    </w:p>
    <w:p w:rsidR="00B60BC1" w:rsidRPr="00CA58D5" w:rsidRDefault="00B60BC1" w:rsidP="00C66B6A">
      <w:pPr>
        <w:pStyle w:val="Prrafodelista"/>
        <w:spacing w:line="360" w:lineRule="auto"/>
        <w:ind w:left="0" w:right="49"/>
        <w:rPr>
          <w:rFonts w:ascii="Palatino Linotype" w:eastAsia="Palatino Linotype" w:hAnsi="Palatino Linotype" w:cs="Palatino Linotype"/>
          <w:color w:val="000000" w:themeColor="text1"/>
        </w:rPr>
      </w:pPr>
    </w:p>
    <w:p w:rsidR="005A2995" w:rsidRPr="00CA58D5" w:rsidRDefault="005A2995" w:rsidP="00C66B6A">
      <w:pPr>
        <w:numPr>
          <w:ilvl w:val="0"/>
          <w:numId w:val="1"/>
        </w:numPr>
        <w:spacing w:line="360" w:lineRule="auto"/>
        <w:ind w:left="0" w:right="49" w:firstLine="0"/>
        <w:jc w:val="both"/>
        <w:rPr>
          <w:rFonts w:ascii="Palatino Linotype" w:eastAsia="MS Mincho" w:hAnsi="Palatino Linotype" w:cs="Tahoma"/>
          <w:color w:val="000000" w:themeColor="text1"/>
        </w:rPr>
      </w:pPr>
      <w:r w:rsidRPr="00CA58D5">
        <w:rPr>
          <w:rFonts w:ascii="Palatino Linotype" w:eastAsia="Calibri" w:hAnsi="Palatino Linotype" w:cs="Arial"/>
          <w:color w:val="000000" w:themeColor="text1"/>
        </w:rPr>
        <w:t>Contexto que ciertamente resulta procedente por las siguientes consideraciones. E</w:t>
      </w:r>
      <w:r w:rsidRPr="00CA58D5">
        <w:rPr>
          <w:rFonts w:ascii="Palatino Linotype" w:hAnsi="Palatino Linotype" w:cs="Arial"/>
          <w:color w:val="000000" w:themeColor="text1"/>
        </w:rPr>
        <w:t>l padrón de proveedores y contratistas, es información que corresponde a u</w:t>
      </w:r>
      <w:r w:rsidRPr="00CA58D5">
        <w:rPr>
          <w:rFonts w:ascii="Palatino Linotype" w:eastAsia="Calibri" w:hAnsi="Palatino Linotype"/>
          <w:color w:val="000000" w:themeColor="text1"/>
          <w:lang w:val="es-ES"/>
        </w:rPr>
        <w:t xml:space="preserve">na de las obligaciones de </w:t>
      </w:r>
      <w:r w:rsidRPr="00CA58D5">
        <w:rPr>
          <w:rFonts w:ascii="Palatino Linotype" w:eastAsia="Palatino Linotype" w:hAnsi="Palatino Linotype" w:cs="Palatino Linotype"/>
          <w:color w:val="000000" w:themeColor="text1"/>
        </w:rPr>
        <w:t>transparencias</w:t>
      </w:r>
      <w:r w:rsidRPr="00CA58D5">
        <w:rPr>
          <w:rFonts w:ascii="Palatino Linotype" w:eastAsia="Calibri" w:hAnsi="Palatino Linotype"/>
          <w:color w:val="000000" w:themeColor="text1"/>
          <w:lang w:val="es-ES"/>
        </w:rPr>
        <w:t xml:space="preserve">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XXXVI</w:t>
      </w:r>
      <w:r w:rsidRPr="00CA58D5">
        <w:rPr>
          <w:rFonts w:ascii="Palatino Linotype" w:eastAsia="MS Mincho" w:hAnsi="Palatino Linotype" w:cs="Tahoma"/>
          <w:color w:val="000000" w:themeColor="text1"/>
        </w:rPr>
        <w:t xml:space="preserve">, que refieren: </w:t>
      </w:r>
    </w:p>
    <w:p w:rsidR="005A2995" w:rsidRPr="00CA58D5" w:rsidRDefault="005A2995" w:rsidP="00C66B6A">
      <w:pPr>
        <w:spacing w:line="360" w:lineRule="auto"/>
        <w:ind w:right="49"/>
        <w:jc w:val="both"/>
        <w:rPr>
          <w:rFonts w:ascii="Palatino Linotype" w:eastAsia="MS Mincho" w:hAnsi="Palatino Linotype" w:cs="Tahoma"/>
          <w:color w:val="000000" w:themeColor="text1"/>
        </w:rPr>
      </w:pPr>
    </w:p>
    <w:p w:rsidR="005A2995" w:rsidRPr="00CA58D5" w:rsidRDefault="005A2995" w:rsidP="00C66B6A">
      <w:pPr>
        <w:spacing w:line="360" w:lineRule="auto"/>
        <w:ind w:right="49"/>
        <w:jc w:val="both"/>
        <w:rPr>
          <w:rFonts w:ascii="Palatino Linotype" w:eastAsia="MS Mincho" w:hAnsi="Palatino Linotype" w:cs="Tahoma"/>
          <w:i/>
          <w:color w:val="000000" w:themeColor="text1"/>
        </w:rPr>
      </w:pPr>
      <w:r w:rsidRPr="00CA58D5">
        <w:rPr>
          <w:rFonts w:ascii="Palatino Linotype" w:eastAsia="MS Mincho" w:hAnsi="Palatino Linotype" w:cs="Tahoma"/>
          <w:i/>
          <w:color w:val="000000" w:themeColor="text1"/>
        </w:rPr>
        <w:t>“</w:t>
      </w:r>
      <w:r w:rsidRPr="00CA58D5">
        <w:rPr>
          <w:rFonts w:ascii="Palatino Linotype" w:eastAsia="MS Mincho" w:hAnsi="Palatino Linotype" w:cs="Tahoma"/>
          <w:b/>
          <w:i/>
          <w:color w:val="000000" w:themeColor="text1"/>
        </w:rPr>
        <w:t>Artículo 92.</w:t>
      </w:r>
      <w:r w:rsidRPr="00CA58D5">
        <w:rPr>
          <w:rFonts w:ascii="Palatino Linotype" w:eastAsia="MS Mincho" w:hAnsi="Palatino Linotype" w:cs="Tahoma"/>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A2995" w:rsidRPr="00CA58D5" w:rsidRDefault="005A2995" w:rsidP="00C66B6A">
      <w:pPr>
        <w:spacing w:line="360" w:lineRule="auto"/>
        <w:ind w:right="49"/>
        <w:jc w:val="both"/>
        <w:rPr>
          <w:rFonts w:ascii="Palatino Linotype" w:eastAsia="MS Mincho" w:hAnsi="Palatino Linotype" w:cs="Tahoma"/>
          <w:b/>
          <w:i/>
          <w:color w:val="000000" w:themeColor="text1"/>
        </w:rPr>
      </w:pPr>
      <w:r w:rsidRPr="00CA58D5">
        <w:rPr>
          <w:rFonts w:ascii="Palatino Linotype" w:eastAsia="MS Mincho" w:hAnsi="Palatino Linotype" w:cs="Tahoma"/>
          <w:b/>
          <w:i/>
          <w:color w:val="000000" w:themeColor="text1"/>
        </w:rPr>
        <w:t>…</w:t>
      </w:r>
    </w:p>
    <w:p w:rsidR="005A2995" w:rsidRPr="00CA58D5" w:rsidRDefault="005A2995" w:rsidP="00C66B6A">
      <w:pPr>
        <w:spacing w:line="360" w:lineRule="auto"/>
        <w:ind w:right="49"/>
        <w:jc w:val="both"/>
        <w:rPr>
          <w:rFonts w:ascii="Palatino Linotype" w:eastAsia="MS Mincho" w:hAnsi="Palatino Linotype" w:cs="Tahoma"/>
          <w:i/>
          <w:color w:val="000000" w:themeColor="text1"/>
        </w:rPr>
      </w:pPr>
      <w:r w:rsidRPr="00CA58D5">
        <w:rPr>
          <w:rFonts w:ascii="Palatino Linotype" w:eastAsia="MS Mincho" w:hAnsi="Palatino Linotype" w:cs="Tahoma"/>
          <w:b/>
          <w:i/>
          <w:color w:val="000000" w:themeColor="text1"/>
        </w:rPr>
        <w:t>XXXVI.</w:t>
      </w:r>
      <w:r w:rsidRPr="00CA58D5">
        <w:rPr>
          <w:rFonts w:ascii="Palatino Linotype" w:eastAsia="MS Mincho" w:hAnsi="Palatino Linotype" w:cs="Tahoma"/>
          <w:i/>
          <w:color w:val="000000" w:themeColor="text1"/>
        </w:rPr>
        <w:t xml:space="preserve"> </w:t>
      </w:r>
      <w:r w:rsidRPr="00CA58D5">
        <w:rPr>
          <w:rFonts w:ascii="Palatino Linotype" w:eastAsia="MS Mincho" w:hAnsi="Palatino Linotype" w:cs="Tahoma"/>
          <w:b/>
          <w:i/>
          <w:color w:val="000000" w:themeColor="text1"/>
        </w:rPr>
        <w:t>Padrón de proveedores y contratistas</w:t>
      </w:r>
      <w:r w:rsidRPr="00CA58D5">
        <w:rPr>
          <w:rFonts w:ascii="Palatino Linotype" w:eastAsia="MS Mincho" w:hAnsi="Palatino Linotype" w:cs="Tahoma"/>
          <w:i/>
          <w:color w:val="000000" w:themeColor="text1"/>
        </w:rPr>
        <w:t xml:space="preserve">;” </w:t>
      </w:r>
    </w:p>
    <w:p w:rsidR="005A2995" w:rsidRPr="00CA58D5" w:rsidRDefault="005A2995" w:rsidP="00C66B6A">
      <w:pPr>
        <w:spacing w:line="360" w:lineRule="auto"/>
        <w:ind w:right="49"/>
        <w:jc w:val="both"/>
        <w:rPr>
          <w:rFonts w:ascii="Palatino Linotype" w:eastAsia="MS Mincho" w:hAnsi="Palatino Linotype" w:cs="Tahoma"/>
          <w:i/>
          <w:color w:val="000000" w:themeColor="text1"/>
        </w:rPr>
      </w:pPr>
      <w:r w:rsidRPr="00CA58D5">
        <w:rPr>
          <w:rFonts w:ascii="Palatino Linotype" w:eastAsia="MS Mincho" w:hAnsi="Palatino Linotype" w:cs="Tahoma"/>
          <w:i/>
          <w:color w:val="000000" w:themeColor="text1"/>
        </w:rPr>
        <w:t>(Énfasis añadido)</w:t>
      </w:r>
    </w:p>
    <w:p w:rsidR="005A2995" w:rsidRPr="00CA58D5" w:rsidRDefault="005A2995" w:rsidP="00C66B6A">
      <w:pPr>
        <w:spacing w:line="360" w:lineRule="auto"/>
        <w:ind w:right="49"/>
        <w:jc w:val="both"/>
        <w:rPr>
          <w:rFonts w:ascii="Palatino Linotype" w:eastAsia="MS Mincho" w:hAnsi="Palatino Linotype" w:cs="Tahoma"/>
          <w:i/>
          <w:color w:val="000000" w:themeColor="text1"/>
        </w:rPr>
      </w:pPr>
    </w:p>
    <w:p w:rsidR="005A2995" w:rsidRPr="00CA58D5" w:rsidRDefault="005A2995"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olor w:val="000000" w:themeColor="text1"/>
          <w:lang w:val="es-ES" w:eastAsia="es-MX"/>
        </w:rPr>
        <w:t xml:space="preserve">Ahora bien, </w:t>
      </w:r>
      <w:r w:rsidRPr="00CA58D5">
        <w:rPr>
          <w:rFonts w:ascii="Palatino Linotype" w:hAnsi="Palatino Linotype" w:cs="Arial"/>
          <w:color w:val="000000" w:themeColor="text1"/>
          <w:lang w:eastAsia="es-MX"/>
        </w:rPr>
        <w:t xml:space="preserve">es dable mencionar que los </w:t>
      </w:r>
      <w:r w:rsidRPr="00CA58D5">
        <w:rPr>
          <w:rFonts w:ascii="Palatino Linotype" w:hAnsi="Palatino Linotype" w:cs="Arial"/>
          <w:color w:val="000000" w:themeColor="text1"/>
        </w:rPr>
        <w:t xml:space="preserve">Lineamientos Técnicos Generales para la publicación, </w:t>
      </w:r>
      <w:r w:rsidRPr="00CA58D5">
        <w:rPr>
          <w:rFonts w:ascii="Palatino Linotype" w:eastAsia="Calibri" w:hAnsi="Palatino Linotype" w:cs="Arial"/>
          <w:color w:val="000000" w:themeColor="text1"/>
        </w:rPr>
        <w:t>homologación</w:t>
      </w:r>
      <w:r w:rsidRPr="00CA58D5">
        <w:rPr>
          <w:rFonts w:ascii="Palatino Linotype" w:hAnsi="Palatino Linotype" w:cs="Arial"/>
          <w:color w:val="000000" w:themeColor="text1"/>
        </w:rPr>
        <w:t xml:space="preserve"> y estandarización de la información de las obligaciones </w:t>
      </w:r>
      <w:r w:rsidRPr="00CA58D5">
        <w:rPr>
          <w:rFonts w:ascii="Palatino Linotype" w:hAnsi="Palatino Linotype" w:cs="Arial"/>
          <w:color w:val="000000" w:themeColor="text1"/>
        </w:rPr>
        <w:lastRenderedPageBreak/>
        <w:t xml:space="preserve">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rsidR="005A2995" w:rsidRPr="00CA58D5" w:rsidRDefault="005A2995" w:rsidP="00C66B6A">
      <w:pPr>
        <w:spacing w:line="360" w:lineRule="auto"/>
        <w:ind w:right="49"/>
        <w:jc w:val="both"/>
        <w:rPr>
          <w:rFonts w:ascii="Palatino Linotype" w:hAnsi="Palatino Linotype" w:cs="Arial"/>
          <w:color w:val="000000" w:themeColor="text1"/>
        </w:rPr>
      </w:pP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“XXXII. Padrón de proveedores y contratistas</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i/>
          <w:color w:val="000000" w:themeColor="text1"/>
        </w:rPr>
        <w:t>En cumplimiento a la presente fracción, los sujetos obligados deberán publicar un padrón con información relativa a las personas físicas</w:t>
      </w:r>
      <w:r w:rsidRPr="00CA58D5">
        <w:rPr>
          <w:rFonts w:ascii="Palatino Linotype" w:hAnsi="Palatino Linotype" w:cs="Arial"/>
          <w:i/>
          <w:color w:val="000000" w:themeColor="text1"/>
          <w:vertAlign w:val="superscript"/>
        </w:rPr>
        <w:footnoteReference w:id="1"/>
      </w:r>
      <w:r w:rsidRPr="00CA58D5">
        <w:rPr>
          <w:rFonts w:ascii="Palatino Linotype" w:hAnsi="Palatino Linotype" w:cs="Arial"/>
          <w:i/>
          <w:color w:val="000000" w:themeColor="text1"/>
        </w:rPr>
        <w:t xml:space="preserve"> y morales con las que celebren contratos de adquisiciones, arrendamientos, servicios, obras públicas y/o servicios relacionados con las mismas, que deberá actualizarse por lo menos cada tres meses.</w:t>
      </w:r>
    </w:p>
    <w:p w:rsidR="005A2995" w:rsidRPr="00CA58D5" w:rsidRDefault="005A2995"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i/>
          <w:color w:val="000000" w:themeColor="text1"/>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5A2995" w:rsidRPr="00CA58D5" w:rsidRDefault="005A2995"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i/>
          <w:color w:val="000000" w:themeColor="text1"/>
        </w:rPr>
        <w:lastRenderedPageBreak/>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rsidR="00C66B6A" w:rsidRPr="00CA58D5" w:rsidRDefault="00C66B6A"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Periodo de actualización</w:t>
      </w:r>
      <w:r w:rsidRPr="00CA58D5">
        <w:rPr>
          <w:rFonts w:ascii="Palatino Linotype" w:hAnsi="Palatino Linotype" w:cs="Arial"/>
          <w:i/>
          <w:color w:val="000000" w:themeColor="text1"/>
        </w:rPr>
        <w:t>: trimestral</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Conservar en el sitio de Internet:</w:t>
      </w:r>
      <w:r w:rsidRPr="00CA58D5">
        <w:rPr>
          <w:rFonts w:ascii="Palatino Linotype" w:hAnsi="Palatino Linotype" w:cs="Arial"/>
          <w:i/>
          <w:color w:val="000000" w:themeColor="text1"/>
        </w:rPr>
        <w:t xml:space="preserve"> información del ejercicio en curso y la correspondiente al ejercicio inmediato anterior </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Aplica a:</w:t>
      </w:r>
      <w:r w:rsidRPr="00CA58D5">
        <w:rPr>
          <w:rFonts w:ascii="Palatino Linotype" w:hAnsi="Palatino Linotype" w:cs="Arial"/>
          <w:i/>
          <w:color w:val="000000" w:themeColor="text1"/>
        </w:rPr>
        <w:t xml:space="preserve"> todos los sujetos obligados</w:t>
      </w:r>
    </w:p>
    <w:p w:rsidR="00C66B6A" w:rsidRPr="00CA58D5" w:rsidRDefault="00C66B6A" w:rsidP="00C66B6A">
      <w:pPr>
        <w:spacing w:line="360" w:lineRule="auto"/>
        <w:ind w:right="49"/>
        <w:jc w:val="both"/>
        <w:rPr>
          <w:rFonts w:ascii="Palatino Linotype" w:hAnsi="Palatino Linotype" w:cs="Arial"/>
          <w:b/>
          <w:i/>
          <w:color w:val="000000" w:themeColor="text1"/>
        </w:rPr>
      </w:pP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 xml:space="preserve">Criterios sustantivos de contenido </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w:t>
      </w:r>
      <w:r w:rsidRPr="00CA58D5">
        <w:rPr>
          <w:rFonts w:ascii="Palatino Linotype" w:hAnsi="Palatino Linotype" w:cs="Arial"/>
          <w:i/>
          <w:color w:val="000000" w:themeColor="text1"/>
        </w:rPr>
        <w:t xml:space="preserve"> Ejercicio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w:t>
      </w:r>
      <w:r w:rsidRPr="00CA58D5">
        <w:rPr>
          <w:rFonts w:ascii="Palatino Linotype" w:hAnsi="Palatino Linotype" w:cs="Arial"/>
          <w:i/>
          <w:color w:val="000000" w:themeColor="text1"/>
        </w:rPr>
        <w:t xml:space="preserve"> Periodo que se informa (fecha de inicio y fecha de término con el formato día/mes/año)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3</w:t>
      </w:r>
      <w:r w:rsidRPr="00CA58D5">
        <w:rPr>
          <w:rFonts w:ascii="Palatino Linotype" w:hAnsi="Palatino Linotype" w:cs="Arial"/>
          <w:i/>
          <w:color w:val="000000" w:themeColor="text1"/>
        </w:rPr>
        <w:t xml:space="preserve"> Personería jurídica del proveedor o contratista (catálogo): Persona física/Persona moral</w:t>
      </w:r>
      <w:r w:rsidRPr="00CA58D5">
        <w:rPr>
          <w:rFonts w:ascii="Palatino Linotype" w:hAnsi="Palatino Linotype" w:cs="Arial"/>
          <w:i/>
          <w:color w:val="000000" w:themeColor="text1"/>
          <w:vertAlign w:val="superscript"/>
        </w:rPr>
        <w:footnoteReference w:id="2"/>
      </w: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Criterio 4 Nombre (nombre[s], primer apellido, segundo apellido), denominación o razón social del proveedor o contratista.</w:t>
      </w:r>
      <w:r w:rsidRPr="00CA58D5">
        <w:rPr>
          <w:rFonts w:ascii="Palatino Linotype" w:hAnsi="Palatino Linotype" w:cs="Arial"/>
          <w:b/>
          <w:i/>
          <w:color w:val="000000" w:themeColor="text1"/>
          <w:vertAlign w:val="superscript"/>
        </w:rPr>
        <w:footnoteReference w:id="3"/>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5</w:t>
      </w:r>
      <w:r w:rsidRPr="00CA58D5">
        <w:rPr>
          <w:rFonts w:ascii="Palatino Linotype" w:hAnsi="Palatino Linotype" w:cs="Arial"/>
          <w:i/>
          <w:color w:val="000000" w:themeColor="text1"/>
        </w:rPr>
        <w:t xml:space="preserve"> Estratificación</w:t>
      </w:r>
      <w:r w:rsidRPr="00CA58D5">
        <w:rPr>
          <w:rFonts w:ascii="Palatino Linotype" w:hAnsi="Palatino Linotype" w:cs="Arial"/>
          <w:i/>
          <w:color w:val="000000" w:themeColor="text1"/>
          <w:vertAlign w:val="superscript"/>
        </w:rPr>
        <w:footnoteReference w:id="4"/>
      </w:r>
      <w:r w:rsidRPr="00CA58D5">
        <w:rPr>
          <w:rFonts w:ascii="Palatino Linotype" w:hAnsi="Palatino Linotype" w:cs="Arial"/>
          <w:i/>
          <w:color w:val="000000" w:themeColor="text1"/>
        </w:rPr>
        <w:t>, por ejemplo, Micro empresa, pequeña empresa, mediana empresa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6</w:t>
      </w:r>
      <w:r w:rsidRPr="00CA58D5">
        <w:rPr>
          <w:rFonts w:ascii="Palatino Linotype" w:hAnsi="Palatino Linotype" w:cs="Arial"/>
          <w:i/>
          <w:color w:val="000000" w:themeColor="text1"/>
        </w:rPr>
        <w:t xml:space="preserve"> Origen del proveedor o contratista (catálogo): Nacional/Extranjero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lastRenderedPageBreak/>
        <w:t>Criterio 7</w:t>
      </w:r>
      <w:r w:rsidRPr="00CA58D5">
        <w:rPr>
          <w:rFonts w:ascii="Palatino Linotype" w:hAnsi="Palatino Linotype" w:cs="Arial"/>
          <w:i/>
          <w:color w:val="000000" w:themeColor="text1"/>
        </w:rPr>
        <w:t xml:space="preserve"> Entidad federativa (catálogo de entidades federativas) si la empresa es nacional</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w:t>
      </w:r>
      <w:r w:rsidRPr="00CA58D5">
        <w:rPr>
          <w:rFonts w:ascii="Palatino Linotype" w:hAnsi="Palatino Linotype" w:cs="Arial"/>
          <w:i/>
          <w:color w:val="000000" w:themeColor="text1"/>
        </w:rPr>
        <w:t xml:space="preserve"> </w:t>
      </w:r>
      <w:r w:rsidRPr="00CA58D5">
        <w:rPr>
          <w:rFonts w:ascii="Palatino Linotype" w:hAnsi="Palatino Linotype" w:cs="Arial"/>
          <w:b/>
          <w:i/>
          <w:color w:val="000000" w:themeColor="text1"/>
        </w:rPr>
        <w:t>8</w:t>
      </w:r>
      <w:r w:rsidRPr="00CA58D5">
        <w:rPr>
          <w:rFonts w:ascii="Palatino Linotype" w:hAnsi="Palatino Linotype" w:cs="Arial"/>
          <w:i/>
          <w:color w:val="000000" w:themeColor="text1"/>
        </w:rPr>
        <w:t xml:space="preserve"> País de origen si la empresa es una filial extranjera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9</w:t>
      </w:r>
      <w:r w:rsidRPr="00CA58D5">
        <w:rPr>
          <w:rFonts w:ascii="Palatino Linotype" w:hAnsi="Palatino Linotype" w:cs="Arial"/>
          <w:i/>
          <w:color w:val="000000" w:themeColor="text1"/>
        </w:rPr>
        <w:t xml:space="preserve"> Registro Federal de Contribuyentes (RFC) de la persona física o moral con </w:t>
      </w:r>
      <w:proofErr w:type="spellStart"/>
      <w:r w:rsidRPr="00CA58D5">
        <w:rPr>
          <w:rFonts w:ascii="Palatino Linotype" w:hAnsi="Palatino Linotype" w:cs="Arial"/>
          <w:i/>
          <w:color w:val="000000" w:themeColor="text1"/>
        </w:rPr>
        <w:t>homoclave</w:t>
      </w:r>
      <w:proofErr w:type="spellEnd"/>
      <w:r w:rsidRPr="00CA58D5">
        <w:rPr>
          <w:rFonts w:ascii="Palatino Linotype" w:hAnsi="Palatino Linotype" w:cs="Arial"/>
          <w:i/>
          <w:color w:val="000000" w:themeColor="text1"/>
        </w:rPr>
        <w:t xml:space="preserve"> incluida, emitido por el Servicio de Administración Tributaria (SAT). En el caso de personas morales son 12 caracteres y en el de personas físicas 13.</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10</w:t>
      </w:r>
      <w:r w:rsidRPr="00CA58D5">
        <w:rPr>
          <w:rFonts w:ascii="Palatino Linotype" w:hAnsi="Palatino Linotype" w:cs="Arial"/>
          <w:i/>
          <w:color w:val="000000" w:themeColor="text1"/>
        </w:rPr>
        <w:t xml:space="preserve"> Entidad federativa de la persona física o moral (catálogo)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11</w:t>
      </w:r>
      <w:r w:rsidRPr="00CA58D5">
        <w:rPr>
          <w:rFonts w:ascii="Palatino Linotype" w:hAnsi="Palatino Linotype" w:cs="Arial"/>
          <w:i/>
          <w:color w:val="000000" w:themeColor="text1"/>
        </w:rPr>
        <w:t xml:space="preserve"> El proveedor o contratista realiza subcontrataciones (catálogo): Sí / No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12</w:t>
      </w:r>
      <w:r w:rsidRPr="00CA58D5">
        <w:rPr>
          <w:rFonts w:ascii="Palatino Linotype" w:hAnsi="Palatino Linotype" w:cs="Arial"/>
          <w:i/>
          <w:color w:val="000000" w:themeColor="text1"/>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Criterio 13 Domicilio</w:t>
      </w:r>
      <w:r w:rsidRPr="00CA58D5">
        <w:rPr>
          <w:rFonts w:ascii="Palatino Linotype" w:hAnsi="Palatino Linotype" w:cs="Arial"/>
          <w:b/>
          <w:i/>
          <w:color w:val="000000" w:themeColor="text1"/>
          <w:vertAlign w:val="superscript"/>
        </w:rPr>
        <w:footnoteReference w:id="5"/>
      </w:r>
      <w:r w:rsidRPr="00CA58D5">
        <w:rPr>
          <w:rFonts w:ascii="Palatino Linotype" w:hAnsi="Palatino Linotype" w:cs="Arial"/>
          <w:b/>
          <w:i/>
          <w:color w:val="000000" w:themeColor="text1"/>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lastRenderedPageBreak/>
        <w:t>Criterio 14</w:t>
      </w:r>
      <w:r w:rsidRPr="00CA58D5">
        <w:rPr>
          <w:rFonts w:ascii="Palatino Linotype" w:hAnsi="Palatino Linotype" w:cs="Arial"/>
          <w:i/>
          <w:color w:val="000000" w:themeColor="text1"/>
        </w:rPr>
        <w:t xml:space="preserve"> Domicilio en el extranjero. En caso de que el proveedor o contratista sea de otro país, se deberá incluir el domicilio el cual deberá incluir por lo menos: país, ciudad, calle y número </w:t>
      </w:r>
    </w:p>
    <w:p w:rsidR="005A2995" w:rsidRPr="00CA58D5" w:rsidRDefault="005A2995"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i/>
          <w:color w:val="000000" w:themeColor="text1"/>
        </w:rPr>
        <w:t>Respecto del Representante legal se publicará la siguiente información:</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15</w:t>
      </w:r>
      <w:r w:rsidRPr="00CA58D5">
        <w:rPr>
          <w:rFonts w:ascii="Palatino Linotype" w:hAnsi="Palatino Linotype" w:cs="Arial"/>
          <w:i/>
          <w:color w:val="000000" w:themeColor="text1"/>
        </w:rPr>
        <w:t xml:space="preserve"> Nombre del representante legal de la empresa, es decir, la persona que posee facultades legales para representarla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16</w:t>
      </w:r>
      <w:r w:rsidRPr="00CA58D5">
        <w:rPr>
          <w:rFonts w:ascii="Palatino Linotype" w:hAnsi="Palatino Linotype" w:cs="Arial"/>
          <w:i/>
          <w:color w:val="000000" w:themeColor="text1"/>
        </w:rPr>
        <w:t xml:space="preserve"> Datos de contacto: teléfono, en su caso extensión</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17</w:t>
      </w:r>
      <w:r w:rsidRPr="00CA58D5">
        <w:rPr>
          <w:rFonts w:ascii="Palatino Linotype" w:hAnsi="Palatino Linotype" w:cs="Arial"/>
          <w:i/>
          <w:color w:val="000000" w:themeColor="text1"/>
        </w:rPr>
        <w:t xml:space="preserve"> Correo electrónico, siempre y cuando éstos hayan sido proporcionados por la empresa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18</w:t>
      </w:r>
      <w:r w:rsidRPr="00CA58D5">
        <w:rPr>
          <w:rFonts w:ascii="Palatino Linotype" w:hAnsi="Palatino Linotype" w:cs="Arial"/>
          <w:i/>
          <w:color w:val="000000" w:themeColor="text1"/>
        </w:rPr>
        <w:t xml:space="preserve"> Tipo de acreditación legal que posee o, en su caso, señalar que no se cuenta con uno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19</w:t>
      </w:r>
      <w:r w:rsidRPr="00CA58D5">
        <w:rPr>
          <w:rFonts w:ascii="Palatino Linotype" w:hAnsi="Palatino Linotype" w:cs="Arial"/>
          <w:i/>
          <w:color w:val="000000" w:themeColor="text1"/>
        </w:rPr>
        <w:t xml:space="preserve"> Dirección electrónica que corresponda a la página web del proveedor o contratista</w:t>
      </w: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Criterio 20 Teléfono oficial del proveedor o contratista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21</w:t>
      </w:r>
      <w:r w:rsidRPr="00CA58D5">
        <w:rPr>
          <w:rFonts w:ascii="Palatino Linotype" w:hAnsi="Palatino Linotype" w:cs="Arial"/>
          <w:i/>
          <w:color w:val="000000" w:themeColor="text1"/>
        </w:rPr>
        <w:t xml:space="preserve"> Correo electrónico comercial del proveedor o contratista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22</w:t>
      </w:r>
      <w:r w:rsidRPr="00CA58D5">
        <w:rPr>
          <w:rFonts w:ascii="Palatino Linotype" w:hAnsi="Palatino Linotype" w:cs="Arial"/>
          <w:i/>
          <w:color w:val="000000" w:themeColor="text1"/>
        </w:rPr>
        <w:t xml:space="preserve"> Hipervínculo al registro electrónico de proveedores y contratistas que, en su caso, corresponda</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23</w:t>
      </w:r>
      <w:r w:rsidRPr="00CA58D5">
        <w:rPr>
          <w:rFonts w:ascii="Palatino Linotype" w:hAnsi="Palatino Linotype" w:cs="Arial"/>
          <w:i/>
          <w:color w:val="000000" w:themeColor="text1"/>
        </w:rPr>
        <w:t xml:space="preserve"> Hipervínculo al Directorio de Proveedores y Contratistas Sancionados Criterios adjetivos de actualización</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24</w:t>
      </w:r>
      <w:r w:rsidRPr="00CA58D5">
        <w:rPr>
          <w:rFonts w:ascii="Palatino Linotype" w:hAnsi="Palatino Linotype" w:cs="Arial"/>
          <w:i/>
          <w:color w:val="000000" w:themeColor="text1"/>
        </w:rPr>
        <w:t xml:space="preserve"> Periodo de actualización de la información: trimestral</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25</w:t>
      </w:r>
      <w:r w:rsidRPr="00CA58D5">
        <w:rPr>
          <w:rFonts w:ascii="Palatino Linotype" w:hAnsi="Palatino Linotype" w:cs="Arial"/>
          <w:i/>
          <w:color w:val="000000" w:themeColor="text1"/>
        </w:rPr>
        <w:t xml:space="preserve"> La información deberá estar actualizada al periodo que corresponde, de acuerdo con la Tabla de actualización y conservación de la información</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26</w:t>
      </w:r>
      <w:r w:rsidRPr="00CA58D5">
        <w:rPr>
          <w:rFonts w:ascii="Palatino Linotype" w:hAnsi="Palatino Linotype" w:cs="Arial"/>
          <w:i/>
          <w:color w:val="000000" w:themeColor="text1"/>
        </w:rPr>
        <w:t xml:space="preserve"> Conservar en el sitio de Internet y a través de la Plataforma Nacional la información de acuerdo con la Tabla de actualización y conservación de la información</w:t>
      </w:r>
    </w:p>
    <w:p w:rsidR="005A2995" w:rsidRPr="00CA58D5" w:rsidRDefault="005A2995"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lastRenderedPageBreak/>
        <w:t>Criterios adjetivos de confiabilidad</w:t>
      </w:r>
    </w:p>
    <w:p w:rsidR="005A2995" w:rsidRPr="00CA58D5" w:rsidRDefault="005A2995" w:rsidP="00C66B6A">
      <w:pPr>
        <w:spacing w:line="360" w:lineRule="auto"/>
        <w:ind w:right="49"/>
        <w:jc w:val="both"/>
        <w:rPr>
          <w:rFonts w:ascii="Palatino Linotype" w:hAnsi="Palatino Linotype" w:cs="Arial"/>
          <w:b/>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27</w:t>
      </w:r>
      <w:r w:rsidRPr="00CA58D5">
        <w:rPr>
          <w:rFonts w:ascii="Palatino Linotype" w:hAnsi="Palatino Linotype" w:cs="Arial"/>
          <w:i/>
          <w:color w:val="000000" w:themeColor="text1"/>
        </w:rPr>
        <w:t xml:space="preserve"> Área(s) responsable(s) que genera(n), posee(n), publica(n) y/o actualiza(n) la información</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28</w:t>
      </w:r>
      <w:r w:rsidRPr="00CA58D5">
        <w:rPr>
          <w:rFonts w:ascii="Palatino Linotype" w:hAnsi="Palatino Linotype" w:cs="Arial"/>
          <w:i/>
          <w:color w:val="000000" w:themeColor="text1"/>
        </w:rPr>
        <w:t xml:space="preserve"> Fecha de actualización de la información publicada con el formato día/mes/año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29</w:t>
      </w:r>
      <w:r w:rsidRPr="00CA58D5">
        <w:rPr>
          <w:rFonts w:ascii="Palatino Linotype" w:hAnsi="Palatino Linotype" w:cs="Arial"/>
          <w:i/>
          <w:color w:val="000000" w:themeColor="text1"/>
        </w:rPr>
        <w:t xml:space="preserve"> Fecha de validación de la información publicada con el formato día/mes/año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30</w:t>
      </w:r>
      <w:r w:rsidRPr="00CA58D5">
        <w:rPr>
          <w:rFonts w:ascii="Palatino Linotype" w:hAnsi="Palatino Linotype" w:cs="Arial"/>
          <w:i/>
          <w:color w:val="000000" w:themeColor="text1"/>
        </w:rPr>
        <w:t xml:space="preserve"> Nota. Este criterio se cumple en caso de que sea necesario que el sujeto obligado incluya alguna aclaración relativa a la información publicada y/o explicación por la falta de información</w:t>
      </w:r>
    </w:p>
    <w:p w:rsidR="005A2995" w:rsidRPr="00CA58D5" w:rsidRDefault="005A2995" w:rsidP="00C66B6A">
      <w:pPr>
        <w:spacing w:line="360" w:lineRule="auto"/>
        <w:ind w:right="49"/>
        <w:jc w:val="both"/>
        <w:rPr>
          <w:rFonts w:ascii="Palatino Linotype" w:hAnsi="Palatino Linotype" w:cs="Arial"/>
          <w:i/>
          <w:color w:val="000000" w:themeColor="text1"/>
        </w:rPr>
      </w:pPr>
    </w:p>
    <w:p w:rsidR="005A2995" w:rsidRPr="00CA58D5" w:rsidRDefault="005A2995" w:rsidP="00C66B6A">
      <w:pPr>
        <w:spacing w:line="360" w:lineRule="auto"/>
        <w:ind w:right="49"/>
        <w:jc w:val="both"/>
        <w:rPr>
          <w:rFonts w:ascii="Palatino Linotype" w:hAnsi="Palatino Linotype" w:cs="Arial"/>
          <w:b/>
          <w:i/>
          <w:color w:val="000000" w:themeColor="text1"/>
        </w:rPr>
      </w:pPr>
      <w:r w:rsidRPr="00CA58D5">
        <w:rPr>
          <w:rFonts w:ascii="Palatino Linotype" w:hAnsi="Palatino Linotype" w:cs="Arial"/>
          <w:b/>
          <w:i/>
          <w:color w:val="000000" w:themeColor="text1"/>
        </w:rPr>
        <w:t>Criterios adjetivos de formato</w:t>
      </w:r>
    </w:p>
    <w:p w:rsidR="005A2995" w:rsidRPr="00CA58D5" w:rsidRDefault="005A2995" w:rsidP="00C66B6A">
      <w:pPr>
        <w:spacing w:line="360" w:lineRule="auto"/>
        <w:ind w:right="49"/>
        <w:jc w:val="both"/>
        <w:rPr>
          <w:rFonts w:ascii="Palatino Linotype" w:hAnsi="Palatino Linotype" w:cs="Arial"/>
          <w:b/>
          <w:i/>
          <w:color w:val="000000" w:themeColor="text1"/>
        </w:rPr>
      </w:pP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31</w:t>
      </w:r>
      <w:r w:rsidRPr="00CA58D5">
        <w:rPr>
          <w:rFonts w:ascii="Palatino Linotype" w:hAnsi="Palatino Linotype" w:cs="Arial"/>
          <w:i/>
          <w:color w:val="000000" w:themeColor="text1"/>
        </w:rPr>
        <w:t xml:space="preserve"> La información publicada se organiza mediante el formato 32, en el que se incluyen todos los campos especificados en los criterios sustantivos de contenido</w:t>
      </w:r>
    </w:p>
    <w:p w:rsidR="005A2995" w:rsidRPr="00CA58D5" w:rsidRDefault="005A2995" w:rsidP="00C66B6A">
      <w:pPr>
        <w:spacing w:line="360" w:lineRule="auto"/>
        <w:ind w:right="49"/>
        <w:jc w:val="both"/>
        <w:rPr>
          <w:rFonts w:ascii="Palatino Linotype" w:hAnsi="Palatino Linotype" w:cs="Arial"/>
          <w:i/>
          <w:color w:val="000000" w:themeColor="text1"/>
        </w:rPr>
      </w:pPr>
      <w:r w:rsidRPr="00CA58D5">
        <w:rPr>
          <w:rFonts w:ascii="Palatino Linotype" w:hAnsi="Palatino Linotype" w:cs="Arial"/>
          <w:b/>
          <w:i/>
          <w:color w:val="000000" w:themeColor="text1"/>
        </w:rPr>
        <w:t>Criterio 32</w:t>
      </w:r>
      <w:r w:rsidRPr="00CA58D5">
        <w:rPr>
          <w:rFonts w:ascii="Palatino Linotype" w:hAnsi="Palatino Linotype" w:cs="Arial"/>
          <w:i/>
          <w:color w:val="000000" w:themeColor="text1"/>
        </w:rPr>
        <w:t xml:space="preserve"> El soporte de la información permite su reutilización</w:t>
      </w:r>
    </w:p>
    <w:p w:rsidR="005A2995" w:rsidRPr="00CA58D5" w:rsidRDefault="005A2995" w:rsidP="00C66B6A">
      <w:pPr>
        <w:spacing w:line="360" w:lineRule="auto"/>
        <w:ind w:right="49"/>
        <w:jc w:val="both"/>
        <w:rPr>
          <w:rFonts w:ascii="Palatino Linotype" w:hAnsi="Palatino Linotype" w:cs="Arial"/>
          <w:color w:val="000000" w:themeColor="text1"/>
        </w:rPr>
      </w:pPr>
    </w:p>
    <w:p w:rsidR="005A2995" w:rsidRPr="00CA58D5" w:rsidRDefault="005A2995" w:rsidP="00C66B6A">
      <w:pPr>
        <w:spacing w:line="360" w:lineRule="auto"/>
        <w:ind w:right="49"/>
        <w:jc w:val="center"/>
        <w:rPr>
          <w:rFonts w:ascii="Palatino Linotype" w:hAnsi="Palatino Linotype"/>
          <w:color w:val="000000" w:themeColor="text1"/>
          <w:lang w:val="es-ES" w:eastAsia="es-MX"/>
        </w:rPr>
      </w:pPr>
      <w:r w:rsidRPr="00CA58D5">
        <w:rPr>
          <w:rFonts w:ascii="Palatino Linotype" w:hAnsi="Palatino Linotype"/>
          <w:noProof/>
          <w:color w:val="000000" w:themeColor="text1"/>
          <w:lang w:val="es-MX" w:eastAsia="es-MX"/>
        </w:rPr>
        <w:drawing>
          <wp:inline distT="0" distB="0" distL="0" distR="0" wp14:anchorId="09D6BD5B" wp14:editId="0E2AF62C">
            <wp:extent cx="4673708" cy="205932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9">
                      <a:extLst>
                        <a:ext uri="{28A0092B-C50C-407E-A947-70E740481C1C}">
                          <a14:useLocalDpi xmlns:a14="http://schemas.microsoft.com/office/drawing/2010/main" val="0"/>
                        </a:ext>
                      </a:extLst>
                    </a:blip>
                    <a:stretch>
                      <a:fillRect/>
                    </a:stretch>
                  </pic:blipFill>
                  <pic:spPr>
                    <a:xfrm>
                      <a:off x="0" y="0"/>
                      <a:ext cx="4714804" cy="2077429"/>
                    </a:xfrm>
                    <a:prstGeom prst="rect">
                      <a:avLst/>
                    </a:prstGeom>
                  </pic:spPr>
                </pic:pic>
              </a:graphicData>
            </a:graphic>
          </wp:inline>
        </w:drawing>
      </w:r>
    </w:p>
    <w:p w:rsidR="005A2995" w:rsidRPr="00CA58D5" w:rsidRDefault="005A2995" w:rsidP="00C66B6A">
      <w:pPr>
        <w:spacing w:line="360" w:lineRule="auto"/>
        <w:ind w:right="49"/>
        <w:jc w:val="center"/>
        <w:rPr>
          <w:rFonts w:ascii="Palatino Linotype" w:hAnsi="Palatino Linotype"/>
          <w:color w:val="000000" w:themeColor="text1"/>
          <w:lang w:val="es-ES" w:eastAsia="es-MX"/>
        </w:rPr>
      </w:pPr>
    </w:p>
    <w:p w:rsidR="005A2995" w:rsidRPr="00CA58D5" w:rsidRDefault="005A2995" w:rsidP="00C66B6A">
      <w:pPr>
        <w:spacing w:line="360" w:lineRule="auto"/>
        <w:ind w:right="49"/>
        <w:jc w:val="center"/>
        <w:rPr>
          <w:rFonts w:ascii="Palatino Linotype" w:hAnsi="Palatino Linotype"/>
          <w:color w:val="000000" w:themeColor="text1"/>
          <w:lang w:val="es-ES" w:eastAsia="es-MX"/>
        </w:rPr>
      </w:pPr>
      <w:r w:rsidRPr="00CA58D5">
        <w:rPr>
          <w:rFonts w:ascii="Palatino Linotype" w:hAnsi="Palatino Linotype"/>
          <w:noProof/>
          <w:color w:val="000000" w:themeColor="text1"/>
          <w:lang w:val="es-MX" w:eastAsia="es-MX"/>
        </w:rPr>
        <w:drawing>
          <wp:inline distT="0" distB="0" distL="0" distR="0" wp14:anchorId="2132AC9C" wp14:editId="3014A01C">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0">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rsidR="005A2995" w:rsidRPr="00CA58D5" w:rsidRDefault="005A2995" w:rsidP="00C66B6A">
      <w:pPr>
        <w:pStyle w:val="Prrafodelista"/>
        <w:widowControl w:val="0"/>
        <w:autoSpaceDE w:val="0"/>
        <w:autoSpaceDN w:val="0"/>
        <w:adjustRightInd w:val="0"/>
        <w:spacing w:line="360" w:lineRule="auto"/>
        <w:ind w:left="0" w:right="49"/>
        <w:jc w:val="both"/>
        <w:rPr>
          <w:rFonts w:ascii="Palatino Linotype" w:hAnsi="Palatino Linotype"/>
          <w:color w:val="000000" w:themeColor="text1"/>
        </w:rPr>
      </w:pPr>
    </w:p>
    <w:p w:rsidR="00B8757E" w:rsidRPr="00CA58D5" w:rsidRDefault="00B8757E"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s="Arial"/>
          <w:color w:val="000000" w:themeColor="text1"/>
        </w:rPr>
        <w:t xml:space="preserve">En esa tesitura, se realizó una búsqueda de los registros del </w:t>
      </w:r>
      <w:r w:rsidRPr="00CA58D5">
        <w:rPr>
          <w:rFonts w:ascii="Palatino Linotype" w:hAnsi="Palatino Linotype" w:cs="Arial"/>
          <w:b/>
          <w:color w:val="000000" w:themeColor="text1"/>
        </w:rPr>
        <w:t xml:space="preserve">SUJETO OBLIGADO </w:t>
      </w:r>
      <w:r w:rsidRPr="00CA58D5">
        <w:rPr>
          <w:rFonts w:ascii="Palatino Linotype" w:hAnsi="Palatino Linotype" w:cs="Arial"/>
          <w:color w:val="000000" w:themeColor="text1"/>
        </w:rPr>
        <w:t>en su portal de transparencia a los ejercicios fiscales requeridos, obteniendo los siguientes resultados:</w:t>
      </w:r>
    </w:p>
    <w:p w:rsidR="00B8757E" w:rsidRPr="00CA58D5" w:rsidRDefault="00B8757E" w:rsidP="00C66B6A">
      <w:pPr>
        <w:spacing w:line="360" w:lineRule="auto"/>
        <w:ind w:right="49"/>
        <w:jc w:val="both"/>
        <w:rPr>
          <w:rFonts w:ascii="Palatino Linotype" w:hAnsi="Palatino Linotype" w:cs="Arial"/>
          <w:color w:val="000000" w:themeColor="text1"/>
        </w:rPr>
      </w:pPr>
      <w:r w:rsidRPr="00CA58D5">
        <w:rPr>
          <w:rFonts w:ascii="Palatino Linotype" w:hAnsi="Palatino Linotype" w:cs="Arial"/>
          <w:noProof/>
          <w:color w:val="000000" w:themeColor="text1"/>
          <w:lang w:val="es-MX" w:eastAsia="es-MX"/>
        </w:rPr>
        <w:drawing>
          <wp:inline distT="0" distB="0" distL="0" distR="0" wp14:anchorId="4D2D5B89" wp14:editId="30CFC35E">
            <wp:extent cx="5612130" cy="14389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438910"/>
                    </a:xfrm>
                    <a:prstGeom prst="rect">
                      <a:avLst/>
                    </a:prstGeom>
                  </pic:spPr>
                </pic:pic>
              </a:graphicData>
            </a:graphic>
          </wp:inline>
        </w:drawing>
      </w:r>
    </w:p>
    <w:p w:rsidR="00B8757E" w:rsidRPr="00CA58D5" w:rsidRDefault="00B8757E" w:rsidP="00C66B6A">
      <w:pPr>
        <w:spacing w:line="360" w:lineRule="auto"/>
        <w:ind w:right="49"/>
        <w:jc w:val="center"/>
        <w:rPr>
          <w:rFonts w:ascii="Palatino Linotype" w:hAnsi="Palatino Linotype" w:cs="Arial"/>
          <w:color w:val="000000" w:themeColor="text1"/>
        </w:rPr>
      </w:pPr>
      <w:r w:rsidRPr="00CA58D5">
        <w:rPr>
          <w:rFonts w:ascii="Palatino Linotype" w:hAnsi="Palatino Linotype" w:cs="Arial"/>
          <w:color w:val="000000" w:themeColor="text1"/>
        </w:rPr>
        <w:t>(…)</w:t>
      </w:r>
    </w:p>
    <w:p w:rsidR="00B8757E" w:rsidRPr="00CA58D5" w:rsidRDefault="00B8757E" w:rsidP="00C66B6A">
      <w:pPr>
        <w:spacing w:line="360" w:lineRule="auto"/>
        <w:ind w:right="49"/>
        <w:jc w:val="both"/>
        <w:rPr>
          <w:rFonts w:ascii="Palatino Linotype" w:hAnsi="Palatino Linotype" w:cs="Arial"/>
          <w:color w:val="000000" w:themeColor="text1"/>
        </w:rPr>
      </w:pPr>
    </w:p>
    <w:p w:rsidR="00B8757E" w:rsidRPr="00CA58D5" w:rsidRDefault="00B8757E" w:rsidP="00C66B6A">
      <w:pPr>
        <w:spacing w:line="360" w:lineRule="auto"/>
        <w:ind w:right="49"/>
        <w:jc w:val="center"/>
        <w:rPr>
          <w:rFonts w:ascii="Palatino Linotype" w:hAnsi="Palatino Linotype" w:cs="Arial"/>
          <w:color w:val="000000" w:themeColor="text1"/>
        </w:rPr>
      </w:pPr>
      <w:r w:rsidRPr="00CA58D5">
        <w:rPr>
          <w:rFonts w:ascii="Palatino Linotype" w:hAnsi="Palatino Linotype" w:cs="Arial"/>
          <w:noProof/>
          <w:color w:val="000000" w:themeColor="text1"/>
          <w:lang w:val="es-MX" w:eastAsia="es-MX"/>
        </w:rPr>
        <w:lastRenderedPageBreak/>
        <w:drawing>
          <wp:inline distT="0" distB="0" distL="0" distR="0" wp14:anchorId="58062E35" wp14:editId="6B60F46B">
            <wp:extent cx="3556000" cy="2547938"/>
            <wp:effectExtent l="0" t="0" r="635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3054" cy="2552993"/>
                    </a:xfrm>
                    <a:prstGeom prst="rect">
                      <a:avLst/>
                    </a:prstGeom>
                  </pic:spPr>
                </pic:pic>
              </a:graphicData>
            </a:graphic>
          </wp:inline>
        </w:drawing>
      </w:r>
    </w:p>
    <w:p w:rsidR="00B8757E" w:rsidRPr="00CA58D5" w:rsidRDefault="00B8757E" w:rsidP="00C66B6A">
      <w:pPr>
        <w:spacing w:line="360" w:lineRule="auto"/>
        <w:ind w:right="49"/>
        <w:jc w:val="both"/>
        <w:rPr>
          <w:rFonts w:ascii="Palatino Linotype" w:hAnsi="Palatino Linotype" w:cs="Arial"/>
          <w:color w:val="000000" w:themeColor="text1"/>
        </w:rPr>
      </w:pPr>
    </w:p>
    <w:p w:rsidR="00B8757E" w:rsidRPr="00CA58D5" w:rsidRDefault="00B8757E"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s="Arial"/>
          <w:color w:val="000000" w:themeColor="text1"/>
        </w:rPr>
        <w:t xml:space="preserve">Como se observa, de la Consulta al actual IPOMEX 4.0 y a sus versiones anteriores, se advierten registros de proveedores de todos los años que se solicitan, de lo que resulta inconcuso que no obre información en sus archivos, tomando en cuenta que dicho portal de información pública de oficio, también forma parte de sus archivos digitales del </w:t>
      </w:r>
      <w:r w:rsidRPr="00CA58D5">
        <w:rPr>
          <w:rFonts w:ascii="Palatino Linotype" w:hAnsi="Palatino Linotype" w:cs="Arial"/>
          <w:b/>
          <w:color w:val="000000" w:themeColor="text1"/>
        </w:rPr>
        <w:t>SUJETO OBLIGADO.</w:t>
      </w:r>
    </w:p>
    <w:p w:rsidR="00C66B6A" w:rsidRPr="00CA58D5" w:rsidRDefault="00C66B6A" w:rsidP="00C66B6A">
      <w:pPr>
        <w:spacing w:line="360" w:lineRule="auto"/>
        <w:ind w:right="49"/>
        <w:jc w:val="both"/>
        <w:rPr>
          <w:rFonts w:ascii="Palatino Linotype" w:hAnsi="Palatino Linotype" w:cs="Arial"/>
          <w:color w:val="000000" w:themeColor="text1"/>
        </w:rPr>
      </w:pPr>
    </w:p>
    <w:p w:rsidR="005A2995" w:rsidRPr="00CA58D5" w:rsidRDefault="005A2995"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s="Arial"/>
          <w:color w:val="000000" w:themeColor="text1"/>
        </w:rPr>
        <w:t xml:space="preserve">Derivado de lo anterior, </w:t>
      </w:r>
      <w:r w:rsidRPr="00CA58D5">
        <w:rPr>
          <w:rFonts w:ascii="Palatino Linotype" w:hAnsi="Palatino Linotype" w:cs="Arial"/>
          <w:b/>
          <w:color w:val="000000" w:themeColor="text1"/>
        </w:rPr>
        <w:t xml:space="preserve">EL SUJETO OBLIGADO </w:t>
      </w:r>
      <w:r w:rsidRPr="00CA58D5">
        <w:rPr>
          <w:rFonts w:ascii="Palatino Linotype" w:hAnsi="Palatino Linotype" w:cs="Arial"/>
          <w:color w:val="000000" w:themeColor="text1"/>
        </w:rPr>
        <w:t>debe seguir a cabalidad el procedimiento de acceso a la información previsto en el artículo 162 de la Ley de Transparencia y Acceso a la Información Pública del Estado de México y Municipios, esto es turnar a todas las Áreas competentes que pudie</w:t>
      </w:r>
      <w:r w:rsidR="00B8757E" w:rsidRPr="00CA58D5">
        <w:rPr>
          <w:rFonts w:ascii="Palatino Linotype" w:hAnsi="Palatino Linotype" w:cs="Arial"/>
          <w:color w:val="000000" w:themeColor="text1"/>
        </w:rPr>
        <w:t>ran</w:t>
      </w:r>
      <w:r w:rsidRPr="00CA58D5">
        <w:rPr>
          <w:rFonts w:ascii="Palatino Linotype" w:hAnsi="Palatino Linotype" w:cs="Arial"/>
          <w:color w:val="000000" w:themeColor="text1"/>
        </w:rPr>
        <w:t xml:space="preserve"> contar con la información o deban tenerla de acuerdo a sus facultades, competencias y funciones, con el objeto de que realicen una búsqueda exhaustiva y razonable de la información solicitada.</w:t>
      </w:r>
    </w:p>
    <w:p w:rsidR="005A2995" w:rsidRPr="00CA58D5" w:rsidRDefault="005A2995"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s="Arial"/>
          <w:color w:val="000000" w:themeColor="text1"/>
        </w:rPr>
        <w:lastRenderedPageBreak/>
        <w:t>A efecto de determinar la legalidad de dicha respuesta, es necesario tomar en cuenta las siguientes disposiciones de la Ley de la materia.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w:t>
      </w:r>
      <w:r w:rsidRPr="00CA58D5">
        <w:rPr>
          <w:rFonts w:ascii="Palatino Linotype" w:hAnsi="Palatino Linotype"/>
          <w:b/>
          <w:i/>
          <w:color w:val="000000" w:themeColor="text1"/>
        </w:rPr>
        <w:t>Artículo 50.</w:t>
      </w:r>
      <w:r w:rsidRPr="00CA58D5">
        <w:rPr>
          <w:rFonts w:ascii="Palatino Linotype" w:hAnsi="Palatino Linotype"/>
          <w:i/>
          <w:color w:val="000000" w:themeColor="text1"/>
        </w:rPr>
        <w:t xml:space="preserve"> Los sujetos obligados contarán con un área responsable para la atención de las solicitudes de </w:t>
      </w:r>
      <w:r w:rsidRPr="00CA58D5">
        <w:rPr>
          <w:rFonts w:ascii="Palatino Linotype" w:hAnsi="Palatino Linotype" w:cs="Arial"/>
          <w:i/>
          <w:color w:val="000000" w:themeColor="text1"/>
          <w:lang w:eastAsia="es-MX"/>
        </w:rPr>
        <w:t>información</w:t>
      </w:r>
      <w:r w:rsidRPr="00CA58D5">
        <w:rPr>
          <w:rFonts w:ascii="Palatino Linotype" w:hAnsi="Palatino Linotype"/>
          <w:i/>
          <w:color w:val="000000" w:themeColor="text1"/>
        </w:rPr>
        <w:t>, a la que se le denominará Unidad de Transparencia.</w:t>
      </w:r>
    </w:p>
    <w:p w:rsidR="005A2995" w:rsidRPr="00CA58D5" w:rsidRDefault="005A2995" w:rsidP="00C66B6A">
      <w:pPr>
        <w:spacing w:line="360" w:lineRule="auto"/>
        <w:ind w:right="49"/>
        <w:contextualSpacing/>
        <w:jc w:val="both"/>
        <w:rPr>
          <w:rFonts w:ascii="Palatino Linotype" w:hAnsi="Palatino Linotype"/>
          <w:i/>
          <w:color w:val="000000" w:themeColor="text1"/>
        </w:rPr>
      </w:pP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b/>
          <w:i/>
          <w:color w:val="000000" w:themeColor="text1"/>
        </w:rPr>
        <w:t>Artículo 51</w:t>
      </w:r>
      <w:r w:rsidRPr="00CA58D5">
        <w:rPr>
          <w:rFonts w:ascii="Palatino Linotype" w:hAnsi="Palatino Linotype"/>
          <w:i/>
          <w:color w:val="000000" w:themeColor="text1"/>
        </w:rPr>
        <w:t xml:space="preserve">. Los sujetos obligados designaran a un responsable para atender la Unidad de Transparencia, quien fungirá como enlace entre éstos y los solicitantes. Dicha Unidad será la encargada de tramitar </w:t>
      </w:r>
      <w:r w:rsidRPr="00CA58D5">
        <w:rPr>
          <w:rFonts w:ascii="Palatino Linotype" w:hAnsi="Palatino Linotype" w:cs="Arial"/>
          <w:i/>
          <w:color w:val="000000" w:themeColor="text1"/>
          <w:lang w:eastAsia="es-MX"/>
        </w:rPr>
        <w:t>internamente</w:t>
      </w:r>
      <w:r w:rsidRPr="00CA58D5">
        <w:rPr>
          <w:rFonts w:ascii="Palatino Linotype" w:hAnsi="Palatino Linotype"/>
          <w:i/>
          <w:color w:val="000000" w:themeColor="text1"/>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A2995" w:rsidRPr="00CA58D5" w:rsidRDefault="005A2995" w:rsidP="00C66B6A">
      <w:pPr>
        <w:spacing w:line="360" w:lineRule="auto"/>
        <w:ind w:right="49"/>
        <w:contextualSpacing/>
        <w:jc w:val="both"/>
        <w:rPr>
          <w:rFonts w:ascii="Palatino Linotype" w:hAnsi="Palatino Linotype"/>
          <w:i/>
          <w:color w:val="000000" w:themeColor="text1"/>
        </w:rPr>
      </w:pP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b/>
          <w:i/>
          <w:color w:val="000000" w:themeColor="text1"/>
        </w:rPr>
        <w:t>Artículo 53</w:t>
      </w:r>
      <w:r w:rsidRPr="00CA58D5">
        <w:rPr>
          <w:rFonts w:ascii="Palatino Linotype" w:hAnsi="Palatino Linotype"/>
          <w:i/>
          <w:color w:val="000000" w:themeColor="text1"/>
        </w:rPr>
        <w:t xml:space="preserve">. Las Unidades de </w:t>
      </w:r>
      <w:r w:rsidRPr="00CA58D5">
        <w:rPr>
          <w:rFonts w:ascii="Palatino Linotype" w:hAnsi="Palatino Linotype" w:cs="Arial"/>
          <w:i/>
          <w:color w:val="000000" w:themeColor="text1"/>
          <w:lang w:eastAsia="es-MX"/>
        </w:rPr>
        <w:t>Transparencia</w:t>
      </w:r>
      <w:r w:rsidRPr="00CA58D5">
        <w:rPr>
          <w:rFonts w:ascii="Palatino Linotype" w:hAnsi="Palatino Linotype"/>
          <w:i/>
          <w:color w:val="000000" w:themeColor="text1"/>
        </w:rPr>
        <w:t xml:space="preserve"> tendrán las siguientes funciones: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 xml:space="preserve">I. Recabar, difundir y actualizar la información relativa a las obligaciones de transparencia comunes y específicas a la </w:t>
      </w:r>
      <w:r w:rsidRPr="00CA58D5">
        <w:rPr>
          <w:rFonts w:ascii="Palatino Linotype" w:hAnsi="Palatino Linotype" w:cs="Arial"/>
          <w:i/>
          <w:color w:val="000000" w:themeColor="text1"/>
          <w:lang w:eastAsia="es-MX"/>
        </w:rPr>
        <w:t>que</w:t>
      </w:r>
      <w:r w:rsidRPr="00CA58D5">
        <w:rPr>
          <w:rFonts w:ascii="Palatino Linotype" w:hAnsi="Palatino Linotype"/>
          <w:i/>
          <w:color w:val="000000" w:themeColor="text1"/>
        </w:rPr>
        <w:t xml:space="preserve"> se refiere la Ley General, esta Ley, la que determine el Instituto y las demás disposiciones de la materia, así como propiciar que las áreas la actualicen periódicamente conforme a la normatividad aplicable;</w:t>
      </w:r>
    </w:p>
    <w:p w:rsidR="005A2995" w:rsidRPr="00CA58D5" w:rsidRDefault="005A2995" w:rsidP="00C66B6A">
      <w:pPr>
        <w:spacing w:line="360" w:lineRule="auto"/>
        <w:ind w:right="49"/>
        <w:jc w:val="both"/>
        <w:rPr>
          <w:rFonts w:ascii="Palatino Linotype" w:hAnsi="Palatino Linotype"/>
          <w:b/>
          <w:i/>
          <w:color w:val="000000" w:themeColor="text1"/>
        </w:rPr>
      </w:pPr>
      <w:r w:rsidRPr="00CA58D5">
        <w:rPr>
          <w:rFonts w:ascii="Palatino Linotype" w:hAnsi="Palatino Linotype"/>
          <w:b/>
          <w:i/>
          <w:color w:val="000000" w:themeColor="text1"/>
        </w:rPr>
        <w:t xml:space="preserve">II. Recibir, </w:t>
      </w:r>
      <w:r w:rsidRPr="00CA58D5">
        <w:rPr>
          <w:rFonts w:ascii="Palatino Linotype" w:hAnsi="Palatino Linotype"/>
          <w:b/>
          <w:i/>
          <w:color w:val="000000" w:themeColor="text1"/>
          <w:u w:val="single"/>
        </w:rPr>
        <w:t>tramitar</w:t>
      </w:r>
      <w:r w:rsidRPr="00CA58D5">
        <w:rPr>
          <w:rFonts w:ascii="Palatino Linotype" w:hAnsi="Palatino Linotype"/>
          <w:b/>
          <w:i/>
          <w:color w:val="000000" w:themeColor="text1"/>
        </w:rPr>
        <w:t xml:space="preserve"> y dar respuesta a las solicitudes de acceso a la información;</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 xml:space="preserve">III. Auxiliar a los particulares en la elaboración de solicitudes de acceso a la información y, en su caso, orientarlos sobre los sujetos </w:t>
      </w:r>
      <w:r w:rsidRPr="00CA58D5">
        <w:rPr>
          <w:rFonts w:ascii="Palatino Linotype" w:hAnsi="Palatino Linotype" w:cs="Arial"/>
          <w:i/>
          <w:color w:val="000000" w:themeColor="text1"/>
          <w:lang w:eastAsia="es-MX"/>
        </w:rPr>
        <w:t>obligados</w:t>
      </w:r>
      <w:r w:rsidRPr="00CA58D5">
        <w:rPr>
          <w:rFonts w:ascii="Palatino Linotype" w:hAnsi="Palatino Linotype"/>
          <w:i/>
          <w:color w:val="000000" w:themeColor="text1"/>
        </w:rPr>
        <w:t xml:space="preserve"> competentes conforme a la normatividad aplicable;</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IV. Realizar, con efectividad, los trámites internos necesarios para la atención de las solicitudes de acceso a la información;</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lastRenderedPageBreak/>
        <w:t>V. Entregar, en su caso, a los particulares la información solicitada;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VI. Efectuar las notificaciones a los solicitantes;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VIII. Proponer a quien preside el Comité de Transparencia, personal habilitado que sea necesario para recibir y dar trámite a las solicitudes de acceso a la información;</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X. Presentar ante el Comité, el proyecto de clasificación de información;</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XI. Promover e implementar políticas de transparencia proactiva procurando su accesibilidad;</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XII. Fomentar la transparencia y accesibilidad al interior del sujeto obligado;</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XIII. Hacer del conocimiento de la instancia competente la probable responsabilidad por el incumplimiento de las obligaciones previstas en la presente Ley; y</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XIV. Las demás que resulten necesarias para facilitar el acceso a la información y aquellas que se desprenden de la presente Ley y demás disposiciones jurídicas aplicables.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 xml:space="preserve">Los sujetos obligados deberán implementar a través de las unidades de transparencia, progresivamente y conforme a sus previsiones, las medidas pertinentes para asegurar que el entorno </w:t>
      </w:r>
      <w:r w:rsidRPr="00CA58D5">
        <w:rPr>
          <w:rFonts w:ascii="Palatino Linotype" w:hAnsi="Palatino Linotype"/>
          <w:i/>
          <w:color w:val="000000" w:themeColor="text1"/>
        </w:rPr>
        <w:lastRenderedPageBreak/>
        <w:t>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A2995" w:rsidRPr="00CA58D5" w:rsidRDefault="005A2995" w:rsidP="00C66B6A">
      <w:pPr>
        <w:spacing w:line="360" w:lineRule="auto"/>
        <w:ind w:right="49"/>
        <w:contextualSpacing/>
        <w:jc w:val="both"/>
        <w:rPr>
          <w:rFonts w:ascii="Palatino Linotype" w:hAnsi="Palatino Linotype"/>
          <w:i/>
          <w:color w:val="000000" w:themeColor="text1"/>
        </w:rPr>
      </w:pP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b/>
          <w:i/>
          <w:color w:val="000000" w:themeColor="text1"/>
        </w:rPr>
        <w:t>Artículo 59</w:t>
      </w:r>
      <w:r w:rsidRPr="00CA58D5">
        <w:rPr>
          <w:rFonts w:ascii="Palatino Linotype" w:hAnsi="Palatino Linotype"/>
          <w:i/>
          <w:color w:val="000000" w:themeColor="text1"/>
        </w:rPr>
        <w:t>. Los servidores públicos habilitados tendrán las funciones siguientes: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 Localizar la información que le solicite la Unidad de Transparencia;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II. Proporcionar la información que obre en los archivos y que le sea solicitada por la Unidad de Transparencia;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III. Apoyar a la Unidad de Transparencia en lo que esta le solicite para el cumplimiento de sus funciones;</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IV. Proporcionar a la Unidad de Transparencia, las modificaciones a la información pública de oficio que obre en su poder;</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 Integrar y presentar al responsable de la Unidad de Transparencia la propuesta de clasificación de información, la cual tendrá los fundamentos y argumentos en que se basa dicha propuesta;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VI. Verificar, una vez analizado el contenido de la información, que no se encuentre en los supuestos de información clasificada; y</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VII. Dar cuenta a la Unidad de Transparencia del vencimiento de los plazos de reserva.</w:t>
      </w:r>
    </w:p>
    <w:p w:rsidR="005A2995" w:rsidRPr="00CA58D5" w:rsidRDefault="005A2995" w:rsidP="00C66B6A">
      <w:pPr>
        <w:spacing w:line="360" w:lineRule="auto"/>
        <w:ind w:right="49"/>
        <w:contextualSpacing/>
        <w:jc w:val="both"/>
        <w:rPr>
          <w:rFonts w:ascii="Palatino Linotype" w:hAnsi="Palatino Linotype"/>
          <w:i/>
          <w:color w:val="000000" w:themeColor="text1"/>
        </w:rPr>
      </w:pP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b/>
          <w:i/>
          <w:color w:val="000000" w:themeColor="text1"/>
        </w:rPr>
        <w:t>Artículo 162</w:t>
      </w:r>
      <w:r w:rsidRPr="00CA58D5">
        <w:rPr>
          <w:rFonts w:ascii="Palatino Linotype" w:hAnsi="Palatino Linotype"/>
          <w:i/>
          <w:color w:val="000000" w:themeColor="text1"/>
        </w:rPr>
        <w:t xml:space="preserve">. Las unidades de transparencia deberán garantizar que las solicitudes se turnen a todas las Áreas competentes que cuenten con la información o deban tenerla de acuerdo a sus </w:t>
      </w:r>
      <w:r w:rsidRPr="00CA58D5">
        <w:rPr>
          <w:rFonts w:ascii="Palatino Linotype" w:hAnsi="Palatino Linotype"/>
          <w:i/>
          <w:color w:val="000000" w:themeColor="text1"/>
        </w:rPr>
        <w:lastRenderedPageBreak/>
        <w:t>facultades, competencias y funciones, con el objeto de que realicen una búsqueda exhaustiva y razonable de la información solicitada.”</w:t>
      </w:r>
    </w:p>
    <w:p w:rsidR="005A2995" w:rsidRPr="00CA58D5" w:rsidRDefault="005A2995" w:rsidP="00C66B6A">
      <w:pPr>
        <w:spacing w:line="360" w:lineRule="auto"/>
        <w:ind w:right="49"/>
        <w:jc w:val="both"/>
        <w:rPr>
          <w:rFonts w:ascii="Palatino Linotype" w:hAnsi="Palatino Linotype"/>
          <w:i/>
          <w:color w:val="000000" w:themeColor="text1"/>
        </w:rPr>
      </w:pPr>
      <w:r w:rsidRPr="00CA58D5">
        <w:rPr>
          <w:rFonts w:ascii="Palatino Linotype" w:hAnsi="Palatino Linotype"/>
          <w:i/>
          <w:color w:val="000000" w:themeColor="text1"/>
        </w:rPr>
        <w:t>(Énfasis añadido)</w:t>
      </w:r>
    </w:p>
    <w:p w:rsidR="005A2995" w:rsidRPr="00CA58D5" w:rsidRDefault="005A2995" w:rsidP="00C66B6A">
      <w:pPr>
        <w:spacing w:line="360" w:lineRule="auto"/>
        <w:ind w:right="49"/>
        <w:jc w:val="both"/>
        <w:rPr>
          <w:rFonts w:ascii="Palatino Linotype" w:hAnsi="Palatino Linotype" w:cs="Arial"/>
          <w:color w:val="000000" w:themeColor="text1"/>
        </w:rPr>
      </w:pPr>
    </w:p>
    <w:p w:rsidR="005A2995" w:rsidRPr="00CA58D5" w:rsidRDefault="005A2995" w:rsidP="00C66B6A">
      <w:pPr>
        <w:numPr>
          <w:ilvl w:val="0"/>
          <w:numId w:val="1"/>
        </w:numPr>
        <w:spacing w:line="360" w:lineRule="auto"/>
        <w:ind w:left="0" w:right="49" w:firstLine="0"/>
        <w:jc w:val="both"/>
        <w:rPr>
          <w:rFonts w:ascii="Palatino Linotype" w:eastAsia="Calibri" w:hAnsi="Palatino Linotype"/>
          <w:color w:val="000000" w:themeColor="text1"/>
        </w:rPr>
      </w:pPr>
      <w:r w:rsidRPr="00CA58D5">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A58D5">
        <w:rPr>
          <w:rFonts w:ascii="Palatino Linotype" w:eastAsia="Calibri" w:hAnsi="Palatino Linotype"/>
          <w:b/>
          <w:color w:val="000000" w:themeColor="text1"/>
        </w:rPr>
        <w:t>EL SUJETO OBLIGADO</w:t>
      </w:r>
      <w:r w:rsidRPr="00CA58D5">
        <w:rPr>
          <w:rFonts w:ascii="Palatino Linotype" w:eastAsia="Calibri" w:hAnsi="Palatino Linotype"/>
          <w:color w:val="000000" w:themeColor="text1"/>
        </w:rPr>
        <w:t xml:space="preserve"> y los solicitantes, y tiene bajo su responsabilidad el tramitar internamente la solicitud de información.</w:t>
      </w:r>
    </w:p>
    <w:p w:rsidR="00972164" w:rsidRPr="00CA58D5" w:rsidRDefault="00972164" w:rsidP="00C66B6A">
      <w:pPr>
        <w:pStyle w:val="Prrafodelista"/>
        <w:spacing w:line="360" w:lineRule="auto"/>
        <w:ind w:left="0" w:right="49"/>
        <w:rPr>
          <w:rFonts w:ascii="Palatino Linotype" w:eastAsia="Palatino Linotype" w:hAnsi="Palatino Linotype" w:cs="Palatino Linotype"/>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 xml:space="preserve">Con la determinación anterior quedará por colmado el derecho de acceso a la información del ahora </w:t>
      </w:r>
      <w:r w:rsidRPr="00CA58D5">
        <w:rPr>
          <w:rFonts w:ascii="Palatino Linotype" w:hAnsi="Palatino Linotype" w:cs="Times New Roman"/>
          <w:color w:val="000000" w:themeColor="text1"/>
        </w:rPr>
        <w:t>Recurrente</w:t>
      </w:r>
      <w:r w:rsidRPr="00CA58D5">
        <w:rPr>
          <w:rFonts w:ascii="Palatino Linotype" w:eastAsia="Palatino Linotype" w:hAnsi="Palatino Linotype" w:cs="Palatino Linotype"/>
          <w:color w:val="000000" w:themeColor="text1"/>
        </w:rPr>
        <w:t xml:space="preserve">; toda vez que el Derecho que tutela este Órgano Garante corresponde a la  </w:t>
      </w:r>
      <w:r w:rsidRPr="00CA58D5">
        <w:rPr>
          <w:rFonts w:ascii="Palatino Linotype" w:eastAsia="Palatino Linotype" w:hAnsi="Palatino Linotype" w:cs="Palatino Linotype"/>
          <w:i/>
          <w:color w:val="000000" w:themeColor="text1"/>
        </w:rPr>
        <w:t>igualdad de oportunidades para recibir, buscar e impartir información</w:t>
      </w:r>
      <w:r w:rsidRPr="00CA58D5">
        <w:rPr>
          <w:rFonts w:ascii="Palatino Linotype" w:eastAsia="Palatino Linotype" w:hAnsi="Palatino Linotype" w:cs="Palatino Linotype"/>
          <w:i/>
          <w:color w:val="000000" w:themeColor="text1"/>
          <w:vertAlign w:val="superscript"/>
        </w:rPr>
        <w:footnoteReference w:id="6"/>
      </w:r>
      <w:r w:rsidRPr="00CA58D5">
        <w:rPr>
          <w:rFonts w:ascii="Palatino Linotype" w:eastAsia="Palatino Linotype" w:hAnsi="Palatino Linotype" w:cs="Palatino Linotype"/>
          <w:i/>
          <w:color w:val="000000" w:themeColor="text1"/>
        </w:rPr>
        <w:t xml:space="preserve"> en posesión de cualquier autoridad, entidad, órgano y organismo de los </w:t>
      </w:r>
      <w:r w:rsidRPr="00CA58D5">
        <w:rPr>
          <w:rFonts w:ascii="Palatino Linotype" w:eastAsia="Palatino Linotype" w:hAnsi="Palatino Linotype" w:cs="Palatino Linotype"/>
          <w:color w:val="000000" w:themeColor="text1"/>
        </w:rPr>
        <w:t>poderes</w:t>
      </w:r>
      <w:r w:rsidRPr="00CA58D5">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58D5">
        <w:rPr>
          <w:rFonts w:ascii="Palatino Linotype" w:eastAsia="Palatino Linotype" w:hAnsi="Palatino Linotype" w:cs="Palatino Linotype"/>
          <w:color w:val="000000" w:themeColor="text1"/>
          <w:vertAlign w:val="superscript"/>
        </w:rPr>
        <w:footnoteReference w:id="7"/>
      </w:r>
      <w:r w:rsidRPr="00CA58D5">
        <w:rPr>
          <w:rFonts w:ascii="Palatino Linotype" w:eastAsia="Palatino Linotype" w:hAnsi="Palatino Linotype" w:cs="Palatino Linotype"/>
          <w:i/>
          <w:color w:val="000000" w:themeColor="text1"/>
        </w:rPr>
        <w:t xml:space="preserve"> </w:t>
      </w:r>
      <w:r w:rsidRPr="00CA58D5">
        <w:rPr>
          <w:rFonts w:ascii="Palatino Linotype" w:eastAsia="Palatino Linotype" w:hAnsi="Palatino Linotype" w:cs="Palatino Linotype"/>
          <w:color w:val="000000" w:themeColor="text1"/>
        </w:rPr>
        <w:t xml:space="preserve">que se constituye como una herramienta fundamental para </w:t>
      </w:r>
      <w:r w:rsidRPr="00CA58D5">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si se está dando un adecuado cumplimiento de las funciones </w:t>
      </w:r>
      <w:r w:rsidRPr="00CA58D5">
        <w:rPr>
          <w:rFonts w:ascii="Palatino Linotype" w:eastAsia="Palatino Linotype" w:hAnsi="Palatino Linotype" w:cs="Palatino Linotype"/>
          <w:i/>
          <w:color w:val="000000" w:themeColor="text1"/>
        </w:rPr>
        <w:lastRenderedPageBreak/>
        <w:t>públicas,</w:t>
      </w:r>
      <w:r w:rsidRPr="00CA58D5">
        <w:rPr>
          <w:rFonts w:ascii="Palatino Linotype" w:eastAsia="Palatino Linotype" w:hAnsi="Palatino Linotype" w:cs="Palatino Linotype"/>
          <w:i/>
          <w:color w:val="000000" w:themeColor="text1"/>
          <w:vertAlign w:val="superscript"/>
        </w:rPr>
        <w:footnoteReference w:id="8"/>
      </w:r>
      <w:r w:rsidRPr="00CA58D5">
        <w:rPr>
          <w:rFonts w:ascii="Palatino Linotype" w:eastAsia="Palatino Linotype" w:hAnsi="Palatino Linotype" w:cs="Palatino Linotype"/>
          <w:color w:val="000000" w:themeColor="text1"/>
        </w:rPr>
        <w:t>fomentando</w:t>
      </w:r>
      <w:r w:rsidRPr="00CA58D5">
        <w:rPr>
          <w:rFonts w:ascii="Palatino Linotype" w:eastAsia="Palatino Linotype" w:hAnsi="Palatino Linotype" w:cs="Palatino Linotype"/>
          <w:i/>
          <w:color w:val="000000" w:themeColor="text1"/>
        </w:rPr>
        <w:t xml:space="preserve"> la transparencia de las actividades estatales y</w:t>
      </w:r>
      <w:r w:rsidRPr="00CA58D5">
        <w:rPr>
          <w:rFonts w:ascii="Palatino Linotype" w:eastAsia="Palatino Linotype" w:hAnsi="Palatino Linotype" w:cs="Palatino Linotype"/>
          <w:color w:val="000000" w:themeColor="text1"/>
        </w:rPr>
        <w:t xml:space="preserve"> promoviendo</w:t>
      </w:r>
      <w:r w:rsidRPr="00CA58D5">
        <w:rPr>
          <w:rFonts w:ascii="Palatino Linotype" w:eastAsia="Palatino Linotype" w:hAnsi="Palatino Linotype" w:cs="Palatino Linotype"/>
          <w:i/>
          <w:color w:val="000000" w:themeColor="text1"/>
        </w:rPr>
        <w:t xml:space="preserve"> la responsabilidad de los funcionarios sobre su gestión pública</w:t>
      </w:r>
      <w:r w:rsidRPr="00CA58D5">
        <w:rPr>
          <w:rFonts w:ascii="Palatino Linotype" w:eastAsia="Palatino Linotype" w:hAnsi="Palatino Linotype" w:cs="Palatino Linotype"/>
          <w:i/>
          <w:color w:val="000000" w:themeColor="text1"/>
          <w:vertAlign w:val="superscript"/>
        </w:rPr>
        <w:footnoteReference w:id="9"/>
      </w:r>
      <w:r w:rsidRPr="00CA58D5">
        <w:rPr>
          <w:rFonts w:ascii="Palatino Linotype" w:eastAsia="Palatino Linotype" w:hAnsi="Palatino Linotype" w:cs="Palatino Linotype"/>
          <w:i/>
          <w:color w:val="000000" w:themeColor="text1"/>
        </w:rPr>
        <w:t xml:space="preserve"> </w:t>
      </w:r>
      <w:r w:rsidRPr="00CA58D5">
        <w:rPr>
          <w:rFonts w:ascii="Palatino Linotype" w:eastAsia="Palatino Linotype" w:hAnsi="Palatino Linotype" w:cs="Palatino Linotype"/>
          <w:color w:val="000000" w:themeColor="text1"/>
        </w:rPr>
        <w:t>que permite</w:t>
      </w:r>
      <w:r w:rsidRPr="00CA58D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CA58D5">
        <w:rPr>
          <w:rFonts w:ascii="Palatino Linotype" w:eastAsia="Palatino Linotype" w:hAnsi="Palatino Linotype" w:cs="Palatino Linotype"/>
          <w:i/>
          <w:color w:val="000000" w:themeColor="text1"/>
          <w:vertAlign w:val="superscript"/>
        </w:rPr>
        <w:footnoteReference w:id="10"/>
      </w:r>
      <w:r w:rsidRPr="00CA58D5">
        <w:rPr>
          <w:rFonts w:ascii="Palatino Linotype" w:eastAsia="Palatino Linotype" w:hAnsi="Palatino Linotype" w:cs="Palatino Linotype"/>
          <w:color w:val="000000" w:themeColor="text1"/>
        </w:rPr>
        <w:t xml:space="preserve"> ” </w:t>
      </w:r>
    </w:p>
    <w:p w:rsidR="00194544" w:rsidRPr="00CA58D5" w:rsidRDefault="00194544" w:rsidP="00C66B6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CA58D5">
        <w:rPr>
          <w:rFonts w:ascii="Palatino Linotype" w:hAnsi="Palatino Linotype" w:cs="Times New Roman"/>
          <w:color w:val="000000" w:themeColor="text1"/>
        </w:rPr>
        <w:t>en</w:t>
      </w:r>
      <w:r w:rsidRPr="00CA58D5">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94544" w:rsidRPr="00CA58D5" w:rsidRDefault="00194544" w:rsidP="00C66B6A">
      <w:pPr>
        <w:spacing w:line="360" w:lineRule="auto"/>
        <w:ind w:right="49"/>
        <w:jc w:val="both"/>
        <w:rPr>
          <w:rFonts w:ascii="Palatino Linotype" w:eastAsia="Palatino Linotype" w:hAnsi="Palatino Linotype" w:cs="Palatino Linotype"/>
          <w:b/>
          <w:i/>
          <w:color w:val="000000" w:themeColor="text1"/>
        </w:rPr>
      </w:pPr>
      <w:r w:rsidRPr="00CA58D5">
        <w:rPr>
          <w:rFonts w:ascii="Palatino Linotype" w:eastAsia="Palatino Linotype" w:hAnsi="Palatino Linotype" w:cs="Palatino Linotype"/>
          <w:b/>
          <w:i/>
          <w:color w:val="000000" w:themeColor="text1"/>
        </w:rPr>
        <w:t>“CRITERIO 0002-11</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CA58D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CA58D5">
        <w:rPr>
          <w:rFonts w:ascii="Palatino Linotype" w:eastAsia="Palatino Linotype" w:hAnsi="Palatino Linotype" w:cs="Palatino Linotype"/>
          <w:i/>
          <w:color w:val="000000" w:themeColor="text1"/>
        </w:rPr>
        <w:lastRenderedPageBreak/>
        <w:t>en virtud del ejercicio de sus funciones de derecho público, sin importar su fuente, soporte o fecha de elaboración.</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194544"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i/>
          <w:color w:val="000000" w:themeColor="text1"/>
        </w:rPr>
        <w:t xml:space="preserve">XI. Documento: </w:t>
      </w:r>
      <w:r w:rsidRPr="00CA58D5">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CA58D5">
        <w:rPr>
          <w:rFonts w:ascii="Palatino Linotype" w:eastAsia="Palatino Linotype" w:hAnsi="Palatino Linotype" w:cs="Palatino Linotype"/>
          <w:b/>
          <w:i/>
          <w:color w:val="000000" w:themeColor="text1"/>
        </w:rPr>
        <w:t>cualquier otro registro</w:t>
      </w:r>
      <w:r w:rsidRPr="00CA58D5">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A6FB4" w:rsidRPr="00CA58D5" w:rsidRDefault="00DA6FB4" w:rsidP="00C66B6A">
      <w:pPr>
        <w:spacing w:line="360" w:lineRule="auto"/>
        <w:ind w:right="49"/>
        <w:jc w:val="both"/>
        <w:rPr>
          <w:rFonts w:ascii="Palatino Linotype" w:eastAsia="Palatino Linotype" w:hAnsi="Palatino Linotype" w:cs="Palatino Linotype"/>
          <w:i/>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CA58D5">
        <w:rPr>
          <w:rFonts w:ascii="Palatino Linotype" w:eastAsia="Palatino Linotype" w:hAnsi="Palatino Linotype" w:cs="Palatino Linotype"/>
          <w:b/>
          <w:color w:val="000000" w:themeColor="text1"/>
        </w:rPr>
        <w:t>deben estar documentados</w:t>
      </w:r>
      <w:r w:rsidRPr="00CA58D5">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194544" w:rsidRPr="00CA58D5" w:rsidRDefault="00194544" w:rsidP="00C66B6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i/>
          <w:color w:val="000000" w:themeColor="text1"/>
        </w:rPr>
        <w:t xml:space="preserve">“Artículo 4. </w:t>
      </w:r>
      <w:r w:rsidRPr="00CA58D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i/>
          <w:color w:val="000000" w:themeColor="text1"/>
        </w:rPr>
        <w:t>Toda la información</w:t>
      </w:r>
      <w:r w:rsidRPr="00CA58D5">
        <w:rPr>
          <w:rFonts w:ascii="Palatino Linotype" w:eastAsia="Palatino Linotype" w:hAnsi="Palatino Linotype" w:cs="Palatino Linotype"/>
          <w:i/>
          <w:color w:val="000000" w:themeColor="text1"/>
        </w:rPr>
        <w:t xml:space="preserve"> generada, obtenida, adquirida, transformada, administrada o </w:t>
      </w:r>
      <w:r w:rsidRPr="00CA58D5">
        <w:rPr>
          <w:rFonts w:ascii="Palatino Linotype" w:eastAsia="Palatino Linotype" w:hAnsi="Palatino Linotype" w:cs="Palatino Linotype"/>
          <w:b/>
          <w:i/>
          <w:color w:val="000000" w:themeColor="text1"/>
        </w:rPr>
        <w:t>en posesión de los sujetos obligados es pública</w:t>
      </w:r>
      <w:r w:rsidRPr="00CA58D5">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94544" w:rsidRPr="00CA58D5" w:rsidRDefault="00194544" w:rsidP="00C66B6A">
      <w:pPr>
        <w:spacing w:line="360" w:lineRule="auto"/>
        <w:ind w:right="49"/>
        <w:jc w:val="both"/>
        <w:rPr>
          <w:rFonts w:ascii="Palatino Linotype" w:eastAsia="Palatino Linotype" w:hAnsi="Palatino Linotype" w:cs="Palatino Linotype"/>
          <w:i/>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A58D5">
        <w:rPr>
          <w:rFonts w:ascii="Palatino Linotype" w:eastAsia="Palatino Linotype" w:hAnsi="Palatino Linotype" w:cs="Palatino Linotype"/>
          <w:color w:val="000000" w:themeColor="text1"/>
          <w:vertAlign w:val="superscript"/>
        </w:rPr>
        <w:footnoteReference w:id="11"/>
      </w:r>
      <w:r w:rsidRPr="00CA58D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94544" w:rsidRPr="00CA58D5" w:rsidRDefault="00194544" w:rsidP="00C66B6A">
      <w:pPr>
        <w:spacing w:line="360" w:lineRule="auto"/>
        <w:ind w:right="49"/>
        <w:jc w:val="both"/>
        <w:rPr>
          <w:rFonts w:ascii="Palatino Linotype" w:eastAsia="Palatino Linotype" w:hAnsi="Palatino Linotype" w:cs="Palatino Linotype"/>
          <w:color w:val="000000" w:themeColor="text1"/>
        </w:rPr>
      </w:pPr>
    </w:p>
    <w:p w:rsidR="00194544" w:rsidRPr="00CA58D5" w:rsidRDefault="00194544" w:rsidP="00C66B6A">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A58D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94544" w:rsidRPr="00CA58D5" w:rsidRDefault="00194544" w:rsidP="00C66B6A">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CA58D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CA58D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w:t>
      </w:r>
      <w:r w:rsidRPr="00CA58D5">
        <w:rPr>
          <w:rFonts w:ascii="Palatino Linotype" w:eastAsia="Palatino Linotype" w:hAnsi="Palatino Linotype" w:cs="Palatino Linotype"/>
          <w:i/>
          <w:color w:val="000000" w:themeColor="text1"/>
        </w:rPr>
        <w:lastRenderedPageBreak/>
        <w:t>"ACCESO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56AC6" w:rsidRPr="00CA58D5" w:rsidRDefault="00456AC6" w:rsidP="00C66B6A">
      <w:pPr>
        <w:spacing w:line="360" w:lineRule="auto"/>
        <w:ind w:right="49"/>
        <w:jc w:val="both"/>
        <w:rPr>
          <w:rFonts w:ascii="Palatino Linotype" w:hAnsi="Palatino Linotype"/>
          <w:color w:val="000000" w:themeColor="text1"/>
        </w:rPr>
      </w:pPr>
    </w:p>
    <w:p w:rsidR="00610340" w:rsidRPr="00CA58D5" w:rsidRDefault="00610340" w:rsidP="00C66B6A">
      <w:pPr>
        <w:numPr>
          <w:ilvl w:val="0"/>
          <w:numId w:val="1"/>
        </w:numPr>
        <w:spacing w:line="360" w:lineRule="auto"/>
        <w:ind w:left="0" w:right="49" w:firstLine="0"/>
        <w:jc w:val="both"/>
        <w:rPr>
          <w:rFonts w:ascii="Palatino Linotype" w:hAnsi="Palatino Linotype" w:cs="Arial"/>
          <w:color w:val="000000" w:themeColor="text1"/>
        </w:rPr>
      </w:pPr>
      <w:r w:rsidRPr="00CA58D5">
        <w:rPr>
          <w:rFonts w:ascii="Palatino Linotype" w:hAnsi="Palatino Linotype" w:cs="Arial"/>
          <w:color w:val="000000" w:themeColor="text1"/>
        </w:rPr>
        <w:t xml:space="preserve">En razón de </w:t>
      </w:r>
      <w:r w:rsidRPr="00CA58D5">
        <w:rPr>
          <w:rFonts w:ascii="Palatino Linotype" w:eastAsia="Calibri" w:hAnsi="Palatino Linotype" w:cs="Arial"/>
          <w:color w:val="000000" w:themeColor="text1"/>
        </w:rPr>
        <w:t>lo</w:t>
      </w:r>
      <w:r w:rsidRPr="00CA58D5">
        <w:rPr>
          <w:rFonts w:ascii="Palatino Linotype" w:hAnsi="Palatino Linotype" w:cs="Arial"/>
          <w:color w:val="000000" w:themeColor="text1"/>
        </w:rPr>
        <w:t xml:space="preserve"> anteriormente expuesto, este Instituto estima que las razones o motivos de inconformidad hechos valer por el</w:t>
      </w:r>
      <w:r w:rsidRPr="00CA58D5">
        <w:rPr>
          <w:rFonts w:ascii="Palatino Linotype" w:hAnsi="Palatino Linotype" w:cs="Arial"/>
          <w:b/>
          <w:color w:val="000000" w:themeColor="text1"/>
        </w:rPr>
        <w:t xml:space="preserve"> RECURRENTE</w:t>
      </w:r>
      <w:r w:rsidRPr="00CA58D5">
        <w:rPr>
          <w:rFonts w:ascii="Palatino Linotype" w:hAnsi="Palatino Linotype" w:cs="Arial"/>
          <w:color w:val="000000" w:themeColor="text1"/>
        </w:rPr>
        <w:t xml:space="preserve"> devienen </w:t>
      </w:r>
      <w:r w:rsidRPr="00CA58D5">
        <w:rPr>
          <w:rFonts w:ascii="Palatino Linotype" w:hAnsi="Palatino Linotype" w:cs="Arial"/>
          <w:b/>
          <w:color w:val="000000" w:themeColor="text1"/>
        </w:rPr>
        <w:t>fundadas</w:t>
      </w:r>
      <w:r w:rsidRPr="00CA58D5">
        <w:rPr>
          <w:rFonts w:ascii="Palatino Linotype" w:hAnsi="Palatino Linotype" w:cs="Arial"/>
          <w:color w:val="000000" w:themeColor="text1"/>
        </w:rPr>
        <w:t xml:space="preserve"> y suficientes para </w:t>
      </w:r>
      <w:r w:rsidRPr="00CA58D5">
        <w:rPr>
          <w:rFonts w:ascii="Palatino Linotype" w:hAnsi="Palatino Linotype" w:cs="Arial"/>
          <w:b/>
          <w:color w:val="000000" w:themeColor="text1"/>
        </w:rPr>
        <w:t xml:space="preserve">REVOCAR </w:t>
      </w:r>
      <w:r w:rsidRPr="00CA58D5">
        <w:rPr>
          <w:rFonts w:ascii="Palatino Linotype" w:hAnsi="Palatino Linotype" w:cs="Arial"/>
          <w:color w:val="000000" w:themeColor="text1"/>
        </w:rPr>
        <w:t xml:space="preserve">la respuesta del </w:t>
      </w:r>
      <w:r w:rsidRPr="00CA58D5">
        <w:rPr>
          <w:rFonts w:ascii="Palatino Linotype" w:hAnsi="Palatino Linotype" w:cs="Arial"/>
          <w:b/>
          <w:color w:val="000000" w:themeColor="text1"/>
        </w:rPr>
        <w:t>SUJETO OBLIGADO</w:t>
      </w:r>
      <w:r w:rsidRPr="00CA58D5">
        <w:rPr>
          <w:rFonts w:ascii="Palatino Linotype" w:hAnsi="Palatino Linotype" w:cs="Arial"/>
          <w:color w:val="000000" w:themeColor="text1"/>
        </w:rPr>
        <w:t xml:space="preserve"> y ordenarle haga entrega de la información descrita en el presente Considerando.</w:t>
      </w:r>
    </w:p>
    <w:p w:rsidR="00610340" w:rsidRPr="00CA58D5" w:rsidRDefault="00610340" w:rsidP="00C66B6A">
      <w:pPr>
        <w:pStyle w:val="Prrafodelista"/>
        <w:spacing w:line="360" w:lineRule="auto"/>
        <w:ind w:left="0" w:right="49"/>
        <w:jc w:val="both"/>
        <w:rPr>
          <w:rFonts w:ascii="Palatino Linotype" w:eastAsia="Calibri" w:hAnsi="Palatino Linotype" w:cs="Arial"/>
          <w:color w:val="000000" w:themeColor="text1"/>
        </w:rPr>
      </w:pPr>
    </w:p>
    <w:p w:rsidR="00DC2BB2" w:rsidRPr="00CA58D5" w:rsidRDefault="00610340" w:rsidP="00C66B6A">
      <w:pPr>
        <w:numPr>
          <w:ilvl w:val="0"/>
          <w:numId w:val="1"/>
        </w:numPr>
        <w:spacing w:line="360" w:lineRule="auto"/>
        <w:ind w:left="0" w:right="49" w:firstLine="0"/>
        <w:jc w:val="both"/>
        <w:rPr>
          <w:rFonts w:ascii="Palatino Linotype" w:hAnsi="Palatino Linotype"/>
          <w:color w:val="000000" w:themeColor="text1"/>
        </w:rPr>
      </w:pPr>
      <w:r w:rsidRPr="00CA58D5">
        <w:rPr>
          <w:rFonts w:ascii="Palatino Linotype" w:eastAsia="Calibri" w:hAnsi="Palatino Linotype" w:cs="Arial"/>
          <w:color w:val="000000" w:themeColor="text1"/>
        </w:rPr>
        <w:t xml:space="preserve">Así, con fundamento en lo previsto en los artículos 5, párrafo </w:t>
      </w:r>
      <w:r w:rsidRPr="00CA58D5">
        <w:rPr>
          <w:rFonts w:ascii="Palatino Linotype" w:hAnsi="Palatino Linotype"/>
          <w:color w:val="000000" w:themeColor="text1"/>
        </w:rPr>
        <w:t xml:space="preserve">trigésimo segundo, </w:t>
      </w:r>
      <w:r w:rsidRPr="00CA58D5">
        <w:rPr>
          <w:rFonts w:ascii="Palatino Linotype" w:eastAsia="Palatino Linotype" w:hAnsi="Palatino Linotype" w:cs="Palatino Linotype"/>
          <w:color w:val="000000" w:themeColor="text1"/>
        </w:rPr>
        <w:t>trigésimo</w:t>
      </w:r>
      <w:r w:rsidRPr="00CA58D5">
        <w:rPr>
          <w:rFonts w:ascii="Palatino Linotype" w:hAnsi="Palatino Linotype"/>
          <w:color w:val="000000" w:themeColor="text1"/>
        </w:rPr>
        <w:t xml:space="preserve"> tercero y trigésimo cuarto,</w:t>
      </w:r>
      <w:r w:rsidRPr="00CA58D5">
        <w:rPr>
          <w:rFonts w:ascii="Palatino Linotype" w:eastAsia="Calibri" w:hAnsi="Palatino Linotype" w:cs="Arial"/>
          <w:color w:val="000000" w:themeColor="text1"/>
        </w:rPr>
        <w:t xml:space="preserve"> fracciones IV y V de la Constitución Política del </w:t>
      </w:r>
      <w:r w:rsidRPr="00CA58D5">
        <w:rPr>
          <w:rFonts w:ascii="Palatino Linotype" w:eastAsia="Calibri" w:hAnsi="Palatino Linotype" w:cs="Arial"/>
          <w:color w:val="000000" w:themeColor="text1"/>
        </w:rPr>
        <w:lastRenderedPageBreak/>
        <w:t xml:space="preserve">Estado Libre y Soberano de México; </w:t>
      </w:r>
      <w:r w:rsidRPr="00CA58D5">
        <w:rPr>
          <w:rFonts w:ascii="Palatino Linotype" w:hAnsi="Palatino Linotype" w:cs="Arial"/>
          <w:color w:val="000000" w:themeColor="text1"/>
        </w:rPr>
        <w:t>2, fracción II, 29, 36, fracciones I y II, 176, 178, 179, 181, 185 fracción I, 186 y 188</w:t>
      </w:r>
      <w:r w:rsidRPr="00CA58D5">
        <w:rPr>
          <w:rFonts w:ascii="Palatino Linotype" w:eastAsia="Calibri" w:hAnsi="Palatino Linotype" w:cs="Arial"/>
          <w:color w:val="000000" w:themeColor="text1"/>
        </w:rPr>
        <w:t xml:space="preserve"> de la Ley de Transparencia y Acceso a la Información Pública del Estado de México y Municipios, este </w:t>
      </w:r>
      <w:r w:rsidR="00DC2BB2" w:rsidRPr="00CA58D5">
        <w:rPr>
          <w:rFonts w:ascii="Palatino Linotype" w:eastAsia="Palatino Linotype" w:hAnsi="Palatino Linotype" w:cs="Palatino Linotype"/>
          <w:b/>
          <w:color w:val="000000" w:themeColor="text1"/>
        </w:rPr>
        <w:t>ÓRGANO GARANTE</w:t>
      </w:r>
      <w:r w:rsidR="00DC2BB2" w:rsidRPr="00CA58D5">
        <w:rPr>
          <w:rFonts w:ascii="Palatino Linotype" w:eastAsia="Palatino Linotype" w:hAnsi="Palatino Linotype" w:cs="Palatino Linotype"/>
          <w:color w:val="000000" w:themeColor="text1"/>
        </w:rPr>
        <w:t xml:space="preserve"> emite los siguientes: </w:t>
      </w:r>
    </w:p>
    <w:p w:rsidR="00DC2BB2" w:rsidRPr="00CA58D5" w:rsidRDefault="00DC2BB2" w:rsidP="00C66B6A">
      <w:pPr>
        <w:spacing w:line="360" w:lineRule="auto"/>
        <w:ind w:right="49"/>
        <w:rPr>
          <w:rFonts w:ascii="Palatino Linotype" w:eastAsia="Palatino Linotype" w:hAnsi="Palatino Linotype" w:cs="Palatino Linotype"/>
          <w:color w:val="000000" w:themeColor="text1"/>
        </w:rPr>
      </w:pPr>
    </w:p>
    <w:p w:rsidR="00B84DF1" w:rsidRPr="00CA58D5" w:rsidRDefault="009D3673" w:rsidP="00C66B6A">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7" w:name="_heading=h.4d34og8" w:colFirst="0" w:colLast="0"/>
      <w:bookmarkEnd w:id="7"/>
      <w:r w:rsidRPr="00CA58D5">
        <w:rPr>
          <w:rFonts w:ascii="Palatino Linotype" w:eastAsia="Palatino Linotype" w:hAnsi="Palatino Linotype" w:cs="Palatino Linotype"/>
          <w:b/>
          <w:color w:val="000000" w:themeColor="text1"/>
          <w:sz w:val="24"/>
          <w:szCs w:val="24"/>
        </w:rPr>
        <w:t>R E S O L U T I V O S</w:t>
      </w:r>
    </w:p>
    <w:p w:rsidR="00B84DF1" w:rsidRPr="00CA58D5" w:rsidRDefault="00B84DF1" w:rsidP="00C66B6A">
      <w:pPr>
        <w:spacing w:line="360" w:lineRule="auto"/>
        <w:ind w:right="49"/>
        <w:rPr>
          <w:rFonts w:ascii="Palatino Linotype" w:eastAsia="Palatino Linotype" w:hAnsi="Palatino Linotype" w:cs="Palatino Linotype"/>
          <w:color w:val="000000" w:themeColor="text1"/>
        </w:rPr>
      </w:pPr>
    </w:p>
    <w:p w:rsidR="00194544" w:rsidRPr="00CA58D5" w:rsidRDefault="00194544" w:rsidP="00C66B6A">
      <w:pPr>
        <w:spacing w:line="360" w:lineRule="auto"/>
        <w:ind w:right="49"/>
        <w:jc w:val="both"/>
        <w:rPr>
          <w:rFonts w:ascii="Palatino Linotype" w:eastAsia="Palatino Linotype" w:hAnsi="Palatino Linotype" w:cs="Palatino Linotype"/>
          <w:color w:val="000000" w:themeColor="text1"/>
        </w:rPr>
      </w:pPr>
      <w:bookmarkStart w:id="8" w:name="_heading=h.1t3h5sf" w:colFirst="0" w:colLast="0"/>
      <w:bookmarkEnd w:id="8"/>
      <w:r w:rsidRPr="00CA58D5">
        <w:rPr>
          <w:rFonts w:ascii="Palatino Linotype" w:eastAsia="Palatino Linotype" w:hAnsi="Palatino Linotype" w:cs="Palatino Linotype"/>
          <w:b/>
          <w:color w:val="000000" w:themeColor="text1"/>
        </w:rPr>
        <w:t>PRIMERO</w:t>
      </w:r>
      <w:r w:rsidRPr="00CA58D5">
        <w:rPr>
          <w:rFonts w:ascii="Palatino Linotype" w:eastAsia="Palatino Linotype" w:hAnsi="Palatino Linotype" w:cs="Palatino Linotype"/>
          <w:color w:val="000000" w:themeColor="text1"/>
        </w:rPr>
        <w:t>. Resultan fundadas las</w:t>
      </w:r>
      <w:r w:rsidRPr="00CA58D5">
        <w:rPr>
          <w:rFonts w:ascii="Palatino Linotype" w:eastAsia="Palatino Linotype" w:hAnsi="Palatino Linotype" w:cs="Palatino Linotype"/>
          <w:b/>
          <w:color w:val="000000" w:themeColor="text1"/>
        </w:rPr>
        <w:t xml:space="preserve"> </w:t>
      </w:r>
      <w:r w:rsidRPr="00CA58D5">
        <w:rPr>
          <w:rFonts w:ascii="Palatino Linotype" w:eastAsia="Palatino Linotype" w:hAnsi="Palatino Linotype" w:cs="Palatino Linotype"/>
          <w:color w:val="000000" w:themeColor="text1"/>
        </w:rPr>
        <w:t xml:space="preserve">razones o motivos de inconformidad hechos valer en el Recurso de Revisión </w:t>
      </w:r>
      <w:r w:rsidRPr="00CA58D5">
        <w:rPr>
          <w:rFonts w:ascii="Palatino Linotype" w:eastAsia="Palatino Linotype" w:hAnsi="Palatino Linotype" w:cs="Palatino Linotype"/>
          <w:b/>
          <w:color w:val="000000" w:themeColor="text1"/>
        </w:rPr>
        <w:t>0</w:t>
      </w:r>
      <w:r w:rsidR="00610340" w:rsidRPr="00CA58D5">
        <w:rPr>
          <w:rFonts w:ascii="Palatino Linotype" w:eastAsia="Palatino Linotype" w:hAnsi="Palatino Linotype" w:cs="Palatino Linotype"/>
          <w:b/>
          <w:color w:val="000000" w:themeColor="text1"/>
        </w:rPr>
        <w:t>3858</w:t>
      </w:r>
      <w:r w:rsidRPr="00CA58D5">
        <w:rPr>
          <w:rFonts w:ascii="Palatino Linotype" w:eastAsia="Palatino Linotype" w:hAnsi="Palatino Linotype" w:cs="Palatino Linotype"/>
          <w:b/>
          <w:color w:val="000000" w:themeColor="text1"/>
        </w:rPr>
        <w:t xml:space="preserve">/INFOEM/IP/RR/2025, </w:t>
      </w:r>
      <w:r w:rsidR="00610340" w:rsidRPr="00CA58D5">
        <w:rPr>
          <w:rFonts w:ascii="Palatino Linotype" w:eastAsia="Palatino Linotype" w:hAnsi="Palatino Linotype" w:cs="Palatino Linotype"/>
          <w:color w:val="000000" w:themeColor="text1"/>
        </w:rPr>
        <w:t xml:space="preserve">en términos del </w:t>
      </w:r>
      <w:r w:rsidRPr="00CA58D5">
        <w:rPr>
          <w:rFonts w:ascii="Palatino Linotype" w:eastAsia="Palatino Linotype" w:hAnsi="Palatino Linotype" w:cs="Palatino Linotype"/>
          <w:b/>
          <w:color w:val="000000" w:themeColor="text1"/>
        </w:rPr>
        <w:t>Considerandos</w:t>
      </w:r>
      <w:r w:rsidRPr="00CA58D5">
        <w:rPr>
          <w:rFonts w:ascii="Palatino Linotype" w:eastAsia="Palatino Linotype" w:hAnsi="Palatino Linotype" w:cs="Palatino Linotype"/>
          <w:color w:val="000000" w:themeColor="text1"/>
        </w:rPr>
        <w:t xml:space="preserve"> </w:t>
      </w:r>
      <w:r w:rsidRPr="00CA58D5">
        <w:rPr>
          <w:rFonts w:ascii="Palatino Linotype" w:eastAsia="Palatino Linotype" w:hAnsi="Palatino Linotype" w:cs="Palatino Linotype"/>
          <w:b/>
          <w:color w:val="000000" w:themeColor="text1"/>
        </w:rPr>
        <w:t>CUARTO</w:t>
      </w:r>
      <w:r w:rsidRPr="00CA58D5">
        <w:rPr>
          <w:rFonts w:ascii="Palatino Linotype" w:eastAsia="Palatino Linotype" w:hAnsi="Palatino Linotype" w:cs="Palatino Linotype"/>
          <w:color w:val="000000" w:themeColor="text1"/>
        </w:rPr>
        <w:t xml:space="preserve"> de la presente Resolución.</w:t>
      </w:r>
    </w:p>
    <w:p w:rsidR="00194544" w:rsidRPr="00CA58D5" w:rsidRDefault="00194544" w:rsidP="00C66B6A">
      <w:pPr>
        <w:spacing w:line="360" w:lineRule="auto"/>
        <w:ind w:right="49"/>
        <w:jc w:val="both"/>
        <w:rPr>
          <w:rFonts w:ascii="Palatino Linotype" w:eastAsia="Palatino Linotype" w:hAnsi="Palatino Linotype" w:cs="Palatino Linotype"/>
          <w:color w:val="000000" w:themeColor="text1"/>
        </w:rPr>
      </w:pPr>
    </w:p>
    <w:p w:rsidR="00194544" w:rsidRPr="00CA58D5" w:rsidRDefault="00194544" w:rsidP="00C66B6A">
      <w:pPr>
        <w:spacing w:line="360" w:lineRule="auto"/>
        <w:ind w:right="49"/>
        <w:jc w:val="both"/>
        <w:rPr>
          <w:rFonts w:ascii="Palatino Linotype" w:hAnsi="Palatino Linotype" w:cs="Arial"/>
          <w:color w:val="000000" w:themeColor="text1"/>
        </w:rPr>
      </w:pPr>
      <w:r w:rsidRPr="00CA58D5">
        <w:rPr>
          <w:rFonts w:ascii="Palatino Linotype" w:eastAsia="Times New Roman" w:hAnsi="Palatino Linotype" w:cs="Times New Roman"/>
          <w:b/>
          <w:color w:val="000000" w:themeColor="text1"/>
        </w:rPr>
        <w:t xml:space="preserve">SEGUNDO. </w:t>
      </w:r>
      <w:r w:rsidRPr="00CA58D5">
        <w:rPr>
          <w:rFonts w:ascii="Palatino Linotype" w:eastAsia="MS Mincho" w:hAnsi="Palatino Linotype" w:cs="Times New Roman"/>
          <w:color w:val="000000" w:themeColor="text1"/>
        </w:rPr>
        <w:t xml:space="preserve">Se </w:t>
      </w:r>
      <w:r w:rsidR="00456AC6" w:rsidRPr="00CA58D5">
        <w:rPr>
          <w:rFonts w:ascii="Palatino Linotype" w:eastAsia="MS Mincho" w:hAnsi="Palatino Linotype" w:cs="Times New Roman"/>
          <w:b/>
          <w:color w:val="000000" w:themeColor="text1"/>
        </w:rPr>
        <w:t>REVOCA</w:t>
      </w:r>
      <w:r w:rsidRPr="00CA58D5">
        <w:rPr>
          <w:rFonts w:ascii="Palatino Linotype" w:eastAsia="MS Mincho" w:hAnsi="Palatino Linotype" w:cs="Times New Roman"/>
          <w:b/>
          <w:color w:val="000000" w:themeColor="text1"/>
        </w:rPr>
        <w:t xml:space="preserve"> </w:t>
      </w:r>
      <w:r w:rsidRPr="00CA58D5">
        <w:rPr>
          <w:rFonts w:ascii="Palatino Linotype" w:eastAsia="MS Mincho" w:hAnsi="Palatino Linotype" w:cs="Times New Roman"/>
          <w:color w:val="000000" w:themeColor="text1"/>
        </w:rPr>
        <w:t xml:space="preserve">la respuesta emitida por el </w:t>
      </w:r>
      <w:r w:rsidR="00B13528" w:rsidRPr="00CA58D5">
        <w:rPr>
          <w:rFonts w:ascii="Palatino Linotype" w:hAnsi="Palatino Linotype"/>
          <w:b/>
          <w:bCs/>
          <w:color w:val="000000" w:themeColor="text1"/>
        </w:rPr>
        <w:t>Organismo Público Descentralizado para la Prestación de Los Servicios de Agua Potable Alcantarillado y Saneamiento de Zinacantepec</w:t>
      </w:r>
      <w:r w:rsidRPr="00CA58D5">
        <w:rPr>
          <w:rFonts w:ascii="Palatino Linotype" w:eastAsia="MS Mincho" w:hAnsi="Palatino Linotype" w:cs="Times New Roman"/>
          <w:b/>
          <w:color w:val="000000" w:themeColor="text1"/>
        </w:rPr>
        <w:t xml:space="preserve"> </w:t>
      </w:r>
      <w:r w:rsidRPr="00CA58D5">
        <w:rPr>
          <w:rFonts w:ascii="Palatino Linotype" w:eastAsia="MS Mincho" w:hAnsi="Palatino Linotype" w:cs="Times New Roman"/>
          <w:color w:val="000000" w:themeColor="text1"/>
        </w:rPr>
        <w:t xml:space="preserve">y se </w:t>
      </w:r>
      <w:r w:rsidRPr="00CA58D5">
        <w:rPr>
          <w:rFonts w:ascii="Palatino Linotype" w:eastAsia="MS Mincho" w:hAnsi="Palatino Linotype" w:cs="Times New Roman"/>
          <w:b/>
          <w:color w:val="000000" w:themeColor="text1"/>
        </w:rPr>
        <w:t>ORDENA</w:t>
      </w:r>
      <w:r w:rsidRPr="00CA58D5">
        <w:rPr>
          <w:rFonts w:ascii="Palatino Linotype" w:eastAsia="MS Mincho" w:hAnsi="Palatino Linotype" w:cs="Times New Roman"/>
          <w:color w:val="000000" w:themeColor="text1"/>
        </w:rPr>
        <w:t xml:space="preserve"> </w:t>
      </w:r>
      <w:bookmarkStart w:id="9" w:name="_Toc503891610"/>
      <w:bookmarkStart w:id="10" w:name="_Toc453696503"/>
      <w:bookmarkStart w:id="11" w:name="_Toc454301156"/>
      <w:bookmarkStart w:id="12" w:name="_Toc462653938"/>
      <w:bookmarkStart w:id="13" w:name="_Toc477891769"/>
      <w:bookmarkStart w:id="14" w:name="_Toc477891859"/>
      <w:bookmarkStart w:id="15" w:name="_Toc481576260"/>
      <w:bookmarkStart w:id="16" w:name="_Toc492590392"/>
      <w:r w:rsidRPr="00CA58D5">
        <w:rPr>
          <w:rFonts w:ascii="Palatino Linotype" w:eastAsia="MS Mincho" w:hAnsi="Palatino Linotype" w:cs="Times New Roman"/>
          <w:color w:val="000000" w:themeColor="text1"/>
        </w:rPr>
        <w:t>entregar vía Sistema de Acceso a la Información Mexi</w:t>
      </w:r>
      <w:r w:rsidR="00456AC6" w:rsidRPr="00CA58D5">
        <w:rPr>
          <w:rFonts w:ascii="Palatino Linotype" w:eastAsia="MS Mincho" w:hAnsi="Palatino Linotype" w:cs="Times New Roman"/>
          <w:color w:val="000000" w:themeColor="text1"/>
        </w:rPr>
        <w:t xml:space="preserve">quense (SAIMEX), </w:t>
      </w:r>
      <w:r w:rsidRPr="00CA58D5">
        <w:rPr>
          <w:rFonts w:ascii="Palatino Linotype" w:eastAsia="MS Mincho" w:hAnsi="Palatino Linotype" w:cs="Times New Roman"/>
          <w:color w:val="000000" w:themeColor="text1"/>
        </w:rPr>
        <w:t>la siguiente información</w:t>
      </w:r>
      <w:r w:rsidRPr="00CA58D5">
        <w:rPr>
          <w:rFonts w:ascii="Palatino Linotype" w:hAnsi="Palatino Linotype" w:cs="Arial"/>
          <w:color w:val="000000" w:themeColor="text1"/>
        </w:rPr>
        <w:t>:</w:t>
      </w:r>
    </w:p>
    <w:p w:rsidR="00194544" w:rsidRPr="00CA58D5" w:rsidRDefault="00194544" w:rsidP="00C66B6A">
      <w:pPr>
        <w:pStyle w:val="Prrafodelista"/>
        <w:tabs>
          <w:tab w:val="left" w:pos="8080"/>
        </w:tabs>
        <w:spacing w:line="360" w:lineRule="auto"/>
        <w:ind w:left="0" w:right="49"/>
        <w:jc w:val="both"/>
        <w:rPr>
          <w:rFonts w:ascii="Palatino Linotype" w:hAnsi="Palatino Linotype" w:cs="Arial"/>
          <w:i/>
          <w:color w:val="000000" w:themeColor="text1"/>
        </w:rPr>
      </w:pPr>
    </w:p>
    <w:p w:rsidR="0032619C" w:rsidRPr="00CA58D5" w:rsidRDefault="00610340" w:rsidP="00C66B6A">
      <w:pPr>
        <w:numPr>
          <w:ilvl w:val="0"/>
          <w:numId w:val="14"/>
        </w:numPr>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themeColor="text1"/>
        </w:rPr>
      </w:pPr>
      <w:r w:rsidRPr="00CA58D5">
        <w:rPr>
          <w:rFonts w:ascii="Palatino Linotype" w:eastAsia="Palatino Linotype" w:hAnsi="Palatino Linotype" w:cs="Palatino Linotype"/>
          <w:b/>
          <w:color w:val="000000" w:themeColor="text1"/>
        </w:rPr>
        <w:t xml:space="preserve">Padrón de proveedores de los años </w:t>
      </w:r>
      <w:r w:rsidRPr="00CA58D5">
        <w:rPr>
          <w:rFonts w:ascii="Palatino Linotype" w:hAnsi="Palatino Linotype"/>
          <w:b/>
          <w:color w:val="000000" w:themeColor="text1"/>
        </w:rPr>
        <w:t>2021, 2022, 2023 y 2024</w:t>
      </w:r>
      <w:r w:rsidR="0032619C" w:rsidRPr="00CA58D5">
        <w:rPr>
          <w:rFonts w:ascii="Palatino Linotype" w:eastAsia="Palatino Linotype" w:hAnsi="Palatino Linotype" w:cs="Palatino Linotype"/>
          <w:b/>
          <w:color w:val="000000" w:themeColor="text1"/>
        </w:rPr>
        <w:t>.</w:t>
      </w:r>
    </w:p>
    <w:p w:rsidR="00194544" w:rsidRPr="00CA58D5" w:rsidRDefault="00194544" w:rsidP="00C66B6A">
      <w:pPr>
        <w:tabs>
          <w:tab w:val="left" w:pos="8080"/>
        </w:tabs>
        <w:spacing w:line="360" w:lineRule="auto"/>
        <w:ind w:right="49"/>
        <w:jc w:val="both"/>
        <w:rPr>
          <w:rFonts w:ascii="Palatino Linotype" w:eastAsia="Palatino Linotype" w:hAnsi="Palatino Linotype" w:cs="Palatino Linotype"/>
          <w:color w:val="000000" w:themeColor="text1"/>
        </w:rPr>
      </w:pPr>
    </w:p>
    <w:bookmarkEnd w:id="9"/>
    <w:bookmarkEnd w:id="10"/>
    <w:bookmarkEnd w:id="11"/>
    <w:bookmarkEnd w:id="12"/>
    <w:bookmarkEnd w:id="13"/>
    <w:bookmarkEnd w:id="14"/>
    <w:bookmarkEnd w:id="15"/>
    <w:bookmarkEnd w:id="16"/>
    <w:p w:rsidR="00194544" w:rsidRPr="00CA58D5" w:rsidRDefault="00194544" w:rsidP="00C66B6A">
      <w:pPr>
        <w:spacing w:line="360" w:lineRule="auto"/>
        <w:ind w:right="49"/>
        <w:jc w:val="both"/>
        <w:rPr>
          <w:rFonts w:ascii="Palatino Linotype" w:eastAsia="Times New Roman" w:hAnsi="Palatino Linotype" w:cs="Times New Roman"/>
          <w:color w:val="000000" w:themeColor="text1"/>
          <w:lang w:val="es-MX"/>
        </w:rPr>
      </w:pPr>
      <w:r w:rsidRPr="00CA58D5">
        <w:rPr>
          <w:rFonts w:ascii="Palatino Linotype" w:eastAsia="Times New Roman" w:hAnsi="Palatino Linotype" w:cs="Arial"/>
          <w:b/>
          <w:bCs/>
          <w:color w:val="000000" w:themeColor="text1"/>
          <w:lang w:val="es-MX"/>
        </w:rPr>
        <w:t>TERCERO</w:t>
      </w:r>
      <w:r w:rsidRPr="00CA58D5">
        <w:rPr>
          <w:rFonts w:ascii="Palatino Linotype" w:eastAsia="Times New Roman" w:hAnsi="Palatino Linotype" w:cs="Arial"/>
          <w:b/>
          <w:color w:val="000000" w:themeColor="text1"/>
          <w:lang w:val="es-MX"/>
        </w:rPr>
        <w:t>.</w:t>
      </w:r>
      <w:r w:rsidRPr="00CA58D5">
        <w:rPr>
          <w:rFonts w:ascii="Palatino Linotype" w:eastAsia="Palatino Linotype" w:hAnsi="Palatino Linotype" w:cs="Palatino Linotype"/>
          <w:b/>
          <w:color w:val="000000" w:themeColor="text1"/>
          <w:lang w:val="es-MX"/>
        </w:rPr>
        <w:t xml:space="preserve"> </w:t>
      </w:r>
      <w:r w:rsidRPr="00CA58D5">
        <w:rPr>
          <w:rFonts w:ascii="Palatino Linotype" w:eastAsia="Times New Roman" w:hAnsi="Palatino Linotype" w:cs="Times New Roman"/>
          <w:b/>
          <w:color w:val="000000" w:themeColor="text1"/>
          <w:lang w:val="es-MX"/>
        </w:rPr>
        <w:t xml:space="preserve">Notifíquese </w:t>
      </w:r>
      <w:r w:rsidRPr="00CA58D5">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A58D5">
        <w:rPr>
          <w:rFonts w:ascii="Palatino Linotype" w:eastAsia="Times New Roman" w:hAnsi="Palatino Linotype" w:cs="Times New Roman"/>
          <w:b/>
          <w:color w:val="000000" w:themeColor="text1"/>
          <w:lang w:val="es-MX"/>
        </w:rPr>
        <w:t>dé cumplimiento a lo ordenado dentro del plazo de diez días hábiles</w:t>
      </w:r>
      <w:r w:rsidRPr="00CA58D5">
        <w:rPr>
          <w:rFonts w:ascii="Palatino Linotype" w:eastAsia="Times New Roman" w:hAnsi="Palatino Linotype" w:cs="Times New Roman"/>
          <w:color w:val="000000" w:themeColor="text1"/>
          <w:lang w:val="es-MX"/>
        </w:rPr>
        <w:t xml:space="preserve">, e informe a este Instituto en un plazo de tres días hábiles siguientes sobre el </w:t>
      </w:r>
      <w:r w:rsidRPr="00CA58D5">
        <w:rPr>
          <w:rFonts w:ascii="Palatino Linotype" w:eastAsia="Times New Roman" w:hAnsi="Palatino Linotype" w:cs="Times New Roman"/>
          <w:color w:val="000000" w:themeColor="text1"/>
          <w:lang w:val="es-MX"/>
        </w:rPr>
        <w:lastRenderedPageBreak/>
        <w:t>cumplimiento dado a la presente y, se le apercibe que en caso de</w:t>
      </w:r>
      <w:r w:rsidR="00456AC6" w:rsidRPr="00CA58D5">
        <w:rPr>
          <w:rFonts w:ascii="Palatino Linotype" w:eastAsia="Times New Roman" w:hAnsi="Palatino Linotype" w:cs="Times New Roman"/>
          <w:color w:val="000000" w:themeColor="text1"/>
          <w:lang w:val="es-MX"/>
        </w:rPr>
        <w:t xml:space="preserve"> negarse a cumplir la presente R</w:t>
      </w:r>
      <w:r w:rsidRPr="00CA58D5">
        <w:rPr>
          <w:rFonts w:ascii="Palatino Linotype" w:eastAsia="Times New Roman" w:hAnsi="Palatino Linotype" w:cs="Times New Roman"/>
          <w:color w:val="000000" w:themeColor="text1"/>
          <w:lang w:val="es-MX"/>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10340" w:rsidRPr="00CA58D5" w:rsidRDefault="00610340" w:rsidP="00C66B6A">
      <w:pPr>
        <w:spacing w:line="360" w:lineRule="auto"/>
        <w:ind w:right="49"/>
        <w:jc w:val="both"/>
        <w:rPr>
          <w:rFonts w:ascii="Palatino Linotype" w:eastAsia="Times New Roman" w:hAnsi="Palatino Linotype" w:cs="Times New Roman"/>
          <w:color w:val="000000" w:themeColor="text1"/>
          <w:lang w:val="es-MX"/>
        </w:rPr>
      </w:pPr>
    </w:p>
    <w:p w:rsidR="00194544" w:rsidRPr="00CA58D5" w:rsidRDefault="00194544" w:rsidP="00C66B6A">
      <w:pPr>
        <w:spacing w:line="360" w:lineRule="auto"/>
        <w:ind w:right="49"/>
        <w:jc w:val="both"/>
        <w:rPr>
          <w:rFonts w:ascii="Palatino Linotype" w:eastAsia="Calibri" w:hAnsi="Palatino Linotype" w:cs="Arial"/>
          <w:bCs/>
          <w:color w:val="000000" w:themeColor="text1"/>
        </w:rPr>
      </w:pPr>
      <w:r w:rsidRPr="00CA58D5">
        <w:rPr>
          <w:rFonts w:ascii="Palatino Linotype" w:hAnsi="Palatino Linotype" w:cs="Arial"/>
          <w:b/>
          <w:color w:val="000000" w:themeColor="text1"/>
        </w:rPr>
        <w:t xml:space="preserve">CUARTO. </w:t>
      </w:r>
      <w:r w:rsidRPr="00CA58D5">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CA58D5">
        <w:rPr>
          <w:rFonts w:ascii="Palatino Linotype" w:eastAsia="Calibri" w:hAnsi="Palatino Linotype" w:cs="Arial"/>
          <w:b/>
          <w:bCs/>
          <w:color w:val="000000" w:themeColor="text1"/>
        </w:rPr>
        <w:t>SUJETO OBLIGADO</w:t>
      </w:r>
      <w:r w:rsidRPr="00CA58D5">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194544" w:rsidRPr="00CA58D5" w:rsidRDefault="00194544" w:rsidP="00C66B6A">
      <w:pPr>
        <w:spacing w:line="360" w:lineRule="auto"/>
        <w:ind w:right="49"/>
        <w:jc w:val="both"/>
        <w:rPr>
          <w:rFonts w:ascii="Palatino Linotype" w:eastAsia="Calibri" w:hAnsi="Palatino Linotype" w:cs="Arial"/>
          <w:bCs/>
          <w:color w:val="000000" w:themeColor="text1"/>
        </w:rPr>
      </w:pPr>
    </w:p>
    <w:p w:rsidR="00194544" w:rsidRPr="00CA58D5" w:rsidRDefault="00194544" w:rsidP="00C66B6A">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bookmarkStart w:id="17" w:name="_Toc492590393"/>
      <w:bookmarkStart w:id="18" w:name="_Toc503891611"/>
      <w:bookmarkStart w:id="19" w:name="_Toc511647759"/>
      <w:bookmarkStart w:id="20" w:name="_Toc511647820"/>
      <w:r w:rsidRPr="00CA58D5">
        <w:rPr>
          <w:rFonts w:ascii="Palatino Linotype" w:eastAsia="Times New Roman" w:hAnsi="Palatino Linotype" w:cs="Times New Roman"/>
          <w:b/>
          <w:color w:val="000000" w:themeColor="text1"/>
        </w:rPr>
        <w:t xml:space="preserve">QUINTO. </w:t>
      </w:r>
      <w:r w:rsidRPr="00CA58D5">
        <w:rPr>
          <w:rFonts w:ascii="Palatino Linotype" w:eastAsia="Times New Roman" w:hAnsi="Palatino Linotype" w:cs="Times New Roman"/>
          <w:color w:val="000000" w:themeColor="text1"/>
        </w:rPr>
        <w:t>Notifíquese</w:t>
      </w:r>
      <w:bookmarkEnd w:id="17"/>
      <w:bookmarkEnd w:id="18"/>
      <w:bookmarkEnd w:id="19"/>
      <w:bookmarkEnd w:id="20"/>
      <w:r w:rsidRPr="00CA58D5">
        <w:rPr>
          <w:rFonts w:ascii="Palatino Linotype" w:eastAsia="Times New Roman" w:hAnsi="Palatino Linotype" w:cs="Times New Roman"/>
          <w:color w:val="000000" w:themeColor="text1"/>
        </w:rPr>
        <w:t xml:space="preserve"> al </w:t>
      </w:r>
      <w:r w:rsidRPr="00CA58D5">
        <w:rPr>
          <w:rFonts w:ascii="Palatino Linotype" w:eastAsia="Times New Roman" w:hAnsi="Palatino Linotype" w:cs="Times New Roman"/>
          <w:b/>
          <w:color w:val="000000" w:themeColor="text1"/>
        </w:rPr>
        <w:t>RECURRENTE</w:t>
      </w:r>
      <w:r w:rsidRPr="00CA58D5">
        <w:rPr>
          <w:rFonts w:ascii="Palatino Linotype" w:eastAsia="Times New Roman" w:hAnsi="Palatino Linotype" w:cs="Times New Roman"/>
          <w:color w:val="000000" w:themeColor="text1"/>
        </w:rPr>
        <w:t xml:space="preserve"> la presente</w:t>
      </w:r>
      <w:r w:rsidRPr="00CA58D5">
        <w:rPr>
          <w:rFonts w:ascii="Palatino Linotype" w:eastAsia="Times New Roman" w:hAnsi="Palatino Linotype" w:cs="Times New Roman"/>
          <w:color w:val="000000" w:themeColor="text1"/>
          <w:lang w:val="es-ES" w:eastAsia="es-MX"/>
        </w:rPr>
        <w:t xml:space="preserve"> Resolución, vía </w:t>
      </w:r>
      <w:r w:rsidRPr="00CA58D5">
        <w:rPr>
          <w:rFonts w:ascii="Palatino Linotype" w:eastAsia="Times New Roman" w:hAnsi="Palatino Linotype" w:cs="Times New Roman"/>
          <w:b/>
          <w:color w:val="000000" w:themeColor="text1"/>
          <w:lang w:val="es-ES" w:eastAsia="es-MX"/>
        </w:rPr>
        <w:t>SAIMEX</w:t>
      </w:r>
      <w:r w:rsidRPr="00CA58D5">
        <w:rPr>
          <w:rFonts w:ascii="Palatino Linotype" w:eastAsia="Times New Roman" w:hAnsi="Palatino Linotype" w:cs="Times New Roman"/>
          <w:color w:val="000000" w:themeColor="text1"/>
          <w:lang w:val="es-ES" w:eastAsia="es-MX"/>
        </w:rPr>
        <w:t>.</w:t>
      </w:r>
    </w:p>
    <w:p w:rsidR="00610340" w:rsidRPr="00CA58D5" w:rsidRDefault="00610340" w:rsidP="00C66B6A">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p>
    <w:p w:rsidR="00194544" w:rsidRPr="00CA58D5" w:rsidRDefault="00194544" w:rsidP="00C66B6A">
      <w:pPr>
        <w:shd w:val="clear" w:color="auto" w:fill="FFFFFF"/>
        <w:spacing w:line="360" w:lineRule="auto"/>
        <w:ind w:right="49"/>
        <w:jc w:val="both"/>
        <w:rPr>
          <w:rFonts w:ascii="Palatino Linotype" w:eastAsia="Calibri" w:hAnsi="Palatino Linotype"/>
          <w:color w:val="000000" w:themeColor="text1"/>
          <w:lang w:val="es-MX" w:eastAsia="en-US"/>
        </w:rPr>
      </w:pPr>
      <w:r w:rsidRPr="00CA58D5">
        <w:rPr>
          <w:rFonts w:ascii="Palatino Linotype" w:eastAsia="Calibri" w:hAnsi="Palatino Linotype"/>
          <w:b/>
          <w:color w:val="000000" w:themeColor="text1"/>
          <w:lang w:eastAsia="en-US"/>
        </w:rPr>
        <w:t xml:space="preserve">SEXTO. </w:t>
      </w:r>
      <w:r w:rsidRPr="00CA58D5">
        <w:rPr>
          <w:rFonts w:ascii="Palatino Linotype" w:eastAsia="Calibri" w:hAnsi="Palatino Linotype"/>
          <w:color w:val="000000" w:themeColor="text1"/>
          <w:lang w:eastAsia="en-US"/>
        </w:rPr>
        <w:t>Se hace del conocimiento del</w:t>
      </w:r>
      <w:r w:rsidRPr="00CA58D5">
        <w:rPr>
          <w:rFonts w:ascii="Palatino Linotype" w:eastAsia="Calibri" w:hAnsi="Palatino Linotype"/>
          <w:b/>
          <w:color w:val="000000" w:themeColor="text1"/>
          <w:lang w:eastAsia="en-US"/>
        </w:rPr>
        <w:t xml:space="preserve"> RECURRENTE </w:t>
      </w:r>
      <w:r w:rsidRPr="00CA58D5">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84DF1" w:rsidRPr="00CA58D5" w:rsidRDefault="00B84DF1" w:rsidP="00C66B6A">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C66B6A" w:rsidRDefault="00CA58D5" w:rsidP="00C66B6A">
      <w:pPr>
        <w:spacing w:line="360" w:lineRule="auto"/>
        <w:ind w:right="49"/>
        <w:jc w:val="both"/>
        <w:rPr>
          <w:rFonts w:ascii="Palatino Linotype" w:eastAsia="Palatino Linotype" w:hAnsi="Palatino Linotype" w:cs="Palatino Linotype"/>
          <w:color w:val="000000" w:themeColor="text1"/>
        </w:rPr>
      </w:pPr>
      <w:bookmarkStart w:id="21" w:name="_GoBack"/>
      <w:bookmarkEnd w:id="21"/>
      <w:r w:rsidRPr="00CA58D5">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w:t>
      </w:r>
      <w:r w:rsidRPr="00CA58D5">
        <w:rPr>
          <w:rFonts w:ascii="Palatino Linotype" w:eastAsia="Palatino Linotype" w:hAnsi="Palatino Linotype" w:cs="Palatino Linotype"/>
          <w:color w:val="000000" w:themeColor="text1"/>
        </w:rPr>
        <w:lastRenderedPageBreak/>
        <w:t>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B84DF1" w:rsidRPr="00C66B6A"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jc w:val="both"/>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p w:rsidR="00B84DF1" w:rsidRPr="00C66B6A" w:rsidRDefault="009D3673" w:rsidP="00C66B6A">
      <w:pPr>
        <w:tabs>
          <w:tab w:val="left" w:pos="3374"/>
        </w:tabs>
        <w:spacing w:line="360" w:lineRule="auto"/>
        <w:ind w:right="49"/>
        <w:rPr>
          <w:rFonts w:ascii="Palatino Linotype" w:eastAsia="Palatino Linotype" w:hAnsi="Palatino Linotype" w:cs="Palatino Linotype"/>
          <w:color w:val="000000" w:themeColor="text1"/>
        </w:rPr>
      </w:pPr>
      <w:r w:rsidRPr="00C66B6A">
        <w:rPr>
          <w:rFonts w:ascii="Palatino Linotype" w:eastAsia="Palatino Linotype" w:hAnsi="Palatino Linotype" w:cs="Palatino Linotype"/>
          <w:color w:val="000000" w:themeColor="text1"/>
        </w:rPr>
        <w:tab/>
      </w: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tabs>
          <w:tab w:val="left" w:pos="3374"/>
        </w:tabs>
        <w:spacing w:line="360" w:lineRule="auto"/>
        <w:ind w:right="49"/>
        <w:rPr>
          <w:rFonts w:ascii="Palatino Linotype" w:eastAsia="Palatino Linotype" w:hAnsi="Palatino Linotype" w:cs="Palatino Linotype"/>
          <w:color w:val="000000" w:themeColor="text1"/>
        </w:rPr>
      </w:pPr>
    </w:p>
    <w:p w:rsidR="00B84DF1" w:rsidRPr="00C66B6A" w:rsidRDefault="00B84DF1" w:rsidP="00C66B6A">
      <w:pPr>
        <w:spacing w:line="360" w:lineRule="auto"/>
        <w:ind w:right="49"/>
        <w:rPr>
          <w:rFonts w:ascii="Palatino Linotype" w:eastAsia="Palatino Linotype" w:hAnsi="Palatino Linotype" w:cs="Palatino Linotype"/>
          <w:color w:val="000000" w:themeColor="text1"/>
        </w:rPr>
      </w:pPr>
    </w:p>
    <w:sectPr w:rsidR="00B84DF1" w:rsidRPr="00C66B6A" w:rsidSect="00C66B6A">
      <w:headerReference w:type="even" r:id="rId13"/>
      <w:headerReference w:type="default" r:id="rId14"/>
      <w:footerReference w:type="default" r:id="rId15"/>
      <w:headerReference w:type="first" r:id="rId16"/>
      <w:footerReference w:type="first" r:id="rId17"/>
      <w:pgSz w:w="12240" w:h="15840"/>
      <w:pgMar w:top="2268"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2A" w:rsidRDefault="008C742A">
      <w:r>
        <w:separator/>
      </w:r>
    </w:p>
  </w:endnote>
  <w:endnote w:type="continuationSeparator" w:id="0">
    <w:p w:rsidR="008C742A" w:rsidRDefault="008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C8" w:rsidRDefault="002832C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6FB4">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6FB4">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832C8" w:rsidRDefault="002832C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C8" w:rsidRDefault="002832C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6F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6FB4">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832C8" w:rsidRDefault="002832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2A" w:rsidRDefault="008C742A">
      <w:r>
        <w:separator/>
      </w:r>
    </w:p>
  </w:footnote>
  <w:footnote w:type="continuationSeparator" w:id="0">
    <w:p w:rsidR="008C742A" w:rsidRDefault="008C742A">
      <w:r>
        <w:continuationSeparator/>
      </w:r>
    </w:p>
  </w:footnote>
  <w:footnote w:id="1">
    <w:p w:rsidR="005A2995" w:rsidRPr="008A50F4" w:rsidRDefault="005A2995" w:rsidP="005A299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2">
    <w:p w:rsidR="005A2995" w:rsidRPr="008A50F4" w:rsidRDefault="005A2995" w:rsidP="005A299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3">
    <w:p w:rsidR="005A2995" w:rsidRPr="008A50F4" w:rsidRDefault="005A2995" w:rsidP="005A299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4">
    <w:p w:rsidR="005A2995" w:rsidRPr="008A50F4" w:rsidRDefault="005A2995" w:rsidP="005A299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5">
    <w:p w:rsidR="005A2995" w:rsidRPr="008A50F4" w:rsidRDefault="005A2995" w:rsidP="005A299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6">
    <w:p w:rsidR="002832C8" w:rsidRDefault="002832C8"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7">
    <w:p w:rsidR="002832C8" w:rsidRDefault="002832C8"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8">
    <w:p w:rsidR="002832C8" w:rsidRDefault="002832C8"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9">
    <w:p w:rsidR="002832C8" w:rsidRDefault="002832C8"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10">
    <w:p w:rsidR="002832C8" w:rsidRDefault="002832C8" w:rsidP="00194544">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1">
    <w:p w:rsidR="002832C8" w:rsidRDefault="002832C8"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2832C8" w:rsidRDefault="002832C8" w:rsidP="0019454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2832C8" w:rsidRDefault="002832C8" w:rsidP="00194544">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C8" w:rsidRDefault="008C742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C8" w:rsidRDefault="002832C8">
    <w:pPr>
      <w:widowControl w:val="0"/>
      <w:pBdr>
        <w:top w:val="nil"/>
        <w:left w:val="nil"/>
        <w:bottom w:val="nil"/>
        <w:right w:val="nil"/>
        <w:between w:val="nil"/>
      </w:pBdr>
      <w:spacing w:line="276" w:lineRule="auto"/>
      <w:rPr>
        <w:color w:val="000000"/>
      </w:rPr>
    </w:pPr>
  </w:p>
  <w:tbl>
    <w:tblPr>
      <w:tblStyle w:val="a2"/>
      <w:tblW w:w="7087" w:type="dxa"/>
      <w:tblInd w:w="2694" w:type="dxa"/>
      <w:tblLayout w:type="fixed"/>
      <w:tblLook w:val="0400" w:firstRow="0" w:lastRow="0" w:firstColumn="0" w:lastColumn="0" w:noHBand="0" w:noVBand="1"/>
    </w:tblPr>
    <w:tblGrid>
      <w:gridCol w:w="2976"/>
      <w:gridCol w:w="4111"/>
    </w:tblGrid>
    <w:tr w:rsidR="002832C8" w:rsidRPr="00C66B6A" w:rsidTr="00C66B6A">
      <w:trPr>
        <w:trHeight w:val="227"/>
      </w:trPr>
      <w:tc>
        <w:tcPr>
          <w:tcW w:w="2976" w:type="dxa"/>
          <w:vAlign w:val="center"/>
        </w:tcPr>
        <w:p w:rsidR="002832C8" w:rsidRPr="00C66B6A" w:rsidRDefault="002832C8" w:rsidP="00C66B6A">
          <w:pPr>
            <w:ind w:right="34"/>
            <w:jc w:val="right"/>
            <w:rPr>
              <w:rFonts w:ascii="Palatino Linotype" w:eastAsia="Palatino Linotype" w:hAnsi="Palatino Linotype" w:cs="Palatino Linotype"/>
              <w:b/>
            </w:rPr>
          </w:pPr>
          <w:r w:rsidRPr="00C66B6A">
            <w:rPr>
              <w:rFonts w:ascii="Palatino Linotype" w:eastAsia="Palatino Linotype" w:hAnsi="Palatino Linotype" w:cs="Palatino Linotype"/>
              <w:b/>
            </w:rPr>
            <w:t>Recurso de Revisión:</w:t>
          </w:r>
        </w:p>
      </w:tc>
      <w:tc>
        <w:tcPr>
          <w:tcW w:w="4111" w:type="dxa"/>
          <w:vAlign w:val="center"/>
        </w:tcPr>
        <w:p w:rsidR="002832C8" w:rsidRPr="00C66B6A" w:rsidRDefault="002832C8" w:rsidP="00C66B6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C66B6A">
            <w:rPr>
              <w:rFonts w:ascii="Palatino Linotype" w:eastAsia="Palatino Linotype" w:hAnsi="Palatino Linotype" w:cs="Palatino Linotype"/>
              <w:color w:val="000000"/>
            </w:rPr>
            <w:t>03858/INFOEM/IP/RR/2025</w:t>
          </w:r>
        </w:p>
      </w:tc>
    </w:tr>
    <w:tr w:rsidR="002832C8" w:rsidRPr="00C66B6A" w:rsidTr="00C66B6A">
      <w:trPr>
        <w:trHeight w:val="242"/>
      </w:trPr>
      <w:tc>
        <w:tcPr>
          <w:tcW w:w="2976" w:type="dxa"/>
          <w:vAlign w:val="center"/>
        </w:tcPr>
        <w:p w:rsidR="002832C8" w:rsidRDefault="002832C8" w:rsidP="00C66B6A">
          <w:pPr>
            <w:ind w:right="34"/>
            <w:jc w:val="right"/>
            <w:rPr>
              <w:rFonts w:ascii="Palatino Linotype" w:eastAsia="Palatino Linotype" w:hAnsi="Palatino Linotype" w:cs="Palatino Linotype"/>
              <w:b/>
            </w:rPr>
          </w:pPr>
          <w:r w:rsidRPr="00C66B6A">
            <w:rPr>
              <w:rFonts w:ascii="Palatino Linotype" w:eastAsia="Palatino Linotype" w:hAnsi="Palatino Linotype" w:cs="Palatino Linotype"/>
              <w:b/>
            </w:rPr>
            <w:t>Sujeto Obligado:</w:t>
          </w:r>
        </w:p>
        <w:p w:rsidR="00C66B6A" w:rsidRDefault="00C66B6A" w:rsidP="00C66B6A">
          <w:pPr>
            <w:ind w:right="34"/>
            <w:jc w:val="right"/>
            <w:rPr>
              <w:rFonts w:ascii="Palatino Linotype" w:eastAsia="Palatino Linotype" w:hAnsi="Palatino Linotype" w:cs="Palatino Linotype"/>
              <w:b/>
            </w:rPr>
          </w:pPr>
        </w:p>
        <w:p w:rsidR="00C66B6A" w:rsidRDefault="00C66B6A" w:rsidP="00C66B6A">
          <w:pPr>
            <w:ind w:right="34"/>
            <w:jc w:val="right"/>
            <w:rPr>
              <w:rFonts w:ascii="Palatino Linotype" w:eastAsia="Palatino Linotype" w:hAnsi="Palatino Linotype" w:cs="Palatino Linotype"/>
              <w:b/>
            </w:rPr>
          </w:pPr>
        </w:p>
        <w:p w:rsidR="00C66B6A" w:rsidRPr="00C66B6A" w:rsidRDefault="00C66B6A" w:rsidP="00C66B6A">
          <w:pPr>
            <w:ind w:right="34"/>
            <w:jc w:val="right"/>
            <w:rPr>
              <w:rFonts w:ascii="Palatino Linotype" w:eastAsia="Palatino Linotype" w:hAnsi="Palatino Linotype" w:cs="Palatino Linotype"/>
              <w:b/>
            </w:rPr>
          </w:pPr>
        </w:p>
      </w:tc>
      <w:tc>
        <w:tcPr>
          <w:tcW w:w="4111" w:type="dxa"/>
          <w:vAlign w:val="center"/>
        </w:tcPr>
        <w:p w:rsidR="002832C8" w:rsidRPr="00C66B6A" w:rsidRDefault="002832C8" w:rsidP="00C66B6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66B6A">
            <w:rPr>
              <w:rFonts w:ascii="Palatino Linotype" w:eastAsia="Palatino Linotype" w:hAnsi="Palatino Linotype" w:cs="Palatino Linotype"/>
              <w:color w:val="000000"/>
            </w:rPr>
            <w:t>Organismo Público Descentralizado para la Prestación de Los Servicios de Agua Potable Alcantarillado y Saneamiento de Zinacantepec</w:t>
          </w:r>
        </w:p>
      </w:tc>
    </w:tr>
    <w:tr w:rsidR="002832C8" w:rsidRPr="00C66B6A" w:rsidTr="00C66B6A">
      <w:trPr>
        <w:trHeight w:val="342"/>
      </w:trPr>
      <w:tc>
        <w:tcPr>
          <w:tcW w:w="2976" w:type="dxa"/>
          <w:vAlign w:val="center"/>
        </w:tcPr>
        <w:p w:rsidR="002832C8" w:rsidRPr="00C66B6A" w:rsidRDefault="002832C8" w:rsidP="00C66B6A">
          <w:pPr>
            <w:ind w:right="34"/>
            <w:jc w:val="right"/>
            <w:rPr>
              <w:rFonts w:ascii="Palatino Linotype" w:eastAsia="Palatino Linotype" w:hAnsi="Palatino Linotype" w:cs="Palatino Linotype"/>
              <w:b/>
            </w:rPr>
          </w:pPr>
          <w:r w:rsidRPr="00C66B6A">
            <w:rPr>
              <w:rFonts w:ascii="Palatino Linotype" w:eastAsia="Palatino Linotype" w:hAnsi="Palatino Linotype" w:cs="Palatino Linotype"/>
              <w:b/>
            </w:rPr>
            <w:t>Comisionada Ponente:</w:t>
          </w:r>
        </w:p>
      </w:tc>
      <w:tc>
        <w:tcPr>
          <w:tcW w:w="4111" w:type="dxa"/>
          <w:vAlign w:val="center"/>
        </w:tcPr>
        <w:p w:rsidR="002832C8" w:rsidRPr="00C66B6A" w:rsidRDefault="002832C8" w:rsidP="00C66B6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C66B6A">
            <w:rPr>
              <w:rFonts w:ascii="Palatino Linotype" w:eastAsia="Palatino Linotype" w:hAnsi="Palatino Linotype" w:cs="Palatino Linotype"/>
              <w:color w:val="000000"/>
            </w:rPr>
            <w:t>María del Rosario Mejía Ayala</w:t>
          </w:r>
        </w:p>
      </w:tc>
    </w:tr>
  </w:tbl>
  <w:p w:rsidR="002832C8" w:rsidRDefault="008C742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C8" w:rsidRDefault="002832C8">
    <w:pPr>
      <w:widowControl w:val="0"/>
      <w:pBdr>
        <w:top w:val="nil"/>
        <w:left w:val="nil"/>
        <w:bottom w:val="nil"/>
        <w:right w:val="nil"/>
        <w:between w:val="nil"/>
      </w:pBdr>
      <w:spacing w:line="276" w:lineRule="auto"/>
      <w:rPr>
        <w:color w:val="000000"/>
        <w:sz w:val="14"/>
        <w:szCs w:val="14"/>
      </w:rPr>
    </w:pPr>
  </w:p>
  <w:tbl>
    <w:tblPr>
      <w:tblStyle w:val="a3"/>
      <w:tblW w:w="7230" w:type="dxa"/>
      <w:jc w:val="right"/>
      <w:tblInd w:w="0" w:type="dxa"/>
      <w:tblLayout w:type="fixed"/>
      <w:tblLook w:val="0400" w:firstRow="0" w:lastRow="0" w:firstColumn="0" w:lastColumn="0" w:noHBand="0" w:noVBand="1"/>
    </w:tblPr>
    <w:tblGrid>
      <w:gridCol w:w="2977"/>
      <w:gridCol w:w="4253"/>
    </w:tblGrid>
    <w:tr w:rsidR="002832C8" w:rsidRPr="00C66B6A" w:rsidTr="00C66B6A">
      <w:trPr>
        <w:trHeight w:val="227"/>
        <w:jc w:val="right"/>
      </w:trPr>
      <w:tc>
        <w:tcPr>
          <w:tcW w:w="2977" w:type="dxa"/>
          <w:vAlign w:val="center"/>
        </w:tcPr>
        <w:p w:rsidR="002832C8" w:rsidRPr="00C66B6A" w:rsidRDefault="002832C8">
          <w:pPr>
            <w:jc w:val="right"/>
            <w:rPr>
              <w:rFonts w:ascii="Palatino Linotype" w:eastAsia="Palatino Linotype" w:hAnsi="Palatino Linotype" w:cs="Palatino Linotype"/>
              <w:b/>
            </w:rPr>
          </w:pPr>
          <w:r w:rsidRPr="00C66B6A">
            <w:rPr>
              <w:rFonts w:ascii="Palatino Linotype" w:eastAsia="Palatino Linotype" w:hAnsi="Palatino Linotype" w:cs="Palatino Linotype"/>
              <w:b/>
            </w:rPr>
            <w:t>Recurso de Revisión:</w:t>
          </w:r>
        </w:p>
      </w:tc>
      <w:tc>
        <w:tcPr>
          <w:tcW w:w="4253" w:type="dxa"/>
          <w:vAlign w:val="center"/>
        </w:tcPr>
        <w:p w:rsidR="002832C8" w:rsidRPr="00C66B6A" w:rsidRDefault="002832C8" w:rsidP="00B1352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66B6A">
            <w:rPr>
              <w:rFonts w:ascii="Palatino Linotype" w:eastAsia="Palatino Linotype" w:hAnsi="Palatino Linotype" w:cs="Palatino Linotype"/>
              <w:color w:val="000000"/>
            </w:rPr>
            <w:t>03858/INFOEM/IP/RR/2025</w:t>
          </w:r>
        </w:p>
      </w:tc>
    </w:tr>
    <w:tr w:rsidR="002832C8" w:rsidRPr="00C66B6A" w:rsidTr="00C66B6A">
      <w:trPr>
        <w:trHeight w:val="242"/>
        <w:jc w:val="right"/>
      </w:trPr>
      <w:tc>
        <w:tcPr>
          <w:tcW w:w="2977" w:type="dxa"/>
          <w:vAlign w:val="center"/>
        </w:tcPr>
        <w:p w:rsidR="002832C8" w:rsidRPr="00C66B6A" w:rsidRDefault="002832C8">
          <w:pPr>
            <w:jc w:val="right"/>
            <w:rPr>
              <w:rFonts w:ascii="Palatino Linotype" w:eastAsia="Palatino Linotype" w:hAnsi="Palatino Linotype" w:cs="Palatino Linotype"/>
              <w:b/>
            </w:rPr>
          </w:pPr>
          <w:r w:rsidRPr="00C66B6A">
            <w:rPr>
              <w:rFonts w:ascii="Palatino Linotype" w:eastAsia="Palatino Linotype" w:hAnsi="Palatino Linotype" w:cs="Palatino Linotype"/>
              <w:b/>
            </w:rPr>
            <w:t>Recurrente:</w:t>
          </w:r>
        </w:p>
      </w:tc>
      <w:tc>
        <w:tcPr>
          <w:tcW w:w="4253" w:type="dxa"/>
        </w:tcPr>
        <w:p w:rsidR="002832C8" w:rsidRPr="00C66B6A" w:rsidRDefault="00DA6FB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2832C8" w:rsidRPr="00C66B6A" w:rsidTr="00C66B6A">
      <w:trPr>
        <w:trHeight w:val="342"/>
        <w:jc w:val="right"/>
      </w:trPr>
      <w:tc>
        <w:tcPr>
          <w:tcW w:w="2977" w:type="dxa"/>
          <w:vAlign w:val="center"/>
        </w:tcPr>
        <w:p w:rsidR="002832C8" w:rsidRDefault="002832C8">
          <w:pPr>
            <w:jc w:val="right"/>
            <w:rPr>
              <w:rFonts w:ascii="Palatino Linotype" w:eastAsia="Palatino Linotype" w:hAnsi="Palatino Linotype" w:cs="Palatino Linotype"/>
              <w:b/>
            </w:rPr>
          </w:pPr>
          <w:r w:rsidRPr="00C66B6A">
            <w:rPr>
              <w:rFonts w:ascii="Palatino Linotype" w:eastAsia="Palatino Linotype" w:hAnsi="Palatino Linotype" w:cs="Palatino Linotype"/>
              <w:b/>
            </w:rPr>
            <w:t>Sujeto Obligado:</w:t>
          </w:r>
        </w:p>
        <w:p w:rsidR="00C66B6A" w:rsidRDefault="00C66B6A">
          <w:pPr>
            <w:jc w:val="right"/>
            <w:rPr>
              <w:rFonts w:ascii="Palatino Linotype" w:eastAsia="Palatino Linotype" w:hAnsi="Palatino Linotype" w:cs="Palatino Linotype"/>
              <w:b/>
            </w:rPr>
          </w:pPr>
        </w:p>
        <w:p w:rsidR="00C66B6A" w:rsidRDefault="00C66B6A">
          <w:pPr>
            <w:jc w:val="right"/>
            <w:rPr>
              <w:rFonts w:ascii="Palatino Linotype" w:eastAsia="Palatino Linotype" w:hAnsi="Palatino Linotype" w:cs="Palatino Linotype"/>
              <w:b/>
            </w:rPr>
          </w:pPr>
        </w:p>
        <w:p w:rsidR="00C66B6A" w:rsidRPr="00C66B6A" w:rsidRDefault="00C66B6A">
          <w:pPr>
            <w:jc w:val="right"/>
            <w:rPr>
              <w:rFonts w:ascii="Palatino Linotype" w:eastAsia="Palatino Linotype" w:hAnsi="Palatino Linotype" w:cs="Palatino Linotype"/>
              <w:b/>
            </w:rPr>
          </w:pPr>
        </w:p>
      </w:tc>
      <w:tc>
        <w:tcPr>
          <w:tcW w:w="4253" w:type="dxa"/>
          <w:vAlign w:val="center"/>
        </w:tcPr>
        <w:p w:rsidR="002832C8" w:rsidRPr="00C66B6A" w:rsidRDefault="002832C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66B6A">
            <w:rPr>
              <w:rFonts w:ascii="Palatino Linotype" w:eastAsia="Palatino Linotype" w:hAnsi="Palatino Linotype" w:cs="Palatino Linotype"/>
              <w:color w:val="000000"/>
            </w:rPr>
            <w:t>Organismo Público Descentralizado para la Prestación de Los Servicios de Agua Potable Alcantarillado y Saneamiento de Zinacantepec</w:t>
          </w:r>
        </w:p>
      </w:tc>
    </w:tr>
    <w:tr w:rsidR="002832C8" w:rsidRPr="00C66B6A" w:rsidTr="00C66B6A">
      <w:trPr>
        <w:trHeight w:val="342"/>
        <w:jc w:val="right"/>
      </w:trPr>
      <w:tc>
        <w:tcPr>
          <w:tcW w:w="2977" w:type="dxa"/>
          <w:vAlign w:val="center"/>
        </w:tcPr>
        <w:p w:rsidR="002832C8" w:rsidRPr="00C66B6A" w:rsidRDefault="002832C8">
          <w:pPr>
            <w:jc w:val="right"/>
            <w:rPr>
              <w:rFonts w:ascii="Palatino Linotype" w:eastAsia="Palatino Linotype" w:hAnsi="Palatino Linotype" w:cs="Palatino Linotype"/>
              <w:b/>
            </w:rPr>
          </w:pPr>
          <w:r w:rsidRPr="00C66B6A">
            <w:rPr>
              <w:rFonts w:ascii="Palatino Linotype" w:eastAsia="Palatino Linotype" w:hAnsi="Palatino Linotype" w:cs="Palatino Linotype"/>
              <w:b/>
            </w:rPr>
            <w:t>Comisionada Ponente:</w:t>
          </w:r>
        </w:p>
      </w:tc>
      <w:tc>
        <w:tcPr>
          <w:tcW w:w="4253" w:type="dxa"/>
          <w:vAlign w:val="center"/>
        </w:tcPr>
        <w:p w:rsidR="002832C8" w:rsidRPr="00C66B6A" w:rsidRDefault="002832C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66B6A">
            <w:rPr>
              <w:rFonts w:ascii="Palatino Linotype" w:eastAsia="Palatino Linotype" w:hAnsi="Palatino Linotype" w:cs="Palatino Linotype"/>
              <w:color w:val="000000"/>
            </w:rPr>
            <w:t>María del Rosario Mejía Ayala</w:t>
          </w:r>
        </w:p>
      </w:tc>
    </w:tr>
  </w:tbl>
  <w:p w:rsidR="002832C8" w:rsidRDefault="008C742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3353C9"/>
    <w:multiLevelType w:val="hybridMultilevel"/>
    <w:tmpl w:val="1EDC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4"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1"/>
  </w:num>
  <w:num w:numId="4">
    <w:abstractNumId w:val="14"/>
  </w:num>
  <w:num w:numId="5">
    <w:abstractNumId w:val="13"/>
  </w:num>
  <w:num w:numId="6">
    <w:abstractNumId w:val="0"/>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lvlOverride w:ilvl="0">
      <w:lvl w:ilvl="0">
        <w:numFmt w:val="decimal"/>
        <w:lvlText w:val="%1."/>
        <w:lvlJc w:val="left"/>
        <w:rPr>
          <w:b/>
        </w:rPr>
      </w:lvl>
    </w:lvlOverride>
  </w:num>
  <w:num w:numId="11">
    <w:abstractNumId w:val="5"/>
  </w:num>
  <w:num w:numId="12">
    <w:abstractNumId w:val="7"/>
  </w:num>
  <w:num w:numId="13">
    <w:abstractNumId w:val="1"/>
  </w:num>
  <w:num w:numId="14">
    <w:abstractNumId w:val="15"/>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41443"/>
    <w:rsid w:val="00053809"/>
    <w:rsid w:val="000A6833"/>
    <w:rsid w:val="000B554D"/>
    <w:rsid w:val="000C7A68"/>
    <w:rsid w:val="000E7F59"/>
    <w:rsid w:val="000F1E77"/>
    <w:rsid w:val="00120600"/>
    <w:rsid w:val="001268E9"/>
    <w:rsid w:val="00134848"/>
    <w:rsid w:val="00137E3A"/>
    <w:rsid w:val="00194544"/>
    <w:rsid w:val="001C3453"/>
    <w:rsid w:val="0021003A"/>
    <w:rsid w:val="002329D8"/>
    <w:rsid w:val="0023609E"/>
    <w:rsid w:val="00260274"/>
    <w:rsid w:val="0026452F"/>
    <w:rsid w:val="00267DE2"/>
    <w:rsid w:val="002832C8"/>
    <w:rsid w:val="0029404D"/>
    <w:rsid w:val="002B1760"/>
    <w:rsid w:val="002E0DF4"/>
    <w:rsid w:val="002E5220"/>
    <w:rsid w:val="0032619C"/>
    <w:rsid w:val="003A10C2"/>
    <w:rsid w:val="003B54B3"/>
    <w:rsid w:val="003D2130"/>
    <w:rsid w:val="003D3486"/>
    <w:rsid w:val="003D7E7B"/>
    <w:rsid w:val="003E15C4"/>
    <w:rsid w:val="004204F5"/>
    <w:rsid w:val="00425628"/>
    <w:rsid w:val="00435EA5"/>
    <w:rsid w:val="00454DEC"/>
    <w:rsid w:val="00456AC6"/>
    <w:rsid w:val="004656BC"/>
    <w:rsid w:val="004A0C6B"/>
    <w:rsid w:val="004E4B9F"/>
    <w:rsid w:val="005531B6"/>
    <w:rsid w:val="00561B00"/>
    <w:rsid w:val="005A2995"/>
    <w:rsid w:val="006027C3"/>
    <w:rsid w:val="00610340"/>
    <w:rsid w:val="006261B6"/>
    <w:rsid w:val="00643CEF"/>
    <w:rsid w:val="006535A3"/>
    <w:rsid w:val="00654047"/>
    <w:rsid w:val="00655B77"/>
    <w:rsid w:val="00681C04"/>
    <w:rsid w:val="006E7948"/>
    <w:rsid w:val="0070089A"/>
    <w:rsid w:val="00704604"/>
    <w:rsid w:val="00714C89"/>
    <w:rsid w:val="00792763"/>
    <w:rsid w:val="007A402E"/>
    <w:rsid w:val="007D4A48"/>
    <w:rsid w:val="0081462E"/>
    <w:rsid w:val="00825F36"/>
    <w:rsid w:val="008311D3"/>
    <w:rsid w:val="0083179B"/>
    <w:rsid w:val="008704F4"/>
    <w:rsid w:val="00885F80"/>
    <w:rsid w:val="008C742A"/>
    <w:rsid w:val="008F4602"/>
    <w:rsid w:val="00961CA6"/>
    <w:rsid w:val="00972164"/>
    <w:rsid w:val="009D3673"/>
    <w:rsid w:val="009F7C6A"/>
    <w:rsid w:val="00A1164D"/>
    <w:rsid w:val="00A36A65"/>
    <w:rsid w:val="00AC01CA"/>
    <w:rsid w:val="00AD2D90"/>
    <w:rsid w:val="00AD30C0"/>
    <w:rsid w:val="00AD753F"/>
    <w:rsid w:val="00B01467"/>
    <w:rsid w:val="00B02063"/>
    <w:rsid w:val="00B11C54"/>
    <w:rsid w:val="00B13528"/>
    <w:rsid w:val="00B21ADF"/>
    <w:rsid w:val="00B30C9F"/>
    <w:rsid w:val="00B3387E"/>
    <w:rsid w:val="00B36DB4"/>
    <w:rsid w:val="00B41162"/>
    <w:rsid w:val="00B44995"/>
    <w:rsid w:val="00B60BC1"/>
    <w:rsid w:val="00B84DF1"/>
    <w:rsid w:val="00B8757E"/>
    <w:rsid w:val="00B91685"/>
    <w:rsid w:val="00C0687B"/>
    <w:rsid w:val="00C273BD"/>
    <w:rsid w:val="00C449F2"/>
    <w:rsid w:val="00C66B6A"/>
    <w:rsid w:val="00CA58D5"/>
    <w:rsid w:val="00CB4A28"/>
    <w:rsid w:val="00CC616B"/>
    <w:rsid w:val="00CD27D3"/>
    <w:rsid w:val="00CF698F"/>
    <w:rsid w:val="00D82D8C"/>
    <w:rsid w:val="00DA6FB4"/>
    <w:rsid w:val="00DB20B2"/>
    <w:rsid w:val="00DC2BB2"/>
    <w:rsid w:val="00DC7C5B"/>
    <w:rsid w:val="00DD370B"/>
    <w:rsid w:val="00DF2FE0"/>
    <w:rsid w:val="00DF36EF"/>
    <w:rsid w:val="00E30F92"/>
    <w:rsid w:val="00E716EB"/>
    <w:rsid w:val="00E845E2"/>
    <w:rsid w:val="00EC2856"/>
    <w:rsid w:val="00F15452"/>
    <w:rsid w:val="00F167E6"/>
    <w:rsid w:val="00F321D3"/>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BD91AA-3E52-4A5A-8D69-DC59B95D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5083</Words>
  <Characters>27958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8</cp:revision>
  <cp:lastPrinted>2025-05-30T16:47:00Z</cp:lastPrinted>
  <dcterms:created xsi:type="dcterms:W3CDTF">2025-05-22T17:09:00Z</dcterms:created>
  <dcterms:modified xsi:type="dcterms:W3CDTF">2025-06-03T18:47:00Z</dcterms:modified>
</cp:coreProperties>
</file>