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EF8E8B"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Resolución del Pleno del Instituto de Transparencia, Acceso a la Información Pública y Protección de Datos Personales del Estado de México y Municipios, con domicilio en Metepec, Estado de México; de fecha </w:t>
      </w:r>
      <w:r w:rsidR="00F623F3" w:rsidRPr="00365BE2">
        <w:rPr>
          <w:rFonts w:ascii="Palatino Linotype" w:eastAsia="Palatino Linotype" w:hAnsi="Palatino Linotype" w:cs="Palatino Linotype"/>
          <w:color w:val="000000"/>
          <w:sz w:val="22"/>
          <w:szCs w:val="22"/>
        </w:rPr>
        <w:t>seis de marzo</w:t>
      </w:r>
      <w:r w:rsidRPr="00365BE2">
        <w:rPr>
          <w:rFonts w:ascii="Palatino Linotype" w:eastAsia="Palatino Linotype" w:hAnsi="Palatino Linotype" w:cs="Palatino Linotype"/>
          <w:color w:val="000000"/>
          <w:sz w:val="22"/>
          <w:szCs w:val="22"/>
        </w:rPr>
        <w:t xml:space="preserve"> de dos mil veinticinco.</w:t>
      </w:r>
    </w:p>
    <w:p w14:paraId="37EF8E8C"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8D" w14:textId="46314189"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b/>
          <w:color w:val="000000"/>
          <w:sz w:val="22"/>
          <w:szCs w:val="22"/>
        </w:rPr>
        <w:t>VISTO</w:t>
      </w:r>
      <w:r w:rsidRPr="00365BE2">
        <w:rPr>
          <w:rFonts w:ascii="Palatino Linotype" w:eastAsia="Palatino Linotype" w:hAnsi="Palatino Linotype" w:cs="Palatino Linotype"/>
          <w:color w:val="000000"/>
          <w:sz w:val="22"/>
          <w:szCs w:val="22"/>
        </w:rPr>
        <w:t xml:space="preserve"> el expediente electrónico formado con motivo del Recursos de Revisión </w:t>
      </w:r>
      <w:r w:rsidR="00F623F3" w:rsidRPr="00365BE2">
        <w:rPr>
          <w:rFonts w:ascii="Palatino Linotype" w:eastAsia="Palatino Linotype" w:hAnsi="Palatino Linotype" w:cs="Palatino Linotype"/>
          <w:b/>
          <w:color w:val="000000"/>
          <w:sz w:val="22"/>
          <w:szCs w:val="22"/>
        </w:rPr>
        <w:t xml:space="preserve">02353/INFOEM/IP/RR/2024 </w:t>
      </w:r>
      <w:r w:rsidRPr="00365BE2">
        <w:rPr>
          <w:rFonts w:ascii="Palatino Linotype" w:eastAsia="Palatino Linotype" w:hAnsi="Palatino Linotype" w:cs="Palatino Linotype"/>
          <w:color w:val="000000"/>
          <w:sz w:val="22"/>
          <w:szCs w:val="22"/>
        </w:rPr>
        <w:t xml:space="preserve">promovido por </w:t>
      </w:r>
      <w:r w:rsidR="00317EDA">
        <w:rPr>
          <w:rFonts w:ascii="Palatino Linotype" w:eastAsia="Palatino Linotype" w:hAnsi="Palatino Linotype" w:cs="Palatino Linotype"/>
          <w:b/>
          <w:sz w:val="22"/>
          <w:szCs w:val="22"/>
        </w:rPr>
        <w:t>XXXX</w:t>
      </w:r>
      <w:r w:rsidRPr="00365BE2">
        <w:rPr>
          <w:rFonts w:ascii="Palatino Linotype" w:eastAsia="Palatino Linotype" w:hAnsi="Palatino Linotype" w:cs="Palatino Linotype"/>
          <w:color w:val="000000"/>
          <w:sz w:val="22"/>
          <w:szCs w:val="22"/>
        </w:rPr>
        <w:t>,</w:t>
      </w:r>
      <w:r w:rsidR="00F623F3" w:rsidRPr="00365BE2">
        <w:rPr>
          <w:rFonts w:ascii="Palatino Linotype" w:eastAsia="Palatino Linotype" w:hAnsi="Palatino Linotype" w:cs="Palatino Linotype"/>
          <w:color w:val="000000"/>
          <w:sz w:val="22"/>
          <w:szCs w:val="22"/>
        </w:rPr>
        <w:t xml:space="preserve"> por medio la Plataforma Nacional de Transparencia vinculada al </w:t>
      </w:r>
      <w:r w:rsidRPr="00365BE2">
        <w:rPr>
          <w:rFonts w:ascii="Palatino Linotype" w:eastAsia="Palatino Linotype" w:hAnsi="Palatino Linotype" w:cs="Palatino Linotype"/>
          <w:color w:val="000000"/>
          <w:sz w:val="22"/>
          <w:szCs w:val="22"/>
        </w:rPr>
        <w:t xml:space="preserve">Sistema de Acceso a la Información Mexiquense </w:t>
      </w:r>
      <w:r w:rsidRPr="00365BE2">
        <w:rPr>
          <w:rFonts w:ascii="Palatino Linotype" w:eastAsia="Palatino Linotype" w:hAnsi="Palatino Linotype" w:cs="Palatino Linotype"/>
          <w:b/>
          <w:color w:val="000000"/>
          <w:sz w:val="22"/>
          <w:szCs w:val="22"/>
        </w:rPr>
        <w:t>(SAIMEX),</w:t>
      </w:r>
      <w:r w:rsidRPr="00365BE2">
        <w:rPr>
          <w:rFonts w:ascii="Palatino Linotype" w:eastAsia="Palatino Linotype" w:hAnsi="Palatino Linotype" w:cs="Palatino Linotype"/>
          <w:color w:val="000000"/>
          <w:sz w:val="22"/>
          <w:szCs w:val="22"/>
        </w:rPr>
        <w:t xml:space="preserve"> a quien en lo sucesivo se le identificará como </w:t>
      </w:r>
      <w:r w:rsidRPr="00365BE2">
        <w:rPr>
          <w:rFonts w:ascii="Palatino Linotype" w:eastAsia="Palatino Linotype" w:hAnsi="Palatino Linotype" w:cs="Palatino Linotype"/>
          <w:b/>
          <w:color w:val="000000"/>
          <w:sz w:val="22"/>
          <w:szCs w:val="22"/>
        </w:rPr>
        <w:t>EL RECURRENTE</w:t>
      </w:r>
      <w:r w:rsidRPr="00365BE2">
        <w:rPr>
          <w:rFonts w:ascii="Palatino Linotype" w:eastAsia="Palatino Linotype" w:hAnsi="Palatino Linotype" w:cs="Palatino Linotype"/>
          <w:color w:val="000000"/>
          <w:sz w:val="22"/>
          <w:szCs w:val="22"/>
        </w:rPr>
        <w:t>, en contra de la respuesta de</w:t>
      </w:r>
      <w:r w:rsidR="00F623F3" w:rsidRPr="00365BE2">
        <w:rPr>
          <w:rFonts w:ascii="Palatino Linotype" w:eastAsia="Palatino Linotype" w:hAnsi="Palatino Linotype" w:cs="Palatino Linotype"/>
          <w:color w:val="000000"/>
          <w:sz w:val="22"/>
          <w:szCs w:val="22"/>
        </w:rPr>
        <w:t xml:space="preserve"> </w:t>
      </w:r>
      <w:r w:rsidRPr="00365BE2">
        <w:rPr>
          <w:rFonts w:ascii="Palatino Linotype" w:eastAsia="Palatino Linotype" w:hAnsi="Palatino Linotype" w:cs="Palatino Linotype"/>
          <w:color w:val="000000"/>
          <w:sz w:val="22"/>
          <w:szCs w:val="22"/>
        </w:rPr>
        <w:t>l</w:t>
      </w:r>
      <w:r w:rsidR="00F623F3" w:rsidRPr="00365BE2">
        <w:rPr>
          <w:rFonts w:ascii="Palatino Linotype" w:eastAsia="Palatino Linotype" w:hAnsi="Palatino Linotype" w:cs="Palatino Linotype"/>
          <w:color w:val="000000"/>
          <w:sz w:val="22"/>
          <w:szCs w:val="22"/>
        </w:rPr>
        <w:t>a</w:t>
      </w:r>
      <w:r w:rsidRPr="00365BE2">
        <w:rPr>
          <w:rFonts w:ascii="Palatino Linotype" w:eastAsia="Palatino Linotype" w:hAnsi="Palatino Linotype" w:cs="Palatino Linotype"/>
          <w:color w:val="000000"/>
          <w:sz w:val="22"/>
          <w:szCs w:val="22"/>
        </w:rPr>
        <w:t xml:space="preserve"> </w:t>
      </w:r>
      <w:r w:rsidR="00F623F3" w:rsidRPr="00365BE2">
        <w:rPr>
          <w:rFonts w:ascii="Palatino Linotype" w:eastAsia="Palatino Linotype" w:hAnsi="Palatino Linotype" w:cs="Palatino Linotype"/>
          <w:b/>
          <w:color w:val="000000"/>
          <w:sz w:val="22"/>
          <w:szCs w:val="22"/>
        </w:rPr>
        <w:t>Secretaría de Movilidad</w:t>
      </w:r>
      <w:r w:rsidRPr="00365BE2">
        <w:rPr>
          <w:rFonts w:ascii="Palatino Linotype" w:eastAsia="Palatino Linotype" w:hAnsi="Palatino Linotype" w:cs="Palatino Linotype"/>
          <w:color w:val="000000"/>
          <w:sz w:val="22"/>
          <w:szCs w:val="22"/>
        </w:rPr>
        <w:t xml:space="preserve">, en </w:t>
      </w:r>
      <w:r w:rsidRPr="00365BE2">
        <w:rPr>
          <w:rFonts w:ascii="Palatino Linotype" w:eastAsia="Palatino Linotype" w:hAnsi="Palatino Linotype" w:cs="Palatino Linotype"/>
          <w:sz w:val="22"/>
          <w:szCs w:val="22"/>
        </w:rPr>
        <w:t>adelante</w:t>
      </w:r>
      <w:r w:rsidRPr="00365BE2">
        <w:rPr>
          <w:rFonts w:ascii="Palatino Linotype" w:eastAsia="Palatino Linotype" w:hAnsi="Palatino Linotype" w:cs="Palatino Linotype"/>
          <w:color w:val="000000"/>
          <w:sz w:val="22"/>
          <w:szCs w:val="22"/>
        </w:rPr>
        <w:t xml:space="preserve"> </w:t>
      </w:r>
      <w:r w:rsidRPr="00365BE2">
        <w:rPr>
          <w:rFonts w:ascii="Palatino Linotype" w:eastAsia="Palatino Linotype" w:hAnsi="Palatino Linotype" w:cs="Palatino Linotype"/>
          <w:b/>
          <w:color w:val="000000"/>
          <w:sz w:val="22"/>
          <w:szCs w:val="22"/>
        </w:rPr>
        <w:t>EL SUJETO OBLIGADO</w:t>
      </w:r>
      <w:r w:rsidRPr="00365BE2">
        <w:rPr>
          <w:rFonts w:ascii="Palatino Linotype" w:eastAsia="Palatino Linotype" w:hAnsi="Palatino Linotype" w:cs="Palatino Linotype"/>
          <w:color w:val="000000"/>
          <w:sz w:val="22"/>
          <w:szCs w:val="22"/>
        </w:rPr>
        <w:t>, se procede a dictar la presente resolución, con base en los siguientes:</w:t>
      </w:r>
    </w:p>
    <w:p w14:paraId="37EF8E8E"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8F" w14:textId="77777777" w:rsidR="00477D80" w:rsidRPr="00365BE2" w:rsidRDefault="00477D80" w:rsidP="00477D80">
      <w:pPr>
        <w:pBdr>
          <w:top w:val="nil"/>
          <w:left w:val="nil"/>
          <w:bottom w:val="nil"/>
          <w:right w:val="nil"/>
          <w:between w:val="nil"/>
        </w:pBdr>
        <w:spacing w:line="360" w:lineRule="auto"/>
        <w:ind w:left="-566" w:right="-1417"/>
        <w:jc w:val="center"/>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A N T E C E D E N T E S</w:t>
      </w:r>
    </w:p>
    <w:p w14:paraId="37EF8E90" w14:textId="77777777" w:rsidR="00477D80" w:rsidRPr="00365BE2" w:rsidRDefault="00477D80" w:rsidP="00477D80">
      <w:pPr>
        <w:spacing w:line="360" w:lineRule="auto"/>
        <w:ind w:left="-566" w:right="-1417"/>
        <w:rPr>
          <w:rFonts w:ascii="Palatino Linotype" w:eastAsia="Palatino Linotype" w:hAnsi="Palatino Linotype" w:cs="Palatino Linotype"/>
          <w:sz w:val="22"/>
          <w:szCs w:val="22"/>
        </w:rPr>
      </w:pPr>
    </w:p>
    <w:p w14:paraId="37EF8E91"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El </w:t>
      </w:r>
      <w:r w:rsidR="00794D79" w:rsidRPr="00365BE2">
        <w:rPr>
          <w:rFonts w:ascii="Palatino Linotype" w:eastAsia="Palatino Linotype" w:hAnsi="Palatino Linotype" w:cs="Palatino Linotype"/>
          <w:b/>
          <w:color w:val="000000"/>
          <w:sz w:val="22"/>
          <w:szCs w:val="22"/>
        </w:rPr>
        <w:t>cinco de abril</w:t>
      </w:r>
      <w:r w:rsidRPr="00365BE2">
        <w:rPr>
          <w:rFonts w:ascii="Palatino Linotype" w:eastAsia="Palatino Linotype" w:hAnsi="Palatino Linotype" w:cs="Palatino Linotype"/>
          <w:b/>
          <w:color w:val="000000"/>
          <w:sz w:val="22"/>
          <w:szCs w:val="22"/>
        </w:rPr>
        <w:t xml:space="preserve"> de dos mil veinticuatro, </w:t>
      </w:r>
      <w:r w:rsidRPr="00365BE2">
        <w:rPr>
          <w:rFonts w:ascii="Palatino Linotype" w:eastAsia="Palatino Linotype" w:hAnsi="Palatino Linotype" w:cs="Palatino Linotype"/>
          <w:color w:val="000000"/>
          <w:sz w:val="22"/>
          <w:szCs w:val="22"/>
        </w:rPr>
        <w:t xml:space="preserve">se presentó ante el </w:t>
      </w:r>
      <w:r w:rsidRPr="00365BE2">
        <w:rPr>
          <w:rFonts w:ascii="Palatino Linotype" w:eastAsia="Palatino Linotype" w:hAnsi="Palatino Linotype" w:cs="Palatino Linotype"/>
          <w:b/>
          <w:color w:val="000000"/>
          <w:sz w:val="22"/>
          <w:szCs w:val="22"/>
        </w:rPr>
        <w:t>SUJETO OBLIGADO</w:t>
      </w:r>
      <w:r w:rsidRPr="00365BE2">
        <w:rPr>
          <w:rFonts w:ascii="Palatino Linotype" w:eastAsia="Palatino Linotype" w:hAnsi="Palatino Linotype" w:cs="Palatino Linotype"/>
          <w:color w:val="000000"/>
          <w:sz w:val="22"/>
          <w:szCs w:val="22"/>
        </w:rPr>
        <w:t xml:space="preserve"> vía </w:t>
      </w:r>
      <w:r w:rsidRPr="00365BE2">
        <w:rPr>
          <w:rFonts w:ascii="Palatino Linotype" w:eastAsia="Palatino Linotype" w:hAnsi="Palatino Linotype" w:cs="Palatino Linotype"/>
          <w:b/>
          <w:color w:val="000000"/>
          <w:sz w:val="22"/>
          <w:szCs w:val="22"/>
        </w:rPr>
        <w:t>SAIMEX</w:t>
      </w:r>
      <w:r w:rsidRPr="00365BE2">
        <w:rPr>
          <w:rFonts w:ascii="Palatino Linotype" w:eastAsia="Palatino Linotype" w:hAnsi="Palatino Linotype" w:cs="Palatino Linotype"/>
          <w:color w:val="000000"/>
          <w:sz w:val="22"/>
          <w:szCs w:val="22"/>
        </w:rPr>
        <w:t xml:space="preserve">, la solicitud de información pública registrada con el número </w:t>
      </w:r>
      <w:r w:rsidR="00794D79" w:rsidRPr="00365BE2">
        <w:rPr>
          <w:rFonts w:ascii="Palatino Linotype" w:eastAsia="Palatino Linotype" w:hAnsi="Palatino Linotype" w:cs="Palatino Linotype"/>
          <w:b/>
          <w:color w:val="000000"/>
          <w:sz w:val="22"/>
          <w:szCs w:val="22"/>
        </w:rPr>
        <w:t>00250/SMOV/IP/2024</w:t>
      </w:r>
      <w:r w:rsidRPr="00365BE2">
        <w:rPr>
          <w:rFonts w:ascii="Palatino Linotype" w:eastAsia="Palatino Linotype" w:hAnsi="Palatino Linotype" w:cs="Palatino Linotype"/>
          <w:b/>
          <w:color w:val="000000"/>
          <w:sz w:val="22"/>
          <w:szCs w:val="22"/>
        </w:rPr>
        <w:t xml:space="preserve">, </w:t>
      </w:r>
      <w:r w:rsidRPr="00365BE2">
        <w:rPr>
          <w:rFonts w:ascii="Palatino Linotype" w:eastAsia="Palatino Linotype" w:hAnsi="Palatino Linotype" w:cs="Palatino Linotype"/>
          <w:sz w:val="22"/>
          <w:szCs w:val="22"/>
        </w:rPr>
        <w:t xml:space="preserve">en la que </w:t>
      </w:r>
      <w:r w:rsidRPr="00365BE2">
        <w:rPr>
          <w:rFonts w:ascii="Palatino Linotype" w:eastAsia="Palatino Linotype" w:hAnsi="Palatino Linotype" w:cs="Palatino Linotype"/>
          <w:color w:val="000000"/>
          <w:sz w:val="22"/>
          <w:szCs w:val="22"/>
        </w:rPr>
        <w:t>se solicitó la siguiente información:</w:t>
      </w:r>
    </w:p>
    <w:p w14:paraId="37EF8E92" w14:textId="77777777" w:rsidR="00477D80" w:rsidRPr="00365BE2" w:rsidRDefault="00477D80" w:rsidP="00477D80">
      <w:pPr>
        <w:ind w:left="-566" w:right="-1417"/>
        <w:jc w:val="both"/>
        <w:rPr>
          <w:rFonts w:ascii="Palatino Linotype" w:eastAsia="Palatino Linotype" w:hAnsi="Palatino Linotype" w:cs="Palatino Linotype"/>
          <w:i/>
          <w:sz w:val="22"/>
          <w:szCs w:val="22"/>
        </w:rPr>
      </w:pPr>
    </w:p>
    <w:p w14:paraId="37EF8E93" w14:textId="77777777" w:rsidR="00477D80" w:rsidRPr="00365BE2" w:rsidRDefault="00477D80" w:rsidP="00794D79">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i/>
          <w:color w:val="000000"/>
          <w:sz w:val="22"/>
          <w:szCs w:val="22"/>
        </w:rPr>
        <w:t>“</w:t>
      </w:r>
      <w:r w:rsidR="00794D79" w:rsidRPr="00365BE2">
        <w:rPr>
          <w:rFonts w:ascii="Palatino Linotype" w:eastAsia="Palatino Linotype" w:hAnsi="Palatino Linotype" w:cs="Palatino Linotype"/>
          <w:i/>
          <w:color w:val="000000"/>
          <w:sz w:val="22"/>
          <w:szCs w:val="22"/>
        </w:rPr>
        <w:t xml:space="preserve">Por medio de la presente solicito de la manera más atenta, me sea proporcionada información de la Lanzadera de la Ruta 18 del Ramal que corre de Jesús del Monte a la estación del Metro Cuatro Caminos de acuerdo a los siguientes cuestionamientos: 1.- Copia de la Autorización de otorgamiento de derrotero correspondiente a la Lanzadera de la Ruta 18 del Ramal que corre de Jesús del Monte a la estación del Metro Cuatro Caminos. 2.- Indique, el número de unidades permitidas dentro de la Autorización señalada en el punto anterior y si cuenta con la posibilidad de aumentar dicho número o si tiene una limitante de unidades registradas y en funcionamiento dentro de la Ruta 18 del Ramal que corre de Jesús del Monte a la estación del Metro Cuatro Caminos 3.- Indique el número de unidades que actualmente se encuentran adscritas y operando en el recorrido de la Ruta 18 del Ramal que corre de Jesús del Monte a la estación del Metro Cuatro Caminos. 4.- Indique el número de unidades que pueden aparcar o hacer base en las lanzaderas Jesús del Monte y </w:t>
      </w:r>
      <w:r w:rsidR="00794D79" w:rsidRPr="00365BE2">
        <w:rPr>
          <w:rFonts w:ascii="Palatino Linotype" w:eastAsia="Palatino Linotype" w:hAnsi="Palatino Linotype" w:cs="Palatino Linotype"/>
          <w:i/>
          <w:color w:val="000000"/>
          <w:sz w:val="22"/>
          <w:szCs w:val="22"/>
        </w:rPr>
        <w:lastRenderedPageBreak/>
        <w:t>Metro Cuatro Caminos, o áreas aledañas, especificando con el documento que establece el número autorizado o determinado para aparcar o hacer base en las lanzaderas o áreas aledañas. 5.-Señale los lineamientos que regulan el aparcamiento o base de las unidades dentro de las lanzaderas. 6.- Proporcione copia de los Estudios técnicos que permitieron o dieron origen a la Autorización de otorgamiento de derrotero correspondiente a la Lanzadera de la Ruta 18 del Ramal que corre de Jesús del Monte a la estación del Metro Cuatro Caminos y que, de acuerdo a lo establecido en el Reglamento del Transporte público y Servicios Conexos del Estado de México, la autoridad deber de realizar para crear, modificar, enlazar o suprimir las rutas en cualquiera de sus modalidades y tipos. 7.- Copia del Plano e Itinerario de la ruta desde su origen hasta su destino y viceversa que ha de seguir la Lanzadera de la Ruta 18. 8.- Copia de las Concesiones otorgadas a las unidades que actualmente se encuentran adscritas y operan en el recorrido de la Ruta 18 del Ramal que corre de Jesús del Monte a la estación del Metro Cuatro Caminos, con su respectiva inscripción o anotación ante el Registro Estatal de Transporte Público del Estado de México</w:t>
      </w:r>
      <w:proofErr w:type="gramStart"/>
      <w:r w:rsidR="00794D79" w:rsidRPr="00365BE2">
        <w:rPr>
          <w:rFonts w:ascii="Palatino Linotype" w:eastAsia="Palatino Linotype" w:hAnsi="Palatino Linotype" w:cs="Palatino Linotype"/>
          <w:i/>
          <w:color w:val="000000"/>
          <w:sz w:val="22"/>
          <w:szCs w:val="22"/>
        </w:rPr>
        <w:t>.</w:t>
      </w:r>
      <w:r w:rsidRPr="00365BE2">
        <w:rPr>
          <w:rFonts w:ascii="Palatino Linotype" w:eastAsia="Palatino Linotype" w:hAnsi="Palatino Linotype" w:cs="Palatino Linotype"/>
          <w:i/>
          <w:color w:val="000000"/>
          <w:sz w:val="22"/>
          <w:szCs w:val="22"/>
        </w:rPr>
        <w:t>.”</w:t>
      </w:r>
      <w:proofErr w:type="gramEnd"/>
    </w:p>
    <w:p w14:paraId="37EF8E94"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i/>
          <w:sz w:val="22"/>
          <w:szCs w:val="22"/>
        </w:rPr>
      </w:pPr>
    </w:p>
    <w:p w14:paraId="37EF8E95" w14:textId="77777777" w:rsidR="00477D80" w:rsidRPr="00365BE2" w:rsidRDefault="00477D80" w:rsidP="00794D79">
      <w:pPr>
        <w:numPr>
          <w:ilvl w:val="0"/>
          <w:numId w:val="1"/>
        </w:numPr>
        <w:pBdr>
          <w:top w:val="nil"/>
          <w:left w:val="nil"/>
          <w:bottom w:val="nil"/>
          <w:right w:val="nil"/>
          <w:between w:val="nil"/>
        </w:pBdr>
        <w:spacing w:line="360" w:lineRule="auto"/>
        <w:ind w:left="1134" w:right="27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b/>
          <w:color w:val="000000"/>
          <w:sz w:val="22"/>
          <w:szCs w:val="22"/>
        </w:rPr>
        <w:t>Modalidad de entrega</w:t>
      </w:r>
      <w:r w:rsidRPr="00365BE2">
        <w:rPr>
          <w:rFonts w:ascii="Palatino Linotype" w:eastAsia="Palatino Linotype" w:hAnsi="Palatino Linotype" w:cs="Palatino Linotype"/>
          <w:color w:val="000000"/>
          <w:sz w:val="22"/>
          <w:szCs w:val="22"/>
        </w:rPr>
        <w:t>: Sistema de Acceso a la Información</w:t>
      </w:r>
      <w:r w:rsidR="00794D79" w:rsidRPr="00365BE2">
        <w:rPr>
          <w:rFonts w:ascii="Palatino Linotype" w:eastAsia="Palatino Linotype" w:hAnsi="Palatino Linotype" w:cs="Palatino Linotype"/>
          <w:color w:val="000000"/>
          <w:sz w:val="22"/>
          <w:szCs w:val="22"/>
        </w:rPr>
        <w:t xml:space="preserve"> vinculado a la Plataforma Nacional de Transparencia </w:t>
      </w:r>
    </w:p>
    <w:p w14:paraId="37EF8E96"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97"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Posteriormente, el </w:t>
      </w:r>
      <w:r w:rsidR="00876E78" w:rsidRPr="00365BE2">
        <w:rPr>
          <w:rFonts w:ascii="Palatino Linotype" w:eastAsia="Palatino Linotype" w:hAnsi="Palatino Linotype" w:cs="Palatino Linotype"/>
          <w:b/>
          <w:color w:val="000000"/>
          <w:sz w:val="22"/>
          <w:szCs w:val="22"/>
        </w:rPr>
        <w:t xml:space="preserve">nueve </w:t>
      </w:r>
      <w:r w:rsidRPr="00365BE2">
        <w:rPr>
          <w:rFonts w:ascii="Palatino Linotype" w:eastAsia="Palatino Linotype" w:hAnsi="Palatino Linotype" w:cs="Palatino Linotype"/>
          <w:b/>
          <w:color w:val="000000"/>
          <w:sz w:val="22"/>
          <w:szCs w:val="22"/>
        </w:rPr>
        <w:t xml:space="preserve">de abril de dos mil veinticuatro </w:t>
      </w:r>
      <w:r w:rsidRPr="00365BE2">
        <w:rPr>
          <w:rFonts w:ascii="Palatino Linotype" w:eastAsia="Palatino Linotype" w:hAnsi="Palatino Linotype" w:cs="Palatino Linotype"/>
          <w:color w:val="000000"/>
          <w:sz w:val="22"/>
          <w:szCs w:val="22"/>
        </w:rPr>
        <w:t xml:space="preserve">el Titular de la Unidad de Transparencia </w:t>
      </w:r>
      <w:r w:rsidRPr="00365BE2">
        <w:rPr>
          <w:rFonts w:ascii="Palatino Linotype" w:eastAsia="Palatino Linotype" w:hAnsi="Palatino Linotype" w:cs="Palatino Linotype"/>
          <w:sz w:val="22"/>
          <w:szCs w:val="22"/>
        </w:rPr>
        <w:t>giró</w:t>
      </w:r>
      <w:r w:rsidRPr="00365BE2">
        <w:rPr>
          <w:rFonts w:ascii="Palatino Linotype" w:eastAsia="Palatino Linotype" w:hAnsi="Palatino Linotype" w:cs="Palatino Linotype"/>
          <w:color w:val="000000"/>
          <w:sz w:val="22"/>
          <w:szCs w:val="22"/>
        </w:rPr>
        <w:t xml:space="preserve"> los requerimientos de información, para que fuera atendida la solicitud de información </w:t>
      </w:r>
      <w:r w:rsidR="00794D79" w:rsidRPr="00365BE2">
        <w:rPr>
          <w:rFonts w:ascii="Palatino Linotype" w:eastAsia="Palatino Linotype" w:hAnsi="Palatino Linotype" w:cs="Palatino Linotype"/>
          <w:b/>
          <w:color w:val="000000"/>
          <w:sz w:val="22"/>
          <w:szCs w:val="22"/>
        </w:rPr>
        <w:t>00250/SMOV/IP/2024</w:t>
      </w:r>
      <w:r w:rsidRPr="00365BE2">
        <w:rPr>
          <w:rFonts w:ascii="Palatino Linotype" w:eastAsia="Palatino Linotype" w:hAnsi="Palatino Linotype" w:cs="Palatino Linotype"/>
          <w:color w:val="000000"/>
          <w:sz w:val="22"/>
          <w:szCs w:val="22"/>
        </w:rPr>
        <w:t xml:space="preserve">. </w:t>
      </w:r>
    </w:p>
    <w:p w14:paraId="37EF8E98"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99"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En fecha </w:t>
      </w:r>
      <w:r w:rsidR="00876E78" w:rsidRPr="00365BE2">
        <w:rPr>
          <w:rFonts w:ascii="Palatino Linotype" w:eastAsia="Palatino Linotype" w:hAnsi="Palatino Linotype" w:cs="Palatino Linotype"/>
          <w:b/>
          <w:color w:val="000000"/>
          <w:sz w:val="22"/>
          <w:szCs w:val="22"/>
        </w:rPr>
        <w:t xml:space="preserve">veintiséis </w:t>
      </w:r>
      <w:r w:rsidRPr="00365BE2">
        <w:rPr>
          <w:rFonts w:ascii="Palatino Linotype" w:eastAsia="Palatino Linotype" w:hAnsi="Palatino Linotype" w:cs="Palatino Linotype"/>
          <w:b/>
          <w:color w:val="000000"/>
          <w:sz w:val="22"/>
          <w:szCs w:val="22"/>
        </w:rPr>
        <w:t>de abril de dos mil veinticuatro,</w:t>
      </w:r>
      <w:r w:rsidRPr="00365BE2">
        <w:rPr>
          <w:rFonts w:ascii="Palatino Linotype" w:eastAsia="Palatino Linotype" w:hAnsi="Palatino Linotype" w:cs="Palatino Linotype"/>
          <w:color w:val="000000"/>
          <w:sz w:val="22"/>
          <w:szCs w:val="22"/>
        </w:rPr>
        <w:t xml:space="preserve"> el </w:t>
      </w:r>
      <w:r w:rsidRPr="00365BE2">
        <w:rPr>
          <w:rFonts w:ascii="Palatino Linotype" w:eastAsia="Palatino Linotype" w:hAnsi="Palatino Linotype" w:cs="Palatino Linotype"/>
          <w:b/>
          <w:color w:val="000000"/>
          <w:sz w:val="22"/>
          <w:szCs w:val="22"/>
        </w:rPr>
        <w:t xml:space="preserve">SUJETO OBLIGADO </w:t>
      </w:r>
      <w:r w:rsidRPr="00365BE2">
        <w:rPr>
          <w:rFonts w:ascii="Palatino Linotype" w:eastAsia="Palatino Linotype" w:hAnsi="Palatino Linotype" w:cs="Palatino Linotype"/>
          <w:color w:val="000000"/>
          <w:sz w:val="22"/>
          <w:szCs w:val="22"/>
        </w:rPr>
        <w:t xml:space="preserve">dio respuesta a la solicitud de información mediante un archivo </w:t>
      </w:r>
      <w:r w:rsidR="00876E78" w:rsidRPr="00365BE2">
        <w:rPr>
          <w:rFonts w:ascii="Palatino Linotype" w:eastAsia="Palatino Linotype" w:hAnsi="Palatino Linotype" w:cs="Palatino Linotype"/>
          <w:color w:val="000000"/>
          <w:sz w:val="22"/>
          <w:szCs w:val="22"/>
        </w:rPr>
        <w:t>un archivo electrónico, cuyo contenido grosso modo es el siguiente.</w:t>
      </w:r>
    </w:p>
    <w:p w14:paraId="37EF8E9A" w14:textId="77777777" w:rsidR="00477D80" w:rsidRPr="00365BE2" w:rsidRDefault="00477D80" w:rsidP="00477D80">
      <w:pPr>
        <w:pBdr>
          <w:top w:val="nil"/>
          <w:left w:val="nil"/>
          <w:bottom w:val="nil"/>
          <w:right w:val="nil"/>
          <w:between w:val="nil"/>
        </w:pBdr>
        <w:spacing w:line="360" w:lineRule="auto"/>
        <w:ind w:left="-566" w:right="-1417"/>
        <w:jc w:val="both"/>
        <w:rPr>
          <w:color w:val="000000"/>
          <w:sz w:val="22"/>
          <w:szCs w:val="22"/>
        </w:rPr>
      </w:pPr>
    </w:p>
    <w:p w14:paraId="37EF8E9B" w14:textId="77777777" w:rsidR="00477D80" w:rsidRPr="00365BE2" w:rsidRDefault="00876E78" w:rsidP="00876E78">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Respuesta a solicitud 250.pdf: </w:t>
      </w:r>
      <w:r w:rsidRPr="00365BE2">
        <w:rPr>
          <w:rFonts w:ascii="Palatino Linotype" w:eastAsia="Palatino Linotype" w:hAnsi="Palatino Linotype" w:cs="Palatino Linotype"/>
          <w:i/>
          <w:color w:val="000000"/>
          <w:sz w:val="22"/>
          <w:szCs w:val="22"/>
        </w:rPr>
        <w:t xml:space="preserve">respuesta del Titular de la Unidad de Transparencia, mediante el cual informa la respuesta de la Subsecretaría de </w:t>
      </w:r>
      <w:r w:rsidRPr="00365BE2">
        <w:rPr>
          <w:rFonts w:ascii="Palatino Linotype" w:eastAsia="Palatino Linotype" w:hAnsi="Palatino Linotype" w:cs="Palatino Linotype"/>
          <w:i/>
          <w:color w:val="000000"/>
          <w:sz w:val="22"/>
          <w:szCs w:val="22"/>
        </w:rPr>
        <w:lastRenderedPageBreak/>
        <w:t xml:space="preserve">Movilidad y de la Dirección del Registro Estatal de Transporte Público, respuesta que consistieron en lo siguiente. </w:t>
      </w:r>
    </w:p>
    <w:p w14:paraId="37EF8E9C" w14:textId="77777777" w:rsidR="00876E78" w:rsidRPr="00365BE2" w:rsidRDefault="00876E78" w:rsidP="00876E78">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p>
    <w:p w14:paraId="37EF8E9D" w14:textId="77777777" w:rsidR="00876E78" w:rsidRPr="00365BE2" w:rsidRDefault="00876E78" w:rsidP="00876E78">
      <w:pPr>
        <w:pBdr>
          <w:top w:val="nil"/>
          <w:left w:val="nil"/>
          <w:bottom w:val="nil"/>
          <w:right w:val="nil"/>
          <w:between w:val="nil"/>
        </w:pBdr>
        <w:ind w:left="1134" w:right="277"/>
        <w:jc w:val="both"/>
        <w:rPr>
          <w:rFonts w:ascii="Palatino Linotype" w:eastAsia="Palatino Linotype" w:hAnsi="Palatino Linotype" w:cs="Palatino Linotype"/>
          <w:b/>
          <w:i/>
          <w:color w:val="000000"/>
          <w:sz w:val="22"/>
          <w:szCs w:val="22"/>
        </w:rPr>
      </w:pPr>
      <w:r w:rsidRPr="00365BE2">
        <w:rPr>
          <w:rFonts w:ascii="Palatino Linotype" w:eastAsia="Palatino Linotype" w:hAnsi="Palatino Linotype" w:cs="Palatino Linotype"/>
          <w:b/>
          <w:i/>
          <w:color w:val="000000"/>
          <w:sz w:val="22"/>
          <w:szCs w:val="22"/>
        </w:rPr>
        <w:t xml:space="preserve">Subsecretaría de Movilidad: </w:t>
      </w:r>
      <w:r w:rsidRPr="00365BE2">
        <w:rPr>
          <w:rFonts w:ascii="Palatino Linotype" w:eastAsia="Palatino Linotype" w:hAnsi="Palatino Linotype" w:cs="Palatino Linotype"/>
          <w:i/>
          <w:color w:val="000000"/>
          <w:sz w:val="22"/>
          <w:szCs w:val="22"/>
        </w:rPr>
        <w:t xml:space="preserve">Al respecto, es importante invocar el artículo 143 de la Constitución Política del Estado Libre y Soberano de México, que indica, las autoridades administrativas únicamente pueden hacer lo que la ley expresamente les confiere, por lo que es puntual mencionar que la Secretaría de Movilidad del Estado de México, le corresponde lo relativo al servicio público de transporte de jurisdicción estatal y sus servicios conexos, ergo, de conformidad con el Reglamento Interior de la Secretaría de Movilidad, esta Dirección del Registro Estatal de Transporte Público de forma general únicamente tiene atribuciones para integrar y custodiar la información que con motivo del otorgamiento de concesiones y/o permisos se genere para la prestación del servicio de transporte público y sus movimientos adicionales. En ese contexto y en carácter de Sujeto Habilitado, </w:t>
      </w:r>
      <w:r w:rsidRPr="00365BE2">
        <w:rPr>
          <w:rFonts w:ascii="Palatino Linotype" w:eastAsia="Palatino Linotype" w:hAnsi="Palatino Linotype" w:cs="Palatino Linotype"/>
          <w:b/>
          <w:i/>
          <w:color w:val="000000"/>
          <w:sz w:val="22"/>
          <w:szCs w:val="22"/>
        </w:rPr>
        <w:t xml:space="preserve">es indispensable señalar que la solicitud versa sobre información relativa a rutas, lanzaderas y derroteros, en ese tenor, es necesario comentar que dichas rutas, lanzaderas y derroteros son autorizaciones complementarias a las concesiones para el servicio de transporte público, de conformidad con lo establecido en el artículo 50 y 51 del Reglamento de Transporte Público y Servicios Conexos del Estado de México, por lo que esta unidad administrativa no tiene atribuciones para suscribir los documentos relacionados con dichas, por consiguiente no genera dicha información, ergo, se tiene imposibilidad para proporcionar y/u ostentase sobre datos referentes a dichas autorizaciones y/o señalar las concesiones que en su caso, hayan sido autorizadas en las rutas, lanzaderas y/o derroteros. </w:t>
      </w:r>
    </w:p>
    <w:p w14:paraId="37EF8E9E" w14:textId="77777777" w:rsidR="00876E78" w:rsidRPr="00365BE2" w:rsidRDefault="00876E78" w:rsidP="00876E78">
      <w:pPr>
        <w:pBdr>
          <w:top w:val="nil"/>
          <w:left w:val="nil"/>
          <w:bottom w:val="nil"/>
          <w:right w:val="nil"/>
          <w:between w:val="nil"/>
        </w:pBdr>
        <w:ind w:left="1134" w:right="277"/>
        <w:jc w:val="both"/>
        <w:rPr>
          <w:rFonts w:ascii="Palatino Linotype" w:eastAsia="Palatino Linotype" w:hAnsi="Palatino Linotype" w:cs="Palatino Linotype"/>
          <w:b/>
          <w:i/>
          <w:color w:val="000000"/>
          <w:sz w:val="22"/>
          <w:szCs w:val="22"/>
        </w:rPr>
      </w:pPr>
    </w:p>
    <w:p w14:paraId="37EF8E9F" w14:textId="77777777" w:rsidR="00876E78" w:rsidRPr="00365BE2" w:rsidRDefault="00876E78" w:rsidP="00876E78">
      <w:pPr>
        <w:pBdr>
          <w:top w:val="nil"/>
          <w:left w:val="nil"/>
          <w:bottom w:val="nil"/>
          <w:right w:val="nil"/>
          <w:between w:val="nil"/>
        </w:pBdr>
        <w:ind w:left="1134" w:right="277"/>
        <w:jc w:val="both"/>
        <w:rPr>
          <w:rFonts w:ascii="Palatino Linotype" w:eastAsia="Palatino Linotype" w:hAnsi="Palatino Linotype" w:cs="Palatino Linotype"/>
          <w:b/>
          <w:i/>
          <w:color w:val="000000"/>
          <w:sz w:val="22"/>
          <w:szCs w:val="22"/>
        </w:rPr>
      </w:pPr>
      <w:r w:rsidRPr="00365BE2">
        <w:rPr>
          <w:rFonts w:ascii="Palatino Linotype" w:eastAsia="Palatino Linotype" w:hAnsi="Palatino Linotype" w:cs="Palatino Linotype"/>
          <w:b/>
          <w:i/>
          <w:color w:val="000000"/>
          <w:sz w:val="22"/>
          <w:szCs w:val="22"/>
        </w:rPr>
        <w:t xml:space="preserve">Dirección del Registro Estatal de Transporte Público: </w:t>
      </w:r>
      <w:r w:rsidRPr="00365BE2">
        <w:rPr>
          <w:rFonts w:ascii="Palatino Linotype" w:eastAsia="Palatino Linotype" w:hAnsi="Palatino Linotype" w:cs="Palatino Linotype"/>
          <w:i/>
          <w:color w:val="000000"/>
          <w:sz w:val="22"/>
          <w:szCs w:val="22"/>
        </w:rPr>
        <w:t xml:space="preserve">Al respecto, es importante invocar el artículo 143 de la Constitución Política del Estado Libre y Soberano de México, que indica, las autoridades administrativas únicamente pueden hacer lo que la ley expresamente les confiere, por lo que es puntual mencionar que la Secretaría de Movilidad del Estado de México, le corresponde lo relativo al servicio público de transporte de jurisdicción estatal y sus servicios conexos, ergo, de conformidad con el Reglamento Interior de la Secretaría de Movilidad, esta Dirección del Registro Estatal de Transporte Público de forma general únicamente tiene atribuciones para integrar y custodiar la información que con motivo del otorgamiento de concesiones y/o </w:t>
      </w:r>
      <w:r w:rsidRPr="00365BE2">
        <w:rPr>
          <w:rFonts w:ascii="Palatino Linotype" w:eastAsia="Palatino Linotype" w:hAnsi="Palatino Linotype" w:cs="Palatino Linotype"/>
          <w:i/>
          <w:color w:val="000000"/>
          <w:sz w:val="22"/>
          <w:szCs w:val="22"/>
        </w:rPr>
        <w:lastRenderedPageBreak/>
        <w:t xml:space="preserve">permisos se genere para la prestación del servicio de transporte público y sus movimientos adicionales. En ese contexto y en carácter de Sujeto Habilitado, es indispensable señalar que la solicitud versa sobre información relativa a rutas, lanzaderas y derroteros, en ese tenor, es necesario comentar que dichas rutas, lanzaderas y derroteros son autorizaciones complementarias a las concesiones para el servicio de transporte público, de conformidad con lo establecido en el artículo 50 y 51 del Reglamento de Transporte Público y Servicios Conexos del Estado de México, </w:t>
      </w:r>
      <w:r w:rsidRPr="00365BE2">
        <w:rPr>
          <w:rFonts w:ascii="Palatino Linotype" w:eastAsia="Palatino Linotype" w:hAnsi="Palatino Linotype" w:cs="Palatino Linotype"/>
          <w:b/>
          <w:i/>
          <w:color w:val="000000"/>
          <w:sz w:val="22"/>
          <w:szCs w:val="22"/>
        </w:rPr>
        <w:t xml:space="preserve">por lo que esta unidad administrativa no tiene atribuciones para suscribir los documentos relacionados con dichas, por consiguiente no genera dicha información, ergo, se tiene imposibilidad para proporcionar y/u ostentase sobre datos referentes a dichas autorizaciones y/o señalar las concesiones que en su caso, hayan sido autorizadas en las rutas, lanzaderas y/o derroteros. </w:t>
      </w:r>
    </w:p>
    <w:p w14:paraId="37EF8EA0" w14:textId="77777777" w:rsidR="00876E78" w:rsidRPr="00365BE2" w:rsidRDefault="00876E78" w:rsidP="00876E78">
      <w:pPr>
        <w:pBdr>
          <w:top w:val="nil"/>
          <w:left w:val="nil"/>
          <w:bottom w:val="nil"/>
          <w:right w:val="nil"/>
          <w:between w:val="nil"/>
        </w:pBdr>
        <w:ind w:left="1134" w:right="-1417"/>
        <w:jc w:val="both"/>
        <w:rPr>
          <w:rFonts w:ascii="Palatino Linotype" w:eastAsia="Palatino Linotype" w:hAnsi="Palatino Linotype" w:cs="Palatino Linotype"/>
          <w:i/>
          <w:color w:val="000000"/>
          <w:sz w:val="22"/>
          <w:szCs w:val="22"/>
        </w:rPr>
      </w:pPr>
    </w:p>
    <w:p w14:paraId="37EF8EA1"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El </w:t>
      </w:r>
      <w:r w:rsidR="00876E78" w:rsidRPr="00365BE2">
        <w:rPr>
          <w:rFonts w:ascii="Palatino Linotype" w:eastAsia="Palatino Linotype" w:hAnsi="Palatino Linotype" w:cs="Palatino Linotype"/>
          <w:b/>
          <w:color w:val="000000"/>
          <w:sz w:val="22"/>
          <w:szCs w:val="22"/>
        </w:rPr>
        <w:t xml:space="preserve">veintinueve de abril </w:t>
      </w:r>
      <w:r w:rsidRPr="00365BE2">
        <w:rPr>
          <w:rFonts w:ascii="Palatino Linotype" w:eastAsia="Palatino Linotype" w:hAnsi="Palatino Linotype" w:cs="Palatino Linotype"/>
          <w:b/>
          <w:color w:val="000000"/>
          <w:sz w:val="22"/>
          <w:szCs w:val="22"/>
        </w:rPr>
        <w:t>de dos mil veinticuatro</w:t>
      </w:r>
      <w:r w:rsidRPr="00365BE2">
        <w:rPr>
          <w:rFonts w:ascii="Palatino Linotype" w:eastAsia="Palatino Linotype" w:hAnsi="Palatino Linotype" w:cs="Palatino Linotype"/>
          <w:color w:val="000000"/>
          <w:sz w:val="22"/>
          <w:szCs w:val="22"/>
        </w:rPr>
        <w:t xml:space="preserve">, el solicitante interpuso recurso de revisión en contra de la respuestas emitida por el </w:t>
      </w:r>
      <w:r w:rsidRPr="00365BE2">
        <w:rPr>
          <w:rFonts w:ascii="Palatino Linotype" w:eastAsia="Palatino Linotype" w:hAnsi="Palatino Linotype" w:cs="Palatino Linotype"/>
          <w:b/>
          <w:color w:val="000000"/>
          <w:sz w:val="22"/>
          <w:szCs w:val="22"/>
        </w:rPr>
        <w:t>SUJETO OBLIGADO</w:t>
      </w:r>
      <w:r w:rsidRPr="00365BE2">
        <w:rPr>
          <w:rFonts w:ascii="Palatino Linotype" w:eastAsia="Palatino Linotype" w:hAnsi="Palatino Linotype" w:cs="Palatino Linotype"/>
          <w:color w:val="000000"/>
          <w:sz w:val="22"/>
          <w:szCs w:val="22"/>
        </w:rPr>
        <w:t>, señalando las siguientes razones o motivos de inconformidad:</w:t>
      </w:r>
    </w:p>
    <w:p w14:paraId="37EF8EA2" w14:textId="77777777" w:rsidR="00477D80" w:rsidRPr="00365BE2" w:rsidRDefault="00477D80" w:rsidP="00477D80">
      <w:pPr>
        <w:pBdr>
          <w:top w:val="nil"/>
          <w:left w:val="nil"/>
          <w:bottom w:val="nil"/>
          <w:right w:val="nil"/>
          <w:between w:val="nil"/>
        </w:pBdr>
        <w:spacing w:line="360" w:lineRule="auto"/>
        <w:ind w:left="-566" w:right="-1417"/>
        <w:jc w:val="both"/>
        <w:rPr>
          <w:color w:val="000000"/>
          <w:sz w:val="22"/>
          <w:szCs w:val="22"/>
        </w:rPr>
      </w:pPr>
    </w:p>
    <w:p w14:paraId="37EF8EA3" w14:textId="77777777" w:rsidR="00477D80" w:rsidRPr="00365BE2" w:rsidRDefault="00477D80" w:rsidP="003F02F0">
      <w:pPr>
        <w:numPr>
          <w:ilvl w:val="0"/>
          <w:numId w:val="6"/>
        </w:numPr>
        <w:pBdr>
          <w:top w:val="nil"/>
          <w:left w:val="nil"/>
          <w:bottom w:val="nil"/>
          <w:right w:val="nil"/>
          <w:between w:val="nil"/>
        </w:pBdr>
        <w:ind w:left="1134" w:right="277" w:firstLine="0"/>
        <w:jc w:val="both"/>
        <w:rPr>
          <w:rFonts w:ascii="Palatino Linotype" w:eastAsia="Palatino Linotype" w:hAnsi="Palatino Linotype" w:cs="Palatino Linotype"/>
          <w:color w:val="000000"/>
          <w:sz w:val="22"/>
          <w:szCs w:val="22"/>
        </w:rPr>
      </w:pPr>
      <w:bookmarkStart w:id="0" w:name="_heading=h.1fob9te" w:colFirst="0" w:colLast="0"/>
      <w:bookmarkEnd w:id="0"/>
      <w:r w:rsidRPr="00365BE2">
        <w:rPr>
          <w:rFonts w:ascii="Palatino Linotype" w:eastAsia="Palatino Linotype" w:hAnsi="Palatino Linotype" w:cs="Palatino Linotype"/>
          <w:b/>
          <w:color w:val="000000"/>
          <w:sz w:val="22"/>
          <w:szCs w:val="22"/>
        </w:rPr>
        <w:t xml:space="preserve">Acto impugnado: </w:t>
      </w:r>
      <w:r w:rsidRPr="00365BE2">
        <w:rPr>
          <w:rFonts w:ascii="Palatino Linotype" w:eastAsia="Palatino Linotype" w:hAnsi="Palatino Linotype" w:cs="Palatino Linotype"/>
          <w:i/>
          <w:color w:val="000000"/>
          <w:sz w:val="22"/>
          <w:szCs w:val="22"/>
        </w:rPr>
        <w:t>“</w:t>
      </w:r>
      <w:r w:rsidR="00893D13" w:rsidRPr="00365BE2">
        <w:rPr>
          <w:rFonts w:ascii="Palatino Linotype" w:eastAsia="Palatino Linotype" w:hAnsi="Palatino Linotype" w:cs="Palatino Linotype"/>
          <w:i/>
          <w:color w:val="000000"/>
          <w:sz w:val="22"/>
          <w:szCs w:val="22"/>
        </w:rPr>
        <w:t xml:space="preserve">Se reclama la respuesta que la Secretaria de Movilidad del Estado de México proporciona a través del Portal (PNT), toda vez que la respuesta otorgada resulta inadecuada e insuficiente, siendo omisa al contestar las preguntas realizadas, manifestando que “se tiene imposibilidad para proporcionar y/u ostentase sobre datos referentes a dichas autorizaciones y/o señalar las concesiones que en su caso, hayan sido autorizadas en las rutas, lanzaderas y/o derroteros” y en consecuencia negarse a proporcionar la información solicitada, cuando la Secretaria de Movilidad en su carácter de sujeto obligado, es la entidad encargada de planear, formular, dirigir, coordinar, gestionar, evaluar, ejecutar y supervisar las políticas, programas, proyectos y estudios para el desarrollo del sistema integral de movilidad, incluyendo el servicio público de transporte de jurisdicción estatal y de sus servicios conexos, entre sus atribuciones, cuenta con la de autorizar y modificar en todo tiempo rutas, tarifas, itinerarios, horarios, frecuencias, así como ordenar el cambio de bases, paraderos y terminales, y señalar la forma de identificación de los vehículos afectos al servicio público de transporte, como se lee en los artículos 7.25 del Código Administrativo del Estado de México. </w:t>
      </w:r>
      <w:r w:rsidR="00893D13" w:rsidRPr="00365BE2">
        <w:rPr>
          <w:rFonts w:ascii="Palatino Linotype" w:eastAsia="Palatino Linotype" w:hAnsi="Palatino Linotype" w:cs="Palatino Linotype"/>
          <w:i/>
          <w:color w:val="000000"/>
          <w:sz w:val="22"/>
          <w:szCs w:val="22"/>
        </w:rPr>
        <w:lastRenderedPageBreak/>
        <w:t>Por otra parte, las Delegaciones Regionales adscritas a la Secretaria, de acuerdo con el Manual de Organización de esta Secretaría de Movilidad, tiene las siguientes funciones: (I) Recibir, tramitar y resolver las solicitudes para el otorgamiento de concesiones, permisos y autorizaciones relativos al servicio público de transporte. (II) Autorizar y revisar la elaboración de estudios técnicos y económicos que soliciten los concesionarios, previa verificación del pago de derechos. (III) Elaborar los estudios técnicos que correspondan al área geográfica de su competencia conforme a la normatividad de la materia y verificar el cumplimiento de las normas técnicas emitidas por la Secretaría. (IV) Integrar, registrar y actualizar los datos, informes y documentos relacionados con las concesiones, permisos, autorizaciones y control vehicular, relativas al servicio público de transporte, así como con los vehículos que prestan un servicio a la población para coadyuvar en el cumplimiento de acciones y programas que se establezcan por la Secretaría. Ahora bien, es importante señalar que los cuestionamientos realizados en la solicitud, se requiere diversa información de la “Lanzadera de la Ruta 18 del Ramal que corre de Jesús del Monte a la estación del Metro Cuatro Caminos”, “Ruta 18” o “Ruta 18 ramal”, denominaciones que se utilizaron únicamente como referencia de la información solicitada, sin embargo la Secretaria, le da una interpretación distinta a lo realmente solicitado, manifestando imposibilidad de proporcionar datos referentes a dichas autorizaciones de las rutas, lanzaderas y/o derroteros, por lo que no debe perderse de vista que el derecho de acceso a la información pública, no implica que el solicitante tenga la obligación de ser experto en la materia para poder ejercerlo, siendo obligación de la Secretaria de Movilidad del Estado de México y sus dependencias como Sujetos Obligados, aplicar la facultad de suplencia en favor de los particulares, de conformidad con lo previsto artículos 135 y 181 párrafo cuarto de la Ley de Transparencia y Acceso a la Información Pública del Estado de México y Municipios, con la finalidad de garantizar plenamente dicho derecho. Por tal motivo se solicita por conducto de esta H. Autoridad que la secretaria de Movilidad del Estado de México y sus dependencias de cumplimiento al principio de máxima publicidad, a fin de que se realice la debida búsqueda exhaustiva en los archivos digitales con los que cuentan y proporcione de manera integral la información que documente el ejercicio de sus facultades o actividades sin importar su fuente o fecha de elaboración, en los que conste la información solicitada.</w:t>
      </w:r>
      <w:r w:rsidRPr="00365BE2">
        <w:rPr>
          <w:rFonts w:ascii="Palatino Linotype" w:eastAsia="Palatino Linotype" w:hAnsi="Palatino Linotype" w:cs="Palatino Linotype"/>
          <w:i/>
          <w:color w:val="000000"/>
          <w:sz w:val="22"/>
          <w:szCs w:val="22"/>
        </w:rPr>
        <w:t>”</w:t>
      </w:r>
    </w:p>
    <w:p w14:paraId="37EF8EA4" w14:textId="77777777" w:rsidR="00477D80" w:rsidRPr="00365BE2" w:rsidRDefault="00477D80" w:rsidP="00477D80">
      <w:pPr>
        <w:pBdr>
          <w:top w:val="nil"/>
          <w:left w:val="nil"/>
          <w:bottom w:val="nil"/>
          <w:right w:val="nil"/>
          <w:between w:val="nil"/>
        </w:pBdr>
        <w:ind w:left="283" w:right="-850"/>
        <w:jc w:val="both"/>
        <w:rPr>
          <w:rFonts w:ascii="Palatino Linotype" w:eastAsia="Palatino Linotype" w:hAnsi="Palatino Linotype" w:cs="Palatino Linotype"/>
          <w:color w:val="000000"/>
          <w:sz w:val="22"/>
          <w:szCs w:val="22"/>
        </w:rPr>
      </w:pPr>
    </w:p>
    <w:p w14:paraId="37EF8EA5" w14:textId="77777777" w:rsidR="00477D80" w:rsidRPr="00365BE2" w:rsidRDefault="00477D80" w:rsidP="00477D80">
      <w:pPr>
        <w:numPr>
          <w:ilvl w:val="0"/>
          <w:numId w:val="6"/>
        </w:numPr>
        <w:pBdr>
          <w:top w:val="nil"/>
          <w:left w:val="nil"/>
          <w:bottom w:val="nil"/>
          <w:right w:val="nil"/>
          <w:between w:val="nil"/>
        </w:pBdr>
        <w:ind w:left="283" w:right="-850" w:firstLine="0"/>
        <w:jc w:val="both"/>
        <w:rPr>
          <w:rFonts w:ascii="Palatino Linotype" w:eastAsia="Palatino Linotype" w:hAnsi="Palatino Linotype" w:cs="Palatino Linotype"/>
          <w:color w:val="000000"/>
          <w:sz w:val="22"/>
          <w:szCs w:val="22"/>
        </w:rPr>
      </w:pPr>
      <w:bookmarkStart w:id="1" w:name="_heading=h.3znysh7" w:colFirst="0" w:colLast="0"/>
      <w:bookmarkEnd w:id="1"/>
      <w:r w:rsidRPr="00365BE2">
        <w:rPr>
          <w:rFonts w:ascii="Palatino Linotype" w:eastAsia="Palatino Linotype" w:hAnsi="Palatino Linotype" w:cs="Palatino Linotype"/>
          <w:b/>
          <w:color w:val="000000"/>
          <w:sz w:val="22"/>
          <w:szCs w:val="22"/>
        </w:rPr>
        <w:t xml:space="preserve">Razones o Motivos de inconformidad: </w:t>
      </w:r>
      <w:r w:rsidRPr="00365BE2">
        <w:rPr>
          <w:rFonts w:ascii="Palatino Linotype" w:eastAsia="Palatino Linotype" w:hAnsi="Palatino Linotype" w:cs="Palatino Linotype"/>
          <w:i/>
          <w:color w:val="000000"/>
          <w:sz w:val="22"/>
          <w:szCs w:val="22"/>
        </w:rPr>
        <w:t>“</w:t>
      </w:r>
      <w:r w:rsidR="00893D13" w:rsidRPr="00365BE2">
        <w:rPr>
          <w:rFonts w:ascii="Palatino Linotype" w:eastAsia="Palatino Linotype" w:hAnsi="Palatino Linotype" w:cs="Palatino Linotype"/>
          <w:i/>
          <w:color w:val="000000"/>
          <w:sz w:val="22"/>
          <w:szCs w:val="22"/>
        </w:rPr>
        <w:t>----------------------------------------------------------</w:t>
      </w:r>
      <w:r w:rsidRPr="00365BE2">
        <w:rPr>
          <w:rFonts w:ascii="Palatino Linotype" w:eastAsia="Palatino Linotype" w:hAnsi="Palatino Linotype" w:cs="Palatino Linotype"/>
          <w:i/>
          <w:color w:val="000000"/>
          <w:sz w:val="22"/>
          <w:szCs w:val="22"/>
        </w:rPr>
        <w:t>.”</w:t>
      </w:r>
    </w:p>
    <w:p w14:paraId="37EF8EA6" w14:textId="77777777" w:rsidR="00477D80" w:rsidRPr="00365BE2" w:rsidRDefault="00477D80" w:rsidP="00477D80">
      <w:pPr>
        <w:ind w:left="-566" w:right="-1417"/>
        <w:jc w:val="both"/>
        <w:rPr>
          <w:rFonts w:ascii="Palatino Linotype" w:eastAsia="Palatino Linotype" w:hAnsi="Palatino Linotype" w:cs="Palatino Linotype"/>
          <w:b/>
          <w:i/>
          <w:color w:val="000000"/>
          <w:sz w:val="22"/>
          <w:szCs w:val="22"/>
        </w:rPr>
      </w:pPr>
    </w:p>
    <w:p w14:paraId="37EF8EA7"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Consecutivamente</w:t>
      </w:r>
      <w:r w:rsidRPr="00365BE2">
        <w:rPr>
          <w:rFonts w:ascii="Palatino Linotype" w:eastAsia="Palatino Linotype" w:hAnsi="Palatino Linotype" w:cs="Palatino Linotype"/>
          <w:i/>
          <w:color w:val="000000"/>
          <w:sz w:val="22"/>
          <w:szCs w:val="22"/>
        </w:rPr>
        <w:t xml:space="preserve">, </w:t>
      </w:r>
      <w:r w:rsidRPr="00365BE2">
        <w:rPr>
          <w:rFonts w:ascii="Palatino Linotype" w:eastAsia="Palatino Linotype" w:hAnsi="Palatino Linotype" w:cs="Palatino Linotype"/>
          <w:color w:val="000000"/>
          <w:sz w:val="22"/>
          <w:szCs w:val="22"/>
        </w:rPr>
        <w:t xml:space="preserve">con fundamento en lo dispuesto por el artículo 185 fracción I de la Ley de Transparencia y Acceso a la Información Pública del Estado de México y Municipios, el recurso fue turnado a la ponencia de la </w:t>
      </w:r>
      <w:r w:rsidRPr="00365BE2">
        <w:rPr>
          <w:rFonts w:ascii="Palatino Linotype" w:eastAsia="Palatino Linotype" w:hAnsi="Palatino Linotype" w:cs="Palatino Linotype"/>
          <w:b/>
          <w:color w:val="000000"/>
          <w:sz w:val="22"/>
          <w:szCs w:val="22"/>
        </w:rPr>
        <w:t>Comisionada</w:t>
      </w:r>
      <w:r w:rsidRPr="00365BE2">
        <w:rPr>
          <w:rFonts w:ascii="Palatino Linotype" w:eastAsia="Palatino Linotype" w:hAnsi="Palatino Linotype" w:cs="Palatino Linotype"/>
          <w:color w:val="000000"/>
          <w:sz w:val="22"/>
          <w:szCs w:val="22"/>
        </w:rPr>
        <w:t xml:space="preserve"> </w:t>
      </w:r>
      <w:r w:rsidRPr="00365BE2">
        <w:rPr>
          <w:rFonts w:ascii="Palatino Linotype" w:eastAsia="Palatino Linotype" w:hAnsi="Palatino Linotype" w:cs="Palatino Linotype"/>
          <w:b/>
          <w:color w:val="000000"/>
          <w:sz w:val="22"/>
          <w:szCs w:val="22"/>
        </w:rPr>
        <w:t>María del Rosario Mejía Ayala</w:t>
      </w:r>
      <w:r w:rsidRPr="00365BE2">
        <w:rPr>
          <w:rFonts w:ascii="Palatino Linotype" w:eastAsia="Palatino Linotype" w:hAnsi="Palatino Linotype" w:cs="Palatino Linotype"/>
          <w:color w:val="000000"/>
          <w:sz w:val="22"/>
          <w:szCs w:val="22"/>
        </w:rPr>
        <w:t>,</w:t>
      </w:r>
      <w:r w:rsidRPr="00365BE2">
        <w:rPr>
          <w:rFonts w:ascii="Palatino Linotype" w:eastAsia="Palatino Linotype" w:hAnsi="Palatino Linotype" w:cs="Palatino Linotype"/>
          <w:b/>
          <w:color w:val="000000"/>
          <w:sz w:val="22"/>
          <w:szCs w:val="22"/>
        </w:rPr>
        <w:t xml:space="preserve"> </w:t>
      </w:r>
      <w:r w:rsidRPr="00365BE2">
        <w:rPr>
          <w:rFonts w:ascii="Palatino Linotype" w:eastAsia="Palatino Linotype" w:hAnsi="Palatino Linotype" w:cs="Palatino Linotype"/>
          <w:sz w:val="22"/>
          <w:szCs w:val="22"/>
        </w:rPr>
        <w:t>para</w:t>
      </w:r>
      <w:r w:rsidRPr="00365BE2">
        <w:rPr>
          <w:rFonts w:ascii="Palatino Linotype" w:eastAsia="Palatino Linotype" w:hAnsi="Palatino Linotype" w:cs="Palatino Linotype"/>
          <w:color w:val="000000"/>
          <w:sz w:val="22"/>
          <w:szCs w:val="22"/>
        </w:rPr>
        <w:t xml:space="preserve"> su análisis.</w:t>
      </w:r>
    </w:p>
    <w:p w14:paraId="37EF8EA8"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A9"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La Comisionada Ponente con fundamento en lo dispuesto por el artículo 185 fracción II de la ley de la materia, a través del </w:t>
      </w:r>
      <w:r w:rsidRPr="00365BE2">
        <w:rPr>
          <w:rFonts w:ascii="Palatino Linotype" w:eastAsia="Palatino Linotype" w:hAnsi="Palatino Linotype" w:cs="Palatino Linotype"/>
          <w:b/>
          <w:color w:val="000000"/>
          <w:sz w:val="22"/>
          <w:szCs w:val="22"/>
        </w:rPr>
        <w:t xml:space="preserve">acuerdo de admisión </w:t>
      </w:r>
      <w:r w:rsidRPr="00365BE2">
        <w:rPr>
          <w:rFonts w:ascii="Palatino Linotype" w:eastAsia="Palatino Linotype" w:hAnsi="Palatino Linotype" w:cs="Palatino Linotype"/>
          <w:color w:val="000000"/>
          <w:sz w:val="22"/>
          <w:szCs w:val="22"/>
        </w:rPr>
        <w:t xml:space="preserve">del </w:t>
      </w:r>
      <w:r w:rsidR="00893D13" w:rsidRPr="00365BE2">
        <w:rPr>
          <w:rFonts w:ascii="Palatino Linotype" w:eastAsia="Palatino Linotype" w:hAnsi="Palatino Linotype" w:cs="Palatino Linotype"/>
          <w:b/>
          <w:color w:val="000000"/>
          <w:sz w:val="22"/>
          <w:szCs w:val="22"/>
        </w:rPr>
        <w:t xml:space="preserve">dos </w:t>
      </w:r>
      <w:r w:rsidRPr="00365BE2">
        <w:rPr>
          <w:rFonts w:ascii="Palatino Linotype" w:eastAsia="Palatino Linotype" w:hAnsi="Palatino Linotype" w:cs="Palatino Linotype"/>
          <w:b/>
          <w:color w:val="000000"/>
          <w:sz w:val="22"/>
          <w:szCs w:val="22"/>
        </w:rPr>
        <w:t xml:space="preserve">de mayo   de dos mil veinticuatro, </w:t>
      </w:r>
      <w:r w:rsidRPr="00365BE2">
        <w:rPr>
          <w:rFonts w:ascii="Palatino Linotype" w:eastAsia="Palatino Linotype" w:hAnsi="Palatino Linotype" w:cs="Palatino Linotype"/>
          <w:color w:val="000000"/>
          <w:sz w:val="22"/>
          <w:szCs w:val="22"/>
        </w:rPr>
        <w:t xml:space="preserve">puso a disposición de las partes el expediente electrónico vía SAIMEX a efecto de que en un plazo máximo de siete días </w:t>
      </w:r>
      <w:r w:rsidRPr="00365BE2">
        <w:rPr>
          <w:rFonts w:ascii="Palatino Linotype" w:eastAsia="Palatino Linotype" w:hAnsi="Palatino Linotype" w:cs="Palatino Linotype"/>
          <w:sz w:val="22"/>
          <w:szCs w:val="22"/>
        </w:rPr>
        <w:t>manifestara</w:t>
      </w:r>
      <w:r w:rsidRPr="00365BE2">
        <w:rPr>
          <w:rFonts w:ascii="Palatino Linotype" w:eastAsia="Palatino Linotype" w:hAnsi="Palatino Linotype" w:cs="Palatino Linotype"/>
          <w:color w:val="000000"/>
          <w:sz w:val="22"/>
          <w:szCs w:val="22"/>
        </w:rPr>
        <w:t xml:space="preserve"> lo que a su derecho conviniera, </w:t>
      </w:r>
      <w:r w:rsidRPr="00365BE2">
        <w:rPr>
          <w:rFonts w:ascii="Palatino Linotype" w:eastAsia="Palatino Linotype" w:hAnsi="Palatino Linotype" w:cs="Palatino Linotype"/>
          <w:sz w:val="22"/>
          <w:szCs w:val="22"/>
        </w:rPr>
        <w:t>ofreciera</w:t>
      </w:r>
      <w:r w:rsidRPr="00365BE2">
        <w:rPr>
          <w:rFonts w:ascii="Palatino Linotype" w:eastAsia="Palatino Linotype" w:hAnsi="Palatino Linotype" w:cs="Palatino Linotype"/>
          <w:color w:val="000000"/>
          <w:sz w:val="22"/>
          <w:szCs w:val="22"/>
        </w:rPr>
        <w:t xml:space="preserve"> pruebas y alegatos según corresponda al caso concreto, de esta forma para que el </w:t>
      </w:r>
      <w:r w:rsidRPr="00365BE2">
        <w:rPr>
          <w:rFonts w:ascii="Palatino Linotype" w:eastAsia="Palatino Linotype" w:hAnsi="Palatino Linotype" w:cs="Palatino Linotype"/>
          <w:b/>
          <w:color w:val="000000"/>
          <w:sz w:val="22"/>
          <w:szCs w:val="22"/>
        </w:rPr>
        <w:t xml:space="preserve">SUJETO OBLIGADO </w:t>
      </w:r>
      <w:r w:rsidRPr="00365BE2">
        <w:rPr>
          <w:rFonts w:ascii="Palatino Linotype" w:eastAsia="Palatino Linotype" w:hAnsi="Palatino Linotype" w:cs="Palatino Linotype"/>
          <w:sz w:val="22"/>
          <w:szCs w:val="22"/>
        </w:rPr>
        <w:t>presentará</w:t>
      </w:r>
      <w:r w:rsidRPr="00365BE2">
        <w:rPr>
          <w:rFonts w:ascii="Palatino Linotype" w:eastAsia="Palatino Linotype" w:hAnsi="Palatino Linotype" w:cs="Palatino Linotype"/>
          <w:color w:val="000000"/>
          <w:sz w:val="22"/>
          <w:szCs w:val="22"/>
        </w:rPr>
        <w:t xml:space="preserve"> el Informe Justificado procedente.</w:t>
      </w:r>
    </w:p>
    <w:p w14:paraId="37EF8EAA" w14:textId="77777777" w:rsidR="00477D80" w:rsidRPr="00365BE2" w:rsidRDefault="00477D80" w:rsidP="00477D80">
      <w:pPr>
        <w:pBdr>
          <w:top w:val="nil"/>
          <w:left w:val="nil"/>
          <w:bottom w:val="nil"/>
          <w:right w:val="nil"/>
          <w:between w:val="nil"/>
        </w:pBdr>
        <w:ind w:left="-566" w:right="-1417"/>
        <w:rPr>
          <w:rFonts w:ascii="Palatino Linotype" w:eastAsia="Palatino Linotype" w:hAnsi="Palatino Linotype" w:cs="Palatino Linotype"/>
          <w:color w:val="000000"/>
          <w:sz w:val="22"/>
          <w:szCs w:val="22"/>
        </w:rPr>
      </w:pPr>
    </w:p>
    <w:p w14:paraId="37EF8EAB"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En esa línea, el </w:t>
      </w:r>
      <w:r w:rsidRPr="00365BE2">
        <w:rPr>
          <w:rFonts w:ascii="Palatino Linotype" w:eastAsia="Palatino Linotype" w:hAnsi="Palatino Linotype" w:cs="Palatino Linotype"/>
          <w:b/>
          <w:color w:val="000000"/>
          <w:sz w:val="22"/>
          <w:szCs w:val="22"/>
        </w:rPr>
        <w:t xml:space="preserve">catorce de mayo de dos mil veinticuatro, </w:t>
      </w:r>
      <w:r w:rsidRPr="00365BE2">
        <w:rPr>
          <w:rFonts w:ascii="Palatino Linotype" w:eastAsia="Palatino Linotype" w:hAnsi="Palatino Linotype" w:cs="Palatino Linotype"/>
          <w:color w:val="000000"/>
          <w:sz w:val="22"/>
          <w:szCs w:val="22"/>
        </w:rPr>
        <w:t xml:space="preserve"> tal y como se observa en el expediente electrónico el </w:t>
      </w:r>
      <w:r w:rsidRPr="00365BE2">
        <w:rPr>
          <w:rFonts w:ascii="Palatino Linotype" w:eastAsia="Palatino Linotype" w:hAnsi="Palatino Linotype" w:cs="Palatino Linotype"/>
          <w:b/>
          <w:color w:val="000000"/>
          <w:sz w:val="22"/>
          <w:szCs w:val="22"/>
        </w:rPr>
        <w:t xml:space="preserve">SUJETO OBLIGADO </w:t>
      </w:r>
      <w:r w:rsidRPr="00365BE2">
        <w:rPr>
          <w:rFonts w:ascii="Palatino Linotype" w:eastAsia="Palatino Linotype" w:hAnsi="Palatino Linotype" w:cs="Palatino Linotype"/>
          <w:sz w:val="22"/>
          <w:szCs w:val="22"/>
        </w:rPr>
        <w:t>agregó</w:t>
      </w:r>
      <w:r w:rsidRPr="00365BE2">
        <w:rPr>
          <w:rFonts w:ascii="Palatino Linotype" w:eastAsia="Palatino Linotype" w:hAnsi="Palatino Linotype" w:cs="Palatino Linotype"/>
          <w:color w:val="000000"/>
          <w:sz w:val="22"/>
          <w:szCs w:val="22"/>
        </w:rPr>
        <w:t xml:space="preserve"> </w:t>
      </w:r>
      <w:r w:rsidR="00893D13" w:rsidRPr="00365BE2">
        <w:rPr>
          <w:rFonts w:ascii="Palatino Linotype" w:eastAsia="Palatino Linotype" w:hAnsi="Palatino Linotype" w:cs="Palatino Linotype"/>
          <w:color w:val="000000"/>
          <w:sz w:val="22"/>
          <w:szCs w:val="22"/>
        </w:rPr>
        <w:t>dos archivos electrónicos</w:t>
      </w:r>
      <w:r w:rsidRPr="00365BE2">
        <w:rPr>
          <w:rFonts w:ascii="Palatino Linotype" w:eastAsia="Palatino Linotype" w:hAnsi="Palatino Linotype" w:cs="Palatino Linotype"/>
          <w:color w:val="000000"/>
          <w:sz w:val="22"/>
          <w:szCs w:val="22"/>
        </w:rPr>
        <w:t xml:space="preserve">, cuyo contenido grosso modo es el siguiente. </w:t>
      </w:r>
    </w:p>
    <w:p w14:paraId="37EF8EAC" w14:textId="77777777" w:rsidR="00477D80" w:rsidRPr="00365BE2" w:rsidRDefault="00893D13"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INFORME JUSTIFICADO 2353.pdf: </w:t>
      </w:r>
      <w:r w:rsidRPr="00365BE2">
        <w:rPr>
          <w:rFonts w:ascii="Palatino Linotype" w:eastAsia="Palatino Linotype" w:hAnsi="Palatino Linotype" w:cs="Palatino Linotype"/>
          <w:i/>
          <w:color w:val="000000"/>
          <w:sz w:val="22"/>
          <w:szCs w:val="22"/>
        </w:rPr>
        <w:t xml:space="preserve">Informe Justificado del Titular de la Unidad de Transparencia,  mediante el cual que se anexan respuestas de los servidores públicos habilitados siendo los siguientes. </w:t>
      </w:r>
    </w:p>
    <w:p w14:paraId="37EF8EAD" w14:textId="77777777" w:rsidR="00893D13" w:rsidRPr="00365BE2" w:rsidRDefault="00893D13"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ANEXOS.pdf: </w:t>
      </w:r>
    </w:p>
    <w:p w14:paraId="37EF8EAE" w14:textId="77777777" w:rsidR="00893D13" w:rsidRPr="00365BE2" w:rsidRDefault="00893D13"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Director de Movilidad General Zona IV: </w:t>
      </w:r>
      <w:r w:rsidRPr="00365BE2">
        <w:rPr>
          <w:rFonts w:ascii="Palatino Linotype" w:eastAsia="Palatino Linotype" w:hAnsi="Palatino Linotype" w:cs="Palatino Linotype"/>
          <w:i/>
          <w:color w:val="000000"/>
          <w:sz w:val="22"/>
          <w:szCs w:val="22"/>
        </w:rPr>
        <w:t xml:space="preserve">informa que se realizó una búsqueda exhaustiva y razonable de la información referida en líneas anteriores, pero esta Autoridad no ha generado, poseído o administrado información acerca de la Ruta 18 del Ramal que corre de Jesús del Monte a la estación del Metro Cuatro Caminos, porque no está dentro de la competencia de esta Dirección General de Movilidad Zona IV la circunscripción territorial donde opera la ya referida ruta. </w:t>
      </w:r>
    </w:p>
    <w:p w14:paraId="37EF8EAF" w14:textId="77777777" w:rsidR="00893D13" w:rsidRPr="00365BE2" w:rsidRDefault="00893D13"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Director General de Movilidad Zona III: </w:t>
      </w:r>
      <w:r w:rsidRPr="00365BE2">
        <w:rPr>
          <w:rFonts w:ascii="Palatino Linotype" w:eastAsia="Palatino Linotype" w:hAnsi="Palatino Linotype" w:cs="Palatino Linotype"/>
          <w:i/>
          <w:color w:val="000000"/>
          <w:sz w:val="22"/>
          <w:szCs w:val="22"/>
        </w:rPr>
        <w:t xml:space="preserve">informa que después de una búsqueda exhaustiva realizada con motivo de la solicitud no se localizó lo solicitado. </w:t>
      </w:r>
    </w:p>
    <w:p w14:paraId="37EF8EB0" w14:textId="77777777" w:rsidR="00893D13" w:rsidRPr="00365BE2" w:rsidRDefault="00893D13"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Director del Registro Estatal de Transporte Público: </w:t>
      </w:r>
      <w:r w:rsidRPr="00365BE2">
        <w:rPr>
          <w:rFonts w:ascii="Palatino Linotype" w:eastAsia="Palatino Linotype" w:hAnsi="Palatino Linotype" w:cs="Palatino Linotype"/>
          <w:i/>
          <w:color w:val="000000"/>
          <w:sz w:val="22"/>
          <w:szCs w:val="22"/>
        </w:rPr>
        <w:t xml:space="preserve">ratifica su respuesta inicial. </w:t>
      </w:r>
    </w:p>
    <w:p w14:paraId="37EF8EB1" w14:textId="77777777" w:rsidR="00893D13" w:rsidRPr="00365BE2" w:rsidRDefault="00893D13" w:rsidP="00893D13">
      <w:pPr>
        <w:pBdr>
          <w:top w:val="nil"/>
          <w:left w:val="nil"/>
          <w:bottom w:val="nil"/>
          <w:right w:val="nil"/>
          <w:between w:val="nil"/>
        </w:pBdr>
        <w:ind w:left="1134" w:right="277"/>
        <w:jc w:val="both"/>
        <w:rPr>
          <w:rFonts w:ascii="Palatino Linotype" w:eastAsia="Palatino Linotype" w:hAnsi="Palatino Linotype" w:cs="Palatino Linotype"/>
          <w:b/>
          <w:i/>
          <w:color w:val="000000"/>
          <w:sz w:val="22"/>
          <w:szCs w:val="22"/>
        </w:rPr>
      </w:pPr>
      <w:r w:rsidRPr="00365BE2">
        <w:rPr>
          <w:rFonts w:ascii="Palatino Linotype" w:eastAsia="Palatino Linotype" w:hAnsi="Palatino Linotype" w:cs="Palatino Linotype"/>
          <w:b/>
          <w:i/>
          <w:color w:val="000000"/>
          <w:sz w:val="22"/>
          <w:szCs w:val="22"/>
        </w:rPr>
        <w:t xml:space="preserve"> DIRECTORA GENERAL DE MOVILIDAD ZONA II: </w:t>
      </w:r>
      <w:r w:rsidRPr="00365BE2">
        <w:rPr>
          <w:rFonts w:ascii="Palatino Linotype" w:eastAsia="Palatino Linotype" w:hAnsi="Palatino Linotype" w:cs="Palatino Linotype"/>
          <w:i/>
          <w:color w:val="000000"/>
          <w:sz w:val="22"/>
          <w:szCs w:val="22"/>
        </w:rPr>
        <w:t xml:space="preserve">manifiesta, que el término de "Lanzadera" no aplica al servicio que tiene autorizada la moral </w:t>
      </w:r>
      <w:r w:rsidRPr="00365BE2">
        <w:rPr>
          <w:rFonts w:ascii="Palatino Linotype" w:eastAsia="Palatino Linotype" w:hAnsi="Palatino Linotype" w:cs="Palatino Linotype"/>
          <w:i/>
          <w:color w:val="000000"/>
          <w:sz w:val="22"/>
          <w:szCs w:val="22"/>
        </w:rPr>
        <w:lastRenderedPageBreak/>
        <w:t xml:space="preserve">"Asociación de Propietarios y </w:t>
      </w:r>
      <w:proofErr w:type="spellStart"/>
      <w:r w:rsidRPr="00365BE2">
        <w:rPr>
          <w:rFonts w:ascii="Palatino Linotype" w:eastAsia="Palatino Linotype" w:hAnsi="Palatino Linotype" w:cs="Palatino Linotype"/>
          <w:i/>
          <w:color w:val="000000"/>
          <w:sz w:val="22"/>
          <w:szCs w:val="22"/>
        </w:rPr>
        <w:t>Autotransportistas</w:t>
      </w:r>
      <w:proofErr w:type="spellEnd"/>
      <w:r w:rsidRPr="00365BE2">
        <w:rPr>
          <w:rFonts w:ascii="Palatino Linotype" w:eastAsia="Palatino Linotype" w:hAnsi="Palatino Linotype" w:cs="Palatino Linotype"/>
          <w:i/>
          <w:color w:val="000000"/>
          <w:sz w:val="22"/>
          <w:szCs w:val="22"/>
        </w:rPr>
        <w:t xml:space="preserve"> de Palo Solo y Ramales Ruta 18, S.A. de C.V"</w:t>
      </w:r>
      <w:r w:rsidR="00C15A37" w:rsidRPr="00365BE2">
        <w:rPr>
          <w:rFonts w:ascii="Palatino Linotype" w:eastAsia="Palatino Linotype" w:hAnsi="Palatino Linotype" w:cs="Palatino Linotype"/>
          <w:i/>
          <w:color w:val="000000"/>
          <w:sz w:val="22"/>
          <w:szCs w:val="22"/>
        </w:rPr>
        <w:t xml:space="preserve">. </w:t>
      </w:r>
    </w:p>
    <w:p w14:paraId="37EF8EB2" w14:textId="77777777" w:rsidR="00C15A37" w:rsidRPr="00365BE2" w:rsidRDefault="00C15A37" w:rsidP="00893D13">
      <w:pPr>
        <w:pBdr>
          <w:top w:val="nil"/>
          <w:left w:val="nil"/>
          <w:bottom w:val="nil"/>
          <w:right w:val="nil"/>
          <w:between w:val="nil"/>
        </w:pBdr>
        <w:ind w:left="1134" w:right="277"/>
        <w:jc w:val="both"/>
        <w:rPr>
          <w:rFonts w:ascii="Palatino Linotype" w:hAnsi="Palatino Linotype"/>
          <w:b/>
          <w:i/>
          <w:sz w:val="22"/>
          <w:szCs w:val="22"/>
        </w:rPr>
      </w:pPr>
      <w:r w:rsidRPr="00365BE2">
        <w:rPr>
          <w:rFonts w:ascii="Palatino Linotype" w:hAnsi="Palatino Linotype"/>
          <w:b/>
          <w:i/>
          <w:sz w:val="22"/>
          <w:szCs w:val="22"/>
        </w:rPr>
        <w:t xml:space="preserve">DIRECTOR GENERAL DE MOVILIDAD ZONA I: </w:t>
      </w:r>
      <w:r w:rsidRPr="00365BE2">
        <w:rPr>
          <w:rFonts w:ascii="Palatino Linotype" w:hAnsi="Palatino Linotype"/>
          <w:i/>
          <w:sz w:val="22"/>
          <w:szCs w:val="22"/>
        </w:rPr>
        <w:t xml:space="preserve">informa que después de haber realizado una búsqueda exhaustiva dentro de los archivos respectivos, </w:t>
      </w:r>
      <w:r w:rsidRPr="00365BE2">
        <w:rPr>
          <w:rFonts w:ascii="Palatino Linotype" w:hAnsi="Palatino Linotype"/>
          <w:b/>
          <w:i/>
          <w:sz w:val="22"/>
          <w:szCs w:val="22"/>
        </w:rPr>
        <w:t>no se localizó antecedente alguno relacionado con la ruta 18, aunado a que dentro de la circunscripción territorial de esta Dirección General no se tiene autorizado derrotero alguno a favor de la citada ruta.</w:t>
      </w:r>
    </w:p>
    <w:p w14:paraId="37EF8EB3" w14:textId="77777777" w:rsidR="00C15A37" w:rsidRPr="00365BE2" w:rsidRDefault="00C15A37"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Director de la Unidad de Servicios Metropolitanos: </w:t>
      </w:r>
      <w:r w:rsidRPr="00365BE2">
        <w:rPr>
          <w:rFonts w:ascii="Palatino Linotype" w:eastAsia="Palatino Linotype" w:hAnsi="Palatino Linotype" w:cs="Palatino Linotype"/>
          <w:i/>
          <w:color w:val="000000"/>
          <w:sz w:val="22"/>
          <w:szCs w:val="22"/>
        </w:rPr>
        <w:t xml:space="preserve">ratifica su respuesta y refiere que no se localizó registro alguno. </w:t>
      </w:r>
    </w:p>
    <w:p w14:paraId="37EF8EB4" w14:textId="77777777" w:rsidR="001C159C" w:rsidRPr="00365BE2" w:rsidRDefault="001C159C" w:rsidP="00893D13">
      <w:pPr>
        <w:pBdr>
          <w:top w:val="nil"/>
          <w:left w:val="nil"/>
          <w:bottom w:val="nil"/>
          <w:right w:val="nil"/>
          <w:between w:val="nil"/>
        </w:pBdr>
        <w:ind w:left="1134" w:right="277"/>
        <w:jc w:val="both"/>
        <w:rPr>
          <w:rFonts w:ascii="Palatino Linotype" w:eastAsia="Palatino Linotype" w:hAnsi="Palatino Linotype" w:cs="Palatino Linotype"/>
          <w:i/>
          <w:color w:val="000000"/>
          <w:sz w:val="22"/>
          <w:szCs w:val="22"/>
        </w:rPr>
      </w:pPr>
    </w:p>
    <w:p w14:paraId="37EF8EB5"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color w:val="000000"/>
          <w:sz w:val="22"/>
          <w:szCs w:val="22"/>
        </w:rPr>
        <w:t xml:space="preserve">Por su parte el </w:t>
      </w:r>
      <w:r w:rsidRPr="00365BE2">
        <w:rPr>
          <w:rFonts w:ascii="Palatino Linotype" w:eastAsia="Palatino Linotype" w:hAnsi="Palatino Linotype" w:cs="Palatino Linotype"/>
          <w:b/>
          <w:color w:val="000000"/>
          <w:sz w:val="22"/>
          <w:szCs w:val="22"/>
        </w:rPr>
        <w:t xml:space="preserve">RECURRENTE </w:t>
      </w:r>
      <w:r w:rsidRPr="00365BE2">
        <w:rPr>
          <w:rFonts w:ascii="Palatino Linotype" w:eastAsia="Palatino Linotype" w:hAnsi="Palatino Linotype" w:cs="Palatino Linotype"/>
          <w:sz w:val="22"/>
          <w:szCs w:val="22"/>
        </w:rPr>
        <w:t>dejó</w:t>
      </w:r>
      <w:r w:rsidRPr="00365BE2">
        <w:rPr>
          <w:rFonts w:ascii="Palatino Linotype" w:eastAsia="Palatino Linotype" w:hAnsi="Palatino Linotype" w:cs="Palatino Linotype"/>
          <w:color w:val="000000"/>
          <w:sz w:val="22"/>
          <w:szCs w:val="22"/>
        </w:rPr>
        <w:t xml:space="preserve"> de realizar manifestaciones que a su derecho conviniera y asistiera. </w:t>
      </w:r>
    </w:p>
    <w:p w14:paraId="37EF8EB6"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b/>
          <w:color w:val="000000"/>
          <w:sz w:val="22"/>
          <w:szCs w:val="22"/>
        </w:rPr>
      </w:pPr>
    </w:p>
    <w:p w14:paraId="37EF8EB7"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El </w:t>
      </w:r>
      <w:r w:rsidR="00F619BD" w:rsidRPr="00365BE2">
        <w:rPr>
          <w:rFonts w:ascii="Palatino Linotype" w:eastAsia="Palatino Linotype" w:hAnsi="Palatino Linotype" w:cs="Palatino Linotype"/>
          <w:b/>
          <w:color w:val="000000"/>
          <w:sz w:val="22"/>
          <w:szCs w:val="22"/>
        </w:rPr>
        <w:t xml:space="preserve">ocho de agosto </w:t>
      </w:r>
      <w:r w:rsidRPr="00365BE2">
        <w:rPr>
          <w:rFonts w:ascii="Palatino Linotype" w:eastAsia="Palatino Linotype" w:hAnsi="Palatino Linotype" w:cs="Palatino Linotype"/>
          <w:b/>
          <w:color w:val="000000"/>
          <w:sz w:val="22"/>
          <w:szCs w:val="22"/>
        </w:rPr>
        <w:t>de dos mil veinticuatro</w:t>
      </w:r>
      <w:r w:rsidRPr="00365BE2">
        <w:rPr>
          <w:rFonts w:ascii="Palatino Linotype" w:eastAsia="Palatino Linotype" w:hAnsi="Palatino Linotype" w:cs="Palatino Linotype"/>
          <w:color w:val="000000"/>
          <w:sz w:val="22"/>
          <w:szCs w:val="22"/>
        </w:rPr>
        <w:t xml:space="preserve">, la Comisionada Ponente notificó el </w:t>
      </w:r>
      <w:r w:rsidRPr="00365BE2">
        <w:rPr>
          <w:rFonts w:ascii="Palatino Linotype" w:eastAsia="Palatino Linotype" w:hAnsi="Palatino Linotype" w:cs="Palatino Linotype"/>
          <w:b/>
          <w:color w:val="000000"/>
          <w:sz w:val="22"/>
          <w:szCs w:val="22"/>
        </w:rPr>
        <w:t>acuerdo de ampliación</w:t>
      </w:r>
      <w:r w:rsidRPr="00365BE2">
        <w:rPr>
          <w:rFonts w:ascii="Palatino Linotype" w:eastAsia="Palatino Linotype" w:hAnsi="Palatino Linotype" w:cs="Palatino Linotype"/>
          <w:color w:val="000000"/>
          <w:sz w:val="22"/>
          <w:szCs w:val="22"/>
        </w:rPr>
        <w:t xml:space="preserve"> de plazo para emitir resolución.</w:t>
      </w:r>
    </w:p>
    <w:p w14:paraId="37EF8EB8"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B9"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14:paraId="37EF8EBA" w14:textId="77777777" w:rsidR="00477D80" w:rsidRPr="00365BE2" w:rsidRDefault="00477D80" w:rsidP="00477D80">
      <w:pPr>
        <w:pBdr>
          <w:top w:val="nil"/>
          <w:left w:val="nil"/>
          <w:bottom w:val="nil"/>
          <w:right w:val="nil"/>
          <w:between w:val="nil"/>
        </w:pBdr>
        <w:ind w:left="-566" w:right="-1417"/>
        <w:rPr>
          <w:color w:val="000000"/>
          <w:sz w:val="22"/>
          <w:szCs w:val="22"/>
        </w:rPr>
      </w:pPr>
    </w:p>
    <w:p w14:paraId="37EF8EBB" w14:textId="77777777" w:rsidR="00477D80" w:rsidRPr="00365BE2" w:rsidRDefault="00477D80" w:rsidP="00477D80">
      <w:pPr>
        <w:pBdr>
          <w:top w:val="nil"/>
          <w:left w:val="nil"/>
          <w:bottom w:val="nil"/>
          <w:right w:val="nil"/>
          <w:between w:val="nil"/>
        </w:pBdr>
        <w:spacing w:line="360" w:lineRule="auto"/>
        <w:ind w:left="-566" w:right="-1417"/>
        <w:jc w:val="both"/>
        <w:rPr>
          <w:color w:val="000000"/>
          <w:sz w:val="22"/>
          <w:szCs w:val="22"/>
        </w:rPr>
      </w:pPr>
    </w:p>
    <w:p w14:paraId="37EF8EBC"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37EF8EBD"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37EF8EBE" w14:textId="77777777" w:rsidR="00477D80" w:rsidRPr="00365BE2" w:rsidRDefault="00477D80" w:rsidP="00477D80">
      <w:pPr>
        <w:pBdr>
          <w:top w:val="nil"/>
          <w:left w:val="nil"/>
          <w:bottom w:val="nil"/>
          <w:right w:val="nil"/>
          <w:between w:val="nil"/>
        </w:pBdr>
        <w:ind w:left="-566" w:right="-1417"/>
        <w:rPr>
          <w:rFonts w:ascii="Palatino Linotype" w:eastAsia="Palatino Linotype" w:hAnsi="Palatino Linotype" w:cs="Palatino Linotype"/>
          <w:color w:val="000000"/>
          <w:sz w:val="22"/>
          <w:szCs w:val="22"/>
        </w:rPr>
      </w:pPr>
    </w:p>
    <w:p w14:paraId="37EF8EBF"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7EF8EC0"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C1"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37EF8EC2" w14:textId="77777777" w:rsidR="00477D80" w:rsidRPr="00365BE2" w:rsidRDefault="00477D80" w:rsidP="00477D80">
      <w:pPr>
        <w:pBdr>
          <w:top w:val="nil"/>
          <w:left w:val="nil"/>
          <w:bottom w:val="nil"/>
          <w:right w:val="nil"/>
          <w:between w:val="nil"/>
        </w:pBd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a)  Complejidad del asunto: La complejidad de la prueba, la pluralidad de sujetos procesales, el tiempo transcurrido, las características y contexto del recurso.</w:t>
      </w:r>
    </w:p>
    <w:p w14:paraId="37EF8EC3" w14:textId="77777777" w:rsidR="00477D80" w:rsidRPr="00365BE2" w:rsidRDefault="00477D80" w:rsidP="00477D80">
      <w:pPr>
        <w:pBdr>
          <w:top w:val="nil"/>
          <w:left w:val="nil"/>
          <w:bottom w:val="nil"/>
          <w:right w:val="nil"/>
          <w:between w:val="nil"/>
        </w:pBd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b)     Actividad Procesal del interesado: Acciones u omisiones del interesado.</w:t>
      </w:r>
    </w:p>
    <w:p w14:paraId="37EF8EC4" w14:textId="77777777" w:rsidR="00477D80" w:rsidRPr="00365BE2" w:rsidRDefault="00477D80" w:rsidP="00477D80">
      <w:pPr>
        <w:pBdr>
          <w:top w:val="nil"/>
          <w:left w:val="nil"/>
          <w:bottom w:val="nil"/>
          <w:right w:val="nil"/>
          <w:between w:val="nil"/>
        </w:pBd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c)    Conducta de la Autoridad: Las Acciones u omisiones realizadas en el procedimiento. Así como si la autoridad actuó con la debida diligencia.</w:t>
      </w:r>
    </w:p>
    <w:p w14:paraId="37EF8EC5" w14:textId="77777777" w:rsidR="00477D80" w:rsidRPr="00365BE2" w:rsidRDefault="00477D80" w:rsidP="00477D80">
      <w:pPr>
        <w:pBdr>
          <w:top w:val="nil"/>
          <w:left w:val="nil"/>
          <w:bottom w:val="nil"/>
          <w:right w:val="nil"/>
          <w:between w:val="nil"/>
        </w:pBd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d)   La afectación generada en la situación jurídica de la persona involucrada en el proceso: Violación a sus derechos humanos.</w:t>
      </w:r>
    </w:p>
    <w:p w14:paraId="37EF8EC6"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C7"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7EF8EC8"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C9"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Argumento que encuentra sustento en la jurisprudencia P./J. 32/92 emitida por el Pleno de la Suprema Corte de Justicia de la Nación del rubro “TÉRMINOS PROCESALES. PARA DETERMINAR SI </w:t>
      </w:r>
      <w:r w:rsidRPr="00365BE2">
        <w:rPr>
          <w:rFonts w:ascii="Palatino Linotype" w:eastAsia="Palatino Linotype" w:hAnsi="Palatino Linotype" w:cs="Palatino Linotype"/>
          <w:color w:val="000000"/>
          <w:sz w:val="22"/>
          <w:szCs w:val="22"/>
        </w:rPr>
        <w:lastRenderedPageBreak/>
        <w:t>UN FUNCIONARIO JUDICIAL ACTUÓ INDEBIDAMENTE POR NO RESPETARLOS SE DEBE ATENDER AL PRESUPUESTO QUE CONSIDERÓ EL LEGISLADOR AL FIJARLOS Y LAS CARACTERÍSTICAS DEL CASO.”, visible en la Gaceta del Semanario Judicial de la Federación con el registro digital 205635.</w:t>
      </w:r>
    </w:p>
    <w:p w14:paraId="37EF8ECA" w14:textId="77777777" w:rsidR="00477D80" w:rsidRPr="00365BE2" w:rsidRDefault="00477D80" w:rsidP="00477D80">
      <w:pPr>
        <w:pBdr>
          <w:top w:val="nil"/>
          <w:left w:val="nil"/>
          <w:bottom w:val="nil"/>
          <w:right w:val="nil"/>
          <w:between w:val="nil"/>
        </w:pBdr>
        <w:ind w:left="-566" w:right="-1417"/>
        <w:rPr>
          <w:rFonts w:ascii="Palatino Linotype" w:eastAsia="Palatino Linotype" w:hAnsi="Palatino Linotype" w:cs="Palatino Linotype"/>
          <w:color w:val="000000"/>
          <w:sz w:val="22"/>
          <w:szCs w:val="22"/>
        </w:rPr>
      </w:pPr>
    </w:p>
    <w:p w14:paraId="37EF8ECB"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37EF8ECC"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CD"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Al respecto, también son de considerar los criterios sostenidos por el Cuarto Tribunal Colegiado en Materia Administrativa del Primer Circuito, cuyos rubros y datos de identificación son los siguientes:</w:t>
      </w:r>
    </w:p>
    <w:p w14:paraId="37EF8ECE" w14:textId="77777777" w:rsidR="00477D80" w:rsidRPr="00365BE2" w:rsidRDefault="00477D80" w:rsidP="00477D80">
      <w:pPr>
        <w:pBdr>
          <w:top w:val="nil"/>
          <w:left w:val="nil"/>
          <w:bottom w:val="nil"/>
          <w:right w:val="nil"/>
          <w:between w:val="nil"/>
        </w:pBdr>
        <w:ind w:left="-566" w:right="-1417"/>
        <w:rPr>
          <w:color w:val="000000"/>
          <w:sz w:val="22"/>
          <w:szCs w:val="22"/>
        </w:rPr>
      </w:pPr>
    </w:p>
    <w:p w14:paraId="37EF8ECF" w14:textId="77777777" w:rsidR="00477D80" w:rsidRPr="00365BE2" w:rsidRDefault="00477D80" w:rsidP="00477D80">
      <w:pPr>
        <w:pBdr>
          <w:top w:val="nil"/>
          <w:left w:val="nil"/>
          <w:bottom w:val="nil"/>
          <w:right w:val="nil"/>
          <w:between w:val="nil"/>
        </w:pBdr>
        <w:spacing w:line="360" w:lineRule="auto"/>
        <w:ind w:left="141" w:right="-70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“PLAZO RAZONABLE PARA RESOLVER. DIMENSIÓN Y EFECTOS DE ESTE CONCEPTO CUANDO SE ADUCE EXCESIVA CARGA DE TRABAJO.” consultable en el Sem</w:t>
      </w:r>
      <w:r w:rsidRPr="00365BE2">
        <w:rPr>
          <w:rFonts w:ascii="Palatino Linotype" w:eastAsia="Palatino Linotype" w:hAnsi="Palatino Linotype" w:cs="Palatino Linotype"/>
          <w:sz w:val="22"/>
          <w:szCs w:val="22"/>
        </w:rPr>
        <w:t>a</w:t>
      </w:r>
      <w:r w:rsidRPr="00365BE2">
        <w:rPr>
          <w:rFonts w:ascii="Palatino Linotype" w:eastAsia="Palatino Linotype" w:hAnsi="Palatino Linotype" w:cs="Palatino Linotype"/>
          <w:color w:val="000000"/>
          <w:sz w:val="22"/>
          <w:szCs w:val="22"/>
        </w:rPr>
        <w:t>nario Judicial de la Federación y su gaceta, con el registro digital 2002351.</w:t>
      </w:r>
    </w:p>
    <w:p w14:paraId="37EF8ED0" w14:textId="77777777" w:rsidR="00477D80" w:rsidRPr="00365BE2" w:rsidRDefault="00477D80" w:rsidP="00477D80">
      <w:pPr>
        <w:pBdr>
          <w:top w:val="nil"/>
          <w:left w:val="nil"/>
          <w:bottom w:val="nil"/>
          <w:right w:val="nil"/>
          <w:between w:val="nil"/>
        </w:pBdr>
        <w:spacing w:line="360" w:lineRule="auto"/>
        <w:ind w:left="141" w:right="-709"/>
        <w:jc w:val="both"/>
        <w:rPr>
          <w:rFonts w:ascii="Palatino Linotype" w:eastAsia="Palatino Linotype" w:hAnsi="Palatino Linotype" w:cs="Palatino Linotype"/>
          <w:sz w:val="22"/>
          <w:szCs w:val="22"/>
        </w:rPr>
      </w:pPr>
    </w:p>
    <w:p w14:paraId="37EF8ED1" w14:textId="77777777" w:rsidR="00477D80" w:rsidRPr="00365BE2" w:rsidRDefault="00477D80" w:rsidP="00477D80">
      <w:pPr>
        <w:pBdr>
          <w:top w:val="nil"/>
          <w:left w:val="nil"/>
          <w:bottom w:val="nil"/>
          <w:right w:val="nil"/>
          <w:between w:val="nil"/>
        </w:pBdr>
        <w:spacing w:line="360" w:lineRule="auto"/>
        <w:ind w:left="141" w:right="-70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“PLAZO RAZONABLE PARA RESOLVER. CONCEPTO Y ELEMENTOS QUE LO INTEGRAN A LA LUZ DEL DERECHO INTERNACIONAL DE LOS DERECHOS HUMANOS.”, visible en el Sem</w:t>
      </w:r>
      <w:r w:rsidRPr="00365BE2">
        <w:rPr>
          <w:rFonts w:ascii="Palatino Linotype" w:eastAsia="Palatino Linotype" w:hAnsi="Palatino Linotype" w:cs="Palatino Linotype"/>
          <w:sz w:val="22"/>
          <w:szCs w:val="22"/>
        </w:rPr>
        <w:t>a</w:t>
      </w:r>
      <w:r w:rsidRPr="00365BE2">
        <w:rPr>
          <w:rFonts w:ascii="Palatino Linotype" w:eastAsia="Palatino Linotype" w:hAnsi="Palatino Linotype" w:cs="Palatino Linotype"/>
          <w:color w:val="000000"/>
          <w:sz w:val="22"/>
          <w:szCs w:val="22"/>
        </w:rPr>
        <w:t>nario Judicial de la Federación y su gaceta, con el registro digital 2002350.</w:t>
      </w:r>
    </w:p>
    <w:p w14:paraId="37EF8ED2"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D3"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lastRenderedPageBreak/>
        <w:t>Por ello, este organismo garante comprometido con la tutela de los derechos humanos confiados, señala que este exceso del plazo legal para resolver el presente asunto, resulta de carácter excepcional.</w:t>
      </w:r>
    </w:p>
    <w:p w14:paraId="37EF8ED4"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b/>
          <w:color w:val="000000"/>
          <w:sz w:val="22"/>
          <w:szCs w:val="22"/>
        </w:rPr>
      </w:pPr>
    </w:p>
    <w:p w14:paraId="37EF8ED5"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rFonts w:ascii="Palatino Linotype" w:eastAsia="Palatino Linotype" w:hAnsi="Palatino Linotype" w:cs="Palatino Linotype"/>
          <w:b/>
          <w:color w:val="000000"/>
          <w:sz w:val="22"/>
          <w:szCs w:val="22"/>
        </w:rPr>
      </w:pPr>
      <w:bookmarkStart w:id="2" w:name="_heading=h.2et92p0" w:colFirst="0" w:colLast="0"/>
      <w:bookmarkEnd w:id="2"/>
      <w:r w:rsidRPr="00365BE2">
        <w:rPr>
          <w:rFonts w:ascii="Palatino Linotype" w:eastAsia="Palatino Linotype" w:hAnsi="Palatino Linotype" w:cs="Palatino Linotype"/>
          <w:color w:val="000000"/>
          <w:sz w:val="22"/>
          <w:szCs w:val="22"/>
        </w:rPr>
        <w:t>Finalmente, la Comisionada Ponente mediante acuerdo de fecha</w:t>
      </w:r>
      <w:r w:rsidRPr="00365BE2">
        <w:rPr>
          <w:rFonts w:ascii="Palatino Linotype" w:eastAsia="Palatino Linotype" w:hAnsi="Palatino Linotype" w:cs="Palatino Linotype"/>
          <w:b/>
          <w:color w:val="000000"/>
          <w:sz w:val="22"/>
          <w:szCs w:val="22"/>
        </w:rPr>
        <w:t xml:space="preserve"> </w:t>
      </w:r>
      <w:r w:rsidR="00F619BD" w:rsidRPr="00365BE2">
        <w:rPr>
          <w:rFonts w:ascii="Palatino Linotype" w:eastAsia="Palatino Linotype" w:hAnsi="Palatino Linotype" w:cs="Palatino Linotype"/>
          <w:b/>
          <w:color w:val="000000"/>
          <w:sz w:val="22"/>
          <w:szCs w:val="22"/>
        </w:rPr>
        <w:t xml:space="preserve">veinticinco </w:t>
      </w:r>
      <w:r w:rsidRPr="00365BE2">
        <w:rPr>
          <w:rFonts w:ascii="Palatino Linotype" w:eastAsia="Palatino Linotype" w:hAnsi="Palatino Linotype" w:cs="Palatino Linotype"/>
          <w:b/>
          <w:color w:val="000000"/>
          <w:sz w:val="22"/>
          <w:szCs w:val="22"/>
        </w:rPr>
        <w:t>de febrero de dos mil veinticinco</w:t>
      </w:r>
      <w:r w:rsidRPr="00365BE2">
        <w:rPr>
          <w:rFonts w:ascii="Palatino Linotype" w:eastAsia="Palatino Linotype" w:hAnsi="Palatino Linotype" w:cs="Palatino Linotype"/>
          <w:color w:val="000000"/>
          <w:sz w:val="22"/>
          <w:szCs w:val="22"/>
        </w:rPr>
        <w:t>, decretó el cierre de instrucción de los expedientes, por lo que no habiendo más que hacer constar, y ---------------------------------------------------------------------------------</w:t>
      </w:r>
      <w:r w:rsidR="00F619BD" w:rsidRPr="00365BE2">
        <w:rPr>
          <w:rFonts w:ascii="Palatino Linotype" w:eastAsia="Palatino Linotype" w:hAnsi="Palatino Linotype" w:cs="Palatino Linotype"/>
          <w:color w:val="000000"/>
          <w:sz w:val="22"/>
          <w:szCs w:val="22"/>
        </w:rPr>
        <w:t>--------------------------------------------</w:t>
      </w:r>
    </w:p>
    <w:p w14:paraId="37EF8ED6"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sz w:val="22"/>
          <w:szCs w:val="22"/>
        </w:rPr>
      </w:pPr>
      <w:bookmarkStart w:id="3" w:name="_heading=h.162m1m3fkzl6" w:colFirst="0" w:colLast="0"/>
      <w:bookmarkEnd w:id="3"/>
    </w:p>
    <w:p w14:paraId="37EF8ED7" w14:textId="77777777" w:rsidR="00477D80" w:rsidRPr="00365BE2" w:rsidRDefault="00477D80" w:rsidP="00477D80">
      <w:pPr>
        <w:spacing w:line="360" w:lineRule="auto"/>
        <w:ind w:left="-566" w:right="-1417"/>
        <w:rPr>
          <w:rFonts w:ascii="Palatino Linotype" w:eastAsia="Palatino Linotype" w:hAnsi="Palatino Linotype" w:cs="Palatino Linotype"/>
          <w:b/>
          <w:color w:val="000000"/>
          <w:sz w:val="22"/>
          <w:szCs w:val="22"/>
        </w:rPr>
      </w:pPr>
    </w:p>
    <w:p w14:paraId="37EF8ED8" w14:textId="77777777" w:rsidR="00477D80" w:rsidRPr="00365BE2" w:rsidRDefault="00477D80" w:rsidP="00477D80">
      <w:pPr>
        <w:pBdr>
          <w:top w:val="nil"/>
          <w:left w:val="nil"/>
          <w:bottom w:val="nil"/>
          <w:right w:val="nil"/>
          <w:between w:val="nil"/>
        </w:pBdr>
        <w:spacing w:line="360" w:lineRule="auto"/>
        <w:ind w:left="-566" w:right="-1417"/>
        <w:jc w:val="center"/>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 xml:space="preserve">C O N S I D E R A N D O </w:t>
      </w:r>
    </w:p>
    <w:p w14:paraId="37EF8ED9" w14:textId="77777777" w:rsidR="00477D80" w:rsidRPr="00365BE2" w:rsidRDefault="00477D80" w:rsidP="00477D80">
      <w:pPr>
        <w:pBdr>
          <w:top w:val="nil"/>
          <w:left w:val="nil"/>
          <w:bottom w:val="nil"/>
          <w:right w:val="nil"/>
          <w:between w:val="nil"/>
        </w:pBdr>
        <w:spacing w:line="360" w:lineRule="auto"/>
        <w:ind w:left="-566" w:right="-1417"/>
        <w:jc w:val="center"/>
        <w:rPr>
          <w:rFonts w:ascii="Palatino Linotype" w:eastAsia="Palatino Linotype" w:hAnsi="Palatino Linotype" w:cs="Palatino Linotype"/>
          <w:b/>
          <w:sz w:val="22"/>
          <w:szCs w:val="22"/>
        </w:rPr>
      </w:pPr>
    </w:p>
    <w:p w14:paraId="37EF8EDA" w14:textId="77777777" w:rsidR="00477D80" w:rsidRPr="00365BE2" w:rsidRDefault="00477D80" w:rsidP="00477D80">
      <w:pPr>
        <w:pStyle w:val="Ttulo2"/>
        <w:spacing w:before="0" w:line="360" w:lineRule="auto"/>
        <w:ind w:left="-566" w:right="-1417"/>
        <w:rPr>
          <w:rFonts w:ascii="Palatino Linotype" w:eastAsia="Palatino Linotype" w:hAnsi="Palatino Linotype" w:cs="Palatino Linotype"/>
          <w:b/>
          <w:color w:val="000000"/>
          <w:sz w:val="22"/>
          <w:szCs w:val="22"/>
        </w:rPr>
      </w:pPr>
      <w:bookmarkStart w:id="4" w:name="_heading=h.tyjcwt" w:colFirst="0" w:colLast="0"/>
      <w:bookmarkEnd w:id="4"/>
      <w:r w:rsidRPr="00365BE2">
        <w:rPr>
          <w:rFonts w:ascii="Palatino Linotype" w:eastAsia="Palatino Linotype" w:hAnsi="Palatino Linotype" w:cs="Palatino Linotype"/>
          <w:b/>
          <w:color w:val="000000"/>
          <w:sz w:val="22"/>
          <w:szCs w:val="22"/>
        </w:rPr>
        <w:t>PRIMERO. De la competencia</w:t>
      </w:r>
    </w:p>
    <w:p w14:paraId="37EF8EDB"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Este Instituto de Transparencia, Acceso a la Información Pública y Protección de Datos Personales del Estado de México y Municipios, es competente para conocer y resolver del presente recurso de conformidad con el artículo: 6, apartado A, fracción IV de la Constitución Política de los Estados Unidos Mexicanos; 5, párrafos trigésimo segundo, trigésimo tercero y trigésimo cuarto,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37EF8EDC" w14:textId="77777777" w:rsidR="00477D80" w:rsidRPr="00365BE2" w:rsidRDefault="00477D80" w:rsidP="00477D80">
      <w:pPr>
        <w:pBdr>
          <w:top w:val="nil"/>
          <w:left w:val="nil"/>
          <w:bottom w:val="nil"/>
          <w:right w:val="nil"/>
          <w:between w:val="nil"/>
        </w:pBdr>
        <w:tabs>
          <w:tab w:val="left" w:pos="426"/>
        </w:tabs>
        <w:spacing w:line="360" w:lineRule="auto"/>
        <w:ind w:left="-566" w:right="-1417"/>
        <w:jc w:val="both"/>
        <w:rPr>
          <w:rFonts w:ascii="Palatino Linotype" w:eastAsia="Palatino Linotype" w:hAnsi="Palatino Linotype" w:cs="Palatino Linotype"/>
          <w:b/>
          <w:color w:val="000000"/>
          <w:sz w:val="22"/>
          <w:szCs w:val="22"/>
        </w:rPr>
      </w:pPr>
      <w:bookmarkStart w:id="5" w:name="_heading=h.3dy6vkm" w:colFirst="0" w:colLast="0"/>
      <w:bookmarkEnd w:id="5"/>
    </w:p>
    <w:p w14:paraId="37EF8EDD" w14:textId="77777777" w:rsidR="00477D80" w:rsidRPr="00365BE2" w:rsidRDefault="00477D80" w:rsidP="00477D80">
      <w:pPr>
        <w:pBdr>
          <w:top w:val="nil"/>
          <w:left w:val="nil"/>
          <w:bottom w:val="nil"/>
          <w:right w:val="nil"/>
          <w:between w:val="nil"/>
        </w:pBdr>
        <w:tabs>
          <w:tab w:val="left" w:pos="426"/>
        </w:tabs>
        <w:spacing w:line="360" w:lineRule="auto"/>
        <w:ind w:left="-566" w:right="-1417"/>
        <w:jc w:val="both"/>
        <w:rPr>
          <w:rFonts w:ascii="Palatino Linotype" w:eastAsia="Palatino Linotype" w:hAnsi="Palatino Linotype" w:cs="Palatino Linotype"/>
          <w:b/>
          <w:color w:val="000000"/>
          <w:sz w:val="22"/>
          <w:szCs w:val="22"/>
        </w:rPr>
      </w:pPr>
      <w:bookmarkStart w:id="6" w:name="_heading=h.1t3h5sf" w:colFirst="0" w:colLast="0"/>
      <w:bookmarkEnd w:id="6"/>
      <w:r w:rsidRPr="00365BE2">
        <w:rPr>
          <w:rFonts w:ascii="Palatino Linotype" w:eastAsia="Palatino Linotype" w:hAnsi="Palatino Linotype" w:cs="Palatino Linotype"/>
          <w:b/>
          <w:color w:val="000000"/>
          <w:sz w:val="22"/>
          <w:szCs w:val="22"/>
        </w:rPr>
        <w:t>SEGUNDO. De la oportunidad y procedencia.</w:t>
      </w:r>
    </w:p>
    <w:p w14:paraId="37EF8EDE"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bookmarkStart w:id="7" w:name="_heading=h.4d34og8" w:colFirst="0" w:colLast="0"/>
      <w:bookmarkEnd w:id="7"/>
      <w:r w:rsidRPr="00365BE2">
        <w:rPr>
          <w:rFonts w:ascii="Palatino Linotype" w:eastAsia="Palatino Linotype" w:hAnsi="Palatino Linotype" w:cs="Palatino Linotype"/>
          <w:color w:val="000000"/>
          <w:sz w:val="22"/>
          <w:szCs w:val="22"/>
        </w:rPr>
        <w:t xml:space="preserve">Los medios de impugnación fueron presentados a través del </w:t>
      </w:r>
      <w:r w:rsidRPr="00365BE2">
        <w:rPr>
          <w:rFonts w:ascii="Palatino Linotype" w:eastAsia="Palatino Linotype" w:hAnsi="Palatino Linotype" w:cs="Palatino Linotype"/>
          <w:b/>
          <w:color w:val="000000"/>
          <w:sz w:val="22"/>
          <w:szCs w:val="22"/>
        </w:rPr>
        <w:t>SAIMEX,</w:t>
      </w:r>
      <w:r w:rsidRPr="00365BE2">
        <w:rPr>
          <w:rFonts w:ascii="Palatino Linotype" w:eastAsia="Palatino Linotype" w:hAnsi="Palatino Linotype" w:cs="Palatino Linotype"/>
          <w:color w:val="000000"/>
          <w:sz w:val="22"/>
          <w:szCs w:val="22"/>
        </w:rPr>
        <w:t xml:space="preserve"> en el formato previamente aprobado para tal efecto y dentro del plazo legal de quince días hábiles otorgados; para el caso en particular es de señalar que el </w:t>
      </w:r>
      <w:r w:rsidRPr="00365BE2">
        <w:rPr>
          <w:rFonts w:ascii="Palatino Linotype" w:eastAsia="Palatino Linotype" w:hAnsi="Palatino Linotype" w:cs="Palatino Linotype"/>
          <w:b/>
          <w:color w:val="000000"/>
          <w:sz w:val="22"/>
          <w:szCs w:val="22"/>
        </w:rPr>
        <w:t>SUJETO OBLIGADO</w:t>
      </w:r>
      <w:r w:rsidRPr="00365BE2">
        <w:rPr>
          <w:rFonts w:ascii="Palatino Linotype" w:eastAsia="Palatino Linotype" w:hAnsi="Palatino Linotype" w:cs="Palatino Linotype"/>
          <w:color w:val="000000"/>
          <w:sz w:val="22"/>
          <w:szCs w:val="22"/>
        </w:rPr>
        <w:t xml:space="preserve"> entregó su respuesta el </w:t>
      </w:r>
      <w:r w:rsidR="00F619BD" w:rsidRPr="00365BE2">
        <w:rPr>
          <w:rFonts w:ascii="Palatino Linotype" w:eastAsia="Palatino Linotype" w:hAnsi="Palatino Linotype" w:cs="Palatino Linotype"/>
          <w:b/>
          <w:color w:val="000000"/>
          <w:sz w:val="22"/>
          <w:szCs w:val="22"/>
        </w:rPr>
        <w:t xml:space="preserve">veintiséis </w:t>
      </w:r>
      <w:r w:rsidRPr="00365BE2">
        <w:rPr>
          <w:rFonts w:ascii="Palatino Linotype" w:eastAsia="Palatino Linotype" w:hAnsi="Palatino Linotype" w:cs="Palatino Linotype"/>
          <w:b/>
          <w:color w:val="000000"/>
          <w:sz w:val="22"/>
          <w:szCs w:val="22"/>
        </w:rPr>
        <w:t xml:space="preserve">de abril de dos </w:t>
      </w:r>
      <w:r w:rsidRPr="00365BE2">
        <w:rPr>
          <w:rFonts w:ascii="Palatino Linotype" w:eastAsia="Palatino Linotype" w:hAnsi="Palatino Linotype" w:cs="Palatino Linotype"/>
          <w:b/>
          <w:color w:val="000000"/>
          <w:sz w:val="22"/>
          <w:szCs w:val="22"/>
        </w:rPr>
        <w:lastRenderedPageBreak/>
        <w:t>mil veinticuatro</w:t>
      </w:r>
      <w:r w:rsidRPr="00365BE2">
        <w:rPr>
          <w:rFonts w:ascii="Palatino Linotype" w:eastAsia="Palatino Linotype" w:hAnsi="Palatino Linotype" w:cs="Palatino Linotype"/>
          <w:color w:val="000000"/>
          <w:sz w:val="22"/>
          <w:szCs w:val="22"/>
        </w:rPr>
        <w:t xml:space="preserve">, de tal forma que el plazo para interponer el recurso de revisión transcurrió del día </w:t>
      </w:r>
      <w:r w:rsidR="00F619BD" w:rsidRPr="00365BE2">
        <w:rPr>
          <w:rFonts w:ascii="Palatino Linotype" w:eastAsia="Palatino Linotype" w:hAnsi="Palatino Linotype" w:cs="Palatino Linotype"/>
          <w:b/>
          <w:color w:val="000000"/>
          <w:sz w:val="22"/>
          <w:szCs w:val="22"/>
        </w:rPr>
        <w:t xml:space="preserve">veintinueve </w:t>
      </w:r>
      <w:r w:rsidRPr="00365BE2">
        <w:rPr>
          <w:rFonts w:ascii="Palatino Linotype" w:eastAsia="Palatino Linotype" w:hAnsi="Palatino Linotype" w:cs="Palatino Linotype"/>
          <w:b/>
          <w:color w:val="000000"/>
          <w:sz w:val="22"/>
          <w:szCs w:val="22"/>
        </w:rPr>
        <w:t xml:space="preserve"> abril al </w:t>
      </w:r>
      <w:r w:rsidR="00F619BD" w:rsidRPr="00365BE2">
        <w:rPr>
          <w:rFonts w:ascii="Palatino Linotype" w:eastAsia="Palatino Linotype" w:hAnsi="Palatino Linotype" w:cs="Palatino Linotype"/>
          <w:b/>
          <w:color w:val="000000"/>
          <w:sz w:val="22"/>
          <w:szCs w:val="22"/>
        </w:rPr>
        <w:t xml:space="preserve">veintiuno </w:t>
      </w:r>
      <w:r w:rsidRPr="00365BE2">
        <w:rPr>
          <w:rFonts w:ascii="Palatino Linotype" w:eastAsia="Palatino Linotype" w:hAnsi="Palatino Linotype" w:cs="Palatino Linotype"/>
          <w:b/>
          <w:color w:val="000000"/>
          <w:sz w:val="22"/>
          <w:szCs w:val="22"/>
        </w:rPr>
        <w:t>de mayo de dos mil veinticuatro</w:t>
      </w:r>
      <w:r w:rsidRPr="00365BE2">
        <w:rPr>
          <w:rFonts w:ascii="Palatino Linotype" w:eastAsia="Palatino Linotype" w:hAnsi="Palatino Linotype" w:cs="Palatino Linotype"/>
          <w:color w:val="000000"/>
          <w:sz w:val="22"/>
          <w:szCs w:val="22"/>
        </w:rPr>
        <w:t xml:space="preserve">; en consecuencia, el ahora </w:t>
      </w:r>
      <w:r w:rsidRPr="00365BE2">
        <w:rPr>
          <w:rFonts w:ascii="Palatino Linotype" w:eastAsia="Palatino Linotype" w:hAnsi="Palatino Linotype" w:cs="Palatino Linotype"/>
          <w:b/>
          <w:color w:val="000000"/>
          <w:sz w:val="22"/>
          <w:szCs w:val="22"/>
        </w:rPr>
        <w:t>RECURRENTE</w:t>
      </w:r>
      <w:r w:rsidRPr="00365BE2">
        <w:rPr>
          <w:rFonts w:ascii="Palatino Linotype" w:eastAsia="Palatino Linotype" w:hAnsi="Palatino Linotype" w:cs="Palatino Linotype"/>
          <w:color w:val="000000"/>
          <w:sz w:val="22"/>
          <w:szCs w:val="22"/>
        </w:rPr>
        <w:t xml:space="preserve"> presentó sus inconformidades el día </w:t>
      </w:r>
      <w:r w:rsidR="00F619BD" w:rsidRPr="00365BE2">
        <w:rPr>
          <w:rFonts w:ascii="Palatino Linotype" w:eastAsia="Palatino Linotype" w:hAnsi="Palatino Linotype" w:cs="Palatino Linotype"/>
          <w:b/>
          <w:color w:val="000000"/>
          <w:sz w:val="22"/>
          <w:szCs w:val="22"/>
        </w:rPr>
        <w:t xml:space="preserve">veintinueve de abril </w:t>
      </w:r>
      <w:r w:rsidRPr="00365BE2">
        <w:rPr>
          <w:rFonts w:ascii="Palatino Linotype" w:eastAsia="Palatino Linotype" w:hAnsi="Palatino Linotype" w:cs="Palatino Linotype"/>
          <w:b/>
          <w:color w:val="000000"/>
          <w:sz w:val="22"/>
          <w:szCs w:val="22"/>
        </w:rPr>
        <w:t>de dos mil veinticuatro</w:t>
      </w:r>
      <w:r w:rsidRPr="00365BE2">
        <w:rPr>
          <w:rFonts w:ascii="Palatino Linotype" w:eastAsia="Palatino Linotype" w:hAnsi="Palatino Linotype" w:cs="Palatino Linotype"/>
          <w:color w:val="000000"/>
          <w:sz w:val="22"/>
          <w:szCs w:val="22"/>
        </w:rPr>
        <w:t>; es decir dentro del lapso legalmente establecido para tal efecto.</w:t>
      </w:r>
    </w:p>
    <w:p w14:paraId="37EF8EDF"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E0"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Asimismo, los escritos contienen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37EF8EE1" w14:textId="77777777" w:rsidR="00477D80" w:rsidRPr="00365BE2" w:rsidRDefault="00477D80" w:rsidP="00477D80">
      <w:pPr>
        <w:pBdr>
          <w:top w:val="nil"/>
          <w:left w:val="nil"/>
          <w:bottom w:val="nil"/>
          <w:right w:val="nil"/>
          <w:between w:val="nil"/>
        </w:pBdr>
        <w:spacing w:line="360" w:lineRule="auto"/>
        <w:ind w:left="-566" w:right="-1417"/>
        <w:jc w:val="both"/>
        <w:rPr>
          <w:color w:val="000000"/>
          <w:sz w:val="22"/>
          <w:szCs w:val="22"/>
        </w:rPr>
      </w:pPr>
    </w:p>
    <w:p w14:paraId="37EF8EE2" w14:textId="77777777" w:rsidR="00477D80" w:rsidRPr="00365BE2" w:rsidRDefault="00477D80" w:rsidP="00477D80">
      <w:pPr>
        <w:pStyle w:val="Ttulo1"/>
        <w:spacing w:before="0" w:line="360" w:lineRule="auto"/>
        <w:ind w:left="-566" w:right="-1417"/>
        <w:rPr>
          <w:rFonts w:ascii="Palatino Linotype" w:eastAsia="Palatino Linotype" w:hAnsi="Palatino Linotype" w:cs="Palatino Linotype"/>
          <w:b/>
          <w:color w:val="000000"/>
          <w:sz w:val="22"/>
          <w:szCs w:val="22"/>
        </w:rPr>
      </w:pPr>
      <w:bookmarkStart w:id="8" w:name="_heading=h.2s8eyo1" w:colFirst="0" w:colLast="0"/>
      <w:bookmarkEnd w:id="8"/>
      <w:r w:rsidRPr="00365BE2">
        <w:rPr>
          <w:rFonts w:ascii="Palatino Linotype" w:eastAsia="Palatino Linotype" w:hAnsi="Palatino Linotype" w:cs="Palatino Linotype"/>
          <w:b/>
          <w:color w:val="000000"/>
          <w:sz w:val="22"/>
          <w:szCs w:val="22"/>
        </w:rPr>
        <w:t xml:space="preserve">TERCERO. Del planteamiento de la </w:t>
      </w:r>
      <w:r w:rsidRPr="00365BE2">
        <w:rPr>
          <w:rFonts w:ascii="Palatino Linotype" w:eastAsia="Palatino Linotype" w:hAnsi="Palatino Linotype" w:cs="Palatino Linotype"/>
          <w:b/>
          <w:i/>
          <w:color w:val="000000"/>
          <w:sz w:val="22"/>
          <w:szCs w:val="22"/>
        </w:rPr>
        <w:t>Litis</w:t>
      </w:r>
      <w:r w:rsidRPr="00365BE2">
        <w:rPr>
          <w:rFonts w:ascii="Palatino Linotype" w:eastAsia="Palatino Linotype" w:hAnsi="Palatino Linotype" w:cs="Palatino Linotype"/>
          <w:b/>
          <w:color w:val="000000"/>
          <w:sz w:val="22"/>
          <w:szCs w:val="22"/>
        </w:rPr>
        <w:t>.</w:t>
      </w:r>
    </w:p>
    <w:p w14:paraId="37EF8EE3"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color w:val="000000"/>
          <w:sz w:val="22"/>
          <w:szCs w:val="22"/>
        </w:rPr>
        <w:t>De las constancias en el expediente al rubro indicado, se desprende que la particular solicitó la información que a continuación se desagrega:</w:t>
      </w:r>
    </w:p>
    <w:p w14:paraId="37EF8EE4" w14:textId="77777777" w:rsidR="008306F0"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De la lanzadera de la Ruta 18 del Ramal que corre de Jesús del Monte a la estación del Metro Cuatro Caminos </w:t>
      </w:r>
    </w:p>
    <w:p w14:paraId="37EF8EE5"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1.- Copia de la Autorización de otorgamiento de derrotero </w:t>
      </w:r>
    </w:p>
    <w:p w14:paraId="37EF8EE6"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2.- </w:t>
      </w:r>
      <w:r w:rsidR="008C2A9D" w:rsidRPr="00365BE2">
        <w:rPr>
          <w:rFonts w:ascii="Palatino Linotype" w:eastAsia="Palatino Linotype" w:hAnsi="Palatino Linotype" w:cs="Palatino Linotype"/>
          <w:b/>
          <w:i/>
          <w:sz w:val="22"/>
          <w:szCs w:val="22"/>
        </w:rPr>
        <w:t>N</w:t>
      </w:r>
      <w:r w:rsidRPr="00365BE2">
        <w:rPr>
          <w:rFonts w:ascii="Palatino Linotype" w:eastAsia="Palatino Linotype" w:hAnsi="Palatino Linotype" w:cs="Palatino Linotype"/>
          <w:b/>
          <w:i/>
          <w:sz w:val="22"/>
          <w:szCs w:val="22"/>
        </w:rPr>
        <w:t>úmero de un</w:t>
      </w:r>
      <w:r w:rsidR="008C2A9D" w:rsidRPr="00365BE2">
        <w:rPr>
          <w:rFonts w:ascii="Palatino Linotype" w:eastAsia="Palatino Linotype" w:hAnsi="Palatino Linotype" w:cs="Palatino Linotype"/>
          <w:b/>
          <w:i/>
          <w:sz w:val="22"/>
          <w:szCs w:val="22"/>
        </w:rPr>
        <w:t>idades permitidas dentro de la a</w:t>
      </w:r>
      <w:r w:rsidRPr="00365BE2">
        <w:rPr>
          <w:rFonts w:ascii="Palatino Linotype" w:eastAsia="Palatino Linotype" w:hAnsi="Palatino Linotype" w:cs="Palatino Linotype"/>
          <w:b/>
          <w:i/>
          <w:sz w:val="22"/>
          <w:szCs w:val="22"/>
        </w:rPr>
        <w:t xml:space="preserve">utorización señalada y si cuenta con la posibilidad de aumentar dicho número o si tiene una limitante de unidades registradas y en funcionamiento </w:t>
      </w:r>
    </w:p>
    <w:p w14:paraId="37EF8EE7"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3.- Indique el número de unidades que actualmente se encuentran adscritas y operando en el recorrido</w:t>
      </w:r>
    </w:p>
    <w:p w14:paraId="37EF8EE8"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 4.- Indique el número de unidades que pueden aparcar o hacer base en las lanzaderas</w:t>
      </w:r>
      <w:r w:rsidR="008C2A9D" w:rsidRPr="00365BE2">
        <w:rPr>
          <w:rFonts w:ascii="Palatino Linotype" w:eastAsia="Palatino Linotype" w:hAnsi="Palatino Linotype" w:cs="Palatino Linotype"/>
          <w:b/>
          <w:i/>
          <w:sz w:val="22"/>
          <w:szCs w:val="22"/>
        </w:rPr>
        <w:t xml:space="preserve">, </w:t>
      </w:r>
      <w:r w:rsidRPr="00365BE2">
        <w:rPr>
          <w:rFonts w:ascii="Palatino Linotype" w:eastAsia="Palatino Linotype" w:hAnsi="Palatino Linotype" w:cs="Palatino Linotype"/>
          <w:b/>
          <w:i/>
          <w:sz w:val="22"/>
          <w:szCs w:val="22"/>
        </w:rPr>
        <w:t xml:space="preserve">con el documento que establece el número autorizado o determinado para aparcar o hacer base en las lanzaderas o áreas aledañas. </w:t>
      </w:r>
    </w:p>
    <w:p w14:paraId="37EF8EE9"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lastRenderedPageBreak/>
        <w:t xml:space="preserve">5.-Señale los lineamientos que regulan el aparcamiento o base de las unidades dentro de las lanzaderas. </w:t>
      </w:r>
    </w:p>
    <w:p w14:paraId="37EF8EEA"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6.- </w:t>
      </w:r>
      <w:r w:rsidR="008C2A9D" w:rsidRPr="00365BE2">
        <w:rPr>
          <w:rFonts w:ascii="Palatino Linotype" w:eastAsia="Palatino Linotype" w:hAnsi="Palatino Linotype" w:cs="Palatino Linotype"/>
          <w:b/>
          <w:i/>
          <w:sz w:val="22"/>
          <w:szCs w:val="22"/>
        </w:rPr>
        <w:t>Copia de los e</w:t>
      </w:r>
      <w:r w:rsidRPr="00365BE2">
        <w:rPr>
          <w:rFonts w:ascii="Palatino Linotype" w:eastAsia="Palatino Linotype" w:hAnsi="Palatino Linotype" w:cs="Palatino Linotype"/>
          <w:b/>
          <w:i/>
          <w:sz w:val="22"/>
          <w:szCs w:val="22"/>
        </w:rPr>
        <w:t xml:space="preserve">studios técnicos que permitieron o dieron origen a la Autorización de otorgamiento de derrotero. </w:t>
      </w:r>
    </w:p>
    <w:p w14:paraId="37EF8EEB" w14:textId="77777777" w:rsidR="008C2A9D" w:rsidRPr="00365BE2" w:rsidRDefault="008306F0"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7.- Copia del Plano e Itinerario de la ruta desde su origen hasta su destino y viceversa que ha de seguir</w:t>
      </w:r>
      <w:r w:rsidR="008C2A9D" w:rsidRPr="00365BE2">
        <w:rPr>
          <w:rFonts w:ascii="Palatino Linotype" w:eastAsia="Palatino Linotype" w:hAnsi="Palatino Linotype" w:cs="Palatino Linotype"/>
          <w:b/>
          <w:i/>
          <w:sz w:val="22"/>
          <w:szCs w:val="22"/>
        </w:rPr>
        <w:t xml:space="preserve"> </w:t>
      </w:r>
    </w:p>
    <w:p w14:paraId="37EF8EEC" w14:textId="77777777" w:rsidR="008C2A9D" w:rsidRPr="00365BE2" w:rsidRDefault="008C2A9D"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8.- Copia de las c</w:t>
      </w:r>
      <w:r w:rsidR="008306F0" w:rsidRPr="00365BE2">
        <w:rPr>
          <w:rFonts w:ascii="Palatino Linotype" w:eastAsia="Palatino Linotype" w:hAnsi="Palatino Linotype" w:cs="Palatino Linotype"/>
          <w:b/>
          <w:i/>
          <w:sz w:val="22"/>
          <w:szCs w:val="22"/>
        </w:rPr>
        <w:t xml:space="preserve">oncesiones otorgadas a las unidades que actualmente se encuentran adscritas y operan en el recorrido de la Ruta 18 del Ramal </w:t>
      </w:r>
    </w:p>
    <w:p w14:paraId="37EF8EED" w14:textId="77777777" w:rsidR="00AB378E" w:rsidRPr="00365BE2" w:rsidRDefault="00AB378E" w:rsidP="008C2A9D">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p>
    <w:p w14:paraId="37EF8EEE" w14:textId="77777777" w:rsidR="00477D80" w:rsidRPr="00365BE2" w:rsidRDefault="00477D80" w:rsidP="008C2A9D">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En respuesta, el </w:t>
      </w:r>
      <w:r w:rsidRPr="00365BE2">
        <w:rPr>
          <w:rFonts w:ascii="Palatino Linotype" w:eastAsia="Palatino Linotype" w:hAnsi="Palatino Linotype" w:cs="Palatino Linotype"/>
          <w:b/>
          <w:color w:val="000000"/>
          <w:sz w:val="22"/>
          <w:szCs w:val="22"/>
        </w:rPr>
        <w:t xml:space="preserve">SUJETO OBLIGADO </w:t>
      </w:r>
      <w:r w:rsidRPr="00365BE2">
        <w:rPr>
          <w:rFonts w:ascii="Palatino Linotype" w:eastAsia="Palatino Linotype" w:hAnsi="Palatino Linotype" w:cs="Palatino Linotype"/>
          <w:color w:val="000000"/>
          <w:sz w:val="22"/>
          <w:szCs w:val="22"/>
        </w:rPr>
        <w:t xml:space="preserve">por medio de la </w:t>
      </w:r>
      <w:r w:rsidR="008C2A9D" w:rsidRPr="00365BE2">
        <w:rPr>
          <w:rFonts w:ascii="Palatino Linotype" w:eastAsia="Palatino Linotype" w:hAnsi="Palatino Linotype" w:cs="Palatino Linotype"/>
          <w:color w:val="000000"/>
          <w:sz w:val="22"/>
          <w:szCs w:val="22"/>
        </w:rPr>
        <w:t>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w:t>
      </w:r>
      <w:r w:rsidR="007A37F1" w:rsidRPr="00365BE2">
        <w:rPr>
          <w:rFonts w:ascii="Palatino Linotype" w:eastAsia="Palatino Linotype" w:hAnsi="Palatino Linotype" w:cs="Palatino Linotype"/>
          <w:color w:val="000000"/>
          <w:sz w:val="22"/>
          <w:szCs w:val="22"/>
        </w:rPr>
        <w:t>o</w:t>
      </w:r>
      <w:r w:rsidR="008C2A9D" w:rsidRPr="00365BE2">
        <w:rPr>
          <w:rFonts w:ascii="Palatino Linotype" w:eastAsia="Palatino Linotype" w:hAnsi="Palatino Linotype" w:cs="Palatino Linotype"/>
          <w:color w:val="000000"/>
          <w:sz w:val="22"/>
          <w:szCs w:val="22"/>
        </w:rPr>
        <w:t xml:space="preserve">s. </w:t>
      </w:r>
    </w:p>
    <w:p w14:paraId="37EF8EEF" w14:textId="77777777" w:rsidR="008C2A9D" w:rsidRPr="00365BE2" w:rsidRDefault="008C2A9D" w:rsidP="008C2A9D">
      <w:pPr>
        <w:pBdr>
          <w:top w:val="nil"/>
          <w:left w:val="nil"/>
          <w:bottom w:val="nil"/>
          <w:right w:val="nil"/>
          <w:between w:val="nil"/>
        </w:pBdr>
        <w:spacing w:line="360" w:lineRule="auto"/>
        <w:ind w:left="-566" w:right="-1417"/>
        <w:jc w:val="both"/>
        <w:rPr>
          <w:color w:val="000000"/>
          <w:sz w:val="22"/>
          <w:szCs w:val="22"/>
        </w:rPr>
      </w:pPr>
    </w:p>
    <w:p w14:paraId="37EF8EF0"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i/>
          <w:color w:val="000000"/>
          <w:sz w:val="22"/>
          <w:szCs w:val="22"/>
        </w:rPr>
      </w:pPr>
    </w:p>
    <w:p w14:paraId="37EF8EF1"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En dichas condiciones, la </w:t>
      </w:r>
      <w:r w:rsidRPr="00365BE2">
        <w:rPr>
          <w:rFonts w:ascii="Palatino Linotype" w:eastAsia="Palatino Linotype" w:hAnsi="Palatino Linotype" w:cs="Palatino Linotype"/>
          <w:i/>
          <w:color w:val="000000"/>
          <w:sz w:val="22"/>
          <w:szCs w:val="22"/>
        </w:rPr>
        <w:t>Litis</w:t>
      </w:r>
      <w:r w:rsidRPr="00365BE2">
        <w:rPr>
          <w:rFonts w:ascii="Palatino Linotype" w:eastAsia="Palatino Linotype" w:hAnsi="Palatino Linotype" w:cs="Palatino Linotype"/>
          <w:color w:val="000000"/>
          <w:sz w:val="22"/>
          <w:szCs w:val="22"/>
        </w:rPr>
        <w:t xml:space="preserve"> a resolver en estos recursos se circunscribe a determinar si se actualizan las causales de procedencia previstas en el artículo 179, </w:t>
      </w:r>
      <w:r w:rsidRPr="00365BE2">
        <w:rPr>
          <w:rFonts w:ascii="Palatino Linotype" w:eastAsia="Palatino Linotype" w:hAnsi="Palatino Linotype" w:cs="Palatino Linotype"/>
          <w:b/>
          <w:color w:val="000000"/>
          <w:sz w:val="22"/>
          <w:szCs w:val="22"/>
        </w:rPr>
        <w:t xml:space="preserve">fracción I </w:t>
      </w:r>
      <w:r w:rsidRPr="00365BE2">
        <w:rPr>
          <w:rFonts w:ascii="Palatino Linotype" w:eastAsia="Palatino Linotype" w:hAnsi="Palatino Linotype" w:cs="Palatino Linotype"/>
          <w:color w:val="000000"/>
          <w:sz w:val="22"/>
          <w:szCs w:val="22"/>
        </w:rPr>
        <w:t>de la Ley</w:t>
      </w:r>
      <w:r w:rsidRPr="00365BE2">
        <w:rPr>
          <w:rFonts w:ascii="Palatino Linotype" w:eastAsia="Palatino Linotype" w:hAnsi="Palatino Linotype" w:cs="Palatino Linotype"/>
          <w:b/>
          <w:color w:val="000000"/>
          <w:sz w:val="22"/>
          <w:szCs w:val="22"/>
        </w:rPr>
        <w:t xml:space="preserve"> de Transparencia y Acceso a la Información Pública del Estado de </w:t>
      </w:r>
      <w:r w:rsidRPr="00365BE2">
        <w:rPr>
          <w:rFonts w:ascii="Palatino Linotype" w:eastAsia="Palatino Linotype" w:hAnsi="Palatino Linotype" w:cs="Palatino Linotype"/>
          <w:color w:val="000000"/>
          <w:sz w:val="22"/>
          <w:szCs w:val="22"/>
        </w:rPr>
        <w:t>México</w:t>
      </w:r>
      <w:r w:rsidRPr="00365BE2">
        <w:rPr>
          <w:rFonts w:ascii="Palatino Linotype" w:eastAsia="Palatino Linotype" w:hAnsi="Palatino Linotype" w:cs="Palatino Linotype"/>
          <w:b/>
          <w:color w:val="000000"/>
          <w:sz w:val="22"/>
          <w:szCs w:val="22"/>
        </w:rPr>
        <w:t xml:space="preserve"> y Municipios</w:t>
      </w:r>
      <w:r w:rsidRPr="00365BE2">
        <w:rPr>
          <w:rFonts w:ascii="Palatino Linotype" w:eastAsia="Palatino Linotype" w:hAnsi="Palatino Linotype" w:cs="Palatino Linotype"/>
          <w:color w:val="000000"/>
          <w:sz w:val="22"/>
          <w:szCs w:val="22"/>
        </w:rPr>
        <w:t xml:space="preserve">; fracción que determina la hipótesis jurídica relativa a la negativa de información por parte del </w:t>
      </w:r>
      <w:r w:rsidRPr="00365BE2">
        <w:rPr>
          <w:rFonts w:ascii="Palatino Linotype" w:eastAsia="Palatino Linotype" w:hAnsi="Palatino Linotype" w:cs="Palatino Linotype"/>
          <w:b/>
          <w:color w:val="000000"/>
          <w:sz w:val="22"/>
          <w:szCs w:val="22"/>
        </w:rPr>
        <w:t>SUJETO OBLIGADO</w:t>
      </w:r>
      <w:r w:rsidRPr="00365BE2">
        <w:rPr>
          <w:rFonts w:ascii="Palatino Linotype" w:eastAsia="Palatino Linotype" w:hAnsi="Palatino Linotype" w:cs="Palatino Linotype"/>
          <w:color w:val="000000"/>
          <w:sz w:val="22"/>
          <w:szCs w:val="22"/>
        </w:rPr>
        <w:t xml:space="preserve">; contexto del cual se dolió </w:t>
      </w:r>
      <w:r w:rsidRPr="00365BE2">
        <w:rPr>
          <w:rFonts w:ascii="Palatino Linotype" w:eastAsia="Palatino Linotype" w:hAnsi="Palatino Linotype" w:cs="Palatino Linotype"/>
          <w:b/>
          <w:color w:val="000000"/>
          <w:sz w:val="22"/>
          <w:szCs w:val="22"/>
        </w:rPr>
        <w:t xml:space="preserve">EL RECURRENTE </w:t>
      </w:r>
      <w:r w:rsidRPr="00365BE2">
        <w:rPr>
          <w:rFonts w:ascii="Palatino Linotype" w:eastAsia="Palatino Linotype" w:hAnsi="Palatino Linotype" w:cs="Palatino Linotype"/>
          <w:color w:val="000000"/>
          <w:sz w:val="22"/>
          <w:szCs w:val="22"/>
        </w:rPr>
        <w:t>al momento de interponer su inconformidad.</w:t>
      </w:r>
    </w:p>
    <w:p w14:paraId="37EF8EF2" w14:textId="77777777" w:rsidR="00477D80" w:rsidRPr="00365BE2" w:rsidRDefault="00477D80" w:rsidP="00477D80">
      <w:pPr>
        <w:pBdr>
          <w:top w:val="nil"/>
          <w:left w:val="nil"/>
          <w:bottom w:val="nil"/>
          <w:right w:val="nil"/>
          <w:between w:val="nil"/>
        </w:pBdr>
        <w:spacing w:line="360" w:lineRule="auto"/>
        <w:ind w:left="-566" w:right="-1417"/>
        <w:jc w:val="both"/>
        <w:rPr>
          <w:rFonts w:ascii="Palatino Linotype" w:eastAsia="Palatino Linotype" w:hAnsi="Palatino Linotype" w:cs="Palatino Linotype"/>
          <w:color w:val="000000"/>
          <w:sz w:val="22"/>
          <w:szCs w:val="22"/>
        </w:rPr>
      </w:pPr>
    </w:p>
    <w:p w14:paraId="37EF8EF3"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De modo tal que el presente recurso de revisión se </w:t>
      </w:r>
      <w:r w:rsidRPr="00365BE2">
        <w:rPr>
          <w:rFonts w:ascii="Palatino Linotype" w:eastAsia="Palatino Linotype" w:hAnsi="Palatino Linotype" w:cs="Palatino Linotype"/>
          <w:sz w:val="22"/>
          <w:szCs w:val="22"/>
        </w:rPr>
        <w:t xml:space="preserve">abocara </w:t>
      </w:r>
      <w:r w:rsidRPr="00365BE2">
        <w:rPr>
          <w:rFonts w:ascii="Palatino Linotype" w:eastAsia="Palatino Linotype" w:hAnsi="Palatino Linotype" w:cs="Palatino Linotype"/>
          <w:color w:val="000000"/>
          <w:sz w:val="22"/>
          <w:szCs w:val="22"/>
        </w:rPr>
        <w:t xml:space="preserve">en determinar si el </w:t>
      </w:r>
      <w:r w:rsidRPr="00365BE2">
        <w:rPr>
          <w:rFonts w:ascii="Palatino Linotype" w:eastAsia="Palatino Linotype" w:hAnsi="Palatino Linotype" w:cs="Palatino Linotype"/>
          <w:b/>
          <w:color w:val="000000"/>
          <w:sz w:val="22"/>
          <w:szCs w:val="22"/>
        </w:rPr>
        <w:t>SUJETO OBLIGADO</w:t>
      </w:r>
      <w:r w:rsidRPr="00365BE2">
        <w:rPr>
          <w:rFonts w:ascii="Palatino Linotype" w:eastAsia="Palatino Linotype" w:hAnsi="Palatino Linotype" w:cs="Palatino Linotype"/>
          <w:color w:val="000000"/>
          <w:sz w:val="22"/>
          <w:szCs w:val="22"/>
        </w:rPr>
        <w:t xml:space="preserve"> con su respuesta ciertamente actualiza la causal de procedencia</w:t>
      </w:r>
      <w:r w:rsidRPr="00365BE2">
        <w:rPr>
          <w:rFonts w:ascii="Palatino Linotype" w:eastAsia="Palatino Linotype" w:hAnsi="Palatino Linotype" w:cs="Palatino Linotype"/>
          <w:b/>
          <w:color w:val="000000"/>
          <w:sz w:val="22"/>
          <w:szCs w:val="22"/>
        </w:rPr>
        <w:t xml:space="preserve"> </w:t>
      </w:r>
      <w:r w:rsidRPr="00365BE2">
        <w:rPr>
          <w:rFonts w:ascii="Palatino Linotype" w:eastAsia="Palatino Linotype" w:hAnsi="Palatino Linotype" w:cs="Palatino Linotype"/>
          <w:color w:val="000000"/>
          <w:sz w:val="22"/>
          <w:szCs w:val="22"/>
        </w:rPr>
        <w:t xml:space="preserve">antes señalada; asimismo, determinar si se vulnera el derecho de acceso a la información del particular por la inobservancia a los principios contenidos en el artículo 11 de la Ley de Transparencia y Acceso a la Información Pública del Estado de </w:t>
      </w:r>
      <w:r w:rsidRPr="00365BE2">
        <w:rPr>
          <w:rFonts w:ascii="Palatino Linotype" w:eastAsia="Palatino Linotype" w:hAnsi="Palatino Linotype" w:cs="Palatino Linotype"/>
          <w:color w:val="000000"/>
          <w:sz w:val="22"/>
          <w:szCs w:val="22"/>
        </w:rPr>
        <w:lastRenderedPageBreak/>
        <w:t>México y Municipios, los cuales señala entre otros, que en la generación y entrega de información se deberá garantizar que sea oportuna, expedita, completa e integral.</w:t>
      </w:r>
    </w:p>
    <w:p w14:paraId="37EF8EF4" w14:textId="77777777" w:rsidR="00477D80" w:rsidRPr="00365BE2" w:rsidRDefault="00477D80" w:rsidP="00477D80">
      <w:pPr>
        <w:pBdr>
          <w:top w:val="nil"/>
          <w:left w:val="nil"/>
          <w:bottom w:val="nil"/>
          <w:right w:val="nil"/>
          <w:between w:val="nil"/>
        </w:pBdr>
        <w:spacing w:line="360" w:lineRule="auto"/>
        <w:ind w:left="-566" w:right="-1417"/>
        <w:rPr>
          <w:rFonts w:ascii="Palatino Linotype" w:eastAsia="Palatino Linotype" w:hAnsi="Palatino Linotype" w:cs="Palatino Linotype"/>
          <w:color w:val="000000"/>
          <w:sz w:val="22"/>
          <w:szCs w:val="22"/>
        </w:rPr>
      </w:pPr>
    </w:p>
    <w:p w14:paraId="37EF8EF5" w14:textId="77777777" w:rsidR="00477D80" w:rsidRPr="00365BE2" w:rsidRDefault="00477D80" w:rsidP="00477D80">
      <w:pPr>
        <w:keepNext/>
        <w:keepLines/>
        <w:spacing w:line="360" w:lineRule="auto"/>
        <w:ind w:left="-566" w:right="-1417"/>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CUARTO. Del estudio y resolución del estudio.</w:t>
      </w:r>
    </w:p>
    <w:p w14:paraId="37EF8EF6" w14:textId="77777777" w:rsidR="00477D80" w:rsidRPr="00365BE2" w:rsidRDefault="00477D80" w:rsidP="00477D80">
      <w:pPr>
        <w:keepNext/>
        <w:keepLines/>
        <w:numPr>
          <w:ilvl w:val="0"/>
          <w:numId w:val="13"/>
        </w:numPr>
        <w:spacing w:after="240" w:line="360" w:lineRule="auto"/>
        <w:ind w:left="-566" w:right="-1417" w:firstLine="0"/>
        <w:rPr>
          <w:rFonts w:ascii="Palatino Linotype" w:eastAsia="Palatino Linotype" w:hAnsi="Palatino Linotype" w:cs="Palatino Linotype"/>
          <w:b/>
          <w:color w:val="000000"/>
          <w:sz w:val="22"/>
          <w:szCs w:val="22"/>
        </w:rPr>
      </w:pPr>
      <w:bookmarkStart w:id="9" w:name="_heading=h.17dp8vu" w:colFirst="0" w:colLast="0"/>
      <w:bookmarkEnd w:id="9"/>
      <w:r w:rsidRPr="00365BE2">
        <w:rPr>
          <w:rFonts w:ascii="Palatino Linotype" w:eastAsia="Palatino Linotype" w:hAnsi="Palatino Linotype" w:cs="Palatino Linotype"/>
          <w:b/>
          <w:color w:val="000000"/>
          <w:sz w:val="22"/>
          <w:szCs w:val="22"/>
        </w:rPr>
        <w:t>Del derecho de acceso a la información.</w:t>
      </w:r>
    </w:p>
    <w:p w14:paraId="37EF8EF7" w14:textId="77777777" w:rsidR="00477D80" w:rsidRPr="00365BE2" w:rsidRDefault="00477D80" w:rsidP="00477D80">
      <w:pPr>
        <w:numPr>
          <w:ilvl w:val="0"/>
          <w:numId w:val="12"/>
        </w:numPr>
        <w:pBdr>
          <w:top w:val="nil"/>
          <w:left w:val="nil"/>
          <w:bottom w:val="nil"/>
          <w:right w:val="nil"/>
          <w:between w:val="nil"/>
        </w:pBd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w:t>
      </w:r>
    </w:p>
    <w:p w14:paraId="37EF8EF8" w14:textId="77777777" w:rsidR="00477D80" w:rsidRPr="00365BE2" w:rsidRDefault="00477D80" w:rsidP="00477D80">
      <w:pPr>
        <w:numPr>
          <w:ilvl w:val="0"/>
          <w:numId w:val="12"/>
        </w:numPr>
        <w:spacing w:before="240"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Definiendo el Derecho de Acceso a la Información Pública como: </w:t>
      </w:r>
      <w:r w:rsidRPr="00365BE2">
        <w:rPr>
          <w:rFonts w:ascii="Palatino Linotype" w:eastAsia="Palatino Linotype" w:hAnsi="Palatino Linotype" w:cs="Palatino Linotype"/>
          <w:i/>
          <w:color w:val="000000"/>
          <w:sz w:val="22"/>
          <w:szCs w:val="22"/>
        </w:rPr>
        <w:t>La igualdad de oportunidades para recibir, buscar e impartir información</w:t>
      </w:r>
      <w:r w:rsidRPr="00365BE2">
        <w:rPr>
          <w:rFonts w:ascii="Palatino Linotype" w:eastAsia="Palatino Linotype" w:hAnsi="Palatino Linotype" w:cs="Palatino Linotype"/>
          <w:i/>
          <w:sz w:val="22"/>
          <w:szCs w:val="22"/>
          <w:vertAlign w:val="superscript"/>
        </w:rPr>
        <w:footnoteReference w:id="1"/>
      </w:r>
      <w:r w:rsidRPr="00365BE2">
        <w:rPr>
          <w:rFonts w:ascii="Palatino Linotype" w:eastAsia="Palatino Linotype" w:hAnsi="Palatino Linotype" w:cs="Palatino Linotype"/>
          <w:i/>
          <w:color w:val="000000"/>
          <w:sz w:val="22"/>
          <w:szCs w:val="22"/>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365BE2">
        <w:rPr>
          <w:rFonts w:ascii="Palatino Linotype" w:eastAsia="Palatino Linotype" w:hAnsi="Palatino Linotype" w:cs="Palatino Linotype"/>
          <w:i/>
          <w:sz w:val="22"/>
          <w:szCs w:val="22"/>
          <w:vertAlign w:val="superscript"/>
        </w:rPr>
        <w:footnoteReference w:id="2"/>
      </w:r>
      <w:r w:rsidRPr="00365BE2">
        <w:rPr>
          <w:rFonts w:ascii="Palatino Linotype" w:eastAsia="Palatino Linotype" w:hAnsi="Palatino Linotype" w:cs="Palatino Linotype"/>
          <w:color w:val="000000"/>
          <w:sz w:val="22"/>
          <w:szCs w:val="22"/>
        </w:rPr>
        <w:t>que se constituye como una herramienta fundamental para ejercer</w:t>
      </w:r>
      <w:r w:rsidRPr="00365BE2">
        <w:rPr>
          <w:rFonts w:ascii="Palatino Linotype" w:eastAsia="Palatino Linotype" w:hAnsi="Palatino Linotype" w:cs="Palatino Linotype"/>
          <w:i/>
          <w:color w:val="000000"/>
          <w:sz w:val="22"/>
          <w:szCs w:val="22"/>
        </w:rPr>
        <w:t xml:space="preserve"> el control democrático de las gestiones estatales, de forma tal que puedan cuestionar, indagar y considerar si se está dando un adecuado cumplimiento a las funciones públicas,</w:t>
      </w:r>
      <w:r w:rsidRPr="00365BE2">
        <w:rPr>
          <w:rFonts w:ascii="Palatino Linotype" w:eastAsia="Palatino Linotype" w:hAnsi="Palatino Linotype" w:cs="Palatino Linotype"/>
          <w:i/>
          <w:sz w:val="22"/>
          <w:szCs w:val="22"/>
          <w:vertAlign w:val="superscript"/>
        </w:rPr>
        <w:footnoteReference w:id="3"/>
      </w:r>
      <w:r w:rsidRPr="00365BE2">
        <w:rPr>
          <w:rFonts w:ascii="Palatino Linotype" w:eastAsia="Palatino Linotype" w:hAnsi="Palatino Linotype" w:cs="Palatino Linotype"/>
          <w:color w:val="000000"/>
          <w:sz w:val="22"/>
          <w:szCs w:val="22"/>
        </w:rPr>
        <w:t>fomentando</w:t>
      </w:r>
      <w:r w:rsidRPr="00365BE2">
        <w:rPr>
          <w:rFonts w:ascii="Palatino Linotype" w:eastAsia="Palatino Linotype" w:hAnsi="Palatino Linotype" w:cs="Palatino Linotype"/>
          <w:i/>
          <w:color w:val="000000"/>
          <w:sz w:val="22"/>
          <w:szCs w:val="22"/>
        </w:rPr>
        <w:t xml:space="preserve"> la transparencia de las actividades estatales y </w:t>
      </w:r>
      <w:r w:rsidRPr="00365BE2">
        <w:rPr>
          <w:rFonts w:ascii="Palatino Linotype" w:eastAsia="Palatino Linotype" w:hAnsi="Palatino Linotype" w:cs="Palatino Linotype"/>
          <w:color w:val="000000"/>
          <w:sz w:val="22"/>
          <w:szCs w:val="22"/>
        </w:rPr>
        <w:t>promoviendo</w:t>
      </w:r>
      <w:r w:rsidRPr="00365BE2">
        <w:rPr>
          <w:rFonts w:ascii="Palatino Linotype" w:eastAsia="Palatino Linotype" w:hAnsi="Palatino Linotype" w:cs="Palatino Linotype"/>
          <w:i/>
          <w:color w:val="000000"/>
          <w:sz w:val="22"/>
          <w:szCs w:val="22"/>
        </w:rPr>
        <w:t xml:space="preserve"> la responsabilidad de los funcionarios sobre su gestión pública,</w:t>
      </w:r>
      <w:r w:rsidRPr="00365BE2">
        <w:rPr>
          <w:rFonts w:ascii="Palatino Linotype" w:eastAsia="Palatino Linotype" w:hAnsi="Palatino Linotype" w:cs="Palatino Linotype"/>
          <w:i/>
          <w:sz w:val="22"/>
          <w:szCs w:val="22"/>
          <w:vertAlign w:val="superscript"/>
        </w:rPr>
        <w:footnoteReference w:id="4"/>
      </w:r>
      <w:r w:rsidRPr="00365BE2">
        <w:rPr>
          <w:rFonts w:ascii="Palatino Linotype" w:eastAsia="Palatino Linotype" w:hAnsi="Palatino Linotype" w:cs="Palatino Linotype"/>
          <w:color w:val="000000"/>
          <w:sz w:val="22"/>
          <w:szCs w:val="22"/>
        </w:rPr>
        <w:t>que permite</w:t>
      </w:r>
      <w:r w:rsidRPr="00365BE2">
        <w:rPr>
          <w:rFonts w:ascii="Palatino Linotype" w:eastAsia="Palatino Linotype" w:hAnsi="Palatino Linotype" w:cs="Palatino Linotype"/>
          <w:i/>
          <w:color w:val="000000"/>
          <w:sz w:val="22"/>
          <w:szCs w:val="22"/>
        </w:rPr>
        <w:t xml:space="preserve"> saber qué están haciendo los gobiernos por sus pueblos, sin lo cual la verdad languidecería y la participación en el gobierno permanecería fragmentada.</w:t>
      </w:r>
    </w:p>
    <w:p w14:paraId="37EF8EF9"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8EFA" w14:textId="77777777" w:rsidR="00477D80" w:rsidRPr="00365BE2" w:rsidRDefault="00477D80"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lastRenderedPageBreak/>
        <w:t>En México, además de los derechos, están reconocidas las garantías para su protección, en ese sentido el párrafo tercero de artículo primero de la Constitución Política de los Estados Unidos Mexicanos dispone lo siguiente:</w:t>
      </w:r>
    </w:p>
    <w:p w14:paraId="37EF8EFB" w14:textId="77777777" w:rsidR="00477D80" w:rsidRPr="00365BE2" w:rsidRDefault="00477D80" w:rsidP="007A37F1">
      <w:pPr>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w:t>
      </w:r>
      <w:r w:rsidRPr="00365BE2">
        <w:rPr>
          <w:rFonts w:ascii="Palatino Linotype" w:eastAsia="Palatino Linotype" w:hAnsi="Palatino Linotype" w:cs="Palatino Linotype"/>
          <w:b/>
          <w:i/>
          <w:sz w:val="22"/>
          <w:szCs w:val="22"/>
        </w:rPr>
        <w:t>Artículo 1.-</w:t>
      </w:r>
      <w:r w:rsidRPr="00365BE2">
        <w:rPr>
          <w:rFonts w:ascii="Palatino Linotype" w:eastAsia="Palatino Linotype" w:hAnsi="Palatino Linotype" w:cs="Palatino Linotype"/>
          <w:i/>
          <w:sz w:val="22"/>
          <w:szCs w:val="22"/>
        </w:rPr>
        <w:t xml:space="preserve"> </w:t>
      </w:r>
    </w:p>
    <w:p w14:paraId="37EF8EFC" w14:textId="77777777" w:rsidR="00477D80" w:rsidRPr="00365BE2" w:rsidRDefault="00477D80" w:rsidP="007A37F1">
      <w:pPr>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w:t>
      </w:r>
    </w:p>
    <w:p w14:paraId="37EF8EFD" w14:textId="77777777" w:rsidR="00477D80" w:rsidRPr="00365BE2" w:rsidRDefault="00477D80" w:rsidP="007A37F1">
      <w:pPr>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Todas las</w:t>
      </w:r>
      <w:r w:rsidRPr="00365BE2">
        <w:rPr>
          <w:rFonts w:ascii="Palatino Linotype" w:eastAsia="Palatino Linotype" w:hAnsi="Palatino Linotype" w:cs="Palatino Linotype"/>
          <w:sz w:val="22"/>
          <w:szCs w:val="22"/>
        </w:rPr>
        <w:t xml:space="preserve"> </w:t>
      </w:r>
      <w:r w:rsidRPr="00365BE2">
        <w:rPr>
          <w:rFonts w:ascii="Palatino Linotype" w:eastAsia="Palatino Linotype" w:hAnsi="Palatino Linotype" w:cs="Palatino Linotype"/>
          <w:i/>
          <w:sz w:val="22"/>
          <w:szCs w:val="22"/>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37EF8EFE" w14:textId="77777777" w:rsidR="00477D80" w:rsidRPr="00365BE2" w:rsidRDefault="00477D80" w:rsidP="007A37F1">
      <w:pPr>
        <w:ind w:left="1134" w:right="277"/>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i/>
          <w:sz w:val="22"/>
          <w:szCs w:val="22"/>
        </w:rPr>
        <w:t>(…)</w:t>
      </w:r>
      <w:r w:rsidRPr="00365BE2">
        <w:rPr>
          <w:rFonts w:ascii="Palatino Linotype" w:eastAsia="Palatino Linotype" w:hAnsi="Palatino Linotype" w:cs="Palatino Linotype"/>
          <w:sz w:val="22"/>
          <w:szCs w:val="22"/>
        </w:rPr>
        <w:t>”.</w:t>
      </w:r>
    </w:p>
    <w:p w14:paraId="37EF8EFF" w14:textId="77777777" w:rsidR="00477D80" w:rsidRPr="00365BE2" w:rsidRDefault="00477D80" w:rsidP="00477D80">
      <w:pPr>
        <w:ind w:left="-566" w:right="-1417"/>
        <w:jc w:val="both"/>
        <w:rPr>
          <w:rFonts w:ascii="Palatino Linotype" w:eastAsia="Palatino Linotype" w:hAnsi="Palatino Linotype" w:cs="Palatino Linotype"/>
          <w:b/>
          <w:sz w:val="22"/>
          <w:szCs w:val="22"/>
        </w:rPr>
      </w:pPr>
    </w:p>
    <w:p w14:paraId="37EF8F00" w14:textId="77777777" w:rsidR="00477D80" w:rsidRPr="00365BE2" w:rsidRDefault="00477D80"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14:paraId="37EF8F01"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8F02" w14:textId="77777777" w:rsidR="00477D80" w:rsidRPr="00365BE2" w:rsidRDefault="00477D80"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Así, 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14:paraId="37EF8F03" w14:textId="77777777" w:rsidR="00477D80" w:rsidRPr="00365BE2" w:rsidRDefault="00477D80" w:rsidP="007A37F1">
      <w:pPr>
        <w:spacing w:after="240"/>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Constitución Política de los Estados Unidos Mexicanos</w:t>
      </w:r>
    </w:p>
    <w:p w14:paraId="37EF8F04" w14:textId="77777777" w:rsidR="00477D80" w:rsidRPr="00365BE2" w:rsidRDefault="00477D80" w:rsidP="007A37F1">
      <w:pPr>
        <w:spacing w:before="240" w:after="240"/>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“Artículo 6.</w:t>
      </w:r>
    </w:p>
    <w:p w14:paraId="37EF8F05"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w:t>
      </w:r>
    </w:p>
    <w:p w14:paraId="37EF8F06"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Para efectos de lo dispuesto en el presente artículo se observará lo siguiente:</w:t>
      </w:r>
    </w:p>
    <w:p w14:paraId="37EF8F07" w14:textId="77777777" w:rsidR="00477D80" w:rsidRPr="00365BE2" w:rsidRDefault="00477D80" w:rsidP="007A37F1">
      <w:pPr>
        <w:spacing w:before="240" w:after="240"/>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A</w:t>
      </w:r>
      <w:r w:rsidRPr="00365BE2">
        <w:rPr>
          <w:rFonts w:ascii="Palatino Linotype" w:eastAsia="Palatino Linotype" w:hAnsi="Palatino Linotype" w:cs="Palatino Linotype"/>
          <w:i/>
          <w:sz w:val="22"/>
          <w:szCs w:val="22"/>
        </w:rPr>
        <w:t xml:space="preserve">. </w:t>
      </w:r>
      <w:r w:rsidRPr="00365BE2">
        <w:rPr>
          <w:rFonts w:ascii="Palatino Linotype" w:eastAsia="Palatino Linotype" w:hAnsi="Palatino Linotype" w:cs="Palatino Linotype"/>
          <w:b/>
          <w:i/>
          <w:sz w:val="22"/>
          <w:szCs w:val="22"/>
        </w:rPr>
        <w:t>Para el ejercicio del derecho de acceso a la información</w:t>
      </w:r>
      <w:r w:rsidRPr="00365BE2">
        <w:rPr>
          <w:rFonts w:ascii="Palatino Linotype" w:eastAsia="Palatino Linotype" w:hAnsi="Palatino Linotype" w:cs="Palatino Linotype"/>
          <w:i/>
          <w:sz w:val="22"/>
          <w:szCs w:val="22"/>
        </w:rPr>
        <w:t xml:space="preserve">, la Federación y </w:t>
      </w:r>
      <w:r w:rsidRPr="00365BE2">
        <w:rPr>
          <w:rFonts w:ascii="Palatino Linotype" w:eastAsia="Palatino Linotype" w:hAnsi="Palatino Linotype" w:cs="Palatino Linotype"/>
          <w:b/>
          <w:i/>
          <w:sz w:val="22"/>
          <w:szCs w:val="22"/>
        </w:rPr>
        <w:t>las entidades federativas, en el ámbito de sus respectivas competencias, se regirán por los siguientes principios y bases:</w:t>
      </w:r>
    </w:p>
    <w:p w14:paraId="37EF8F08"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lastRenderedPageBreak/>
        <w:t xml:space="preserve">I. </w:t>
      </w:r>
      <w:r w:rsidRPr="00365BE2">
        <w:rPr>
          <w:rFonts w:ascii="Palatino Linotype" w:eastAsia="Palatino Linotype" w:hAnsi="Palatino Linotype" w:cs="Palatino Linotype"/>
          <w:b/>
          <w:i/>
          <w:sz w:val="22"/>
          <w:szCs w:val="22"/>
        </w:rPr>
        <w:tab/>
        <w:t>Toda la información en posesión de cualquier</w:t>
      </w:r>
      <w:r w:rsidRPr="00365BE2">
        <w:rPr>
          <w:rFonts w:ascii="Palatino Linotype" w:eastAsia="Palatino Linotype" w:hAnsi="Palatino Linotype" w:cs="Palatino Linotype"/>
          <w:i/>
          <w:sz w:val="22"/>
          <w:szCs w:val="22"/>
        </w:rPr>
        <w:t xml:space="preserve"> </w:t>
      </w:r>
      <w:r w:rsidRPr="00365BE2">
        <w:rPr>
          <w:rFonts w:ascii="Palatino Linotype" w:eastAsia="Palatino Linotype" w:hAnsi="Palatino Linotype" w:cs="Palatino Linotype"/>
          <w:b/>
          <w:i/>
          <w:sz w:val="22"/>
          <w:szCs w:val="22"/>
        </w:rPr>
        <w:t>autoridad</w:t>
      </w:r>
      <w:r w:rsidRPr="00365BE2">
        <w:rPr>
          <w:rFonts w:ascii="Palatino Linotype" w:eastAsia="Palatino Linotype" w:hAnsi="Palatino Linotype" w:cs="Palatino Linotype"/>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365BE2">
        <w:rPr>
          <w:rFonts w:ascii="Palatino Linotype" w:eastAsia="Palatino Linotype" w:hAnsi="Palatino Linotype" w:cs="Palatino Linotype"/>
          <w:b/>
          <w:i/>
          <w:sz w:val="22"/>
          <w:szCs w:val="22"/>
        </w:rPr>
        <w:t>municipal</w:t>
      </w:r>
      <w:r w:rsidRPr="00365BE2">
        <w:rPr>
          <w:rFonts w:ascii="Palatino Linotype" w:eastAsia="Palatino Linotype" w:hAnsi="Palatino Linotype" w:cs="Palatino Linotype"/>
          <w:i/>
          <w:sz w:val="22"/>
          <w:szCs w:val="22"/>
        </w:rPr>
        <w:t xml:space="preserve">, </w:t>
      </w:r>
      <w:r w:rsidRPr="00365BE2">
        <w:rPr>
          <w:rFonts w:ascii="Palatino Linotype" w:eastAsia="Palatino Linotype" w:hAnsi="Palatino Linotype" w:cs="Palatino Linotype"/>
          <w:b/>
          <w:i/>
          <w:sz w:val="22"/>
          <w:szCs w:val="22"/>
        </w:rPr>
        <w:t>es pública</w:t>
      </w:r>
      <w:r w:rsidRPr="00365BE2">
        <w:rPr>
          <w:rFonts w:ascii="Palatino Linotype" w:eastAsia="Palatino Linotype" w:hAnsi="Palatino Linotype" w:cs="Palatino Linotype"/>
          <w:i/>
          <w:sz w:val="22"/>
          <w:szCs w:val="22"/>
        </w:rPr>
        <w:t xml:space="preserve"> y sólo podrá ser reservada temporalmente por razones de interés público y seguridad nacional, en los términos que fijen las leyes. </w:t>
      </w:r>
      <w:r w:rsidRPr="00365BE2">
        <w:rPr>
          <w:rFonts w:ascii="Palatino Linotype" w:eastAsia="Palatino Linotype" w:hAnsi="Palatino Linotype" w:cs="Palatino Linotype"/>
          <w:b/>
          <w:i/>
          <w:sz w:val="22"/>
          <w:szCs w:val="22"/>
        </w:rPr>
        <w:t>En la interpretación de este derecho deberá prevalecer el principio de máxima publicidad. Los sujetos obligados deberán documentar todo acto que derive del ejercicio de sus facultades, competencias o funciones</w:t>
      </w:r>
      <w:r w:rsidRPr="00365BE2">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7EF8F09" w14:textId="77777777" w:rsidR="00477D80" w:rsidRPr="00365BE2" w:rsidRDefault="00477D80" w:rsidP="007A37F1">
      <w:pPr>
        <w:pBdr>
          <w:top w:val="nil"/>
          <w:left w:val="nil"/>
          <w:bottom w:val="nil"/>
          <w:right w:val="nil"/>
          <w:between w:val="nil"/>
        </w:pBdr>
        <w:tabs>
          <w:tab w:val="left" w:pos="567"/>
        </w:tabs>
        <w:spacing w:before="240" w:after="240"/>
        <w:ind w:left="1134" w:right="277"/>
        <w:jc w:val="both"/>
        <w:rPr>
          <w:rFonts w:ascii="Palatino Linotype" w:eastAsia="Palatino Linotype" w:hAnsi="Palatino Linotype" w:cs="Palatino Linotype"/>
          <w:b/>
          <w:i/>
          <w:color w:val="000000"/>
          <w:sz w:val="22"/>
          <w:szCs w:val="22"/>
        </w:rPr>
      </w:pPr>
    </w:p>
    <w:p w14:paraId="37EF8F0A" w14:textId="77777777" w:rsidR="00477D80" w:rsidRPr="00365BE2" w:rsidRDefault="00477D80" w:rsidP="007A37F1">
      <w:pPr>
        <w:spacing w:before="240" w:after="240"/>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Constitución Política del Estado Libre y Soberano de México</w:t>
      </w:r>
    </w:p>
    <w:p w14:paraId="37EF8F0B"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“Artículo 5</w:t>
      </w:r>
      <w:r w:rsidRPr="00365BE2">
        <w:rPr>
          <w:rFonts w:ascii="Palatino Linotype" w:eastAsia="Palatino Linotype" w:hAnsi="Palatino Linotype" w:cs="Palatino Linotype"/>
          <w:i/>
          <w:sz w:val="22"/>
          <w:szCs w:val="22"/>
        </w:rPr>
        <w:t xml:space="preserve">.- </w:t>
      </w:r>
    </w:p>
    <w:p w14:paraId="37EF8F0C"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w:t>
      </w:r>
    </w:p>
    <w:p w14:paraId="37EF8F0D"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El derecho a la información será garantizado por el Estado. La ley establecerá las previsiones que permitan asegurar la protección, el respeto y la difusión de este derecho</w:t>
      </w:r>
      <w:r w:rsidRPr="00365BE2">
        <w:rPr>
          <w:rFonts w:ascii="Palatino Linotype" w:eastAsia="Palatino Linotype" w:hAnsi="Palatino Linotype" w:cs="Palatino Linotype"/>
          <w:i/>
          <w:sz w:val="22"/>
          <w:szCs w:val="22"/>
        </w:rPr>
        <w:t>.</w:t>
      </w:r>
    </w:p>
    <w:p w14:paraId="37EF8F0E"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37EF8F0F"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Este derecho se regirá por los principios y bases siguientes</w:t>
      </w:r>
      <w:r w:rsidRPr="00365BE2">
        <w:rPr>
          <w:rFonts w:ascii="Palatino Linotype" w:eastAsia="Palatino Linotype" w:hAnsi="Palatino Linotype" w:cs="Palatino Linotype"/>
          <w:i/>
          <w:sz w:val="22"/>
          <w:szCs w:val="22"/>
        </w:rPr>
        <w:t>:</w:t>
      </w:r>
    </w:p>
    <w:p w14:paraId="37EF8F10" w14:textId="77777777" w:rsidR="00477D80" w:rsidRPr="00365BE2" w:rsidRDefault="00477D80" w:rsidP="007A37F1">
      <w:pPr>
        <w:spacing w:before="240" w:after="240"/>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I. Toda la información en posesión de cualquier autoridad, entidad, órgano y organismos de los</w:t>
      </w:r>
      <w:r w:rsidRPr="00365BE2">
        <w:rPr>
          <w:rFonts w:ascii="Palatino Linotype" w:eastAsia="Palatino Linotype" w:hAnsi="Palatino Linotype" w:cs="Palatino Linotype"/>
          <w:i/>
          <w:sz w:val="22"/>
          <w:szCs w:val="22"/>
        </w:rPr>
        <w:t xml:space="preserve"> Poderes Ejecutivo, Legislativo y Judicial, órganos autónomos, partidos políticos, fideicomisos y fondos públicos estatales y </w:t>
      </w:r>
      <w:r w:rsidRPr="00365BE2">
        <w:rPr>
          <w:rFonts w:ascii="Palatino Linotype" w:eastAsia="Palatino Linotype" w:hAnsi="Palatino Linotype" w:cs="Palatino Linotype"/>
          <w:b/>
          <w:i/>
          <w:sz w:val="22"/>
          <w:szCs w:val="22"/>
        </w:rPr>
        <w:t>municipales</w:t>
      </w:r>
      <w:r w:rsidRPr="00365BE2">
        <w:rPr>
          <w:rFonts w:ascii="Palatino Linotype" w:eastAsia="Palatino Linotype" w:hAnsi="Palatino Linotype" w:cs="Palatino Linotype"/>
          <w:i/>
          <w:sz w:val="22"/>
          <w:szCs w:val="22"/>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365BE2">
        <w:rPr>
          <w:rFonts w:ascii="Palatino Linotype" w:eastAsia="Palatino Linotype" w:hAnsi="Palatino Linotype" w:cs="Palatino Linotype"/>
          <w:b/>
          <w:i/>
          <w:sz w:val="22"/>
          <w:szCs w:val="22"/>
        </w:rPr>
        <w:t>es pública</w:t>
      </w:r>
      <w:r w:rsidRPr="00365BE2">
        <w:rPr>
          <w:rFonts w:ascii="Palatino Linotype" w:eastAsia="Palatino Linotype" w:hAnsi="Palatino Linotype" w:cs="Palatino Linotype"/>
          <w:i/>
          <w:sz w:val="22"/>
          <w:szCs w:val="22"/>
        </w:rPr>
        <w:t xml:space="preserve"> y sólo </w:t>
      </w:r>
      <w:r w:rsidRPr="00365BE2">
        <w:rPr>
          <w:rFonts w:ascii="Palatino Linotype" w:eastAsia="Palatino Linotype" w:hAnsi="Palatino Linotype" w:cs="Palatino Linotype"/>
          <w:i/>
          <w:sz w:val="22"/>
          <w:szCs w:val="22"/>
        </w:rPr>
        <w:lastRenderedPageBreak/>
        <w:t xml:space="preserve">podrá ser reservada temporalmente por razones previstas en la Constitución Política de los Estados Unidos Mexicanos de interés público y seguridad, en los términos que fijen las leyes. </w:t>
      </w:r>
      <w:r w:rsidRPr="00365BE2">
        <w:rPr>
          <w:rFonts w:ascii="Palatino Linotype" w:eastAsia="Palatino Linotype" w:hAnsi="Palatino Linotype" w:cs="Palatino Linotype"/>
          <w:b/>
          <w:i/>
          <w:sz w:val="22"/>
          <w:szCs w:val="22"/>
        </w:rPr>
        <w:t>En la interpretación de este derecho deberá prevalecer el principio de máxima publicidad</w:t>
      </w:r>
      <w:r w:rsidRPr="00365BE2">
        <w:rPr>
          <w:rFonts w:ascii="Palatino Linotype" w:eastAsia="Palatino Linotype" w:hAnsi="Palatino Linotype" w:cs="Palatino Linotype"/>
          <w:i/>
          <w:sz w:val="22"/>
          <w:szCs w:val="22"/>
        </w:rPr>
        <w:t xml:space="preserve">. </w:t>
      </w:r>
      <w:r w:rsidRPr="00365BE2">
        <w:rPr>
          <w:rFonts w:ascii="Palatino Linotype" w:eastAsia="Palatino Linotype" w:hAnsi="Palatino Linotype" w:cs="Palatino Linotype"/>
          <w:b/>
          <w:i/>
          <w:sz w:val="22"/>
          <w:szCs w:val="22"/>
        </w:rPr>
        <w:t>Los sujetos obligados deberán documentar todo acto que derive del ejercicio de sus facultades, competencias o funciones</w:t>
      </w:r>
      <w:r w:rsidRPr="00365BE2">
        <w:rPr>
          <w:rFonts w:ascii="Palatino Linotype" w:eastAsia="Palatino Linotype" w:hAnsi="Palatino Linotype" w:cs="Palatino Linotype"/>
          <w:i/>
          <w:sz w:val="22"/>
          <w:szCs w:val="22"/>
        </w:rPr>
        <w:t>, la ley determinará los supuestos específicos bajo los cuales procederá la declaración de inexistencia de la información.”</w:t>
      </w:r>
    </w:p>
    <w:p w14:paraId="37EF8F11" w14:textId="77777777" w:rsidR="00477D80" w:rsidRPr="00365BE2" w:rsidRDefault="00477D80" w:rsidP="00477D80">
      <w:pPr>
        <w:tabs>
          <w:tab w:val="left" w:pos="567"/>
        </w:tabs>
        <w:spacing w:before="240" w:after="240"/>
        <w:ind w:left="-566" w:right="-1417"/>
        <w:jc w:val="both"/>
        <w:rPr>
          <w:rFonts w:ascii="Palatino Linotype" w:eastAsia="Palatino Linotype" w:hAnsi="Palatino Linotype" w:cs="Palatino Linotype"/>
          <w:b/>
          <w:i/>
          <w:sz w:val="22"/>
          <w:szCs w:val="22"/>
        </w:rPr>
      </w:pPr>
    </w:p>
    <w:p w14:paraId="37EF8F12" w14:textId="77777777" w:rsidR="00477D80" w:rsidRPr="00365BE2" w:rsidRDefault="00477D80" w:rsidP="00477D80">
      <w:pPr>
        <w:numPr>
          <w:ilvl w:val="0"/>
          <w:numId w:val="12"/>
        </w:numPr>
        <w:spacing w:before="240"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Según el artículo 150 de la Ley de Transparencia del Estado, la solicitud es la garantía primaria del Derecho de Acceso a la Información, además, establece que se regirá </w:t>
      </w:r>
      <w:r w:rsidRPr="00365BE2">
        <w:rPr>
          <w:rFonts w:ascii="Palatino Linotype" w:eastAsia="Palatino Linotype" w:hAnsi="Palatino Linotype" w:cs="Palatino Linotype"/>
          <w:i/>
          <w:sz w:val="22"/>
          <w:szCs w:val="22"/>
        </w:rPr>
        <w:t>por los principios de simplicidad, rapidez gratuidad del procedimiento, auxilio y orientación a los particulares</w:t>
      </w:r>
      <w:r w:rsidRPr="00365BE2">
        <w:rPr>
          <w:rFonts w:ascii="Palatino Linotype" w:eastAsia="Palatino Linotype" w:hAnsi="Palatino Linotype" w:cs="Palatino Linotype"/>
          <w:sz w:val="22"/>
          <w:szCs w:val="22"/>
        </w:rPr>
        <w:t>, contemplando el derecho de las personas con discapacidad y hablantes de lengua indígena.</w:t>
      </w:r>
    </w:p>
    <w:p w14:paraId="37EF8F13"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8F14" w14:textId="77777777" w:rsidR="00477D80" w:rsidRPr="00365BE2" w:rsidRDefault="00477D80"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El Derecho de Acceso a la Información se garantiza y respeta oportunamente, y según lo que dispone la Ley, las </w:t>
      </w:r>
      <w:r w:rsidRPr="00365BE2">
        <w:rPr>
          <w:rFonts w:ascii="Palatino Linotype" w:eastAsia="Palatino Linotype" w:hAnsi="Palatino Linotype" w:cs="Palatino Linotype"/>
          <w:i/>
          <w:sz w:val="22"/>
          <w:szCs w:val="22"/>
        </w:rPr>
        <w:t>solicitudes de acceso a la información</w:t>
      </w:r>
      <w:r w:rsidRPr="00365BE2">
        <w:rPr>
          <w:rFonts w:ascii="Palatino Linotype" w:eastAsia="Palatino Linotype" w:hAnsi="Palatino Linotype" w:cs="Palatino Linotype"/>
          <w:sz w:val="22"/>
          <w:szCs w:val="22"/>
        </w:rPr>
        <w:t>.</w:t>
      </w:r>
    </w:p>
    <w:p w14:paraId="37EF8F15"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8F16" w14:textId="77777777" w:rsidR="00477D80" w:rsidRPr="00365BE2" w:rsidRDefault="00477D80" w:rsidP="00477D80">
      <w:pPr>
        <w:numPr>
          <w:ilvl w:val="0"/>
          <w:numId w:val="12"/>
        </w:numPr>
        <w:spacing w:line="360" w:lineRule="auto"/>
        <w:ind w:left="-566" w:right="-1417" w:firstLine="0"/>
        <w:jc w:val="both"/>
        <w:rPr>
          <w:sz w:val="22"/>
          <w:szCs w:val="22"/>
        </w:rPr>
      </w:pPr>
      <w:bookmarkStart w:id="10" w:name="_heading=h.3rdcrjn" w:colFirst="0" w:colLast="0"/>
      <w:bookmarkEnd w:id="10"/>
      <w:r w:rsidRPr="00365BE2">
        <w:rPr>
          <w:rFonts w:ascii="Palatino Linotype" w:eastAsia="Palatino Linotype" w:hAnsi="Palatino Linotype" w:cs="Palatino Linotype"/>
          <w:sz w:val="22"/>
          <w:szCs w:val="22"/>
        </w:rPr>
        <w:t xml:space="preserve">Así entonces, se procede analizar, en primer lugar, si el </w:t>
      </w:r>
      <w:r w:rsidRPr="00365BE2">
        <w:rPr>
          <w:rFonts w:ascii="Palatino Linotype" w:eastAsia="Palatino Linotype" w:hAnsi="Palatino Linotype" w:cs="Palatino Linotype"/>
          <w:b/>
          <w:sz w:val="22"/>
          <w:szCs w:val="22"/>
        </w:rPr>
        <w:t>SUJETO OBLIGADO</w:t>
      </w:r>
      <w:r w:rsidRPr="00365BE2">
        <w:rPr>
          <w:rFonts w:ascii="Palatino Linotype" w:eastAsia="Palatino Linotype" w:hAnsi="Palatino Linotype" w:cs="Palatino Linotype"/>
          <w:sz w:val="22"/>
          <w:szCs w:val="22"/>
        </w:rPr>
        <w:t xml:space="preserve"> al atender la solicitud de acceso a la información, satisfizo la garantía primaria del derecho según lo dispuesto por el artículo 150 de la Ley de Transparencia y Acceso a la Información Pública del Estado de México y Municipios y en segundo término si cumplió con su deber de respetar y garantizar el derecho, entregando la información solicitada.</w:t>
      </w:r>
    </w:p>
    <w:p w14:paraId="37EF8F17"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8F18" w14:textId="77777777" w:rsidR="00477D80" w:rsidRPr="00365BE2" w:rsidRDefault="00477D80" w:rsidP="00477D80">
      <w:pPr>
        <w:pStyle w:val="Ttulo1"/>
        <w:spacing w:before="0" w:after="240" w:line="360" w:lineRule="auto"/>
        <w:ind w:left="-566" w:right="-1417"/>
        <w:rPr>
          <w:rFonts w:ascii="Palatino Linotype" w:eastAsia="Palatino Linotype" w:hAnsi="Palatino Linotype" w:cs="Palatino Linotype"/>
          <w:b/>
          <w:color w:val="000000"/>
          <w:sz w:val="22"/>
          <w:szCs w:val="22"/>
        </w:rPr>
      </w:pPr>
      <w:bookmarkStart w:id="11" w:name="_heading=h.26in1rg" w:colFirst="0" w:colLast="0"/>
      <w:bookmarkEnd w:id="11"/>
      <w:r w:rsidRPr="00365BE2">
        <w:rPr>
          <w:rFonts w:ascii="Palatino Linotype" w:eastAsia="Palatino Linotype" w:hAnsi="Palatino Linotype" w:cs="Palatino Linotype"/>
          <w:b/>
          <w:color w:val="000000"/>
          <w:sz w:val="22"/>
          <w:szCs w:val="22"/>
        </w:rPr>
        <w:t>II. II. De la información solicitada y la respuesta del SUJETO OBLIGADO</w:t>
      </w:r>
    </w:p>
    <w:p w14:paraId="37EF8F19" w14:textId="77777777" w:rsidR="00477D80" w:rsidRPr="00365BE2" w:rsidRDefault="00477D80"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color w:val="000000"/>
          <w:sz w:val="22"/>
          <w:szCs w:val="22"/>
        </w:rPr>
        <w:t xml:space="preserve">Acotada la </w:t>
      </w:r>
      <w:r w:rsidRPr="00365BE2">
        <w:rPr>
          <w:rFonts w:ascii="Palatino Linotype" w:eastAsia="Palatino Linotype" w:hAnsi="Palatino Linotype" w:cs="Palatino Linotype"/>
          <w:i/>
          <w:color w:val="000000"/>
          <w:sz w:val="22"/>
          <w:szCs w:val="22"/>
        </w:rPr>
        <w:t>Litis</w:t>
      </w:r>
      <w:r w:rsidRPr="00365BE2">
        <w:rPr>
          <w:rFonts w:ascii="Palatino Linotype" w:eastAsia="Palatino Linotype" w:hAnsi="Palatino Linotype" w:cs="Palatino Linotype"/>
          <w:color w:val="000000"/>
          <w:sz w:val="22"/>
          <w:szCs w:val="22"/>
        </w:rPr>
        <w:t xml:space="preserve"> del presente asunto, primeramente es menester precisar que del escrito de inconformidad, se observa que el particular se duele porque no se entrega la información solicitada por parte del </w:t>
      </w:r>
      <w:r w:rsidRPr="00365BE2">
        <w:rPr>
          <w:rFonts w:ascii="Palatino Linotype" w:eastAsia="Palatino Linotype" w:hAnsi="Palatino Linotype" w:cs="Palatino Linotype"/>
          <w:b/>
          <w:color w:val="000000"/>
          <w:sz w:val="22"/>
          <w:szCs w:val="22"/>
        </w:rPr>
        <w:t xml:space="preserve">SUJETO OBLIGADO, </w:t>
      </w:r>
      <w:r w:rsidRPr="00365BE2">
        <w:rPr>
          <w:rFonts w:ascii="Palatino Linotype" w:eastAsia="Palatino Linotype" w:hAnsi="Palatino Linotype" w:cs="Palatino Linotype"/>
          <w:color w:val="000000"/>
          <w:sz w:val="22"/>
          <w:szCs w:val="22"/>
        </w:rPr>
        <w:t>situación que será el motivo de análisis del presente recurso de revisión</w:t>
      </w:r>
    </w:p>
    <w:p w14:paraId="37EF8F1A"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8F1B" w14:textId="77777777" w:rsidR="00B947EA" w:rsidRPr="00365BE2" w:rsidRDefault="00477D80" w:rsidP="00B947EA">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En ese sentido, es importante recordar la información que fue solicitada por el </w:t>
      </w:r>
      <w:r w:rsidRPr="00365BE2">
        <w:rPr>
          <w:rFonts w:ascii="Palatino Linotype" w:eastAsia="Palatino Linotype" w:hAnsi="Palatino Linotype" w:cs="Palatino Linotype"/>
          <w:b/>
          <w:sz w:val="22"/>
          <w:szCs w:val="22"/>
        </w:rPr>
        <w:t xml:space="preserve">RECURRENTE </w:t>
      </w:r>
      <w:r w:rsidR="00B947EA" w:rsidRPr="00365BE2">
        <w:rPr>
          <w:rFonts w:ascii="Palatino Linotype" w:eastAsia="Palatino Linotype" w:hAnsi="Palatino Linotype" w:cs="Palatino Linotype"/>
          <w:sz w:val="22"/>
          <w:szCs w:val="22"/>
        </w:rPr>
        <w:t xml:space="preserve">consiste en lo siguiente y las respuestas proporcionadas por el </w:t>
      </w:r>
      <w:r w:rsidR="00B947EA" w:rsidRPr="00365BE2">
        <w:rPr>
          <w:rFonts w:ascii="Palatino Linotype" w:eastAsia="Palatino Linotype" w:hAnsi="Palatino Linotype" w:cs="Palatino Linotype"/>
          <w:b/>
          <w:sz w:val="22"/>
          <w:szCs w:val="22"/>
        </w:rPr>
        <w:t xml:space="preserve">SUJETO OBLIGADO. </w:t>
      </w:r>
    </w:p>
    <w:p w14:paraId="37EF8F1C" w14:textId="77777777" w:rsidR="007A37F1" w:rsidRPr="00365BE2" w:rsidRDefault="007A37F1" w:rsidP="00EA25B9">
      <w:pPr>
        <w:spacing w:line="360" w:lineRule="auto"/>
        <w:ind w:right="-1417"/>
        <w:jc w:val="both"/>
        <w:rPr>
          <w:sz w:val="22"/>
          <w:szCs w:val="22"/>
        </w:rPr>
      </w:pPr>
    </w:p>
    <w:p w14:paraId="37EF8F1D" w14:textId="77777777" w:rsidR="007A37F1" w:rsidRPr="00365BE2" w:rsidRDefault="007A37F1" w:rsidP="007A37F1">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De la lanzadera de la Ruta 18 del Ramal que corre de Jesús del Monte a la es</w:t>
      </w:r>
      <w:r w:rsidR="00B947EA" w:rsidRPr="00365BE2">
        <w:rPr>
          <w:rFonts w:ascii="Palatino Linotype" w:eastAsia="Palatino Linotype" w:hAnsi="Palatino Linotype" w:cs="Palatino Linotype"/>
          <w:b/>
          <w:i/>
          <w:sz w:val="22"/>
          <w:szCs w:val="22"/>
        </w:rPr>
        <w:t xml:space="preserve">tación del Metro Cuatro Caminos. </w:t>
      </w:r>
    </w:p>
    <w:tbl>
      <w:tblPr>
        <w:tblStyle w:val="Tablaconcuadrcula"/>
        <w:tblW w:w="10207" w:type="dxa"/>
        <w:tblInd w:w="-714" w:type="dxa"/>
        <w:tblLook w:val="04A0" w:firstRow="1" w:lastRow="0" w:firstColumn="1" w:lastColumn="0" w:noHBand="0" w:noVBand="1"/>
      </w:tblPr>
      <w:tblGrid>
        <w:gridCol w:w="2772"/>
        <w:gridCol w:w="3160"/>
        <w:gridCol w:w="2250"/>
        <w:gridCol w:w="2025"/>
      </w:tblGrid>
      <w:tr w:rsidR="00B947EA" w:rsidRPr="00365BE2" w14:paraId="37EF8F22" w14:textId="77777777" w:rsidTr="00B947EA">
        <w:tc>
          <w:tcPr>
            <w:tcW w:w="2836" w:type="dxa"/>
          </w:tcPr>
          <w:p w14:paraId="37EF8F1E"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Información Solicitada</w:t>
            </w:r>
          </w:p>
        </w:tc>
        <w:tc>
          <w:tcPr>
            <w:tcW w:w="3260" w:type="dxa"/>
          </w:tcPr>
          <w:p w14:paraId="37EF8F1F"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Respuesta</w:t>
            </w:r>
          </w:p>
        </w:tc>
        <w:tc>
          <w:tcPr>
            <w:tcW w:w="2268" w:type="dxa"/>
          </w:tcPr>
          <w:p w14:paraId="37EF8F20"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Informe Justificado</w:t>
            </w:r>
          </w:p>
        </w:tc>
        <w:tc>
          <w:tcPr>
            <w:tcW w:w="1843" w:type="dxa"/>
          </w:tcPr>
          <w:p w14:paraId="37EF8F21"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Colma </w:t>
            </w:r>
          </w:p>
        </w:tc>
      </w:tr>
      <w:tr w:rsidR="00B947EA" w:rsidRPr="00365BE2" w14:paraId="37EF8F29" w14:textId="77777777" w:rsidTr="00B947EA">
        <w:tc>
          <w:tcPr>
            <w:tcW w:w="2836" w:type="dxa"/>
          </w:tcPr>
          <w:p w14:paraId="37EF8F23"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1.- Copia de la Autorización de otorgamiento de derrotero </w:t>
            </w:r>
          </w:p>
          <w:p w14:paraId="37EF8F24" w14:textId="77777777" w:rsidR="00B947EA" w:rsidRPr="00365BE2" w:rsidRDefault="00B947EA" w:rsidP="00B947EA">
            <w:pPr>
              <w:ind w:right="277"/>
              <w:jc w:val="both"/>
              <w:rPr>
                <w:rFonts w:ascii="Palatino Linotype" w:eastAsia="Palatino Linotype" w:hAnsi="Palatino Linotype" w:cs="Palatino Linotype"/>
                <w:i/>
                <w:sz w:val="22"/>
                <w:szCs w:val="22"/>
              </w:rPr>
            </w:pPr>
          </w:p>
        </w:tc>
        <w:tc>
          <w:tcPr>
            <w:tcW w:w="3260" w:type="dxa"/>
          </w:tcPr>
          <w:p w14:paraId="37EF8F25" w14:textId="77777777" w:rsidR="00B947EA" w:rsidRPr="00365BE2" w:rsidRDefault="00B947EA" w:rsidP="00B947EA">
            <w:pPr>
              <w:ind w:right="-75"/>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26"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27"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w:t>
            </w:r>
            <w:r w:rsidRPr="00365BE2">
              <w:rPr>
                <w:rFonts w:ascii="Palatino Linotype" w:eastAsia="Palatino Linotype" w:hAnsi="Palatino Linotype" w:cs="Palatino Linotype"/>
                <w:i/>
                <w:sz w:val="22"/>
                <w:szCs w:val="22"/>
              </w:rPr>
              <w:lastRenderedPageBreak/>
              <w:t xml:space="preserve">solicitada, </w:t>
            </w:r>
            <w:r w:rsidR="003E0A4A" w:rsidRPr="00365BE2">
              <w:rPr>
                <w:rFonts w:ascii="Palatino Linotype" w:eastAsia="Palatino Linotype" w:hAnsi="Palatino Linotype" w:cs="Palatino Linotype"/>
                <w:i/>
                <w:sz w:val="22"/>
                <w:szCs w:val="22"/>
              </w:rPr>
              <w:t>así</w:t>
            </w:r>
            <w:r w:rsidRPr="00365BE2">
              <w:rPr>
                <w:rFonts w:ascii="Palatino Linotype" w:eastAsia="Palatino Linotype" w:hAnsi="Palatino Linotype" w:cs="Palatino Linotype"/>
                <w:i/>
                <w:sz w:val="22"/>
                <w:szCs w:val="22"/>
              </w:rPr>
              <w:t xml:space="preserve"> como la ratificación de sus respuestas </w:t>
            </w:r>
            <w:r w:rsidR="003E0A4A" w:rsidRPr="00365BE2">
              <w:rPr>
                <w:rFonts w:ascii="Palatino Linotype" w:eastAsia="Palatino Linotype" w:hAnsi="Palatino Linotype" w:cs="Palatino Linotype"/>
                <w:i/>
                <w:sz w:val="22"/>
                <w:szCs w:val="22"/>
              </w:rPr>
              <w:t>iniciales</w:t>
            </w:r>
            <w:r w:rsidRPr="00365BE2">
              <w:rPr>
                <w:rFonts w:ascii="Palatino Linotype" w:eastAsia="Palatino Linotype" w:hAnsi="Palatino Linotype" w:cs="Palatino Linotype"/>
                <w:i/>
                <w:sz w:val="22"/>
                <w:szCs w:val="22"/>
              </w:rPr>
              <w:t xml:space="preserve"> de la Subsecretaría de Movi</w:t>
            </w:r>
            <w:r w:rsidR="003E0A4A" w:rsidRPr="00365BE2">
              <w:rPr>
                <w:rFonts w:ascii="Palatino Linotype" w:eastAsia="Palatino Linotype" w:hAnsi="Palatino Linotype" w:cs="Palatino Linotype"/>
                <w:i/>
                <w:sz w:val="22"/>
                <w:szCs w:val="22"/>
              </w:rPr>
              <w:t>lidad y del Director del Registro Estatal de Transporte Público</w:t>
            </w:r>
          </w:p>
        </w:tc>
        <w:tc>
          <w:tcPr>
            <w:tcW w:w="1843" w:type="dxa"/>
          </w:tcPr>
          <w:p w14:paraId="37EF8F28" w14:textId="77777777" w:rsidR="00B947EA" w:rsidRPr="00365BE2" w:rsidRDefault="003E0A4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lastRenderedPageBreak/>
              <w:t xml:space="preserve">No Colma, toda vez que de acuerdo con las reglamentaciones y Leyes que se abordaran en párrafos subsecuente las autorizaciones para derroteros son aprobadas por la autoridad que autorizo la Concesión del Servicio Público. </w:t>
            </w:r>
          </w:p>
        </w:tc>
      </w:tr>
      <w:tr w:rsidR="00B947EA" w:rsidRPr="00365BE2" w14:paraId="37EF8F2F" w14:textId="77777777" w:rsidTr="00B947EA">
        <w:tc>
          <w:tcPr>
            <w:tcW w:w="2836" w:type="dxa"/>
          </w:tcPr>
          <w:p w14:paraId="37EF8F2A"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2.- Número de unidades permitidas dentro de la autorización señalada y si cuenta con la posibilidad de aumentar dicho número o si tiene una limitante de unidades registradas y en funcionamiento</w:t>
            </w:r>
          </w:p>
        </w:tc>
        <w:tc>
          <w:tcPr>
            <w:tcW w:w="3260" w:type="dxa"/>
          </w:tcPr>
          <w:p w14:paraId="37EF8F2B"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2C"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2D"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w:t>
            </w:r>
            <w:r w:rsidRPr="00365BE2">
              <w:rPr>
                <w:rFonts w:ascii="Palatino Linotype" w:eastAsia="Palatino Linotype" w:hAnsi="Palatino Linotype" w:cs="Palatino Linotype"/>
                <w:i/>
                <w:sz w:val="22"/>
                <w:szCs w:val="22"/>
              </w:rPr>
              <w:lastRenderedPageBreak/>
              <w:t>la ratificación de sus respuestas iniciales de la Subsecretaría de Movilidad y del Director del Registro Estatal de Transporte Público</w:t>
            </w:r>
          </w:p>
        </w:tc>
        <w:tc>
          <w:tcPr>
            <w:tcW w:w="1843" w:type="dxa"/>
          </w:tcPr>
          <w:p w14:paraId="37EF8F2E" w14:textId="77777777" w:rsidR="00B947EA" w:rsidRPr="00365BE2" w:rsidRDefault="003E0A4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lastRenderedPageBreak/>
              <w:t xml:space="preserve">No colma, toda vez que la Secretaría de Movilidad al autorizar los permisos para derroteros de las concesiones ya autorizadas, es que debe de saber el número de unidades permitidas que hacen paradas en las bases, toda vez que se realizan estudios técnicos previos a las autorizaciones. </w:t>
            </w:r>
          </w:p>
        </w:tc>
      </w:tr>
      <w:tr w:rsidR="00B947EA" w:rsidRPr="00365BE2" w14:paraId="37EF8F35" w14:textId="77777777" w:rsidTr="00B947EA">
        <w:tc>
          <w:tcPr>
            <w:tcW w:w="2836" w:type="dxa"/>
          </w:tcPr>
          <w:p w14:paraId="37EF8F30"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3.- Indique el número de unidades que actualmente se encuentran adscritas y operando en el recorrido</w:t>
            </w:r>
          </w:p>
        </w:tc>
        <w:tc>
          <w:tcPr>
            <w:tcW w:w="3260" w:type="dxa"/>
          </w:tcPr>
          <w:p w14:paraId="37EF8F31"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32"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33"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la ratificación de </w:t>
            </w:r>
            <w:r w:rsidRPr="00365BE2">
              <w:rPr>
                <w:rFonts w:ascii="Palatino Linotype" w:eastAsia="Palatino Linotype" w:hAnsi="Palatino Linotype" w:cs="Palatino Linotype"/>
                <w:i/>
                <w:sz w:val="22"/>
                <w:szCs w:val="22"/>
              </w:rPr>
              <w:lastRenderedPageBreak/>
              <w:t>sus respuestas iniciales de la Subsecretaría de Movilidad y del Director del Registro Estatal de Transporte Público</w:t>
            </w:r>
          </w:p>
        </w:tc>
        <w:tc>
          <w:tcPr>
            <w:tcW w:w="1843" w:type="dxa"/>
          </w:tcPr>
          <w:p w14:paraId="37EF8F34" w14:textId="77777777" w:rsidR="00B947EA" w:rsidRPr="00365BE2" w:rsidRDefault="003E0A4A" w:rsidP="00B947EA">
            <w:pPr>
              <w:ind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i/>
                <w:sz w:val="22"/>
                <w:szCs w:val="22"/>
              </w:rPr>
              <w:lastRenderedPageBreak/>
              <w:t xml:space="preserve">No colma, toda vez que la Secretaría de Movilidad es quien determina si se autoriza o no la concesión del servicio público así como sus permisos conexos como es el caso del permiso de </w:t>
            </w:r>
            <w:r w:rsidRPr="00365BE2">
              <w:rPr>
                <w:rFonts w:ascii="Palatino Linotype" w:eastAsia="Palatino Linotype" w:hAnsi="Palatino Linotype" w:cs="Palatino Linotype"/>
                <w:b/>
                <w:i/>
                <w:sz w:val="22"/>
                <w:szCs w:val="22"/>
              </w:rPr>
              <w:t xml:space="preserve">derrotero. </w:t>
            </w:r>
          </w:p>
        </w:tc>
      </w:tr>
      <w:tr w:rsidR="00B947EA" w:rsidRPr="00365BE2" w14:paraId="37EF8F3B" w14:textId="77777777" w:rsidTr="00B947EA">
        <w:tc>
          <w:tcPr>
            <w:tcW w:w="2836" w:type="dxa"/>
          </w:tcPr>
          <w:p w14:paraId="37EF8F36"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4.- Indique el número de unidades que pueden aparcar o hacer base en las lanzaderas, con el documento que establece el número autorizado o determinado para aparcar o hacer base en las lanzaderas o áreas aledañas.</w:t>
            </w:r>
          </w:p>
        </w:tc>
        <w:tc>
          <w:tcPr>
            <w:tcW w:w="3260" w:type="dxa"/>
          </w:tcPr>
          <w:p w14:paraId="37EF8F37"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38"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39"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la ratificación de sus respuestas </w:t>
            </w:r>
            <w:r w:rsidRPr="00365BE2">
              <w:rPr>
                <w:rFonts w:ascii="Palatino Linotype" w:eastAsia="Palatino Linotype" w:hAnsi="Palatino Linotype" w:cs="Palatino Linotype"/>
                <w:i/>
                <w:sz w:val="22"/>
                <w:szCs w:val="22"/>
              </w:rPr>
              <w:lastRenderedPageBreak/>
              <w:t>iniciales de la Subsecretaría de Movilidad y del Director del Registro Estatal de Transporte Público</w:t>
            </w:r>
          </w:p>
        </w:tc>
        <w:tc>
          <w:tcPr>
            <w:tcW w:w="1843" w:type="dxa"/>
          </w:tcPr>
          <w:p w14:paraId="37EF8F3A" w14:textId="77777777" w:rsidR="00B947EA" w:rsidRPr="00365BE2" w:rsidRDefault="003E0A4A" w:rsidP="00B947EA">
            <w:pPr>
              <w:ind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i/>
                <w:sz w:val="22"/>
                <w:szCs w:val="22"/>
              </w:rPr>
              <w:lastRenderedPageBreak/>
              <w:t xml:space="preserve">Colma, toda vez que la Dirección General de Movilidad Zona II, quien tiene a su cargo la región de Naucalpan que es la que pertenece la ruta referida en la solicitud de información, informo que dicha ruta no tiene el termino de lanzadera en los archivos del </w:t>
            </w:r>
            <w:r w:rsidRPr="00365BE2">
              <w:rPr>
                <w:rFonts w:ascii="Palatino Linotype" w:eastAsia="Palatino Linotype" w:hAnsi="Palatino Linotype" w:cs="Palatino Linotype"/>
                <w:b/>
                <w:i/>
                <w:sz w:val="22"/>
                <w:szCs w:val="22"/>
              </w:rPr>
              <w:t xml:space="preserve">SUJETO OBLIGADO. </w:t>
            </w:r>
          </w:p>
        </w:tc>
      </w:tr>
      <w:tr w:rsidR="00B947EA" w:rsidRPr="00365BE2" w14:paraId="37EF8F41" w14:textId="77777777" w:rsidTr="00B947EA">
        <w:tc>
          <w:tcPr>
            <w:tcW w:w="2836" w:type="dxa"/>
          </w:tcPr>
          <w:p w14:paraId="37EF8F3C"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5.-Señale los lineamientos que regulan el aparcamiento o base de las unidades dentro de las lanzaderas.</w:t>
            </w:r>
          </w:p>
        </w:tc>
        <w:tc>
          <w:tcPr>
            <w:tcW w:w="3260" w:type="dxa"/>
          </w:tcPr>
          <w:p w14:paraId="37EF8F3D"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3E"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3F"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la ratificación de sus respuestas iniciales de la </w:t>
            </w:r>
            <w:r w:rsidRPr="00365BE2">
              <w:rPr>
                <w:rFonts w:ascii="Palatino Linotype" w:eastAsia="Palatino Linotype" w:hAnsi="Palatino Linotype" w:cs="Palatino Linotype"/>
                <w:i/>
                <w:sz w:val="22"/>
                <w:szCs w:val="22"/>
              </w:rPr>
              <w:lastRenderedPageBreak/>
              <w:t>Subsecretaría de Movilidad y del Director del Registro Estatal de Transporte Público</w:t>
            </w:r>
          </w:p>
        </w:tc>
        <w:tc>
          <w:tcPr>
            <w:tcW w:w="1843" w:type="dxa"/>
          </w:tcPr>
          <w:p w14:paraId="37EF8F40" w14:textId="77777777" w:rsidR="00B947EA" w:rsidRPr="00365BE2" w:rsidRDefault="003E0A4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lastRenderedPageBreak/>
              <w:t xml:space="preserve">No colma, toda vez que el </w:t>
            </w:r>
            <w:r w:rsidRPr="00365BE2">
              <w:rPr>
                <w:rFonts w:ascii="Palatino Linotype" w:eastAsia="Palatino Linotype" w:hAnsi="Palatino Linotype" w:cs="Palatino Linotype"/>
                <w:b/>
                <w:i/>
                <w:sz w:val="22"/>
                <w:szCs w:val="22"/>
              </w:rPr>
              <w:t xml:space="preserve">SUJETO OBLIGADO </w:t>
            </w:r>
            <w:r w:rsidRPr="00365BE2">
              <w:rPr>
                <w:rFonts w:ascii="Palatino Linotype" w:eastAsia="Palatino Linotype" w:hAnsi="Palatino Linotype" w:cs="Palatino Linotype"/>
                <w:i/>
                <w:sz w:val="22"/>
                <w:szCs w:val="22"/>
              </w:rPr>
              <w:t xml:space="preserve">no se pronuncia respecto de este punto de la solicitud de información, además se debe de mencionar que del estudio que se realice de demuestra que el </w:t>
            </w:r>
            <w:r w:rsidRPr="00365BE2">
              <w:rPr>
                <w:rFonts w:ascii="Palatino Linotype" w:eastAsia="Palatino Linotype" w:hAnsi="Palatino Linotype" w:cs="Palatino Linotype"/>
                <w:b/>
                <w:i/>
                <w:sz w:val="22"/>
                <w:szCs w:val="22"/>
              </w:rPr>
              <w:t xml:space="preserve">SUJETO OBLIGADO </w:t>
            </w:r>
            <w:r w:rsidRPr="00365BE2">
              <w:rPr>
                <w:rFonts w:ascii="Palatino Linotype" w:eastAsia="Palatino Linotype" w:hAnsi="Palatino Linotype" w:cs="Palatino Linotype"/>
                <w:i/>
                <w:sz w:val="22"/>
                <w:szCs w:val="22"/>
              </w:rPr>
              <w:t xml:space="preserve">si conoce las normativas que regulan los aparcamientos o base de las unidades dentro de las lanzaderas. </w:t>
            </w:r>
          </w:p>
        </w:tc>
      </w:tr>
      <w:tr w:rsidR="00B947EA" w:rsidRPr="00365BE2" w14:paraId="37EF8F47" w14:textId="77777777" w:rsidTr="00B947EA">
        <w:tc>
          <w:tcPr>
            <w:tcW w:w="2836" w:type="dxa"/>
          </w:tcPr>
          <w:p w14:paraId="37EF8F42"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6.- Copia de los estudios técnicos que permitieron o dieron origen a la Autorización de otorgamiento de derrotero</w:t>
            </w:r>
          </w:p>
        </w:tc>
        <w:tc>
          <w:tcPr>
            <w:tcW w:w="3260" w:type="dxa"/>
          </w:tcPr>
          <w:p w14:paraId="37EF8F43"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44"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45"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la ratificación de sus respuestas iniciales de la Subsecretaría de </w:t>
            </w:r>
            <w:r w:rsidRPr="00365BE2">
              <w:rPr>
                <w:rFonts w:ascii="Palatino Linotype" w:eastAsia="Palatino Linotype" w:hAnsi="Palatino Linotype" w:cs="Palatino Linotype"/>
                <w:i/>
                <w:sz w:val="22"/>
                <w:szCs w:val="22"/>
              </w:rPr>
              <w:lastRenderedPageBreak/>
              <w:t>Movilidad y del Director del Registro Estatal de Transporte Público</w:t>
            </w:r>
          </w:p>
        </w:tc>
        <w:tc>
          <w:tcPr>
            <w:tcW w:w="1843" w:type="dxa"/>
          </w:tcPr>
          <w:p w14:paraId="37EF8F46" w14:textId="77777777" w:rsidR="00B947EA" w:rsidRPr="00365BE2" w:rsidRDefault="003E0A4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lastRenderedPageBreak/>
              <w:t xml:space="preserve">No colma, toda vez que el </w:t>
            </w:r>
            <w:r w:rsidRPr="00365BE2">
              <w:rPr>
                <w:rFonts w:ascii="Palatino Linotype" w:eastAsia="Palatino Linotype" w:hAnsi="Palatino Linotype" w:cs="Palatino Linotype"/>
                <w:b/>
                <w:i/>
                <w:sz w:val="22"/>
                <w:szCs w:val="22"/>
              </w:rPr>
              <w:t xml:space="preserve">SUJETO OBLIGADO </w:t>
            </w:r>
            <w:r w:rsidRPr="00365BE2">
              <w:rPr>
                <w:rFonts w:ascii="Palatino Linotype" w:eastAsia="Palatino Linotype" w:hAnsi="Palatino Linotype" w:cs="Palatino Linotype"/>
                <w:i/>
                <w:sz w:val="22"/>
                <w:szCs w:val="22"/>
              </w:rPr>
              <w:t xml:space="preserve">solo refiere no contar con la información, además en estudio se demostrara que la Secretaría de Movilidad si realiza estudios técnicos para determinar las bases sobre las cuales se otorgaron los permisos, toda vez que evalúan </w:t>
            </w:r>
            <w:r w:rsidR="00A23ED1" w:rsidRPr="00365BE2">
              <w:rPr>
                <w:rFonts w:ascii="Palatino Linotype" w:eastAsia="Palatino Linotype" w:hAnsi="Palatino Linotype" w:cs="Palatino Linotype"/>
                <w:i/>
                <w:sz w:val="22"/>
                <w:szCs w:val="22"/>
              </w:rPr>
              <w:t xml:space="preserve">sobre las necesidades de los habitantes de cada zona. </w:t>
            </w:r>
          </w:p>
        </w:tc>
      </w:tr>
      <w:tr w:rsidR="00B947EA" w:rsidRPr="00365BE2" w14:paraId="37EF8F4D" w14:textId="77777777" w:rsidTr="00B947EA">
        <w:tc>
          <w:tcPr>
            <w:tcW w:w="2836" w:type="dxa"/>
          </w:tcPr>
          <w:p w14:paraId="37EF8F48"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7.- Copia del Plano e Itinerario de la ruta desde su origen hasta su destino y viceversa que ha de seguir</w:t>
            </w:r>
          </w:p>
        </w:tc>
        <w:tc>
          <w:tcPr>
            <w:tcW w:w="3260" w:type="dxa"/>
          </w:tcPr>
          <w:p w14:paraId="37EF8F49"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4A"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4B"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la ratificación de sus respuestas iniciales de la Subsecretaría de Movilidad y del </w:t>
            </w:r>
            <w:r w:rsidRPr="00365BE2">
              <w:rPr>
                <w:rFonts w:ascii="Palatino Linotype" w:eastAsia="Palatino Linotype" w:hAnsi="Palatino Linotype" w:cs="Palatino Linotype"/>
                <w:i/>
                <w:sz w:val="22"/>
                <w:szCs w:val="22"/>
              </w:rPr>
              <w:lastRenderedPageBreak/>
              <w:t>Director del Registro Estatal de Transporte Público</w:t>
            </w:r>
          </w:p>
        </w:tc>
        <w:tc>
          <w:tcPr>
            <w:tcW w:w="1843" w:type="dxa"/>
          </w:tcPr>
          <w:p w14:paraId="37EF8F4C" w14:textId="77777777" w:rsidR="00B947EA" w:rsidRPr="00365BE2" w:rsidRDefault="00A23ED1"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lastRenderedPageBreak/>
              <w:t xml:space="preserve">No colma, y de acuerdo con la normatividad a analizar para que la Secretaría de la autorización como derrotero a una concesión, debe de analizar el horario y ruta, para que esta forme parte de la autorización, por lo que se colige que el </w:t>
            </w:r>
            <w:r w:rsidRPr="00365BE2">
              <w:rPr>
                <w:rFonts w:ascii="Palatino Linotype" w:eastAsia="Palatino Linotype" w:hAnsi="Palatino Linotype" w:cs="Palatino Linotype"/>
                <w:b/>
                <w:i/>
                <w:sz w:val="22"/>
                <w:szCs w:val="22"/>
              </w:rPr>
              <w:t xml:space="preserve">SUJETO OBLIGADO </w:t>
            </w:r>
            <w:r w:rsidRPr="00365BE2">
              <w:rPr>
                <w:rFonts w:ascii="Palatino Linotype" w:eastAsia="Palatino Linotype" w:hAnsi="Palatino Linotype" w:cs="Palatino Linotype"/>
                <w:i/>
                <w:sz w:val="22"/>
                <w:szCs w:val="22"/>
              </w:rPr>
              <w:t xml:space="preserve">si cuenta con la información. </w:t>
            </w:r>
          </w:p>
        </w:tc>
      </w:tr>
      <w:tr w:rsidR="00B947EA" w:rsidRPr="00365BE2" w14:paraId="37EF8F53" w14:textId="77777777" w:rsidTr="00B947EA">
        <w:tc>
          <w:tcPr>
            <w:tcW w:w="2836" w:type="dxa"/>
          </w:tcPr>
          <w:p w14:paraId="37EF8F4E"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8.- Copia de las concesiones otorgadas a las unidades que actualmente se encuentran adscritas y operan en el recorrido de la Ruta 18 del Ramal</w:t>
            </w:r>
          </w:p>
        </w:tc>
        <w:tc>
          <w:tcPr>
            <w:tcW w:w="3260" w:type="dxa"/>
          </w:tcPr>
          <w:p w14:paraId="37EF8F4F" w14:textId="77777777" w:rsidR="00B947EA" w:rsidRPr="00365BE2" w:rsidRDefault="00B947EA"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En respuesta </w:t>
            </w:r>
            <w:r w:rsidRPr="00365BE2">
              <w:rPr>
                <w:rFonts w:ascii="Palatino Linotype" w:eastAsia="Palatino Linotype" w:hAnsi="Palatino Linotype" w:cs="Palatino Linotype"/>
                <w:i/>
                <w:sz w:val="22"/>
                <w:szCs w:val="22"/>
              </w:rPr>
              <w:tab/>
              <w:t>la Subsecretaria de Movilidad y del Director del Registro Estatal de Transporte Público, refieren que no tienen atribución en cuanto a lo solicitado y que tiene imposibilidad para proporcionar datos referente a dichas autorizaciones y concesiones que hayan s ido autorizadas en las rutas lanzaderas y derroteros.</w:t>
            </w:r>
          </w:p>
        </w:tc>
        <w:tc>
          <w:tcPr>
            <w:tcW w:w="2268" w:type="dxa"/>
          </w:tcPr>
          <w:p w14:paraId="37EF8F50" w14:textId="77777777" w:rsidR="003E0A4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Debe de destacarse la respuesta de la Dirección de Movilidad General Zona II, en la que refiere que la ruta referida en la solicitud de información no cuenta con el termino de lanzadera, sin embargo debe de precisarse que el </w:t>
            </w:r>
            <w:r w:rsidRPr="00365BE2">
              <w:rPr>
                <w:rFonts w:ascii="Palatino Linotype" w:eastAsia="Palatino Linotype" w:hAnsi="Palatino Linotype" w:cs="Palatino Linotype"/>
                <w:b/>
                <w:i/>
                <w:sz w:val="22"/>
                <w:szCs w:val="22"/>
              </w:rPr>
              <w:t xml:space="preserve">RECURRENTE </w:t>
            </w:r>
            <w:r w:rsidRPr="00365BE2">
              <w:rPr>
                <w:rFonts w:ascii="Palatino Linotype" w:eastAsia="Palatino Linotype" w:hAnsi="Palatino Linotype" w:cs="Palatino Linotype"/>
                <w:i/>
                <w:sz w:val="22"/>
                <w:szCs w:val="22"/>
              </w:rPr>
              <w:t xml:space="preserve">solicita información sobre el termino derrotero. </w:t>
            </w:r>
          </w:p>
          <w:p w14:paraId="37EF8F51" w14:textId="77777777" w:rsidR="00B947EA" w:rsidRPr="00365BE2" w:rsidRDefault="003E0A4A" w:rsidP="003E0A4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t xml:space="preserve">Así mismo en el informe justificado se manifestaron las Direcciones Generales de Movilidad de la Zona I, III y IV, en la que refieren no contar con datos de la información solicitada, así como la ratificación de sus respuestas iniciales de la Subsecretaría de Movilidad y del Director del </w:t>
            </w:r>
            <w:r w:rsidRPr="00365BE2">
              <w:rPr>
                <w:rFonts w:ascii="Palatino Linotype" w:eastAsia="Palatino Linotype" w:hAnsi="Palatino Linotype" w:cs="Palatino Linotype"/>
                <w:i/>
                <w:sz w:val="22"/>
                <w:szCs w:val="22"/>
              </w:rPr>
              <w:lastRenderedPageBreak/>
              <w:t>Registro Estatal de Transporte Público</w:t>
            </w:r>
          </w:p>
        </w:tc>
        <w:tc>
          <w:tcPr>
            <w:tcW w:w="1843" w:type="dxa"/>
          </w:tcPr>
          <w:p w14:paraId="37EF8F52" w14:textId="77777777" w:rsidR="00B947EA" w:rsidRPr="00365BE2" w:rsidRDefault="00A23ED1" w:rsidP="00B947EA">
            <w:pPr>
              <w:ind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i/>
                <w:sz w:val="22"/>
                <w:szCs w:val="22"/>
              </w:rPr>
              <w:lastRenderedPageBreak/>
              <w:t xml:space="preserve">No colma, toda vez que la Dirección General de Movilidad Zona II en su respuesta entregada en la etapa de manifestaciones, informo el nombre de la moral que tiene la autorización de la ruta 18, además no se debe de perder de vista que la información acerca de concesiones, permisos y autorizaciones formara de las obligaciones de transparencia común de acuerdo a lo regulado por el artículo 92 de la Ley de Transparencia y Acceso a la Información Pública del </w:t>
            </w:r>
            <w:r w:rsidRPr="00365BE2">
              <w:rPr>
                <w:rFonts w:ascii="Palatino Linotype" w:eastAsia="Palatino Linotype" w:hAnsi="Palatino Linotype" w:cs="Palatino Linotype"/>
                <w:i/>
                <w:sz w:val="22"/>
                <w:szCs w:val="22"/>
              </w:rPr>
              <w:lastRenderedPageBreak/>
              <w:t xml:space="preserve">Estado de México y Municipios. </w:t>
            </w:r>
          </w:p>
        </w:tc>
      </w:tr>
    </w:tbl>
    <w:p w14:paraId="37EF8F54" w14:textId="77777777" w:rsidR="00477D80" w:rsidRPr="00365BE2" w:rsidRDefault="00477D80" w:rsidP="00477D80">
      <w:pPr>
        <w:ind w:left="-566" w:right="-1417"/>
        <w:rPr>
          <w:sz w:val="22"/>
          <w:szCs w:val="22"/>
        </w:rPr>
      </w:pPr>
    </w:p>
    <w:p w14:paraId="37EF8F55" w14:textId="77777777" w:rsidR="007D54AB" w:rsidRPr="00365BE2" w:rsidRDefault="00CB04FD"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De lo anterior, se colige que </w:t>
      </w:r>
      <w:r w:rsidR="00D357C9" w:rsidRPr="00365BE2">
        <w:rPr>
          <w:rFonts w:ascii="Palatino Linotype" w:eastAsia="Palatino Linotype" w:hAnsi="Palatino Linotype" w:cs="Palatino Linotype"/>
          <w:sz w:val="22"/>
          <w:szCs w:val="22"/>
        </w:rPr>
        <w:t xml:space="preserve">de las respuestas proporcionadas por el </w:t>
      </w:r>
      <w:r w:rsidR="00D357C9" w:rsidRPr="00365BE2">
        <w:rPr>
          <w:rFonts w:ascii="Palatino Linotype" w:eastAsia="Palatino Linotype" w:hAnsi="Palatino Linotype" w:cs="Palatino Linotype"/>
          <w:b/>
          <w:sz w:val="22"/>
          <w:szCs w:val="22"/>
        </w:rPr>
        <w:t>SUJETO OBLIGAD</w:t>
      </w:r>
      <w:r w:rsidR="00A23ED1" w:rsidRPr="00365BE2">
        <w:rPr>
          <w:rFonts w:ascii="Palatino Linotype" w:eastAsia="Palatino Linotype" w:hAnsi="Palatino Linotype" w:cs="Palatino Linotype"/>
          <w:b/>
          <w:sz w:val="22"/>
          <w:szCs w:val="22"/>
        </w:rPr>
        <w:t xml:space="preserve"> en la etapa de manifestaciones,</w:t>
      </w:r>
      <w:r w:rsidR="00D357C9" w:rsidRPr="00365BE2">
        <w:rPr>
          <w:rFonts w:ascii="Palatino Linotype" w:eastAsia="Palatino Linotype" w:hAnsi="Palatino Linotype" w:cs="Palatino Linotype"/>
          <w:b/>
          <w:sz w:val="22"/>
          <w:szCs w:val="22"/>
        </w:rPr>
        <w:t xml:space="preserve"> la Dirección General de Movilidad </w:t>
      </w:r>
      <w:r w:rsidR="00F60C4F" w:rsidRPr="00365BE2">
        <w:rPr>
          <w:rFonts w:ascii="Palatino Linotype" w:eastAsia="Palatino Linotype" w:hAnsi="Palatino Linotype" w:cs="Palatino Linotype"/>
          <w:b/>
          <w:sz w:val="22"/>
          <w:szCs w:val="22"/>
        </w:rPr>
        <w:t>de la Zona II</w:t>
      </w:r>
      <w:r w:rsidR="00D357C9" w:rsidRPr="00365BE2">
        <w:rPr>
          <w:rFonts w:ascii="Palatino Linotype" w:eastAsia="Palatino Linotype" w:hAnsi="Palatino Linotype" w:cs="Palatino Linotype"/>
          <w:b/>
          <w:sz w:val="22"/>
          <w:szCs w:val="22"/>
        </w:rPr>
        <w:t xml:space="preserve"> es quien tiene información sobre la autorización de la ruta</w:t>
      </w:r>
      <w:r w:rsidR="007D54AB" w:rsidRPr="00365BE2">
        <w:rPr>
          <w:rFonts w:ascii="Palatino Linotype" w:eastAsia="Palatino Linotype" w:hAnsi="Palatino Linotype" w:cs="Palatino Linotype"/>
          <w:b/>
          <w:sz w:val="22"/>
          <w:szCs w:val="22"/>
        </w:rPr>
        <w:t xml:space="preserve">, al referir que no cuenta con autorización de Lanzadera, sin embargo el RECURRENTE </w:t>
      </w:r>
      <w:r w:rsidR="007D54AB" w:rsidRPr="00365BE2">
        <w:rPr>
          <w:rFonts w:ascii="Palatino Linotype" w:eastAsia="Palatino Linotype" w:hAnsi="Palatino Linotype" w:cs="Palatino Linotype"/>
          <w:sz w:val="22"/>
          <w:szCs w:val="22"/>
        </w:rPr>
        <w:t xml:space="preserve">solicito información sobre el otorgamiento de derrotero. </w:t>
      </w:r>
    </w:p>
    <w:p w14:paraId="37EF8F56" w14:textId="77777777" w:rsidR="00BB448E" w:rsidRPr="00365BE2" w:rsidRDefault="00BB448E" w:rsidP="00BB448E">
      <w:pPr>
        <w:spacing w:line="360" w:lineRule="auto"/>
        <w:ind w:right="-1417"/>
        <w:jc w:val="both"/>
        <w:rPr>
          <w:sz w:val="22"/>
          <w:szCs w:val="22"/>
        </w:rPr>
      </w:pPr>
    </w:p>
    <w:p w14:paraId="37EF8F57" w14:textId="77777777" w:rsidR="00BB448E" w:rsidRPr="00365BE2" w:rsidRDefault="00FF1712"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noProof/>
          <w:sz w:val="22"/>
          <w:szCs w:val="22"/>
        </w:rPr>
        <w:drawing>
          <wp:anchor distT="0" distB="0" distL="114300" distR="114300" simplePos="0" relativeHeight="251658240" behindDoc="0" locked="0" layoutInCell="1" allowOverlap="1" wp14:anchorId="37EF9040" wp14:editId="09BE8B9C">
            <wp:simplePos x="0" y="0"/>
            <wp:positionH relativeFrom="column">
              <wp:posOffset>-54803</wp:posOffset>
            </wp:positionH>
            <wp:positionV relativeFrom="paragraph">
              <wp:posOffset>756644</wp:posOffset>
            </wp:positionV>
            <wp:extent cx="5612217" cy="2576223"/>
            <wp:effectExtent l="152400" t="152400" r="369570" b="35750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612217" cy="2576223"/>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D54AB" w:rsidRPr="00365BE2">
        <w:rPr>
          <w:rFonts w:ascii="Palatino Linotype" w:eastAsia="Palatino Linotype" w:hAnsi="Palatino Linotype" w:cs="Palatino Linotype"/>
          <w:b/>
          <w:sz w:val="22"/>
          <w:szCs w:val="22"/>
        </w:rPr>
        <w:t xml:space="preserve"> </w:t>
      </w:r>
      <w:r w:rsidR="00BB448E" w:rsidRPr="00365BE2">
        <w:rPr>
          <w:rFonts w:ascii="Palatino Linotype" w:eastAsia="Palatino Linotype" w:hAnsi="Palatino Linotype" w:cs="Palatino Linotype"/>
          <w:sz w:val="22"/>
          <w:szCs w:val="22"/>
        </w:rPr>
        <w:t xml:space="preserve">Lo anterior, se refuerza con la información encontrada de la ruta referida en la solicitud de información, tal y como se observa a continuación. </w:t>
      </w:r>
    </w:p>
    <w:p w14:paraId="37EF8F58" w14:textId="77777777" w:rsidR="00BB448E" w:rsidRPr="00365BE2" w:rsidRDefault="00FF1712" w:rsidP="00FF1712">
      <w:pPr>
        <w:pStyle w:val="Prrafodelista"/>
        <w:rPr>
          <w:rFonts w:ascii="Palatino Linotype" w:eastAsia="Palatino Linotype" w:hAnsi="Palatino Linotype" w:cs="Palatino Linotype"/>
          <w:sz w:val="22"/>
          <w:szCs w:val="22"/>
        </w:rPr>
      </w:pPr>
      <w:r w:rsidRPr="00365BE2">
        <w:rPr>
          <w:rFonts w:ascii="Palatino Linotype" w:eastAsia="Palatino Linotype" w:hAnsi="Palatino Linotype" w:cs="Palatino Linotype"/>
          <w:noProof/>
          <w:sz w:val="22"/>
          <w:szCs w:val="22"/>
        </w:rPr>
        <w:lastRenderedPageBreak/>
        <w:drawing>
          <wp:inline distT="0" distB="0" distL="0" distR="0" wp14:anchorId="37EF9042" wp14:editId="37EF9043">
            <wp:extent cx="4115374" cy="2114845"/>
            <wp:effectExtent l="152400" t="152400" r="361950" b="3619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115374" cy="2114845"/>
                    </a:xfrm>
                    <a:prstGeom prst="rect">
                      <a:avLst/>
                    </a:prstGeom>
                    <a:ln>
                      <a:noFill/>
                    </a:ln>
                    <a:effectLst>
                      <a:outerShdw blurRad="292100" dist="139700" dir="2700000" algn="tl" rotWithShape="0">
                        <a:srgbClr val="333333">
                          <a:alpha val="65000"/>
                        </a:srgbClr>
                      </a:outerShdw>
                    </a:effectLst>
                  </pic:spPr>
                </pic:pic>
              </a:graphicData>
            </a:graphic>
          </wp:inline>
        </w:drawing>
      </w:r>
      <w:r w:rsidRPr="00365BE2">
        <w:rPr>
          <w:noProof/>
          <w:sz w:val="22"/>
          <w:szCs w:val="22"/>
        </w:rPr>
        <w:t xml:space="preserve"> </w:t>
      </w:r>
      <w:r w:rsidRPr="00365BE2">
        <w:rPr>
          <w:rFonts w:ascii="Palatino Linotype" w:eastAsia="Palatino Linotype" w:hAnsi="Palatino Linotype" w:cs="Palatino Linotype"/>
          <w:noProof/>
          <w:sz w:val="22"/>
          <w:szCs w:val="22"/>
        </w:rPr>
        <w:drawing>
          <wp:inline distT="0" distB="0" distL="0" distR="0" wp14:anchorId="37EF9044" wp14:editId="37EF9045">
            <wp:extent cx="4238045" cy="1660137"/>
            <wp:effectExtent l="152400" t="152400" r="353060" b="3594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250686" cy="1665089"/>
                    </a:xfrm>
                    <a:prstGeom prst="rect">
                      <a:avLst/>
                    </a:prstGeom>
                    <a:ln>
                      <a:noFill/>
                    </a:ln>
                    <a:effectLst>
                      <a:outerShdw blurRad="292100" dist="139700" dir="2700000" algn="tl" rotWithShape="0">
                        <a:srgbClr val="333333">
                          <a:alpha val="65000"/>
                        </a:srgbClr>
                      </a:outerShdw>
                    </a:effectLst>
                  </pic:spPr>
                </pic:pic>
              </a:graphicData>
            </a:graphic>
          </wp:inline>
        </w:drawing>
      </w:r>
    </w:p>
    <w:p w14:paraId="37EF8F59" w14:textId="77777777" w:rsidR="0023178C" w:rsidRPr="00365BE2" w:rsidRDefault="0023178C" w:rsidP="0023178C">
      <w:pPr>
        <w:spacing w:line="360" w:lineRule="auto"/>
        <w:ind w:right="-1417"/>
        <w:jc w:val="both"/>
        <w:rPr>
          <w:sz w:val="22"/>
          <w:szCs w:val="22"/>
        </w:rPr>
      </w:pPr>
    </w:p>
    <w:p w14:paraId="37EF8F5A" w14:textId="77777777" w:rsidR="0023178C" w:rsidRPr="00365BE2" w:rsidRDefault="0023178C" w:rsidP="0023178C">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De la misma ruta se localizó en el siguiente link </w:t>
      </w:r>
      <w:hyperlink r:id="rId10" w:anchor=":~:text=18%20(RTP),autob%C3%BAs%20para%20realizar%20tu%20viaje" w:history="1">
        <w:r w:rsidRPr="00365BE2">
          <w:rPr>
            <w:rStyle w:val="Hipervnculo"/>
            <w:rFonts w:ascii="Palatino Linotype" w:eastAsia="Palatino Linotype" w:hAnsi="Palatino Linotype" w:cs="Palatino Linotype"/>
            <w:sz w:val="22"/>
            <w:szCs w:val="22"/>
          </w:rPr>
          <w:t>https://moovitapp.com/index/es-419/transporte_p%C3%BAblico-line-18-Ciudad_de_Mexico-822-3757241-171199207-1#:~:text=18%20(RTP),autob%C3%BAs%20para%20realizar%20tu%20viaje</w:t>
        </w:r>
      </w:hyperlink>
      <w:r w:rsidRPr="00365BE2">
        <w:rPr>
          <w:rFonts w:ascii="Palatino Linotype" w:eastAsia="Palatino Linotype" w:hAnsi="Palatino Linotype" w:cs="Palatino Linotype"/>
          <w:sz w:val="22"/>
          <w:szCs w:val="22"/>
        </w:rPr>
        <w:t xml:space="preserve">, información relativa a que cuenta con cincuenta y un paradas, con una duración total de ochenta y cinco minutos, así como un mapa que traza el corrido de la ruta 18. </w:t>
      </w:r>
    </w:p>
    <w:p w14:paraId="37EF8F5B" w14:textId="77777777" w:rsidR="0023178C" w:rsidRPr="00365BE2" w:rsidRDefault="0023178C" w:rsidP="0023178C">
      <w:pPr>
        <w:spacing w:line="360" w:lineRule="auto"/>
        <w:ind w:left="-566" w:right="-1417"/>
        <w:jc w:val="both"/>
        <w:rPr>
          <w:sz w:val="22"/>
          <w:szCs w:val="22"/>
        </w:rPr>
      </w:pPr>
    </w:p>
    <w:p w14:paraId="37EF8F5C" w14:textId="6330F9E5" w:rsidR="00277F51" w:rsidRPr="00365BE2" w:rsidRDefault="0023178C" w:rsidP="00277F51">
      <w:pPr>
        <w:numPr>
          <w:ilvl w:val="0"/>
          <w:numId w:val="12"/>
        </w:numPr>
        <w:spacing w:line="360" w:lineRule="auto"/>
        <w:ind w:left="-566" w:right="-1417" w:firstLine="0"/>
        <w:jc w:val="both"/>
        <w:rPr>
          <w:rFonts w:ascii="Palatino Linotype" w:eastAsia="Palatino Linotype" w:hAnsi="Palatino Linotype" w:cs="Palatino Linotype"/>
          <w:b/>
          <w:i/>
          <w:sz w:val="22"/>
          <w:szCs w:val="22"/>
          <w:lang w:val="es-ES_tradnl" w:eastAsia="es-ES"/>
        </w:rPr>
      </w:pPr>
      <w:r w:rsidRPr="00365BE2">
        <w:rPr>
          <w:rFonts w:ascii="Palatino Linotype" w:eastAsia="Palatino Linotype" w:hAnsi="Palatino Linotype" w:cs="Palatino Linotype"/>
          <w:sz w:val="22"/>
          <w:szCs w:val="22"/>
        </w:rPr>
        <w:t xml:space="preserve"> </w:t>
      </w:r>
      <w:r w:rsidRPr="00365BE2">
        <w:rPr>
          <w:rFonts w:ascii="Palatino Linotype" w:eastAsia="Palatino Linotype" w:hAnsi="Palatino Linotype" w:cs="Palatino Linotype"/>
          <w:sz w:val="22"/>
          <w:szCs w:val="22"/>
          <w:lang w:val="es-ES_tradnl" w:eastAsia="es-ES"/>
        </w:rPr>
        <w:t>Con las imágenes insertadas y la información referida en párrafos anteriores, se demuestra que la ruta referida en la solicitud de información pertenece a la Dirección</w:t>
      </w:r>
      <w:r w:rsidR="00F60C4F" w:rsidRPr="00365BE2">
        <w:rPr>
          <w:rFonts w:ascii="Palatino Linotype" w:eastAsia="Palatino Linotype" w:hAnsi="Palatino Linotype" w:cs="Palatino Linotype"/>
          <w:sz w:val="22"/>
          <w:szCs w:val="22"/>
          <w:lang w:val="es-ES_tradnl" w:eastAsia="es-ES"/>
        </w:rPr>
        <w:t xml:space="preserve"> zona II</w:t>
      </w:r>
      <w:r w:rsidRPr="00365BE2">
        <w:rPr>
          <w:rFonts w:ascii="Palatino Linotype" w:eastAsia="Palatino Linotype" w:hAnsi="Palatino Linotype" w:cs="Palatino Linotype"/>
          <w:sz w:val="22"/>
          <w:szCs w:val="22"/>
          <w:lang w:val="es-ES_tradnl" w:eastAsia="es-ES"/>
        </w:rPr>
        <w:t xml:space="preserve">, que contempla a la región de </w:t>
      </w:r>
      <w:r w:rsidRPr="00365BE2">
        <w:rPr>
          <w:rFonts w:ascii="Palatino Linotype" w:eastAsia="Palatino Linotype" w:hAnsi="Palatino Linotype" w:cs="Palatino Linotype"/>
          <w:sz w:val="22"/>
          <w:szCs w:val="22"/>
          <w:lang w:val="es-ES_tradnl" w:eastAsia="es-ES"/>
        </w:rPr>
        <w:lastRenderedPageBreak/>
        <w:t xml:space="preserve">Naucalpan, </w:t>
      </w:r>
      <w:r w:rsidR="00D445D8" w:rsidRPr="00365BE2">
        <w:rPr>
          <w:rFonts w:ascii="Palatino Linotype" w:eastAsia="Palatino Linotype" w:hAnsi="Palatino Linotype" w:cs="Palatino Linotype"/>
          <w:sz w:val="22"/>
          <w:szCs w:val="22"/>
          <w:lang w:val="es-ES_tradnl" w:eastAsia="es-ES"/>
        </w:rPr>
        <w:t xml:space="preserve">quien da respuesta a la solicitud de información </w:t>
      </w:r>
      <w:r w:rsidR="00400F9A" w:rsidRPr="00365BE2">
        <w:rPr>
          <w:rFonts w:ascii="Palatino Linotype" w:eastAsia="Palatino Linotype" w:hAnsi="Palatino Linotype" w:cs="Palatino Linotype"/>
          <w:sz w:val="22"/>
          <w:szCs w:val="22"/>
          <w:lang w:val="es-ES_tradnl" w:eastAsia="es-ES"/>
        </w:rPr>
        <w:t>refiriendo</w:t>
      </w:r>
      <w:r w:rsidR="00D445D8" w:rsidRPr="00365BE2">
        <w:rPr>
          <w:rFonts w:ascii="Palatino Linotype" w:eastAsia="Palatino Linotype" w:hAnsi="Palatino Linotype" w:cs="Palatino Linotype"/>
          <w:sz w:val="22"/>
          <w:szCs w:val="22"/>
          <w:lang w:val="es-ES_tradnl" w:eastAsia="es-ES"/>
        </w:rPr>
        <w:t xml:space="preserve"> que no se tiene información como lanzadera pero el </w:t>
      </w:r>
      <w:r w:rsidR="00D445D8" w:rsidRPr="00365BE2">
        <w:rPr>
          <w:rFonts w:ascii="Palatino Linotype" w:eastAsia="Palatino Linotype" w:hAnsi="Palatino Linotype" w:cs="Palatino Linotype"/>
          <w:b/>
          <w:sz w:val="22"/>
          <w:szCs w:val="22"/>
          <w:lang w:val="es-ES_tradnl" w:eastAsia="es-ES"/>
        </w:rPr>
        <w:t xml:space="preserve">RECURRENTE </w:t>
      </w:r>
      <w:r w:rsidR="00D445D8" w:rsidRPr="00365BE2">
        <w:rPr>
          <w:rFonts w:ascii="Palatino Linotype" w:eastAsia="Palatino Linotype" w:hAnsi="Palatino Linotype" w:cs="Palatino Linotype"/>
          <w:sz w:val="22"/>
          <w:szCs w:val="22"/>
          <w:lang w:val="es-ES_tradnl" w:eastAsia="es-ES"/>
        </w:rPr>
        <w:t>solicita información acerca de derroteros</w:t>
      </w:r>
      <w:r w:rsidR="00277F51" w:rsidRPr="00365BE2">
        <w:rPr>
          <w:rFonts w:ascii="Palatino Linotype" w:eastAsia="Palatino Linotype" w:hAnsi="Palatino Linotype" w:cs="Palatino Linotype"/>
          <w:sz w:val="22"/>
          <w:szCs w:val="22"/>
          <w:lang w:val="es-ES_tradnl" w:eastAsia="es-ES"/>
        </w:rPr>
        <w:t xml:space="preserve">, situación por la cual se hace el siguiente </w:t>
      </w:r>
      <w:r w:rsidR="00317EDA" w:rsidRPr="00365BE2">
        <w:rPr>
          <w:rFonts w:ascii="Palatino Linotype" w:eastAsia="Palatino Linotype" w:hAnsi="Palatino Linotype" w:cs="Palatino Linotype"/>
          <w:sz w:val="22"/>
          <w:szCs w:val="22"/>
          <w:lang w:val="es-ES_tradnl" w:eastAsia="es-ES"/>
        </w:rPr>
        <w:t>análisis</w:t>
      </w:r>
      <w:r w:rsidR="00277F51" w:rsidRPr="00365BE2">
        <w:rPr>
          <w:rFonts w:ascii="Palatino Linotype" w:eastAsia="Palatino Linotype" w:hAnsi="Palatino Linotype" w:cs="Palatino Linotype"/>
          <w:sz w:val="22"/>
          <w:szCs w:val="22"/>
          <w:lang w:val="es-ES_tradnl" w:eastAsia="es-ES"/>
        </w:rPr>
        <w:t xml:space="preserve">. </w:t>
      </w:r>
    </w:p>
    <w:p w14:paraId="37EF8F5D" w14:textId="77777777" w:rsidR="00277F51" w:rsidRPr="00365BE2" w:rsidRDefault="00277F51" w:rsidP="00277F51">
      <w:pPr>
        <w:spacing w:line="360" w:lineRule="auto"/>
        <w:ind w:right="-1417"/>
        <w:jc w:val="both"/>
        <w:rPr>
          <w:rFonts w:ascii="Palatino Linotype" w:eastAsia="Palatino Linotype" w:hAnsi="Palatino Linotype" w:cs="Palatino Linotype"/>
          <w:b/>
          <w:i/>
          <w:sz w:val="22"/>
          <w:szCs w:val="22"/>
          <w:lang w:val="es-ES_tradnl" w:eastAsia="es-ES"/>
        </w:rPr>
      </w:pPr>
    </w:p>
    <w:p w14:paraId="37EF8F5E" w14:textId="77777777" w:rsidR="00400F9A" w:rsidRPr="00365BE2" w:rsidRDefault="0023178C" w:rsidP="0023178C">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t xml:space="preserve"> </w:t>
      </w:r>
      <w:r w:rsidR="00400F9A" w:rsidRPr="00365BE2">
        <w:rPr>
          <w:rFonts w:ascii="Palatino Linotype" w:eastAsia="Palatino Linotype" w:hAnsi="Palatino Linotype" w:cs="Palatino Linotype"/>
          <w:sz w:val="22"/>
          <w:szCs w:val="22"/>
          <w:lang w:val="es-ES_tradnl" w:eastAsia="es-ES"/>
        </w:rPr>
        <w:t xml:space="preserve">En esa línea, de conformidad con el Manual de Organización de la Secretaría de Movilidad se observa que se integra por la Unidad de Servicios Metropolitanos, quien tiene las siguientes funciones. </w:t>
      </w:r>
    </w:p>
    <w:p w14:paraId="37EF8F5F" w14:textId="77777777" w:rsidR="00400F9A" w:rsidRPr="00365BE2" w:rsidRDefault="00400F9A" w:rsidP="00400F9A">
      <w:pPr>
        <w:pStyle w:val="Prrafodelista"/>
        <w:rPr>
          <w:rFonts w:ascii="Palatino Linotype" w:eastAsia="Palatino Linotype" w:hAnsi="Palatino Linotype" w:cs="Palatino Linotype"/>
          <w:sz w:val="22"/>
          <w:szCs w:val="22"/>
          <w:lang w:val="es-ES_tradnl" w:eastAsia="es-ES"/>
        </w:rPr>
      </w:pPr>
    </w:p>
    <w:p w14:paraId="37EF8F60" w14:textId="77777777" w:rsidR="00177129" w:rsidRPr="00365BE2" w:rsidRDefault="00400F9A" w:rsidP="00400F9A">
      <w:pPr>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22001000010000S </w:t>
      </w:r>
      <w:r w:rsidRPr="00365BE2">
        <w:rPr>
          <w:rFonts w:ascii="Palatino Linotype" w:eastAsia="Palatino Linotype" w:hAnsi="Palatino Linotype" w:cs="Palatino Linotype"/>
          <w:b/>
          <w:i/>
          <w:sz w:val="22"/>
          <w:szCs w:val="22"/>
          <w:lang w:eastAsia="es-ES"/>
        </w:rPr>
        <w:t>UNIDAD DE SERVICIOS METROPOLITANOS</w:t>
      </w:r>
      <w:r w:rsidRPr="00365BE2">
        <w:rPr>
          <w:rFonts w:ascii="Palatino Linotype" w:eastAsia="Palatino Linotype" w:hAnsi="Palatino Linotype" w:cs="Palatino Linotype"/>
          <w:i/>
          <w:sz w:val="22"/>
          <w:szCs w:val="22"/>
          <w:lang w:eastAsia="es-ES"/>
        </w:rPr>
        <w:t xml:space="preserve"> OBJETIVO: </w:t>
      </w:r>
    </w:p>
    <w:p w14:paraId="37EF8F61" w14:textId="77777777" w:rsidR="00400F9A" w:rsidRPr="00365BE2" w:rsidRDefault="00400F9A" w:rsidP="00400F9A">
      <w:pPr>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Programar, dirigir, supervisar y controlar las acciones en materia de transporte metropolitano, con el propósito de qué en las áreas conurbada del Estado de México con otras entidades federativas, el servicio público de transporte de pasajeros sea prestado rico informidad con los estándares de calidad establecidos. </w:t>
      </w:r>
    </w:p>
    <w:p w14:paraId="37EF8F62" w14:textId="77777777" w:rsidR="00400F9A" w:rsidRPr="00365BE2" w:rsidRDefault="00400F9A" w:rsidP="00400F9A">
      <w:pPr>
        <w:ind w:left="1134" w:right="277"/>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FUNCIONES: </w:t>
      </w:r>
    </w:p>
    <w:p w14:paraId="37EF8F63" w14:textId="77777777" w:rsidR="00400F9A" w:rsidRPr="00365BE2" w:rsidRDefault="00400F9A" w:rsidP="00400F9A">
      <w:pPr>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Diseñar políticas de operación de los servicios de transporte metropolitanos, así como proponer al Instituto del Transporte del Estado de México, los acuerdos o convenios de coordinación para solucionar la problemática que se presente en áreas conurbadas del Estado de México con otras entidades federativas. </w:t>
      </w:r>
    </w:p>
    <w:p w14:paraId="37EF8F64" w14:textId="77777777" w:rsidR="00400F9A" w:rsidRPr="00365BE2" w:rsidRDefault="00400F9A" w:rsidP="00400F9A">
      <w:pPr>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Mantener un registro y control de los acuerdos o convenios celebrados con otras entidades federativas. </w:t>
      </w:r>
    </w:p>
    <w:p w14:paraId="37EF8F65" w14:textId="77777777" w:rsidR="00400F9A" w:rsidRPr="00365BE2" w:rsidRDefault="00400F9A" w:rsidP="00400F9A">
      <w:pPr>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Organizar y dirigir los dispositivos de registro, control, inspección y vigilancia de los servicios de transporte de pasajeros que se proporcionan en el área conurbada del Estado de México con otras entidades federativas, para verificar que el servicio se proporcione de conformidad con la normatividad en la materia.</w:t>
      </w:r>
    </w:p>
    <w:p w14:paraId="37EF8F66" w14:textId="77777777" w:rsidR="00177129" w:rsidRPr="00365BE2" w:rsidRDefault="00400F9A" w:rsidP="00400F9A">
      <w:pPr>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 Intervenir como parte conciliadora en el ámbito de su competencia, en la solución de conflictos entre concesionarios y permisionarios del servicio público del transporte de pasajeros del Estado de México con transportistas concesionados por los gobiernos de otras entidades federativas. </w:t>
      </w:r>
    </w:p>
    <w:p w14:paraId="37EF8F67" w14:textId="77777777" w:rsidR="00177129" w:rsidRPr="00365BE2" w:rsidRDefault="00400F9A" w:rsidP="00400F9A">
      <w:pPr>
        <w:ind w:left="1134" w:right="277"/>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Recibir, tramitar y resolver las peticiones para la autorización de bases, lanzaderas, derroteros, alargamientos y/o enrolamiento de derroteros, relativos a la prestación del servicio público de transporte de pasajeros en áreas conurbadas del Estado de México con otras </w:t>
      </w:r>
      <w:r w:rsidRPr="00365BE2">
        <w:rPr>
          <w:rFonts w:ascii="Palatino Linotype" w:eastAsia="Palatino Linotype" w:hAnsi="Palatino Linotype" w:cs="Palatino Linotype"/>
          <w:b/>
          <w:i/>
          <w:sz w:val="22"/>
          <w:szCs w:val="22"/>
          <w:lang w:eastAsia="es-ES"/>
        </w:rPr>
        <w:lastRenderedPageBreak/>
        <w:t>entidades federativas en coordinación con la Subsecretaría de Movilidad y con autoridades del transport</w:t>
      </w:r>
      <w:r w:rsidR="00177129" w:rsidRPr="00365BE2">
        <w:rPr>
          <w:rFonts w:ascii="Palatino Linotype" w:eastAsia="Palatino Linotype" w:hAnsi="Palatino Linotype" w:cs="Palatino Linotype"/>
          <w:b/>
          <w:i/>
          <w:sz w:val="22"/>
          <w:szCs w:val="22"/>
          <w:lang w:eastAsia="es-ES"/>
        </w:rPr>
        <w:t>e de esas entidades federativas.</w:t>
      </w:r>
    </w:p>
    <w:p w14:paraId="37EF8F68" w14:textId="77777777" w:rsidR="00177129" w:rsidRPr="00365BE2" w:rsidRDefault="00400F9A" w:rsidP="00400F9A">
      <w:pPr>
        <w:ind w:left="1134" w:right="277"/>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Participar en los dictámenes y estudios que correspondan a la prestación del servicio público de transporte de pasajeros en áreas conurbadas del Estado de México con otras entidades federativas, de conformidad con la normatividad en la materia. </w:t>
      </w:r>
    </w:p>
    <w:p w14:paraId="37EF8F69" w14:textId="77777777" w:rsidR="00177129" w:rsidRPr="00365BE2" w:rsidRDefault="00400F9A" w:rsidP="00400F9A">
      <w:pPr>
        <w:ind w:left="1134" w:right="277"/>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Integrar y actualizar los datos, informes y documentos relacionados con la autorización de derroteros, así como del parque vehicular relacionados con la prestación del servicio público de transporte de pasajeros en áreas conurbadas del Estado de México con otras entidades federativas, para coadyuvar en el cumplimiento de acciones y programas que establezca la Secretaría. Coadyuvar con autoridades de la ciudad de México en la entrega de órdenes de pago para la emisión de la placa metropolitana a prestadoras o prestadores del servicio público de transporte de pasajeros concesionados por el Gobierno del Estado de México, en coordinación con la Dirección General de Movilidad que corresponda y con la Dirección General de Registro Estatal de Transporte Público. </w:t>
      </w:r>
    </w:p>
    <w:p w14:paraId="37EF8F6A" w14:textId="77777777" w:rsidR="00400F9A" w:rsidRPr="00365BE2" w:rsidRDefault="00400F9A" w:rsidP="00400F9A">
      <w:pPr>
        <w:ind w:left="1134" w:right="277"/>
        <w:jc w:val="both"/>
        <w:rPr>
          <w:rFonts w:ascii="Palatino Linotype" w:eastAsia="Palatino Linotype" w:hAnsi="Palatino Linotype" w:cs="Palatino Linotype"/>
          <w:i/>
          <w:sz w:val="22"/>
          <w:szCs w:val="22"/>
          <w:lang w:val="es-ES_tradnl" w:eastAsia="es-ES"/>
        </w:rPr>
      </w:pPr>
      <w:r w:rsidRPr="00365BE2">
        <w:rPr>
          <w:rFonts w:ascii="Palatino Linotype" w:eastAsia="Palatino Linotype" w:hAnsi="Palatino Linotype" w:cs="Palatino Linotype"/>
          <w:i/>
          <w:sz w:val="22"/>
          <w:szCs w:val="22"/>
          <w:lang w:eastAsia="es-ES"/>
        </w:rPr>
        <w:t>Desarrollar las demás funciones inherentes al área de su competencia.</w:t>
      </w:r>
    </w:p>
    <w:p w14:paraId="37EF8F6B" w14:textId="77777777" w:rsidR="00400F9A" w:rsidRPr="00365BE2" w:rsidRDefault="00400F9A" w:rsidP="00400F9A">
      <w:pPr>
        <w:pStyle w:val="Prrafodelista"/>
        <w:rPr>
          <w:rFonts w:ascii="Palatino Linotype" w:eastAsia="Palatino Linotype" w:hAnsi="Palatino Linotype" w:cs="Palatino Linotype"/>
          <w:sz w:val="22"/>
          <w:szCs w:val="22"/>
          <w:lang w:val="es-ES_tradnl" w:eastAsia="es-ES"/>
        </w:rPr>
      </w:pPr>
    </w:p>
    <w:p w14:paraId="37EF8F6C" w14:textId="77777777" w:rsidR="00177129" w:rsidRPr="00365BE2" w:rsidRDefault="00177129" w:rsidP="0023178C">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t xml:space="preserve">Del precepto legal referido anteriormente que la Unidad de Servicios Metropolitanos, </w:t>
      </w:r>
      <w:r w:rsidRPr="00365BE2">
        <w:rPr>
          <w:rFonts w:ascii="Palatino Linotype" w:eastAsia="Palatino Linotype" w:hAnsi="Palatino Linotype" w:cs="Palatino Linotype"/>
          <w:b/>
          <w:sz w:val="22"/>
          <w:szCs w:val="22"/>
          <w:lang w:eastAsia="es-ES"/>
        </w:rPr>
        <w:t xml:space="preserve">recibe, tramita y resuelve las peticiones para la autorización de bases, lanzaderas, derroteros, alargamientos y/o enrolamiento de derroteros, relativos a la prestación del servicio público de transporte de pasajeros en áreas conurbadas del Estado de México, </w:t>
      </w:r>
      <w:r w:rsidRPr="00365BE2">
        <w:rPr>
          <w:rFonts w:ascii="Palatino Linotype" w:eastAsia="Palatino Linotype" w:hAnsi="Palatino Linotype" w:cs="Palatino Linotype"/>
          <w:sz w:val="22"/>
          <w:szCs w:val="22"/>
          <w:lang w:eastAsia="es-ES"/>
        </w:rPr>
        <w:t xml:space="preserve">situación por la cual se desestima su respuesta al referir que no cuenta con la información solicitada. </w:t>
      </w:r>
    </w:p>
    <w:p w14:paraId="37EF8F6D" w14:textId="77777777" w:rsidR="00177129" w:rsidRPr="00365BE2" w:rsidRDefault="00177129" w:rsidP="00177129">
      <w:pPr>
        <w:spacing w:line="360" w:lineRule="auto"/>
        <w:ind w:left="-566" w:right="-1417"/>
        <w:jc w:val="both"/>
        <w:rPr>
          <w:rFonts w:ascii="Palatino Linotype" w:eastAsia="Palatino Linotype" w:hAnsi="Palatino Linotype" w:cs="Palatino Linotype"/>
          <w:sz w:val="22"/>
          <w:szCs w:val="22"/>
          <w:lang w:val="es-ES_tradnl" w:eastAsia="es-ES"/>
        </w:rPr>
      </w:pPr>
    </w:p>
    <w:p w14:paraId="37EF8F6E" w14:textId="77777777" w:rsidR="00177129" w:rsidRPr="00365BE2" w:rsidRDefault="00177129" w:rsidP="00177129">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t xml:space="preserve">Seguidamente, </w:t>
      </w:r>
      <w:r w:rsidRPr="00365BE2">
        <w:rPr>
          <w:rFonts w:ascii="Palatino Linotype" w:eastAsia="Palatino Linotype" w:hAnsi="Palatino Linotype" w:cs="Palatino Linotype"/>
          <w:b/>
          <w:sz w:val="22"/>
          <w:szCs w:val="22"/>
          <w:lang w:val="es-ES_tradnl" w:eastAsia="es-ES"/>
        </w:rPr>
        <w:t>la Dirección  General de Movilidad Zona</w:t>
      </w:r>
      <w:r w:rsidR="00F60C4F" w:rsidRPr="00365BE2">
        <w:rPr>
          <w:rFonts w:ascii="Palatino Linotype" w:eastAsia="Palatino Linotype" w:hAnsi="Palatino Linotype" w:cs="Palatino Linotype"/>
          <w:b/>
          <w:sz w:val="22"/>
          <w:szCs w:val="22"/>
          <w:lang w:val="es-ES_tradnl" w:eastAsia="es-ES"/>
        </w:rPr>
        <w:t xml:space="preserve"> II</w:t>
      </w:r>
      <w:r w:rsidRPr="00365BE2">
        <w:rPr>
          <w:rFonts w:ascii="Palatino Linotype" w:eastAsia="Palatino Linotype" w:hAnsi="Palatino Linotype" w:cs="Palatino Linotype"/>
          <w:sz w:val="22"/>
          <w:szCs w:val="22"/>
          <w:lang w:val="es-ES_tradnl" w:eastAsia="es-ES"/>
        </w:rPr>
        <w:t xml:space="preserve"> de conformidad con el Manual de Organización de la Secretaría de Movilidad, tiene las siguientes funciones. </w:t>
      </w:r>
    </w:p>
    <w:p w14:paraId="37EF8F6F" w14:textId="77777777" w:rsidR="00F60C4F" w:rsidRPr="00365BE2" w:rsidRDefault="00F60C4F"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22001002000000T DIRECCIÓN GENERAL DE MOVILIDAD ZONA II</w:t>
      </w:r>
    </w:p>
    <w:p w14:paraId="37EF8F70" w14:textId="77777777" w:rsidR="00E73467"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Promover, regular y coordinar programas de estudios de ingeniería de tránsito en la infraestructura vial, para el desarrollo integral de movilidad eficiente y segura que garanticen la accesibilidad a las personas, así como generar políticas de desarrollo del servicio público de transporte, a través de la </w:t>
      </w:r>
      <w:r w:rsidRPr="00365BE2">
        <w:rPr>
          <w:rFonts w:ascii="Palatino Linotype" w:eastAsia="Palatino Linotype" w:hAnsi="Palatino Linotype" w:cs="Palatino Linotype"/>
          <w:i/>
          <w:sz w:val="22"/>
          <w:szCs w:val="22"/>
          <w:lang w:eastAsia="es-ES"/>
        </w:rPr>
        <w:lastRenderedPageBreak/>
        <w:t xml:space="preserve">planeación, coordinación y aplicación de sus sistemas integrales de transporte, autorizar la realización de visitas de inspección y verificación que permitan supervisar la puntual observancia y cumplimiento de los lineamientos legales y obligaciones a cargo de las y los concesionarios y permisionarios del servicio público de transporte y sus servicios conexos en la región de su competencia. </w:t>
      </w:r>
    </w:p>
    <w:p w14:paraId="37EF8F71" w14:textId="77777777" w:rsidR="00E73467" w:rsidRPr="00365BE2" w:rsidRDefault="00E73467" w:rsidP="00177129">
      <w:pPr>
        <w:pStyle w:val="Prrafodelista"/>
        <w:ind w:left="1134" w:right="277"/>
        <w:jc w:val="both"/>
        <w:rPr>
          <w:rFonts w:ascii="Palatino Linotype" w:eastAsia="Palatino Linotype" w:hAnsi="Palatino Linotype" w:cs="Palatino Linotype"/>
          <w:i/>
          <w:sz w:val="22"/>
          <w:szCs w:val="22"/>
          <w:lang w:eastAsia="es-ES"/>
        </w:rPr>
      </w:pPr>
    </w:p>
    <w:p w14:paraId="37EF8F72" w14:textId="77777777" w:rsidR="00E73467"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FUNCIONES: </w:t>
      </w:r>
    </w:p>
    <w:p w14:paraId="37EF8F73" w14:textId="77777777" w:rsidR="00E73467"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Proponer y coordinar los estudios de ingeniería de tránsito que garanticen el derecho a la movilidad en condiciones de accesibilidad, calidad y seguridad dentro del ámbito de su competencia. </w:t>
      </w:r>
    </w:p>
    <w:p w14:paraId="37EF8F74"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Generar y proponer las condiciones necesarias para garantizar a las personas una movilidad eficiente y segura en la región de su competencia. </w:t>
      </w:r>
    </w:p>
    <w:p w14:paraId="37EF8F75" w14:textId="77777777" w:rsidR="00E73467"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Implementar programas de seguridad vial en los entornos escolares y áreas habitaciones que propicien una cultura de movilidad. </w:t>
      </w:r>
    </w:p>
    <w:p w14:paraId="37EF8F76"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Resolver y determinar la modificación de los elementos de las concesiones, permisos y autorizaciones, del servicio público de transporte, conforme a las disposiciones legales aplicables, previo acuerdo con la o el titular de la Subsecretaría de Movilidad. </w:t>
      </w:r>
    </w:p>
    <w:p w14:paraId="37EF8F77" w14:textId="77777777" w:rsidR="00287A36" w:rsidRPr="00365BE2" w:rsidRDefault="00177129" w:rsidP="00177129">
      <w:pPr>
        <w:pStyle w:val="Prrafodelista"/>
        <w:ind w:left="1134" w:right="277"/>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Dictaminar respecto de la creación, modificación, enlace o cancelación de alargamientos, derroteros, enlaces, enrolamiento, bases, paraderos, frecuencias y horarios, previo acuerdo de la o del titular de la Subsecretaría de Movilidad. </w:t>
      </w:r>
    </w:p>
    <w:p w14:paraId="37EF8F78"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Implementar las acciones necesarias para autorizar y ejecutar la práctica de visitas de inspección y verificación, a efecto de supervisar que las y los concesionarios y permisionarios del servicio público de transporte y conexos, cumplan con las disposiciones legales en la materia y obligaciones a su cargo, y para el caso de incumplimiento de estas, verificar la correcta aplicación de las sanciones administrativas. </w:t>
      </w:r>
    </w:p>
    <w:p w14:paraId="37EF8F79"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Establecer coordinación con autoridades federales, estatales, municipales e incluso con organizaciones del sector privado, para la ejecución de acciones tendientes a resolver en su circunscripción territorial, la resolución de problemas que en materia de movilidad de servicio público de transporte se presenten. </w:t>
      </w:r>
    </w:p>
    <w:p w14:paraId="37EF8F7A"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Promover la instrumentación de programas y proyectos estratégicos que permitan mejorar las condiciones en que se realizan los desplazamientos, </w:t>
      </w:r>
      <w:proofErr w:type="spellStart"/>
      <w:r w:rsidRPr="00365BE2">
        <w:rPr>
          <w:rFonts w:ascii="Palatino Linotype" w:eastAsia="Palatino Linotype" w:hAnsi="Palatino Linotype" w:cs="Palatino Linotype"/>
          <w:i/>
          <w:sz w:val="22"/>
          <w:szCs w:val="22"/>
          <w:lang w:eastAsia="es-ES"/>
        </w:rPr>
        <w:t>eficientar</w:t>
      </w:r>
      <w:proofErr w:type="spellEnd"/>
      <w:r w:rsidRPr="00365BE2">
        <w:rPr>
          <w:rFonts w:ascii="Palatino Linotype" w:eastAsia="Palatino Linotype" w:hAnsi="Palatino Linotype" w:cs="Palatino Linotype"/>
          <w:i/>
          <w:sz w:val="22"/>
          <w:szCs w:val="22"/>
          <w:lang w:eastAsia="es-ES"/>
        </w:rPr>
        <w:t xml:space="preserve"> la operación y prestación del servicio público de transporte, en sus diversas modalidades, así como la implementación de corredores de mediana capacidad promoviendo el derecho humano de la movilidad, la equidad de </w:t>
      </w:r>
      <w:r w:rsidRPr="00365BE2">
        <w:rPr>
          <w:rFonts w:ascii="Palatino Linotype" w:eastAsia="Palatino Linotype" w:hAnsi="Palatino Linotype" w:cs="Palatino Linotype"/>
          <w:i/>
          <w:sz w:val="22"/>
          <w:szCs w:val="22"/>
          <w:lang w:eastAsia="es-ES"/>
        </w:rPr>
        <w:lastRenderedPageBreak/>
        <w:t xml:space="preserve">género, el combate a la violencia en contra de las mujeres, adolescentes, niñas y niños, y cualquier tipo de discriminación. </w:t>
      </w:r>
    </w:p>
    <w:p w14:paraId="37EF8F7B"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Intervenir como conciliador en el ámbito de su competencia, en la solución de conflictos entre concesionarios y permisionarios del servicio público de transporte, derivados de la prestación de este. </w:t>
      </w:r>
    </w:p>
    <w:p w14:paraId="37EF8F7C" w14:textId="77777777" w:rsidR="00287A36"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Instrumentar acciones en coordinación con la Dirección General del Registro Estatal de Transporte Público para la emisión de concesiones, permisos, autorizaciones, licencias, tarjetas de identificación personal para operadores de transporte público, tarjetas de circulación y placas de matriculación que se soliciten; y esto es cuenten con el soporte documental y validación correspondiente. </w:t>
      </w:r>
    </w:p>
    <w:p w14:paraId="37EF8F7D" w14:textId="77777777" w:rsidR="00177129" w:rsidRPr="00365BE2" w:rsidRDefault="00177129" w:rsidP="00177129">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Desarrollar las demás funciones inherentes al área de su competencia.</w:t>
      </w:r>
    </w:p>
    <w:p w14:paraId="37EF8F7E" w14:textId="77777777" w:rsidR="00287A36" w:rsidRPr="00365BE2" w:rsidRDefault="00287A36" w:rsidP="00177129">
      <w:pPr>
        <w:pStyle w:val="Prrafodelista"/>
        <w:ind w:left="1134" w:right="277"/>
        <w:jc w:val="both"/>
        <w:rPr>
          <w:rFonts w:ascii="Palatino Linotype" w:eastAsia="Palatino Linotype" w:hAnsi="Palatino Linotype" w:cs="Palatino Linotype"/>
          <w:i/>
          <w:sz w:val="22"/>
          <w:szCs w:val="22"/>
          <w:lang w:eastAsia="es-ES"/>
        </w:rPr>
      </w:pPr>
    </w:p>
    <w:p w14:paraId="37EF8F7F" w14:textId="5C25D7A1" w:rsidR="00287A36" w:rsidRPr="00365BE2" w:rsidRDefault="00287A36" w:rsidP="00277F51">
      <w:pPr>
        <w:numPr>
          <w:ilvl w:val="0"/>
          <w:numId w:val="12"/>
        </w:numPr>
        <w:spacing w:line="360" w:lineRule="auto"/>
        <w:ind w:left="-566" w:right="-1417" w:firstLine="0"/>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sz w:val="22"/>
          <w:szCs w:val="22"/>
          <w:lang w:eastAsia="es-ES"/>
        </w:rPr>
        <w:t>De lo anterior, se colige que la Direcc</w:t>
      </w:r>
      <w:r w:rsidR="00F60C4F" w:rsidRPr="00365BE2">
        <w:rPr>
          <w:rFonts w:ascii="Palatino Linotype" w:eastAsia="Palatino Linotype" w:hAnsi="Palatino Linotype" w:cs="Palatino Linotype"/>
          <w:sz w:val="22"/>
          <w:szCs w:val="22"/>
          <w:lang w:eastAsia="es-ES"/>
        </w:rPr>
        <w:t>ión General de Movilidad Zona II</w:t>
      </w:r>
      <w:r w:rsidRPr="00365BE2">
        <w:rPr>
          <w:rFonts w:ascii="Palatino Linotype" w:eastAsia="Palatino Linotype" w:hAnsi="Palatino Linotype" w:cs="Palatino Linotype"/>
          <w:sz w:val="22"/>
          <w:szCs w:val="22"/>
          <w:lang w:eastAsia="es-ES"/>
        </w:rPr>
        <w:t xml:space="preserve">, dentro </w:t>
      </w:r>
      <w:r w:rsidR="00557F18" w:rsidRPr="00365BE2">
        <w:rPr>
          <w:rFonts w:ascii="Palatino Linotype" w:eastAsia="Palatino Linotype" w:hAnsi="Palatino Linotype" w:cs="Palatino Linotype"/>
          <w:sz w:val="22"/>
          <w:szCs w:val="22"/>
          <w:lang w:eastAsia="es-ES"/>
        </w:rPr>
        <w:t>de</w:t>
      </w:r>
      <w:r w:rsidRPr="00365BE2">
        <w:rPr>
          <w:rFonts w:ascii="Palatino Linotype" w:eastAsia="Palatino Linotype" w:hAnsi="Palatino Linotype" w:cs="Palatino Linotype"/>
          <w:sz w:val="22"/>
          <w:szCs w:val="22"/>
          <w:lang w:eastAsia="es-ES"/>
        </w:rPr>
        <w:t xml:space="preserve"> sus funciones tiene la de dictaminar respecto de la creación, modificación, enlace o cancelación de alargamientos, </w:t>
      </w:r>
      <w:r w:rsidRPr="00365BE2">
        <w:rPr>
          <w:rFonts w:ascii="Palatino Linotype" w:eastAsia="Palatino Linotype" w:hAnsi="Palatino Linotype" w:cs="Palatino Linotype"/>
          <w:b/>
          <w:sz w:val="22"/>
          <w:szCs w:val="22"/>
          <w:lang w:eastAsia="es-ES"/>
        </w:rPr>
        <w:t>derroteros</w:t>
      </w:r>
      <w:r w:rsidRPr="00365BE2">
        <w:rPr>
          <w:rFonts w:ascii="Palatino Linotype" w:eastAsia="Palatino Linotype" w:hAnsi="Palatino Linotype" w:cs="Palatino Linotype"/>
          <w:sz w:val="22"/>
          <w:szCs w:val="22"/>
          <w:lang w:eastAsia="es-ES"/>
        </w:rPr>
        <w:t xml:space="preserve">, enlaces, enrolamiento, bases, paraderos, frecuencias y horarios, previo acuerdo de la o del titular de la Subsecretaría de Movilidad, situación por la cual la información si puede obrar en sus archivos, toda vez que dicha Dirección tiene a su cargo la zona de Naucalpan, región a la que pertenece la ruta tal y como se </w:t>
      </w:r>
      <w:r w:rsidR="00317EDA" w:rsidRPr="00365BE2">
        <w:rPr>
          <w:rFonts w:ascii="Palatino Linotype" w:eastAsia="Palatino Linotype" w:hAnsi="Palatino Linotype" w:cs="Palatino Linotype"/>
          <w:sz w:val="22"/>
          <w:szCs w:val="22"/>
          <w:lang w:eastAsia="es-ES"/>
        </w:rPr>
        <w:t>precisó</w:t>
      </w:r>
      <w:r w:rsidRPr="00365BE2">
        <w:rPr>
          <w:rFonts w:ascii="Palatino Linotype" w:eastAsia="Palatino Linotype" w:hAnsi="Palatino Linotype" w:cs="Palatino Linotype"/>
          <w:sz w:val="22"/>
          <w:szCs w:val="22"/>
          <w:lang w:eastAsia="es-ES"/>
        </w:rPr>
        <w:t xml:space="preserve"> en párrafos anteriores con las capturas de pantalla del camión de ruta. </w:t>
      </w:r>
    </w:p>
    <w:p w14:paraId="37EF8F80" w14:textId="77777777" w:rsidR="00287A36" w:rsidRPr="00365BE2" w:rsidRDefault="00287A36" w:rsidP="00277F51">
      <w:pPr>
        <w:spacing w:line="360" w:lineRule="auto"/>
        <w:ind w:left="-566" w:right="-1417"/>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 </w:t>
      </w:r>
    </w:p>
    <w:p w14:paraId="37EF8F81" w14:textId="77777777" w:rsidR="00287A36" w:rsidRPr="00365BE2" w:rsidRDefault="00287A36" w:rsidP="00287A36">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eastAsia="es-ES"/>
        </w:rPr>
        <w:t xml:space="preserve">Seguidamente, el artículo 10 del Reglamento Interior de la Secretaría de Movilidad, regula que la Subsecretaría de Movilidad tiene las siguientes atribuciones. </w:t>
      </w:r>
    </w:p>
    <w:p w14:paraId="37EF8F82" w14:textId="77777777" w:rsidR="00E853EC" w:rsidRPr="00365BE2" w:rsidRDefault="00287A36" w:rsidP="00E853EC">
      <w:pPr>
        <w:pStyle w:val="Prrafodelista"/>
        <w:ind w:left="1134"/>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Artículo 10. Corresponden a la Subsecretaría las siguientes atribuciones: </w:t>
      </w:r>
    </w:p>
    <w:p w14:paraId="37EF8F83" w14:textId="77777777" w:rsidR="00E853EC" w:rsidRPr="00365BE2" w:rsidRDefault="00287A36" w:rsidP="00E853EC">
      <w:pPr>
        <w:pStyle w:val="Prrafodelista"/>
        <w:numPr>
          <w:ilvl w:val="0"/>
          <w:numId w:val="17"/>
        </w:numPr>
        <w:ind w:left="1134" w:firstLine="0"/>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Planear, coordinar, dirigir, controlar y evaluar la operatividad del servicio de transporte público y mixto en el Estado, con apego a las leyes, reglamentos y demás ordenamientos jurídicos aplicables; </w:t>
      </w:r>
    </w:p>
    <w:p w14:paraId="37EF8F84" w14:textId="77777777" w:rsidR="00E853EC" w:rsidRPr="00365BE2" w:rsidRDefault="00287A36" w:rsidP="00E853EC">
      <w:pPr>
        <w:pStyle w:val="Prrafodelista"/>
        <w:numPr>
          <w:ilvl w:val="0"/>
          <w:numId w:val="17"/>
        </w:numPr>
        <w:ind w:left="1134" w:firstLine="0"/>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 xml:space="preserve">Suscribir los documentos relacionados con el otorgamiento de concesiones, permisos, autorizaciones de bases, lanzaderas y derroteros, modificaciones de alargamientos y enlaces de los mismos, así como con las autorizaciones de </w:t>
      </w:r>
      <w:proofErr w:type="spellStart"/>
      <w:r w:rsidRPr="00365BE2">
        <w:rPr>
          <w:rFonts w:ascii="Palatino Linotype" w:eastAsia="Palatino Linotype" w:hAnsi="Palatino Linotype" w:cs="Palatino Linotype"/>
          <w:b/>
          <w:i/>
          <w:sz w:val="22"/>
          <w:szCs w:val="22"/>
          <w:lang w:eastAsia="es-ES"/>
        </w:rPr>
        <w:t>emplacamiento</w:t>
      </w:r>
      <w:proofErr w:type="spellEnd"/>
      <w:r w:rsidRPr="00365BE2">
        <w:rPr>
          <w:rFonts w:ascii="Palatino Linotype" w:eastAsia="Palatino Linotype" w:hAnsi="Palatino Linotype" w:cs="Palatino Linotype"/>
          <w:b/>
          <w:i/>
          <w:sz w:val="22"/>
          <w:szCs w:val="22"/>
          <w:lang w:eastAsia="es-ES"/>
        </w:rPr>
        <w:t>, previo acuerdo con la persona Titular de la Secretaría;</w:t>
      </w:r>
    </w:p>
    <w:p w14:paraId="37EF8F85" w14:textId="77777777" w:rsidR="00E853EC" w:rsidRPr="00365BE2" w:rsidRDefault="00E853EC" w:rsidP="00E853EC">
      <w:pPr>
        <w:pStyle w:val="Prrafodelista"/>
        <w:ind w:left="1134"/>
        <w:jc w:val="both"/>
        <w:rPr>
          <w:rFonts w:ascii="Palatino Linotype" w:eastAsia="Palatino Linotype" w:hAnsi="Palatino Linotype" w:cs="Palatino Linotype"/>
          <w:b/>
          <w:i/>
          <w:sz w:val="22"/>
          <w:szCs w:val="22"/>
          <w:lang w:eastAsia="es-ES"/>
        </w:rPr>
      </w:pPr>
      <w:r w:rsidRPr="00365BE2">
        <w:rPr>
          <w:rFonts w:ascii="Palatino Linotype" w:eastAsia="Palatino Linotype" w:hAnsi="Palatino Linotype" w:cs="Palatino Linotype"/>
          <w:b/>
          <w:i/>
          <w:sz w:val="22"/>
          <w:szCs w:val="22"/>
          <w:lang w:eastAsia="es-ES"/>
        </w:rPr>
        <w:t>(III-XVIII)</w:t>
      </w:r>
      <w:r w:rsidR="00287A36" w:rsidRPr="00365BE2">
        <w:rPr>
          <w:rFonts w:ascii="Palatino Linotype" w:eastAsia="Palatino Linotype" w:hAnsi="Palatino Linotype" w:cs="Palatino Linotype"/>
          <w:b/>
          <w:i/>
          <w:sz w:val="22"/>
          <w:szCs w:val="22"/>
          <w:lang w:eastAsia="es-ES"/>
        </w:rPr>
        <w:t xml:space="preserve"> </w:t>
      </w:r>
    </w:p>
    <w:p w14:paraId="37EF8F86" w14:textId="77777777" w:rsidR="00E853EC" w:rsidRPr="00365BE2" w:rsidRDefault="00E853EC" w:rsidP="00E853EC">
      <w:pPr>
        <w:pStyle w:val="Prrafodelista"/>
        <w:ind w:left="1134"/>
        <w:jc w:val="both"/>
        <w:rPr>
          <w:rFonts w:ascii="Palatino Linotype" w:eastAsia="Palatino Linotype" w:hAnsi="Palatino Linotype" w:cs="Palatino Linotype"/>
          <w:b/>
          <w:i/>
          <w:sz w:val="22"/>
          <w:szCs w:val="22"/>
          <w:lang w:eastAsia="es-ES"/>
        </w:rPr>
      </w:pPr>
    </w:p>
    <w:p w14:paraId="37EF8F87" w14:textId="77777777" w:rsidR="00D70A26" w:rsidRPr="00365BE2" w:rsidRDefault="00E853EC" w:rsidP="0023178C">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lastRenderedPageBreak/>
        <w:t>De lo referido, se determina que Subsecretaría de Movilidad, es el área encargada de suscribir los documento</w:t>
      </w:r>
      <w:r w:rsidR="00F012D2" w:rsidRPr="00365BE2">
        <w:rPr>
          <w:rFonts w:ascii="Palatino Linotype" w:eastAsia="Palatino Linotype" w:hAnsi="Palatino Linotype" w:cs="Palatino Linotype"/>
          <w:sz w:val="22"/>
          <w:szCs w:val="22"/>
          <w:lang w:val="es-ES_tradnl" w:eastAsia="es-ES"/>
        </w:rPr>
        <w:t>s relacionados con el otorgamiento de concesiones, permisos, autorizaciones de bases, lanzaderas y derroteros, así como las modificaciones</w:t>
      </w:r>
      <w:r w:rsidR="00D70A26" w:rsidRPr="00365BE2">
        <w:rPr>
          <w:rFonts w:ascii="Palatino Linotype" w:eastAsia="Palatino Linotype" w:hAnsi="Palatino Linotype" w:cs="Palatino Linotype"/>
          <w:sz w:val="22"/>
          <w:szCs w:val="22"/>
          <w:lang w:val="es-ES_tradnl" w:eastAsia="es-ES"/>
        </w:rPr>
        <w:t xml:space="preserve"> a las mismas.</w:t>
      </w:r>
    </w:p>
    <w:p w14:paraId="37EF8F88" w14:textId="77777777" w:rsidR="00D70A26" w:rsidRPr="00365BE2" w:rsidRDefault="00D70A26" w:rsidP="00D70A26">
      <w:pPr>
        <w:spacing w:line="360" w:lineRule="auto"/>
        <w:ind w:left="-566" w:right="-1417"/>
        <w:jc w:val="both"/>
        <w:rPr>
          <w:rFonts w:ascii="Palatino Linotype" w:eastAsia="Palatino Linotype" w:hAnsi="Palatino Linotype" w:cs="Palatino Linotype"/>
          <w:sz w:val="22"/>
          <w:szCs w:val="22"/>
          <w:lang w:val="es-ES_tradnl" w:eastAsia="es-ES"/>
        </w:rPr>
      </w:pPr>
    </w:p>
    <w:p w14:paraId="37EF8F89" w14:textId="77777777" w:rsidR="00D70A26" w:rsidRPr="00365BE2" w:rsidRDefault="00D70A26" w:rsidP="0023178C">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t xml:space="preserve">Seguidamente, el artículo 12 del Reglamento Interior de la Secretaría de Movilidad regula que las Direcciones Generales de Movilidad Zona I, </w:t>
      </w:r>
      <w:r w:rsidRPr="00365BE2">
        <w:rPr>
          <w:rFonts w:ascii="Palatino Linotype" w:eastAsia="Palatino Linotype" w:hAnsi="Palatino Linotype" w:cs="Palatino Linotype"/>
          <w:b/>
          <w:sz w:val="22"/>
          <w:szCs w:val="22"/>
          <w:lang w:val="es-ES_tradnl" w:eastAsia="es-ES"/>
        </w:rPr>
        <w:t>Zona II</w:t>
      </w:r>
      <w:r w:rsidRPr="00365BE2">
        <w:rPr>
          <w:rFonts w:ascii="Palatino Linotype" w:eastAsia="Palatino Linotype" w:hAnsi="Palatino Linotype" w:cs="Palatino Linotype"/>
          <w:sz w:val="22"/>
          <w:szCs w:val="22"/>
          <w:lang w:val="es-ES_tradnl" w:eastAsia="es-ES"/>
        </w:rPr>
        <w:t xml:space="preserve">, Zona III y Zona IV, tienen las siguientes atribuciones. </w:t>
      </w:r>
    </w:p>
    <w:p w14:paraId="37EF8F8A" w14:textId="77777777" w:rsidR="00D70A26" w:rsidRPr="00365BE2" w:rsidRDefault="00D70A26" w:rsidP="00D70A26">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Artículo 12. Corresponden a las Direcciones Generales de Movilidad Zona I, II, III y IV, en su respectiva circunscripción territorial, las atribuciones siguientes:</w:t>
      </w:r>
    </w:p>
    <w:p w14:paraId="37EF8F8B" w14:textId="77777777" w:rsidR="00D70A26" w:rsidRPr="00365BE2" w:rsidRDefault="00D70A26" w:rsidP="00D70A26">
      <w:pPr>
        <w:pStyle w:val="Prrafodelista"/>
        <w:ind w:left="1134" w:right="277"/>
        <w:jc w:val="both"/>
        <w:rPr>
          <w:rFonts w:ascii="Palatino Linotype" w:eastAsia="Palatino Linotype" w:hAnsi="Palatino Linotype" w:cs="Palatino Linotype"/>
          <w:i/>
          <w:sz w:val="22"/>
          <w:szCs w:val="22"/>
          <w:lang w:eastAsia="es-ES"/>
        </w:rPr>
      </w:pPr>
      <w:r w:rsidRPr="00365BE2">
        <w:rPr>
          <w:rFonts w:ascii="Palatino Linotype" w:eastAsia="Palatino Linotype" w:hAnsi="Palatino Linotype" w:cs="Palatino Linotype"/>
          <w:i/>
          <w:sz w:val="22"/>
          <w:szCs w:val="22"/>
          <w:lang w:eastAsia="es-ES"/>
        </w:rPr>
        <w:t xml:space="preserve"> (I-IV)</w:t>
      </w:r>
    </w:p>
    <w:p w14:paraId="37EF8F8C" w14:textId="77777777" w:rsidR="00D70A26" w:rsidRPr="00365BE2" w:rsidRDefault="00D70A26" w:rsidP="00D70A26">
      <w:pPr>
        <w:pStyle w:val="Prrafodelista"/>
        <w:ind w:left="1134" w:right="277"/>
        <w:jc w:val="both"/>
        <w:rPr>
          <w:b/>
          <w:i/>
          <w:sz w:val="22"/>
          <w:szCs w:val="22"/>
        </w:rPr>
      </w:pPr>
      <w:r w:rsidRPr="00365BE2">
        <w:rPr>
          <w:rFonts w:ascii="Palatino Linotype" w:eastAsia="Palatino Linotype" w:hAnsi="Palatino Linotype" w:cs="Palatino Linotype"/>
          <w:b/>
          <w:i/>
          <w:sz w:val="22"/>
          <w:szCs w:val="22"/>
          <w:lang w:eastAsia="es-ES"/>
        </w:rPr>
        <w:t>V. Coordinar la atención a las solicitudes y dar seguimiento a la expedición de concesiones, permisos, autorizaciones de para los alargamientos, derroteros, enlace, enrolamiento, bases, paraderos, frecuencia, rutas y horarios para la operación de los servicios de transporte en la Entidad, de acuerdo con los estudios técnicos y tomando en cuenta la necesidad pública existente;</w:t>
      </w:r>
      <w:r w:rsidRPr="00365BE2">
        <w:rPr>
          <w:b/>
          <w:i/>
          <w:sz w:val="22"/>
          <w:szCs w:val="22"/>
        </w:rPr>
        <w:t xml:space="preserve"> </w:t>
      </w:r>
    </w:p>
    <w:p w14:paraId="37EF8F8D" w14:textId="77777777" w:rsidR="00D70A26" w:rsidRPr="00365BE2" w:rsidRDefault="00D70A26" w:rsidP="00D70A26">
      <w:pPr>
        <w:pStyle w:val="Prrafodelista"/>
        <w:ind w:left="1134" w:right="277"/>
        <w:jc w:val="both"/>
        <w:rPr>
          <w:i/>
          <w:sz w:val="22"/>
          <w:szCs w:val="22"/>
        </w:rPr>
      </w:pPr>
      <w:r w:rsidRPr="00365BE2">
        <w:rPr>
          <w:i/>
          <w:sz w:val="22"/>
          <w:szCs w:val="22"/>
        </w:rPr>
        <w:t>(VI-XVIII)</w:t>
      </w:r>
    </w:p>
    <w:p w14:paraId="37EF8F8E" w14:textId="77777777" w:rsidR="00D70A26" w:rsidRPr="00365BE2" w:rsidRDefault="00D70A26" w:rsidP="00D70A26">
      <w:pPr>
        <w:pStyle w:val="Prrafodelista"/>
        <w:ind w:left="1134" w:right="277"/>
        <w:jc w:val="both"/>
        <w:rPr>
          <w:rFonts w:ascii="Palatino Linotype" w:eastAsia="Palatino Linotype" w:hAnsi="Palatino Linotype" w:cs="Palatino Linotype"/>
          <w:b/>
          <w:i/>
          <w:sz w:val="22"/>
          <w:szCs w:val="22"/>
          <w:lang w:val="es-ES_tradnl" w:eastAsia="es-ES"/>
        </w:rPr>
      </w:pPr>
      <w:r w:rsidRPr="00365BE2">
        <w:rPr>
          <w:rFonts w:ascii="Palatino Linotype" w:eastAsia="Palatino Linotype" w:hAnsi="Palatino Linotype" w:cs="Palatino Linotype"/>
          <w:b/>
          <w:i/>
          <w:sz w:val="22"/>
          <w:szCs w:val="22"/>
          <w:lang w:eastAsia="es-ES"/>
        </w:rPr>
        <w:t>XIX. Dictaminar respecto de la creación, modificación, enlace o cancelación de alargamientos, derroteros, enlaces, enrolamientos, bases, paraderos, frecuencias y horarios, previo acuerdo de la persona titular de la Subsecretaría;</w:t>
      </w:r>
    </w:p>
    <w:p w14:paraId="37EF8F8F" w14:textId="77777777" w:rsidR="00D70A26" w:rsidRPr="00365BE2" w:rsidRDefault="00D70A26" w:rsidP="00277F51">
      <w:pPr>
        <w:rPr>
          <w:rFonts w:ascii="Palatino Linotype" w:eastAsia="Palatino Linotype" w:hAnsi="Palatino Linotype" w:cs="Palatino Linotype"/>
          <w:sz w:val="22"/>
          <w:szCs w:val="22"/>
          <w:lang w:val="es-ES_tradnl" w:eastAsia="es-ES"/>
        </w:rPr>
      </w:pPr>
    </w:p>
    <w:p w14:paraId="37EF8F90" w14:textId="77777777" w:rsidR="00D70A26" w:rsidRPr="00365BE2" w:rsidRDefault="00D70A26" w:rsidP="0023178C">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t>De lo referido en el párrafo anterior, se colige que en el caso en particular la Dirección General de Movilidad de Zona</w:t>
      </w:r>
      <w:r w:rsidR="00F60C4F" w:rsidRPr="00365BE2">
        <w:rPr>
          <w:rFonts w:ascii="Palatino Linotype" w:eastAsia="Palatino Linotype" w:hAnsi="Palatino Linotype" w:cs="Palatino Linotype"/>
          <w:sz w:val="22"/>
          <w:szCs w:val="22"/>
          <w:lang w:val="es-ES_tradnl" w:eastAsia="es-ES"/>
        </w:rPr>
        <w:t xml:space="preserve"> II</w:t>
      </w:r>
      <w:r w:rsidRPr="00365BE2">
        <w:rPr>
          <w:rFonts w:ascii="Palatino Linotype" w:eastAsia="Palatino Linotype" w:hAnsi="Palatino Linotype" w:cs="Palatino Linotype"/>
          <w:sz w:val="22"/>
          <w:szCs w:val="22"/>
          <w:lang w:val="es-ES_tradnl" w:eastAsia="es-ES"/>
        </w:rPr>
        <w:t xml:space="preserve">, que contempla a Naucalpan, que es la región a la que pertenece la ruta referida en la solicitud de información, tiene la atribución de coordinar la atención a las solicitudes y seguimiento a las </w:t>
      </w:r>
      <w:r w:rsidRPr="00365BE2">
        <w:rPr>
          <w:rFonts w:ascii="Palatino Linotype" w:eastAsia="Palatino Linotype" w:hAnsi="Palatino Linotype" w:cs="Palatino Linotype"/>
          <w:b/>
          <w:sz w:val="22"/>
          <w:szCs w:val="22"/>
          <w:lang w:val="es-ES_tradnl" w:eastAsia="es-ES"/>
        </w:rPr>
        <w:t>expediciones</w:t>
      </w:r>
      <w:r w:rsidRPr="00365BE2">
        <w:rPr>
          <w:rFonts w:ascii="Palatino Linotype" w:eastAsia="Palatino Linotype" w:hAnsi="Palatino Linotype" w:cs="Palatino Linotype"/>
          <w:sz w:val="22"/>
          <w:szCs w:val="22"/>
          <w:lang w:val="es-ES_tradnl" w:eastAsia="es-ES"/>
        </w:rPr>
        <w:t xml:space="preserve"> de concesiones, permiso y autorización para </w:t>
      </w:r>
      <w:r w:rsidRPr="00365BE2">
        <w:rPr>
          <w:rFonts w:ascii="Palatino Linotype" w:eastAsia="Palatino Linotype" w:hAnsi="Palatino Linotype" w:cs="Palatino Linotype"/>
          <w:b/>
          <w:sz w:val="22"/>
          <w:szCs w:val="22"/>
          <w:lang w:val="es-ES_tradnl" w:eastAsia="es-ES"/>
        </w:rPr>
        <w:t xml:space="preserve">derroteros, en base a los estudios técnicos. </w:t>
      </w:r>
    </w:p>
    <w:p w14:paraId="37EF8F91" w14:textId="77777777" w:rsidR="00D70A26" w:rsidRPr="00365BE2" w:rsidRDefault="00D70A26" w:rsidP="00D70A26">
      <w:pPr>
        <w:spacing w:line="360" w:lineRule="auto"/>
        <w:ind w:left="-566" w:right="-1417"/>
        <w:jc w:val="both"/>
        <w:rPr>
          <w:rFonts w:ascii="Palatino Linotype" w:eastAsia="Palatino Linotype" w:hAnsi="Palatino Linotype" w:cs="Palatino Linotype"/>
          <w:sz w:val="22"/>
          <w:szCs w:val="22"/>
          <w:lang w:val="es-ES_tradnl" w:eastAsia="es-ES"/>
        </w:rPr>
      </w:pPr>
    </w:p>
    <w:p w14:paraId="37EF8F92" w14:textId="77777777" w:rsidR="00D70A26" w:rsidRPr="00365BE2" w:rsidRDefault="00D70A26" w:rsidP="0023178C">
      <w:pPr>
        <w:numPr>
          <w:ilvl w:val="0"/>
          <w:numId w:val="12"/>
        </w:numPr>
        <w:spacing w:line="360" w:lineRule="auto"/>
        <w:ind w:left="-566" w:right="-1417" w:firstLine="0"/>
        <w:jc w:val="both"/>
        <w:rPr>
          <w:rFonts w:ascii="Palatino Linotype" w:eastAsia="Palatino Linotype" w:hAnsi="Palatino Linotype" w:cs="Palatino Linotype"/>
          <w:sz w:val="22"/>
          <w:szCs w:val="22"/>
          <w:lang w:val="es-ES_tradnl" w:eastAsia="es-ES"/>
        </w:rPr>
      </w:pPr>
      <w:r w:rsidRPr="00365BE2">
        <w:rPr>
          <w:rFonts w:ascii="Palatino Linotype" w:eastAsia="Palatino Linotype" w:hAnsi="Palatino Linotype" w:cs="Palatino Linotype"/>
          <w:sz w:val="22"/>
          <w:szCs w:val="22"/>
          <w:lang w:val="es-ES_tradnl" w:eastAsia="es-ES"/>
        </w:rPr>
        <w:t>También se observa que la Dirección General de Movilidad Zona</w:t>
      </w:r>
      <w:r w:rsidR="00557F18" w:rsidRPr="00365BE2">
        <w:rPr>
          <w:rFonts w:ascii="Palatino Linotype" w:eastAsia="Palatino Linotype" w:hAnsi="Palatino Linotype" w:cs="Palatino Linotype"/>
          <w:sz w:val="22"/>
          <w:szCs w:val="22"/>
          <w:lang w:val="es-ES_tradnl" w:eastAsia="es-ES"/>
        </w:rPr>
        <w:t xml:space="preserve"> II</w:t>
      </w:r>
      <w:r w:rsidRPr="00365BE2">
        <w:rPr>
          <w:rFonts w:ascii="Palatino Linotype" w:eastAsia="Palatino Linotype" w:hAnsi="Palatino Linotype" w:cs="Palatino Linotype"/>
          <w:sz w:val="22"/>
          <w:szCs w:val="22"/>
          <w:lang w:val="es-ES_tradnl" w:eastAsia="es-ES"/>
        </w:rPr>
        <w:t xml:space="preserve">, dentro de sus atribuciones tiene la de dictaminar todo lo relacionado con la creación o modificación, enlaces y cancelaciones de los derroteros en relación con los horarios de servicio. </w:t>
      </w:r>
    </w:p>
    <w:p w14:paraId="37EF8F93" w14:textId="77777777" w:rsidR="008759DF" w:rsidRPr="00365BE2" w:rsidRDefault="008759DF" w:rsidP="008759DF">
      <w:pPr>
        <w:rPr>
          <w:rFonts w:ascii="Palatino Linotype" w:eastAsia="Palatino Linotype" w:hAnsi="Palatino Linotype" w:cs="Palatino Linotype"/>
          <w:sz w:val="22"/>
          <w:szCs w:val="22"/>
        </w:rPr>
      </w:pPr>
    </w:p>
    <w:p w14:paraId="37EF8F94" w14:textId="77777777" w:rsidR="008759DF" w:rsidRPr="00365BE2" w:rsidRDefault="00277F51" w:rsidP="008759DF">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lang w:val="es-ES_tradnl" w:eastAsia="es-ES"/>
        </w:rPr>
        <w:lastRenderedPageBreak/>
        <w:t>De lo anterior</w:t>
      </w:r>
      <w:r w:rsidR="008759DF" w:rsidRPr="00365BE2">
        <w:rPr>
          <w:rFonts w:ascii="Palatino Linotype" w:eastAsia="Palatino Linotype" w:hAnsi="Palatino Linotype" w:cs="Palatino Linotype"/>
          <w:sz w:val="22"/>
          <w:szCs w:val="22"/>
        </w:rPr>
        <w:t xml:space="preserve">, se debe de mencionar que el significado de </w:t>
      </w:r>
      <w:r w:rsidR="008759DF" w:rsidRPr="00365BE2">
        <w:rPr>
          <w:rFonts w:ascii="Palatino Linotype" w:eastAsia="Palatino Linotype" w:hAnsi="Palatino Linotype" w:cs="Palatino Linotype"/>
          <w:b/>
          <w:sz w:val="22"/>
          <w:szCs w:val="22"/>
        </w:rPr>
        <w:t xml:space="preserve">derroteros </w:t>
      </w:r>
      <w:r w:rsidR="008759DF" w:rsidRPr="00365BE2">
        <w:rPr>
          <w:rFonts w:ascii="Palatino Linotype" w:eastAsia="Calibri" w:hAnsi="Palatino Linotype" w:cs="Tahoma"/>
          <w:bCs/>
          <w:sz w:val="22"/>
          <w:szCs w:val="22"/>
        </w:rPr>
        <w:t>versa en las rutas que contemplan las concesiones y las bases de aquellos lugares en los que se otorga el permiso como centro de operaciones de los concesionarios, en este caso de la Asociación referida p</w:t>
      </w:r>
      <w:r w:rsidR="00F60C4F" w:rsidRPr="00365BE2">
        <w:rPr>
          <w:rFonts w:ascii="Palatino Linotype" w:eastAsia="Calibri" w:hAnsi="Palatino Linotype" w:cs="Tahoma"/>
          <w:bCs/>
          <w:sz w:val="22"/>
          <w:szCs w:val="22"/>
        </w:rPr>
        <w:t>or la Dirección General de la II</w:t>
      </w:r>
      <w:r w:rsidR="008759DF" w:rsidRPr="00365BE2">
        <w:rPr>
          <w:rFonts w:ascii="Palatino Linotype" w:eastAsia="Calibri" w:hAnsi="Palatino Linotype" w:cs="Tahoma"/>
          <w:bCs/>
          <w:sz w:val="22"/>
          <w:szCs w:val="22"/>
        </w:rPr>
        <w:t>, de la cual se encontró información</w:t>
      </w:r>
      <w:r w:rsidRPr="00365BE2">
        <w:rPr>
          <w:rFonts w:ascii="Palatino Linotype" w:eastAsia="Calibri" w:hAnsi="Palatino Linotype" w:cs="Tahoma"/>
          <w:bCs/>
          <w:sz w:val="22"/>
          <w:szCs w:val="22"/>
        </w:rPr>
        <w:t xml:space="preserve"> y de la que </w:t>
      </w:r>
      <w:r w:rsidR="00EA0D92" w:rsidRPr="00365BE2">
        <w:rPr>
          <w:rFonts w:ascii="Palatino Linotype" w:eastAsia="Calibri" w:hAnsi="Palatino Linotype" w:cs="Tahoma"/>
          <w:bCs/>
          <w:sz w:val="22"/>
          <w:szCs w:val="22"/>
        </w:rPr>
        <w:t xml:space="preserve">se </w:t>
      </w:r>
      <w:r w:rsidRPr="00365BE2">
        <w:rPr>
          <w:rFonts w:ascii="Palatino Linotype" w:eastAsia="Calibri" w:hAnsi="Palatino Linotype" w:cs="Tahoma"/>
          <w:bCs/>
          <w:sz w:val="22"/>
          <w:szCs w:val="22"/>
        </w:rPr>
        <w:t>puede referir que si existe un centro de operaciones al formarse los camiones de la ruta en el mismo lugar, tal y como se muestra a continuación</w:t>
      </w:r>
      <w:r w:rsidR="00EA0D92" w:rsidRPr="00365BE2">
        <w:rPr>
          <w:rFonts w:ascii="Palatino Linotype" w:eastAsia="Calibri" w:hAnsi="Palatino Linotype" w:cs="Tahoma"/>
          <w:bCs/>
          <w:sz w:val="22"/>
          <w:szCs w:val="22"/>
        </w:rPr>
        <w:t>, ruta que es referida en la solicitud de información.</w:t>
      </w:r>
    </w:p>
    <w:p w14:paraId="37EF8F95" w14:textId="77777777" w:rsidR="00277F51" w:rsidRPr="00365BE2" w:rsidRDefault="00277F51" w:rsidP="00277F51">
      <w:pPr>
        <w:pStyle w:val="Prrafodelista"/>
        <w:rPr>
          <w:sz w:val="22"/>
          <w:szCs w:val="22"/>
        </w:rPr>
      </w:pPr>
    </w:p>
    <w:p w14:paraId="37EF8F96" w14:textId="77777777" w:rsidR="00277F51" w:rsidRPr="00365BE2" w:rsidRDefault="00EA0D92" w:rsidP="00277F51">
      <w:pPr>
        <w:spacing w:line="360" w:lineRule="auto"/>
        <w:ind w:left="360" w:right="-1417"/>
        <w:jc w:val="center"/>
        <w:rPr>
          <w:sz w:val="22"/>
          <w:szCs w:val="22"/>
        </w:rPr>
      </w:pPr>
      <w:r w:rsidRPr="00365BE2">
        <w:rPr>
          <w:noProof/>
          <w:sz w:val="22"/>
          <w:szCs w:val="22"/>
        </w:rPr>
        <w:drawing>
          <wp:inline distT="0" distB="0" distL="0" distR="0" wp14:anchorId="37EF9046" wp14:editId="37EF9047">
            <wp:extent cx="3623481" cy="2313029"/>
            <wp:effectExtent l="152400" t="152400" r="358140" b="35433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30261" cy="2317357"/>
                    </a:xfrm>
                    <a:prstGeom prst="rect">
                      <a:avLst/>
                    </a:prstGeom>
                    <a:ln>
                      <a:noFill/>
                    </a:ln>
                    <a:effectLst>
                      <a:outerShdw blurRad="292100" dist="139700" dir="2700000" algn="tl" rotWithShape="0">
                        <a:srgbClr val="333333">
                          <a:alpha val="65000"/>
                        </a:srgbClr>
                      </a:outerShdw>
                    </a:effectLst>
                  </pic:spPr>
                </pic:pic>
              </a:graphicData>
            </a:graphic>
          </wp:inline>
        </w:drawing>
      </w:r>
    </w:p>
    <w:p w14:paraId="37EF8F97" w14:textId="77777777" w:rsidR="008759DF" w:rsidRPr="00365BE2" w:rsidRDefault="008759DF" w:rsidP="008759DF">
      <w:pPr>
        <w:pStyle w:val="Prrafodelista"/>
        <w:rPr>
          <w:rFonts w:ascii="Palatino Linotype" w:eastAsia="Palatino Linotype" w:hAnsi="Palatino Linotype" w:cs="Palatino Linotype"/>
          <w:sz w:val="22"/>
          <w:szCs w:val="22"/>
        </w:rPr>
      </w:pPr>
    </w:p>
    <w:p w14:paraId="37EF8F98" w14:textId="77777777" w:rsidR="00EA0D92" w:rsidRPr="00365BE2" w:rsidRDefault="00EA0D92" w:rsidP="00EA0D92">
      <w:pPr>
        <w:spacing w:line="360" w:lineRule="auto"/>
        <w:ind w:left="-566" w:right="-1417"/>
        <w:jc w:val="both"/>
        <w:rPr>
          <w:sz w:val="22"/>
          <w:szCs w:val="22"/>
        </w:rPr>
      </w:pPr>
    </w:p>
    <w:p w14:paraId="37EF8F99" w14:textId="77777777" w:rsidR="0089083E" w:rsidRPr="00365BE2" w:rsidRDefault="00EA0D92" w:rsidP="0023178C">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 xml:space="preserve">En ese sentido, para los siguientes puntos de la solicitud de información se contempla que si existe fuente obligacional por la cual el </w:t>
      </w:r>
      <w:r w:rsidRPr="00365BE2">
        <w:rPr>
          <w:rFonts w:ascii="Palatino Linotype" w:eastAsia="Palatino Linotype" w:hAnsi="Palatino Linotype" w:cs="Palatino Linotype"/>
          <w:b/>
          <w:sz w:val="22"/>
          <w:szCs w:val="22"/>
        </w:rPr>
        <w:t xml:space="preserve">SUJETO OBLIGADO </w:t>
      </w:r>
      <w:r w:rsidRPr="00365BE2">
        <w:rPr>
          <w:rFonts w:ascii="Palatino Linotype" w:eastAsia="Palatino Linotype" w:hAnsi="Palatino Linotype" w:cs="Palatino Linotype"/>
          <w:sz w:val="22"/>
          <w:szCs w:val="22"/>
        </w:rPr>
        <w:t>debe de contar con la información solicitada</w:t>
      </w:r>
      <w:r w:rsidR="0089083E" w:rsidRPr="00365BE2">
        <w:rPr>
          <w:rFonts w:ascii="Palatino Linotype" w:eastAsia="Palatino Linotype" w:hAnsi="Palatino Linotype" w:cs="Palatino Linotype"/>
          <w:sz w:val="22"/>
          <w:szCs w:val="22"/>
        </w:rPr>
        <w:t xml:space="preserve">, por lo cual deberá de entregarla para satisfacer el derecho de acceso a la información del </w:t>
      </w:r>
      <w:r w:rsidR="0089083E" w:rsidRPr="00365BE2">
        <w:rPr>
          <w:rFonts w:ascii="Palatino Linotype" w:eastAsia="Palatino Linotype" w:hAnsi="Palatino Linotype" w:cs="Palatino Linotype"/>
          <w:b/>
          <w:sz w:val="22"/>
          <w:szCs w:val="22"/>
        </w:rPr>
        <w:t xml:space="preserve">RECURRENTE. </w:t>
      </w:r>
    </w:p>
    <w:p w14:paraId="37EF8F9A" w14:textId="77777777" w:rsidR="000466C5" w:rsidRPr="00365BE2" w:rsidRDefault="000466C5" w:rsidP="000466C5">
      <w:pPr>
        <w:spacing w:line="360" w:lineRule="auto"/>
        <w:ind w:left="-566" w:right="-1417"/>
        <w:jc w:val="both"/>
        <w:rPr>
          <w:sz w:val="22"/>
          <w:szCs w:val="22"/>
        </w:rPr>
      </w:pPr>
    </w:p>
    <w:p w14:paraId="37EF8F9B" w14:textId="77777777" w:rsidR="0089083E" w:rsidRPr="00365BE2" w:rsidRDefault="0089083E" w:rsidP="0089083E">
      <w:pPr>
        <w:pBdr>
          <w:top w:val="nil"/>
          <w:left w:val="nil"/>
          <w:bottom w:val="nil"/>
          <w:right w:val="nil"/>
          <w:between w:val="nil"/>
        </w:pBdr>
        <w:spacing w:line="360" w:lineRule="auto"/>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De la lanzadera de la Ruta 18 del Ramal que corre de Jesús del Monte a la estación del Metro Cuatro Caminos </w:t>
      </w:r>
    </w:p>
    <w:p w14:paraId="37EF8F9C" w14:textId="77777777" w:rsidR="0089083E" w:rsidRPr="00365BE2" w:rsidRDefault="0089083E" w:rsidP="0089083E">
      <w:pPr>
        <w:pBdr>
          <w:top w:val="nil"/>
          <w:left w:val="nil"/>
          <w:bottom w:val="nil"/>
          <w:right w:val="nil"/>
          <w:between w:val="nil"/>
        </w:pBdr>
        <w:spacing w:line="360" w:lineRule="auto"/>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lastRenderedPageBreak/>
        <w:t xml:space="preserve">1.- Copia de la Autorización de otorgamiento de derrotero: </w:t>
      </w:r>
      <w:r w:rsidRPr="00365BE2">
        <w:rPr>
          <w:rFonts w:ascii="Palatino Linotype" w:eastAsia="Palatino Linotype" w:hAnsi="Palatino Linotype" w:cs="Palatino Linotype"/>
          <w:i/>
          <w:sz w:val="22"/>
          <w:szCs w:val="22"/>
        </w:rPr>
        <w:t xml:space="preserve">se comprobó en estudio que la Secretaría de Movilidad al autorizar la Concesión, también autoriza los trámites consecuentes, en este caso el de derrotero. </w:t>
      </w:r>
    </w:p>
    <w:p w14:paraId="37EF8F9D" w14:textId="77777777" w:rsidR="0089083E" w:rsidRPr="00365BE2" w:rsidRDefault="0089083E" w:rsidP="0089083E">
      <w:pPr>
        <w:pBdr>
          <w:top w:val="nil"/>
          <w:left w:val="nil"/>
          <w:bottom w:val="nil"/>
          <w:right w:val="nil"/>
          <w:between w:val="nil"/>
        </w:pBdr>
        <w:spacing w:line="360" w:lineRule="auto"/>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 xml:space="preserve">2.- Número de unidades permitidas dentro de la autorización señalada y si cuenta con la posibilidad de aumentar dicho número o si tiene una limitante de unidades registradas y en funcionamiento: </w:t>
      </w:r>
      <w:r w:rsidRPr="00365BE2">
        <w:rPr>
          <w:rFonts w:ascii="Palatino Linotype" w:eastAsia="Palatino Linotype" w:hAnsi="Palatino Linotype" w:cs="Palatino Linotype"/>
          <w:i/>
          <w:sz w:val="22"/>
          <w:szCs w:val="22"/>
        </w:rPr>
        <w:t xml:space="preserve">son datos que deben de ser contemplados en la autorización, toda vez que derivan del estudio técnico que se realiza para conceder la autorización. </w:t>
      </w:r>
    </w:p>
    <w:p w14:paraId="37EF8F9E" w14:textId="77777777" w:rsidR="0089083E" w:rsidRPr="00365BE2" w:rsidRDefault="0089083E" w:rsidP="0089083E">
      <w:pPr>
        <w:pBdr>
          <w:top w:val="nil"/>
          <w:left w:val="nil"/>
          <w:bottom w:val="nil"/>
          <w:right w:val="nil"/>
          <w:between w:val="nil"/>
        </w:pBdr>
        <w:spacing w:line="360" w:lineRule="auto"/>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 xml:space="preserve">3.- Indique el número de unidades que actualmente se encuentran adscritas y operando en el recorrido de la ruta: </w:t>
      </w:r>
      <w:r w:rsidRPr="00365BE2">
        <w:rPr>
          <w:rFonts w:ascii="Palatino Linotype" w:eastAsia="Palatino Linotype" w:hAnsi="Palatino Linotype" w:cs="Palatino Linotype"/>
          <w:i/>
          <w:sz w:val="22"/>
          <w:szCs w:val="22"/>
        </w:rPr>
        <w:t xml:space="preserve">datos que forman parte de la concesión otorgado a las personas físicas o morales que brindan el servicio de transporte público. </w:t>
      </w:r>
    </w:p>
    <w:p w14:paraId="37EF8F9F" w14:textId="77777777" w:rsidR="0089083E" w:rsidRPr="00365BE2" w:rsidRDefault="0089083E" w:rsidP="00D97CCD">
      <w:pPr>
        <w:pBdr>
          <w:top w:val="nil"/>
          <w:left w:val="nil"/>
          <w:bottom w:val="nil"/>
          <w:right w:val="nil"/>
          <w:between w:val="nil"/>
        </w:pBdr>
        <w:spacing w:line="360" w:lineRule="auto"/>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 xml:space="preserve">5.-Señale los lineamientos que regulan el aparcamiento o base de las unidades dentro de las lanzaderas: </w:t>
      </w:r>
      <w:r w:rsidRPr="00365BE2">
        <w:rPr>
          <w:rFonts w:ascii="Palatino Linotype" w:eastAsia="Palatino Linotype" w:hAnsi="Palatino Linotype" w:cs="Palatino Linotype"/>
          <w:i/>
          <w:sz w:val="22"/>
          <w:szCs w:val="22"/>
        </w:rPr>
        <w:t xml:space="preserve">como se demostró en estudio el </w:t>
      </w:r>
      <w:r w:rsidRPr="00365BE2">
        <w:rPr>
          <w:rFonts w:ascii="Palatino Linotype" w:eastAsia="Palatino Linotype" w:hAnsi="Palatino Linotype" w:cs="Palatino Linotype"/>
          <w:b/>
          <w:i/>
          <w:sz w:val="22"/>
          <w:szCs w:val="22"/>
        </w:rPr>
        <w:t xml:space="preserve">SUJETO OBLIGADO </w:t>
      </w:r>
      <w:r w:rsidRPr="00365BE2">
        <w:rPr>
          <w:rFonts w:ascii="Palatino Linotype" w:eastAsia="Palatino Linotype" w:hAnsi="Palatino Linotype" w:cs="Palatino Linotype"/>
          <w:i/>
          <w:sz w:val="22"/>
          <w:szCs w:val="22"/>
        </w:rPr>
        <w:t>sabe y conoce las Leyes y Reglamentos sobre los cuales autoriza los permisos para lanzaderas.</w:t>
      </w:r>
      <w:r w:rsidR="00D97CCD" w:rsidRPr="00365BE2">
        <w:rPr>
          <w:rFonts w:ascii="Palatino Linotype" w:eastAsia="Palatino Linotype" w:hAnsi="Palatino Linotype" w:cs="Palatino Linotype"/>
          <w:i/>
          <w:sz w:val="22"/>
          <w:szCs w:val="22"/>
        </w:rPr>
        <w:t xml:space="preserve">  </w:t>
      </w:r>
    </w:p>
    <w:p w14:paraId="37EF8FA0" w14:textId="77777777" w:rsidR="0089083E" w:rsidRPr="00365BE2" w:rsidRDefault="0089083E" w:rsidP="0089083E">
      <w:pPr>
        <w:pBdr>
          <w:top w:val="nil"/>
          <w:left w:val="nil"/>
          <w:bottom w:val="nil"/>
          <w:right w:val="nil"/>
          <w:between w:val="nil"/>
        </w:pBdr>
        <w:spacing w:line="360" w:lineRule="auto"/>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 xml:space="preserve">6.- Copia de los estudios técnicos que permitieron o dieron origen a la Autorización de otorgamiento de derrotero: </w:t>
      </w:r>
      <w:r w:rsidRPr="00365BE2">
        <w:rPr>
          <w:rFonts w:ascii="Palatino Linotype" w:eastAsia="Palatino Linotype" w:hAnsi="Palatino Linotype" w:cs="Palatino Linotype"/>
          <w:i/>
          <w:sz w:val="22"/>
          <w:szCs w:val="22"/>
        </w:rPr>
        <w:t xml:space="preserve">como se demostró en estudio </w:t>
      </w:r>
      <w:r w:rsidR="00D97CCD" w:rsidRPr="00365BE2">
        <w:rPr>
          <w:rFonts w:ascii="Palatino Linotype" w:eastAsia="Palatino Linotype" w:hAnsi="Palatino Linotype" w:cs="Palatino Linotype"/>
          <w:i/>
          <w:sz w:val="22"/>
          <w:szCs w:val="22"/>
        </w:rPr>
        <w:t>la Dirección General de Movilidad Zona</w:t>
      </w:r>
      <w:r w:rsidR="000466C5" w:rsidRPr="00365BE2">
        <w:rPr>
          <w:rFonts w:ascii="Palatino Linotype" w:eastAsia="Palatino Linotype" w:hAnsi="Palatino Linotype" w:cs="Palatino Linotype"/>
          <w:i/>
          <w:sz w:val="22"/>
          <w:szCs w:val="22"/>
        </w:rPr>
        <w:t xml:space="preserve"> II</w:t>
      </w:r>
      <w:r w:rsidR="00D97CCD" w:rsidRPr="00365BE2">
        <w:rPr>
          <w:rFonts w:ascii="Palatino Linotype" w:eastAsia="Palatino Linotype" w:hAnsi="Palatino Linotype" w:cs="Palatino Linotype"/>
          <w:i/>
          <w:sz w:val="22"/>
          <w:szCs w:val="22"/>
        </w:rPr>
        <w:t xml:space="preserve"> expide las autorizaciones de derroteros, en base a los resultados </w:t>
      </w:r>
      <w:r w:rsidR="000466C5" w:rsidRPr="00365BE2">
        <w:rPr>
          <w:rFonts w:ascii="Palatino Linotype" w:eastAsia="Palatino Linotype" w:hAnsi="Palatino Linotype" w:cs="Palatino Linotype"/>
          <w:i/>
          <w:sz w:val="22"/>
          <w:szCs w:val="22"/>
        </w:rPr>
        <w:t xml:space="preserve">de los estudios técnicos, en los que se toma en cuenta las necesidad públicas de las personas. </w:t>
      </w:r>
    </w:p>
    <w:p w14:paraId="37EF8FA1" w14:textId="77777777" w:rsidR="0089083E" w:rsidRPr="00365BE2" w:rsidRDefault="0089083E" w:rsidP="0089083E">
      <w:pPr>
        <w:pBdr>
          <w:top w:val="nil"/>
          <w:left w:val="nil"/>
          <w:bottom w:val="nil"/>
          <w:right w:val="nil"/>
          <w:between w:val="nil"/>
        </w:pBdr>
        <w:spacing w:line="360" w:lineRule="auto"/>
        <w:ind w:left="1134" w:right="277"/>
        <w:jc w:val="both"/>
        <w:rPr>
          <w:rFonts w:ascii="Palatino Linotype" w:eastAsia="Palatino Linotype" w:hAnsi="Palatino Linotype" w:cs="Palatino Linotype"/>
          <w:i/>
          <w:sz w:val="22"/>
          <w:szCs w:val="22"/>
        </w:rPr>
      </w:pPr>
      <w:r w:rsidRPr="00365BE2">
        <w:rPr>
          <w:rFonts w:ascii="Palatino Linotype" w:eastAsia="Palatino Linotype" w:hAnsi="Palatino Linotype" w:cs="Palatino Linotype"/>
          <w:b/>
          <w:i/>
          <w:sz w:val="22"/>
          <w:szCs w:val="22"/>
        </w:rPr>
        <w:t>7.- Copia del Plano e Itinerario de la ruta desde su origen hasta su destino y viceversa que ha de seguir</w:t>
      </w:r>
      <w:r w:rsidR="000466C5" w:rsidRPr="00365BE2">
        <w:rPr>
          <w:rFonts w:ascii="Palatino Linotype" w:eastAsia="Palatino Linotype" w:hAnsi="Palatino Linotype" w:cs="Palatino Linotype"/>
          <w:b/>
          <w:i/>
          <w:sz w:val="22"/>
          <w:szCs w:val="22"/>
        </w:rPr>
        <w:t xml:space="preserve">: </w:t>
      </w:r>
      <w:r w:rsidR="000466C5" w:rsidRPr="00365BE2">
        <w:rPr>
          <w:rFonts w:ascii="Palatino Linotype" w:eastAsia="Palatino Linotype" w:hAnsi="Palatino Linotype" w:cs="Palatino Linotype"/>
          <w:i/>
          <w:sz w:val="22"/>
          <w:szCs w:val="22"/>
        </w:rPr>
        <w:t xml:space="preserve">del estudio realizado se colige que la Dirección General de Movilidad Zona II, al autorizar los permisos tiene que contemplar las rutas y horarios de las mismas, por lo que el </w:t>
      </w:r>
      <w:r w:rsidR="000466C5" w:rsidRPr="00365BE2">
        <w:rPr>
          <w:rFonts w:ascii="Palatino Linotype" w:eastAsia="Palatino Linotype" w:hAnsi="Palatino Linotype" w:cs="Palatino Linotype"/>
          <w:b/>
          <w:i/>
          <w:sz w:val="22"/>
          <w:szCs w:val="22"/>
        </w:rPr>
        <w:t xml:space="preserve">SUJETO OBLIGADO </w:t>
      </w:r>
      <w:r w:rsidR="000466C5" w:rsidRPr="00365BE2">
        <w:rPr>
          <w:rFonts w:ascii="Palatino Linotype" w:eastAsia="Palatino Linotype" w:hAnsi="Palatino Linotype" w:cs="Palatino Linotype"/>
          <w:i/>
          <w:sz w:val="22"/>
          <w:szCs w:val="22"/>
        </w:rPr>
        <w:t xml:space="preserve">si cuenta con la información solicitada. </w:t>
      </w:r>
    </w:p>
    <w:p w14:paraId="37EF8FA2" w14:textId="77777777" w:rsidR="0089083E" w:rsidRPr="00365BE2" w:rsidRDefault="0089083E" w:rsidP="0089083E">
      <w:pPr>
        <w:spacing w:line="360" w:lineRule="auto"/>
        <w:ind w:left="-566" w:right="-1417"/>
        <w:jc w:val="both"/>
        <w:rPr>
          <w:sz w:val="22"/>
          <w:szCs w:val="22"/>
        </w:rPr>
      </w:pPr>
    </w:p>
    <w:p w14:paraId="37EF8FA3" w14:textId="77777777" w:rsidR="00557F18" w:rsidRPr="00365BE2" w:rsidRDefault="00D70A26" w:rsidP="00557F18">
      <w:pPr>
        <w:numPr>
          <w:ilvl w:val="0"/>
          <w:numId w:val="12"/>
        </w:numPr>
        <w:spacing w:line="360" w:lineRule="auto"/>
        <w:ind w:left="-566" w:right="-1417" w:firstLine="0"/>
        <w:jc w:val="both"/>
        <w:rPr>
          <w:rFonts w:ascii="Palatino Linotype" w:eastAsia="Palatino Linotype" w:hAnsi="Palatino Linotype" w:cs="Palatino Linotype"/>
          <w:b/>
          <w:sz w:val="22"/>
          <w:szCs w:val="22"/>
        </w:rPr>
      </w:pPr>
      <w:r w:rsidRPr="00365BE2">
        <w:rPr>
          <w:rFonts w:ascii="Palatino Linotype" w:eastAsia="Palatino Linotype" w:hAnsi="Palatino Linotype" w:cs="Palatino Linotype"/>
          <w:sz w:val="22"/>
          <w:szCs w:val="22"/>
        </w:rPr>
        <w:t>Ahora bien,</w:t>
      </w:r>
      <w:r w:rsidR="000466C5" w:rsidRPr="00365BE2">
        <w:rPr>
          <w:rFonts w:ascii="Palatino Linotype" w:eastAsia="Palatino Linotype" w:hAnsi="Palatino Linotype" w:cs="Palatino Linotype"/>
          <w:sz w:val="22"/>
          <w:szCs w:val="22"/>
        </w:rPr>
        <w:t xml:space="preserve"> respecto del punto de la solicitud</w:t>
      </w:r>
      <w:r w:rsidR="00557F18" w:rsidRPr="00365BE2">
        <w:rPr>
          <w:rFonts w:ascii="Palatino Linotype" w:eastAsia="Palatino Linotype" w:hAnsi="Palatino Linotype" w:cs="Palatino Linotype"/>
          <w:sz w:val="22"/>
          <w:szCs w:val="22"/>
        </w:rPr>
        <w:t xml:space="preserve"> </w:t>
      </w:r>
      <w:r w:rsidR="000466C5" w:rsidRPr="00365BE2">
        <w:rPr>
          <w:rFonts w:ascii="Palatino Linotype" w:eastAsia="Palatino Linotype" w:hAnsi="Palatino Linotype" w:cs="Palatino Linotype"/>
          <w:sz w:val="22"/>
          <w:szCs w:val="22"/>
        </w:rPr>
        <w:t>“</w:t>
      </w:r>
      <w:r w:rsidR="000466C5" w:rsidRPr="00365BE2">
        <w:rPr>
          <w:rFonts w:ascii="Palatino Linotype" w:eastAsia="Palatino Linotype" w:hAnsi="Palatino Linotype" w:cs="Palatino Linotype"/>
          <w:b/>
          <w:i/>
          <w:sz w:val="22"/>
          <w:szCs w:val="22"/>
        </w:rPr>
        <w:t xml:space="preserve">4.- Indique el número de unidades que pueden aparcar o hacer base en las lanzaderas, con el documento que establece el número autorizado o determinado para aparcar o hacer base en las lanzaderas o áreas aledañas”, </w:t>
      </w:r>
      <w:r w:rsidR="000466C5" w:rsidRPr="00365BE2">
        <w:rPr>
          <w:rFonts w:ascii="Palatino Linotype" w:eastAsia="Palatino Linotype" w:hAnsi="Palatino Linotype" w:cs="Palatino Linotype"/>
          <w:sz w:val="22"/>
          <w:szCs w:val="22"/>
        </w:rPr>
        <w:t xml:space="preserve">se debe de contemplar que el </w:t>
      </w:r>
      <w:r w:rsidR="000466C5" w:rsidRPr="00365BE2">
        <w:rPr>
          <w:rFonts w:ascii="Palatino Linotype" w:eastAsia="Palatino Linotype" w:hAnsi="Palatino Linotype" w:cs="Palatino Linotype"/>
          <w:b/>
          <w:sz w:val="22"/>
          <w:szCs w:val="22"/>
        </w:rPr>
        <w:t xml:space="preserve">SUJETO OBLIGADO </w:t>
      </w:r>
      <w:r w:rsidR="000466C5" w:rsidRPr="00365BE2">
        <w:rPr>
          <w:rFonts w:ascii="Palatino Linotype" w:eastAsia="Palatino Linotype" w:hAnsi="Palatino Linotype" w:cs="Palatino Linotype"/>
          <w:sz w:val="22"/>
          <w:szCs w:val="22"/>
        </w:rPr>
        <w:t>por medio de la Dirección de Movilidad Zona I</w:t>
      </w:r>
      <w:r w:rsidR="00557F18" w:rsidRPr="00365BE2">
        <w:rPr>
          <w:rFonts w:ascii="Palatino Linotype" w:eastAsia="Palatino Linotype" w:hAnsi="Palatino Linotype" w:cs="Palatino Linotype"/>
          <w:sz w:val="22"/>
          <w:szCs w:val="22"/>
        </w:rPr>
        <w:t>I</w:t>
      </w:r>
      <w:r w:rsidR="000466C5" w:rsidRPr="00365BE2">
        <w:rPr>
          <w:rFonts w:ascii="Palatino Linotype" w:eastAsia="Palatino Linotype" w:hAnsi="Palatino Linotype" w:cs="Palatino Linotype"/>
          <w:sz w:val="22"/>
          <w:szCs w:val="22"/>
        </w:rPr>
        <w:t xml:space="preserve">, </w:t>
      </w:r>
      <w:r w:rsidR="000466C5" w:rsidRPr="00365BE2">
        <w:rPr>
          <w:rFonts w:ascii="Palatino Linotype" w:eastAsia="Palatino Linotype" w:hAnsi="Palatino Linotype" w:cs="Palatino Linotype"/>
          <w:b/>
          <w:sz w:val="22"/>
          <w:szCs w:val="22"/>
        </w:rPr>
        <w:t xml:space="preserve">refiere </w:t>
      </w:r>
      <w:r w:rsidR="000466C5" w:rsidRPr="00365BE2">
        <w:rPr>
          <w:rFonts w:ascii="Palatino Linotype" w:eastAsia="Palatino Linotype" w:hAnsi="Palatino Linotype" w:cs="Palatino Linotype"/>
          <w:sz w:val="22"/>
          <w:szCs w:val="22"/>
        </w:rPr>
        <w:t xml:space="preserve">que </w:t>
      </w:r>
      <w:r w:rsidR="00557F18" w:rsidRPr="00365BE2">
        <w:rPr>
          <w:rFonts w:ascii="Palatino Linotype" w:eastAsia="Palatino Linotype" w:hAnsi="Palatino Linotype" w:cs="Palatino Linotype"/>
          <w:sz w:val="22"/>
          <w:szCs w:val="22"/>
        </w:rPr>
        <w:t xml:space="preserve"> el término de "Lanzadera" no aplica al servicio que tiene autorizada la moral "Asociación de Propietarios y </w:t>
      </w:r>
      <w:proofErr w:type="spellStart"/>
      <w:r w:rsidR="00557F18" w:rsidRPr="00365BE2">
        <w:rPr>
          <w:rFonts w:ascii="Palatino Linotype" w:eastAsia="Palatino Linotype" w:hAnsi="Palatino Linotype" w:cs="Palatino Linotype"/>
          <w:sz w:val="22"/>
          <w:szCs w:val="22"/>
        </w:rPr>
        <w:t>Autotransportistas</w:t>
      </w:r>
      <w:proofErr w:type="spellEnd"/>
      <w:r w:rsidR="00557F18" w:rsidRPr="00365BE2">
        <w:rPr>
          <w:rFonts w:ascii="Palatino Linotype" w:eastAsia="Palatino Linotype" w:hAnsi="Palatino Linotype" w:cs="Palatino Linotype"/>
          <w:sz w:val="22"/>
          <w:szCs w:val="22"/>
        </w:rPr>
        <w:t xml:space="preserve"> de Palo Solo y Ramales Ruta 18, S.A. de C.V", situación por la cual este punto de la solicitud de información, se debe de tener como un hecho negativo</w:t>
      </w:r>
      <w:r w:rsidR="008C7DB2" w:rsidRPr="00365BE2">
        <w:rPr>
          <w:rFonts w:ascii="Palatino Linotype" w:eastAsia="Palatino Linotype" w:hAnsi="Palatino Linotype" w:cs="Palatino Linotype"/>
          <w:sz w:val="22"/>
          <w:szCs w:val="22"/>
        </w:rPr>
        <w:t xml:space="preserve">, toda vez que al manifestarse el área habilitada es que no se debe de dudar de la veracidad de lo informado en la etapa de manifestaciones. </w:t>
      </w:r>
    </w:p>
    <w:p w14:paraId="37EF8FA4" w14:textId="77777777" w:rsidR="008C7DB2" w:rsidRPr="00365BE2" w:rsidRDefault="008C7DB2" w:rsidP="00453BF9">
      <w:pPr>
        <w:pStyle w:val="Prrafodelista"/>
        <w:ind w:left="1134" w:right="277"/>
        <w:jc w:val="both"/>
        <w:rPr>
          <w:rFonts w:ascii="Palatino Linotype" w:hAnsi="Palatino Linotype" w:cs="Tahoma"/>
          <w:bCs/>
          <w:i/>
          <w:sz w:val="22"/>
          <w:szCs w:val="22"/>
        </w:rPr>
      </w:pPr>
      <w:r w:rsidRPr="00365BE2">
        <w:rPr>
          <w:rFonts w:ascii="Palatino Linotype" w:hAnsi="Palatino Linotype" w:cs="Tahoma"/>
          <w:bCs/>
          <w:i/>
          <w:sz w:val="22"/>
          <w:szCs w:val="22"/>
        </w:rPr>
        <w:t>«</w:t>
      </w:r>
      <w:r w:rsidRPr="00365BE2">
        <w:rPr>
          <w:rFonts w:ascii="Palatino Linotype" w:hAnsi="Palatino Linotype" w:cs="Tahoma"/>
          <w:b/>
          <w:bCs/>
          <w:i/>
          <w:sz w:val="22"/>
          <w:szCs w:val="22"/>
        </w:rPr>
        <w:t>HECHOS NEGATIVOS, NO SON SUSCEPTIBLES DE DEMOSTRACIÓN.</w:t>
      </w:r>
    </w:p>
    <w:p w14:paraId="37EF8FA5" w14:textId="77777777" w:rsidR="008C7DB2" w:rsidRPr="00365BE2" w:rsidRDefault="008C7DB2" w:rsidP="00453BF9">
      <w:pPr>
        <w:pStyle w:val="Prrafodelista"/>
        <w:ind w:left="1134" w:right="277"/>
        <w:jc w:val="both"/>
        <w:rPr>
          <w:rFonts w:ascii="Palatino Linotype" w:hAnsi="Palatino Linotype" w:cs="Tahoma"/>
          <w:bCs/>
          <w:i/>
          <w:sz w:val="22"/>
          <w:szCs w:val="22"/>
        </w:rPr>
      </w:pPr>
      <w:r w:rsidRPr="00365BE2">
        <w:rPr>
          <w:rFonts w:ascii="Palatino Linotype" w:hAnsi="Palatino Linotype" w:cs="Tahoma"/>
          <w:bCs/>
          <w:i/>
          <w:sz w:val="22"/>
          <w:szCs w:val="22"/>
        </w:rPr>
        <w:t>Tratándose de un hecho negativo, el Juez no tiene por qué invocar prueba alguna de la que se desprenda, ya que es bien sabido que esta clase de hechos no son susceptibles de demostración.</w:t>
      </w:r>
    </w:p>
    <w:p w14:paraId="37EF8FA6" w14:textId="77777777" w:rsidR="008C7DB2" w:rsidRPr="00365BE2" w:rsidRDefault="008C7DB2" w:rsidP="00453BF9">
      <w:pPr>
        <w:pStyle w:val="Prrafodelista"/>
        <w:ind w:left="1134" w:right="277"/>
        <w:jc w:val="both"/>
        <w:rPr>
          <w:rFonts w:ascii="Palatino Linotype" w:hAnsi="Palatino Linotype" w:cs="Tahoma"/>
          <w:bCs/>
          <w:i/>
          <w:sz w:val="22"/>
          <w:szCs w:val="22"/>
        </w:rPr>
      </w:pPr>
    </w:p>
    <w:p w14:paraId="37EF8FA7" w14:textId="77777777" w:rsidR="008C7DB2" w:rsidRPr="00365BE2" w:rsidRDefault="008C7DB2" w:rsidP="00453BF9">
      <w:pPr>
        <w:pStyle w:val="Prrafodelista"/>
        <w:ind w:left="1134" w:right="277"/>
        <w:jc w:val="both"/>
        <w:rPr>
          <w:rFonts w:ascii="Palatino Linotype" w:hAnsi="Palatino Linotype" w:cs="Tahoma"/>
          <w:bCs/>
          <w:i/>
          <w:sz w:val="22"/>
          <w:szCs w:val="22"/>
        </w:rPr>
      </w:pPr>
      <w:r w:rsidRPr="00365BE2">
        <w:rPr>
          <w:rFonts w:ascii="Palatino Linotype" w:hAnsi="Palatino Linotype" w:cs="Tahoma"/>
          <w:bCs/>
          <w:i/>
          <w:sz w:val="22"/>
          <w:szCs w:val="22"/>
        </w:rPr>
        <w:t>Amparo en revisión 2022/61. José García Florín (Menor). 9 de octubre de 1961. Cinco votos. Ponente: José Rivera Pérez Campos</w:t>
      </w:r>
    </w:p>
    <w:p w14:paraId="37EF8FA8" w14:textId="77777777" w:rsidR="008C7DB2" w:rsidRPr="00365BE2" w:rsidRDefault="008C7DB2" w:rsidP="008C7DB2">
      <w:pPr>
        <w:spacing w:line="360" w:lineRule="auto"/>
        <w:ind w:right="616"/>
        <w:jc w:val="both"/>
        <w:rPr>
          <w:rFonts w:ascii="Palatino Linotype" w:hAnsi="Palatino Linotype" w:cs="Tahoma"/>
          <w:bCs/>
          <w:sz w:val="22"/>
          <w:szCs w:val="22"/>
        </w:rPr>
      </w:pPr>
    </w:p>
    <w:p w14:paraId="37EF8FA9" w14:textId="77777777" w:rsidR="00453BF9" w:rsidRPr="00365BE2" w:rsidRDefault="00453BF9" w:rsidP="008C7DB2">
      <w:pPr>
        <w:numPr>
          <w:ilvl w:val="0"/>
          <w:numId w:val="12"/>
        </w:numPr>
        <w:spacing w:line="360" w:lineRule="auto"/>
        <w:ind w:left="-566" w:right="-1417" w:firstLine="0"/>
        <w:jc w:val="both"/>
        <w:rPr>
          <w:rFonts w:ascii="Palatino Linotype" w:eastAsia="MS Mincho" w:hAnsi="Palatino Linotype"/>
          <w:sz w:val="22"/>
          <w:szCs w:val="22"/>
        </w:rPr>
      </w:pPr>
      <w:r w:rsidRPr="00365BE2">
        <w:rPr>
          <w:rFonts w:ascii="Palatino Linotype" w:hAnsi="Palatino Linotype" w:cs="Arial"/>
          <w:sz w:val="22"/>
          <w:szCs w:val="22"/>
        </w:rPr>
        <w:t>Por último, en cuanto al punto de la solicitud de información “</w:t>
      </w:r>
      <w:r w:rsidRPr="00365BE2">
        <w:rPr>
          <w:rFonts w:ascii="Palatino Linotype" w:eastAsia="Palatino Linotype" w:hAnsi="Palatino Linotype" w:cs="Palatino Linotype"/>
          <w:b/>
          <w:i/>
          <w:sz w:val="22"/>
          <w:szCs w:val="22"/>
        </w:rPr>
        <w:t xml:space="preserve">Copia de las concesiones otorgadas a las unidades que actualmente se encuentran adscritas y operan en el recorrido de la Ruta 18 del Ramal”, </w:t>
      </w:r>
      <w:r w:rsidRPr="00365BE2">
        <w:rPr>
          <w:rFonts w:ascii="Palatino Linotype" w:eastAsia="Palatino Linotype" w:hAnsi="Palatino Linotype" w:cs="Palatino Linotype"/>
          <w:sz w:val="22"/>
          <w:szCs w:val="22"/>
        </w:rPr>
        <w:t xml:space="preserve">se debe de desprender que la Dirección General de Movilidad Zona II, refiere que quien tiene la concesión de la ruta referida en la solicitud de información es la </w:t>
      </w:r>
      <w:r w:rsidRPr="00365BE2">
        <w:rPr>
          <w:rFonts w:ascii="Palatino Linotype" w:eastAsia="Palatino Linotype" w:hAnsi="Palatino Linotype" w:cs="Palatino Linotype"/>
          <w:b/>
          <w:sz w:val="22"/>
          <w:szCs w:val="22"/>
        </w:rPr>
        <w:t xml:space="preserve">Asociación de Propietarios y </w:t>
      </w:r>
      <w:proofErr w:type="spellStart"/>
      <w:r w:rsidRPr="00365BE2">
        <w:rPr>
          <w:rFonts w:ascii="Palatino Linotype" w:eastAsia="Palatino Linotype" w:hAnsi="Palatino Linotype" w:cs="Palatino Linotype"/>
          <w:b/>
          <w:sz w:val="22"/>
          <w:szCs w:val="22"/>
        </w:rPr>
        <w:t>Autotransportistas</w:t>
      </w:r>
      <w:proofErr w:type="spellEnd"/>
      <w:r w:rsidRPr="00365BE2">
        <w:rPr>
          <w:rFonts w:ascii="Palatino Linotype" w:eastAsia="Palatino Linotype" w:hAnsi="Palatino Linotype" w:cs="Palatino Linotype"/>
          <w:b/>
          <w:sz w:val="22"/>
          <w:szCs w:val="22"/>
        </w:rPr>
        <w:t xml:space="preserve"> de Palo Solo y Ramales Ruta 18, S.A. de C.V</w:t>
      </w:r>
      <w:r w:rsidRPr="00365BE2">
        <w:rPr>
          <w:rFonts w:ascii="Palatino Linotype" w:eastAsia="Palatino Linotype" w:hAnsi="Palatino Linotype" w:cs="Palatino Linotype"/>
          <w:sz w:val="22"/>
          <w:szCs w:val="22"/>
        </w:rPr>
        <w:t xml:space="preserve">, por lo que al haber quedado precisado en estudio que la Secretaría de Movilidad es quien autoriza la concesiones, debe de contar con el documento en donde la referida asociación se le concedió que brindara el servicio de transporte público. </w:t>
      </w:r>
    </w:p>
    <w:p w14:paraId="37EF8FAA" w14:textId="77777777" w:rsidR="00453BF9" w:rsidRPr="00365BE2" w:rsidRDefault="00453BF9" w:rsidP="00453BF9">
      <w:pPr>
        <w:spacing w:line="360" w:lineRule="auto"/>
        <w:ind w:left="-566" w:right="-1417"/>
        <w:jc w:val="both"/>
        <w:rPr>
          <w:rFonts w:ascii="Palatino Linotype" w:eastAsia="MS Mincho" w:hAnsi="Palatino Linotype"/>
          <w:sz w:val="22"/>
          <w:szCs w:val="22"/>
        </w:rPr>
      </w:pPr>
    </w:p>
    <w:p w14:paraId="37EF8FAB" w14:textId="77777777" w:rsidR="00C92935" w:rsidRPr="00365BE2" w:rsidRDefault="00453BF9" w:rsidP="008C7DB2">
      <w:pPr>
        <w:numPr>
          <w:ilvl w:val="0"/>
          <w:numId w:val="12"/>
        </w:numPr>
        <w:spacing w:line="360" w:lineRule="auto"/>
        <w:ind w:left="-566" w:right="-1417" w:firstLine="0"/>
        <w:jc w:val="both"/>
        <w:rPr>
          <w:rFonts w:ascii="Palatino Linotype" w:eastAsia="MS Mincho" w:hAnsi="Palatino Linotype"/>
          <w:sz w:val="22"/>
          <w:szCs w:val="22"/>
        </w:rPr>
      </w:pPr>
      <w:r w:rsidRPr="00365BE2">
        <w:rPr>
          <w:rFonts w:ascii="Palatino Linotype" w:hAnsi="Palatino Linotype" w:cs="Arial"/>
          <w:sz w:val="22"/>
          <w:szCs w:val="22"/>
        </w:rPr>
        <w:lastRenderedPageBreak/>
        <w:t xml:space="preserve">Seguidamente, se debe de referir que </w:t>
      </w:r>
      <w:r w:rsidR="00C92935" w:rsidRPr="00365BE2">
        <w:rPr>
          <w:rFonts w:ascii="Palatino Linotype" w:hAnsi="Palatino Linotype" w:cs="Arial"/>
          <w:sz w:val="22"/>
          <w:szCs w:val="22"/>
        </w:rPr>
        <w:t xml:space="preserve">la información solicitada por el </w:t>
      </w:r>
      <w:r w:rsidR="00C92935" w:rsidRPr="00365BE2">
        <w:rPr>
          <w:rFonts w:ascii="Palatino Linotype" w:hAnsi="Palatino Linotype" w:cs="Arial"/>
          <w:b/>
          <w:sz w:val="22"/>
          <w:szCs w:val="22"/>
        </w:rPr>
        <w:t xml:space="preserve">RECCURENTE </w:t>
      </w:r>
      <w:r w:rsidR="00C92935" w:rsidRPr="00365BE2">
        <w:rPr>
          <w:rFonts w:ascii="Palatino Linotype" w:hAnsi="Palatino Linotype" w:cs="Arial"/>
          <w:sz w:val="22"/>
          <w:szCs w:val="22"/>
        </w:rPr>
        <w:t>forma parte de las obligaciones de transparencia común, de conformidad con el artículo 92 fracciones XXIII de la Ley de Transparencia y Acceso a la Información Pública del Estado de México.</w:t>
      </w:r>
    </w:p>
    <w:p w14:paraId="37EF8FAC" w14:textId="77777777" w:rsidR="00C92935" w:rsidRPr="00365BE2" w:rsidRDefault="00C92935" w:rsidP="00C92935">
      <w:pPr>
        <w:pStyle w:val="Prrafodelista"/>
        <w:rPr>
          <w:rFonts w:ascii="Palatino Linotype" w:eastAsia="MS Mincho" w:hAnsi="Palatino Linotype"/>
          <w:sz w:val="22"/>
          <w:szCs w:val="22"/>
        </w:rPr>
      </w:pPr>
    </w:p>
    <w:p w14:paraId="37EF8FAD" w14:textId="77777777" w:rsidR="00C92935" w:rsidRPr="00365BE2" w:rsidRDefault="00C92935" w:rsidP="00C92935">
      <w:pPr>
        <w:ind w:left="1134" w:right="277"/>
        <w:jc w:val="both"/>
        <w:rPr>
          <w:rFonts w:ascii="Palatino Linotype" w:eastAsia="MS Mincho" w:hAnsi="Palatino Linotype"/>
          <w:i/>
          <w:sz w:val="22"/>
          <w:szCs w:val="22"/>
        </w:rPr>
      </w:pPr>
      <w:r w:rsidRPr="00365BE2">
        <w:rPr>
          <w:rFonts w:ascii="Palatino Linotype" w:eastAsia="MS Mincho" w:hAnsi="Palatino Linotype"/>
          <w:i/>
          <w:sz w:val="22"/>
          <w:szCs w:val="22"/>
        </w:rPr>
        <w:t xml:space="preserve">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XXXII. </w:t>
      </w:r>
      <w:r w:rsidRPr="00365BE2">
        <w:rPr>
          <w:rFonts w:ascii="Palatino Linotype" w:eastAsia="MS Mincho" w:hAnsi="Palatino Linotype"/>
          <w:b/>
          <w:i/>
          <w:sz w:val="22"/>
          <w:szCs w:val="22"/>
        </w:rPr>
        <w:t>Las concesiones</w:t>
      </w:r>
      <w:r w:rsidRPr="00365BE2">
        <w:rPr>
          <w:rFonts w:ascii="Palatino Linotype" w:eastAsia="MS Mincho" w:hAnsi="Palatino Linotype"/>
          <w:i/>
          <w:sz w:val="22"/>
          <w:szCs w:val="22"/>
        </w:rPr>
        <w:t xml:space="preserve">, contratos, convenios, </w:t>
      </w:r>
      <w:r w:rsidRPr="00365BE2">
        <w:rPr>
          <w:rFonts w:ascii="Palatino Linotype" w:eastAsia="MS Mincho" w:hAnsi="Palatino Linotype"/>
          <w:b/>
          <w:i/>
          <w:sz w:val="22"/>
          <w:szCs w:val="22"/>
        </w:rPr>
        <w:t>permisos, licencias o autorizaciones otorgados</w:t>
      </w:r>
      <w:r w:rsidRPr="00365BE2">
        <w:rPr>
          <w:rFonts w:ascii="Palatino Linotype" w:eastAsia="MS Mincho" w:hAnsi="Palatino Linotype"/>
          <w:i/>
          <w:sz w:val="22"/>
          <w:szCs w:val="22"/>
        </w:rPr>
        <w:t xml:space="preserve">, especificando </w:t>
      </w:r>
      <w:r w:rsidRPr="00365BE2">
        <w:rPr>
          <w:rFonts w:ascii="Palatino Linotype" w:eastAsia="MS Mincho" w:hAnsi="Palatino Linotype"/>
          <w:b/>
          <w:i/>
          <w:sz w:val="22"/>
          <w:szCs w:val="22"/>
        </w:rPr>
        <w:t>los titulares de aquéllos</w:t>
      </w:r>
      <w:r w:rsidRPr="00365BE2">
        <w:rPr>
          <w:rFonts w:ascii="Palatino Linotype" w:eastAsia="MS Mincho" w:hAnsi="Palatino Linotype"/>
          <w:i/>
          <w:sz w:val="22"/>
          <w:szCs w:val="22"/>
        </w:rPr>
        <w:t xml:space="preserve">, debiendo publicarse su objeto, nombre o razón social del titular, vigencia, tipo, términos, condiciones, monto y </w:t>
      </w:r>
      <w:r w:rsidRPr="00365BE2">
        <w:rPr>
          <w:rFonts w:ascii="Palatino Linotype" w:eastAsia="MS Mincho" w:hAnsi="Palatino Linotype"/>
          <w:b/>
          <w:i/>
          <w:sz w:val="22"/>
          <w:szCs w:val="22"/>
        </w:rPr>
        <w:t>modificaciones</w:t>
      </w:r>
      <w:r w:rsidRPr="00365BE2">
        <w:rPr>
          <w:rFonts w:ascii="Palatino Linotype" w:eastAsia="MS Mincho" w:hAnsi="Palatino Linotype"/>
          <w:i/>
          <w:sz w:val="22"/>
          <w:szCs w:val="22"/>
        </w:rPr>
        <w:t>, así como si el procedimiento involucra el aprovechamiento de bienes, servicios y/o recursos públicos;</w:t>
      </w:r>
    </w:p>
    <w:p w14:paraId="37EF8FAE" w14:textId="77777777" w:rsidR="00C92935" w:rsidRPr="00365BE2" w:rsidRDefault="00C92935" w:rsidP="00C92935">
      <w:pPr>
        <w:pStyle w:val="Prrafodelista"/>
        <w:rPr>
          <w:rFonts w:ascii="Palatino Linotype" w:hAnsi="Palatino Linotype" w:cs="Arial"/>
          <w:sz w:val="22"/>
          <w:szCs w:val="22"/>
        </w:rPr>
      </w:pPr>
    </w:p>
    <w:p w14:paraId="37EF8FAF" w14:textId="77777777" w:rsidR="000B3091" w:rsidRPr="00365BE2" w:rsidRDefault="000B3091" w:rsidP="000B3091">
      <w:pPr>
        <w:numPr>
          <w:ilvl w:val="0"/>
          <w:numId w:val="12"/>
        </w:numPr>
        <w:spacing w:line="360" w:lineRule="auto"/>
        <w:ind w:left="-566" w:right="-1417" w:firstLine="0"/>
        <w:jc w:val="both"/>
        <w:rPr>
          <w:rFonts w:ascii="Palatino Linotype" w:hAnsi="Palatino Linotype"/>
          <w:color w:val="000000" w:themeColor="text1"/>
          <w:sz w:val="22"/>
          <w:szCs w:val="22"/>
        </w:rPr>
      </w:pPr>
      <w:r w:rsidRPr="00365BE2">
        <w:rPr>
          <w:rFonts w:ascii="Palatino Linotype" w:hAnsi="Palatino Linotype"/>
          <w:color w:val="000000" w:themeColor="text1"/>
          <w:sz w:val="22"/>
          <w:szCs w:val="22"/>
        </w:rPr>
        <w:t xml:space="preserve">De lo regulado por el artículo 92 fracción XXXII de la Ley de Transparencia y Acceso a la Información Pública del Estado de México y Municipios, se determina que la información acerca de las concesiones y sus autorizaciones y permisos es información pública de acuerdo a las obligaciones de transparencia común, situación, que se comprueba con la siguiente captura de pantalla, obtenida de la página del IPOMEX 4.0 del </w:t>
      </w:r>
      <w:r w:rsidRPr="00365BE2">
        <w:rPr>
          <w:rFonts w:ascii="Palatino Linotype" w:hAnsi="Palatino Linotype"/>
          <w:b/>
          <w:color w:val="000000" w:themeColor="text1"/>
          <w:sz w:val="22"/>
          <w:szCs w:val="22"/>
        </w:rPr>
        <w:t xml:space="preserve">SUJERO OBLIGADO. </w:t>
      </w:r>
    </w:p>
    <w:p w14:paraId="37EF8FB0" w14:textId="77777777" w:rsidR="000B3091" w:rsidRPr="00365BE2" w:rsidRDefault="000B3091" w:rsidP="000B3091">
      <w:pPr>
        <w:pStyle w:val="Prrafodelista"/>
        <w:tabs>
          <w:tab w:val="left" w:pos="426"/>
        </w:tabs>
        <w:spacing w:line="360" w:lineRule="auto"/>
        <w:ind w:left="0" w:right="51"/>
        <w:jc w:val="center"/>
        <w:rPr>
          <w:rFonts w:ascii="Palatino Linotype" w:hAnsi="Palatino Linotype"/>
          <w:color w:val="000000" w:themeColor="text1"/>
          <w:sz w:val="22"/>
          <w:szCs w:val="22"/>
        </w:rPr>
      </w:pPr>
      <w:r w:rsidRPr="00365BE2">
        <w:rPr>
          <w:rFonts w:ascii="Palatino Linotype" w:hAnsi="Palatino Linotype"/>
          <w:noProof/>
          <w:color w:val="000000" w:themeColor="text1"/>
          <w:sz w:val="22"/>
          <w:szCs w:val="22"/>
        </w:rPr>
        <w:drawing>
          <wp:inline distT="0" distB="0" distL="0" distR="0" wp14:anchorId="37EF9048" wp14:editId="37EF9049">
            <wp:extent cx="4183039" cy="579794"/>
            <wp:effectExtent l="152400" t="152400" r="370205" b="35369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54690" cy="589725"/>
                    </a:xfrm>
                    <a:prstGeom prst="rect">
                      <a:avLst/>
                    </a:prstGeom>
                    <a:ln>
                      <a:noFill/>
                    </a:ln>
                    <a:effectLst>
                      <a:outerShdw blurRad="292100" dist="139700" dir="2700000" algn="tl" rotWithShape="0">
                        <a:srgbClr val="333333">
                          <a:alpha val="65000"/>
                        </a:srgbClr>
                      </a:outerShdw>
                    </a:effectLst>
                  </pic:spPr>
                </pic:pic>
              </a:graphicData>
            </a:graphic>
          </wp:inline>
        </w:drawing>
      </w:r>
    </w:p>
    <w:p w14:paraId="37EF8FB1" w14:textId="77777777" w:rsidR="000B3091" w:rsidRPr="00365BE2" w:rsidRDefault="000B3091" w:rsidP="000B3091">
      <w:pPr>
        <w:pStyle w:val="Prrafodelista"/>
        <w:tabs>
          <w:tab w:val="left" w:pos="426"/>
        </w:tabs>
        <w:spacing w:line="360" w:lineRule="auto"/>
        <w:ind w:left="0" w:right="51"/>
        <w:jc w:val="center"/>
        <w:rPr>
          <w:rFonts w:ascii="Palatino Linotype" w:hAnsi="Palatino Linotype"/>
          <w:color w:val="000000" w:themeColor="text1"/>
          <w:sz w:val="22"/>
          <w:szCs w:val="22"/>
        </w:rPr>
      </w:pPr>
      <w:r w:rsidRPr="00365BE2">
        <w:rPr>
          <w:rFonts w:ascii="Palatino Linotype" w:hAnsi="Palatino Linotype"/>
          <w:noProof/>
          <w:color w:val="000000" w:themeColor="text1"/>
          <w:sz w:val="22"/>
          <w:szCs w:val="22"/>
        </w:rPr>
        <w:drawing>
          <wp:inline distT="0" distB="0" distL="0" distR="0" wp14:anchorId="37EF904A" wp14:editId="37EF904B">
            <wp:extent cx="3855493" cy="798320"/>
            <wp:effectExtent l="152400" t="152400" r="354965" b="3638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91165" cy="805706"/>
                    </a:xfrm>
                    <a:prstGeom prst="rect">
                      <a:avLst/>
                    </a:prstGeom>
                    <a:ln>
                      <a:noFill/>
                    </a:ln>
                    <a:effectLst>
                      <a:outerShdw blurRad="292100" dist="139700" dir="2700000" algn="tl" rotWithShape="0">
                        <a:srgbClr val="333333">
                          <a:alpha val="65000"/>
                        </a:srgbClr>
                      </a:outerShdw>
                    </a:effectLst>
                  </pic:spPr>
                </pic:pic>
              </a:graphicData>
            </a:graphic>
          </wp:inline>
        </w:drawing>
      </w:r>
    </w:p>
    <w:p w14:paraId="37EF8FB2" w14:textId="77777777" w:rsidR="00595BE0" w:rsidRPr="00365BE2" w:rsidRDefault="00595BE0" w:rsidP="00595BE0">
      <w:pPr>
        <w:numPr>
          <w:ilvl w:val="0"/>
          <w:numId w:val="12"/>
        </w:numPr>
        <w:spacing w:line="360" w:lineRule="auto"/>
        <w:ind w:left="-566" w:right="-1417" w:firstLine="0"/>
        <w:jc w:val="both"/>
        <w:rPr>
          <w:rFonts w:ascii="Palatino Linotype" w:eastAsia="Calibri" w:hAnsi="Palatino Linotype" w:cs="Tahoma"/>
          <w:bCs/>
          <w:sz w:val="22"/>
          <w:szCs w:val="22"/>
        </w:rPr>
      </w:pPr>
      <w:r w:rsidRPr="00365BE2">
        <w:rPr>
          <w:rFonts w:ascii="Palatino Linotype" w:hAnsi="Palatino Linotype" w:cs="Arial"/>
          <w:sz w:val="22"/>
          <w:szCs w:val="22"/>
        </w:rPr>
        <w:lastRenderedPageBreak/>
        <w:t>De todo lo anteriormente expuesto</w:t>
      </w:r>
      <w:r w:rsidRPr="00365BE2">
        <w:rPr>
          <w:rFonts w:ascii="Palatino Linotype" w:eastAsia="Calibri" w:hAnsi="Palatino Linotype" w:cs="Tahoma"/>
          <w:bCs/>
          <w:sz w:val="22"/>
          <w:szCs w:val="22"/>
        </w:rPr>
        <w:t>, se debe de referir que conocimiento de los derroteros y de las bases, así como de las concesiones, es una información de gran valía para la sociedad a partir de los siguientes elementos:</w:t>
      </w:r>
    </w:p>
    <w:p w14:paraId="37EF8FB3" w14:textId="77777777" w:rsidR="00595BE0" w:rsidRPr="00365BE2" w:rsidRDefault="00595BE0" w:rsidP="00595BE0">
      <w:pPr>
        <w:spacing w:line="360" w:lineRule="auto"/>
        <w:ind w:right="-28"/>
        <w:contextualSpacing/>
        <w:rPr>
          <w:rFonts w:ascii="Palatino Linotype" w:eastAsia="Calibri" w:hAnsi="Palatino Linotype" w:cs="Tahoma"/>
          <w:bCs/>
          <w:sz w:val="22"/>
          <w:szCs w:val="22"/>
        </w:rPr>
      </w:pPr>
    </w:p>
    <w:p w14:paraId="37EF8FB4" w14:textId="77777777" w:rsidR="00595BE0" w:rsidRPr="00365BE2" w:rsidRDefault="00595BE0" w:rsidP="00595BE0">
      <w:pPr>
        <w:pStyle w:val="Prrafodelista"/>
        <w:numPr>
          <w:ilvl w:val="0"/>
          <w:numId w:val="20"/>
        </w:numPr>
        <w:ind w:left="1134" w:right="277" w:firstLine="0"/>
        <w:jc w:val="both"/>
        <w:rPr>
          <w:rFonts w:ascii="Palatino Linotype" w:eastAsia="Calibri" w:hAnsi="Palatino Linotype" w:cs="Tahoma"/>
          <w:bCs/>
          <w:i/>
          <w:sz w:val="22"/>
          <w:szCs w:val="22"/>
        </w:rPr>
      </w:pPr>
      <w:r w:rsidRPr="00365BE2">
        <w:rPr>
          <w:rFonts w:ascii="Palatino Linotype" w:eastAsia="Calibri" w:hAnsi="Palatino Linotype" w:cs="Tahoma"/>
          <w:b/>
          <w:i/>
          <w:sz w:val="22"/>
          <w:szCs w:val="22"/>
        </w:rPr>
        <w:t xml:space="preserve">Movilidad de la sociedad: </w:t>
      </w:r>
      <w:r w:rsidRPr="00365BE2">
        <w:rPr>
          <w:rFonts w:ascii="Palatino Linotype" w:eastAsia="Calibri" w:hAnsi="Palatino Linotype" w:cs="Tahoma"/>
          <w:bCs/>
          <w:i/>
          <w:color w:val="000000" w:themeColor="text1"/>
          <w:sz w:val="22"/>
          <w:szCs w:val="22"/>
          <w:lang w:eastAsia="en-US"/>
        </w:rPr>
        <w:t xml:space="preserve">La información que se requirió es para conocer sobre las rutas, bases y horarios de lo referido en la solicitud de información en materia de transporte público. </w:t>
      </w:r>
    </w:p>
    <w:p w14:paraId="37EF8FB5" w14:textId="77777777" w:rsidR="00595BE0" w:rsidRPr="00365BE2" w:rsidRDefault="00595BE0" w:rsidP="00595BE0">
      <w:pPr>
        <w:ind w:left="1134" w:right="277"/>
        <w:jc w:val="both"/>
        <w:rPr>
          <w:rFonts w:ascii="Palatino Linotype" w:eastAsia="Calibri" w:hAnsi="Palatino Linotype" w:cs="Tahoma"/>
          <w:bCs/>
          <w:i/>
          <w:sz w:val="22"/>
          <w:szCs w:val="22"/>
        </w:rPr>
      </w:pPr>
      <w:r w:rsidRPr="00365BE2">
        <w:rPr>
          <w:rFonts w:ascii="Palatino Linotype" w:eastAsia="Calibri" w:hAnsi="Palatino Linotype" w:cs="Tahoma"/>
          <w:bCs/>
          <w:i/>
          <w:sz w:val="22"/>
          <w:szCs w:val="22"/>
        </w:rPr>
        <w:t>En ese sentido, se establece que la información consiste en conocer datos para la movilidad y uso del transporte público, así entonces, conocer la  información utilizada, es indispensable para que la utilidad de estos medios de transporte tenga valía social, toda vez que cuando una persona desea moverse de un punto a otro, necesita tener el conocimiento de elementos como puede ser la ruta de los transportes y las opciones de movilidad.</w:t>
      </w:r>
    </w:p>
    <w:p w14:paraId="37EF8FB6" w14:textId="77777777" w:rsidR="00595BE0" w:rsidRPr="00365BE2" w:rsidRDefault="00595BE0" w:rsidP="00595BE0">
      <w:pPr>
        <w:ind w:left="1134" w:right="277"/>
        <w:contextualSpacing/>
        <w:jc w:val="both"/>
        <w:rPr>
          <w:rFonts w:ascii="Palatino Linotype" w:eastAsia="Calibri" w:hAnsi="Palatino Linotype" w:cs="Tahoma"/>
          <w:bCs/>
          <w:i/>
          <w:sz w:val="22"/>
          <w:szCs w:val="22"/>
        </w:rPr>
      </w:pPr>
    </w:p>
    <w:p w14:paraId="37EF8FB7" w14:textId="77777777" w:rsidR="00595BE0" w:rsidRPr="00365BE2" w:rsidRDefault="00595BE0" w:rsidP="00595BE0">
      <w:pPr>
        <w:pStyle w:val="Prrafodelista"/>
        <w:numPr>
          <w:ilvl w:val="0"/>
          <w:numId w:val="20"/>
        </w:numPr>
        <w:ind w:left="1134" w:right="277" w:firstLine="0"/>
        <w:jc w:val="both"/>
        <w:rPr>
          <w:rFonts w:ascii="Palatino Linotype" w:eastAsia="Calibri" w:hAnsi="Palatino Linotype" w:cs="Tahoma"/>
          <w:bCs/>
          <w:i/>
          <w:sz w:val="22"/>
          <w:szCs w:val="22"/>
        </w:rPr>
      </w:pPr>
      <w:r w:rsidRPr="00365BE2">
        <w:rPr>
          <w:rFonts w:ascii="Palatino Linotype" w:eastAsia="Calibri" w:hAnsi="Palatino Linotype" w:cs="Tahoma"/>
          <w:b/>
          <w:i/>
          <w:sz w:val="22"/>
          <w:szCs w:val="22"/>
        </w:rPr>
        <w:t xml:space="preserve">Transparencia de las concesiones: </w:t>
      </w:r>
      <w:r w:rsidRPr="00365BE2">
        <w:rPr>
          <w:rFonts w:ascii="Palatino Linotype" w:eastAsia="Calibri" w:hAnsi="Palatino Linotype" w:cs="Tahoma"/>
          <w:bCs/>
          <w:i/>
          <w:sz w:val="22"/>
          <w:szCs w:val="22"/>
        </w:rPr>
        <w:t>El conocimiento de esta información, permite a la sociedad, conocer el actuar de la autoridad pues así se transparentan las concesiones gubernamentales que han sido otorgadas, lo que incluso permite al ciudadano participar de manera activa en la toma de decisiones del gobierno, pues incluso permute exige la apertura de nuevas rutas, en beneficio de poblaciones que requieren la creación de rutas novedosas.</w:t>
      </w:r>
    </w:p>
    <w:p w14:paraId="37EF8FB8" w14:textId="77777777" w:rsidR="00595BE0" w:rsidRPr="00365BE2" w:rsidRDefault="00595BE0" w:rsidP="00595BE0">
      <w:pPr>
        <w:pStyle w:val="Prrafodelista"/>
        <w:ind w:left="1134" w:right="277"/>
        <w:jc w:val="both"/>
        <w:rPr>
          <w:rFonts w:ascii="Palatino Linotype" w:eastAsia="Calibri" w:hAnsi="Palatino Linotype" w:cs="Tahoma"/>
          <w:bCs/>
          <w:i/>
          <w:sz w:val="22"/>
          <w:szCs w:val="22"/>
        </w:rPr>
      </w:pPr>
    </w:p>
    <w:p w14:paraId="37EF8FB9" w14:textId="77777777" w:rsidR="00595BE0" w:rsidRPr="00365BE2" w:rsidRDefault="002121A0" w:rsidP="00595BE0">
      <w:pPr>
        <w:numPr>
          <w:ilvl w:val="0"/>
          <w:numId w:val="12"/>
        </w:numPr>
        <w:spacing w:line="360" w:lineRule="auto"/>
        <w:ind w:left="-566" w:right="-1417" w:firstLine="0"/>
        <w:jc w:val="both"/>
        <w:rPr>
          <w:rFonts w:ascii="Palatino Linotype" w:eastAsia="Calibri" w:hAnsi="Palatino Linotype" w:cs="Tahoma"/>
          <w:bCs/>
          <w:sz w:val="22"/>
          <w:szCs w:val="22"/>
        </w:rPr>
      </w:pPr>
      <w:r w:rsidRPr="00365BE2">
        <w:rPr>
          <w:rFonts w:ascii="Palatino Linotype" w:eastAsia="Calibri" w:hAnsi="Palatino Linotype" w:cs="Tahoma"/>
          <w:bCs/>
          <w:sz w:val="22"/>
          <w:szCs w:val="22"/>
        </w:rPr>
        <w:t xml:space="preserve">En ese sentido, se concluye que la </w:t>
      </w:r>
      <w:r w:rsidR="00595BE0" w:rsidRPr="00365BE2">
        <w:rPr>
          <w:rFonts w:ascii="Palatino Linotype" w:eastAsia="Calibri" w:hAnsi="Palatino Linotype" w:cs="Tahoma"/>
          <w:bCs/>
          <w:sz w:val="22"/>
          <w:szCs w:val="22"/>
        </w:rPr>
        <w:t>rendición de cuentas de manera estratégica en temas de movilidad permite la planeación con la escucha de la sociedad para determinar nuevas estrategias, que contemplen la economía de la sociedad y de las empresas.</w:t>
      </w:r>
    </w:p>
    <w:p w14:paraId="37EF8FBA" w14:textId="77777777" w:rsidR="00595BE0" w:rsidRPr="00365BE2" w:rsidRDefault="00595BE0" w:rsidP="00595BE0">
      <w:pPr>
        <w:spacing w:line="360" w:lineRule="auto"/>
        <w:ind w:right="-28"/>
        <w:rPr>
          <w:rFonts w:ascii="Palatino Linotype" w:eastAsia="Calibri" w:hAnsi="Palatino Linotype" w:cs="Tahoma"/>
          <w:b/>
          <w:sz w:val="22"/>
          <w:szCs w:val="22"/>
        </w:rPr>
      </w:pPr>
    </w:p>
    <w:p w14:paraId="37EF8FBB" w14:textId="77777777" w:rsidR="004B5891" w:rsidRPr="00365BE2" w:rsidRDefault="004B5891" w:rsidP="00595BE0">
      <w:pPr>
        <w:numPr>
          <w:ilvl w:val="0"/>
          <w:numId w:val="12"/>
        </w:numPr>
        <w:spacing w:line="360" w:lineRule="auto"/>
        <w:ind w:left="-566" w:right="-1417" w:firstLine="0"/>
        <w:jc w:val="both"/>
        <w:rPr>
          <w:rFonts w:ascii="Palatino Linotype" w:hAnsi="Palatino Linotype" w:cs="Tahoma"/>
          <w:bCs/>
          <w:iCs/>
          <w:color w:val="000000"/>
          <w:sz w:val="22"/>
          <w:szCs w:val="22"/>
          <w:lang w:val="es-ES"/>
        </w:rPr>
      </w:pPr>
      <w:r w:rsidRPr="00365BE2">
        <w:rPr>
          <w:rFonts w:ascii="Palatino Linotype" w:hAnsi="Palatino Linotype" w:cs="Tahoma"/>
          <w:bCs/>
          <w:iCs/>
          <w:color w:val="000000"/>
          <w:sz w:val="22"/>
          <w:szCs w:val="22"/>
          <w:lang w:val="es-ES"/>
        </w:rPr>
        <w:t xml:space="preserve">Ahora bien, se debe de referir que de acuerdo con la información que se entregue pueden obrar datos que deban de ser clasificados como confidenciales, por lo que el </w:t>
      </w:r>
      <w:r w:rsidRPr="00365BE2">
        <w:rPr>
          <w:rFonts w:ascii="Palatino Linotype" w:hAnsi="Palatino Linotype" w:cs="Tahoma"/>
          <w:b/>
          <w:bCs/>
          <w:iCs/>
          <w:color w:val="000000"/>
          <w:sz w:val="22"/>
          <w:szCs w:val="22"/>
          <w:lang w:val="es-ES"/>
        </w:rPr>
        <w:t xml:space="preserve">SUJETO OBLIGADO </w:t>
      </w:r>
      <w:r w:rsidRPr="00365BE2">
        <w:rPr>
          <w:rFonts w:ascii="Palatino Linotype" w:hAnsi="Palatino Linotype" w:cs="Tahoma"/>
          <w:bCs/>
          <w:iCs/>
          <w:color w:val="000000"/>
          <w:sz w:val="22"/>
          <w:szCs w:val="22"/>
          <w:lang w:val="es-ES"/>
        </w:rPr>
        <w:t xml:space="preserve">deberá de considerar lo siguiente. </w:t>
      </w:r>
    </w:p>
    <w:p w14:paraId="37EF8FBC" w14:textId="77777777" w:rsidR="004B5891" w:rsidRPr="00365BE2" w:rsidRDefault="004B5891" w:rsidP="004B5891">
      <w:pPr>
        <w:pStyle w:val="Prrafodelista"/>
        <w:rPr>
          <w:rFonts w:ascii="Palatino Linotype" w:hAnsi="Palatino Linotype" w:cs="Tahoma"/>
          <w:bCs/>
          <w:iCs/>
          <w:color w:val="000000"/>
          <w:sz w:val="22"/>
          <w:szCs w:val="22"/>
          <w:lang w:val="es-ES"/>
        </w:rPr>
      </w:pPr>
    </w:p>
    <w:p w14:paraId="37EF8FBD"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b/>
          <w:color w:val="000000"/>
          <w:sz w:val="22"/>
          <w:szCs w:val="22"/>
        </w:rPr>
        <w:t>Registro Federal de Contribuyentes</w:t>
      </w:r>
      <w:r w:rsidRPr="00365BE2">
        <w:rPr>
          <w:rFonts w:ascii="Palatino Linotype" w:eastAsia="Palatino Linotype" w:hAnsi="Palatino Linotype" w:cs="Palatino Linotype"/>
          <w:color w:val="000000"/>
          <w:sz w:val="22"/>
          <w:szCs w:val="22"/>
        </w:rPr>
        <w:t xml:space="preserve"> (RFC) </w:t>
      </w:r>
      <w:r w:rsidRPr="00365BE2">
        <w:rPr>
          <w:rFonts w:ascii="Palatino Linotype" w:eastAsia="Palatino Linotype" w:hAnsi="Palatino Linotype" w:cs="Palatino Linotype"/>
          <w:b/>
          <w:color w:val="000000"/>
          <w:sz w:val="22"/>
          <w:szCs w:val="22"/>
        </w:rPr>
        <w:t>de particulares</w:t>
      </w:r>
    </w:p>
    <w:p w14:paraId="37EF8FBE"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hAnsi="Palatino Linotype" w:cs="Tahoma"/>
          <w:bCs/>
          <w:iCs/>
          <w:color w:val="000000"/>
          <w:sz w:val="22"/>
          <w:szCs w:val="22"/>
          <w:lang w:val="es-ES"/>
        </w:rPr>
        <w:lastRenderedPageBreak/>
        <w:t>Las</w:t>
      </w:r>
      <w:r w:rsidRPr="00365BE2">
        <w:rPr>
          <w:rFonts w:ascii="Palatino Linotype" w:eastAsia="Palatino Linotype" w:hAnsi="Palatino Linotype" w:cs="Palatino Linotype"/>
          <w:color w:val="000000"/>
          <w:sz w:val="22"/>
          <w:szCs w:val="22"/>
        </w:rPr>
        <w:t xml:space="preserve">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con el artículo 27 del Código Fiscal de la Federación.</w:t>
      </w:r>
    </w:p>
    <w:p w14:paraId="37EF8FBF"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C0"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De acuerdo con lo establecido en el artículo en comento, esta clave se compone de trece caracteres alfanuméricos, con datos obtenidos de los apellidos, nombre (s), fecha de nacimiento del titular, más una </w:t>
      </w:r>
      <w:proofErr w:type="spellStart"/>
      <w:r w:rsidRPr="00365BE2">
        <w:rPr>
          <w:rFonts w:ascii="Palatino Linotype" w:eastAsia="Palatino Linotype" w:hAnsi="Palatino Linotype" w:cs="Palatino Linotype"/>
          <w:color w:val="000000"/>
          <w:sz w:val="22"/>
          <w:szCs w:val="22"/>
        </w:rPr>
        <w:t>homoclave</w:t>
      </w:r>
      <w:proofErr w:type="spellEnd"/>
      <w:r w:rsidRPr="00365BE2">
        <w:rPr>
          <w:rFonts w:ascii="Palatino Linotype" w:eastAsia="Palatino Linotype" w:hAnsi="Palatino Linotype" w:cs="Palatino Linotype"/>
          <w:color w:val="000000"/>
          <w:sz w:val="22"/>
          <w:szCs w:val="22"/>
        </w:rPr>
        <w:t xml:space="preserve"> que establece el sistema automático del Servicio de Administración Tributaria.</w:t>
      </w:r>
    </w:p>
    <w:p w14:paraId="37EF8FC1"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C2"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sz w:val="22"/>
          <w:szCs w:val="22"/>
        </w:rPr>
        <w:t>Ahora</w:t>
      </w:r>
      <w:r w:rsidRPr="00365BE2">
        <w:rPr>
          <w:rFonts w:ascii="Palatino Linotype" w:eastAsia="Palatino Linotype" w:hAnsi="Palatino Linotype" w:cs="Palatino Linotype"/>
          <w:color w:val="000000"/>
          <w:sz w:val="22"/>
          <w:szCs w:val="22"/>
        </w:rPr>
        <w:t xml:space="preserve"> bien, la clave del Registro Federal de Contribuyentes es el medio de </w:t>
      </w:r>
      <w:r w:rsidRPr="00365BE2">
        <w:rPr>
          <w:rFonts w:ascii="Palatino Linotype" w:hAnsi="Palatino Linotype" w:cs="Tahoma"/>
          <w:bCs/>
          <w:iCs/>
          <w:color w:val="000000"/>
          <w:sz w:val="22"/>
          <w:szCs w:val="22"/>
          <w:lang w:val="es-ES"/>
        </w:rPr>
        <w:t>control</w:t>
      </w:r>
      <w:r w:rsidRPr="00365BE2">
        <w:rPr>
          <w:rFonts w:ascii="Palatino Linotype" w:eastAsia="Palatino Linotype" w:hAnsi="Palatino Linotype" w:cs="Palatino Linotype"/>
          <w:color w:val="000000"/>
          <w:sz w:val="22"/>
          <w:szCs w:val="22"/>
        </w:rPr>
        <w:t xml:space="preserve">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37EF8FC3"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C4"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sz w:val="22"/>
          <w:szCs w:val="22"/>
        </w:rPr>
        <w:t>Conforme</w:t>
      </w:r>
      <w:r w:rsidRPr="00365BE2">
        <w:rPr>
          <w:rFonts w:ascii="Palatino Linotype" w:eastAsia="Palatino Linotype" w:hAnsi="Palatino Linotype" w:cs="Palatino Linotype"/>
          <w:color w:val="000000"/>
          <w:sz w:val="22"/>
          <w:szCs w:val="22"/>
        </w:rPr>
        <w:t xml:space="preserve"> a lo expuesto, el Registro Federal de Contribuyentes, es un dato </w:t>
      </w:r>
      <w:r w:rsidRPr="00365BE2">
        <w:rPr>
          <w:rFonts w:ascii="Palatino Linotype" w:hAnsi="Palatino Linotype" w:cs="Tahoma"/>
          <w:bCs/>
          <w:iCs/>
          <w:color w:val="000000"/>
          <w:sz w:val="22"/>
          <w:szCs w:val="22"/>
          <w:lang w:val="es-ES"/>
        </w:rPr>
        <w:t>personal</w:t>
      </w:r>
      <w:r w:rsidRPr="00365BE2">
        <w:rPr>
          <w:rFonts w:ascii="Palatino Linotype" w:eastAsia="Palatino Linotype" w:hAnsi="Palatino Linotype" w:cs="Palatino Linotype"/>
          <w:color w:val="000000"/>
          <w:sz w:val="22"/>
          <w:szCs w:val="22"/>
        </w:rPr>
        <w:t xml:space="preserve">, ya que hace a las personas físicas identificables, además de que las relaciona como contribuyentes de las autoridades fiscales. Es de destacar que dicho dato únicamente sirve para efectos fiscales y pago de contribuciones, por lo que se trata de un dato relevante únicamente para las personas involucradas, en el pago de estos, en el presente caso, del pago del Impuesto Sobre el Producto del Trabajo. </w:t>
      </w:r>
    </w:p>
    <w:p w14:paraId="37EF8FC5"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C6"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sz w:val="22"/>
          <w:szCs w:val="22"/>
        </w:rPr>
        <w:t>Lo</w:t>
      </w:r>
      <w:r w:rsidRPr="00365BE2">
        <w:rPr>
          <w:rFonts w:ascii="Palatino Linotype" w:eastAsia="Palatino Linotype" w:hAnsi="Palatino Linotype" w:cs="Palatino Linotype"/>
          <w:color w:val="000000"/>
          <w:sz w:val="22"/>
          <w:szCs w:val="22"/>
        </w:rPr>
        <w:t xml:space="preserve"> anterior, resulta congruente con el Criterio 19/17 emitido por el </w:t>
      </w:r>
      <w:r w:rsidRPr="00365BE2">
        <w:rPr>
          <w:rFonts w:ascii="Palatino Linotype" w:hAnsi="Palatino Linotype" w:cs="Tahoma"/>
          <w:bCs/>
          <w:iCs/>
          <w:color w:val="000000"/>
          <w:sz w:val="22"/>
          <w:szCs w:val="22"/>
          <w:lang w:val="es-ES"/>
        </w:rPr>
        <w:t>Instituto</w:t>
      </w:r>
      <w:r w:rsidRPr="00365BE2">
        <w:rPr>
          <w:rFonts w:ascii="Palatino Linotype" w:eastAsia="Palatino Linotype" w:hAnsi="Palatino Linotype" w:cs="Palatino Linotype"/>
          <w:color w:val="000000"/>
          <w:sz w:val="22"/>
          <w:szCs w:val="22"/>
        </w:rPr>
        <w:t xml:space="preserve"> Nacional de Transparencia, Acceso a la Información y Protección de Datos Personales, en el cual se señala lo siguiente:</w:t>
      </w:r>
    </w:p>
    <w:p w14:paraId="37EF8FC7" w14:textId="77777777" w:rsidR="004B5891" w:rsidRPr="00365BE2" w:rsidRDefault="004B5891" w:rsidP="004B5891">
      <w:pPr>
        <w:ind w:left="1134" w:right="900"/>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i/>
          <w:color w:val="000000"/>
          <w:sz w:val="22"/>
          <w:szCs w:val="22"/>
        </w:rPr>
        <w:t>“</w:t>
      </w:r>
      <w:r w:rsidRPr="00365BE2">
        <w:rPr>
          <w:rFonts w:ascii="Palatino Linotype" w:eastAsia="Palatino Linotype" w:hAnsi="Palatino Linotype" w:cs="Palatino Linotype"/>
          <w:b/>
          <w:i/>
          <w:color w:val="000000"/>
          <w:sz w:val="22"/>
          <w:szCs w:val="22"/>
        </w:rPr>
        <w:t>Registro Federal de Contribuyentes (RFC) de personas físicas</w:t>
      </w:r>
      <w:r w:rsidRPr="00365BE2">
        <w:rPr>
          <w:rFonts w:ascii="Palatino Linotype" w:eastAsia="Palatino Linotype" w:hAnsi="Palatino Linotype" w:cs="Palatino Linotype"/>
          <w:i/>
          <w:color w:val="000000"/>
          <w:sz w:val="22"/>
          <w:szCs w:val="22"/>
        </w:rPr>
        <w:t xml:space="preserve">. El RFC es una clave de carácter fiscal, única e irrepetible, que permite </w:t>
      </w:r>
      <w:r w:rsidRPr="00365BE2">
        <w:rPr>
          <w:rFonts w:ascii="Palatino Linotype" w:eastAsia="Palatino Linotype" w:hAnsi="Palatino Linotype" w:cs="Palatino Linotype"/>
          <w:i/>
          <w:color w:val="000000"/>
          <w:sz w:val="22"/>
          <w:szCs w:val="22"/>
        </w:rPr>
        <w:lastRenderedPageBreak/>
        <w:t>identificar al titular, su edad y fecha de nacimiento, por lo que es un dato personal de carácter confidencial.”</w:t>
      </w:r>
    </w:p>
    <w:p w14:paraId="37EF8FC8" w14:textId="77777777" w:rsidR="004B5891" w:rsidRPr="00365BE2" w:rsidRDefault="004B5891" w:rsidP="004B5891">
      <w:pPr>
        <w:ind w:left="1134" w:right="-1417"/>
        <w:jc w:val="both"/>
        <w:rPr>
          <w:rFonts w:ascii="Palatino Linotype" w:eastAsia="Palatino Linotype" w:hAnsi="Palatino Linotype" w:cs="Palatino Linotype"/>
          <w:color w:val="000000"/>
          <w:sz w:val="22"/>
          <w:szCs w:val="22"/>
        </w:rPr>
      </w:pPr>
    </w:p>
    <w:p w14:paraId="37EF8FC9"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sz w:val="22"/>
          <w:szCs w:val="22"/>
        </w:rPr>
        <w:t>De</w:t>
      </w:r>
      <w:r w:rsidRPr="00365BE2">
        <w:rPr>
          <w:rFonts w:ascii="Palatino Linotype" w:eastAsia="Palatino Linotype" w:hAnsi="Palatino Linotype" w:cs="Palatino Linotype"/>
          <w:color w:val="000000"/>
          <w:sz w:val="22"/>
          <w:szCs w:val="22"/>
        </w:rPr>
        <w:t xml:space="preserv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14:paraId="37EF8FCA"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CB" w14:textId="77777777" w:rsidR="004B5891" w:rsidRPr="00365BE2" w:rsidRDefault="004B5891" w:rsidP="004B5891">
      <w:pPr>
        <w:spacing w:line="360" w:lineRule="auto"/>
        <w:ind w:right="-1417"/>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Clave única de Registro de Población –CURP-</w:t>
      </w:r>
    </w:p>
    <w:p w14:paraId="37EF8FCC"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El artículo 36 de la Constitución Política de los Estados Unidos Mexicanos, </w:t>
      </w:r>
      <w:r w:rsidRPr="00365BE2">
        <w:rPr>
          <w:rFonts w:ascii="Palatino Linotype" w:hAnsi="Palatino Linotype" w:cs="Tahoma"/>
          <w:bCs/>
          <w:iCs/>
          <w:color w:val="000000"/>
          <w:sz w:val="22"/>
          <w:szCs w:val="22"/>
          <w:lang w:val="es-ES"/>
        </w:rPr>
        <w:t>dispone</w:t>
      </w:r>
      <w:r w:rsidRPr="00365BE2">
        <w:rPr>
          <w:rFonts w:ascii="Palatino Linotype" w:eastAsia="Palatino Linotype" w:hAnsi="Palatino Linotype" w:cs="Palatino Linotype"/>
          <w:color w:val="000000"/>
          <w:sz w:val="22"/>
          <w:szCs w:val="22"/>
        </w:rPr>
        <w:t xml:space="preserve"> la obligación de los ciudadanos de inscribirse en el Registro Nacional de Ciudadanos. </w:t>
      </w:r>
    </w:p>
    <w:p w14:paraId="37EF8FCD"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CE"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El </w:t>
      </w:r>
      <w:r w:rsidRPr="00365BE2">
        <w:rPr>
          <w:rFonts w:ascii="Palatino Linotype" w:hAnsi="Palatino Linotype" w:cs="Tahoma"/>
          <w:bCs/>
          <w:iCs/>
          <w:color w:val="000000"/>
          <w:sz w:val="22"/>
          <w:szCs w:val="22"/>
          <w:lang w:val="es-ES"/>
        </w:rPr>
        <w:t>artículo</w:t>
      </w:r>
      <w:r w:rsidRPr="00365BE2">
        <w:rPr>
          <w:rFonts w:ascii="Palatino Linotype" w:eastAsia="Palatino Linotype" w:hAnsi="Palatino Linotype" w:cs="Palatino Linotype"/>
          <w:color w:val="000000"/>
          <w:sz w:val="22"/>
          <w:szCs w:val="22"/>
        </w:rPr>
        <w:t xml:space="preserve"> 85 de la Ley General de Población, prevé que corresponde a la Secretaría de Gobernación el registro y acreditación de la identidad de todas las personas residentes en el país y de los nacionales que residan en el extranjero.</w:t>
      </w:r>
    </w:p>
    <w:p w14:paraId="37EF8FCF"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D0"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Acorde con lo anterior, el artículo 22 del Reglamento Interior de la Secretaría de </w:t>
      </w:r>
      <w:r w:rsidRPr="00365BE2">
        <w:rPr>
          <w:rFonts w:ascii="Palatino Linotype" w:eastAsia="Palatino Linotype" w:hAnsi="Palatino Linotype" w:cs="Palatino Linotype"/>
          <w:sz w:val="22"/>
          <w:szCs w:val="22"/>
        </w:rPr>
        <w:t>Gobernación</w:t>
      </w:r>
      <w:r w:rsidRPr="00365BE2">
        <w:rPr>
          <w:rFonts w:ascii="Palatino Linotype" w:eastAsia="Palatino Linotype" w:hAnsi="Palatino Linotype" w:cs="Palatino Linotype"/>
          <w:color w:val="000000"/>
          <w:sz w:val="22"/>
          <w:szCs w:val="22"/>
        </w:rPr>
        <w:t xml:space="preserve">, establece en su fracción III, que la Dirección </w:t>
      </w:r>
      <w:r w:rsidRPr="00365BE2">
        <w:rPr>
          <w:rFonts w:ascii="Palatino Linotype" w:hAnsi="Palatino Linotype" w:cs="Tahoma"/>
          <w:bCs/>
          <w:iCs/>
          <w:color w:val="000000"/>
          <w:sz w:val="22"/>
          <w:szCs w:val="22"/>
          <w:lang w:val="es-ES"/>
        </w:rPr>
        <w:t>General</w:t>
      </w:r>
      <w:r w:rsidRPr="00365BE2">
        <w:rPr>
          <w:rFonts w:ascii="Palatino Linotype" w:eastAsia="Palatino Linotype" w:hAnsi="Palatino Linotype" w:cs="Palatino Linotype"/>
          <w:color w:val="000000"/>
          <w:sz w:val="22"/>
          <w:szCs w:val="22"/>
        </w:rPr>
        <w:t xml:space="preserve"> del Registro Nacional de Población e Identificación Personal tiene la atribución de asignar y depurar la Clave Única de Registro de Población a todas las personas residentes en el país, así como a los mexicanos que residan en el extranjero.</w:t>
      </w:r>
    </w:p>
    <w:p w14:paraId="37EF8FD1" w14:textId="77777777" w:rsidR="004B5891" w:rsidRPr="00365BE2" w:rsidRDefault="004B5891" w:rsidP="004B5891">
      <w:pPr>
        <w:spacing w:line="360" w:lineRule="auto"/>
        <w:ind w:right="-1417"/>
        <w:jc w:val="both"/>
        <w:rPr>
          <w:rFonts w:ascii="Palatino Linotype" w:eastAsia="Palatino Linotype" w:hAnsi="Palatino Linotype" w:cs="Palatino Linotype"/>
          <w:b/>
          <w:color w:val="000000"/>
          <w:sz w:val="22"/>
          <w:szCs w:val="22"/>
        </w:rPr>
      </w:pPr>
    </w:p>
    <w:p w14:paraId="37EF8FD2"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De </w:t>
      </w:r>
      <w:r w:rsidRPr="00365BE2">
        <w:rPr>
          <w:rFonts w:ascii="Palatino Linotype" w:hAnsi="Palatino Linotype" w:cs="Tahoma"/>
          <w:bCs/>
          <w:iCs/>
          <w:color w:val="000000"/>
          <w:sz w:val="22"/>
          <w:szCs w:val="22"/>
          <w:lang w:val="es-ES"/>
        </w:rPr>
        <w:t>conformidad</w:t>
      </w:r>
      <w:r w:rsidRPr="00365BE2">
        <w:rPr>
          <w:rFonts w:ascii="Palatino Linotype" w:eastAsia="Palatino Linotype" w:hAnsi="Palatino Linotype" w:cs="Palatino Linotype"/>
          <w:color w:val="000000"/>
          <w:sz w:val="22"/>
          <w:szCs w:val="22"/>
        </w:rPr>
        <w:t xml:space="preserve"> con lo precisado por la propia Secretaría de Gobernación en la dirección </w:t>
      </w:r>
      <w:hyperlink r:id="rId14">
        <w:r w:rsidRPr="00365BE2">
          <w:rPr>
            <w:rFonts w:ascii="Palatino Linotype" w:eastAsia="Palatino Linotype" w:hAnsi="Palatino Linotype" w:cs="Palatino Linotype"/>
            <w:color w:val="0563C1"/>
            <w:sz w:val="22"/>
            <w:szCs w:val="22"/>
            <w:u w:val="single"/>
          </w:rPr>
          <w:t>https://consultas.curp.gob.mx/CurpSP/html/informacionecurpPS.html</w:t>
        </w:r>
      </w:hyperlink>
      <w:r w:rsidRPr="00365BE2">
        <w:rPr>
          <w:rFonts w:ascii="Palatino Linotype" w:eastAsia="Palatino Linotype" w:hAnsi="Palatino Linotype" w:cs="Palatino Linotype"/>
          <w:color w:val="000000"/>
          <w:sz w:val="22"/>
          <w:szCs w:val="22"/>
        </w:rPr>
        <w:t xml:space="preserve">, la Clave Única del Registro de Población  CURP-, es un instrumento de registro que se asigna a todas las personas que viven en el territorio nacional, así como a los mexicanos que residen en el extranjero y se compone de dieciocho </w:t>
      </w:r>
      <w:r w:rsidRPr="00365BE2">
        <w:rPr>
          <w:rFonts w:ascii="Palatino Linotype" w:eastAsia="Palatino Linotype" w:hAnsi="Palatino Linotype" w:cs="Palatino Linotype"/>
          <w:color w:val="000000"/>
          <w:sz w:val="22"/>
          <w:szCs w:val="22"/>
        </w:rPr>
        <w:lastRenderedPageBreak/>
        <w:t xml:space="preserve">elementos, representados por letras y números, que </w:t>
      </w:r>
      <w:r w:rsidRPr="00365BE2">
        <w:rPr>
          <w:rFonts w:ascii="Palatino Linotype" w:eastAsia="Palatino Linotype" w:hAnsi="Palatino Linotype" w:cs="Palatino Linotype"/>
          <w:b/>
          <w:color w:val="000000"/>
          <w:sz w:val="22"/>
          <w:szCs w:val="22"/>
        </w:rPr>
        <w:t xml:space="preserve">se generan a partir de los datos contenidos en el documento probatorio de la identidad del interesado </w:t>
      </w:r>
      <w:r w:rsidRPr="00365BE2">
        <w:rPr>
          <w:rFonts w:ascii="Palatino Linotype" w:eastAsia="Palatino Linotype" w:hAnsi="Palatino Linotype" w:cs="Palatino Linotype"/>
          <w:color w:val="000000"/>
          <w:sz w:val="22"/>
          <w:szCs w:val="22"/>
        </w:rPr>
        <w:t>(acta de nacimiento, carta de naturalización o documento migratorio) de la siguiente forma:</w:t>
      </w:r>
    </w:p>
    <w:p w14:paraId="37EF8FD3" w14:textId="77777777" w:rsidR="004B5891" w:rsidRPr="00365BE2" w:rsidRDefault="004B5891" w:rsidP="004B5891">
      <w:pP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 • El primero y segundo apellidos, así como al nombre de pila.</w:t>
      </w:r>
    </w:p>
    <w:p w14:paraId="37EF8FD4" w14:textId="77777777" w:rsidR="004B5891" w:rsidRPr="00365BE2" w:rsidRDefault="004B5891" w:rsidP="004B5891">
      <w:pP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 • La fecha de nacimiento.</w:t>
      </w:r>
    </w:p>
    <w:p w14:paraId="37EF8FD5" w14:textId="77777777" w:rsidR="004B5891" w:rsidRPr="00365BE2" w:rsidRDefault="004B5891" w:rsidP="004B5891">
      <w:pP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 • El sexo.</w:t>
      </w:r>
    </w:p>
    <w:p w14:paraId="37EF8FD6" w14:textId="77777777" w:rsidR="004B5891" w:rsidRPr="00365BE2" w:rsidRDefault="004B5891" w:rsidP="004B5891">
      <w:pP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 • La entidad federativa de nacimiento.</w:t>
      </w:r>
    </w:p>
    <w:p w14:paraId="37EF8FD7" w14:textId="77777777" w:rsidR="004B5891" w:rsidRPr="00365BE2" w:rsidRDefault="004B5891" w:rsidP="004B5891">
      <w:pPr>
        <w:spacing w:line="360" w:lineRule="auto"/>
        <w:ind w:right="-85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Los dos últimos elementos de la CURP evitan la duplicidad de la </w:t>
      </w:r>
      <w:r w:rsidRPr="00365BE2">
        <w:rPr>
          <w:rFonts w:ascii="Palatino Linotype" w:eastAsia="Palatino Linotype" w:hAnsi="Palatino Linotype" w:cs="Palatino Linotype"/>
          <w:sz w:val="22"/>
          <w:szCs w:val="22"/>
        </w:rPr>
        <w:t>clave</w:t>
      </w:r>
      <w:r w:rsidRPr="00365BE2">
        <w:rPr>
          <w:rFonts w:ascii="Palatino Linotype" w:eastAsia="Palatino Linotype" w:hAnsi="Palatino Linotype" w:cs="Palatino Linotype"/>
          <w:color w:val="000000"/>
          <w:sz w:val="22"/>
          <w:szCs w:val="22"/>
        </w:rPr>
        <w:t xml:space="preserve"> y garantizan su correcta integración.</w:t>
      </w:r>
    </w:p>
    <w:p w14:paraId="37EF8FD8"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D9"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sz w:val="22"/>
          <w:szCs w:val="22"/>
        </w:rPr>
        <w:t>Como</w:t>
      </w:r>
      <w:r w:rsidRPr="00365BE2">
        <w:rPr>
          <w:rFonts w:ascii="Palatino Linotype" w:eastAsia="Palatino Linotype" w:hAnsi="Palatino Linotype" w:cs="Palatino Linotype"/>
          <w:color w:val="000000"/>
          <w:sz w:val="22"/>
          <w:szCs w:val="22"/>
        </w:rPr>
        <w:t xml:space="preserve"> se desprende de lo anterior, la CURP es un dato personal </w:t>
      </w:r>
      <w:r w:rsidRPr="00365BE2">
        <w:rPr>
          <w:rFonts w:ascii="Palatino Linotype" w:hAnsi="Palatino Linotype" w:cs="Tahoma"/>
          <w:bCs/>
          <w:iCs/>
          <w:color w:val="000000"/>
          <w:sz w:val="22"/>
          <w:szCs w:val="22"/>
          <w:lang w:val="es-ES"/>
        </w:rPr>
        <w:t>confidencial</w:t>
      </w:r>
      <w:r w:rsidRPr="00365BE2">
        <w:rPr>
          <w:rFonts w:ascii="Palatino Linotype" w:eastAsia="Palatino Linotype" w:hAnsi="Palatino Linotype" w:cs="Palatino Linotype"/>
          <w:color w:val="000000"/>
          <w:sz w:val="22"/>
          <w:szCs w:val="22"/>
        </w:rPr>
        <w:t>, ya que por sí sola brinda información personal de su titular y lo hace identificado e identificable, motivo por el cual se aprueba su eliminación de las versiones públicas, por lo que se trata de un trámite administrativo requerido por la autoridad federal para hacer identificables a las personas.</w:t>
      </w:r>
    </w:p>
    <w:p w14:paraId="37EF8FDA" w14:textId="77777777" w:rsidR="004B5891" w:rsidRPr="00365BE2" w:rsidRDefault="004B5891" w:rsidP="004B5891">
      <w:pPr>
        <w:spacing w:line="360" w:lineRule="auto"/>
        <w:ind w:right="-1417"/>
        <w:jc w:val="both"/>
        <w:rPr>
          <w:rFonts w:ascii="Palatino Linotype" w:eastAsia="Palatino Linotype" w:hAnsi="Palatino Linotype" w:cs="Palatino Linotype"/>
          <w:color w:val="000000"/>
          <w:sz w:val="22"/>
          <w:szCs w:val="22"/>
        </w:rPr>
      </w:pPr>
    </w:p>
    <w:p w14:paraId="37EF8FDB"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Resulta aplicable en la especie, como argumento orientador, el Criterio 3/10, emitido por el INAI.</w:t>
      </w:r>
    </w:p>
    <w:p w14:paraId="37EF8FDC" w14:textId="77777777" w:rsidR="004B5891" w:rsidRPr="00365BE2" w:rsidRDefault="004B5891" w:rsidP="004B5891">
      <w:pPr>
        <w:ind w:left="1134" w:right="900"/>
        <w:jc w:val="both"/>
        <w:rPr>
          <w:rFonts w:ascii="Palatino Linotype" w:eastAsia="Palatino Linotype" w:hAnsi="Palatino Linotype" w:cs="Palatino Linotype"/>
          <w:i/>
          <w:color w:val="000000"/>
          <w:sz w:val="22"/>
          <w:szCs w:val="22"/>
        </w:rPr>
      </w:pPr>
      <w:r w:rsidRPr="00365BE2">
        <w:rPr>
          <w:rFonts w:ascii="Palatino Linotype" w:eastAsia="Palatino Linotype" w:hAnsi="Palatino Linotype" w:cs="Palatino Linotype"/>
          <w:b/>
          <w:i/>
          <w:color w:val="000000"/>
          <w:sz w:val="22"/>
          <w:szCs w:val="22"/>
        </w:rPr>
        <w:t xml:space="preserve">Clave Única de Registro de Población (CURP) es un dato personal confidencial. </w:t>
      </w:r>
      <w:r w:rsidRPr="00365BE2">
        <w:rPr>
          <w:rFonts w:ascii="Palatino Linotype" w:eastAsia="Palatino Linotype" w:hAnsi="Palatino Linotype" w:cs="Palatino Linotype"/>
          <w:i/>
          <w:color w:val="000000"/>
          <w:sz w:val="22"/>
          <w:szCs w:val="22"/>
        </w:rPr>
        <w:t xml:space="preserve">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w:t>
      </w:r>
      <w:proofErr w:type="spellStart"/>
      <w:r w:rsidRPr="00365BE2">
        <w:rPr>
          <w:rFonts w:ascii="Palatino Linotype" w:eastAsia="Palatino Linotype" w:hAnsi="Palatino Linotype" w:cs="Palatino Linotype"/>
          <w:i/>
          <w:color w:val="000000"/>
          <w:sz w:val="22"/>
          <w:szCs w:val="22"/>
        </w:rPr>
        <w:t>ey</w:t>
      </w:r>
      <w:proofErr w:type="spellEnd"/>
      <w:r w:rsidRPr="00365BE2">
        <w:rPr>
          <w:rFonts w:ascii="Palatino Linotype" w:eastAsia="Palatino Linotype" w:hAnsi="Palatino Linotype" w:cs="Palatino Linotype"/>
          <w:i/>
          <w:color w:val="000000"/>
          <w:sz w:val="22"/>
          <w:szCs w:val="22"/>
        </w:rPr>
        <w:t xml:space="preserve">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w:t>
      </w:r>
      <w:r w:rsidRPr="00365BE2">
        <w:rPr>
          <w:rFonts w:ascii="Palatino Linotype" w:eastAsia="Palatino Linotype" w:hAnsi="Palatino Linotype" w:cs="Palatino Linotype"/>
          <w:i/>
          <w:color w:val="000000"/>
          <w:sz w:val="22"/>
          <w:szCs w:val="22"/>
        </w:rPr>
        <w:lastRenderedPageBreak/>
        <w:t xml:space="preserve">confidencial, en términos de lo dispuesto en el artículos anteriormente señalados. </w:t>
      </w:r>
    </w:p>
    <w:p w14:paraId="37EF8FDD" w14:textId="77777777" w:rsidR="004B5891" w:rsidRPr="00365BE2" w:rsidRDefault="004B5891" w:rsidP="004B5891">
      <w:pPr>
        <w:ind w:left="1134" w:right="-1417"/>
        <w:jc w:val="both"/>
        <w:rPr>
          <w:rFonts w:ascii="Palatino Linotype" w:eastAsia="Palatino Linotype" w:hAnsi="Palatino Linotype" w:cs="Palatino Linotype"/>
          <w:color w:val="000000"/>
          <w:sz w:val="22"/>
          <w:szCs w:val="22"/>
        </w:rPr>
      </w:pPr>
    </w:p>
    <w:p w14:paraId="37EF8FDE"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De acuerdo con lo anterior, la clave CURP, es un dato personal </w:t>
      </w:r>
      <w:r w:rsidRPr="00365BE2">
        <w:rPr>
          <w:rFonts w:ascii="Palatino Linotype" w:hAnsi="Palatino Linotype" w:cs="Tahoma"/>
          <w:bCs/>
          <w:iCs/>
          <w:color w:val="000000"/>
          <w:sz w:val="22"/>
          <w:szCs w:val="22"/>
          <w:lang w:val="es-ES"/>
        </w:rPr>
        <w:t>confidencial</w:t>
      </w:r>
      <w:r w:rsidRPr="00365BE2">
        <w:rPr>
          <w:rFonts w:ascii="Palatino Linotype" w:eastAsia="Palatino Linotype" w:hAnsi="Palatino Linotype" w:cs="Palatino Linotype"/>
          <w:color w:val="000000"/>
          <w:sz w:val="22"/>
          <w:szCs w:val="22"/>
        </w:rPr>
        <w:t>, en términos del artículo 143, fracción I, de la Ley de Transparencia y Acceso a la Información Pública del Estado de México y Municipios.</w:t>
      </w:r>
    </w:p>
    <w:p w14:paraId="37EF8FDF" w14:textId="77777777" w:rsidR="004B5891" w:rsidRPr="00365BE2" w:rsidRDefault="004B5891" w:rsidP="004B5891">
      <w:pPr>
        <w:pBdr>
          <w:top w:val="nil"/>
          <w:left w:val="nil"/>
          <w:bottom w:val="nil"/>
          <w:right w:val="nil"/>
          <w:between w:val="nil"/>
        </w:pBdr>
        <w:ind w:left="720" w:right="-1417"/>
        <w:rPr>
          <w:rFonts w:ascii="Palatino Linotype" w:eastAsia="Palatino Linotype" w:hAnsi="Palatino Linotype" w:cs="Palatino Linotype"/>
          <w:color w:val="000000"/>
          <w:sz w:val="22"/>
          <w:szCs w:val="22"/>
        </w:rPr>
      </w:pPr>
    </w:p>
    <w:p w14:paraId="37EF8FE0" w14:textId="77777777" w:rsidR="004B5891" w:rsidRPr="00365BE2" w:rsidRDefault="004B5891" w:rsidP="004B5891">
      <w:pPr>
        <w:ind w:right="-1417"/>
        <w:rPr>
          <w:rFonts w:ascii="Palatino Linotype" w:eastAsia="Palatino Linotype" w:hAnsi="Palatino Linotype" w:cs="Palatino Linotype"/>
          <w:color w:val="000000"/>
          <w:sz w:val="22"/>
          <w:szCs w:val="22"/>
        </w:rPr>
      </w:pPr>
    </w:p>
    <w:p w14:paraId="37EF8FE1" w14:textId="77777777" w:rsidR="004B5891" w:rsidRPr="00365BE2" w:rsidRDefault="004B5891" w:rsidP="004B5891">
      <w:pPr>
        <w:spacing w:line="360" w:lineRule="auto"/>
        <w:ind w:right="-1417"/>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Domicilio de particulares</w:t>
      </w:r>
    </w:p>
    <w:p w14:paraId="37EF8FE2"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Ahora bien, de acuerdo a lo señalado en los artículos 2.3 y 2.5, fracción V del Código Civil del Estado de México, el domicilio es un atributo de la </w:t>
      </w:r>
      <w:r w:rsidRPr="00365BE2">
        <w:rPr>
          <w:rFonts w:ascii="Palatino Linotype" w:hAnsi="Palatino Linotype" w:cs="Tahoma"/>
          <w:bCs/>
          <w:iCs/>
          <w:color w:val="000000"/>
          <w:sz w:val="22"/>
          <w:szCs w:val="22"/>
          <w:lang w:val="es-ES"/>
        </w:rPr>
        <w:t>personalidad</w:t>
      </w:r>
      <w:r w:rsidRPr="00365BE2">
        <w:rPr>
          <w:rFonts w:ascii="Palatino Linotype" w:eastAsia="Palatino Linotype" w:hAnsi="Palatino Linotype" w:cs="Palatino Linotype"/>
          <w:color w:val="000000"/>
          <w:sz w:val="22"/>
          <w:szCs w:val="22"/>
        </w:rPr>
        <w:t xml:space="preserve">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Por lo que </w:t>
      </w:r>
      <w:r w:rsidRPr="00365BE2">
        <w:rPr>
          <w:rFonts w:ascii="Palatino Linotype" w:eastAsia="Palatino Linotype" w:hAnsi="Palatino Linotype" w:cs="Palatino Linotype"/>
          <w:b/>
          <w:color w:val="000000"/>
          <w:sz w:val="22"/>
          <w:szCs w:val="22"/>
        </w:rPr>
        <w:t>el domicilio particular</w:t>
      </w:r>
      <w:r w:rsidRPr="00365BE2">
        <w:rPr>
          <w:rFonts w:ascii="Palatino Linotype" w:eastAsia="Palatino Linotype" w:hAnsi="Palatino Linotype" w:cs="Palatino Linotype"/>
          <w:color w:val="000000"/>
          <w:sz w:val="22"/>
          <w:szCs w:val="22"/>
        </w:rPr>
        <w:t xml:space="preserve"> es confidencial, en términos del artículo 143, fracción I de la Ley de Transparencia y Acceso a la Información Pública del Estado de México y Municipios. </w:t>
      </w:r>
    </w:p>
    <w:p w14:paraId="37EF8FE3" w14:textId="77777777" w:rsidR="004B5891" w:rsidRPr="00365BE2" w:rsidRDefault="004B5891" w:rsidP="004B5891">
      <w:pPr>
        <w:pBdr>
          <w:top w:val="nil"/>
          <w:left w:val="nil"/>
          <w:bottom w:val="nil"/>
          <w:right w:val="nil"/>
          <w:between w:val="nil"/>
        </w:pBdr>
        <w:ind w:right="-1417"/>
        <w:rPr>
          <w:rFonts w:ascii="Palatino Linotype" w:eastAsia="Palatino Linotype" w:hAnsi="Palatino Linotype" w:cs="Palatino Linotype"/>
          <w:color w:val="000000"/>
          <w:sz w:val="22"/>
          <w:szCs w:val="22"/>
        </w:rPr>
      </w:pPr>
    </w:p>
    <w:p w14:paraId="37EF8FE4" w14:textId="77777777" w:rsidR="004B5891" w:rsidRPr="00365BE2" w:rsidRDefault="004B5891" w:rsidP="004B5891">
      <w:pPr>
        <w:spacing w:line="360" w:lineRule="auto"/>
        <w:ind w:right="-1417"/>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b/>
          <w:sz w:val="22"/>
          <w:szCs w:val="22"/>
        </w:rPr>
        <w:t>Teléfono y celular particular.</w:t>
      </w:r>
    </w:p>
    <w:p w14:paraId="37EF8FE5"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sz w:val="22"/>
          <w:szCs w:val="22"/>
        </w:rPr>
        <w:t xml:space="preserve">El </w:t>
      </w:r>
      <w:r w:rsidRPr="00365BE2">
        <w:rPr>
          <w:rFonts w:ascii="Palatino Linotype" w:hAnsi="Palatino Linotype" w:cs="Tahoma"/>
          <w:bCs/>
          <w:iCs/>
          <w:color w:val="000000"/>
          <w:sz w:val="22"/>
          <w:szCs w:val="22"/>
          <w:lang w:val="es-ES"/>
        </w:rPr>
        <w:t>número</w:t>
      </w:r>
      <w:r w:rsidRPr="00365BE2">
        <w:rPr>
          <w:rFonts w:ascii="Palatino Linotype" w:eastAsia="Palatino Linotype" w:hAnsi="Palatino Linotype" w:cs="Palatino Linotype"/>
          <w:sz w:val="22"/>
          <w:szCs w:val="22"/>
        </w:rPr>
        <w:t xml:space="preserve"> asignado a un teléfono particular o celular permite localizar a una persona física identificada o identificable, ya sea a través de un dispositivo móvil o bien, en un lugar como el domicilio. </w:t>
      </w:r>
    </w:p>
    <w:p w14:paraId="37EF8FE6" w14:textId="77777777" w:rsidR="004B5891" w:rsidRPr="00365BE2" w:rsidRDefault="004B5891" w:rsidP="004B5891">
      <w:pPr>
        <w:spacing w:line="360" w:lineRule="auto"/>
        <w:ind w:right="-1417"/>
        <w:jc w:val="both"/>
        <w:rPr>
          <w:rFonts w:ascii="Palatino Linotype" w:eastAsia="Palatino Linotype" w:hAnsi="Palatino Linotype" w:cs="Palatino Linotype"/>
          <w:sz w:val="22"/>
          <w:szCs w:val="22"/>
        </w:rPr>
      </w:pPr>
    </w:p>
    <w:p w14:paraId="37EF8FE7" w14:textId="77777777" w:rsidR="004B5891" w:rsidRPr="00365BE2" w:rsidRDefault="004B5891" w:rsidP="004B5891">
      <w:pPr>
        <w:numPr>
          <w:ilvl w:val="0"/>
          <w:numId w:val="12"/>
        </w:numPr>
        <w:spacing w:line="360" w:lineRule="auto"/>
        <w:ind w:left="-566" w:right="-1417" w:firstLine="0"/>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sz w:val="22"/>
          <w:szCs w:val="22"/>
        </w:rPr>
        <w:t xml:space="preserve">En tales consideraciones, si se localizan dichos datos personales en la </w:t>
      </w:r>
      <w:r w:rsidRPr="00365BE2">
        <w:rPr>
          <w:rFonts w:ascii="Palatino Linotype" w:hAnsi="Palatino Linotype" w:cs="Tahoma"/>
          <w:bCs/>
          <w:iCs/>
          <w:color w:val="000000"/>
          <w:sz w:val="22"/>
          <w:szCs w:val="22"/>
          <w:lang w:val="es-ES"/>
        </w:rPr>
        <w:t>información</w:t>
      </w:r>
      <w:r w:rsidRPr="00365BE2">
        <w:rPr>
          <w:rFonts w:ascii="Palatino Linotype" w:eastAsia="Palatino Linotype" w:hAnsi="Palatino Linotype" w:cs="Palatino Linotype"/>
          <w:sz w:val="22"/>
          <w:szCs w:val="22"/>
        </w:rPr>
        <w:t xml:space="preserve"> entregada, esta es susceptible de ser clasificada como confidencial, con fundamento en el artículo 143, fracción I de la Ley de Transparencia y Acceso a la Información Pública.</w:t>
      </w:r>
    </w:p>
    <w:p w14:paraId="37EF8FE8" w14:textId="77777777" w:rsidR="004B5891" w:rsidRPr="00365BE2" w:rsidRDefault="004B5891" w:rsidP="004B5891">
      <w:pPr>
        <w:pStyle w:val="Prrafodelista"/>
        <w:tabs>
          <w:tab w:val="left" w:pos="426"/>
        </w:tabs>
        <w:spacing w:line="360" w:lineRule="auto"/>
        <w:ind w:left="0" w:right="51"/>
        <w:jc w:val="both"/>
        <w:rPr>
          <w:rFonts w:ascii="Palatino Linotype" w:hAnsi="Palatino Linotype"/>
          <w:color w:val="000000" w:themeColor="text1"/>
          <w:sz w:val="22"/>
          <w:szCs w:val="22"/>
        </w:rPr>
      </w:pPr>
    </w:p>
    <w:p w14:paraId="37EF8FE9" w14:textId="77777777" w:rsidR="004B5891" w:rsidRPr="00365BE2" w:rsidRDefault="004B5891" w:rsidP="004B5891">
      <w:pPr>
        <w:numPr>
          <w:ilvl w:val="0"/>
          <w:numId w:val="12"/>
        </w:numPr>
        <w:spacing w:line="360" w:lineRule="auto"/>
        <w:ind w:left="-566" w:right="-1417" w:firstLine="0"/>
        <w:jc w:val="both"/>
        <w:rPr>
          <w:rFonts w:ascii="Palatino Linotype" w:hAnsi="Palatino Linotype"/>
          <w:color w:val="000000" w:themeColor="text1"/>
          <w:sz w:val="22"/>
          <w:szCs w:val="22"/>
        </w:rPr>
      </w:pPr>
      <w:r w:rsidRPr="00365BE2">
        <w:rPr>
          <w:rFonts w:ascii="Palatino Linotype" w:hAnsi="Palatino Linotype"/>
          <w:color w:val="000000" w:themeColor="text1"/>
          <w:sz w:val="22"/>
          <w:szCs w:val="22"/>
        </w:rPr>
        <w:lastRenderedPageBreak/>
        <w:t xml:space="preserve">En ese sentido, el </w:t>
      </w:r>
      <w:r w:rsidRPr="00365BE2">
        <w:rPr>
          <w:rFonts w:ascii="Palatino Linotype" w:hAnsi="Palatino Linotype"/>
          <w:b/>
          <w:color w:val="000000" w:themeColor="text1"/>
          <w:sz w:val="22"/>
          <w:szCs w:val="22"/>
        </w:rPr>
        <w:t xml:space="preserve">SUJETO OBLIGADO </w:t>
      </w:r>
      <w:r w:rsidRPr="00365BE2">
        <w:rPr>
          <w:rFonts w:ascii="Palatino Linotype" w:hAnsi="Palatino Linotype"/>
          <w:color w:val="000000" w:themeColor="text1"/>
          <w:sz w:val="22"/>
          <w:szCs w:val="22"/>
        </w:rPr>
        <w:t xml:space="preserve">deberá de analizar la información previa a </w:t>
      </w:r>
      <w:r w:rsidRPr="00365BE2">
        <w:rPr>
          <w:rFonts w:ascii="Palatino Linotype" w:hAnsi="Palatino Linotype" w:cs="Tahoma"/>
          <w:bCs/>
          <w:iCs/>
          <w:color w:val="000000"/>
          <w:sz w:val="22"/>
          <w:szCs w:val="22"/>
          <w:lang w:val="es-ES"/>
        </w:rPr>
        <w:t>su</w:t>
      </w:r>
      <w:r w:rsidRPr="00365BE2">
        <w:rPr>
          <w:rFonts w:ascii="Palatino Linotype" w:hAnsi="Palatino Linotype"/>
          <w:color w:val="000000" w:themeColor="text1"/>
          <w:sz w:val="22"/>
          <w:szCs w:val="22"/>
        </w:rPr>
        <w:t xml:space="preserve"> entrega para determinar la clasificación de información como confidencial de los posibles datos personales que puedan encontrarse en el soporte documental a entregar. </w:t>
      </w:r>
    </w:p>
    <w:p w14:paraId="37EF8FEA" w14:textId="77777777" w:rsidR="004B5891" w:rsidRPr="00365BE2" w:rsidRDefault="004B5891" w:rsidP="004B5891">
      <w:pPr>
        <w:rPr>
          <w:rFonts w:ascii="Palatino Linotype" w:hAnsi="Palatino Linotype" w:cs="Tahoma"/>
          <w:bCs/>
          <w:iCs/>
          <w:color w:val="000000"/>
          <w:sz w:val="22"/>
          <w:szCs w:val="22"/>
          <w:lang w:val="es-ES"/>
        </w:rPr>
      </w:pPr>
    </w:p>
    <w:p w14:paraId="37EF8FEB" w14:textId="77777777" w:rsidR="00477D80" w:rsidRPr="00365BE2" w:rsidRDefault="00477D80" w:rsidP="00477D80">
      <w:pPr>
        <w:keepNext/>
        <w:keepLines/>
        <w:spacing w:after="160" w:line="360" w:lineRule="auto"/>
        <w:ind w:left="-566" w:right="-1417"/>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QUINTO. De la versión pública.</w:t>
      </w:r>
    </w:p>
    <w:p w14:paraId="37EF8FEC" w14:textId="77777777" w:rsidR="00477D80" w:rsidRPr="00365BE2" w:rsidRDefault="00477D80" w:rsidP="00477D80">
      <w:pPr>
        <w:keepNext/>
        <w:keepLines/>
        <w:numPr>
          <w:ilvl w:val="0"/>
          <w:numId w:val="14"/>
        </w:numPr>
        <w:tabs>
          <w:tab w:val="left" w:pos="284"/>
        </w:tabs>
        <w:spacing w:after="160" w:line="360" w:lineRule="auto"/>
        <w:ind w:left="-566" w:right="-1417" w:firstLine="0"/>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 xml:space="preserve">Nociones generales. </w:t>
      </w:r>
    </w:p>
    <w:p w14:paraId="37EF8FED" w14:textId="77777777" w:rsidR="00477D80" w:rsidRPr="00365BE2" w:rsidRDefault="00477D80" w:rsidP="00477D80">
      <w:pPr>
        <w:numPr>
          <w:ilvl w:val="0"/>
          <w:numId w:val="12"/>
        </w:numP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 xml:space="preserve">Debe </w:t>
      </w:r>
      <w:r w:rsidRPr="00365BE2">
        <w:rPr>
          <w:rFonts w:ascii="Palatino Linotype" w:eastAsia="Palatino Linotype" w:hAnsi="Palatino Linotype" w:cs="Palatino Linotype"/>
          <w:sz w:val="22"/>
          <w:szCs w:val="22"/>
        </w:rPr>
        <w:t>destacarse</w:t>
      </w:r>
      <w:r w:rsidRPr="00365BE2">
        <w:rPr>
          <w:rFonts w:ascii="Palatino Linotype" w:eastAsia="Palatino Linotype" w:hAnsi="Palatino Linotype" w:cs="Palatino Linotype"/>
          <w:color w:val="000000"/>
          <w:sz w:val="22"/>
          <w:szCs w:val="22"/>
        </w:rPr>
        <w:t xml:space="preserve">, que debido a la información solicitada por el </w:t>
      </w:r>
      <w:r w:rsidRPr="00365BE2">
        <w:rPr>
          <w:rFonts w:ascii="Palatino Linotype" w:eastAsia="Palatino Linotype" w:hAnsi="Palatino Linotype" w:cs="Palatino Linotype"/>
          <w:b/>
          <w:color w:val="000000"/>
          <w:sz w:val="22"/>
          <w:szCs w:val="22"/>
        </w:rPr>
        <w:t xml:space="preserve">RECURRENTE, pueden obrar </w:t>
      </w:r>
      <w:r w:rsidRPr="00365BE2">
        <w:rPr>
          <w:rFonts w:ascii="Palatino Linotype" w:eastAsia="Palatino Linotype" w:hAnsi="Palatino Linotype" w:cs="Palatino Linotype"/>
          <w:color w:val="000000"/>
          <w:sz w:val="22"/>
          <w:szCs w:val="22"/>
        </w:rPr>
        <w:t xml:space="preserve">datos personales susceptibles de protegerse, así como información susceptible de clasificarse como confidenciales,  por lo que el </w:t>
      </w:r>
      <w:r w:rsidRPr="00365BE2">
        <w:rPr>
          <w:rFonts w:ascii="Palatino Linotype" w:eastAsia="Palatino Linotype" w:hAnsi="Palatino Linotype" w:cs="Palatino Linotype"/>
          <w:b/>
          <w:color w:val="000000"/>
          <w:sz w:val="22"/>
          <w:szCs w:val="22"/>
        </w:rPr>
        <w:t xml:space="preserve">SUJETO OBLIGADO </w:t>
      </w:r>
      <w:r w:rsidRPr="00365BE2">
        <w:rPr>
          <w:rFonts w:ascii="Palatino Linotype" w:eastAsia="Palatino Linotype" w:hAnsi="Palatino Linotype" w:cs="Palatino Linotype"/>
          <w:color w:val="000000"/>
          <w:sz w:val="22"/>
          <w:szCs w:val="22"/>
        </w:rPr>
        <w:t xml:space="preserve">deberá de hacer la adecuada versión pública, protegiendo los datos que no son susceptibles de ser proporcionados. </w:t>
      </w:r>
    </w:p>
    <w:p w14:paraId="37EF8FEE" w14:textId="77777777" w:rsidR="00477D80" w:rsidRPr="00365BE2" w:rsidRDefault="00477D80" w:rsidP="00477D80">
      <w:pPr>
        <w:tabs>
          <w:tab w:val="left" w:pos="0"/>
          <w:tab w:val="left" w:pos="284"/>
        </w:tabs>
        <w:spacing w:line="360" w:lineRule="auto"/>
        <w:ind w:left="-566" w:right="-1417"/>
        <w:jc w:val="both"/>
        <w:rPr>
          <w:rFonts w:ascii="Palatino Linotype" w:eastAsia="Palatino Linotype" w:hAnsi="Palatino Linotype" w:cs="Palatino Linotype"/>
          <w:sz w:val="22"/>
          <w:szCs w:val="22"/>
        </w:rPr>
      </w:pPr>
    </w:p>
    <w:p w14:paraId="37EF8FEF" w14:textId="77777777" w:rsidR="00477D80" w:rsidRPr="00365BE2" w:rsidRDefault="00477D80" w:rsidP="00477D80">
      <w:pPr>
        <w:numPr>
          <w:ilvl w:val="0"/>
          <w:numId w:val="12"/>
        </w:numPr>
        <w:spacing w:line="360" w:lineRule="auto"/>
        <w:ind w:left="-566" w:right="-1417" w:firstLine="0"/>
        <w:jc w:val="both"/>
        <w:rPr>
          <w:color w:val="000000"/>
          <w:sz w:val="22"/>
          <w:szCs w:val="22"/>
        </w:rPr>
      </w:pPr>
      <w:r w:rsidRPr="00365BE2">
        <w:rPr>
          <w:rFonts w:ascii="Palatino Linotype" w:eastAsia="Palatino Linotype" w:hAnsi="Palatino Linotype" w:cs="Palatino Linotype"/>
          <w:color w:val="000000"/>
          <w:sz w:val="22"/>
          <w:szCs w:val="22"/>
        </w:rPr>
        <w:t>No pasa desapercibido para este Órgano Garante que los sujetos obligados</w:t>
      </w:r>
      <w:r w:rsidRPr="00365BE2">
        <w:rPr>
          <w:rFonts w:ascii="Palatino Linotype" w:eastAsia="Palatino Linotype" w:hAnsi="Palatino Linotype" w:cs="Palatino Linotype"/>
          <w:b/>
          <w:color w:val="000000"/>
          <w:sz w:val="22"/>
          <w:szCs w:val="22"/>
        </w:rPr>
        <w:t xml:space="preserve"> </w:t>
      </w:r>
      <w:r w:rsidRPr="00365BE2">
        <w:rPr>
          <w:rFonts w:ascii="Palatino Linotype" w:eastAsia="Palatino Linotype" w:hAnsi="Palatino Linotype" w:cs="Palatino Linotype"/>
          <w:color w:val="000000"/>
          <w:sz w:val="22"/>
          <w:szCs w:val="22"/>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tbl>
      <w:tblPr>
        <w:tblW w:w="9209"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2689"/>
        <w:gridCol w:w="6520"/>
      </w:tblGrid>
      <w:tr w:rsidR="00196FA9" w:rsidRPr="00365BE2" w14:paraId="37EF8FF5" w14:textId="77777777" w:rsidTr="00196FA9">
        <w:tc>
          <w:tcPr>
            <w:tcW w:w="2689" w:type="dxa"/>
          </w:tcPr>
          <w:p w14:paraId="37EF8FF0" w14:textId="77777777" w:rsidR="00196FA9" w:rsidRPr="00365BE2" w:rsidRDefault="00196FA9" w:rsidP="00196FA9">
            <w:pPr>
              <w:tabs>
                <w:tab w:val="left" w:pos="284"/>
              </w:tabs>
              <w:spacing w:line="360" w:lineRule="auto"/>
              <w:rPr>
                <w:rFonts w:ascii="Palatino Linotype" w:eastAsia="Palatino Linotype" w:hAnsi="Palatino Linotype" w:cs="Palatino Linotype"/>
                <w:b/>
                <w:sz w:val="22"/>
                <w:szCs w:val="22"/>
              </w:rPr>
            </w:pPr>
            <w:r w:rsidRPr="00365BE2">
              <w:rPr>
                <w:rFonts w:ascii="Palatino Linotype" w:eastAsia="Palatino Linotype" w:hAnsi="Palatino Linotype" w:cs="Palatino Linotype"/>
                <w:b/>
                <w:sz w:val="22"/>
                <w:szCs w:val="22"/>
              </w:rPr>
              <w:t>a) Requisitos previos.</w:t>
            </w:r>
          </w:p>
        </w:tc>
        <w:tc>
          <w:tcPr>
            <w:tcW w:w="6520" w:type="dxa"/>
          </w:tcPr>
          <w:p w14:paraId="37EF8FF1"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 xml:space="preserve">Los artículos 100 y 122 de la Ley Estatal y de la Ley General, respectivamente, señalan que si los Sujetos Obligados determinan que la información actualiza alguno de los supuestos de clasificación, es deber de los titulares de las áreas proponer su clasificación y no del Comité de Transparencia. </w:t>
            </w:r>
          </w:p>
          <w:p w14:paraId="37EF8FF2"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Al hacerlo tienen que precisar de qué información se trata, señalando el supuesto de clasificación (confidencialidad o reserva).</w:t>
            </w:r>
          </w:p>
          <w:p w14:paraId="37EF8FF3"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lastRenderedPageBreak/>
              <w:t>Además, se debe señalar el procedimiento, de los tres que establecen los artículos 132 y 106 de la Ley Estatal y General, respectivamente.</w:t>
            </w:r>
          </w:p>
          <w:p w14:paraId="37EF8FF4" w14:textId="77777777" w:rsidR="00196FA9" w:rsidRPr="00365BE2" w:rsidRDefault="00196FA9" w:rsidP="00196FA9">
            <w:pPr>
              <w:tabs>
                <w:tab w:val="left" w:pos="284"/>
              </w:tabs>
              <w:spacing w:line="360" w:lineRule="auto"/>
              <w:jc w:val="both"/>
              <w:rPr>
                <w:rFonts w:ascii="Palatino Linotype" w:eastAsia="Palatino Linotype" w:hAnsi="Palatino Linotype" w:cs="Palatino Linotype"/>
                <w:b/>
                <w:sz w:val="22"/>
                <w:szCs w:val="22"/>
              </w:rPr>
            </w:pPr>
            <w:r w:rsidRPr="00365BE2">
              <w:rPr>
                <w:rFonts w:ascii="Palatino Linotype" w:eastAsia="Palatino Linotype" w:hAnsi="Palatino Linotype" w:cs="Palatino Linotype"/>
                <w:b/>
                <w:color w:val="000000"/>
                <w:sz w:val="22"/>
                <w:szCs w:val="22"/>
              </w:rPr>
              <w:t>El último de estos requisitos previos consiste en que no se pue</w:t>
            </w:r>
            <w:bookmarkStart w:id="12" w:name="_GoBack"/>
            <w:bookmarkEnd w:id="12"/>
            <w:r w:rsidRPr="00365BE2">
              <w:rPr>
                <w:rFonts w:ascii="Palatino Linotype" w:eastAsia="Palatino Linotype" w:hAnsi="Palatino Linotype" w:cs="Palatino Linotype"/>
                <w:b/>
                <w:color w:val="000000"/>
                <w:sz w:val="22"/>
                <w:szCs w:val="22"/>
              </w:rPr>
              <w:t xml:space="preserve">den emitir acuerdos de carácter general ni particular, esto es, </w:t>
            </w:r>
            <w:r w:rsidRPr="00365BE2">
              <w:rPr>
                <w:rFonts w:ascii="Palatino Linotype" w:eastAsia="Palatino Linotype" w:hAnsi="Palatino Linotype" w:cs="Palatino Linotype"/>
                <w:b/>
                <w:color w:val="000000"/>
                <w:sz w:val="22"/>
                <w:szCs w:val="22"/>
                <w:u w:val="single"/>
              </w:rPr>
              <w:t>no se puede hacer un acuerdo para clasificar de manera general todos los documentos de un expediente o área, sin</w:t>
            </w:r>
            <w:r w:rsidRPr="00365BE2">
              <w:rPr>
                <w:rFonts w:ascii="Palatino Linotype" w:eastAsia="Palatino Linotype" w:hAnsi="Palatino Linotype" w:cs="Palatino Linotype"/>
                <w:b/>
                <w:color w:val="000000"/>
                <w:sz w:val="22"/>
                <w:szCs w:val="22"/>
              </w:rPr>
              <w:t xml:space="preserve"> individualizar su análisis y tampoco se puede hacer un acuerdo por cada dato que se vaya a clasificar dentro de un documento con diez datos, por ejemplo, susceptibles de ser clasificados.</w:t>
            </w:r>
          </w:p>
        </w:tc>
      </w:tr>
      <w:tr w:rsidR="00196FA9" w:rsidRPr="00365BE2" w14:paraId="37EF8FFA" w14:textId="77777777" w:rsidTr="00196FA9">
        <w:tc>
          <w:tcPr>
            <w:tcW w:w="2689" w:type="dxa"/>
          </w:tcPr>
          <w:p w14:paraId="37EF8FF6" w14:textId="77777777" w:rsidR="00196FA9" w:rsidRPr="00365BE2" w:rsidRDefault="00196FA9" w:rsidP="00196FA9">
            <w:pPr>
              <w:tabs>
                <w:tab w:val="left" w:pos="284"/>
              </w:tabs>
              <w:spacing w:line="360" w:lineRule="auto"/>
              <w:rPr>
                <w:rFonts w:ascii="Palatino Linotype" w:eastAsia="Palatino Linotype" w:hAnsi="Palatino Linotype" w:cs="Palatino Linotype"/>
                <w:b/>
                <w:sz w:val="22"/>
                <w:szCs w:val="22"/>
              </w:rPr>
            </w:pPr>
            <w:r w:rsidRPr="00365BE2">
              <w:rPr>
                <w:rFonts w:ascii="Palatino Linotype" w:eastAsia="Palatino Linotype" w:hAnsi="Palatino Linotype" w:cs="Palatino Linotype"/>
                <w:b/>
                <w:sz w:val="22"/>
                <w:szCs w:val="22"/>
              </w:rPr>
              <w:lastRenderedPageBreak/>
              <w:t>b) Supuestos de clasificación.</w:t>
            </w:r>
          </w:p>
        </w:tc>
        <w:tc>
          <w:tcPr>
            <w:tcW w:w="6520" w:type="dxa"/>
          </w:tcPr>
          <w:p w14:paraId="37EF8FF7"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Las disposiciones constitucionales y legales en la materia establecen los dos supuestos generales para clasificar la información: por reserva y por confidencialidad.</w:t>
            </w:r>
          </w:p>
          <w:p w14:paraId="37EF8FF8"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14:paraId="37EF8FF9" w14:textId="77777777" w:rsidR="00196FA9" w:rsidRPr="00365BE2" w:rsidRDefault="00196FA9" w:rsidP="00196FA9">
            <w:pPr>
              <w:tabs>
                <w:tab w:val="left" w:pos="284"/>
              </w:tabs>
              <w:spacing w:line="360" w:lineRule="auto"/>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color w:val="000000"/>
                <w:sz w:val="22"/>
                <w:szCs w:val="22"/>
              </w:rPr>
              <w:t xml:space="preserve">El </w:t>
            </w:r>
            <w:r w:rsidRPr="00365BE2">
              <w:rPr>
                <w:rFonts w:ascii="Palatino Linotype" w:eastAsia="Palatino Linotype" w:hAnsi="Palatino Linotype" w:cs="Palatino Linotype"/>
                <w:b/>
                <w:color w:val="000000"/>
                <w:sz w:val="22"/>
                <w:szCs w:val="22"/>
              </w:rPr>
              <w:t>Sujeto Obligado</w:t>
            </w:r>
            <w:r w:rsidRPr="00365BE2">
              <w:rPr>
                <w:rFonts w:ascii="Palatino Linotype" w:eastAsia="Palatino Linotype" w:hAnsi="Palatino Linotype" w:cs="Palatino Linotype"/>
                <w:color w:val="000000"/>
                <w:sz w:val="22"/>
                <w:szCs w:val="22"/>
              </w:rPr>
              <w:t xml:space="preserve"> debe identificar claramente el tipo de información y hacer un juicio de subsunción o encaje para acreditar que el supuesto de hecho corresponde estrictamente con </w:t>
            </w:r>
            <w:r w:rsidRPr="00365BE2">
              <w:rPr>
                <w:rFonts w:ascii="Palatino Linotype" w:eastAsia="Palatino Linotype" w:hAnsi="Palatino Linotype" w:cs="Palatino Linotype"/>
                <w:color w:val="000000"/>
                <w:sz w:val="22"/>
                <w:szCs w:val="22"/>
              </w:rPr>
              <w:lastRenderedPageBreak/>
              <w:t>la hipótesis jurídica. Esto también lo debe de realizar el servidor público habilitado y el titular del área que administra la información.</w:t>
            </w:r>
          </w:p>
        </w:tc>
      </w:tr>
      <w:tr w:rsidR="00196FA9" w:rsidRPr="00365BE2" w14:paraId="37EF8FFF" w14:textId="77777777" w:rsidTr="00196FA9">
        <w:tc>
          <w:tcPr>
            <w:tcW w:w="2689" w:type="dxa"/>
          </w:tcPr>
          <w:p w14:paraId="37EF8FFB" w14:textId="77777777" w:rsidR="00196FA9" w:rsidRPr="00365BE2" w:rsidRDefault="00196FA9" w:rsidP="00196FA9">
            <w:pPr>
              <w:tabs>
                <w:tab w:val="left" w:pos="284"/>
              </w:tabs>
              <w:spacing w:line="360" w:lineRule="auto"/>
              <w:rPr>
                <w:rFonts w:ascii="Palatino Linotype" w:eastAsia="Palatino Linotype" w:hAnsi="Palatino Linotype" w:cs="Palatino Linotype"/>
                <w:b/>
                <w:sz w:val="22"/>
                <w:szCs w:val="22"/>
              </w:rPr>
            </w:pPr>
            <w:r w:rsidRPr="00365BE2">
              <w:rPr>
                <w:rFonts w:ascii="Palatino Linotype" w:eastAsia="Palatino Linotype" w:hAnsi="Palatino Linotype" w:cs="Palatino Linotype"/>
                <w:b/>
                <w:sz w:val="22"/>
                <w:szCs w:val="22"/>
              </w:rPr>
              <w:lastRenderedPageBreak/>
              <w:t>c) Formalidades para emitir el acuerdo de clasificación.</w:t>
            </w:r>
          </w:p>
        </w:tc>
        <w:tc>
          <w:tcPr>
            <w:tcW w:w="6520" w:type="dxa"/>
          </w:tcPr>
          <w:p w14:paraId="37EF8FFC"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El Comité de Transparencia, según lo dispuesto en los artículos cuenta con las facultades para aprobar, modificar o revocar la clasificación de la información que haya propuesto. </w:t>
            </w:r>
          </w:p>
          <w:p w14:paraId="37EF8FFD"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Es necesario que </w:t>
            </w:r>
            <w:r w:rsidRPr="00365BE2">
              <w:rPr>
                <w:rFonts w:ascii="Palatino Linotype" w:eastAsia="Palatino Linotype" w:hAnsi="Palatino Linotype" w:cs="Palatino Linotype"/>
                <w:b/>
                <w:color w:val="000000"/>
                <w:sz w:val="22"/>
                <w:szCs w:val="22"/>
                <w:u w:val="single"/>
              </w:rPr>
              <w:t>el acto reúna con los requisitos elementales</w:t>
            </w:r>
            <w:r w:rsidRPr="00365BE2">
              <w:rPr>
                <w:rFonts w:ascii="Palatino Linotype" w:eastAsia="Palatino Linotype" w:hAnsi="Palatino Linotype" w:cs="Palatino Linotype"/>
                <w:color w:val="000000"/>
                <w:sz w:val="22"/>
                <w:szCs w:val="22"/>
              </w:rPr>
              <w:t>, entre ellos, que la autoridad que va a emitir el acto de autoridad sea la legalmente facultada para ello.</w:t>
            </w:r>
          </w:p>
          <w:p w14:paraId="37EF8FFE" w14:textId="77777777" w:rsidR="00196FA9" w:rsidRPr="00365BE2" w:rsidRDefault="00196FA9" w:rsidP="00196FA9">
            <w:pPr>
              <w:tabs>
                <w:tab w:val="left" w:pos="284"/>
              </w:tabs>
              <w:spacing w:line="360" w:lineRule="auto"/>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color w:val="000000"/>
                <w:sz w:val="22"/>
                <w:szCs w:val="22"/>
              </w:rPr>
              <w:t>La decisión de aprobar, modificar o revocar la clasificación deberá de asentarse en un documento que registre la determinación a la que 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196FA9" w:rsidRPr="00365BE2" w14:paraId="37EF9007" w14:textId="77777777" w:rsidTr="00196FA9">
        <w:tc>
          <w:tcPr>
            <w:tcW w:w="2689" w:type="dxa"/>
          </w:tcPr>
          <w:p w14:paraId="37EF9000" w14:textId="77777777" w:rsidR="00196FA9" w:rsidRPr="00365BE2" w:rsidRDefault="00196FA9" w:rsidP="00196FA9">
            <w:pPr>
              <w:tabs>
                <w:tab w:val="left" w:pos="284"/>
              </w:tabs>
              <w:spacing w:line="360" w:lineRule="auto"/>
              <w:rPr>
                <w:rFonts w:ascii="Palatino Linotype" w:eastAsia="Palatino Linotype" w:hAnsi="Palatino Linotype" w:cs="Palatino Linotype"/>
                <w:b/>
                <w:sz w:val="22"/>
                <w:szCs w:val="22"/>
              </w:rPr>
            </w:pPr>
          </w:p>
          <w:p w14:paraId="37EF9001" w14:textId="77777777" w:rsidR="00196FA9" w:rsidRPr="00365BE2" w:rsidRDefault="00196FA9" w:rsidP="00196FA9">
            <w:pPr>
              <w:tabs>
                <w:tab w:val="left" w:pos="284"/>
              </w:tabs>
              <w:spacing w:line="360" w:lineRule="auto"/>
              <w:jc w:val="both"/>
              <w:rPr>
                <w:rFonts w:ascii="Palatino Linotype" w:eastAsia="Palatino Linotype" w:hAnsi="Palatino Linotype" w:cs="Palatino Linotype"/>
                <w:b/>
                <w:sz w:val="22"/>
                <w:szCs w:val="22"/>
              </w:rPr>
            </w:pPr>
            <w:r w:rsidRPr="00365BE2">
              <w:rPr>
                <w:rFonts w:ascii="Palatino Linotype" w:eastAsia="Palatino Linotype" w:hAnsi="Palatino Linotype" w:cs="Palatino Linotype"/>
                <w:b/>
                <w:color w:val="000000"/>
                <w:sz w:val="22"/>
                <w:szCs w:val="22"/>
              </w:rPr>
              <w:t xml:space="preserve">d) Requisitos de fondo del acuerdo de clasificación. </w:t>
            </w:r>
          </w:p>
        </w:tc>
        <w:tc>
          <w:tcPr>
            <w:tcW w:w="6520" w:type="dxa"/>
          </w:tcPr>
          <w:p w14:paraId="37EF9002"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365BE2">
              <w:rPr>
                <w:rFonts w:ascii="Palatino Linotype" w:eastAsia="Palatino Linotype" w:hAnsi="Palatino Linotype" w:cs="Palatino Linotype"/>
                <w:b/>
                <w:color w:val="000000"/>
                <w:sz w:val="22"/>
                <w:szCs w:val="22"/>
              </w:rPr>
              <w:t>Sujetos Obligados</w:t>
            </w:r>
            <w:r w:rsidRPr="00365BE2">
              <w:rPr>
                <w:rFonts w:ascii="Palatino Linotype" w:eastAsia="Palatino Linotype" w:hAnsi="Palatino Linotype" w:cs="Palatino Linotype"/>
                <w:color w:val="000000"/>
                <w:sz w:val="22"/>
                <w:szCs w:val="22"/>
              </w:rPr>
              <w:t xml:space="preserve">, por lo que deberán fundar y motivar debidamente la clasificación. </w:t>
            </w:r>
          </w:p>
          <w:p w14:paraId="37EF9003"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lastRenderedPageBreak/>
              <w:t xml:space="preserve">De lo anterior, se desprende que para una correcta </w:t>
            </w:r>
            <w:r w:rsidRPr="00365BE2">
              <w:rPr>
                <w:rFonts w:ascii="Palatino Linotype" w:eastAsia="Palatino Linotype" w:hAnsi="Palatino Linotype" w:cs="Palatino Linotype"/>
                <w:b/>
                <w:color w:val="000000"/>
                <w:sz w:val="22"/>
                <w:szCs w:val="22"/>
              </w:rPr>
              <w:t>clasificación total o parcial</w:t>
            </w:r>
            <w:r w:rsidRPr="00365BE2">
              <w:rPr>
                <w:rFonts w:ascii="Palatino Linotype" w:eastAsia="Palatino Linotype" w:hAnsi="Palatino Linotype" w:cs="Palatino Linotype"/>
                <w:color w:val="000000"/>
                <w:sz w:val="22"/>
                <w:szCs w:val="22"/>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7EF9004"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14:paraId="37EF9005"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En ese mismo sentido, el numeral trigésimo tercero fracción V de los Lineamientos Generales, precisa que para motivar la clasificación se deben acreditar las circunstancias de tiempo, modo y lugar.</w:t>
            </w:r>
          </w:p>
          <w:p w14:paraId="37EF9006"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Ahora bien, </w:t>
            </w:r>
            <w:r w:rsidRPr="00365BE2">
              <w:rPr>
                <w:rFonts w:ascii="Palatino Linotype" w:eastAsia="Palatino Linotype" w:hAnsi="Palatino Linotype" w:cs="Palatino Linotype"/>
                <w:b/>
                <w:color w:val="000000"/>
                <w:sz w:val="22"/>
                <w:szCs w:val="22"/>
                <w:u w:val="single"/>
              </w:rPr>
              <w:t>para cada caso además de fundar y motivar</w:t>
            </w:r>
            <w:r w:rsidRPr="00365BE2">
              <w:rPr>
                <w:rFonts w:ascii="Palatino Linotype" w:eastAsia="Palatino Linotype" w:hAnsi="Palatino Linotype" w:cs="Palatino Linotype"/>
                <w:color w:val="000000"/>
                <w:sz w:val="22"/>
                <w:szCs w:val="22"/>
              </w:rPr>
              <w:t xml:space="preserve">,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w:t>
            </w:r>
            <w:r w:rsidRPr="00365BE2">
              <w:rPr>
                <w:rFonts w:ascii="Palatino Linotype" w:eastAsia="Palatino Linotype" w:hAnsi="Palatino Linotype" w:cs="Palatino Linotype"/>
                <w:color w:val="000000"/>
                <w:sz w:val="22"/>
                <w:szCs w:val="22"/>
              </w:rPr>
              <w:lastRenderedPageBreak/>
              <w:t>comercial, fiscal, bursátil y postal, cuya titularidad corresponda a particulares, entre otros.</w:t>
            </w:r>
          </w:p>
        </w:tc>
      </w:tr>
      <w:tr w:rsidR="00196FA9" w:rsidRPr="00365BE2" w14:paraId="37EF900C" w14:textId="77777777" w:rsidTr="00196FA9">
        <w:tc>
          <w:tcPr>
            <w:tcW w:w="2689" w:type="dxa"/>
          </w:tcPr>
          <w:p w14:paraId="37EF9008"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b/>
                <w:sz w:val="22"/>
                <w:szCs w:val="22"/>
              </w:rPr>
            </w:pPr>
            <w:r w:rsidRPr="00365BE2">
              <w:rPr>
                <w:rFonts w:ascii="Palatino Linotype" w:eastAsia="Palatino Linotype" w:hAnsi="Palatino Linotype" w:cs="Palatino Linotype"/>
                <w:b/>
                <w:sz w:val="22"/>
                <w:szCs w:val="22"/>
              </w:rPr>
              <w:lastRenderedPageBreak/>
              <w:t xml:space="preserve">e) Condiciones especiales de la clasificación de la información como confidencial. </w:t>
            </w:r>
          </w:p>
        </w:tc>
        <w:tc>
          <w:tcPr>
            <w:tcW w:w="6520" w:type="dxa"/>
          </w:tcPr>
          <w:p w14:paraId="37EF9009"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Los artículos 148 y 120 de la Ley Estatal y de la Ley General, respectivamente, establecen que aun tratándose de datos personales, se podrán proporcionar, incluso sin solicitar el consentimiento de su titular. </w:t>
            </w:r>
          </w:p>
          <w:p w14:paraId="37EF900A" w14:textId="77777777" w:rsidR="00196FA9" w:rsidRPr="00365BE2" w:rsidRDefault="00196FA9" w:rsidP="00196FA9">
            <w:pPr>
              <w:tabs>
                <w:tab w:val="left" w:pos="284"/>
              </w:tabs>
              <w:spacing w:line="360" w:lineRule="auto"/>
              <w:ind w:right="49"/>
              <w:jc w:val="both"/>
              <w:rPr>
                <w:rFonts w:ascii="Palatino Linotype" w:eastAsia="Palatino Linotype" w:hAnsi="Palatino Linotype" w:cs="Palatino Linotype"/>
                <w:color w:val="000000"/>
                <w:sz w:val="22"/>
                <w:szCs w:val="22"/>
              </w:rPr>
            </w:pPr>
            <w:r w:rsidRPr="00365BE2">
              <w:rPr>
                <w:rFonts w:ascii="Palatino Linotype" w:eastAsia="Palatino Linotype" w:hAnsi="Palatino Linotype" w:cs="Palatino Linotype"/>
                <w:color w:val="000000"/>
                <w:sz w:val="22"/>
                <w:szCs w:val="22"/>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37EF900B" w14:textId="77777777" w:rsidR="00196FA9" w:rsidRPr="00365BE2" w:rsidRDefault="00196FA9" w:rsidP="00196FA9">
            <w:pPr>
              <w:tabs>
                <w:tab w:val="left" w:pos="284"/>
              </w:tabs>
              <w:spacing w:line="360" w:lineRule="auto"/>
              <w:rPr>
                <w:rFonts w:ascii="Palatino Linotype" w:eastAsia="Palatino Linotype" w:hAnsi="Palatino Linotype" w:cs="Palatino Linotype"/>
                <w:sz w:val="22"/>
                <w:szCs w:val="22"/>
              </w:rPr>
            </w:pPr>
            <w:r w:rsidRPr="00365BE2">
              <w:rPr>
                <w:rFonts w:ascii="Palatino Linotype" w:eastAsia="Palatino Linotype" w:hAnsi="Palatino Linotype" w:cs="Palatino Linotype"/>
                <w:color w:val="000000"/>
                <w:sz w:val="22"/>
                <w:szCs w:val="22"/>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14:paraId="37EF900D" w14:textId="77777777" w:rsidR="00477D80" w:rsidRPr="00365BE2" w:rsidRDefault="00477D80" w:rsidP="00196FA9">
      <w:pPr>
        <w:tabs>
          <w:tab w:val="left" w:pos="284"/>
        </w:tabs>
        <w:spacing w:line="360" w:lineRule="auto"/>
        <w:ind w:right="-1417"/>
        <w:jc w:val="both"/>
        <w:rPr>
          <w:rFonts w:ascii="Palatino Linotype" w:eastAsia="Palatino Linotype" w:hAnsi="Palatino Linotype" w:cs="Palatino Linotype"/>
          <w:color w:val="000000"/>
          <w:sz w:val="22"/>
          <w:szCs w:val="22"/>
        </w:rPr>
      </w:pPr>
    </w:p>
    <w:p w14:paraId="37EF900E" w14:textId="77777777" w:rsidR="00477D80" w:rsidRPr="00365BE2" w:rsidRDefault="00477D80" w:rsidP="00477D80">
      <w:pPr>
        <w:numPr>
          <w:ilvl w:val="0"/>
          <w:numId w:val="12"/>
        </w:numPr>
        <w:spacing w:line="360" w:lineRule="auto"/>
        <w:ind w:left="-566" w:right="-1417" w:firstLine="0"/>
        <w:jc w:val="both"/>
        <w:rPr>
          <w:sz w:val="22"/>
          <w:szCs w:val="22"/>
        </w:rPr>
      </w:pPr>
      <w:r w:rsidRPr="00365BE2">
        <w:rPr>
          <w:rFonts w:ascii="Palatino Linotype" w:eastAsia="Palatino Linotype" w:hAnsi="Palatino Linotype" w:cs="Palatino Linotype"/>
          <w:sz w:val="22"/>
          <w:szCs w:val="22"/>
        </w:rPr>
        <w:t>Si el servidor público incumple con estas formalidades y entrega la información sin proteger los datos personales incumple con lo que estipula las disposiciones legales establecidas.</w:t>
      </w:r>
    </w:p>
    <w:p w14:paraId="37EF900F" w14:textId="77777777" w:rsidR="00477D80" w:rsidRPr="00365BE2" w:rsidRDefault="00477D80" w:rsidP="00477D80">
      <w:pPr>
        <w:spacing w:line="360" w:lineRule="auto"/>
        <w:ind w:left="-566" w:right="-1417"/>
        <w:jc w:val="both"/>
        <w:rPr>
          <w:rFonts w:ascii="Palatino Linotype" w:eastAsia="Palatino Linotype" w:hAnsi="Palatino Linotype" w:cs="Palatino Linotype"/>
          <w:color w:val="000000"/>
          <w:sz w:val="22"/>
          <w:szCs w:val="22"/>
        </w:rPr>
      </w:pPr>
    </w:p>
    <w:p w14:paraId="37EF9010" w14:textId="77777777" w:rsidR="00477D80" w:rsidRPr="00365BE2" w:rsidRDefault="00477D80" w:rsidP="00477D80">
      <w:pPr>
        <w:numPr>
          <w:ilvl w:val="0"/>
          <w:numId w:val="12"/>
        </w:numPr>
        <w:spacing w:line="360" w:lineRule="auto"/>
        <w:ind w:left="-570" w:right="-1417" w:firstLine="0"/>
        <w:jc w:val="both"/>
        <w:rPr>
          <w:color w:val="000000"/>
          <w:sz w:val="22"/>
          <w:szCs w:val="22"/>
        </w:rPr>
      </w:pPr>
      <w:r w:rsidRPr="00365BE2">
        <w:rPr>
          <w:rFonts w:ascii="Palatino Linotype" w:eastAsia="Palatino Linotype" w:hAnsi="Palatino Linotype" w:cs="Palatino Linotype"/>
          <w:sz w:val="22"/>
          <w:szCs w:val="22"/>
        </w:rPr>
        <w:t>Por lo anteriormente expuesto, este Órgano Garante considera fundadas las razones o motivos de inconformidad que plantea el</w:t>
      </w:r>
      <w:r w:rsidRPr="00365BE2">
        <w:rPr>
          <w:rFonts w:ascii="Palatino Linotype" w:eastAsia="Palatino Linotype" w:hAnsi="Palatino Linotype" w:cs="Palatino Linotype"/>
          <w:b/>
          <w:sz w:val="22"/>
          <w:szCs w:val="22"/>
        </w:rPr>
        <w:t xml:space="preserve"> RECURRENTE</w:t>
      </w:r>
      <w:r w:rsidRPr="00365BE2">
        <w:rPr>
          <w:rFonts w:ascii="Palatino Linotype" w:eastAsia="Palatino Linotype" w:hAnsi="Palatino Linotype" w:cs="Palatino Linotype"/>
          <w:sz w:val="22"/>
          <w:szCs w:val="22"/>
        </w:rPr>
        <w:t xml:space="preserve">, determinando </w:t>
      </w:r>
      <w:r w:rsidR="00196FA9" w:rsidRPr="00365BE2">
        <w:rPr>
          <w:rFonts w:ascii="Palatino Linotype" w:eastAsia="Palatino Linotype" w:hAnsi="Palatino Linotype" w:cs="Palatino Linotype"/>
          <w:b/>
          <w:smallCaps/>
          <w:sz w:val="22"/>
          <w:szCs w:val="22"/>
        </w:rPr>
        <w:t>MODIFICAR</w:t>
      </w:r>
      <w:r w:rsidRPr="00365BE2">
        <w:rPr>
          <w:rFonts w:ascii="Palatino Linotype" w:eastAsia="Palatino Linotype" w:hAnsi="Palatino Linotype" w:cs="Palatino Linotype"/>
          <w:b/>
          <w:smallCaps/>
          <w:sz w:val="22"/>
          <w:szCs w:val="22"/>
        </w:rPr>
        <w:t xml:space="preserve"> </w:t>
      </w:r>
      <w:r w:rsidRPr="00365BE2">
        <w:rPr>
          <w:rFonts w:ascii="Palatino Linotype" w:eastAsia="Palatino Linotype" w:hAnsi="Palatino Linotype" w:cs="Palatino Linotype"/>
          <w:b/>
          <w:sz w:val="22"/>
          <w:szCs w:val="22"/>
        </w:rPr>
        <w:t xml:space="preserve"> </w:t>
      </w:r>
      <w:r w:rsidRPr="00365BE2">
        <w:rPr>
          <w:rFonts w:ascii="Palatino Linotype" w:eastAsia="Palatino Linotype" w:hAnsi="Palatino Linotype" w:cs="Palatino Linotype"/>
          <w:sz w:val="22"/>
          <w:szCs w:val="22"/>
        </w:rPr>
        <w:t xml:space="preserve">la respuesta del </w:t>
      </w:r>
      <w:r w:rsidRPr="00365BE2">
        <w:rPr>
          <w:rFonts w:ascii="Palatino Linotype" w:eastAsia="Palatino Linotype" w:hAnsi="Palatino Linotype" w:cs="Palatino Linotype"/>
          <w:b/>
          <w:sz w:val="22"/>
          <w:szCs w:val="22"/>
        </w:rPr>
        <w:t>SUJETO OBLIGADO</w:t>
      </w:r>
      <w:r w:rsidRPr="00365BE2">
        <w:rPr>
          <w:rFonts w:ascii="Palatino Linotype" w:eastAsia="Palatino Linotype" w:hAnsi="Palatino Linotype" w:cs="Palatino Linotype"/>
          <w:sz w:val="22"/>
          <w:szCs w:val="22"/>
        </w:rPr>
        <w:t xml:space="preserve">, por lo que con fundamento en lo prescrito en los artículos 5 párrafos vigésimo noveno, trigésimo y trigésimo primero fracciones IV y V de la Constitución Política del Estado Libre y Soberano </w:t>
      </w:r>
      <w:r w:rsidRPr="00365BE2">
        <w:rPr>
          <w:rFonts w:ascii="Palatino Linotype" w:eastAsia="Palatino Linotype" w:hAnsi="Palatino Linotype" w:cs="Palatino Linotype"/>
          <w:sz w:val="22"/>
          <w:szCs w:val="22"/>
        </w:rPr>
        <w:lastRenderedPageBreak/>
        <w:t xml:space="preserve">de México; 2, fracción II; 29, 36 fracciones I y II; 176, 178, 181, 185 de la Ley de Transparencia y Acceso a la Información Pública del Estado de México y Municipios, </w:t>
      </w:r>
      <w:r w:rsidRPr="00365BE2">
        <w:rPr>
          <w:rFonts w:ascii="Palatino Linotype" w:eastAsia="Palatino Linotype" w:hAnsi="Palatino Linotype" w:cs="Palatino Linotype"/>
          <w:color w:val="000000"/>
          <w:sz w:val="22"/>
          <w:szCs w:val="22"/>
        </w:rPr>
        <w:t xml:space="preserve">este </w:t>
      </w:r>
      <w:r w:rsidRPr="00365BE2">
        <w:rPr>
          <w:rFonts w:ascii="Palatino Linotype" w:eastAsia="Palatino Linotype" w:hAnsi="Palatino Linotype" w:cs="Palatino Linotype"/>
          <w:b/>
          <w:color w:val="000000"/>
          <w:sz w:val="22"/>
          <w:szCs w:val="22"/>
        </w:rPr>
        <w:t>ÓRGANO GARANTE</w:t>
      </w:r>
      <w:r w:rsidRPr="00365BE2">
        <w:rPr>
          <w:rFonts w:ascii="Palatino Linotype" w:eastAsia="Palatino Linotype" w:hAnsi="Palatino Linotype" w:cs="Palatino Linotype"/>
          <w:color w:val="000000"/>
          <w:sz w:val="22"/>
          <w:szCs w:val="22"/>
        </w:rPr>
        <w:t xml:space="preserve"> emite los siguientes.</w:t>
      </w:r>
    </w:p>
    <w:p w14:paraId="37EF9011" w14:textId="77777777" w:rsidR="00477D80" w:rsidRPr="00365BE2" w:rsidRDefault="00477D80" w:rsidP="00477D80">
      <w:pPr>
        <w:pBdr>
          <w:top w:val="nil"/>
          <w:left w:val="nil"/>
          <w:bottom w:val="nil"/>
          <w:right w:val="nil"/>
          <w:between w:val="nil"/>
        </w:pBdr>
        <w:ind w:left="-566" w:right="-1417"/>
        <w:rPr>
          <w:rFonts w:ascii="Palatino Linotype" w:eastAsia="Palatino Linotype" w:hAnsi="Palatino Linotype" w:cs="Palatino Linotype"/>
          <w:color w:val="000000"/>
          <w:sz w:val="22"/>
          <w:szCs w:val="22"/>
        </w:rPr>
      </w:pPr>
    </w:p>
    <w:p w14:paraId="37EF9012" w14:textId="77777777" w:rsidR="00477D80" w:rsidRPr="00365BE2" w:rsidRDefault="00477D80" w:rsidP="00477D80">
      <w:pPr>
        <w:pBdr>
          <w:top w:val="nil"/>
          <w:left w:val="nil"/>
          <w:bottom w:val="nil"/>
          <w:right w:val="nil"/>
          <w:between w:val="nil"/>
        </w:pBdr>
        <w:tabs>
          <w:tab w:val="left" w:pos="426"/>
        </w:tabs>
        <w:spacing w:line="360" w:lineRule="auto"/>
        <w:ind w:left="-566" w:right="-1417"/>
        <w:jc w:val="both"/>
        <w:rPr>
          <w:rFonts w:ascii="Palatino Linotype" w:eastAsia="Palatino Linotype" w:hAnsi="Palatino Linotype" w:cs="Palatino Linotype"/>
          <w:color w:val="000000"/>
          <w:sz w:val="22"/>
          <w:szCs w:val="22"/>
        </w:rPr>
      </w:pPr>
    </w:p>
    <w:p w14:paraId="37EF9013" w14:textId="77777777" w:rsidR="00477D80" w:rsidRPr="00365BE2" w:rsidRDefault="00477D80" w:rsidP="00477D80">
      <w:pPr>
        <w:pStyle w:val="Ttulo1"/>
        <w:spacing w:before="0" w:line="360" w:lineRule="auto"/>
        <w:ind w:left="-566" w:right="-1417"/>
        <w:jc w:val="center"/>
        <w:rPr>
          <w:rFonts w:ascii="Palatino Linotype" w:eastAsia="Palatino Linotype" w:hAnsi="Palatino Linotype" w:cs="Palatino Linotype"/>
          <w:b/>
          <w:color w:val="000000"/>
          <w:sz w:val="22"/>
          <w:szCs w:val="22"/>
        </w:rPr>
      </w:pPr>
      <w:r w:rsidRPr="00365BE2">
        <w:rPr>
          <w:rFonts w:ascii="Palatino Linotype" w:eastAsia="Palatino Linotype" w:hAnsi="Palatino Linotype" w:cs="Palatino Linotype"/>
          <w:b/>
          <w:color w:val="000000"/>
          <w:sz w:val="22"/>
          <w:szCs w:val="22"/>
        </w:rPr>
        <w:t>R E S O L U T I V O S</w:t>
      </w:r>
    </w:p>
    <w:p w14:paraId="37EF9014" w14:textId="77777777" w:rsidR="00477D80" w:rsidRPr="00365BE2" w:rsidRDefault="00477D80" w:rsidP="00477D80">
      <w:pPr>
        <w:spacing w:line="360" w:lineRule="auto"/>
        <w:ind w:left="-566" w:right="-1417"/>
        <w:rPr>
          <w:rFonts w:ascii="Palatino Linotype" w:eastAsia="Palatino Linotype" w:hAnsi="Palatino Linotype" w:cs="Palatino Linotype"/>
          <w:sz w:val="22"/>
          <w:szCs w:val="22"/>
        </w:rPr>
      </w:pPr>
    </w:p>
    <w:p w14:paraId="37EF9015"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b/>
          <w:sz w:val="22"/>
          <w:szCs w:val="22"/>
        </w:rPr>
        <w:t>PRIMERO</w:t>
      </w:r>
      <w:r w:rsidRPr="00365BE2">
        <w:rPr>
          <w:rFonts w:ascii="Palatino Linotype" w:eastAsia="Palatino Linotype" w:hAnsi="Palatino Linotype" w:cs="Palatino Linotype"/>
          <w:sz w:val="22"/>
          <w:szCs w:val="22"/>
        </w:rPr>
        <w:t xml:space="preserve">. Resultan fundadas las razones o motivos de inconformidad hechos valer en los Recursos de Revisión </w:t>
      </w:r>
      <w:r w:rsidR="00196FA9" w:rsidRPr="00365BE2">
        <w:rPr>
          <w:rFonts w:ascii="Palatino Linotype" w:eastAsia="Palatino Linotype" w:hAnsi="Palatino Linotype" w:cs="Palatino Linotype"/>
          <w:b/>
          <w:sz w:val="22"/>
          <w:szCs w:val="22"/>
        </w:rPr>
        <w:t>02353</w:t>
      </w:r>
      <w:r w:rsidRPr="00365BE2">
        <w:rPr>
          <w:rFonts w:ascii="Palatino Linotype" w:eastAsia="Palatino Linotype" w:hAnsi="Palatino Linotype" w:cs="Palatino Linotype"/>
          <w:b/>
          <w:sz w:val="22"/>
          <w:szCs w:val="22"/>
        </w:rPr>
        <w:t xml:space="preserve">/INFOEM/IP/RR/2024, </w:t>
      </w:r>
      <w:r w:rsidRPr="00365BE2">
        <w:rPr>
          <w:rFonts w:ascii="Palatino Linotype" w:eastAsia="Palatino Linotype" w:hAnsi="Palatino Linotype" w:cs="Palatino Linotype"/>
          <w:sz w:val="22"/>
          <w:szCs w:val="22"/>
        </w:rPr>
        <w:t xml:space="preserve">en términos del Considerando </w:t>
      </w:r>
      <w:r w:rsidRPr="00365BE2">
        <w:rPr>
          <w:rFonts w:ascii="Palatino Linotype" w:eastAsia="Palatino Linotype" w:hAnsi="Palatino Linotype" w:cs="Palatino Linotype"/>
          <w:b/>
          <w:sz w:val="22"/>
          <w:szCs w:val="22"/>
        </w:rPr>
        <w:t xml:space="preserve">Cuarto y Quinto </w:t>
      </w:r>
      <w:r w:rsidRPr="00365BE2">
        <w:rPr>
          <w:rFonts w:ascii="Palatino Linotype" w:eastAsia="Palatino Linotype" w:hAnsi="Palatino Linotype" w:cs="Palatino Linotype"/>
          <w:sz w:val="22"/>
          <w:szCs w:val="22"/>
        </w:rPr>
        <w:t xml:space="preserve">de la presente resolución. </w:t>
      </w:r>
    </w:p>
    <w:p w14:paraId="37EF9016"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9017" w14:textId="013D2D6B"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bookmarkStart w:id="13" w:name="_heading=h.1ksv4uv" w:colFirst="0" w:colLast="0"/>
      <w:bookmarkEnd w:id="13"/>
      <w:r w:rsidRPr="00365BE2">
        <w:rPr>
          <w:rFonts w:ascii="Palatino Linotype" w:eastAsia="Palatino Linotype" w:hAnsi="Palatino Linotype" w:cs="Palatino Linotype"/>
          <w:b/>
          <w:sz w:val="22"/>
          <w:szCs w:val="22"/>
        </w:rPr>
        <w:t xml:space="preserve">SEGUNDO. </w:t>
      </w:r>
      <w:r w:rsidRPr="00365BE2">
        <w:rPr>
          <w:rFonts w:ascii="Palatino Linotype" w:eastAsia="Palatino Linotype" w:hAnsi="Palatino Linotype" w:cs="Palatino Linotype"/>
          <w:color w:val="000000"/>
          <w:sz w:val="22"/>
          <w:szCs w:val="22"/>
        </w:rPr>
        <w:t xml:space="preserve">Se </w:t>
      </w:r>
      <w:r w:rsidR="00196FA9" w:rsidRPr="00365BE2">
        <w:rPr>
          <w:rFonts w:ascii="Palatino Linotype" w:eastAsia="Palatino Linotype" w:hAnsi="Palatino Linotype" w:cs="Palatino Linotype"/>
          <w:b/>
          <w:color w:val="000000"/>
          <w:sz w:val="22"/>
          <w:szCs w:val="22"/>
        </w:rPr>
        <w:t xml:space="preserve">MODIFICA </w:t>
      </w:r>
      <w:r w:rsidRPr="00365BE2">
        <w:rPr>
          <w:rFonts w:ascii="Palatino Linotype" w:eastAsia="Palatino Linotype" w:hAnsi="Palatino Linotype" w:cs="Palatino Linotype"/>
          <w:color w:val="000000"/>
          <w:sz w:val="22"/>
          <w:szCs w:val="22"/>
        </w:rPr>
        <w:t xml:space="preserve">la respuesta emitida por el </w:t>
      </w:r>
      <w:r w:rsidR="00F623F3" w:rsidRPr="00365BE2">
        <w:rPr>
          <w:rFonts w:ascii="Palatino Linotype" w:eastAsia="Palatino Linotype" w:hAnsi="Palatino Linotype" w:cs="Palatino Linotype"/>
          <w:b/>
          <w:color w:val="000000"/>
          <w:sz w:val="22"/>
          <w:szCs w:val="22"/>
        </w:rPr>
        <w:t xml:space="preserve">Secretaría de Movilidad </w:t>
      </w:r>
      <w:r w:rsidRPr="00365BE2">
        <w:rPr>
          <w:rFonts w:ascii="Palatino Linotype" w:eastAsia="Palatino Linotype" w:hAnsi="Palatino Linotype" w:cs="Palatino Linotype"/>
          <w:color w:val="000000"/>
          <w:sz w:val="22"/>
          <w:szCs w:val="22"/>
        </w:rPr>
        <w:t xml:space="preserve">y se </w:t>
      </w:r>
      <w:r w:rsidRPr="00365BE2">
        <w:rPr>
          <w:rFonts w:ascii="Palatino Linotype" w:eastAsia="Palatino Linotype" w:hAnsi="Palatino Linotype" w:cs="Palatino Linotype"/>
          <w:b/>
          <w:color w:val="000000"/>
          <w:sz w:val="22"/>
          <w:szCs w:val="22"/>
        </w:rPr>
        <w:t>ORDENA</w:t>
      </w:r>
      <w:r w:rsidRPr="00365BE2">
        <w:rPr>
          <w:rFonts w:ascii="Palatino Linotype" w:eastAsia="Palatino Linotype" w:hAnsi="Palatino Linotype" w:cs="Palatino Linotype"/>
          <w:color w:val="000000"/>
          <w:sz w:val="22"/>
          <w:szCs w:val="22"/>
        </w:rPr>
        <w:t xml:space="preserve"> entregar </w:t>
      </w:r>
      <w:r w:rsidR="00C97699" w:rsidRPr="00365BE2">
        <w:rPr>
          <w:rFonts w:ascii="Palatino Linotype" w:eastAsia="Palatino Linotype" w:hAnsi="Palatino Linotype" w:cs="Palatino Linotype"/>
          <w:sz w:val="22"/>
          <w:szCs w:val="22"/>
        </w:rPr>
        <w:t>previa búsqueda exhaustiva y razonable de la información</w:t>
      </w:r>
      <w:r w:rsidR="00C97699" w:rsidRPr="00365BE2">
        <w:rPr>
          <w:rFonts w:ascii="Palatino Linotype" w:eastAsia="Palatino Linotype" w:hAnsi="Palatino Linotype" w:cs="Palatino Linotype"/>
          <w:color w:val="000000"/>
          <w:sz w:val="22"/>
          <w:szCs w:val="22"/>
        </w:rPr>
        <w:t xml:space="preserve">, </w:t>
      </w:r>
      <w:r w:rsidRPr="00365BE2">
        <w:rPr>
          <w:rFonts w:ascii="Palatino Linotype" w:eastAsia="Palatino Linotype" w:hAnsi="Palatino Linotype" w:cs="Palatino Linotype"/>
          <w:color w:val="000000"/>
          <w:sz w:val="22"/>
          <w:szCs w:val="22"/>
        </w:rPr>
        <w:t>vía Sistema de Acceso a la Información</w:t>
      </w:r>
      <w:proofErr w:type="gramStart"/>
      <w:r w:rsidRPr="00365BE2">
        <w:rPr>
          <w:rFonts w:ascii="Palatino Linotype" w:eastAsia="Palatino Linotype" w:hAnsi="Palatino Linotype" w:cs="Palatino Linotype"/>
          <w:color w:val="000000"/>
          <w:sz w:val="22"/>
          <w:szCs w:val="22"/>
        </w:rPr>
        <w:t>,</w:t>
      </w:r>
      <w:r w:rsidRPr="00365BE2">
        <w:rPr>
          <w:rFonts w:ascii="Palatino Linotype" w:eastAsia="Palatino Linotype" w:hAnsi="Palatino Linotype" w:cs="Palatino Linotype"/>
          <w:sz w:val="22"/>
          <w:szCs w:val="22"/>
        </w:rPr>
        <w:t xml:space="preserve"> </w:t>
      </w:r>
      <w:r w:rsidR="001C159C" w:rsidRPr="00365BE2">
        <w:rPr>
          <w:rFonts w:ascii="Palatino Linotype" w:eastAsia="Palatino Linotype" w:hAnsi="Palatino Linotype" w:cs="Palatino Linotype"/>
          <w:sz w:val="22"/>
          <w:szCs w:val="22"/>
        </w:rPr>
        <w:t>,</w:t>
      </w:r>
      <w:proofErr w:type="gramEnd"/>
      <w:r w:rsidR="001C159C" w:rsidRPr="00365BE2">
        <w:rPr>
          <w:rFonts w:ascii="Palatino Linotype" w:eastAsia="Palatino Linotype" w:hAnsi="Palatino Linotype" w:cs="Palatino Linotype"/>
          <w:sz w:val="22"/>
          <w:szCs w:val="22"/>
        </w:rPr>
        <w:t xml:space="preserve"> </w:t>
      </w:r>
      <w:r w:rsidRPr="00365BE2">
        <w:rPr>
          <w:rFonts w:ascii="Palatino Linotype" w:eastAsia="Palatino Linotype" w:hAnsi="Palatino Linotype" w:cs="Palatino Linotype"/>
          <w:sz w:val="22"/>
          <w:szCs w:val="22"/>
        </w:rPr>
        <w:t>en versión pública.</w:t>
      </w:r>
    </w:p>
    <w:p w14:paraId="37EF9018"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9019" w14:textId="77777777" w:rsidR="008D0B05" w:rsidRPr="00365BE2" w:rsidRDefault="008D0B05" w:rsidP="008D0B05">
      <w:pPr>
        <w:ind w:left="1134" w:right="277"/>
        <w:jc w:val="both"/>
        <w:rPr>
          <w:rFonts w:ascii="Palatino Linotype" w:eastAsia="Palatino Linotype" w:hAnsi="Palatino Linotype" w:cs="Palatino Linotype"/>
          <w:b/>
          <w:i/>
          <w:sz w:val="22"/>
          <w:szCs w:val="22"/>
        </w:rPr>
      </w:pPr>
      <w:bookmarkStart w:id="14" w:name="_heading=h.lnxbz9" w:colFirst="0" w:colLast="0"/>
      <w:bookmarkEnd w:id="14"/>
      <w:r w:rsidRPr="00365BE2">
        <w:rPr>
          <w:rFonts w:ascii="Palatino Linotype" w:eastAsia="Palatino Linotype" w:hAnsi="Palatino Linotype" w:cs="Palatino Linotype"/>
          <w:b/>
          <w:i/>
          <w:sz w:val="22"/>
          <w:szCs w:val="22"/>
        </w:rPr>
        <w:t xml:space="preserve">De la lanzadera de la Ruta 18 del Ramal que corre de Jesús del Monte a la estación del Metro Cuatro Caminos </w:t>
      </w:r>
      <w:r w:rsidR="00D02769" w:rsidRPr="00365BE2">
        <w:rPr>
          <w:rFonts w:ascii="Palatino Linotype" w:eastAsia="Palatino Linotype" w:hAnsi="Palatino Linotype" w:cs="Palatino Linotype"/>
          <w:b/>
          <w:i/>
          <w:sz w:val="22"/>
          <w:szCs w:val="22"/>
        </w:rPr>
        <w:t xml:space="preserve">al cinco de abril de dos mil veinticuatro. </w:t>
      </w:r>
    </w:p>
    <w:p w14:paraId="37EF901A" w14:textId="77777777" w:rsidR="00D02769" w:rsidRPr="00365BE2" w:rsidRDefault="00D02769" w:rsidP="008D0B05">
      <w:pPr>
        <w:ind w:left="1134" w:right="277"/>
        <w:jc w:val="both"/>
        <w:rPr>
          <w:rFonts w:ascii="Palatino Linotype" w:eastAsia="Palatino Linotype" w:hAnsi="Palatino Linotype" w:cs="Palatino Linotype"/>
          <w:b/>
          <w:i/>
          <w:sz w:val="22"/>
          <w:szCs w:val="22"/>
        </w:rPr>
      </w:pPr>
    </w:p>
    <w:p w14:paraId="37EF901B" w14:textId="78199D90" w:rsidR="008D0B05" w:rsidRPr="00365BE2" w:rsidRDefault="008D0B05" w:rsidP="008D0B05">
      <w:pPr>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1.- </w:t>
      </w:r>
      <w:r w:rsidR="00D02769" w:rsidRPr="00365BE2">
        <w:rPr>
          <w:rFonts w:ascii="Palatino Linotype" w:eastAsia="Palatino Linotype" w:hAnsi="Palatino Linotype" w:cs="Palatino Linotype"/>
          <w:b/>
          <w:i/>
          <w:sz w:val="22"/>
          <w:szCs w:val="22"/>
        </w:rPr>
        <w:t>Documento donde const</w:t>
      </w:r>
      <w:r w:rsidR="001C159C" w:rsidRPr="00365BE2">
        <w:rPr>
          <w:rFonts w:ascii="Palatino Linotype" w:eastAsia="Palatino Linotype" w:hAnsi="Palatino Linotype" w:cs="Palatino Linotype"/>
          <w:b/>
          <w:i/>
          <w:sz w:val="22"/>
          <w:szCs w:val="22"/>
        </w:rPr>
        <w:t xml:space="preserve">e o se advierta la autorización </w:t>
      </w:r>
      <w:r w:rsidRPr="00365BE2">
        <w:rPr>
          <w:rFonts w:ascii="Palatino Linotype" w:eastAsia="Palatino Linotype" w:hAnsi="Palatino Linotype" w:cs="Palatino Linotype"/>
          <w:b/>
          <w:i/>
          <w:sz w:val="22"/>
          <w:szCs w:val="22"/>
        </w:rPr>
        <w:t>d</w:t>
      </w:r>
      <w:r w:rsidR="00D02769" w:rsidRPr="00365BE2">
        <w:rPr>
          <w:rFonts w:ascii="Palatino Linotype" w:eastAsia="Palatino Linotype" w:hAnsi="Palatino Linotype" w:cs="Palatino Linotype"/>
          <w:b/>
          <w:i/>
          <w:sz w:val="22"/>
          <w:szCs w:val="22"/>
        </w:rPr>
        <w:t xml:space="preserve">e otorgamiento de derrotero, así como el número de  unidades autorizadas; </w:t>
      </w:r>
    </w:p>
    <w:p w14:paraId="37EF901C" w14:textId="77777777" w:rsidR="00D02769" w:rsidRPr="00365BE2" w:rsidRDefault="00D02769" w:rsidP="00D02769">
      <w:pPr>
        <w:ind w:right="277"/>
        <w:jc w:val="both"/>
        <w:rPr>
          <w:rFonts w:ascii="Palatino Linotype" w:eastAsia="Palatino Linotype" w:hAnsi="Palatino Linotype" w:cs="Palatino Linotype"/>
          <w:b/>
          <w:i/>
          <w:sz w:val="22"/>
          <w:szCs w:val="22"/>
        </w:rPr>
      </w:pPr>
    </w:p>
    <w:p w14:paraId="37EF901D" w14:textId="77777777" w:rsidR="008D0B05" w:rsidRPr="00365BE2" w:rsidRDefault="00D02769" w:rsidP="00D02769">
      <w:pPr>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2</w:t>
      </w:r>
      <w:r w:rsidR="008D0B05" w:rsidRPr="00365BE2">
        <w:rPr>
          <w:rFonts w:ascii="Palatino Linotype" w:eastAsia="Palatino Linotype" w:hAnsi="Palatino Linotype" w:cs="Palatino Linotype"/>
          <w:b/>
          <w:i/>
          <w:sz w:val="22"/>
          <w:szCs w:val="22"/>
        </w:rPr>
        <w:t xml:space="preserve">.- </w:t>
      </w:r>
      <w:r w:rsidRPr="00365BE2">
        <w:rPr>
          <w:rFonts w:ascii="Palatino Linotype" w:eastAsia="Palatino Linotype" w:hAnsi="Palatino Linotype" w:cs="Palatino Linotype"/>
          <w:b/>
          <w:i/>
          <w:sz w:val="22"/>
          <w:szCs w:val="22"/>
        </w:rPr>
        <w:t xml:space="preserve">Documento donde conste o se advierta el </w:t>
      </w:r>
      <w:r w:rsidR="008D0B05" w:rsidRPr="00365BE2">
        <w:rPr>
          <w:rFonts w:ascii="Palatino Linotype" w:eastAsia="Palatino Linotype" w:hAnsi="Palatino Linotype" w:cs="Palatino Linotype"/>
          <w:b/>
          <w:i/>
          <w:sz w:val="22"/>
          <w:szCs w:val="22"/>
        </w:rPr>
        <w:t xml:space="preserve"> número de unidades que actualmente se encuentran adscritas y operando en el recorrido</w:t>
      </w:r>
      <w:r w:rsidRPr="00365BE2">
        <w:rPr>
          <w:rFonts w:ascii="Palatino Linotype" w:eastAsia="Palatino Linotype" w:hAnsi="Palatino Linotype" w:cs="Palatino Linotype"/>
          <w:b/>
          <w:i/>
          <w:sz w:val="22"/>
          <w:szCs w:val="22"/>
        </w:rPr>
        <w:t xml:space="preserve"> de la ruta; </w:t>
      </w:r>
    </w:p>
    <w:p w14:paraId="37EF901E" w14:textId="77777777" w:rsidR="00D02769" w:rsidRPr="00365BE2" w:rsidRDefault="00D02769" w:rsidP="00D02769">
      <w:pPr>
        <w:ind w:left="1134" w:right="277"/>
        <w:jc w:val="both"/>
        <w:rPr>
          <w:rFonts w:ascii="Palatino Linotype" w:eastAsia="Palatino Linotype" w:hAnsi="Palatino Linotype" w:cs="Palatino Linotype"/>
          <w:b/>
          <w:i/>
          <w:sz w:val="22"/>
          <w:szCs w:val="22"/>
        </w:rPr>
      </w:pPr>
    </w:p>
    <w:p w14:paraId="37EF901F" w14:textId="77777777" w:rsidR="008D0B05" w:rsidRPr="00365BE2" w:rsidRDefault="00D02769" w:rsidP="008D0B05">
      <w:pPr>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3</w:t>
      </w:r>
      <w:r w:rsidR="008D0B05" w:rsidRPr="00365BE2">
        <w:rPr>
          <w:rFonts w:ascii="Palatino Linotype" w:eastAsia="Palatino Linotype" w:hAnsi="Palatino Linotype" w:cs="Palatino Linotype"/>
          <w:b/>
          <w:i/>
          <w:sz w:val="22"/>
          <w:szCs w:val="22"/>
        </w:rPr>
        <w:t>.-</w:t>
      </w:r>
      <w:r w:rsidRPr="00365BE2">
        <w:rPr>
          <w:rFonts w:ascii="Palatino Linotype" w:eastAsia="Palatino Linotype" w:hAnsi="Palatino Linotype" w:cs="Palatino Linotype"/>
          <w:b/>
          <w:i/>
          <w:sz w:val="22"/>
          <w:szCs w:val="22"/>
        </w:rPr>
        <w:t xml:space="preserve">Documento donde conste o se adviertan </w:t>
      </w:r>
      <w:r w:rsidR="00B16755" w:rsidRPr="00365BE2">
        <w:rPr>
          <w:rFonts w:ascii="Palatino Linotype" w:eastAsia="Palatino Linotype" w:hAnsi="Palatino Linotype" w:cs="Palatino Linotype"/>
          <w:b/>
          <w:i/>
          <w:sz w:val="22"/>
          <w:szCs w:val="22"/>
        </w:rPr>
        <w:t>la normatividad que regula</w:t>
      </w:r>
      <w:r w:rsidR="008D0B05" w:rsidRPr="00365BE2">
        <w:rPr>
          <w:rFonts w:ascii="Palatino Linotype" w:eastAsia="Palatino Linotype" w:hAnsi="Palatino Linotype" w:cs="Palatino Linotype"/>
          <w:b/>
          <w:i/>
          <w:sz w:val="22"/>
          <w:szCs w:val="22"/>
        </w:rPr>
        <w:t xml:space="preserve"> el aparcamiento o base de las unidades </w:t>
      </w:r>
      <w:r w:rsidRPr="00365BE2">
        <w:rPr>
          <w:rFonts w:ascii="Palatino Linotype" w:eastAsia="Palatino Linotype" w:hAnsi="Palatino Linotype" w:cs="Palatino Linotype"/>
          <w:b/>
          <w:i/>
          <w:sz w:val="22"/>
          <w:szCs w:val="22"/>
        </w:rPr>
        <w:t xml:space="preserve">de las lanzaderas; </w:t>
      </w:r>
      <w:r w:rsidR="008D0B05" w:rsidRPr="00365BE2">
        <w:rPr>
          <w:rFonts w:ascii="Palatino Linotype" w:eastAsia="Palatino Linotype" w:hAnsi="Palatino Linotype" w:cs="Palatino Linotype"/>
          <w:b/>
          <w:i/>
          <w:sz w:val="22"/>
          <w:szCs w:val="22"/>
        </w:rPr>
        <w:t xml:space="preserve"> </w:t>
      </w:r>
    </w:p>
    <w:p w14:paraId="37EF9020" w14:textId="77777777" w:rsidR="00D02769" w:rsidRPr="00365BE2" w:rsidRDefault="00D02769" w:rsidP="008D0B05">
      <w:pPr>
        <w:ind w:left="1134" w:right="277"/>
        <w:jc w:val="both"/>
        <w:rPr>
          <w:rFonts w:ascii="Palatino Linotype" w:eastAsia="Palatino Linotype" w:hAnsi="Palatino Linotype" w:cs="Palatino Linotype"/>
          <w:b/>
          <w:i/>
          <w:sz w:val="22"/>
          <w:szCs w:val="22"/>
        </w:rPr>
      </w:pPr>
    </w:p>
    <w:p w14:paraId="37EF9021" w14:textId="77777777" w:rsidR="008D0B05" w:rsidRPr="00365BE2" w:rsidRDefault="00D02769" w:rsidP="008D0B05">
      <w:pPr>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4</w:t>
      </w:r>
      <w:r w:rsidR="008D0B05" w:rsidRPr="00365BE2">
        <w:rPr>
          <w:rFonts w:ascii="Palatino Linotype" w:eastAsia="Palatino Linotype" w:hAnsi="Palatino Linotype" w:cs="Palatino Linotype"/>
          <w:b/>
          <w:i/>
          <w:sz w:val="22"/>
          <w:szCs w:val="22"/>
        </w:rPr>
        <w:t xml:space="preserve">.- </w:t>
      </w:r>
      <w:r w:rsidRPr="00365BE2">
        <w:rPr>
          <w:rFonts w:ascii="Palatino Linotype" w:eastAsia="Palatino Linotype" w:hAnsi="Palatino Linotype" w:cs="Palatino Linotype"/>
          <w:b/>
          <w:i/>
          <w:sz w:val="22"/>
          <w:szCs w:val="22"/>
        </w:rPr>
        <w:t>Documento done consten o se advierta los estudios</w:t>
      </w:r>
      <w:r w:rsidR="008D0B05" w:rsidRPr="00365BE2">
        <w:rPr>
          <w:rFonts w:ascii="Palatino Linotype" w:eastAsia="Palatino Linotype" w:hAnsi="Palatino Linotype" w:cs="Palatino Linotype"/>
          <w:b/>
          <w:i/>
          <w:sz w:val="22"/>
          <w:szCs w:val="22"/>
        </w:rPr>
        <w:t xml:space="preserve"> técnicos que </w:t>
      </w:r>
      <w:r w:rsidRPr="00365BE2">
        <w:rPr>
          <w:rFonts w:ascii="Palatino Linotype" w:eastAsia="Palatino Linotype" w:hAnsi="Palatino Linotype" w:cs="Palatino Linotype"/>
          <w:b/>
          <w:i/>
          <w:sz w:val="22"/>
          <w:szCs w:val="22"/>
        </w:rPr>
        <w:t xml:space="preserve">autorización el otorgamiento de derrotero; </w:t>
      </w:r>
    </w:p>
    <w:p w14:paraId="37EF9022" w14:textId="77777777" w:rsidR="00D02769" w:rsidRPr="00365BE2" w:rsidRDefault="00D02769" w:rsidP="008D0B05">
      <w:pPr>
        <w:ind w:left="1134" w:right="277"/>
        <w:jc w:val="both"/>
        <w:rPr>
          <w:rFonts w:ascii="Palatino Linotype" w:eastAsia="Palatino Linotype" w:hAnsi="Palatino Linotype" w:cs="Palatino Linotype"/>
          <w:b/>
          <w:i/>
          <w:sz w:val="22"/>
          <w:szCs w:val="22"/>
        </w:rPr>
      </w:pPr>
    </w:p>
    <w:p w14:paraId="37EF9023" w14:textId="77777777" w:rsidR="008D0B05" w:rsidRPr="00365BE2" w:rsidRDefault="00D02769" w:rsidP="008D0B05">
      <w:pPr>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lastRenderedPageBreak/>
        <w:t>5</w:t>
      </w:r>
      <w:r w:rsidR="008D0B05" w:rsidRPr="00365BE2">
        <w:rPr>
          <w:rFonts w:ascii="Palatino Linotype" w:eastAsia="Palatino Linotype" w:hAnsi="Palatino Linotype" w:cs="Palatino Linotype"/>
          <w:b/>
          <w:i/>
          <w:sz w:val="22"/>
          <w:szCs w:val="22"/>
        </w:rPr>
        <w:t xml:space="preserve">.- </w:t>
      </w:r>
      <w:r w:rsidRPr="00365BE2">
        <w:rPr>
          <w:rFonts w:ascii="Palatino Linotype" w:eastAsia="Palatino Linotype" w:hAnsi="Palatino Linotype" w:cs="Palatino Linotype"/>
          <w:b/>
          <w:i/>
          <w:sz w:val="22"/>
          <w:szCs w:val="22"/>
        </w:rPr>
        <w:t xml:space="preserve">Documento donde conste o se advierta de la ruta, </w:t>
      </w:r>
      <w:r w:rsidR="008D0B05" w:rsidRPr="00365BE2">
        <w:rPr>
          <w:rFonts w:ascii="Palatino Linotype" w:eastAsia="Palatino Linotype" w:hAnsi="Palatino Linotype" w:cs="Palatino Linotype"/>
          <w:b/>
          <w:i/>
          <w:sz w:val="22"/>
          <w:szCs w:val="22"/>
        </w:rPr>
        <w:t>d</w:t>
      </w:r>
      <w:r w:rsidRPr="00365BE2">
        <w:rPr>
          <w:rFonts w:ascii="Palatino Linotype" w:eastAsia="Palatino Linotype" w:hAnsi="Palatino Linotype" w:cs="Palatino Linotype"/>
          <w:b/>
          <w:i/>
          <w:sz w:val="22"/>
          <w:szCs w:val="22"/>
        </w:rPr>
        <w:t>esde su origen hasta su destino; y</w:t>
      </w:r>
    </w:p>
    <w:p w14:paraId="37EF9024" w14:textId="77777777" w:rsidR="00435730" w:rsidRPr="00365BE2" w:rsidRDefault="00435730" w:rsidP="008D0B05">
      <w:pPr>
        <w:ind w:left="1134" w:right="277"/>
        <w:jc w:val="both"/>
        <w:rPr>
          <w:rFonts w:ascii="Palatino Linotype" w:eastAsia="Palatino Linotype" w:hAnsi="Palatino Linotype" w:cs="Palatino Linotype"/>
          <w:b/>
          <w:i/>
          <w:sz w:val="22"/>
          <w:szCs w:val="22"/>
        </w:rPr>
      </w:pPr>
    </w:p>
    <w:p w14:paraId="37EF9025" w14:textId="77777777" w:rsidR="008D0B05" w:rsidRPr="00365BE2" w:rsidRDefault="00D02769" w:rsidP="008D0B05">
      <w:pPr>
        <w:ind w:left="1134" w:right="277"/>
        <w:jc w:val="both"/>
        <w:rPr>
          <w:rFonts w:ascii="Palatino Linotype" w:eastAsia="Palatino Linotype" w:hAnsi="Palatino Linotype" w:cs="Palatino Linotype"/>
          <w:b/>
          <w:i/>
          <w:sz w:val="22"/>
          <w:szCs w:val="22"/>
        </w:rPr>
      </w:pPr>
      <w:r w:rsidRPr="00365BE2">
        <w:rPr>
          <w:rFonts w:ascii="Palatino Linotype" w:eastAsia="Palatino Linotype" w:hAnsi="Palatino Linotype" w:cs="Palatino Linotype"/>
          <w:b/>
          <w:i/>
          <w:sz w:val="22"/>
          <w:szCs w:val="22"/>
        </w:rPr>
        <w:t xml:space="preserve">6.- Copia de la Concesión otorgada a la Asociación referida en la etapa de Manifestaciones por la Dirección General de Movilidad Zona IV. </w:t>
      </w:r>
    </w:p>
    <w:p w14:paraId="37EF9026" w14:textId="77777777" w:rsidR="00477D80" w:rsidRPr="00365BE2" w:rsidRDefault="00477D80" w:rsidP="008D0B05">
      <w:pPr>
        <w:ind w:left="1134" w:right="277"/>
        <w:jc w:val="both"/>
        <w:rPr>
          <w:rFonts w:ascii="Palatino Linotype" w:eastAsia="Palatino Linotype" w:hAnsi="Palatino Linotype" w:cs="Palatino Linotype"/>
          <w:b/>
          <w:i/>
          <w:sz w:val="22"/>
          <w:szCs w:val="22"/>
        </w:rPr>
      </w:pPr>
    </w:p>
    <w:p w14:paraId="37EF9027" w14:textId="77777777" w:rsidR="00477D80" w:rsidRPr="00365BE2" w:rsidRDefault="00477D80" w:rsidP="00477D80">
      <w:pPr>
        <w:ind w:left="-566" w:right="-1417"/>
        <w:jc w:val="both"/>
        <w:rPr>
          <w:rFonts w:ascii="Palatino Linotype" w:eastAsia="Palatino Linotype" w:hAnsi="Palatino Linotype" w:cs="Palatino Linotype"/>
          <w:b/>
          <w:sz w:val="22"/>
          <w:szCs w:val="22"/>
        </w:rPr>
      </w:pPr>
    </w:p>
    <w:p w14:paraId="37EF9028" w14:textId="77777777" w:rsidR="00477D80" w:rsidRPr="00365BE2" w:rsidRDefault="00477D80" w:rsidP="00477D80">
      <w:pPr>
        <w:ind w:left="-566" w:right="-1417"/>
        <w:jc w:val="both"/>
        <w:rPr>
          <w:rFonts w:ascii="Palatino Linotype" w:eastAsia="Palatino Linotype" w:hAnsi="Palatino Linotype" w:cs="Palatino Linotype"/>
          <w:b/>
          <w:sz w:val="22"/>
          <w:szCs w:val="22"/>
        </w:rPr>
      </w:pPr>
    </w:p>
    <w:p w14:paraId="37EF9029" w14:textId="77777777" w:rsidR="00477D80" w:rsidRPr="00365BE2" w:rsidRDefault="00477D80" w:rsidP="00477D80">
      <w:pPr>
        <w:tabs>
          <w:tab w:val="left" w:pos="8080"/>
        </w:tabs>
        <w:spacing w:line="360" w:lineRule="auto"/>
        <w:ind w:left="-566" w:right="-1417"/>
        <w:jc w:val="both"/>
        <w:rPr>
          <w:rFonts w:ascii="Palatino Linotype" w:eastAsia="Palatino Linotype" w:hAnsi="Palatino Linotype" w:cs="Palatino Linotype"/>
          <w:b/>
          <w:sz w:val="22"/>
          <w:szCs w:val="22"/>
        </w:rPr>
      </w:pPr>
      <w:r w:rsidRPr="00365BE2">
        <w:rPr>
          <w:rFonts w:ascii="Palatino Linotype" w:eastAsia="Palatino Linotype" w:hAnsi="Palatino Linotype" w:cs="Palatino Linotype"/>
          <w:sz w:val="22"/>
          <w:szCs w:val="22"/>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del </w:t>
      </w:r>
      <w:r w:rsidRPr="00365BE2">
        <w:rPr>
          <w:rFonts w:ascii="Palatino Linotype" w:eastAsia="Palatino Linotype" w:hAnsi="Palatino Linotype" w:cs="Palatino Linotype"/>
          <w:b/>
          <w:sz w:val="22"/>
          <w:szCs w:val="22"/>
        </w:rPr>
        <w:t>RECURRENTE.</w:t>
      </w:r>
    </w:p>
    <w:p w14:paraId="37EF902B" w14:textId="77777777" w:rsidR="00477D80" w:rsidRPr="00365BE2" w:rsidRDefault="00477D80" w:rsidP="00477D80">
      <w:pPr>
        <w:tabs>
          <w:tab w:val="left" w:pos="8080"/>
        </w:tabs>
        <w:spacing w:line="360" w:lineRule="auto"/>
        <w:ind w:left="-566" w:right="-1417"/>
        <w:jc w:val="both"/>
        <w:rPr>
          <w:rFonts w:ascii="Palatino Linotype" w:eastAsia="Palatino Linotype" w:hAnsi="Palatino Linotype" w:cs="Palatino Linotype"/>
          <w:sz w:val="22"/>
          <w:szCs w:val="22"/>
        </w:rPr>
      </w:pPr>
    </w:p>
    <w:p w14:paraId="37EF902C" w14:textId="77777777" w:rsidR="00477D80" w:rsidRPr="00365BE2" w:rsidRDefault="00477D80" w:rsidP="00477D80">
      <w:pPr>
        <w:tabs>
          <w:tab w:val="left" w:pos="8080"/>
        </w:tabs>
        <w:spacing w:line="360" w:lineRule="auto"/>
        <w:ind w:left="-566" w:right="-1417"/>
        <w:jc w:val="both"/>
        <w:rPr>
          <w:rFonts w:ascii="Palatino Linotype" w:eastAsia="Palatino Linotype" w:hAnsi="Palatino Linotype" w:cs="Palatino Linotype"/>
          <w:color w:val="222222"/>
          <w:sz w:val="22"/>
          <w:szCs w:val="22"/>
        </w:rPr>
      </w:pPr>
      <w:r w:rsidRPr="00365BE2">
        <w:rPr>
          <w:rFonts w:ascii="Palatino Linotype" w:eastAsia="Palatino Linotype" w:hAnsi="Palatino Linotype" w:cs="Palatino Linotype"/>
          <w:b/>
          <w:sz w:val="22"/>
          <w:szCs w:val="22"/>
        </w:rPr>
        <w:t xml:space="preserve">TERCERO. </w:t>
      </w:r>
      <w:r w:rsidRPr="00365BE2">
        <w:rPr>
          <w:rFonts w:ascii="Palatino Linotype" w:eastAsia="Palatino Linotype" w:hAnsi="Palatino Linotype" w:cs="Palatino Linotype"/>
          <w:color w:val="222222"/>
          <w:sz w:val="22"/>
          <w:szCs w:val="22"/>
        </w:rPr>
        <w:t xml:space="preserve">NOTIFÍQUESE la presente resolución al Titular de la Unidad de Transparencia del Sujeto Obligado vía SAIMEX, para que conforme al artículo 186 último párrafo, 189 segundo párrafo y 194 de la Ley de Transparencia y Acceso a la Información Pública del Estado de México y Municipios; </w:t>
      </w:r>
      <w:r w:rsidRPr="00365BE2">
        <w:rPr>
          <w:rFonts w:ascii="Palatino Linotype" w:eastAsia="Palatino Linotype" w:hAnsi="Palatino Linotype" w:cs="Palatino Linotype"/>
          <w:b/>
          <w:color w:val="222222"/>
          <w:sz w:val="22"/>
          <w:szCs w:val="22"/>
        </w:rPr>
        <w:t xml:space="preserve">dé cumplimiento a lo ordenado dentro del plazo de diez días hábiles, </w:t>
      </w:r>
      <w:r w:rsidRPr="00365BE2">
        <w:rPr>
          <w:rFonts w:ascii="Palatino Linotype" w:eastAsia="Palatino Linotype" w:hAnsi="Palatino Linotype" w:cs="Palatino Linotype"/>
          <w:color w:val="222222"/>
          <w:sz w:val="22"/>
          <w:szCs w:val="22"/>
        </w:rPr>
        <w:t xml:space="preserve">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 </w:t>
      </w:r>
    </w:p>
    <w:p w14:paraId="37EF902D" w14:textId="77777777" w:rsidR="00477D80" w:rsidRPr="00365BE2" w:rsidRDefault="00477D80" w:rsidP="00477D80">
      <w:pPr>
        <w:tabs>
          <w:tab w:val="left" w:pos="8080"/>
        </w:tabs>
        <w:spacing w:line="360" w:lineRule="auto"/>
        <w:ind w:left="-566" w:right="-1417"/>
        <w:jc w:val="both"/>
        <w:rPr>
          <w:rFonts w:ascii="Palatino Linotype" w:eastAsia="Palatino Linotype" w:hAnsi="Palatino Linotype" w:cs="Palatino Linotype"/>
          <w:color w:val="222222"/>
          <w:sz w:val="22"/>
          <w:szCs w:val="22"/>
        </w:rPr>
      </w:pPr>
    </w:p>
    <w:p w14:paraId="37EF902E"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b/>
          <w:sz w:val="22"/>
          <w:szCs w:val="22"/>
        </w:rPr>
        <w:t xml:space="preserve">CUARTO. </w:t>
      </w:r>
      <w:r w:rsidRPr="00365BE2">
        <w:rPr>
          <w:rFonts w:ascii="Palatino Linotype" w:eastAsia="Palatino Linotype" w:hAnsi="Palatino Linotype" w:cs="Palatino Linotype"/>
          <w:sz w:val="22"/>
          <w:szCs w:val="22"/>
        </w:rPr>
        <w:t xml:space="preserve">De conformidad con el artículo 198 de la Ley de Transparencia y Acceso a la Información Pública del Estado de México y Municipios, de considerarlo procedente, el </w:t>
      </w:r>
      <w:r w:rsidRPr="00365BE2">
        <w:rPr>
          <w:rFonts w:ascii="Palatino Linotype" w:eastAsia="Palatino Linotype" w:hAnsi="Palatino Linotype" w:cs="Palatino Linotype"/>
          <w:b/>
          <w:sz w:val="22"/>
          <w:szCs w:val="22"/>
        </w:rPr>
        <w:t>SUJETO OBLIGADO</w:t>
      </w:r>
      <w:r w:rsidRPr="00365BE2">
        <w:rPr>
          <w:rFonts w:ascii="Palatino Linotype" w:eastAsia="Palatino Linotype" w:hAnsi="Palatino Linotype" w:cs="Palatino Linotype"/>
          <w:sz w:val="22"/>
          <w:szCs w:val="22"/>
        </w:rPr>
        <w:t xml:space="preserve"> de manera fundada y motivada, podrá solicitar una ampliación de plazo para el cumplimiento de la presente resolución.</w:t>
      </w:r>
    </w:p>
    <w:p w14:paraId="37EF902F" w14:textId="77777777" w:rsidR="00477D80" w:rsidRPr="00365BE2" w:rsidRDefault="00477D80" w:rsidP="00477D80">
      <w:pPr>
        <w:spacing w:line="360" w:lineRule="auto"/>
        <w:ind w:left="-566" w:right="-1417"/>
        <w:jc w:val="both"/>
        <w:rPr>
          <w:rFonts w:ascii="Palatino Linotype" w:eastAsia="Palatino Linotype" w:hAnsi="Palatino Linotype" w:cs="Palatino Linotype"/>
          <w:sz w:val="22"/>
          <w:szCs w:val="22"/>
        </w:rPr>
      </w:pPr>
    </w:p>
    <w:p w14:paraId="37EF9030" w14:textId="77777777" w:rsidR="00477D80" w:rsidRPr="00365BE2" w:rsidRDefault="00477D80" w:rsidP="00477D80">
      <w:pPr>
        <w:shd w:val="clear" w:color="auto" w:fill="FFFFFF"/>
        <w:spacing w:line="360" w:lineRule="auto"/>
        <w:ind w:left="-566" w:right="-1417"/>
        <w:jc w:val="both"/>
        <w:rPr>
          <w:rFonts w:ascii="Palatino Linotype" w:eastAsia="Palatino Linotype" w:hAnsi="Palatino Linotype" w:cs="Palatino Linotype"/>
          <w:sz w:val="22"/>
          <w:szCs w:val="22"/>
        </w:rPr>
      </w:pPr>
      <w:bookmarkStart w:id="15" w:name="_heading=h.2jxsxqh" w:colFirst="0" w:colLast="0"/>
      <w:bookmarkEnd w:id="15"/>
      <w:r w:rsidRPr="00365BE2">
        <w:rPr>
          <w:rFonts w:ascii="Palatino Linotype" w:eastAsia="Palatino Linotype" w:hAnsi="Palatino Linotype" w:cs="Palatino Linotype"/>
          <w:b/>
          <w:sz w:val="22"/>
          <w:szCs w:val="22"/>
        </w:rPr>
        <w:lastRenderedPageBreak/>
        <w:t xml:space="preserve">QUINTO. </w:t>
      </w:r>
      <w:r w:rsidRPr="00365BE2">
        <w:rPr>
          <w:rFonts w:ascii="Palatino Linotype" w:eastAsia="Palatino Linotype" w:hAnsi="Palatino Linotype" w:cs="Palatino Linotype"/>
          <w:sz w:val="22"/>
          <w:szCs w:val="22"/>
        </w:rPr>
        <w:t xml:space="preserve">Notifíquese a </w:t>
      </w:r>
      <w:r w:rsidRPr="00365BE2">
        <w:rPr>
          <w:rFonts w:ascii="Palatino Linotype" w:eastAsia="Palatino Linotype" w:hAnsi="Palatino Linotype" w:cs="Palatino Linotype"/>
          <w:b/>
          <w:sz w:val="22"/>
          <w:szCs w:val="22"/>
        </w:rPr>
        <w:t>EL RECURRENTE</w:t>
      </w:r>
      <w:r w:rsidRPr="00365BE2">
        <w:rPr>
          <w:rFonts w:ascii="Palatino Linotype" w:eastAsia="Palatino Linotype" w:hAnsi="Palatino Linotype" w:cs="Palatino Linotype"/>
          <w:sz w:val="22"/>
          <w:szCs w:val="22"/>
        </w:rPr>
        <w:t xml:space="preserve"> la presente resolución, vía SAIMEX.</w:t>
      </w:r>
    </w:p>
    <w:p w14:paraId="37EF9031" w14:textId="77777777" w:rsidR="00477D80" w:rsidRPr="00365BE2" w:rsidRDefault="00477D80" w:rsidP="00477D80">
      <w:pPr>
        <w:shd w:val="clear" w:color="auto" w:fill="FFFFFF"/>
        <w:spacing w:line="360" w:lineRule="auto"/>
        <w:ind w:left="-566" w:right="-1417"/>
        <w:jc w:val="both"/>
        <w:rPr>
          <w:rFonts w:ascii="Palatino Linotype" w:eastAsia="Palatino Linotype" w:hAnsi="Palatino Linotype" w:cs="Palatino Linotype"/>
          <w:sz w:val="22"/>
          <w:szCs w:val="22"/>
        </w:rPr>
      </w:pPr>
    </w:p>
    <w:p w14:paraId="37EF9032" w14:textId="77777777" w:rsidR="00477D80" w:rsidRPr="00365BE2" w:rsidRDefault="00477D80" w:rsidP="00477D80">
      <w:pPr>
        <w:shd w:val="clear" w:color="auto" w:fill="FFFFFF"/>
        <w:spacing w:line="360" w:lineRule="auto"/>
        <w:ind w:left="-566" w:right="-1417"/>
        <w:jc w:val="both"/>
        <w:rPr>
          <w:rFonts w:ascii="Palatino Linotype" w:eastAsia="Palatino Linotype" w:hAnsi="Palatino Linotype" w:cs="Palatino Linotype"/>
          <w:sz w:val="22"/>
          <w:szCs w:val="22"/>
        </w:rPr>
      </w:pPr>
      <w:r w:rsidRPr="00365BE2">
        <w:rPr>
          <w:rFonts w:ascii="Palatino Linotype" w:eastAsia="Palatino Linotype" w:hAnsi="Palatino Linotype" w:cs="Palatino Linotype"/>
          <w:b/>
          <w:sz w:val="22"/>
          <w:szCs w:val="22"/>
        </w:rPr>
        <w:t>SEXTO.</w:t>
      </w:r>
      <w:r w:rsidRPr="00365BE2">
        <w:rPr>
          <w:rFonts w:ascii="Palatino Linotype" w:eastAsia="Palatino Linotype" w:hAnsi="Palatino Linotype" w:cs="Palatino Linotype"/>
          <w:sz w:val="22"/>
          <w:szCs w:val="22"/>
        </w:rPr>
        <w:t xml:space="preserve"> Se hace del conocimiento de </w:t>
      </w:r>
      <w:r w:rsidRPr="00365BE2">
        <w:rPr>
          <w:rFonts w:ascii="Palatino Linotype" w:eastAsia="Palatino Linotype" w:hAnsi="Palatino Linotype" w:cs="Palatino Linotype"/>
          <w:b/>
          <w:sz w:val="22"/>
          <w:szCs w:val="22"/>
        </w:rPr>
        <w:t>EL RECURRENTE</w:t>
      </w:r>
      <w:r w:rsidRPr="00365BE2">
        <w:rPr>
          <w:rFonts w:ascii="Palatino Linotype" w:eastAsia="Palatino Linotype" w:hAnsi="Palatino Linotype" w:cs="Palatino Linotype"/>
          <w:sz w:val="22"/>
          <w:szCs w:val="22"/>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14:paraId="731AF77C" w14:textId="77777777" w:rsidR="00DF4057" w:rsidRPr="00365BE2" w:rsidRDefault="00DF4057" w:rsidP="00477D80">
      <w:pPr>
        <w:shd w:val="clear" w:color="auto" w:fill="FFFFFF"/>
        <w:spacing w:line="360" w:lineRule="auto"/>
        <w:ind w:left="-566" w:right="-1417"/>
        <w:jc w:val="both"/>
        <w:rPr>
          <w:rFonts w:ascii="Palatino Linotype" w:eastAsia="Palatino Linotype" w:hAnsi="Palatino Linotype" w:cs="Palatino Linotype"/>
          <w:sz w:val="22"/>
          <w:szCs w:val="22"/>
        </w:rPr>
      </w:pPr>
    </w:p>
    <w:p w14:paraId="7A87BDC5" w14:textId="77777777" w:rsidR="00DF4057" w:rsidRPr="00DF4057" w:rsidRDefault="00DF4057" w:rsidP="00DF4057">
      <w:pPr>
        <w:spacing w:line="360" w:lineRule="auto"/>
        <w:ind w:left="-567" w:right="-1424" w:firstLine="1"/>
        <w:jc w:val="both"/>
        <w:rPr>
          <w:rFonts w:ascii="Palatino Linotype" w:hAnsi="Palatino Linotype"/>
          <w:sz w:val="22"/>
          <w:szCs w:val="22"/>
        </w:rPr>
      </w:pPr>
      <w:bookmarkStart w:id="16" w:name="_Hlk192106016"/>
      <w:r w:rsidRPr="00365BE2">
        <w:rPr>
          <w:rFonts w:ascii="Palatino Linotype" w:hAnsi="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OCTAVA SESIÓN ORDINARIA CELEBRADA EL SEIS (06) DE MARZO DE DOS MIL VEINTICINCO, ANTE EL SECRETARIO TÉCNICO DEL PLENO ALEXIS TAPIA RAMÍREZ.</w:t>
      </w:r>
      <w:r w:rsidRPr="00DF4057">
        <w:rPr>
          <w:rFonts w:ascii="Palatino Linotype" w:hAnsi="Palatino Linotype"/>
          <w:sz w:val="22"/>
          <w:szCs w:val="22"/>
        </w:rPr>
        <w:t xml:space="preserve"> </w:t>
      </w:r>
    </w:p>
    <w:bookmarkEnd w:id="16"/>
    <w:p w14:paraId="37EF9035" w14:textId="77777777" w:rsidR="00477D80" w:rsidRPr="00196FA9" w:rsidRDefault="00477D80" w:rsidP="00477D80">
      <w:pPr>
        <w:spacing w:before="240" w:after="240" w:line="360" w:lineRule="auto"/>
        <w:ind w:left="-566" w:right="-1417"/>
        <w:jc w:val="both"/>
        <w:rPr>
          <w:rFonts w:ascii="Palatino Linotype" w:eastAsia="Palatino Linotype" w:hAnsi="Palatino Linotype" w:cs="Palatino Linotype"/>
          <w:sz w:val="22"/>
          <w:szCs w:val="22"/>
        </w:rPr>
      </w:pPr>
    </w:p>
    <w:p w14:paraId="37EF9036" w14:textId="77777777" w:rsidR="00477D80" w:rsidRPr="00196FA9" w:rsidRDefault="00477D80" w:rsidP="00477D80">
      <w:pPr>
        <w:spacing w:before="240" w:after="240" w:line="360" w:lineRule="auto"/>
        <w:ind w:left="-566" w:right="-1417"/>
        <w:jc w:val="both"/>
        <w:rPr>
          <w:rFonts w:ascii="Palatino Linotype" w:eastAsia="Palatino Linotype" w:hAnsi="Palatino Linotype" w:cs="Palatino Linotype"/>
          <w:sz w:val="22"/>
          <w:szCs w:val="22"/>
        </w:rPr>
      </w:pPr>
    </w:p>
    <w:p w14:paraId="37EF9037" w14:textId="77777777" w:rsidR="00477D80" w:rsidRPr="00196FA9" w:rsidRDefault="00477D80" w:rsidP="00477D80">
      <w:pPr>
        <w:spacing w:before="240" w:after="240" w:line="360" w:lineRule="auto"/>
        <w:ind w:left="-566" w:right="-1417"/>
        <w:jc w:val="both"/>
        <w:rPr>
          <w:rFonts w:ascii="Palatino Linotype" w:eastAsia="Palatino Linotype" w:hAnsi="Palatino Linotype" w:cs="Palatino Linotype"/>
          <w:sz w:val="22"/>
          <w:szCs w:val="22"/>
        </w:rPr>
      </w:pPr>
    </w:p>
    <w:p w14:paraId="37EF9038" w14:textId="77777777" w:rsidR="00477D80" w:rsidRPr="00196FA9" w:rsidRDefault="00477D80" w:rsidP="00477D80">
      <w:pPr>
        <w:spacing w:before="240" w:after="240" w:line="360" w:lineRule="auto"/>
        <w:ind w:left="-566" w:right="-1417"/>
        <w:jc w:val="both"/>
        <w:rPr>
          <w:rFonts w:ascii="Palatino Linotype" w:eastAsia="Palatino Linotype" w:hAnsi="Palatino Linotype" w:cs="Palatino Linotype"/>
          <w:sz w:val="22"/>
          <w:szCs w:val="22"/>
        </w:rPr>
      </w:pPr>
    </w:p>
    <w:p w14:paraId="37EF9039" w14:textId="77777777" w:rsidR="00477D80" w:rsidRPr="00196FA9" w:rsidRDefault="00477D80" w:rsidP="00477D80">
      <w:pPr>
        <w:spacing w:before="240" w:after="240" w:line="360" w:lineRule="auto"/>
        <w:ind w:left="-566" w:right="-1417"/>
        <w:jc w:val="both"/>
        <w:rPr>
          <w:rFonts w:ascii="Palatino Linotype" w:eastAsia="Palatino Linotype" w:hAnsi="Palatino Linotype" w:cs="Palatino Linotype"/>
          <w:sz w:val="22"/>
          <w:szCs w:val="22"/>
        </w:rPr>
      </w:pPr>
    </w:p>
    <w:p w14:paraId="37EF903A" w14:textId="77777777" w:rsidR="00477D80" w:rsidRPr="00196FA9" w:rsidRDefault="00477D80" w:rsidP="00477D80">
      <w:pPr>
        <w:spacing w:line="360" w:lineRule="auto"/>
        <w:ind w:left="-566" w:right="-1417"/>
        <w:jc w:val="both"/>
        <w:rPr>
          <w:rFonts w:ascii="Palatino Linotype" w:eastAsia="Palatino Linotype" w:hAnsi="Palatino Linotype" w:cs="Palatino Linotype"/>
          <w:sz w:val="22"/>
          <w:szCs w:val="22"/>
        </w:rPr>
      </w:pPr>
    </w:p>
    <w:p w14:paraId="37EF903B" w14:textId="77777777" w:rsidR="00477D80" w:rsidRPr="00196FA9" w:rsidRDefault="00477D80" w:rsidP="00477D80">
      <w:pPr>
        <w:keepNext/>
        <w:keepLines/>
        <w:spacing w:after="240" w:line="360" w:lineRule="auto"/>
        <w:ind w:left="-566" w:right="-1417"/>
        <w:rPr>
          <w:sz w:val="22"/>
          <w:szCs w:val="22"/>
        </w:rPr>
      </w:pPr>
    </w:p>
    <w:p w14:paraId="37EF903C" w14:textId="77777777" w:rsidR="00477D80" w:rsidRPr="00196FA9" w:rsidRDefault="00477D80" w:rsidP="00477D80">
      <w:pPr>
        <w:ind w:left="-566" w:right="-1417"/>
        <w:rPr>
          <w:sz w:val="22"/>
          <w:szCs w:val="22"/>
        </w:rPr>
      </w:pPr>
    </w:p>
    <w:p w14:paraId="37EF903D" w14:textId="77777777" w:rsidR="00477D80" w:rsidRPr="00196FA9" w:rsidRDefault="00477D80" w:rsidP="00477D80">
      <w:pPr>
        <w:ind w:left="-566" w:right="-1417"/>
        <w:rPr>
          <w:sz w:val="22"/>
          <w:szCs w:val="22"/>
        </w:rPr>
      </w:pPr>
    </w:p>
    <w:p w14:paraId="37EF903E" w14:textId="77777777" w:rsidR="00477D80" w:rsidRPr="00196FA9" w:rsidRDefault="00477D80" w:rsidP="00477D80">
      <w:pPr>
        <w:ind w:left="-566" w:right="-1417"/>
        <w:rPr>
          <w:sz w:val="22"/>
          <w:szCs w:val="22"/>
        </w:rPr>
      </w:pPr>
    </w:p>
    <w:p w14:paraId="37EF903F" w14:textId="77777777" w:rsidR="00E318A7" w:rsidRPr="00196FA9" w:rsidRDefault="00E318A7">
      <w:pPr>
        <w:rPr>
          <w:sz w:val="22"/>
          <w:szCs w:val="22"/>
        </w:rPr>
      </w:pPr>
    </w:p>
    <w:sectPr w:rsidR="00E318A7" w:rsidRPr="00196FA9">
      <w:headerReference w:type="default" r:id="rId15"/>
      <w:footerReference w:type="default" r:id="rId16"/>
      <w:headerReference w:type="first" r:id="rId17"/>
      <w:footerReference w:type="first" r:id="rId18"/>
      <w:pgSz w:w="12240" w:h="15840"/>
      <w:pgMar w:top="2410" w:right="2324" w:bottom="1985" w:left="1701" w:header="709"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D79DC" w14:textId="77777777" w:rsidR="00AC3A17" w:rsidRDefault="00AC3A17" w:rsidP="00477D80">
      <w:r>
        <w:separator/>
      </w:r>
    </w:p>
  </w:endnote>
  <w:endnote w:type="continuationSeparator" w:id="0">
    <w:p w14:paraId="053CAEE4" w14:textId="77777777" w:rsidR="00AC3A17" w:rsidRDefault="00AC3A17" w:rsidP="00477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905B" w14:textId="77777777" w:rsidR="001C159C" w:rsidRDefault="001C159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7EDA">
      <w:rPr>
        <w:rFonts w:ascii="Arial" w:eastAsia="Arial" w:hAnsi="Arial" w:cs="Arial"/>
        <w:b/>
        <w:noProof/>
        <w:color w:val="000000"/>
        <w:sz w:val="20"/>
        <w:szCs w:val="20"/>
      </w:rPr>
      <w:t>49</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7EDA">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37EF905C" w14:textId="77777777" w:rsidR="001C159C" w:rsidRDefault="001C159C">
    <w:pPr>
      <w:pBdr>
        <w:top w:val="nil"/>
        <w:left w:val="nil"/>
        <w:bottom w:val="nil"/>
        <w:right w:val="nil"/>
        <w:between w:val="nil"/>
      </w:pBdr>
      <w:tabs>
        <w:tab w:val="center" w:pos="4252"/>
        <w:tab w:val="right" w:pos="8504"/>
      </w:tabs>
      <w:rPr>
        <w:color w:val="000000"/>
      </w:rPr>
    </w:pPr>
  </w:p>
  <w:p w14:paraId="37EF905D" w14:textId="77777777" w:rsidR="001C159C" w:rsidRDefault="001C159C">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906C" w14:textId="77777777" w:rsidR="001C159C" w:rsidRDefault="001C159C">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17ED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17EDA">
      <w:rPr>
        <w:rFonts w:ascii="Arial" w:eastAsia="Arial" w:hAnsi="Arial" w:cs="Arial"/>
        <w:b/>
        <w:noProof/>
        <w:color w:val="000000"/>
        <w:sz w:val="20"/>
        <w:szCs w:val="20"/>
      </w:rPr>
      <w:t>49</w:t>
    </w:r>
    <w:r>
      <w:rPr>
        <w:rFonts w:ascii="Arial" w:eastAsia="Arial" w:hAnsi="Arial" w:cs="Arial"/>
        <w:b/>
        <w:color w:val="000000"/>
        <w:sz w:val="20"/>
        <w:szCs w:val="20"/>
      </w:rPr>
      <w:fldChar w:fldCharType="end"/>
    </w:r>
  </w:p>
  <w:p w14:paraId="37EF906D" w14:textId="77777777" w:rsidR="001C159C" w:rsidRDefault="001C159C">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E0DFB" w14:textId="77777777" w:rsidR="00AC3A17" w:rsidRDefault="00AC3A17" w:rsidP="00477D80">
      <w:r>
        <w:separator/>
      </w:r>
    </w:p>
  </w:footnote>
  <w:footnote w:type="continuationSeparator" w:id="0">
    <w:p w14:paraId="78147EED" w14:textId="77777777" w:rsidR="00AC3A17" w:rsidRDefault="00AC3A17" w:rsidP="00477D80">
      <w:r>
        <w:continuationSeparator/>
      </w:r>
    </w:p>
  </w:footnote>
  <w:footnote w:id="1">
    <w:p w14:paraId="37EF9072" w14:textId="77777777" w:rsidR="001C159C" w:rsidRDefault="001C159C" w:rsidP="00477D8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Convención Americana sobre Derechos Humanos. Artículo 13.</w:t>
      </w:r>
    </w:p>
  </w:footnote>
  <w:footnote w:id="2">
    <w:p w14:paraId="37EF9073" w14:textId="77777777" w:rsidR="001C159C" w:rsidRDefault="001C159C" w:rsidP="00477D8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Constitución Política de los Estados Unidos Mexicanos. Artículo sexto, sección A, fracción I.</w:t>
      </w:r>
    </w:p>
  </w:footnote>
  <w:footnote w:id="3">
    <w:p w14:paraId="37EF9074" w14:textId="77777777" w:rsidR="001C159C" w:rsidRDefault="001C159C" w:rsidP="00477D8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Corte Interamericana de Derechos Humanos. Caso Claude Reyes y otros vs. Chile. Sentencia de 19 de septiembre de 2006. Serie C. No. 151. Párr. 86.</w:t>
      </w:r>
    </w:p>
  </w:footnote>
  <w:footnote w:id="4">
    <w:p w14:paraId="37EF9075" w14:textId="77777777" w:rsidR="001C159C" w:rsidRDefault="001C159C" w:rsidP="00477D8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9050" w14:textId="77777777" w:rsidR="001C159C" w:rsidRDefault="001C159C">
    <w:pPr>
      <w:widowControl w:val="0"/>
      <w:pBdr>
        <w:top w:val="nil"/>
        <w:left w:val="nil"/>
        <w:bottom w:val="nil"/>
        <w:right w:val="nil"/>
        <w:between w:val="nil"/>
      </w:pBdr>
      <w:spacing w:line="276" w:lineRule="auto"/>
      <w:rPr>
        <w:color w:val="000000"/>
        <w:sz w:val="20"/>
        <w:szCs w:val="20"/>
      </w:rPr>
    </w:pPr>
  </w:p>
  <w:tbl>
    <w:tblPr>
      <w:tblW w:w="6855" w:type="dxa"/>
      <w:tblInd w:w="3119" w:type="dxa"/>
      <w:tblLayout w:type="fixed"/>
      <w:tblLook w:val="0400" w:firstRow="0" w:lastRow="0" w:firstColumn="0" w:lastColumn="0" w:noHBand="0" w:noVBand="1"/>
    </w:tblPr>
    <w:tblGrid>
      <w:gridCol w:w="2550"/>
      <w:gridCol w:w="4305"/>
    </w:tblGrid>
    <w:tr w:rsidR="001C159C" w14:paraId="37EF9053" w14:textId="77777777">
      <w:tc>
        <w:tcPr>
          <w:tcW w:w="2550" w:type="dxa"/>
          <w:vAlign w:val="center"/>
        </w:tcPr>
        <w:p w14:paraId="37EF9051" w14:textId="77777777" w:rsidR="001C159C" w:rsidRDefault="001C159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4305" w:type="dxa"/>
          <w:vAlign w:val="center"/>
        </w:tcPr>
        <w:p w14:paraId="37EF9052" w14:textId="77777777" w:rsidR="001C159C" w:rsidRDefault="001C159C">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02353/INFOEM/IP/RR/2024 </w:t>
          </w:r>
        </w:p>
      </w:tc>
    </w:tr>
    <w:tr w:rsidR="001C159C" w14:paraId="37EF9056" w14:textId="77777777">
      <w:trPr>
        <w:trHeight w:val="228"/>
      </w:trPr>
      <w:tc>
        <w:tcPr>
          <w:tcW w:w="2550" w:type="dxa"/>
          <w:vAlign w:val="center"/>
        </w:tcPr>
        <w:p w14:paraId="37EF9054" w14:textId="77777777" w:rsidR="001C159C" w:rsidRDefault="001C159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4305" w:type="dxa"/>
          <w:shd w:val="clear" w:color="auto" w:fill="auto"/>
          <w:vAlign w:val="center"/>
        </w:tcPr>
        <w:p w14:paraId="37EF9055" w14:textId="77777777" w:rsidR="001C159C" w:rsidRDefault="001C159C">
          <w:pPr>
            <w:ind w:right="-1093"/>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Secretaría de Movilidad</w:t>
          </w:r>
        </w:p>
      </w:tc>
    </w:tr>
    <w:tr w:rsidR="001C159C" w14:paraId="37EF9059" w14:textId="77777777">
      <w:tc>
        <w:tcPr>
          <w:tcW w:w="2550" w:type="dxa"/>
          <w:vAlign w:val="center"/>
        </w:tcPr>
        <w:p w14:paraId="37EF9057" w14:textId="77777777" w:rsidR="001C159C" w:rsidRDefault="001C159C">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4305" w:type="dxa"/>
          <w:vAlign w:val="center"/>
        </w:tcPr>
        <w:p w14:paraId="37EF9058" w14:textId="77777777" w:rsidR="001C159C" w:rsidRDefault="001C159C">
          <w:pPr>
            <w:ind w:right="-10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tc>
    </w:tr>
  </w:tbl>
  <w:p w14:paraId="37EF905A" w14:textId="77777777" w:rsidR="001C159C" w:rsidRDefault="001C159C">
    <w:pPr>
      <w:pBdr>
        <w:top w:val="nil"/>
        <w:left w:val="nil"/>
        <w:bottom w:val="nil"/>
        <w:right w:val="nil"/>
        <w:between w:val="nil"/>
      </w:pBdr>
      <w:tabs>
        <w:tab w:val="center" w:pos="4252"/>
        <w:tab w:val="right" w:pos="8504"/>
        <w:tab w:val="left" w:pos="3233"/>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9264" behindDoc="1" locked="0" layoutInCell="1" hidden="0" allowOverlap="1" wp14:anchorId="37EF906E" wp14:editId="37EF906F">
          <wp:simplePos x="0" y="0"/>
          <wp:positionH relativeFrom="column">
            <wp:posOffset>-1213483</wp:posOffset>
          </wp:positionH>
          <wp:positionV relativeFrom="paragraph">
            <wp:posOffset>-1219833</wp:posOffset>
          </wp:positionV>
          <wp:extent cx="7813085" cy="10170000"/>
          <wp:effectExtent l="0" t="0" r="0" b="0"/>
          <wp:wrapNone/>
          <wp:docPr id="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EF905E" w14:textId="77777777" w:rsidR="001C159C" w:rsidRDefault="001C159C">
    <w:pPr>
      <w:pBdr>
        <w:top w:val="nil"/>
        <w:left w:val="nil"/>
        <w:bottom w:val="nil"/>
        <w:right w:val="nil"/>
        <w:between w:val="nil"/>
      </w:pBdr>
      <w:tabs>
        <w:tab w:val="center" w:pos="4252"/>
        <w:tab w:val="right" w:pos="8504"/>
        <w:tab w:val="left" w:pos="7154"/>
      </w:tabs>
      <w:jc w:val="both"/>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r>
    <w:r>
      <w:rPr>
        <w:noProof/>
      </w:rPr>
      <w:drawing>
        <wp:anchor distT="0" distB="0" distL="0" distR="0" simplePos="0" relativeHeight="251660288" behindDoc="1" locked="0" layoutInCell="1" hidden="0" allowOverlap="1" wp14:anchorId="37EF9070" wp14:editId="37EF9071">
          <wp:simplePos x="0" y="0"/>
          <wp:positionH relativeFrom="column">
            <wp:posOffset>-1078863</wp:posOffset>
          </wp:positionH>
          <wp:positionV relativeFrom="paragraph">
            <wp:posOffset>-411477</wp:posOffset>
          </wp:positionV>
          <wp:extent cx="7813085" cy="10170000"/>
          <wp:effectExtent l="0" t="0" r="0" b="0"/>
          <wp:wrapNone/>
          <wp:docPr id="2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13085" cy="10170000"/>
                  </a:xfrm>
                  <a:prstGeom prst="rect">
                    <a:avLst/>
                  </a:prstGeom>
                  <a:ln/>
                </pic:spPr>
              </pic:pic>
            </a:graphicData>
          </a:graphic>
        </wp:anchor>
      </w:drawing>
    </w:r>
  </w:p>
  <w:tbl>
    <w:tblPr>
      <w:tblW w:w="6660" w:type="dxa"/>
      <w:tblInd w:w="3495" w:type="dxa"/>
      <w:tblLayout w:type="fixed"/>
      <w:tblLook w:val="0400" w:firstRow="0" w:lastRow="0" w:firstColumn="0" w:lastColumn="0" w:noHBand="0" w:noVBand="1"/>
    </w:tblPr>
    <w:tblGrid>
      <w:gridCol w:w="2977"/>
      <w:gridCol w:w="3683"/>
    </w:tblGrid>
    <w:tr w:rsidR="001C159C" w14:paraId="37EF9061" w14:textId="77777777">
      <w:trPr>
        <w:trHeight w:val="227"/>
      </w:trPr>
      <w:tc>
        <w:tcPr>
          <w:tcW w:w="2977" w:type="dxa"/>
          <w:vAlign w:val="center"/>
        </w:tcPr>
        <w:p w14:paraId="37EF905F" w14:textId="77777777" w:rsidR="001C159C" w:rsidRDefault="001C159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3" w:type="dxa"/>
          <w:vAlign w:val="center"/>
        </w:tcPr>
        <w:p w14:paraId="37EF9060" w14:textId="77777777" w:rsidR="001C159C" w:rsidRDefault="001C159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02353/INFOEM/IP/RR/2024</w:t>
          </w:r>
        </w:p>
      </w:tc>
    </w:tr>
    <w:tr w:rsidR="001C159C" w14:paraId="37EF9064" w14:textId="77777777">
      <w:trPr>
        <w:trHeight w:val="242"/>
      </w:trPr>
      <w:tc>
        <w:tcPr>
          <w:tcW w:w="2977" w:type="dxa"/>
          <w:vAlign w:val="center"/>
        </w:tcPr>
        <w:p w14:paraId="37EF9062" w14:textId="77777777" w:rsidR="001C159C" w:rsidRDefault="001C159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3" w:type="dxa"/>
        </w:tcPr>
        <w:p w14:paraId="37EF9063" w14:textId="007502CE" w:rsidR="001C159C" w:rsidRDefault="00317EDA">
          <w:pPr>
            <w:pBdr>
              <w:top w:val="nil"/>
              <w:left w:val="nil"/>
              <w:bottom w:val="nil"/>
              <w:right w:val="nil"/>
              <w:between w:val="nil"/>
            </w:pBdr>
            <w:tabs>
              <w:tab w:val="center" w:pos="4419"/>
              <w:tab w:val="right" w:pos="8838"/>
              <w:tab w:val="left" w:pos="521"/>
            </w:tabs>
            <w:rPr>
              <w:rFonts w:ascii="Palatino Linotype" w:eastAsia="Palatino Linotype" w:hAnsi="Palatino Linotype" w:cs="Palatino Linotype"/>
              <w:sz w:val="22"/>
              <w:szCs w:val="22"/>
              <w:highlight w:val="green"/>
            </w:rPr>
          </w:pPr>
          <w:r>
            <w:rPr>
              <w:rFonts w:ascii="Palatino Linotype" w:eastAsia="Palatino Linotype" w:hAnsi="Palatino Linotype" w:cs="Palatino Linotype"/>
              <w:sz w:val="22"/>
              <w:szCs w:val="22"/>
            </w:rPr>
            <w:t>XXXX</w:t>
          </w:r>
        </w:p>
      </w:tc>
    </w:tr>
    <w:tr w:rsidR="001C159C" w14:paraId="37EF9067" w14:textId="77777777">
      <w:trPr>
        <w:trHeight w:val="342"/>
      </w:trPr>
      <w:tc>
        <w:tcPr>
          <w:tcW w:w="2977" w:type="dxa"/>
          <w:vAlign w:val="center"/>
        </w:tcPr>
        <w:p w14:paraId="37EF9065" w14:textId="77777777" w:rsidR="001C159C" w:rsidRDefault="001C159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3" w:type="dxa"/>
          <w:vAlign w:val="center"/>
        </w:tcPr>
        <w:p w14:paraId="37EF9066" w14:textId="77777777" w:rsidR="001C159C" w:rsidRDefault="001C159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highlight w:val="green"/>
            </w:rPr>
          </w:pPr>
          <w:r>
            <w:rPr>
              <w:rFonts w:ascii="Palatino Linotype" w:eastAsia="Palatino Linotype" w:hAnsi="Palatino Linotype" w:cs="Palatino Linotype"/>
              <w:color w:val="000000"/>
              <w:sz w:val="22"/>
              <w:szCs w:val="22"/>
            </w:rPr>
            <w:t>Secretaría de Movilidad</w:t>
          </w:r>
        </w:p>
      </w:tc>
    </w:tr>
    <w:tr w:rsidR="001C159C" w14:paraId="37EF906A" w14:textId="77777777">
      <w:trPr>
        <w:trHeight w:val="342"/>
      </w:trPr>
      <w:tc>
        <w:tcPr>
          <w:tcW w:w="2977" w:type="dxa"/>
          <w:vAlign w:val="center"/>
        </w:tcPr>
        <w:p w14:paraId="37EF9068" w14:textId="77777777" w:rsidR="001C159C" w:rsidRDefault="001C159C">
          <w:pPr>
            <w:jc w:val="right"/>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683" w:type="dxa"/>
          <w:vAlign w:val="center"/>
        </w:tcPr>
        <w:p w14:paraId="37EF9069" w14:textId="77777777" w:rsidR="001C159C" w:rsidRDefault="001C159C">
          <w:pPr>
            <w:pBdr>
              <w:top w:val="nil"/>
              <w:left w:val="nil"/>
              <w:bottom w:val="nil"/>
              <w:right w:val="nil"/>
              <w:between w:val="nil"/>
            </w:pBdr>
            <w:tabs>
              <w:tab w:val="center" w:pos="4419"/>
              <w:tab w:val="right" w:pos="8838"/>
            </w:tabs>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María del Rosario Mejía Ayala</w:t>
          </w:r>
        </w:p>
      </w:tc>
    </w:tr>
  </w:tbl>
  <w:p w14:paraId="37EF906B" w14:textId="77777777" w:rsidR="001C159C" w:rsidRDefault="001C159C">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3A3E"/>
    <w:multiLevelType w:val="multilevel"/>
    <w:tmpl w:val="3DFEC3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2EF43EC"/>
    <w:multiLevelType w:val="multilevel"/>
    <w:tmpl w:val="DEFA9C38"/>
    <w:lvl w:ilvl="0">
      <w:start w:val="1"/>
      <w:numFmt w:val="upperRoman"/>
      <w:lvlText w:val="%1."/>
      <w:lvlJc w:val="left"/>
      <w:pPr>
        <w:ind w:left="1854" w:hanging="720"/>
      </w:pPr>
      <w:rPr>
        <w:b/>
      </w:r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2" w15:restartNumberingAfterBreak="0">
    <w:nsid w:val="03BE4CE0"/>
    <w:multiLevelType w:val="multilevel"/>
    <w:tmpl w:val="C9B47196"/>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3" w15:restartNumberingAfterBreak="0">
    <w:nsid w:val="107E5A01"/>
    <w:multiLevelType w:val="multilevel"/>
    <w:tmpl w:val="22DA752A"/>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4" w15:restartNumberingAfterBreak="0">
    <w:nsid w:val="1A5D0844"/>
    <w:multiLevelType w:val="hybridMultilevel"/>
    <w:tmpl w:val="75C45A4A"/>
    <w:lvl w:ilvl="0" w:tplc="5BEE3436">
      <w:start w:val="1"/>
      <w:numFmt w:val="upperRoman"/>
      <w:lvlText w:val="%1."/>
      <w:lvlJc w:val="left"/>
      <w:pPr>
        <w:ind w:left="1854" w:hanging="72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5" w15:restartNumberingAfterBreak="0">
    <w:nsid w:val="21EB6C24"/>
    <w:multiLevelType w:val="hybridMultilevel"/>
    <w:tmpl w:val="C44E97D4"/>
    <w:lvl w:ilvl="0" w:tplc="080A0001">
      <w:start w:val="1"/>
      <w:numFmt w:val="bullet"/>
      <w:lvlText w:val=""/>
      <w:lvlJc w:val="left"/>
      <w:pPr>
        <w:ind w:left="154" w:hanging="360"/>
      </w:pPr>
      <w:rPr>
        <w:rFonts w:ascii="Symbol" w:hAnsi="Symbol" w:hint="default"/>
      </w:rPr>
    </w:lvl>
    <w:lvl w:ilvl="1" w:tplc="080A0003" w:tentative="1">
      <w:start w:val="1"/>
      <w:numFmt w:val="bullet"/>
      <w:lvlText w:val="o"/>
      <w:lvlJc w:val="left"/>
      <w:pPr>
        <w:ind w:left="874" w:hanging="360"/>
      </w:pPr>
      <w:rPr>
        <w:rFonts w:ascii="Courier New" w:hAnsi="Courier New" w:cs="Courier New" w:hint="default"/>
      </w:rPr>
    </w:lvl>
    <w:lvl w:ilvl="2" w:tplc="080A0005" w:tentative="1">
      <w:start w:val="1"/>
      <w:numFmt w:val="bullet"/>
      <w:lvlText w:val=""/>
      <w:lvlJc w:val="left"/>
      <w:pPr>
        <w:ind w:left="1594" w:hanging="360"/>
      </w:pPr>
      <w:rPr>
        <w:rFonts w:ascii="Wingdings" w:hAnsi="Wingdings" w:hint="default"/>
      </w:rPr>
    </w:lvl>
    <w:lvl w:ilvl="3" w:tplc="080A0001" w:tentative="1">
      <w:start w:val="1"/>
      <w:numFmt w:val="bullet"/>
      <w:lvlText w:val=""/>
      <w:lvlJc w:val="left"/>
      <w:pPr>
        <w:ind w:left="2314" w:hanging="360"/>
      </w:pPr>
      <w:rPr>
        <w:rFonts w:ascii="Symbol" w:hAnsi="Symbol" w:hint="default"/>
      </w:rPr>
    </w:lvl>
    <w:lvl w:ilvl="4" w:tplc="080A0003" w:tentative="1">
      <w:start w:val="1"/>
      <w:numFmt w:val="bullet"/>
      <w:lvlText w:val="o"/>
      <w:lvlJc w:val="left"/>
      <w:pPr>
        <w:ind w:left="3034" w:hanging="360"/>
      </w:pPr>
      <w:rPr>
        <w:rFonts w:ascii="Courier New" w:hAnsi="Courier New" w:cs="Courier New" w:hint="default"/>
      </w:rPr>
    </w:lvl>
    <w:lvl w:ilvl="5" w:tplc="080A0005" w:tentative="1">
      <w:start w:val="1"/>
      <w:numFmt w:val="bullet"/>
      <w:lvlText w:val=""/>
      <w:lvlJc w:val="left"/>
      <w:pPr>
        <w:ind w:left="3754" w:hanging="360"/>
      </w:pPr>
      <w:rPr>
        <w:rFonts w:ascii="Wingdings" w:hAnsi="Wingdings" w:hint="default"/>
      </w:rPr>
    </w:lvl>
    <w:lvl w:ilvl="6" w:tplc="080A0001" w:tentative="1">
      <w:start w:val="1"/>
      <w:numFmt w:val="bullet"/>
      <w:lvlText w:val=""/>
      <w:lvlJc w:val="left"/>
      <w:pPr>
        <w:ind w:left="4474" w:hanging="360"/>
      </w:pPr>
      <w:rPr>
        <w:rFonts w:ascii="Symbol" w:hAnsi="Symbol" w:hint="default"/>
      </w:rPr>
    </w:lvl>
    <w:lvl w:ilvl="7" w:tplc="080A0003" w:tentative="1">
      <w:start w:val="1"/>
      <w:numFmt w:val="bullet"/>
      <w:lvlText w:val="o"/>
      <w:lvlJc w:val="left"/>
      <w:pPr>
        <w:ind w:left="5194" w:hanging="360"/>
      </w:pPr>
      <w:rPr>
        <w:rFonts w:ascii="Courier New" w:hAnsi="Courier New" w:cs="Courier New" w:hint="default"/>
      </w:rPr>
    </w:lvl>
    <w:lvl w:ilvl="8" w:tplc="080A0005" w:tentative="1">
      <w:start w:val="1"/>
      <w:numFmt w:val="bullet"/>
      <w:lvlText w:val=""/>
      <w:lvlJc w:val="left"/>
      <w:pPr>
        <w:ind w:left="5914" w:hanging="360"/>
      </w:pPr>
      <w:rPr>
        <w:rFonts w:ascii="Wingdings" w:hAnsi="Wingdings" w:hint="default"/>
      </w:rPr>
    </w:lvl>
  </w:abstractNum>
  <w:abstractNum w:abstractNumId="6" w15:restartNumberingAfterBreak="0">
    <w:nsid w:val="24AC1FEA"/>
    <w:multiLevelType w:val="multilevel"/>
    <w:tmpl w:val="3DEC0A46"/>
    <w:lvl w:ilvl="0">
      <w:start w:val="1"/>
      <w:numFmt w:val="bullet"/>
      <w:lvlText w:val="●"/>
      <w:lvlJc w:val="left"/>
      <w:pPr>
        <w:ind w:left="1854" w:hanging="360"/>
      </w:pPr>
      <w:rPr>
        <w:rFonts w:ascii="Noto Sans Symbols" w:eastAsia="Noto Sans Symbols" w:hAnsi="Noto Sans Symbols" w:cs="Noto Sans Symbols"/>
      </w:rPr>
    </w:lvl>
    <w:lvl w:ilvl="1">
      <w:start w:val="1"/>
      <w:numFmt w:val="bullet"/>
      <w:lvlText w:val="o"/>
      <w:lvlJc w:val="left"/>
      <w:pPr>
        <w:ind w:left="2574" w:hanging="360"/>
      </w:pPr>
      <w:rPr>
        <w:rFonts w:ascii="Courier New" w:eastAsia="Courier New" w:hAnsi="Courier New" w:cs="Courier New"/>
      </w:rPr>
    </w:lvl>
    <w:lvl w:ilvl="2">
      <w:start w:val="1"/>
      <w:numFmt w:val="bullet"/>
      <w:lvlText w:val="▪"/>
      <w:lvlJc w:val="left"/>
      <w:pPr>
        <w:ind w:left="3294" w:hanging="360"/>
      </w:pPr>
      <w:rPr>
        <w:rFonts w:ascii="Noto Sans Symbols" w:eastAsia="Noto Sans Symbols" w:hAnsi="Noto Sans Symbols" w:cs="Noto Sans Symbols"/>
      </w:rPr>
    </w:lvl>
    <w:lvl w:ilvl="3">
      <w:start w:val="1"/>
      <w:numFmt w:val="bullet"/>
      <w:lvlText w:val="●"/>
      <w:lvlJc w:val="left"/>
      <w:pPr>
        <w:ind w:left="4014" w:hanging="360"/>
      </w:pPr>
      <w:rPr>
        <w:rFonts w:ascii="Noto Sans Symbols" w:eastAsia="Noto Sans Symbols" w:hAnsi="Noto Sans Symbols" w:cs="Noto Sans Symbols"/>
      </w:rPr>
    </w:lvl>
    <w:lvl w:ilvl="4">
      <w:start w:val="1"/>
      <w:numFmt w:val="bullet"/>
      <w:lvlText w:val="o"/>
      <w:lvlJc w:val="left"/>
      <w:pPr>
        <w:ind w:left="4734" w:hanging="360"/>
      </w:pPr>
      <w:rPr>
        <w:rFonts w:ascii="Courier New" w:eastAsia="Courier New" w:hAnsi="Courier New" w:cs="Courier New"/>
      </w:rPr>
    </w:lvl>
    <w:lvl w:ilvl="5">
      <w:start w:val="1"/>
      <w:numFmt w:val="bullet"/>
      <w:lvlText w:val="▪"/>
      <w:lvlJc w:val="left"/>
      <w:pPr>
        <w:ind w:left="5454" w:hanging="360"/>
      </w:pPr>
      <w:rPr>
        <w:rFonts w:ascii="Noto Sans Symbols" w:eastAsia="Noto Sans Symbols" w:hAnsi="Noto Sans Symbols" w:cs="Noto Sans Symbols"/>
      </w:rPr>
    </w:lvl>
    <w:lvl w:ilvl="6">
      <w:start w:val="1"/>
      <w:numFmt w:val="bullet"/>
      <w:lvlText w:val="●"/>
      <w:lvlJc w:val="left"/>
      <w:pPr>
        <w:ind w:left="6174" w:hanging="360"/>
      </w:pPr>
      <w:rPr>
        <w:rFonts w:ascii="Noto Sans Symbols" w:eastAsia="Noto Sans Symbols" w:hAnsi="Noto Sans Symbols" w:cs="Noto Sans Symbols"/>
      </w:rPr>
    </w:lvl>
    <w:lvl w:ilvl="7">
      <w:start w:val="1"/>
      <w:numFmt w:val="bullet"/>
      <w:lvlText w:val="o"/>
      <w:lvlJc w:val="left"/>
      <w:pPr>
        <w:ind w:left="6894" w:hanging="360"/>
      </w:pPr>
      <w:rPr>
        <w:rFonts w:ascii="Courier New" w:eastAsia="Courier New" w:hAnsi="Courier New" w:cs="Courier New"/>
      </w:rPr>
    </w:lvl>
    <w:lvl w:ilvl="8">
      <w:start w:val="1"/>
      <w:numFmt w:val="bullet"/>
      <w:lvlText w:val="▪"/>
      <w:lvlJc w:val="left"/>
      <w:pPr>
        <w:ind w:left="7614" w:hanging="360"/>
      </w:pPr>
      <w:rPr>
        <w:rFonts w:ascii="Noto Sans Symbols" w:eastAsia="Noto Sans Symbols" w:hAnsi="Noto Sans Symbols" w:cs="Noto Sans Symbols"/>
      </w:rPr>
    </w:lvl>
  </w:abstractNum>
  <w:abstractNum w:abstractNumId="7" w15:restartNumberingAfterBreak="0">
    <w:nsid w:val="27C14795"/>
    <w:multiLevelType w:val="multilevel"/>
    <w:tmpl w:val="DDDA88D6"/>
    <w:lvl w:ilvl="0">
      <w:start w:val="1"/>
      <w:numFmt w:val="decimal"/>
      <w:lvlText w:val="%1."/>
      <w:lvlJc w:val="left"/>
      <w:pPr>
        <w:ind w:left="928"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1353" w:hanging="359"/>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B7153A0"/>
    <w:multiLevelType w:val="hybridMultilevel"/>
    <w:tmpl w:val="6E32DD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BE94AC9"/>
    <w:multiLevelType w:val="multilevel"/>
    <w:tmpl w:val="670A640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4317490"/>
    <w:multiLevelType w:val="hybridMultilevel"/>
    <w:tmpl w:val="57FA909C"/>
    <w:lvl w:ilvl="0" w:tplc="7EE0C6EC">
      <w:start w:val="1"/>
      <w:numFmt w:val="decimal"/>
      <w:lvlText w:val="%1."/>
      <w:lvlJc w:val="left"/>
      <w:pPr>
        <w:ind w:left="0" w:firstLine="0"/>
      </w:pPr>
      <w:rPr>
        <w:rFonts w:ascii="Palatino Linotype" w:hAnsi="Palatino Linotype" w:hint="default"/>
        <w:b/>
        <w:i w:val="0"/>
        <w:sz w:val="24"/>
      </w:rPr>
    </w:lvl>
    <w:lvl w:ilvl="1" w:tplc="080A0013">
      <w:start w:val="1"/>
      <w:numFmt w:val="upperRoman"/>
      <w:lvlText w:val="%2."/>
      <w:lvlJc w:val="right"/>
      <w:pPr>
        <w:ind w:left="1440" w:hanging="360"/>
      </w:pPr>
      <w:rPr>
        <w:rFonts w:hint="default"/>
        <w:b/>
        <w:bCs/>
        <w:i w:val="0"/>
        <w:iCs w:val="0"/>
      </w:rPr>
    </w:lvl>
    <w:lvl w:ilvl="2" w:tplc="35B2368A">
      <w:start w:val="1"/>
      <w:numFmt w:val="lowerRoman"/>
      <w:lvlText w:val="%3."/>
      <w:lvlJc w:val="right"/>
      <w:pPr>
        <w:ind w:left="2340" w:hanging="360"/>
      </w:pPr>
      <w:rPr>
        <w:rFonts w:hint="default"/>
        <w:b/>
        <w:strike w:val="0"/>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430367B"/>
    <w:multiLevelType w:val="multilevel"/>
    <w:tmpl w:val="813E99E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2" w15:restartNumberingAfterBreak="0">
    <w:nsid w:val="47235E7C"/>
    <w:multiLevelType w:val="hybridMultilevel"/>
    <w:tmpl w:val="EAE853AE"/>
    <w:lvl w:ilvl="0" w:tplc="1570DCA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BE3114F"/>
    <w:multiLevelType w:val="multilevel"/>
    <w:tmpl w:val="6A20B30C"/>
    <w:lvl w:ilvl="0">
      <w:start w:val="1"/>
      <w:numFmt w:val="bullet"/>
      <w:lvlText w:val="●"/>
      <w:lvlJc w:val="left"/>
      <w:pPr>
        <w:ind w:left="1146" w:hanging="360"/>
      </w:pPr>
      <w:rPr>
        <w:rFonts w:ascii="Noto Sans Symbols" w:eastAsia="Noto Sans Symbols" w:hAnsi="Noto Sans Symbols" w:cs="Noto Sans Symbols"/>
      </w:rPr>
    </w:lvl>
    <w:lvl w:ilvl="1">
      <w:start w:val="1"/>
      <w:numFmt w:val="bullet"/>
      <w:lvlText w:val="o"/>
      <w:lvlJc w:val="left"/>
      <w:pPr>
        <w:ind w:left="1866" w:hanging="360"/>
      </w:pPr>
      <w:rPr>
        <w:rFonts w:ascii="Courier New" w:eastAsia="Courier New" w:hAnsi="Courier New" w:cs="Courier New"/>
      </w:rPr>
    </w:lvl>
    <w:lvl w:ilvl="2">
      <w:start w:val="1"/>
      <w:numFmt w:val="bullet"/>
      <w:lvlText w:val="▪"/>
      <w:lvlJc w:val="left"/>
      <w:pPr>
        <w:ind w:left="2586" w:hanging="360"/>
      </w:pPr>
      <w:rPr>
        <w:rFonts w:ascii="Noto Sans Symbols" w:eastAsia="Noto Sans Symbols" w:hAnsi="Noto Sans Symbols" w:cs="Noto Sans Symbols"/>
      </w:rPr>
    </w:lvl>
    <w:lvl w:ilvl="3">
      <w:start w:val="1"/>
      <w:numFmt w:val="bullet"/>
      <w:lvlText w:val="●"/>
      <w:lvlJc w:val="left"/>
      <w:pPr>
        <w:ind w:left="3306" w:hanging="360"/>
      </w:pPr>
      <w:rPr>
        <w:rFonts w:ascii="Noto Sans Symbols" w:eastAsia="Noto Sans Symbols" w:hAnsi="Noto Sans Symbols" w:cs="Noto Sans Symbols"/>
      </w:rPr>
    </w:lvl>
    <w:lvl w:ilvl="4">
      <w:start w:val="1"/>
      <w:numFmt w:val="bullet"/>
      <w:lvlText w:val="o"/>
      <w:lvlJc w:val="left"/>
      <w:pPr>
        <w:ind w:left="4026" w:hanging="360"/>
      </w:pPr>
      <w:rPr>
        <w:rFonts w:ascii="Courier New" w:eastAsia="Courier New" w:hAnsi="Courier New" w:cs="Courier New"/>
      </w:rPr>
    </w:lvl>
    <w:lvl w:ilvl="5">
      <w:start w:val="1"/>
      <w:numFmt w:val="bullet"/>
      <w:lvlText w:val="▪"/>
      <w:lvlJc w:val="left"/>
      <w:pPr>
        <w:ind w:left="4746" w:hanging="360"/>
      </w:pPr>
      <w:rPr>
        <w:rFonts w:ascii="Noto Sans Symbols" w:eastAsia="Noto Sans Symbols" w:hAnsi="Noto Sans Symbols" w:cs="Noto Sans Symbols"/>
      </w:rPr>
    </w:lvl>
    <w:lvl w:ilvl="6">
      <w:start w:val="1"/>
      <w:numFmt w:val="bullet"/>
      <w:lvlText w:val="●"/>
      <w:lvlJc w:val="left"/>
      <w:pPr>
        <w:ind w:left="5466" w:hanging="360"/>
      </w:pPr>
      <w:rPr>
        <w:rFonts w:ascii="Noto Sans Symbols" w:eastAsia="Noto Sans Symbols" w:hAnsi="Noto Sans Symbols" w:cs="Noto Sans Symbols"/>
      </w:rPr>
    </w:lvl>
    <w:lvl w:ilvl="7">
      <w:start w:val="1"/>
      <w:numFmt w:val="bullet"/>
      <w:lvlText w:val="o"/>
      <w:lvlJc w:val="left"/>
      <w:pPr>
        <w:ind w:left="6186" w:hanging="360"/>
      </w:pPr>
      <w:rPr>
        <w:rFonts w:ascii="Courier New" w:eastAsia="Courier New" w:hAnsi="Courier New" w:cs="Courier New"/>
      </w:rPr>
    </w:lvl>
    <w:lvl w:ilvl="8">
      <w:start w:val="1"/>
      <w:numFmt w:val="bullet"/>
      <w:lvlText w:val="▪"/>
      <w:lvlJc w:val="left"/>
      <w:pPr>
        <w:ind w:left="6906" w:hanging="360"/>
      </w:pPr>
      <w:rPr>
        <w:rFonts w:ascii="Noto Sans Symbols" w:eastAsia="Noto Sans Symbols" w:hAnsi="Noto Sans Symbols" w:cs="Noto Sans Symbols"/>
      </w:rPr>
    </w:lvl>
  </w:abstractNum>
  <w:abstractNum w:abstractNumId="14" w15:restartNumberingAfterBreak="0">
    <w:nsid w:val="4E6828AB"/>
    <w:multiLevelType w:val="multilevel"/>
    <w:tmpl w:val="E356092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5" w15:restartNumberingAfterBreak="0">
    <w:nsid w:val="4E75261A"/>
    <w:multiLevelType w:val="multilevel"/>
    <w:tmpl w:val="E43218E8"/>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6" w15:restartNumberingAfterBreak="0">
    <w:nsid w:val="50BF0292"/>
    <w:multiLevelType w:val="multilevel"/>
    <w:tmpl w:val="B7BC15D2"/>
    <w:lvl w:ilvl="0">
      <w:start w:val="1"/>
      <w:numFmt w:val="upperRoman"/>
      <w:lvlText w:val="%1."/>
      <w:lvlJc w:val="left"/>
      <w:pPr>
        <w:ind w:left="1854" w:hanging="72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17" w15:restartNumberingAfterBreak="0">
    <w:nsid w:val="546A218F"/>
    <w:multiLevelType w:val="multilevel"/>
    <w:tmpl w:val="4F781D94"/>
    <w:lvl w:ilvl="0">
      <w:start w:val="1"/>
      <w:numFmt w:val="upperRoman"/>
      <w:lvlText w:val="%1."/>
      <w:lvlJc w:val="left"/>
      <w:pPr>
        <w:ind w:left="1430" w:hanging="720"/>
      </w:pPr>
    </w:lvl>
    <w:lvl w:ilvl="1">
      <w:start w:val="1"/>
      <w:numFmt w:val="lowerLetter"/>
      <w:lvlText w:val="%2."/>
      <w:lvlJc w:val="left"/>
      <w:pPr>
        <w:ind w:left="1790" w:hanging="360"/>
      </w:pPr>
    </w:lvl>
    <w:lvl w:ilvl="2">
      <w:start w:val="1"/>
      <w:numFmt w:val="lowerRoman"/>
      <w:lvlText w:val="%3."/>
      <w:lvlJc w:val="right"/>
      <w:pPr>
        <w:ind w:left="2510" w:hanging="180"/>
      </w:pPr>
    </w:lvl>
    <w:lvl w:ilvl="3">
      <w:start w:val="1"/>
      <w:numFmt w:val="decimal"/>
      <w:lvlText w:val="%4."/>
      <w:lvlJc w:val="left"/>
      <w:pPr>
        <w:ind w:left="3230" w:hanging="360"/>
      </w:pPr>
    </w:lvl>
    <w:lvl w:ilvl="4">
      <w:start w:val="1"/>
      <w:numFmt w:val="lowerLetter"/>
      <w:lvlText w:val="%5."/>
      <w:lvlJc w:val="left"/>
      <w:pPr>
        <w:ind w:left="3950" w:hanging="360"/>
      </w:pPr>
    </w:lvl>
    <w:lvl w:ilvl="5">
      <w:start w:val="1"/>
      <w:numFmt w:val="lowerRoman"/>
      <w:lvlText w:val="%6."/>
      <w:lvlJc w:val="right"/>
      <w:pPr>
        <w:ind w:left="4670" w:hanging="180"/>
      </w:pPr>
    </w:lvl>
    <w:lvl w:ilvl="6">
      <w:start w:val="1"/>
      <w:numFmt w:val="decimal"/>
      <w:lvlText w:val="%7."/>
      <w:lvlJc w:val="left"/>
      <w:pPr>
        <w:ind w:left="5390" w:hanging="360"/>
      </w:pPr>
    </w:lvl>
    <w:lvl w:ilvl="7">
      <w:start w:val="1"/>
      <w:numFmt w:val="lowerLetter"/>
      <w:lvlText w:val="%8."/>
      <w:lvlJc w:val="left"/>
      <w:pPr>
        <w:ind w:left="6110" w:hanging="360"/>
      </w:pPr>
    </w:lvl>
    <w:lvl w:ilvl="8">
      <w:start w:val="1"/>
      <w:numFmt w:val="lowerRoman"/>
      <w:lvlText w:val="%9."/>
      <w:lvlJc w:val="right"/>
      <w:pPr>
        <w:ind w:left="6830" w:hanging="180"/>
      </w:pPr>
    </w:lvl>
  </w:abstractNum>
  <w:abstractNum w:abstractNumId="18" w15:restartNumberingAfterBreak="0">
    <w:nsid w:val="57965300"/>
    <w:multiLevelType w:val="multilevel"/>
    <w:tmpl w:val="CA3A983C"/>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07D77A4"/>
    <w:multiLevelType w:val="multilevel"/>
    <w:tmpl w:val="34064B52"/>
    <w:lvl w:ilvl="0">
      <w:start w:val="1"/>
      <w:numFmt w:val="decimal"/>
      <w:lvlText w:val="%1."/>
      <w:lvlJc w:val="left"/>
      <w:pPr>
        <w:ind w:left="360"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B3D3646"/>
    <w:multiLevelType w:val="multilevel"/>
    <w:tmpl w:val="9AA40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3"/>
  </w:num>
  <w:num w:numId="2">
    <w:abstractNumId w:val="7"/>
  </w:num>
  <w:num w:numId="3">
    <w:abstractNumId w:val="1"/>
  </w:num>
  <w:num w:numId="4">
    <w:abstractNumId w:val="14"/>
  </w:num>
  <w:num w:numId="5">
    <w:abstractNumId w:val="15"/>
  </w:num>
  <w:num w:numId="6">
    <w:abstractNumId w:val="20"/>
  </w:num>
  <w:num w:numId="7">
    <w:abstractNumId w:val="6"/>
  </w:num>
  <w:num w:numId="8">
    <w:abstractNumId w:val="16"/>
  </w:num>
  <w:num w:numId="9">
    <w:abstractNumId w:val="11"/>
  </w:num>
  <w:num w:numId="10">
    <w:abstractNumId w:val="2"/>
  </w:num>
  <w:num w:numId="11">
    <w:abstractNumId w:val="3"/>
  </w:num>
  <w:num w:numId="12">
    <w:abstractNumId w:val="9"/>
  </w:num>
  <w:num w:numId="13">
    <w:abstractNumId w:val="17"/>
  </w:num>
  <w:num w:numId="14">
    <w:abstractNumId w:val="0"/>
  </w:num>
  <w:num w:numId="15">
    <w:abstractNumId w:val="5"/>
  </w:num>
  <w:num w:numId="16">
    <w:abstractNumId w:val="19"/>
  </w:num>
  <w:num w:numId="17">
    <w:abstractNumId w:val="12"/>
  </w:num>
  <w:num w:numId="18">
    <w:abstractNumId w:val="4"/>
  </w:num>
  <w:num w:numId="19">
    <w:abstractNumId w:val="18"/>
  </w:num>
  <w:num w:numId="20">
    <w:abstractNumId w:val="8"/>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7D80"/>
    <w:rsid w:val="000466C5"/>
    <w:rsid w:val="000B3091"/>
    <w:rsid w:val="00151C66"/>
    <w:rsid w:val="00177129"/>
    <w:rsid w:val="00196FA9"/>
    <w:rsid w:val="001C159C"/>
    <w:rsid w:val="002121A0"/>
    <w:rsid w:val="0023178C"/>
    <w:rsid w:val="00277F51"/>
    <w:rsid w:val="00287A36"/>
    <w:rsid w:val="002E109C"/>
    <w:rsid w:val="00317EDA"/>
    <w:rsid w:val="00365BE2"/>
    <w:rsid w:val="003E0A4A"/>
    <w:rsid w:val="003F02F0"/>
    <w:rsid w:val="00400F9A"/>
    <w:rsid w:val="00435730"/>
    <w:rsid w:val="0043784D"/>
    <w:rsid w:val="00453BF9"/>
    <w:rsid w:val="004549B8"/>
    <w:rsid w:val="00477D80"/>
    <w:rsid w:val="004B5891"/>
    <w:rsid w:val="004C2C18"/>
    <w:rsid w:val="00557F18"/>
    <w:rsid w:val="00595BE0"/>
    <w:rsid w:val="00614CCB"/>
    <w:rsid w:val="007159B1"/>
    <w:rsid w:val="0074652B"/>
    <w:rsid w:val="00794D79"/>
    <w:rsid w:val="007A37F1"/>
    <w:rsid w:val="007D54AB"/>
    <w:rsid w:val="00806999"/>
    <w:rsid w:val="008306F0"/>
    <w:rsid w:val="00864531"/>
    <w:rsid w:val="008759DF"/>
    <w:rsid w:val="00876E78"/>
    <w:rsid w:val="0089083E"/>
    <w:rsid w:val="00893D13"/>
    <w:rsid w:val="008C2A9D"/>
    <w:rsid w:val="008C7DB2"/>
    <w:rsid w:val="008D0B05"/>
    <w:rsid w:val="0097197E"/>
    <w:rsid w:val="009F1249"/>
    <w:rsid w:val="009F73C4"/>
    <w:rsid w:val="00A0416D"/>
    <w:rsid w:val="00A23ED1"/>
    <w:rsid w:val="00AB378E"/>
    <w:rsid w:val="00AC3A17"/>
    <w:rsid w:val="00B16755"/>
    <w:rsid w:val="00B947EA"/>
    <w:rsid w:val="00BB448E"/>
    <w:rsid w:val="00C15A37"/>
    <w:rsid w:val="00C26809"/>
    <w:rsid w:val="00C92935"/>
    <w:rsid w:val="00C97699"/>
    <w:rsid w:val="00CB04FD"/>
    <w:rsid w:val="00CC3124"/>
    <w:rsid w:val="00CE5749"/>
    <w:rsid w:val="00CE7BA7"/>
    <w:rsid w:val="00D02769"/>
    <w:rsid w:val="00D357C9"/>
    <w:rsid w:val="00D445D8"/>
    <w:rsid w:val="00D70A26"/>
    <w:rsid w:val="00D92FE6"/>
    <w:rsid w:val="00D94F88"/>
    <w:rsid w:val="00D97CCD"/>
    <w:rsid w:val="00DD1911"/>
    <w:rsid w:val="00DF4057"/>
    <w:rsid w:val="00E26FEA"/>
    <w:rsid w:val="00E318A7"/>
    <w:rsid w:val="00E73467"/>
    <w:rsid w:val="00E853EC"/>
    <w:rsid w:val="00EA0D92"/>
    <w:rsid w:val="00EA25B9"/>
    <w:rsid w:val="00EB0B7C"/>
    <w:rsid w:val="00F012D2"/>
    <w:rsid w:val="00F60C4F"/>
    <w:rsid w:val="00F619BD"/>
    <w:rsid w:val="00F623F3"/>
    <w:rsid w:val="00F813A2"/>
    <w:rsid w:val="00F8289A"/>
    <w:rsid w:val="00FF171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F8E8B"/>
  <w15:chartTrackingRefBased/>
  <w15:docId w15:val="{C34D2634-36AB-448C-91FC-851E66735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7D80"/>
    <w:pPr>
      <w:spacing w:after="0" w:line="240" w:lineRule="auto"/>
    </w:pPr>
    <w:rPr>
      <w:rFonts w:ascii="Times New Roman" w:eastAsia="Times New Roman" w:hAnsi="Times New Roman" w:cs="Times New Roman"/>
      <w:sz w:val="24"/>
      <w:szCs w:val="24"/>
      <w:lang w:eastAsia="es-MX"/>
    </w:rPr>
  </w:style>
  <w:style w:type="paragraph" w:styleId="Ttulo1">
    <w:name w:val="heading 1"/>
    <w:basedOn w:val="Normal"/>
    <w:next w:val="Normal"/>
    <w:link w:val="Ttulo1Car"/>
    <w:uiPriority w:val="9"/>
    <w:qFormat/>
    <w:rsid w:val="00477D80"/>
    <w:pPr>
      <w:keepNext/>
      <w:keepLines/>
      <w:spacing w:before="240"/>
      <w:outlineLvl w:val="0"/>
    </w:pPr>
    <w:rPr>
      <w:rFonts w:asciiTheme="majorHAnsi" w:eastAsiaTheme="majorEastAsia" w:hAnsiTheme="majorHAnsi" w:cstheme="majorBidi"/>
      <w:color w:val="2E74B5" w:themeColor="accent1" w:themeShade="BF"/>
      <w:sz w:val="32"/>
      <w:szCs w:val="32"/>
      <w:lang w:eastAsia="es-ES"/>
    </w:rPr>
  </w:style>
  <w:style w:type="paragraph" w:styleId="Ttulo2">
    <w:name w:val="heading 2"/>
    <w:basedOn w:val="Normal"/>
    <w:next w:val="Normal"/>
    <w:link w:val="Ttulo2Car"/>
    <w:uiPriority w:val="9"/>
    <w:unhideWhenUsed/>
    <w:qFormat/>
    <w:rsid w:val="00477D80"/>
    <w:pPr>
      <w:keepNext/>
      <w:keepLines/>
      <w:spacing w:before="40" w:line="256"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7D80"/>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477D80"/>
    <w:rPr>
      <w:rFonts w:asciiTheme="majorHAnsi" w:eastAsiaTheme="majorEastAsia" w:hAnsiTheme="majorHAnsi" w:cstheme="majorBidi"/>
      <w:color w:val="2E74B5" w:themeColor="accent1" w:themeShade="BF"/>
      <w:sz w:val="26"/>
      <w:szCs w:val="26"/>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477D8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77D80"/>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F623F3"/>
    <w:pPr>
      <w:tabs>
        <w:tab w:val="center" w:pos="4419"/>
        <w:tab w:val="right" w:pos="8838"/>
      </w:tabs>
    </w:pPr>
  </w:style>
  <w:style w:type="character" w:customStyle="1" w:styleId="EncabezadoCar">
    <w:name w:val="Encabezado Car"/>
    <w:basedOn w:val="Fuentedeprrafopredeter"/>
    <w:link w:val="Encabezado"/>
    <w:uiPriority w:val="99"/>
    <w:rsid w:val="00F623F3"/>
    <w:rPr>
      <w:rFonts w:ascii="Times New Roman" w:eastAsia="Times New Roman" w:hAnsi="Times New Roman" w:cs="Times New Roman"/>
      <w:sz w:val="24"/>
      <w:szCs w:val="24"/>
      <w:lang w:eastAsia="es-MX"/>
    </w:rPr>
  </w:style>
  <w:style w:type="paragraph" w:styleId="Piedepgina">
    <w:name w:val="footer"/>
    <w:basedOn w:val="Normal"/>
    <w:link w:val="PiedepginaCar"/>
    <w:uiPriority w:val="99"/>
    <w:unhideWhenUsed/>
    <w:rsid w:val="00F623F3"/>
    <w:pPr>
      <w:tabs>
        <w:tab w:val="center" w:pos="4419"/>
        <w:tab w:val="right" w:pos="8838"/>
      </w:tabs>
    </w:pPr>
  </w:style>
  <w:style w:type="character" w:customStyle="1" w:styleId="PiedepginaCar">
    <w:name w:val="Pie de página Car"/>
    <w:basedOn w:val="Fuentedeprrafopredeter"/>
    <w:link w:val="Piedepgina"/>
    <w:uiPriority w:val="99"/>
    <w:rsid w:val="00F623F3"/>
    <w:rPr>
      <w:rFonts w:ascii="Times New Roman" w:eastAsia="Times New Roman" w:hAnsi="Times New Roman" w:cs="Times New Roman"/>
      <w:sz w:val="24"/>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qFormat/>
    <w:rsid w:val="0023178C"/>
    <w:rPr>
      <w:color w:val="0563C1" w:themeColor="hyperlink"/>
      <w:u w:val="single"/>
    </w:rPr>
  </w:style>
  <w:style w:type="character" w:styleId="Hipervnculovisitado">
    <w:name w:val="FollowedHyperlink"/>
    <w:basedOn w:val="Fuentedeprrafopredeter"/>
    <w:uiPriority w:val="99"/>
    <w:semiHidden/>
    <w:unhideWhenUsed/>
    <w:rsid w:val="00277F51"/>
    <w:rPr>
      <w:color w:val="954F72" w:themeColor="followedHyperlink"/>
      <w:u w:val="single"/>
    </w:rPr>
  </w:style>
  <w:style w:type="table" w:styleId="Tablaconcuadrcula">
    <w:name w:val="Table Grid"/>
    <w:basedOn w:val="Tablanormal"/>
    <w:uiPriority w:val="39"/>
    <w:rsid w:val="00B947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moovitapp.com/index/es-419/transporte_p%C3%BAblico-line-18-Ciudad_de_Mexico-822-3757241-171199207-1"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onsultas.curp.gob.mx/CurpSP/html/informacionecurpPS.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49</Pages>
  <Words>12565</Words>
  <Characters>69108</Characters>
  <Application>Microsoft Office Word</Application>
  <DocSecurity>0</DocSecurity>
  <Lines>575</Lines>
  <Paragraphs>163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81510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INFOEM399</dc:creator>
  <cp:keywords/>
  <dc:description/>
  <cp:lastModifiedBy>Cuenta Microsoft</cp:lastModifiedBy>
  <cp:revision>8</cp:revision>
  <cp:lastPrinted>2025-03-07T17:54:00Z</cp:lastPrinted>
  <dcterms:created xsi:type="dcterms:W3CDTF">2025-03-05T17:06:00Z</dcterms:created>
  <dcterms:modified xsi:type="dcterms:W3CDTF">2025-03-31T18:13:00Z</dcterms:modified>
</cp:coreProperties>
</file>